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641DA" w14:textId="77777777" w:rsidR="004810F0" w:rsidRPr="000C7D33" w:rsidRDefault="004810F0" w:rsidP="005D3772">
      <w:pPr>
        <w:spacing w:after="0" w:line="240" w:lineRule="auto"/>
        <w:jc w:val="both"/>
        <w:rPr>
          <w:rFonts w:ascii="Verdana" w:eastAsia="Verdana" w:hAnsi="Verdana" w:cs="Verdana"/>
          <w:b/>
          <w:lang w:val="es-ES"/>
        </w:rPr>
      </w:pPr>
      <w:bookmarkStart w:id="0" w:name="_Hlk143780582"/>
      <w:r w:rsidRPr="000C7D33">
        <w:rPr>
          <w:rFonts w:ascii="Verdana" w:eastAsia="Verdana" w:hAnsi="Verdana" w:cs="Verdana"/>
          <w:b/>
          <w:lang w:val="es-ES"/>
        </w:rPr>
        <w:t xml:space="preserve">RÉGIMEN EXCEPCIONAL – Justificación – Criterios de clasificación </w:t>
      </w:r>
    </w:p>
    <w:p w14:paraId="10A91E37" w14:textId="77777777" w:rsidR="004810F0" w:rsidRPr="000C7D33" w:rsidRDefault="004810F0" w:rsidP="005D3772">
      <w:pPr>
        <w:spacing w:after="0" w:line="240" w:lineRule="auto"/>
        <w:jc w:val="both"/>
        <w:rPr>
          <w:rFonts w:ascii="Verdana" w:eastAsia="Verdana" w:hAnsi="Verdana" w:cs="Verdana"/>
          <w:b/>
          <w:lang w:val="es-ES"/>
        </w:rPr>
      </w:pPr>
    </w:p>
    <w:p w14:paraId="42F8EB8A" w14:textId="77777777" w:rsidR="004810F0" w:rsidRPr="000C7D33" w:rsidRDefault="004810F0" w:rsidP="005D3772">
      <w:pPr>
        <w:spacing w:after="0" w:line="240" w:lineRule="auto"/>
        <w:jc w:val="both"/>
        <w:rPr>
          <w:rFonts w:ascii="Verdana" w:eastAsia="Verdana" w:hAnsi="Verdana" w:cs="Verdana"/>
          <w:bCs/>
          <w:sz w:val="20"/>
          <w:lang w:val="es-MX"/>
        </w:rPr>
      </w:pPr>
      <w:r w:rsidRPr="000C7D33">
        <w:rPr>
          <w:rFonts w:ascii="Verdana" w:eastAsia="Verdana" w:hAnsi="Verdana" w:cs="Verdana"/>
          <w:bCs/>
          <w:sz w:val="20"/>
          <w:lang w:val="es-MX"/>
        </w:rPr>
        <w:t xml:space="preserve">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expresamente que “Los contratos que celebren las </w:t>
      </w:r>
      <w:r w:rsidRPr="000C7D33">
        <w:rPr>
          <w:rFonts w:ascii="Verdana" w:eastAsia="Verdana" w:hAnsi="Verdana" w:cs="Verdana"/>
          <w:bCs/>
          <w:i/>
          <w:iCs/>
          <w:sz w:val="20"/>
          <w:lang w:val="es-MX"/>
        </w:rPr>
        <w:t>entidades estatales que prestan los servicios públicos</w:t>
      </w:r>
      <w:r w:rsidRPr="000C7D33">
        <w:rPr>
          <w:rFonts w:ascii="Verdana" w:eastAsia="Verdana" w:hAnsi="Verdana" w:cs="Verdana"/>
          <w:bCs/>
          <w:sz w:val="20"/>
          <w:lang w:val="es-MX"/>
        </w:rPr>
        <w:t xml:space="preserve"> a los que se refiere esta ley no estarán sujetos a las disposiciones del Estatuto General de Contratación de la Administración Pública, salvo en lo que la presente ley disponga otra cosa” (Énfasis fuera de texto). 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así como los requeridos para la administración y el ejercicio de los derechos de todas las personas que sean socias de ellas, en lo no dispuesto en esta Ley, se regirán exclusivamente por las reglas del derecho privado”</w:t>
      </w:r>
    </w:p>
    <w:p w14:paraId="6270D284" w14:textId="77777777" w:rsidR="004810F0" w:rsidRPr="000C7D33" w:rsidRDefault="004810F0" w:rsidP="005D3772">
      <w:pPr>
        <w:spacing w:after="0" w:line="240" w:lineRule="auto"/>
        <w:jc w:val="both"/>
        <w:rPr>
          <w:rFonts w:ascii="Verdana" w:eastAsia="Verdana" w:hAnsi="Verdana" w:cs="Verdana"/>
          <w:b/>
          <w:lang w:val="es-ES"/>
        </w:rPr>
      </w:pPr>
    </w:p>
    <w:p w14:paraId="1D48F370" w14:textId="77777777" w:rsidR="004810F0" w:rsidRPr="000C7D33" w:rsidRDefault="004810F0" w:rsidP="005D3772">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Naturaleza – régimen especial </w:t>
      </w:r>
    </w:p>
    <w:p w14:paraId="12AFCF3B" w14:textId="77777777" w:rsidR="004810F0" w:rsidRPr="000C7D33" w:rsidRDefault="004810F0" w:rsidP="005D3772">
      <w:pPr>
        <w:spacing w:after="0" w:line="240" w:lineRule="auto"/>
        <w:jc w:val="both"/>
        <w:rPr>
          <w:rFonts w:ascii="Verdana" w:eastAsia="Verdana" w:hAnsi="Verdana" w:cs="Verdana"/>
          <w:b/>
          <w:lang w:val="es-ES"/>
        </w:rPr>
      </w:pPr>
    </w:p>
    <w:p w14:paraId="7DADBF1B" w14:textId="77777777" w:rsidR="004810F0" w:rsidRPr="000C7D33" w:rsidRDefault="004810F0" w:rsidP="005D3772">
      <w:pPr>
        <w:spacing w:after="0" w:line="240" w:lineRule="auto"/>
        <w:jc w:val="both"/>
        <w:rPr>
          <w:rFonts w:ascii="Verdana" w:eastAsia="Verdana" w:hAnsi="Verdana" w:cs="Verdana"/>
          <w:sz w:val="20"/>
        </w:rPr>
      </w:pPr>
      <w:r w:rsidRPr="000C7D33">
        <w:rPr>
          <w:rFonts w:ascii="Verdana" w:eastAsia="Verdana" w:hAnsi="Verdana" w:cs="Verdana"/>
          <w:bCs/>
          <w:sz w:val="20"/>
          <w:lang w:val="es-MX"/>
        </w:rPr>
        <w:t xml:space="preserve">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xml:space="preserve">, así como los requeridos para la administración y el ejercicio de los derechos de todas las personas que sean socias de ellas, en lo no dispuesto en esta Ley, se regirán exclusivamente por las reglas del derecho privado” (Énfasis fuera de texto). </w:t>
      </w:r>
      <w:r w:rsidRPr="000C7D33">
        <w:rPr>
          <w:rFonts w:ascii="Verdana" w:eastAsia="Verdana" w:hAnsi="Verdana" w:cs="Verdana"/>
          <w:sz w:val="20"/>
          <w:lang w:val="es-ES"/>
        </w:rPr>
        <w:t xml:space="preserve">De esta manera, el máximo órgano de la Jurisdicción de lo Contencioso Administrativo considera que: “En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0D896340" w14:textId="77777777" w:rsidR="004810F0" w:rsidRPr="000C7D33" w:rsidRDefault="004810F0" w:rsidP="005D3772">
      <w:pPr>
        <w:spacing w:after="0" w:line="240" w:lineRule="auto"/>
        <w:jc w:val="both"/>
        <w:rPr>
          <w:rFonts w:ascii="Verdana" w:eastAsia="Verdana" w:hAnsi="Verdana" w:cs="Verdana"/>
          <w:b/>
          <w:lang w:val="es-ES"/>
        </w:rPr>
      </w:pPr>
    </w:p>
    <w:p w14:paraId="6AB14C37" w14:textId="77777777" w:rsidR="004810F0" w:rsidRPr="000C7D33" w:rsidRDefault="004810F0" w:rsidP="005D3772">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Mixtas – Privadas con participación estatal – Entidades descentralizadas por servicios – Sentencia C-736 de 2007 </w:t>
      </w:r>
    </w:p>
    <w:p w14:paraId="2EC5BC23" w14:textId="77777777" w:rsidR="004810F0" w:rsidRPr="000C7D33" w:rsidRDefault="004810F0" w:rsidP="005D3772">
      <w:pPr>
        <w:spacing w:after="0" w:line="240" w:lineRule="auto"/>
        <w:jc w:val="both"/>
        <w:rPr>
          <w:rFonts w:ascii="Verdana" w:eastAsia="Verdana" w:hAnsi="Verdana" w:cs="Verdana"/>
          <w:b/>
          <w:lang w:val="es-ES"/>
        </w:rPr>
      </w:pPr>
    </w:p>
    <w:p w14:paraId="72CF629A" w14:textId="77777777" w:rsidR="004810F0" w:rsidRDefault="004810F0" w:rsidP="005D3772">
      <w:pPr>
        <w:spacing w:after="0" w:line="240" w:lineRule="auto"/>
        <w:jc w:val="both"/>
        <w:rPr>
          <w:rFonts w:ascii="Verdana" w:eastAsia="Verdana" w:hAnsi="Verdana" w:cs="Verdana"/>
          <w:bCs/>
          <w:sz w:val="20"/>
          <w:lang w:val="es-ES_tradnl"/>
        </w:rPr>
      </w:pPr>
      <w:r w:rsidRPr="000C7D33">
        <w:rPr>
          <w:rFonts w:ascii="Verdana" w:eastAsia="Verdana" w:hAnsi="Verdana" w:cs="Verdana"/>
          <w:bCs/>
          <w:sz w:val="20"/>
          <w:lang w:val="es-ES_tradnl"/>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w:t>
      </w:r>
      <w:r w:rsidRPr="000C7D33">
        <w:rPr>
          <w:rFonts w:ascii="Verdana" w:eastAsia="Verdana" w:hAnsi="Verdana" w:cs="Verdana"/>
          <w:bCs/>
          <w:i/>
          <w:iCs/>
          <w:sz w:val="20"/>
          <w:lang w:val="es-ES_tradnl"/>
        </w:rPr>
        <w:t>oficiales</w:t>
      </w:r>
      <w:r w:rsidRPr="000C7D33">
        <w:rPr>
          <w:rFonts w:ascii="Verdana" w:eastAsia="Verdana" w:hAnsi="Verdana" w:cs="Verdana"/>
          <w:bCs/>
          <w:sz w:val="20"/>
          <w:lang w:val="es-ES_tradnl"/>
        </w:rPr>
        <w:t xml:space="preserve">, </w:t>
      </w:r>
      <w:r w:rsidRPr="000C7D33">
        <w:rPr>
          <w:rFonts w:ascii="Verdana" w:eastAsia="Verdana" w:hAnsi="Verdana" w:cs="Verdana"/>
          <w:bCs/>
          <w:i/>
          <w:iCs/>
          <w:sz w:val="20"/>
          <w:lang w:val="es-ES_tradnl"/>
        </w:rPr>
        <w:t>mixtas</w:t>
      </w:r>
      <w:r w:rsidRPr="000C7D33">
        <w:rPr>
          <w:rFonts w:ascii="Verdana" w:eastAsia="Verdana" w:hAnsi="Verdana" w:cs="Verdana"/>
          <w:bCs/>
          <w:sz w:val="20"/>
          <w:lang w:val="es-ES_tradnl"/>
        </w:rPr>
        <w:t xml:space="preserve"> o </w:t>
      </w:r>
      <w:r w:rsidRPr="000C7D33">
        <w:rPr>
          <w:rFonts w:ascii="Verdana" w:eastAsia="Verdana" w:hAnsi="Verdana" w:cs="Verdana"/>
          <w:bCs/>
          <w:i/>
          <w:iCs/>
          <w:sz w:val="20"/>
          <w:lang w:val="es-ES_tradnl"/>
        </w:rPr>
        <w:t>privadas</w:t>
      </w:r>
      <w:r w:rsidRPr="000C7D33">
        <w:rPr>
          <w:rFonts w:ascii="Verdana" w:eastAsia="Verdana" w:hAnsi="Verdana" w:cs="Verdana"/>
          <w:bCs/>
          <w:sz w:val="20"/>
          <w:lang w:val="es-ES_tradnl"/>
        </w:rPr>
        <w:t xml:space="preserve">, estas tres especies ingresan en la categoría de las </w:t>
      </w:r>
      <w:r w:rsidRPr="000C7D33">
        <w:rPr>
          <w:rFonts w:ascii="Verdana" w:eastAsia="Verdana" w:hAnsi="Verdana" w:cs="Verdana"/>
          <w:bCs/>
          <w:i/>
          <w:iCs/>
          <w:sz w:val="20"/>
          <w:lang w:val="es-ES_tradnl"/>
        </w:rPr>
        <w:t>entidades descentralizadas por servicios</w:t>
      </w:r>
      <w:r w:rsidRPr="000C7D33">
        <w:rPr>
          <w:rFonts w:ascii="Verdana" w:eastAsia="Verdana" w:hAnsi="Verdana" w:cs="Verdana"/>
          <w:bCs/>
          <w:sz w:val="20"/>
          <w:lang w:val="es-ES_tradnl"/>
        </w:rPr>
        <w:t xml:space="preserve">, es decir, hacen parte de la Rama Ejecutiva del Orden Público.  </w:t>
      </w:r>
    </w:p>
    <w:p w14:paraId="1906B09F" w14:textId="77777777" w:rsidR="004810F0" w:rsidRPr="000C7D33" w:rsidRDefault="004810F0" w:rsidP="005D3772">
      <w:pPr>
        <w:spacing w:after="0" w:line="240" w:lineRule="auto"/>
        <w:jc w:val="both"/>
        <w:rPr>
          <w:rFonts w:ascii="Verdana" w:eastAsia="Verdana" w:hAnsi="Verdana" w:cs="Verdana"/>
          <w:bCs/>
          <w:sz w:val="20"/>
          <w:lang w:val="es-ES_tradnl"/>
        </w:rPr>
      </w:pPr>
    </w:p>
    <w:p w14:paraId="30B29536" w14:textId="77777777" w:rsidR="004810F0" w:rsidRPr="000C7D33" w:rsidRDefault="004810F0" w:rsidP="005D3772">
      <w:pPr>
        <w:spacing w:after="0" w:line="240" w:lineRule="auto"/>
        <w:jc w:val="both"/>
        <w:rPr>
          <w:rFonts w:ascii="Verdana" w:eastAsia="Verdana" w:hAnsi="Verdana" w:cs="Verdana"/>
          <w:sz w:val="20"/>
          <w:lang w:val="es-ES"/>
        </w:rPr>
      </w:pPr>
      <w:r w:rsidRPr="000C7D33">
        <w:rPr>
          <w:rFonts w:ascii="Verdana" w:eastAsia="Verdana" w:hAnsi="Verdana" w:cs="Verdana"/>
          <w:bCs/>
          <w:sz w:val="20"/>
          <w:lang w:val="es-ES_tradnl"/>
        </w:rPr>
        <w:t xml:space="preserve">Al respecto, debe recordarse que en dicha Sentencia el alto tribunal afirmó que las empresas prestadoras de servicios públicos domiciliarios </w:t>
      </w:r>
      <w:r w:rsidRPr="000C7D33">
        <w:rPr>
          <w:rFonts w:ascii="Verdana" w:eastAsia="Verdana" w:hAnsi="Verdana" w:cs="Verdana"/>
          <w:bCs/>
          <w:i/>
          <w:iCs/>
          <w:sz w:val="20"/>
          <w:lang w:val="es-ES_tradnl"/>
        </w:rPr>
        <w:t>mixtas y privadas</w:t>
      </w:r>
      <w:r w:rsidRPr="000C7D33">
        <w:rPr>
          <w:rFonts w:ascii="Verdana" w:eastAsia="Verdana" w:hAnsi="Verdana" w:cs="Verdana"/>
          <w:bCs/>
          <w:sz w:val="20"/>
          <w:lang w:val="es-ES_tradnl"/>
        </w:rPr>
        <w:t xml:space="preserve"> con aportes estatales son tipos </w:t>
      </w:r>
      <w:r w:rsidRPr="000C7D33">
        <w:rPr>
          <w:rFonts w:ascii="Verdana" w:eastAsia="Verdana" w:hAnsi="Verdana" w:cs="Verdana"/>
          <w:bCs/>
          <w:i/>
          <w:iCs/>
          <w:sz w:val="20"/>
          <w:lang w:val="es-ES_tradnl"/>
        </w:rPr>
        <w:t>especiales</w:t>
      </w:r>
      <w:r w:rsidRPr="000C7D33">
        <w:rPr>
          <w:rFonts w:ascii="Verdana" w:eastAsia="Verdana" w:hAnsi="Verdana" w:cs="Verdana"/>
          <w:bCs/>
          <w:sz w:val="20"/>
          <w:lang w:val="es-ES_tradnl"/>
        </w:rPr>
        <w:t xml:space="preserve"> de entidades descentralizadas por servicios que, por tanto, </w:t>
      </w:r>
      <w:r w:rsidRPr="000C7D33">
        <w:rPr>
          <w:rFonts w:ascii="Verdana" w:eastAsia="Verdana" w:hAnsi="Verdana" w:cs="Verdana"/>
          <w:bCs/>
          <w:sz w:val="20"/>
          <w:lang w:val="es-ES_tradnl"/>
        </w:rPr>
        <w:lastRenderedPageBreak/>
        <w:t>no pueden enmarcarse en las otras especies de entidades descentralizadas por servicios enlistadas en el artículo 38 de la Ley 489 de 1998, es decir, que no cabe considerarlas, verbigracia, dentro de las sociedades públicas ni en las sociedades de economía mixta.</w:t>
      </w:r>
    </w:p>
    <w:p w14:paraId="4E12FD1A" w14:textId="77777777" w:rsidR="004810F0" w:rsidRPr="000C7D33" w:rsidRDefault="004810F0" w:rsidP="005D3772">
      <w:pPr>
        <w:spacing w:after="0" w:line="240" w:lineRule="auto"/>
        <w:jc w:val="both"/>
        <w:rPr>
          <w:rFonts w:ascii="Verdana" w:eastAsia="Verdana" w:hAnsi="Verdana" w:cs="Verdana"/>
          <w:b/>
          <w:lang w:val="es-ES"/>
        </w:rPr>
      </w:pPr>
    </w:p>
    <w:p w14:paraId="4984A909" w14:textId="77777777" w:rsidR="004810F0" w:rsidRPr="000C7D33" w:rsidRDefault="004810F0" w:rsidP="005D3772">
      <w:pPr>
        <w:spacing w:after="0" w:line="240" w:lineRule="auto"/>
        <w:jc w:val="both"/>
        <w:rPr>
          <w:rFonts w:ascii="Verdana" w:eastAsia="Verdana" w:hAnsi="Verdana" w:cs="Verdana"/>
          <w:b/>
          <w:lang w:val="es-ES"/>
        </w:rPr>
      </w:pPr>
      <w:r w:rsidRPr="000C7D33">
        <w:rPr>
          <w:rFonts w:ascii="Verdana" w:eastAsia="Verdana" w:hAnsi="Verdana" w:cs="Verdana"/>
          <w:b/>
          <w:lang w:val="es-ES"/>
        </w:rPr>
        <w:t>EMPRESAS PRIVADAS DE SERVICIOS PÚBLICOS – Capital – 100% privadas – Naturaleza</w:t>
      </w:r>
    </w:p>
    <w:p w14:paraId="015588E7" w14:textId="77777777" w:rsidR="004810F0" w:rsidRPr="000C7D33" w:rsidRDefault="004810F0" w:rsidP="005D3772">
      <w:pPr>
        <w:spacing w:after="0" w:line="240" w:lineRule="auto"/>
        <w:jc w:val="both"/>
        <w:rPr>
          <w:rFonts w:ascii="Verdana" w:eastAsia="Verdana" w:hAnsi="Verdana" w:cs="Verdana"/>
          <w:b/>
          <w:lang w:val="es-ES"/>
        </w:rPr>
      </w:pPr>
    </w:p>
    <w:p w14:paraId="4971B619" w14:textId="77777777" w:rsidR="004810F0" w:rsidRPr="00ED0AD9" w:rsidRDefault="004810F0" w:rsidP="005D3772">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2A63AF0E" w14:textId="77777777" w:rsidR="004810F0" w:rsidRPr="00ED0AD9" w:rsidRDefault="004810F0" w:rsidP="005D3772">
      <w:pPr>
        <w:spacing w:after="0" w:line="240" w:lineRule="auto"/>
        <w:jc w:val="both"/>
        <w:rPr>
          <w:rFonts w:ascii="Verdana" w:eastAsia="Verdana" w:hAnsi="Verdana" w:cs="Verdana"/>
          <w:sz w:val="20"/>
          <w:lang w:val="es-ES"/>
        </w:rPr>
      </w:pPr>
    </w:p>
    <w:p w14:paraId="4D3F8673" w14:textId="77777777" w:rsidR="004810F0" w:rsidRPr="00ED0AD9" w:rsidRDefault="004810F0" w:rsidP="005D3772">
      <w:pPr>
        <w:spacing w:after="0" w:line="240" w:lineRule="auto"/>
        <w:jc w:val="both"/>
        <w:rPr>
          <w:rFonts w:ascii="Verdana" w:eastAsia="Verdana" w:hAnsi="Verdana" w:cs="Verdana"/>
          <w:sz w:val="20"/>
        </w:rPr>
      </w:pPr>
      <w:r w:rsidRPr="00ED0AD9">
        <w:rPr>
          <w:rFonts w:ascii="Verdana" w:eastAsia="Verdana" w:hAnsi="Verdana" w:cs="Verdana"/>
          <w:sz w:val="20"/>
          <w:lang w:val="es-ES"/>
        </w:rPr>
        <w:t>La primera postura es la que resalta la doctrina, donde se expone que el pronunciamiento de constitucionalidad implica que lo dispuesto en el literal g) se subsumen las empresas de servicios públicos mixtas o privadas</w:t>
      </w:r>
      <w:r w:rsidRPr="00ED0AD9">
        <w:rPr>
          <w:rFonts w:ascii="Verdana" w:eastAsia="Verdana" w:hAnsi="Verdana" w:cs="Verdana"/>
          <w:sz w:val="20"/>
        </w:rPr>
        <w:t xml:space="preserve"> (en torno a las últimas ya no precisa si tienen aporte estatal) como parte de la Rama Ejecutiva en su sector descentralizado. </w:t>
      </w:r>
    </w:p>
    <w:p w14:paraId="1915C5DE" w14:textId="77777777" w:rsidR="004810F0" w:rsidRPr="00ED0AD9" w:rsidRDefault="004810F0" w:rsidP="005D3772">
      <w:pPr>
        <w:spacing w:after="0" w:line="240" w:lineRule="auto"/>
        <w:jc w:val="both"/>
        <w:rPr>
          <w:rFonts w:ascii="Verdana" w:eastAsia="Verdana" w:hAnsi="Verdana" w:cs="Verdana"/>
          <w:sz w:val="20"/>
        </w:rPr>
      </w:pPr>
    </w:p>
    <w:p w14:paraId="73549230" w14:textId="77777777" w:rsidR="004810F0" w:rsidRPr="00ED0AD9" w:rsidRDefault="004810F0" w:rsidP="005D3772">
      <w:pPr>
        <w:spacing w:after="0" w:line="240" w:lineRule="auto"/>
        <w:jc w:val="both"/>
        <w:rPr>
          <w:rFonts w:ascii="Verdana" w:eastAsia="Verdana" w:hAnsi="Verdana" w:cs="Verdana"/>
          <w:sz w:val="20"/>
        </w:rPr>
      </w:pPr>
      <w:r w:rsidRPr="00ED0AD9">
        <w:rPr>
          <w:rFonts w:ascii="Verdana" w:eastAsia="Verdana" w:hAnsi="Verdana" w:cs="Verdana"/>
          <w:sz w:val="20"/>
          <w:lang w:val="es-ES"/>
        </w:rPr>
        <w:t>La segunda postura que también se deriva de la interpretación de la sentencia es que la Corte Constitucional</w:t>
      </w:r>
      <w:r w:rsidRPr="00ED0AD9">
        <w:rPr>
          <w:rFonts w:ascii="Verdana" w:eastAsia="Verdana" w:hAnsi="Verdana" w:cs="Verdana"/>
          <w:sz w:val="20"/>
        </w:rPr>
        <w:t xml:space="preserve"> </w:t>
      </w:r>
      <w:r w:rsidRPr="00ED0AD9">
        <w:rPr>
          <w:rFonts w:ascii="Verdana" w:eastAsia="Verdana" w:hAnsi="Verdana" w:cs="Verdana"/>
          <w:sz w:val="20"/>
          <w:lang w:val="es-ES"/>
        </w:rPr>
        <w:t xml:space="preserve">determinó que las empresas de servicios públicos domiciliarios mixtas y privadas con participación estatal constituyen una categoría especial de entidades descentralizadas por servicios. En esta línea, se destaca que el encabezado de la consideración 5.3. alude expresamente, así como en varios apartes que son entidades descentralizadas por servicios las </w:t>
      </w:r>
      <w:r w:rsidRPr="00ED0AD9">
        <w:rPr>
          <w:rFonts w:ascii="Verdana" w:eastAsia="Verdana" w:hAnsi="Verdana" w:cs="Verdana"/>
          <w:bCs/>
          <w:sz w:val="20"/>
          <w:lang w:val="es-ES"/>
        </w:rPr>
        <w:t xml:space="preserve">empresas de servicios públicos mixtas y privadas en las cuales haya cualquier porcentaje de participación pública. </w:t>
      </w:r>
      <w:r w:rsidRPr="00ED0AD9">
        <w:rPr>
          <w:rFonts w:ascii="Verdana" w:eastAsia="Verdana" w:hAnsi="Verdana" w:cs="Verdana"/>
          <w:sz w:val="20"/>
          <w:lang w:val="es-ES"/>
        </w:rPr>
        <w:t xml:space="preserve">Esta interpretación se complementa con la Ley 142 de 1994, que define los tipos societarios según la proporción de capital estatal y privado, entendiendo como empresa privada de servicios públicos como </w:t>
      </w:r>
      <w:r w:rsidRPr="00ED0AD9">
        <w:rPr>
          <w:rFonts w:ascii="Verdana" w:eastAsia="Verdana" w:hAnsi="Verdana" w:cs="Verdana"/>
          <w:sz w:val="20"/>
        </w:rPr>
        <w:t>aquella cuyo capital pertenece mayoritariamente a particulares o a entidades internacionales que se acogen al régimen privado, lo que implica una participación minoritaria del Estado.</w:t>
      </w:r>
    </w:p>
    <w:p w14:paraId="0E7932A7" w14:textId="77777777" w:rsidR="004810F0" w:rsidRPr="00ED0AD9" w:rsidRDefault="004810F0" w:rsidP="005D3772">
      <w:pPr>
        <w:spacing w:after="0" w:line="240" w:lineRule="auto"/>
        <w:jc w:val="both"/>
        <w:rPr>
          <w:rFonts w:ascii="Verdana" w:eastAsia="Verdana" w:hAnsi="Verdana" w:cs="Verdana"/>
          <w:sz w:val="20"/>
        </w:rPr>
      </w:pPr>
    </w:p>
    <w:p w14:paraId="5A98E3D8" w14:textId="77777777" w:rsidR="004810F0" w:rsidRPr="00ED0AD9" w:rsidRDefault="004810F0" w:rsidP="005D3772">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3669B1A2" w14:textId="77777777" w:rsidR="004810F0" w:rsidRPr="00ED0AD9" w:rsidRDefault="004810F0" w:rsidP="005D3772">
      <w:pPr>
        <w:spacing w:after="0" w:line="240" w:lineRule="auto"/>
        <w:jc w:val="both"/>
        <w:rPr>
          <w:rFonts w:ascii="Verdana" w:eastAsia="Verdana" w:hAnsi="Verdana" w:cs="Verdana"/>
          <w:sz w:val="20"/>
          <w:lang w:val="es-ES"/>
        </w:rPr>
      </w:pPr>
    </w:p>
    <w:p w14:paraId="0FD0575D" w14:textId="77777777" w:rsidR="004810F0" w:rsidRPr="000C7D33" w:rsidRDefault="004810F0" w:rsidP="005D3772">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CONTRATOS Y CONVENIOS INTERADMINISTRATIVOS – Noción – Diferencias </w:t>
      </w:r>
    </w:p>
    <w:p w14:paraId="46B45783" w14:textId="77777777" w:rsidR="004810F0" w:rsidRDefault="004810F0" w:rsidP="005D3772">
      <w:pPr>
        <w:spacing w:after="0" w:line="240" w:lineRule="auto"/>
        <w:jc w:val="both"/>
        <w:rPr>
          <w:rFonts w:ascii="Verdana" w:eastAsia="Verdana" w:hAnsi="Verdana" w:cs="Verdana"/>
          <w:bCs/>
          <w:sz w:val="20"/>
          <w:lang w:val="es-ES"/>
        </w:rPr>
      </w:pPr>
    </w:p>
    <w:p w14:paraId="0F8E166F" w14:textId="77777777" w:rsidR="004810F0" w:rsidRPr="00BE429B" w:rsidRDefault="004810F0" w:rsidP="005D3772">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La Corte Constitucional, en Sentencia C-671 de 2015, expresó que “Lo que hace interadministrativo a un contrato o convenio no es el procedimiento de selección </w:t>
      </w:r>
      <w:r w:rsidRPr="00BE429B">
        <w:rPr>
          <w:rFonts w:ascii="Verdana" w:eastAsia="Verdana" w:hAnsi="Verdana" w:cs="Verdana"/>
          <w:bCs/>
          <w:sz w:val="20"/>
        </w:rPr>
        <w:lastRenderedPageBreak/>
        <w:t xml:space="preserve">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w:t>
      </w:r>
    </w:p>
    <w:p w14:paraId="58FF4BA2" w14:textId="77777777" w:rsidR="004810F0" w:rsidRDefault="004810F0" w:rsidP="005D3772">
      <w:pPr>
        <w:spacing w:after="0" w:line="240" w:lineRule="auto"/>
        <w:jc w:val="both"/>
        <w:rPr>
          <w:rFonts w:ascii="Verdana" w:eastAsia="Verdana" w:hAnsi="Verdana" w:cs="Verdana"/>
          <w:bCs/>
          <w:sz w:val="20"/>
          <w:lang w:val="es-ES"/>
        </w:rPr>
      </w:pPr>
      <w:r>
        <w:rPr>
          <w:rFonts w:ascii="Verdana" w:eastAsia="Verdana" w:hAnsi="Verdana" w:cs="Verdana"/>
          <w:bCs/>
          <w:sz w:val="20"/>
          <w:lang w:val="es-ES"/>
        </w:rPr>
        <w:t>[…]</w:t>
      </w:r>
    </w:p>
    <w:p w14:paraId="55055F3D" w14:textId="77777777" w:rsidR="004810F0" w:rsidRPr="00ED0AD9" w:rsidRDefault="004810F0" w:rsidP="005D3772">
      <w:pPr>
        <w:spacing w:after="0" w:line="240" w:lineRule="auto"/>
        <w:jc w:val="both"/>
        <w:rPr>
          <w:rFonts w:ascii="Verdana" w:eastAsia="Verdana" w:hAnsi="Verdana" w:cs="Verdana"/>
          <w:bCs/>
          <w:sz w:val="20"/>
          <w:lang w:val="es-ES"/>
        </w:rPr>
      </w:pPr>
      <w:r w:rsidRPr="00BE429B">
        <w:rPr>
          <w:rFonts w:ascii="Verdana" w:eastAsia="Verdana" w:hAnsi="Verdana" w:cs="Verdana"/>
          <w:bCs/>
          <w:sz w:val="20"/>
        </w:rPr>
        <w:t>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w:t>
      </w:r>
    </w:p>
    <w:p w14:paraId="4A239BC0" w14:textId="77777777" w:rsidR="004810F0" w:rsidRPr="000C7D33" w:rsidRDefault="004810F0" w:rsidP="005D3772">
      <w:pPr>
        <w:spacing w:after="0" w:line="240" w:lineRule="auto"/>
        <w:jc w:val="both"/>
        <w:rPr>
          <w:rFonts w:ascii="Verdana" w:eastAsia="Verdana" w:hAnsi="Verdana" w:cs="Verdana"/>
          <w:b/>
          <w:bCs/>
          <w:lang w:val="es-ES"/>
        </w:rPr>
      </w:pPr>
    </w:p>
    <w:p w14:paraId="531AE080" w14:textId="77777777" w:rsidR="004810F0" w:rsidRPr="000C7D33" w:rsidRDefault="004810F0" w:rsidP="005D3772">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CONVENIO INTERADMINISTRATIVO – Naturaleza – Inaplicabilidad – Ley 80 de 1993</w:t>
      </w:r>
    </w:p>
    <w:p w14:paraId="492380D7" w14:textId="77777777" w:rsidR="004810F0" w:rsidRPr="000C7D33" w:rsidRDefault="004810F0" w:rsidP="005D3772">
      <w:pPr>
        <w:spacing w:after="0" w:line="240" w:lineRule="auto"/>
        <w:jc w:val="both"/>
        <w:rPr>
          <w:rFonts w:ascii="Verdana" w:eastAsia="Verdana" w:hAnsi="Verdana" w:cs="Verdana"/>
          <w:b/>
          <w:bCs/>
          <w:lang w:val="es-ES"/>
        </w:rPr>
      </w:pPr>
    </w:p>
    <w:p w14:paraId="721298FC" w14:textId="77777777" w:rsidR="004810F0" w:rsidRPr="00BE429B" w:rsidRDefault="004810F0" w:rsidP="005D3772">
      <w:pPr>
        <w:spacing w:after="0" w:line="240" w:lineRule="auto"/>
        <w:jc w:val="both"/>
        <w:rPr>
          <w:rFonts w:ascii="Verdana" w:eastAsia="Verdana" w:hAnsi="Verdana" w:cs="Verdana"/>
          <w:bCs/>
          <w:sz w:val="20"/>
        </w:rPr>
      </w:pPr>
      <w:r w:rsidRPr="00BE429B">
        <w:rPr>
          <w:rFonts w:ascii="Verdana" w:eastAsia="Verdana" w:hAnsi="Verdana" w:cs="Verdana"/>
          <w:bCs/>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4E83F66E" w14:textId="77777777" w:rsidR="004810F0" w:rsidRPr="00BE429B" w:rsidRDefault="004810F0" w:rsidP="005D3772">
      <w:pPr>
        <w:spacing w:after="0" w:line="240" w:lineRule="auto"/>
        <w:jc w:val="both"/>
        <w:rPr>
          <w:rFonts w:ascii="Verdana" w:eastAsia="Verdana" w:hAnsi="Verdana" w:cs="Verdana"/>
          <w:b/>
          <w:bCs/>
        </w:rPr>
      </w:pPr>
    </w:p>
    <w:p w14:paraId="29CEC32E" w14:textId="77777777" w:rsidR="004810F0" w:rsidRDefault="004810F0" w:rsidP="005D3772">
      <w:pPr>
        <w:spacing w:after="0" w:line="240" w:lineRule="auto"/>
        <w:jc w:val="both"/>
        <w:rPr>
          <w:rFonts w:ascii="Verdana" w:eastAsia="Verdana" w:hAnsi="Verdana" w:cs="Verdana"/>
          <w:b/>
          <w:bCs/>
          <w:lang w:val="es-ES"/>
        </w:rPr>
      </w:pPr>
      <w:r w:rsidRPr="004810F0">
        <w:rPr>
          <w:rFonts w:ascii="Verdana" w:eastAsia="Verdana" w:hAnsi="Verdana" w:cs="Verdana"/>
          <w:b/>
          <w:bCs/>
          <w:lang w:val="es-ES"/>
        </w:rPr>
        <w:t>SERVICIOS PÚBLICOS DOMICILIARIOS</w:t>
      </w:r>
      <w:r>
        <w:rPr>
          <w:rFonts w:ascii="Verdana" w:eastAsia="Verdana" w:hAnsi="Verdana" w:cs="Verdana"/>
          <w:b/>
          <w:bCs/>
          <w:lang w:val="es-ES"/>
        </w:rPr>
        <w:t xml:space="preserve"> – Ley 142 de 1994 – Artículo 1</w:t>
      </w:r>
    </w:p>
    <w:p w14:paraId="679A54C1" w14:textId="77777777" w:rsidR="004810F0" w:rsidRDefault="004810F0" w:rsidP="005D3772">
      <w:pPr>
        <w:spacing w:after="0" w:line="240" w:lineRule="auto"/>
        <w:jc w:val="both"/>
        <w:rPr>
          <w:rFonts w:ascii="Verdana" w:eastAsia="Verdana" w:hAnsi="Verdana" w:cs="Verdana"/>
          <w:b/>
          <w:bCs/>
          <w:lang w:val="es-ES"/>
        </w:rPr>
      </w:pPr>
    </w:p>
    <w:p w14:paraId="55BEB0F9" w14:textId="77777777" w:rsidR="004810F0" w:rsidRPr="004810F0" w:rsidRDefault="004810F0" w:rsidP="005D3772">
      <w:pPr>
        <w:spacing w:after="0" w:line="240" w:lineRule="auto"/>
        <w:jc w:val="both"/>
        <w:rPr>
          <w:rFonts w:ascii="Verdana" w:eastAsia="Verdana" w:hAnsi="Verdana" w:cs="Verdana"/>
          <w:bCs/>
          <w:iCs/>
          <w:sz w:val="20"/>
        </w:rPr>
      </w:pPr>
      <w:r w:rsidRPr="004810F0">
        <w:rPr>
          <w:rFonts w:ascii="Verdana" w:eastAsia="Verdana" w:hAnsi="Verdana" w:cs="Verdana"/>
          <w:bCs/>
          <w:sz w:val="20"/>
          <w:lang w:val="es-MX"/>
        </w:rPr>
        <w:t>El artículo 365 constitucional dispone que “</w:t>
      </w:r>
      <w:r w:rsidRPr="004810F0">
        <w:rPr>
          <w:rFonts w:ascii="Verdana" w:eastAsia="Verdana" w:hAnsi="Verdana" w:cs="Verdana"/>
          <w:bCs/>
          <w:sz w:val="20"/>
        </w:rPr>
        <w:t>Los servicios públicos son inherentes a la finalidad social del Estado. Es deber del Estado asegurar su prestación eficiente a todos los habitantes del territorio nacional”</w:t>
      </w:r>
      <w:r w:rsidRPr="004810F0">
        <w:rPr>
          <w:rFonts w:ascii="Verdana" w:eastAsia="Verdana" w:hAnsi="Verdana" w:cs="Verdana"/>
          <w:bCs/>
          <w:sz w:val="20"/>
          <w:lang w:val="es-MX"/>
        </w:rPr>
        <w:t>.</w:t>
      </w:r>
      <w:r w:rsidRPr="004810F0">
        <w:rPr>
          <w:rFonts w:ascii="Verdana" w:eastAsia="Verdana" w:hAnsi="Verdana" w:cs="Verdana"/>
          <w:bCs/>
          <w:iCs/>
          <w:sz w:val="20"/>
          <w:lang w:val="es-ES"/>
        </w:rPr>
        <w:t xml:space="preserve"> En desarrollo de dicho precepto constitucional, la Ley 142 de 1994 “</w:t>
      </w:r>
      <w:r w:rsidRPr="004810F0">
        <w:rPr>
          <w:rFonts w:ascii="Verdana" w:eastAsia="Verdana" w:hAnsi="Verdana" w:cs="Verdana"/>
          <w:bCs/>
          <w:iCs/>
          <w:sz w:val="20"/>
        </w:rPr>
        <w:t xml:space="preserve">por la cual se establece el régimen de los servicios públicos domiciliarios y se dictan otras disposiciones”, dispone en su artículo 1 que dicho cuerpo normativo se aplica a los servicios públicos domiciliarios de acueducto, alcantarillado, aseo, energía eléctrica, distribución de gas combustible, telefonía pública básica conmutada y la telefonía local móvil en el sector rural. En dicha normatividad no se contempló el servicio de alumbrado público, por lo que no tiene la connotación de servicio público domiciliario. </w:t>
      </w:r>
    </w:p>
    <w:p w14:paraId="433DC69E" w14:textId="44D70A05" w:rsidR="004810F0" w:rsidRPr="004810F0" w:rsidRDefault="004810F0" w:rsidP="005D3772">
      <w:pPr>
        <w:spacing w:after="0" w:line="240" w:lineRule="auto"/>
        <w:jc w:val="both"/>
        <w:rPr>
          <w:rFonts w:ascii="Verdana" w:eastAsia="Verdana" w:hAnsi="Verdana" w:cs="Verdana"/>
          <w:b/>
          <w:bCs/>
        </w:rPr>
      </w:pPr>
      <w:r w:rsidRPr="004810F0">
        <w:rPr>
          <w:rFonts w:ascii="Verdana" w:eastAsia="Verdana" w:hAnsi="Verdana" w:cs="Verdana"/>
          <w:b/>
          <w:bCs/>
          <w:iCs/>
        </w:rPr>
        <w:tab/>
        <w:t xml:space="preserve"> </w:t>
      </w:r>
    </w:p>
    <w:p w14:paraId="63B8CEA9" w14:textId="77777777" w:rsidR="004810F0" w:rsidRDefault="004810F0" w:rsidP="005D3772">
      <w:pPr>
        <w:spacing w:after="0" w:line="240" w:lineRule="auto"/>
        <w:jc w:val="both"/>
        <w:rPr>
          <w:rFonts w:ascii="Verdana" w:eastAsia="Verdana" w:hAnsi="Verdana" w:cs="Verdana"/>
          <w:b/>
          <w:bCs/>
          <w:lang w:val="es-ES"/>
        </w:rPr>
      </w:pPr>
      <w:r w:rsidRPr="004810F0">
        <w:rPr>
          <w:rFonts w:ascii="Verdana" w:eastAsia="Verdana" w:hAnsi="Verdana" w:cs="Verdana"/>
          <w:b/>
          <w:bCs/>
          <w:lang w:val="es-ES"/>
        </w:rPr>
        <w:t>SERVICIOS PÚBLICOS – No do</w:t>
      </w:r>
      <w:r>
        <w:rPr>
          <w:rFonts w:ascii="Verdana" w:eastAsia="Verdana" w:hAnsi="Verdana" w:cs="Verdana"/>
          <w:b/>
          <w:bCs/>
          <w:lang w:val="es-ES"/>
        </w:rPr>
        <w:t>miciliario – Alumbrado Público</w:t>
      </w:r>
    </w:p>
    <w:p w14:paraId="2F31597D" w14:textId="5B1BF112" w:rsidR="004810F0" w:rsidRDefault="004810F0" w:rsidP="005D3772">
      <w:pPr>
        <w:spacing w:after="0" w:line="240" w:lineRule="auto"/>
        <w:jc w:val="both"/>
        <w:rPr>
          <w:rFonts w:ascii="Verdana" w:eastAsia="Verdana" w:hAnsi="Verdana" w:cs="Verdana"/>
          <w:b/>
          <w:bCs/>
          <w:lang w:val="es-ES"/>
        </w:rPr>
      </w:pPr>
    </w:p>
    <w:p w14:paraId="16A6B332" w14:textId="77777777" w:rsidR="004810F0" w:rsidRPr="004810F0" w:rsidRDefault="004810F0" w:rsidP="005D3772">
      <w:pPr>
        <w:spacing w:after="0" w:line="240" w:lineRule="auto"/>
        <w:jc w:val="both"/>
        <w:rPr>
          <w:rFonts w:ascii="Verdana" w:eastAsia="Verdana" w:hAnsi="Verdana" w:cs="Verdana"/>
          <w:bCs/>
          <w:iCs/>
          <w:sz w:val="20"/>
        </w:rPr>
      </w:pPr>
      <w:r w:rsidRPr="004810F0">
        <w:rPr>
          <w:rFonts w:ascii="Verdana" w:eastAsia="Verdana" w:hAnsi="Verdana" w:cs="Verdana"/>
          <w:bCs/>
          <w:iCs/>
          <w:sz w:val="20"/>
        </w:rPr>
        <w:lastRenderedPageBreak/>
        <w:t>Dicho servicio público está definido por el artículo 2.2.3.1.2 del Decreto Único Reglamentario 1073 de 2015, de la siguiente manera: “[…] Servicio público no domiciliario de iluminación, inherente al servicio de energía eléctrica, que se presta con el fin de dar visibilidad al espacio público, bienes de uso público y demás espacios de libre circulación, con tránsito vehicular o peatonal, dentro del perímetro urbano y rural de un municipio o distrito, para el normal desarrollo de las actividades […]. Por otro lado, respecto a la responsabilidad de su prestación, el artículo 2.2.3.6.1.2. del Decreto 1073 de 2015, estableció: “[…]</w:t>
      </w:r>
      <w:r w:rsidRPr="004810F0">
        <w:rPr>
          <w:rFonts w:ascii="Verdana" w:eastAsia="Verdana" w:hAnsi="Verdana" w:cs="Verdana"/>
          <w:bCs/>
          <w:i/>
          <w:iCs/>
          <w:sz w:val="20"/>
        </w:rPr>
        <w:t xml:space="preserve"> </w:t>
      </w:r>
      <w:r w:rsidRPr="004810F0">
        <w:rPr>
          <w:rFonts w:ascii="Verdana" w:eastAsia="Verdana" w:hAnsi="Verdana" w:cs="Verdana"/>
          <w:bCs/>
          <w:iCs/>
          <w:sz w:val="20"/>
        </w:rPr>
        <w:t xml:space="preserve">Los municipios o distritos son los responsables de la prestación del servicio de alumbrado público, el cual podrán prestar de manera directa, o a través de empresas de servicios públicos domiciliarios u otros prestadores del servicio de alumbrado público que demuestren idoneidad en la prestación del mismo, con el fin de lograr un gasto financiero y energético responsable […]”. </w:t>
      </w:r>
    </w:p>
    <w:p w14:paraId="59FC3480" w14:textId="3849377B" w:rsidR="004810F0" w:rsidRPr="004810F0" w:rsidRDefault="004810F0" w:rsidP="005D3772">
      <w:pPr>
        <w:spacing w:after="0" w:line="240" w:lineRule="auto"/>
        <w:jc w:val="both"/>
        <w:rPr>
          <w:rFonts w:ascii="Verdana" w:eastAsia="Verdana" w:hAnsi="Verdana" w:cs="Verdana"/>
          <w:b/>
          <w:bCs/>
        </w:rPr>
      </w:pPr>
    </w:p>
    <w:p w14:paraId="3914D053" w14:textId="77777777" w:rsidR="004810F0" w:rsidRDefault="004810F0" w:rsidP="005D3772">
      <w:pPr>
        <w:spacing w:after="0" w:line="240" w:lineRule="auto"/>
        <w:jc w:val="both"/>
        <w:rPr>
          <w:rFonts w:ascii="Verdana" w:eastAsia="Verdana" w:hAnsi="Verdana" w:cs="Verdana"/>
          <w:b/>
          <w:bCs/>
          <w:lang w:val="es-ES"/>
        </w:rPr>
      </w:pPr>
      <w:r w:rsidRPr="004810F0">
        <w:rPr>
          <w:rFonts w:ascii="Verdana" w:eastAsia="Verdana" w:hAnsi="Verdana" w:cs="Verdana"/>
          <w:b/>
          <w:bCs/>
          <w:lang w:val="es-ES"/>
        </w:rPr>
        <w:t>ALUMBRADO PÚBLICO – Impuesto – Alumbrado Público – Recaudo – Distritos – Municipios</w:t>
      </w:r>
      <w:r>
        <w:rPr>
          <w:rFonts w:ascii="Verdana" w:eastAsia="Verdana" w:hAnsi="Verdana" w:cs="Verdana"/>
          <w:b/>
          <w:bCs/>
          <w:lang w:val="es-ES"/>
        </w:rPr>
        <w:t xml:space="preserve"> – Comercializadora de Energía</w:t>
      </w:r>
    </w:p>
    <w:p w14:paraId="001D888C" w14:textId="77777777" w:rsidR="009D4B90" w:rsidRPr="009D4B90" w:rsidRDefault="009D4B90" w:rsidP="005D3772">
      <w:pPr>
        <w:spacing w:after="0" w:line="240" w:lineRule="auto"/>
        <w:jc w:val="both"/>
        <w:rPr>
          <w:rFonts w:ascii="Verdana" w:eastAsia="Verdana" w:hAnsi="Verdana" w:cs="Verdana"/>
          <w:b/>
          <w:bCs/>
          <w:iCs/>
        </w:rPr>
      </w:pPr>
    </w:p>
    <w:p w14:paraId="080C01CF" w14:textId="77777777" w:rsidR="009D4B90" w:rsidRPr="009D4B90" w:rsidRDefault="009D4B90" w:rsidP="005D3772">
      <w:pPr>
        <w:spacing w:after="0" w:line="240" w:lineRule="auto"/>
        <w:jc w:val="both"/>
        <w:rPr>
          <w:rFonts w:ascii="Verdana" w:eastAsia="Verdana" w:hAnsi="Verdana" w:cs="Verdana"/>
          <w:bCs/>
          <w:iCs/>
          <w:sz w:val="20"/>
        </w:rPr>
      </w:pPr>
      <w:r w:rsidRPr="009D4B90">
        <w:rPr>
          <w:rFonts w:ascii="Verdana" w:eastAsia="Verdana" w:hAnsi="Verdana" w:cs="Verdana"/>
          <w:bCs/>
          <w:iCs/>
          <w:sz w:val="20"/>
        </w:rPr>
        <w:t xml:space="preserve">Del contenido del artículo en mención se infiere que la competencia para el recaudo del impuesto de alumbrado público radica de manera directa en los municipios y distritos, en su condición de titulares de la potestad tributaria territorial. No obstante, la norma prevé un mecanismo operativo de recaudo indirecto, en virtud del cual las entidades territoriales pueden autorizar a las empresas comercializadoras de energía eléctrica para que actúen como agentes recaudadores del tributo. En este sentido, cada municipio es autónomo para determinar si hacen uso de la facultad señalada en el citado artículo 352; o si opta por realizar el recaudo del impuesto de manera directa. </w:t>
      </w:r>
    </w:p>
    <w:p w14:paraId="20171905" w14:textId="77777777" w:rsidR="009D4B90" w:rsidRPr="009D4B90" w:rsidRDefault="009D4B90" w:rsidP="005D3772">
      <w:pPr>
        <w:spacing w:after="0" w:line="240" w:lineRule="auto"/>
        <w:jc w:val="both"/>
        <w:rPr>
          <w:rFonts w:ascii="Verdana" w:eastAsia="Verdana" w:hAnsi="Verdana" w:cs="Verdana"/>
          <w:bCs/>
          <w:iCs/>
          <w:sz w:val="20"/>
        </w:rPr>
      </w:pPr>
    </w:p>
    <w:p w14:paraId="4FAE165A" w14:textId="109CD431" w:rsidR="009D4B90" w:rsidRDefault="009D4B90" w:rsidP="005D3772">
      <w:pPr>
        <w:spacing w:after="0" w:line="240" w:lineRule="auto"/>
        <w:jc w:val="both"/>
        <w:rPr>
          <w:rFonts w:ascii="Verdana" w:eastAsia="Verdana" w:hAnsi="Verdana" w:cs="Verdana"/>
          <w:bCs/>
          <w:iCs/>
          <w:sz w:val="20"/>
        </w:rPr>
      </w:pPr>
      <w:r w:rsidRPr="009D4B90">
        <w:rPr>
          <w:rFonts w:ascii="Verdana" w:eastAsia="Verdana" w:hAnsi="Verdana" w:cs="Verdana"/>
          <w:bCs/>
          <w:iCs/>
          <w:sz w:val="20"/>
        </w:rPr>
        <w:t>Al respecto, mediante Concepto de la Superintendencia de Servicios Públicos Domiciliarios SSPD-OJ-2023-286, en donde se reitera la posición del concepto unificado SSPD-OJ-2022-040, se señala lo siguiente: “Ahora bien, es potestad de cada municipio determinar si hacen uso de la facultad prevista anteriormente, o si por el contrario deciden realizar el recaudo del impuesto de manera directa. En particular, en el respectivo acuerdo municipal que adopte el impuesto de alumbrado público, deberá consagrarse la manera en que se recauda dicho tributo, en los términos del artículo 349 de la Ley 1819 de 2016”.</w:t>
      </w:r>
    </w:p>
    <w:p w14:paraId="6B852826" w14:textId="77777777" w:rsidR="009D4B90" w:rsidRPr="009D4B90" w:rsidRDefault="009D4B90" w:rsidP="005D3772">
      <w:pPr>
        <w:spacing w:after="0" w:line="240" w:lineRule="auto"/>
        <w:jc w:val="both"/>
        <w:rPr>
          <w:rFonts w:ascii="Verdana" w:eastAsia="Verdana" w:hAnsi="Verdana" w:cs="Verdana"/>
          <w:bCs/>
          <w:iCs/>
          <w:sz w:val="20"/>
        </w:rPr>
      </w:pPr>
    </w:p>
    <w:p w14:paraId="649C4CBB" w14:textId="77777777" w:rsidR="009D4B90" w:rsidRPr="009D4B90" w:rsidRDefault="009D4B90" w:rsidP="005D3772">
      <w:pPr>
        <w:spacing w:after="0" w:line="240" w:lineRule="auto"/>
        <w:jc w:val="both"/>
        <w:rPr>
          <w:rFonts w:ascii="Verdana" w:eastAsia="Verdana" w:hAnsi="Verdana" w:cs="Verdana"/>
          <w:bCs/>
          <w:iCs/>
          <w:sz w:val="20"/>
        </w:rPr>
      </w:pPr>
      <w:r w:rsidRPr="009D4B90">
        <w:rPr>
          <w:rFonts w:ascii="Verdana" w:eastAsia="Verdana" w:hAnsi="Verdana" w:cs="Verdana"/>
          <w:bCs/>
          <w:iCs/>
          <w:sz w:val="20"/>
        </w:rPr>
        <w:t>En relación con la facultad atribuida a los municipios y distritos para regular el impuesto de alumbrado público, así como con el papel asignado a las empresas comercializadoras de energía en las actividades de facturación y recaudo, la Corte Constitucional, al ejercer el control de constitucionalidad sobre las expresiones “o comercializador de energía” y “el servicio o actividad de facturación y recaudo del impuesto no tendrá ninguna contraprestación a quien lo preste”, contenidas en el artículo 352 de la Ley 1819 de 2016, analizó la compatibilidad de dichas disposiciones con los principios y normas superiores, precisando:</w:t>
      </w:r>
    </w:p>
    <w:p w14:paraId="5B388EE1" w14:textId="77777777" w:rsidR="009D4B90" w:rsidRPr="009D4B90" w:rsidRDefault="009D4B90" w:rsidP="005D3772">
      <w:pPr>
        <w:spacing w:after="0" w:line="240" w:lineRule="auto"/>
        <w:jc w:val="both"/>
        <w:rPr>
          <w:rFonts w:ascii="Verdana" w:eastAsia="Verdana" w:hAnsi="Verdana" w:cs="Verdana"/>
          <w:bCs/>
          <w:iCs/>
          <w:sz w:val="20"/>
        </w:rPr>
      </w:pPr>
    </w:p>
    <w:p w14:paraId="19398004" w14:textId="77777777" w:rsidR="009D4B90" w:rsidRPr="009D4B90" w:rsidRDefault="009D4B90" w:rsidP="005D3772">
      <w:pPr>
        <w:spacing w:after="0" w:line="240" w:lineRule="auto"/>
        <w:jc w:val="both"/>
        <w:rPr>
          <w:rFonts w:ascii="Verdana" w:eastAsia="Verdana" w:hAnsi="Verdana" w:cs="Verdana"/>
          <w:b/>
          <w:bCs/>
        </w:rPr>
      </w:pPr>
    </w:p>
    <w:p w14:paraId="3457D3AA" w14:textId="77777777" w:rsidR="004810F0" w:rsidRDefault="004810F0" w:rsidP="004810F0">
      <w:pPr>
        <w:spacing w:after="0" w:line="240" w:lineRule="auto"/>
        <w:jc w:val="both"/>
        <w:rPr>
          <w:rFonts w:ascii="Verdana" w:eastAsia="Verdana" w:hAnsi="Verdana" w:cs="Verdana"/>
          <w:b/>
          <w:bCs/>
          <w:lang w:val="es-ES"/>
        </w:rPr>
      </w:pPr>
      <w:r w:rsidRPr="004810F0">
        <w:rPr>
          <w:rFonts w:ascii="Verdana" w:eastAsia="Verdana" w:hAnsi="Verdana" w:cs="Verdana"/>
          <w:b/>
          <w:bCs/>
          <w:lang w:val="es-ES"/>
        </w:rPr>
        <w:lastRenderedPageBreak/>
        <w:t>CONVENIOS – Distritos – Municipios – Comercializadora de Energ</w:t>
      </w:r>
      <w:r>
        <w:rPr>
          <w:rFonts w:ascii="Verdana" w:eastAsia="Verdana" w:hAnsi="Verdana" w:cs="Verdana"/>
          <w:b/>
          <w:bCs/>
          <w:lang w:val="es-ES"/>
        </w:rPr>
        <w:t xml:space="preserve">ía – Naturaleza de las partes </w:t>
      </w:r>
    </w:p>
    <w:p w14:paraId="4DDB0B04" w14:textId="207D0948" w:rsidR="004810F0" w:rsidRDefault="004810F0" w:rsidP="004810F0">
      <w:pPr>
        <w:spacing w:after="0" w:line="240" w:lineRule="auto"/>
        <w:jc w:val="both"/>
        <w:rPr>
          <w:rFonts w:ascii="Verdana" w:eastAsia="Verdana" w:hAnsi="Verdana" w:cs="Verdana"/>
          <w:b/>
          <w:bCs/>
          <w:lang w:val="es-ES"/>
        </w:rPr>
      </w:pPr>
    </w:p>
    <w:p w14:paraId="7AEACF78" w14:textId="66A720E0" w:rsidR="009D4B90" w:rsidRPr="009D4B90" w:rsidRDefault="009D4B90" w:rsidP="009D4B90">
      <w:pPr>
        <w:spacing w:after="0" w:line="240" w:lineRule="auto"/>
        <w:jc w:val="both"/>
        <w:rPr>
          <w:rFonts w:ascii="Verdana" w:eastAsia="Verdana" w:hAnsi="Verdana" w:cs="Verdana"/>
          <w:bCs/>
          <w:iCs/>
          <w:sz w:val="20"/>
        </w:rPr>
      </w:pPr>
      <w:r>
        <w:rPr>
          <w:rFonts w:ascii="Verdana" w:eastAsia="Verdana" w:hAnsi="Verdana" w:cs="Verdana"/>
          <w:bCs/>
          <w:iCs/>
          <w:sz w:val="20"/>
        </w:rPr>
        <w:t xml:space="preserve">[…] </w:t>
      </w:r>
      <w:r w:rsidRPr="009D4B90">
        <w:rPr>
          <w:rFonts w:ascii="Verdana" w:eastAsia="Verdana" w:hAnsi="Verdana" w:cs="Verdana"/>
          <w:bCs/>
          <w:iCs/>
          <w:sz w:val="20"/>
        </w:rPr>
        <w:t xml:space="preserve">el contrato o convenio de facturación y recaudo es suscrito entre el municipio o distrito y la empresa prestadora del servicio público domiciliario de energía eléctrica, que tiene como propósito establecer las condiciones bajo las cuales la empresa incorpora en la factura el valor correspondiente al impuesto de alumbrado público. En virtud de dicho acuerdo, la comercializadora puede efectuar el recaudo del impuesto de forma conjunta con el cobro del servicio de energía eléctrica o, alternativamente, realizar una facturación separada cuando así lo solicite el usuario. A su vez, corresponde al municipio o distrito definir y aplicar los procedimientos administrativos y de control necesarios para prevenir la evasión fiscal. </w:t>
      </w:r>
    </w:p>
    <w:p w14:paraId="737B6B2F" w14:textId="77777777" w:rsidR="009D4B90" w:rsidRPr="009D4B90" w:rsidRDefault="009D4B90" w:rsidP="009D4B90">
      <w:pPr>
        <w:spacing w:after="0" w:line="240" w:lineRule="auto"/>
        <w:jc w:val="both"/>
        <w:rPr>
          <w:rFonts w:ascii="Verdana" w:eastAsia="Verdana" w:hAnsi="Verdana" w:cs="Verdana"/>
          <w:bCs/>
          <w:iCs/>
          <w:sz w:val="20"/>
        </w:rPr>
      </w:pPr>
    </w:p>
    <w:p w14:paraId="1D2636BE" w14:textId="77777777" w:rsidR="009D4B90" w:rsidRPr="009D4B90" w:rsidRDefault="009D4B90" w:rsidP="009D4B90">
      <w:pPr>
        <w:spacing w:after="0" w:line="240" w:lineRule="auto"/>
        <w:jc w:val="both"/>
        <w:rPr>
          <w:rFonts w:ascii="Verdana" w:eastAsia="Verdana" w:hAnsi="Verdana" w:cs="Verdana"/>
          <w:bCs/>
          <w:iCs/>
          <w:sz w:val="20"/>
        </w:rPr>
      </w:pPr>
      <w:r w:rsidRPr="009D4B90">
        <w:rPr>
          <w:rFonts w:ascii="Verdana" w:eastAsia="Verdana" w:hAnsi="Verdana" w:cs="Verdana"/>
          <w:bCs/>
          <w:iCs/>
          <w:sz w:val="20"/>
        </w:rPr>
        <w:t xml:space="preserve">De ahí pues, atendiendo a la naturaleza cooperativa de la relación que se configura entre el municipio o distrito y la empresa comercializadora de energía eléctrica, puede afirmarse que el instrumento jurídico adecuado es el convenio, en la medida en que no existe una contraprestación económica a favor de esta última por la labor de facturación y recaudo del impuesto de alumbrado público. </w:t>
      </w:r>
      <w:r w:rsidRPr="009D4B90">
        <w:rPr>
          <w:rFonts w:ascii="Verdana" w:eastAsia="Verdana" w:hAnsi="Verdana" w:cs="Verdana"/>
          <w:bCs/>
          <w:sz w:val="20"/>
        </w:rPr>
        <w:t>En este aspecto, la calidad de contrato o convenio depende del tipo de obligaciones que se adquieren por cada una de las partes de la relación contractual. Por ejemplo, los contratos interadministrativos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 persigue un interés propio de carácter económico. Por otro lado, los convenios no tienen una finalidad lucrativa, pues su objeto es desarrollar actividades que contribuyen directamente a un fin común, de tal forma que las entidades involucradas actúan con intereses convergentes y cooperan para cumplir funciones administrativas o prestar servicios alineados con el interés general, sin que exista una contraprestación propiamente dicha.</w:t>
      </w:r>
    </w:p>
    <w:p w14:paraId="77D9C57A" w14:textId="77777777" w:rsidR="009D4B90" w:rsidRPr="009D4B90" w:rsidRDefault="009D4B90" w:rsidP="004810F0">
      <w:pPr>
        <w:spacing w:after="0" w:line="240" w:lineRule="auto"/>
        <w:jc w:val="both"/>
        <w:rPr>
          <w:rFonts w:ascii="Verdana" w:eastAsia="Verdana" w:hAnsi="Verdana" w:cs="Verdana"/>
          <w:b/>
          <w:bCs/>
        </w:rPr>
      </w:pPr>
    </w:p>
    <w:p w14:paraId="7A236F02" w14:textId="77777777" w:rsidR="009D4B90" w:rsidRDefault="004810F0" w:rsidP="004810F0">
      <w:pPr>
        <w:spacing w:after="0" w:line="240" w:lineRule="auto"/>
        <w:jc w:val="both"/>
        <w:rPr>
          <w:rFonts w:ascii="Verdana" w:eastAsia="Verdana" w:hAnsi="Verdana" w:cs="Verdana"/>
          <w:b/>
          <w:bCs/>
          <w:lang w:val="es-ES_tradnl"/>
        </w:rPr>
      </w:pPr>
      <w:r w:rsidRPr="004810F0">
        <w:rPr>
          <w:rFonts w:ascii="Verdana" w:eastAsia="Verdana" w:hAnsi="Verdana" w:cs="Verdana"/>
          <w:b/>
          <w:bCs/>
          <w:lang w:val="es-ES_tradnl"/>
        </w:rPr>
        <w:t>SUPERVISIÓN – C</w:t>
      </w:r>
      <w:r w:rsidR="009D4B90">
        <w:rPr>
          <w:rFonts w:ascii="Verdana" w:eastAsia="Verdana" w:hAnsi="Verdana" w:cs="Verdana"/>
          <w:b/>
          <w:bCs/>
          <w:lang w:val="es-ES_tradnl"/>
        </w:rPr>
        <w:t xml:space="preserve">onvenios Interadministrativos </w:t>
      </w:r>
    </w:p>
    <w:p w14:paraId="79D62AFD" w14:textId="5D3D6FC8" w:rsidR="009D4B90" w:rsidRPr="009D4B90" w:rsidRDefault="009D4B90" w:rsidP="009D4B90">
      <w:pPr>
        <w:spacing w:after="0" w:line="240" w:lineRule="auto"/>
        <w:jc w:val="both"/>
        <w:rPr>
          <w:rFonts w:ascii="Verdana" w:eastAsia="Verdana" w:hAnsi="Verdana" w:cs="Verdana"/>
          <w:bCs/>
          <w:sz w:val="20"/>
          <w:lang w:val="es-ES_tradnl"/>
        </w:rPr>
      </w:pPr>
    </w:p>
    <w:p w14:paraId="060EC58D" w14:textId="55036B44" w:rsidR="009D4B90" w:rsidRDefault="009D4B90" w:rsidP="009D4B90">
      <w:pPr>
        <w:spacing w:after="0" w:line="240" w:lineRule="auto"/>
        <w:jc w:val="both"/>
        <w:rPr>
          <w:rFonts w:ascii="Verdana" w:eastAsia="Verdana" w:hAnsi="Verdana" w:cs="Verdana"/>
          <w:bCs/>
          <w:sz w:val="20"/>
        </w:rPr>
      </w:pPr>
      <w:r w:rsidRPr="009D4B90">
        <w:rPr>
          <w:rFonts w:ascii="Verdana" w:eastAsia="Verdana" w:hAnsi="Verdana" w:cs="Verdana"/>
          <w:bCs/>
          <w:sz w:val="20"/>
        </w:rPr>
        <w:t xml:space="preserve">En lo que respecta a los mecanismos de control y seguimiento —en particular, la supervisión de los convenios interadministrativos— resulta relevante reiterar que estos se caracterizan, en principio, por tener como fuente la autonomía contractual. En particular, los convenios interadministrativos tienen un grado de excepcionalidad frente a las demás tipologías contractuales y se caracterizan por la autorregulación de sus propias estipulaciones, sin que pueda predicarse la aplicación automática de la generalidad de las normas del EGCAP, incluyendo aquellas referidas en el artículo 83 y siguientes de la Ley 1474 de 2011 en materia de supervisión contractual, pues dicho régimen será de aplicación supletoria. </w:t>
      </w:r>
    </w:p>
    <w:p w14:paraId="7F36F381" w14:textId="77777777" w:rsidR="009D4B90" w:rsidRPr="009D4B90" w:rsidRDefault="009D4B90" w:rsidP="009D4B90">
      <w:pPr>
        <w:spacing w:after="0" w:line="240" w:lineRule="auto"/>
        <w:jc w:val="both"/>
        <w:rPr>
          <w:rFonts w:ascii="Verdana" w:eastAsia="Verdana" w:hAnsi="Verdana" w:cs="Verdana"/>
          <w:bCs/>
          <w:sz w:val="20"/>
        </w:rPr>
      </w:pPr>
    </w:p>
    <w:p w14:paraId="7FBD6B9D" w14:textId="08769FFE" w:rsidR="009D4B90" w:rsidRPr="009D4B90" w:rsidRDefault="009D4B90" w:rsidP="005D3772">
      <w:pPr>
        <w:spacing w:after="0" w:line="240" w:lineRule="auto"/>
        <w:jc w:val="both"/>
        <w:rPr>
          <w:rFonts w:ascii="Verdana" w:eastAsia="Verdana" w:hAnsi="Verdana" w:cs="Verdana"/>
          <w:bCs/>
          <w:sz w:val="20"/>
          <w:lang w:val="es-ES_tradnl"/>
        </w:rPr>
      </w:pPr>
      <w:r w:rsidRPr="009D4B90">
        <w:rPr>
          <w:rFonts w:ascii="Verdana" w:eastAsia="Verdana" w:hAnsi="Verdana" w:cs="Verdana"/>
          <w:bCs/>
          <w:sz w:val="20"/>
        </w:rPr>
        <w:t xml:space="preserve">En virtud de lo anterior, las partes del convenio interadministrativo deberán establecer las condiciones y medidas que emplearán para verificar el cumplimiento de las actividades pactadas y para realizar una supervisión adecuada durante su ejecución. De </w:t>
      </w:r>
      <w:r w:rsidRPr="009D4B90">
        <w:rPr>
          <w:rFonts w:ascii="Verdana" w:eastAsia="Verdana" w:hAnsi="Verdana" w:cs="Verdana"/>
          <w:bCs/>
          <w:sz w:val="20"/>
        </w:rPr>
        <w:lastRenderedPageBreak/>
        <w:t>cualquier modo, estas estipulaciones deben cumplir con el principio de responsabilidad que rige la contratación estatal, según el cual las entidades públicas están obligadas a vigilar la correcta ejecución del objeto contratado y a proteger tanto los derechos de la propia entidad como los del contratista, ejecutor y terceros que puedan verse afectados por la ejecución del contrato. Para lo anterior, las partes del convenio podrán adoptar mecanismos de supervisión que sean acordes con el modelo dispuesto para la contratación regida por el EGCAP.</w:t>
      </w:r>
    </w:p>
    <w:p w14:paraId="18F64006" w14:textId="5F5FA986" w:rsidR="009D4B90" w:rsidRPr="009D4B90" w:rsidRDefault="009D4B90" w:rsidP="005D3772">
      <w:pPr>
        <w:spacing w:after="0" w:line="240" w:lineRule="auto"/>
        <w:jc w:val="both"/>
        <w:rPr>
          <w:rFonts w:ascii="Verdana" w:eastAsia="Verdana" w:hAnsi="Verdana" w:cs="Verdana"/>
          <w:b/>
          <w:bCs/>
          <w:lang w:val="es-ES_tradnl"/>
        </w:rPr>
      </w:pPr>
    </w:p>
    <w:p w14:paraId="48DD11BC" w14:textId="47329049" w:rsidR="004810F0" w:rsidRDefault="004810F0" w:rsidP="005D3772">
      <w:pPr>
        <w:spacing w:after="0" w:line="240" w:lineRule="auto"/>
        <w:jc w:val="both"/>
        <w:rPr>
          <w:rFonts w:ascii="Verdana" w:eastAsia="Verdana" w:hAnsi="Verdana" w:cs="Verdana"/>
          <w:b/>
          <w:bCs/>
          <w:lang w:val="es-ES_tradnl"/>
        </w:rPr>
      </w:pPr>
      <w:r w:rsidRPr="004810F0">
        <w:rPr>
          <w:rFonts w:ascii="Verdana" w:eastAsia="Verdana" w:hAnsi="Verdana" w:cs="Verdana"/>
          <w:b/>
          <w:bCs/>
          <w:lang w:val="es-ES_tradnl"/>
        </w:rPr>
        <w:t xml:space="preserve">LEY 1474 DE 2011 – Supervisión contractual </w:t>
      </w:r>
    </w:p>
    <w:p w14:paraId="6FF62CE6" w14:textId="30C1C4F0" w:rsidR="004810F0" w:rsidRPr="009D4B90" w:rsidRDefault="004810F0" w:rsidP="005D3772">
      <w:pPr>
        <w:spacing w:after="0" w:line="240" w:lineRule="auto"/>
        <w:jc w:val="both"/>
        <w:rPr>
          <w:rFonts w:ascii="Verdana" w:eastAsia="Verdana" w:hAnsi="Verdana" w:cs="Verdana"/>
          <w:bCs/>
          <w:sz w:val="20"/>
          <w:lang w:val="es-ES_tradnl"/>
        </w:rPr>
      </w:pPr>
    </w:p>
    <w:p w14:paraId="21E0FBCB" w14:textId="77777777" w:rsidR="009D4B90" w:rsidRPr="009D4B90" w:rsidRDefault="009D4B90" w:rsidP="005D3772">
      <w:pPr>
        <w:spacing w:after="0" w:line="240" w:lineRule="auto"/>
        <w:jc w:val="both"/>
        <w:rPr>
          <w:rFonts w:ascii="Verdana" w:eastAsia="Verdana" w:hAnsi="Verdana" w:cs="Verdana"/>
          <w:bCs/>
          <w:sz w:val="20"/>
          <w:lang w:val="es-ES_tradnl"/>
        </w:rPr>
      </w:pPr>
      <w:r w:rsidRPr="009D4B90">
        <w:rPr>
          <w:rFonts w:ascii="Verdana" w:eastAsia="Verdana" w:hAnsi="Verdana" w:cs="Verdana"/>
          <w:bCs/>
          <w:sz w:val="20"/>
        </w:rPr>
        <w:t>Con sustento en lo anterior, es importante precisar que, la normativa colombiana, particularmente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r w:rsidRPr="009D4B90">
        <w:rPr>
          <w:rFonts w:ascii="Verdana" w:eastAsia="Verdana" w:hAnsi="Verdana" w:cs="Verdana"/>
          <w:bCs/>
          <w:sz w:val="20"/>
          <w:lang w:val="es-ES_tradnl"/>
        </w:rPr>
        <w:t xml:space="preserve"> En ese sentido, la entidad contratante a través del ordenador del gasto es quien ejerce la supervisión o designa un supervisor; además,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p>
    <w:p w14:paraId="3AA95D3F" w14:textId="77777777" w:rsidR="009D4B90" w:rsidRPr="009D4B90" w:rsidRDefault="009D4B90" w:rsidP="005D3772">
      <w:pPr>
        <w:spacing w:after="0" w:line="240" w:lineRule="auto"/>
        <w:jc w:val="both"/>
        <w:rPr>
          <w:rFonts w:ascii="Verdana" w:eastAsia="Verdana" w:hAnsi="Verdana" w:cs="Verdana"/>
          <w:b/>
          <w:bCs/>
        </w:rPr>
      </w:pPr>
    </w:p>
    <w:p w14:paraId="21BADC8A" w14:textId="77777777" w:rsidR="004810F0" w:rsidRDefault="004810F0" w:rsidP="005D3772">
      <w:pPr>
        <w:spacing w:after="0" w:line="240" w:lineRule="auto"/>
        <w:jc w:val="both"/>
        <w:rPr>
          <w:rFonts w:ascii="Verdana" w:eastAsia="Verdana" w:hAnsi="Verdana" w:cs="Verdana"/>
          <w:b/>
          <w:bCs/>
          <w:lang w:val="es-ES"/>
        </w:rPr>
      </w:pPr>
      <w:r w:rsidRPr="004810F0">
        <w:rPr>
          <w:rFonts w:ascii="Verdana" w:eastAsia="Verdana" w:hAnsi="Verdana" w:cs="Verdana"/>
          <w:b/>
          <w:bCs/>
          <w:lang w:val="es-ES"/>
        </w:rPr>
        <w:t>PRINCIPIO DE PUBLICID</w:t>
      </w:r>
      <w:r>
        <w:rPr>
          <w:rFonts w:ascii="Verdana" w:eastAsia="Verdana" w:hAnsi="Verdana" w:cs="Verdana"/>
          <w:b/>
          <w:bCs/>
          <w:lang w:val="es-ES"/>
        </w:rPr>
        <w:t xml:space="preserve">AD – Sujetos Obligados </w:t>
      </w:r>
    </w:p>
    <w:p w14:paraId="2E191637" w14:textId="7BCAA209" w:rsidR="004810F0" w:rsidRDefault="004810F0" w:rsidP="005D3772">
      <w:pPr>
        <w:spacing w:after="0" w:line="240" w:lineRule="auto"/>
        <w:jc w:val="both"/>
        <w:rPr>
          <w:rFonts w:ascii="Verdana" w:eastAsia="Verdana" w:hAnsi="Verdana" w:cs="Verdana"/>
          <w:b/>
          <w:bCs/>
          <w:lang w:val="es-ES"/>
        </w:rPr>
      </w:pPr>
    </w:p>
    <w:p w14:paraId="094E2C95" w14:textId="78C07CC8" w:rsidR="009D4B90" w:rsidRPr="009D4B90" w:rsidRDefault="009D4B90" w:rsidP="005D3772">
      <w:pPr>
        <w:spacing w:after="0" w:line="240" w:lineRule="auto"/>
        <w:jc w:val="both"/>
        <w:rPr>
          <w:rFonts w:ascii="Verdana" w:eastAsia="Verdana" w:hAnsi="Verdana" w:cs="Verdana"/>
          <w:bCs/>
          <w:sz w:val="20"/>
          <w:lang w:val="es-ES_tradnl"/>
        </w:rPr>
      </w:pPr>
      <w:r w:rsidRPr="009D4B90">
        <w:rPr>
          <w:rFonts w:ascii="Verdana" w:eastAsia="Verdana" w:hAnsi="Verdana" w:cs="Verdana"/>
          <w:bCs/>
          <w:sz w:val="20"/>
          <w:lang w:val="es-ES_tradnl"/>
        </w:rPr>
        <w:t xml:space="preserve">A partir de la lista de quienes son los sujetos obligados a publicar la información, puede inferirse que las entidades territoriales tienen la obligación de publicar la información relativa a su contratación, así como las entidades descentralizadas por servicios. Esta obligación del deber de publicar fue desarrollada por el Decreto Único Reglamentario 1081 de 2015, el cual dispuso que la publicación de la información contractual de los sujetos obligados, que contratan con cargo a recursos públicos, debe hacerse en el SECOP. 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27B73A5E" w14:textId="77777777" w:rsidR="009D4B90" w:rsidRPr="009D4B90" w:rsidRDefault="009D4B90" w:rsidP="005D3772">
      <w:pPr>
        <w:spacing w:after="0" w:line="240" w:lineRule="auto"/>
        <w:jc w:val="both"/>
        <w:rPr>
          <w:rFonts w:ascii="Verdana" w:eastAsia="Verdana" w:hAnsi="Verdana" w:cs="Verdana"/>
          <w:b/>
          <w:bCs/>
          <w:lang w:val="es-ES_tradnl"/>
        </w:rPr>
      </w:pPr>
    </w:p>
    <w:p w14:paraId="7D8E0BD4" w14:textId="2583030F" w:rsidR="004810F0" w:rsidRPr="004810F0" w:rsidRDefault="004810F0" w:rsidP="005D3772">
      <w:pPr>
        <w:spacing w:after="0" w:line="240" w:lineRule="auto"/>
        <w:jc w:val="both"/>
        <w:rPr>
          <w:rFonts w:ascii="Verdana" w:eastAsia="Verdana" w:hAnsi="Verdana" w:cs="Verdana"/>
          <w:b/>
          <w:bCs/>
          <w:lang w:val="es-ES"/>
        </w:rPr>
      </w:pPr>
      <w:r w:rsidRPr="004810F0">
        <w:rPr>
          <w:rFonts w:ascii="Verdana" w:eastAsia="Verdana" w:hAnsi="Verdana" w:cs="Verdana"/>
          <w:b/>
          <w:bCs/>
          <w:lang w:val="es-ES"/>
        </w:rPr>
        <w:t>PRINCIPIO DE PUBLICIDAD – Documentos del Proceso</w:t>
      </w:r>
    </w:p>
    <w:p w14:paraId="139519A3" w14:textId="77777777" w:rsidR="004810F0" w:rsidRPr="004810F0" w:rsidRDefault="004810F0" w:rsidP="005D3772">
      <w:pPr>
        <w:spacing w:after="0" w:line="240" w:lineRule="auto"/>
        <w:jc w:val="both"/>
        <w:rPr>
          <w:rFonts w:ascii="Verdana" w:eastAsia="Verdana" w:hAnsi="Verdana" w:cs="Verdana"/>
          <w:b/>
          <w:bCs/>
          <w:lang w:val="es-ES"/>
        </w:rPr>
      </w:pPr>
    </w:p>
    <w:p w14:paraId="576EABF8" w14:textId="7C8AA2A6" w:rsidR="009D4B90" w:rsidRDefault="009D4B90" w:rsidP="005D3772">
      <w:pPr>
        <w:spacing w:after="0" w:line="240" w:lineRule="auto"/>
        <w:jc w:val="both"/>
        <w:rPr>
          <w:rFonts w:ascii="Verdana" w:eastAsia="Verdana" w:hAnsi="Verdana" w:cs="Verdana"/>
          <w:sz w:val="20"/>
          <w:lang w:val="es-ES"/>
        </w:rPr>
      </w:pPr>
      <w:r w:rsidRPr="009D4B90">
        <w:rPr>
          <w:rFonts w:ascii="Verdana" w:eastAsia="Verdana" w:hAnsi="Verdana" w:cs="Verdana"/>
          <w:sz w:val="20"/>
          <w:lang w:val="es-ES"/>
        </w:rPr>
        <w:t xml:space="preserve">pese a que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w:t>
      </w:r>
      <w:r w:rsidRPr="009D4B90">
        <w:rPr>
          <w:rFonts w:ascii="Verdana" w:eastAsia="Verdana" w:hAnsi="Verdana" w:cs="Verdana"/>
          <w:sz w:val="20"/>
          <w:lang w:val="es-ES"/>
        </w:rPr>
        <w:lastRenderedPageBreak/>
        <w:t xml:space="preserve">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6D8EB5A2" w14:textId="77777777" w:rsidR="009D4B90" w:rsidRPr="009D4B90" w:rsidRDefault="009D4B90" w:rsidP="005D3772">
      <w:pPr>
        <w:spacing w:after="0" w:line="240" w:lineRule="auto"/>
        <w:jc w:val="both"/>
        <w:rPr>
          <w:rFonts w:ascii="Verdana" w:eastAsia="Verdana" w:hAnsi="Verdana" w:cs="Verdana"/>
          <w:sz w:val="20"/>
          <w:lang w:val="es-ES"/>
        </w:rPr>
      </w:pPr>
    </w:p>
    <w:p w14:paraId="4BC83B36" w14:textId="77777777" w:rsidR="009D4B90" w:rsidRPr="009D4B90" w:rsidRDefault="009D4B90" w:rsidP="005D3772">
      <w:pPr>
        <w:spacing w:after="0" w:line="240" w:lineRule="auto"/>
        <w:jc w:val="both"/>
        <w:rPr>
          <w:rFonts w:ascii="Verdana" w:eastAsia="Verdana" w:hAnsi="Verdana" w:cs="Verdana"/>
          <w:sz w:val="20"/>
        </w:rPr>
      </w:pPr>
      <w:r w:rsidRPr="009D4B90">
        <w:rPr>
          <w:rFonts w:ascii="Verdana" w:eastAsia="Verdana" w:hAnsi="Verdana" w:cs="Verdana"/>
          <w:sz w:val="20"/>
        </w:rPr>
        <w:t>Conforme a lo anterior, es clara la obligatoriedad de publicar la información de la actividad contractual que se realiza con cargo a recursos públicos en el SECOP, incluidas aquellas con regímenes contractuales especiales. En tal sentido, 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w:t>
      </w:r>
    </w:p>
    <w:p w14:paraId="63588671" w14:textId="543479C0" w:rsidR="004810F0" w:rsidRDefault="004810F0" w:rsidP="00C077A3">
      <w:pPr>
        <w:spacing w:after="0"/>
        <w:rPr>
          <w:rFonts w:ascii="Verdana" w:eastAsia="Verdana" w:hAnsi="Verdana" w:cs="Verdana"/>
        </w:rPr>
      </w:pPr>
    </w:p>
    <w:p w14:paraId="7C2FB03C" w14:textId="38022573" w:rsidR="009D4B90" w:rsidRDefault="009D4B90" w:rsidP="00C077A3">
      <w:pPr>
        <w:spacing w:after="0"/>
        <w:rPr>
          <w:rFonts w:ascii="Verdana" w:eastAsia="Verdana" w:hAnsi="Verdana" w:cs="Verdana"/>
        </w:rPr>
      </w:pPr>
    </w:p>
    <w:p w14:paraId="4563911B" w14:textId="4974312B" w:rsidR="009D4B90" w:rsidRDefault="009D4B90" w:rsidP="00C077A3">
      <w:pPr>
        <w:spacing w:after="0"/>
        <w:rPr>
          <w:rFonts w:ascii="Verdana" w:eastAsia="Verdana" w:hAnsi="Verdana" w:cs="Verdana"/>
        </w:rPr>
      </w:pPr>
    </w:p>
    <w:p w14:paraId="098F07CB" w14:textId="4CD5948F" w:rsidR="009D4B90" w:rsidRDefault="009D4B90" w:rsidP="00C077A3">
      <w:pPr>
        <w:spacing w:after="0"/>
        <w:rPr>
          <w:rFonts w:ascii="Verdana" w:eastAsia="Verdana" w:hAnsi="Verdana" w:cs="Verdana"/>
        </w:rPr>
      </w:pPr>
    </w:p>
    <w:p w14:paraId="38B120D8" w14:textId="22D330E2" w:rsidR="009D4B90" w:rsidRDefault="009D4B90" w:rsidP="00C077A3">
      <w:pPr>
        <w:spacing w:after="0"/>
        <w:rPr>
          <w:rFonts w:ascii="Verdana" w:eastAsia="Verdana" w:hAnsi="Verdana" w:cs="Verdana"/>
        </w:rPr>
      </w:pPr>
    </w:p>
    <w:p w14:paraId="1B0702A1" w14:textId="213C854C" w:rsidR="009D4B90" w:rsidRDefault="009D4B90" w:rsidP="00C077A3">
      <w:pPr>
        <w:spacing w:after="0"/>
        <w:rPr>
          <w:rFonts w:ascii="Verdana" w:eastAsia="Verdana" w:hAnsi="Verdana" w:cs="Verdana"/>
        </w:rPr>
      </w:pPr>
    </w:p>
    <w:p w14:paraId="29D267A3" w14:textId="0BF20063" w:rsidR="009D4B90" w:rsidRDefault="009D4B90" w:rsidP="00C077A3">
      <w:pPr>
        <w:spacing w:after="0"/>
        <w:rPr>
          <w:rFonts w:ascii="Verdana" w:eastAsia="Verdana" w:hAnsi="Verdana" w:cs="Verdana"/>
        </w:rPr>
      </w:pPr>
    </w:p>
    <w:p w14:paraId="5E05913B" w14:textId="7A814571" w:rsidR="009D4B90" w:rsidRDefault="009D4B90" w:rsidP="00C077A3">
      <w:pPr>
        <w:spacing w:after="0"/>
        <w:rPr>
          <w:rFonts w:ascii="Verdana" w:eastAsia="Verdana" w:hAnsi="Verdana" w:cs="Verdana"/>
        </w:rPr>
      </w:pPr>
    </w:p>
    <w:p w14:paraId="4C51F922" w14:textId="15A4DB72" w:rsidR="009D4B90" w:rsidRDefault="009D4B90" w:rsidP="00C077A3">
      <w:pPr>
        <w:spacing w:after="0"/>
        <w:rPr>
          <w:rFonts w:ascii="Verdana" w:eastAsia="Verdana" w:hAnsi="Verdana" w:cs="Verdana"/>
        </w:rPr>
      </w:pPr>
    </w:p>
    <w:p w14:paraId="70837077" w14:textId="65236A34" w:rsidR="009D4B90" w:rsidRDefault="009D4B90" w:rsidP="00C077A3">
      <w:pPr>
        <w:spacing w:after="0"/>
        <w:rPr>
          <w:rFonts w:ascii="Verdana" w:eastAsia="Verdana" w:hAnsi="Verdana" w:cs="Verdana"/>
        </w:rPr>
      </w:pPr>
    </w:p>
    <w:p w14:paraId="1AAE2768" w14:textId="0E591BC7" w:rsidR="009D4B90" w:rsidRDefault="009D4B90" w:rsidP="00C077A3">
      <w:pPr>
        <w:spacing w:after="0"/>
        <w:rPr>
          <w:rFonts w:ascii="Verdana" w:eastAsia="Verdana" w:hAnsi="Verdana" w:cs="Verdana"/>
        </w:rPr>
      </w:pPr>
    </w:p>
    <w:p w14:paraId="0B8B5A04" w14:textId="17B24D12" w:rsidR="009D4B90" w:rsidRDefault="009D4B90" w:rsidP="00C077A3">
      <w:pPr>
        <w:spacing w:after="0"/>
        <w:rPr>
          <w:rFonts w:ascii="Verdana" w:eastAsia="Verdana" w:hAnsi="Verdana" w:cs="Verdana"/>
        </w:rPr>
      </w:pPr>
    </w:p>
    <w:p w14:paraId="2E4359C5" w14:textId="2BB3C1D0" w:rsidR="009D4B90" w:rsidRDefault="009D4B90" w:rsidP="00C077A3">
      <w:pPr>
        <w:spacing w:after="0"/>
        <w:rPr>
          <w:rFonts w:ascii="Verdana" w:eastAsia="Verdana" w:hAnsi="Verdana" w:cs="Verdana"/>
        </w:rPr>
      </w:pPr>
    </w:p>
    <w:p w14:paraId="2A1F2387" w14:textId="6350F33E" w:rsidR="009D4B90" w:rsidRDefault="009D4B90" w:rsidP="00C077A3">
      <w:pPr>
        <w:spacing w:after="0"/>
        <w:rPr>
          <w:rFonts w:ascii="Verdana" w:eastAsia="Verdana" w:hAnsi="Verdana" w:cs="Verdana"/>
        </w:rPr>
      </w:pPr>
    </w:p>
    <w:p w14:paraId="33908F08" w14:textId="575C12F7" w:rsidR="009D4B90" w:rsidRDefault="009D4B90" w:rsidP="00C077A3">
      <w:pPr>
        <w:spacing w:after="0"/>
        <w:rPr>
          <w:rFonts w:ascii="Verdana" w:eastAsia="Verdana" w:hAnsi="Verdana" w:cs="Verdana"/>
        </w:rPr>
      </w:pPr>
    </w:p>
    <w:p w14:paraId="02506660" w14:textId="799D42F4" w:rsidR="009D4B90" w:rsidRDefault="009D4B90" w:rsidP="00C077A3">
      <w:pPr>
        <w:spacing w:after="0"/>
        <w:rPr>
          <w:rFonts w:ascii="Verdana" w:eastAsia="Verdana" w:hAnsi="Verdana" w:cs="Verdana"/>
        </w:rPr>
      </w:pPr>
    </w:p>
    <w:p w14:paraId="211E738B" w14:textId="1827ED2F" w:rsidR="009D4B90" w:rsidRDefault="009D4B90" w:rsidP="00C077A3">
      <w:pPr>
        <w:spacing w:after="0"/>
        <w:rPr>
          <w:rFonts w:ascii="Verdana" w:eastAsia="Verdana" w:hAnsi="Verdana" w:cs="Verdana"/>
        </w:rPr>
      </w:pPr>
    </w:p>
    <w:p w14:paraId="4EC2F226" w14:textId="05599FBF" w:rsidR="009D4B90" w:rsidRDefault="009D4B90" w:rsidP="00C077A3">
      <w:pPr>
        <w:spacing w:after="0"/>
        <w:rPr>
          <w:rFonts w:ascii="Verdana" w:eastAsia="Verdana" w:hAnsi="Verdana" w:cs="Verdana"/>
        </w:rPr>
      </w:pPr>
    </w:p>
    <w:p w14:paraId="5A521E07" w14:textId="01C6EFCB" w:rsidR="009D4B90" w:rsidRDefault="009D4B90" w:rsidP="00C077A3">
      <w:pPr>
        <w:spacing w:after="0"/>
        <w:rPr>
          <w:rFonts w:ascii="Verdana" w:eastAsia="Verdana" w:hAnsi="Verdana" w:cs="Verdana"/>
        </w:rPr>
      </w:pPr>
    </w:p>
    <w:p w14:paraId="47EA0029" w14:textId="705F2FE1" w:rsidR="009D4B90" w:rsidRDefault="009D4B90" w:rsidP="00C077A3">
      <w:pPr>
        <w:spacing w:after="0"/>
        <w:rPr>
          <w:rFonts w:ascii="Verdana" w:eastAsia="Verdana" w:hAnsi="Verdana" w:cs="Verdana"/>
        </w:rPr>
      </w:pPr>
    </w:p>
    <w:p w14:paraId="0EBCC074" w14:textId="4747DCEB" w:rsidR="009D4B90" w:rsidRDefault="009D4B90" w:rsidP="00C077A3">
      <w:pPr>
        <w:spacing w:after="0"/>
        <w:rPr>
          <w:rFonts w:ascii="Verdana" w:eastAsia="Verdana" w:hAnsi="Verdana" w:cs="Verdana"/>
        </w:rPr>
      </w:pPr>
    </w:p>
    <w:p w14:paraId="371D248F" w14:textId="2341C558" w:rsidR="009D4B90" w:rsidRDefault="009D4B90" w:rsidP="00C077A3">
      <w:pPr>
        <w:spacing w:after="0"/>
        <w:rPr>
          <w:rFonts w:ascii="Verdana" w:eastAsia="Verdana" w:hAnsi="Verdana" w:cs="Verdana"/>
        </w:rPr>
      </w:pPr>
    </w:p>
    <w:p w14:paraId="51E52099" w14:textId="581F6D1C" w:rsidR="00C077A3" w:rsidRDefault="005D3772" w:rsidP="00C077A3">
      <w:pPr>
        <w:spacing w:after="0"/>
        <w:rPr>
          <w:rFonts w:ascii="Verdana" w:hAnsi="Verdana"/>
        </w:rPr>
      </w:pPr>
      <w:r w:rsidRPr="005D3772">
        <w:rPr>
          <w:rFonts w:ascii="Verdana" w:hAnsi="Verdana"/>
          <w:noProof/>
          <w:lang w:val="en-US"/>
        </w:rPr>
        <w:lastRenderedPageBreak/>
        <w:drawing>
          <wp:anchor distT="0" distB="0" distL="114300" distR="114300" simplePos="0" relativeHeight="251658240" behindDoc="0" locked="0" layoutInCell="1" allowOverlap="1" wp14:anchorId="6CBF6622" wp14:editId="0273CFB9">
            <wp:simplePos x="0" y="0"/>
            <wp:positionH relativeFrom="margin">
              <wp:align>right</wp:align>
            </wp:positionH>
            <wp:positionV relativeFrom="paragraph">
              <wp:posOffset>106680</wp:posOffset>
            </wp:positionV>
            <wp:extent cx="2637790" cy="732155"/>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37790" cy="7321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077A3" w:rsidRPr="30821638">
        <w:rPr>
          <w:rFonts w:ascii="Verdana" w:eastAsia="Verdana" w:hAnsi="Verdana" w:cs="Verdana"/>
        </w:rPr>
        <w:t>Bogotá D.C.,</w:t>
      </w:r>
      <w:r w:rsidR="004810F0">
        <w:rPr>
          <w:rFonts w:ascii="Verdana" w:eastAsia="Verdana" w:hAnsi="Verdana" w:cs="Verdana"/>
        </w:rPr>
        <w:t xml:space="preserve"> 2</w:t>
      </w:r>
      <w:r>
        <w:rPr>
          <w:rFonts w:ascii="Verdana" w:eastAsia="Verdana" w:hAnsi="Verdana" w:cs="Verdana"/>
        </w:rPr>
        <w:t>8</w:t>
      </w:r>
      <w:bookmarkStart w:id="1" w:name="_GoBack"/>
      <w:bookmarkEnd w:id="1"/>
      <w:r w:rsidR="004810F0">
        <w:rPr>
          <w:rFonts w:ascii="Verdana" w:eastAsia="Verdana" w:hAnsi="Verdana" w:cs="Verdana"/>
        </w:rPr>
        <w:t xml:space="preserve"> de abril de 2026</w:t>
      </w:r>
      <w:r w:rsidR="004810F0">
        <w:t xml:space="preserve"> </w:t>
      </w:r>
      <w:r w:rsidR="00C077A3">
        <w:br/>
      </w:r>
    </w:p>
    <w:p w14:paraId="5E205DD4" w14:textId="77777777" w:rsidR="00C077A3" w:rsidRPr="001743CA" w:rsidRDefault="00C077A3" w:rsidP="00C077A3">
      <w:pPr>
        <w:spacing w:after="0" w:line="240" w:lineRule="auto"/>
        <w:rPr>
          <w:rFonts w:ascii="Verdana" w:hAnsi="Verdana"/>
        </w:rPr>
      </w:pPr>
    </w:p>
    <w:p w14:paraId="1ABC7C76" w14:textId="77777777" w:rsidR="00C077A3" w:rsidRPr="00A124D3" w:rsidRDefault="00C077A3" w:rsidP="00C077A3">
      <w:pPr>
        <w:spacing w:after="0" w:line="240" w:lineRule="auto"/>
        <w:rPr>
          <w:rFonts w:ascii="Verdana" w:eastAsia="Calibri" w:hAnsi="Verdana" w:cs="Times New Roman"/>
          <w:lang w:val="it-CH"/>
        </w:rPr>
      </w:pPr>
      <w:r>
        <w:rPr>
          <w:rFonts w:ascii="Verdana" w:eastAsia="Calibri" w:hAnsi="Verdana" w:cs="Times New Roman"/>
          <w:lang w:val="it-CH"/>
        </w:rPr>
        <w:t>Señor</w:t>
      </w:r>
    </w:p>
    <w:p w14:paraId="4BFF8AAA" w14:textId="77777777" w:rsidR="00C077A3" w:rsidRPr="007C025F" w:rsidRDefault="00C077A3" w:rsidP="00C077A3">
      <w:pPr>
        <w:spacing w:after="0" w:line="240" w:lineRule="auto"/>
        <w:rPr>
          <w:rFonts w:ascii="Verdana" w:eastAsia="Calibri" w:hAnsi="Verdana" w:cs="Times New Roman"/>
          <w:b/>
          <w:lang w:val="it-CH"/>
        </w:rPr>
      </w:pPr>
      <w:r w:rsidRPr="007C025F">
        <w:rPr>
          <w:rFonts w:ascii="Verdana" w:eastAsia="Calibri" w:hAnsi="Verdana" w:cs="Times New Roman"/>
          <w:b/>
          <w:bCs/>
        </w:rPr>
        <w:t>Adrián C. Velasco A.</w:t>
      </w:r>
    </w:p>
    <w:p w14:paraId="257786C2" w14:textId="77777777" w:rsidR="00C077A3" w:rsidRDefault="00C077A3" w:rsidP="00C077A3">
      <w:pPr>
        <w:spacing w:after="0" w:line="240" w:lineRule="auto"/>
        <w:rPr>
          <w:rFonts w:ascii="Verdana" w:eastAsia="Calibri" w:hAnsi="Verdana" w:cs="Times New Roman"/>
        </w:rPr>
      </w:pPr>
      <w:r>
        <w:rPr>
          <w:rFonts w:ascii="Verdana" w:eastAsia="Calibri" w:hAnsi="Verdana" w:cs="Times New Roman"/>
        </w:rPr>
        <w:t>San Carlos de Guroa, Meta</w:t>
      </w:r>
    </w:p>
    <w:p w14:paraId="757982A3" w14:textId="77777777" w:rsidR="00C077A3" w:rsidRPr="00B57A1B" w:rsidRDefault="00C077A3" w:rsidP="00C077A3">
      <w:pPr>
        <w:spacing w:after="0" w:line="240" w:lineRule="auto"/>
        <w:rPr>
          <w:rFonts w:ascii="Verdana" w:eastAsia="Calibri" w:hAnsi="Verdana" w:cs="Times New Roman"/>
        </w:rPr>
      </w:pPr>
    </w:p>
    <w:p w14:paraId="51958FF7" w14:textId="77777777" w:rsidR="00C077A3" w:rsidRPr="00B57A1B" w:rsidRDefault="00C077A3" w:rsidP="00C077A3">
      <w:pPr>
        <w:spacing w:after="0" w:line="240" w:lineRule="auto"/>
        <w:rPr>
          <w:rFonts w:ascii="Verdana" w:eastAsia="Calibri" w:hAnsi="Verdana" w:cs="Times New Roman"/>
        </w:rPr>
      </w:pPr>
    </w:p>
    <w:p w14:paraId="71C0CE2B" w14:textId="77777777" w:rsidR="00C077A3" w:rsidRPr="00B57A1B" w:rsidRDefault="00C077A3" w:rsidP="00C077A3">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C–425 de 2026</w:t>
      </w:r>
    </w:p>
    <w:p w14:paraId="0CB246DA" w14:textId="77777777" w:rsidR="00C077A3" w:rsidRPr="00B57A1B" w:rsidRDefault="00C077A3" w:rsidP="00C077A3">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C077A3" w:rsidRPr="00B57A1B" w14:paraId="08F53FA9" w14:textId="77777777" w:rsidTr="00D87263">
        <w:trPr>
          <w:trHeight w:val="645"/>
        </w:trPr>
        <w:tc>
          <w:tcPr>
            <w:tcW w:w="2685" w:type="dxa"/>
            <w:hideMark/>
          </w:tcPr>
          <w:p w14:paraId="2E54DD28" w14:textId="77777777" w:rsidR="00C077A3" w:rsidRPr="00B57A1B" w:rsidRDefault="00C077A3" w:rsidP="00D87263">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08B517B5" w14:textId="77777777" w:rsidR="00C077A3" w:rsidRDefault="00C077A3" w:rsidP="00D87263">
            <w:pPr>
              <w:spacing w:line="276" w:lineRule="auto"/>
              <w:jc w:val="both"/>
              <w:rPr>
                <w:rFonts w:ascii="Verdana" w:hAnsi="Verdana" w:cs="Arial"/>
                <w:bCs/>
                <w:lang w:val="es-ES" w:eastAsia="es-ES"/>
              </w:rPr>
            </w:pPr>
            <w:r w:rsidRPr="00482020">
              <w:rPr>
                <w:rFonts w:ascii="Verdana" w:hAnsi="Verdana" w:cs="Arial"/>
                <w:lang w:val="es-ES" w:eastAsia="es-ES"/>
              </w:rPr>
              <w:t>RÉGIMEN EXCEPCIONAL – Justificación – Criterios de clasificación / EMPRESAS DE SERVICIOS PÚBLICOS – Naturaleza – régimen especial / EMPRESAS DE SERVICIOS PÚBLICOS – Mixtas – Privadas con participación estatal – Entidades descentralizadas por servicios – Sentencia C-</w:t>
            </w:r>
            <w:r>
              <w:rPr>
                <w:rFonts w:ascii="Verdana" w:hAnsi="Verdana" w:cs="Arial"/>
                <w:lang w:val="es-ES" w:eastAsia="es-ES"/>
              </w:rPr>
              <w:t>736</w:t>
            </w:r>
            <w:r w:rsidRPr="00482020">
              <w:rPr>
                <w:rFonts w:ascii="Verdana" w:hAnsi="Verdana" w:cs="Arial"/>
                <w:lang w:val="es-ES" w:eastAsia="es-ES"/>
              </w:rPr>
              <w:t xml:space="preserve"> de 2007 / EMPRESAS PRIVADAS DE SERVICIOS PÚBLICOS – Capital – 100% privadas – Naturaleza </w:t>
            </w:r>
            <w:r w:rsidRPr="00AC39B6">
              <w:rPr>
                <w:rFonts w:ascii="Verdana" w:hAnsi="Verdana" w:cs="Arial"/>
                <w:lang w:val="es-ES" w:eastAsia="es-ES"/>
              </w:rPr>
              <w:t xml:space="preserve">/ </w:t>
            </w:r>
            <w:r w:rsidRPr="0027160D">
              <w:rPr>
                <w:rFonts w:ascii="Verdana" w:hAnsi="Verdana" w:cs="Arial"/>
                <w:bCs/>
                <w:lang w:val="es-ES" w:eastAsia="es-ES"/>
              </w:rPr>
              <w:t>CONTRATOS Y CONVENIOS INTERADMINISTRATIVOS – Noción – Diferencias / CONVENIO INTERADMINISTRATIVO – Naturaleza – Inaplicabilidad – Ley 80 de 1993</w:t>
            </w:r>
            <w:r>
              <w:rPr>
                <w:rFonts w:ascii="Verdana" w:hAnsi="Verdana" w:cs="Arial"/>
                <w:bCs/>
                <w:lang w:val="es-ES" w:eastAsia="es-ES"/>
              </w:rPr>
              <w:t xml:space="preserve"> / SERVICIOS PÚBLICOS DOMICILIARIOS – Ley 142 de 1994 – Artículo 1/ SERVICIOS PÚBLICOS – No domiciliario – Alumbrado Público / ALUMBRADO PÚBLICO – Impuesto – Alumbrado Público – Recaudo – Distritos – Municipios – Comercializadora de Energía / CONVENIOS – Distritos – Municipios – Comercializadora de Energía – Naturaleza de las partes / </w:t>
            </w:r>
            <w:r w:rsidRPr="00BF11EF">
              <w:rPr>
                <w:rFonts w:ascii="Verdana" w:hAnsi="Verdana" w:cs="Arial"/>
                <w:bCs/>
                <w:lang w:val="es-ES_tradnl" w:eastAsia="es-ES"/>
              </w:rPr>
              <w:t xml:space="preserve">SUPERVISIÓN – Convenios Interadministrativos / LEY 1474 DE 2011 – Supervisión contractual </w:t>
            </w:r>
            <w:r>
              <w:rPr>
                <w:rFonts w:ascii="Verdana" w:hAnsi="Verdana" w:cs="Arial"/>
                <w:bCs/>
                <w:lang w:val="es-ES_tradnl" w:eastAsia="es-ES"/>
              </w:rPr>
              <w:t xml:space="preserve">/ </w:t>
            </w:r>
            <w:r>
              <w:rPr>
                <w:rFonts w:ascii="Verdana" w:hAnsi="Verdana" w:cs="Arial"/>
                <w:bCs/>
                <w:lang w:val="es-ES" w:eastAsia="es-ES"/>
              </w:rPr>
              <w:t>PRINCIPIO DE PUBLICIDAD – Sujetos Obligados / PRINCIPIO DE PUBLICIDAD – Documentos del Proceso</w:t>
            </w:r>
          </w:p>
          <w:p w14:paraId="265B3BDE" w14:textId="77777777" w:rsidR="00C077A3" w:rsidRPr="00D01973" w:rsidRDefault="00C077A3" w:rsidP="00D87263">
            <w:pPr>
              <w:spacing w:line="276" w:lineRule="auto"/>
              <w:jc w:val="both"/>
              <w:rPr>
                <w:rFonts w:ascii="Verdana" w:hAnsi="Verdana" w:cs="Arial"/>
                <w:lang w:val="es-ES" w:eastAsia="es-ES"/>
              </w:rPr>
            </w:pPr>
          </w:p>
          <w:p w14:paraId="15148792" w14:textId="77777777" w:rsidR="00C077A3" w:rsidRPr="00B57A1B" w:rsidRDefault="00C077A3" w:rsidP="00D87263">
            <w:pPr>
              <w:spacing w:line="276" w:lineRule="auto"/>
              <w:jc w:val="both"/>
              <w:rPr>
                <w:rFonts w:ascii="Verdana" w:hAnsi="Verdana" w:cs="Arial"/>
                <w:lang w:val="es-ES" w:eastAsia="es-ES"/>
              </w:rPr>
            </w:pPr>
          </w:p>
        </w:tc>
        <w:tc>
          <w:tcPr>
            <w:tcW w:w="6237" w:type="dxa"/>
          </w:tcPr>
          <w:p w14:paraId="4FA1B04C" w14:textId="77777777" w:rsidR="00C077A3" w:rsidRPr="002D0E1D" w:rsidRDefault="00C077A3" w:rsidP="00D87263">
            <w:pPr>
              <w:spacing w:line="256" w:lineRule="auto"/>
              <w:rPr>
                <w:rFonts w:ascii="Verdana" w:hAnsi="Verdana"/>
                <w:lang w:val="es-ES"/>
              </w:rPr>
            </w:pPr>
          </w:p>
        </w:tc>
      </w:tr>
      <w:tr w:rsidR="00C077A3" w:rsidRPr="00B57A1B" w14:paraId="05F2FEBD" w14:textId="77777777" w:rsidTr="00D87263">
        <w:tc>
          <w:tcPr>
            <w:tcW w:w="2685" w:type="dxa"/>
          </w:tcPr>
          <w:p w14:paraId="4397E706" w14:textId="77777777" w:rsidR="00C077A3" w:rsidRPr="00B57A1B" w:rsidRDefault="00C077A3" w:rsidP="00D87263">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3586A699" w14:textId="77777777" w:rsidR="00C077A3" w:rsidRPr="002D0E1D" w:rsidRDefault="00C077A3" w:rsidP="00D87263">
            <w:pPr>
              <w:spacing w:line="257" w:lineRule="auto"/>
              <w:jc w:val="both"/>
              <w:rPr>
                <w:rFonts w:ascii="Verdana" w:hAnsi="Verdana"/>
                <w:lang w:val="es-ES_tradnl"/>
              </w:rPr>
            </w:pPr>
            <w:r w:rsidRPr="00B57A1B">
              <w:rPr>
                <w:rFonts w:ascii="Verdana" w:hAnsi="Verdana"/>
                <w:lang w:val="es-ES_tradnl"/>
              </w:rPr>
              <w:t>Respue</w:t>
            </w:r>
            <w:r>
              <w:rPr>
                <w:rFonts w:ascii="Verdana" w:hAnsi="Verdana"/>
                <w:lang w:val="es-ES_tradnl"/>
              </w:rPr>
              <w:t xml:space="preserve">sta a consulta con radicado No. </w:t>
            </w:r>
            <w:r w:rsidRPr="007C025F">
              <w:rPr>
                <w:rFonts w:ascii="Verdana" w:hAnsi="Verdana"/>
              </w:rPr>
              <w:t>1_2026_03_13_003581</w:t>
            </w:r>
          </w:p>
          <w:p w14:paraId="09B2181F" w14:textId="77777777" w:rsidR="00C077A3" w:rsidRPr="00B57A1B" w:rsidRDefault="00C077A3" w:rsidP="00D87263">
            <w:pPr>
              <w:spacing w:line="257" w:lineRule="auto"/>
              <w:jc w:val="both"/>
              <w:rPr>
                <w:rFonts w:ascii="Verdana" w:hAnsi="Verdana"/>
              </w:rPr>
            </w:pPr>
          </w:p>
        </w:tc>
        <w:tc>
          <w:tcPr>
            <w:tcW w:w="6237" w:type="dxa"/>
          </w:tcPr>
          <w:p w14:paraId="10541D41" w14:textId="77777777" w:rsidR="00C077A3" w:rsidRPr="00B57A1B" w:rsidRDefault="00C077A3" w:rsidP="00D87263">
            <w:pPr>
              <w:spacing w:line="256" w:lineRule="auto"/>
              <w:rPr>
                <w:rFonts w:ascii="Verdana" w:hAnsi="Verdana"/>
                <w:lang w:val="es-ES_tradnl"/>
              </w:rPr>
            </w:pPr>
          </w:p>
        </w:tc>
      </w:tr>
    </w:tbl>
    <w:p w14:paraId="56234E02" w14:textId="77777777" w:rsidR="00C077A3" w:rsidRDefault="00C077A3" w:rsidP="00C077A3">
      <w:pPr>
        <w:spacing w:after="0" w:line="256" w:lineRule="auto"/>
        <w:rPr>
          <w:rFonts w:ascii="Verdana" w:eastAsia="Calibri" w:hAnsi="Verdana" w:cs="Times New Roman"/>
          <w:lang w:val="es-ES"/>
        </w:rPr>
      </w:pPr>
    </w:p>
    <w:p w14:paraId="23748928" w14:textId="77777777" w:rsidR="00C077A3" w:rsidRPr="00B57A1B" w:rsidRDefault="00C077A3" w:rsidP="00C077A3">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Velasco</w:t>
      </w:r>
      <w:r w:rsidRPr="00B57A1B">
        <w:rPr>
          <w:rFonts w:ascii="Verdana" w:eastAsia="Calibri" w:hAnsi="Verdana" w:cs="Times New Roman"/>
          <w:lang w:val="es-ES"/>
        </w:rPr>
        <w:t xml:space="preserve">: </w:t>
      </w:r>
    </w:p>
    <w:p w14:paraId="48BE829F" w14:textId="77777777" w:rsidR="00C077A3" w:rsidRPr="00B57A1B" w:rsidRDefault="00C077A3" w:rsidP="00C077A3">
      <w:pPr>
        <w:spacing w:after="0" w:line="256" w:lineRule="auto"/>
        <w:rPr>
          <w:rFonts w:ascii="Verdana" w:eastAsia="Calibri" w:hAnsi="Verdana" w:cs="Times New Roman"/>
          <w:lang w:val="es-ES"/>
        </w:rPr>
      </w:pPr>
    </w:p>
    <w:p w14:paraId="4FA5E55A" w14:textId="77777777" w:rsidR="00C077A3" w:rsidRDefault="00C077A3" w:rsidP="00C077A3">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consulta del 13 de marzo de 2026</w:t>
      </w:r>
      <w:r w:rsidRPr="00B57A1B">
        <w:rPr>
          <w:rFonts w:ascii="Verdana" w:eastAsia="Calibri" w:hAnsi="Verdana" w:cs="Times New Roman"/>
          <w:bCs/>
          <w:lang w:val="es-ES" w:bidi="es-ES"/>
        </w:rPr>
        <w:t xml:space="preserve">, en la cual manifiesta: </w:t>
      </w:r>
    </w:p>
    <w:p w14:paraId="2A5C9480" w14:textId="77777777" w:rsidR="00C077A3" w:rsidRPr="00586328" w:rsidRDefault="00C077A3" w:rsidP="00C077A3">
      <w:pPr>
        <w:spacing w:after="0" w:line="240" w:lineRule="auto"/>
        <w:jc w:val="both"/>
        <w:rPr>
          <w:rFonts w:ascii="Verdana" w:eastAsia="Calibri" w:hAnsi="Verdana" w:cs="Times New Roman"/>
          <w:bCs/>
          <w:lang w:bidi="es-ES"/>
        </w:rPr>
      </w:pPr>
    </w:p>
    <w:p w14:paraId="3CB9AE12" w14:textId="77777777" w:rsidR="00C077A3" w:rsidRDefault="00C077A3" w:rsidP="00C077A3">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w:t>
      </w:r>
      <w:r w:rsidRPr="007C025F">
        <w:rPr>
          <w:rFonts w:ascii="Verdana" w:eastAsia="Calibri" w:hAnsi="Verdana" w:cs="Times New Roman"/>
          <w:bCs/>
          <w:sz w:val="21"/>
          <w:szCs w:val="21"/>
          <w:lang w:bidi="es-ES"/>
        </w:rPr>
        <w:t xml:space="preserve">1. A la luz del artículo 352 de la Ley 1819 de 2016, ¿cuál es la naturaleza jurídica del instrumento mediante el cual un municipio o distrito formaliza con un comercializador de energía eléctrica la facturación y el recaudo del Impuesto de Alumbrado Público a través de la factura del servicio de energía? </w:t>
      </w:r>
    </w:p>
    <w:p w14:paraId="3A57AB87" w14:textId="77777777" w:rsidR="00C077A3" w:rsidRDefault="00C077A3" w:rsidP="00C077A3">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2.</w:t>
      </w:r>
      <w:r w:rsidRPr="007C025F">
        <w:rPr>
          <w:rFonts w:ascii="Verdana" w:eastAsia="Calibri" w:hAnsi="Verdana" w:cs="Times New Roman"/>
          <w:bCs/>
          <w:sz w:val="21"/>
          <w:szCs w:val="21"/>
          <w:lang w:bidi="es-ES"/>
        </w:rPr>
        <w:t xml:space="preserve">En particular, ¿dicha relación jurídica debe entenderse como un contrato estatal sometido al Estatuto General de Contratación de la Administración Pública, o corresponde a otra figura jurídica distinta, como un convenio de colaboración administrativa o una relación jurídica derivada directamente de la ley, considerando que la actividad de facturación y recaudo se realiza sin contraprestación económica? </w:t>
      </w:r>
    </w:p>
    <w:p w14:paraId="505C1C5B" w14:textId="77777777" w:rsidR="00C077A3" w:rsidRDefault="00C077A3" w:rsidP="00C077A3">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 xml:space="preserve">3. </w:t>
      </w:r>
      <w:r w:rsidRPr="007C025F">
        <w:rPr>
          <w:rFonts w:ascii="Verdana" w:eastAsia="Calibri" w:hAnsi="Verdana" w:cs="Times New Roman"/>
          <w:bCs/>
          <w:sz w:val="21"/>
          <w:szCs w:val="21"/>
          <w:lang w:bidi="es-ES"/>
        </w:rPr>
        <w:t xml:space="preserve">En caso de que el instrumento de vinculación tenga naturaleza contractual o convencional, ¿cuál sería el régimen jurídico sustantivo y procedimental aplicable, particularmente en lo relativo a la interacción entre el régimen de contratación estatal (Leyes 80 de 1993 y 1150 de 2007) y el régimen especial de las empresas de servicios públicos domiciliarios previsto en la Ley 142 de 1994? </w:t>
      </w:r>
    </w:p>
    <w:p w14:paraId="78B89F61" w14:textId="77777777" w:rsidR="00C077A3" w:rsidRPr="007C025F" w:rsidRDefault="00C077A3" w:rsidP="00C077A3">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 xml:space="preserve">4. </w:t>
      </w:r>
      <w:r w:rsidRPr="007C025F">
        <w:rPr>
          <w:rFonts w:ascii="Verdana" w:eastAsia="Calibri" w:hAnsi="Verdana" w:cs="Times New Roman"/>
          <w:bCs/>
          <w:sz w:val="21"/>
          <w:szCs w:val="21"/>
          <w:lang w:bidi="es-ES"/>
        </w:rPr>
        <w:t xml:space="preserve">¿La naturaleza jurídica del comercializador de energía (empresa oficial, mixta o privada), conforme a la Ley 142 de 1994, incide en la determinación del régimen jurídico aplicable al instrumento de vinculación, o en la posibilidad de acudir a figuras como convenios interadministrativos cuando la empresa tenga carácter público? </w:t>
      </w:r>
    </w:p>
    <w:p w14:paraId="5DC741A6" w14:textId="77777777" w:rsidR="00C077A3" w:rsidRDefault="00C077A3" w:rsidP="00C077A3">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 xml:space="preserve">5. </w:t>
      </w:r>
      <w:r w:rsidRPr="007C025F">
        <w:rPr>
          <w:rFonts w:ascii="Verdana" w:eastAsia="Calibri" w:hAnsi="Verdana" w:cs="Times New Roman"/>
          <w:bCs/>
          <w:sz w:val="21"/>
          <w:szCs w:val="21"/>
          <w:lang w:bidi="es-ES"/>
        </w:rPr>
        <w:t xml:space="preserve">En el evento en que la relación jurídica deba formalizarse mediante un contrato o convenio sometido al régimen de contratación estatal, ¿la entidad territorial debe adelantar algún procedimiento de selección objetiva, conforme a las modalidades previstas en la Ley 1150 de 2007, o la habilitación prevista en el artículo 352 de la Ley 1819 de 2016 permite la vinculación directa del comercializador que opera en la respectiva jurisdicción, especialmente cuando exista un único agente comercializador? </w:t>
      </w:r>
    </w:p>
    <w:p w14:paraId="402E6F6C" w14:textId="77777777" w:rsidR="00C077A3" w:rsidRPr="00560ECB" w:rsidRDefault="00C077A3" w:rsidP="00C077A3">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 xml:space="preserve">6. </w:t>
      </w:r>
      <w:r w:rsidRPr="007C025F">
        <w:rPr>
          <w:rFonts w:ascii="Verdana" w:eastAsia="Calibri" w:hAnsi="Verdana" w:cs="Times New Roman"/>
          <w:bCs/>
          <w:sz w:val="21"/>
          <w:szCs w:val="21"/>
          <w:lang w:bidi="es-ES"/>
        </w:rPr>
        <w:t xml:space="preserve">En caso de formalizarse mediante contrato o convenio, ¿estos instrumentos deben cumplir las obligaciones de publicidad, registro y publicación en el Sistema Electrónico para la Contratación Pública </w:t>
      </w:r>
      <w:r w:rsidRPr="007C025F">
        <w:rPr>
          <w:rFonts w:ascii="Verdana" w:eastAsia="Calibri" w:hAnsi="Verdana" w:cs="Times New Roman"/>
          <w:bCs/>
          <w:sz w:val="21"/>
          <w:szCs w:val="21"/>
          <w:lang w:bidi="es-ES"/>
        </w:rPr>
        <w:lastRenderedPageBreak/>
        <w:t>(SECOP) conforme al Decreto 1082 de 2015, y cuáles serían los mecanismos mínimos de control, seguimiento o supervisión recomendables para garantizar el adecuado manejo de lo</w:t>
      </w:r>
      <w:r>
        <w:rPr>
          <w:rFonts w:ascii="Verdana" w:eastAsia="Calibri" w:hAnsi="Verdana" w:cs="Times New Roman"/>
          <w:bCs/>
          <w:sz w:val="21"/>
          <w:szCs w:val="21"/>
          <w:lang w:bidi="es-ES"/>
        </w:rPr>
        <w:t>s recursos públicos recaudados?”</w:t>
      </w:r>
      <w:r w:rsidRPr="00812F2C">
        <w:rPr>
          <w:rFonts w:ascii="Verdana" w:eastAsia="Calibri" w:hAnsi="Verdana" w:cs="Times New Roman"/>
          <w:bCs/>
          <w:sz w:val="21"/>
          <w:szCs w:val="21"/>
          <w:lang w:bidi="es-ES"/>
        </w:rPr>
        <w:t>.</w:t>
      </w:r>
    </w:p>
    <w:p w14:paraId="50754E36" w14:textId="77777777" w:rsidR="00C077A3" w:rsidRPr="00812F2C" w:rsidRDefault="00C077A3" w:rsidP="00C077A3">
      <w:pPr>
        <w:spacing w:after="0" w:line="240" w:lineRule="auto"/>
        <w:ind w:left="709" w:right="709"/>
        <w:jc w:val="both"/>
        <w:rPr>
          <w:rFonts w:ascii="Verdana" w:eastAsia="Calibri" w:hAnsi="Verdana" w:cs="Times New Roman"/>
          <w:bCs/>
          <w:sz w:val="21"/>
          <w:szCs w:val="21"/>
          <w:lang w:bidi="es-ES"/>
        </w:rPr>
      </w:pPr>
    </w:p>
    <w:p w14:paraId="3F464E80" w14:textId="77777777" w:rsidR="00C077A3" w:rsidRPr="00B57A1B" w:rsidRDefault="00C077A3" w:rsidP="00C077A3">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73E5906" w14:textId="77777777" w:rsidR="00C077A3" w:rsidRPr="00B57A1B" w:rsidRDefault="00C077A3" w:rsidP="00C077A3">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7DE9EA75" w14:textId="77777777" w:rsidR="00C077A3" w:rsidRPr="00B57A1B" w:rsidRDefault="00C077A3" w:rsidP="00C077A3">
      <w:pPr>
        <w:spacing w:after="0" w:line="256" w:lineRule="auto"/>
        <w:rPr>
          <w:rFonts w:ascii="Verdana" w:eastAsia="Calibri" w:hAnsi="Verdana" w:cs="Times New Roman"/>
          <w:lang w:val="es-ES"/>
        </w:rPr>
      </w:pPr>
    </w:p>
    <w:p w14:paraId="11D47BF3" w14:textId="77777777" w:rsidR="00C077A3" w:rsidRPr="00B57A1B" w:rsidRDefault="00C077A3" w:rsidP="00C077A3">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w:t>
      </w:r>
      <w:r>
        <w:rPr>
          <w:rFonts w:ascii="Verdana" w:eastAsia="Calibri" w:hAnsi="Verdana" w:cs="Times New Roman"/>
          <w:b/>
          <w:bCs/>
          <w:lang w:val="es-ES"/>
        </w:rPr>
        <w:t>s</w:t>
      </w:r>
      <w:r w:rsidRPr="00B57A1B">
        <w:rPr>
          <w:rFonts w:ascii="Verdana" w:eastAsia="Calibri" w:hAnsi="Verdana" w:cs="Times New Roman"/>
          <w:b/>
          <w:bCs/>
          <w:lang w:val="es-ES"/>
        </w:rPr>
        <w:t xml:space="preserve"> planteado</w:t>
      </w:r>
      <w:r>
        <w:rPr>
          <w:rFonts w:ascii="Verdana" w:eastAsia="Calibri" w:hAnsi="Verdana" w:cs="Times New Roman"/>
          <w:b/>
          <w:bCs/>
          <w:lang w:val="es-ES"/>
        </w:rPr>
        <w:t>s</w:t>
      </w:r>
      <w:r w:rsidRPr="00B57A1B">
        <w:rPr>
          <w:rFonts w:ascii="Verdana" w:eastAsia="Calibri" w:hAnsi="Verdana" w:cs="Times New Roman"/>
          <w:b/>
          <w:bCs/>
          <w:lang w:val="es-ES"/>
        </w:rPr>
        <w:t>:</w:t>
      </w:r>
    </w:p>
    <w:p w14:paraId="1FA3CD0E" w14:textId="77777777" w:rsidR="00C077A3" w:rsidRPr="00B57A1B" w:rsidRDefault="00C077A3" w:rsidP="00C077A3">
      <w:pPr>
        <w:spacing w:after="0" w:line="256" w:lineRule="auto"/>
        <w:rPr>
          <w:rFonts w:ascii="Verdana" w:eastAsia="Calibri" w:hAnsi="Verdana" w:cs="Times New Roman"/>
        </w:rPr>
      </w:pPr>
    </w:p>
    <w:p w14:paraId="69FE5944" w14:textId="77777777" w:rsidR="00C077A3" w:rsidRPr="002A213F" w:rsidRDefault="00C077A3" w:rsidP="00C077A3">
      <w:pPr>
        <w:spacing w:after="0" w:line="276" w:lineRule="auto"/>
        <w:jc w:val="both"/>
        <w:rPr>
          <w:rFonts w:ascii="Verdana" w:eastAsia="Calibri" w:hAnsi="Verdana"/>
          <w:iC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w:t>
      </w:r>
      <w:r w:rsidRPr="002A213F">
        <w:rPr>
          <w:rFonts w:ascii="Verdana" w:eastAsia="Calibri" w:hAnsi="Verdana"/>
          <w:iCs/>
        </w:rPr>
        <w:t xml:space="preserve"> i) </w:t>
      </w:r>
      <w:r w:rsidRPr="00B67807">
        <w:rPr>
          <w:rFonts w:ascii="Verdana" w:eastAsia="Calibri" w:hAnsi="Verdana"/>
          <w:iCs/>
        </w:rPr>
        <w:t xml:space="preserve">¿Cuál es la </w:t>
      </w:r>
      <w:r w:rsidRPr="00B67807">
        <w:rPr>
          <w:rFonts w:ascii="Verdana" w:eastAsia="Calibri" w:hAnsi="Verdana"/>
          <w:bCs/>
          <w:iCs/>
        </w:rPr>
        <w:t>naturaleza jurídica</w:t>
      </w:r>
      <w:r>
        <w:rPr>
          <w:rFonts w:ascii="Verdana" w:eastAsia="Calibri" w:hAnsi="Verdana"/>
          <w:iCs/>
        </w:rPr>
        <w:t xml:space="preserve"> y </w:t>
      </w:r>
      <w:r w:rsidRPr="00B67807">
        <w:rPr>
          <w:rFonts w:ascii="Verdana" w:eastAsia="Calibri" w:hAnsi="Verdana"/>
          <w:iCs/>
        </w:rPr>
        <w:t xml:space="preserve">el </w:t>
      </w:r>
      <w:r w:rsidRPr="00B67807">
        <w:rPr>
          <w:rFonts w:ascii="Verdana" w:eastAsia="Calibri" w:hAnsi="Verdana"/>
          <w:bCs/>
          <w:iCs/>
        </w:rPr>
        <w:t>régimen normativo aplicable</w:t>
      </w:r>
      <w:r w:rsidRPr="00B67807">
        <w:rPr>
          <w:rFonts w:ascii="Verdana" w:eastAsia="Calibri" w:hAnsi="Verdana"/>
          <w:iCs/>
        </w:rPr>
        <w:t xml:space="preserve"> del instrumento mediante el cual un municipio o distrito coordina con un comercializador de energía eléctrica —sea este una empresa de servicios públicos domiciliarios de carácter oficial, mixto o privado con o sin participación estatal— las actividades de </w:t>
      </w:r>
      <w:r w:rsidRPr="00B67807">
        <w:rPr>
          <w:rFonts w:ascii="Verdana" w:eastAsia="Calibri" w:hAnsi="Verdana"/>
          <w:bCs/>
          <w:iCs/>
        </w:rPr>
        <w:t>facturación y recaudo del Impuesto de Alumbrado Público</w:t>
      </w:r>
      <w:r>
        <w:rPr>
          <w:rFonts w:ascii="Verdana" w:eastAsia="Calibri" w:hAnsi="Verdana"/>
          <w:iCs/>
        </w:rPr>
        <w:t xml:space="preserve"> mediante </w:t>
      </w:r>
      <w:r w:rsidRPr="00B67807">
        <w:rPr>
          <w:rFonts w:ascii="Verdana" w:eastAsia="Calibri" w:hAnsi="Verdana"/>
          <w:iCs/>
        </w:rPr>
        <w:t>la factura del servicio público domiciliario de energía eléctrica?</w:t>
      </w:r>
      <w:r>
        <w:rPr>
          <w:rFonts w:ascii="Verdana" w:eastAsia="Calibri" w:hAnsi="Verdana"/>
          <w:iCs/>
        </w:rPr>
        <w:t xml:space="preserve">; ii) </w:t>
      </w:r>
      <w:r w:rsidRPr="00236C00">
        <w:rPr>
          <w:rFonts w:ascii="Verdana" w:eastAsia="Calibri" w:hAnsi="Verdana"/>
          <w:iCs/>
        </w:rPr>
        <w:t xml:space="preserve">¿Qué mecanismos mínimos de control y seguimiento deben </w:t>
      </w:r>
      <w:r w:rsidRPr="00236C00">
        <w:rPr>
          <w:rFonts w:ascii="Verdana" w:eastAsia="Calibri" w:hAnsi="Verdana"/>
          <w:iCs/>
        </w:rPr>
        <w:lastRenderedPageBreak/>
        <w:t>ser definidos por las partes, en ejercicio de su autonomía contractual, para garantizar el adecuado manejo de los recursos públicos recaudados en el marco de un convenio interadministrativo?</w:t>
      </w:r>
      <w:r>
        <w:rPr>
          <w:rFonts w:ascii="Verdana" w:eastAsia="Calibri" w:hAnsi="Verdana"/>
          <w:iCs/>
        </w:rPr>
        <w:t>; iii)</w:t>
      </w:r>
      <w:r w:rsidRPr="002A213F">
        <w:rPr>
          <w:rFonts w:ascii="Verdana" w:eastAsia="Calibri" w:hAnsi="Verdana"/>
          <w:iCs/>
        </w:rPr>
        <w:t xml:space="preserve"> </w:t>
      </w:r>
      <w:r>
        <w:rPr>
          <w:rFonts w:ascii="Verdana" w:eastAsia="Calibri" w:hAnsi="Verdana"/>
          <w:iCs/>
        </w:rPr>
        <w:t xml:space="preserve">De acuerdo con la naturaleza jurídica </w:t>
      </w:r>
      <w:r>
        <w:rPr>
          <w:rFonts w:ascii="Verdana" w:eastAsia="Calibri" w:hAnsi="Verdana" w:cs="Times New Roman"/>
          <w:iCs/>
          <w:lang w:val="es-ES"/>
        </w:rPr>
        <w:t>¿Existe el deber</w:t>
      </w:r>
      <w:r w:rsidRPr="006506D8">
        <w:rPr>
          <w:rFonts w:ascii="Verdana" w:eastAsia="Calibri" w:hAnsi="Verdana" w:cs="Times New Roman"/>
          <w:iCs/>
          <w:lang w:val="es-ES"/>
        </w:rPr>
        <w:t xml:space="preserve"> de pub</w:t>
      </w:r>
      <w:r>
        <w:rPr>
          <w:rFonts w:ascii="Verdana" w:eastAsia="Calibri" w:hAnsi="Verdana" w:cs="Times New Roman"/>
          <w:iCs/>
          <w:lang w:val="es-ES"/>
        </w:rPr>
        <w:t xml:space="preserve">licidad en SECOP del contrato o </w:t>
      </w:r>
      <w:r w:rsidRPr="006506D8">
        <w:rPr>
          <w:rFonts w:ascii="Verdana" w:eastAsia="Calibri" w:hAnsi="Verdana" w:cs="Times New Roman"/>
          <w:iCs/>
          <w:lang w:val="es-ES"/>
        </w:rPr>
        <w:t>convenio</w:t>
      </w:r>
      <w:r>
        <w:rPr>
          <w:rFonts w:ascii="Verdana" w:eastAsia="Calibri" w:hAnsi="Verdana" w:cs="Times New Roman"/>
          <w:iCs/>
          <w:lang w:val="es-ES"/>
        </w:rPr>
        <w:t xml:space="preserve"> con el comercializador para la facturación y el recaudo del impuesto público?</w:t>
      </w:r>
    </w:p>
    <w:p w14:paraId="5DB374F8" w14:textId="77777777" w:rsidR="00C077A3" w:rsidRPr="00B57A1B" w:rsidRDefault="00C077A3" w:rsidP="00C077A3">
      <w:pPr>
        <w:spacing w:after="0" w:line="276" w:lineRule="auto"/>
        <w:jc w:val="both"/>
        <w:rPr>
          <w:rFonts w:ascii="Verdana" w:eastAsia="Calibri" w:hAnsi="Verdana" w:cs="Times New Roman"/>
          <w:i/>
          <w:iCs/>
          <w:lang w:val="es-ES"/>
        </w:rPr>
      </w:pPr>
    </w:p>
    <w:p w14:paraId="489B442E" w14:textId="77777777" w:rsidR="00C077A3" w:rsidRPr="00B57A1B" w:rsidRDefault="00C077A3" w:rsidP="00C077A3">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r>
        <w:rPr>
          <w:rFonts w:ascii="Verdana" w:eastAsia="Calibri" w:hAnsi="Verdana" w:cs="Times New Roman"/>
          <w:b/>
          <w:bCs/>
          <w:lang w:val="es-ES"/>
        </w:rPr>
        <w:t>s</w:t>
      </w:r>
      <w:r w:rsidRPr="00B57A1B">
        <w:rPr>
          <w:rFonts w:ascii="Verdana" w:eastAsia="Calibri" w:hAnsi="Verdana" w:cs="Times New Roman"/>
          <w:b/>
          <w:bCs/>
          <w:lang w:val="es-ES"/>
        </w:rPr>
        <w:t>:</w:t>
      </w:r>
    </w:p>
    <w:p w14:paraId="07937CBE" w14:textId="77777777" w:rsidR="00C077A3" w:rsidRPr="00B57A1B" w:rsidRDefault="00C077A3" w:rsidP="00C077A3">
      <w:pPr>
        <w:spacing w:after="0" w:line="276" w:lineRule="auto"/>
        <w:rPr>
          <w:rFonts w:ascii="Verdana" w:eastAsia="Calibri" w:hAnsi="Verdana" w:cs="Times New Roman"/>
          <w:b/>
          <w:bCs/>
          <w:lang w:val="es-ES"/>
        </w:rPr>
      </w:pPr>
    </w:p>
    <w:tbl>
      <w:tblPr>
        <w:tblStyle w:val="Tablaconcuadrcula"/>
        <w:tblW w:w="878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C077A3" w:rsidRPr="00B57A1B" w14:paraId="77D67956" w14:textId="77777777" w:rsidTr="00D87263">
        <w:trPr>
          <w:trHeight w:val="345"/>
        </w:trPr>
        <w:tc>
          <w:tcPr>
            <w:tcW w:w="8784" w:type="dxa"/>
            <w:tcBorders>
              <w:bottom w:val="single" w:sz="4" w:space="0" w:color="auto"/>
            </w:tcBorders>
          </w:tcPr>
          <w:p w14:paraId="40254B4E" w14:textId="77777777" w:rsidR="00C077A3" w:rsidRDefault="00C077A3" w:rsidP="00D87263">
            <w:pPr>
              <w:spacing w:line="276" w:lineRule="auto"/>
              <w:jc w:val="both"/>
              <w:rPr>
                <w:rFonts w:ascii="Verdana" w:hAnsi="Verdana" w:cs="Arial"/>
                <w:lang w:val="es-ES" w:eastAsia="es-ES"/>
              </w:rPr>
            </w:pPr>
            <w:r>
              <w:rPr>
                <w:rFonts w:ascii="Verdana" w:hAnsi="Verdana" w:cs="Arial"/>
                <w:lang w:val="es-ES" w:eastAsia="es-ES"/>
              </w:rPr>
              <w:t>De acuerdo con los problemas jurídicos, objeto de consulta, se expresa lo siguiente:</w:t>
            </w:r>
          </w:p>
          <w:p w14:paraId="71C6D7B5" w14:textId="77777777" w:rsidR="00C077A3" w:rsidRDefault="00C077A3" w:rsidP="00D87263">
            <w:pPr>
              <w:spacing w:line="276" w:lineRule="auto"/>
              <w:jc w:val="both"/>
              <w:rPr>
                <w:rFonts w:ascii="Verdana" w:hAnsi="Verdana" w:cs="Arial"/>
                <w:lang w:val="es-ES" w:eastAsia="es-ES"/>
              </w:rPr>
            </w:pPr>
          </w:p>
          <w:p w14:paraId="744E3BED" w14:textId="77777777" w:rsidR="00C077A3" w:rsidRPr="00A71487" w:rsidRDefault="00C077A3" w:rsidP="00D87263">
            <w:pPr>
              <w:spacing w:after="120" w:line="276" w:lineRule="auto"/>
              <w:jc w:val="both"/>
              <w:rPr>
                <w:rFonts w:ascii="Verdana" w:eastAsia="Calibri" w:hAnsi="Verdana" w:cs="Times New Roman"/>
                <w:bCs/>
                <w:iCs/>
              </w:rPr>
            </w:pPr>
            <w:r>
              <w:rPr>
                <w:rFonts w:ascii="Verdana" w:hAnsi="Verdana" w:cs="Arial"/>
                <w:lang w:val="es-ES" w:eastAsia="es-ES"/>
              </w:rPr>
              <w:t>i.</w:t>
            </w:r>
            <w:r w:rsidRPr="003C5FD9">
              <w:rPr>
                <w:rFonts w:ascii="Verdana" w:hAnsi="Verdana"/>
              </w:rPr>
              <w:t xml:space="preserve"> </w:t>
            </w:r>
            <w:r w:rsidRPr="00A71487">
              <w:rPr>
                <w:rFonts w:ascii="Verdana" w:hAnsi="Verdana"/>
              </w:rPr>
              <w:t>Conforme al primer problema jurídico, referente</w:t>
            </w:r>
            <w:r w:rsidRPr="001B01AB">
              <w:rPr>
                <w:rFonts w:ascii="Verdana" w:hAnsi="Verdana"/>
              </w:rPr>
              <w:t xml:space="preserve"> a la forma de recaudo y facturaci</w:t>
            </w:r>
            <w:r w:rsidRPr="00A71487">
              <w:rPr>
                <w:rFonts w:ascii="Verdana" w:hAnsi="Verdana"/>
              </w:rPr>
              <w:t>ón del Impuesto de Alumbrado Público, debe señalarse que, el</w:t>
            </w:r>
            <w:r w:rsidRPr="00A71487">
              <w:rPr>
                <w:rFonts w:ascii="Verdana" w:eastAsia="Calibri" w:hAnsi="Verdana" w:cs="Times New Roman"/>
                <w:bCs/>
                <w:iCs/>
              </w:rPr>
              <w:t xml:space="preserve"> artículo 352 de la Ley 1819 de 2016 prescribe que la competencia radica de manera directa en los municipios y distritos, en su condición de titulares de la potestad tributaria territorial. No obstante, la norma prevé un mecanismo operativo de recaudo indirecto, en virtud del cual las entidades territoriales pueden autorizar a las empresas comercializadoras de energía eléctrica para que actúen como agentes recaudadores del tributo. En este sentido, cada municipio es autónomo para determinar si hacen uso de la facultad señalada en el citado artículo 352; o si opta por realizar el recaudo del impuesto de manera directa. </w:t>
            </w:r>
          </w:p>
          <w:p w14:paraId="785DF8FE" w14:textId="77777777" w:rsidR="00C077A3" w:rsidRPr="00A71487" w:rsidRDefault="00C077A3" w:rsidP="00D87263">
            <w:pPr>
              <w:spacing w:after="120" w:line="276" w:lineRule="auto"/>
              <w:ind w:firstLine="709"/>
              <w:jc w:val="both"/>
              <w:rPr>
                <w:rFonts w:ascii="Verdana" w:eastAsia="Calibri" w:hAnsi="Verdana" w:cs="Times New Roman"/>
                <w:bCs/>
                <w:iCs/>
              </w:rPr>
            </w:pPr>
            <w:r w:rsidRPr="00A71487">
              <w:rPr>
                <w:rFonts w:ascii="Verdana" w:eastAsia="Calibri" w:hAnsi="Verdana" w:cs="Times New Roman"/>
                <w:bCs/>
                <w:iCs/>
              </w:rPr>
              <w:t xml:space="preserve">Sobre el particular, la Superintendencia de Servicios Públicos Domiciliarios, en el concepto SSPD-OJ-2023-286, en donde se reitera la posición del concepto unificado SSPD-OJ-2022-040, se refirió en los siguientes términos: “Ahora bien, es potestad de cada municipio determinar si hacen uso de la facultad prevista anteriormente, o si por el contrario deciden realizar el recaudo del impuesto de manera directa. En particular, en el respectivo acuerdo municipal que adopte el impuesto de alumbrado público, deberá consagrarse la manera en que se recauda dicho tributo, en los términos del artículo 349 de la Ley 1819 de 2016”. </w:t>
            </w:r>
          </w:p>
          <w:p w14:paraId="482618E4" w14:textId="77777777" w:rsidR="00C077A3" w:rsidRPr="00A71487" w:rsidRDefault="00C077A3" w:rsidP="00D87263">
            <w:pPr>
              <w:spacing w:after="120" w:line="276" w:lineRule="auto"/>
              <w:ind w:firstLine="709"/>
              <w:jc w:val="both"/>
              <w:rPr>
                <w:rFonts w:ascii="Verdana" w:eastAsia="Calibri" w:hAnsi="Verdana" w:cs="Times New Roman"/>
                <w:bCs/>
                <w:iCs/>
              </w:rPr>
            </w:pPr>
            <w:r w:rsidRPr="00A71487">
              <w:rPr>
                <w:rFonts w:ascii="Verdana" w:eastAsia="Calibri" w:hAnsi="Verdana" w:cs="Times New Roman"/>
                <w:bCs/>
                <w:iCs/>
              </w:rPr>
              <w:t xml:space="preserve">De esta manera, resulta válido que las empresas comercializadoras de energía eléctrica asuman la función de recaudo del impuesto de alumbrado público, sin que ello implique, per se, una vulneración al orden constitucional, incluso cuando dicha labor no conlleve el reconocimiento de una remuneración </w:t>
            </w:r>
            <w:r w:rsidRPr="00A71487">
              <w:rPr>
                <w:rFonts w:ascii="Verdana" w:eastAsia="Calibri" w:hAnsi="Verdana" w:cs="Times New Roman"/>
                <w:bCs/>
                <w:iCs/>
              </w:rPr>
              <w:lastRenderedPageBreak/>
              <w:t xml:space="preserve">económica. No obstante, en lo relativo a la forma y condiciones en que se materializa el acuerdo entre el respectivo municipio o distrito y la comercializadora de energía para el ejercicio de dicha función, resulta necesario remitirse al artículo 3 de la Resolución CREG 122 de 2011 modificado por la Resolución 5 de 2012, expedida por la Comisión de Regulación de Energía y Gas. </w:t>
            </w:r>
          </w:p>
          <w:p w14:paraId="7895BCF7" w14:textId="77777777" w:rsidR="00C077A3" w:rsidRPr="001E1F8E" w:rsidRDefault="00C077A3" w:rsidP="00D87263">
            <w:pPr>
              <w:spacing w:after="120" w:line="276" w:lineRule="auto"/>
              <w:ind w:firstLine="709"/>
              <w:jc w:val="both"/>
              <w:rPr>
                <w:rFonts w:ascii="Verdana" w:eastAsia="Times New Roman" w:hAnsi="Verdana" w:cs="Arial"/>
                <w:spacing w:val="2"/>
              </w:rPr>
            </w:pPr>
            <w:r w:rsidRPr="00A71487">
              <w:rPr>
                <w:rFonts w:ascii="Verdana" w:eastAsia="Calibri" w:hAnsi="Verdana" w:cs="Times New Roman"/>
                <w:bCs/>
                <w:iCs/>
              </w:rPr>
              <w:t xml:space="preserve">El artículo 3 ibídem se refiere al contrato y/o convenio de facturación y recaudo conjunto, disponiendo que este </w:t>
            </w:r>
            <w:r w:rsidRPr="001E1F8E">
              <w:rPr>
                <w:rFonts w:ascii="Verdana" w:eastAsia="Times New Roman" w:hAnsi="Verdana" w:cs="Arial"/>
                <w:spacing w:val="2"/>
              </w:rPr>
              <w:t>tiene como objeto determinar las condiciones en las cuales una empresa prestadora del servicio público domiciliario de energía eléctrica, totaliza en el cuerpo de la respectiva factura el valor correspondiente al impuesto al alumbrado público, recauda el impuesto de alumbrado público de manera conjunta con el servicio público domiciliario de energía eléctrica y/o factura de manera separada dicho impuesto si así lo solicita el usuario. Así mismo, consagra que, el contrato y/o convenio de facturación y recaudo es celebrado por una empresa prestadora del servicio público domiciliario de energía eléctrica y el municipio o distrito, quien es el responsable de la prestación del servicio de alumbrado público.</w:t>
            </w:r>
          </w:p>
          <w:p w14:paraId="237F3D47" w14:textId="77777777" w:rsidR="00C077A3" w:rsidRPr="00A71487" w:rsidRDefault="00C077A3" w:rsidP="00D87263">
            <w:pPr>
              <w:spacing w:after="120" w:line="276" w:lineRule="auto"/>
              <w:ind w:firstLine="709"/>
              <w:jc w:val="both"/>
              <w:rPr>
                <w:rFonts w:ascii="Verdana" w:eastAsia="Calibri" w:hAnsi="Verdana" w:cs="Times New Roman"/>
                <w:bCs/>
                <w:iCs/>
              </w:rPr>
            </w:pPr>
            <w:r w:rsidRPr="00A71487">
              <w:rPr>
                <w:rFonts w:ascii="Verdana" w:eastAsia="Calibri" w:hAnsi="Verdana" w:cs="Times New Roman"/>
                <w:bCs/>
                <w:iCs/>
              </w:rPr>
              <w:t>Conforme el artículo anterior, el contrato o convenio de facturación y recaudo es suscrito entre el municipio o distrito y la empresa prestadora del servicio público domic</w:t>
            </w:r>
            <w:r w:rsidRPr="001B01AB">
              <w:rPr>
                <w:rFonts w:ascii="Verdana" w:eastAsia="Calibri" w:hAnsi="Verdana" w:cs="Times New Roman"/>
                <w:bCs/>
                <w:iCs/>
              </w:rPr>
              <w:t xml:space="preserve">iliario de energía eléctrica, que tiene como propósito </w:t>
            </w:r>
            <w:r w:rsidRPr="00A71487">
              <w:rPr>
                <w:rFonts w:ascii="Verdana" w:eastAsia="Calibri" w:hAnsi="Verdana" w:cs="Times New Roman"/>
                <w:bCs/>
                <w:iCs/>
              </w:rPr>
              <w:t xml:space="preserve">establecer las condiciones bajo las cuales la empresa incorpora en la factura el valor correspondiente al impuesto de alumbrado público. En virtud de dicho acuerdo, la comercializadora puede efectuar el recaudo del impuesto de forma conjunta con el cobro del servicio de energía eléctrica o, alternativamente, realizar una facturación separada cuando así lo solicite el usuario. A su vez, corresponde al municipio o distrito definir y aplicar los procedimientos administrativos y de control necesarios para prevenir la evasión fiscal. </w:t>
            </w:r>
          </w:p>
          <w:p w14:paraId="635E95D9" w14:textId="77777777" w:rsidR="00C077A3" w:rsidRDefault="00C077A3" w:rsidP="00D87263">
            <w:pPr>
              <w:spacing w:after="120" w:line="276" w:lineRule="auto"/>
              <w:ind w:firstLine="709"/>
              <w:jc w:val="both"/>
              <w:rPr>
                <w:rFonts w:ascii="Verdana" w:eastAsia="Calibri" w:hAnsi="Verdana" w:cs="Times New Roman"/>
                <w:bCs/>
                <w:iCs/>
              </w:rPr>
            </w:pPr>
            <w:r w:rsidRPr="00567284">
              <w:rPr>
                <w:rFonts w:ascii="Verdana" w:eastAsia="Calibri" w:hAnsi="Verdana" w:cs="Times New Roman"/>
                <w:bCs/>
                <w:iCs/>
              </w:rPr>
              <w:t>De ahí pues, atendiendo a la naturaleza cooperativa de la relación que se configura entre el municipio o distrito y la empresa comercializadora de energía eléctrica, puede afirmarse que el instrumento jurídico adecuado es el convenio, en la medida</w:t>
            </w:r>
            <w:r>
              <w:rPr>
                <w:rFonts w:ascii="Verdana" w:eastAsia="Calibri" w:hAnsi="Verdana" w:cs="Times New Roman"/>
                <w:bCs/>
                <w:iCs/>
              </w:rPr>
              <w:t xml:space="preserve"> que</w:t>
            </w:r>
            <w:r w:rsidRPr="00567284">
              <w:rPr>
                <w:rFonts w:ascii="Verdana" w:eastAsia="Calibri" w:hAnsi="Verdana" w:cs="Times New Roman"/>
                <w:bCs/>
                <w:iCs/>
              </w:rPr>
              <w:t xml:space="preserve"> en</w:t>
            </w:r>
            <w:r>
              <w:rPr>
                <w:rFonts w:ascii="Verdana" w:eastAsia="Calibri" w:hAnsi="Verdana" w:cs="Times New Roman"/>
                <w:bCs/>
                <w:iCs/>
              </w:rPr>
              <w:t xml:space="preserve"> primer lugar, existe una acuerdo de voluntades entre las partes involucradas, lo cual hace que tenga una naturaleza contractual y, en segundo lugar,</w:t>
            </w:r>
            <w:r w:rsidRPr="00567284">
              <w:rPr>
                <w:rFonts w:ascii="Verdana" w:eastAsia="Calibri" w:hAnsi="Verdana" w:cs="Times New Roman"/>
                <w:bCs/>
                <w:iCs/>
              </w:rPr>
              <w:t xml:space="preserve"> no existe una contraprestación económica a </w:t>
            </w:r>
            <w:r w:rsidRPr="00567284">
              <w:rPr>
                <w:rFonts w:ascii="Verdana" w:eastAsia="Calibri" w:hAnsi="Verdana" w:cs="Times New Roman"/>
                <w:bCs/>
                <w:iCs/>
              </w:rPr>
              <w:lastRenderedPageBreak/>
              <w:t>favor de esta última por la labor de facturación y recaudo del impuesto de alumbrado público.</w:t>
            </w:r>
            <w:r>
              <w:rPr>
                <w:rFonts w:ascii="Verdana" w:eastAsia="Calibri" w:hAnsi="Verdana" w:cs="Times New Roman"/>
                <w:bCs/>
                <w:iCs/>
              </w:rPr>
              <w:t xml:space="preserve"> </w:t>
            </w:r>
          </w:p>
          <w:p w14:paraId="3EA7837E" w14:textId="77777777" w:rsidR="00C077A3" w:rsidRPr="002528B0" w:rsidRDefault="00C077A3" w:rsidP="00D87263">
            <w:pPr>
              <w:spacing w:after="120" w:line="276" w:lineRule="auto"/>
              <w:ind w:firstLine="709"/>
              <w:jc w:val="both"/>
              <w:rPr>
                <w:rFonts w:ascii="Verdana" w:eastAsia="Calibri" w:hAnsi="Verdana" w:cs="Times New Roman"/>
                <w:bCs/>
                <w:iCs/>
              </w:rPr>
            </w:pPr>
            <w:r>
              <w:rPr>
                <w:rFonts w:ascii="Verdana" w:hAnsi="Verdana"/>
              </w:rPr>
              <w:t>En este aspecto, la</w:t>
            </w:r>
            <w:r w:rsidRPr="002528B0">
              <w:rPr>
                <w:rFonts w:ascii="Verdana" w:hAnsi="Verdana"/>
              </w:rPr>
              <w:t xml:space="preserve"> calidad de contrato o convenio depende del tipo de obligaciones que se adquieren por cada una de las partes de la relación contractual. Por ejemplo, los contratos interadministrativos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 persigue un interés propio de carácter económico. </w:t>
            </w:r>
            <w:r>
              <w:rPr>
                <w:rFonts w:ascii="Verdana" w:hAnsi="Verdana"/>
              </w:rPr>
              <w:t>En contraposición</w:t>
            </w:r>
            <w:r w:rsidRPr="002528B0">
              <w:rPr>
                <w:rFonts w:ascii="Verdana" w:hAnsi="Verdana"/>
              </w:rPr>
              <w:t>, los convenios no tienen una finalidad lucrativa, pues su objeto es desarrollar actividades que contribuyen directamente a un fin común, de tal forma que las entidades involucradas actúan con intereses convergentes y cooperan para cumplir funciones administrativas o prestar servicios alineados con el interés general, sin que exista una contraprestación propiamente dicha.</w:t>
            </w:r>
          </w:p>
          <w:p w14:paraId="3B6C5490" w14:textId="77777777" w:rsidR="00C077A3" w:rsidRDefault="00C077A3" w:rsidP="00D87263">
            <w:pPr>
              <w:spacing w:after="120" w:line="276" w:lineRule="auto"/>
              <w:ind w:firstLine="709"/>
              <w:jc w:val="both"/>
              <w:rPr>
                <w:rFonts w:ascii="Verdana" w:hAnsi="Verdana"/>
              </w:rPr>
            </w:pPr>
            <w:r>
              <w:rPr>
                <w:rFonts w:ascii="Verdana" w:eastAsia="Calibri" w:hAnsi="Verdana" w:cs="Times New Roman"/>
                <w:bCs/>
                <w:iCs/>
              </w:rPr>
              <w:t>Ahora bien, cuando</w:t>
            </w:r>
            <w:r w:rsidRPr="002528B0">
              <w:rPr>
                <w:rFonts w:ascii="Verdana" w:hAnsi="Verdana"/>
              </w:rPr>
              <w:t xml:space="preserve"> una entidad territorial celebra estos acuerdos con empresas de servicios públicos de carácter público, mixto o privado con participación es</w:t>
            </w:r>
            <w:r>
              <w:rPr>
                <w:rFonts w:ascii="Verdana" w:hAnsi="Verdana"/>
              </w:rPr>
              <w:t>tatal, se configura un</w:t>
            </w:r>
            <w:r w:rsidRPr="002528B0">
              <w:rPr>
                <w:rFonts w:ascii="Verdana" w:hAnsi="Verdana"/>
              </w:rPr>
              <w:t xml:space="preserve"> convenio interadministrativo. Ello se sustenta en que dichas empresas son catalogadas como entidades descentralizadas por servicios, conforme a lo expresado por la Corte Constitucional en la Sentencia C-736 de 2007, lo que les otorga un carácter especial dentro de la estructura administrativa del Estado. </w:t>
            </w:r>
          </w:p>
          <w:p w14:paraId="45F4DF58" w14:textId="77777777" w:rsidR="00C077A3" w:rsidRPr="00567284" w:rsidRDefault="00C077A3" w:rsidP="00D87263">
            <w:pPr>
              <w:spacing w:after="120" w:line="276" w:lineRule="auto"/>
              <w:ind w:firstLine="709"/>
              <w:jc w:val="both"/>
              <w:rPr>
                <w:rFonts w:ascii="Verdana" w:hAnsi="Verdana"/>
              </w:rPr>
            </w:pPr>
            <w:r w:rsidRPr="00567284">
              <w:rPr>
                <w:rFonts w:ascii="Verdana" w:hAnsi="Verdana"/>
              </w:rPr>
              <w:t xml:space="preserve">Por el contrario, cuando las entidades territoriales suscriben convenios o contratos con empresas de servicios públicos cuyo capital es </w:t>
            </w:r>
            <w:r>
              <w:rPr>
                <w:rFonts w:ascii="Verdana" w:hAnsi="Verdana"/>
              </w:rPr>
              <w:t>cien por ciento (</w:t>
            </w:r>
            <w:r w:rsidRPr="00567284">
              <w:rPr>
                <w:rFonts w:ascii="Verdana" w:hAnsi="Verdana"/>
              </w:rPr>
              <w:t>100%</w:t>
            </w:r>
            <w:r>
              <w:rPr>
                <w:rFonts w:ascii="Verdana" w:hAnsi="Verdana"/>
              </w:rPr>
              <w:t>)</w:t>
            </w:r>
            <w:r w:rsidRPr="00567284">
              <w:rPr>
                <w:rFonts w:ascii="Verdana" w:hAnsi="Verdana"/>
              </w:rPr>
              <w:t xml:space="preserve"> privado, estos no adquieren la calidad de interadministrativos. La razón es que tales empresas no son catalogadas como entidades descentralizadas por servicios, sino como personas jurídicas de derecho privado que prestan un servicio público, lo que implica que no se aluda a que la relación contractual se denomine un contrato o convenio interadministrativo, a pesar de que el objeto y las finalidades sean idénticas o similares.</w:t>
            </w:r>
          </w:p>
          <w:p w14:paraId="5E29144D" w14:textId="77777777" w:rsidR="00C077A3" w:rsidRDefault="00C077A3" w:rsidP="00D87263">
            <w:pPr>
              <w:spacing w:line="276" w:lineRule="auto"/>
              <w:ind w:firstLine="709"/>
              <w:jc w:val="both"/>
              <w:rPr>
                <w:rFonts w:ascii="Verdana" w:hAnsi="Verdana"/>
              </w:rPr>
            </w:pPr>
            <w:r>
              <w:rPr>
                <w:rFonts w:ascii="Verdana" w:hAnsi="Verdana"/>
              </w:rPr>
              <w:t>De igual manera</w:t>
            </w:r>
            <w:r w:rsidRPr="00567284">
              <w:rPr>
                <w:rFonts w:ascii="Verdana" w:hAnsi="Verdana"/>
              </w:rPr>
              <w:t>, debe precisarse que los convenios de facturación y recaudo del impuesto de al</w:t>
            </w:r>
            <w:r>
              <w:rPr>
                <w:rFonts w:ascii="Verdana" w:hAnsi="Verdana"/>
              </w:rPr>
              <w:t xml:space="preserve">umbrado público constituyen un </w:t>
            </w:r>
            <w:r>
              <w:rPr>
                <w:rFonts w:ascii="Verdana" w:hAnsi="Verdana"/>
                <w:bCs/>
              </w:rPr>
              <w:t>contrato</w:t>
            </w:r>
            <w:r w:rsidRPr="00567284">
              <w:rPr>
                <w:rFonts w:ascii="Verdana" w:hAnsi="Verdana"/>
                <w:bCs/>
              </w:rPr>
              <w:t xml:space="preserve"> especial</w:t>
            </w:r>
            <w:r w:rsidRPr="00567284">
              <w:rPr>
                <w:rFonts w:ascii="Verdana" w:hAnsi="Verdana"/>
              </w:rPr>
              <w:t>,</w:t>
            </w:r>
            <w:r>
              <w:rPr>
                <w:rFonts w:ascii="Verdana" w:hAnsi="Verdana"/>
              </w:rPr>
              <w:t xml:space="preserve"> cuya naturaleza jurídica no está </w:t>
            </w:r>
            <w:r w:rsidRPr="00567284">
              <w:rPr>
                <w:rFonts w:ascii="Verdana" w:hAnsi="Verdana"/>
              </w:rPr>
              <w:t xml:space="preserve">prevista ni tipificada dentro del Estatuto </w:t>
            </w:r>
            <w:r w:rsidRPr="00567284">
              <w:rPr>
                <w:rFonts w:ascii="Verdana" w:hAnsi="Verdana"/>
              </w:rPr>
              <w:lastRenderedPageBreak/>
              <w:t xml:space="preserve">General de Contratación de la Administración Pública —Ley 80 de 1993—. Su fundamento normativo deriva, en cambio, de una regulación específica establecida en el artículo 352 de la Ley 1819 de 2016, complementada por las disposiciones reglamentarias establecidas por la Comisión de Regulación de Energía y Gas, las cuales reconocen un marco diferenciado para este tipo de acuerdos. </w:t>
            </w:r>
          </w:p>
          <w:p w14:paraId="68FCA5F0" w14:textId="77777777" w:rsidR="00C077A3" w:rsidRDefault="00C077A3" w:rsidP="00D87263">
            <w:pPr>
              <w:spacing w:line="276" w:lineRule="auto"/>
              <w:jc w:val="both"/>
              <w:rPr>
                <w:rFonts w:ascii="Verdana" w:hAnsi="Verdana"/>
              </w:rPr>
            </w:pPr>
          </w:p>
          <w:p w14:paraId="3F76CB78" w14:textId="77777777" w:rsidR="00C077A3" w:rsidRPr="00236C00" w:rsidRDefault="00C077A3" w:rsidP="00D87263">
            <w:pPr>
              <w:spacing w:after="120" w:line="276" w:lineRule="auto"/>
              <w:jc w:val="both"/>
              <w:rPr>
                <w:rFonts w:ascii="Verdana" w:hAnsi="Verdana"/>
              </w:rPr>
            </w:pPr>
            <w:r w:rsidRPr="00236C00">
              <w:rPr>
                <w:rFonts w:ascii="Verdana" w:hAnsi="Verdana"/>
              </w:rPr>
              <w:t xml:space="preserve">ii. </w:t>
            </w:r>
            <w:r>
              <w:rPr>
                <w:rFonts w:ascii="Verdana" w:hAnsi="Verdana"/>
              </w:rPr>
              <w:t>En torno al segundo problema jurídico, se señala que e</w:t>
            </w:r>
            <w:r w:rsidRPr="00236C00">
              <w:rPr>
                <w:rFonts w:ascii="Verdana" w:hAnsi="Verdana"/>
              </w:rPr>
              <w:t xml:space="preserve">n lo que respecta a los mecanismos de control y seguimiento —en particular, la supervisión de los convenios interadministrativos— resulta relevante reiterar que estos se caracterizan, en principio, por tener como fuente la autonomía contractual. En particular, los convenios interadministrativos tienen un grado de excepcionalidad frente a las demás tipologías contractuales y se caracterizan por la autorregulación de sus propias estipulaciones, sin que pueda predicarse la aplicación automática de la generalidad de las normas del EGCAP, incluyendo aquellas referidas en el artículo 83 y siguientes de la Ley 1474 de 2011 en materia de supervisión contractual, pues dicho régimen será de aplicación supletoria. </w:t>
            </w:r>
          </w:p>
          <w:p w14:paraId="4B6887EB" w14:textId="77777777" w:rsidR="00C077A3" w:rsidRDefault="00C077A3" w:rsidP="00D87263">
            <w:pPr>
              <w:spacing w:after="120" w:line="276" w:lineRule="auto"/>
              <w:ind w:firstLine="709"/>
              <w:jc w:val="both"/>
              <w:rPr>
                <w:rFonts w:ascii="Verdana" w:hAnsi="Verdana"/>
              </w:rPr>
            </w:pPr>
            <w:r w:rsidRPr="00236C00">
              <w:rPr>
                <w:rFonts w:ascii="Verdana" w:hAnsi="Verdana"/>
              </w:rPr>
              <w:t xml:space="preserve">En virtud de lo anterior, las partes del convenio interadministrativo deberán establecer las condiciones y medidas que emplearán para verificar el cumplimiento de las actividades pactadas y para realizar una supervisión adecuada durante su ejecución. De cualquier modo, estas estipulaciones deben cumplir con el principio de responsabilidad que rige la contratación estatal, según el cual las entidades públicas están obligadas a vigilar la correcta ejecución del objeto contratado y a proteger tanto los derechos de la propia entidad como los del contratista, ejecutor y terceros que puedan verse afectados por la ejecución del contrato. </w:t>
            </w:r>
          </w:p>
          <w:p w14:paraId="04332D99" w14:textId="77777777" w:rsidR="00C077A3" w:rsidRPr="00236C00" w:rsidRDefault="00C077A3" w:rsidP="00D87263">
            <w:pPr>
              <w:spacing w:after="120" w:line="276" w:lineRule="auto"/>
              <w:ind w:firstLine="709"/>
              <w:jc w:val="both"/>
              <w:rPr>
                <w:rFonts w:ascii="Verdana" w:hAnsi="Verdana"/>
              </w:rPr>
            </w:pPr>
            <w:r w:rsidRPr="00236C00">
              <w:rPr>
                <w:rFonts w:ascii="Verdana" w:hAnsi="Verdana"/>
              </w:rPr>
              <w:t xml:space="preserve">Para lo anterior, las partes del convenio podrán adoptar mecanismos de supervisión que sean acordes con el modelo dispuesto para la contratación regida por el EGCAP. La jurisprudencia contencioso-administrativa ha considerado que la obligación de vigilar la correcta ejecución del objeto contractual es una función de la entidad contratante, en los siguientes términos: “La función de vigilancia y control del contrato estatal supone el cuidado y la supervisión, de forma tal que en ejercicio de esa función, quien administra la adecuada y oportuna ejecución del contrato no sólo debe velar </w:t>
            </w:r>
            <w:r w:rsidRPr="00236C00">
              <w:rPr>
                <w:rFonts w:ascii="Verdana" w:hAnsi="Verdana"/>
              </w:rPr>
              <w:lastRenderedPageBreak/>
              <w:t>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 .</w:t>
            </w:r>
          </w:p>
          <w:p w14:paraId="3A68F749" w14:textId="77777777" w:rsidR="00C077A3" w:rsidRPr="00236C00" w:rsidRDefault="00C077A3" w:rsidP="00D87263">
            <w:pPr>
              <w:spacing w:after="120" w:line="276" w:lineRule="auto"/>
              <w:ind w:firstLine="709"/>
              <w:jc w:val="both"/>
              <w:rPr>
                <w:rFonts w:ascii="Verdana" w:hAnsi="Verdana"/>
              </w:rPr>
            </w:pPr>
            <w:r w:rsidRPr="00236C00">
              <w:rPr>
                <w:rFonts w:ascii="Verdana" w:hAnsi="Verdana"/>
              </w:rPr>
              <w:t xml:space="preserve">Así las cosas, el control y seguimiento de los convenios interadministrativos constituye un componente para asegurar su adecuada ejecución y para verificar que las actividades desarrolladas se correspondan efectivamente con los objetivos definidos por las entidades intervinientes. En este aspecto, dada la especial naturaleza de los convenios que suscribe los distritos o municipios con las empresas de servicios públicos y el margen de autorregulación que los caracteriza, la configuración y estipulación consciente y técnica de mecanismos de supervisión permite reducir riesgos de incumplimiento, fortalecer la trazabilidad de las actuaciones administrativas y facilitar la evaluación de resultados durante la vigencia del convenio. </w:t>
            </w:r>
          </w:p>
          <w:p w14:paraId="67E387E7" w14:textId="77777777" w:rsidR="00C077A3" w:rsidRDefault="00C077A3" w:rsidP="00D87263">
            <w:pPr>
              <w:spacing w:line="276" w:lineRule="auto"/>
              <w:ind w:firstLine="709"/>
              <w:jc w:val="both"/>
              <w:rPr>
                <w:rFonts w:ascii="Verdana" w:hAnsi="Verdana"/>
              </w:rPr>
            </w:pPr>
            <w:r w:rsidRPr="00236C00">
              <w:rPr>
                <w:rFonts w:ascii="Verdana" w:hAnsi="Verdana"/>
              </w:rPr>
              <w:t>El seguimiento no debe concebirse como una carga meramente formal, sino como una herramienta funcional que contribuye a la correcta gestión interadministrativa, al uso eficiente de los recursos públicos comprometidos y a la consolidación de prácticas contractuales coherentes con los fines institucionales que justifican este tipo de acuerdos. Para ello, deberá preverse en el respectivo convenio interadministrativo —o, en su defecto, en el instrumento jurídico que resulte procedente, atendiendo a la naturaleza de las partes involucradas en el recaudo del impuesto de alumbrado público— la incorporación de cláusulas específicas de control y seguimiento orientadas a garantizar una ejecución adecuada y debidamente verificada de las obligaciones asumidas.</w:t>
            </w:r>
          </w:p>
          <w:p w14:paraId="1EE1A7B3" w14:textId="77777777" w:rsidR="00C077A3" w:rsidRDefault="00C077A3" w:rsidP="00D87263">
            <w:pPr>
              <w:spacing w:line="276" w:lineRule="auto"/>
              <w:ind w:firstLine="709"/>
              <w:jc w:val="both"/>
              <w:rPr>
                <w:rFonts w:ascii="Verdana" w:hAnsi="Verdana"/>
              </w:rPr>
            </w:pPr>
          </w:p>
          <w:p w14:paraId="51EB3E64" w14:textId="77777777" w:rsidR="00C077A3" w:rsidRPr="00B67807" w:rsidRDefault="00C077A3" w:rsidP="00D87263">
            <w:pPr>
              <w:spacing w:after="120" w:line="276" w:lineRule="auto"/>
              <w:jc w:val="both"/>
              <w:rPr>
                <w:rFonts w:ascii="Verdana" w:eastAsia="Times New Roman" w:hAnsi="Verdana" w:cs="Arial"/>
                <w:lang w:val="es-ES_tradnl" w:eastAsia="es-ES_tradnl"/>
                <w14:ligatures w14:val="standardContextual"/>
              </w:rPr>
            </w:pPr>
            <w:r>
              <w:rPr>
                <w:rFonts w:ascii="Verdana" w:hAnsi="Verdana"/>
              </w:rPr>
              <w:t xml:space="preserve">iii. </w:t>
            </w:r>
            <w:r w:rsidRPr="00B67807">
              <w:rPr>
                <w:rFonts w:ascii="Verdana" w:hAnsi="Verdana" w:cs="Arial"/>
                <w:lang w:val="es-MX" w:eastAsia="es-ES"/>
              </w:rPr>
              <w:t xml:space="preserve">De acuerdo con el </w:t>
            </w:r>
            <w:r>
              <w:rPr>
                <w:rFonts w:ascii="Verdana" w:hAnsi="Verdana" w:cs="Arial"/>
                <w:lang w:val="es-MX" w:eastAsia="es-ES"/>
              </w:rPr>
              <w:t xml:space="preserve">tercer </w:t>
            </w:r>
            <w:r w:rsidRPr="00B67807">
              <w:rPr>
                <w:rFonts w:ascii="Verdana" w:hAnsi="Verdana" w:cs="Arial"/>
                <w:lang w:val="es-MX" w:eastAsia="es-ES"/>
              </w:rPr>
              <w:t>problema jurídico, se expresa que a</w:t>
            </w:r>
            <w:r w:rsidRPr="00B67807">
              <w:rPr>
                <w:rFonts w:ascii="Verdana" w:eastAsia="Times New Roman" w:hAnsi="Verdana" w:cs="Arial"/>
                <w:lang w:val="es-ES_tradnl" w:eastAsia="es-ES_tradnl"/>
                <w14:ligatures w14:val="standardContextual"/>
              </w:rPr>
              <w:t xml:space="preserve"> partir de la lista de quienes son los sujetos obligados a publicar la información, puede inferirse que las entidades territoriales tienen la obligación de publicar la información relativa a su contratación, así como las entidades descentralizadas por servicios. Esta obligación del deber de publicar fue desarrollada por el Decreto Único Reglamentario 1081 de 2015, el cual dispuso que la publicación de la información contractual de los sujetos obligados, que contratan con cargo a recursos públicos, debe hacerse en el SECOP. Asimismo, de acuerdo con el literal g) del artículo 11 de la Ley 1712 de 2014, todos los </w:t>
            </w:r>
            <w:r w:rsidRPr="00B67807">
              <w:rPr>
                <w:rFonts w:ascii="Verdana" w:eastAsia="Times New Roman" w:hAnsi="Verdana" w:cs="Arial"/>
                <w:lang w:val="es-ES_tradnl" w:eastAsia="es-ES_tradnl"/>
                <w14:ligatures w14:val="standardContextual"/>
              </w:rPr>
              <w:lastRenderedPageBreak/>
              <w:t xml:space="preserve">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48C55D4A" w14:textId="77777777" w:rsidR="00C077A3" w:rsidRPr="00B67807" w:rsidRDefault="00C077A3" w:rsidP="00D87263">
            <w:pPr>
              <w:spacing w:before="120" w:after="120" w:line="276" w:lineRule="auto"/>
              <w:ind w:firstLine="709"/>
              <w:jc w:val="both"/>
              <w:rPr>
                <w:rFonts w:ascii="Verdana" w:eastAsia="Times New Roman" w:hAnsi="Verdana" w:cs="Arial"/>
                <w:lang w:val="es-ES_tradnl" w:eastAsia="es-ES_tradnl"/>
                <w14:ligatures w14:val="standardContextual"/>
              </w:rPr>
            </w:pPr>
            <w:r w:rsidRPr="00B67807">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5698CD5A" w14:textId="77777777" w:rsidR="00C077A3" w:rsidRPr="00B67807" w:rsidRDefault="00C077A3" w:rsidP="00D87263">
            <w:pPr>
              <w:tabs>
                <w:tab w:val="left" w:pos="709"/>
              </w:tabs>
              <w:spacing w:before="120" w:after="120" w:line="276" w:lineRule="auto"/>
              <w:ind w:firstLine="709"/>
              <w:jc w:val="both"/>
              <w:rPr>
                <w:rFonts w:ascii="Verdana" w:hAnsi="Verdana" w:cs="Arial"/>
                <w:shd w:val="clear" w:color="auto" w:fill="FFFFFF"/>
              </w:rPr>
            </w:pPr>
            <w:r w:rsidRPr="00B67807">
              <w:rPr>
                <w:rFonts w:ascii="Verdana" w:hAnsi="Verdana" w:cs="Arial"/>
                <w:shd w:val="clear" w:color="auto" w:fill="FFFFFF"/>
              </w:rPr>
              <w:t xml:space="preserve">La expresión </w:t>
            </w:r>
            <w:r w:rsidRPr="00B67807">
              <w:rPr>
                <w:rFonts w:ascii="Verdana" w:hAnsi="Verdana" w:cs="Arial"/>
                <w:i/>
                <w:iCs/>
                <w:shd w:val="clear" w:color="auto" w:fill="FFFFFF"/>
              </w:rPr>
              <w:t xml:space="preserve">Documentos del Proceso </w:t>
            </w:r>
            <w:r w:rsidRPr="00B67807">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B67807">
              <w:rPr>
                <w:rFonts w:ascii="Verdana" w:hAnsi="Verdana" w:cs="Arial"/>
                <w:i/>
                <w:iCs/>
                <w:shd w:val="clear" w:color="auto" w:fill="FFFFFF"/>
              </w:rPr>
              <w:t>y cualquier otro documento expedido por la Entidad Estatal durante el Proceso de Contratación</w:t>
            </w:r>
            <w:r w:rsidRPr="00B67807">
              <w:rPr>
                <w:rFonts w:ascii="Verdana" w:hAnsi="Verdana" w:cs="Arial"/>
                <w:shd w:val="clear" w:color="auto" w:fill="FFFFFF"/>
              </w:rPr>
              <w:t xml:space="preserve">”. [Énfasis fuera de texto] 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B67807">
              <w:rPr>
                <w:rFonts w:ascii="Verdana" w:hAnsi="Verdana" w:cs="Arial"/>
                <w:i/>
                <w:iCs/>
                <w:shd w:val="clear" w:color="auto" w:fill="FFFFFF"/>
              </w:rPr>
              <w:t>Ibidem</w:t>
            </w:r>
            <w:r w:rsidRPr="00B67807">
              <w:rPr>
                <w:rFonts w:ascii="Verdana" w:hAnsi="Verdana" w:cs="Arial"/>
                <w:shd w:val="clear" w:color="auto" w:fill="FFFFFF"/>
              </w:rPr>
              <w:t xml:space="preserve"> recoge en la noción de Documentos del Proceso “cualquier otro documento expedido por la Entidad Estatal durante el Proceso de Contratación”. </w:t>
            </w:r>
          </w:p>
          <w:p w14:paraId="3F0ADDFF" w14:textId="77777777" w:rsidR="00C077A3" w:rsidRDefault="00C077A3" w:rsidP="00D87263">
            <w:pPr>
              <w:tabs>
                <w:tab w:val="left" w:pos="709"/>
              </w:tabs>
              <w:spacing w:before="120" w:after="120" w:line="276" w:lineRule="auto"/>
              <w:ind w:firstLine="709"/>
              <w:jc w:val="both"/>
              <w:rPr>
                <w:rFonts w:ascii="Verdana" w:eastAsia="Calibri" w:hAnsi="Verdana" w:cs="Arial"/>
                <w:color w:val="000000"/>
              </w:rPr>
            </w:pPr>
            <w:r w:rsidRPr="00B67807">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En tal sentido, </w:t>
            </w:r>
            <w:r w:rsidRPr="00B67807">
              <w:rPr>
                <w:rFonts w:ascii="Verdana" w:eastAsia="Calibri" w:hAnsi="Verdana" w:cs="Arial"/>
                <w:color w:val="00000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su actividad contractual. Así pues, respecto de los documentos que deben publicarse en el SECOP II a efectos de cumplir el mandato consagrado en el </w:t>
            </w:r>
            <w:r w:rsidRPr="00B67807">
              <w:rPr>
                <w:rFonts w:ascii="Verdana" w:eastAsia="Calibri" w:hAnsi="Verdana" w:cs="Arial"/>
                <w:color w:val="000000"/>
              </w:rPr>
              <w:lastRenderedPageBreak/>
              <w:t>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w:t>
            </w:r>
          </w:p>
          <w:p w14:paraId="1EF3537C" w14:textId="77777777" w:rsidR="00C077A3" w:rsidRPr="008E7BCA" w:rsidRDefault="00C077A3" w:rsidP="00D87263">
            <w:pPr>
              <w:tabs>
                <w:tab w:val="left" w:pos="709"/>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 xml:space="preserve">Así las cosas, existe un deber consagrado en la Ley 1712 de 2014, así como en demás leyes y reglamentos de publicar los contratos y convenios que suscriben las entidades territoriales con las empresas de servicios públicos domiciliarios para el recaudo del impuesto de alumbrado público, en el marco del artículo 352 de la Ley 1819 de 2016. En este sentido, </w:t>
            </w:r>
            <w:r w:rsidRPr="00E74FDD">
              <w:rPr>
                <w:rFonts w:ascii="Verdana" w:eastAsia="Calibri" w:hAnsi="Verdana" w:cs="Arial"/>
                <w:color w:val="000000"/>
              </w:rPr>
              <w:t xml:space="preserve">La obligación de publicidad abarca no solo el contrato en sí, sino también todos los documentos y actos que integran la actividad contractual, incluyendo las fases </w:t>
            </w:r>
            <w:r>
              <w:rPr>
                <w:rFonts w:ascii="Verdana" w:eastAsia="Calibri" w:hAnsi="Verdana" w:cs="Arial"/>
                <w:color w:val="000000"/>
              </w:rPr>
              <w:t>-</w:t>
            </w:r>
            <w:r w:rsidRPr="00E74FDD">
              <w:rPr>
                <w:rFonts w:ascii="Verdana" w:eastAsia="Calibri" w:hAnsi="Verdana" w:cs="Arial"/>
                <w:color w:val="000000"/>
              </w:rPr>
              <w:t>precontractual, contractual y postcontractual</w:t>
            </w:r>
            <w:r>
              <w:rPr>
                <w:rFonts w:ascii="Verdana" w:eastAsia="Calibri" w:hAnsi="Verdana" w:cs="Arial"/>
                <w:color w:val="000000"/>
              </w:rPr>
              <w:t>-</w:t>
            </w:r>
            <w:r w:rsidRPr="00E74FDD">
              <w:rPr>
                <w:rFonts w:ascii="Verdana" w:eastAsia="Calibri" w:hAnsi="Verdana" w:cs="Arial"/>
                <w:color w:val="000000"/>
              </w:rPr>
              <w:t>, de modo que el proceso completo sea transparente, verificable y accesible para el control ciudadano y administrativo.</w:t>
            </w:r>
            <w:r>
              <w:rPr>
                <w:rFonts w:ascii="Verdana" w:eastAsia="Calibri" w:hAnsi="Verdana" w:cs="Arial"/>
                <w:color w:val="000000"/>
              </w:rPr>
              <w:t xml:space="preserve"> </w:t>
            </w:r>
          </w:p>
        </w:tc>
      </w:tr>
    </w:tbl>
    <w:p w14:paraId="79F9C868" w14:textId="77777777" w:rsidR="00C077A3" w:rsidRPr="00B57A1B" w:rsidRDefault="00C077A3" w:rsidP="00C077A3">
      <w:pPr>
        <w:spacing w:after="0" w:line="276" w:lineRule="auto"/>
        <w:jc w:val="both"/>
        <w:rPr>
          <w:rFonts w:ascii="Verdana" w:eastAsia="Calibri" w:hAnsi="Verdana" w:cs="Arial"/>
          <w:bCs/>
          <w:color w:val="000000" w:themeColor="text1"/>
        </w:rPr>
      </w:pPr>
    </w:p>
    <w:p w14:paraId="7E8A3AD5" w14:textId="77777777" w:rsidR="00C077A3" w:rsidRPr="00B57A1B" w:rsidRDefault="00C077A3" w:rsidP="00C077A3">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180003BA" w14:textId="77777777" w:rsidR="00C077A3" w:rsidRPr="00B57A1B" w:rsidRDefault="00C077A3" w:rsidP="00C077A3">
      <w:pPr>
        <w:spacing w:after="0" w:line="256" w:lineRule="auto"/>
        <w:rPr>
          <w:rFonts w:ascii="Verdana" w:eastAsia="Calibri" w:hAnsi="Verdana" w:cs="Times New Roman"/>
          <w:b/>
          <w:bCs/>
          <w:lang w:val="es-ES"/>
        </w:rPr>
      </w:pPr>
    </w:p>
    <w:p w14:paraId="539BC445" w14:textId="77777777" w:rsidR="00C077A3" w:rsidRPr="00B57A1B" w:rsidRDefault="00C077A3" w:rsidP="00C077A3">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19C572C5" w14:textId="77777777" w:rsidR="00C077A3" w:rsidRDefault="00C077A3" w:rsidP="00C077A3">
      <w:pPr>
        <w:spacing w:after="0" w:line="276" w:lineRule="auto"/>
        <w:jc w:val="both"/>
        <w:rPr>
          <w:rFonts w:ascii="Verdana" w:hAnsi="Verdana" w:cs="Arial"/>
          <w:bCs/>
          <w:lang w:val="es-MX"/>
        </w:rPr>
      </w:pPr>
      <w:bookmarkStart w:id="2" w:name="_Hlk78820161"/>
    </w:p>
    <w:p w14:paraId="46D0B207" w14:textId="77777777" w:rsidR="00C077A3" w:rsidRDefault="00C077A3" w:rsidP="00C077A3">
      <w:pPr>
        <w:spacing w:after="120" w:line="276" w:lineRule="auto"/>
        <w:jc w:val="both"/>
        <w:rPr>
          <w:rFonts w:ascii="Verdana" w:hAnsi="Verdana" w:cs="Arial"/>
          <w:bCs/>
          <w:lang w:val="es-MX"/>
        </w:rPr>
      </w:pPr>
      <w:r>
        <w:rPr>
          <w:rFonts w:ascii="Verdana" w:hAnsi="Verdana" w:cs="Arial"/>
          <w:bCs/>
          <w:lang w:val="es-MX"/>
        </w:rPr>
        <w:t>i. El inciso segundo del 365 constitucional dispone que “</w:t>
      </w:r>
      <w:r w:rsidRPr="002A30BA">
        <w:rPr>
          <w:rFonts w:ascii="Verdana" w:hAnsi="Verdana" w:cs="Arial"/>
          <w:bCs/>
          <w:lang w:val="es-MX"/>
        </w:rPr>
        <w:t>Los servicios públicos estarán sometidos al régimen jurídico que fije la ley, podrán ser prestados por el Estado, directa o indirectamente, por comunidades organizadas, o por particulares</w:t>
      </w:r>
      <w:r>
        <w:rPr>
          <w:rFonts w:ascii="Verdana" w:hAnsi="Verdana" w:cs="Arial"/>
          <w:bCs/>
          <w:lang w:val="es-MX"/>
        </w:rPr>
        <w:t xml:space="preserve"> […]”. Por ello, </w:t>
      </w:r>
      <w:r w:rsidRPr="002A30BA">
        <w:rPr>
          <w:rFonts w:ascii="Verdana" w:hAnsi="Verdana" w:cs="Arial"/>
          <w:bCs/>
          <w:lang w:val="es-MX"/>
        </w:rPr>
        <w:t xml:space="preserve">el </w:t>
      </w:r>
      <w:r>
        <w:rPr>
          <w:rFonts w:ascii="Verdana" w:hAnsi="Verdana" w:cs="Arial"/>
          <w:bCs/>
          <w:lang w:val="es-MX"/>
        </w:rPr>
        <w:t xml:space="preserve">inciso primero del </w:t>
      </w:r>
      <w:r w:rsidRPr="002A30BA">
        <w:rPr>
          <w:rFonts w:ascii="Verdana" w:hAnsi="Verdana" w:cs="Arial"/>
          <w:bCs/>
          <w:lang w:val="es-MX"/>
        </w:rPr>
        <w:t xml:space="preserve">artículo 31 de la Ley 142 de 1994 </w:t>
      </w:r>
      <w:r>
        <w:rPr>
          <w:rFonts w:ascii="Verdana" w:hAnsi="Verdana" w:cs="Arial"/>
          <w:bCs/>
          <w:lang w:val="es-MX"/>
        </w:rPr>
        <w:t>dispuso expresamente que</w:t>
      </w:r>
      <w:r w:rsidRPr="002A30BA">
        <w:rPr>
          <w:rFonts w:ascii="Verdana" w:hAnsi="Verdana" w:cs="Arial"/>
          <w:bCs/>
          <w:lang w:val="es-MX"/>
        </w:rPr>
        <w:t xml:space="preserve"> </w:t>
      </w:r>
      <w:r>
        <w:rPr>
          <w:rFonts w:ascii="Verdana" w:hAnsi="Verdana" w:cs="Arial"/>
          <w:bCs/>
          <w:lang w:val="es-MX"/>
        </w:rPr>
        <w:t>“</w:t>
      </w:r>
      <w:r w:rsidRPr="002A30BA">
        <w:rPr>
          <w:rFonts w:ascii="Verdana" w:hAnsi="Verdana" w:cs="Arial"/>
          <w:bCs/>
          <w:lang w:val="es-MX"/>
        </w:rPr>
        <w:t xml:space="preserve">Los contratos que celebren las </w:t>
      </w:r>
      <w:r w:rsidRPr="00C87D7C">
        <w:rPr>
          <w:rFonts w:ascii="Verdana" w:hAnsi="Verdana" w:cs="Arial"/>
          <w:bCs/>
          <w:i/>
          <w:iCs/>
          <w:lang w:val="es-MX"/>
        </w:rPr>
        <w:t>entidades estatales que prestan los servicios públicos</w:t>
      </w:r>
      <w:r w:rsidRPr="002A30BA">
        <w:rPr>
          <w:rFonts w:ascii="Verdana" w:hAnsi="Verdana" w:cs="Arial"/>
          <w:bCs/>
          <w:lang w:val="es-MX"/>
        </w:rPr>
        <w:t xml:space="preserve"> a los que se refiere esta ley no estarán sujetos a las disposiciones del Estatuto General de Contratación de la Administración Pública, salvo en lo que la presente ley dispong</w:t>
      </w:r>
      <w:r w:rsidRPr="008638A5">
        <w:rPr>
          <w:rFonts w:ascii="Verdana" w:hAnsi="Verdana" w:cs="Arial"/>
          <w:bCs/>
          <w:lang w:val="es-MX"/>
        </w:rPr>
        <w:t>a otra cosa”</w:t>
      </w:r>
      <w:r>
        <w:rPr>
          <w:rFonts w:ascii="Verdana" w:hAnsi="Verdana" w:cs="Arial"/>
          <w:bCs/>
          <w:lang w:val="es-MX"/>
        </w:rPr>
        <w:t xml:space="preserve"> (Énfasis fuera de texto)</w:t>
      </w:r>
      <w:r w:rsidRPr="008638A5">
        <w:rPr>
          <w:rFonts w:ascii="Verdana" w:hAnsi="Verdana" w:cs="Arial"/>
          <w:bCs/>
          <w:lang w:val="es-MX"/>
        </w:rPr>
        <w:t xml:space="preserve">. </w:t>
      </w:r>
    </w:p>
    <w:p w14:paraId="4F4A94CD" w14:textId="77777777" w:rsidR="00C077A3" w:rsidRDefault="00C077A3" w:rsidP="00C077A3">
      <w:pPr>
        <w:spacing w:after="120" w:line="276" w:lineRule="auto"/>
        <w:ind w:firstLine="708"/>
        <w:jc w:val="both"/>
        <w:rPr>
          <w:rFonts w:ascii="Verdana" w:hAnsi="Verdana" w:cs="Arial"/>
          <w:bCs/>
          <w:lang w:val="es-MX"/>
        </w:rPr>
      </w:pPr>
      <w:r>
        <w:rPr>
          <w:rFonts w:ascii="Verdana" w:hAnsi="Verdana" w:cs="Arial"/>
          <w:bCs/>
          <w:lang w:val="es-MX"/>
        </w:rPr>
        <w:t>Asimismo,</w:t>
      </w:r>
      <w:r w:rsidRPr="00C87D7C">
        <w:rPr>
          <w:rFonts w:ascii="Verdana" w:hAnsi="Verdana" w:cs="Arial"/>
          <w:bCs/>
          <w:lang w:val="es-MX"/>
        </w:rPr>
        <w:t xml:space="preserve"> </w:t>
      </w:r>
      <w:r>
        <w:rPr>
          <w:rFonts w:ascii="Verdana" w:hAnsi="Verdana" w:cs="Arial"/>
          <w:bCs/>
          <w:lang w:val="es-MX"/>
        </w:rPr>
        <w:t>el inciso primero del</w:t>
      </w:r>
      <w:r w:rsidRPr="00C87D7C">
        <w:rPr>
          <w:rFonts w:ascii="Verdana" w:hAnsi="Verdana" w:cs="Arial"/>
          <w:bCs/>
          <w:lang w:val="es-MX"/>
        </w:rPr>
        <w:t xml:space="preserve"> artículo 32 </w:t>
      </w:r>
      <w:r w:rsidRPr="00C87D7C">
        <w:rPr>
          <w:rFonts w:ascii="Verdana" w:hAnsi="Verdana" w:cs="Arial"/>
          <w:bCs/>
          <w:i/>
          <w:iCs/>
          <w:lang w:val="es-MX"/>
        </w:rPr>
        <w:t>ibidem</w:t>
      </w:r>
      <w:r>
        <w:rPr>
          <w:rFonts w:ascii="Verdana" w:hAnsi="Verdana" w:cs="Arial"/>
          <w:bCs/>
          <w:lang w:val="es-MX"/>
        </w:rPr>
        <w:t xml:space="preserve"> precisa lo siguiente: “</w:t>
      </w:r>
      <w:r w:rsidRPr="00C87D7C">
        <w:rPr>
          <w:rFonts w:ascii="Verdana" w:hAnsi="Verdana" w:cs="Arial"/>
          <w:bCs/>
          <w:lang w:val="es-MX"/>
        </w:rPr>
        <w:t xml:space="preserve">Salvo en cuanto la Constitución Política o esta Ley dispongan expresamente lo contrario, la constitución, y los actos de todas las </w:t>
      </w:r>
      <w:r w:rsidRPr="00C87D7C">
        <w:rPr>
          <w:rFonts w:ascii="Verdana" w:hAnsi="Verdana" w:cs="Arial"/>
          <w:bCs/>
          <w:i/>
          <w:iCs/>
          <w:lang w:val="es-MX"/>
        </w:rPr>
        <w:t>empresas de servicios públicos</w:t>
      </w:r>
      <w:r w:rsidRPr="00C87D7C">
        <w:rPr>
          <w:rFonts w:ascii="Verdana" w:hAnsi="Verdana" w:cs="Arial"/>
          <w:bCs/>
          <w:lang w:val="es-MX"/>
        </w:rPr>
        <w:t xml:space="preserve">, así como los requeridos para la administración y el ejercicio de los derechos de todas las personas que sean socias de ellas, en lo no dispuesto en esta Ley, se </w:t>
      </w:r>
      <w:r w:rsidRPr="00C87D7C">
        <w:rPr>
          <w:rFonts w:ascii="Verdana" w:hAnsi="Verdana" w:cs="Arial"/>
          <w:bCs/>
          <w:lang w:val="es-MX"/>
        </w:rPr>
        <w:lastRenderedPageBreak/>
        <w:t>regirán exclusivamente por las reglas del derecho privado</w:t>
      </w:r>
      <w:r>
        <w:rPr>
          <w:rFonts w:ascii="Verdana" w:hAnsi="Verdana" w:cs="Arial"/>
          <w:bCs/>
          <w:lang w:val="es-MX"/>
        </w:rPr>
        <w:t>” (Énfasis fuera de texto)</w:t>
      </w:r>
      <w:r w:rsidRPr="00C87D7C">
        <w:rPr>
          <w:rFonts w:ascii="Verdana" w:hAnsi="Verdana" w:cs="Arial"/>
          <w:bCs/>
          <w:lang w:val="es-MX"/>
        </w:rPr>
        <w:t>.</w:t>
      </w:r>
      <w:r>
        <w:rPr>
          <w:rFonts w:ascii="Verdana" w:hAnsi="Verdana" w:cs="Arial"/>
          <w:bCs/>
          <w:lang w:val="es-MX"/>
        </w:rPr>
        <w:t xml:space="preserve"> </w:t>
      </w:r>
    </w:p>
    <w:p w14:paraId="7B3B69A4" w14:textId="77777777" w:rsidR="00C077A3" w:rsidRPr="00E0284C" w:rsidRDefault="00C077A3" w:rsidP="00C077A3">
      <w:pPr>
        <w:spacing w:after="0" w:line="276" w:lineRule="auto"/>
        <w:ind w:firstLine="708"/>
        <w:jc w:val="both"/>
        <w:rPr>
          <w:rFonts w:ascii="Verdana" w:hAnsi="Verdana" w:cs="Arial"/>
        </w:rPr>
      </w:pPr>
      <w:r>
        <w:rPr>
          <w:rFonts w:ascii="Verdana" w:eastAsia="Calibri" w:hAnsi="Verdana" w:cs="Arial"/>
          <w:color w:val="000000" w:themeColor="text1"/>
          <w:lang w:val="es-ES"/>
        </w:rPr>
        <w:t>De esta manera, el</w:t>
      </w:r>
      <w:r w:rsidRPr="00060C87">
        <w:rPr>
          <w:rFonts w:ascii="Verdana" w:eastAsia="Calibri" w:hAnsi="Verdana" w:cs="Arial"/>
          <w:color w:val="000000" w:themeColor="text1"/>
          <w:lang w:val="es-ES"/>
        </w:rPr>
        <w:t xml:space="preserve"> máximo órgano de la Jurisdicción de lo Contencioso Administrativo</w:t>
      </w:r>
      <w:r>
        <w:rPr>
          <w:rFonts w:ascii="Verdana" w:eastAsia="Calibri" w:hAnsi="Verdana" w:cs="Arial"/>
          <w:color w:val="000000" w:themeColor="text1"/>
          <w:lang w:val="es-ES"/>
        </w:rPr>
        <w:t xml:space="preserve"> considera que</w:t>
      </w:r>
      <w:r w:rsidRPr="00060C87">
        <w:rPr>
          <w:rFonts w:ascii="Verdana" w:eastAsia="Calibri" w:hAnsi="Verdana" w:cs="Arial"/>
          <w:color w:val="000000" w:themeColor="text1"/>
          <w:lang w:val="es-ES"/>
        </w:rPr>
        <w:t xml:space="preserve">: </w:t>
      </w:r>
    </w:p>
    <w:p w14:paraId="3150AB5F" w14:textId="77777777" w:rsidR="00C077A3" w:rsidRPr="00060C87" w:rsidRDefault="00C077A3" w:rsidP="00C077A3">
      <w:pPr>
        <w:tabs>
          <w:tab w:val="left" w:pos="426"/>
        </w:tabs>
        <w:spacing w:after="0" w:line="276" w:lineRule="auto"/>
        <w:jc w:val="both"/>
        <w:rPr>
          <w:rFonts w:ascii="Verdana" w:eastAsia="Calibri" w:hAnsi="Verdana" w:cs="Arial"/>
          <w:color w:val="000000" w:themeColor="text1"/>
          <w:lang w:val="es-ES"/>
        </w:rPr>
      </w:pPr>
    </w:p>
    <w:p w14:paraId="7ECB1979" w14:textId="77777777" w:rsidR="00C077A3" w:rsidRPr="00033F5A" w:rsidRDefault="00C077A3" w:rsidP="00C077A3">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509D3F7A" w14:textId="77777777" w:rsidR="00C077A3" w:rsidRPr="00033F5A" w:rsidRDefault="00C077A3" w:rsidP="00C077A3">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3B99035D" w14:textId="77777777" w:rsidR="00C077A3" w:rsidRPr="00033F5A" w:rsidRDefault="00C077A3" w:rsidP="00C077A3">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033F5A">
        <w:rPr>
          <w:rStyle w:val="Refdenotaalpie"/>
          <w:rFonts w:ascii="Verdana" w:eastAsia="Calibri" w:hAnsi="Verdana" w:cs="Arial"/>
          <w:color w:val="000000" w:themeColor="text1"/>
          <w:sz w:val="20"/>
          <w:szCs w:val="20"/>
          <w:lang w:val="es-ES"/>
        </w:rPr>
        <w:footnoteReference w:id="1"/>
      </w:r>
      <w:r w:rsidRPr="00033F5A">
        <w:rPr>
          <w:rFonts w:ascii="Verdana" w:eastAsia="Calibri" w:hAnsi="Verdana" w:cs="Arial"/>
          <w:color w:val="000000" w:themeColor="text1"/>
          <w:sz w:val="20"/>
          <w:szCs w:val="20"/>
          <w:lang w:val="es-ES"/>
        </w:rPr>
        <w:t>.</w:t>
      </w:r>
    </w:p>
    <w:p w14:paraId="7822CAAB" w14:textId="77777777" w:rsidR="00C077A3" w:rsidRPr="00060C87" w:rsidRDefault="00C077A3" w:rsidP="00C077A3">
      <w:pPr>
        <w:spacing w:after="0" w:line="276" w:lineRule="auto"/>
        <w:jc w:val="both"/>
        <w:rPr>
          <w:rFonts w:ascii="Verdana" w:hAnsi="Verdana" w:cs="Arial"/>
          <w:bCs/>
          <w:lang w:val="es-ES"/>
        </w:rPr>
      </w:pPr>
    </w:p>
    <w:p w14:paraId="69C5F1B0" w14:textId="77777777" w:rsidR="00C077A3" w:rsidRDefault="00C077A3" w:rsidP="00C077A3">
      <w:pPr>
        <w:tabs>
          <w:tab w:val="left" w:pos="0"/>
        </w:tabs>
        <w:spacing w:after="120" w:line="276" w:lineRule="auto"/>
        <w:ind w:firstLine="709"/>
        <w:jc w:val="both"/>
        <w:rPr>
          <w:rFonts w:ascii="Verdana" w:eastAsia="Calibri" w:hAnsi="Verdana" w:cs="Arial"/>
          <w:bCs/>
          <w:color w:val="000000" w:themeColor="text1"/>
          <w:lang w:val="es-ES_tradnl"/>
        </w:rPr>
      </w:pPr>
      <w:r w:rsidRPr="008638A5">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8638A5">
        <w:rPr>
          <w:rStyle w:val="Refdenotaalpie"/>
          <w:rFonts w:ascii="Verdana" w:eastAsia="Calibri" w:hAnsi="Verdana" w:cs="Arial"/>
          <w:bCs/>
          <w:color w:val="000000" w:themeColor="text1"/>
          <w:lang w:val="es-ES_tradnl"/>
        </w:rPr>
        <w:footnoteReference w:id="2"/>
      </w:r>
      <w:r w:rsidRPr="008638A5">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8638A5">
        <w:rPr>
          <w:rFonts w:ascii="Verdana" w:eastAsia="Calibri" w:hAnsi="Verdana" w:cs="Arial"/>
          <w:bCs/>
          <w:i/>
          <w:iCs/>
          <w:color w:val="000000" w:themeColor="text1"/>
          <w:lang w:val="es-ES_tradnl"/>
        </w:rPr>
        <w:t>oficiales</w:t>
      </w:r>
      <w:r w:rsidRPr="008638A5">
        <w:rPr>
          <w:rFonts w:ascii="Verdana" w:eastAsia="Calibri" w:hAnsi="Verdana" w:cs="Arial"/>
          <w:bCs/>
          <w:color w:val="000000" w:themeColor="text1"/>
          <w:lang w:val="es-ES_tradnl"/>
        </w:rPr>
        <w:t xml:space="preserve">, </w:t>
      </w:r>
      <w:r w:rsidRPr="008638A5">
        <w:rPr>
          <w:rFonts w:ascii="Verdana" w:eastAsia="Calibri" w:hAnsi="Verdana" w:cs="Arial"/>
          <w:bCs/>
          <w:i/>
          <w:iCs/>
          <w:color w:val="000000" w:themeColor="text1"/>
          <w:lang w:val="es-ES_tradnl"/>
        </w:rPr>
        <w:t>mixtas</w:t>
      </w:r>
      <w:r w:rsidRPr="008638A5">
        <w:rPr>
          <w:rFonts w:ascii="Verdana" w:eastAsia="Calibri" w:hAnsi="Verdana" w:cs="Arial"/>
          <w:bCs/>
          <w:color w:val="000000" w:themeColor="text1"/>
          <w:lang w:val="es-ES_tradnl"/>
        </w:rPr>
        <w:t xml:space="preserve"> o </w:t>
      </w:r>
      <w:r w:rsidRPr="008638A5">
        <w:rPr>
          <w:rFonts w:ascii="Verdana" w:eastAsia="Calibri" w:hAnsi="Verdana" w:cs="Arial"/>
          <w:bCs/>
          <w:i/>
          <w:iCs/>
          <w:color w:val="000000" w:themeColor="text1"/>
          <w:lang w:val="es-ES_tradnl"/>
        </w:rPr>
        <w:t>privadas</w:t>
      </w:r>
      <w:r w:rsidRPr="008638A5">
        <w:rPr>
          <w:rFonts w:ascii="Verdana" w:eastAsia="Calibri" w:hAnsi="Verdana" w:cs="Arial"/>
          <w:bCs/>
          <w:color w:val="000000" w:themeColor="text1"/>
          <w:lang w:val="es-ES_tradnl"/>
        </w:rPr>
        <w:t xml:space="preserve">, estas tres especies ingresan en la categoría de las </w:t>
      </w:r>
      <w:r w:rsidRPr="008638A5">
        <w:rPr>
          <w:rFonts w:ascii="Verdana" w:eastAsia="Calibri" w:hAnsi="Verdana" w:cs="Arial"/>
          <w:bCs/>
          <w:i/>
          <w:iCs/>
          <w:color w:val="000000" w:themeColor="text1"/>
          <w:lang w:val="es-ES_tradnl"/>
        </w:rPr>
        <w:t>entidades descentralizadas por servicios</w:t>
      </w:r>
      <w:r>
        <w:rPr>
          <w:rFonts w:ascii="Verdana" w:eastAsia="Calibri" w:hAnsi="Verdana" w:cs="Arial"/>
          <w:bCs/>
          <w:color w:val="000000" w:themeColor="text1"/>
          <w:lang w:val="es-ES_tradnl"/>
        </w:rPr>
        <w:t xml:space="preserve">, es decir, hacen parte de la Rama Ejecutiva del Orden Público. </w:t>
      </w:r>
      <w:r w:rsidRPr="008638A5">
        <w:rPr>
          <w:rFonts w:ascii="Verdana" w:eastAsia="Calibri" w:hAnsi="Verdana" w:cs="Arial"/>
          <w:bCs/>
          <w:color w:val="000000" w:themeColor="text1"/>
          <w:lang w:val="es-ES_tradnl"/>
        </w:rPr>
        <w:t xml:space="preserve"> </w:t>
      </w:r>
    </w:p>
    <w:p w14:paraId="69D5D89B" w14:textId="77777777" w:rsidR="00C077A3" w:rsidRDefault="00C077A3" w:rsidP="00C077A3">
      <w:pPr>
        <w:tabs>
          <w:tab w:val="left" w:pos="0"/>
        </w:tabs>
        <w:spacing w:after="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Al respecto</w:t>
      </w:r>
      <w:r w:rsidRPr="008638A5">
        <w:rPr>
          <w:rFonts w:ascii="Verdana" w:eastAsia="Calibri" w:hAnsi="Verdana" w:cs="Arial"/>
          <w:bCs/>
          <w:color w:val="000000" w:themeColor="text1"/>
          <w:lang w:val="es-ES_tradnl"/>
        </w:rPr>
        <w:t xml:space="preserve">, debe recordarse que en dicha Sentencia el alto tribunal afirmó que las empresas prestadoras de servicios públicos domiciliarios </w:t>
      </w:r>
      <w:r w:rsidRPr="008638A5">
        <w:rPr>
          <w:rFonts w:ascii="Verdana" w:eastAsia="Calibri" w:hAnsi="Verdana" w:cs="Arial"/>
          <w:bCs/>
          <w:i/>
          <w:iCs/>
          <w:color w:val="000000" w:themeColor="text1"/>
          <w:lang w:val="es-ES_tradnl"/>
        </w:rPr>
        <w:t>mixtas y privadas</w:t>
      </w:r>
      <w:r w:rsidRPr="008638A5">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 xml:space="preserve">con aportes estatales </w:t>
      </w:r>
      <w:r w:rsidRPr="008638A5">
        <w:rPr>
          <w:rFonts w:ascii="Verdana" w:eastAsia="Calibri" w:hAnsi="Verdana" w:cs="Arial"/>
          <w:bCs/>
          <w:color w:val="000000" w:themeColor="text1"/>
          <w:lang w:val="es-ES_tradnl"/>
        </w:rPr>
        <w:t xml:space="preserve">son tipos </w:t>
      </w:r>
      <w:r w:rsidRPr="008638A5">
        <w:rPr>
          <w:rFonts w:ascii="Verdana" w:eastAsia="Calibri" w:hAnsi="Verdana" w:cs="Arial"/>
          <w:bCs/>
          <w:i/>
          <w:iCs/>
          <w:color w:val="000000" w:themeColor="text1"/>
          <w:lang w:val="es-ES_tradnl"/>
        </w:rPr>
        <w:t>especiales</w:t>
      </w:r>
      <w:r w:rsidRPr="008638A5">
        <w:rPr>
          <w:rFonts w:ascii="Verdana" w:eastAsia="Calibri" w:hAnsi="Verdana" w:cs="Arial"/>
          <w:bCs/>
          <w:color w:val="000000" w:themeColor="text1"/>
          <w:lang w:val="es-ES_tradnl"/>
        </w:rPr>
        <w:t xml:space="preserve"> de entidades descentralizadas por servicios que, por tanto, no pueden e</w:t>
      </w:r>
      <w:r>
        <w:rPr>
          <w:rFonts w:ascii="Verdana" w:eastAsia="Calibri" w:hAnsi="Verdana" w:cs="Arial"/>
          <w:bCs/>
          <w:color w:val="000000" w:themeColor="text1"/>
          <w:lang w:val="es-ES_tradnl"/>
        </w:rPr>
        <w:t>nmarcarse</w:t>
      </w:r>
      <w:r w:rsidRPr="008638A5">
        <w:rPr>
          <w:rFonts w:ascii="Verdana" w:eastAsia="Calibri" w:hAnsi="Verdana" w:cs="Arial"/>
          <w:bCs/>
          <w:color w:val="000000" w:themeColor="text1"/>
          <w:lang w:val="es-ES_tradnl"/>
        </w:rPr>
        <w:t xml:space="preserve"> en las otras </w:t>
      </w:r>
      <w:r w:rsidRPr="008638A5">
        <w:rPr>
          <w:rFonts w:ascii="Verdana" w:eastAsia="Calibri" w:hAnsi="Verdana" w:cs="Arial"/>
          <w:bCs/>
          <w:color w:val="000000" w:themeColor="text1"/>
          <w:lang w:val="es-ES_tradnl"/>
        </w:rPr>
        <w:lastRenderedPageBreak/>
        <w:t>especies de entidades descentralizadas por servicios enlistadas en el artículo 38 de la Ley 489 de 1998, es decir, que no cabe considerarlas, verbigracia, dentro de las sociedades públicas ni en las sociedades de economía mixta.</w:t>
      </w:r>
      <w:r>
        <w:rPr>
          <w:rFonts w:ascii="Verdana" w:eastAsia="Calibri" w:hAnsi="Verdana" w:cs="Arial"/>
          <w:bCs/>
          <w:color w:val="000000" w:themeColor="text1"/>
          <w:lang w:val="es-ES_tradnl"/>
        </w:rPr>
        <w:t xml:space="preserve"> En dicho sentido, en el numeral 5.3. de la precitada Sentencia expresa: </w:t>
      </w:r>
    </w:p>
    <w:p w14:paraId="4BE3B32F" w14:textId="77777777" w:rsidR="00C077A3" w:rsidRDefault="00C077A3" w:rsidP="00C077A3">
      <w:pPr>
        <w:tabs>
          <w:tab w:val="left" w:pos="0"/>
        </w:tabs>
        <w:spacing w:after="0" w:line="276" w:lineRule="auto"/>
        <w:jc w:val="both"/>
        <w:rPr>
          <w:rFonts w:ascii="Verdana" w:eastAsia="Calibri" w:hAnsi="Verdana" w:cs="Arial"/>
          <w:bCs/>
          <w:color w:val="000000" w:themeColor="text1"/>
          <w:lang w:val="es-ES_tradnl"/>
        </w:rPr>
      </w:pPr>
    </w:p>
    <w:p w14:paraId="795DFC18" w14:textId="77777777" w:rsidR="00C077A3" w:rsidRDefault="00C077A3" w:rsidP="00C077A3">
      <w:pPr>
        <w:tabs>
          <w:tab w:val="left" w:pos="0"/>
        </w:tabs>
        <w:spacing w:after="0" w:line="276" w:lineRule="auto"/>
        <w:ind w:left="709" w:right="709"/>
        <w:jc w:val="both"/>
        <w:rPr>
          <w:rFonts w:ascii="Verdana" w:eastAsia="Times New Roman" w:hAnsi="Verdana" w:cs="Arial"/>
          <w:sz w:val="20"/>
          <w:szCs w:val="20"/>
          <w:lang w:val="es-ES" w:eastAsia="es-ES"/>
        </w:rPr>
      </w:pPr>
      <w:r w:rsidRPr="00270257">
        <w:rPr>
          <w:rFonts w:ascii="Verdana" w:eastAsia="Calibri" w:hAnsi="Verdana" w:cs="Arial"/>
          <w:bCs/>
          <w:color w:val="000000" w:themeColor="text1"/>
          <w:sz w:val="20"/>
          <w:szCs w:val="20"/>
          <w:lang w:val="es-ES_tradnl"/>
        </w:rPr>
        <w:t>“</w:t>
      </w:r>
      <w:r w:rsidRPr="00270257">
        <w:rPr>
          <w:rFonts w:ascii="Verdana" w:eastAsia="Times New Roman" w:hAnsi="Verdana" w:cs="Arial"/>
          <w:sz w:val="20"/>
          <w:szCs w:val="20"/>
          <w:lang w:val="es-ES" w:eastAsia="es-ES"/>
        </w:rPr>
        <w:t xml:space="preserve">[…] desde la perspectiva constitucional, en el nivel nacional las empresas de servicios públicos públicas, mixtas o privadas en las </w:t>
      </w:r>
      <w:r w:rsidRPr="00270257">
        <w:rPr>
          <w:rFonts w:ascii="Verdana" w:eastAsia="Times New Roman" w:hAnsi="Verdana" w:cs="Arial"/>
          <w:i/>
          <w:sz w:val="20"/>
          <w:szCs w:val="20"/>
          <w:lang w:val="es-ES" w:eastAsia="es-ES"/>
        </w:rPr>
        <w:t>cuales haya cualquier porcentaje de capital público pueden formar parte de la estructura de la Rama Ejecutiva</w:t>
      </w:r>
      <w:r w:rsidRPr="00270257">
        <w:rPr>
          <w:rFonts w:ascii="Verdana" w:eastAsia="Times New Roman" w:hAnsi="Verdana" w:cs="Arial"/>
          <w:sz w:val="20"/>
          <w:szCs w:val="20"/>
          <w:lang w:val="es-ES" w:eastAsia="es-ES"/>
        </w:rPr>
        <w:t>, según lo disponga el legislador, que para esos efectos está revestido de las facultades que le confiere expresamente el numeral 7° del artículo150 superior (énfasis fuera de texto)”</w:t>
      </w:r>
      <w:r w:rsidRPr="00270257">
        <w:rPr>
          <w:rStyle w:val="Refdenotaalpie"/>
          <w:rFonts w:ascii="Verdana" w:eastAsia="Times New Roman" w:hAnsi="Verdana" w:cs="Arial"/>
          <w:sz w:val="20"/>
          <w:szCs w:val="20"/>
          <w:lang w:val="es-ES" w:eastAsia="es-ES"/>
        </w:rPr>
        <w:footnoteReference w:id="3"/>
      </w:r>
    </w:p>
    <w:p w14:paraId="259D25BF" w14:textId="77777777" w:rsidR="00C077A3" w:rsidRDefault="00C077A3" w:rsidP="00C077A3">
      <w:pPr>
        <w:tabs>
          <w:tab w:val="left" w:pos="0"/>
        </w:tabs>
        <w:spacing w:after="0" w:line="276" w:lineRule="auto"/>
        <w:ind w:right="709"/>
        <w:jc w:val="both"/>
        <w:rPr>
          <w:rFonts w:ascii="Verdana" w:eastAsia="Times New Roman" w:hAnsi="Verdana" w:cs="Arial"/>
          <w:sz w:val="20"/>
          <w:szCs w:val="20"/>
          <w:lang w:val="es-ES" w:eastAsia="es-ES"/>
        </w:rPr>
      </w:pPr>
    </w:p>
    <w:p w14:paraId="18BDE223" w14:textId="77777777" w:rsidR="00C077A3" w:rsidRPr="00270257" w:rsidRDefault="00C077A3" w:rsidP="00C077A3">
      <w:pPr>
        <w:tabs>
          <w:tab w:val="left" w:pos="0"/>
        </w:tabs>
        <w:spacing w:before="120" w:after="0" w:line="276" w:lineRule="auto"/>
        <w:jc w:val="both"/>
        <w:rPr>
          <w:rFonts w:ascii="Verdana" w:eastAsia="Times New Roman" w:hAnsi="Verdana" w:cs="Arial"/>
          <w:lang w:val="es-ES" w:eastAsia="es-ES"/>
        </w:rPr>
      </w:pPr>
      <w:r>
        <w:rPr>
          <w:rFonts w:ascii="Verdana" w:eastAsia="Times New Roman" w:hAnsi="Verdana" w:cs="Arial"/>
          <w:lang w:val="es-ES" w:eastAsia="es-ES"/>
        </w:rPr>
        <w:tab/>
        <w:t>Lo expuesto, permite resaltar</w:t>
      </w:r>
      <w:r w:rsidRPr="00270257">
        <w:rPr>
          <w:rFonts w:ascii="Verdana" w:eastAsia="Times New Roman" w:hAnsi="Verdana" w:cs="Arial"/>
          <w:lang w:val="es-ES" w:eastAsia="es-ES"/>
        </w:rPr>
        <w:t xml:space="preserve"> la flexibilidad constitucional al legislador colombiano</w:t>
      </w:r>
      <w:r>
        <w:rPr>
          <w:rFonts w:ascii="Verdana" w:eastAsia="Times New Roman" w:hAnsi="Verdana" w:cs="Arial"/>
          <w:lang w:val="es-ES" w:eastAsia="es-ES"/>
        </w:rPr>
        <w:t xml:space="preserve"> de</w:t>
      </w:r>
      <w:r w:rsidRPr="00270257">
        <w:rPr>
          <w:rFonts w:ascii="Verdana" w:eastAsia="Times New Roman" w:hAnsi="Verdana" w:cs="Arial"/>
          <w:lang w:val="es-ES" w:eastAsia="es-ES"/>
        </w:rPr>
        <w:t xml:space="preserve"> incorporar empresas de servicios públicos —ya sean públicas, mixtas o privadas con participación estatal— dentro de la estructura de la Rama Ejecutiva. Esta posibilida</w:t>
      </w:r>
      <w:r>
        <w:rPr>
          <w:rFonts w:ascii="Verdana" w:eastAsia="Times New Roman" w:hAnsi="Verdana" w:cs="Arial"/>
          <w:lang w:val="es-ES" w:eastAsia="es-ES"/>
        </w:rPr>
        <w:t>d se justifica</w:t>
      </w:r>
      <w:r w:rsidRPr="00270257">
        <w:rPr>
          <w:rFonts w:ascii="Verdana" w:eastAsia="Times New Roman" w:hAnsi="Verdana" w:cs="Arial"/>
          <w:lang w:val="es-ES" w:eastAsia="es-ES"/>
        </w:rPr>
        <w:t xml:space="preserve"> en el numeral 7° del artículo 150 de la Constitución, que </w:t>
      </w:r>
      <w:r>
        <w:rPr>
          <w:rFonts w:ascii="Verdana" w:eastAsia="Times New Roman" w:hAnsi="Verdana" w:cs="Arial"/>
          <w:lang w:val="es-ES" w:eastAsia="es-ES"/>
        </w:rPr>
        <w:t xml:space="preserve">otorga la competencia </w:t>
      </w:r>
      <w:r w:rsidRPr="00270257">
        <w:rPr>
          <w:rFonts w:ascii="Verdana" w:eastAsia="Times New Roman" w:hAnsi="Verdana" w:cs="Arial"/>
          <w:lang w:val="es-ES" w:eastAsia="es-ES"/>
        </w:rPr>
        <w:t>al Congreso la facultad de organizar la a</w:t>
      </w:r>
      <w:r>
        <w:rPr>
          <w:rFonts w:ascii="Verdana" w:eastAsia="Times New Roman" w:hAnsi="Verdana" w:cs="Arial"/>
          <w:lang w:val="es-ES" w:eastAsia="es-ES"/>
        </w:rPr>
        <w:t>dministración nacional. De esta manera, no</w:t>
      </w:r>
      <w:r w:rsidRPr="00270257">
        <w:rPr>
          <w:rFonts w:ascii="Verdana" w:eastAsia="Times New Roman" w:hAnsi="Verdana" w:cs="Arial"/>
          <w:lang w:val="es-ES" w:eastAsia="es-ES"/>
        </w:rPr>
        <w:t xml:space="preserve"> es necesario que la empresa sea completamente pública para que pueda </w:t>
      </w:r>
      <w:r>
        <w:rPr>
          <w:rFonts w:ascii="Verdana" w:eastAsia="Times New Roman" w:hAnsi="Verdana" w:cs="Arial"/>
          <w:lang w:val="es-ES" w:eastAsia="es-ES"/>
        </w:rPr>
        <w:t>considerarse parte del Estado.</w:t>
      </w:r>
    </w:p>
    <w:p w14:paraId="479912B6" w14:textId="77777777" w:rsidR="00C077A3" w:rsidRPr="00270257" w:rsidRDefault="00C077A3" w:rsidP="00C077A3">
      <w:pPr>
        <w:tabs>
          <w:tab w:val="left" w:pos="0"/>
        </w:tabs>
        <w:spacing w:before="120" w:after="0" w:line="276" w:lineRule="auto"/>
        <w:ind w:firstLine="709"/>
        <w:jc w:val="both"/>
        <w:rPr>
          <w:rFonts w:ascii="Verdana" w:eastAsia="Times New Roman" w:hAnsi="Verdana" w:cs="Arial"/>
          <w:sz w:val="20"/>
          <w:szCs w:val="20"/>
          <w:lang w:val="es-ES" w:eastAsia="es-ES"/>
        </w:rPr>
      </w:pPr>
      <w:r>
        <w:rPr>
          <w:rFonts w:ascii="Verdana" w:eastAsia="Times New Roman" w:hAnsi="Verdana" w:cs="Times New Roman"/>
          <w:lang w:val="es-ES" w:eastAsia="es-ES"/>
        </w:rPr>
        <w:lastRenderedPageBreak/>
        <w:t>Posteriormente, en la Sentencia precitada haciendo un análisis de los artículos 38</w:t>
      </w:r>
      <w:r>
        <w:rPr>
          <w:rStyle w:val="Refdenotaalpie"/>
          <w:rFonts w:ascii="Verdana" w:eastAsia="Times New Roman" w:hAnsi="Verdana" w:cs="Times New Roman"/>
          <w:lang w:val="es-ES" w:eastAsia="es-ES"/>
        </w:rPr>
        <w:footnoteReference w:id="4"/>
      </w:r>
      <w:r>
        <w:rPr>
          <w:rFonts w:ascii="Verdana" w:eastAsia="Times New Roman" w:hAnsi="Verdana" w:cs="Times New Roman"/>
          <w:lang w:val="es-ES" w:eastAsia="es-ES"/>
        </w:rPr>
        <w:t xml:space="preserve"> y 68</w:t>
      </w:r>
      <w:r>
        <w:rPr>
          <w:rStyle w:val="Refdenotaalpie"/>
          <w:rFonts w:ascii="Verdana" w:eastAsia="Times New Roman" w:hAnsi="Verdana" w:cs="Times New Roman"/>
          <w:lang w:val="es-ES" w:eastAsia="es-ES"/>
        </w:rPr>
        <w:footnoteReference w:id="5"/>
      </w:r>
      <w:r>
        <w:rPr>
          <w:rFonts w:ascii="Verdana" w:eastAsia="Times New Roman" w:hAnsi="Verdana" w:cs="Times New Roman"/>
          <w:lang w:val="es-ES" w:eastAsia="es-ES"/>
        </w:rPr>
        <w:t xml:space="preserve"> de la Ley 489 de 1998 sobre la integración de la Rama Ejecutiva del Poder Público en el orden nacional y cuáles son las entidades descentralizadas del orden nacional, solo se incluyen a las empresas de servicios públicos domiciliarios, pero no de manera expresa a las empresas mixtas o </w:t>
      </w:r>
      <w:r>
        <w:rPr>
          <w:rFonts w:ascii="Verdana" w:eastAsia="Times New Roman" w:hAnsi="Verdana" w:cs="Times New Roman"/>
          <w:lang w:val="es-ES" w:eastAsia="es-ES"/>
        </w:rPr>
        <w:lastRenderedPageBreak/>
        <w:t>privadas de la misma naturaleza. En este sentido, se cuestiona la constitucionalidad de dichos artículos, teniendo en cuenta que los numerales 6 y 7 del artículo 14 de la Ley 142 de 1994 señalan que son tipos societarios con capital del Estado y de los particulares:</w:t>
      </w:r>
    </w:p>
    <w:p w14:paraId="566F9A38" w14:textId="77777777" w:rsidR="00C077A3" w:rsidRDefault="00C077A3" w:rsidP="00C077A3">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val="es-ES" w:eastAsia="es-ES"/>
        </w:rPr>
      </w:pPr>
    </w:p>
    <w:p w14:paraId="127C48D6" w14:textId="77777777" w:rsidR="00C077A3" w:rsidRPr="00585A53" w:rsidRDefault="00C077A3" w:rsidP="00C077A3">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Pr>
          <w:rFonts w:ascii="Verdana" w:eastAsia="Times New Roman" w:hAnsi="Verdana" w:cs="Times New Roman"/>
          <w:sz w:val="20"/>
          <w:lang w:eastAsia="es-ES"/>
        </w:rPr>
        <w:t>“</w:t>
      </w:r>
      <w:r w:rsidRPr="00585A53">
        <w:rPr>
          <w:rFonts w:ascii="Verdana" w:eastAsia="Times New Roman" w:hAnsi="Verdana" w:cs="Times New Roman"/>
          <w:sz w:val="20"/>
          <w:lang w:eastAsia="es-ES"/>
        </w:rPr>
        <w:t xml:space="preserve">14.6. Empresa de servicios públicos mixta. Es aquella en cuyo capital la Nación, las entidades territoriales, o las entidades descentralizadas de aquella o </w:t>
      </w:r>
      <w:r w:rsidRPr="00585A53">
        <w:rPr>
          <w:rFonts w:ascii="Verdana" w:eastAsia="Times New Roman" w:hAnsi="Verdana" w:cs="Times New Roman"/>
          <w:i/>
          <w:sz w:val="20"/>
          <w:lang w:eastAsia="es-ES"/>
        </w:rPr>
        <w:t>éstas tienen aportes iguales o superiores al 50%. </w:t>
      </w:r>
    </w:p>
    <w:p w14:paraId="45030233" w14:textId="77777777" w:rsidR="00C077A3" w:rsidRPr="00585A53" w:rsidRDefault="00C077A3" w:rsidP="00C077A3">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w:t>
      </w:r>
    </w:p>
    <w:p w14:paraId="1F782ACF" w14:textId="77777777" w:rsidR="00C077A3" w:rsidRPr="00585A53" w:rsidRDefault="00C077A3" w:rsidP="00C077A3">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14.7. Empresa de servicios públicos privada. Es aquella cuyo capital pertenece </w:t>
      </w:r>
      <w:r w:rsidRPr="00585A53">
        <w:rPr>
          <w:rFonts w:ascii="Verdana" w:eastAsia="Times New Roman" w:hAnsi="Verdana" w:cs="Times New Roman"/>
          <w:i/>
          <w:sz w:val="20"/>
          <w:lang w:eastAsia="es-ES"/>
        </w:rPr>
        <w:t>mayoritariamente</w:t>
      </w:r>
      <w:r w:rsidRPr="00585A53">
        <w:rPr>
          <w:rFonts w:ascii="Verdana" w:eastAsia="Times New Roman" w:hAnsi="Verdana" w:cs="Times New Roman"/>
          <w:sz w:val="20"/>
          <w:lang w:eastAsia="es-ES"/>
        </w:rPr>
        <w:t xml:space="preserve"> a particulares, o a entidades surgidas de convenios internacionales que deseen someterse íntegramente para estos efectos a las reglas a las que se someten los p</w:t>
      </w:r>
      <w:r>
        <w:rPr>
          <w:rFonts w:ascii="Verdana" w:eastAsia="Times New Roman" w:hAnsi="Verdana" w:cs="Times New Roman"/>
          <w:sz w:val="20"/>
          <w:lang w:eastAsia="es-ES"/>
        </w:rPr>
        <w:t xml:space="preserve">articulares” (énfasis fuera de texto) </w:t>
      </w:r>
    </w:p>
    <w:p w14:paraId="600EF73A" w14:textId="77777777" w:rsidR="00C077A3" w:rsidRPr="00585A53" w:rsidRDefault="00C077A3" w:rsidP="00C077A3">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eastAsia="es-ES"/>
        </w:rPr>
      </w:pPr>
    </w:p>
    <w:p w14:paraId="392F5678" w14:textId="77777777" w:rsidR="00C077A3" w:rsidRDefault="00C077A3" w:rsidP="00C077A3">
      <w:pPr>
        <w:spacing w:after="120" w:line="276" w:lineRule="auto"/>
        <w:jc w:val="both"/>
        <w:rPr>
          <w:rFonts w:ascii="Verdana" w:eastAsia="Times New Roman" w:hAnsi="Verdana" w:cs="Times New Roman"/>
          <w:lang w:val="es-ES" w:eastAsia="es-ES"/>
        </w:rPr>
      </w:pPr>
      <w:r w:rsidRPr="00DE3ED2">
        <w:rPr>
          <w:rFonts w:ascii="Verdana" w:eastAsia="Times New Roman" w:hAnsi="Verdana" w:cs="Times New Roman"/>
          <w:lang w:val="es-ES" w:eastAsia="es-ES"/>
        </w:rPr>
        <w:tab/>
        <w:t xml:space="preserve">En este aspecto, la Sentencia expresa que una empresa de servicios públicos privada es aquella cuyo capital pertenece de forma mayoritaria a particulares, lo que implica que hay una participación minoritaria de las entidades del Estado. Mientras, una empresa de servicios públicos mixta es aquella en la cual el capital público </w:t>
      </w:r>
      <w:r w:rsidRPr="00E0284C">
        <w:rPr>
          <w:rFonts w:ascii="Verdana" w:eastAsia="Times New Roman" w:hAnsi="Verdana" w:cs="Times New Roman"/>
          <w:lang w:val="es-ES" w:eastAsia="es-ES"/>
        </w:rPr>
        <w:t>es igual o superior al</w:t>
      </w:r>
      <w:r w:rsidRPr="00DE3ED2">
        <w:rPr>
          <w:rFonts w:ascii="Verdana" w:eastAsia="Times New Roman" w:hAnsi="Verdana" w:cs="Times New Roman"/>
          <w:lang w:val="es-ES" w:eastAsia="es-ES"/>
        </w:rPr>
        <w:t xml:space="preserve"> cin</w:t>
      </w:r>
      <w:r>
        <w:rPr>
          <w:rFonts w:ascii="Verdana" w:eastAsia="Times New Roman" w:hAnsi="Verdana" w:cs="Times New Roman"/>
          <w:lang w:val="es-ES" w:eastAsia="es-ES"/>
        </w:rPr>
        <w:t>cuenta por ciento (50%), lo que implica</w:t>
      </w:r>
      <w:r w:rsidRPr="00DE3ED2">
        <w:rPr>
          <w:rFonts w:ascii="Verdana" w:eastAsia="Times New Roman" w:hAnsi="Verdana" w:cs="Times New Roman"/>
          <w:lang w:val="es-ES" w:eastAsia="es-ES"/>
        </w:rPr>
        <w:t xml:space="preserve"> </w:t>
      </w:r>
      <w:r w:rsidRPr="00E0284C">
        <w:rPr>
          <w:rFonts w:ascii="Verdana" w:eastAsia="Times New Roman" w:hAnsi="Verdana" w:cs="Times New Roman"/>
          <w:lang w:val="es-ES" w:eastAsia="es-ES"/>
        </w:rPr>
        <w:t>que</w:t>
      </w:r>
      <w:r>
        <w:rPr>
          <w:rFonts w:ascii="Verdana" w:eastAsia="Times New Roman" w:hAnsi="Verdana" w:cs="Times New Roman"/>
          <w:lang w:val="es-ES" w:eastAsia="es-ES"/>
        </w:rPr>
        <w:t>,</w:t>
      </w:r>
      <w:r w:rsidRPr="00E0284C">
        <w:rPr>
          <w:rFonts w:ascii="Verdana" w:eastAsia="Times New Roman" w:hAnsi="Verdana" w:cs="Times New Roman"/>
          <w:lang w:val="es-ES" w:eastAsia="es-ES"/>
        </w:rPr>
        <w:t xml:space="preserve"> </w:t>
      </w:r>
      <w:r w:rsidRPr="00E0284C">
        <w:rPr>
          <w:rFonts w:ascii="Verdana" w:eastAsia="Times New Roman" w:hAnsi="Verdana" w:cs="Times New Roman"/>
          <w:i/>
          <w:iCs/>
          <w:lang w:val="es-ES" w:eastAsia="es-ES"/>
        </w:rPr>
        <w:t xml:space="preserve">minoritariamente </w:t>
      </w:r>
      <w:r w:rsidRPr="00E0284C">
        <w:rPr>
          <w:rFonts w:ascii="Verdana" w:eastAsia="Times New Roman" w:hAnsi="Verdana" w:cs="Times New Roman"/>
          <w:lang w:val="es-ES" w:eastAsia="es-ES"/>
        </w:rPr>
        <w:t xml:space="preserve">pertenece a particulares. </w:t>
      </w:r>
    </w:p>
    <w:p w14:paraId="681510BC" w14:textId="77777777" w:rsidR="00C077A3" w:rsidRPr="00FF6C85" w:rsidRDefault="00C077A3" w:rsidP="00C077A3">
      <w:pPr>
        <w:spacing w:after="120" w:line="276" w:lineRule="auto"/>
        <w:jc w:val="both"/>
        <w:rPr>
          <w:rFonts w:ascii="Verdana" w:eastAsia="Times New Roman" w:hAnsi="Verdana" w:cs="Times New Roman"/>
          <w:lang w:val="es-ES" w:eastAsia="es-ES"/>
        </w:rPr>
      </w:pPr>
      <w:r>
        <w:rPr>
          <w:rFonts w:ascii="Verdana" w:eastAsia="Times New Roman" w:hAnsi="Verdana" w:cs="Times New Roman"/>
          <w:lang w:val="es-ES" w:eastAsia="es-ES"/>
        </w:rPr>
        <w:tab/>
        <w:t>Posterior a estas precisiones, la Corte Constitucional</w:t>
      </w:r>
      <w:r w:rsidRPr="008B3502">
        <w:rPr>
          <w:rFonts w:ascii="Verdana" w:eastAsia="Calibri" w:hAnsi="Verdana" w:cs="Arial"/>
          <w:bCs/>
          <w:color w:val="000000" w:themeColor="text1"/>
          <w:lang w:val="es-ES"/>
        </w:rPr>
        <w:t>, al analizar el artículo 38 de la Ley 489 de 1998, concluyó que</w:t>
      </w:r>
      <w:r>
        <w:rPr>
          <w:rFonts w:ascii="Verdana" w:eastAsia="Calibri" w:hAnsi="Verdana" w:cs="Arial"/>
          <w:bCs/>
          <w:color w:val="000000" w:themeColor="text1"/>
          <w:lang w:val="es-ES"/>
        </w:rPr>
        <w:t>,</w:t>
      </w:r>
      <w:r w:rsidRPr="008B3502">
        <w:rPr>
          <w:rFonts w:ascii="Verdana" w:eastAsia="Calibri" w:hAnsi="Verdana" w:cs="Arial"/>
          <w:bCs/>
          <w:color w:val="000000" w:themeColor="text1"/>
          <w:lang w:val="es-ES"/>
        </w:rPr>
        <w:t xml:space="preserve"> aunque el literal d) menciona únicamente a las empresas oficiales de servicios públicos domiciliarios como parte de la Rama Ejecutiva, el literal g) permite una interpretación más amplia. Este último incluye a todas las entidades administrativas nacionales con personería jurídica creadas o autorizadas por la ley, lo que abarca también a las empresas de servicios públicos mixtas o privadas. Por tanto, estas empresas pueden considerarse parte del sector descentralizado de la Rama Ejecutiva, lo que</w:t>
      </w:r>
      <w:r>
        <w:rPr>
          <w:rFonts w:ascii="Verdana" w:eastAsia="Calibri" w:hAnsi="Verdana" w:cs="Arial"/>
          <w:bCs/>
          <w:color w:val="000000" w:themeColor="text1"/>
          <w:lang w:val="es-ES"/>
        </w:rPr>
        <w:t xml:space="preserve"> implica la declaratoria de </w:t>
      </w:r>
      <w:r w:rsidRPr="008B3502">
        <w:rPr>
          <w:rFonts w:ascii="Verdana" w:eastAsia="Calibri" w:hAnsi="Verdana" w:cs="Arial"/>
          <w:bCs/>
          <w:color w:val="000000" w:themeColor="text1"/>
          <w:lang w:val="es-ES"/>
        </w:rPr>
        <w:t>la exequibilidad de la norma demandada.</w:t>
      </w:r>
    </w:p>
    <w:p w14:paraId="0B2FDFA8" w14:textId="77777777" w:rsidR="00C077A3" w:rsidRDefault="00C077A3" w:rsidP="00C077A3">
      <w:pPr>
        <w:tabs>
          <w:tab w:val="left" w:pos="0"/>
        </w:tabs>
        <w:spacing w:before="120" w:after="0" w:line="276" w:lineRule="auto"/>
        <w:ind w:firstLine="709"/>
        <w:jc w:val="both"/>
        <w:rPr>
          <w:rFonts w:ascii="Verdana" w:eastAsia="Calibri" w:hAnsi="Verdana" w:cs="Arial"/>
          <w:bCs/>
          <w:color w:val="000000" w:themeColor="text1"/>
          <w:lang w:val="es-ES"/>
        </w:rPr>
      </w:pPr>
      <w:r w:rsidRPr="008B3502">
        <w:rPr>
          <w:rFonts w:ascii="Verdana" w:eastAsia="Calibri" w:hAnsi="Verdana" w:cs="Arial"/>
          <w:bCs/>
          <w:color w:val="000000" w:themeColor="text1"/>
          <w:lang w:val="es-ES"/>
        </w:rPr>
        <w:t xml:space="preserve">Respecto al artículo 68, aunque se </w:t>
      </w:r>
      <w:r>
        <w:rPr>
          <w:rFonts w:ascii="Verdana" w:eastAsia="Calibri" w:hAnsi="Verdana" w:cs="Arial"/>
          <w:bCs/>
          <w:color w:val="000000" w:themeColor="text1"/>
          <w:lang w:val="es-ES"/>
        </w:rPr>
        <w:t xml:space="preserve">refiere explícitamente </w:t>
      </w:r>
      <w:r w:rsidRPr="008B3502">
        <w:rPr>
          <w:rFonts w:ascii="Verdana" w:eastAsia="Calibri" w:hAnsi="Verdana" w:cs="Arial"/>
          <w:bCs/>
          <w:color w:val="000000" w:themeColor="text1"/>
          <w:lang w:val="es-ES"/>
        </w:rPr>
        <w:t xml:space="preserve">a las empresas oficiales como entidades descentralizadas, el legislador también incluye a otras entidades con personería jurídica, autonomía administrativa y patrimonio propio, cuyo objeto sea prestar servicios públicos o realizar actividades administrativas, industriales o comerciales. Esta redacción permite incluir a las empresas mixtas o privadas de servicios públicos como entidades descentralizadas del orden nacional. En consecuencia, la Corte no encuentra reparos de constitucionalidad </w:t>
      </w:r>
      <w:r w:rsidRPr="008B3502">
        <w:rPr>
          <w:rFonts w:ascii="Verdana" w:eastAsia="Calibri" w:hAnsi="Verdana" w:cs="Arial"/>
          <w:bCs/>
          <w:color w:val="000000" w:themeColor="text1"/>
          <w:lang w:val="es-ES"/>
        </w:rPr>
        <w:lastRenderedPageBreak/>
        <w:t xml:space="preserve">y declara la norma ajustada a la </w:t>
      </w:r>
      <w:r>
        <w:rPr>
          <w:rFonts w:ascii="Verdana" w:eastAsia="Calibri" w:hAnsi="Verdana" w:cs="Arial"/>
          <w:bCs/>
          <w:color w:val="000000" w:themeColor="text1"/>
          <w:lang w:val="es-ES"/>
        </w:rPr>
        <w:t xml:space="preserve">Constitución Política. Con respecto a este tema, hay doctrina que tiene sus observaciones frente a dicha Sentencia de Constitucionalidad, expresando: </w:t>
      </w:r>
    </w:p>
    <w:p w14:paraId="46A3DDF6" w14:textId="77777777" w:rsidR="00C077A3" w:rsidRDefault="00C077A3" w:rsidP="00C077A3">
      <w:pPr>
        <w:tabs>
          <w:tab w:val="left" w:pos="0"/>
        </w:tabs>
        <w:spacing w:after="0" w:line="276" w:lineRule="auto"/>
        <w:ind w:firstLine="709"/>
        <w:jc w:val="both"/>
        <w:rPr>
          <w:rFonts w:ascii="Verdana" w:eastAsia="Calibri" w:hAnsi="Verdana" w:cs="Arial"/>
          <w:bCs/>
          <w:color w:val="000000" w:themeColor="text1"/>
          <w:lang w:val="es-ES"/>
        </w:rPr>
      </w:pPr>
      <w:r>
        <w:rPr>
          <w:rFonts w:ascii="Verdana" w:eastAsia="Calibri" w:hAnsi="Verdana" w:cs="Arial"/>
          <w:bCs/>
          <w:color w:val="000000" w:themeColor="text1"/>
          <w:lang w:val="es-ES"/>
        </w:rPr>
        <w:tab/>
      </w:r>
    </w:p>
    <w:p w14:paraId="17870D79" w14:textId="77777777" w:rsidR="00C077A3" w:rsidRPr="00435AFF" w:rsidRDefault="00C077A3" w:rsidP="00C077A3">
      <w:pPr>
        <w:tabs>
          <w:tab w:val="left" w:pos="0"/>
        </w:tabs>
        <w:spacing w:after="0" w:line="240" w:lineRule="auto"/>
        <w:ind w:left="709" w:right="709"/>
        <w:jc w:val="both"/>
        <w:rPr>
          <w:rFonts w:ascii="Verdana" w:eastAsia="Calibri" w:hAnsi="Verdana" w:cs="Arial"/>
          <w:bCs/>
          <w:color w:val="000000" w:themeColor="text1"/>
          <w:sz w:val="20"/>
        </w:rPr>
      </w:pPr>
      <w:r>
        <w:rPr>
          <w:rFonts w:ascii="Verdana" w:eastAsia="Calibri" w:hAnsi="Verdana" w:cs="Arial"/>
          <w:bCs/>
          <w:color w:val="000000" w:themeColor="text1"/>
          <w:sz w:val="20"/>
        </w:rPr>
        <w:t>“</w:t>
      </w:r>
      <w:r w:rsidRPr="00435AFF">
        <w:rPr>
          <w:rFonts w:ascii="Verdana" w:eastAsia="Calibri" w:hAnsi="Verdana" w:cs="Arial"/>
          <w:bCs/>
          <w:color w:val="000000" w:themeColor="text1"/>
          <w:sz w:val="20"/>
        </w:rPr>
        <w:t>De hecho, allí no se afirma, ni se deduce, que los operadores de los servicios públicos deban o tengan que ser entidades de naturaleza especial, y sobre todo distintas de los establecimientos públicos, de las empresas industriales y comerciales y de las sociedades de economía mixta. Más bien, se observa que la norma le concedió libertad de configuración al legislador para que hiciera en este tema lo que considerara más conveniente, y así debió reconocerlo la Corte.</w:t>
      </w:r>
    </w:p>
    <w:p w14:paraId="331C8C09" w14:textId="77777777" w:rsidR="00C077A3" w:rsidRPr="00435AFF" w:rsidRDefault="00C077A3" w:rsidP="00C077A3">
      <w:pPr>
        <w:tabs>
          <w:tab w:val="left" w:pos="0"/>
        </w:tabs>
        <w:spacing w:after="0" w:line="240" w:lineRule="auto"/>
        <w:ind w:left="709" w:right="709"/>
        <w:jc w:val="both"/>
        <w:rPr>
          <w:rFonts w:ascii="Verdana" w:eastAsia="Calibri" w:hAnsi="Verdana" w:cs="Arial"/>
          <w:bCs/>
          <w:color w:val="000000" w:themeColor="text1"/>
          <w:sz w:val="20"/>
        </w:rPr>
      </w:pPr>
    </w:p>
    <w:p w14:paraId="69350E22" w14:textId="77777777" w:rsidR="00C077A3" w:rsidRPr="00435AFF" w:rsidRDefault="00C077A3" w:rsidP="00C077A3">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Ahora, el error de este criterio se proyecta en dos sentidos: de un lado, en el hecho de que no solo las empresas mixtas de servicios públicos domiciliarios son diferentes a las sociedades de economía mixta, y de otro, porque no pueden confundirse pues se viola la Constitución, ya que las empresas oficiales –algunas de las cuales son empresas industriales y comerciales del Estado- tampoco podrían tener esta naturaleza jurídica, porque se asimilarían a las empresas industriales y comerciales del Estado convencionales, de manera que se violaría la Constitución.</w:t>
      </w:r>
    </w:p>
    <w:p w14:paraId="336C1887" w14:textId="77777777" w:rsidR="00C077A3" w:rsidRPr="00435AFF" w:rsidRDefault="00C077A3" w:rsidP="00C077A3">
      <w:pPr>
        <w:tabs>
          <w:tab w:val="left" w:pos="0"/>
        </w:tabs>
        <w:spacing w:after="0" w:line="240" w:lineRule="auto"/>
        <w:ind w:left="709" w:right="709"/>
        <w:jc w:val="both"/>
        <w:rPr>
          <w:rFonts w:ascii="Verdana" w:eastAsia="Calibri" w:hAnsi="Verdana" w:cs="Arial"/>
          <w:bCs/>
          <w:color w:val="000000" w:themeColor="text1"/>
          <w:sz w:val="20"/>
        </w:rPr>
      </w:pPr>
    </w:p>
    <w:p w14:paraId="54F5B547" w14:textId="77777777" w:rsidR="00C077A3" w:rsidRDefault="00C077A3" w:rsidP="00C077A3">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Lo propio cabe decir de las empresas privadas que prestan servicios públicos domiciliarios, pues ellas no podrían ser "sociedades por acciones" convencionales -es decir, las del Código de Comercio-, sino que deben ser diferentes, so pena de violar la Constitución</w:t>
      </w:r>
      <w:r>
        <w:rPr>
          <w:rFonts w:ascii="Verdana" w:eastAsia="Calibri" w:hAnsi="Verdana" w:cs="Arial"/>
          <w:bCs/>
          <w:color w:val="000000" w:themeColor="text1"/>
          <w:sz w:val="20"/>
        </w:rPr>
        <w:t>”</w:t>
      </w:r>
      <w:r>
        <w:rPr>
          <w:rStyle w:val="Refdenotaalpie"/>
          <w:rFonts w:ascii="Verdana" w:eastAsia="Calibri" w:hAnsi="Verdana" w:cs="Arial"/>
          <w:bCs/>
          <w:color w:val="000000" w:themeColor="text1"/>
          <w:sz w:val="20"/>
        </w:rPr>
        <w:footnoteReference w:id="6"/>
      </w:r>
      <w:r w:rsidRPr="00435AFF">
        <w:rPr>
          <w:rFonts w:ascii="Verdana" w:eastAsia="Calibri" w:hAnsi="Verdana" w:cs="Arial"/>
          <w:bCs/>
          <w:color w:val="000000" w:themeColor="text1"/>
          <w:sz w:val="20"/>
        </w:rPr>
        <w:t>.</w:t>
      </w:r>
    </w:p>
    <w:p w14:paraId="71385482" w14:textId="77777777" w:rsidR="00C077A3" w:rsidRPr="00435AFF" w:rsidRDefault="00C077A3" w:rsidP="00C077A3">
      <w:pPr>
        <w:tabs>
          <w:tab w:val="left" w:pos="0"/>
        </w:tabs>
        <w:spacing w:after="0" w:line="240" w:lineRule="auto"/>
        <w:ind w:left="709" w:right="709"/>
        <w:jc w:val="both"/>
        <w:rPr>
          <w:rFonts w:ascii="Verdana" w:eastAsia="Calibri" w:hAnsi="Verdana" w:cs="Arial"/>
          <w:bCs/>
          <w:color w:val="000000" w:themeColor="text1"/>
          <w:sz w:val="20"/>
        </w:rPr>
      </w:pPr>
    </w:p>
    <w:p w14:paraId="190EF8C3" w14:textId="77777777" w:rsidR="00C077A3" w:rsidRDefault="00C077A3" w:rsidP="00C077A3">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cien por ciento (100%) privadas que son prestadoras de servicios públicos domiciliarios, lo cual implica exponer dos posturas. </w:t>
      </w:r>
    </w:p>
    <w:p w14:paraId="6E6A1C4A" w14:textId="77777777" w:rsidR="00C077A3" w:rsidRDefault="00C077A3" w:rsidP="00C077A3">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primera postura es la que resalta la doctrina</w:t>
      </w:r>
      <w:r>
        <w:rPr>
          <w:rStyle w:val="Refdenotaalpie"/>
          <w:rFonts w:ascii="Verdana" w:eastAsia="Calibri" w:hAnsi="Verdana" w:cs="Arial"/>
          <w:color w:val="000000" w:themeColor="text1"/>
          <w:lang w:val="es-ES"/>
        </w:rPr>
        <w:footnoteReference w:id="7"/>
      </w:r>
      <w:r>
        <w:rPr>
          <w:rFonts w:ascii="Verdana" w:eastAsia="Calibri" w:hAnsi="Verdana" w:cs="Arial"/>
          <w:color w:val="000000" w:themeColor="text1"/>
          <w:lang w:val="es-ES"/>
        </w:rPr>
        <w:t>, donde se expone que el pronunciamiento de constitucionalidad implica que lo dispuesto en el literal g) se subsumen las empresas de servicios públicos mixtas o privadas</w:t>
      </w:r>
      <w:r>
        <w:rPr>
          <w:rFonts w:ascii="Verdana" w:eastAsia="Calibri" w:hAnsi="Verdana" w:cs="Arial"/>
          <w:color w:val="000000" w:themeColor="text1"/>
        </w:rPr>
        <w:t xml:space="preserve"> (en torno a las últimas ya no precisa si tienen aporte estatal) como parte de la Rama Ejecutiva en su sector descentralizado. Dicha afirmación se origina de lo siguiente: </w:t>
      </w:r>
    </w:p>
    <w:p w14:paraId="77CC3FB6" w14:textId="77777777" w:rsidR="00C077A3" w:rsidRDefault="00C077A3" w:rsidP="00C077A3">
      <w:pPr>
        <w:spacing w:after="0" w:line="276" w:lineRule="auto"/>
        <w:ind w:firstLine="709"/>
        <w:jc w:val="both"/>
        <w:rPr>
          <w:rFonts w:ascii="Verdana" w:eastAsia="Calibri" w:hAnsi="Verdana" w:cs="Arial"/>
          <w:color w:val="000000" w:themeColor="text1"/>
        </w:rPr>
      </w:pPr>
    </w:p>
    <w:p w14:paraId="71B51AA1" w14:textId="77777777" w:rsidR="00C077A3" w:rsidRDefault="00C077A3" w:rsidP="00C077A3">
      <w:pPr>
        <w:spacing w:after="0" w:line="240" w:lineRule="auto"/>
        <w:ind w:left="709"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r w:rsidRPr="008719EC">
        <w:rPr>
          <w:rFonts w:ascii="Verdana" w:eastAsia="Calibri" w:hAnsi="Verdana" w:cs="Arial"/>
          <w:color w:val="000000" w:themeColor="text1"/>
          <w:sz w:val="20"/>
          <w:szCs w:val="20"/>
        </w:rPr>
        <w:t xml:space="preserve">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w:t>
      </w:r>
      <w:r w:rsidRPr="008719EC">
        <w:rPr>
          <w:rFonts w:ascii="Verdana" w:eastAsia="Calibri" w:hAnsi="Verdana" w:cs="Arial"/>
          <w:i/>
          <w:iCs/>
          <w:color w:val="000000" w:themeColor="text1"/>
          <w:sz w:val="20"/>
          <w:szCs w:val="20"/>
        </w:rPr>
        <w:t xml:space="preserve">“las demás entidades creadas por la ley o con su autorización, cuyo objeto principal sea el ejercicio de funciones administrativas, </w:t>
      </w:r>
      <w:r w:rsidRPr="008719EC">
        <w:rPr>
          <w:rFonts w:ascii="Verdana" w:eastAsia="Calibri" w:hAnsi="Verdana" w:cs="Arial"/>
          <w:i/>
          <w:iCs/>
          <w:color w:val="000000" w:themeColor="text1"/>
          <w:sz w:val="20"/>
          <w:szCs w:val="20"/>
          <w:u w:val="single"/>
        </w:rPr>
        <w:t>la prestación de servicios públicos</w:t>
      </w:r>
      <w:r w:rsidRPr="008719EC">
        <w:rPr>
          <w:rFonts w:ascii="Verdana" w:eastAsia="Calibri" w:hAnsi="Verdana" w:cs="Arial"/>
          <w:i/>
          <w:iCs/>
          <w:color w:val="000000" w:themeColor="text1"/>
          <w:sz w:val="20"/>
          <w:szCs w:val="20"/>
        </w:rPr>
        <w:t xml:space="preserve"> o la realización de actividades industriales o comerciales con personería jurídica, autonomía administrativa y patrimonio propio.” </w:t>
      </w:r>
      <w:r w:rsidRPr="008719EC">
        <w:rPr>
          <w:rFonts w:ascii="Verdana" w:eastAsia="Calibri" w:hAnsi="Verdana" w:cs="Arial"/>
          <w:color w:val="000000" w:themeColor="text1"/>
          <w:sz w:val="20"/>
          <w:szCs w:val="20"/>
        </w:rPr>
        <w:t>(Subraya la Corte)</w:t>
      </w:r>
      <w:r>
        <w:rPr>
          <w:rStyle w:val="Refdenotaalpie"/>
          <w:rFonts w:ascii="Verdana" w:eastAsia="Calibri" w:hAnsi="Verdana" w:cs="Arial"/>
          <w:color w:val="000000" w:themeColor="text1"/>
          <w:sz w:val="20"/>
          <w:szCs w:val="20"/>
        </w:rPr>
        <w:footnoteReference w:id="8"/>
      </w:r>
      <w:r w:rsidRPr="008719EC">
        <w:rPr>
          <w:rFonts w:ascii="Verdana" w:eastAsia="Calibri" w:hAnsi="Verdana" w:cs="Arial"/>
          <w:color w:val="000000" w:themeColor="text1"/>
          <w:sz w:val="20"/>
          <w:szCs w:val="20"/>
        </w:rPr>
        <w:t>.</w:t>
      </w:r>
    </w:p>
    <w:p w14:paraId="4BCB99E2" w14:textId="77777777" w:rsidR="00C077A3" w:rsidRPr="001E1F8E" w:rsidRDefault="00C077A3" w:rsidP="00C077A3">
      <w:pPr>
        <w:spacing w:after="0" w:line="276" w:lineRule="auto"/>
        <w:jc w:val="both"/>
        <w:rPr>
          <w:rFonts w:ascii="Verdana" w:eastAsia="Calibri" w:hAnsi="Verdana" w:cs="Arial"/>
          <w:color w:val="000000" w:themeColor="text1"/>
        </w:rPr>
      </w:pPr>
    </w:p>
    <w:p w14:paraId="5CDB55A1" w14:textId="77777777" w:rsidR="00C077A3" w:rsidRPr="00D50C4E" w:rsidRDefault="00C077A3" w:rsidP="00C077A3">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segunda postura que también se deriva de la interpretación de la sentencia es que la Corte Constitucional</w:t>
      </w:r>
      <w:r w:rsidRPr="008719EC">
        <w:t xml:space="preserve"> </w:t>
      </w:r>
      <w:r w:rsidRPr="008719EC">
        <w:rPr>
          <w:rFonts w:ascii="Verdana" w:eastAsia="Calibri" w:hAnsi="Verdana" w:cs="Arial"/>
          <w:color w:val="000000" w:themeColor="text1"/>
          <w:lang w:val="es-ES"/>
        </w:rPr>
        <w:t xml:space="preserve">determinó que las empresas de servicios públicos domiciliarios mixtas y privadas con participación estatal constituyen una categoría especial de entidades descentralizadas por servicios. </w:t>
      </w:r>
      <w:r>
        <w:rPr>
          <w:rFonts w:ascii="Verdana" w:eastAsia="Calibri" w:hAnsi="Verdana" w:cs="Arial"/>
          <w:color w:val="000000" w:themeColor="text1"/>
          <w:lang w:val="es-ES"/>
        </w:rPr>
        <w:t xml:space="preserve">En esta línea, se destaca que el encabezado de la consideración 5.3. alude expresamente, así como en varios apartes que son entidades descentralizadas por servicios las </w:t>
      </w:r>
      <w:r w:rsidRPr="00D50C4E">
        <w:rPr>
          <w:rFonts w:ascii="Verdana" w:eastAsia="Calibri" w:hAnsi="Verdana" w:cs="Arial"/>
          <w:bCs/>
          <w:color w:val="000000" w:themeColor="text1"/>
          <w:lang w:val="es-ES"/>
        </w:rPr>
        <w:lastRenderedPageBreak/>
        <w:t>empresas de servicios públicos mixtas y privadas en las cuales haya cualquier porc</w:t>
      </w:r>
      <w:r>
        <w:rPr>
          <w:rFonts w:ascii="Verdana" w:eastAsia="Calibri" w:hAnsi="Verdana" w:cs="Arial"/>
          <w:bCs/>
          <w:color w:val="000000" w:themeColor="text1"/>
          <w:lang w:val="es-ES"/>
        </w:rPr>
        <w:t xml:space="preserve">entaje de participación pública. </w:t>
      </w:r>
      <w:r w:rsidRPr="008719EC">
        <w:rPr>
          <w:rFonts w:ascii="Verdana" w:eastAsia="Calibri" w:hAnsi="Verdana" w:cs="Arial"/>
          <w:color w:val="000000" w:themeColor="text1"/>
          <w:lang w:val="es-ES"/>
        </w:rPr>
        <w:t>Esta interpretación se complementa con la Ley 142 de 1994, que define los tipos societarios según la proporción de capital estatal y privado</w:t>
      </w:r>
      <w:r>
        <w:rPr>
          <w:rFonts w:ascii="Verdana" w:eastAsia="Calibri" w:hAnsi="Verdana" w:cs="Arial"/>
          <w:color w:val="000000" w:themeColor="text1"/>
          <w:lang w:val="es-ES"/>
        </w:rPr>
        <w:t xml:space="preserve">, entendiendo como empresa privada de servicios públicos como </w:t>
      </w:r>
      <w:r w:rsidRPr="00D50C4E">
        <w:rPr>
          <w:rFonts w:ascii="Verdana" w:eastAsia="Calibri" w:hAnsi="Verdana" w:cs="Arial"/>
          <w:color w:val="000000" w:themeColor="text1"/>
        </w:rPr>
        <w:t>aquella cuyo capital pertenece mayoritariamente a particulares o a entidades internacionales que se acogen al régimen privado</w:t>
      </w:r>
      <w:r>
        <w:rPr>
          <w:rFonts w:ascii="Verdana" w:eastAsia="Calibri" w:hAnsi="Verdana" w:cs="Arial"/>
          <w:color w:val="000000" w:themeColor="text1"/>
        </w:rPr>
        <w:t>, lo que implica</w:t>
      </w:r>
      <w:r w:rsidRPr="00D50C4E">
        <w:rPr>
          <w:rFonts w:ascii="Verdana" w:eastAsia="Calibri" w:hAnsi="Verdana" w:cs="Arial"/>
          <w:color w:val="000000" w:themeColor="text1"/>
        </w:rPr>
        <w:t xml:space="preserve"> una participación minoritaria del Estado.</w:t>
      </w:r>
    </w:p>
    <w:p w14:paraId="6570FC38" w14:textId="77777777" w:rsidR="00C077A3" w:rsidRDefault="00C077A3" w:rsidP="00C077A3">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Teniendo en cuenta las posturas expuestas, se acoge la segunda, destacándose que las empresas con capital cien por ciento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3A88DE6A" w14:textId="77777777" w:rsidR="00C077A3" w:rsidRDefault="00C077A3" w:rsidP="00C077A3">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Es importante señalar </w:t>
      </w:r>
      <w:r w:rsidRPr="00A11176">
        <w:rPr>
          <w:rFonts w:ascii="Verdana" w:eastAsia="Calibri" w:hAnsi="Verdana" w:cs="Arial"/>
          <w:color w:val="000000" w:themeColor="text1"/>
          <w:lang w:val="es-ES"/>
        </w:rPr>
        <w:t xml:space="preserve">que la naturaleza jurídica de una entidad no depende </w:t>
      </w:r>
      <w:r>
        <w:rPr>
          <w:rFonts w:ascii="Verdana" w:eastAsia="Calibri" w:hAnsi="Verdana" w:cs="Arial"/>
          <w:color w:val="000000" w:themeColor="text1"/>
          <w:lang w:val="es-ES"/>
        </w:rPr>
        <w:t xml:space="preserve">solo </w:t>
      </w:r>
      <w:r w:rsidRPr="00A11176">
        <w:rPr>
          <w:rFonts w:ascii="Verdana" w:eastAsia="Calibri" w:hAnsi="Verdana" w:cs="Arial"/>
          <w:color w:val="000000" w:themeColor="text1"/>
          <w:lang w:val="es-ES"/>
        </w:rPr>
        <w:t>de la función que cumple.</w:t>
      </w:r>
      <w:r>
        <w:rPr>
          <w:rFonts w:ascii="Verdana" w:eastAsia="Calibri" w:hAnsi="Verdana" w:cs="Arial"/>
          <w:color w:val="000000" w:themeColor="text1"/>
          <w:lang w:val="es-ES"/>
        </w:rPr>
        <w:t xml:space="preserve"> En otras palabras</w:t>
      </w:r>
      <w:r w:rsidRPr="00A11176">
        <w:rPr>
          <w:rFonts w:ascii="Verdana" w:eastAsia="Calibri" w:hAnsi="Verdana" w:cs="Arial"/>
          <w:color w:val="000000" w:themeColor="text1"/>
          <w:lang w:val="es-ES"/>
        </w:rPr>
        <w:t>, prestar un servicio público no convierte a una empresa en entidad pública. Lo determinante es su origen legal, su régimen jurídico y su vinculación con e</w:t>
      </w:r>
      <w:r>
        <w:rPr>
          <w:rFonts w:ascii="Verdana" w:eastAsia="Calibri" w:hAnsi="Verdana" w:cs="Arial"/>
          <w:color w:val="000000" w:themeColor="text1"/>
          <w:lang w:val="es-ES"/>
        </w:rPr>
        <w:t xml:space="preserve">l Estado. Aunque </w:t>
      </w:r>
      <w:r w:rsidRPr="00A11176">
        <w:rPr>
          <w:rFonts w:ascii="Verdana" w:eastAsia="Calibri" w:hAnsi="Verdana" w:cs="Arial"/>
          <w:color w:val="000000" w:themeColor="text1"/>
          <w:lang w:val="es-ES"/>
        </w:rPr>
        <w:t>las empresas privadas</w:t>
      </w:r>
      <w:r>
        <w:rPr>
          <w:rFonts w:ascii="Verdana" w:eastAsia="Calibri" w:hAnsi="Verdana" w:cs="Arial"/>
          <w:color w:val="000000" w:themeColor="text1"/>
          <w:lang w:val="es-ES"/>
        </w:rPr>
        <w:t xml:space="preserve"> con capital cien por ciento (100%) privado</w:t>
      </w:r>
      <w:r w:rsidRPr="00A11176">
        <w:rPr>
          <w:rFonts w:ascii="Verdana" w:eastAsia="Calibri" w:hAnsi="Verdana" w:cs="Arial"/>
          <w:color w:val="000000" w:themeColor="text1"/>
          <w:lang w:val="es-ES"/>
        </w:rPr>
        <w:t xml:space="preserve"> de servicios públ</w:t>
      </w:r>
      <w:r>
        <w:rPr>
          <w:rFonts w:ascii="Verdana" w:eastAsia="Calibri" w:hAnsi="Verdana" w:cs="Arial"/>
          <w:color w:val="000000" w:themeColor="text1"/>
          <w:lang w:val="es-ES"/>
        </w:rPr>
        <w:t>icos cumplen una función esencial dentro del Estado Social de Derecho</w:t>
      </w:r>
      <w:r w:rsidRPr="00A11176">
        <w:rPr>
          <w:rFonts w:ascii="Verdana" w:eastAsia="Calibri" w:hAnsi="Verdana" w:cs="Arial"/>
          <w:color w:val="000000" w:themeColor="text1"/>
          <w:lang w:val="es-ES"/>
        </w:rPr>
        <w:t>, siguen siendo entidades privadas en cuanto a su estructura, ges</w:t>
      </w:r>
      <w:r>
        <w:rPr>
          <w:rFonts w:ascii="Verdana" w:eastAsia="Calibri" w:hAnsi="Verdana" w:cs="Arial"/>
          <w:color w:val="000000" w:themeColor="text1"/>
          <w:lang w:val="es-ES"/>
        </w:rPr>
        <w:t xml:space="preserve">tión y responsabilidad jurídica. Esto, sin dejar de lado que las empresas de servicios públicos domiciliarios mixtas y las empresas privadas con participación minoritaria del Estado son comprendidas como entidades descentralizadas por servicios, de acuerdo con lo expresado por la Corte Constitucional en la sentencia ya precitada. </w:t>
      </w:r>
    </w:p>
    <w:p w14:paraId="2FC95BD4" w14:textId="77777777" w:rsidR="00C077A3" w:rsidRDefault="00C077A3" w:rsidP="00C077A3">
      <w:pPr>
        <w:spacing w:after="0" w:line="276" w:lineRule="auto"/>
        <w:ind w:firstLine="709"/>
        <w:jc w:val="both"/>
        <w:rPr>
          <w:rFonts w:ascii="Verdana" w:eastAsia="Calibri" w:hAnsi="Verdana" w:cs="Arial"/>
          <w:color w:val="000000" w:themeColor="text1"/>
          <w:lang w:val="es-ES"/>
        </w:rPr>
      </w:pPr>
      <w:r w:rsidRPr="000B07AC">
        <w:rPr>
          <w:rFonts w:ascii="Verdana" w:eastAsia="Calibri" w:hAnsi="Verdana" w:cs="Arial"/>
          <w:color w:val="000000" w:themeColor="text1"/>
          <w:lang w:val="es-ES"/>
        </w:rPr>
        <w:t xml:space="preserve">De este modo, se </w:t>
      </w:r>
      <w:r>
        <w:rPr>
          <w:rFonts w:ascii="Verdana" w:eastAsia="Calibri" w:hAnsi="Verdana" w:cs="Arial"/>
          <w:color w:val="000000" w:themeColor="text1"/>
          <w:lang w:val="es-ES"/>
        </w:rPr>
        <w:t xml:space="preserve">consideran entidades descentralizadas por servicios, es decir, adquieren la naturaleza de ser una entidad pública, lo que implica que tienen </w:t>
      </w:r>
      <w:r w:rsidRPr="001B0ECC">
        <w:rPr>
          <w:rFonts w:ascii="Verdana" w:eastAsia="Calibri" w:hAnsi="Verdana" w:cs="Arial"/>
          <w:color w:val="000000" w:themeColor="text1"/>
          <w:lang w:val="es-ES"/>
        </w:rPr>
        <w:t>la facultad de celebrar convenios y contratos inte</w:t>
      </w:r>
      <w:r>
        <w:rPr>
          <w:rFonts w:ascii="Verdana" w:eastAsia="Calibri" w:hAnsi="Verdana" w:cs="Arial"/>
          <w:color w:val="000000" w:themeColor="text1"/>
          <w:lang w:val="es-ES"/>
        </w:rPr>
        <w:t>radministrativos con otras entidades</w:t>
      </w:r>
      <w:r w:rsidRPr="001B0ECC">
        <w:rPr>
          <w:rFonts w:ascii="Verdana" w:eastAsia="Calibri" w:hAnsi="Verdana" w:cs="Arial"/>
          <w:color w:val="000000" w:themeColor="text1"/>
          <w:lang w:val="es-ES"/>
        </w:rPr>
        <w:t xml:space="preserve"> estatales, lo que les permite coordinar esfuerzos y optimizar recursos en la ejecución de proyectos comunes. A la par, deben cumplir con las obligaciones propias de su régimen especial, como la sujeción a la vigilancia de organismos de control y la aplicación de las normas de contratación pública. </w:t>
      </w:r>
    </w:p>
    <w:p w14:paraId="5AD4AD41" w14:textId="77777777" w:rsidR="00C077A3" w:rsidRDefault="00C077A3" w:rsidP="00C077A3">
      <w:pPr>
        <w:spacing w:after="0" w:line="276" w:lineRule="auto"/>
        <w:jc w:val="both"/>
        <w:rPr>
          <w:rFonts w:ascii="Verdana" w:eastAsia="Calibri" w:hAnsi="Verdana" w:cs="Arial"/>
          <w:color w:val="000000" w:themeColor="text1"/>
          <w:lang w:val="es-ES"/>
        </w:rPr>
      </w:pPr>
    </w:p>
    <w:p w14:paraId="2C077D44" w14:textId="77777777" w:rsidR="00C077A3" w:rsidRPr="001E1F8E" w:rsidRDefault="00C077A3" w:rsidP="00C077A3">
      <w:pPr>
        <w:tabs>
          <w:tab w:val="left" w:pos="7851"/>
        </w:tabs>
        <w:spacing w:after="120" w:line="276" w:lineRule="auto"/>
        <w:jc w:val="both"/>
        <w:rPr>
          <w:rFonts w:ascii="Verdana" w:eastAsiaTheme="minorEastAsia" w:hAnsi="Verdana" w:cs="Arial"/>
          <w:lang w:eastAsia="es-CO"/>
        </w:rPr>
      </w:pPr>
      <w:r>
        <w:rPr>
          <w:rFonts w:ascii="Verdana" w:eastAsia="Calibri" w:hAnsi="Verdana" w:cs="Arial"/>
          <w:color w:val="000000" w:themeColor="text1"/>
          <w:lang w:val="es-ES"/>
        </w:rPr>
        <w:lastRenderedPageBreak/>
        <w:t xml:space="preserve">ii. </w:t>
      </w:r>
      <w:r w:rsidRPr="00B57A1B">
        <w:rPr>
          <w:rFonts w:ascii="Verdana" w:eastAsiaTheme="minorEastAsia" w:hAnsi="Verdana" w:cs="Arial"/>
          <w:lang w:eastAsia="es-CO"/>
        </w:rPr>
        <w:t xml:space="preserve">La tipología del contrato interadministrativo fue creada en la Ley 80 de 1993, y el Decreto 1082 de 2015 la califica como aquella contratación entre </w:t>
      </w:r>
      <w:r>
        <w:rPr>
          <w:rFonts w:ascii="Verdana" w:eastAsiaTheme="minorEastAsia" w:hAnsi="Verdana" w:cs="Arial"/>
          <w:lang w:eastAsia="es-CO"/>
        </w:rPr>
        <w:t>e</w:t>
      </w:r>
      <w:r w:rsidRPr="00B57A1B">
        <w:rPr>
          <w:rFonts w:ascii="Verdana" w:eastAsiaTheme="minorEastAsia" w:hAnsi="Verdana" w:cs="Arial"/>
          <w:lang w:eastAsia="es-CO"/>
        </w:rPr>
        <w:t xml:space="preserve">ntidades </w:t>
      </w:r>
      <w:r>
        <w:rPr>
          <w:rFonts w:ascii="Verdana" w:eastAsiaTheme="minorEastAsia" w:hAnsi="Verdana" w:cs="Arial"/>
          <w:lang w:eastAsia="es-CO"/>
        </w:rPr>
        <w:t>e</w:t>
      </w:r>
      <w:r w:rsidRPr="00B57A1B">
        <w:rPr>
          <w:rFonts w:ascii="Verdana" w:eastAsiaTheme="minorEastAsia" w:hAnsi="Verdana" w:cs="Arial"/>
          <w:lang w:eastAsia="es-CO"/>
        </w:rPr>
        <w:t>statales</w:t>
      </w:r>
      <w:r w:rsidRPr="00B57A1B">
        <w:rPr>
          <w:rFonts w:ascii="Verdana" w:hAnsi="Verdana"/>
          <w:vertAlign w:val="superscript"/>
          <w:lang w:eastAsia="es-CO"/>
        </w:rPr>
        <w:footnoteReference w:id="9"/>
      </w:r>
      <w:r w:rsidRPr="00B57A1B">
        <w:rPr>
          <w:rFonts w:ascii="Verdana" w:eastAsiaTheme="minorEastAsia" w:hAnsi="Verdana" w:cs="Arial"/>
          <w:lang w:eastAsia="es-CO"/>
        </w:rPr>
        <w:t xml:space="preserve">.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w:t>
      </w:r>
      <w:r>
        <w:rPr>
          <w:rFonts w:ascii="Verdana" w:eastAsiaTheme="minorEastAsia" w:hAnsi="Verdana" w:cs="Arial"/>
          <w:lang w:eastAsia="es-CO"/>
        </w:rPr>
        <w:t>e</w:t>
      </w:r>
      <w:r w:rsidRPr="00B57A1B">
        <w:rPr>
          <w:rFonts w:ascii="Verdana" w:eastAsiaTheme="minorEastAsia" w:hAnsi="Verdana" w:cs="Arial"/>
          <w:lang w:eastAsia="es-CO"/>
        </w:rPr>
        <w:t>ntidades</w:t>
      </w:r>
      <w:r w:rsidRPr="00B57A1B">
        <w:rPr>
          <w:rFonts w:ascii="Verdana" w:eastAsiaTheme="minorEastAsia" w:hAnsi="Verdana" w:cs="Arial"/>
          <w:spacing w:val="-6"/>
          <w:lang w:eastAsia="es-CO"/>
        </w:rPr>
        <w:t xml:space="preserve"> </w:t>
      </w:r>
      <w:r>
        <w:rPr>
          <w:rFonts w:ascii="Verdana" w:eastAsiaTheme="minorEastAsia" w:hAnsi="Verdana" w:cs="Arial"/>
          <w:lang w:eastAsia="es-CO"/>
        </w:rPr>
        <w:t>e</w:t>
      </w:r>
      <w:r w:rsidRPr="00B57A1B">
        <w:rPr>
          <w:rFonts w:ascii="Verdana" w:eastAsiaTheme="minorEastAsia" w:hAnsi="Verdana" w:cs="Arial"/>
          <w:lang w:eastAsia="es-CO"/>
        </w:rPr>
        <w:t>statales.</w:t>
      </w:r>
    </w:p>
    <w:p w14:paraId="365D6DB3" w14:textId="77777777" w:rsidR="00C077A3" w:rsidRPr="00B57A1B" w:rsidRDefault="00C077A3" w:rsidP="00C077A3">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 xml:space="preserve">Si bien los contratos interadministrativos están previstos en la Ley 80 de 1993, en la Ley 1150 de 2007 y en el Decreto en el 1082 de 2015, no quiere decir que solo puedan celebrarse entre </w:t>
      </w:r>
      <w:r>
        <w:rPr>
          <w:rFonts w:ascii="Verdana" w:eastAsiaTheme="minorEastAsia" w:hAnsi="Verdana" w:cs="Arial"/>
          <w:lang w:eastAsia="es-CO"/>
        </w:rPr>
        <w:t>e</w:t>
      </w:r>
      <w:r w:rsidRPr="00B57A1B">
        <w:rPr>
          <w:rFonts w:ascii="Verdana" w:eastAsiaTheme="minorEastAsia" w:hAnsi="Verdana" w:cs="Arial"/>
          <w:lang w:eastAsia="es-CO"/>
        </w:rPr>
        <w:t xml:space="preserve">ntidades </w:t>
      </w:r>
      <w:r>
        <w:rPr>
          <w:rFonts w:ascii="Verdana" w:eastAsiaTheme="minorEastAsia" w:hAnsi="Verdana" w:cs="Arial"/>
          <w:lang w:eastAsia="es-CO"/>
        </w:rPr>
        <w:t>e</w:t>
      </w:r>
      <w:r w:rsidRPr="00B57A1B">
        <w:rPr>
          <w:rFonts w:ascii="Verdana" w:eastAsiaTheme="minorEastAsia" w:hAnsi="Verdana" w:cs="Arial"/>
          <w:lang w:eastAsia="es-CO"/>
        </w:rPr>
        <w:t xml:space="preserve">statales que apliquen el régimen de contratación allí previsto, pues bien puede una </w:t>
      </w:r>
      <w:r>
        <w:rPr>
          <w:rFonts w:ascii="Verdana" w:eastAsiaTheme="minorEastAsia" w:hAnsi="Verdana" w:cs="Arial"/>
          <w:lang w:eastAsia="es-CO"/>
        </w:rPr>
        <w:t>e</w:t>
      </w:r>
      <w:r w:rsidRPr="00B57A1B">
        <w:rPr>
          <w:rFonts w:ascii="Verdana" w:eastAsiaTheme="minorEastAsia" w:hAnsi="Verdana" w:cs="Arial"/>
          <w:lang w:eastAsia="es-CO"/>
        </w:rPr>
        <w:t xml:space="preserve">ntidad </w:t>
      </w:r>
      <w:r>
        <w:rPr>
          <w:rFonts w:ascii="Verdana" w:eastAsiaTheme="minorEastAsia" w:hAnsi="Verdana" w:cs="Arial"/>
          <w:lang w:eastAsia="es-CO"/>
        </w:rPr>
        <w:t>e</w:t>
      </w:r>
      <w:r w:rsidRPr="00B57A1B">
        <w:rPr>
          <w:rFonts w:ascii="Verdana" w:eastAsiaTheme="minorEastAsia" w:hAnsi="Verdana" w:cs="Arial"/>
          <w:lang w:eastAsia="es-CO"/>
        </w:rPr>
        <w:t>statal sometida a la Ley 80 de 1993 celebrar esta clase de negocios jurídicos con una Entidad Estatal de régimen especial y no por ello dejará de ser un contrato o convenio interadministrativo.</w:t>
      </w:r>
    </w:p>
    <w:p w14:paraId="39463742" w14:textId="77777777" w:rsidR="00C077A3" w:rsidRPr="00B57A1B" w:rsidRDefault="00C077A3" w:rsidP="00C077A3">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10"/>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55C2A08A" w14:textId="77777777" w:rsidR="00C077A3" w:rsidRDefault="00C077A3" w:rsidP="00C077A3">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lastRenderedPageBreak/>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11"/>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w:t>
      </w:r>
    </w:p>
    <w:p w14:paraId="2695A580" w14:textId="77777777" w:rsidR="00C077A3" w:rsidRPr="00B57A1B" w:rsidRDefault="00C077A3" w:rsidP="00C077A3">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55FAF165" w14:textId="77777777" w:rsidR="00C077A3" w:rsidRPr="00B57A1B" w:rsidRDefault="00C077A3" w:rsidP="00C077A3">
      <w:pPr>
        <w:spacing w:after="0" w:line="276" w:lineRule="auto"/>
        <w:ind w:firstLine="709"/>
        <w:jc w:val="both"/>
        <w:rPr>
          <w:rFonts w:ascii="Verdana" w:eastAsiaTheme="minorEastAsia" w:hAnsi="Verdana" w:cs="Arial"/>
          <w:lang w:eastAsia="es-CO"/>
        </w:rPr>
      </w:pPr>
    </w:p>
    <w:p w14:paraId="170B9DFD" w14:textId="77777777" w:rsidR="00C077A3" w:rsidRPr="000E225C" w:rsidRDefault="00C077A3" w:rsidP="00C077A3">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33B8B4C6" w14:textId="77777777" w:rsidR="00C077A3" w:rsidRPr="000E225C" w:rsidRDefault="00C077A3" w:rsidP="00C077A3">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val="es-ES" w:eastAsia="es-CO"/>
        </w:rPr>
        <w:t xml:space="preserve">El objeto de los contratos lo constituyen obligaciones de contenido patrimonial y, por </w:t>
      </w:r>
      <w:r w:rsidRPr="000E225C">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4FFBDCCE" w14:textId="77777777" w:rsidR="00C077A3" w:rsidRPr="000E225C" w:rsidRDefault="00C077A3" w:rsidP="00C077A3">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0C52B29D" w14:textId="77777777" w:rsidR="00C077A3" w:rsidRPr="000E225C" w:rsidRDefault="00C077A3" w:rsidP="00C077A3">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lastRenderedPageBreak/>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0E225C">
        <w:rPr>
          <w:rFonts w:ascii="Verdana" w:eastAsiaTheme="minorEastAsia" w:hAnsi="Verdana" w:cs="Arial"/>
          <w:sz w:val="20"/>
          <w:szCs w:val="20"/>
          <w:vertAlign w:val="superscript"/>
          <w:lang w:eastAsia="es-CO"/>
        </w:rPr>
        <w:footnoteReference w:id="12"/>
      </w:r>
      <w:r w:rsidRPr="000E225C">
        <w:rPr>
          <w:rFonts w:ascii="Verdana" w:eastAsiaTheme="minorEastAsia" w:hAnsi="Verdana" w:cs="Arial"/>
          <w:sz w:val="20"/>
          <w:szCs w:val="20"/>
          <w:lang w:eastAsia="es-CO"/>
        </w:rPr>
        <w:t>.</w:t>
      </w:r>
    </w:p>
    <w:p w14:paraId="5B9AFA77" w14:textId="77777777" w:rsidR="00C077A3" w:rsidRPr="00B57A1B" w:rsidRDefault="00C077A3" w:rsidP="00C077A3">
      <w:pPr>
        <w:spacing w:after="0" w:line="276" w:lineRule="auto"/>
        <w:ind w:right="709"/>
        <w:jc w:val="both"/>
        <w:rPr>
          <w:rFonts w:ascii="Verdana" w:eastAsia="Times New Roman" w:hAnsi="Verdana" w:cs="Arial"/>
          <w:lang w:eastAsia="es-ES_tradnl"/>
        </w:rPr>
      </w:pPr>
    </w:p>
    <w:p w14:paraId="6387815E" w14:textId="77777777" w:rsidR="00C077A3" w:rsidRPr="00B57A1B" w:rsidRDefault="00C077A3" w:rsidP="00C077A3">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607AE0B1" w14:textId="77777777" w:rsidR="00C077A3" w:rsidRPr="00B57A1B" w:rsidRDefault="00C077A3" w:rsidP="00C077A3">
      <w:pPr>
        <w:spacing w:after="0" w:line="276" w:lineRule="auto"/>
        <w:ind w:firstLine="709"/>
        <w:jc w:val="both"/>
        <w:rPr>
          <w:rFonts w:ascii="Verdana" w:eastAsiaTheme="minorEastAsia" w:hAnsi="Verdana" w:cs="Arial"/>
          <w:lang w:eastAsia="es-CO"/>
        </w:rPr>
      </w:pPr>
    </w:p>
    <w:p w14:paraId="650AD591" w14:textId="77777777" w:rsidR="00C077A3" w:rsidRPr="000E225C" w:rsidRDefault="00C077A3" w:rsidP="00C077A3">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6BB011C3" w14:textId="77777777" w:rsidR="00C077A3" w:rsidRPr="000E225C" w:rsidRDefault="00C077A3" w:rsidP="00C077A3">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5CA649DE" w14:textId="77777777" w:rsidR="00C077A3" w:rsidRPr="000E225C" w:rsidRDefault="00C077A3" w:rsidP="00C077A3">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13"/>
      </w:r>
      <w:r w:rsidRPr="000E225C">
        <w:rPr>
          <w:rFonts w:ascii="Verdana" w:hAnsi="Verdana" w:cs="Weiss"/>
          <w:sz w:val="20"/>
          <w:szCs w:val="19"/>
        </w:rPr>
        <w:t>.</w:t>
      </w:r>
    </w:p>
    <w:p w14:paraId="726CB65E" w14:textId="77777777" w:rsidR="00C077A3" w:rsidRPr="00B57A1B" w:rsidRDefault="00C077A3" w:rsidP="00C077A3">
      <w:pPr>
        <w:spacing w:after="0" w:line="276" w:lineRule="auto"/>
        <w:jc w:val="both"/>
        <w:rPr>
          <w:rFonts w:ascii="Verdana" w:eastAsiaTheme="minorEastAsia" w:hAnsi="Verdana" w:cs="Arial"/>
          <w:lang w:eastAsia="es-CO"/>
        </w:rPr>
      </w:pPr>
    </w:p>
    <w:p w14:paraId="4F9D237E" w14:textId="77777777" w:rsidR="00C077A3" w:rsidRPr="00B57A1B" w:rsidRDefault="00C077A3" w:rsidP="00C077A3">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Ahora bien, esta distinción conceptual entre contratos y convenios interadministrativos resulta relevante para precisar ámbito de aplicación de las instituciones del EGCAP. </w:t>
      </w:r>
      <w:r>
        <w:rPr>
          <w:rFonts w:ascii="Verdana" w:eastAsiaTheme="minorEastAsia" w:hAnsi="Verdana" w:cs="Arial"/>
          <w:lang w:eastAsia="es-CO"/>
        </w:rPr>
        <w:t>Sobre este aspecto</w:t>
      </w:r>
      <w:r w:rsidRPr="00B57A1B">
        <w:rPr>
          <w:rFonts w:ascii="Verdana" w:eastAsiaTheme="minorEastAsia" w:hAnsi="Verdana" w:cs="Arial"/>
          <w:lang w:eastAsia="es-CO"/>
        </w:rPr>
        <w:t>,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14"/>
      </w:r>
      <w:r w:rsidRPr="00B57A1B">
        <w:rPr>
          <w:rFonts w:ascii="Verdana" w:eastAsiaTheme="minorEastAsia" w:hAnsi="Verdana" w:cs="Arial"/>
          <w:lang w:eastAsia="es-CO"/>
        </w:rPr>
        <w:t xml:space="preserve">. De esta manera, el Consejo de Estado expresa:  </w:t>
      </w:r>
    </w:p>
    <w:p w14:paraId="5A676F9D" w14:textId="77777777" w:rsidR="00C077A3" w:rsidRPr="00B57A1B" w:rsidRDefault="00C077A3" w:rsidP="00C077A3">
      <w:pPr>
        <w:widowControl w:val="0"/>
        <w:autoSpaceDE w:val="0"/>
        <w:autoSpaceDN w:val="0"/>
        <w:spacing w:after="0" w:line="276" w:lineRule="auto"/>
        <w:jc w:val="both"/>
        <w:rPr>
          <w:rFonts w:ascii="Verdana" w:eastAsia="Arial MT" w:hAnsi="Verdana" w:cs="Arial MT"/>
        </w:rPr>
      </w:pPr>
    </w:p>
    <w:p w14:paraId="4D31C7E1" w14:textId="77777777" w:rsidR="00C077A3" w:rsidRPr="000E225C" w:rsidRDefault="00C077A3" w:rsidP="00C077A3">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09CDE785" w14:textId="77777777" w:rsidR="00C077A3" w:rsidRPr="000E225C" w:rsidRDefault="00C077A3" w:rsidP="00C077A3">
      <w:pPr>
        <w:widowControl w:val="0"/>
        <w:autoSpaceDE w:val="0"/>
        <w:autoSpaceDN w:val="0"/>
        <w:spacing w:after="0" w:line="240" w:lineRule="auto"/>
        <w:ind w:left="709" w:right="709"/>
        <w:jc w:val="both"/>
        <w:rPr>
          <w:rFonts w:ascii="Verdana" w:eastAsia="Arial MT" w:hAnsi="Verdana" w:cs="Arial MT"/>
          <w:sz w:val="20"/>
          <w:szCs w:val="19"/>
        </w:rPr>
      </w:pPr>
    </w:p>
    <w:p w14:paraId="3B37988E" w14:textId="77777777" w:rsidR="00C077A3" w:rsidRPr="000E225C" w:rsidRDefault="00C077A3" w:rsidP="00C077A3">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5EE4651D" w14:textId="77777777" w:rsidR="00C077A3" w:rsidRPr="000E225C" w:rsidRDefault="00C077A3" w:rsidP="00C077A3">
      <w:pPr>
        <w:widowControl w:val="0"/>
        <w:autoSpaceDE w:val="0"/>
        <w:autoSpaceDN w:val="0"/>
        <w:spacing w:after="0" w:line="240" w:lineRule="auto"/>
        <w:ind w:left="709" w:right="709"/>
        <w:jc w:val="both"/>
        <w:rPr>
          <w:rFonts w:ascii="Verdana" w:eastAsia="Arial MT" w:hAnsi="Verdana" w:cs="Arial MT"/>
          <w:sz w:val="20"/>
          <w:szCs w:val="19"/>
        </w:rPr>
      </w:pPr>
    </w:p>
    <w:p w14:paraId="7B07E817" w14:textId="77777777" w:rsidR="00C077A3" w:rsidRPr="000E225C" w:rsidRDefault="00C077A3" w:rsidP="00C077A3">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 xml:space="preserve">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w:t>
      </w:r>
      <w:r w:rsidRPr="000E225C">
        <w:rPr>
          <w:rFonts w:ascii="Verdana" w:eastAsia="Arial MT" w:hAnsi="Verdana" w:cs="Arial MT"/>
          <w:i/>
          <w:iCs/>
          <w:sz w:val="20"/>
          <w:szCs w:val="19"/>
        </w:rPr>
        <w:lastRenderedPageBreak/>
        <w:t>conduciría a resultados que malogren y/o desincentiven la cooperación entre ellas, producto de las incompatibilidades que puedan presentarse”</w:t>
      </w:r>
      <w:r w:rsidRPr="000E225C">
        <w:rPr>
          <w:rFonts w:ascii="Verdana" w:eastAsia="Arial MT" w:hAnsi="Verdana" w:cs="Arial MT"/>
          <w:i/>
          <w:iCs/>
          <w:sz w:val="20"/>
          <w:szCs w:val="19"/>
          <w:vertAlign w:val="superscript"/>
        </w:rPr>
        <w:footnoteReference w:id="15"/>
      </w:r>
      <w:r w:rsidRPr="000E225C">
        <w:rPr>
          <w:rFonts w:ascii="Verdana" w:eastAsia="Arial MT" w:hAnsi="Verdana" w:cs="Arial MT"/>
          <w:i/>
          <w:iCs/>
          <w:sz w:val="20"/>
          <w:szCs w:val="19"/>
        </w:rPr>
        <w:t>.</w:t>
      </w:r>
    </w:p>
    <w:p w14:paraId="795FC365" w14:textId="77777777" w:rsidR="00C077A3" w:rsidRDefault="00C077A3" w:rsidP="00C077A3">
      <w:pPr>
        <w:spacing w:after="0" w:line="276" w:lineRule="auto"/>
        <w:jc w:val="both"/>
        <w:rPr>
          <w:rFonts w:ascii="Verdana" w:eastAsia="Calibri" w:hAnsi="Verdana" w:cs="Arial"/>
          <w:color w:val="000000" w:themeColor="text1"/>
          <w:lang w:val="es-ES"/>
        </w:rPr>
      </w:pPr>
    </w:p>
    <w:p w14:paraId="69D8026F" w14:textId="77777777" w:rsidR="00C077A3" w:rsidRDefault="00C077A3" w:rsidP="00C077A3">
      <w:pPr>
        <w:spacing w:after="0" w:line="276" w:lineRule="auto"/>
        <w:ind w:firstLine="709"/>
        <w:jc w:val="both"/>
        <w:rPr>
          <w:rFonts w:ascii="Verdana" w:eastAsia="Calibri" w:hAnsi="Verdana" w:cs="Times New Roman"/>
          <w:iCs/>
          <w:lang w:val="es-ES"/>
        </w:rPr>
      </w:pPr>
      <w:r w:rsidRPr="00B57A1B">
        <w:rPr>
          <w:rFonts w:ascii="Verdana" w:eastAsiaTheme="minorEastAsia" w:hAnsi="Verdana" w:cs="Arial"/>
          <w:lang w:eastAsia="es-CO"/>
        </w:rPr>
        <w:t>Teniendo en cuenta, este entendimiento sobre los convenios</w:t>
      </w:r>
      <w:r>
        <w:rPr>
          <w:rFonts w:ascii="Verdana" w:eastAsiaTheme="minorEastAsia" w:hAnsi="Verdana" w:cs="Arial"/>
          <w:lang w:eastAsia="es-CO"/>
        </w:rPr>
        <w:t xml:space="preserve"> interadministrativos</w:t>
      </w:r>
      <w:r w:rsidRPr="00B57A1B">
        <w:rPr>
          <w:rFonts w:ascii="Verdana" w:eastAsiaTheme="minorEastAsia" w:hAnsi="Verdana" w:cs="Arial"/>
          <w:lang w:eastAsia="es-CO"/>
        </w:rPr>
        <w:t xml:space="preserve"> y contratos interadministrativos</w:t>
      </w:r>
      <w:r>
        <w:rPr>
          <w:rFonts w:ascii="Verdana" w:eastAsia="Calibri" w:hAnsi="Verdana" w:cs="Times New Roman"/>
          <w:iCs/>
          <w:lang w:val="es-ES"/>
        </w:rPr>
        <w:t xml:space="preserve"> se infiere que su denominación parte de un criterio orgánico, según el cual ambos actores son entidades públicas. Ahora bien, será necesario analizar la posibilidad de celebración de convenios o contratos interadministrativos </w:t>
      </w:r>
      <w:r w:rsidRPr="00AC7081">
        <w:rPr>
          <w:rFonts w:ascii="Verdana" w:eastAsia="Calibri" w:hAnsi="Verdana" w:cs="Times New Roman"/>
          <w:iCs/>
        </w:rPr>
        <w:t xml:space="preserve">mediante el cual un municipio o distrito articula con un comercializador de energía eléctrica la </w:t>
      </w:r>
      <w:r w:rsidRPr="00AC7081">
        <w:rPr>
          <w:rFonts w:ascii="Verdana" w:eastAsia="Calibri" w:hAnsi="Verdana" w:cs="Times New Roman"/>
          <w:bCs/>
          <w:iCs/>
        </w:rPr>
        <w:t>facturación y el recaudo del Impuesto de Alumbrado Público</w:t>
      </w:r>
      <w:r w:rsidRPr="00AC7081">
        <w:rPr>
          <w:rFonts w:ascii="Verdana" w:eastAsia="Calibri" w:hAnsi="Verdana" w:cs="Times New Roman"/>
          <w:iCs/>
        </w:rPr>
        <w:t xml:space="preserve"> a través de la f</w:t>
      </w:r>
      <w:r>
        <w:rPr>
          <w:rFonts w:ascii="Verdana" w:eastAsia="Calibri" w:hAnsi="Verdana" w:cs="Times New Roman"/>
          <w:iCs/>
        </w:rPr>
        <w:t xml:space="preserve">actura del servicio de energía. </w:t>
      </w:r>
    </w:p>
    <w:p w14:paraId="1EE24933" w14:textId="77777777" w:rsidR="00C077A3" w:rsidRDefault="00C077A3" w:rsidP="00C077A3">
      <w:pPr>
        <w:spacing w:after="0" w:line="276" w:lineRule="auto"/>
        <w:jc w:val="both"/>
        <w:rPr>
          <w:rFonts w:ascii="Verdana" w:eastAsia="Calibri" w:hAnsi="Verdana" w:cs="Times New Roman"/>
          <w:iCs/>
          <w:lang w:val="es-ES"/>
        </w:rPr>
      </w:pPr>
    </w:p>
    <w:p w14:paraId="6A1EDA14" w14:textId="77777777" w:rsidR="00C077A3" w:rsidRDefault="00C077A3" w:rsidP="00C077A3">
      <w:pPr>
        <w:spacing w:after="120" w:line="276" w:lineRule="auto"/>
        <w:jc w:val="both"/>
        <w:rPr>
          <w:rFonts w:ascii="Verdana" w:eastAsia="Calibri" w:hAnsi="Verdana" w:cs="Times New Roman"/>
          <w:bCs/>
          <w:iCs/>
        </w:rPr>
      </w:pPr>
      <w:r>
        <w:rPr>
          <w:rFonts w:ascii="Verdana" w:eastAsia="Calibri" w:hAnsi="Verdana" w:cs="Times New Roman"/>
          <w:iCs/>
          <w:lang w:val="es-ES"/>
        </w:rPr>
        <w:t xml:space="preserve">iii. </w:t>
      </w:r>
      <w:r>
        <w:rPr>
          <w:rFonts w:ascii="Verdana" w:hAnsi="Verdana" w:cs="Arial"/>
          <w:bCs/>
          <w:lang w:val="es-MX"/>
        </w:rPr>
        <w:t>El artículo 365 constitucional dispone que “</w:t>
      </w:r>
      <w:r w:rsidRPr="00AA7E50">
        <w:rPr>
          <w:rFonts w:ascii="Verdana" w:hAnsi="Verdana" w:cs="Arial"/>
          <w:bCs/>
        </w:rPr>
        <w:t>Los servicios públicos son inherentes a la finalidad social del Estado. Es deber del Estado asegurar su prestación eficiente a todos los habi</w:t>
      </w:r>
      <w:r>
        <w:rPr>
          <w:rFonts w:ascii="Verdana" w:hAnsi="Verdana" w:cs="Arial"/>
          <w:bCs/>
        </w:rPr>
        <w:t>tantes del territorio nacional”</w:t>
      </w:r>
      <w:r>
        <w:rPr>
          <w:rFonts w:ascii="Verdana" w:hAnsi="Verdana" w:cs="Arial"/>
          <w:bCs/>
          <w:lang w:val="es-MX"/>
        </w:rPr>
        <w:t>.</w:t>
      </w:r>
      <w:r>
        <w:rPr>
          <w:rFonts w:ascii="Verdana" w:eastAsia="Calibri" w:hAnsi="Verdana" w:cs="Times New Roman"/>
          <w:iCs/>
          <w:lang w:val="es-ES"/>
        </w:rPr>
        <w:t xml:space="preserve"> En desarrollo de dicho precepto constitucional, la Ley 142 de 1994 </w:t>
      </w:r>
      <w:r w:rsidRPr="000234A1">
        <w:rPr>
          <w:rFonts w:ascii="Verdana" w:eastAsia="Calibri" w:hAnsi="Verdana" w:cs="Times New Roman"/>
          <w:iCs/>
          <w:lang w:val="es-ES"/>
        </w:rPr>
        <w:t>“</w:t>
      </w:r>
      <w:r w:rsidRPr="000234A1">
        <w:rPr>
          <w:rFonts w:ascii="Verdana" w:eastAsia="Calibri" w:hAnsi="Verdana" w:cs="Times New Roman"/>
          <w:bCs/>
          <w:iCs/>
        </w:rPr>
        <w:t xml:space="preserve">por la cual se establece el régimen de los servicios públicos domiciliarios y se dictan otras disposiciones”, </w:t>
      </w:r>
      <w:r>
        <w:rPr>
          <w:rFonts w:ascii="Verdana" w:eastAsia="Calibri" w:hAnsi="Verdana" w:cs="Times New Roman"/>
          <w:bCs/>
          <w:iCs/>
        </w:rPr>
        <w:t xml:space="preserve">dispone en su artículo 1 que dicho cuerpo normativo </w:t>
      </w:r>
      <w:r w:rsidRPr="00AA7E50">
        <w:rPr>
          <w:rFonts w:ascii="Verdana" w:eastAsia="Calibri" w:hAnsi="Verdana" w:cs="Times New Roman"/>
          <w:bCs/>
          <w:iCs/>
        </w:rPr>
        <w:t>se aplica a los servicios públicos domiciliarios de acueducto, alcantarillado, aseo, energía eléctrica, distribución de gas combustible, telefonía pública básica conmutada y la telefonía local móvil en el sector rural</w:t>
      </w:r>
      <w:r>
        <w:rPr>
          <w:rFonts w:ascii="Verdana" w:eastAsia="Calibri" w:hAnsi="Verdana" w:cs="Times New Roman"/>
          <w:bCs/>
          <w:iCs/>
        </w:rPr>
        <w:t xml:space="preserve">. En dicha normatividad no se contempló el servicio de alumbrado público, por lo que no tiene la connotación de servicio público domiciliario. </w:t>
      </w:r>
    </w:p>
    <w:p w14:paraId="3CA12614" w14:textId="77777777" w:rsidR="00C077A3" w:rsidRDefault="00C077A3" w:rsidP="00C077A3">
      <w:pPr>
        <w:spacing w:after="120" w:line="276" w:lineRule="auto"/>
        <w:jc w:val="both"/>
        <w:rPr>
          <w:rFonts w:ascii="Verdana" w:eastAsia="Calibri" w:hAnsi="Verdana" w:cs="Times New Roman"/>
          <w:bCs/>
          <w:iCs/>
        </w:rPr>
      </w:pPr>
      <w:r>
        <w:rPr>
          <w:rFonts w:ascii="Verdana" w:eastAsia="Calibri" w:hAnsi="Verdana" w:cs="Times New Roman"/>
          <w:bCs/>
          <w:iCs/>
        </w:rPr>
        <w:tab/>
        <w:t xml:space="preserve"> Dicho servicio público está </w:t>
      </w:r>
      <w:r w:rsidRPr="00DA71F5">
        <w:rPr>
          <w:rFonts w:ascii="Verdana" w:eastAsia="Calibri" w:hAnsi="Verdana" w:cs="Times New Roman"/>
          <w:bCs/>
          <w:iCs/>
        </w:rPr>
        <w:t>definido por el artículo 2.2.3.1.2 del Decreto Ún</w:t>
      </w:r>
      <w:r>
        <w:rPr>
          <w:rFonts w:ascii="Verdana" w:eastAsia="Calibri" w:hAnsi="Verdana" w:cs="Times New Roman"/>
          <w:bCs/>
          <w:iCs/>
        </w:rPr>
        <w:t xml:space="preserve">ico Reglamentario 1073 de 2015, </w:t>
      </w:r>
      <w:r w:rsidRPr="00DA71F5">
        <w:rPr>
          <w:rFonts w:ascii="Verdana" w:eastAsia="Calibri" w:hAnsi="Verdana" w:cs="Times New Roman"/>
          <w:bCs/>
          <w:iCs/>
        </w:rPr>
        <w:t>de la siguiente manera:</w:t>
      </w:r>
      <w:r>
        <w:rPr>
          <w:rFonts w:ascii="Verdana" w:eastAsia="Calibri" w:hAnsi="Verdana" w:cs="Times New Roman"/>
          <w:bCs/>
          <w:iCs/>
        </w:rPr>
        <w:t xml:space="preserve"> “[…] </w:t>
      </w:r>
      <w:r w:rsidRPr="00DA71F5">
        <w:rPr>
          <w:rFonts w:ascii="Verdana" w:eastAsia="Calibri" w:hAnsi="Verdana" w:cs="Times New Roman"/>
          <w:bCs/>
          <w:iCs/>
        </w:rPr>
        <w:t>Servicio público no domiciliario de iluminación, inherente al servicio de energía eléctrica, que se presta con el fin de dar visibilidad al espacio público, bienes de uso público y demás espacios de libre circulación, con tránsito vehicular o peatonal, dentro del perímetro urbano y rural de un municipio o distrito, para el normal desarrollo de las actividades</w:t>
      </w:r>
      <w:r>
        <w:rPr>
          <w:rFonts w:ascii="Verdana" w:eastAsia="Calibri" w:hAnsi="Verdana" w:cs="Times New Roman"/>
          <w:bCs/>
          <w:iCs/>
        </w:rPr>
        <w:t xml:space="preserve"> […]</w:t>
      </w:r>
      <w:r w:rsidRPr="00DA71F5">
        <w:rPr>
          <w:rFonts w:ascii="Verdana" w:eastAsia="Calibri" w:hAnsi="Verdana" w:cs="Times New Roman"/>
          <w:bCs/>
          <w:iCs/>
        </w:rPr>
        <w:t>.</w:t>
      </w:r>
      <w:r>
        <w:rPr>
          <w:rFonts w:ascii="Verdana" w:eastAsia="Calibri" w:hAnsi="Verdana" w:cs="Times New Roman"/>
          <w:bCs/>
          <w:iCs/>
        </w:rPr>
        <w:t xml:space="preserve"> </w:t>
      </w:r>
      <w:r w:rsidRPr="00E65B53">
        <w:rPr>
          <w:rFonts w:ascii="Verdana" w:eastAsia="Calibri" w:hAnsi="Verdana" w:cs="Times New Roman"/>
          <w:bCs/>
          <w:iCs/>
        </w:rPr>
        <w:t>Por otro lado, respecto a la responsabilidad de su prestación, el artículo 2.2.3.6.1.2. del Decreto 1073 de 2015, estableció:</w:t>
      </w:r>
      <w:r>
        <w:rPr>
          <w:rFonts w:ascii="Verdana" w:eastAsia="Calibri" w:hAnsi="Verdana" w:cs="Times New Roman"/>
          <w:bCs/>
          <w:iCs/>
        </w:rPr>
        <w:t xml:space="preserve"> “[…]</w:t>
      </w:r>
      <w:r w:rsidRPr="00E65B53">
        <w:rPr>
          <w:rFonts w:ascii="Arial" w:hAnsi="Arial" w:cs="Arial"/>
          <w:i/>
          <w:iCs/>
          <w:color w:val="000000"/>
          <w:sz w:val="21"/>
          <w:szCs w:val="21"/>
        </w:rPr>
        <w:t xml:space="preserve"> </w:t>
      </w:r>
      <w:r w:rsidRPr="00E65B53">
        <w:rPr>
          <w:rFonts w:ascii="Verdana" w:eastAsia="Calibri" w:hAnsi="Verdana" w:cs="Times New Roman"/>
          <w:bCs/>
          <w:iCs/>
        </w:rPr>
        <w:t xml:space="preserve">Los municipios o distritos son los responsables de la prestación del servicio de alumbrado público, el cual podrán prestar de manera directa, o a través de </w:t>
      </w:r>
      <w:r w:rsidRPr="00E65B53">
        <w:rPr>
          <w:rFonts w:ascii="Verdana" w:eastAsia="Calibri" w:hAnsi="Verdana" w:cs="Times New Roman"/>
          <w:bCs/>
          <w:iCs/>
        </w:rPr>
        <w:lastRenderedPageBreak/>
        <w:t>empresas de servicios públicos domiciliarios u otros prestadores del servicio de alumbrado público que demuestren idoneidad en la prestación del mismo, con el fin de lograr un gasto financiero y</w:t>
      </w:r>
      <w:r>
        <w:rPr>
          <w:rFonts w:ascii="Verdana" w:eastAsia="Calibri" w:hAnsi="Verdana" w:cs="Times New Roman"/>
          <w:bCs/>
          <w:iCs/>
        </w:rPr>
        <w:t xml:space="preserve"> energético responsable […]”. </w:t>
      </w:r>
    </w:p>
    <w:p w14:paraId="0D3EADED" w14:textId="77777777" w:rsidR="00C077A3" w:rsidRDefault="00C077A3" w:rsidP="00C077A3">
      <w:pPr>
        <w:spacing w:after="120" w:line="276" w:lineRule="auto"/>
        <w:jc w:val="both"/>
        <w:rPr>
          <w:rFonts w:ascii="Verdana" w:eastAsia="Calibri" w:hAnsi="Verdana" w:cs="Times New Roman"/>
          <w:bCs/>
          <w:iCs/>
        </w:rPr>
      </w:pPr>
      <w:r>
        <w:rPr>
          <w:rFonts w:ascii="Verdana" w:eastAsia="Calibri" w:hAnsi="Verdana" w:cs="Times New Roman"/>
          <w:bCs/>
          <w:iCs/>
        </w:rPr>
        <w:tab/>
      </w:r>
      <w:r w:rsidRPr="00F32A8C">
        <w:rPr>
          <w:rFonts w:ascii="Verdana" w:eastAsia="Calibri" w:hAnsi="Verdana" w:cs="Times New Roman"/>
          <w:bCs/>
          <w:iCs/>
        </w:rPr>
        <w:t xml:space="preserve">En este contexto normativo, se advierte que la responsabilidad por la prestación del servicio de alumbrado público recae en los municipios y distritos, en cuanto entidades territoriales con competencia para garantizar la adecuada iluminación de los espacios de uso público dentro de su jurisdicción. Para el cumplimiento de esta función, el ordenamiento jurídico les reconoce la facultad de establecer mecanismos de financiación propios, entre los cuales se encuentra el impuesto de alumbrado público, que puede </w:t>
      </w:r>
      <w:r>
        <w:rPr>
          <w:rFonts w:ascii="Verdana" w:eastAsia="Calibri" w:hAnsi="Verdana" w:cs="Times New Roman"/>
          <w:bCs/>
          <w:iCs/>
        </w:rPr>
        <w:t xml:space="preserve">adoptarse </w:t>
      </w:r>
      <w:r w:rsidRPr="00F32A8C">
        <w:rPr>
          <w:rFonts w:ascii="Verdana" w:eastAsia="Calibri" w:hAnsi="Verdana" w:cs="Times New Roman"/>
          <w:bCs/>
          <w:iCs/>
        </w:rPr>
        <w:t xml:space="preserve">mediante acuerdo de los concejos municipales y distritales. </w:t>
      </w:r>
      <w:r>
        <w:rPr>
          <w:rFonts w:ascii="Verdana" w:eastAsia="Calibri" w:hAnsi="Verdana" w:cs="Times New Roman"/>
          <w:bCs/>
          <w:iCs/>
        </w:rPr>
        <w:t xml:space="preserve">En tal sentido, </w:t>
      </w:r>
      <w:r w:rsidRPr="00F32A8C">
        <w:rPr>
          <w:rFonts w:ascii="Verdana" w:eastAsia="Calibri" w:hAnsi="Verdana" w:cs="Times New Roman"/>
          <w:bCs/>
          <w:iCs/>
        </w:rPr>
        <w:t>los artículos 349, 350 y 352 de la Ley 1819 de 2016 precisaron los aspectos sustanciales y procedimentales relacionados con dicho tributo, reafirmando la autonomía fiscal de las entidades territoriales y dotándolas de herramientas legales para asegurar la sosteni</w:t>
      </w:r>
      <w:r>
        <w:rPr>
          <w:rFonts w:ascii="Verdana" w:eastAsia="Calibri" w:hAnsi="Verdana" w:cs="Times New Roman"/>
          <w:bCs/>
          <w:iCs/>
        </w:rPr>
        <w:t>bilidad financiera del servicio</w:t>
      </w:r>
      <w:r w:rsidRPr="00F32A8C">
        <w:rPr>
          <w:rFonts w:ascii="Verdana" w:eastAsia="Calibri" w:hAnsi="Verdana" w:cs="Times New Roman"/>
          <w:bCs/>
          <w:iCs/>
        </w:rPr>
        <w:t>.</w:t>
      </w:r>
    </w:p>
    <w:p w14:paraId="38A31CB6" w14:textId="77777777" w:rsidR="00C077A3" w:rsidRDefault="00C077A3" w:rsidP="00C077A3">
      <w:pPr>
        <w:spacing w:after="0" w:line="276" w:lineRule="auto"/>
        <w:ind w:firstLine="709"/>
        <w:jc w:val="both"/>
        <w:rPr>
          <w:rFonts w:ascii="Verdana" w:eastAsia="Calibri" w:hAnsi="Verdana" w:cs="Times New Roman"/>
          <w:bCs/>
          <w:iCs/>
        </w:rPr>
      </w:pPr>
      <w:r w:rsidRPr="00F32A8C">
        <w:rPr>
          <w:rFonts w:ascii="Verdana" w:eastAsia="Calibri" w:hAnsi="Verdana" w:cs="Times New Roman"/>
          <w:bCs/>
          <w:iCs/>
        </w:rPr>
        <w:t>En particu</w:t>
      </w:r>
      <w:r>
        <w:rPr>
          <w:rFonts w:ascii="Verdana" w:eastAsia="Calibri" w:hAnsi="Verdana" w:cs="Times New Roman"/>
          <w:bCs/>
          <w:iCs/>
        </w:rPr>
        <w:t xml:space="preserve">lar, el artículo 349 de la Ley 1819 de 2016 regula </w:t>
      </w:r>
      <w:r w:rsidRPr="00F32A8C">
        <w:rPr>
          <w:rFonts w:ascii="Verdana" w:eastAsia="Calibri" w:hAnsi="Verdana" w:cs="Times New Roman"/>
          <w:bCs/>
          <w:iCs/>
        </w:rPr>
        <w:t xml:space="preserve">el marco general del impuesto de alumbrado público, definiendo de manera expresa sus elementos estructurales y reafirmando la competencia de los municipios y distritos para crearlo mediante acuerdos expedidos por los concejos municipales y distritales. La norma dispone que el hecho generador del tributo es el beneficio derivado de la prestación del servicio de alumbrado público, lo que implica que la obligación tributaria surge por el aprovechamiento colectivo de dicho servicio y no necesariamente por una prestación individualizada. Asimismo, faculta a las entidades territoriales para determinar los sujetos pasivos, la base gravable y las tarifas, respetando su autonomía fiscal, e introduce la posibilidad de recaudo a través de una sobretasa del impuesto predial en aquellos casos en que los predios no sean usuarios del servicio domiciliario de energía eléctrica. </w:t>
      </w:r>
      <w:r>
        <w:rPr>
          <w:rFonts w:ascii="Verdana" w:eastAsia="Calibri" w:hAnsi="Verdana" w:cs="Times New Roman"/>
          <w:bCs/>
          <w:iCs/>
        </w:rPr>
        <w:t xml:space="preserve">También se </w:t>
      </w:r>
      <w:r w:rsidRPr="00F32A8C">
        <w:rPr>
          <w:rFonts w:ascii="Verdana" w:eastAsia="Calibri" w:hAnsi="Verdana" w:cs="Times New Roman"/>
          <w:bCs/>
          <w:iCs/>
        </w:rPr>
        <w:t>exige que los demás elementos del impuesto guarden una relación coherente con el hecho generador y se estructuren conforme a los principios de progresividad, equidad y eficiencia</w:t>
      </w:r>
      <w:r>
        <w:rPr>
          <w:rFonts w:ascii="Verdana" w:eastAsia="Calibri" w:hAnsi="Verdana" w:cs="Times New Roman"/>
          <w:bCs/>
          <w:iCs/>
        </w:rPr>
        <w:t>. Con respecto, a la forma de su recaudo y facturación el artículo 352 de la Ley 1819 de 2016 prescribe:</w:t>
      </w:r>
    </w:p>
    <w:p w14:paraId="6491541F" w14:textId="77777777" w:rsidR="00C077A3" w:rsidRDefault="00C077A3" w:rsidP="00C077A3">
      <w:pPr>
        <w:spacing w:after="0" w:line="276" w:lineRule="auto"/>
        <w:ind w:firstLine="709"/>
        <w:jc w:val="both"/>
        <w:rPr>
          <w:rFonts w:ascii="Verdana" w:eastAsia="Calibri" w:hAnsi="Verdana" w:cs="Times New Roman"/>
          <w:bCs/>
          <w:iCs/>
        </w:rPr>
      </w:pPr>
    </w:p>
    <w:p w14:paraId="36551995" w14:textId="77777777" w:rsidR="00C077A3" w:rsidRPr="00494A06" w:rsidRDefault="00C077A3" w:rsidP="00C077A3">
      <w:pPr>
        <w:spacing w:after="0" w:line="240" w:lineRule="auto"/>
        <w:ind w:left="709" w:right="709"/>
        <w:jc w:val="both"/>
        <w:rPr>
          <w:rFonts w:ascii="Verdana" w:eastAsia="Calibri" w:hAnsi="Verdana" w:cs="Times New Roman"/>
          <w:bCs/>
          <w:iCs/>
          <w:sz w:val="20"/>
          <w:szCs w:val="20"/>
        </w:rPr>
      </w:pPr>
      <w:r w:rsidRPr="00494A06">
        <w:rPr>
          <w:rFonts w:ascii="Verdana" w:eastAsia="Calibri" w:hAnsi="Verdana" w:cs="Times New Roman"/>
          <w:bCs/>
          <w:iCs/>
          <w:sz w:val="20"/>
          <w:szCs w:val="20"/>
        </w:rPr>
        <w:t>Artículo 352. </w:t>
      </w:r>
      <w:r w:rsidRPr="00494A06">
        <w:rPr>
          <w:rFonts w:ascii="Verdana" w:eastAsia="Calibri" w:hAnsi="Verdana" w:cs="Times New Roman"/>
          <w:bCs/>
          <w:i/>
          <w:iCs/>
          <w:sz w:val="20"/>
          <w:szCs w:val="20"/>
        </w:rPr>
        <w:t>Recaudo y facturación</w:t>
      </w:r>
      <w:r w:rsidRPr="00494A06">
        <w:rPr>
          <w:rFonts w:ascii="Verdana" w:eastAsia="Calibri" w:hAnsi="Verdana" w:cs="Times New Roman"/>
          <w:bCs/>
          <w:iCs/>
          <w:sz w:val="20"/>
          <w:szCs w:val="20"/>
        </w:rPr>
        <w:t xml:space="preserve">. El recaudo del impuesto de alumbrado público lo hará el Municipio o Distrito o Comercializador de energía y podrá realizarse mediante </w:t>
      </w:r>
      <w:r>
        <w:rPr>
          <w:rFonts w:ascii="Verdana" w:eastAsia="Calibri" w:hAnsi="Verdana" w:cs="Times New Roman"/>
          <w:bCs/>
          <w:iCs/>
          <w:sz w:val="20"/>
          <w:szCs w:val="20"/>
        </w:rPr>
        <w:t>las facturas de servicios públi</w:t>
      </w:r>
      <w:r w:rsidRPr="00494A06">
        <w:rPr>
          <w:rFonts w:ascii="Verdana" w:eastAsia="Calibri" w:hAnsi="Verdana" w:cs="Times New Roman"/>
          <w:bCs/>
          <w:iCs/>
          <w:sz w:val="20"/>
          <w:szCs w:val="20"/>
        </w:rPr>
        <w:t xml:space="preserve">cos domiciliarios. </w:t>
      </w:r>
      <w:r w:rsidRPr="00494A06">
        <w:rPr>
          <w:rFonts w:ascii="Verdana" w:eastAsia="Calibri" w:hAnsi="Verdana" w:cs="Times New Roman"/>
          <w:bCs/>
          <w:i/>
          <w:iCs/>
          <w:sz w:val="20"/>
          <w:szCs w:val="20"/>
        </w:rPr>
        <w:t xml:space="preserve">Las empresas comercializadoras de energía podrán actuar </w:t>
      </w:r>
      <w:r w:rsidRPr="00494A06">
        <w:rPr>
          <w:rFonts w:ascii="Verdana" w:eastAsia="Calibri" w:hAnsi="Verdana" w:cs="Times New Roman"/>
          <w:bCs/>
          <w:i/>
          <w:iCs/>
          <w:sz w:val="20"/>
          <w:szCs w:val="20"/>
        </w:rPr>
        <w:lastRenderedPageBreak/>
        <w:t xml:space="preserve">como agentes recaudadores del impuesto, dentro de la factura de energía y transferirán el recurso al prestador correspondiente, autorizado por el Municipio o Distrito, dentro de los cuarenta y cinco (45) días siguientes al de su recaudo. </w:t>
      </w:r>
      <w:r w:rsidRPr="00494A06">
        <w:rPr>
          <w:rFonts w:ascii="Verdana" w:eastAsia="Calibri" w:hAnsi="Verdana" w:cs="Times New Roman"/>
          <w:bCs/>
          <w:iCs/>
          <w:sz w:val="20"/>
          <w:szCs w:val="20"/>
        </w:rPr>
        <w:t>Durante este lapso de tiempo, se</w:t>
      </w:r>
      <w:r>
        <w:rPr>
          <w:rFonts w:ascii="Verdana" w:eastAsia="Calibri" w:hAnsi="Verdana" w:cs="Times New Roman"/>
          <w:bCs/>
          <w:iCs/>
          <w:sz w:val="20"/>
          <w:szCs w:val="20"/>
        </w:rPr>
        <w:t xml:space="preserve"> pro</w:t>
      </w:r>
      <w:r w:rsidRPr="00494A06">
        <w:rPr>
          <w:rFonts w:ascii="Verdana" w:eastAsia="Calibri" w:hAnsi="Verdana" w:cs="Times New Roman"/>
          <w:bCs/>
          <w:iCs/>
          <w:sz w:val="20"/>
          <w:szCs w:val="20"/>
        </w:rPr>
        <w:t>nunciará la interventoría a cargo del Municipio o Distrito, o la entidad municipal o Distrital a fin del sector, sin perjuicio de la realización del giro correspondiente ni de la continuidad en la prestación del servicio. El Municipio o Distrito reglamentará el régimen sancionatorio apli</w:t>
      </w:r>
      <w:r w:rsidRPr="00494A06">
        <w:rPr>
          <w:rFonts w:ascii="Verdana" w:eastAsia="Calibri" w:hAnsi="Verdana" w:cs="Times New Roman"/>
          <w:bCs/>
          <w:iCs/>
          <w:sz w:val="20"/>
          <w:szCs w:val="20"/>
        </w:rPr>
        <w:softHyphen/>
        <w:t>cable para la evasión de los contribuyentes. El servicio o actividad de facturación y recaudo del impuesto no tendrá ninguna con</w:t>
      </w:r>
      <w:r>
        <w:rPr>
          <w:rFonts w:ascii="Verdana" w:eastAsia="Calibri" w:hAnsi="Verdana" w:cs="Times New Roman"/>
          <w:bCs/>
          <w:iCs/>
          <w:sz w:val="20"/>
          <w:szCs w:val="20"/>
        </w:rPr>
        <w:t xml:space="preserve">traprestación a quien lo preste (énfasis fuera de texto) </w:t>
      </w:r>
    </w:p>
    <w:p w14:paraId="79C32751" w14:textId="77777777" w:rsidR="00C077A3" w:rsidRDefault="00C077A3" w:rsidP="00C077A3">
      <w:pPr>
        <w:spacing w:after="0" w:line="276" w:lineRule="auto"/>
        <w:ind w:firstLine="709"/>
        <w:jc w:val="both"/>
        <w:rPr>
          <w:rFonts w:ascii="Verdana" w:eastAsia="Calibri" w:hAnsi="Verdana" w:cs="Times New Roman"/>
          <w:bCs/>
          <w:iCs/>
        </w:rPr>
      </w:pPr>
    </w:p>
    <w:p w14:paraId="4EC8457C" w14:textId="77777777" w:rsidR="00C077A3" w:rsidRDefault="00C077A3" w:rsidP="00C077A3">
      <w:pPr>
        <w:spacing w:after="120" w:line="276" w:lineRule="auto"/>
        <w:ind w:firstLine="708"/>
        <w:jc w:val="both"/>
        <w:rPr>
          <w:rFonts w:ascii="Verdana" w:eastAsia="Calibri" w:hAnsi="Verdana" w:cs="Times New Roman"/>
          <w:bCs/>
          <w:iCs/>
        </w:rPr>
      </w:pPr>
      <w:r w:rsidRPr="005A7A41">
        <w:rPr>
          <w:rFonts w:ascii="Verdana" w:eastAsia="Calibri" w:hAnsi="Verdana" w:cs="Times New Roman"/>
          <w:bCs/>
          <w:iCs/>
        </w:rPr>
        <w:t>Del contenido del artículo en mención se infiere que la competencia para el recaudo del impuesto de alumbrado público radica de manera directa en los municipios y distritos, en su condición de titulares de la potestad tributaria territorial. No obstante, la norma prevé un mecanismo operativo de recaudo indirecto, en virtud del cual las entidades territoriales pueden autorizar a las empresas comercializadoras de energía eléctrica para que actúen como agentes recaudadores</w:t>
      </w:r>
      <w:r>
        <w:rPr>
          <w:rFonts w:ascii="Verdana" w:eastAsia="Calibri" w:hAnsi="Verdana" w:cs="Times New Roman"/>
          <w:bCs/>
          <w:iCs/>
        </w:rPr>
        <w:t xml:space="preserve"> del tributo</w:t>
      </w:r>
      <w:r w:rsidRPr="005A7A41">
        <w:rPr>
          <w:rFonts w:ascii="Verdana" w:eastAsia="Calibri" w:hAnsi="Verdana" w:cs="Times New Roman"/>
          <w:bCs/>
          <w:iCs/>
        </w:rPr>
        <w:t>.</w:t>
      </w:r>
      <w:r>
        <w:rPr>
          <w:rFonts w:ascii="Verdana" w:eastAsia="Calibri" w:hAnsi="Verdana" w:cs="Times New Roman"/>
          <w:bCs/>
          <w:iCs/>
        </w:rPr>
        <w:t xml:space="preserve"> En este sentido, cada </w:t>
      </w:r>
      <w:r w:rsidRPr="005A7A41">
        <w:rPr>
          <w:rFonts w:ascii="Verdana" w:eastAsia="Calibri" w:hAnsi="Verdana" w:cs="Times New Roman"/>
          <w:bCs/>
          <w:iCs/>
        </w:rPr>
        <w:t xml:space="preserve">municipio es autónomo para determinar si hacen uso de la facultad señalada en el citado artículo 352; o si opta por realizar el recaudo del impuesto de manera directa. </w:t>
      </w:r>
    </w:p>
    <w:p w14:paraId="741E9803" w14:textId="77777777" w:rsidR="00C077A3" w:rsidRDefault="00C077A3" w:rsidP="00C077A3">
      <w:pPr>
        <w:spacing w:after="120" w:line="276" w:lineRule="auto"/>
        <w:ind w:firstLine="708"/>
        <w:jc w:val="both"/>
        <w:rPr>
          <w:rFonts w:ascii="Verdana" w:eastAsia="Calibri" w:hAnsi="Verdana" w:cs="Times New Roman"/>
          <w:bCs/>
          <w:iCs/>
        </w:rPr>
      </w:pPr>
      <w:r w:rsidRPr="005A7A41">
        <w:rPr>
          <w:rFonts w:ascii="Verdana" w:eastAsia="Calibri" w:hAnsi="Verdana" w:cs="Times New Roman"/>
          <w:bCs/>
          <w:iCs/>
        </w:rPr>
        <w:t xml:space="preserve">Al respecto, </w:t>
      </w:r>
      <w:r>
        <w:rPr>
          <w:rFonts w:ascii="Verdana" w:eastAsia="Calibri" w:hAnsi="Verdana" w:cs="Times New Roman"/>
          <w:bCs/>
          <w:iCs/>
        </w:rPr>
        <w:t>mediante C</w:t>
      </w:r>
      <w:r w:rsidRPr="005A7A41">
        <w:rPr>
          <w:rFonts w:ascii="Verdana" w:eastAsia="Calibri" w:hAnsi="Verdana" w:cs="Times New Roman"/>
          <w:bCs/>
          <w:iCs/>
        </w:rPr>
        <w:t>oncepto</w:t>
      </w:r>
      <w:r>
        <w:rPr>
          <w:rFonts w:ascii="Verdana" w:eastAsia="Calibri" w:hAnsi="Verdana" w:cs="Times New Roman"/>
          <w:bCs/>
          <w:iCs/>
        </w:rPr>
        <w:t xml:space="preserve"> de la Superintendencia de Servicios Públicos Domiciliarios</w:t>
      </w:r>
      <w:r w:rsidRPr="005A7A41">
        <w:rPr>
          <w:rFonts w:ascii="Verdana" w:eastAsia="Calibri" w:hAnsi="Verdana" w:cs="Times New Roman"/>
          <w:bCs/>
          <w:iCs/>
        </w:rPr>
        <w:t xml:space="preserve"> SSPD-OJ-2023-286, en donde se reitera la posición del concepto unificado SSPD-OJ-2022-040, </w:t>
      </w:r>
      <w:r>
        <w:rPr>
          <w:rFonts w:ascii="Verdana" w:eastAsia="Calibri" w:hAnsi="Verdana" w:cs="Times New Roman"/>
          <w:bCs/>
          <w:iCs/>
        </w:rPr>
        <w:t>se señala lo siguiente</w:t>
      </w:r>
      <w:r w:rsidRPr="005A7A41">
        <w:rPr>
          <w:rFonts w:ascii="Verdana" w:eastAsia="Calibri" w:hAnsi="Verdana" w:cs="Times New Roman"/>
          <w:bCs/>
          <w:iCs/>
        </w:rPr>
        <w:t>: “Ahora bien, es potestad de cada municipio determinar si hacen uso de la facultad prevista anteriormente, o si por el contrario deciden realizar el recaudo del impuesto de manera directa. En particular, en el respectivo acuerdo municipal que adopte el impuesto de alumbrado público, deberá consagrarse la manera en que se recauda dicho tributo, en los términos del artículo 349 de la Ley 1819 de 2016</w:t>
      </w:r>
      <w:r>
        <w:rPr>
          <w:rFonts w:ascii="Verdana" w:eastAsia="Calibri" w:hAnsi="Verdana" w:cs="Times New Roman"/>
          <w:bCs/>
          <w:iCs/>
        </w:rPr>
        <w:t>”</w:t>
      </w:r>
      <w:r w:rsidRPr="005A7A41">
        <w:rPr>
          <w:rFonts w:ascii="Verdana" w:eastAsia="Calibri" w:hAnsi="Verdana" w:cs="Times New Roman"/>
          <w:bCs/>
          <w:iCs/>
        </w:rPr>
        <w:t>.</w:t>
      </w:r>
    </w:p>
    <w:p w14:paraId="54BA8F7E" w14:textId="77777777" w:rsidR="00C077A3" w:rsidRPr="00820213" w:rsidRDefault="00C077A3" w:rsidP="00C077A3">
      <w:pPr>
        <w:spacing w:after="0" w:line="276" w:lineRule="auto"/>
        <w:ind w:firstLine="709"/>
        <w:jc w:val="both"/>
        <w:rPr>
          <w:rFonts w:ascii="Verdana" w:eastAsia="Calibri" w:hAnsi="Verdana" w:cs="Times New Roman"/>
          <w:bCs/>
          <w:iCs/>
        </w:rPr>
      </w:pPr>
      <w:r w:rsidRPr="00820213">
        <w:rPr>
          <w:rFonts w:ascii="Verdana" w:eastAsia="Calibri" w:hAnsi="Verdana" w:cs="Times New Roman"/>
          <w:bCs/>
          <w:iCs/>
        </w:rPr>
        <w:t xml:space="preserve">En relación con la facultad atribuida a los municipios y distritos para regular el impuesto de alumbrado público, así como con el papel asignado a las empresas comercializadoras de energía en las actividades de facturación y recaudo, la Corte Constitucional, al ejercer el control de constitucionalidad sobre las expresiones “o comercializador de energía” y “el servicio o actividad de facturación y recaudo del impuesto no tendrá ninguna contraprestación a quien lo preste”, contenidas en el artículo 352 de la Ley 1819 de 2016, analizó la compatibilidad de dichas disposiciones con los principios </w:t>
      </w:r>
      <w:r>
        <w:rPr>
          <w:rFonts w:ascii="Verdana" w:eastAsia="Calibri" w:hAnsi="Verdana" w:cs="Times New Roman"/>
          <w:bCs/>
          <w:iCs/>
        </w:rPr>
        <w:t>y normas superiores, precisando:</w:t>
      </w:r>
    </w:p>
    <w:p w14:paraId="141FBDE7" w14:textId="77777777" w:rsidR="00C077A3" w:rsidRDefault="00C077A3" w:rsidP="00C077A3">
      <w:pPr>
        <w:spacing w:after="0" w:line="240" w:lineRule="auto"/>
        <w:ind w:left="709" w:right="709" w:firstLine="708"/>
        <w:jc w:val="both"/>
        <w:rPr>
          <w:rFonts w:ascii="Verdana" w:eastAsia="Calibri" w:hAnsi="Verdana" w:cs="Times New Roman"/>
          <w:bCs/>
          <w:iCs/>
        </w:rPr>
      </w:pPr>
    </w:p>
    <w:p w14:paraId="20C4F454" w14:textId="77777777" w:rsidR="00C077A3" w:rsidRDefault="00C077A3" w:rsidP="00C077A3">
      <w:pPr>
        <w:spacing w:after="0" w:line="240" w:lineRule="auto"/>
        <w:ind w:left="709" w:right="709"/>
        <w:jc w:val="both"/>
        <w:rPr>
          <w:rFonts w:ascii="Verdana" w:eastAsia="Calibri" w:hAnsi="Verdana" w:cs="Times New Roman"/>
          <w:bCs/>
          <w:iCs/>
          <w:sz w:val="20"/>
        </w:rPr>
      </w:pPr>
      <w:r>
        <w:rPr>
          <w:rFonts w:ascii="Verdana" w:eastAsia="Calibri" w:hAnsi="Verdana" w:cs="Times New Roman"/>
          <w:b/>
          <w:bCs/>
          <w:iCs/>
          <w:sz w:val="20"/>
        </w:rPr>
        <w:t>“</w:t>
      </w:r>
      <w:r w:rsidRPr="00820213">
        <w:rPr>
          <w:rFonts w:ascii="Verdana" w:eastAsia="Calibri" w:hAnsi="Verdana" w:cs="Times New Roman"/>
          <w:b/>
          <w:bCs/>
          <w:iCs/>
          <w:sz w:val="20"/>
        </w:rPr>
        <w:t>25. </w:t>
      </w:r>
      <w:r w:rsidRPr="00820213">
        <w:rPr>
          <w:rFonts w:ascii="Verdana" w:eastAsia="Calibri" w:hAnsi="Verdana" w:cs="Times New Roman"/>
          <w:bCs/>
          <w:iCs/>
          <w:sz w:val="20"/>
        </w:rPr>
        <w:t>No se desconoce el núcleo esencial de la libertad de empresa de las comercializadoras de energía eléctrica, pues la norma censurada no establece en realidad restricción alguna a ese derecho en general, ni tampoco a alguno de los aspectos que conforman su núcleo esencial. La disposición no proporciona un tratamiento discriminatorio entre empresarios o competidores que se hallen en la misma posición, por cuanto a todas las empresas de energía eléctrica que proporcionen el servicio domiciliario en el municipio o distrito puede serles asignada la carga en mención.</w:t>
      </w:r>
    </w:p>
    <w:p w14:paraId="3EDDF0D7" w14:textId="77777777" w:rsidR="00C077A3" w:rsidRPr="00820213" w:rsidRDefault="00C077A3" w:rsidP="00C077A3">
      <w:pPr>
        <w:spacing w:after="0" w:line="240" w:lineRule="auto"/>
        <w:ind w:left="709" w:right="709"/>
        <w:jc w:val="both"/>
        <w:rPr>
          <w:rFonts w:ascii="Verdana" w:eastAsia="Calibri" w:hAnsi="Verdana" w:cs="Times New Roman"/>
          <w:bCs/>
          <w:iCs/>
          <w:sz w:val="20"/>
        </w:rPr>
      </w:pPr>
    </w:p>
    <w:p w14:paraId="636D3607" w14:textId="77777777" w:rsidR="00C077A3" w:rsidRDefault="00C077A3" w:rsidP="00C077A3">
      <w:pPr>
        <w:spacing w:after="0" w:line="240" w:lineRule="auto"/>
        <w:ind w:left="709" w:right="709"/>
        <w:jc w:val="both"/>
        <w:rPr>
          <w:rFonts w:ascii="Verdana" w:eastAsia="Calibri" w:hAnsi="Verdana" w:cs="Times New Roman"/>
          <w:bCs/>
          <w:iCs/>
          <w:sz w:val="20"/>
        </w:rPr>
      </w:pPr>
      <w:r w:rsidRPr="00820213">
        <w:rPr>
          <w:rFonts w:ascii="Verdana" w:eastAsia="Calibri" w:hAnsi="Verdana" w:cs="Times New Roman"/>
          <w:bCs/>
          <w:iCs/>
          <w:sz w:val="20"/>
        </w:rPr>
        <w:t>Así mismo, la obligación eventual de facturar y recaudar las sumas por concepto de alumbrado público no interfiere el derecho de tales empresas a concurrir al mercado o retirarse del mismo, a competir en paridad de condiciones, ni comporta consecuencias sobre la libertad que poseen para disponer de sus modelos de organización y gestión interna, así como de sus técnicas para incursionar en el sector económico de su especialidad. En el mismo sentido, la norma no establece limitaciones a la libre iniciativa privada, en la medida en que la citada carga no coarta el desarrollo libre de esa prerrogativa, según los modelos mercantiles de organización contemporáneos. Tampoco incide en la posibilidad que les asiste de crear establecimientos de comercio con el cumplimiento de los requisitos legales.</w:t>
      </w:r>
    </w:p>
    <w:p w14:paraId="6FBEA725" w14:textId="77777777" w:rsidR="00C077A3" w:rsidRPr="00820213" w:rsidRDefault="00C077A3" w:rsidP="00C077A3">
      <w:pPr>
        <w:spacing w:after="0" w:line="240" w:lineRule="auto"/>
        <w:ind w:left="709" w:right="709"/>
        <w:jc w:val="both"/>
        <w:rPr>
          <w:rFonts w:ascii="Verdana" w:eastAsia="Calibri" w:hAnsi="Verdana" w:cs="Times New Roman"/>
          <w:bCs/>
          <w:iCs/>
          <w:sz w:val="20"/>
        </w:rPr>
      </w:pPr>
    </w:p>
    <w:p w14:paraId="001F3945" w14:textId="77777777" w:rsidR="00C077A3" w:rsidRPr="00820213" w:rsidRDefault="00C077A3" w:rsidP="00C077A3">
      <w:pPr>
        <w:spacing w:after="0" w:line="240" w:lineRule="auto"/>
        <w:ind w:left="709" w:right="709"/>
        <w:jc w:val="both"/>
        <w:rPr>
          <w:rFonts w:ascii="Verdana" w:eastAsia="Calibri" w:hAnsi="Verdana" w:cs="Times New Roman"/>
          <w:bCs/>
          <w:iCs/>
          <w:sz w:val="20"/>
        </w:rPr>
      </w:pPr>
      <w:r w:rsidRPr="00820213">
        <w:rPr>
          <w:rFonts w:ascii="Verdana" w:eastAsia="Calibri" w:hAnsi="Verdana" w:cs="Times New Roman"/>
          <w:bCs/>
          <w:iCs/>
          <w:sz w:val="20"/>
        </w:rPr>
        <w:t>Por último, la medida adoptada en el precepto demandado no limita en realidad el derecho de las comercializadoras a recibir un lucro razonable por su actividad económica, a diferencia de lo que afirma el actor. El objeto social de aquellas se halla ligado esencialmente a la prestación del servicio de energía eléctrica. En este sentido, el eventual desarrollo de labores de recaudo tributario no interviene en su derecho a obtener rendimientos por sus operaciones comerciales ordinarias. No implica que la inversión de recursos particulares con fines de explotación, en este caso en el sector de la energía eléctrica, no pueda tener como contraprestación una ganancia. Esto es así elementalmente porque la medida creada no consiste en realidad en una limitación a un derecho sino que es una carga pública derivada del sistema tributario, que se impone en virtud del principio de solidaridad (Art. 1 de la C.P.), como se mostrará en breve</w:t>
      </w:r>
      <w:r>
        <w:rPr>
          <w:rFonts w:ascii="Verdana" w:eastAsia="Calibri" w:hAnsi="Verdana" w:cs="Times New Roman"/>
          <w:bCs/>
          <w:iCs/>
          <w:sz w:val="20"/>
        </w:rPr>
        <w:t>”</w:t>
      </w:r>
      <w:r>
        <w:rPr>
          <w:rStyle w:val="Refdenotaalpie"/>
          <w:rFonts w:ascii="Verdana" w:eastAsia="Calibri" w:hAnsi="Verdana" w:cs="Times New Roman"/>
          <w:bCs/>
          <w:iCs/>
          <w:sz w:val="20"/>
        </w:rPr>
        <w:footnoteReference w:id="16"/>
      </w:r>
      <w:r w:rsidRPr="00820213">
        <w:rPr>
          <w:rFonts w:ascii="Verdana" w:eastAsia="Calibri" w:hAnsi="Verdana" w:cs="Times New Roman"/>
          <w:bCs/>
          <w:iCs/>
          <w:sz w:val="20"/>
        </w:rPr>
        <w:t>.</w:t>
      </w:r>
    </w:p>
    <w:p w14:paraId="48E4C53D" w14:textId="77777777" w:rsidR="00C077A3" w:rsidRPr="00820213" w:rsidRDefault="00C077A3" w:rsidP="00C077A3">
      <w:pPr>
        <w:spacing w:after="0" w:line="276" w:lineRule="auto"/>
        <w:ind w:firstLine="708"/>
        <w:jc w:val="both"/>
        <w:rPr>
          <w:rFonts w:ascii="Verdana" w:eastAsia="Calibri" w:hAnsi="Verdana" w:cs="Times New Roman"/>
          <w:bCs/>
          <w:iCs/>
          <w:sz w:val="20"/>
        </w:rPr>
      </w:pPr>
    </w:p>
    <w:p w14:paraId="0B6F7F58" w14:textId="77777777" w:rsidR="00C077A3" w:rsidRPr="00DC236F" w:rsidRDefault="00C077A3" w:rsidP="00C077A3">
      <w:pPr>
        <w:spacing w:after="0" w:line="276" w:lineRule="auto"/>
        <w:ind w:firstLine="709"/>
        <w:jc w:val="both"/>
        <w:rPr>
          <w:rFonts w:ascii="Verdana" w:eastAsia="Calibri" w:hAnsi="Verdana" w:cs="Times New Roman"/>
          <w:bCs/>
          <w:iCs/>
        </w:rPr>
      </w:pPr>
      <w:r w:rsidRPr="00DC236F">
        <w:rPr>
          <w:rFonts w:ascii="Verdana" w:eastAsia="Calibri" w:hAnsi="Verdana" w:cs="Times New Roman"/>
          <w:bCs/>
          <w:iCs/>
        </w:rPr>
        <w:t xml:space="preserve">De esta manera, resulta válido que las empresas comercializadoras de energía eléctrica asuman la función de recaudo del impuesto de alumbrado público, sin que ello implique, per se, una vulneración al orden constitucional, incluso cuando dicha labor no conlleve el reconocimiento de una remuneración </w:t>
      </w:r>
      <w:r w:rsidRPr="00DC236F">
        <w:rPr>
          <w:rFonts w:ascii="Verdana" w:eastAsia="Calibri" w:hAnsi="Verdana" w:cs="Times New Roman"/>
          <w:bCs/>
          <w:iCs/>
        </w:rPr>
        <w:lastRenderedPageBreak/>
        <w:t>económica. No obstante, en lo relativo a la forma y condiciones en que se materializa el acuerdo entre el respectivo municipio o distrito y la comercializadora de energía para el ejercicio de dicha función, resulta necesario remitirse al artículo 3 de la Resolución CREG 122 de 2011</w:t>
      </w:r>
      <w:r>
        <w:rPr>
          <w:rFonts w:ascii="Verdana" w:eastAsia="Calibri" w:hAnsi="Verdana" w:cs="Times New Roman"/>
          <w:bCs/>
          <w:iCs/>
        </w:rPr>
        <w:t xml:space="preserve"> modificado por la Resolución 5 de 2012</w:t>
      </w:r>
      <w:r w:rsidRPr="00DC236F">
        <w:rPr>
          <w:rFonts w:ascii="Verdana" w:eastAsia="Calibri" w:hAnsi="Verdana" w:cs="Times New Roman"/>
          <w:bCs/>
          <w:iCs/>
        </w:rPr>
        <w:t>, expedida por la Comisión de Regulación de Energía y Gas</w:t>
      </w:r>
      <w:r>
        <w:rPr>
          <w:rFonts w:ascii="Verdana" w:eastAsia="Calibri" w:hAnsi="Verdana" w:cs="Times New Roman"/>
          <w:bCs/>
          <w:iCs/>
        </w:rPr>
        <w:t xml:space="preserve">: </w:t>
      </w:r>
    </w:p>
    <w:p w14:paraId="4F750E16" w14:textId="77777777" w:rsidR="00C077A3" w:rsidRDefault="00C077A3" w:rsidP="00C077A3">
      <w:pPr>
        <w:spacing w:after="0" w:line="276" w:lineRule="auto"/>
        <w:jc w:val="both"/>
        <w:rPr>
          <w:rFonts w:ascii="Verdana" w:eastAsia="Times New Roman" w:hAnsi="Verdana" w:cs="Arial"/>
          <w:bCs/>
          <w:spacing w:val="2"/>
          <w:sz w:val="20"/>
          <w:szCs w:val="20"/>
        </w:rPr>
      </w:pPr>
      <w:bookmarkStart w:id="3" w:name="3"/>
    </w:p>
    <w:p w14:paraId="58AA47E5" w14:textId="77777777" w:rsidR="00C077A3" w:rsidRDefault="00C077A3" w:rsidP="00C077A3">
      <w:pPr>
        <w:spacing w:after="0" w:line="240" w:lineRule="auto"/>
        <w:ind w:left="709" w:right="709"/>
        <w:jc w:val="both"/>
        <w:rPr>
          <w:rFonts w:ascii="Verdana" w:eastAsia="Times New Roman" w:hAnsi="Verdana" w:cs="Arial"/>
          <w:spacing w:val="2"/>
          <w:sz w:val="20"/>
          <w:szCs w:val="20"/>
        </w:rPr>
      </w:pPr>
      <w:r w:rsidRPr="00DC236F">
        <w:rPr>
          <w:rFonts w:ascii="Verdana" w:eastAsia="Times New Roman" w:hAnsi="Verdana" w:cs="Arial"/>
          <w:bCs/>
          <w:spacing w:val="2"/>
          <w:sz w:val="20"/>
          <w:szCs w:val="20"/>
        </w:rPr>
        <w:t>ARTÍCULO 3o. CONTRATO Y/O CONVENIO DE FACTURACIÓN Y RECAUDO CONJUNTO. </w:t>
      </w:r>
      <w:bookmarkEnd w:id="3"/>
      <w:r w:rsidRPr="00DC236F">
        <w:rPr>
          <w:rFonts w:ascii="Verdana" w:eastAsia="Times New Roman" w:hAnsi="Verdana" w:cs="Arial"/>
          <w:spacing w:val="2"/>
          <w:sz w:val="20"/>
          <w:szCs w:val="20"/>
        </w:rPr>
        <w:t>&lt;Artículo modificado por el artículo </w:t>
      </w:r>
      <w:hyperlink r:id="rId12" w:anchor="2" w:tgtFrame="_blank" w:history="1">
        <w:r w:rsidRPr="00DC236F">
          <w:rPr>
            <w:rFonts w:ascii="Verdana" w:eastAsia="Times New Roman" w:hAnsi="Verdana" w:cs="Arial"/>
            <w:spacing w:val="2"/>
            <w:sz w:val="20"/>
            <w:szCs w:val="20"/>
            <w:u w:val="single"/>
          </w:rPr>
          <w:t>2</w:t>
        </w:r>
      </w:hyperlink>
      <w:r w:rsidRPr="00DC236F">
        <w:rPr>
          <w:rFonts w:ascii="Verdana" w:eastAsia="Times New Roman" w:hAnsi="Verdana" w:cs="Arial"/>
          <w:spacing w:val="2"/>
          <w:sz w:val="20"/>
          <w:szCs w:val="20"/>
        </w:rPr>
        <w:t> de la Resolución 5 de 2012. El nuevo texto es el siguiente:&gt; El contrato y/o convenio de facturación y recaudo tiene como objeto determinar las condiciones en las cuales una empresa prestadora del servicio público domiciliario de energía eléctrica, totaliza en el cuerpo de la respectiva factura el valor correspondiente al impuesto al alumbrado público, recauda el impuesto de alumbrado público de manera conjunta con el servicio público domiciliario de energía eléctrica y/o factura de manera separada dicho impuesto si así lo solicita el usuario.</w:t>
      </w:r>
    </w:p>
    <w:p w14:paraId="1794F73B" w14:textId="77777777" w:rsidR="00C077A3" w:rsidRPr="00DC236F" w:rsidRDefault="00C077A3" w:rsidP="00C077A3">
      <w:pPr>
        <w:spacing w:after="0" w:line="240" w:lineRule="auto"/>
        <w:ind w:left="709" w:right="709"/>
        <w:jc w:val="both"/>
        <w:rPr>
          <w:rFonts w:ascii="Verdana" w:eastAsia="Times New Roman" w:hAnsi="Verdana" w:cs="Arial"/>
          <w:spacing w:val="2"/>
          <w:sz w:val="20"/>
          <w:szCs w:val="20"/>
        </w:rPr>
      </w:pPr>
    </w:p>
    <w:p w14:paraId="48DD6082" w14:textId="77777777" w:rsidR="00C077A3" w:rsidRDefault="00C077A3" w:rsidP="00C077A3">
      <w:pPr>
        <w:spacing w:after="0" w:line="240" w:lineRule="auto"/>
        <w:ind w:left="709" w:right="709"/>
        <w:jc w:val="both"/>
        <w:rPr>
          <w:rFonts w:ascii="Verdana" w:eastAsia="Times New Roman" w:hAnsi="Verdana" w:cs="Arial"/>
          <w:spacing w:val="2"/>
          <w:sz w:val="20"/>
          <w:szCs w:val="20"/>
        </w:rPr>
      </w:pPr>
      <w:r w:rsidRPr="00DC236F">
        <w:rPr>
          <w:rFonts w:ascii="Verdana" w:eastAsia="Times New Roman" w:hAnsi="Verdana" w:cs="Arial"/>
          <w:spacing w:val="2"/>
          <w:sz w:val="20"/>
          <w:szCs w:val="20"/>
        </w:rPr>
        <w:t>En este evento, el municipio deberá establecer el procedimiento correspondiente para evitar la evasión fiscal.</w:t>
      </w:r>
    </w:p>
    <w:p w14:paraId="6FCC3F67" w14:textId="77777777" w:rsidR="00C077A3" w:rsidRPr="00DC236F" w:rsidRDefault="00C077A3" w:rsidP="00C077A3">
      <w:pPr>
        <w:spacing w:after="0" w:line="240" w:lineRule="auto"/>
        <w:ind w:left="709" w:right="709"/>
        <w:jc w:val="both"/>
        <w:rPr>
          <w:rFonts w:ascii="Verdana" w:eastAsia="Times New Roman" w:hAnsi="Verdana" w:cs="Arial"/>
          <w:spacing w:val="2"/>
          <w:sz w:val="20"/>
          <w:szCs w:val="20"/>
        </w:rPr>
      </w:pPr>
    </w:p>
    <w:p w14:paraId="09A94D01" w14:textId="77777777" w:rsidR="00C077A3" w:rsidRPr="00DC236F" w:rsidRDefault="00C077A3" w:rsidP="00C077A3">
      <w:pPr>
        <w:spacing w:after="0" w:line="240" w:lineRule="auto"/>
        <w:ind w:left="709" w:right="709"/>
        <w:jc w:val="both"/>
        <w:rPr>
          <w:rFonts w:ascii="Verdana" w:eastAsia="Times New Roman" w:hAnsi="Verdana" w:cs="Arial"/>
          <w:spacing w:val="2"/>
          <w:sz w:val="20"/>
          <w:szCs w:val="20"/>
        </w:rPr>
      </w:pPr>
      <w:r w:rsidRPr="00DC236F">
        <w:rPr>
          <w:rFonts w:ascii="Verdana" w:eastAsia="Times New Roman" w:hAnsi="Verdana" w:cs="Arial"/>
          <w:spacing w:val="2"/>
          <w:sz w:val="20"/>
          <w:szCs w:val="20"/>
        </w:rPr>
        <w:t>El contrato y/o convenio de facturación y recaudo es celebrado por una empresa prestadora del servicio público domiciliario de energía eléctrica y el municipio o distrito, quien es el responsable de la prestación del servicio de alumbrado público.</w:t>
      </w:r>
    </w:p>
    <w:p w14:paraId="3EFBD922" w14:textId="77777777" w:rsidR="00C077A3" w:rsidRDefault="00C077A3" w:rsidP="00C077A3">
      <w:pPr>
        <w:spacing w:after="0" w:line="276" w:lineRule="auto"/>
        <w:ind w:left="709" w:right="709" w:firstLine="709"/>
        <w:jc w:val="both"/>
        <w:rPr>
          <w:rFonts w:ascii="Verdana" w:eastAsia="Calibri" w:hAnsi="Verdana" w:cs="Times New Roman"/>
          <w:bCs/>
          <w:iCs/>
        </w:rPr>
      </w:pPr>
    </w:p>
    <w:p w14:paraId="5EC5C8EA" w14:textId="77777777" w:rsidR="00C077A3" w:rsidRDefault="00C077A3" w:rsidP="00C077A3">
      <w:pPr>
        <w:spacing w:after="120" w:line="276" w:lineRule="auto"/>
        <w:ind w:firstLine="709"/>
        <w:jc w:val="both"/>
        <w:rPr>
          <w:rFonts w:ascii="Verdana" w:eastAsia="Calibri" w:hAnsi="Verdana" w:cs="Times New Roman"/>
          <w:bCs/>
          <w:iCs/>
        </w:rPr>
      </w:pPr>
      <w:r w:rsidRPr="002528B0">
        <w:rPr>
          <w:rFonts w:ascii="Verdana" w:eastAsia="Calibri" w:hAnsi="Verdana" w:cs="Times New Roman"/>
          <w:bCs/>
          <w:iCs/>
        </w:rPr>
        <w:t>Conforme a</w:t>
      </w:r>
      <w:r>
        <w:rPr>
          <w:rFonts w:ascii="Verdana" w:eastAsia="Calibri" w:hAnsi="Verdana" w:cs="Times New Roman"/>
          <w:bCs/>
          <w:iCs/>
        </w:rPr>
        <w:t>l artículo precitado</w:t>
      </w:r>
      <w:r w:rsidRPr="002528B0">
        <w:rPr>
          <w:rFonts w:ascii="Verdana" w:eastAsia="Calibri" w:hAnsi="Verdana" w:cs="Times New Roman"/>
          <w:bCs/>
          <w:iCs/>
        </w:rPr>
        <w:t>, el contrato o convenio de facturación y recaudo es suscrito entre el municipio o distrito y la empresa prestadora del servicio público domic</w:t>
      </w:r>
      <w:r>
        <w:rPr>
          <w:rFonts w:ascii="Verdana" w:eastAsia="Calibri" w:hAnsi="Verdana" w:cs="Times New Roman"/>
          <w:bCs/>
          <w:iCs/>
        </w:rPr>
        <w:t xml:space="preserve">iliario de energía eléctrica, que tiene como propósito </w:t>
      </w:r>
      <w:r w:rsidRPr="002528B0">
        <w:rPr>
          <w:rFonts w:ascii="Verdana" w:eastAsia="Calibri" w:hAnsi="Verdana" w:cs="Times New Roman"/>
          <w:bCs/>
          <w:iCs/>
        </w:rPr>
        <w:t xml:space="preserve">establecer las condiciones bajo las cuales la empresa incorpora en la factura el valor correspondiente al impuesto de alumbrado público. En virtud de dicho acuerdo, la comercializadora puede efectuar el recaudo del impuesto de forma conjunta con el cobro del servicio de energía eléctrica o, alternativamente, realizar una facturación separada cuando así lo solicite el usuario. A su vez, corresponde al municipio o distrito definir y aplicar los procedimientos administrativos y de control necesarios </w:t>
      </w:r>
      <w:r>
        <w:rPr>
          <w:rFonts w:ascii="Verdana" w:eastAsia="Calibri" w:hAnsi="Verdana" w:cs="Times New Roman"/>
          <w:bCs/>
          <w:iCs/>
        </w:rPr>
        <w:t xml:space="preserve">para prevenir la evasión fiscal. </w:t>
      </w:r>
    </w:p>
    <w:p w14:paraId="64B9917F" w14:textId="77777777" w:rsidR="00C077A3" w:rsidRPr="002528B0" w:rsidRDefault="00C077A3" w:rsidP="00C077A3">
      <w:pPr>
        <w:spacing w:after="120" w:line="276" w:lineRule="auto"/>
        <w:ind w:firstLine="709"/>
        <w:jc w:val="both"/>
        <w:rPr>
          <w:rFonts w:ascii="Verdana" w:eastAsia="Calibri" w:hAnsi="Verdana" w:cs="Times New Roman"/>
          <w:bCs/>
          <w:iCs/>
        </w:rPr>
      </w:pPr>
      <w:r w:rsidRPr="00567284">
        <w:rPr>
          <w:rFonts w:ascii="Verdana" w:eastAsia="Calibri" w:hAnsi="Verdana" w:cs="Times New Roman"/>
          <w:bCs/>
          <w:iCs/>
        </w:rPr>
        <w:t>De ahí pues, atendiendo a la naturaleza cooperativa de la relación que se configura entre el municipio o distrito y la empresa comercializadora de energía eléctrica, puede afirmarse que el instrumento jurídico adecuado es el convenio, en la medida en que no existe una contraprestación económica a favor de esta última por la labor de facturación y recaudo del impuesto de alumbrado público.</w:t>
      </w:r>
      <w:r>
        <w:rPr>
          <w:rFonts w:ascii="Verdana" w:eastAsia="Calibri" w:hAnsi="Verdana" w:cs="Times New Roman"/>
          <w:bCs/>
          <w:iCs/>
        </w:rPr>
        <w:t xml:space="preserve"> </w:t>
      </w:r>
      <w:r>
        <w:rPr>
          <w:rFonts w:ascii="Verdana" w:hAnsi="Verdana"/>
        </w:rPr>
        <w:lastRenderedPageBreak/>
        <w:t>En este aspecto, la</w:t>
      </w:r>
      <w:r w:rsidRPr="002528B0">
        <w:rPr>
          <w:rFonts w:ascii="Verdana" w:hAnsi="Verdana"/>
        </w:rPr>
        <w:t xml:space="preserve"> calidad de contrato o convenio depende del tipo de obligaciones que se adquieren por cada una de las partes de la relación contractual. Por ejemplo, los contratos interadministrativos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 persigue un interés propio de carácter económico. Por otro lado, los convenios no tienen una finalidad lucrativa, pues su objeto es desarrollar actividades que contribuyen directamente a un fin común, de tal forma que las entidades involucradas actúan con intereses convergentes y cooperan para cumplir funciones administrativas o prestar servicios alineados con el interés general, sin que exista una contraprestación propiamente dicha.</w:t>
      </w:r>
    </w:p>
    <w:p w14:paraId="3E0FA2D5" w14:textId="77777777" w:rsidR="00C077A3" w:rsidRPr="00567284" w:rsidRDefault="00C077A3" w:rsidP="00C077A3">
      <w:pPr>
        <w:spacing w:after="120" w:line="276" w:lineRule="auto"/>
        <w:ind w:firstLine="709"/>
        <w:jc w:val="both"/>
        <w:rPr>
          <w:rFonts w:ascii="Verdana" w:hAnsi="Verdana"/>
        </w:rPr>
      </w:pPr>
      <w:r>
        <w:rPr>
          <w:rFonts w:ascii="Verdana" w:eastAsia="Calibri" w:hAnsi="Verdana" w:cs="Times New Roman"/>
          <w:bCs/>
          <w:iCs/>
        </w:rPr>
        <w:t>Ahora bien, cuando</w:t>
      </w:r>
      <w:r w:rsidRPr="002528B0">
        <w:rPr>
          <w:rFonts w:ascii="Verdana" w:hAnsi="Verdana"/>
        </w:rPr>
        <w:t xml:space="preserve"> una entidad territorial celebra estos acuerdos con empresas de servicios públicos de carácter público, mixto o privado con participación es</w:t>
      </w:r>
      <w:r>
        <w:rPr>
          <w:rFonts w:ascii="Verdana" w:hAnsi="Verdana"/>
        </w:rPr>
        <w:t>tatal, se configura un</w:t>
      </w:r>
      <w:r w:rsidRPr="002528B0">
        <w:rPr>
          <w:rFonts w:ascii="Verdana" w:hAnsi="Verdana"/>
        </w:rPr>
        <w:t xml:space="preserve"> convenio interadministrativo. Ello se sustenta en que dichas empresas son catalogadas como entidades descentralizadas por servicios, conforme a lo expresado por la Corte Constitucional en la Sentencia C-736 de 2007, lo que les otorga un carácter especial dentro de la estructura administrativa del Estado. </w:t>
      </w:r>
      <w:r w:rsidRPr="00567284">
        <w:rPr>
          <w:rFonts w:ascii="Verdana" w:hAnsi="Verdana"/>
        </w:rPr>
        <w:t xml:space="preserve">Por el contrario, cuando las entidades territoriales suscriben convenios o contratos con empresas de servicios públicos cuyo capital es </w:t>
      </w:r>
      <w:r>
        <w:rPr>
          <w:rFonts w:ascii="Verdana" w:hAnsi="Verdana"/>
        </w:rPr>
        <w:t>cien por ciento (</w:t>
      </w:r>
      <w:r w:rsidRPr="00567284">
        <w:rPr>
          <w:rFonts w:ascii="Verdana" w:hAnsi="Verdana"/>
        </w:rPr>
        <w:t>100%</w:t>
      </w:r>
      <w:r>
        <w:rPr>
          <w:rFonts w:ascii="Verdana" w:hAnsi="Verdana"/>
        </w:rPr>
        <w:t>)</w:t>
      </w:r>
      <w:r w:rsidRPr="00567284">
        <w:rPr>
          <w:rFonts w:ascii="Verdana" w:hAnsi="Verdana"/>
        </w:rPr>
        <w:t xml:space="preserve"> privado, estos</w:t>
      </w:r>
      <w:r>
        <w:rPr>
          <w:rFonts w:ascii="Verdana" w:hAnsi="Verdana"/>
        </w:rPr>
        <w:t xml:space="preserve"> convenios</w:t>
      </w:r>
      <w:r w:rsidRPr="00567284">
        <w:rPr>
          <w:rFonts w:ascii="Verdana" w:hAnsi="Verdana"/>
        </w:rPr>
        <w:t xml:space="preserve"> no adquieren la calidad de interadministrativos. La razón es que tales empresas no son catalogadas como entidades descentralizadas por servicios, sino como personas jurídicas de derecho privado que prestan un servicio público, lo que implica que no se aluda a que la relación contractual se denomine un contrato o convenio interadministrativo, a pesar de que el objeto y las finalidades sean idénticas o similares.</w:t>
      </w:r>
    </w:p>
    <w:p w14:paraId="78E69C38" w14:textId="77777777" w:rsidR="00C077A3" w:rsidRDefault="00C077A3" w:rsidP="00C077A3">
      <w:pPr>
        <w:spacing w:after="0" w:line="276" w:lineRule="auto"/>
        <w:ind w:firstLine="709"/>
        <w:jc w:val="both"/>
        <w:rPr>
          <w:rFonts w:ascii="Verdana" w:hAnsi="Verdana"/>
        </w:rPr>
      </w:pPr>
      <w:r>
        <w:rPr>
          <w:rFonts w:ascii="Verdana" w:hAnsi="Verdana"/>
        </w:rPr>
        <w:t>Por último</w:t>
      </w:r>
      <w:r w:rsidRPr="00567284">
        <w:rPr>
          <w:rFonts w:ascii="Verdana" w:hAnsi="Verdana"/>
        </w:rPr>
        <w:t xml:space="preserve">, debe precisarse que los convenios de facturación y recaudo del impuesto de alumbrado público constituyen una </w:t>
      </w:r>
      <w:r w:rsidRPr="00567284">
        <w:rPr>
          <w:rFonts w:ascii="Verdana" w:hAnsi="Verdana"/>
          <w:bCs/>
        </w:rPr>
        <w:t>modalidad contractual especial</w:t>
      </w:r>
      <w:r w:rsidRPr="00567284">
        <w:rPr>
          <w:rFonts w:ascii="Verdana" w:hAnsi="Verdana"/>
        </w:rPr>
        <w:t>,</w:t>
      </w:r>
      <w:r>
        <w:rPr>
          <w:rFonts w:ascii="Verdana" w:hAnsi="Verdana"/>
        </w:rPr>
        <w:t xml:space="preserve"> cuya naturaleza jurídica no está </w:t>
      </w:r>
      <w:r w:rsidRPr="00567284">
        <w:rPr>
          <w:rFonts w:ascii="Verdana" w:hAnsi="Verdana"/>
        </w:rPr>
        <w:t xml:space="preserve">prevista ni tipificada dentro del Estatuto General de Contratación de la Administración Pública —Ley 80 de 1993—. Su fundamento normativo deriva, en cambio, de una regulación específica establecida en el artículo 352 de la Ley 1819 de 2016, complementada por las disposiciones reglamentarias establecidas por la Comisión de Regulación </w:t>
      </w:r>
      <w:r w:rsidRPr="00567284">
        <w:rPr>
          <w:rFonts w:ascii="Verdana" w:hAnsi="Verdana"/>
        </w:rPr>
        <w:lastRenderedPageBreak/>
        <w:t xml:space="preserve">de Energía y Gas, las cuales reconocen un marco diferenciado para este tipo de acuerdos. </w:t>
      </w:r>
    </w:p>
    <w:p w14:paraId="4203FE30" w14:textId="77777777" w:rsidR="00C077A3" w:rsidRDefault="00C077A3" w:rsidP="00C077A3">
      <w:pPr>
        <w:spacing w:after="0" w:line="276" w:lineRule="auto"/>
        <w:jc w:val="both"/>
        <w:rPr>
          <w:rFonts w:ascii="Verdana" w:hAnsi="Verdana"/>
        </w:rPr>
      </w:pPr>
    </w:p>
    <w:p w14:paraId="2E3B5C5E" w14:textId="77777777" w:rsidR="00C077A3" w:rsidRPr="00BF11EF" w:rsidRDefault="00C077A3" w:rsidP="00C077A3">
      <w:pPr>
        <w:spacing w:after="120" w:line="276" w:lineRule="auto"/>
        <w:jc w:val="both"/>
        <w:rPr>
          <w:rFonts w:ascii="Verdana" w:eastAsia="Calibri" w:hAnsi="Verdana" w:cs="Arial"/>
          <w:bCs/>
          <w:lang w:val="es-ES_tradnl"/>
        </w:rPr>
      </w:pPr>
      <w:r>
        <w:rPr>
          <w:rFonts w:ascii="Verdana" w:eastAsia="Times New Roman" w:hAnsi="Verdana" w:cs="Arial"/>
          <w:shd w:val="clear" w:color="auto" w:fill="FFFFFF"/>
          <w:lang w:val="es-ES"/>
        </w:rPr>
        <w:t xml:space="preserve">iv. </w:t>
      </w:r>
      <w:r w:rsidRPr="00BF11EF">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36534F53" w14:textId="77777777" w:rsidR="00C077A3" w:rsidRPr="00BF11EF" w:rsidRDefault="00C077A3" w:rsidP="00C077A3">
      <w:pPr>
        <w:spacing w:after="0" w:line="276" w:lineRule="auto"/>
        <w:ind w:firstLine="709"/>
        <w:jc w:val="both"/>
        <w:rPr>
          <w:rFonts w:ascii="Verdana" w:eastAsia="Times New Roman" w:hAnsi="Verdana" w:cs="Arial"/>
          <w:lang w:val="es-ES" w:eastAsia="es-MX"/>
        </w:rPr>
      </w:pPr>
      <w:r w:rsidRPr="00BF11EF">
        <w:rPr>
          <w:rFonts w:ascii="Verdana" w:eastAsia="Times New Roman" w:hAnsi="Verdana" w:cs="Arial"/>
          <w:lang w:val="es-ES" w:eastAsia="es-MX"/>
        </w:rPr>
        <w:t xml:space="preserve">La jurisprudencia contencioso-administrativa, por su parte, ha considerado que la obligación de vigilar la correcta ejecución del objeto contractual es una función de la entidad contratante, en los siguientes términos: </w:t>
      </w:r>
    </w:p>
    <w:p w14:paraId="35170070" w14:textId="77777777" w:rsidR="00C077A3" w:rsidRPr="00BF11EF" w:rsidRDefault="00C077A3" w:rsidP="00C077A3">
      <w:pPr>
        <w:spacing w:after="0" w:line="256" w:lineRule="auto"/>
        <w:ind w:left="709"/>
        <w:contextualSpacing/>
        <w:jc w:val="both"/>
        <w:rPr>
          <w:rFonts w:ascii="Verdana" w:eastAsia="Times New Roman" w:hAnsi="Verdana" w:cs="Arial"/>
          <w:lang w:val="es-ES_tradnl" w:eastAsia="es-MX"/>
        </w:rPr>
      </w:pPr>
    </w:p>
    <w:p w14:paraId="4E78A7FF" w14:textId="77777777" w:rsidR="00C077A3" w:rsidRPr="00BF11EF" w:rsidRDefault="00C077A3" w:rsidP="00C077A3">
      <w:pPr>
        <w:spacing w:after="0" w:line="240" w:lineRule="auto"/>
        <w:ind w:left="709" w:right="709"/>
        <w:contextualSpacing/>
        <w:jc w:val="both"/>
        <w:rPr>
          <w:rFonts w:ascii="Verdana" w:eastAsia="Times New Roman" w:hAnsi="Verdana" w:cs="Arial"/>
          <w:sz w:val="20"/>
          <w:szCs w:val="20"/>
          <w:lang w:val="es-ES_tradnl" w:eastAsia="es-MX"/>
        </w:rPr>
      </w:pPr>
      <w:bookmarkStart w:id="4" w:name="_Hlk178671999"/>
      <w:r w:rsidRPr="00BF11EF">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4"/>
      <w:r w:rsidRPr="00BF11EF">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BF11EF">
        <w:rPr>
          <w:rFonts w:ascii="Verdana" w:eastAsia="Times New Roman" w:hAnsi="Verdana" w:cs="Arial"/>
          <w:sz w:val="20"/>
          <w:szCs w:val="20"/>
          <w:vertAlign w:val="superscript"/>
          <w:lang w:val="es-ES_tradnl" w:eastAsia="es-MX"/>
        </w:rPr>
        <w:footnoteReference w:id="17"/>
      </w:r>
      <w:r w:rsidRPr="00BF11EF">
        <w:rPr>
          <w:rFonts w:ascii="Verdana" w:eastAsia="Times New Roman" w:hAnsi="Verdana" w:cs="Arial"/>
          <w:sz w:val="20"/>
          <w:szCs w:val="20"/>
          <w:lang w:val="es-ES_tradnl" w:eastAsia="es-MX"/>
        </w:rPr>
        <w:t>.</w:t>
      </w:r>
    </w:p>
    <w:p w14:paraId="05D1BD47" w14:textId="77777777" w:rsidR="00C077A3" w:rsidRPr="00BF11EF" w:rsidRDefault="00C077A3" w:rsidP="00C077A3">
      <w:pPr>
        <w:spacing w:after="0" w:line="276" w:lineRule="auto"/>
        <w:jc w:val="both"/>
        <w:rPr>
          <w:rFonts w:ascii="Verdana" w:eastAsia="Calibri" w:hAnsi="Verdana" w:cs="Arial"/>
          <w:bCs/>
          <w:lang w:val="es-ES_tradnl"/>
        </w:rPr>
      </w:pPr>
    </w:p>
    <w:p w14:paraId="5A5705E3" w14:textId="77777777" w:rsidR="00C077A3" w:rsidRPr="00BF11EF" w:rsidRDefault="00C077A3" w:rsidP="00C077A3">
      <w:pPr>
        <w:spacing w:after="0" w:line="276" w:lineRule="auto"/>
        <w:ind w:firstLine="708"/>
        <w:jc w:val="both"/>
        <w:rPr>
          <w:rFonts w:ascii="Verdana" w:eastAsia="Times New Roman" w:hAnsi="Verdana" w:cs="Arial"/>
          <w:lang w:val="es-ES" w:eastAsia="es-MX"/>
        </w:rPr>
      </w:pPr>
      <w:r w:rsidRPr="00BF11EF">
        <w:rPr>
          <w:rFonts w:ascii="Verdana" w:eastAsia="Calibri" w:hAnsi="Verdana" w:cs="Arial"/>
          <w:bCs/>
          <w:lang w:val="es-ES_tradnl"/>
        </w:rPr>
        <w:t xml:space="preserve">En específico, la supervisión de los contratos estatales se encuentra regulada en la Ley 1174 de 2011, que </w:t>
      </w:r>
      <w:r w:rsidRPr="00BF11EF">
        <w:rPr>
          <w:rFonts w:ascii="Verdana" w:eastAsia="Times New Roman" w:hAnsi="Verdana" w:cs="Arial"/>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14:paraId="5789BF0A" w14:textId="77777777" w:rsidR="00C077A3" w:rsidRPr="00BF11EF" w:rsidRDefault="00C077A3" w:rsidP="00C077A3">
      <w:pPr>
        <w:spacing w:after="0" w:line="276" w:lineRule="auto"/>
        <w:ind w:firstLine="708"/>
        <w:jc w:val="both"/>
        <w:rPr>
          <w:rFonts w:ascii="Verdana" w:eastAsia="Times New Roman" w:hAnsi="Verdana" w:cs="Arial"/>
          <w:lang w:val="es-ES" w:eastAsia="es-MX"/>
        </w:rPr>
      </w:pPr>
    </w:p>
    <w:p w14:paraId="5A72B9D9" w14:textId="77777777" w:rsidR="00C077A3" w:rsidRPr="00BF11EF" w:rsidRDefault="00C077A3" w:rsidP="00C077A3">
      <w:pPr>
        <w:spacing w:after="0" w:line="240" w:lineRule="auto"/>
        <w:ind w:left="709" w:right="709"/>
        <w:jc w:val="both"/>
        <w:textAlignment w:val="baseline"/>
        <w:rPr>
          <w:rFonts w:ascii="Verdana" w:eastAsia="Times New Roman" w:hAnsi="Verdana" w:cs="Arial"/>
          <w:sz w:val="20"/>
          <w:szCs w:val="20"/>
          <w:lang w:val="es-ES" w:eastAsia="es-MX"/>
        </w:rPr>
      </w:pPr>
      <w:r w:rsidRPr="00BF11EF">
        <w:rPr>
          <w:rFonts w:ascii="Verdana" w:eastAsia="Times New Roman" w:hAnsi="Verdana" w:cs="Arial"/>
          <w:sz w:val="20"/>
          <w:szCs w:val="20"/>
          <w:lang w:val="es-ES" w:eastAsia="es-MX"/>
        </w:rPr>
        <w:lastRenderedPageBreak/>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p>
    <w:p w14:paraId="7E50A427" w14:textId="77777777" w:rsidR="00C077A3" w:rsidRPr="00BF11EF" w:rsidRDefault="00C077A3" w:rsidP="00C077A3">
      <w:pPr>
        <w:spacing w:after="0" w:line="276" w:lineRule="auto"/>
        <w:ind w:left="709" w:right="709"/>
        <w:jc w:val="both"/>
        <w:textAlignment w:val="baseline"/>
        <w:rPr>
          <w:rFonts w:ascii="Verdana" w:eastAsia="Times New Roman" w:hAnsi="Verdana" w:cs="Arial"/>
          <w:lang w:val="es-ES" w:eastAsia="es-MX"/>
        </w:rPr>
      </w:pPr>
    </w:p>
    <w:p w14:paraId="76B662B4" w14:textId="77777777" w:rsidR="00C077A3" w:rsidRPr="00BF11EF" w:rsidRDefault="00C077A3" w:rsidP="00C077A3">
      <w:pPr>
        <w:spacing w:after="120" w:line="276" w:lineRule="auto"/>
        <w:ind w:firstLine="708"/>
        <w:jc w:val="both"/>
        <w:rPr>
          <w:rFonts w:ascii="Verdana" w:eastAsia="Times New Roman" w:hAnsi="Verdana" w:cs="Open Sans"/>
          <w:lang w:eastAsia="es-CO"/>
        </w:rPr>
      </w:pPr>
      <w:r w:rsidRPr="00BF11EF">
        <w:rPr>
          <w:rFonts w:ascii="Verdana" w:eastAsia="Times New Roman" w:hAnsi="Verdana" w:cs="Arial"/>
          <w:bCs/>
          <w:lang w:val="es-ES" w:eastAsia="es-CO"/>
        </w:rPr>
        <w:t>Adicionalmente, el artículo 84 de la Ley 1174 de 2011 en relación con las facultades de los supervisores establece que “</w:t>
      </w:r>
      <w:r w:rsidRPr="00BF11EF">
        <w:rPr>
          <w:rFonts w:ascii="Verdana" w:eastAsia="Times New Roman" w:hAnsi="Verdana" w:cs="Open Sans"/>
          <w:lang w:eastAsia="es-CO"/>
        </w:rPr>
        <w:t xml:space="preserve">implica el seguimiento al ejercicio del cumplimiento obligacional por la entidad contratante sobre las obligaciones a cargo del contratista”; estando facultados para solicitar aclaraciones, explicaciones e informes sobre la ejecución contractual. </w:t>
      </w:r>
    </w:p>
    <w:p w14:paraId="4DF57B04" w14:textId="77777777" w:rsidR="00C077A3" w:rsidRPr="00BF11EF" w:rsidRDefault="00C077A3" w:rsidP="00C077A3">
      <w:pPr>
        <w:spacing w:after="120" w:line="276" w:lineRule="auto"/>
        <w:ind w:firstLine="708"/>
        <w:jc w:val="both"/>
        <w:rPr>
          <w:rFonts w:ascii="Verdana" w:eastAsia="Times New Roman" w:hAnsi="Verdana" w:cs="Arial"/>
          <w:shd w:val="clear" w:color="auto" w:fill="FFFFFF"/>
          <w:lang w:val="es-ES"/>
        </w:rPr>
      </w:pPr>
      <w:r w:rsidRPr="00BF11EF">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BF11EF">
        <w:rPr>
          <w:rFonts w:ascii="Verdana" w:eastAsia="Times New Roman" w:hAnsi="Verdana" w:cs="Arial"/>
          <w:bCs/>
          <w:vertAlign w:val="superscript"/>
          <w:lang w:val="es-ES"/>
        </w:rPr>
        <w:footnoteReference w:id="18"/>
      </w:r>
      <w:r w:rsidRPr="00BF11EF">
        <w:rPr>
          <w:rFonts w:ascii="Verdana" w:eastAsia="Times New Roman" w:hAnsi="Verdana" w:cs="Arial"/>
          <w:bCs/>
          <w:lang w:val="es-ES"/>
        </w:rPr>
        <w:t>–;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5D7D2A62" w14:textId="77777777" w:rsidR="00C077A3" w:rsidRPr="00BF11EF" w:rsidRDefault="00C077A3" w:rsidP="00C077A3">
      <w:pPr>
        <w:spacing w:after="120" w:line="276" w:lineRule="auto"/>
        <w:ind w:firstLine="709"/>
        <w:jc w:val="both"/>
        <w:rPr>
          <w:rFonts w:ascii="Verdana" w:eastAsia="Times New Roman" w:hAnsi="Verdana" w:cs="Arial"/>
          <w:shd w:val="clear" w:color="auto" w:fill="FFFFFF"/>
          <w:lang w:val="es-ES"/>
        </w:rPr>
      </w:pPr>
      <w:bookmarkStart w:id="5" w:name="_Hlk204066195"/>
      <w:r w:rsidRPr="00BF11EF">
        <w:rPr>
          <w:rFonts w:ascii="Verdana" w:eastAsia="Times New Roman" w:hAnsi="Verdana" w:cs="Arial"/>
          <w:shd w:val="clear" w:color="auto" w:fill="FFFFFF"/>
          <w:lang w:val="es-ES"/>
        </w:rPr>
        <w:t>Así mismo, la Agencia</w:t>
      </w:r>
      <w:r w:rsidRPr="00BF11EF">
        <w:rPr>
          <w:rFonts w:ascii="Verdana" w:eastAsia="Times New Roman" w:hAnsi="Verdana" w:cs="Arial"/>
          <w:color w:val="000000"/>
          <w:lang w:val="es-ES_tradnl" w:eastAsia="es-ES_tradnl"/>
        </w:rPr>
        <w:t xml:space="preserve">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y se </w:t>
      </w:r>
      <w:r w:rsidRPr="00BF11EF">
        <w:rPr>
          <w:rFonts w:ascii="Verdana" w:eastAsia="Times New Roman" w:hAnsi="Verdana" w:cs="Arial"/>
          <w:shd w:val="clear" w:color="auto" w:fill="FFFFFF"/>
          <w:lang w:val="es-ES"/>
        </w:rPr>
        <w:t xml:space="preserve">consagró que la supervisión del contrato estatal corresponde al funcionario público de la entidad. Sin embargo, dicha guía reiteró que las Entidades Estatales puedan celebrar contratos de prestación de servicios para apoyar las actividades de supervisión, consignando en ellos las actividades propias del apoyo a la supervisión. Con todo, el alcance </w:t>
      </w:r>
      <w:r w:rsidRPr="00BF11EF">
        <w:rPr>
          <w:rFonts w:ascii="Verdana" w:eastAsia="Times New Roman" w:hAnsi="Verdana" w:cs="Arial"/>
          <w:shd w:val="clear" w:color="auto" w:fill="FFFFFF"/>
          <w:lang w:val="es-ES"/>
        </w:rPr>
        <w:lastRenderedPageBreak/>
        <w:t>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w:t>
      </w:r>
      <w:bookmarkEnd w:id="5"/>
      <w:r w:rsidRPr="00BF11EF">
        <w:rPr>
          <w:rFonts w:ascii="Verdana" w:eastAsia="Times New Roman" w:hAnsi="Verdana" w:cs="Arial"/>
          <w:shd w:val="clear" w:color="auto" w:fill="FFFFFF"/>
          <w:lang w:val="es-ES"/>
        </w:rPr>
        <w:t xml:space="preserve">. </w:t>
      </w:r>
    </w:p>
    <w:p w14:paraId="25CFDAF4" w14:textId="77777777" w:rsidR="00C077A3" w:rsidRPr="00BF11EF" w:rsidRDefault="00C077A3" w:rsidP="00C077A3">
      <w:pPr>
        <w:spacing w:after="120" w:line="276" w:lineRule="auto"/>
        <w:ind w:firstLine="709"/>
        <w:jc w:val="both"/>
        <w:rPr>
          <w:rFonts w:ascii="Verdana" w:hAnsi="Verdana" w:cs="Arial"/>
          <w:lang w:val="es-ES_tradnl" w:eastAsia="es-ES"/>
        </w:rPr>
      </w:pPr>
      <w:r w:rsidRPr="00BF11EF">
        <w:rPr>
          <w:rFonts w:ascii="Verdana" w:hAnsi="Verdana" w:cs="Arial"/>
          <w:color w:val="000000"/>
        </w:rPr>
        <w:t xml:space="preserve">Con sustento en lo anterior, </w:t>
      </w:r>
      <w:bookmarkStart w:id="6" w:name="_Hlk211329708"/>
      <w:r w:rsidRPr="00BF11EF">
        <w:rPr>
          <w:rFonts w:ascii="Verdana" w:hAnsi="Verdana" w:cs="Arial"/>
          <w:color w:val="000000"/>
        </w:rPr>
        <w:t>es importante precisar que, la normativa colombiana, particularmente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r w:rsidRPr="00BF11EF">
        <w:rPr>
          <w:rFonts w:ascii="Verdana" w:hAnsi="Verdana" w:cs="Arial"/>
          <w:lang w:val="es-ES_tradnl" w:eastAsia="es-ES"/>
        </w:rPr>
        <w:t xml:space="preserve"> En ese sentido, la entidad contratante a través del ordenador del gasto es quien ejerce la supervisión o designa un supervisor; además,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bookmarkEnd w:id="6"/>
    </w:p>
    <w:p w14:paraId="320F84F4" w14:textId="77777777" w:rsidR="00C077A3" w:rsidRPr="00BF11EF" w:rsidRDefault="00C077A3" w:rsidP="00C077A3">
      <w:pPr>
        <w:spacing w:after="0" w:line="276" w:lineRule="auto"/>
        <w:ind w:firstLine="709"/>
        <w:jc w:val="both"/>
        <w:rPr>
          <w:rFonts w:ascii="Verdana" w:hAnsi="Verdana" w:cs="Arial"/>
          <w:lang w:val="es-ES"/>
        </w:rPr>
      </w:pPr>
      <w:r w:rsidRPr="00BF11EF">
        <w:rPr>
          <w:rFonts w:ascii="Verdana" w:hAnsi="Verdana" w:cs="Arial"/>
          <w:lang w:val="es-ES"/>
        </w:rPr>
        <w:t>Por tanto, nada obsta para que el ordenador del gasto sea el supervisor de un contrato, ya que es su responsabilidad, o que decida designar un supervisor, siempre y cuando se garantice la adecuada vigilancia del contratista, para hacer el correcto seguimiento técnico, administrativo, financiero, contable, y jurídico del contrato.</w:t>
      </w:r>
      <w:r>
        <w:rPr>
          <w:rFonts w:ascii="Verdana" w:hAnsi="Verdana" w:cs="Arial"/>
          <w:lang w:val="es-ES"/>
        </w:rPr>
        <w:t xml:space="preserve"> </w:t>
      </w:r>
      <w:r w:rsidRPr="00BF11EF">
        <w:rPr>
          <w:rFonts w:ascii="Verdana" w:eastAsia="Calibri" w:hAnsi="Verdana" w:cs="Arial"/>
          <w:color w:val="000000"/>
          <w:lang w:val="es-ES_tradnl"/>
        </w:rPr>
        <w:t>Ahora bien, en relación con el objeto bajo consulta, se resalta que el Consejo de Estado se ha pronunciado confirmando que el deber de supervisión y vigilancia también es aplicable a los convenios interadministrativos, como sigue:</w:t>
      </w:r>
    </w:p>
    <w:p w14:paraId="186C54F7" w14:textId="77777777" w:rsidR="00C077A3" w:rsidRPr="00BF11EF" w:rsidRDefault="00C077A3" w:rsidP="00C077A3">
      <w:pPr>
        <w:spacing w:after="0" w:line="276" w:lineRule="auto"/>
        <w:ind w:firstLine="709"/>
        <w:jc w:val="both"/>
        <w:rPr>
          <w:rFonts w:ascii="Verdana" w:eastAsia="Calibri" w:hAnsi="Verdana" w:cs="Arial"/>
          <w:color w:val="000000"/>
          <w:lang w:val="es-ES_tradnl"/>
        </w:rPr>
      </w:pPr>
    </w:p>
    <w:p w14:paraId="0F0456C8" w14:textId="77777777" w:rsidR="00C077A3" w:rsidRPr="00BF11EF" w:rsidRDefault="00C077A3" w:rsidP="00C077A3">
      <w:pPr>
        <w:spacing w:after="0" w:line="240" w:lineRule="auto"/>
        <w:ind w:left="709" w:right="709"/>
        <w:jc w:val="both"/>
        <w:rPr>
          <w:rFonts w:ascii="Verdana" w:hAnsi="Verdana"/>
          <w:sz w:val="20"/>
          <w:szCs w:val="20"/>
        </w:rPr>
      </w:pPr>
      <w:r w:rsidRPr="00BF11EF">
        <w:rPr>
          <w:rFonts w:ascii="Verdana" w:hAnsi="Verdana"/>
          <w:sz w:val="20"/>
          <w:szCs w:val="20"/>
        </w:rPr>
        <w:t xml:space="preserve">“El Estatuto General de Contratación de la Administración Pública (contenido en las Leyes 80 de 1993, 1150 de 2007 y 1474 de 2011, entre otras), impone el deber a las entidades estatales contratantes de supervisar en forma permanente la ejecución del contrato por parte del contratista, con el fin de verificar el estricto cumplimiento de sus obligaciones, exigir o tomar los correctivos que se requieran cuando dicho cumplimiento no se dé, y exigir la responsabilidad del contratista y de los garantes cuando se presente un incumplimiento que ocasione perjuicios a la entidad estatal. </w:t>
      </w:r>
    </w:p>
    <w:p w14:paraId="34820256" w14:textId="77777777" w:rsidR="00C077A3" w:rsidRPr="00BF11EF" w:rsidRDefault="00C077A3" w:rsidP="00C077A3">
      <w:pPr>
        <w:spacing w:after="0" w:line="240" w:lineRule="auto"/>
        <w:ind w:left="709" w:right="709"/>
        <w:jc w:val="both"/>
        <w:rPr>
          <w:rFonts w:ascii="Verdana" w:hAnsi="Verdana"/>
          <w:sz w:val="20"/>
          <w:szCs w:val="20"/>
        </w:rPr>
      </w:pPr>
    </w:p>
    <w:p w14:paraId="7AA0623F" w14:textId="77777777" w:rsidR="00C077A3" w:rsidRPr="00BF11EF" w:rsidRDefault="00C077A3" w:rsidP="00C077A3">
      <w:pPr>
        <w:spacing w:after="0" w:line="240" w:lineRule="auto"/>
        <w:ind w:left="709" w:right="709"/>
        <w:jc w:val="both"/>
        <w:rPr>
          <w:rFonts w:ascii="Verdana" w:hAnsi="Verdana"/>
          <w:sz w:val="20"/>
          <w:szCs w:val="20"/>
        </w:rPr>
      </w:pPr>
      <w:r w:rsidRPr="00BF11EF">
        <w:rPr>
          <w:rFonts w:ascii="Verdana" w:hAnsi="Verdana"/>
          <w:sz w:val="20"/>
          <w:szCs w:val="20"/>
        </w:rPr>
        <w:lastRenderedPageBreak/>
        <w:t xml:space="preserve">En particular, los artículos 83 y 84 de la ley 1474 de 2011, establecen como obligación esencial de responsabilidad del interventor o supervisor, según el caso, deberes de información respecto del contrato principal, especialmente frente a tres situaciones: (i) los incumplimientos del contrato; (ii) las circunstancias que puedan constituir actos de corrupción tipificados como conductas punibles, y (iii) aquellas que puedan poner o pongan en riesgo el cumplimiento del contrato, hasta el punto que su pretermisión se tipifica como falta gravísima y como causal de inhabilidad para contratar. </w:t>
      </w:r>
    </w:p>
    <w:p w14:paraId="75E61640" w14:textId="77777777" w:rsidR="00C077A3" w:rsidRPr="00BF11EF" w:rsidRDefault="00C077A3" w:rsidP="00C077A3">
      <w:pPr>
        <w:spacing w:after="0" w:line="240" w:lineRule="auto"/>
        <w:ind w:left="709" w:right="709"/>
        <w:jc w:val="both"/>
        <w:rPr>
          <w:rFonts w:ascii="Verdana" w:hAnsi="Verdana"/>
          <w:sz w:val="20"/>
          <w:szCs w:val="20"/>
        </w:rPr>
      </w:pPr>
    </w:p>
    <w:p w14:paraId="16F08FC3" w14:textId="77777777" w:rsidR="00C077A3" w:rsidRPr="00BF11EF" w:rsidRDefault="00C077A3" w:rsidP="00C077A3">
      <w:pPr>
        <w:spacing w:after="0" w:line="240" w:lineRule="auto"/>
        <w:ind w:left="709" w:right="709"/>
        <w:jc w:val="both"/>
        <w:rPr>
          <w:rFonts w:ascii="Verdana" w:hAnsi="Verdana"/>
          <w:sz w:val="20"/>
          <w:szCs w:val="20"/>
        </w:rPr>
      </w:pPr>
      <w:r w:rsidRPr="00BF11EF">
        <w:rPr>
          <w:rFonts w:ascii="Verdana" w:hAnsi="Verdana"/>
          <w:sz w:val="20"/>
          <w:szCs w:val="20"/>
        </w:rPr>
        <w:t>Así, mutatis mutandi, este deber y la cláusula correspondiente de supervisión y vigilancia resulta necesaria en los contratos interadministrativos y también es aplicable en los convenios interadministrativos, con el fin de cerciorarse en estos últimos que los compromisos adquiridos por los firmantes, el objeto del convenio, la gestión y ejecución de los gastos financieros estén justificados y los resultados esperados se cumplan en los términos y a satisfacción de ambas partes”.</w:t>
      </w:r>
      <w:r w:rsidRPr="00BF11EF">
        <w:rPr>
          <w:rFonts w:ascii="Verdana" w:hAnsi="Verdana"/>
          <w:sz w:val="20"/>
          <w:szCs w:val="20"/>
          <w:vertAlign w:val="superscript"/>
        </w:rPr>
        <w:footnoteReference w:id="19"/>
      </w:r>
    </w:p>
    <w:p w14:paraId="25C7DEB8" w14:textId="77777777" w:rsidR="00C077A3" w:rsidRDefault="00C077A3" w:rsidP="00C077A3">
      <w:pPr>
        <w:spacing w:after="0" w:line="276" w:lineRule="auto"/>
        <w:jc w:val="both"/>
        <w:rPr>
          <w:rFonts w:ascii="Verdana" w:hAnsi="Verdana"/>
        </w:rPr>
      </w:pPr>
    </w:p>
    <w:p w14:paraId="7FB7F921" w14:textId="77777777" w:rsidR="00C077A3" w:rsidRPr="00BF11EF" w:rsidRDefault="00C077A3" w:rsidP="00C077A3">
      <w:pPr>
        <w:spacing w:after="120" w:line="276" w:lineRule="auto"/>
        <w:ind w:firstLine="708"/>
        <w:jc w:val="both"/>
        <w:rPr>
          <w:rFonts w:ascii="Verdana" w:hAnsi="Verdana"/>
        </w:rPr>
      </w:pPr>
      <w:r w:rsidRPr="00FE0CDD">
        <w:rPr>
          <w:rFonts w:ascii="Verdana" w:hAnsi="Verdana"/>
        </w:rPr>
        <w:t xml:space="preserve">En lo que respecta a los mecanismos de control y seguimiento —en particular, la supervisión de los convenios interadministrativos— resulta relevante reiterar que estos se caracterizan, </w:t>
      </w:r>
      <w:r>
        <w:rPr>
          <w:rFonts w:ascii="Verdana" w:hAnsi="Verdana"/>
        </w:rPr>
        <w:t>en principio</w:t>
      </w:r>
      <w:r w:rsidRPr="00FE0CDD">
        <w:rPr>
          <w:rFonts w:ascii="Verdana" w:hAnsi="Verdana"/>
        </w:rPr>
        <w:t>, por tener como fuente la autonomía contractual.</w:t>
      </w:r>
      <w:r>
        <w:rPr>
          <w:rFonts w:ascii="Verdana" w:hAnsi="Verdana"/>
        </w:rPr>
        <w:t xml:space="preserve"> </w:t>
      </w:r>
      <w:r w:rsidRPr="00BF11EF">
        <w:rPr>
          <w:rFonts w:ascii="Verdana" w:hAnsi="Verdana"/>
        </w:rPr>
        <w:t>En particular, los convenios interadministrativos tienen un grado de excepcionalidad frente a las demás tipologías contractuales y se caracterizan por la autorregulación de sus propias estipulaciones, sin que pueda predicarse la aplicación automática de la generalidad de las normas del EGCAP, incluyendo aquellas referidas en el artículo 83 y siguientes de la Ley 1474 de 2011 en materia de supervisión contractual</w:t>
      </w:r>
      <w:r w:rsidRPr="00BF11EF">
        <w:rPr>
          <w:rFonts w:ascii="Verdana" w:hAnsi="Verdana"/>
          <w:vertAlign w:val="superscript"/>
        </w:rPr>
        <w:footnoteReference w:id="20"/>
      </w:r>
      <w:r>
        <w:rPr>
          <w:rFonts w:ascii="Verdana" w:hAnsi="Verdana"/>
        </w:rPr>
        <w:t>, pues dicho</w:t>
      </w:r>
      <w:r w:rsidRPr="00BF11EF">
        <w:rPr>
          <w:rFonts w:ascii="Verdana" w:hAnsi="Verdana"/>
        </w:rPr>
        <w:t xml:space="preserve"> régimen será de aplicación supletoria. </w:t>
      </w:r>
    </w:p>
    <w:p w14:paraId="4FDD6158" w14:textId="77777777" w:rsidR="00C077A3" w:rsidRPr="00BF11EF" w:rsidRDefault="00C077A3" w:rsidP="00C077A3">
      <w:pPr>
        <w:spacing w:after="0" w:line="276" w:lineRule="auto"/>
        <w:ind w:firstLine="709"/>
        <w:jc w:val="both"/>
        <w:rPr>
          <w:rFonts w:ascii="Verdana" w:hAnsi="Verdana"/>
        </w:rPr>
      </w:pPr>
      <w:r w:rsidRPr="00BF11EF">
        <w:rPr>
          <w:rFonts w:ascii="Verdana" w:hAnsi="Verdana"/>
        </w:rPr>
        <w:t xml:space="preserve">En virtud de lo anterior, las partes del convenio interadministrativo deberán establecer las condiciones y medidas que emplearán para verificar el cumplimiento de las actividades pactadas y para realizar una supervisión adecuada durante su ejecución. De cualquier modo, estas estipulaciones deben cumplir con el principio de responsabilidad que rige la contratación estatal, según </w:t>
      </w:r>
      <w:r w:rsidRPr="00BF11EF">
        <w:rPr>
          <w:rFonts w:ascii="Verdana" w:hAnsi="Verdana"/>
        </w:rPr>
        <w:lastRenderedPageBreak/>
        <w:t>el cual las entidades públicas están obligadas a vigilar la correcta ejecución del objeto contratado y a proteger tanto los derechos de la propia entidad como los del contratista, ejecutor y terceros que puedan verse afectados por la ejecución del contrato</w:t>
      </w:r>
      <w:r w:rsidRPr="00BF11EF">
        <w:rPr>
          <w:rFonts w:ascii="Verdana" w:hAnsi="Verdana"/>
          <w:vertAlign w:val="superscript"/>
        </w:rPr>
        <w:footnoteReference w:id="21"/>
      </w:r>
      <w:r w:rsidRPr="00BF11EF">
        <w:rPr>
          <w:rFonts w:ascii="Verdana" w:hAnsi="Verdana"/>
        </w:rPr>
        <w:t>. Para lo anterior, las partes del convenio podrán adoptar mecanismos de supervisión que sean acordes con el modelo dispuesto para la contratación regida por el EGCAP. La jurisprudencia contencioso-administrativa ha considerado que la obligación de vigilar la correcta ejecución del objeto contractual es una función de la entidad contratante, en los siguientes términos:</w:t>
      </w:r>
    </w:p>
    <w:p w14:paraId="7AEC5EA2" w14:textId="77777777" w:rsidR="00C077A3" w:rsidRPr="00BF11EF" w:rsidRDefault="00C077A3" w:rsidP="00C077A3">
      <w:pPr>
        <w:spacing w:after="0" w:line="276" w:lineRule="auto"/>
        <w:ind w:firstLine="709"/>
        <w:jc w:val="both"/>
        <w:rPr>
          <w:rFonts w:ascii="Verdana" w:hAnsi="Verdana"/>
        </w:rPr>
      </w:pPr>
    </w:p>
    <w:p w14:paraId="58F75BBF" w14:textId="77777777" w:rsidR="00C077A3" w:rsidRPr="00BF11EF" w:rsidRDefault="00C077A3" w:rsidP="00C077A3">
      <w:pPr>
        <w:spacing w:after="0" w:line="240" w:lineRule="auto"/>
        <w:ind w:left="709" w:right="709"/>
        <w:jc w:val="both"/>
        <w:rPr>
          <w:rFonts w:ascii="Verdana" w:hAnsi="Verdana"/>
          <w:sz w:val="20"/>
          <w:szCs w:val="20"/>
        </w:rPr>
      </w:pPr>
      <w:r w:rsidRPr="00FE0CDD">
        <w:rPr>
          <w:rFonts w:ascii="Verdana" w:hAnsi="Verdana"/>
          <w:sz w:val="20"/>
          <w:szCs w:val="20"/>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4A2CFC">
        <w:rPr>
          <w:rFonts w:ascii="Verdana" w:eastAsia="Aptos" w:hAnsi="Verdana" w:cs="Arial"/>
          <w:sz w:val="20"/>
          <w:szCs w:val="20"/>
          <w:vertAlign w:val="superscript"/>
          <w:lang w:val="es-ES_tradnl" w:eastAsia="es-MX"/>
        </w:rPr>
        <w:t xml:space="preserve"> </w:t>
      </w:r>
      <w:r w:rsidRPr="004A2CFC">
        <w:rPr>
          <w:rFonts w:ascii="Verdana" w:hAnsi="Verdana"/>
          <w:sz w:val="20"/>
          <w:szCs w:val="20"/>
          <w:vertAlign w:val="superscript"/>
          <w:lang w:val="es-ES_tradnl"/>
        </w:rPr>
        <w:footnoteReference w:id="22"/>
      </w:r>
      <w:r w:rsidRPr="004A2CFC">
        <w:rPr>
          <w:rFonts w:ascii="Verdana" w:hAnsi="Verdana"/>
          <w:sz w:val="20"/>
          <w:szCs w:val="20"/>
          <w:lang w:val="es-ES_tradnl"/>
        </w:rPr>
        <w:t>.</w:t>
      </w:r>
    </w:p>
    <w:p w14:paraId="248781A2" w14:textId="77777777" w:rsidR="00C077A3" w:rsidRPr="00BF11EF" w:rsidRDefault="00C077A3" w:rsidP="00C077A3">
      <w:pPr>
        <w:spacing w:after="0" w:line="276" w:lineRule="auto"/>
        <w:ind w:firstLine="709"/>
        <w:jc w:val="both"/>
        <w:rPr>
          <w:rFonts w:ascii="Verdana" w:hAnsi="Verdana"/>
        </w:rPr>
      </w:pPr>
    </w:p>
    <w:p w14:paraId="7D84F61F" w14:textId="77777777" w:rsidR="00C077A3" w:rsidRDefault="00C077A3" w:rsidP="00C077A3">
      <w:pPr>
        <w:spacing w:after="120" w:line="276" w:lineRule="auto"/>
        <w:ind w:firstLine="709"/>
        <w:jc w:val="both"/>
        <w:rPr>
          <w:rFonts w:ascii="Verdana" w:hAnsi="Verdana"/>
        </w:rPr>
      </w:pPr>
      <w:r>
        <w:rPr>
          <w:rFonts w:ascii="Verdana" w:hAnsi="Verdana"/>
        </w:rPr>
        <w:t xml:space="preserve">Así las cosas, </w:t>
      </w:r>
      <w:r w:rsidRPr="00FE0CDD">
        <w:rPr>
          <w:rFonts w:ascii="Verdana" w:hAnsi="Verdana"/>
        </w:rPr>
        <w:t>el control y seguimiento de los convenios interadministra</w:t>
      </w:r>
      <w:r>
        <w:rPr>
          <w:rFonts w:ascii="Verdana" w:hAnsi="Verdana"/>
        </w:rPr>
        <w:t>tivos constituye un componente</w:t>
      </w:r>
      <w:r w:rsidRPr="00FE0CDD">
        <w:rPr>
          <w:rFonts w:ascii="Verdana" w:hAnsi="Verdana"/>
        </w:rPr>
        <w:t xml:space="preserve"> para asegurar su adecuada ejecución y para verificar que las actividades desarrolladas se correspondan efectivamente con los objetivos definidos por las entidades intervinientes. </w:t>
      </w:r>
      <w:r>
        <w:rPr>
          <w:rFonts w:ascii="Verdana" w:hAnsi="Verdana"/>
        </w:rPr>
        <w:t>En este aspecto, dada la especial naturaleza de los convenios que suscribe los distritos o municipios con las empresas de servicios públicos</w:t>
      </w:r>
      <w:r w:rsidRPr="00FE0CDD">
        <w:rPr>
          <w:rFonts w:ascii="Verdana" w:hAnsi="Verdana"/>
        </w:rPr>
        <w:t xml:space="preserve"> y el margen de autorregulación que los caracteriza, la configuración</w:t>
      </w:r>
      <w:r>
        <w:rPr>
          <w:rFonts w:ascii="Verdana" w:hAnsi="Verdana"/>
        </w:rPr>
        <w:t xml:space="preserve"> y estipulación</w:t>
      </w:r>
      <w:r w:rsidRPr="00FE0CDD">
        <w:rPr>
          <w:rFonts w:ascii="Verdana" w:hAnsi="Verdana"/>
        </w:rPr>
        <w:t xml:space="preserve"> consciente y técnica de mecanismos de supervisión permite reducir riesgos de incumplimiento, fortalecer la trazabilidad de las actuaciones administrativas y facilitar la evaluación de resultados durante la vigencia del convenio. </w:t>
      </w:r>
    </w:p>
    <w:p w14:paraId="70E2EE08" w14:textId="77777777" w:rsidR="00C077A3" w:rsidRPr="00A868E0" w:rsidRDefault="00C077A3" w:rsidP="00C077A3">
      <w:pPr>
        <w:spacing w:after="0" w:line="276" w:lineRule="auto"/>
        <w:ind w:firstLine="709"/>
        <w:jc w:val="both"/>
        <w:rPr>
          <w:rFonts w:ascii="Verdana" w:hAnsi="Verdana"/>
        </w:rPr>
      </w:pPr>
      <w:r>
        <w:rPr>
          <w:rFonts w:ascii="Verdana" w:hAnsi="Verdana"/>
        </w:rPr>
        <w:t xml:space="preserve">El </w:t>
      </w:r>
      <w:r w:rsidRPr="00FE0CDD">
        <w:rPr>
          <w:rFonts w:ascii="Verdana" w:hAnsi="Verdana"/>
        </w:rPr>
        <w:t>seguimiento no debe concebirse como una carga meramente formal, sino como una herramienta funcional que contribuye a la correcta gestión interadministrativa, al uso eficiente de los recursos públicos comprometidos y a la consolidación de prácticas contractuales coherentes con los fines institucionales que justifican este tipo de acuerdos.</w:t>
      </w:r>
      <w:r>
        <w:rPr>
          <w:rFonts w:ascii="Verdana" w:hAnsi="Verdana"/>
        </w:rPr>
        <w:t xml:space="preserve"> Para ello, </w:t>
      </w:r>
      <w:r w:rsidRPr="00A868E0">
        <w:rPr>
          <w:rFonts w:ascii="Verdana" w:hAnsi="Verdana"/>
        </w:rPr>
        <w:t xml:space="preserve">deberá preverse </w:t>
      </w:r>
      <w:r w:rsidRPr="00A868E0">
        <w:rPr>
          <w:rFonts w:ascii="Verdana" w:hAnsi="Verdana"/>
        </w:rPr>
        <w:lastRenderedPageBreak/>
        <w:t>en el respectivo convenio interadministrativo —o, en su defecto, en el instrumento jurídico que resulte procedente, atendiendo a la naturaleza de las partes involucradas en el recaudo del impuesto de alumbrado público— la incorporación de cláusulas específicas de control y seguimiento orientadas a garantizar una ejecución adecuada y debidamente verificada de las obligaciones asumidas.</w:t>
      </w:r>
    </w:p>
    <w:p w14:paraId="4CD2A2F7" w14:textId="77777777" w:rsidR="00C077A3" w:rsidRPr="00A96668" w:rsidRDefault="00C077A3" w:rsidP="00C077A3">
      <w:pPr>
        <w:spacing w:after="0" w:line="276" w:lineRule="auto"/>
        <w:jc w:val="both"/>
        <w:rPr>
          <w:rFonts w:ascii="Verdana" w:eastAsia="Calibri" w:hAnsi="Verdana" w:cs="Times New Roman"/>
          <w:iCs/>
          <w:lang w:val="es-MX"/>
        </w:rPr>
      </w:pPr>
    </w:p>
    <w:p w14:paraId="47C2B386" w14:textId="77777777" w:rsidR="00C077A3" w:rsidRPr="006C0CAF" w:rsidRDefault="00C077A3" w:rsidP="00C077A3">
      <w:pPr>
        <w:spacing w:after="120" w:line="276" w:lineRule="auto"/>
        <w:jc w:val="both"/>
        <w:rPr>
          <w:rFonts w:ascii="Verdana" w:eastAsia="Times New Roman" w:hAnsi="Verdana" w:cs="Arial"/>
          <w:lang w:val="es-ES" w:eastAsia="es-ES"/>
          <w14:ligatures w14:val="standardContextual"/>
        </w:rPr>
      </w:pPr>
      <w:r>
        <w:rPr>
          <w:rFonts w:ascii="Verdana" w:eastAsia="Calibri" w:hAnsi="Verdana" w:cs="Arial"/>
          <w:color w:val="000000" w:themeColor="text1"/>
          <w:lang w:val="es-ES"/>
        </w:rPr>
        <w:t xml:space="preserve">v. </w:t>
      </w:r>
      <w:r w:rsidRPr="006C0CAF">
        <w:rPr>
          <w:rFonts w:ascii="Verdana" w:eastAsia="Times New Roman" w:hAnsi="Verdana" w:cs="Arial"/>
          <w:lang w:val="es-ES" w:eastAsia="es-ES"/>
          <w14:ligatures w14:val="standardContextual"/>
        </w:rPr>
        <w:t xml:space="preserve">Uno de los postulados más importantes de un Estado social y democrático de derecho es el principio de </w:t>
      </w:r>
      <w:r w:rsidRPr="006C0CAF">
        <w:rPr>
          <w:rFonts w:ascii="Verdana" w:eastAsia="Times New Roman" w:hAnsi="Verdana" w:cs="Arial"/>
          <w:i/>
          <w:iCs/>
          <w:lang w:val="es-ES" w:eastAsia="es-ES"/>
          <w14:ligatures w14:val="standardContextual"/>
        </w:rPr>
        <w:t>publicidad</w:t>
      </w:r>
      <w:r w:rsidRPr="006C0CAF">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006C0CAF">
        <w:rPr>
          <w:rFonts w:ascii="Verdana" w:eastAsia="Times New Roman" w:hAnsi="Verdana" w:cs="Arial"/>
          <w:vertAlign w:val="superscript"/>
          <w:lang w:val="es-ES" w:eastAsia="es-ES"/>
          <w14:ligatures w14:val="standardContextual"/>
        </w:rPr>
        <w:footnoteReference w:id="23"/>
      </w:r>
      <w:r w:rsidRPr="006C0CAF">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pregonan la publicidad de las actuaciones de los poderes públicos. </w:t>
      </w:r>
    </w:p>
    <w:p w14:paraId="136DF4B3" w14:textId="77777777" w:rsidR="00C077A3" w:rsidRPr="006C0CAF" w:rsidRDefault="00C077A3" w:rsidP="00C077A3">
      <w:pPr>
        <w:spacing w:before="120" w:after="120" w:line="276" w:lineRule="auto"/>
        <w:ind w:firstLine="708"/>
        <w:jc w:val="both"/>
        <w:rPr>
          <w:rFonts w:ascii="Verdana" w:eastAsia="Times New Roman" w:hAnsi="Verdana" w:cs="Arial"/>
          <w:lang w:val="es-ES" w:eastAsia="es-ES"/>
          <w14:ligatures w14:val="standardContextual"/>
        </w:rPr>
      </w:pPr>
      <w:r w:rsidRPr="006C0CAF">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7C512268" w14:textId="77777777" w:rsidR="00C077A3" w:rsidRDefault="00C077A3" w:rsidP="00C077A3">
      <w:pPr>
        <w:spacing w:after="0" w:line="276" w:lineRule="auto"/>
        <w:ind w:firstLine="709"/>
        <w:jc w:val="both"/>
        <w:rPr>
          <w:rFonts w:ascii="Verdana" w:eastAsia="Times New Roman" w:hAnsi="Verdana" w:cs="Arial"/>
          <w:lang w:val="es-ES" w:eastAsia="es-ES"/>
          <w14:ligatures w14:val="standardContextual"/>
        </w:rPr>
      </w:pPr>
      <w:r w:rsidRPr="1B20DF0E">
        <w:rPr>
          <w:rFonts w:ascii="Verdana" w:eastAsia="Times New Roman" w:hAnsi="Verdana" w:cs="Arial"/>
          <w:lang w:val="es-ES" w:eastAsia="es-ES"/>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1B20DF0E">
        <w:rPr>
          <w:rFonts w:ascii="Verdana" w:eastAsia="Times New Roman" w:hAnsi="Verdana" w:cs="Arial"/>
          <w:vertAlign w:val="superscript"/>
          <w:lang w:val="es-ES" w:eastAsia="es-ES"/>
          <w14:ligatures w14:val="standardContextual"/>
        </w:rPr>
        <w:footnoteReference w:id="24"/>
      </w:r>
      <w:r w:rsidRPr="1B20DF0E">
        <w:rPr>
          <w:rFonts w:ascii="Verdana" w:eastAsia="Times New Roman" w:hAnsi="Verdana" w:cs="Arial"/>
          <w:lang w:val="es-ES" w:eastAsia="es-ES"/>
          <w14:ligatures w14:val="standardContextual"/>
        </w:rPr>
        <w:t xml:space="preserve">. El principio de </w:t>
      </w:r>
      <w:r w:rsidRPr="1B20DF0E">
        <w:rPr>
          <w:rFonts w:ascii="Verdana" w:eastAsia="Times New Roman" w:hAnsi="Verdana" w:cs="Arial"/>
          <w:lang w:val="es-ES" w:eastAsia="es-ES"/>
          <w14:ligatures w14:val="standardContextual"/>
        </w:rPr>
        <w:lastRenderedPageBreak/>
        <w:t>transparencia en la información alude al deber de los sujetos de proporcionar y facilitar el acceso a la misma en los términos más amplios posibles, y a través de los medios y procedimientos legales. En este sentido, el artículo la Ley 1712 de 2014 establece el ámbito de ampliación, esto es, quienes son los sujetos obligados a publicar su información:</w:t>
      </w:r>
    </w:p>
    <w:p w14:paraId="4FA1F680" w14:textId="77777777" w:rsidR="00C077A3" w:rsidRDefault="00C077A3" w:rsidP="00C077A3">
      <w:pPr>
        <w:spacing w:after="0" w:line="276" w:lineRule="auto"/>
        <w:ind w:firstLine="709"/>
        <w:jc w:val="both"/>
        <w:rPr>
          <w:rFonts w:ascii="Verdana" w:eastAsia="Times New Roman" w:hAnsi="Verdana" w:cs="Arial"/>
          <w:lang w:val="es-ES_tradnl" w:eastAsia="es-ES_tradnl"/>
          <w14:ligatures w14:val="standardContextual"/>
        </w:rPr>
      </w:pPr>
    </w:p>
    <w:p w14:paraId="137A7D1F" w14:textId="77777777" w:rsidR="00C077A3" w:rsidRPr="003A6355" w:rsidRDefault="00C077A3" w:rsidP="00C077A3">
      <w:pPr>
        <w:spacing w:after="0" w:line="240" w:lineRule="auto"/>
        <w:ind w:left="709" w:right="709"/>
        <w:jc w:val="both"/>
        <w:rPr>
          <w:rFonts w:ascii="Verdana" w:hAnsi="Verdana" w:cs="Arial"/>
          <w:sz w:val="20"/>
          <w:szCs w:val="20"/>
          <w:lang w:eastAsia="es-ES_tradnl"/>
          <w14:ligatures w14:val="standardContextual"/>
        </w:rPr>
      </w:pPr>
      <w:bookmarkStart w:id="7" w:name="5"/>
      <w:r w:rsidRPr="003A6355">
        <w:rPr>
          <w:rFonts w:ascii="Verdana" w:hAnsi="Verdana" w:cs="Arial"/>
          <w:bCs/>
          <w:sz w:val="20"/>
          <w:szCs w:val="20"/>
          <w:lang w:eastAsia="es-ES_tradnl"/>
          <w14:ligatures w14:val="standardContextual"/>
        </w:rPr>
        <w:t>ARTÍCULO 5o. Ámbito de Aplicación</w:t>
      </w:r>
      <w:r w:rsidRPr="003A6355">
        <w:rPr>
          <w:rFonts w:ascii="Verdana" w:hAnsi="Verdana" w:cs="Arial"/>
          <w:b/>
          <w:bCs/>
          <w:sz w:val="20"/>
          <w:szCs w:val="20"/>
          <w:lang w:eastAsia="es-ES_tradnl"/>
          <w14:ligatures w14:val="standardContextual"/>
        </w:rPr>
        <w:t>.</w:t>
      </w:r>
      <w:bookmarkEnd w:id="7"/>
      <w:r w:rsidRPr="003A6355">
        <w:rPr>
          <w:rFonts w:ascii="Verdana" w:hAnsi="Verdana" w:cs="Arial"/>
          <w:sz w:val="20"/>
          <w:szCs w:val="20"/>
          <w:lang w:eastAsia="es-ES_tradnl"/>
          <w14:ligatures w14:val="standardContextual"/>
        </w:rPr>
        <w:t> &lt;Artículo corregido por el artículo </w:t>
      </w:r>
      <w:hyperlink r:id="rId13" w:anchor="1" w:history="1">
        <w:r w:rsidRPr="003A6355">
          <w:rPr>
            <w:rStyle w:val="Hipervnculo"/>
            <w:rFonts w:ascii="Verdana" w:hAnsi="Verdana" w:cs="Arial"/>
            <w:sz w:val="20"/>
            <w:szCs w:val="20"/>
            <w:lang w:eastAsia="es-ES_tradnl"/>
            <w14:ligatures w14:val="standardContextual"/>
          </w:rPr>
          <w:t>1</w:t>
        </w:r>
      </w:hyperlink>
      <w:r w:rsidRPr="003A6355">
        <w:rPr>
          <w:rFonts w:ascii="Verdana" w:hAnsi="Verdana" w:cs="Arial"/>
          <w:sz w:val="20"/>
          <w:szCs w:val="20"/>
          <w:lang w:eastAsia="es-ES_tradnl"/>
          <w14:ligatures w14:val="standardContextual"/>
        </w:rPr>
        <w:t> del Decreto 1494 de 2015. El nuevo texto es el siguiente:&gt; Las disposiciones de esta ley serán aplicables a las siguientes personas en calidad de sujetos obligados:</w:t>
      </w:r>
    </w:p>
    <w:p w14:paraId="5D1EC1F6" w14:textId="77777777" w:rsidR="00C077A3" w:rsidRPr="003A6355" w:rsidRDefault="00C077A3" w:rsidP="00C077A3">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 xml:space="preserve">a) </w:t>
      </w:r>
      <w:r w:rsidRPr="003A6355">
        <w:rPr>
          <w:rFonts w:ascii="Verdana" w:eastAsia="Times New Roman" w:hAnsi="Verdana" w:cs="Arial"/>
          <w:i/>
          <w:sz w:val="20"/>
          <w:szCs w:val="20"/>
          <w:lang w:eastAsia="es-ES_tradnl"/>
          <w14:ligatures w14:val="standardContextual"/>
        </w:rPr>
        <w:t>Toda entidad pública, incluyendo las pertenecientes a todas las Ramas del Poder Público, en todos los niveles de la estructura estatal, central o descentralizada por servicios o territorialmente, en los órdenes nacional, departamental, municipal y distrital</w:t>
      </w:r>
      <w:r w:rsidRPr="003A6355">
        <w:rPr>
          <w:rFonts w:ascii="Verdana" w:eastAsia="Times New Roman" w:hAnsi="Verdana" w:cs="Arial"/>
          <w:sz w:val="20"/>
          <w:szCs w:val="20"/>
          <w:lang w:eastAsia="es-ES_tradnl"/>
          <w14:ligatures w14:val="standardContextual"/>
        </w:rPr>
        <w:t>.</w:t>
      </w:r>
    </w:p>
    <w:p w14:paraId="0003E0F3" w14:textId="77777777" w:rsidR="00C077A3" w:rsidRPr="003A6355" w:rsidRDefault="00C077A3" w:rsidP="00C077A3">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b) Los órganos, organismos y entidades estatales independientes o autónomos y de control.</w:t>
      </w:r>
    </w:p>
    <w:p w14:paraId="2FD970F1" w14:textId="77777777" w:rsidR="00C077A3" w:rsidRPr="003A6355" w:rsidRDefault="00C077A3" w:rsidP="00C077A3">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c) Las personas naturales y jurídicas, públicas o privadas, que presten función pública, que presten servicios públicos respecto de la información directamente relacionada con la prestación del servicio público.</w:t>
      </w:r>
    </w:p>
    <w:p w14:paraId="43CE9CE7" w14:textId="77777777" w:rsidR="00C077A3" w:rsidRPr="003A6355" w:rsidRDefault="00C077A3" w:rsidP="00C077A3">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d) Cualquier persona natural, jurídica o dependencia de persona jurídica que desempeñe función pública o de autoridad pública, respecto de la información directamente relacionada con el desempeño de su función.</w:t>
      </w:r>
    </w:p>
    <w:p w14:paraId="686618ED" w14:textId="77777777" w:rsidR="00C077A3" w:rsidRPr="003A6355" w:rsidRDefault="00C077A3" w:rsidP="00C077A3">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e) Las empresas públicas creadas por ley, las empresas del Estado y sociedades en que este tenga participación.</w:t>
      </w:r>
    </w:p>
    <w:p w14:paraId="2FD73DE0" w14:textId="77777777" w:rsidR="00C077A3" w:rsidRPr="003A6355" w:rsidRDefault="00C077A3" w:rsidP="00C077A3">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f) Los partidos o movimientos políticos y los grupos significativos de ciudadanos.</w:t>
      </w:r>
    </w:p>
    <w:p w14:paraId="6F6D84ED" w14:textId="77777777" w:rsidR="00C077A3" w:rsidRPr="003A6355" w:rsidRDefault="00C077A3" w:rsidP="00C077A3">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g) Las entidades que administren instituciones parafiscales, fondos o recursos de naturaleza u origen público.</w:t>
      </w:r>
    </w:p>
    <w:p w14:paraId="57916E09" w14:textId="77777777" w:rsidR="00C077A3" w:rsidRPr="003A6355" w:rsidRDefault="00C077A3" w:rsidP="00C077A3">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01372584" w14:textId="77777777" w:rsidR="00C077A3" w:rsidRPr="003A6355" w:rsidRDefault="00C077A3" w:rsidP="00C077A3">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bCs/>
          <w:sz w:val="20"/>
          <w:szCs w:val="20"/>
          <w:lang w:eastAsia="es-ES_tradnl"/>
          <w14:ligatures w14:val="standardContextual"/>
        </w:rPr>
        <w:t>PARÁGRAFO 1o</w:t>
      </w:r>
      <w:r w:rsidRPr="003A6355">
        <w:rPr>
          <w:rFonts w:ascii="Verdana" w:eastAsia="Times New Roman" w:hAnsi="Verdana" w:cs="Arial"/>
          <w:b/>
          <w:bCs/>
          <w:sz w:val="20"/>
          <w:szCs w:val="20"/>
          <w:lang w:eastAsia="es-ES_tradnl"/>
          <w14:ligatures w14:val="standardContextual"/>
        </w:rPr>
        <w:t>.</w:t>
      </w:r>
      <w:r w:rsidRPr="003A6355">
        <w:rPr>
          <w:rFonts w:ascii="Verdana" w:eastAsia="Times New Roman" w:hAnsi="Verdana" w:cs="Arial"/>
          <w:sz w:val="20"/>
          <w:szCs w:val="20"/>
          <w:lang w:eastAsia="es-ES_tradnl"/>
          <w14:ligatures w14:val="standardContextual"/>
        </w:rPr>
        <w:t> No serán sujetos obligados aquellas personas naturales o jurídicas de carácter privado que sean usuarios de información pública (énfasis fuera de texto).</w:t>
      </w:r>
    </w:p>
    <w:p w14:paraId="3BA6EF0D" w14:textId="77777777" w:rsidR="00C077A3" w:rsidRDefault="00C077A3" w:rsidP="00C077A3">
      <w:pPr>
        <w:spacing w:before="120" w:after="120" w:line="240" w:lineRule="auto"/>
        <w:ind w:firstLine="709"/>
        <w:jc w:val="both"/>
        <w:rPr>
          <w:rFonts w:ascii="Verdana" w:eastAsia="Times New Roman" w:hAnsi="Verdana" w:cs="Arial"/>
          <w:lang w:val="es-ES_tradnl" w:eastAsia="es-ES_tradnl"/>
          <w14:ligatures w14:val="standardContextual"/>
        </w:rPr>
      </w:pPr>
    </w:p>
    <w:p w14:paraId="0E2DA51C" w14:textId="77777777" w:rsidR="00C077A3" w:rsidRDefault="00C077A3" w:rsidP="00C077A3">
      <w:pPr>
        <w:spacing w:before="120" w:after="120" w:line="276" w:lineRule="auto"/>
        <w:ind w:firstLine="708"/>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 xml:space="preserve">A partir de la lista de quienes son los sujetos obligados a publicar la información, puede inferirse que las entidades territoriales tienen la obligación de </w:t>
      </w:r>
      <w:r w:rsidRPr="002A3450">
        <w:rPr>
          <w:rFonts w:ascii="Verdana" w:eastAsia="Times New Roman" w:hAnsi="Verdana" w:cs="Arial"/>
          <w:lang w:val="es-ES_tradnl" w:eastAsia="es-ES_tradnl"/>
          <w14:ligatures w14:val="standardContextual"/>
        </w:rPr>
        <w:t>publicar la información relativa a su contratación</w:t>
      </w:r>
      <w:r>
        <w:rPr>
          <w:rFonts w:ascii="Verdana" w:eastAsia="Times New Roman" w:hAnsi="Verdana" w:cs="Arial"/>
          <w:lang w:val="es-ES_tradnl" w:eastAsia="es-ES_tradnl"/>
          <w14:ligatures w14:val="standardContextual"/>
        </w:rPr>
        <w:t xml:space="preserve">, así como las entidades descentralizadas por servicios. Esta obligación del deber de publicar fue </w:t>
      </w:r>
      <w:r w:rsidRPr="002A3450">
        <w:rPr>
          <w:rFonts w:ascii="Verdana" w:eastAsia="Times New Roman" w:hAnsi="Verdana" w:cs="Arial"/>
          <w:lang w:val="es-ES_tradnl" w:eastAsia="es-ES_tradnl"/>
          <w14:ligatures w14:val="standardContextual"/>
        </w:rPr>
        <w:lastRenderedPageBreak/>
        <w:t>desarrollada por el Decreto Único Reglamentario 1081 de 2015</w:t>
      </w:r>
      <w:r w:rsidRPr="002A3450">
        <w:rPr>
          <w:rFonts w:ascii="Verdana" w:eastAsia="Times New Roman" w:hAnsi="Verdana" w:cs="Arial"/>
          <w:vertAlign w:val="superscript"/>
          <w:lang w:val="es-ES_tradnl" w:eastAsia="es-ES_tradnl"/>
          <w14:ligatures w14:val="standardContextual"/>
        </w:rPr>
        <w:footnoteReference w:id="25"/>
      </w:r>
      <w:r w:rsidRPr="002A3450">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r>
        <w:rPr>
          <w:rFonts w:ascii="Verdana" w:eastAsia="Times New Roman" w:hAnsi="Verdana" w:cs="Arial"/>
          <w:lang w:val="es-ES_tradnl" w:eastAsia="es-ES_tradnl"/>
          <w14:ligatures w14:val="standardContextual"/>
        </w:rPr>
        <w:t xml:space="preserve"> </w:t>
      </w:r>
      <w:r w:rsidRPr="00E806EA">
        <w:rPr>
          <w:rFonts w:ascii="Verdana" w:eastAsia="Times New Roman" w:hAnsi="Verdana" w:cs="Arial"/>
          <w:lang w:val="es-ES_tradnl" w:eastAsia="es-ES_tradnl"/>
          <w14:ligatures w14:val="standardContextual"/>
        </w:rPr>
        <w:t xml:space="preserve">Asimismo, de acuerdo con el literal g) del artículo 11 de </w:t>
      </w:r>
      <w:r>
        <w:rPr>
          <w:rFonts w:ascii="Verdana" w:eastAsia="Times New Roman" w:hAnsi="Verdana" w:cs="Arial"/>
          <w:lang w:val="es-ES_tradnl" w:eastAsia="es-ES_tradnl"/>
          <w14:ligatures w14:val="standardContextual"/>
        </w:rPr>
        <w:t>la L</w:t>
      </w:r>
      <w:r w:rsidRPr="00E806EA">
        <w:rPr>
          <w:rFonts w:ascii="Verdana" w:eastAsia="Times New Roman" w:hAnsi="Verdana" w:cs="Arial"/>
          <w:lang w:val="es-ES_tradnl" w:eastAsia="es-ES_tradnl"/>
          <w14:ligatures w14:val="standardContextual"/>
        </w:rPr>
        <w:t>ey</w:t>
      </w:r>
      <w:r>
        <w:rPr>
          <w:rFonts w:ascii="Verdana" w:eastAsia="Times New Roman" w:hAnsi="Verdana" w:cs="Arial"/>
          <w:lang w:val="es-ES_tradnl" w:eastAsia="es-ES_tradnl"/>
          <w14:ligatures w14:val="standardContextual"/>
        </w:rPr>
        <w:t xml:space="preserve"> 1712 de 2014</w:t>
      </w:r>
      <w:r w:rsidRPr="00E806EA">
        <w:rPr>
          <w:rFonts w:ascii="Verdana" w:eastAsia="Times New Roman" w:hAnsi="Verdana" w:cs="Arial"/>
          <w:lang w:val="es-ES_tradnl" w:eastAsia="es-ES_tradnl"/>
          <w14:ligatures w14:val="standardContextual"/>
        </w:rPr>
        <w:t xml:space="preserve">, todos los destinatarios de la </w:t>
      </w:r>
      <w:r>
        <w:rPr>
          <w:rFonts w:ascii="Verdana" w:eastAsia="Times New Roman" w:hAnsi="Verdana" w:cs="Arial"/>
          <w:lang w:val="es-ES_tradnl" w:eastAsia="es-ES_tradnl"/>
          <w14:ligatures w14:val="standardContextual"/>
        </w:rPr>
        <w:t xml:space="preserve">Ley Estatutaria de Transparencia y Acceso a la Información Pública </w:t>
      </w:r>
      <w:r w:rsidRPr="00E806EA">
        <w:rPr>
          <w:rFonts w:ascii="Verdana" w:eastAsia="Times New Roman" w:hAnsi="Verdana" w:cs="Arial"/>
          <w:lang w:val="es-ES_tradnl" w:eastAsia="es-ES_tradnl"/>
          <w14:ligatures w14:val="standardContextual"/>
        </w:rPr>
        <w:t xml:space="preserve">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0823EAE2" w14:textId="77777777" w:rsidR="00C077A3" w:rsidRDefault="00C077A3" w:rsidP="00C077A3">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B300BE">
        <w:rPr>
          <w:rFonts w:ascii="Verdana" w:eastAsia="Times New Roman" w:hAnsi="Verdana" w:cs="Arial"/>
          <w:vertAlign w:val="superscript"/>
          <w:lang w:val="es-ES_tradnl" w:eastAsia="es-ES_tradnl"/>
          <w14:ligatures w14:val="standardContextual"/>
        </w:rPr>
        <w:footnoteReference w:id="26"/>
      </w:r>
      <w:r w:rsidRPr="00E806EA">
        <w:rPr>
          <w:rFonts w:ascii="Verdana" w:eastAsia="Times New Roman" w:hAnsi="Verdana" w:cs="Arial"/>
          <w:lang w:val="es-ES_tradnl" w:eastAsia="es-ES_tradnl"/>
          <w14:ligatures w14:val="standardContextual"/>
        </w:rPr>
        <w:t>.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64F68D0E" w14:textId="77777777" w:rsidR="00C077A3" w:rsidRDefault="00C077A3" w:rsidP="00C077A3">
      <w:pPr>
        <w:tabs>
          <w:tab w:val="left" w:pos="709"/>
        </w:tabs>
        <w:spacing w:before="120" w:after="0" w:line="276" w:lineRule="auto"/>
        <w:ind w:firstLine="709"/>
        <w:jc w:val="both"/>
        <w:rPr>
          <w:rFonts w:ascii="Verdana" w:hAnsi="Verdana" w:cs="Arial"/>
          <w:shd w:val="clear" w:color="auto" w:fill="FFFFFF"/>
        </w:rPr>
      </w:pPr>
      <w:r w:rsidRPr="00052904">
        <w:rPr>
          <w:rFonts w:ascii="Verdana" w:hAnsi="Verdana" w:cs="Arial"/>
          <w:shd w:val="clear" w:color="auto" w:fill="FFFFFF"/>
        </w:rPr>
        <w:t xml:space="preserve">La expresión </w:t>
      </w:r>
      <w:r w:rsidRPr="00052904">
        <w:rPr>
          <w:rFonts w:ascii="Verdana" w:hAnsi="Verdana" w:cs="Arial"/>
          <w:i/>
          <w:iCs/>
          <w:shd w:val="clear" w:color="auto" w:fill="FFFFFF"/>
        </w:rPr>
        <w:t xml:space="preserve">Documentos del Proceso </w:t>
      </w:r>
      <w:r w:rsidRPr="00052904">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052904">
        <w:rPr>
          <w:rFonts w:ascii="Verdana" w:hAnsi="Verdana" w:cs="Arial"/>
          <w:i/>
          <w:iCs/>
          <w:shd w:val="clear" w:color="auto" w:fill="FFFFFF"/>
        </w:rPr>
        <w:t>y cualquier otro documento expedido por la Entidad Estatal durante el Proceso de Contratación</w:t>
      </w:r>
      <w:r w:rsidRPr="00052904">
        <w:rPr>
          <w:rFonts w:ascii="Verdana" w:hAnsi="Verdana" w:cs="Arial"/>
          <w:shd w:val="clear" w:color="auto" w:fill="FFFFFF"/>
        </w:rPr>
        <w:t>”. [Énfasis fuera de texto]</w:t>
      </w:r>
      <w:r>
        <w:rPr>
          <w:rFonts w:ascii="Verdana" w:hAnsi="Verdana" w:cs="Arial"/>
          <w:shd w:val="clear" w:color="auto" w:fill="FFFFFF"/>
        </w:rPr>
        <w:t xml:space="preserve"> </w:t>
      </w:r>
      <w:r w:rsidRPr="00EF0BDA">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EF0BDA">
        <w:rPr>
          <w:rFonts w:ascii="Verdana" w:hAnsi="Verdana" w:cs="Arial"/>
          <w:i/>
          <w:iCs/>
          <w:shd w:val="clear" w:color="auto" w:fill="FFFFFF"/>
        </w:rPr>
        <w:t>Ibidem</w:t>
      </w:r>
      <w:r w:rsidRPr="00EF0BDA">
        <w:rPr>
          <w:rFonts w:ascii="Verdana" w:hAnsi="Verdana" w:cs="Arial"/>
          <w:shd w:val="clear" w:color="auto" w:fill="FFFFFF"/>
        </w:rPr>
        <w:t xml:space="preserve"> recoge en la noción de Documentos del Proceso “cualquier otro documento expedido por la Entidad Estatal durante el Proceso de Contratación”. </w:t>
      </w:r>
    </w:p>
    <w:p w14:paraId="618E51B0" w14:textId="77777777" w:rsidR="00C077A3" w:rsidRDefault="00C077A3" w:rsidP="00C077A3">
      <w:pPr>
        <w:tabs>
          <w:tab w:val="left" w:pos="709"/>
        </w:tabs>
        <w:spacing w:before="120" w:after="0" w:line="276" w:lineRule="auto"/>
        <w:ind w:firstLine="709"/>
        <w:jc w:val="both"/>
        <w:rPr>
          <w:rFonts w:ascii="Verdana" w:hAnsi="Verdana" w:cs="Arial"/>
          <w:shd w:val="clear" w:color="auto" w:fill="FFFFFF"/>
        </w:rPr>
      </w:pPr>
      <w:r w:rsidRPr="00EF0BDA">
        <w:rPr>
          <w:rFonts w:ascii="Verdana" w:hAnsi="Verdana" w:cs="Arial"/>
          <w:shd w:val="clear" w:color="auto" w:fill="FFFFFF"/>
        </w:rPr>
        <w:lastRenderedPageBreak/>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w:t>
      </w:r>
      <w:r>
        <w:rPr>
          <w:rFonts w:ascii="Verdana" w:hAnsi="Verdana" w:cs="Arial"/>
          <w:shd w:val="clear" w:color="auto" w:fill="FFFFFF"/>
        </w:rPr>
        <w:t xml:space="preserve">se refiere </w:t>
      </w:r>
      <w:r w:rsidRPr="00EF0BDA">
        <w:rPr>
          <w:rFonts w:ascii="Verdana" w:hAnsi="Verdana" w:cs="Arial"/>
          <w:shd w:val="clear" w:color="auto" w:fill="FFFFFF"/>
        </w:rPr>
        <w:t>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2BE0B397" w14:textId="77777777" w:rsidR="00C077A3" w:rsidRDefault="00C077A3" w:rsidP="00C077A3">
      <w:pPr>
        <w:tabs>
          <w:tab w:val="left" w:pos="709"/>
        </w:tabs>
        <w:spacing w:before="120" w:after="120" w:line="276" w:lineRule="auto"/>
        <w:ind w:firstLine="709"/>
        <w:jc w:val="both"/>
        <w:rPr>
          <w:rFonts w:ascii="Verdana" w:hAnsi="Verdana" w:cs="Arial"/>
          <w:shd w:val="clear" w:color="auto" w:fill="FFFFFF"/>
        </w:rPr>
      </w:pPr>
      <w:r w:rsidRPr="00F14C13">
        <w:rPr>
          <w:rFonts w:ascii="Verdana" w:hAnsi="Verdana" w:cs="Arial"/>
          <w:shd w:val="clear" w:color="auto" w:fill="FFFFFF"/>
        </w:rPr>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w:t>
      </w:r>
      <w:r>
        <w:rPr>
          <w:rFonts w:ascii="Verdana" w:hAnsi="Verdana" w:cs="Arial"/>
          <w:shd w:val="clear" w:color="auto" w:fill="FFFFFF"/>
        </w:rPr>
        <w:t xml:space="preserve"> </w:t>
      </w:r>
      <w:r w:rsidRPr="00F14C13">
        <w:rPr>
          <w:rFonts w:ascii="Verdana" w:hAnsi="Verdana" w:cs="Arial"/>
          <w:shd w:val="clear" w:color="auto" w:fill="FFFFFF"/>
        </w:rPr>
        <w:t>de ejecu</w:t>
      </w:r>
      <w:r>
        <w:rPr>
          <w:rFonts w:ascii="Verdana" w:hAnsi="Verdana" w:cs="Arial"/>
          <w:shd w:val="clear" w:color="auto" w:fill="FFFFFF"/>
        </w:rPr>
        <w:t>ción y postcontractual deberán publicarse</w:t>
      </w:r>
      <w:r w:rsidRPr="00F14C13">
        <w:rPr>
          <w:rFonts w:ascii="Verdana" w:hAnsi="Verdana" w:cs="Arial"/>
          <w:shd w:val="clear" w:color="auto" w:fill="FFFFFF"/>
        </w:rPr>
        <w:t xml:space="preserve"> en SECOP dentro de los tres (3) días siguientes a su expedición, para cumplir el deber de publicidad regulado por el artículo 2.2.1.1.1.7.1. del Decreto 1082 de 2015.</w:t>
      </w:r>
    </w:p>
    <w:p w14:paraId="66567BD9" w14:textId="77777777" w:rsidR="00C077A3" w:rsidRPr="007D65AA" w:rsidRDefault="00C077A3" w:rsidP="00C077A3">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7D65AA">
        <w:rPr>
          <w:rFonts w:ascii="Verdana" w:hAnsi="Verdana" w:cs="Arial"/>
          <w:shd w:val="clear" w:color="auto" w:fill="FFFFFF"/>
          <w:vertAlign w:val="superscript"/>
        </w:rPr>
        <w:footnoteReference w:id="27"/>
      </w:r>
      <w:r w:rsidRPr="007D65AA">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1EDA256D" w14:textId="77777777" w:rsidR="00C077A3" w:rsidRPr="007D65AA" w:rsidRDefault="00C077A3" w:rsidP="00C077A3">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t xml:space="preserve">En cambio, el SECOP II, es una plataforma transaccional que permite gestionar en línea los procedimientos de contratación, con cuentas y usuarios asociados a estas, para las entidades y los proveedores, y vista pública para </w:t>
      </w:r>
      <w:r w:rsidRPr="007D65AA">
        <w:rPr>
          <w:rFonts w:ascii="Verdana" w:hAnsi="Verdana" w:cs="Arial"/>
          <w:shd w:val="clear" w:color="auto" w:fill="FFFFFF"/>
        </w:rPr>
        <w:lastRenderedPageBreak/>
        <w:t>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31DA8829" w14:textId="77777777" w:rsidR="00C077A3" w:rsidRDefault="00C077A3" w:rsidP="00C077A3">
      <w:pPr>
        <w:spacing w:after="120" w:line="276" w:lineRule="auto"/>
        <w:ind w:firstLine="709"/>
        <w:jc w:val="both"/>
        <w:rPr>
          <w:rFonts w:ascii="Verdana" w:eastAsia="Calibri" w:hAnsi="Verdana" w:cs="Arial"/>
          <w:lang w:val="es-ES"/>
        </w:rPr>
      </w:pPr>
      <w:r w:rsidRPr="19E8E9D4">
        <w:rPr>
          <w:rFonts w:ascii="Verdana" w:eastAsia="Calibri" w:hAnsi="Verdana" w:cs="Arial"/>
          <w:lang w:val="es-ES"/>
        </w:rPr>
        <w:t xml:space="preserve">Sin embargo, pese a que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27A66443" w14:textId="77777777" w:rsidR="00C077A3" w:rsidRDefault="00C077A3" w:rsidP="00C077A3">
      <w:pPr>
        <w:tabs>
          <w:tab w:val="left" w:pos="709"/>
        </w:tabs>
        <w:spacing w:before="120" w:after="120" w:line="276" w:lineRule="auto"/>
        <w:ind w:firstLine="709"/>
        <w:jc w:val="both"/>
        <w:rPr>
          <w:rFonts w:ascii="Verdana" w:eastAsia="Calibri" w:hAnsi="Verdana" w:cs="Arial"/>
          <w:color w:val="000000"/>
        </w:rPr>
      </w:pPr>
      <w:r w:rsidRPr="00AD6B46">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En tal sentido, </w:t>
      </w:r>
      <w:r w:rsidRPr="00AD6B46">
        <w:rPr>
          <w:rFonts w:ascii="Verdana" w:eastAsia="Calibri" w:hAnsi="Verdana" w:cs="Arial"/>
          <w:color w:val="000000"/>
        </w:rPr>
        <w:t>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w:t>
      </w:r>
    </w:p>
    <w:p w14:paraId="3561303D" w14:textId="77777777" w:rsidR="00C077A3" w:rsidRDefault="00C077A3" w:rsidP="00C077A3">
      <w:pPr>
        <w:tabs>
          <w:tab w:val="left" w:pos="709"/>
        </w:tabs>
        <w:spacing w:before="120" w:after="0" w:line="276" w:lineRule="auto"/>
        <w:ind w:firstLine="709"/>
        <w:jc w:val="both"/>
        <w:rPr>
          <w:rFonts w:ascii="Verdana" w:eastAsia="Calibri" w:hAnsi="Verdana" w:cs="Arial"/>
          <w:color w:val="000000"/>
        </w:rPr>
      </w:pPr>
      <w:r>
        <w:rPr>
          <w:rFonts w:ascii="Verdana" w:eastAsia="Calibri" w:hAnsi="Verdana" w:cs="Arial"/>
          <w:color w:val="000000"/>
        </w:rPr>
        <w:t xml:space="preserve">Así las cosas, existe un deber consagrado en la Ley 1712 de 2014, así como en demás leyes y reglamentos de publicar los contratos y convenios que </w:t>
      </w:r>
      <w:r>
        <w:rPr>
          <w:rFonts w:ascii="Verdana" w:eastAsia="Calibri" w:hAnsi="Verdana" w:cs="Arial"/>
          <w:color w:val="000000"/>
        </w:rPr>
        <w:lastRenderedPageBreak/>
        <w:t xml:space="preserve">suscriben las entidades territoriales con las empresas de servicios públicos domiciliarios para el recaudo del impuesto de alumbrado público, en el marco del artículo 352 de la Ley 1819 de 2016. En este sentido, </w:t>
      </w:r>
      <w:r w:rsidRPr="00E74FDD">
        <w:rPr>
          <w:rFonts w:ascii="Verdana" w:eastAsia="Calibri" w:hAnsi="Verdana" w:cs="Arial"/>
          <w:color w:val="000000"/>
        </w:rPr>
        <w:t xml:space="preserve">La obligación de publicidad abarca no solo el contrato en sí, sino también todos los documentos y actos que integran la actividad contractual, incluyendo las fases </w:t>
      </w:r>
      <w:r>
        <w:rPr>
          <w:rFonts w:ascii="Verdana" w:eastAsia="Calibri" w:hAnsi="Verdana" w:cs="Arial"/>
          <w:color w:val="000000"/>
        </w:rPr>
        <w:t>-</w:t>
      </w:r>
      <w:r w:rsidRPr="00E74FDD">
        <w:rPr>
          <w:rFonts w:ascii="Verdana" w:eastAsia="Calibri" w:hAnsi="Verdana" w:cs="Arial"/>
          <w:color w:val="000000"/>
        </w:rPr>
        <w:t>precontractual, contractual y postcontractual</w:t>
      </w:r>
      <w:r>
        <w:rPr>
          <w:rFonts w:ascii="Verdana" w:eastAsia="Calibri" w:hAnsi="Verdana" w:cs="Arial"/>
          <w:color w:val="000000"/>
        </w:rPr>
        <w:t>-</w:t>
      </w:r>
      <w:r w:rsidRPr="00E74FDD">
        <w:rPr>
          <w:rFonts w:ascii="Verdana" w:eastAsia="Calibri" w:hAnsi="Verdana" w:cs="Arial"/>
          <w:color w:val="000000"/>
        </w:rPr>
        <w:t>, de modo que el proceso completo sea transparente, verificable y accesible para el control ciudadano y administrativo.</w:t>
      </w:r>
      <w:r>
        <w:rPr>
          <w:rFonts w:ascii="Verdana" w:eastAsia="Calibri" w:hAnsi="Verdana" w:cs="Arial"/>
          <w:color w:val="000000"/>
        </w:rPr>
        <w:t xml:space="preserve"> </w:t>
      </w:r>
    </w:p>
    <w:p w14:paraId="6C845C17" w14:textId="77777777" w:rsidR="00C077A3" w:rsidRPr="00AD6B46" w:rsidRDefault="00C077A3" w:rsidP="00C077A3">
      <w:pPr>
        <w:tabs>
          <w:tab w:val="left" w:pos="709"/>
        </w:tabs>
        <w:spacing w:after="0" w:line="276" w:lineRule="auto"/>
        <w:ind w:firstLine="709"/>
        <w:jc w:val="both"/>
        <w:rPr>
          <w:rFonts w:ascii="Verdana" w:eastAsia="Calibri" w:hAnsi="Verdana" w:cs="Arial"/>
          <w:color w:val="000000"/>
        </w:rPr>
      </w:pPr>
    </w:p>
    <w:bookmarkEnd w:id="2"/>
    <w:p w14:paraId="2CCDC695" w14:textId="77777777" w:rsidR="00C077A3" w:rsidRPr="00B16AC6" w:rsidRDefault="00C077A3" w:rsidP="00C077A3">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vi.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 xml:space="preserve">oblemas específicos </w:t>
      </w:r>
      <w:r w:rsidRPr="00B17041">
        <w:rPr>
          <w:rFonts w:ascii="Verdana" w:hAnsi="Verdana" w:cs="Arial"/>
          <w:lang w:val="es-ES_tradnl" w:eastAsia="es-ES"/>
        </w:rPr>
        <w:t>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D480F14" w14:textId="77777777" w:rsidR="00C077A3" w:rsidRPr="00B17041" w:rsidRDefault="00C077A3" w:rsidP="00C077A3">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pública y la empresa de servicios públicos</w:t>
      </w:r>
      <w:r>
        <w:rPr>
          <w:rFonts w:ascii="Verdana" w:hAnsi="Verdana" w:cs="Arial"/>
          <w:lang w:val="es-ES" w:eastAsia="es-ES"/>
        </w:rPr>
        <w:t xml:space="preserve"> definirán</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0776104" w14:textId="77777777" w:rsidR="00C077A3" w:rsidRPr="00474EAF" w:rsidRDefault="00C077A3" w:rsidP="00C077A3">
      <w:pPr>
        <w:spacing w:after="0" w:line="276" w:lineRule="auto"/>
        <w:jc w:val="both"/>
        <w:rPr>
          <w:rFonts w:ascii="Verdana" w:eastAsia="Calibri" w:hAnsi="Verdana" w:cs="Arial"/>
          <w:lang w:val="es-ES" w:eastAsia="es-MX"/>
        </w:rPr>
      </w:pPr>
    </w:p>
    <w:p w14:paraId="7ED1758B" w14:textId="77777777" w:rsidR="00C077A3" w:rsidRPr="00474EAF" w:rsidRDefault="00C077A3" w:rsidP="00C077A3">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474EAF">
        <w:rPr>
          <w:rFonts w:ascii="Verdana" w:eastAsia="Century Gothic" w:hAnsi="Verdana" w:cs="Century Gothic"/>
          <w:b/>
          <w:bCs/>
          <w:lang w:val="es-ES"/>
        </w:rPr>
        <w:t>Referencias normativas:</w:t>
      </w:r>
    </w:p>
    <w:p w14:paraId="44976450" w14:textId="77777777" w:rsidR="00C077A3" w:rsidRPr="00A71487" w:rsidRDefault="00C077A3" w:rsidP="00C077A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077A3" w:rsidRPr="00474EAF" w14:paraId="4D06477D" w14:textId="77777777" w:rsidTr="00D87263">
        <w:trPr>
          <w:trHeight w:val="487"/>
          <w:jc w:val="center"/>
        </w:trPr>
        <w:tc>
          <w:tcPr>
            <w:tcW w:w="8647" w:type="dxa"/>
          </w:tcPr>
          <w:p w14:paraId="7EF01804" w14:textId="77777777" w:rsidR="00C077A3" w:rsidRPr="00A71487" w:rsidRDefault="00C077A3" w:rsidP="004810F0">
            <w:pPr>
              <w:widowControl w:val="0"/>
              <w:numPr>
                <w:ilvl w:val="0"/>
                <w:numId w:val="17"/>
              </w:numPr>
              <w:autoSpaceDE w:val="0"/>
              <w:autoSpaceDN w:val="0"/>
              <w:spacing w:line="276" w:lineRule="auto"/>
              <w:ind w:left="714" w:hanging="357"/>
              <w:jc w:val="both"/>
              <w:rPr>
                <w:rFonts w:ascii="Verdana" w:eastAsia="Arial MT" w:hAnsi="Verdana" w:cs="Arial"/>
                <w:lang w:val="es-ES" w:eastAsia="es-ES" w:bidi="es-ES"/>
              </w:rPr>
            </w:pPr>
            <w:r w:rsidRPr="00A71487">
              <w:rPr>
                <w:rFonts w:ascii="Verdana" w:eastAsia="Arial MT" w:hAnsi="Verdana" w:cs="Arial"/>
                <w:lang w:val="es-ES" w:eastAsia="es-ES" w:bidi="es-ES"/>
              </w:rPr>
              <w:t xml:space="preserve">Constitución Política, artículos 74, 209 y 365. </w:t>
            </w:r>
          </w:p>
          <w:p w14:paraId="5BD6522E" w14:textId="77777777" w:rsidR="00C077A3" w:rsidRPr="00474EAF" w:rsidRDefault="00C077A3" w:rsidP="004810F0">
            <w:pPr>
              <w:widowControl w:val="0"/>
              <w:numPr>
                <w:ilvl w:val="0"/>
                <w:numId w:val="17"/>
              </w:numPr>
              <w:autoSpaceDE w:val="0"/>
              <w:autoSpaceDN w:val="0"/>
              <w:spacing w:line="276" w:lineRule="auto"/>
              <w:ind w:left="714" w:hanging="357"/>
              <w:jc w:val="both"/>
              <w:rPr>
                <w:rFonts w:ascii="Verdana" w:eastAsia="Arial MT" w:hAnsi="Verdana" w:cs="Arial"/>
                <w:lang w:val="es-ES" w:eastAsia="es-ES" w:bidi="es-ES"/>
              </w:rPr>
            </w:pPr>
            <w:r w:rsidRPr="00474EAF">
              <w:rPr>
                <w:rFonts w:ascii="Verdana" w:eastAsia="Arial MT" w:hAnsi="Verdana" w:cs="Arial"/>
                <w:lang w:val="es-ES" w:eastAsia="es-ES" w:bidi="es-ES"/>
              </w:rPr>
              <w:t xml:space="preserve">Ley 80 de 1993, artículo 32, 39, 40 y 41. </w:t>
            </w:r>
          </w:p>
          <w:p w14:paraId="481B8AF3" w14:textId="77777777" w:rsidR="00C077A3" w:rsidRPr="00474EAF" w:rsidRDefault="00C077A3" w:rsidP="004810F0">
            <w:pPr>
              <w:widowControl w:val="0"/>
              <w:numPr>
                <w:ilvl w:val="0"/>
                <w:numId w:val="17"/>
              </w:numPr>
              <w:autoSpaceDE w:val="0"/>
              <w:autoSpaceDN w:val="0"/>
              <w:spacing w:line="276" w:lineRule="auto"/>
              <w:ind w:left="714" w:hanging="357"/>
              <w:jc w:val="both"/>
              <w:rPr>
                <w:rFonts w:ascii="Verdana" w:eastAsia="Arial MT" w:hAnsi="Verdana" w:cs="Arial"/>
                <w:lang w:val="es-ES" w:eastAsia="es-ES" w:bidi="es-ES"/>
              </w:rPr>
            </w:pPr>
            <w:r w:rsidRPr="00474EAF">
              <w:rPr>
                <w:rFonts w:ascii="Verdana" w:eastAsia="Arial MT" w:hAnsi="Verdana" w:cs="Arial"/>
                <w:lang w:val="es-ES" w:eastAsia="es-ES" w:bidi="es-ES"/>
              </w:rPr>
              <w:t xml:space="preserve">Ley 142 de 1994, artículos 1, 3, 4, 14, 17. 31, 32. </w:t>
            </w:r>
          </w:p>
          <w:p w14:paraId="63AE56C1" w14:textId="77777777" w:rsidR="00C077A3" w:rsidRPr="00474EAF" w:rsidRDefault="00C077A3" w:rsidP="004810F0">
            <w:pPr>
              <w:widowControl w:val="0"/>
              <w:numPr>
                <w:ilvl w:val="0"/>
                <w:numId w:val="17"/>
              </w:numPr>
              <w:autoSpaceDE w:val="0"/>
              <w:autoSpaceDN w:val="0"/>
              <w:spacing w:line="276" w:lineRule="auto"/>
              <w:ind w:left="714" w:hanging="357"/>
              <w:jc w:val="both"/>
              <w:rPr>
                <w:rFonts w:ascii="Verdana" w:eastAsia="Arial MT" w:hAnsi="Verdana" w:cs="Arial"/>
                <w:lang w:val="es-ES" w:eastAsia="es-ES" w:bidi="es-ES"/>
              </w:rPr>
            </w:pPr>
            <w:r w:rsidRPr="00474EAF">
              <w:rPr>
                <w:rFonts w:ascii="Verdana" w:eastAsia="Arial MT" w:hAnsi="Verdana" w:cs="Arial"/>
                <w:lang w:val="es-ES" w:eastAsia="es-ES" w:bidi="es-ES"/>
              </w:rPr>
              <w:t xml:space="preserve">Ley 489 de 1998, artículos 38 y 68. </w:t>
            </w:r>
          </w:p>
          <w:p w14:paraId="32431915" w14:textId="77777777" w:rsidR="00C077A3" w:rsidRPr="00474EAF" w:rsidRDefault="00C077A3" w:rsidP="004810F0">
            <w:pPr>
              <w:widowControl w:val="0"/>
              <w:numPr>
                <w:ilvl w:val="0"/>
                <w:numId w:val="17"/>
              </w:numPr>
              <w:autoSpaceDE w:val="0"/>
              <w:autoSpaceDN w:val="0"/>
              <w:spacing w:line="276" w:lineRule="auto"/>
              <w:ind w:left="714" w:hanging="357"/>
              <w:jc w:val="both"/>
              <w:rPr>
                <w:rFonts w:ascii="Verdana" w:eastAsia="Arial MT" w:hAnsi="Verdana" w:cs="Arial"/>
                <w:lang w:val="es-ES" w:eastAsia="es-ES" w:bidi="es-ES"/>
              </w:rPr>
            </w:pPr>
            <w:r w:rsidRPr="00474EAF">
              <w:rPr>
                <w:rFonts w:ascii="Verdana" w:eastAsia="Arial MT" w:hAnsi="Verdana" w:cs="Arial"/>
                <w:lang w:val="es-ES" w:eastAsia="es-ES" w:bidi="es-ES"/>
              </w:rPr>
              <w:t xml:space="preserve">Ley 1150 de 2007, 3 y 13.  </w:t>
            </w:r>
          </w:p>
          <w:p w14:paraId="532614D7" w14:textId="77777777" w:rsidR="00C077A3" w:rsidRPr="00474EAF" w:rsidRDefault="00C077A3" w:rsidP="004810F0">
            <w:pPr>
              <w:widowControl w:val="0"/>
              <w:numPr>
                <w:ilvl w:val="0"/>
                <w:numId w:val="17"/>
              </w:numPr>
              <w:autoSpaceDE w:val="0"/>
              <w:autoSpaceDN w:val="0"/>
              <w:spacing w:line="276" w:lineRule="auto"/>
              <w:ind w:left="714" w:hanging="357"/>
              <w:jc w:val="both"/>
              <w:rPr>
                <w:rFonts w:ascii="Verdana" w:eastAsia="Arial MT" w:hAnsi="Verdana" w:cs="Arial"/>
                <w:lang w:val="es-ES" w:eastAsia="es-ES" w:bidi="es-ES"/>
              </w:rPr>
            </w:pPr>
            <w:r w:rsidRPr="00474EAF">
              <w:rPr>
                <w:rFonts w:ascii="Verdana" w:eastAsia="Arial MT" w:hAnsi="Verdana" w:cs="Arial"/>
                <w:lang w:val="es-ES" w:eastAsia="es-ES" w:bidi="es-ES"/>
              </w:rPr>
              <w:t xml:space="preserve">Ley 1474 de 2011, artículos 83 y 84. </w:t>
            </w:r>
          </w:p>
          <w:p w14:paraId="76FA709E" w14:textId="77777777" w:rsidR="00C077A3" w:rsidRPr="00474EAF" w:rsidRDefault="00C077A3" w:rsidP="004810F0">
            <w:pPr>
              <w:widowControl w:val="0"/>
              <w:numPr>
                <w:ilvl w:val="0"/>
                <w:numId w:val="17"/>
              </w:numPr>
              <w:autoSpaceDE w:val="0"/>
              <w:autoSpaceDN w:val="0"/>
              <w:spacing w:line="276" w:lineRule="auto"/>
              <w:ind w:left="714" w:hanging="357"/>
              <w:jc w:val="both"/>
              <w:rPr>
                <w:rFonts w:ascii="Verdana" w:eastAsia="Arial MT" w:hAnsi="Verdana" w:cs="Arial"/>
                <w:lang w:val="es-ES" w:eastAsia="es-ES" w:bidi="es-ES"/>
              </w:rPr>
            </w:pPr>
            <w:r w:rsidRPr="00474EAF">
              <w:rPr>
                <w:rFonts w:ascii="Verdana" w:eastAsia="Arial MT" w:hAnsi="Verdana" w:cs="Arial"/>
                <w:lang w:val="es-ES" w:eastAsia="es-ES" w:bidi="es-ES"/>
              </w:rPr>
              <w:lastRenderedPageBreak/>
              <w:t xml:space="preserve">Ley 1712 de 2014, artículos 2, 5 y 11. </w:t>
            </w:r>
          </w:p>
          <w:p w14:paraId="00BF488D" w14:textId="77777777" w:rsidR="00C077A3" w:rsidRPr="00474EAF" w:rsidRDefault="00C077A3" w:rsidP="004810F0">
            <w:pPr>
              <w:widowControl w:val="0"/>
              <w:numPr>
                <w:ilvl w:val="0"/>
                <w:numId w:val="17"/>
              </w:numPr>
              <w:autoSpaceDE w:val="0"/>
              <w:autoSpaceDN w:val="0"/>
              <w:spacing w:line="276" w:lineRule="auto"/>
              <w:ind w:left="714" w:hanging="357"/>
              <w:jc w:val="both"/>
              <w:rPr>
                <w:rFonts w:ascii="Verdana" w:eastAsia="Arial MT" w:hAnsi="Verdana" w:cs="Arial"/>
                <w:lang w:val="es-ES" w:eastAsia="es-ES" w:bidi="es-ES"/>
              </w:rPr>
            </w:pPr>
            <w:r w:rsidRPr="00474EAF">
              <w:rPr>
                <w:rFonts w:ascii="Verdana" w:eastAsia="Arial MT" w:hAnsi="Verdana" w:cs="Arial"/>
                <w:lang w:val="es-ES" w:eastAsia="es-ES" w:bidi="es-ES"/>
              </w:rPr>
              <w:t xml:space="preserve">Ley 1819 de 2016, artículos 349 al 352. </w:t>
            </w:r>
          </w:p>
          <w:p w14:paraId="454EF31C" w14:textId="77777777" w:rsidR="00C077A3" w:rsidRPr="00474EAF" w:rsidRDefault="00C077A3" w:rsidP="004810F0">
            <w:pPr>
              <w:widowControl w:val="0"/>
              <w:numPr>
                <w:ilvl w:val="0"/>
                <w:numId w:val="17"/>
              </w:numPr>
              <w:autoSpaceDE w:val="0"/>
              <w:autoSpaceDN w:val="0"/>
              <w:spacing w:line="276" w:lineRule="auto"/>
              <w:ind w:left="714" w:hanging="357"/>
              <w:jc w:val="both"/>
              <w:rPr>
                <w:rFonts w:ascii="Verdana" w:eastAsia="Arial MT" w:hAnsi="Verdana" w:cs="Arial"/>
                <w:lang w:val="es-ES" w:eastAsia="es-ES" w:bidi="es-ES"/>
              </w:rPr>
            </w:pPr>
            <w:r w:rsidRPr="00474EAF">
              <w:rPr>
                <w:rFonts w:ascii="Verdana" w:eastAsia="Arial MT" w:hAnsi="Verdana" w:cs="Arial"/>
                <w:lang w:val="es-ES" w:eastAsia="es-ES" w:bidi="es-ES"/>
              </w:rPr>
              <w:t xml:space="preserve">Ley 2195 de 2022, artículo 53. </w:t>
            </w:r>
          </w:p>
          <w:p w14:paraId="00D14142" w14:textId="77777777" w:rsidR="00C077A3" w:rsidRPr="00474EAF" w:rsidRDefault="00C077A3" w:rsidP="004810F0">
            <w:pPr>
              <w:widowControl w:val="0"/>
              <w:numPr>
                <w:ilvl w:val="0"/>
                <w:numId w:val="17"/>
              </w:numPr>
              <w:autoSpaceDE w:val="0"/>
              <w:autoSpaceDN w:val="0"/>
              <w:spacing w:line="276" w:lineRule="auto"/>
              <w:jc w:val="both"/>
              <w:rPr>
                <w:rFonts w:ascii="Verdana" w:eastAsia="Arial MT" w:hAnsi="Verdana" w:cs="Arial"/>
                <w:lang w:val="es-ES" w:eastAsia="es-ES" w:bidi="es-ES"/>
              </w:rPr>
            </w:pPr>
            <w:r w:rsidRPr="00474EAF">
              <w:rPr>
                <w:rFonts w:ascii="Verdana" w:eastAsia="Arial MT" w:hAnsi="Verdana" w:cs="Arial"/>
                <w:lang w:val="es-ES" w:eastAsia="es-ES" w:bidi="es-ES"/>
              </w:rPr>
              <w:t>Resolución CREG 122 de 2011</w:t>
            </w:r>
          </w:p>
          <w:p w14:paraId="76C135DF" w14:textId="77777777" w:rsidR="00C077A3" w:rsidRPr="00474EAF" w:rsidRDefault="00C077A3" w:rsidP="004810F0">
            <w:pPr>
              <w:widowControl w:val="0"/>
              <w:numPr>
                <w:ilvl w:val="0"/>
                <w:numId w:val="17"/>
              </w:numPr>
              <w:autoSpaceDE w:val="0"/>
              <w:autoSpaceDN w:val="0"/>
              <w:spacing w:line="276" w:lineRule="auto"/>
              <w:jc w:val="both"/>
              <w:rPr>
                <w:rFonts w:ascii="Verdana" w:eastAsia="Arial MT" w:hAnsi="Verdana" w:cs="Arial"/>
                <w:lang w:val="es-ES" w:eastAsia="es-ES" w:bidi="es-ES"/>
              </w:rPr>
            </w:pPr>
            <w:r w:rsidRPr="00474EAF">
              <w:rPr>
                <w:rFonts w:ascii="Verdana" w:eastAsia="Arial MT" w:hAnsi="Verdana" w:cs="Arial"/>
                <w:lang w:val="es-ES" w:eastAsia="es-ES" w:bidi="es-ES"/>
              </w:rPr>
              <w:t>Decreto 1073 de 2015, artículos 2.2.3.1.2 y 2.2.3.6.1.2.</w:t>
            </w:r>
          </w:p>
          <w:p w14:paraId="6D3CB55B" w14:textId="77777777" w:rsidR="00C077A3" w:rsidRPr="00474EAF" w:rsidRDefault="00C077A3" w:rsidP="004810F0">
            <w:pPr>
              <w:widowControl w:val="0"/>
              <w:numPr>
                <w:ilvl w:val="0"/>
                <w:numId w:val="17"/>
              </w:numPr>
              <w:autoSpaceDE w:val="0"/>
              <w:autoSpaceDN w:val="0"/>
              <w:spacing w:line="276" w:lineRule="auto"/>
              <w:jc w:val="both"/>
              <w:rPr>
                <w:rFonts w:ascii="Verdana" w:eastAsia="Arial MT" w:hAnsi="Verdana" w:cs="Arial"/>
                <w:lang w:val="es-ES" w:eastAsia="es-ES" w:bidi="es-ES"/>
              </w:rPr>
            </w:pPr>
            <w:r w:rsidRPr="00474EAF">
              <w:rPr>
                <w:rFonts w:ascii="Verdana" w:eastAsia="Arial MT" w:hAnsi="Verdana" w:cs="Arial"/>
                <w:lang w:val="es-ES" w:eastAsia="es-ES" w:bidi="es-ES"/>
              </w:rPr>
              <w:t xml:space="preserve">Decreto 1082 de 2015, artículos </w:t>
            </w:r>
            <w:r w:rsidRPr="00474EAF">
              <w:rPr>
                <w:rFonts w:ascii="Verdana" w:eastAsia="Arial MT" w:hAnsi="Verdana" w:cs="Arial"/>
                <w:lang w:eastAsia="es-ES" w:bidi="es-ES"/>
              </w:rPr>
              <w:t xml:space="preserve">2.2.1.1.1.7.1, </w:t>
            </w:r>
            <w:r w:rsidRPr="00474EAF">
              <w:rPr>
                <w:rFonts w:ascii="Verdana" w:hAnsi="Verdana" w:cs="Arial"/>
                <w:shd w:val="clear" w:color="auto" w:fill="FFFFFF"/>
              </w:rPr>
              <w:t xml:space="preserve">2.2.1.1.1.3.1. </w:t>
            </w:r>
          </w:p>
        </w:tc>
      </w:tr>
    </w:tbl>
    <w:p w14:paraId="04F161C0" w14:textId="77777777" w:rsidR="00C077A3" w:rsidRPr="00474EAF" w:rsidRDefault="00C077A3" w:rsidP="00C077A3">
      <w:pPr>
        <w:widowControl w:val="0"/>
        <w:autoSpaceDE w:val="0"/>
        <w:autoSpaceDN w:val="0"/>
        <w:spacing w:after="0" w:line="276" w:lineRule="auto"/>
        <w:jc w:val="both"/>
        <w:rPr>
          <w:rFonts w:ascii="Verdana" w:hAnsi="Verdana" w:cs="Arial"/>
        </w:rPr>
      </w:pPr>
    </w:p>
    <w:p w14:paraId="3B3FC656" w14:textId="77777777" w:rsidR="00C077A3" w:rsidRPr="00474EAF" w:rsidRDefault="00C077A3" w:rsidP="00C077A3">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474EAF">
        <w:rPr>
          <w:rFonts w:ascii="Verdana" w:eastAsia="Century Gothic" w:hAnsi="Verdana" w:cs="Century Gothic"/>
          <w:b/>
          <w:bCs/>
          <w:lang w:val="es-ES"/>
        </w:rPr>
        <w:t>Doctrina de la Agencia Nacional de Contratación Pública:</w:t>
      </w:r>
    </w:p>
    <w:p w14:paraId="18A8A4F1" w14:textId="77777777" w:rsidR="00C077A3" w:rsidRPr="00474EAF" w:rsidRDefault="00C077A3" w:rsidP="00C077A3">
      <w:pPr>
        <w:widowControl w:val="0"/>
        <w:autoSpaceDE w:val="0"/>
        <w:autoSpaceDN w:val="0"/>
        <w:spacing w:after="0" w:line="276" w:lineRule="auto"/>
        <w:jc w:val="both"/>
        <w:rPr>
          <w:rFonts w:ascii="Verdana" w:hAnsi="Verdana" w:cs="Arial"/>
        </w:rPr>
      </w:pPr>
    </w:p>
    <w:p w14:paraId="18CC60E8" w14:textId="77777777" w:rsidR="00C077A3" w:rsidRPr="00474EAF" w:rsidRDefault="00C077A3" w:rsidP="00C077A3">
      <w:pPr>
        <w:widowControl w:val="0"/>
        <w:autoSpaceDE w:val="0"/>
        <w:autoSpaceDN w:val="0"/>
        <w:spacing w:after="0" w:line="276" w:lineRule="auto"/>
        <w:jc w:val="both"/>
        <w:rPr>
          <w:rFonts w:ascii="Verdana" w:hAnsi="Verdana" w:cs="Arial"/>
          <w:shd w:val="clear" w:color="auto" w:fill="FFFFFF"/>
        </w:rPr>
      </w:pPr>
      <w:r w:rsidRPr="00A71487">
        <w:rPr>
          <w:rFonts w:ascii="Verdana" w:hAnsi="Verdana" w:cs="Arial"/>
          <w:shd w:val="clear" w:color="auto" w:fill="FFFFFF"/>
        </w:rPr>
        <w:t>Esta Subdirección se ha pronunciado sobre</w:t>
      </w:r>
      <w:r w:rsidRPr="001B01AB">
        <w:rPr>
          <w:rFonts w:ascii="Verdana" w:hAnsi="Verdana" w:cs="Arial"/>
          <w:shd w:val="clear" w:color="auto" w:fill="FFFFFF"/>
        </w:rPr>
        <w:t xml:space="preserve"> las empresas de servicios públicos en los Conceptos C- 792 del 28 de noviembre de 2024, C- 429 del 13 de mayo de 2025, C-477 del 20 de mayo de 2025, C-1004 del 29 de agosto de 2025, C- 1012 del 4 de septiembre de 2025, C-1368 del 5 de nov</w:t>
      </w:r>
      <w:r w:rsidRPr="00474EAF">
        <w:rPr>
          <w:rFonts w:ascii="Verdana" w:hAnsi="Verdana" w:cs="Arial"/>
          <w:shd w:val="clear" w:color="auto" w:fill="FFFFFF"/>
        </w:rPr>
        <w:t>iembre de 2025, C-095 del 4 de marzo de 2026, entre otras.</w:t>
      </w:r>
      <w:r w:rsidRPr="00474EAF">
        <w:rPr>
          <w:rFonts w:ascii="Verdana" w:hAnsi="Verdana" w:cs="Arial"/>
          <w:bCs/>
          <w:shd w:val="clear" w:color="auto" w:fill="FFFFFF"/>
          <w:lang w:val="es-ES"/>
        </w:rPr>
        <w:t xml:space="preserve"> </w:t>
      </w:r>
      <w:r w:rsidRPr="00474EAF">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3AE7653" w14:textId="77777777" w:rsidR="00C077A3" w:rsidRPr="00474EAF" w:rsidRDefault="007A4F64" w:rsidP="00C077A3">
      <w:pPr>
        <w:spacing w:after="0" w:line="276" w:lineRule="auto"/>
        <w:jc w:val="both"/>
        <w:rPr>
          <w:rFonts w:ascii="Verdana" w:eastAsia="Calibri" w:hAnsi="Verdana" w:cs="Times New Roman"/>
        </w:rPr>
      </w:pPr>
      <w:hyperlink r:id="rId14" w:history="1">
        <w:r w:rsidR="00C077A3" w:rsidRPr="00474EAF">
          <w:rPr>
            <w:rStyle w:val="Hipervnculo"/>
            <w:rFonts w:ascii="Verdana" w:eastAsia="Calibri" w:hAnsi="Verdana" w:cs="Times New Roman"/>
            <w:lang w:val="es-ES"/>
          </w:rPr>
          <w:t>https://relatoria.colombiacompra.gov.co/busqueda/conceptos</w:t>
        </w:r>
      </w:hyperlink>
      <w:r w:rsidR="00C077A3" w:rsidRPr="00474EAF">
        <w:rPr>
          <w:rFonts w:ascii="Verdana" w:eastAsia="Calibri" w:hAnsi="Verdana" w:cs="Times New Roman"/>
        </w:rPr>
        <w:t xml:space="preserve">. </w:t>
      </w:r>
    </w:p>
    <w:p w14:paraId="06FE4A63" w14:textId="77777777" w:rsidR="00C077A3" w:rsidRPr="00474EAF" w:rsidRDefault="00C077A3" w:rsidP="00C077A3">
      <w:pPr>
        <w:spacing w:after="0" w:line="276" w:lineRule="auto"/>
        <w:jc w:val="both"/>
        <w:rPr>
          <w:rFonts w:ascii="Verdana" w:hAnsi="Verdana"/>
        </w:rPr>
      </w:pPr>
    </w:p>
    <w:p w14:paraId="647871BC" w14:textId="77777777" w:rsidR="00C077A3" w:rsidRPr="00474EAF" w:rsidRDefault="00C077A3" w:rsidP="00C077A3">
      <w:pPr>
        <w:spacing w:after="0" w:line="276" w:lineRule="auto"/>
        <w:jc w:val="both"/>
        <w:rPr>
          <w:rFonts w:ascii="Verdana" w:eastAsia="Calibri" w:hAnsi="Verdana" w:cs="Times New Roman"/>
        </w:rPr>
      </w:pPr>
      <w:r w:rsidRPr="00A7148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474EAF">
        <w:rPr>
          <w:rFonts w:ascii="Verdana" w:eastAsia="Calibri" w:hAnsi="Verdana" w:cs="Times New Roman"/>
          <w:b/>
          <w:bCs/>
        </w:rPr>
        <w:t>Curso de Contratación Pública Sostenible y Socialmente Responsable</w:t>
      </w:r>
      <w:r w:rsidRPr="00474EAF">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74EAF">
        <w:rPr>
          <w:rFonts w:ascii="Verdana" w:eastAsia="Calibri" w:hAnsi="Verdana" w:cs="Times New Roman"/>
        </w:rPr>
        <w:br/>
      </w:r>
      <w:hyperlink r:id="rId15" w:tgtFrame="_new" w:history="1">
        <w:r w:rsidRPr="00474EAF">
          <w:rPr>
            <w:rStyle w:val="Hipervnculo"/>
            <w:rFonts w:ascii="Verdana" w:eastAsia="Calibri" w:hAnsi="Verdana" w:cs="Times New Roman"/>
          </w:rPr>
          <w:t>https://formacionvirtual.colombiacompra.gov.co/mod/page/view.php?id=3718</w:t>
        </w:r>
      </w:hyperlink>
    </w:p>
    <w:p w14:paraId="7BB014DB" w14:textId="77777777" w:rsidR="00C077A3" w:rsidRPr="00474EAF" w:rsidRDefault="00C077A3" w:rsidP="00C077A3">
      <w:pPr>
        <w:spacing w:after="0" w:line="276" w:lineRule="auto"/>
        <w:jc w:val="both"/>
        <w:rPr>
          <w:rFonts w:ascii="Verdana" w:eastAsia="Calibri" w:hAnsi="Verdana" w:cs="Times New Roman"/>
        </w:rPr>
      </w:pPr>
    </w:p>
    <w:p w14:paraId="2D1D146A" w14:textId="77777777" w:rsidR="00C077A3" w:rsidRPr="00474EAF" w:rsidRDefault="00C077A3" w:rsidP="00C077A3">
      <w:pPr>
        <w:spacing w:after="0" w:line="276" w:lineRule="auto"/>
        <w:jc w:val="both"/>
        <w:rPr>
          <w:rFonts w:ascii="Verdana" w:eastAsia="Calibri" w:hAnsi="Verdana" w:cs="Times New Roman"/>
        </w:rPr>
      </w:pPr>
      <w:r w:rsidRPr="00474EAF">
        <w:rPr>
          <w:rFonts w:ascii="Verdana" w:eastAsia="Calibri" w:hAnsi="Verdana" w:cs="Times New Roman"/>
        </w:rPr>
        <w:t>De otro lado, te contamos que esta Agencia ha da un pa</w:t>
      </w:r>
      <w:r w:rsidRPr="00A71487">
        <w:rPr>
          <w:rFonts w:ascii="Verdana" w:eastAsia="Calibri" w:hAnsi="Verdana" w:cs="Times New Roman"/>
        </w:rPr>
        <w:t xml:space="preserve">so decisivo en la estandarización y modernización del </w:t>
      </w:r>
      <w:r w:rsidRPr="00A71487">
        <w:rPr>
          <w:rFonts w:ascii="Verdana" w:eastAsia="Calibri" w:hAnsi="Verdana" w:cs="Times New Roman"/>
          <w:b/>
          <w:bCs/>
        </w:rPr>
        <w:t>sector  social</w:t>
      </w:r>
      <w:r w:rsidRPr="00A71487">
        <w:rPr>
          <w:rFonts w:ascii="Verdana" w:eastAsia="Calibri" w:hAnsi="Verdana" w:cs="Times New Roman"/>
        </w:rPr>
        <w:t xml:space="preserve"> con la expedición de las </w:t>
      </w:r>
      <w:r w:rsidRPr="00474EAF">
        <w:rPr>
          <w:rFonts w:ascii="Verdana" w:eastAsia="Calibri" w:hAnsi="Verdana" w:cs="Times New Roman"/>
          <w:b/>
          <w:bCs/>
        </w:rPr>
        <w:t>Resoluciones 539, 540, 541, 952 y 953 de 2025</w:t>
      </w:r>
      <w:r w:rsidRPr="00474EAF">
        <w:rPr>
          <w:rFonts w:ascii="Verdana" w:eastAsia="Calibri" w:hAnsi="Verdana" w:cs="Times New Roman"/>
        </w:rPr>
        <w:t xml:space="preserve">, </w:t>
      </w:r>
      <w:r w:rsidRPr="00474EAF">
        <w:rPr>
          <w:rFonts w:ascii="Verdana" w:eastAsia="Calibri" w:hAnsi="Verdana" w:cs="Times New Roman"/>
          <w:b/>
          <w:bCs/>
        </w:rPr>
        <w:t>mediante las cuales adoptó Documentos Tipo</w:t>
      </w:r>
      <w:r w:rsidRPr="00474EAF">
        <w:rPr>
          <w:rFonts w:ascii="Verdana" w:eastAsia="Calibri" w:hAnsi="Verdana" w:cs="Times New Roman"/>
        </w:rPr>
        <w:t xml:space="preserve"> para las modalidades de selección de</w:t>
      </w:r>
      <w:r w:rsidRPr="00474EAF">
        <w:rPr>
          <w:rFonts w:ascii="Verdana" w:eastAsia="Calibri" w:hAnsi="Verdana" w:cs="Times New Roman"/>
          <w:b/>
          <w:bCs/>
        </w:rPr>
        <w:t xml:space="preserve"> licitación pública (versión 2), selección abreviada de menor cuantía, mínima cuantía, consultoría e interventoría</w:t>
      </w:r>
      <w:r w:rsidRPr="00474EAF">
        <w:rPr>
          <w:rFonts w:ascii="Verdana" w:eastAsia="Calibri" w:hAnsi="Verdana" w:cs="Times New Roman"/>
        </w:rPr>
        <w:t xml:space="preserve">, promoviendo procesos más transparentes, eficientes  competitivos y sostenibles en sectores estratégicos </w:t>
      </w:r>
      <w:r w:rsidRPr="00474EAF">
        <w:rPr>
          <w:rFonts w:ascii="Verdana" w:eastAsia="Calibri" w:hAnsi="Verdana" w:cs="Times New Roman"/>
        </w:rPr>
        <w:lastRenderedPageBreak/>
        <w:t xml:space="preserve">como educación, salud, cultura, recreación, deporte, institucional y vivienda. Consulta y descarga los documentos aquí: </w:t>
      </w:r>
      <w:hyperlink r:id="rId16" w:tgtFrame="_new" w:history="1">
        <w:r w:rsidRPr="00474EAF">
          <w:rPr>
            <w:rStyle w:val="Hipervnculo"/>
            <w:rFonts w:ascii="Verdana" w:eastAsia="Calibri" w:hAnsi="Verdana" w:cs="Times New Roman"/>
          </w:rPr>
          <w:t>https://www.colombiacompra.gov.co/normativa-y-relatoria/documentos-tipo</w:t>
        </w:r>
      </w:hyperlink>
    </w:p>
    <w:p w14:paraId="4FA4EDEA" w14:textId="77777777" w:rsidR="00C077A3" w:rsidRPr="00474EAF" w:rsidRDefault="00C077A3" w:rsidP="00C077A3">
      <w:pPr>
        <w:spacing w:after="0" w:line="276" w:lineRule="auto"/>
        <w:jc w:val="both"/>
        <w:rPr>
          <w:rFonts w:ascii="Verdana" w:eastAsia="Calibri" w:hAnsi="Verdana" w:cs="Times New Roman"/>
        </w:rPr>
      </w:pPr>
    </w:p>
    <w:p w14:paraId="054807D2" w14:textId="77777777" w:rsidR="00C077A3" w:rsidRPr="00474EAF" w:rsidRDefault="00C077A3" w:rsidP="00C077A3">
      <w:pPr>
        <w:spacing w:after="0" w:line="276" w:lineRule="auto"/>
        <w:jc w:val="both"/>
        <w:rPr>
          <w:rFonts w:ascii="Verdana" w:eastAsia="Calibri" w:hAnsi="Verdana" w:cs="Times New Roman"/>
        </w:rPr>
      </w:pPr>
      <w:r w:rsidRPr="00474EAF">
        <w:rPr>
          <w:rFonts w:ascii="Verdana" w:eastAsia="Calibri" w:hAnsi="Verdana" w:cs="Times New Roman"/>
        </w:rPr>
        <w:t xml:space="preserve">Si quieres conocer más sobre la aplicación de Documentos Tipo puedes consultar la última versión de la </w:t>
      </w:r>
      <w:r w:rsidRPr="00A71487">
        <w:rPr>
          <w:rFonts w:ascii="Verdana" w:eastAsia="Calibri" w:hAnsi="Verdana" w:cs="Times New Roman"/>
          <w:b/>
          <w:bCs/>
        </w:rPr>
        <w:t>Guía para la comprensión e implementación de los Documentos Tipo de obra pública de infraestructura de transporte</w:t>
      </w:r>
      <w:r w:rsidRPr="00D11F55">
        <w:rPr>
          <w:rFonts w:ascii="Verdana" w:eastAsia="Calibri" w:hAnsi="Verdana" w:cs="Times New Roman"/>
        </w:rPr>
        <w:t>. En</w:t>
      </w:r>
      <w:r w:rsidRPr="00715798">
        <w:rPr>
          <w:rFonts w:ascii="Verdana" w:eastAsia="Calibri" w:hAnsi="Verdana" w:cs="Times New Roman"/>
        </w:rPr>
        <w:t xml:space="preserve"> esta actualización se incorporaron orientaciones prácticas dirigidas a entidades públicas, proveedores, organismos de control y demás interesados, con el propósito de facilitar la adecuada implementación de estos instrumentos en los procesos contractuales</w:t>
      </w:r>
      <w:r w:rsidRPr="00474EAF">
        <w:rPr>
          <w:rFonts w:ascii="Verdana" w:eastAsia="Calibri" w:hAnsi="Verdana" w:cs="Times New Roman"/>
        </w:rPr>
        <w:t>. Además se incluyeron lineamientos que orientan la implementación de los criterios ambientales y sociales incluidos en los documentos tipo: Consulta la guía aquí:</w:t>
      </w:r>
      <w:r w:rsidRPr="00474EAF">
        <w:rPr>
          <w:rFonts w:ascii="Verdana" w:eastAsia="Calibri" w:hAnsi="Verdana" w:cs="Times New Roman"/>
        </w:rPr>
        <w:br/>
      </w:r>
      <w:hyperlink r:id="rId17" w:tgtFrame="_new" w:history="1">
        <w:r w:rsidRPr="00474EAF">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3760C6A7" w14:textId="77777777" w:rsidR="00C077A3" w:rsidRPr="00474EAF" w:rsidRDefault="00C077A3" w:rsidP="00C077A3">
      <w:pPr>
        <w:spacing w:after="0" w:line="276" w:lineRule="auto"/>
        <w:jc w:val="both"/>
        <w:rPr>
          <w:rFonts w:ascii="Verdana" w:hAnsi="Verdana"/>
        </w:rPr>
      </w:pPr>
    </w:p>
    <w:p w14:paraId="16B1B376" w14:textId="77777777" w:rsidR="00C077A3" w:rsidRPr="00474EAF" w:rsidRDefault="00C077A3" w:rsidP="00C077A3">
      <w:pPr>
        <w:spacing w:after="0" w:line="276" w:lineRule="auto"/>
        <w:jc w:val="both"/>
        <w:rPr>
          <w:rFonts w:ascii="Verdana" w:hAnsi="Verdana"/>
        </w:rPr>
      </w:pPr>
      <w:r w:rsidRPr="00474EAF">
        <w:rPr>
          <w:rFonts w:ascii="Verdana" w:hAnsi="Verdana"/>
        </w:rPr>
        <w:t xml:space="preserve">Por último, aprovechamos la oportunidad de manifestar la entera disposición de la </w:t>
      </w:r>
      <w:r w:rsidRPr="00A71487">
        <w:rPr>
          <w:rFonts w:ascii="Verdana" w:hAnsi="Verdana"/>
        </w:rPr>
        <w:t xml:space="preserve">Agencia Nacional de Contratación Pública –Colombia Compra Eficiente– para atender las peticiones o solicitudes, así como para brindar el apoyo que se requiera en el marco de </w:t>
      </w:r>
      <w:r w:rsidRPr="00474EAF">
        <w:rPr>
          <w:rFonts w:ascii="Verdana" w:hAnsi="Verdana"/>
        </w:rPr>
        <w:t xml:space="preserve">nuestras funciones a través de nuestros diferentes canales de atención: </w:t>
      </w:r>
    </w:p>
    <w:p w14:paraId="3A3E7196" w14:textId="77777777" w:rsidR="00C077A3" w:rsidRPr="00474EAF" w:rsidRDefault="00C077A3" w:rsidP="00C077A3">
      <w:pPr>
        <w:spacing w:after="0" w:line="276" w:lineRule="auto"/>
        <w:jc w:val="both"/>
        <w:rPr>
          <w:rFonts w:ascii="Verdana" w:hAnsi="Verdana"/>
        </w:rPr>
      </w:pPr>
    </w:p>
    <w:p w14:paraId="0898586B" w14:textId="77777777" w:rsidR="00C077A3" w:rsidRPr="00474EAF" w:rsidRDefault="00C077A3" w:rsidP="00C077A3">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474EAF">
        <w:rPr>
          <w:rFonts w:ascii="Verdana" w:eastAsia="Verdana" w:hAnsi="Verdana" w:cs="Verdana"/>
          <w:lang w:val="es-MX"/>
        </w:rPr>
        <w:t xml:space="preserve">Línea nacional gratuita o servicio a la ciudadanía (Mesa de servicio): </w:t>
      </w:r>
      <w:r w:rsidRPr="00474EAF">
        <w:rPr>
          <w:rStyle w:val="Hipervnculo"/>
          <w:rFonts w:ascii="Verdana" w:hAnsi="Verdana"/>
        </w:rPr>
        <w:t>01800 0520808</w:t>
      </w:r>
    </w:p>
    <w:p w14:paraId="5784BAF0" w14:textId="77777777" w:rsidR="00C077A3" w:rsidRPr="00474EAF" w:rsidRDefault="00C077A3" w:rsidP="00C077A3">
      <w:pPr>
        <w:pStyle w:val="Prrafodelista"/>
        <w:numPr>
          <w:ilvl w:val="0"/>
          <w:numId w:val="15"/>
        </w:numPr>
        <w:spacing w:after="0" w:line="276" w:lineRule="auto"/>
        <w:rPr>
          <w:rFonts w:ascii="Verdana" w:eastAsia="Verdana" w:hAnsi="Verdana" w:cs="Verdana"/>
          <w:color w:val="4472C4" w:themeColor="accent1"/>
          <w:u w:val="single"/>
          <w:lang w:val="es-MX"/>
        </w:rPr>
      </w:pPr>
      <w:r w:rsidRPr="00474EAF">
        <w:rPr>
          <w:rFonts w:ascii="Verdana" w:eastAsia="Verdana" w:hAnsi="Verdana" w:cs="Verdana"/>
          <w:lang w:val="es-MX"/>
        </w:rPr>
        <w:t>Línea en Bogotá (Mesa de servicio):</w:t>
      </w:r>
      <w:r w:rsidRPr="00474EAF">
        <w:rPr>
          <w:rStyle w:val="Hipervnculo"/>
          <w:rFonts w:ascii="Verdana" w:hAnsi="Verdana"/>
        </w:rPr>
        <w:t>+57 601 7456788</w:t>
      </w:r>
    </w:p>
    <w:p w14:paraId="1A0480A0" w14:textId="77777777" w:rsidR="00C077A3" w:rsidRPr="00474EAF" w:rsidRDefault="00C077A3" w:rsidP="00C077A3">
      <w:pPr>
        <w:pStyle w:val="Prrafodelista"/>
        <w:numPr>
          <w:ilvl w:val="0"/>
          <w:numId w:val="15"/>
        </w:numPr>
        <w:spacing w:after="0" w:line="276" w:lineRule="auto"/>
        <w:rPr>
          <w:rFonts w:ascii="Verdana" w:eastAsia="Verdana" w:hAnsi="Verdana" w:cs="Verdana"/>
          <w:color w:val="0000FF"/>
          <w:u w:val="single"/>
          <w:lang w:val="es-MX"/>
        </w:rPr>
      </w:pPr>
      <w:r w:rsidRPr="00474EAF">
        <w:rPr>
          <w:rFonts w:ascii="Verdana" w:eastAsia="Verdana" w:hAnsi="Verdana" w:cs="Verdana"/>
          <w:lang w:val="es-MX"/>
        </w:rPr>
        <w:t xml:space="preserve">Correo de radicación de correspondencia: </w:t>
      </w:r>
      <w:hyperlink r:id="rId18">
        <w:r w:rsidRPr="00474EAF">
          <w:rPr>
            <w:rStyle w:val="Hipervnculo"/>
            <w:rFonts w:ascii="Verdana" w:eastAsia="Verdana" w:hAnsi="Verdana" w:cs="Verdana"/>
            <w:lang w:val="es-MX"/>
          </w:rPr>
          <w:t>ventanilladeradicacion@colombiacompra.gov.co</w:t>
        </w:r>
      </w:hyperlink>
    </w:p>
    <w:p w14:paraId="39C74222" w14:textId="77777777" w:rsidR="00C077A3" w:rsidRPr="00474EAF" w:rsidRDefault="00C077A3" w:rsidP="00C077A3">
      <w:pPr>
        <w:pStyle w:val="Prrafodelista"/>
        <w:numPr>
          <w:ilvl w:val="0"/>
          <w:numId w:val="15"/>
        </w:numPr>
        <w:spacing w:after="0" w:line="276" w:lineRule="auto"/>
        <w:rPr>
          <w:rFonts w:ascii="Verdana" w:eastAsia="Verdana" w:hAnsi="Verdana" w:cs="Verdana"/>
          <w:color w:val="0000FF"/>
          <w:u w:val="single"/>
          <w:lang w:val="es-MX"/>
        </w:rPr>
      </w:pPr>
      <w:r w:rsidRPr="00474EAF">
        <w:rPr>
          <w:rFonts w:ascii="Verdana" w:eastAsia="Verdana" w:hAnsi="Verdana" w:cs="Verdana"/>
        </w:rPr>
        <w:t>Formulario web para</w:t>
      </w:r>
      <w:r w:rsidRPr="00474EAF">
        <w:rPr>
          <w:rFonts w:ascii="Verdana" w:eastAsia="Verdana" w:hAnsi="Verdana" w:cs="Verdana"/>
          <w:lang w:val="es"/>
        </w:rPr>
        <w:t xml:space="preserve"> PQRSD: </w:t>
      </w:r>
      <w:hyperlink r:id="rId19">
        <w:r w:rsidRPr="00474EAF">
          <w:rPr>
            <w:rStyle w:val="Hipervnculo"/>
            <w:rFonts w:ascii="Verdana" w:eastAsia="Verdana" w:hAnsi="Verdana" w:cs="Verdana"/>
            <w:lang w:val="es-MX"/>
          </w:rPr>
          <w:t>https://www.colombiacompra.gov.co/pqrsd/informacion-importante-antes-de-formular-una-pqrsd</w:t>
        </w:r>
      </w:hyperlink>
    </w:p>
    <w:p w14:paraId="2C40DB2F" w14:textId="77777777" w:rsidR="00C077A3" w:rsidRPr="00474EAF" w:rsidRDefault="00C077A3" w:rsidP="00C077A3">
      <w:pPr>
        <w:spacing w:after="0" w:line="276" w:lineRule="auto"/>
        <w:ind w:left="720"/>
        <w:jc w:val="both"/>
        <w:rPr>
          <w:rFonts w:ascii="Verdana" w:hAnsi="Verdana"/>
        </w:rPr>
      </w:pPr>
    </w:p>
    <w:p w14:paraId="4F2562D4" w14:textId="77777777" w:rsidR="00C077A3" w:rsidRPr="00474EAF" w:rsidRDefault="00C077A3" w:rsidP="00C077A3">
      <w:pPr>
        <w:spacing w:after="0" w:line="276" w:lineRule="auto"/>
        <w:rPr>
          <w:rFonts w:ascii="Verdana" w:hAnsi="Verdana"/>
        </w:rPr>
      </w:pPr>
      <w:r w:rsidRPr="00474EAF">
        <w:rPr>
          <w:rFonts w:ascii="Verdana" w:hAnsi="Verdana"/>
        </w:rPr>
        <w:t>Evalúa el servicio que ofrece la Agencia por el canal de atención de PQRSD en el siguiente enlace :</w:t>
      </w:r>
      <w:hyperlink r:id="rId20" w:tgtFrame="_blank" w:tooltip="https://forms.office.com/r/pphywvs2sz" w:history="1">
        <w:r w:rsidRPr="00474EAF">
          <w:rPr>
            <w:rStyle w:val="Hipervnculo"/>
            <w:rFonts w:ascii="Verdana" w:hAnsi="Verdana"/>
          </w:rPr>
          <w:t>https://forms.office.com/r/pPHyWVs2SZ</w:t>
        </w:r>
      </w:hyperlink>
      <w:r w:rsidRPr="00474EAF">
        <w:rPr>
          <w:rFonts w:ascii="Verdana" w:hAnsi="Verdana"/>
        </w:rPr>
        <w:t xml:space="preserve"> .¡Ayúdanos a mejorar porque el compromiso es de todos!</w:t>
      </w:r>
    </w:p>
    <w:p w14:paraId="684D472A" w14:textId="77777777" w:rsidR="00C077A3" w:rsidRPr="00474EAF" w:rsidRDefault="00C077A3" w:rsidP="00C077A3">
      <w:pPr>
        <w:spacing w:after="0" w:line="276" w:lineRule="auto"/>
        <w:rPr>
          <w:rFonts w:ascii="Verdana" w:hAnsi="Verdana"/>
        </w:rPr>
      </w:pPr>
    </w:p>
    <w:p w14:paraId="77B00287" w14:textId="77777777" w:rsidR="00C077A3" w:rsidRPr="00A71487" w:rsidRDefault="00C077A3" w:rsidP="00C077A3">
      <w:pPr>
        <w:spacing w:after="0" w:line="276" w:lineRule="auto"/>
        <w:jc w:val="both"/>
        <w:rPr>
          <w:rFonts w:ascii="Verdana" w:hAnsi="Verdana"/>
        </w:rPr>
      </w:pPr>
      <w:r w:rsidRPr="00A71487">
        <w:rPr>
          <w:rFonts w:ascii="Verdana" w:hAnsi="Verdana"/>
        </w:rPr>
        <w:t xml:space="preserve">Por último, lo invitamos a seguirnos en las redes sociales en las cuales se difunde información institucional: </w:t>
      </w:r>
    </w:p>
    <w:p w14:paraId="365DE0F1" w14:textId="77777777" w:rsidR="00C077A3" w:rsidRPr="00474EAF" w:rsidRDefault="00C077A3" w:rsidP="00C077A3">
      <w:pPr>
        <w:spacing w:after="0" w:line="276" w:lineRule="auto"/>
        <w:jc w:val="both"/>
        <w:rPr>
          <w:rFonts w:ascii="Verdana" w:hAnsi="Verdana"/>
        </w:rPr>
      </w:pPr>
    </w:p>
    <w:p w14:paraId="4A8B469B" w14:textId="77777777" w:rsidR="00C077A3" w:rsidRPr="00474EAF" w:rsidRDefault="00C077A3" w:rsidP="00C077A3">
      <w:pPr>
        <w:spacing w:after="0" w:line="276" w:lineRule="auto"/>
        <w:jc w:val="both"/>
        <w:rPr>
          <w:rFonts w:ascii="Verdana" w:hAnsi="Verdana"/>
        </w:rPr>
      </w:pPr>
      <w:r w:rsidRPr="00474EAF">
        <w:rPr>
          <w:rFonts w:ascii="Verdana" w:hAnsi="Verdana"/>
        </w:rPr>
        <w:t xml:space="preserve">Twitter: </w:t>
      </w:r>
      <w:r w:rsidRPr="00474EAF">
        <w:rPr>
          <w:rStyle w:val="Hipervnculo"/>
          <w:rFonts w:ascii="Verdana" w:hAnsi="Verdana"/>
        </w:rPr>
        <w:t>@colombiacompra</w:t>
      </w:r>
      <w:r w:rsidRPr="00474EAF">
        <w:rPr>
          <w:rFonts w:ascii="Verdana" w:hAnsi="Verdana"/>
        </w:rPr>
        <w:t xml:space="preserve"> </w:t>
      </w:r>
    </w:p>
    <w:p w14:paraId="5C2085F8" w14:textId="77777777" w:rsidR="00C077A3" w:rsidRPr="00474EAF" w:rsidRDefault="00C077A3" w:rsidP="00C077A3">
      <w:pPr>
        <w:spacing w:after="0" w:line="276" w:lineRule="auto"/>
        <w:jc w:val="both"/>
        <w:rPr>
          <w:rFonts w:ascii="Verdana" w:hAnsi="Verdana"/>
        </w:rPr>
      </w:pPr>
      <w:r w:rsidRPr="00474EAF">
        <w:rPr>
          <w:rFonts w:ascii="Verdana" w:hAnsi="Verdana"/>
        </w:rPr>
        <w:t xml:space="preserve">Facebook: </w:t>
      </w:r>
      <w:r w:rsidRPr="00474EAF">
        <w:rPr>
          <w:rStyle w:val="Hipervnculo"/>
          <w:rFonts w:ascii="Verdana" w:hAnsi="Verdana"/>
        </w:rPr>
        <w:t>ColombiaCompraEficiente</w:t>
      </w:r>
    </w:p>
    <w:p w14:paraId="66C056E1" w14:textId="77777777" w:rsidR="00C077A3" w:rsidRPr="00474EAF" w:rsidRDefault="00C077A3" w:rsidP="00C077A3">
      <w:pPr>
        <w:spacing w:after="0" w:line="276" w:lineRule="auto"/>
        <w:jc w:val="both"/>
        <w:rPr>
          <w:rFonts w:ascii="Verdana" w:hAnsi="Verdana"/>
        </w:rPr>
      </w:pPr>
      <w:r w:rsidRPr="00474EAF">
        <w:rPr>
          <w:rFonts w:ascii="Verdana" w:hAnsi="Verdana"/>
        </w:rPr>
        <w:t xml:space="preserve">LinkedIn: </w:t>
      </w:r>
      <w:r w:rsidRPr="00474EAF">
        <w:rPr>
          <w:rStyle w:val="Hipervnculo"/>
          <w:rFonts w:ascii="Verdana" w:hAnsi="Verdana"/>
        </w:rPr>
        <w:t>Agencia Nacional de Contratación Pública - Colombia Compra Eficiente</w:t>
      </w:r>
      <w:r w:rsidRPr="00474EAF">
        <w:rPr>
          <w:rFonts w:ascii="Verdana" w:hAnsi="Verdana"/>
        </w:rPr>
        <w:t xml:space="preserve"> Instagram: </w:t>
      </w:r>
      <w:r w:rsidRPr="00474EAF">
        <w:rPr>
          <w:rStyle w:val="Hipervnculo"/>
          <w:rFonts w:ascii="Verdana" w:hAnsi="Verdana"/>
        </w:rPr>
        <w:t>@colombiacompraeficiente_cce</w:t>
      </w:r>
    </w:p>
    <w:p w14:paraId="7BD1E321" w14:textId="77777777" w:rsidR="00C077A3" w:rsidRPr="00474EAF" w:rsidRDefault="00C077A3" w:rsidP="00C077A3">
      <w:pPr>
        <w:spacing w:after="0" w:line="276" w:lineRule="auto"/>
        <w:jc w:val="both"/>
        <w:rPr>
          <w:rFonts w:ascii="Verdana" w:hAnsi="Verdana"/>
        </w:rPr>
      </w:pPr>
    </w:p>
    <w:p w14:paraId="3E0370AF" w14:textId="77777777" w:rsidR="00C077A3" w:rsidRPr="00474EAF" w:rsidRDefault="00C077A3" w:rsidP="00C077A3">
      <w:pPr>
        <w:spacing w:after="0" w:line="276" w:lineRule="auto"/>
        <w:jc w:val="both"/>
        <w:rPr>
          <w:rFonts w:ascii="Verdana" w:eastAsia="Calibri" w:hAnsi="Verdana" w:cs="Times New Roman"/>
          <w:bCs/>
          <w:lang w:val="es-ES_tradnl"/>
        </w:rPr>
      </w:pPr>
      <w:r w:rsidRPr="00474EAF">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506C19E" w14:textId="77777777" w:rsidR="00C077A3" w:rsidRPr="00474EAF" w:rsidRDefault="00C077A3" w:rsidP="00C077A3">
      <w:pPr>
        <w:spacing w:after="0" w:line="276" w:lineRule="auto"/>
        <w:jc w:val="both"/>
        <w:rPr>
          <w:rFonts w:ascii="Verdana" w:eastAsia="Calibri" w:hAnsi="Verdana" w:cs="Times New Roman"/>
          <w:lang w:val="es-ES_tradnl"/>
        </w:rPr>
      </w:pPr>
    </w:p>
    <w:p w14:paraId="0F3E8E49" w14:textId="77777777" w:rsidR="00C077A3" w:rsidRPr="00474EAF" w:rsidRDefault="00C077A3" w:rsidP="00C077A3">
      <w:pPr>
        <w:spacing w:after="0" w:line="276" w:lineRule="auto"/>
        <w:jc w:val="both"/>
        <w:rPr>
          <w:rFonts w:ascii="Verdana" w:eastAsia="Calibri" w:hAnsi="Verdana" w:cs="Times New Roman"/>
        </w:rPr>
      </w:pPr>
      <w:r w:rsidRPr="00474EAF">
        <w:rPr>
          <w:rFonts w:ascii="Verdana" w:eastAsia="Calibri" w:hAnsi="Verdana" w:cs="Times New Roman"/>
        </w:rPr>
        <w:t>Atentamente,</w:t>
      </w:r>
    </w:p>
    <w:p w14:paraId="6DE54FB9" w14:textId="77777777" w:rsidR="00C077A3" w:rsidRPr="002F1956" w:rsidRDefault="00C077A3" w:rsidP="00C077A3">
      <w:pPr>
        <w:spacing w:after="0" w:line="256" w:lineRule="auto"/>
        <w:jc w:val="center"/>
        <w:rPr>
          <w:rFonts w:ascii="Verdana" w:hAnsi="Verdana"/>
          <w:sz w:val="16"/>
          <w:szCs w:val="16"/>
          <w:lang w:val="en-US"/>
        </w:rPr>
      </w:pPr>
    </w:p>
    <w:p w14:paraId="113057CF" w14:textId="103A2BBF" w:rsidR="00C077A3" w:rsidRPr="00B67807" w:rsidRDefault="004810F0" w:rsidP="00C077A3">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22ACF1DD" wp14:editId="5FC77CF5">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312722" cy="1229722"/>
                    </a:xfrm>
                    <a:prstGeom prst="rect">
                      <a:avLst/>
                    </a:prstGeom>
                  </pic:spPr>
                </pic:pic>
              </a:graphicData>
            </a:graphic>
          </wp:inline>
        </w:drawing>
      </w:r>
    </w:p>
    <w:p w14:paraId="06A54D63" w14:textId="77777777" w:rsidR="00C077A3" w:rsidRPr="00B67807" w:rsidRDefault="00C077A3" w:rsidP="00C077A3">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C077A3" w:rsidRPr="00B67807" w14:paraId="69518EF0" w14:textId="77777777" w:rsidTr="00D87263">
        <w:trPr>
          <w:trHeight w:val="409"/>
        </w:trPr>
        <w:tc>
          <w:tcPr>
            <w:tcW w:w="817" w:type="dxa"/>
            <w:tcBorders>
              <w:top w:val="nil"/>
              <w:left w:val="nil"/>
              <w:bottom w:val="nil"/>
              <w:right w:val="nil"/>
            </w:tcBorders>
            <w:vAlign w:val="center"/>
            <w:hideMark/>
          </w:tcPr>
          <w:p w14:paraId="0E967063" w14:textId="77777777" w:rsidR="00C077A3" w:rsidRPr="00B67807" w:rsidRDefault="00C077A3" w:rsidP="00D8726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C6239E4" w14:textId="77777777" w:rsidR="00C077A3" w:rsidRPr="00B67807" w:rsidRDefault="00C077A3" w:rsidP="00D8726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José Luis Sánchez Cardona</w:t>
            </w:r>
          </w:p>
          <w:p w14:paraId="1F53B4F3" w14:textId="77777777" w:rsidR="00C077A3" w:rsidRPr="00B67807" w:rsidRDefault="00C077A3" w:rsidP="00D8726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Contratista de la Subdirección de Gestión Contractual</w:t>
            </w:r>
          </w:p>
        </w:tc>
      </w:tr>
      <w:tr w:rsidR="00C077A3" w:rsidRPr="00B67807" w14:paraId="264AD514" w14:textId="77777777" w:rsidTr="00D87263">
        <w:trPr>
          <w:trHeight w:val="409"/>
        </w:trPr>
        <w:tc>
          <w:tcPr>
            <w:tcW w:w="817" w:type="dxa"/>
            <w:tcBorders>
              <w:top w:val="nil"/>
              <w:left w:val="nil"/>
              <w:bottom w:val="nil"/>
              <w:right w:val="nil"/>
            </w:tcBorders>
            <w:vAlign w:val="center"/>
            <w:hideMark/>
          </w:tcPr>
          <w:p w14:paraId="78E58405" w14:textId="77777777" w:rsidR="00C077A3" w:rsidRPr="00B67807" w:rsidRDefault="00C077A3" w:rsidP="00D8726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806B72B" w14:textId="77777777" w:rsidR="00C077A3" w:rsidRPr="00B67807" w:rsidRDefault="00C077A3" w:rsidP="00D8726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Diana Lucía Saavedra Castañeda</w:t>
            </w:r>
          </w:p>
          <w:p w14:paraId="54ADB021" w14:textId="77777777" w:rsidR="00C077A3" w:rsidRPr="00B67807" w:rsidRDefault="00C077A3" w:rsidP="00D8726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Contratista de la Subdirección de Gestión Contractual </w:t>
            </w:r>
          </w:p>
        </w:tc>
      </w:tr>
      <w:tr w:rsidR="00C077A3" w:rsidRPr="00B67807" w14:paraId="73257620" w14:textId="77777777" w:rsidTr="00D87263">
        <w:trPr>
          <w:trHeight w:val="389"/>
        </w:trPr>
        <w:tc>
          <w:tcPr>
            <w:tcW w:w="817" w:type="dxa"/>
            <w:tcBorders>
              <w:top w:val="nil"/>
              <w:left w:val="nil"/>
              <w:bottom w:val="nil"/>
              <w:right w:val="nil"/>
            </w:tcBorders>
            <w:vAlign w:val="center"/>
            <w:hideMark/>
          </w:tcPr>
          <w:p w14:paraId="1FDD3A1B" w14:textId="77777777" w:rsidR="00C077A3" w:rsidRPr="00B67807" w:rsidRDefault="00C077A3" w:rsidP="00D8726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50AEF7C" w14:textId="77777777" w:rsidR="00C077A3" w:rsidRPr="00B67807" w:rsidRDefault="00C077A3" w:rsidP="00D8726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Carolina Quintero Gacharná</w:t>
            </w:r>
          </w:p>
          <w:p w14:paraId="0F921B14" w14:textId="77777777" w:rsidR="00C077A3" w:rsidRPr="00B67807" w:rsidRDefault="00C077A3" w:rsidP="00D8726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Subdirectora de Gestión Contractual ANCP – CCE</w:t>
            </w:r>
          </w:p>
        </w:tc>
      </w:tr>
    </w:tbl>
    <w:p w14:paraId="2D309414" w14:textId="47D1D5E3" w:rsidR="00C077A3" w:rsidRPr="000E2B93" w:rsidRDefault="00C077A3" w:rsidP="00C077A3">
      <w:pPr>
        <w:spacing w:after="0" w:line="240" w:lineRule="auto"/>
        <w:jc w:val="both"/>
        <w:textAlignment w:val="baseline"/>
        <w:rPr>
          <w:rFonts w:ascii="Verdana" w:eastAsia="Verdana" w:hAnsi="Verdana" w:cs="Verdana"/>
          <w:lang w:eastAsia="es-CO"/>
        </w:rPr>
      </w:pPr>
    </w:p>
    <w:p w14:paraId="3BAD84D4" w14:textId="155BCD33" w:rsidR="00C077A3" w:rsidRPr="000E2B93" w:rsidRDefault="00C077A3" w:rsidP="00C077A3">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F293BF4" w14:textId="5BC76369" w:rsidR="00127233" w:rsidRPr="00C077A3" w:rsidRDefault="00127233" w:rsidP="00C077A3"/>
    <w:sectPr w:rsidR="00127233" w:rsidRPr="00C077A3"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EA8BAE" w14:textId="77777777" w:rsidR="007A4F64" w:rsidRDefault="007A4F64" w:rsidP="004A1847">
      <w:pPr>
        <w:spacing w:after="0" w:line="240" w:lineRule="auto"/>
      </w:pPr>
      <w:r>
        <w:separator/>
      </w:r>
    </w:p>
  </w:endnote>
  <w:endnote w:type="continuationSeparator" w:id="0">
    <w:p w14:paraId="61EB5126" w14:textId="77777777" w:rsidR="007A4F64" w:rsidRDefault="007A4F6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BE429B" w:rsidRDefault="00BE429B">
    <w:pPr>
      <w:pStyle w:val="Piedepgina"/>
    </w:pPr>
  </w:p>
  <w:p w14:paraId="594D6D9F" w14:textId="2AAF72A5" w:rsidR="00BE429B" w:rsidRPr="00174B77" w:rsidRDefault="00BE429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5D3772" w:rsidRPr="005D3772">
      <w:rPr>
        <w:rFonts w:ascii="Verdana" w:eastAsiaTheme="minorEastAsia" w:hAnsi="Verdana"/>
        <w:b/>
        <w:bCs/>
        <w:noProof/>
        <w:sz w:val="16"/>
        <w:szCs w:val="16"/>
      </w:rPr>
      <w:t>8</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E429B" w:rsidRDefault="00BE429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E429B" w:rsidRPr="00E41027" w:rsidRDefault="00BE429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BE429B" w:rsidRDefault="00BE429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96A5E4" w14:textId="77777777" w:rsidR="007A4F64" w:rsidRDefault="007A4F64" w:rsidP="004A1847">
      <w:pPr>
        <w:spacing w:after="0" w:line="240" w:lineRule="auto"/>
      </w:pPr>
      <w:r>
        <w:separator/>
      </w:r>
    </w:p>
  </w:footnote>
  <w:footnote w:type="continuationSeparator" w:id="0">
    <w:p w14:paraId="7B8EC8F7" w14:textId="77777777" w:rsidR="007A4F64" w:rsidRDefault="007A4F64" w:rsidP="004A1847">
      <w:pPr>
        <w:spacing w:after="0" w:line="240" w:lineRule="auto"/>
      </w:pPr>
      <w:r>
        <w:continuationSeparator/>
      </w:r>
    </w:p>
  </w:footnote>
  <w:footnote w:id="1">
    <w:p w14:paraId="1E638D51" w14:textId="77777777" w:rsidR="00C077A3" w:rsidRPr="00A30929" w:rsidRDefault="00C077A3" w:rsidP="00C077A3">
      <w:pPr>
        <w:pStyle w:val="Textonotapie"/>
        <w:ind w:firstLine="709"/>
        <w:jc w:val="both"/>
        <w:rPr>
          <w:rFonts w:ascii="Verdana" w:hAnsi="Verdana" w:cs="Arial"/>
          <w:color w:val="000000" w:themeColor="text1"/>
          <w:sz w:val="16"/>
          <w:szCs w:val="16"/>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rPr>
        <w:t xml:space="preserve"> Consejo </w:t>
      </w:r>
      <w:r>
        <w:rPr>
          <w:rFonts w:ascii="Verdana" w:hAnsi="Verdana" w:cs="Arial"/>
          <w:color w:val="000000" w:themeColor="text1"/>
          <w:sz w:val="16"/>
          <w:szCs w:val="16"/>
        </w:rPr>
        <w:t>d</w:t>
      </w:r>
      <w:r w:rsidRPr="00A30929">
        <w:rPr>
          <w:rFonts w:ascii="Verdana" w:hAnsi="Verdana" w:cs="Arial"/>
          <w:color w:val="000000" w:themeColor="text1"/>
          <w:sz w:val="16"/>
          <w:szCs w:val="16"/>
        </w:rPr>
        <w:t xml:space="preserve">e Estado. Sección Tercera. Subsección C. Sentencia del 13 de abril de 2011. Exp. 37423. C.P. Jaime Orlando Santofimio Gamboa. En similar sentido, puede verse: Consejo </w:t>
      </w:r>
      <w:r>
        <w:rPr>
          <w:rFonts w:ascii="Verdana" w:hAnsi="Verdana" w:cs="Arial"/>
          <w:color w:val="000000" w:themeColor="text1"/>
          <w:sz w:val="16"/>
          <w:szCs w:val="16"/>
        </w:rPr>
        <w:t>d</w:t>
      </w:r>
      <w:r w:rsidRPr="00A30929">
        <w:rPr>
          <w:rFonts w:ascii="Verdana" w:hAnsi="Verdana" w:cs="Arial"/>
          <w:color w:val="000000" w:themeColor="text1"/>
          <w:sz w:val="16"/>
          <w:szCs w:val="16"/>
        </w:rPr>
        <w:t>e Estado. Sección Tercera. Subsección B. Sentencia del 15 de noviembre de 2011. Exp. 21178. C.P. Ruth Stella Correa Palacio.</w:t>
      </w:r>
    </w:p>
  </w:footnote>
  <w:footnote w:id="2">
    <w:p w14:paraId="6C311DD6" w14:textId="77777777" w:rsidR="00C077A3" w:rsidRPr="00A30929" w:rsidRDefault="00C077A3" w:rsidP="00C077A3">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lang w:val="pt-BR"/>
        </w:rPr>
        <w:t xml:space="preserve"> Corte Constitucional. Sentencia C-736 de 2007. </w:t>
      </w:r>
      <w:r w:rsidRPr="00A30929">
        <w:rPr>
          <w:rFonts w:ascii="Verdana" w:hAnsi="Verdana" w:cs="Arial"/>
          <w:color w:val="000000" w:themeColor="text1"/>
          <w:sz w:val="16"/>
          <w:szCs w:val="16"/>
        </w:rPr>
        <w:t>M.P. Marco Gerardo Monroy Cabra.</w:t>
      </w:r>
    </w:p>
  </w:footnote>
  <w:footnote w:id="3">
    <w:p w14:paraId="33528A89" w14:textId="77777777" w:rsidR="00C077A3" w:rsidRPr="00C45436" w:rsidRDefault="00C077A3" w:rsidP="00C077A3">
      <w:pPr>
        <w:pStyle w:val="Textonotapie"/>
        <w:ind w:firstLine="708"/>
        <w:rPr>
          <w:rFonts w:ascii="Verdana" w:hAnsi="Verdana"/>
          <w:sz w:val="16"/>
          <w:szCs w:val="16"/>
          <w:lang w:val="es-ES"/>
        </w:rPr>
      </w:pPr>
      <w:r w:rsidRPr="00C45436">
        <w:rPr>
          <w:rStyle w:val="Refdenotaalpie"/>
          <w:rFonts w:ascii="Verdana" w:hAnsi="Verdana"/>
          <w:sz w:val="16"/>
          <w:szCs w:val="16"/>
        </w:rPr>
        <w:footnoteRef/>
      </w:r>
      <w:r w:rsidRPr="00C45436">
        <w:rPr>
          <w:rFonts w:ascii="Verdana" w:hAnsi="Verdana"/>
          <w:sz w:val="16"/>
          <w:szCs w:val="16"/>
        </w:rPr>
        <w:t xml:space="preserve"> Ibídem. </w:t>
      </w:r>
    </w:p>
  </w:footnote>
  <w:footnote w:id="4">
    <w:p w14:paraId="009983EA" w14:textId="77777777" w:rsidR="00C077A3" w:rsidRPr="005A5FD2" w:rsidRDefault="00C077A3" w:rsidP="00C077A3">
      <w:pPr>
        <w:pStyle w:val="Textonotapie"/>
        <w:ind w:firstLine="708"/>
        <w:jc w:val="both"/>
        <w:rPr>
          <w:rFonts w:ascii="Verdana" w:hAnsi="Verdana"/>
          <w:sz w:val="16"/>
          <w:szCs w:val="16"/>
          <w:lang w:val="es-CO"/>
        </w:rPr>
      </w:pPr>
      <w:r w:rsidRPr="005A5FD2">
        <w:rPr>
          <w:rStyle w:val="Refdenotaalpie"/>
          <w:rFonts w:ascii="Verdana" w:hAnsi="Verdana"/>
          <w:sz w:val="16"/>
          <w:szCs w:val="16"/>
        </w:rPr>
        <w:footnoteRef/>
      </w:r>
      <w:r w:rsidRPr="005A5FD2">
        <w:rPr>
          <w:rFonts w:ascii="Verdana" w:hAnsi="Verdana"/>
          <w:sz w:val="16"/>
          <w:szCs w:val="16"/>
        </w:rPr>
        <w:t xml:space="preserve"> </w:t>
      </w:r>
      <w:r w:rsidRPr="005A5FD2">
        <w:rPr>
          <w:rFonts w:ascii="Verdana" w:hAnsi="Verdana"/>
          <w:bCs/>
          <w:sz w:val="16"/>
          <w:szCs w:val="16"/>
          <w:lang w:val="es-CO"/>
        </w:rPr>
        <w:t>Artículo 38.</w:t>
      </w:r>
      <w:r>
        <w:rPr>
          <w:rFonts w:ascii="Verdana" w:hAnsi="Verdana"/>
          <w:bCs/>
          <w:sz w:val="16"/>
          <w:szCs w:val="16"/>
          <w:lang w:val="es-CO"/>
        </w:rPr>
        <w:t xml:space="preserve"> </w:t>
      </w:r>
      <w:r w:rsidRPr="005A5FD2">
        <w:rPr>
          <w:rFonts w:ascii="Verdana" w:hAnsi="Verdana"/>
          <w:i/>
          <w:iCs/>
          <w:sz w:val="16"/>
          <w:szCs w:val="16"/>
          <w:lang w:val="es-CO"/>
        </w:rPr>
        <w:t>Integración de la Rama Ejecutiva del Poder Público en el orden nacional. </w:t>
      </w:r>
      <w:r w:rsidRPr="005A5FD2">
        <w:rPr>
          <w:rFonts w:ascii="Verdana" w:hAnsi="Verdana"/>
          <w:sz w:val="16"/>
          <w:szCs w:val="16"/>
          <w:lang w:val="es-CO"/>
        </w:rPr>
        <w:t>La Rama Ejecutiva del Poder Público en el orden nacional, está integrada por los siguientes organismos y entidades: </w:t>
      </w:r>
    </w:p>
    <w:p w14:paraId="1C6648D4"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1. Del Sector Central:  </w:t>
      </w:r>
    </w:p>
    <w:p w14:paraId="1B04B5ED"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a) La Presidencia de la República; </w:t>
      </w:r>
    </w:p>
    <w:p w14:paraId="1EC3F9F6"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b) La Vicepresidencia de la República; </w:t>
      </w:r>
    </w:p>
    <w:p w14:paraId="5F591EAE"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c) Los Consejos Superiores de la administración; </w:t>
      </w:r>
    </w:p>
    <w:p w14:paraId="78FAE644"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d) Los ministerios y departamentos administrativos; </w:t>
      </w:r>
    </w:p>
    <w:p w14:paraId="4C60BA2F"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e) Las superintendencias y unidades administrativas especiales sin personería jurídica. </w:t>
      </w:r>
    </w:p>
    <w:p w14:paraId="35D3841A"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2. Del Sector descentralizado por servicios: </w:t>
      </w:r>
    </w:p>
    <w:p w14:paraId="0E7FA9EC"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a) Los establecimientos públicos; </w:t>
      </w:r>
    </w:p>
    <w:p w14:paraId="52A6795B"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b) Las empresas industriales y comerciales del Estado; </w:t>
      </w:r>
    </w:p>
    <w:p w14:paraId="578A81DB"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c) Las superintendencias y las unidades administrativas especiales con personería jurídica; </w:t>
      </w:r>
    </w:p>
    <w:p w14:paraId="77A49AAD"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d) Las empresas sociales del Estado y las empresas oficiales de servicios públicos domiciliarios; </w:t>
      </w:r>
    </w:p>
    <w:p w14:paraId="00CEE32D"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e) Los institutos científicos y tecnológicos; </w:t>
      </w:r>
    </w:p>
    <w:p w14:paraId="1BEDE06F"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f) Las sociedades públicas y las sociedades de economía mixta; </w:t>
      </w:r>
    </w:p>
    <w:p w14:paraId="0FC7C6D0"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g) Las demás entidades administrativas nacionales con personería jurídica que cree, organice o autorice la ley para que formen parte de la Rama Ejecutiva del Poder Público. </w:t>
      </w:r>
    </w:p>
    <w:p w14:paraId="7E22D949"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bCs/>
          <w:sz w:val="16"/>
          <w:szCs w:val="16"/>
          <w:lang w:val="es-CO"/>
        </w:rPr>
        <w:t>Parágrafo 1°.</w:t>
      </w:r>
      <w:r w:rsidRPr="005A5FD2">
        <w:rPr>
          <w:rFonts w:ascii="Verdana" w:hAnsi="Verdana"/>
          <w:sz w:val="16"/>
          <w:szCs w:val="16"/>
          <w:lang w:val="es-CO"/>
        </w:rPr>
        <w:t> Las sociedades públicas y las sociedades de economía mixta en las que el Estado posea el noventa por ciento (90%) o más de su capital social, se someten al régimen previsto para las empresas industriales y comerciales del Estado. </w:t>
      </w:r>
    </w:p>
    <w:p w14:paraId="19F6C52A"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bCs/>
          <w:sz w:val="16"/>
          <w:szCs w:val="16"/>
          <w:lang w:val="es-CO"/>
        </w:rPr>
        <w:t>Parágrafo 2°.</w:t>
      </w:r>
      <w:r w:rsidRPr="005A5FD2">
        <w:rPr>
          <w:rFonts w:ascii="Verdana" w:hAnsi="Verdana"/>
          <w:sz w:val="16"/>
          <w:szCs w:val="16"/>
          <w:lang w:val="es-CO"/>
        </w:rPr>
        <w:t> Además de lo previsto en el literal c) del numeral 1° del presente artículo, como organismos consultivos o coordinadores, para toda la administración o parte de ella, funcionarán con carácter permanente o temporal y con representación de varias entidades estatales y, si fuere el caso, del sector privado, los que la ley determine. En el acto de constitución se indicará el Ministerio o Departamento Administrativo al cual queda</w:t>
      </w:r>
      <w:r>
        <w:rPr>
          <w:rFonts w:ascii="Verdana" w:hAnsi="Verdana"/>
          <w:sz w:val="16"/>
          <w:szCs w:val="16"/>
          <w:lang w:val="es-CO"/>
        </w:rPr>
        <w:t>ren adscritos tales organismos.</w:t>
      </w:r>
    </w:p>
  </w:footnote>
  <w:footnote w:id="5">
    <w:p w14:paraId="2AF68CE3" w14:textId="77777777" w:rsidR="00C077A3" w:rsidRPr="005A5FD2" w:rsidRDefault="00C077A3" w:rsidP="00C077A3">
      <w:pPr>
        <w:pStyle w:val="Textonotapie"/>
        <w:ind w:firstLine="708"/>
        <w:jc w:val="both"/>
        <w:rPr>
          <w:rFonts w:ascii="Verdana" w:hAnsi="Verdana"/>
          <w:sz w:val="16"/>
          <w:szCs w:val="16"/>
          <w:lang w:val="es-CO"/>
        </w:rPr>
      </w:pPr>
      <w:r w:rsidRPr="005A5FD2">
        <w:rPr>
          <w:rStyle w:val="Refdenotaalpie"/>
          <w:rFonts w:ascii="Verdana" w:hAnsi="Verdana"/>
          <w:sz w:val="16"/>
          <w:szCs w:val="16"/>
        </w:rPr>
        <w:footnoteRef/>
      </w:r>
      <w:r w:rsidRPr="005A5FD2">
        <w:rPr>
          <w:rFonts w:ascii="Verdana" w:hAnsi="Verdana"/>
          <w:sz w:val="16"/>
          <w:szCs w:val="16"/>
        </w:rPr>
        <w:t xml:space="preserve"> </w:t>
      </w:r>
      <w:r w:rsidRPr="005A5FD2">
        <w:rPr>
          <w:rFonts w:ascii="Verdana" w:hAnsi="Verdana"/>
          <w:bCs/>
          <w:sz w:val="16"/>
          <w:szCs w:val="16"/>
          <w:lang w:val="es-CO"/>
        </w:rPr>
        <w:t>Artículo 68.</w:t>
      </w:r>
      <w:r>
        <w:rPr>
          <w:rFonts w:ascii="Verdana" w:hAnsi="Verdana"/>
          <w:bCs/>
          <w:sz w:val="16"/>
          <w:szCs w:val="16"/>
          <w:lang w:val="es-CO"/>
        </w:rPr>
        <w:t xml:space="preserve"> </w:t>
      </w:r>
      <w:r w:rsidRPr="005A5FD2">
        <w:rPr>
          <w:rFonts w:ascii="Verdana" w:hAnsi="Verdana"/>
          <w:i/>
          <w:iCs/>
          <w:sz w:val="16"/>
          <w:szCs w:val="16"/>
          <w:lang w:val="es-CO"/>
        </w:rPr>
        <w:t>Entidades descentralizadas. </w:t>
      </w:r>
      <w:r w:rsidRPr="005A5FD2">
        <w:rPr>
          <w:rFonts w:ascii="Verdana" w:hAnsi="Verdana"/>
          <w:sz w:val="16"/>
          <w:szCs w:val="16"/>
          <w:lang w:val="es-CO"/>
        </w:rPr>
        <w:t>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w:t>
      </w:r>
    </w:p>
    <w:p w14:paraId="4F87B5E2"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Como órganos del Estado aun cuando gozan de autonomía administrativa están sujetas al control político y a la suprema dirección del órgano de la administración al cual están adscritas. </w:t>
      </w:r>
    </w:p>
    <w:p w14:paraId="24597BA4"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Las entidades descentralizadas se sujetan a las reglas señaladas en la Constitución Política, en la presente ley, en las leyes que las creen y determinen su estructura orgánica y a sus estatutos internos. </w:t>
      </w:r>
    </w:p>
    <w:p w14:paraId="17E90292"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sz w:val="16"/>
          <w:szCs w:val="16"/>
          <w:lang w:val="es-CO"/>
        </w:rPr>
        <w:t>Los organismos y entidades descentralizados, sujetos a regímenes especiales por mandato de la Constitución Política, se someterán a las disposiciones que para ellos establezca la respectiva ley. </w:t>
      </w:r>
    </w:p>
    <w:p w14:paraId="61145329"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bCs/>
          <w:sz w:val="16"/>
          <w:szCs w:val="16"/>
          <w:lang w:val="es-CO"/>
        </w:rPr>
        <w:t>Parágrafo 1°.</w:t>
      </w:r>
      <w:r w:rsidRPr="005A5FD2">
        <w:rPr>
          <w:rFonts w:ascii="Verdana" w:hAnsi="Verdana"/>
          <w:sz w:val="16"/>
          <w:szCs w:val="16"/>
          <w:lang w:val="es-CO"/>
        </w:rPr>
        <w:t> De conformidad con el inciso segundo del artículo 210 de la Constitución Política, el régimen jurídico aquí previsto para las entidades descentralizadas es aplicable a las de las entidades territoriales sin perjuicio de las competencias asignadas por la Constitución y la ley a las aut</w:t>
      </w:r>
      <w:r>
        <w:rPr>
          <w:rFonts w:ascii="Verdana" w:hAnsi="Verdana"/>
          <w:sz w:val="16"/>
          <w:szCs w:val="16"/>
          <w:lang w:val="es-CO"/>
        </w:rPr>
        <w:t>oridades del orden territorial.</w:t>
      </w:r>
    </w:p>
    <w:p w14:paraId="63C7279B" w14:textId="77777777" w:rsidR="00C077A3" w:rsidRPr="005A5FD2" w:rsidRDefault="00C077A3" w:rsidP="00C077A3">
      <w:pPr>
        <w:pStyle w:val="Textonotapie"/>
        <w:ind w:firstLine="708"/>
        <w:jc w:val="both"/>
        <w:rPr>
          <w:rFonts w:ascii="Verdana" w:hAnsi="Verdana"/>
          <w:sz w:val="16"/>
          <w:szCs w:val="16"/>
          <w:lang w:val="es-CO"/>
        </w:rPr>
      </w:pPr>
      <w:r w:rsidRPr="005A5FD2">
        <w:rPr>
          <w:rFonts w:ascii="Verdana" w:hAnsi="Verdana"/>
          <w:bCs/>
          <w:sz w:val="16"/>
          <w:szCs w:val="16"/>
          <w:lang w:val="es-CO"/>
        </w:rPr>
        <w:t>Parágrafo 2°.</w:t>
      </w:r>
      <w:r w:rsidRPr="005A5FD2">
        <w:rPr>
          <w:rFonts w:ascii="Verdana" w:hAnsi="Verdana"/>
          <w:sz w:val="16"/>
          <w:szCs w:val="16"/>
          <w:lang w:val="es-CO"/>
        </w:rPr>
        <w:t> Los organismos o entidades del Sector Descentralizado que tengan como objetivo desarrollar actividades científicas y tecnológicas, se sujetarán a la Legislación de Ciencia y Tecnología y su organización será determinada por el Gobierno Nacional. </w:t>
      </w:r>
    </w:p>
    <w:p w14:paraId="6A474BBC" w14:textId="77777777" w:rsidR="00C077A3" w:rsidRPr="00C45436" w:rsidRDefault="00C077A3" w:rsidP="00C077A3">
      <w:pPr>
        <w:pStyle w:val="Textonotapie"/>
        <w:ind w:firstLine="708"/>
        <w:jc w:val="both"/>
        <w:rPr>
          <w:rFonts w:ascii="Verdana" w:hAnsi="Verdana"/>
          <w:sz w:val="16"/>
          <w:szCs w:val="16"/>
          <w:lang w:val="es-ES"/>
        </w:rPr>
      </w:pPr>
      <w:r w:rsidRPr="005A5FD2">
        <w:rPr>
          <w:rFonts w:ascii="Verdana" w:hAnsi="Verdana"/>
          <w:bCs/>
          <w:sz w:val="16"/>
          <w:szCs w:val="16"/>
          <w:lang w:val="es-CO"/>
        </w:rPr>
        <w:t>Parágrafo 3°.</w:t>
      </w:r>
      <w:r w:rsidRPr="005A5FD2">
        <w:rPr>
          <w:rFonts w:ascii="Verdana" w:hAnsi="Verdana"/>
          <w:sz w:val="16"/>
          <w:szCs w:val="16"/>
          <w:lang w:val="es-CO"/>
        </w:rPr>
        <w:t> Lo dispuesto en el presente artículo no se aplica a las corporaciones civiles sin ánimo de lucro de derecho privado, vinculadas al Ministerio del Medio Ambiente, creadas por la Ley 99 de 1993. </w:t>
      </w:r>
    </w:p>
  </w:footnote>
  <w:footnote w:id="6">
    <w:p w14:paraId="4C3150C0" w14:textId="77777777" w:rsidR="00C077A3" w:rsidRPr="007B7B6A" w:rsidRDefault="00C077A3" w:rsidP="00C077A3">
      <w:pPr>
        <w:pStyle w:val="Textonotapie"/>
        <w:ind w:firstLine="708"/>
        <w:jc w:val="both"/>
        <w:rPr>
          <w:rFonts w:ascii="Verdana" w:hAnsi="Verdana"/>
          <w:sz w:val="16"/>
          <w:szCs w:val="16"/>
          <w:lang w:val="es-CO"/>
        </w:rPr>
      </w:pPr>
      <w:r w:rsidRPr="00C45436">
        <w:rPr>
          <w:rStyle w:val="Refdenotaalpie"/>
          <w:rFonts w:ascii="Verdana" w:hAnsi="Verdana"/>
          <w:sz w:val="16"/>
          <w:szCs w:val="16"/>
        </w:rPr>
        <w:footnoteRef/>
      </w:r>
      <w:r w:rsidRPr="00C45436">
        <w:rPr>
          <w:rFonts w:ascii="Verdana" w:hAnsi="Verdana"/>
          <w:sz w:val="16"/>
          <w:szCs w:val="16"/>
        </w:rPr>
        <w:t xml:space="preserve"> </w:t>
      </w:r>
      <w:r w:rsidRPr="007B7B6A">
        <w:rPr>
          <w:rFonts w:ascii="Verdana" w:hAnsi="Verdana"/>
          <w:sz w:val="16"/>
          <w:szCs w:val="16"/>
        </w:rPr>
        <w:t xml:space="preserve">MARÍN CORTES, Fabián Gonzalo. Los servicios semipúblicos domiciliarios. Bogotá: Temis, 2010. p. 160. Al respecto, la Doctrina también ha expresado frente a la Sentencia C-736 de 2007: </w:t>
      </w:r>
      <w:r w:rsidRPr="007B7B6A">
        <w:rPr>
          <w:rFonts w:ascii="Verdana" w:hAnsi="Verdana"/>
          <w:sz w:val="16"/>
          <w:szCs w:val="16"/>
          <w:lang w:val="es-CO"/>
        </w:rPr>
        <w:t xml:space="preserve">Por otra parte, esa misma Corporación -igualmente en cumplimiento de dicha providencia de constitucionalidad- estudió varios procesos en que hace parte una empresa de servicios públicos privada con aportes públicos (sin importar el monto), sobre la base de que se trata de una </w:t>
      </w:r>
      <w:r w:rsidRPr="007B7B6A">
        <w:rPr>
          <w:rFonts w:ascii="Verdana" w:hAnsi="Verdana"/>
          <w:i/>
          <w:iCs/>
          <w:sz w:val="16"/>
          <w:szCs w:val="16"/>
          <w:lang w:val="es-CO"/>
        </w:rPr>
        <w:t>“entidad estatal”</w:t>
      </w:r>
      <w:r w:rsidRPr="007B7B6A">
        <w:rPr>
          <w:rFonts w:ascii="Verdana" w:hAnsi="Verdana"/>
          <w:sz w:val="16"/>
          <w:szCs w:val="16"/>
          <w:lang w:val="es-CO"/>
        </w:rPr>
        <w:t>.  En esta oportunidad la Sala se limitó a obedecer el pronunciamiento de constitucionalidad.</w:t>
      </w:r>
    </w:p>
    <w:p w14:paraId="1AF3AD58" w14:textId="77777777" w:rsidR="00C077A3" w:rsidRPr="007B7B6A" w:rsidRDefault="00C077A3" w:rsidP="00C077A3">
      <w:pPr>
        <w:pStyle w:val="Textonotapie"/>
        <w:ind w:firstLine="708"/>
        <w:jc w:val="both"/>
        <w:rPr>
          <w:rFonts w:ascii="Verdana" w:hAnsi="Verdana"/>
          <w:i/>
          <w:iCs/>
          <w:sz w:val="16"/>
          <w:szCs w:val="16"/>
          <w:lang w:val="es-CO"/>
        </w:rPr>
      </w:pPr>
      <w:r w:rsidRPr="007B7B6A">
        <w:rPr>
          <w:rFonts w:ascii="Verdana" w:hAnsi="Verdana"/>
          <w:sz w:val="16"/>
          <w:szCs w:val="16"/>
          <w:lang w:val="es-CO"/>
        </w:rPr>
        <w:t>Sin embargo, el Señor Consejero de Estado Mauricio Fajardo Gómez, al aclarar su voto en esta última sentencia, rectificó lo afirmado en tres providencias de la Sala</w:t>
      </w:r>
      <w:r>
        <w:rPr>
          <w:rFonts w:ascii="Verdana" w:hAnsi="Verdana"/>
          <w:sz w:val="16"/>
          <w:szCs w:val="16"/>
          <w:lang w:val="es-CO"/>
        </w:rPr>
        <w:t xml:space="preserve"> </w:t>
      </w:r>
      <w:r w:rsidRPr="007B7B6A">
        <w:rPr>
          <w:rFonts w:ascii="Verdana" w:hAnsi="Verdana"/>
          <w:sz w:val="16"/>
          <w:szCs w:val="16"/>
          <w:lang w:val="es-CO"/>
        </w:rPr>
        <w:t xml:space="preserve">con ponencia suya y manifestó que resultaba innecesario e inútil invocar ese fallo de constitucionalidad para determinar la competencia del juez administrativo, </w:t>
      </w:r>
      <w:r w:rsidRPr="007B7B6A">
        <w:rPr>
          <w:rFonts w:ascii="Verdana" w:hAnsi="Verdana"/>
          <w:i/>
          <w:iCs/>
          <w:sz w:val="16"/>
          <w:szCs w:val="16"/>
          <w:lang w:val="es-CO"/>
        </w:rPr>
        <w:t>“puesto que</w:t>
      </w:r>
      <w:r w:rsidRPr="007B7B6A">
        <w:rPr>
          <w:rFonts w:ascii="Verdana" w:hAnsi="Verdana"/>
          <w:sz w:val="16"/>
          <w:szCs w:val="16"/>
          <w:lang w:val="es-CO"/>
        </w:rPr>
        <w:t xml:space="preserve"> </w:t>
      </w:r>
      <w:r w:rsidRPr="007B7B6A">
        <w:rPr>
          <w:rFonts w:ascii="Verdana" w:hAnsi="Verdana"/>
          <w:i/>
          <w:iCs/>
          <w:sz w:val="16"/>
          <w:szCs w:val="16"/>
          <w:lang w:val="es-CO"/>
        </w:rPr>
        <w:t>las consideraciones que le sirvieron de soporte acerca</w:t>
      </w:r>
      <w:r w:rsidRPr="007B7B6A">
        <w:rPr>
          <w:rFonts w:ascii="Verdana" w:hAnsi="Verdana"/>
          <w:sz w:val="16"/>
          <w:szCs w:val="16"/>
          <w:lang w:val="es-CO"/>
        </w:rPr>
        <w:t xml:space="preserve"> </w:t>
      </w:r>
      <w:r w:rsidRPr="007B7B6A">
        <w:rPr>
          <w:rFonts w:ascii="Verdana" w:hAnsi="Verdana"/>
          <w:i/>
          <w:iCs/>
          <w:sz w:val="16"/>
          <w:szCs w:val="16"/>
          <w:lang w:val="es-CO"/>
        </w:rPr>
        <w:t>de la naturaleza jurídica de las empresas de servicios</w:t>
      </w:r>
      <w:r w:rsidRPr="007B7B6A">
        <w:rPr>
          <w:rFonts w:ascii="Verdana" w:hAnsi="Verdana"/>
          <w:sz w:val="16"/>
          <w:szCs w:val="16"/>
          <w:lang w:val="es-CO"/>
        </w:rPr>
        <w:t xml:space="preserve"> </w:t>
      </w:r>
      <w:r w:rsidRPr="007B7B6A">
        <w:rPr>
          <w:rFonts w:ascii="Verdana" w:hAnsi="Verdana"/>
          <w:i/>
          <w:iCs/>
          <w:sz w:val="16"/>
          <w:szCs w:val="16"/>
          <w:lang w:val="es-CO"/>
        </w:rPr>
        <w:t>públicos domiciliarios de carácter mixto no resultan</w:t>
      </w:r>
      <w:r w:rsidRPr="007B7B6A">
        <w:rPr>
          <w:rFonts w:ascii="Verdana" w:hAnsi="Verdana"/>
          <w:sz w:val="16"/>
          <w:szCs w:val="16"/>
          <w:lang w:val="es-CO"/>
        </w:rPr>
        <w:t xml:space="preserve"> </w:t>
      </w:r>
      <w:r w:rsidRPr="007B7B6A">
        <w:rPr>
          <w:rFonts w:ascii="Verdana" w:hAnsi="Verdana"/>
          <w:i/>
          <w:iCs/>
          <w:sz w:val="16"/>
          <w:szCs w:val="16"/>
          <w:lang w:val="es-CO"/>
        </w:rPr>
        <w:t>vinculantes y desafortunadamente no aportan claridad</w:t>
      </w:r>
      <w:r w:rsidRPr="007B7B6A">
        <w:rPr>
          <w:rFonts w:ascii="Verdana" w:hAnsi="Verdana"/>
          <w:sz w:val="16"/>
          <w:szCs w:val="16"/>
          <w:lang w:val="es-CO"/>
        </w:rPr>
        <w:t xml:space="preserve"> </w:t>
      </w:r>
      <w:r w:rsidRPr="007B7B6A">
        <w:rPr>
          <w:rFonts w:ascii="Verdana" w:hAnsi="Verdana"/>
          <w:i/>
          <w:iCs/>
          <w:sz w:val="16"/>
          <w:szCs w:val="16"/>
          <w:lang w:val="es-CO"/>
        </w:rPr>
        <w:t>en esa materia”.</w:t>
      </w:r>
    </w:p>
    <w:p w14:paraId="114DC969" w14:textId="77777777" w:rsidR="00C077A3" w:rsidRPr="007B7B6A" w:rsidRDefault="00C077A3" w:rsidP="00C077A3">
      <w:pPr>
        <w:pStyle w:val="Textonotapie"/>
        <w:ind w:firstLine="708"/>
        <w:jc w:val="both"/>
        <w:rPr>
          <w:rFonts w:ascii="Verdana" w:hAnsi="Verdana"/>
          <w:sz w:val="16"/>
          <w:szCs w:val="16"/>
          <w:lang w:val="es-CO"/>
        </w:rPr>
      </w:pPr>
      <w:r w:rsidRPr="007B7B6A">
        <w:rPr>
          <w:rFonts w:ascii="Verdana" w:hAnsi="Verdana"/>
          <w:i/>
          <w:iCs/>
          <w:sz w:val="16"/>
          <w:szCs w:val="16"/>
          <w:lang w:val="es-CO"/>
        </w:rPr>
        <w:t xml:space="preserve"> </w:t>
      </w:r>
      <w:r w:rsidRPr="007B7B6A">
        <w:rPr>
          <w:rFonts w:ascii="Verdana" w:hAnsi="Verdana"/>
          <w:sz w:val="16"/>
          <w:szCs w:val="16"/>
          <w:lang w:val="es-CO"/>
        </w:rPr>
        <w:t xml:space="preserve">La aclaración de voto subrayó, además, que el pronunciamiento de constitucionalidad no explica las razones en que se apoya para aducir la naturaleza jurídica especial delas esp. Destacó que la sentencia de constitucionalidad aparentemente se aproxima a la tesis jurisprudencial del Consejo de Estado,  </w:t>
      </w:r>
      <w:r w:rsidRPr="007B7B6A">
        <w:rPr>
          <w:rFonts w:ascii="Verdana" w:hAnsi="Verdana"/>
          <w:i/>
          <w:iCs/>
          <w:sz w:val="16"/>
          <w:szCs w:val="16"/>
          <w:lang w:val="es-CO"/>
        </w:rPr>
        <w:t>“la misma que sin fundamentación alguna calificó de</w:t>
      </w:r>
      <w:r w:rsidRPr="007B7B6A">
        <w:rPr>
          <w:rFonts w:ascii="Verdana" w:hAnsi="Verdana"/>
          <w:sz w:val="16"/>
          <w:szCs w:val="16"/>
          <w:lang w:val="es-CO"/>
        </w:rPr>
        <w:t xml:space="preserve"> </w:t>
      </w:r>
      <w:r w:rsidRPr="007B7B6A">
        <w:rPr>
          <w:rFonts w:ascii="Verdana" w:hAnsi="Verdana"/>
          <w:i/>
          <w:iCs/>
          <w:sz w:val="16"/>
          <w:szCs w:val="16"/>
          <w:lang w:val="es-CO"/>
        </w:rPr>
        <w:t>inconstitucional”</w:t>
      </w:r>
      <w:r w:rsidRPr="007B7B6A">
        <w:rPr>
          <w:rFonts w:ascii="Verdana" w:hAnsi="Verdana"/>
          <w:sz w:val="16"/>
          <w:szCs w:val="16"/>
          <w:lang w:val="es-CO"/>
        </w:rPr>
        <w:t xml:space="preserve">, al sostener y anunciar que las empresas de servicios públicos mixtas y privadas son entidades descentralizadas, sobre la base de </w:t>
      </w:r>
      <w:r w:rsidRPr="007B7B6A">
        <w:rPr>
          <w:rFonts w:ascii="Verdana" w:hAnsi="Verdana"/>
          <w:i/>
          <w:iCs/>
          <w:sz w:val="16"/>
          <w:szCs w:val="16"/>
          <w:lang w:val="es-CO"/>
        </w:rPr>
        <w:t>“un análisis eminentemente legal, que no</w:t>
      </w:r>
      <w:r w:rsidRPr="007B7B6A">
        <w:rPr>
          <w:rFonts w:ascii="Verdana" w:hAnsi="Verdana"/>
          <w:sz w:val="16"/>
          <w:szCs w:val="16"/>
          <w:lang w:val="es-CO"/>
        </w:rPr>
        <w:t xml:space="preserve"> </w:t>
      </w:r>
      <w:r w:rsidRPr="007B7B6A">
        <w:rPr>
          <w:rFonts w:ascii="Verdana" w:hAnsi="Verdana"/>
          <w:i/>
          <w:iCs/>
          <w:sz w:val="16"/>
          <w:szCs w:val="16"/>
          <w:lang w:val="es-CO"/>
        </w:rPr>
        <w:t xml:space="preserve">constitucional” </w:t>
      </w:r>
      <w:r w:rsidRPr="007B7B6A">
        <w:rPr>
          <w:rFonts w:ascii="Verdana" w:hAnsi="Verdana"/>
          <w:sz w:val="16"/>
          <w:szCs w:val="16"/>
          <w:lang w:val="es-CO"/>
        </w:rPr>
        <w:t>a partir de lo dispuesto por el artículo 38 de la Ley 489 de 1998.</w:t>
      </w:r>
    </w:p>
    <w:p w14:paraId="70347CB6" w14:textId="77777777" w:rsidR="00C077A3" w:rsidRPr="007B7B6A" w:rsidRDefault="00C077A3" w:rsidP="00C077A3">
      <w:pPr>
        <w:pStyle w:val="Textonotapie"/>
        <w:ind w:firstLine="708"/>
        <w:jc w:val="both"/>
        <w:rPr>
          <w:rFonts w:ascii="Verdana" w:hAnsi="Verdana"/>
          <w:sz w:val="16"/>
          <w:szCs w:val="16"/>
          <w:lang w:val="es-CO"/>
        </w:rPr>
      </w:pPr>
      <w:r w:rsidRPr="007B7B6A">
        <w:rPr>
          <w:rFonts w:ascii="Verdana" w:hAnsi="Verdana"/>
          <w:sz w:val="16"/>
          <w:szCs w:val="16"/>
          <w:lang w:val="es-CO"/>
        </w:rPr>
        <w:t xml:space="preserve">Al concluir el Señor Magistrado Fajardo Gómez anotó que las normas acusadas </w:t>
      </w:r>
      <w:r w:rsidRPr="007B7B6A">
        <w:rPr>
          <w:rFonts w:ascii="Verdana" w:hAnsi="Verdana"/>
          <w:i/>
          <w:iCs/>
          <w:sz w:val="16"/>
          <w:szCs w:val="16"/>
          <w:lang w:val="es-CO"/>
        </w:rPr>
        <w:t>“no sufrieron alteración alguna en cuanto a su contenido</w:t>
      </w:r>
      <w:r w:rsidRPr="007B7B6A">
        <w:rPr>
          <w:rFonts w:ascii="Verdana" w:hAnsi="Verdana"/>
          <w:sz w:val="16"/>
          <w:szCs w:val="16"/>
          <w:lang w:val="es-CO"/>
        </w:rPr>
        <w:t xml:space="preserve"> </w:t>
      </w:r>
      <w:r w:rsidRPr="007B7B6A">
        <w:rPr>
          <w:rFonts w:ascii="Verdana" w:hAnsi="Verdana"/>
          <w:i/>
          <w:iCs/>
          <w:sz w:val="16"/>
          <w:szCs w:val="16"/>
          <w:lang w:val="es-CO"/>
        </w:rPr>
        <w:t>y, por tanto, seguirán rigiendo normalmente</w:t>
      </w:r>
      <w:r w:rsidRPr="007B7B6A">
        <w:rPr>
          <w:rFonts w:ascii="Verdana" w:hAnsi="Verdana"/>
          <w:sz w:val="16"/>
          <w:szCs w:val="16"/>
          <w:lang w:val="es-CO"/>
        </w:rPr>
        <w:t xml:space="preserve"> </w:t>
      </w:r>
      <w:r w:rsidRPr="007B7B6A">
        <w:rPr>
          <w:rFonts w:ascii="Verdana" w:hAnsi="Verdana"/>
          <w:i/>
          <w:iCs/>
          <w:sz w:val="16"/>
          <w:szCs w:val="16"/>
          <w:lang w:val="es-CO"/>
        </w:rPr>
        <w:t>hacia el futuro”</w:t>
      </w:r>
      <w:r w:rsidRPr="007B7B6A">
        <w:rPr>
          <w:rFonts w:ascii="Verdana" w:hAnsi="Verdana"/>
          <w:sz w:val="16"/>
          <w:szCs w:val="16"/>
          <w:lang w:val="es-CO"/>
        </w:rPr>
        <w:t xml:space="preserve">, dado que se trata de una sentencia de constitucionalidad pura y simple y que –a su juicio– todo lo demás expuesto por la Corte </w:t>
      </w:r>
      <w:r w:rsidRPr="007B7B6A">
        <w:rPr>
          <w:rFonts w:ascii="Verdana" w:hAnsi="Verdana"/>
          <w:i/>
          <w:iCs/>
          <w:sz w:val="16"/>
          <w:szCs w:val="16"/>
          <w:lang w:val="es-CO"/>
        </w:rPr>
        <w:t>“no pasa de ser un obiter dictum que</w:t>
      </w:r>
      <w:r w:rsidRPr="007B7B6A">
        <w:rPr>
          <w:rFonts w:ascii="Verdana" w:hAnsi="Verdana"/>
          <w:sz w:val="16"/>
          <w:szCs w:val="16"/>
          <w:lang w:val="es-CO"/>
        </w:rPr>
        <w:t xml:space="preserve"> </w:t>
      </w:r>
      <w:r w:rsidRPr="007B7B6A">
        <w:rPr>
          <w:rFonts w:ascii="Verdana" w:hAnsi="Verdana"/>
          <w:i/>
          <w:iCs/>
          <w:sz w:val="16"/>
          <w:szCs w:val="16"/>
          <w:lang w:val="es-CO"/>
        </w:rPr>
        <w:t>en cada caso concreto podría ser valorado por el juez</w:t>
      </w:r>
      <w:r w:rsidRPr="007B7B6A">
        <w:rPr>
          <w:rFonts w:ascii="Verdana" w:hAnsi="Verdana"/>
          <w:sz w:val="16"/>
          <w:szCs w:val="16"/>
          <w:lang w:val="es-CO"/>
        </w:rPr>
        <w:t xml:space="preserve"> </w:t>
      </w:r>
      <w:r w:rsidRPr="007B7B6A">
        <w:rPr>
          <w:rFonts w:ascii="Verdana" w:hAnsi="Verdana"/>
          <w:i/>
          <w:iCs/>
          <w:sz w:val="16"/>
          <w:szCs w:val="16"/>
          <w:lang w:val="es-CO"/>
        </w:rPr>
        <w:t>de la respectiva causa</w:t>
      </w:r>
      <w:r>
        <w:rPr>
          <w:rFonts w:ascii="Verdana" w:hAnsi="Verdana"/>
          <w:sz w:val="16"/>
          <w:szCs w:val="16"/>
          <w:lang w:val="es-CO"/>
        </w:rPr>
        <w:t>” (LUQUE, Guillermo Sánchez. ¿</w:t>
      </w:r>
      <w:r w:rsidRPr="00A14813">
        <w:rPr>
          <w:rFonts w:ascii="Verdana" w:hAnsi="Verdana"/>
          <w:sz w:val="16"/>
          <w:szCs w:val="16"/>
          <w:lang w:val="es-CO"/>
        </w:rPr>
        <w:t>Las empresas prestadoras de servicios públicos pr</w:t>
      </w:r>
      <w:r>
        <w:rPr>
          <w:rFonts w:ascii="Verdana" w:hAnsi="Verdana"/>
          <w:sz w:val="16"/>
          <w:szCs w:val="16"/>
          <w:lang w:val="es-CO"/>
        </w:rPr>
        <w:t xml:space="preserve">ivadas son entidades estatales? </w:t>
      </w:r>
      <w:r w:rsidRPr="00A14813">
        <w:rPr>
          <w:rFonts w:ascii="Verdana" w:hAnsi="Verdana"/>
          <w:sz w:val="16"/>
          <w:szCs w:val="16"/>
          <w:lang w:val="es-CO"/>
        </w:rPr>
        <w:t>A propósit</w:t>
      </w:r>
      <w:r>
        <w:rPr>
          <w:rFonts w:ascii="Verdana" w:hAnsi="Verdana"/>
          <w:sz w:val="16"/>
          <w:szCs w:val="16"/>
          <w:lang w:val="es-CO"/>
        </w:rPr>
        <w:t>o de la Sentencia C 736 de 2007</w:t>
      </w:r>
      <w:r w:rsidRPr="00A14813">
        <w:rPr>
          <w:rFonts w:ascii="Verdana" w:hAnsi="Verdana"/>
          <w:sz w:val="16"/>
          <w:szCs w:val="16"/>
          <w:lang w:val="es-CO"/>
        </w:rPr>
        <w:t>. </w:t>
      </w:r>
      <w:r w:rsidRPr="00A14813">
        <w:rPr>
          <w:rFonts w:ascii="Verdana" w:hAnsi="Verdana"/>
          <w:i/>
          <w:iCs/>
          <w:sz w:val="16"/>
          <w:szCs w:val="16"/>
          <w:lang w:val="es-CO"/>
        </w:rPr>
        <w:t>Con</w:t>
      </w:r>
      <w:r>
        <w:rPr>
          <w:rFonts w:ascii="Verdana" w:hAnsi="Verdana"/>
          <w:i/>
          <w:iCs/>
          <w:sz w:val="16"/>
          <w:szCs w:val="16"/>
          <w:lang w:val="es-CO"/>
        </w:rPr>
        <w:t>-</w:t>
      </w:r>
      <w:r w:rsidRPr="00A14813">
        <w:rPr>
          <w:rFonts w:ascii="Verdana" w:hAnsi="Verdana"/>
          <w:i/>
          <w:iCs/>
          <w:sz w:val="16"/>
          <w:szCs w:val="16"/>
          <w:lang w:val="es-CO"/>
        </w:rPr>
        <w:t>texto</w:t>
      </w:r>
      <w:r>
        <w:rPr>
          <w:rFonts w:ascii="Verdana" w:hAnsi="Verdana"/>
          <w:sz w:val="16"/>
          <w:szCs w:val="16"/>
          <w:lang w:val="es-CO"/>
        </w:rPr>
        <w:t xml:space="preserve"> Revista de Derecho y Economía, </w:t>
      </w:r>
      <w:r w:rsidRPr="00A14813">
        <w:rPr>
          <w:rFonts w:ascii="Verdana" w:hAnsi="Verdana"/>
          <w:sz w:val="16"/>
          <w:szCs w:val="16"/>
          <w:lang w:val="es-CO"/>
        </w:rPr>
        <w:t>2008.</w:t>
      </w:r>
      <w:r>
        <w:rPr>
          <w:rFonts w:ascii="Verdana" w:hAnsi="Verdana"/>
          <w:sz w:val="16"/>
          <w:szCs w:val="16"/>
          <w:lang w:val="es-CO"/>
        </w:rPr>
        <w:t xml:space="preserve"> Vol 25. p. 88)</w:t>
      </w:r>
    </w:p>
  </w:footnote>
  <w:footnote w:id="7">
    <w:p w14:paraId="28A13B78" w14:textId="77777777" w:rsidR="00C077A3" w:rsidRPr="008719EC" w:rsidRDefault="00C077A3" w:rsidP="00C077A3">
      <w:pPr>
        <w:pStyle w:val="Textonotapie"/>
        <w:ind w:firstLine="708"/>
        <w:jc w:val="both"/>
        <w:rPr>
          <w:rFonts w:ascii="Verdana" w:hAnsi="Verdana"/>
          <w:sz w:val="16"/>
          <w:szCs w:val="16"/>
          <w:lang w:val="es-ES"/>
        </w:rPr>
      </w:pPr>
      <w:r w:rsidRPr="008719EC">
        <w:rPr>
          <w:rStyle w:val="Refdenotaalpie"/>
          <w:rFonts w:ascii="Verdana" w:hAnsi="Verdana"/>
          <w:sz w:val="16"/>
          <w:szCs w:val="16"/>
        </w:rPr>
        <w:footnoteRef/>
      </w:r>
      <w:r w:rsidRPr="008719EC">
        <w:rPr>
          <w:rFonts w:ascii="Verdana" w:hAnsi="Verdana"/>
          <w:sz w:val="16"/>
          <w:szCs w:val="16"/>
        </w:rPr>
        <w:t xml:space="preserve"> </w:t>
      </w:r>
      <w:r>
        <w:rPr>
          <w:rFonts w:ascii="Verdana" w:hAnsi="Verdana"/>
          <w:sz w:val="16"/>
          <w:szCs w:val="16"/>
          <w:lang w:val="es-CO"/>
        </w:rPr>
        <w:t>LUQUE, Guillermo Sánchez. ¿</w:t>
      </w:r>
      <w:r w:rsidRPr="008719EC">
        <w:rPr>
          <w:rFonts w:ascii="Verdana" w:hAnsi="Verdana"/>
          <w:sz w:val="16"/>
          <w:szCs w:val="16"/>
          <w:lang w:val="es-CO"/>
        </w:rPr>
        <w:t>Las empresas prestadoras de servicios públicos privadas son entidades estatales? A propósito de la Sentencia C 736 de 2007. </w:t>
      </w:r>
      <w:r w:rsidRPr="008719EC">
        <w:rPr>
          <w:rFonts w:ascii="Verdana" w:hAnsi="Verdana"/>
          <w:i/>
          <w:iCs/>
          <w:sz w:val="16"/>
          <w:szCs w:val="16"/>
          <w:lang w:val="es-CO"/>
        </w:rPr>
        <w:t>Con-texto</w:t>
      </w:r>
      <w:r w:rsidRPr="008719EC">
        <w:rPr>
          <w:rFonts w:ascii="Verdana" w:hAnsi="Verdana"/>
          <w:sz w:val="16"/>
          <w:szCs w:val="16"/>
          <w:lang w:val="es-CO"/>
        </w:rPr>
        <w:t xml:space="preserve"> Revista de Derecho y Economía, 2008. Vol 25. p. 87. </w:t>
      </w:r>
    </w:p>
  </w:footnote>
  <w:footnote w:id="8">
    <w:p w14:paraId="4C732D0E" w14:textId="77777777" w:rsidR="00C077A3" w:rsidRPr="00485C44" w:rsidRDefault="00C077A3" w:rsidP="00C077A3">
      <w:pPr>
        <w:pStyle w:val="Textonotapie"/>
        <w:ind w:firstLine="708"/>
        <w:rPr>
          <w:rFonts w:ascii="Verdana" w:hAnsi="Verdana"/>
          <w:sz w:val="16"/>
          <w:szCs w:val="16"/>
          <w:lang w:val="es-ES"/>
        </w:rPr>
      </w:pPr>
      <w:r w:rsidRPr="00485C44">
        <w:rPr>
          <w:rStyle w:val="Refdenotaalpie"/>
          <w:rFonts w:ascii="Verdana" w:hAnsi="Verdana"/>
          <w:sz w:val="16"/>
          <w:szCs w:val="16"/>
        </w:rPr>
        <w:footnoteRef/>
      </w:r>
      <w:r w:rsidRPr="00485C44">
        <w:rPr>
          <w:rFonts w:ascii="Verdana" w:hAnsi="Verdana"/>
          <w:sz w:val="16"/>
          <w:szCs w:val="16"/>
        </w:rPr>
        <w:t xml:space="preserve"> </w:t>
      </w:r>
      <w:r w:rsidRPr="0099359D">
        <w:rPr>
          <w:rFonts w:ascii="Verdana" w:hAnsi="Verdana"/>
          <w:sz w:val="16"/>
          <w:szCs w:val="16"/>
          <w:lang w:val="es-CO"/>
        </w:rPr>
        <w:t xml:space="preserve">Corte Constitucional. Sentencia C-736 de 2007. </w:t>
      </w:r>
      <w:r w:rsidRPr="00485C44">
        <w:rPr>
          <w:rFonts w:ascii="Verdana" w:hAnsi="Verdana"/>
          <w:sz w:val="16"/>
          <w:szCs w:val="16"/>
          <w:lang w:val="es-CO"/>
        </w:rPr>
        <w:t>M.P. Marco Gerardo Monroy Cabra.</w:t>
      </w:r>
    </w:p>
  </w:footnote>
  <w:footnote w:id="9">
    <w:p w14:paraId="79945058" w14:textId="77777777" w:rsidR="00C077A3" w:rsidRPr="005D42C1" w:rsidRDefault="00C077A3" w:rsidP="00C077A3">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49DB2D24" w14:textId="77777777" w:rsidR="00C077A3" w:rsidRPr="005D42C1" w:rsidRDefault="00C077A3" w:rsidP="00C077A3">
      <w:pPr>
        <w:spacing w:after="0" w:line="240" w:lineRule="auto"/>
        <w:ind w:firstLine="709"/>
        <w:jc w:val="both"/>
        <w:rPr>
          <w:rFonts w:ascii="Verdana" w:hAnsi="Verdana" w:cs="Arial"/>
          <w:sz w:val="16"/>
          <w:szCs w:val="16"/>
        </w:rPr>
      </w:pPr>
      <w:r w:rsidRPr="005D42C1">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5D42C1">
        <w:rPr>
          <w:rFonts w:ascii="Verdana" w:hAnsi="Verdana" w:cs="Arial"/>
          <w:spacing w:val="-1"/>
          <w:sz w:val="16"/>
          <w:szCs w:val="16"/>
        </w:rPr>
        <w:t xml:space="preserve"> </w:t>
      </w:r>
      <w:r w:rsidRPr="005D42C1">
        <w:rPr>
          <w:rFonts w:ascii="Verdana" w:hAnsi="Verdana" w:cs="Arial"/>
          <w:sz w:val="16"/>
          <w:szCs w:val="16"/>
        </w:rPr>
        <w:t>Estatales”.</w:t>
      </w:r>
    </w:p>
  </w:footnote>
  <w:footnote w:id="10">
    <w:p w14:paraId="785F8A94" w14:textId="77777777" w:rsidR="00C077A3" w:rsidRPr="006366CF" w:rsidRDefault="00C077A3" w:rsidP="00C077A3">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5D42C1">
        <w:rPr>
          <w:rFonts w:ascii="Verdana" w:hAnsi="Verdana" w:cs="Arial"/>
          <w:spacing w:val="-6"/>
          <w:sz w:val="16"/>
          <w:szCs w:val="16"/>
        </w:rPr>
        <w:t xml:space="preserve"> </w:t>
      </w:r>
      <w:r w:rsidRPr="005D42C1">
        <w:rPr>
          <w:rFonts w:ascii="Verdana" w:hAnsi="Verdana" w:cs="Arial"/>
          <w:sz w:val="16"/>
          <w:szCs w:val="16"/>
        </w:rPr>
        <w:t>artículo”.</w:t>
      </w:r>
    </w:p>
  </w:footnote>
  <w:footnote w:id="11">
    <w:p w14:paraId="04543B11" w14:textId="77777777" w:rsidR="00C077A3" w:rsidRPr="006366CF" w:rsidRDefault="00C077A3" w:rsidP="00C077A3">
      <w:pPr>
        <w:pStyle w:val="Textonotapie"/>
        <w:ind w:firstLine="708"/>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lang w:val="pt-BR"/>
        </w:rPr>
        <w:t xml:space="preserve"> Corte Constitucional. Sentencia C-671 de 2005. </w:t>
      </w:r>
      <w:r w:rsidRPr="006366CF">
        <w:rPr>
          <w:rFonts w:ascii="Verdana" w:hAnsi="Verdana"/>
          <w:sz w:val="16"/>
          <w:szCs w:val="16"/>
        </w:rPr>
        <w:t xml:space="preserve">M.P. Álvaro Tafur Galvis. </w:t>
      </w:r>
    </w:p>
  </w:footnote>
  <w:footnote w:id="12">
    <w:p w14:paraId="2E6AB2D9" w14:textId="77777777" w:rsidR="00C077A3" w:rsidRPr="006366CF" w:rsidRDefault="00C077A3" w:rsidP="00C077A3">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sidRPr="006366CF">
        <w:rPr>
          <w:rFonts w:ascii="Verdana" w:hAnsi="Verdana"/>
          <w:sz w:val="16"/>
          <w:szCs w:val="16"/>
          <w:lang w:val="es-CO"/>
        </w:rPr>
        <w:t xml:space="preserve">Consejo </w:t>
      </w:r>
      <w:r>
        <w:rPr>
          <w:rFonts w:ascii="Verdana" w:hAnsi="Verdana"/>
          <w:sz w:val="16"/>
          <w:szCs w:val="16"/>
          <w:lang w:val="es-CO"/>
        </w:rPr>
        <w:t>d</w:t>
      </w:r>
      <w:r w:rsidRPr="006366CF">
        <w:rPr>
          <w:rFonts w:ascii="Verdana" w:hAnsi="Verdana"/>
          <w:sz w:val="16"/>
          <w:szCs w:val="16"/>
          <w:lang w:val="es-CO"/>
        </w:rPr>
        <w:t xml:space="preserve">e Estado,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6366CF">
        <w:rPr>
          <w:rFonts w:ascii="Verdana" w:hAnsi="Verdana"/>
          <w:bCs/>
          <w:sz w:val="16"/>
          <w:szCs w:val="16"/>
        </w:rPr>
        <w:t xml:space="preserve">70313. </w:t>
      </w:r>
    </w:p>
  </w:footnote>
  <w:footnote w:id="13">
    <w:p w14:paraId="4E5C0719" w14:textId="77777777" w:rsidR="00C077A3" w:rsidRPr="006366CF" w:rsidRDefault="00C077A3" w:rsidP="00C077A3">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6366CF">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14">
    <w:p w14:paraId="3B8922DF" w14:textId="77777777" w:rsidR="00C077A3" w:rsidRPr="006366CF" w:rsidRDefault="00C077A3" w:rsidP="00C077A3">
      <w:pPr>
        <w:pStyle w:val="Textonotapie"/>
        <w:ind w:firstLine="708"/>
        <w:jc w:val="both"/>
        <w:rPr>
          <w:rFonts w:ascii="Verdana" w:hAnsi="Verdana"/>
          <w:sz w:val="16"/>
          <w:szCs w:val="16"/>
          <w:lang w:val="es-ES"/>
        </w:rPr>
      </w:pPr>
      <w:r w:rsidRPr="006366CF">
        <w:rPr>
          <w:rStyle w:val="Refdenotaalpie"/>
          <w:rFonts w:ascii="Verdana" w:hAnsi="Verdana"/>
          <w:sz w:val="16"/>
          <w:szCs w:val="16"/>
        </w:rPr>
        <w:footnoteRef/>
      </w:r>
      <w:r w:rsidRPr="006366CF">
        <w:rPr>
          <w:rFonts w:ascii="Verdana" w:hAnsi="Verdana"/>
          <w:sz w:val="16"/>
          <w:szCs w:val="16"/>
        </w:rPr>
        <w:t xml:space="preserve"> Consejo </w:t>
      </w:r>
      <w:r>
        <w:rPr>
          <w:rFonts w:ascii="Verdana" w:hAnsi="Verdana"/>
          <w:sz w:val="16"/>
          <w:szCs w:val="16"/>
        </w:rPr>
        <w:t>d</w:t>
      </w:r>
      <w:r w:rsidRPr="006366CF">
        <w:rPr>
          <w:rFonts w:ascii="Verdana" w:hAnsi="Verdana"/>
          <w:sz w:val="16"/>
          <w:szCs w:val="16"/>
        </w:rPr>
        <w:t>e Estado. Sección Tercera, Subsección A. Sentencia del 25 de mayo de 2025. C.P. María Adriana Marín Hernández. Exp. 70.504; CONSEJO DE ESTADO. Sección Tercera, Subsección A. Sentencia del 16 de agosto de 2022, C.P.: María Adriana Marín. Exp. 60434.</w:t>
      </w:r>
    </w:p>
  </w:footnote>
  <w:footnote w:id="15">
    <w:p w14:paraId="170BA838" w14:textId="77777777" w:rsidR="00C077A3" w:rsidRPr="001E1F8E" w:rsidRDefault="00C077A3" w:rsidP="00C077A3">
      <w:pPr>
        <w:pStyle w:val="Textonotapie"/>
        <w:ind w:firstLine="708"/>
        <w:jc w:val="both"/>
        <w:rPr>
          <w:rFonts w:ascii="Verdana" w:hAnsi="Verdana"/>
          <w:sz w:val="16"/>
          <w:szCs w:val="16"/>
          <w:lang w:val="pt-BR"/>
        </w:rPr>
      </w:pPr>
      <w:r w:rsidRPr="00AD7D5F">
        <w:rPr>
          <w:rStyle w:val="Refdenotaalpie"/>
          <w:rFonts w:ascii="Verdana" w:hAnsi="Verdana"/>
          <w:sz w:val="16"/>
          <w:szCs w:val="16"/>
        </w:rPr>
        <w:footnoteRef/>
      </w:r>
      <w:r w:rsidRPr="00AD7D5F">
        <w:rPr>
          <w:rFonts w:ascii="Verdana" w:hAnsi="Verdana"/>
          <w:sz w:val="16"/>
          <w:szCs w:val="16"/>
        </w:rPr>
        <w:t xml:space="preserve"> </w:t>
      </w:r>
      <w:r w:rsidRPr="00AD7D5F">
        <w:rPr>
          <w:rFonts w:ascii="Verdana" w:hAnsi="Verdana"/>
          <w:sz w:val="16"/>
          <w:szCs w:val="16"/>
          <w:lang w:val="es-CO"/>
        </w:rPr>
        <w:t xml:space="preserve">Consejo </w:t>
      </w:r>
      <w:r>
        <w:rPr>
          <w:rFonts w:ascii="Verdana" w:hAnsi="Verdana"/>
          <w:sz w:val="16"/>
          <w:szCs w:val="16"/>
          <w:lang w:val="es-CO"/>
        </w:rPr>
        <w:t>d</w:t>
      </w:r>
      <w:r w:rsidRPr="00AD7D5F">
        <w:rPr>
          <w:rFonts w:ascii="Verdana" w:hAnsi="Verdana"/>
          <w:sz w:val="16"/>
          <w:szCs w:val="16"/>
          <w:lang w:val="es-CO"/>
        </w:rPr>
        <w:t xml:space="preserve">e Estado. Sección Tercera, Subsección A. Sentencia del 14 de junio de 2019, C.P.: Marta Nubia Velásquez Rico. Rad.: 25000-23-37-000-2010-02552-01 (AP); Consejo </w:t>
      </w:r>
      <w:r>
        <w:rPr>
          <w:rFonts w:ascii="Verdana" w:hAnsi="Verdana"/>
          <w:sz w:val="16"/>
          <w:szCs w:val="16"/>
          <w:lang w:val="es-CO"/>
        </w:rPr>
        <w:t>d</w:t>
      </w:r>
      <w:r w:rsidRPr="00AD7D5F">
        <w:rPr>
          <w:rFonts w:ascii="Verdana" w:hAnsi="Verdana"/>
          <w:sz w:val="16"/>
          <w:szCs w:val="16"/>
          <w:lang w:val="es-CO"/>
        </w:rPr>
        <w:t xml:space="preserve">e Estado. Sección Tercera, Subsección A. Sentencia del 25 de mayo de 2025. C.P. María Adriana Marín Hernández. </w:t>
      </w:r>
      <w:r w:rsidRPr="001E1F8E">
        <w:rPr>
          <w:rFonts w:ascii="Verdana" w:hAnsi="Verdana"/>
          <w:sz w:val="16"/>
          <w:szCs w:val="16"/>
          <w:lang w:val="pt-BR"/>
        </w:rPr>
        <w:t>Exp. 70.504.</w:t>
      </w:r>
    </w:p>
  </w:footnote>
  <w:footnote w:id="16">
    <w:p w14:paraId="354132B4" w14:textId="77777777" w:rsidR="00C077A3" w:rsidRPr="001E1F8E" w:rsidRDefault="00C077A3" w:rsidP="00C077A3">
      <w:pPr>
        <w:pStyle w:val="Textonotapie"/>
        <w:ind w:firstLine="708"/>
        <w:rPr>
          <w:rFonts w:ascii="Verdana" w:hAnsi="Verdana"/>
          <w:sz w:val="16"/>
          <w:szCs w:val="16"/>
          <w:lang w:val="pt-BR"/>
        </w:rPr>
      </w:pPr>
      <w:r w:rsidRPr="00D27CE1">
        <w:rPr>
          <w:rStyle w:val="Refdenotaalpie"/>
          <w:rFonts w:ascii="Verdana" w:hAnsi="Verdana"/>
          <w:sz w:val="16"/>
          <w:szCs w:val="16"/>
        </w:rPr>
        <w:footnoteRef/>
      </w:r>
      <w:r w:rsidRPr="001E1F8E">
        <w:rPr>
          <w:rFonts w:ascii="Verdana" w:hAnsi="Verdana"/>
          <w:sz w:val="16"/>
          <w:szCs w:val="16"/>
          <w:lang w:val="pt-BR"/>
        </w:rPr>
        <w:t xml:space="preserve"> Corte Constitucional. Sentencia C-088 de 2018. M.P. Diana Fajardo Rivera. </w:t>
      </w:r>
    </w:p>
  </w:footnote>
  <w:footnote w:id="17">
    <w:p w14:paraId="2142EC5F" w14:textId="77777777" w:rsidR="00C077A3" w:rsidRDefault="00C077A3" w:rsidP="00C077A3">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Consejo de Estado. Sección 3ª. Sentencia del 27 de noviembre de 2017. M.P. Jaime Orlando Santofimio. Exp. 51.802.</w:t>
      </w:r>
    </w:p>
  </w:footnote>
  <w:footnote w:id="18">
    <w:p w14:paraId="1F72CF35" w14:textId="77777777" w:rsidR="00C077A3" w:rsidRPr="009B0144" w:rsidRDefault="00C077A3" w:rsidP="00C077A3">
      <w:pPr>
        <w:pStyle w:val="Textonotapie"/>
        <w:ind w:firstLine="709"/>
        <w:jc w:val="both"/>
        <w:rPr>
          <w:rFonts w:ascii="Verdana" w:hAnsi="Verdana"/>
          <w:sz w:val="16"/>
          <w:szCs w:val="16"/>
        </w:rPr>
      </w:pPr>
      <w:r w:rsidRPr="00C50ED3">
        <w:rPr>
          <w:rFonts w:ascii="Verdana" w:hAnsi="Verdana"/>
          <w:sz w:val="16"/>
          <w:szCs w:val="16"/>
          <w:vertAlign w:val="superscript"/>
        </w:rPr>
        <w:footnoteRef/>
      </w:r>
      <w:r w:rsidRPr="00C50ED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19">
    <w:p w14:paraId="1283DDCD" w14:textId="77777777" w:rsidR="00C077A3" w:rsidRPr="009B0144" w:rsidRDefault="00C077A3" w:rsidP="00C077A3">
      <w:pPr>
        <w:pStyle w:val="Textonotapie"/>
        <w:ind w:firstLine="709"/>
        <w:jc w:val="both"/>
        <w:rPr>
          <w:rFonts w:ascii="Verdana" w:hAnsi="Verdana"/>
          <w:sz w:val="16"/>
          <w:szCs w:val="16"/>
          <w:lang w:val="es-CO"/>
        </w:rPr>
      </w:pPr>
      <w:r w:rsidRPr="009B0144">
        <w:rPr>
          <w:rStyle w:val="Refdenotaalpie"/>
          <w:rFonts w:ascii="Verdana" w:hAnsi="Verdana"/>
          <w:sz w:val="16"/>
          <w:szCs w:val="16"/>
        </w:rPr>
        <w:footnoteRef/>
      </w:r>
      <w:r w:rsidRPr="009B0144">
        <w:rPr>
          <w:rFonts w:ascii="Verdana" w:hAnsi="Verdana"/>
          <w:sz w:val="16"/>
          <w:szCs w:val="16"/>
        </w:rPr>
        <w:t xml:space="preserve"> </w:t>
      </w:r>
      <w:r w:rsidRPr="00265303">
        <w:rPr>
          <w:rFonts w:ascii="Verdana" w:hAnsi="Verdana"/>
          <w:sz w:val="16"/>
          <w:szCs w:val="16"/>
          <w:lang w:val="es-CO"/>
        </w:rPr>
        <w:t xml:space="preserve">Consejo de Estado. Sala de Consulta y Servicio Civil. Número Único </w:t>
      </w:r>
      <w:r w:rsidRPr="00265303">
        <w:rPr>
          <w:rFonts w:ascii="Verdana" w:hAnsi="Verdana"/>
          <w:sz w:val="16"/>
          <w:szCs w:val="16"/>
        </w:rPr>
        <w:t>11001-03-06-000-2015-00102-00. Sentencia del 26 de julio de 2016. C.P.: Álvaro Namén Vargas</w:t>
      </w:r>
    </w:p>
  </w:footnote>
  <w:footnote w:id="20">
    <w:p w14:paraId="67E0C821" w14:textId="77777777" w:rsidR="00C077A3" w:rsidRPr="009B0144" w:rsidRDefault="00C077A3" w:rsidP="00C077A3">
      <w:pPr>
        <w:pStyle w:val="Textonotapie"/>
        <w:ind w:firstLine="709"/>
        <w:jc w:val="both"/>
        <w:rPr>
          <w:rFonts w:ascii="Verdana" w:hAnsi="Verdana"/>
          <w:sz w:val="16"/>
          <w:szCs w:val="16"/>
        </w:rPr>
      </w:pPr>
      <w:r w:rsidRPr="009B0144">
        <w:rPr>
          <w:rStyle w:val="Refdenotaalpie"/>
          <w:rFonts w:ascii="Verdana" w:hAnsi="Verdana"/>
          <w:sz w:val="16"/>
          <w:szCs w:val="16"/>
        </w:rPr>
        <w:footnoteRef/>
      </w:r>
      <w:r w:rsidRPr="009B0144">
        <w:rPr>
          <w:rFonts w:ascii="Verdana" w:hAnsi="Verdana"/>
          <w:sz w:val="16"/>
          <w:szCs w:val="16"/>
        </w:rPr>
        <w:t xml:space="preserve"> </w:t>
      </w:r>
      <w:r w:rsidRPr="009B0144">
        <w:rPr>
          <w:rFonts w:ascii="Verdana" w:hAnsi="Verdana"/>
          <w:sz w:val="16"/>
          <w:szCs w:val="16"/>
          <w:lang w:val="es-CO"/>
        </w:rPr>
        <w:t>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p>
  </w:footnote>
  <w:footnote w:id="21">
    <w:p w14:paraId="356A7ED8" w14:textId="77777777" w:rsidR="00C077A3" w:rsidRPr="009B0144" w:rsidRDefault="00C077A3" w:rsidP="00C077A3">
      <w:pPr>
        <w:pStyle w:val="Textonotapie"/>
        <w:ind w:firstLine="709"/>
        <w:jc w:val="both"/>
        <w:rPr>
          <w:rFonts w:ascii="Verdana" w:hAnsi="Verdana"/>
          <w:sz w:val="16"/>
          <w:szCs w:val="16"/>
          <w:lang w:val="es-CO"/>
        </w:rPr>
      </w:pPr>
      <w:r w:rsidRPr="009B0144">
        <w:rPr>
          <w:rStyle w:val="Refdenotaalpie"/>
          <w:rFonts w:ascii="Verdana" w:hAnsi="Verdana"/>
          <w:sz w:val="16"/>
          <w:szCs w:val="16"/>
        </w:rPr>
        <w:footnoteRef/>
      </w:r>
      <w:r w:rsidRPr="009B0144">
        <w:rPr>
          <w:rFonts w:ascii="Verdana" w:hAnsi="Verdana"/>
          <w:sz w:val="16"/>
          <w:szCs w:val="16"/>
        </w:rPr>
        <w:t xml:space="preserve"> </w:t>
      </w:r>
      <w:r w:rsidRPr="009B0144">
        <w:rPr>
          <w:rFonts w:ascii="Verdana" w:hAnsi="Verdana"/>
          <w:sz w:val="16"/>
          <w:szCs w:val="16"/>
          <w:lang w:val="es-CO"/>
        </w:rPr>
        <w:t xml:space="preserve">Ley 80 de 1993: “Artículo 26. Del principio de responsabilidad. En virtud de este principio: </w:t>
      </w:r>
    </w:p>
    <w:p w14:paraId="5190EAAD" w14:textId="77777777" w:rsidR="00C077A3" w:rsidRPr="009B0144" w:rsidRDefault="00C077A3" w:rsidP="00C077A3">
      <w:pPr>
        <w:pStyle w:val="Textonotapie"/>
        <w:ind w:firstLine="709"/>
        <w:jc w:val="both"/>
        <w:rPr>
          <w:rFonts w:ascii="Verdana" w:hAnsi="Verdana"/>
          <w:sz w:val="16"/>
          <w:szCs w:val="16"/>
        </w:rPr>
      </w:pPr>
      <w:r w:rsidRPr="009B0144">
        <w:rPr>
          <w:rFonts w:ascii="Verdana" w:hAnsi="Verdana"/>
          <w:sz w:val="16"/>
          <w:szCs w:val="16"/>
          <w:lang w:val="es-CO"/>
        </w:rPr>
        <w:t>“1. Los servidores públicos están obligados a buscar el cumplimiento de los fines de la contratación, a vigilar la correcta ejecución del objeto contratado y a proteger los derechos de la entidad, del contratista y de los terceros que puedan verse afectados por la ejecución del contrato”.</w:t>
      </w:r>
    </w:p>
  </w:footnote>
  <w:footnote w:id="22">
    <w:p w14:paraId="3F87D041" w14:textId="77777777" w:rsidR="00C077A3" w:rsidRPr="004A2CFC" w:rsidRDefault="00C077A3" w:rsidP="00C077A3">
      <w:pPr>
        <w:pStyle w:val="Textonotapie"/>
        <w:ind w:firstLine="708"/>
        <w:jc w:val="both"/>
        <w:rPr>
          <w:rFonts w:ascii="Verdana" w:hAnsi="Verdana"/>
          <w:sz w:val="16"/>
          <w:szCs w:val="16"/>
        </w:rPr>
      </w:pPr>
      <w:r w:rsidRPr="004A2CFC">
        <w:rPr>
          <w:rStyle w:val="Refdenotaalpie"/>
          <w:rFonts w:ascii="Verdana" w:hAnsi="Verdana"/>
          <w:sz w:val="16"/>
          <w:szCs w:val="16"/>
        </w:rPr>
        <w:footnoteRef/>
      </w:r>
      <w:r w:rsidRPr="004A2CFC">
        <w:rPr>
          <w:rFonts w:ascii="Verdana" w:hAnsi="Verdana"/>
          <w:sz w:val="16"/>
          <w:szCs w:val="16"/>
        </w:rPr>
        <w:t xml:space="preserve"> Consejo de Estado. Sección 3ª. Sentencia del 27 de noviembre de 2017. M.P. Jaime Orlando</w:t>
      </w:r>
    </w:p>
    <w:p w14:paraId="584D2C8C" w14:textId="77777777" w:rsidR="00C077A3" w:rsidRPr="00916DF1" w:rsidRDefault="00C077A3" w:rsidP="00C077A3">
      <w:pPr>
        <w:pStyle w:val="Textonotapie"/>
        <w:jc w:val="both"/>
        <w:rPr>
          <w:rFonts w:ascii="Verdana" w:hAnsi="Verdana"/>
          <w:sz w:val="16"/>
          <w:szCs w:val="16"/>
          <w:lang w:val="es-CO"/>
        </w:rPr>
      </w:pPr>
      <w:r w:rsidRPr="004A2CFC">
        <w:rPr>
          <w:rFonts w:ascii="Verdana" w:hAnsi="Verdana"/>
          <w:sz w:val="16"/>
          <w:szCs w:val="16"/>
        </w:rPr>
        <w:t>Santofimio. Exp. 51.802</w:t>
      </w:r>
      <w:r>
        <w:rPr>
          <w:rFonts w:ascii="Verdana" w:hAnsi="Verdana"/>
          <w:sz w:val="16"/>
          <w:szCs w:val="16"/>
        </w:rPr>
        <w:t>.</w:t>
      </w:r>
    </w:p>
  </w:footnote>
  <w:footnote w:id="23">
    <w:p w14:paraId="23B2D605" w14:textId="77777777" w:rsidR="00C077A3" w:rsidRPr="0097307D" w:rsidRDefault="00C077A3" w:rsidP="00C077A3">
      <w:pPr>
        <w:pStyle w:val="Textonotapie"/>
        <w:tabs>
          <w:tab w:val="left" w:pos="6521"/>
        </w:tabs>
        <w:ind w:firstLine="709"/>
        <w:jc w:val="both"/>
        <w:rPr>
          <w:rFonts w:ascii="Verdana" w:hAnsi="Verdana" w:cs="Arial"/>
          <w:sz w:val="16"/>
          <w:szCs w:val="16"/>
          <w:lang w:val="es-ES"/>
        </w:rPr>
      </w:pPr>
      <w:r w:rsidRPr="0097307D">
        <w:rPr>
          <w:rStyle w:val="Refdenotaalpie"/>
          <w:rFonts w:ascii="Verdana" w:hAnsi="Verdana" w:cs="Arial"/>
          <w:sz w:val="16"/>
          <w:szCs w:val="16"/>
        </w:rPr>
        <w:footnoteRef/>
      </w:r>
      <w:r w:rsidRPr="0097307D">
        <w:rPr>
          <w:rFonts w:ascii="Verdana" w:hAnsi="Verdana" w:cs="Arial"/>
          <w:sz w:val="16"/>
          <w:szCs w:val="16"/>
        </w:rPr>
        <w:t xml:space="preserve"> </w:t>
      </w:r>
      <w:r w:rsidRPr="0097307D">
        <w:rPr>
          <w:rFonts w:ascii="Verdana" w:hAnsi="Verdana" w:cs="Arial"/>
          <w:sz w:val="16"/>
          <w:szCs w:val="16"/>
          <w:lang w:val="es-ES"/>
        </w:rPr>
        <w:t>BOBBIO, Norberto. Democracia y secreto. México: Fondo de Cultura Económica, 2013. p. 27.</w:t>
      </w:r>
    </w:p>
  </w:footnote>
  <w:footnote w:id="24">
    <w:p w14:paraId="1EC94B85" w14:textId="77777777" w:rsidR="00C077A3" w:rsidRPr="00C45436" w:rsidRDefault="00C077A3" w:rsidP="00C077A3">
      <w:pPr>
        <w:pStyle w:val="Textonotapie"/>
        <w:tabs>
          <w:tab w:val="left" w:pos="6521"/>
        </w:tabs>
        <w:ind w:firstLine="709"/>
        <w:jc w:val="both"/>
        <w:rPr>
          <w:rFonts w:ascii="Verdana" w:hAnsi="Verdana" w:cs="Arial"/>
          <w:color w:val="000000" w:themeColor="text1"/>
          <w:sz w:val="16"/>
          <w:szCs w:val="16"/>
        </w:rPr>
      </w:pPr>
      <w:r w:rsidRPr="0097307D">
        <w:rPr>
          <w:rStyle w:val="Refdenotaalpie"/>
          <w:rFonts w:ascii="Verdana" w:hAnsi="Verdana" w:cs="Arial"/>
          <w:color w:val="000000" w:themeColor="text1"/>
          <w:sz w:val="16"/>
          <w:szCs w:val="16"/>
        </w:rPr>
        <w:footnoteRef/>
      </w:r>
      <w:r w:rsidRPr="0097307D">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footnote>
  <w:footnote w:id="25">
    <w:p w14:paraId="2B62EEA8" w14:textId="77777777" w:rsidR="00C077A3" w:rsidRPr="0097307D" w:rsidRDefault="00C077A3" w:rsidP="00C077A3">
      <w:pPr>
        <w:pStyle w:val="Textonotapie"/>
        <w:tabs>
          <w:tab w:val="left" w:pos="6521"/>
        </w:tabs>
        <w:ind w:firstLine="709"/>
        <w:jc w:val="both"/>
        <w:rPr>
          <w:rFonts w:ascii="Verdana" w:hAnsi="Verdana" w:cs="Arial"/>
          <w:color w:val="000000" w:themeColor="text1"/>
          <w:sz w:val="16"/>
          <w:szCs w:val="16"/>
        </w:rPr>
      </w:pPr>
      <w:r w:rsidRPr="0097307D">
        <w:rPr>
          <w:rFonts w:ascii="Verdana" w:eastAsia="Times New Roman" w:hAnsi="Verdana" w:cs="Arial"/>
          <w:color w:val="000000" w:themeColor="text1"/>
          <w:sz w:val="16"/>
          <w:szCs w:val="16"/>
          <w:vertAlign w:val="superscript"/>
          <w:lang w:val="es-ES" w:eastAsia="es-ES"/>
        </w:rPr>
        <w:footnoteRef/>
      </w:r>
      <w:r w:rsidRPr="0097307D">
        <w:rPr>
          <w:rFonts w:ascii="Verdana" w:eastAsia="Times New Roman" w:hAnsi="Verdana" w:cs="Arial"/>
          <w:color w:val="000000" w:themeColor="text1"/>
          <w:sz w:val="16"/>
          <w:szCs w:val="16"/>
          <w:vertAlign w:val="superscript"/>
          <w:lang w:val="es-ES" w:eastAsia="es-ES"/>
        </w:rPr>
        <w:t xml:space="preserve"> </w:t>
      </w:r>
      <w:r>
        <w:rPr>
          <w:rFonts w:ascii="Verdana" w:eastAsia="Times New Roman" w:hAnsi="Verdana" w:cs="Arial"/>
          <w:color w:val="000000" w:themeColor="text1"/>
          <w:sz w:val="16"/>
          <w:szCs w:val="16"/>
          <w:lang w:val="es-ES" w:eastAsia="es-ES"/>
        </w:rPr>
        <w:t>“</w:t>
      </w:r>
      <w:r w:rsidRPr="0097307D">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0D6A657F" w14:textId="77777777" w:rsidR="00C077A3" w:rsidRPr="0097307D" w:rsidRDefault="00C077A3" w:rsidP="00C077A3">
      <w:pPr>
        <w:pStyle w:val="Textonotapie"/>
        <w:tabs>
          <w:tab w:val="left" w:pos="6521"/>
        </w:tabs>
        <w:ind w:firstLine="709"/>
        <w:jc w:val="both"/>
        <w:rPr>
          <w:rFonts w:ascii="Verdana" w:eastAsia="Times New Roman" w:hAnsi="Verdana" w:cs="Arial"/>
          <w:color w:val="000000" w:themeColor="text1"/>
          <w:sz w:val="16"/>
          <w:szCs w:val="16"/>
          <w:lang w:val="es-ES" w:eastAsia="es-ES"/>
        </w:rPr>
      </w:pPr>
      <w:r w:rsidRPr="0097307D">
        <w:rPr>
          <w:rFonts w:ascii="Verdana" w:hAnsi="Verdana" w:cs="Arial"/>
          <w:color w:val="000000" w:themeColor="text1"/>
          <w:sz w:val="16"/>
          <w:szCs w:val="16"/>
        </w:rPr>
        <w:t>[…].</w:t>
      </w:r>
    </w:p>
    <w:p w14:paraId="45C47108" w14:textId="77777777" w:rsidR="00C077A3" w:rsidRPr="0097307D" w:rsidRDefault="00C077A3" w:rsidP="00C077A3">
      <w:pPr>
        <w:pStyle w:val="Textonotapie"/>
        <w:tabs>
          <w:tab w:val="left" w:pos="6521"/>
        </w:tabs>
        <w:ind w:firstLine="709"/>
        <w:jc w:val="both"/>
        <w:rPr>
          <w:rFonts w:ascii="Verdana" w:eastAsia="Times New Roman" w:hAnsi="Verdana" w:cs="Arial"/>
          <w:color w:val="000000" w:themeColor="text1"/>
          <w:sz w:val="16"/>
          <w:szCs w:val="16"/>
          <w:lang w:val="es-ES" w:eastAsia="es-ES"/>
        </w:rPr>
      </w:pPr>
      <w:r w:rsidRPr="0097307D">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r>
        <w:rPr>
          <w:rFonts w:ascii="Verdana" w:eastAsia="Times New Roman" w:hAnsi="Verdana" w:cs="Arial"/>
          <w:color w:val="000000" w:themeColor="text1"/>
          <w:sz w:val="16"/>
          <w:szCs w:val="16"/>
          <w:lang w:val="es-ES" w:eastAsia="es-ES"/>
        </w:rPr>
        <w:t>”</w:t>
      </w:r>
      <w:r w:rsidRPr="0097307D">
        <w:rPr>
          <w:rFonts w:ascii="Verdana" w:eastAsia="Times New Roman" w:hAnsi="Verdana" w:cs="Arial"/>
          <w:color w:val="000000" w:themeColor="text1"/>
          <w:sz w:val="16"/>
          <w:szCs w:val="16"/>
          <w:lang w:val="es-ES" w:eastAsia="es-ES"/>
        </w:rPr>
        <w:t>.</w:t>
      </w:r>
    </w:p>
  </w:footnote>
  <w:footnote w:id="26">
    <w:p w14:paraId="1C312D14" w14:textId="77777777" w:rsidR="00C077A3" w:rsidRPr="00C45436" w:rsidRDefault="00C077A3" w:rsidP="00C077A3">
      <w:pPr>
        <w:pStyle w:val="Textonotapie"/>
        <w:tabs>
          <w:tab w:val="left" w:pos="6521"/>
        </w:tabs>
        <w:ind w:firstLine="709"/>
        <w:jc w:val="both"/>
        <w:rPr>
          <w:rFonts w:ascii="Verdana" w:hAnsi="Verdana" w:cs="Arial"/>
          <w:color w:val="000000"/>
          <w:sz w:val="16"/>
          <w:szCs w:val="16"/>
          <w:lang w:val="es-ES"/>
        </w:rPr>
      </w:pPr>
      <w:r w:rsidRPr="0097307D">
        <w:rPr>
          <w:rStyle w:val="Refdenotaalpie"/>
          <w:rFonts w:ascii="Verdana" w:hAnsi="Verdana" w:cs="Arial"/>
          <w:color w:val="000000"/>
          <w:sz w:val="16"/>
          <w:szCs w:val="16"/>
        </w:rPr>
        <w:footnoteRef/>
      </w:r>
      <w:r w:rsidRPr="0097307D">
        <w:rPr>
          <w:rFonts w:ascii="Verdana" w:hAnsi="Verdana" w:cs="Arial"/>
          <w:color w:val="000000"/>
          <w:sz w:val="16"/>
          <w:szCs w:val="16"/>
          <w:lang w:val="pt-BR"/>
        </w:rPr>
        <w:t xml:space="preserve"> C</w:t>
      </w:r>
      <w:r w:rsidRPr="0097307D">
        <w:rPr>
          <w:rFonts w:ascii="Verdana" w:eastAsia="Times New Roman" w:hAnsi="Verdana" w:cs="Arial"/>
          <w:color w:val="000000"/>
          <w:sz w:val="16"/>
          <w:szCs w:val="16"/>
          <w:lang w:val="pt-BR" w:eastAsia="es-ES"/>
        </w:rPr>
        <w:t xml:space="preserve">orte Constitucional. Sentencia C‒274 de 2013. </w:t>
      </w:r>
      <w:r w:rsidRPr="0097307D">
        <w:rPr>
          <w:rFonts w:ascii="Verdana" w:eastAsia="Times New Roman" w:hAnsi="Verdana" w:cs="Arial"/>
          <w:color w:val="000000"/>
          <w:sz w:val="16"/>
          <w:szCs w:val="16"/>
          <w:lang w:val="es-ES" w:eastAsia="es-ES"/>
        </w:rPr>
        <w:t>M.P. Mar</w:t>
      </w:r>
      <w:r w:rsidRPr="0097307D">
        <w:rPr>
          <w:rFonts w:ascii="Verdana" w:eastAsia="Times New Roman" w:hAnsi="Verdana" w:cs="Century Gothic"/>
          <w:color w:val="000000"/>
          <w:sz w:val="16"/>
          <w:szCs w:val="16"/>
          <w:lang w:val="es-ES" w:eastAsia="es-ES"/>
        </w:rPr>
        <w:t>í</w:t>
      </w:r>
      <w:r w:rsidRPr="0097307D">
        <w:rPr>
          <w:rFonts w:ascii="Verdana" w:eastAsia="Times New Roman" w:hAnsi="Verdana" w:cs="Arial"/>
          <w:color w:val="000000"/>
          <w:sz w:val="16"/>
          <w:szCs w:val="16"/>
          <w:lang w:val="es-ES" w:eastAsia="es-ES"/>
        </w:rPr>
        <w:t xml:space="preserve">a Victoria Calle Correa. </w:t>
      </w:r>
    </w:p>
  </w:footnote>
  <w:footnote w:id="27">
    <w:p w14:paraId="259B24B2" w14:textId="77777777" w:rsidR="00C077A3" w:rsidRPr="0097307D" w:rsidRDefault="00C077A3" w:rsidP="00C077A3">
      <w:pPr>
        <w:pStyle w:val="Textonotapie"/>
        <w:tabs>
          <w:tab w:val="left" w:pos="6521"/>
        </w:tabs>
        <w:ind w:firstLine="708"/>
        <w:jc w:val="both"/>
        <w:rPr>
          <w:rFonts w:ascii="Verdana" w:hAnsi="Verdana" w:cs="Arial"/>
          <w:color w:val="000000"/>
          <w:sz w:val="16"/>
          <w:szCs w:val="16"/>
        </w:rPr>
      </w:pPr>
      <w:r w:rsidRPr="0097307D">
        <w:rPr>
          <w:rStyle w:val="Refdenotaalpie"/>
          <w:rFonts w:ascii="Verdana" w:hAnsi="Verdana" w:cs="Arial"/>
          <w:color w:val="000000"/>
          <w:sz w:val="16"/>
          <w:szCs w:val="16"/>
        </w:rPr>
        <w:footnoteRef/>
      </w:r>
      <w:r w:rsidRPr="0097307D">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4BDB7EA1" w14:textId="77777777" w:rsidR="00C077A3" w:rsidRPr="0097307D" w:rsidRDefault="00C077A3" w:rsidP="00C077A3">
      <w:pPr>
        <w:pStyle w:val="Textonotapie"/>
        <w:tabs>
          <w:tab w:val="left" w:pos="6521"/>
        </w:tabs>
        <w:ind w:firstLine="708"/>
        <w:jc w:val="both"/>
        <w:rPr>
          <w:rFonts w:ascii="Verdana" w:hAnsi="Verdana" w:cs="Arial"/>
          <w:color w:val="000000"/>
          <w:sz w:val="16"/>
          <w:szCs w:val="16"/>
        </w:rPr>
      </w:pPr>
      <w:r w:rsidRPr="0097307D">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BE429B" w:rsidRDefault="00BE429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E429B" w:rsidRDefault="00BE429B">
    <w:pPr>
      <w:pStyle w:val="Encabezado"/>
    </w:pPr>
  </w:p>
  <w:p w14:paraId="5E18350A" w14:textId="705F7B76" w:rsidR="00BE429B" w:rsidRPr="004A305D" w:rsidRDefault="00BE429B" w:rsidP="00B01B1A">
    <w:pPr>
      <w:spacing w:after="0" w:line="120" w:lineRule="auto"/>
      <w:rPr>
        <w:rFonts w:ascii="Century Gothic" w:eastAsia="Geo" w:hAnsi="Century Gothic" w:cs="Geo"/>
        <w:sz w:val="16"/>
        <w:szCs w:val="16"/>
        <w:lang w:eastAsia="es-CO"/>
      </w:rPr>
    </w:pPr>
  </w:p>
  <w:p w14:paraId="211B7F5D" w14:textId="77777777" w:rsidR="00BE429B" w:rsidRDefault="00BE429B" w:rsidP="00844AE9">
    <w:pPr>
      <w:spacing w:after="0" w:line="240" w:lineRule="auto"/>
      <w:rPr>
        <w:rFonts w:ascii="Verdana" w:hAnsi="Verdana"/>
        <w:sz w:val="24"/>
        <w:szCs w:val="24"/>
      </w:rPr>
    </w:pPr>
  </w:p>
  <w:p w14:paraId="5A0054B1" w14:textId="77777777" w:rsidR="00BE429B" w:rsidRPr="00C925AC" w:rsidRDefault="00BE429B" w:rsidP="00844AE9">
    <w:pPr>
      <w:spacing w:after="0" w:line="240" w:lineRule="auto"/>
      <w:rPr>
        <w:rFonts w:ascii="Verdana" w:hAnsi="Verdana"/>
        <w:sz w:val="24"/>
        <w:szCs w:val="24"/>
      </w:rPr>
    </w:pPr>
  </w:p>
  <w:p w14:paraId="1FD1C243" w14:textId="37C5500A" w:rsidR="00BE429B" w:rsidRPr="00C925AC" w:rsidRDefault="00BE429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10.9pt;height:10.9pt" o:bullet="t">
        <v:imagedata r:id="rId1" o:title="mso1B13"/>
      </v:shape>
    </w:pict>
  </w:numPicBullet>
  <w:abstractNum w:abstractNumId="0" w15:restartNumberingAfterBreak="0">
    <w:nsid w:val="B0616E81"/>
    <w:multiLevelType w:val="hybridMultilevel"/>
    <w:tmpl w:val="FB535A7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3C825BC"/>
    <w:multiLevelType w:val="multilevel"/>
    <w:tmpl w:val="A5145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1D1B0D"/>
    <w:multiLevelType w:val="hybridMultilevel"/>
    <w:tmpl w:val="BB3684A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3A6D042"/>
    <w:multiLevelType w:val="hybridMultilevel"/>
    <w:tmpl w:val="819DB82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E4F31A"/>
    <w:multiLevelType w:val="hybridMultilevel"/>
    <w:tmpl w:val="55D9019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863DF18"/>
    <w:multiLevelType w:val="hybridMultilevel"/>
    <w:tmpl w:val="7736271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5C4FC585"/>
    <w:multiLevelType w:val="hybridMultilevel"/>
    <w:tmpl w:val="F1711D0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7"/>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0"/>
  </w:num>
  <w:num w:numId="7">
    <w:abstractNumId w:val="8"/>
  </w:num>
  <w:num w:numId="8">
    <w:abstractNumId w:val="19"/>
  </w:num>
  <w:num w:numId="9">
    <w:abstractNumId w:val="11"/>
  </w:num>
  <w:num w:numId="10">
    <w:abstractNumId w:val="18"/>
  </w:num>
  <w:num w:numId="11">
    <w:abstractNumId w:val="12"/>
  </w:num>
  <w:num w:numId="12">
    <w:abstractNumId w:val="1"/>
  </w:num>
  <w:num w:numId="13">
    <w:abstractNumId w:val="5"/>
  </w:num>
  <w:num w:numId="14">
    <w:abstractNumId w:val="21"/>
  </w:num>
  <w:num w:numId="15">
    <w:abstractNumId w:val="17"/>
  </w:num>
  <w:num w:numId="16">
    <w:abstractNumId w:val="6"/>
  </w:num>
  <w:num w:numId="17">
    <w:abstractNumId w:val="15"/>
  </w:num>
  <w:num w:numId="18">
    <w:abstractNumId w:val="22"/>
  </w:num>
  <w:num w:numId="19">
    <w:abstractNumId w:val="0"/>
  </w:num>
  <w:num w:numId="20">
    <w:abstractNumId w:val="16"/>
  </w:num>
  <w:num w:numId="21">
    <w:abstractNumId w:val="13"/>
  </w:num>
  <w:num w:numId="22">
    <w:abstractNumId w:val="10"/>
  </w:num>
  <w:num w:numId="23">
    <w:abstractNumId w:val="14"/>
  </w:num>
  <w:num w:numId="24">
    <w:abstractNumId w:val="4"/>
  </w:num>
  <w:num w:numId="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30CF"/>
    <w:rsid w:val="00016F78"/>
    <w:rsid w:val="000234A1"/>
    <w:rsid w:val="00046945"/>
    <w:rsid w:val="00055945"/>
    <w:rsid w:val="00061B2A"/>
    <w:rsid w:val="00082362"/>
    <w:rsid w:val="000A683E"/>
    <w:rsid w:val="000B19B9"/>
    <w:rsid w:val="000C7D33"/>
    <w:rsid w:val="000D0334"/>
    <w:rsid w:val="000D5DA7"/>
    <w:rsid w:val="000F6486"/>
    <w:rsid w:val="00116940"/>
    <w:rsid w:val="00125105"/>
    <w:rsid w:val="00127233"/>
    <w:rsid w:val="0015699B"/>
    <w:rsid w:val="001743CA"/>
    <w:rsid w:val="00176FA8"/>
    <w:rsid w:val="001A0CEC"/>
    <w:rsid w:val="001A33BF"/>
    <w:rsid w:val="001E4177"/>
    <w:rsid w:val="001F0B24"/>
    <w:rsid w:val="001F7DC6"/>
    <w:rsid w:val="00211230"/>
    <w:rsid w:val="00215347"/>
    <w:rsid w:val="0022400B"/>
    <w:rsid w:val="00236C00"/>
    <w:rsid w:val="002421BB"/>
    <w:rsid w:val="00246CBB"/>
    <w:rsid w:val="00252059"/>
    <w:rsid w:val="002528B0"/>
    <w:rsid w:val="0025796E"/>
    <w:rsid w:val="002707A2"/>
    <w:rsid w:val="002951A0"/>
    <w:rsid w:val="002962BC"/>
    <w:rsid w:val="002A093D"/>
    <w:rsid w:val="002A0DD0"/>
    <w:rsid w:val="002A213F"/>
    <w:rsid w:val="002A49AC"/>
    <w:rsid w:val="002A58CD"/>
    <w:rsid w:val="002A64FD"/>
    <w:rsid w:val="002B730F"/>
    <w:rsid w:val="002C7A84"/>
    <w:rsid w:val="002E2BF8"/>
    <w:rsid w:val="002E4FD9"/>
    <w:rsid w:val="003004D2"/>
    <w:rsid w:val="0030657A"/>
    <w:rsid w:val="00317432"/>
    <w:rsid w:val="00322A85"/>
    <w:rsid w:val="00324168"/>
    <w:rsid w:val="00325055"/>
    <w:rsid w:val="00330834"/>
    <w:rsid w:val="003448F4"/>
    <w:rsid w:val="0036053B"/>
    <w:rsid w:val="0037015E"/>
    <w:rsid w:val="00374F5E"/>
    <w:rsid w:val="00377E3E"/>
    <w:rsid w:val="003A779E"/>
    <w:rsid w:val="003C5FD9"/>
    <w:rsid w:val="003D0F4D"/>
    <w:rsid w:val="003D5B0D"/>
    <w:rsid w:val="003E0499"/>
    <w:rsid w:val="003E4F80"/>
    <w:rsid w:val="003E6439"/>
    <w:rsid w:val="003F3941"/>
    <w:rsid w:val="00406575"/>
    <w:rsid w:val="00412BEF"/>
    <w:rsid w:val="00414C74"/>
    <w:rsid w:val="0042722E"/>
    <w:rsid w:val="00442203"/>
    <w:rsid w:val="0044528D"/>
    <w:rsid w:val="00466E39"/>
    <w:rsid w:val="00470178"/>
    <w:rsid w:val="00474655"/>
    <w:rsid w:val="004810F0"/>
    <w:rsid w:val="00494A06"/>
    <w:rsid w:val="004A1847"/>
    <w:rsid w:val="004A2CFC"/>
    <w:rsid w:val="004A305D"/>
    <w:rsid w:val="004D5C33"/>
    <w:rsid w:val="004F21C4"/>
    <w:rsid w:val="004F685F"/>
    <w:rsid w:val="00502AF0"/>
    <w:rsid w:val="005502B6"/>
    <w:rsid w:val="005566E8"/>
    <w:rsid w:val="00560ECB"/>
    <w:rsid w:val="00567284"/>
    <w:rsid w:val="00574867"/>
    <w:rsid w:val="00575FFB"/>
    <w:rsid w:val="00591460"/>
    <w:rsid w:val="005A65E0"/>
    <w:rsid w:val="005A7A41"/>
    <w:rsid w:val="005C3777"/>
    <w:rsid w:val="005C47DD"/>
    <w:rsid w:val="005C5CDC"/>
    <w:rsid w:val="005D3772"/>
    <w:rsid w:val="005D476C"/>
    <w:rsid w:val="005E30AD"/>
    <w:rsid w:val="005E7C99"/>
    <w:rsid w:val="005F1A8F"/>
    <w:rsid w:val="00603964"/>
    <w:rsid w:val="006200BF"/>
    <w:rsid w:val="006219F8"/>
    <w:rsid w:val="006302F7"/>
    <w:rsid w:val="00646B9F"/>
    <w:rsid w:val="006506D8"/>
    <w:rsid w:val="006571B8"/>
    <w:rsid w:val="00665D70"/>
    <w:rsid w:val="006900D9"/>
    <w:rsid w:val="00706C16"/>
    <w:rsid w:val="0071632A"/>
    <w:rsid w:val="007340C3"/>
    <w:rsid w:val="00747A86"/>
    <w:rsid w:val="0075235A"/>
    <w:rsid w:val="00756841"/>
    <w:rsid w:val="007649AB"/>
    <w:rsid w:val="00771D0C"/>
    <w:rsid w:val="007833AC"/>
    <w:rsid w:val="007A1830"/>
    <w:rsid w:val="007A4F64"/>
    <w:rsid w:val="007B268C"/>
    <w:rsid w:val="007B7171"/>
    <w:rsid w:val="007C025F"/>
    <w:rsid w:val="007C0C0F"/>
    <w:rsid w:val="007C3DC2"/>
    <w:rsid w:val="007D1AA3"/>
    <w:rsid w:val="007E5497"/>
    <w:rsid w:val="008010AD"/>
    <w:rsid w:val="00806F5F"/>
    <w:rsid w:val="00820213"/>
    <w:rsid w:val="00820278"/>
    <w:rsid w:val="008258C9"/>
    <w:rsid w:val="008316FF"/>
    <w:rsid w:val="00844AE9"/>
    <w:rsid w:val="00867F95"/>
    <w:rsid w:val="00871162"/>
    <w:rsid w:val="008843B6"/>
    <w:rsid w:val="008853C8"/>
    <w:rsid w:val="00891928"/>
    <w:rsid w:val="008A3E33"/>
    <w:rsid w:val="008A446D"/>
    <w:rsid w:val="008B25F1"/>
    <w:rsid w:val="008D180B"/>
    <w:rsid w:val="008F0EA7"/>
    <w:rsid w:val="00923EEF"/>
    <w:rsid w:val="00926F6C"/>
    <w:rsid w:val="009419F9"/>
    <w:rsid w:val="00945E3D"/>
    <w:rsid w:val="0095685E"/>
    <w:rsid w:val="00961B09"/>
    <w:rsid w:val="00965334"/>
    <w:rsid w:val="0097093E"/>
    <w:rsid w:val="00982C6E"/>
    <w:rsid w:val="009A0DFA"/>
    <w:rsid w:val="009B2D26"/>
    <w:rsid w:val="009C71FA"/>
    <w:rsid w:val="009C72E7"/>
    <w:rsid w:val="009C7F7E"/>
    <w:rsid w:val="009D3058"/>
    <w:rsid w:val="009D4B90"/>
    <w:rsid w:val="009D53A2"/>
    <w:rsid w:val="009F3A13"/>
    <w:rsid w:val="00A02AB0"/>
    <w:rsid w:val="00A122D3"/>
    <w:rsid w:val="00A14468"/>
    <w:rsid w:val="00A17F13"/>
    <w:rsid w:val="00A20739"/>
    <w:rsid w:val="00A23AF9"/>
    <w:rsid w:val="00A33C78"/>
    <w:rsid w:val="00A5237A"/>
    <w:rsid w:val="00A7153D"/>
    <w:rsid w:val="00A85C07"/>
    <w:rsid w:val="00A868E0"/>
    <w:rsid w:val="00A96668"/>
    <w:rsid w:val="00AA7E50"/>
    <w:rsid w:val="00AB0ADB"/>
    <w:rsid w:val="00AC7081"/>
    <w:rsid w:val="00B00412"/>
    <w:rsid w:val="00B00C0E"/>
    <w:rsid w:val="00B01B1A"/>
    <w:rsid w:val="00B44A47"/>
    <w:rsid w:val="00B67807"/>
    <w:rsid w:val="00B72CD3"/>
    <w:rsid w:val="00B72FFF"/>
    <w:rsid w:val="00B77287"/>
    <w:rsid w:val="00BC3D36"/>
    <w:rsid w:val="00BD54A6"/>
    <w:rsid w:val="00BD7F72"/>
    <w:rsid w:val="00BE429B"/>
    <w:rsid w:val="00BE5E63"/>
    <w:rsid w:val="00BF11EF"/>
    <w:rsid w:val="00BF7425"/>
    <w:rsid w:val="00C04FB3"/>
    <w:rsid w:val="00C077A3"/>
    <w:rsid w:val="00C11D8B"/>
    <w:rsid w:val="00C16B06"/>
    <w:rsid w:val="00C330EB"/>
    <w:rsid w:val="00C50D69"/>
    <w:rsid w:val="00C5365C"/>
    <w:rsid w:val="00C754BE"/>
    <w:rsid w:val="00C76B1C"/>
    <w:rsid w:val="00C925AC"/>
    <w:rsid w:val="00CB6357"/>
    <w:rsid w:val="00CC1B26"/>
    <w:rsid w:val="00D01973"/>
    <w:rsid w:val="00D24E1B"/>
    <w:rsid w:val="00D27CE1"/>
    <w:rsid w:val="00D361FD"/>
    <w:rsid w:val="00D423A2"/>
    <w:rsid w:val="00D44E26"/>
    <w:rsid w:val="00D520D8"/>
    <w:rsid w:val="00D532F2"/>
    <w:rsid w:val="00D63AC2"/>
    <w:rsid w:val="00D7383B"/>
    <w:rsid w:val="00D7788A"/>
    <w:rsid w:val="00D829C0"/>
    <w:rsid w:val="00DA231B"/>
    <w:rsid w:val="00DA71F5"/>
    <w:rsid w:val="00DC236F"/>
    <w:rsid w:val="00DC39FC"/>
    <w:rsid w:val="00DF3306"/>
    <w:rsid w:val="00DF5254"/>
    <w:rsid w:val="00E02524"/>
    <w:rsid w:val="00E16408"/>
    <w:rsid w:val="00E20894"/>
    <w:rsid w:val="00E245AB"/>
    <w:rsid w:val="00E2764C"/>
    <w:rsid w:val="00E27F2E"/>
    <w:rsid w:val="00E50AFE"/>
    <w:rsid w:val="00E65B53"/>
    <w:rsid w:val="00E75C92"/>
    <w:rsid w:val="00E771DC"/>
    <w:rsid w:val="00E8772A"/>
    <w:rsid w:val="00E90F6B"/>
    <w:rsid w:val="00E92C27"/>
    <w:rsid w:val="00E94B76"/>
    <w:rsid w:val="00EA0E3D"/>
    <w:rsid w:val="00EC38A7"/>
    <w:rsid w:val="00ED0AD9"/>
    <w:rsid w:val="00EE1AA8"/>
    <w:rsid w:val="00EF1E8C"/>
    <w:rsid w:val="00F22C66"/>
    <w:rsid w:val="00F23FEA"/>
    <w:rsid w:val="00F27B7B"/>
    <w:rsid w:val="00F31EDC"/>
    <w:rsid w:val="00F32A8C"/>
    <w:rsid w:val="00F462B3"/>
    <w:rsid w:val="00F5664F"/>
    <w:rsid w:val="00F666C4"/>
    <w:rsid w:val="00F7501A"/>
    <w:rsid w:val="00F76AFC"/>
    <w:rsid w:val="00FA47C0"/>
    <w:rsid w:val="00FB5DD1"/>
    <w:rsid w:val="00FC2B5D"/>
    <w:rsid w:val="00FD2581"/>
    <w:rsid w:val="00FE0CDD"/>
    <w:rsid w:val="00FF1449"/>
    <w:rsid w:val="00FF3D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77A3"/>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3D97"/>
    <w:rPr>
      <w:rFonts w:ascii="Geomanist Light" w:hAnsi="Geomanist Light"/>
      <w:lang w:val="es-ES"/>
    </w:rPr>
  </w:style>
  <w:style w:type="character" w:customStyle="1" w:styleId="NormalWebCar">
    <w:name w:val="Normal (Web) Car"/>
    <w:link w:val="NormalWeb"/>
    <w:uiPriority w:val="99"/>
    <w:locked/>
    <w:rsid w:val="00A7153D"/>
    <w:rPr>
      <w:rFonts w:ascii="Times New Roman" w:eastAsia="Times New Roman" w:hAnsi="Times New Roman" w:cs="Times New Roman"/>
      <w:sz w:val="24"/>
      <w:szCs w:val="24"/>
      <w:lang w:eastAsia="es-CO"/>
    </w:rPr>
  </w:style>
  <w:style w:type="character" w:customStyle="1" w:styleId="baj">
    <w:name w:val="b_aj"/>
    <w:basedOn w:val="Fuentedeprrafopredeter"/>
    <w:rsid w:val="00A715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068726">
      <w:bodyDiv w:val="1"/>
      <w:marLeft w:val="0"/>
      <w:marRight w:val="0"/>
      <w:marTop w:val="0"/>
      <w:marBottom w:val="0"/>
      <w:divBdr>
        <w:top w:val="none" w:sz="0" w:space="0" w:color="auto"/>
        <w:left w:val="none" w:sz="0" w:space="0" w:color="auto"/>
        <w:bottom w:val="none" w:sz="0" w:space="0" w:color="auto"/>
        <w:right w:val="none" w:sz="0" w:space="0" w:color="auto"/>
      </w:divBdr>
      <w:divsChild>
        <w:div w:id="38404523">
          <w:marLeft w:val="0"/>
          <w:marRight w:val="0"/>
          <w:marTop w:val="0"/>
          <w:marBottom w:val="0"/>
          <w:divBdr>
            <w:top w:val="none" w:sz="0" w:space="0" w:color="auto"/>
            <w:left w:val="none" w:sz="0" w:space="0" w:color="auto"/>
            <w:bottom w:val="none" w:sz="0" w:space="0" w:color="auto"/>
            <w:right w:val="none" w:sz="0" w:space="0" w:color="auto"/>
          </w:divBdr>
        </w:div>
      </w:divsChild>
    </w:div>
    <w:div w:id="108817703">
      <w:bodyDiv w:val="1"/>
      <w:marLeft w:val="0"/>
      <w:marRight w:val="0"/>
      <w:marTop w:val="0"/>
      <w:marBottom w:val="0"/>
      <w:divBdr>
        <w:top w:val="none" w:sz="0" w:space="0" w:color="auto"/>
        <w:left w:val="none" w:sz="0" w:space="0" w:color="auto"/>
        <w:bottom w:val="none" w:sz="0" w:space="0" w:color="auto"/>
        <w:right w:val="none" w:sz="0" w:space="0" w:color="auto"/>
      </w:divBdr>
    </w:div>
    <w:div w:id="131800280">
      <w:bodyDiv w:val="1"/>
      <w:marLeft w:val="0"/>
      <w:marRight w:val="0"/>
      <w:marTop w:val="0"/>
      <w:marBottom w:val="0"/>
      <w:divBdr>
        <w:top w:val="none" w:sz="0" w:space="0" w:color="auto"/>
        <w:left w:val="none" w:sz="0" w:space="0" w:color="auto"/>
        <w:bottom w:val="none" w:sz="0" w:space="0" w:color="auto"/>
        <w:right w:val="none" w:sz="0" w:space="0" w:color="auto"/>
      </w:divBdr>
      <w:divsChild>
        <w:div w:id="1218514498">
          <w:marLeft w:val="0"/>
          <w:marRight w:val="0"/>
          <w:marTop w:val="0"/>
          <w:marBottom w:val="0"/>
          <w:divBdr>
            <w:top w:val="none" w:sz="0" w:space="0" w:color="auto"/>
            <w:left w:val="none" w:sz="0" w:space="0" w:color="auto"/>
            <w:bottom w:val="none" w:sz="0" w:space="0" w:color="auto"/>
            <w:right w:val="none" w:sz="0" w:space="0" w:color="auto"/>
          </w:divBdr>
        </w:div>
      </w:divsChild>
    </w:div>
    <w:div w:id="279382190">
      <w:bodyDiv w:val="1"/>
      <w:marLeft w:val="0"/>
      <w:marRight w:val="0"/>
      <w:marTop w:val="0"/>
      <w:marBottom w:val="0"/>
      <w:divBdr>
        <w:top w:val="none" w:sz="0" w:space="0" w:color="auto"/>
        <w:left w:val="none" w:sz="0" w:space="0" w:color="auto"/>
        <w:bottom w:val="none" w:sz="0" w:space="0" w:color="auto"/>
        <w:right w:val="none" w:sz="0" w:space="0" w:color="auto"/>
      </w:divBdr>
      <w:divsChild>
        <w:div w:id="964847463">
          <w:marLeft w:val="0"/>
          <w:marRight w:val="0"/>
          <w:marTop w:val="0"/>
          <w:marBottom w:val="0"/>
          <w:divBdr>
            <w:top w:val="none" w:sz="0" w:space="0" w:color="auto"/>
            <w:left w:val="none" w:sz="0" w:space="0" w:color="auto"/>
            <w:bottom w:val="none" w:sz="0" w:space="0" w:color="auto"/>
            <w:right w:val="none" w:sz="0" w:space="0" w:color="auto"/>
          </w:divBdr>
        </w:div>
      </w:divsChild>
    </w:div>
    <w:div w:id="283079966">
      <w:bodyDiv w:val="1"/>
      <w:marLeft w:val="0"/>
      <w:marRight w:val="0"/>
      <w:marTop w:val="0"/>
      <w:marBottom w:val="0"/>
      <w:divBdr>
        <w:top w:val="none" w:sz="0" w:space="0" w:color="auto"/>
        <w:left w:val="none" w:sz="0" w:space="0" w:color="auto"/>
        <w:bottom w:val="none" w:sz="0" w:space="0" w:color="auto"/>
        <w:right w:val="none" w:sz="0" w:space="0" w:color="auto"/>
      </w:divBdr>
      <w:divsChild>
        <w:div w:id="1634407122">
          <w:marLeft w:val="0"/>
          <w:marRight w:val="0"/>
          <w:marTop w:val="0"/>
          <w:marBottom w:val="0"/>
          <w:divBdr>
            <w:top w:val="none" w:sz="0" w:space="0" w:color="auto"/>
            <w:left w:val="none" w:sz="0" w:space="0" w:color="auto"/>
            <w:bottom w:val="none" w:sz="0" w:space="0" w:color="auto"/>
            <w:right w:val="none" w:sz="0" w:space="0" w:color="auto"/>
          </w:divBdr>
        </w:div>
      </w:divsChild>
    </w:div>
    <w:div w:id="289360698">
      <w:bodyDiv w:val="1"/>
      <w:marLeft w:val="0"/>
      <w:marRight w:val="0"/>
      <w:marTop w:val="0"/>
      <w:marBottom w:val="0"/>
      <w:divBdr>
        <w:top w:val="none" w:sz="0" w:space="0" w:color="auto"/>
        <w:left w:val="none" w:sz="0" w:space="0" w:color="auto"/>
        <w:bottom w:val="none" w:sz="0" w:space="0" w:color="auto"/>
        <w:right w:val="none" w:sz="0" w:space="0" w:color="auto"/>
      </w:divBdr>
      <w:divsChild>
        <w:div w:id="188642866">
          <w:marLeft w:val="0"/>
          <w:marRight w:val="0"/>
          <w:marTop w:val="0"/>
          <w:marBottom w:val="0"/>
          <w:divBdr>
            <w:top w:val="none" w:sz="0" w:space="0" w:color="auto"/>
            <w:left w:val="none" w:sz="0" w:space="0" w:color="auto"/>
            <w:bottom w:val="none" w:sz="0" w:space="0" w:color="auto"/>
            <w:right w:val="none" w:sz="0" w:space="0" w:color="auto"/>
          </w:divBdr>
        </w:div>
      </w:divsChild>
    </w:div>
    <w:div w:id="362830511">
      <w:bodyDiv w:val="1"/>
      <w:marLeft w:val="0"/>
      <w:marRight w:val="0"/>
      <w:marTop w:val="0"/>
      <w:marBottom w:val="0"/>
      <w:divBdr>
        <w:top w:val="none" w:sz="0" w:space="0" w:color="auto"/>
        <w:left w:val="none" w:sz="0" w:space="0" w:color="auto"/>
        <w:bottom w:val="none" w:sz="0" w:space="0" w:color="auto"/>
        <w:right w:val="none" w:sz="0" w:space="0" w:color="auto"/>
      </w:divBdr>
    </w:div>
    <w:div w:id="364061825">
      <w:bodyDiv w:val="1"/>
      <w:marLeft w:val="0"/>
      <w:marRight w:val="0"/>
      <w:marTop w:val="0"/>
      <w:marBottom w:val="0"/>
      <w:divBdr>
        <w:top w:val="none" w:sz="0" w:space="0" w:color="auto"/>
        <w:left w:val="none" w:sz="0" w:space="0" w:color="auto"/>
        <w:bottom w:val="none" w:sz="0" w:space="0" w:color="auto"/>
        <w:right w:val="none" w:sz="0" w:space="0" w:color="auto"/>
      </w:divBdr>
    </w:div>
    <w:div w:id="402416988">
      <w:bodyDiv w:val="1"/>
      <w:marLeft w:val="0"/>
      <w:marRight w:val="0"/>
      <w:marTop w:val="0"/>
      <w:marBottom w:val="0"/>
      <w:divBdr>
        <w:top w:val="none" w:sz="0" w:space="0" w:color="auto"/>
        <w:left w:val="none" w:sz="0" w:space="0" w:color="auto"/>
        <w:bottom w:val="none" w:sz="0" w:space="0" w:color="auto"/>
        <w:right w:val="none" w:sz="0" w:space="0" w:color="auto"/>
      </w:divBdr>
      <w:divsChild>
        <w:div w:id="1103379961">
          <w:marLeft w:val="0"/>
          <w:marRight w:val="0"/>
          <w:marTop w:val="0"/>
          <w:marBottom w:val="0"/>
          <w:divBdr>
            <w:top w:val="none" w:sz="0" w:space="0" w:color="auto"/>
            <w:left w:val="none" w:sz="0" w:space="0" w:color="auto"/>
            <w:bottom w:val="none" w:sz="0" w:space="0" w:color="auto"/>
            <w:right w:val="none" w:sz="0" w:space="0" w:color="auto"/>
          </w:divBdr>
        </w:div>
      </w:divsChild>
    </w:div>
    <w:div w:id="555898339">
      <w:bodyDiv w:val="1"/>
      <w:marLeft w:val="0"/>
      <w:marRight w:val="0"/>
      <w:marTop w:val="0"/>
      <w:marBottom w:val="0"/>
      <w:divBdr>
        <w:top w:val="none" w:sz="0" w:space="0" w:color="auto"/>
        <w:left w:val="none" w:sz="0" w:space="0" w:color="auto"/>
        <w:bottom w:val="none" w:sz="0" w:space="0" w:color="auto"/>
        <w:right w:val="none" w:sz="0" w:space="0" w:color="auto"/>
      </w:divBdr>
    </w:div>
    <w:div w:id="616789898">
      <w:bodyDiv w:val="1"/>
      <w:marLeft w:val="0"/>
      <w:marRight w:val="0"/>
      <w:marTop w:val="0"/>
      <w:marBottom w:val="0"/>
      <w:divBdr>
        <w:top w:val="none" w:sz="0" w:space="0" w:color="auto"/>
        <w:left w:val="none" w:sz="0" w:space="0" w:color="auto"/>
        <w:bottom w:val="none" w:sz="0" w:space="0" w:color="auto"/>
        <w:right w:val="none" w:sz="0" w:space="0" w:color="auto"/>
      </w:divBdr>
      <w:divsChild>
        <w:div w:id="218516423">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812479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73217194">
      <w:bodyDiv w:val="1"/>
      <w:marLeft w:val="0"/>
      <w:marRight w:val="0"/>
      <w:marTop w:val="0"/>
      <w:marBottom w:val="0"/>
      <w:divBdr>
        <w:top w:val="none" w:sz="0" w:space="0" w:color="auto"/>
        <w:left w:val="none" w:sz="0" w:space="0" w:color="auto"/>
        <w:bottom w:val="none" w:sz="0" w:space="0" w:color="auto"/>
        <w:right w:val="none" w:sz="0" w:space="0" w:color="auto"/>
      </w:divBdr>
      <w:divsChild>
        <w:div w:id="1058557932">
          <w:marLeft w:val="0"/>
          <w:marRight w:val="0"/>
          <w:marTop w:val="0"/>
          <w:marBottom w:val="0"/>
          <w:divBdr>
            <w:top w:val="none" w:sz="0" w:space="0" w:color="auto"/>
            <w:left w:val="none" w:sz="0" w:space="0" w:color="auto"/>
            <w:bottom w:val="none" w:sz="0" w:space="0" w:color="auto"/>
            <w:right w:val="none" w:sz="0" w:space="0" w:color="auto"/>
          </w:divBdr>
        </w:div>
      </w:divsChild>
    </w:div>
    <w:div w:id="1130443694">
      <w:bodyDiv w:val="1"/>
      <w:marLeft w:val="0"/>
      <w:marRight w:val="0"/>
      <w:marTop w:val="0"/>
      <w:marBottom w:val="0"/>
      <w:divBdr>
        <w:top w:val="none" w:sz="0" w:space="0" w:color="auto"/>
        <w:left w:val="none" w:sz="0" w:space="0" w:color="auto"/>
        <w:bottom w:val="none" w:sz="0" w:space="0" w:color="auto"/>
        <w:right w:val="none" w:sz="0" w:space="0" w:color="auto"/>
      </w:divBdr>
      <w:divsChild>
        <w:div w:id="137307053">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61047948">
      <w:bodyDiv w:val="1"/>
      <w:marLeft w:val="0"/>
      <w:marRight w:val="0"/>
      <w:marTop w:val="0"/>
      <w:marBottom w:val="0"/>
      <w:divBdr>
        <w:top w:val="none" w:sz="0" w:space="0" w:color="auto"/>
        <w:left w:val="none" w:sz="0" w:space="0" w:color="auto"/>
        <w:bottom w:val="none" w:sz="0" w:space="0" w:color="auto"/>
        <w:right w:val="none" w:sz="0" w:space="0" w:color="auto"/>
      </w:divBdr>
      <w:divsChild>
        <w:div w:id="961959163">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82302456">
      <w:bodyDiv w:val="1"/>
      <w:marLeft w:val="0"/>
      <w:marRight w:val="0"/>
      <w:marTop w:val="0"/>
      <w:marBottom w:val="0"/>
      <w:divBdr>
        <w:top w:val="none" w:sz="0" w:space="0" w:color="auto"/>
        <w:left w:val="none" w:sz="0" w:space="0" w:color="auto"/>
        <w:bottom w:val="none" w:sz="0" w:space="0" w:color="auto"/>
        <w:right w:val="none" w:sz="0" w:space="0" w:color="auto"/>
      </w:divBdr>
      <w:divsChild>
        <w:div w:id="347754330">
          <w:marLeft w:val="0"/>
          <w:marRight w:val="0"/>
          <w:marTop w:val="0"/>
          <w:marBottom w:val="0"/>
          <w:divBdr>
            <w:top w:val="none" w:sz="0" w:space="0" w:color="auto"/>
            <w:left w:val="none" w:sz="0" w:space="0" w:color="auto"/>
            <w:bottom w:val="none" w:sz="0" w:space="0" w:color="auto"/>
            <w:right w:val="none" w:sz="0" w:space="0" w:color="auto"/>
          </w:divBdr>
        </w:div>
      </w:divsChild>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46000206">
      <w:bodyDiv w:val="1"/>
      <w:marLeft w:val="0"/>
      <w:marRight w:val="0"/>
      <w:marTop w:val="0"/>
      <w:marBottom w:val="0"/>
      <w:divBdr>
        <w:top w:val="none" w:sz="0" w:space="0" w:color="auto"/>
        <w:left w:val="none" w:sz="0" w:space="0" w:color="auto"/>
        <w:bottom w:val="none" w:sz="0" w:space="0" w:color="auto"/>
        <w:right w:val="none" w:sz="0" w:space="0" w:color="auto"/>
      </w:divBdr>
      <w:divsChild>
        <w:div w:id="880169328">
          <w:marLeft w:val="0"/>
          <w:marRight w:val="0"/>
          <w:marTop w:val="0"/>
          <w:marBottom w:val="0"/>
          <w:divBdr>
            <w:top w:val="none" w:sz="0" w:space="0" w:color="auto"/>
            <w:left w:val="none" w:sz="0" w:space="0" w:color="auto"/>
            <w:bottom w:val="none" w:sz="0" w:space="0" w:color="auto"/>
            <w:right w:val="none" w:sz="0" w:space="0" w:color="auto"/>
          </w:divBdr>
        </w:div>
      </w:divsChild>
    </w:div>
    <w:div w:id="1522428294">
      <w:bodyDiv w:val="1"/>
      <w:marLeft w:val="0"/>
      <w:marRight w:val="0"/>
      <w:marTop w:val="0"/>
      <w:marBottom w:val="0"/>
      <w:divBdr>
        <w:top w:val="none" w:sz="0" w:space="0" w:color="auto"/>
        <w:left w:val="none" w:sz="0" w:space="0" w:color="auto"/>
        <w:bottom w:val="none" w:sz="0" w:space="0" w:color="auto"/>
        <w:right w:val="none" w:sz="0" w:space="0" w:color="auto"/>
      </w:divBdr>
      <w:divsChild>
        <w:div w:id="909194973">
          <w:marLeft w:val="0"/>
          <w:marRight w:val="0"/>
          <w:marTop w:val="0"/>
          <w:marBottom w:val="0"/>
          <w:divBdr>
            <w:top w:val="none" w:sz="0" w:space="0" w:color="auto"/>
            <w:left w:val="none" w:sz="0" w:space="0" w:color="auto"/>
            <w:bottom w:val="none" w:sz="0" w:space="0" w:color="auto"/>
            <w:right w:val="none" w:sz="0" w:space="0" w:color="auto"/>
          </w:divBdr>
        </w:div>
      </w:divsChild>
    </w:div>
    <w:div w:id="1731034327">
      <w:bodyDiv w:val="1"/>
      <w:marLeft w:val="0"/>
      <w:marRight w:val="0"/>
      <w:marTop w:val="0"/>
      <w:marBottom w:val="0"/>
      <w:divBdr>
        <w:top w:val="none" w:sz="0" w:space="0" w:color="auto"/>
        <w:left w:val="none" w:sz="0" w:space="0" w:color="auto"/>
        <w:bottom w:val="none" w:sz="0" w:space="0" w:color="auto"/>
        <w:right w:val="none" w:sz="0" w:space="0" w:color="auto"/>
      </w:divBdr>
    </w:div>
    <w:div w:id="1733625271">
      <w:bodyDiv w:val="1"/>
      <w:marLeft w:val="0"/>
      <w:marRight w:val="0"/>
      <w:marTop w:val="0"/>
      <w:marBottom w:val="0"/>
      <w:divBdr>
        <w:top w:val="none" w:sz="0" w:space="0" w:color="auto"/>
        <w:left w:val="none" w:sz="0" w:space="0" w:color="auto"/>
        <w:bottom w:val="none" w:sz="0" w:space="0" w:color="auto"/>
        <w:right w:val="none" w:sz="0" w:space="0" w:color="auto"/>
      </w:divBdr>
      <w:divsChild>
        <w:div w:id="306672787">
          <w:marLeft w:val="0"/>
          <w:marRight w:val="0"/>
          <w:marTop w:val="0"/>
          <w:marBottom w:val="0"/>
          <w:divBdr>
            <w:top w:val="none" w:sz="0" w:space="0" w:color="auto"/>
            <w:left w:val="none" w:sz="0" w:space="0" w:color="auto"/>
            <w:bottom w:val="none" w:sz="0" w:space="0" w:color="auto"/>
            <w:right w:val="none" w:sz="0" w:space="0" w:color="auto"/>
          </w:divBdr>
        </w:div>
      </w:divsChild>
    </w:div>
    <w:div w:id="1787699060">
      <w:bodyDiv w:val="1"/>
      <w:marLeft w:val="0"/>
      <w:marRight w:val="0"/>
      <w:marTop w:val="0"/>
      <w:marBottom w:val="0"/>
      <w:divBdr>
        <w:top w:val="none" w:sz="0" w:space="0" w:color="auto"/>
        <w:left w:val="none" w:sz="0" w:space="0" w:color="auto"/>
        <w:bottom w:val="none" w:sz="0" w:space="0" w:color="auto"/>
        <w:right w:val="none" w:sz="0" w:space="0" w:color="auto"/>
      </w:divBdr>
      <w:divsChild>
        <w:div w:id="599531471">
          <w:marLeft w:val="0"/>
          <w:marRight w:val="0"/>
          <w:marTop w:val="0"/>
          <w:marBottom w:val="0"/>
          <w:divBdr>
            <w:top w:val="none" w:sz="0" w:space="0" w:color="auto"/>
            <w:left w:val="none" w:sz="0" w:space="0" w:color="auto"/>
            <w:bottom w:val="none" w:sz="0" w:space="0" w:color="auto"/>
            <w:right w:val="none" w:sz="0" w:space="0" w:color="auto"/>
          </w:divBdr>
        </w:div>
      </w:divsChild>
    </w:div>
    <w:div w:id="1898471345">
      <w:bodyDiv w:val="1"/>
      <w:marLeft w:val="0"/>
      <w:marRight w:val="0"/>
      <w:marTop w:val="0"/>
      <w:marBottom w:val="0"/>
      <w:divBdr>
        <w:top w:val="none" w:sz="0" w:space="0" w:color="auto"/>
        <w:left w:val="none" w:sz="0" w:space="0" w:color="auto"/>
        <w:bottom w:val="none" w:sz="0" w:space="0" w:color="auto"/>
        <w:right w:val="none" w:sz="0" w:space="0" w:color="auto"/>
      </w:divBdr>
      <w:divsChild>
        <w:div w:id="1768192318">
          <w:marLeft w:val="0"/>
          <w:marRight w:val="0"/>
          <w:marTop w:val="0"/>
          <w:marBottom w:val="0"/>
          <w:divBdr>
            <w:top w:val="none" w:sz="0" w:space="0" w:color="auto"/>
            <w:left w:val="none" w:sz="0" w:space="0" w:color="auto"/>
            <w:bottom w:val="none" w:sz="0" w:space="0" w:color="auto"/>
            <w:right w:val="none" w:sz="0" w:space="0" w:color="auto"/>
          </w:divBdr>
        </w:div>
      </w:divsChild>
    </w:div>
    <w:div w:id="1941713527">
      <w:bodyDiv w:val="1"/>
      <w:marLeft w:val="0"/>
      <w:marRight w:val="0"/>
      <w:marTop w:val="0"/>
      <w:marBottom w:val="0"/>
      <w:divBdr>
        <w:top w:val="none" w:sz="0" w:space="0" w:color="auto"/>
        <w:left w:val="none" w:sz="0" w:space="0" w:color="auto"/>
        <w:bottom w:val="none" w:sz="0" w:space="0" w:color="auto"/>
        <w:right w:val="none" w:sz="0" w:space="0" w:color="auto"/>
      </w:divBdr>
    </w:div>
    <w:div w:id="210144188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decreto_1494_2015.html"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https://gestornormativo.creg.gov.co/gestor/entorno/docs/resolucion_creg_0005_2012.ht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78696A8-AD58-4DBE-A0B5-FE9836A97880}"/>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4.xml><?xml version="1.0" encoding="utf-8"?>
<ds:datastoreItem xmlns:ds="http://schemas.openxmlformats.org/officeDocument/2006/customXml" ds:itemID="{DC21A32D-84FC-4A16-97E0-6456D20AC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48</Pages>
  <Words>16443</Words>
  <Characters>93726</Characters>
  <Application>Microsoft Office Word</Application>
  <DocSecurity>0</DocSecurity>
  <Lines>781</Lines>
  <Paragraphs>219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 -CCE</cp:lastModifiedBy>
  <cp:revision>3</cp:revision>
  <cp:lastPrinted>2023-01-10T21:18:00Z</cp:lastPrinted>
  <dcterms:created xsi:type="dcterms:W3CDTF">2026-04-28T03:38:00Z</dcterms:created>
  <dcterms:modified xsi:type="dcterms:W3CDTF">2026-04-29T04:07:00Z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