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144F8" w14:textId="77777777" w:rsidR="000F6F93" w:rsidRPr="00A20775" w:rsidRDefault="000F6F93" w:rsidP="000F6F93">
      <w:pPr>
        <w:spacing w:after="0" w:line="240" w:lineRule="auto"/>
        <w:jc w:val="both"/>
        <w:rPr>
          <w:rFonts w:ascii="Verdana" w:eastAsia="Calibri" w:hAnsi="Verdana" w:cs="Arial"/>
          <w:b/>
          <w:bCs/>
        </w:rPr>
      </w:pPr>
      <w:bookmarkStart w:id="0" w:name="_Hlk143780582"/>
      <w:r w:rsidRPr="00A20775">
        <w:rPr>
          <w:rFonts w:ascii="Verdana" w:eastAsia="Calibri" w:hAnsi="Verdana" w:cs="Arial"/>
          <w:b/>
          <w:bCs/>
        </w:rPr>
        <w:t xml:space="preserve">CONTRATO DE PRESTACIÓN DE SERVICIOS – Concepto – Modalidad de selección – Características </w:t>
      </w:r>
    </w:p>
    <w:p w14:paraId="1E2FADD2" w14:textId="77777777" w:rsidR="000F6F93" w:rsidRPr="00A20775" w:rsidRDefault="000F6F93" w:rsidP="000F6F93">
      <w:pPr>
        <w:spacing w:after="0" w:line="240" w:lineRule="auto"/>
        <w:rPr>
          <w:rFonts w:ascii="Verdana" w:eastAsia="Calibri" w:hAnsi="Verdana" w:cs="Arial"/>
        </w:rPr>
      </w:pPr>
    </w:p>
    <w:p w14:paraId="262C0EF5" w14:textId="77777777" w:rsidR="000F6F93" w:rsidRPr="00A20775" w:rsidRDefault="000F6F93" w:rsidP="000F6F93">
      <w:pPr>
        <w:spacing w:after="0" w:line="240" w:lineRule="auto"/>
        <w:jc w:val="both"/>
        <w:rPr>
          <w:rFonts w:ascii="Verdana" w:eastAsia="Calibri" w:hAnsi="Verdana" w:cs="Arial"/>
          <w:sz w:val="20"/>
          <w:szCs w:val="20"/>
        </w:rPr>
      </w:pPr>
      <w:r w:rsidRPr="00A20775">
        <w:rPr>
          <w:rFonts w:ascii="Verdana" w:hAnsi="Verdana" w:cs="Arial"/>
          <w:color w:val="000000" w:themeColor="text1"/>
          <w:sz w:val="20"/>
          <w:szCs w:val="20"/>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sz w:val="20"/>
          <w:szCs w:val="20"/>
          <w:lang w:val="es-MX"/>
        </w:rPr>
        <w:t>“</w:t>
      </w:r>
      <w:r w:rsidRPr="00A20775">
        <w:rPr>
          <w:rFonts w:ascii="Verdana" w:hAnsi="Verdana" w:cs="Arial"/>
          <w:color w:val="000000" w:themeColor="text1"/>
          <w:sz w:val="20"/>
          <w:szCs w:val="20"/>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sz w:val="20"/>
          <w:szCs w:val="20"/>
          <w:lang w:val="es-MX"/>
        </w:rPr>
        <w:t>”</w:t>
      </w:r>
      <w:r w:rsidRPr="00A20775">
        <w:rPr>
          <w:rFonts w:ascii="Verdana" w:hAnsi="Verdana" w:cs="Arial"/>
          <w:color w:val="000000" w:themeColor="text1"/>
          <w:sz w:val="20"/>
          <w:szCs w:val="20"/>
          <w:lang w:val="es-MX"/>
        </w:rPr>
        <w:t>.</w:t>
      </w:r>
      <w:r w:rsidRPr="00A20775">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0346934A" w14:textId="77777777" w:rsidR="000F6F93" w:rsidRPr="00A20775" w:rsidRDefault="000F6F93" w:rsidP="000F6F93">
      <w:pPr>
        <w:spacing w:after="0" w:line="240" w:lineRule="auto"/>
        <w:rPr>
          <w:rFonts w:ascii="Verdana" w:eastAsia="Calibri" w:hAnsi="Verdana" w:cs="Arial"/>
          <w:sz w:val="20"/>
          <w:szCs w:val="20"/>
        </w:rPr>
      </w:pPr>
      <w:r w:rsidRPr="00A20775">
        <w:rPr>
          <w:rFonts w:ascii="Verdana" w:eastAsia="Calibri" w:hAnsi="Verdana" w:cs="Arial"/>
          <w:sz w:val="20"/>
          <w:szCs w:val="20"/>
        </w:rPr>
        <w:t>[…]</w:t>
      </w:r>
    </w:p>
    <w:p w14:paraId="458D3FE5" w14:textId="77777777" w:rsidR="000F6F93" w:rsidRPr="006F268E" w:rsidRDefault="000F6F93" w:rsidP="000F6F93">
      <w:pPr>
        <w:spacing w:after="0" w:line="240" w:lineRule="auto"/>
        <w:jc w:val="both"/>
        <w:rPr>
          <w:rFonts w:ascii="Verdana" w:eastAsia="Calibri" w:hAnsi="Verdana" w:cs="Arial"/>
          <w:sz w:val="20"/>
          <w:szCs w:val="20"/>
        </w:rPr>
      </w:pPr>
      <w:r w:rsidRPr="00A20775">
        <w:rPr>
          <w:rFonts w:ascii="Verdana" w:eastAsia="Calibri" w:hAnsi="Verdana" w:cs="Arial"/>
          <w:sz w:val="20"/>
          <w:szCs w:val="20"/>
        </w:rPr>
        <w:t>[…] de la Sentencia de Unificación Jurisprudencial del 9 de septiembre de 2021, proferida por el Consejo de Estado, es posible señalar las siguientes características del contrato de prestación de servicios: i)</w:t>
      </w:r>
      <w:r w:rsidRPr="00A20775">
        <w:rPr>
          <w:rFonts w:ascii="Verdana" w:hAnsi="Verdana" w:cs="Arial"/>
          <w:noProof/>
          <w:sz w:val="20"/>
          <w:szCs w:val="20"/>
          <w:lang w:val="es-ES_tradnl"/>
        </w:rPr>
        <w:t xml:space="preserve"> Solo puede celebrarse para realizar «actividades relacionadas con la administración o funcionamiento de la entidad» […]. ii) Respecto del tipo de personas que pueden ser contratadas, admite que se suscriba con personas naturales o jurídicas.iii)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obligtoria la exigencia de garantías. xi) Como los demás contratos estatales, se trata de un contrato solemne que debe constar por escrito y debe ser publicado en el SECOP. xii)</w:t>
      </w:r>
      <w:r w:rsidRPr="00A20775">
        <w:rPr>
          <w:rFonts w:ascii="Verdana" w:hAnsi="Verdana" w:cs="Arial"/>
          <w:color w:val="000000" w:themeColor="text1"/>
          <w:sz w:val="20"/>
          <w:szCs w:val="20"/>
          <w:lang w:val="es-ES"/>
        </w:rPr>
        <w:t xml:space="preserve"> C</w:t>
      </w:r>
      <w:r w:rsidRPr="00A20775">
        <w:rPr>
          <w:rFonts w:ascii="Verdana" w:hAnsi="Verdana" w:cs="Arial"/>
          <w:color w:val="000000" w:themeColor="text1"/>
          <w:sz w:val="20"/>
          <w:szCs w:val="20"/>
          <w:lang w:val="es-MX"/>
        </w:rPr>
        <w:t xml:space="preserve">omo especies del género prestación de servicios, </w:t>
      </w:r>
      <w:r w:rsidRPr="006F268E">
        <w:rPr>
          <w:rFonts w:ascii="Verdana" w:hAnsi="Verdana" w:cs="Arial"/>
          <w:color w:val="000000" w:themeColor="text1"/>
          <w:sz w:val="20"/>
          <w:szCs w:val="20"/>
          <w:lang w:val="es-MX"/>
        </w:rPr>
        <w:t xml:space="preserve">se incluyen </w:t>
      </w:r>
      <w:r w:rsidRPr="006F268E">
        <w:rPr>
          <w:rFonts w:ascii="Verdana" w:hAnsi="Verdana" w:cs="Arial"/>
          <w:color w:val="000000" w:themeColor="text1"/>
          <w:sz w:val="20"/>
          <w:szCs w:val="20"/>
          <w:lang w:val="es-ES_tradnl"/>
        </w:rPr>
        <w:t>los contratos de prestación de servicios profesionales, los contratos de prestación de servicios de apoyo a la gestión y los contratos de prestación de servicios artísticos que solo pueden encomendarse a determinadas personas naturales.</w:t>
      </w:r>
    </w:p>
    <w:p w14:paraId="56D90F01" w14:textId="77777777" w:rsidR="000F6F93" w:rsidRPr="006F268E" w:rsidRDefault="000F6F93" w:rsidP="000F6F93">
      <w:pPr>
        <w:spacing w:after="0" w:line="240" w:lineRule="auto"/>
        <w:rPr>
          <w:rFonts w:ascii="Verdana" w:eastAsia="Geomanist Light" w:hAnsi="Verdana" w:cs="Arial"/>
          <w:sz w:val="20"/>
          <w:szCs w:val="20"/>
          <w:lang w:val="es-MX"/>
        </w:rPr>
      </w:pPr>
    </w:p>
    <w:p w14:paraId="60218FE6" w14:textId="77777777" w:rsidR="000F6F93" w:rsidRPr="006F268E" w:rsidRDefault="000F6F93" w:rsidP="000F6F93">
      <w:pPr>
        <w:spacing w:after="0" w:line="240" w:lineRule="auto"/>
        <w:jc w:val="both"/>
        <w:rPr>
          <w:rFonts w:ascii="Verdana" w:eastAsia="Geomanist Light" w:hAnsi="Verdana" w:cs="Arial"/>
          <w:b/>
          <w:bCs/>
          <w:lang w:val="es-MX"/>
        </w:rPr>
      </w:pPr>
      <w:r w:rsidRPr="006F268E">
        <w:rPr>
          <w:rFonts w:ascii="Verdana" w:eastAsia="Geomanist Light" w:hAnsi="Verdana" w:cs="Arial"/>
          <w:b/>
          <w:bCs/>
          <w:lang w:val="es-MX"/>
        </w:rPr>
        <w:t>CONTRATO DE PRESTACIÓN DE SERVICIOS – Factibilidad – Celebración – Otras modalidades de contratación</w:t>
      </w:r>
    </w:p>
    <w:p w14:paraId="029A5209" w14:textId="77777777" w:rsidR="000F6F93" w:rsidRPr="006F268E" w:rsidRDefault="000F6F93" w:rsidP="000F6F93">
      <w:pPr>
        <w:spacing w:after="0" w:line="240" w:lineRule="auto"/>
        <w:rPr>
          <w:rFonts w:ascii="Verdana" w:eastAsia="Geomanist Light" w:hAnsi="Verdana" w:cs="Arial"/>
          <w:sz w:val="20"/>
          <w:szCs w:val="20"/>
          <w:lang w:val="es-MX"/>
        </w:rPr>
      </w:pPr>
    </w:p>
    <w:p w14:paraId="7549D0D3" w14:textId="77777777" w:rsidR="000F6F93" w:rsidRPr="006F268E" w:rsidRDefault="000F6F93" w:rsidP="000F6F93">
      <w:pPr>
        <w:spacing w:after="0" w:line="240" w:lineRule="auto"/>
        <w:jc w:val="both"/>
        <w:rPr>
          <w:rFonts w:ascii="Verdana" w:eastAsia="Geomanist Light" w:hAnsi="Verdana" w:cs="Arial"/>
          <w:sz w:val="20"/>
          <w:szCs w:val="20"/>
          <w:lang w:val="es-MX"/>
        </w:rPr>
      </w:pPr>
      <w:r w:rsidRPr="006F268E">
        <w:rPr>
          <w:rFonts w:ascii="Verdana" w:eastAsia="Geomanist Light" w:hAnsi="Verdana" w:cs="Arial"/>
          <w:sz w:val="20"/>
          <w:szCs w:val="20"/>
          <w:lang w:val="es-MX"/>
        </w:rPr>
        <w:t xml:space="preserve">[…] dentro del marco legal dispuesto por el legislador en el artículo 2 de la Ley 1150 de 2011, las Entidades Estatales 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w:t>
      </w:r>
      <w:r w:rsidRPr="006F268E">
        <w:rPr>
          <w:rFonts w:ascii="Verdana" w:eastAsia="Geomanist Light" w:hAnsi="Verdana" w:cs="Arial"/>
          <w:sz w:val="20"/>
          <w:szCs w:val="20"/>
          <w:lang w:val="es-MX"/>
        </w:rPr>
        <w:lastRenderedPageBreak/>
        <w:t>contratación directa, sin distinción de la cuantía u objeto, pues esta es la forma señalada en el literal h), del numeral 4, del artículo 2 de la Ley 1150 de 2007.</w:t>
      </w:r>
    </w:p>
    <w:p w14:paraId="2BDD1947" w14:textId="77777777" w:rsidR="000F6F93" w:rsidRDefault="000F6F93" w:rsidP="000F6F93">
      <w:pPr>
        <w:spacing w:after="0" w:line="240" w:lineRule="auto"/>
        <w:jc w:val="both"/>
        <w:rPr>
          <w:rFonts w:ascii="Verdana" w:eastAsia="Geomanist Light" w:hAnsi="Verdana" w:cs="Arial"/>
          <w:sz w:val="20"/>
          <w:szCs w:val="20"/>
          <w:lang w:val="es-MX"/>
        </w:rPr>
      </w:pPr>
    </w:p>
    <w:p w14:paraId="5C1F957A" w14:textId="77777777" w:rsidR="000F6F93" w:rsidRDefault="000F6F93" w:rsidP="000F6F93">
      <w:pPr>
        <w:spacing w:after="0" w:line="240" w:lineRule="auto"/>
        <w:jc w:val="both"/>
        <w:rPr>
          <w:rFonts w:ascii="Verdana" w:eastAsia="Geomanist Light" w:hAnsi="Verdana" w:cs="Arial"/>
          <w:sz w:val="20"/>
          <w:szCs w:val="20"/>
          <w:lang w:val="es-MX"/>
        </w:rPr>
      </w:pPr>
      <w:r w:rsidRPr="00E1177F">
        <w:rPr>
          <w:rFonts w:ascii="Verdana" w:eastAsia="Geomanist Light" w:hAnsi="Verdana" w:cs="Arial"/>
          <w:sz w:val="20"/>
          <w:szCs w:val="20"/>
          <w:lang w:val="es-MX"/>
        </w:rPr>
        <w:t>La anterior precisión resulta relevante, puesto que, si bien el legislador contempló en la referida norma otras modalidades de selección que implican el desarrollo de los procesos de contratación de manera competitiva –esto es, mediante la licitación pública, el concurso de méritos, la selección abreviada y la mínima cuantía–, para cada una de estas se establecieron delimitantes o factores determinantes que no sólo le permiten a las Entidades Estatales verificar su procedencia para adquirir el bien, obra o servicio objeto de la necesidad, sino que también constituyen limitantes que deben respetar.</w:t>
      </w:r>
    </w:p>
    <w:p w14:paraId="42B65D9C" w14:textId="77777777" w:rsidR="000F6F93" w:rsidRDefault="000F6F93" w:rsidP="000F6F93">
      <w:pPr>
        <w:spacing w:after="0" w:line="240" w:lineRule="auto"/>
        <w:jc w:val="both"/>
        <w:rPr>
          <w:rFonts w:ascii="Verdana" w:eastAsia="Geomanist Light" w:hAnsi="Verdana" w:cs="Arial"/>
          <w:sz w:val="20"/>
          <w:szCs w:val="20"/>
          <w:lang w:val="es-MX"/>
        </w:rPr>
      </w:pPr>
    </w:p>
    <w:p w14:paraId="6931FFEA" w14:textId="77777777" w:rsidR="000F6F93" w:rsidRPr="00F50E68" w:rsidRDefault="000F6F93" w:rsidP="000F6F93">
      <w:pPr>
        <w:spacing w:after="0" w:line="240" w:lineRule="auto"/>
        <w:jc w:val="both"/>
        <w:rPr>
          <w:rFonts w:ascii="Verdana" w:eastAsia="Geomanist Light" w:hAnsi="Verdana" w:cs="Arial"/>
          <w:sz w:val="20"/>
          <w:szCs w:val="20"/>
          <w:lang w:val="es-MX"/>
        </w:rPr>
      </w:pPr>
    </w:p>
    <w:p w14:paraId="3E339078" w14:textId="77777777" w:rsidR="000F6F93" w:rsidRPr="00F50E68" w:rsidRDefault="000F6F93" w:rsidP="000F6F93">
      <w:pPr>
        <w:spacing w:after="0" w:line="240" w:lineRule="auto"/>
        <w:rPr>
          <w:rFonts w:ascii="Verdana" w:eastAsia="Geomanist Light" w:hAnsi="Verdana" w:cs="Arial"/>
          <w:sz w:val="20"/>
          <w:szCs w:val="20"/>
          <w:lang w:val="es-MX"/>
        </w:rPr>
      </w:pPr>
    </w:p>
    <w:p w14:paraId="5B3A2AFA" w14:textId="77777777" w:rsidR="000F6F93" w:rsidRPr="00F50E68" w:rsidRDefault="000F6F93" w:rsidP="000F6F93">
      <w:pPr>
        <w:spacing w:after="0" w:line="240" w:lineRule="auto"/>
        <w:rPr>
          <w:rFonts w:ascii="Verdana" w:eastAsia="Geomanist Light" w:hAnsi="Verdana" w:cs="Arial"/>
          <w:sz w:val="20"/>
          <w:szCs w:val="20"/>
          <w:lang w:val="es-MX"/>
        </w:rPr>
      </w:pPr>
    </w:p>
    <w:p w14:paraId="618F9B6D" w14:textId="77777777" w:rsidR="000F6F93" w:rsidRPr="00F50E68" w:rsidRDefault="000F6F93" w:rsidP="000F6F93">
      <w:pPr>
        <w:spacing w:after="0" w:line="240" w:lineRule="auto"/>
        <w:rPr>
          <w:rFonts w:ascii="Verdana" w:eastAsia="Geomanist Light" w:hAnsi="Verdana" w:cs="Arial"/>
          <w:sz w:val="20"/>
          <w:szCs w:val="20"/>
          <w:lang w:val="es-MX"/>
        </w:rPr>
      </w:pPr>
    </w:p>
    <w:p w14:paraId="5D4A7FEF" w14:textId="77777777" w:rsidR="000F6F93" w:rsidRPr="00F50E68" w:rsidRDefault="000F6F93" w:rsidP="000F6F93">
      <w:pPr>
        <w:spacing w:after="0" w:line="240" w:lineRule="auto"/>
        <w:rPr>
          <w:rFonts w:ascii="Verdana" w:eastAsia="Geomanist Light" w:hAnsi="Verdana" w:cs="Arial"/>
          <w:sz w:val="20"/>
          <w:szCs w:val="20"/>
          <w:lang w:val="es-MX"/>
        </w:rPr>
      </w:pPr>
    </w:p>
    <w:p w14:paraId="0E1ADDC7" w14:textId="77777777" w:rsidR="000F6F93" w:rsidRPr="00F50E68" w:rsidRDefault="000F6F93" w:rsidP="000F6F93">
      <w:pPr>
        <w:spacing w:after="0" w:line="240" w:lineRule="auto"/>
        <w:rPr>
          <w:rFonts w:ascii="Verdana" w:eastAsia="Geomanist Light" w:hAnsi="Verdana" w:cs="Arial"/>
          <w:sz w:val="20"/>
          <w:szCs w:val="20"/>
          <w:lang w:val="es-MX"/>
        </w:rPr>
      </w:pPr>
    </w:p>
    <w:p w14:paraId="37BAC8A0" w14:textId="77777777" w:rsidR="000F6F93" w:rsidRPr="00F50E68" w:rsidRDefault="000F6F93" w:rsidP="000F6F93">
      <w:pPr>
        <w:spacing w:after="0" w:line="240" w:lineRule="auto"/>
        <w:rPr>
          <w:rFonts w:ascii="Verdana" w:eastAsia="Geomanist Light" w:hAnsi="Verdana" w:cs="Arial"/>
          <w:sz w:val="20"/>
          <w:szCs w:val="20"/>
          <w:lang w:val="es-MX"/>
        </w:rPr>
      </w:pPr>
    </w:p>
    <w:p w14:paraId="13AF77D9" w14:textId="77777777" w:rsidR="000F6F93" w:rsidRPr="00F50E68" w:rsidRDefault="000F6F93" w:rsidP="000F6F93">
      <w:pPr>
        <w:spacing w:after="0" w:line="240" w:lineRule="auto"/>
        <w:rPr>
          <w:rFonts w:ascii="Verdana" w:eastAsia="Geomanist Light" w:hAnsi="Verdana" w:cs="Arial"/>
          <w:sz w:val="20"/>
          <w:szCs w:val="20"/>
          <w:lang w:val="es-MX"/>
        </w:rPr>
      </w:pPr>
    </w:p>
    <w:p w14:paraId="4D956B84" w14:textId="77777777" w:rsidR="000F6F93" w:rsidRPr="00F50E68" w:rsidRDefault="000F6F93" w:rsidP="000F6F93">
      <w:pPr>
        <w:spacing w:after="0" w:line="240" w:lineRule="auto"/>
        <w:rPr>
          <w:rFonts w:ascii="Verdana" w:eastAsia="Geomanist Light" w:hAnsi="Verdana" w:cs="Arial"/>
          <w:sz w:val="20"/>
          <w:szCs w:val="20"/>
          <w:lang w:val="es-MX"/>
        </w:rPr>
      </w:pPr>
    </w:p>
    <w:p w14:paraId="784A7CD1" w14:textId="77777777" w:rsidR="000F6F93" w:rsidRPr="00F50E68" w:rsidRDefault="000F6F93" w:rsidP="000F6F93">
      <w:pPr>
        <w:spacing w:after="0" w:line="240" w:lineRule="auto"/>
        <w:rPr>
          <w:rFonts w:ascii="Verdana" w:eastAsia="Geomanist Light" w:hAnsi="Verdana" w:cs="Arial"/>
          <w:sz w:val="20"/>
          <w:szCs w:val="20"/>
          <w:lang w:val="es-MX"/>
        </w:rPr>
      </w:pPr>
    </w:p>
    <w:p w14:paraId="5CA36445" w14:textId="77777777" w:rsidR="000F6F93" w:rsidRPr="00F50E68" w:rsidRDefault="000F6F93" w:rsidP="000F6F93">
      <w:pPr>
        <w:spacing w:after="0" w:line="240" w:lineRule="auto"/>
        <w:rPr>
          <w:rFonts w:ascii="Verdana" w:eastAsia="Geomanist Light" w:hAnsi="Verdana" w:cs="Arial"/>
          <w:sz w:val="20"/>
          <w:szCs w:val="20"/>
          <w:lang w:val="es-MX"/>
        </w:rPr>
      </w:pPr>
    </w:p>
    <w:p w14:paraId="034A9F22" w14:textId="77777777" w:rsidR="000F6F93" w:rsidRPr="00F50E68" w:rsidRDefault="000F6F93" w:rsidP="000F6F93">
      <w:pPr>
        <w:spacing w:after="0" w:line="240" w:lineRule="auto"/>
        <w:rPr>
          <w:rFonts w:ascii="Verdana" w:eastAsia="Geomanist Light" w:hAnsi="Verdana" w:cs="Arial"/>
          <w:sz w:val="20"/>
          <w:szCs w:val="20"/>
          <w:lang w:val="es-MX"/>
        </w:rPr>
      </w:pPr>
    </w:p>
    <w:p w14:paraId="60C79CB0" w14:textId="77777777" w:rsidR="000F6F93" w:rsidRPr="00F50E68" w:rsidRDefault="000F6F93" w:rsidP="000F6F93">
      <w:pPr>
        <w:spacing w:after="0" w:line="240" w:lineRule="auto"/>
        <w:rPr>
          <w:rFonts w:ascii="Verdana" w:eastAsia="Geomanist Light" w:hAnsi="Verdana" w:cs="Arial"/>
          <w:sz w:val="20"/>
          <w:szCs w:val="20"/>
          <w:lang w:val="es-MX"/>
        </w:rPr>
      </w:pPr>
    </w:p>
    <w:p w14:paraId="64D2F4C3" w14:textId="77777777" w:rsidR="000F6F93" w:rsidRPr="00F50E68" w:rsidRDefault="000F6F93" w:rsidP="000F6F93">
      <w:pPr>
        <w:spacing w:after="0" w:line="240" w:lineRule="auto"/>
        <w:rPr>
          <w:rFonts w:ascii="Verdana" w:eastAsia="Geomanist Light" w:hAnsi="Verdana" w:cs="Arial"/>
          <w:sz w:val="20"/>
          <w:szCs w:val="20"/>
          <w:lang w:val="es-MX"/>
        </w:rPr>
      </w:pPr>
    </w:p>
    <w:p w14:paraId="0C04D21B" w14:textId="77777777" w:rsidR="000F6F93" w:rsidRPr="00F50E68" w:rsidRDefault="000F6F93" w:rsidP="000F6F93">
      <w:pPr>
        <w:spacing w:after="0" w:line="240" w:lineRule="auto"/>
        <w:rPr>
          <w:rFonts w:ascii="Verdana" w:eastAsia="Geomanist Light" w:hAnsi="Verdana" w:cs="Arial"/>
          <w:sz w:val="20"/>
          <w:szCs w:val="20"/>
          <w:lang w:val="es-MX"/>
        </w:rPr>
      </w:pPr>
    </w:p>
    <w:p w14:paraId="2FFD138D" w14:textId="77777777" w:rsidR="000F6F93" w:rsidRPr="00F50E68" w:rsidRDefault="000F6F93" w:rsidP="000F6F93">
      <w:pPr>
        <w:spacing w:after="0" w:line="240" w:lineRule="auto"/>
        <w:rPr>
          <w:rFonts w:ascii="Verdana" w:eastAsia="Geomanist Light" w:hAnsi="Verdana" w:cs="Arial"/>
          <w:sz w:val="20"/>
          <w:szCs w:val="20"/>
          <w:lang w:val="es-MX"/>
        </w:rPr>
      </w:pPr>
    </w:p>
    <w:p w14:paraId="1AE3D57A" w14:textId="77777777" w:rsidR="000F6F93" w:rsidRPr="00F50E68" w:rsidRDefault="000F6F93" w:rsidP="000F6F93">
      <w:pPr>
        <w:spacing w:after="0" w:line="240" w:lineRule="auto"/>
        <w:rPr>
          <w:rFonts w:ascii="Verdana" w:eastAsia="Geomanist Light" w:hAnsi="Verdana" w:cs="Arial"/>
          <w:sz w:val="20"/>
          <w:szCs w:val="20"/>
          <w:lang w:val="es-MX"/>
        </w:rPr>
      </w:pPr>
    </w:p>
    <w:p w14:paraId="31816736" w14:textId="77777777" w:rsidR="000F6F93" w:rsidRPr="00F50E68" w:rsidRDefault="000F6F93" w:rsidP="000F6F93">
      <w:pPr>
        <w:spacing w:after="0" w:line="240" w:lineRule="auto"/>
        <w:rPr>
          <w:rFonts w:ascii="Verdana" w:eastAsia="Geomanist Light" w:hAnsi="Verdana" w:cs="Arial"/>
          <w:sz w:val="20"/>
          <w:szCs w:val="20"/>
          <w:lang w:val="es-MX"/>
        </w:rPr>
      </w:pPr>
    </w:p>
    <w:p w14:paraId="4C615DCE" w14:textId="77777777" w:rsidR="000F6F93" w:rsidRPr="00F50E68" w:rsidRDefault="000F6F93" w:rsidP="000F6F93">
      <w:pPr>
        <w:spacing w:after="0" w:line="240" w:lineRule="auto"/>
        <w:rPr>
          <w:rFonts w:ascii="Verdana" w:eastAsia="Geomanist Light" w:hAnsi="Verdana" w:cs="Arial"/>
          <w:sz w:val="20"/>
          <w:szCs w:val="20"/>
          <w:lang w:val="es-MX"/>
        </w:rPr>
      </w:pPr>
    </w:p>
    <w:p w14:paraId="4E5883D9" w14:textId="77777777" w:rsidR="000F6F93" w:rsidRPr="00F50E68" w:rsidRDefault="000F6F93" w:rsidP="000F6F93">
      <w:pPr>
        <w:spacing w:after="0" w:line="240" w:lineRule="auto"/>
        <w:rPr>
          <w:rFonts w:ascii="Verdana" w:eastAsia="Geomanist Light" w:hAnsi="Verdana" w:cs="Arial"/>
          <w:sz w:val="20"/>
          <w:szCs w:val="20"/>
          <w:lang w:val="es-MX"/>
        </w:rPr>
      </w:pPr>
    </w:p>
    <w:p w14:paraId="34C6F7C5" w14:textId="77777777" w:rsidR="000F6F93" w:rsidRPr="00F50E68" w:rsidRDefault="000F6F93" w:rsidP="000F6F93">
      <w:pPr>
        <w:spacing w:after="0" w:line="240" w:lineRule="auto"/>
        <w:rPr>
          <w:rFonts w:ascii="Verdana" w:eastAsia="Geomanist Light" w:hAnsi="Verdana" w:cs="Arial"/>
          <w:sz w:val="20"/>
          <w:szCs w:val="20"/>
          <w:lang w:val="es-MX"/>
        </w:rPr>
      </w:pPr>
    </w:p>
    <w:p w14:paraId="501C1589" w14:textId="77777777" w:rsidR="000F6F93" w:rsidRPr="00F50E68" w:rsidRDefault="000F6F93" w:rsidP="000F6F93">
      <w:pPr>
        <w:spacing w:after="0" w:line="240" w:lineRule="auto"/>
        <w:rPr>
          <w:rFonts w:ascii="Verdana" w:eastAsia="Geomanist Light" w:hAnsi="Verdana" w:cs="Arial"/>
          <w:sz w:val="20"/>
          <w:szCs w:val="20"/>
          <w:lang w:val="es-MX"/>
        </w:rPr>
      </w:pPr>
    </w:p>
    <w:p w14:paraId="607301DC" w14:textId="77777777" w:rsidR="000F6F93" w:rsidRPr="00F50E68" w:rsidRDefault="000F6F93" w:rsidP="000F6F93">
      <w:pPr>
        <w:spacing w:after="0" w:line="240" w:lineRule="auto"/>
        <w:rPr>
          <w:rFonts w:ascii="Verdana" w:eastAsia="Geomanist Light" w:hAnsi="Verdana" w:cs="Arial"/>
          <w:sz w:val="20"/>
          <w:szCs w:val="20"/>
          <w:lang w:val="es-MX"/>
        </w:rPr>
      </w:pPr>
    </w:p>
    <w:p w14:paraId="371B2DA3" w14:textId="77777777" w:rsidR="000F6F93" w:rsidRPr="00F50E68" w:rsidRDefault="000F6F93" w:rsidP="000F6F93">
      <w:pPr>
        <w:spacing w:after="0" w:line="240" w:lineRule="auto"/>
        <w:rPr>
          <w:rFonts w:ascii="Verdana" w:eastAsia="Geomanist Light" w:hAnsi="Verdana" w:cs="Arial"/>
          <w:sz w:val="20"/>
          <w:szCs w:val="20"/>
          <w:lang w:val="es-MX"/>
        </w:rPr>
      </w:pPr>
    </w:p>
    <w:p w14:paraId="28B2A274" w14:textId="77777777" w:rsidR="000F6F93" w:rsidRPr="00F50E68" w:rsidRDefault="000F6F93" w:rsidP="000F6F93">
      <w:pPr>
        <w:spacing w:after="0" w:line="240" w:lineRule="auto"/>
        <w:rPr>
          <w:rFonts w:ascii="Verdana" w:eastAsia="Geomanist Light" w:hAnsi="Verdana" w:cs="Arial"/>
          <w:sz w:val="20"/>
          <w:szCs w:val="20"/>
          <w:lang w:val="es-MX"/>
        </w:rPr>
      </w:pPr>
    </w:p>
    <w:p w14:paraId="680F069E" w14:textId="77777777" w:rsidR="000F6F93" w:rsidRPr="00F50E68" w:rsidRDefault="000F6F93" w:rsidP="000F6F93">
      <w:pPr>
        <w:spacing w:after="0" w:line="240" w:lineRule="auto"/>
        <w:rPr>
          <w:rFonts w:ascii="Verdana" w:eastAsia="Geomanist Light" w:hAnsi="Verdana" w:cs="Arial"/>
          <w:sz w:val="20"/>
          <w:szCs w:val="20"/>
          <w:lang w:val="es-MX"/>
        </w:rPr>
      </w:pPr>
    </w:p>
    <w:p w14:paraId="237DCA5F" w14:textId="77777777" w:rsidR="000F6F93" w:rsidRPr="00F50E68" w:rsidRDefault="000F6F93" w:rsidP="000F6F93">
      <w:pPr>
        <w:spacing w:after="0" w:line="240" w:lineRule="auto"/>
        <w:rPr>
          <w:rFonts w:ascii="Verdana" w:eastAsia="Geomanist Light" w:hAnsi="Verdana" w:cs="Arial"/>
          <w:sz w:val="20"/>
          <w:szCs w:val="20"/>
          <w:lang w:val="es-MX"/>
        </w:rPr>
      </w:pPr>
    </w:p>
    <w:p w14:paraId="2BC9525D" w14:textId="77777777" w:rsidR="000F6F93" w:rsidRPr="00F50E68" w:rsidRDefault="000F6F93" w:rsidP="000F6F93">
      <w:pPr>
        <w:spacing w:after="0" w:line="240" w:lineRule="auto"/>
        <w:rPr>
          <w:rFonts w:ascii="Verdana" w:eastAsia="Geomanist Light" w:hAnsi="Verdana" w:cs="Arial"/>
          <w:sz w:val="20"/>
          <w:szCs w:val="20"/>
          <w:lang w:val="es-MX"/>
        </w:rPr>
      </w:pPr>
    </w:p>
    <w:p w14:paraId="656987EF" w14:textId="77777777" w:rsidR="000F6F93" w:rsidRPr="00F50E68" w:rsidRDefault="000F6F93" w:rsidP="000F6F93">
      <w:pPr>
        <w:spacing w:after="0" w:line="240" w:lineRule="auto"/>
        <w:rPr>
          <w:rFonts w:ascii="Verdana" w:eastAsia="Geomanist Light" w:hAnsi="Verdana" w:cs="Arial"/>
          <w:sz w:val="20"/>
          <w:szCs w:val="20"/>
          <w:lang w:val="es-MX"/>
        </w:rPr>
      </w:pPr>
    </w:p>
    <w:p w14:paraId="1C90C6F9" w14:textId="77777777" w:rsidR="000F6F93" w:rsidRPr="00F50E68" w:rsidRDefault="000F6F93" w:rsidP="000F6F93">
      <w:pPr>
        <w:spacing w:after="0" w:line="240" w:lineRule="auto"/>
        <w:rPr>
          <w:rFonts w:ascii="Verdana" w:eastAsia="Geomanist Light" w:hAnsi="Verdana" w:cs="Arial"/>
          <w:sz w:val="20"/>
          <w:szCs w:val="20"/>
          <w:lang w:val="es-MX"/>
        </w:rPr>
      </w:pPr>
    </w:p>
    <w:p w14:paraId="792E0E8D" w14:textId="77777777" w:rsidR="000F6F93" w:rsidRPr="00F50E68" w:rsidRDefault="000F6F93" w:rsidP="000F6F93">
      <w:pPr>
        <w:spacing w:after="0" w:line="240" w:lineRule="auto"/>
        <w:rPr>
          <w:rFonts w:ascii="Verdana" w:eastAsia="Geomanist Light" w:hAnsi="Verdana" w:cs="Arial"/>
          <w:sz w:val="20"/>
          <w:szCs w:val="20"/>
          <w:lang w:val="es-MX"/>
        </w:rPr>
      </w:pPr>
    </w:p>
    <w:p w14:paraId="76F13E17" w14:textId="77777777" w:rsidR="000F6F93" w:rsidRPr="00F50E68" w:rsidRDefault="000F6F93" w:rsidP="000F6F93">
      <w:pPr>
        <w:spacing w:after="0" w:line="240" w:lineRule="auto"/>
        <w:rPr>
          <w:rFonts w:ascii="Verdana" w:eastAsia="Geomanist Light" w:hAnsi="Verdana" w:cs="Arial"/>
          <w:sz w:val="20"/>
          <w:szCs w:val="20"/>
          <w:lang w:val="es-MX"/>
        </w:rPr>
      </w:pPr>
    </w:p>
    <w:p w14:paraId="1FE7F6C3" w14:textId="77777777" w:rsidR="000F6F93" w:rsidRPr="00F50E68" w:rsidRDefault="000F6F93" w:rsidP="000F6F93">
      <w:pPr>
        <w:spacing w:after="0" w:line="240" w:lineRule="auto"/>
        <w:rPr>
          <w:rFonts w:ascii="Verdana" w:eastAsia="Geomanist Light" w:hAnsi="Verdana" w:cs="Arial"/>
          <w:sz w:val="20"/>
          <w:szCs w:val="20"/>
          <w:lang w:val="es-MX"/>
        </w:rPr>
      </w:pPr>
    </w:p>
    <w:p w14:paraId="20F25ACD" w14:textId="77777777" w:rsidR="000F6F93" w:rsidRDefault="000F6F93" w:rsidP="000F6F93">
      <w:pPr>
        <w:spacing w:after="0" w:line="240" w:lineRule="auto"/>
        <w:rPr>
          <w:rFonts w:ascii="Verdana" w:eastAsia="Geomanist Light" w:hAnsi="Verdana" w:cs="Arial"/>
          <w:sz w:val="20"/>
          <w:szCs w:val="20"/>
          <w:lang w:val="es-MX"/>
        </w:rPr>
      </w:pPr>
    </w:p>
    <w:p w14:paraId="0C923AA6" w14:textId="77777777" w:rsidR="000F6F93" w:rsidRDefault="000F6F93" w:rsidP="000F6F93">
      <w:pPr>
        <w:spacing w:after="0" w:line="240" w:lineRule="auto"/>
        <w:rPr>
          <w:rFonts w:ascii="Verdana" w:eastAsia="Geomanist Light" w:hAnsi="Verdana" w:cs="Arial"/>
          <w:sz w:val="20"/>
          <w:szCs w:val="20"/>
          <w:lang w:val="es-MX"/>
        </w:rPr>
      </w:pPr>
    </w:p>
    <w:p w14:paraId="60E0B36A" w14:textId="7173390D" w:rsidR="000F6F93" w:rsidRPr="00F50E68" w:rsidRDefault="000F6F93" w:rsidP="000F6F93">
      <w:pPr>
        <w:spacing w:after="0" w:line="240" w:lineRule="auto"/>
        <w:rPr>
          <w:rFonts w:ascii="Verdana" w:eastAsia="Geomanist Light" w:hAnsi="Verdana" w:cs="Arial"/>
          <w:lang w:val="es-MX"/>
        </w:rPr>
      </w:pPr>
      <w:r w:rsidRPr="00F50E68">
        <w:rPr>
          <w:rFonts w:ascii="Verdana" w:eastAsia="Geomanist Light" w:hAnsi="Verdana" w:cs="Arial"/>
          <w:lang w:val="es-MX"/>
        </w:rPr>
        <w:lastRenderedPageBreak/>
        <w:t>Bogotá D.C., </w:t>
      </w:r>
      <w:r w:rsidR="000F3771">
        <w:rPr>
          <w:rFonts w:ascii="Verdana" w:eastAsia="Geomanist Light" w:hAnsi="Verdana" w:cs="Arial"/>
          <w:lang w:val="es-MX"/>
        </w:rPr>
        <w:t>10 de abril de 2026</w:t>
      </w:r>
    </w:p>
    <w:p w14:paraId="274FE3CB" w14:textId="77777777" w:rsidR="000F6F93" w:rsidRPr="00F50E68" w:rsidRDefault="000F6F93" w:rsidP="000F6F93">
      <w:pPr>
        <w:spacing w:after="0" w:line="240" w:lineRule="auto"/>
        <w:jc w:val="both"/>
        <w:rPr>
          <w:rFonts w:ascii="Verdana" w:eastAsia="Calibri" w:hAnsi="Verdana" w:cs="Arial"/>
          <w:lang w:val="es-ES"/>
        </w:rPr>
      </w:pPr>
    </w:p>
    <w:p w14:paraId="3EE2A702" w14:textId="2E67504F" w:rsidR="000F6F93" w:rsidRPr="00F50E68" w:rsidRDefault="00A411B6" w:rsidP="000F6F93">
      <w:pPr>
        <w:spacing w:after="0" w:line="240" w:lineRule="auto"/>
        <w:jc w:val="right"/>
        <w:rPr>
          <w:rFonts w:ascii="Verdana" w:eastAsia="Calibri" w:hAnsi="Verdana" w:cs="Arial"/>
          <w:lang w:val="es-ES"/>
        </w:rPr>
      </w:pPr>
      <w:r w:rsidRPr="00A411B6">
        <w:rPr>
          <w:rFonts w:ascii="Verdana" w:eastAsia="Calibri" w:hAnsi="Verdana" w:cs="Arial"/>
          <w:lang w:val="es-ES"/>
        </w:rPr>
        <w:drawing>
          <wp:inline distT="0" distB="0" distL="0" distR="0" wp14:anchorId="4C80B081" wp14:editId="0AB3D78B">
            <wp:extent cx="2283667" cy="628650"/>
            <wp:effectExtent l="0" t="0" r="2540" b="0"/>
            <wp:docPr id="3937089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708953" name=""/>
                    <pic:cNvPicPr/>
                  </pic:nvPicPr>
                  <pic:blipFill>
                    <a:blip r:embed="rId10"/>
                    <a:stretch>
                      <a:fillRect/>
                    </a:stretch>
                  </pic:blipFill>
                  <pic:spPr>
                    <a:xfrm>
                      <a:off x="0" y="0"/>
                      <a:ext cx="2287320" cy="629656"/>
                    </a:xfrm>
                    <a:prstGeom prst="rect">
                      <a:avLst/>
                    </a:prstGeom>
                  </pic:spPr>
                </pic:pic>
              </a:graphicData>
            </a:graphic>
          </wp:inline>
        </w:drawing>
      </w:r>
    </w:p>
    <w:p w14:paraId="182DBD6A" w14:textId="77777777" w:rsidR="000F6F93" w:rsidRPr="00F50E68" w:rsidRDefault="000F6F93" w:rsidP="000F6F93">
      <w:pPr>
        <w:spacing w:after="0" w:line="240" w:lineRule="auto"/>
        <w:jc w:val="both"/>
        <w:rPr>
          <w:rFonts w:ascii="Verdana" w:eastAsia="Calibri" w:hAnsi="Verdana" w:cs="Arial"/>
          <w:lang w:val="es-ES"/>
        </w:rPr>
      </w:pPr>
    </w:p>
    <w:p w14:paraId="2DC83C23" w14:textId="77777777" w:rsidR="000F6F93" w:rsidRPr="00F50E68" w:rsidRDefault="000F6F93" w:rsidP="000F6F93">
      <w:pPr>
        <w:spacing w:after="0" w:line="240" w:lineRule="auto"/>
        <w:jc w:val="both"/>
        <w:rPr>
          <w:rFonts w:ascii="Verdana" w:eastAsia="Calibri" w:hAnsi="Verdana" w:cs="Arial"/>
          <w:lang w:val="es-ES" w:eastAsia="es-ES"/>
        </w:rPr>
      </w:pPr>
      <w:r w:rsidRPr="00F50E68">
        <w:rPr>
          <w:rFonts w:ascii="Verdana" w:eastAsia="Calibri" w:hAnsi="Verdana" w:cs="Arial"/>
          <w:lang w:val="es-ES" w:eastAsia="es-ES"/>
        </w:rPr>
        <w:t>Señora</w:t>
      </w:r>
    </w:p>
    <w:p w14:paraId="75B7E021" w14:textId="77777777" w:rsidR="000F6F93" w:rsidRPr="00F50E68" w:rsidRDefault="000F6F93" w:rsidP="000F6F93">
      <w:pPr>
        <w:spacing w:after="0" w:line="240" w:lineRule="auto"/>
        <w:rPr>
          <w:rFonts w:ascii="Verdana" w:eastAsia="Calibri" w:hAnsi="Verdana" w:cs="Arial"/>
          <w:b/>
          <w:lang w:val="es-ES" w:eastAsia="es-ES"/>
        </w:rPr>
      </w:pPr>
      <w:r w:rsidRPr="37267F8B">
        <w:rPr>
          <w:rFonts w:ascii="Verdana" w:eastAsia="Calibri" w:hAnsi="Verdana" w:cs="Arial"/>
          <w:b/>
          <w:lang w:val="es-ES" w:eastAsia="es-ES"/>
        </w:rPr>
        <w:t xml:space="preserve">Alejandro Loiza Suarez </w:t>
      </w:r>
    </w:p>
    <w:p w14:paraId="2A1E54E4" w14:textId="77777777" w:rsidR="000F6F93" w:rsidRPr="00475474" w:rsidRDefault="000F6F93" w:rsidP="000F6F93">
      <w:pPr>
        <w:spacing w:after="0" w:line="240" w:lineRule="auto"/>
        <w:rPr>
          <w:rFonts w:ascii="Verdana" w:hAnsi="Verdana"/>
        </w:rPr>
      </w:pPr>
      <w:hyperlink r:id="rId11" w:history="1">
        <w:r w:rsidRPr="00475474">
          <w:rPr>
            <w:rStyle w:val="Hipervnculo"/>
            <w:rFonts w:ascii="Verdana" w:hAnsi="Verdana"/>
          </w:rPr>
          <w:t>alejoloaiza23@hotmail.com</w:t>
        </w:r>
      </w:hyperlink>
      <w:r w:rsidRPr="00475474">
        <w:rPr>
          <w:rFonts w:ascii="Verdana" w:hAnsi="Verdana"/>
        </w:rPr>
        <w:t xml:space="preserve"> </w:t>
      </w:r>
    </w:p>
    <w:p w14:paraId="68AB6EE4" w14:textId="77777777" w:rsidR="000F6F93" w:rsidRPr="00F50E68" w:rsidRDefault="000F6F93" w:rsidP="000F6F93">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13CA0649" w14:textId="77777777" w:rsidR="000F6F93" w:rsidRPr="00F50E68" w:rsidRDefault="000F6F93" w:rsidP="000F6F93">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F6F93" w:rsidRPr="00F50E68" w14:paraId="231A485F" w14:textId="77777777" w:rsidTr="001128BB">
        <w:trPr>
          <w:trHeight w:val="884"/>
        </w:trPr>
        <w:tc>
          <w:tcPr>
            <w:tcW w:w="2689" w:type="dxa"/>
          </w:tcPr>
          <w:p w14:paraId="485FCFBF" w14:textId="77777777" w:rsidR="000F6F93" w:rsidRPr="009A2571" w:rsidRDefault="000F6F93" w:rsidP="001128BB">
            <w:pPr>
              <w:jc w:val="both"/>
              <w:rPr>
                <w:rFonts w:ascii="Verdana" w:eastAsia="Calibri" w:hAnsi="Verdana" w:cs="Arial"/>
                <w:b/>
                <w:bCs/>
                <w:lang w:val="es-ES_tradnl" w:eastAsia="es-ES_tradnl"/>
              </w:rPr>
            </w:pPr>
          </w:p>
        </w:tc>
        <w:tc>
          <w:tcPr>
            <w:tcW w:w="6100" w:type="dxa"/>
          </w:tcPr>
          <w:p w14:paraId="1EB1B931" w14:textId="77777777" w:rsidR="000F6F93" w:rsidRPr="009A2571" w:rsidRDefault="000F6F93" w:rsidP="001128BB">
            <w:pPr>
              <w:jc w:val="both"/>
              <w:rPr>
                <w:rFonts w:ascii="Verdana" w:eastAsia="Calibri" w:hAnsi="Verdana" w:cs="Arial"/>
                <w:b/>
                <w:bCs/>
                <w:lang w:val="es-ES" w:eastAsia="es-ES"/>
              </w:rPr>
            </w:pPr>
            <w:r w:rsidRPr="009A2571">
              <w:rPr>
                <w:rFonts w:ascii="Verdana" w:eastAsia="Calibri" w:hAnsi="Verdana" w:cs="Arial"/>
                <w:b/>
                <w:bCs/>
                <w:lang w:val="es-ES" w:eastAsia="es-ES"/>
              </w:rPr>
              <w:t>Concepto C-</w:t>
            </w:r>
            <w:r>
              <w:rPr>
                <w:rFonts w:ascii="Verdana" w:eastAsia="Calibri" w:hAnsi="Verdana" w:cs="Arial"/>
                <w:b/>
                <w:bCs/>
                <w:lang w:val="es-ES" w:eastAsia="es-ES"/>
              </w:rPr>
              <w:t>426</w:t>
            </w:r>
            <w:r w:rsidRPr="009A2571">
              <w:rPr>
                <w:rFonts w:ascii="Verdana" w:eastAsia="Calibri" w:hAnsi="Verdana" w:cs="Arial"/>
                <w:b/>
                <w:bCs/>
                <w:lang w:val="es-ES" w:eastAsia="es-ES"/>
              </w:rPr>
              <w:t xml:space="preserve"> de 2026  </w:t>
            </w:r>
          </w:p>
        </w:tc>
      </w:tr>
      <w:tr w:rsidR="000F6F93" w:rsidRPr="00F50E68" w14:paraId="78DA3583" w14:textId="77777777" w:rsidTr="001128BB">
        <w:trPr>
          <w:trHeight w:val="884"/>
        </w:trPr>
        <w:tc>
          <w:tcPr>
            <w:tcW w:w="2689" w:type="dxa"/>
          </w:tcPr>
          <w:p w14:paraId="4257277F" w14:textId="77777777" w:rsidR="000F6F93" w:rsidRPr="009A2571" w:rsidRDefault="000F6F93" w:rsidP="001128BB">
            <w:pPr>
              <w:jc w:val="both"/>
              <w:rPr>
                <w:rFonts w:ascii="Verdana" w:eastAsia="Calibri" w:hAnsi="Verdana" w:cs="Arial"/>
                <w:lang w:val="es-ES_tradnl" w:eastAsia="es-ES_tradnl"/>
              </w:rPr>
            </w:pPr>
            <w:r w:rsidRPr="009A2571">
              <w:rPr>
                <w:rFonts w:ascii="Verdana" w:eastAsia="Calibri" w:hAnsi="Verdana" w:cs="Arial"/>
                <w:b/>
                <w:lang w:val="es-ES_tradnl" w:eastAsia="es-ES_tradnl"/>
              </w:rPr>
              <w:t>Temas:</w:t>
            </w:r>
            <w:r w:rsidRPr="009A2571">
              <w:rPr>
                <w:rFonts w:ascii="Verdana" w:eastAsia="Calibri" w:hAnsi="Verdana" w:cs="Arial"/>
                <w:lang w:val="es-ES_tradnl" w:eastAsia="es-ES_tradnl"/>
              </w:rPr>
              <w:t xml:space="preserve">                   </w:t>
            </w:r>
          </w:p>
        </w:tc>
        <w:tc>
          <w:tcPr>
            <w:tcW w:w="6100" w:type="dxa"/>
          </w:tcPr>
          <w:p w14:paraId="24931BD0" w14:textId="77777777" w:rsidR="000F6F93" w:rsidRPr="009A2571" w:rsidRDefault="000F6F93" w:rsidP="001128BB">
            <w:pPr>
              <w:spacing w:line="276" w:lineRule="auto"/>
              <w:jc w:val="both"/>
              <w:rPr>
                <w:rFonts w:ascii="Verdana" w:eastAsia="Calibri" w:hAnsi="Verdana" w:cs="Arial"/>
                <w:lang w:val="es-ES" w:eastAsia="es-ES"/>
              </w:rPr>
            </w:pPr>
            <w:r w:rsidRPr="009A2571">
              <w:rPr>
                <w:rFonts w:ascii="Verdana" w:eastAsia="Calibri" w:hAnsi="Verdana" w:cs="Arial"/>
                <w:lang w:val="es-ES" w:eastAsia="es-ES"/>
              </w:rPr>
              <w:t xml:space="preserve">CONTRATO DE PRESTACIÓN DE SERVICIOS – Concepto – </w:t>
            </w:r>
            <w:r w:rsidRPr="006F268E">
              <w:rPr>
                <w:rFonts w:ascii="Verdana" w:eastAsia="Calibri" w:hAnsi="Verdana" w:cs="Arial"/>
                <w:lang w:val="es-ES" w:eastAsia="es-ES"/>
              </w:rPr>
              <w:t>Modalidad de selección – Características /</w:t>
            </w:r>
            <w:r w:rsidRPr="006F268E">
              <w:t xml:space="preserve"> </w:t>
            </w:r>
            <w:r w:rsidRPr="006F268E">
              <w:rPr>
                <w:rFonts w:ascii="Verdana" w:eastAsia="Calibri" w:hAnsi="Verdana" w:cs="Arial"/>
                <w:lang w:val="es-ES" w:eastAsia="es-ES"/>
              </w:rPr>
              <w:t>CONTRATO DE PRESTACIÓN DE SERVICIOS – Factibilidad – Celebración – Otras modalidades de contratación</w:t>
            </w:r>
          </w:p>
          <w:p w14:paraId="3A9ECAE3" w14:textId="77777777" w:rsidR="000F6F93" w:rsidRPr="009A2571" w:rsidRDefault="000F6F93" w:rsidP="001128BB">
            <w:pPr>
              <w:spacing w:line="276" w:lineRule="auto"/>
              <w:jc w:val="both"/>
              <w:rPr>
                <w:rFonts w:ascii="Verdana" w:eastAsia="Calibri" w:hAnsi="Verdana" w:cs="Arial"/>
                <w:lang w:val="es-ES" w:eastAsia="es-ES"/>
              </w:rPr>
            </w:pPr>
          </w:p>
        </w:tc>
      </w:tr>
      <w:tr w:rsidR="000F6F93" w:rsidRPr="00F50E68" w14:paraId="02100FAC" w14:textId="77777777" w:rsidTr="001128BB">
        <w:tc>
          <w:tcPr>
            <w:tcW w:w="2689" w:type="dxa"/>
          </w:tcPr>
          <w:p w14:paraId="6643D4A1" w14:textId="77777777" w:rsidR="000F6F93" w:rsidRPr="00F50E68" w:rsidRDefault="000F6F93" w:rsidP="001128BB">
            <w:pPr>
              <w:jc w:val="both"/>
              <w:rPr>
                <w:rFonts w:ascii="Verdana" w:eastAsia="Calibri" w:hAnsi="Verdana" w:cs="Arial"/>
                <w:b/>
                <w:lang w:val="es-ES_tradnl" w:eastAsia="es-ES_tradnl"/>
              </w:rPr>
            </w:pPr>
            <w:r w:rsidRPr="00F50E68">
              <w:rPr>
                <w:rFonts w:ascii="Verdana" w:eastAsia="Calibri" w:hAnsi="Verdana" w:cs="Arial"/>
                <w:b/>
                <w:lang w:val="es-ES_tradnl" w:eastAsia="es-ES_tradnl"/>
              </w:rPr>
              <w:t>Radicación:</w:t>
            </w:r>
            <w:r w:rsidRPr="00F50E68">
              <w:rPr>
                <w:rFonts w:ascii="Verdana" w:eastAsia="Calibri" w:hAnsi="Verdana" w:cs="Arial"/>
                <w:lang w:val="es-ES_tradnl" w:eastAsia="es-ES_tradnl"/>
              </w:rPr>
              <w:t xml:space="preserve">               </w:t>
            </w:r>
          </w:p>
        </w:tc>
        <w:tc>
          <w:tcPr>
            <w:tcW w:w="6100" w:type="dxa"/>
          </w:tcPr>
          <w:p w14:paraId="53411002" w14:textId="77777777" w:rsidR="000F6F93" w:rsidRPr="00F50E68" w:rsidRDefault="000F6F93" w:rsidP="001128BB">
            <w:pPr>
              <w:jc w:val="both"/>
              <w:rPr>
                <w:rFonts w:ascii="Verdana" w:eastAsia="Calibri" w:hAnsi="Verdana" w:cs="Arial"/>
                <w:lang w:val="es-ES_tradnl" w:eastAsia="es-ES_tradnl"/>
              </w:rPr>
            </w:pPr>
            <w:r w:rsidRPr="00F50E68">
              <w:rPr>
                <w:rFonts w:ascii="Verdana" w:eastAsia="Calibri" w:hAnsi="Verdana" w:cs="Arial"/>
                <w:lang w:val="es-ES_tradnl" w:eastAsia="es-ES_tradnl"/>
              </w:rPr>
              <w:t xml:space="preserve">Respuesta a consulta con radicado No. </w:t>
            </w:r>
            <w:r w:rsidRPr="00206A01">
              <w:rPr>
                <w:rFonts w:ascii="Verdana" w:eastAsia="Calibri" w:hAnsi="Verdana" w:cs="Arial"/>
                <w:lang w:val="es-ES_tradnl" w:eastAsia="es-ES_tradnl"/>
              </w:rPr>
              <w:t>1_2026_03_16_003624</w:t>
            </w:r>
          </w:p>
        </w:tc>
      </w:tr>
    </w:tbl>
    <w:p w14:paraId="3D35DF06" w14:textId="77777777" w:rsidR="000F6F93" w:rsidRDefault="000F6F93" w:rsidP="000F6F93">
      <w:pPr>
        <w:spacing w:after="0" w:line="240" w:lineRule="auto"/>
        <w:jc w:val="both"/>
        <w:rPr>
          <w:rFonts w:ascii="Verdana" w:eastAsia="Calibri" w:hAnsi="Verdana" w:cs="Arial"/>
          <w:lang w:val="es-ES_tradnl" w:eastAsia="es-ES_tradnl"/>
        </w:rPr>
      </w:pPr>
    </w:p>
    <w:p w14:paraId="56B9C318" w14:textId="77777777" w:rsidR="000F6F93" w:rsidRPr="00F50E68" w:rsidRDefault="000F6F93" w:rsidP="000F6F93">
      <w:pPr>
        <w:spacing w:after="0" w:line="240" w:lineRule="auto"/>
        <w:jc w:val="both"/>
        <w:rPr>
          <w:rFonts w:ascii="Verdana" w:eastAsia="Calibri" w:hAnsi="Verdana" w:cs="Arial"/>
          <w:lang w:val="es-ES_tradnl" w:eastAsia="es-ES_tradnl"/>
        </w:rPr>
      </w:pPr>
    </w:p>
    <w:p w14:paraId="2F7E5F5D" w14:textId="77777777" w:rsidR="000F6F93" w:rsidRPr="00F50E68" w:rsidRDefault="000F6F93" w:rsidP="000F6F93">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Estimad</w:t>
      </w:r>
      <w:r>
        <w:rPr>
          <w:rFonts w:ascii="Verdana" w:eastAsia="Calibri" w:hAnsi="Verdana" w:cs="Arial"/>
          <w:lang w:val="es-ES" w:eastAsia="es-ES"/>
        </w:rPr>
        <w:t>o señor Loiza</w:t>
      </w:r>
      <w:r w:rsidRPr="00F50E68">
        <w:rPr>
          <w:rFonts w:ascii="Verdana" w:eastAsia="Calibri" w:hAnsi="Verdana" w:cs="Arial"/>
          <w:lang w:val="es-ES" w:eastAsia="es-ES"/>
        </w:rPr>
        <w:t>:</w:t>
      </w:r>
    </w:p>
    <w:p w14:paraId="1E1D3EFD" w14:textId="77777777" w:rsidR="000F6F93" w:rsidRPr="00F50E68" w:rsidRDefault="000F6F93" w:rsidP="000F6F93">
      <w:pPr>
        <w:tabs>
          <w:tab w:val="left" w:pos="3768"/>
        </w:tabs>
        <w:spacing w:after="0" w:line="276" w:lineRule="auto"/>
        <w:jc w:val="both"/>
        <w:rPr>
          <w:rFonts w:ascii="Verdana" w:eastAsia="Calibri" w:hAnsi="Verdana" w:cs="Arial"/>
          <w:lang w:val="es-ES" w:eastAsia="es-ES"/>
        </w:rPr>
      </w:pPr>
      <w:r>
        <w:rPr>
          <w:rFonts w:ascii="Verdana" w:eastAsia="Calibri" w:hAnsi="Verdana" w:cs="Arial"/>
          <w:lang w:val="es-ES" w:eastAsia="es-ES"/>
        </w:rPr>
        <w:tab/>
      </w:r>
    </w:p>
    <w:p w14:paraId="63063F55" w14:textId="77777777" w:rsidR="000F6F93" w:rsidRPr="00F50E68" w:rsidRDefault="000F6F93" w:rsidP="000F6F93">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En ejercicio de la competencia otorgada por los artículos 3, numeral 5º, y 11, numeral 8º, del Decreto Ley 4170 de 2011,</w:t>
      </w:r>
      <w:r w:rsidRPr="00F50E68">
        <w:rPr>
          <w:rFonts w:ascii="Verdana" w:eastAsia="Arial MT" w:hAnsi="Verdana" w:cs="Arial MT"/>
          <w:lang w:val="es-ES" w:eastAsia="es-ES"/>
        </w:rPr>
        <w:t xml:space="preserve"> </w:t>
      </w:r>
      <w:r w:rsidRPr="00F50E68">
        <w:rPr>
          <w:rFonts w:ascii="Verdana" w:hAnsi="Verdana" w:cs="Arial"/>
        </w:rPr>
        <w:t xml:space="preserve">así como lo establecido en el artículo 4 de la Resolución 1707 de 2018 expedida por esta Entidad, </w:t>
      </w:r>
      <w:r w:rsidRPr="00F50E68">
        <w:rPr>
          <w:rFonts w:ascii="Verdana" w:eastAsia="Calibri" w:hAnsi="Verdana" w:cs="Arial"/>
          <w:lang w:val="es-ES" w:eastAsia="es-ES"/>
        </w:rPr>
        <w:t xml:space="preserve">la Agencia Nacional de Contratación Pública – Colombia Compra Eficiente– responde su solicitud del </w:t>
      </w:r>
      <w:r>
        <w:rPr>
          <w:rFonts w:ascii="Verdana" w:eastAsia="Calibri" w:hAnsi="Verdana" w:cs="Arial"/>
          <w:lang w:val="es-ES" w:eastAsia="es-ES"/>
        </w:rPr>
        <w:t>16 de marzo</w:t>
      </w:r>
      <w:r w:rsidRPr="00F50E68">
        <w:rPr>
          <w:rFonts w:ascii="Verdana" w:eastAsia="Calibri" w:hAnsi="Verdana" w:cs="Arial"/>
          <w:lang w:val="es-ES" w:eastAsia="es-ES"/>
        </w:rPr>
        <w:t xml:space="preserve"> de 2026</w:t>
      </w:r>
      <w:r>
        <w:rPr>
          <w:rFonts w:ascii="Verdana" w:eastAsia="Calibri" w:hAnsi="Verdana" w:cs="Arial"/>
          <w:lang w:val="es-ES" w:eastAsia="es-ES"/>
        </w:rPr>
        <w:t>, en la que</w:t>
      </w:r>
      <w:r w:rsidRPr="00F50E68">
        <w:rPr>
          <w:rFonts w:ascii="Verdana" w:eastAsia="Calibri" w:hAnsi="Verdana" w:cs="Arial"/>
          <w:lang w:val="es-ES" w:eastAsia="es-ES"/>
        </w:rPr>
        <w:t xml:space="preserve"> realiza </w:t>
      </w:r>
      <w:r>
        <w:rPr>
          <w:rFonts w:ascii="Verdana" w:eastAsia="Calibri" w:hAnsi="Verdana" w:cs="Arial"/>
          <w:lang w:val="es-ES" w:eastAsia="es-ES"/>
        </w:rPr>
        <w:t>la siguiente consulta</w:t>
      </w:r>
      <w:r w:rsidRPr="00F50E68">
        <w:rPr>
          <w:rFonts w:ascii="Verdana" w:eastAsia="Calibri" w:hAnsi="Verdana" w:cs="Arial"/>
          <w:lang w:val="es-ES" w:eastAsia="es-ES"/>
        </w:rPr>
        <w:t xml:space="preserve">: </w:t>
      </w:r>
    </w:p>
    <w:p w14:paraId="01B88E67" w14:textId="77777777" w:rsidR="000F6F93" w:rsidRPr="00F50E68" w:rsidRDefault="000F6F93" w:rsidP="000F6F93">
      <w:pPr>
        <w:spacing w:after="0" w:line="276" w:lineRule="auto"/>
        <w:jc w:val="both"/>
        <w:rPr>
          <w:rFonts w:ascii="Verdana" w:eastAsia="Calibri" w:hAnsi="Verdana" w:cs="Arial"/>
          <w:lang w:val="es-ES" w:eastAsia="es-ES"/>
        </w:rPr>
      </w:pPr>
    </w:p>
    <w:p w14:paraId="203BB5D3" w14:textId="77777777" w:rsidR="000F6F93" w:rsidRDefault="000F6F93" w:rsidP="000F6F93">
      <w:pPr>
        <w:spacing w:after="0" w:line="240" w:lineRule="auto"/>
        <w:ind w:left="709" w:right="709"/>
        <w:jc w:val="both"/>
        <w:rPr>
          <w:rFonts w:ascii="Verdana" w:eastAsia="Calibri" w:hAnsi="Verdana" w:cs="Arial"/>
          <w:sz w:val="20"/>
          <w:szCs w:val="20"/>
          <w:lang w:val="es-MX"/>
        </w:rPr>
      </w:pPr>
      <w:r w:rsidRPr="00F50E68">
        <w:rPr>
          <w:rFonts w:ascii="Verdana" w:eastAsia="Calibri" w:hAnsi="Verdana" w:cs="Arial"/>
          <w:sz w:val="20"/>
          <w:szCs w:val="20"/>
          <w:lang w:val="es-MX"/>
        </w:rPr>
        <w:t>“</w:t>
      </w:r>
      <w:r>
        <w:rPr>
          <w:rFonts w:ascii="Verdana" w:eastAsia="Calibri" w:hAnsi="Verdana" w:cs="Arial"/>
          <w:sz w:val="20"/>
          <w:szCs w:val="20"/>
          <w:lang w:val="es-MX"/>
        </w:rPr>
        <w:t>[…] se consulta si, durante la vigencia de las restricciones establecidas por la Ley de Garantías Electorales, las entidades estatales podrían acudir a modalidades de selección objetiva tales como el concurso de méritos o la mínima cuantía, para la contratación de servicios profesionales y de apoyo a la gestión, siempre que se respeten los principios de transparencia, economía, responsabilidad y selección objetiva.</w:t>
      </w:r>
    </w:p>
    <w:p w14:paraId="2DBB202B" w14:textId="77777777" w:rsidR="000F6F93" w:rsidRDefault="000F6F93" w:rsidP="000F6F93">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p>
    <w:p w14:paraId="7ECDEB28" w14:textId="77777777" w:rsidR="000F6F93" w:rsidRPr="00F50E68" w:rsidRDefault="000F6F93" w:rsidP="000F6F93">
      <w:pPr>
        <w:spacing w:after="0" w:line="240" w:lineRule="auto"/>
        <w:ind w:left="709" w:right="709"/>
        <w:jc w:val="both"/>
        <w:rPr>
          <w:rFonts w:ascii="Verdana" w:eastAsia="Calibri" w:hAnsi="Verdana" w:cs="Arial"/>
          <w:sz w:val="20"/>
          <w:szCs w:val="20"/>
          <w:lang w:val="es-ES" w:eastAsia="es-ES"/>
        </w:rPr>
      </w:pPr>
      <w:r>
        <w:rPr>
          <w:rFonts w:ascii="Verdana" w:eastAsia="Calibri" w:hAnsi="Verdana" w:cs="Arial"/>
          <w:sz w:val="20"/>
          <w:szCs w:val="20"/>
          <w:lang w:val="es-MX"/>
        </w:rPr>
        <w:lastRenderedPageBreak/>
        <w:t>En consecuencia, solicitamos respetuosamente a esa entidad se sirva emitir su concepto u orientación respecto de la viabilidad jurídica de acudir a las modalidades de selección anteriormente mencionadas para la contratación de servicios profesionales durante el período de vigencia de las restricciones establecidas por la Ley de Garantías Electorales</w:t>
      </w:r>
      <w:r w:rsidRPr="00F50E68">
        <w:rPr>
          <w:rFonts w:ascii="Verdana" w:eastAsia="Calibri" w:hAnsi="Verdana" w:cs="Arial"/>
          <w:sz w:val="20"/>
          <w:szCs w:val="20"/>
          <w:lang w:val="es-MX"/>
        </w:rPr>
        <w:t>”</w:t>
      </w:r>
      <w:r>
        <w:rPr>
          <w:rFonts w:ascii="Verdana" w:eastAsia="Calibri" w:hAnsi="Verdana" w:cs="Arial"/>
          <w:sz w:val="20"/>
          <w:szCs w:val="20"/>
          <w:lang w:val="es-MX"/>
        </w:rPr>
        <w:t>.</w:t>
      </w:r>
      <w:r w:rsidRPr="00F50E68">
        <w:rPr>
          <w:rFonts w:ascii="Verdana" w:eastAsia="Calibri" w:hAnsi="Verdana" w:cs="Arial"/>
          <w:sz w:val="20"/>
          <w:szCs w:val="20"/>
          <w:lang w:val="es-MX"/>
        </w:rPr>
        <w:t xml:space="preserve"> [sic</w:t>
      </w:r>
      <w:r>
        <w:rPr>
          <w:rFonts w:ascii="Verdana" w:eastAsia="Calibri" w:hAnsi="Verdana" w:cs="Arial"/>
          <w:sz w:val="20"/>
          <w:szCs w:val="20"/>
          <w:lang w:val="es-MX"/>
        </w:rPr>
        <w:t>]</w:t>
      </w:r>
    </w:p>
    <w:p w14:paraId="3CC3600F" w14:textId="77777777" w:rsidR="000F6F93" w:rsidRPr="00F50E68" w:rsidRDefault="000F6F93" w:rsidP="000F6F93">
      <w:pPr>
        <w:tabs>
          <w:tab w:val="left" w:pos="142"/>
          <w:tab w:val="left" w:pos="284"/>
        </w:tabs>
        <w:spacing w:line="276" w:lineRule="auto"/>
        <w:contextualSpacing/>
        <w:jc w:val="both"/>
        <w:rPr>
          <w:rFonts w:ascii="Verdana" w:eastAsia="Century Gothic" w:hAnsi="Verdana" w:cs="Century Gothic"/>
          <w:b/>
          <w:bCs/>
          <w:lang w:val="es-ES"/>
        </w:rPr>
      </w:pPr>
    </w:p>
    <w:p w14:paraId="2E48E31C" w14:textId="77777777" w:rsidR="000F6F93" w:rsidRPr="00F50E68" w:rsidRDefault="000F6F93" w:rsidP="000F6F93">
      <w:pPr>
        <w:spacing w:after="120" w:line="276" w:lineRule="auto"/>
        <w:ind w:firstLine="709"/>
        <w:jc w:val="both"/>
        <w:rPr>
          <w:rFonts w:ascii="Verdana" w:eastAsia="Calibri" w:hAnsi="Verdana" w:cs="Arial"/>
          <w:szCs w:val="24"/>
          <w:lang w:val="es-ES_tradnl" w:eastAsia="es-ES_tradnl"/>
        </w:rPr>
      </w:pPr>
      <w:r w:rsidRPr="00F50E6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0E68">
        <w:rPr>
          <w:rFonts w:ascii="Verdana" w:eastAsia="Calibri" w:hAnsi="Verdana" w:cs="Arial"/>
          <w:szCs w:val="24"/>
          <w:lang w:val="es-ES_tradnl" w:eastAsia="es-ES_tradnl"/>
        </w:rPr>
        <w:tab/>
      </w:r>
    </w:p>
    <w:p w14:paraId="3D3D83D6" w14:textId="77777777" w:rsidR="000F6F93" w:rsidRPr="00F50E68" w:rsidRDefault="000F6F93" w:rsidP="000F6F93">
      <w:pPr>
        <w:spacing w:after="0" w:line="276" w:lineRule="auto"/>
        <w:ind w:firstLine="709"/>
        <w:jc w:val="both"/>
        <w:rPr>
          <w:rFonts w:ascii="Verdana" w:eastAsia="Calibri" w:hAnsi="Verdana" w:cs="Arial"/>
          <w:lang w:val="es-ES" w:eastAsia="es-ES"/>
        </w:rPr>
      </w:pPr>
      <w:r w:rsidRPr="00F50E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BF77A56" w14:textId="77777777" w:rsidR="000F6F93" w:rsidRPr="00F50E68" w:rsidRDefault="000F6F93" w:rsidP="000F6F93">
      <w:pPr>
        <w:spacing w:after="0" w:line="276" w:lineRule="auto"/>
        <w:ind w:firstLine="709"/>
        <w:jc w:val="both"/>
        <w:rPr>
          <w:rFonts w:ascii="Verdana" w:eastAsia="Calibri" w:hAnsi="Verdana" w:cs="Arial"/>
          <w:lang w:val="es-ES" w:eastAsia="es-ES"/>
        </w:rPr>
      </w:pPr>
    </w:p>
    <w:p w14:paraId="601D2E06" w14:textId="77777777" w:rsidR="000F6F93" w:rsidRPr="00F50E68" w:rsidRDefault="000F6F93" w:rsidP="000F6F93">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F50E68">
        <w:rPr>
          <w:rFonts w:ascii="Verdana" w:eastAsia="Arial" w:hAnsi="Verdana" w:cs="Arial"/>
          <w:b/>
          <w:bCs/>
          <w:lang w:val="es-ES"/>
        </w:rPr>
        <w:t>1. Problema planteado:</w:t>
      </w:r>
    </w:p>
    <w:p w14:paraId="5A7B94E3" w14:textId="77777777" w:rsidR="000F6F93" w:rsidRPr="00F50E68" w:rsidRDefault="000F6F93" w:rsidP="000F6F93">
      <w:pPr>
        <w:tabs>
          <w:tab w:val="left" w:pos="426"/>
        </w:tabs>
        <w:spacing w:after="0" w:line="276" w:lineRule="auto"/>
        <w:jc w:val="both"/>
        <w:rPr>
          <w:rFonts w:ascii="Verdana" w:eastAsia="Century Gothic" w:hAnsi="Verdana" w:cs="Century Gothic"/>
          <w:lang w:val="es-ES"/>
        </w:rPr>
      </w:pPr>
    </w:p>
    <w:p w14:paraId="520BBA35" w14:textId="77777777" w:rsidR="000F6F93" w:rsidRPr="00786F49" w:rsidRDefault="000F6F93" w:rsidP="000F6F93">
      <w:pPr>
        <w:spacing w:after="0" w:line="276" w:lineRule="auto"/>
        <w:jc w:val="both"/>
        <w:rPr>
          <w:rFonts w:ascii="Verdana" w:eastAsia="Century Gothic" w:hAnsi="Verdana" w:cs="Century Gothic"/>
        </w:rPr>
      </w:pPr>
      <w:r w:rsidRPr="00F50E68">
        <w:rPr>
          <w:rFonts w:ascii="Verdana" w:eastAsia="Century Gothic" w:hAnsi="Verdana" w:cs="Century Gothic"/>
        </w:rPr>
        <w:t xml:space="preserve">De acuerdo con el contenido de su solicitud, le informamos que la misma será atendida desde </w:t>
      </w:r>
      <w:r>
        <w:rPr>
          <w:rFonts w:ascii="Verdana" w:eastAsia="Century Gothic" w:hAnsi="Verdana" w:cs="Century Gothic"/>
        </w:rPr>
        <w:t>el</w:t>
      </w:r>
      <w:r w:rsidRPr="00F50E68">
        <w:rPr>
          <w:rFonts w:ascii="Verdana" w:eastAsia="Century Gothic" w:hAnsi="Verdana" w:cs="Century Gothic"/>
        </w:rPr>
        <w:t xml:space="preserve"> siguiente </w:t>
      </w:r>
      <w:r w:rsidRPr="00740C45">
        <w:rPr>
          <w:rFonts w:ascii="Verdana" w:eastAsia="Century Gothic" w:hAnsi="Verdana" w:cs="Century Gothic"/>
        </w:rPr>
        <w:t xml:space="preserve">interrogante: </w:t>
      </w:r>
      <w:r>
        <w:rPr>
          <w:rFonts w:ascii="Verdana" w:eastAsia="Century Gothic" w:hAnsi="Verdana" w:cs="Century Gothic"/>
        </w:rPr>
        <w:t>¿La prestación de servicios profesionales y de apoyo a la gestión, puede contratarse modalidades de selección diferentes a la contratación directa?</w:t>
      </w:r>
    </w:p>
    <w:p w14:paraId="26F352C1" w14:textId="77777777" w:rsidR="000F6F93" w:rsidRPr="00F50E68" w:rsidRDefault="000F6F93" w:rsidP="000F6F93">
      <w:pPr>
        <w:spacing w:after="0" w:line="276" w:lineRule="auto"/>
        <w:jc w:val="both"/>
        <w:rPr>
          <w:rFonts w:ascii="Verdana" w:eastAsia="Calibri" w:hAnsi="Verdana" w:cs="Arial"/>
          <w:lang w:val="es-ES"/>
        </w:rPr>
      </w:pPr>
      <w:bookmarkStart w:id="1" w:name="_Hlk171070029"/>
    </w:p>
    <w:bookmarkEnd w:id="1"/>
    <w:p w14:paraId="5FBA853C" w14:textId="77777777" w:rsidR="000F6F93" w:rsidRPr="00F50E68" w:rsidRDefault="000F6F93" w:rsidP="000F6F93">
      <w:pPr>
        <w:widowControl w:val="0"/>
        <w:autoSpaceDE w:val="0"/>
        <w:autoSpaceDN w:val="0"/>
        <w:spacing w:before="1" w:after="0" w:line="240" w:lineRule="auto"/>
        <w:jc w:val="both"/>
        <w:outlineLvl w:val="0"/>
        <w:rPr>
          <w:rFonts w:ascii="Verdana" w:eastAsia="Arial" w:hAnsi="Verdana" w:cs="Arial"/>
          <w:b/>
          <w:bCs/>
          <w:lang w:val="es-ES"/>
        </w:rPr>
      </w:pPr>
      <w:r w:rsidRPr="00F50E68">
        <w:rPr>
          <w:rFonts w:ascii="Verdana" w:eastAsia="Arial" w:hAnsi="Verdana" w:cs="Arial"/>
          <w:b/>
          <w:bCs/>
          <w:lang w:val="es-ES"/>
        </w:rPr>
        <w:t>2. Respuesta:</w:t>
      </w:r>
    </w:p>
    <w:p w14:paraId="119647CF" w14:textId="77777777" w:rsidR="000F6F93" w:rsidRPr="00F50E68" w:rsidRDefault="000F6F93" w:rsidP="000F6F93">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6F93" w:rsidRPr="00F50E68" w14:paraId="66EB9049" w14:textId="77777777" w:rsidTr="001128BB">
        <w:tc>
          <w:tcPr>
            <w:tcW w:w="8828" w:type="dxa"/>
          </w:tcPr>
          <w:p w14:paraId="4D4D9116" w14:textId="77777777" w:rsidR="000F6F93" w:rsidRDefault="000F6F93" w:rsidP="001128BB">
            <w:pPr>
              <w:spacing w:before="120" w:line="276" w:lineRule="auto"/>
              <w:jc w:val="both"/>
              <w:rPr>
                <w:rFonts w:ascii="Verdana" w:eastAsia="Calibri" w:hAnsi="Verdana" w:cs="Arial"/>
                <w:color w:val="000000"/>
              </w:rPr>
            </w:pPr>
            <w:bookmarkStart w:id="2" w:name="_Hlk171067516"/>
            <w:r>
              <w:rPr>
                <w:rFonts w:ascii="Verdana" w:hAnsi="Verdana" w:cs="Arial"/>
                <w:bCs/>
              </w:rPr>
              <w:t xml:space="preserve">Inicialmente </w:t>
            </w:r>
            <w:r>
              <w:rPr>
                <w:rFonts w:ascii="Verdana" w:eastAsia="Calibri" w:hAnsi="Verdana" w:cs="Arial"/>
                <w:color w:val="000000"/>
              </w:rPr>
              <w:t xml:space="preserve">debe precisarse que, dentro del marco legal dispuesto por el legislador en el artículo 2 de la Ley 1150 de 2011, las Entidades Estatales </w:t>
            </w:r>
            <w:r>
              <w:rPr>
                <w:rFonts w:ascii="Verdana" w:eastAsia="Calibri" w:hAnsi="Verdana" w:cs="Arial"/>
                <w:color w:val="000000"/>
              </w:rPr>
              <w:lastRenderedPageBreak/>
              <w:t>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contratación directa, sin distinción de la cuantía u objeto, pues esta es la forma señalada en el literal h), del numeral 4, del artículo 2 de la Ley 1150 de 2011.</w:t>
            </w:r>
          </w:p>
          <w:p w14:paraId="33C3DE5F" w14:textId="77777777" w:rsidR="000F6F93" w:rsidRDefault="000F6F93" w:rsidP="001128BB">
            <w:pPr>
              <w:spacing w:before="120" w:line="276" w:lineRule="auto"/>
              <w:ind w:firstLine="709"/>
              <w:jc w:val="both"/>
              <w:rPr>
                <w:rFonts w:ascii="Verdana" w:eastAsia="Calibri" w:hAnsi="Verdana" w:cs="Arial"/>
                <w:color w:val="000000"/>
              </w:rPr>
            </w:pPr>
            <w:r>
              <w:rPr>
                <w:rFonts w:ascii="Verdana" w:eastAsia="Calibri" w:hAnsi="Verdana" w:cs="Arial"/>
                <w:color w:val="000000"/>
              </w:rPr>
              <w:t xml:space="preserve">La anterior precisión resulta relevante, puesto que, si bien el legislador contempló en la referida norma otras modalidades de selección que implican el desarrollo de los procesos de contratación de manera competitiva –esto es, mediante la licitación pública, el concurso de méritos, la selección abreviada y la mínima cuantía–, para cada una de estas se establecieron delimitantes o factores determinantes que no sólo le permiten a las Entidades Estatales verificar su procedencia para adquirir el bien, obra o servicio objeto de la necesidad, sino que también constituyen limitantes que deben respetar. </w:t>
            </w:r>
          </w:p>
          <w:p w14:paraId="7C36B322" w14:textId="77777777" w:rsidR="000F6F93" w:rsidRDefault="000F6F93" w:rsidP="001128BB">
            <w:pPr>
              <w:spacing w:before="120" w:line="276" w:lineRule="auto"/>
              <w:ind w:firstLine="709"/>
              <w:jc w:val="both"/>
              <w:rPr>
                <w:rFonts w:ascii="Verdana" w:eastAsia="Calibri" w:hAnsi="Verdana" w:cs="Arial"/>
                <w:color w:val="000000"/>
              </w:rPr>
            </w:pPr>
            <w:r>
              <w:rPr>
                <w:rFonts w:ascii="Verdana" w:eastAsia="Calibri" w:hAnsi="Verdana" w:cs="Arial"/>
                <w:color w:val="000000"/>
              </w:rPr>
              <w:t>De esta forma, el adelantar procesos contractuales para la prestación de servicios profesionales, de apoyo a la gestión o de ejecución de trabajos artísticos mediante una modalidad de selección diferente a la contratación directa, no solo implicaría una mala práctica contractual, sino también el desconocimiento de los principios que rigen la contratación pública y el marco normativo dispuesto previamente para ello.</w:t>
            </w:r>
          </w:p>
          <w:p w14:paraId="59830A46" w14:textId="77777777" w:rsidR="000F6F93" w:rsidRDefault="000F6F93" w:rsidP="001128BB">
            <w:pPr>
              <w:spacing w:before="120" w:after="120" w:line="276" w:lineRule="auto"/>
              <w:ind w:firstLine="709"/>
              <w:jc w:val="both"/>
              <w:rPr>
                <w:rFonts w:ascii="Verdana" w:eastAsia="Calibri" w:hAnsi="Verdana" w:cs="Arial"/>
              </w:rPr>
            </w:pPr>
            <w:r>
              <w:rPr>
                <w:rFonts w:ascii="Verdana" w:eastAsia="Calibri" w:hAnsi="Verdana" w:cs="Arial"/>
              </w:rPr>
              <w:t xml:space="preserve">En ese sentido, se aclara que al encontrarnos en vigencia de las restricciones contractuales contenidas en la Ley 996 de 2005, también conocida como Ley de Garantías Electorales, las Entidades Estatales no podrán realizar contrataciones de manera directa, puesto que, dicha norma en su artículo 33 prohíbe </w:t>
            </w:r>
            <w:r w:rsidRPr="004807AD">
              <w:rPr>
                <w:rFonts w:ascii="Verdana" w:eastAsia="Calibri" w:hAnsi="Verdana" w:cs="Arial"/>
              </w:rPr>
              <w:t>“[…] la contratación directa por parte de todos los entes del Estado” durante los cuatro (4) meses anteriores a las elecciones presidenciales,</w:t>
            </w:r>
            <w:r>
              <w:t xml:space="preserve"> </w:t>
            </w:r>
            <w:r w:rsidRPr="009D5839">
              <w:rPr>
                <w:rFonts w:ascii="Verdana" w:eastAsia="Calibri" w:hAnsi="Verdana" w:cs="Arial"/>
              </w:rPr>
              <w:t>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32E0110" w14:textId="77777777" w:rsidR="000F6F93" w:rsidRPr="00F50E68" w:rsidRDefault="000F6F93" w:rsidP="001128BB">
            <w:pPr>
              <w:spacing w:before="120" w:after="120" w:line="276" w:lineRule="auto"/>
              <w:ind w:firstLine="709"/>
              <w:jc w:val="both"/>
              <w:rPr>
                <w:rFonts w:ascii="Verdana" w:eastAsia="Calibri" w:hAnsi="Verdana" w:cs="Arial"/>
              </w:rPr>
            </w:pPr>
            <w:r w:rsidRPr="00B31C93">
              <w:rPr>
                <w:rFonts w:ascii="Verdana" w:eastAsia="Calibri" w:hAnsi="Verdana" w:cs="Arial"/>
              </w:rPr>
              <w:lastRenderedPageBreak/>
              <w:t>Finalmente</w:t>
            </w:r>
            <w:r w:rsidRPr="00F50E68">
              <w:rPr>
                <w:rFonts w:ascii="Verdana" w:eastAsia="Calibri" w:hAnsi="Verdana" w:cs="Arial"/>
              </w:rPr>
              <w:t xml:space="preserve">, </w:t>
            </w:r>
            <w:r>
              <w:rPr>
                <w:rFonts w:ascii="Verdana" w:eastAsia="Calibri" w:hAnsi="Verdana" w:cs="Arial"/>
              </w:rPr>
              <w:t xml:space="preserve">se </w:t>
            </w:r>
            <w:r w:rsidRPr="00F50E68">
              <w:rPr>
                <w:rFonts w:ascii="Verdana" w:eastAsia="Calibri" w:hAnsi="Verdana" w:cs="Arial"/>
              </w:rPr>
              <w:t xml:space="preserve">debe advertirse que el análisis requerido para resolver problemas específicos en torno a la </w:t>
            </w:r>
            <w:r>
              <w:rPr>
                <w:rFonts w:ascii="Verdana" w:eastAsia="Calibri" w:hAnsi="Verdana" w:cs="Arial"/>
              </w:rPr>
              <w:t>gestión contractual de las Entidades Estatales</w:t>
            </w:r>
            <w:r w:rsidRPr="00F50E68">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bookmarkEnd w:id="2"/>
    </w:tbl>
    <w:p w14:paraId="760B39AD" w14:textId="77777777" w:rsidR="000F6F93" w:rsidRPr="00F50E68" w:rsidRDefault="000F6F93" w:rsidP="000F6F93">
      <w:pPr>
        <w:tabs>
          <w:tab w:val="left" w:pos="142"/>
          <w:tab w:val="left" w:pos="967"/>
        </w:tabs>
        <w:spacing w:after="0" w:line="276" w:lineRule="auto"/>
        <w:jc w:val="both"/>
        <w:rPr>
          <w:rFonts w:ascii="Verdana" w:eastAsia="Century Gothic" w:hAnsi="Verdana" w:cs="Century Gothic"/>
          <w:b/>
          <w:bCs/>
          <w:lang w:val="es-ES"/>
        </w:rPr>
      </w:pPr>
    </w:p>
    <w:p w14:paraId="27B0970A" w14:textId="77777777" w:rsidR="000F6F93" w:rsidRPr="00F50E68" w:rsidRDefault="000F6F93" w:rsidP="000F6F93">
      <w:pPr>
        <w:widowControl w:val="0"/>
        <w:autoSpaceDE w:val="0"/>
        <w:autoSpaceDN w:val="0"/>
        <w:spacing w:before="1" w:after="0" w:line="240" w:lineRule="auto"/>
        <w:ind w:left="360" w:hanging="360"/>
        <w:outlineLvl w:val="0"/>
        <w:rPr>
          <w:rFonts w:ascii="Verdana" w:eastAsia="Arial" w:hAnsi="Verdana" w:cs="Arial"/>
          <w:b/>
          <w:bCs/>
          <w:lang w:val="es-ES"/>
        </w:rPr>
      </w:pPr>
      <w:r w:rsidRPr="00F50E68">
        <w:rPr>
          <w:rFonts w:ascii="Verdana" w:eastAsia="Arial" w:hAnsi="Verdana" w:cs="Arial"/>
          <w:b/>
          <w:bCs/>
          <w:lang w:val="es-ES"/>
        </w:rPr>
        <w:t>3. Razones de la respuesta</w:t>
      </w:r>
    </w:p>
    <w:p w14:paraId="3C9F1168" w14:textId="77777777" w:rsidR="000F6F93" w:rsidRPr="00F50E68" w:rsidRDefault="000F6F93" w:rsidP="000F6F93">
      <w:pPr>
        <w:spacing w:after="0" w:line="276" w:lineRule="auto"/>
        <w:jc w:val="both"/>
        <w:rPr>
          <w:rFonts w:ascii="Verdana" w:eastAsia="Calibri" w:hAnsi="Verdana" w:cs="Arial"/>
          <w:lang w:val="es-ES"/>
        </w:rPr>
      </w:pPr>
    </w:p>
    <w:p w14:paraId="3D6B9427" w14:textId="77777777" w:rsidR="000F6F93" w:rsidRPr="004D09C6" w:rsidRDefault="000F6F93" w:rsidP="000F6F93">
      <w:pPr>
        <w:spacing w:after="0" w:line="276" w:lineRule="auto"/>
        <w:jc w:val="both"/>
        <w:rPr>
          <w:rFonts w:ascii="Verdana" w:eastAsia="Calibri" w:hAnsi="Verdana" w:cs="Arial"/>
          <w:lang w:val="es-ES"/>
        </w:rPr>
      </w:pPr>
      <w:r w:rsidRPr="004D09C6">
        <w:rPr>
          <w:rFonts w:ascii="Verdana" w:eastAsia="Calibri" w:hAnsi="Verdana" w:cs="Arial"/>
          <w:lang w:val="es-ES"/>
        </w:rPr>
        <w:t xml:space="preserve">La respuesta anterior se sustenta en las siguientes consideraciones: </w:t>
      </w:r>
    </w:p>
    <w:p w14:paraId="631F800C" w14:textId="77777777" w:rsidR="000F6F93" w:rsidRPr="004D09C6" w:rsidRDefault="000F6F93" w:rsidP="000F6F93">
      <w:pPr>
        <w:spacing w:after="0" w:line="276" w:lineRule="auto"/>
        <w:jc w:val="both"/>
        <w:rPr>
          <w:rFonts w:ascii="Verdana" w:eastAsia="Calibri" w:hAnsi="Verdana" w:cs="Arial"/>
          <w:lang w:val="es-ES"/>
        </w:rPr>
      </w:pPr>
    </w:p>
    <w:p w14:paraId="4A802B12" w14:textId="77777777" w:rsidR="000F6F93" w:rsidRPr="004D09C6" w:rsidRDefault="000F6F93" w:rsidP="000F6F93">
      <w:pPr>
        <w:tabs>
          <w:tab w:val="left" w:pos="0"/>
        </w:tabs>
        <w:spacing w:after="0" w:line="276" w:lineRule="auto"/>
        <w:contextualSpacing/>
        <w:jc w:val="both"/>
        <w:rPr>
          <w:rFonts w:ascii="Verdana" w:eastAsia="Calibri" w:hAnsi="Verdana" w:cs="Arial"/>
          <w:color w:val="000000" w:themeColor="text1"/>
          <w:lang w:val="es-ES_tradnl"/>
        </w:rPr>
      </w:pPr>
      <w:r w:rsidRPr="004D09C6">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4D09C6">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4D09C6">
        <w:rPr>
          <w:rFonts w:ascii="Verdana" w:hAnsi="Verdana" w:cs="Arial"/>
          <w:color w:val="000000" w:themeColor="text1"/>
          <w:lang w:val="es-MX"/>
        </w:rPr>
        <w:t>.</w:t>
      </w:r>
      <w:r w:rsidRPr="004D09C6">
        <w:rPr>
          <w:rFonts w:ascii="Verdana" w:eastAsia="Calibri" w:hAnsi="Verdana" w:cs="Arial"/>
          <w:color w:val="000000" w:themeColor="text1"/>
          <w:lang w:val="es-ES_tradnl"/>
        </w:rPr>
        <w:t xml:space="preserve"> La celebración de dicho contrato debe efectuarse a través de la modalidad de contratación directa. Así lo dispone el</w:t>
      </w:r>
      <w:r>
        <w:rPr>
          <w:rFonts w:ascii="Verdana" w:eastAsia="Calibri" w:hAnsi="Verdana" w:cs="Arial"/>
          <w:color w:val="000000" w:themeColor="text1"/>
          <w:lang w:val="es-ES_tradnl"/>
        </w:rPr>
        <w:t xml:space="preserve"> literal h), </w:t>
      </w:r>
      <w:r w:rsidRPr="004D09C6">
        <w:rPr>
          <w:rFonts w:ascii="Verdana" w:eastAsia="Calibri" w:hAnsi="Verdana" w:cs="Arial"/>
          <w:color w:val="000000" w:themeColor="text1"/>
          <w:lang w:val="es-ES_tradnl"/>
        </w:rPr>
        <w:t xml:space="preserve">numeral 4º, </w:t>
      </w:r>
      <w:r>
        <w:rPr>
          <w:rFonts w:ascii="Verdana" w:eastAsia="Calibri" w:hAnsi="Verdana" w:cs="Arial"/>
          <w:color w:val="000000" w:themeColor="text1"/>
          <w:lang w:val="es-ES_tradnl"/>
        </w:rPr>
        <w:t>del artículo 2</w:t>
      </w:r>
      <w:r w:rsidRPr="004D09C6">
        <w:rPr>
          <w:rFonts w:ascii="Verdana" w:eastAsia="Calibri" w:hAnsi="Verdana" w:cs="Arial"/>
          <w:color w:val="000000" w:themeColor="text1"/>
          <w:lang w:val="es-ES_tradnl"/>
        </w:rPr>
        <w:t xml:space="preserve"> de la Ley 1150 de 2007:</w:t>
      </w:r>
    </w:p>
    <w:p w14:paraId="32011BCB" w14:textId="77777777" w:rsidR="000F6F93" w:rsidRPr="004D09C6" w:rsidRDefault="000F6F93" w:rsidP="000F6F93">
      <w:pPr>
        <w:spacing w:after="0" w:line="276" w:lineRule="auto"/>
        <w:ind w:right="709"/>
        <w:contextualSpacing/>
        <w:jc w:val="both"/>
        <w:rPr>
          <w:rFonts w:ascii="Verdana" w:eastAsia="Calibri" w:hAnsi="Verdana" w:cs="Arial"/>
          <w:color w:val="000000" w:themeColor="text1"/>
          <w:sz w:val="21"/>
          <w:szCs w:val="21"/>
          <w:lang w:val="es-ES_tradnl"/>
        </w:rPr>
      </w:pPr>
    </w:p>
    <w:p w14:paraId="6F9414CF" w14:textId="77777777" w:rsidR="000F6F93" w:rsidRPr="00FD5C7C" w:rsidRDefault="000F6F93" w:rsidP="000F6F93">
      <w:pPr>
        <w:spacing w:after="0" w:line="240" w:lineRule="auto"/>
        <w:ind w:left="709" w:right="758"/>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1EEF2FC7" w14:textId="77777777" w:rsidR="000F6F93" w:rsidRPr="00FD5C7C" w:rsidRDefault="000F6F93" w:rsidP="000F6F93">
      <w:pPr>
        <w:spacing w:after="0" w:line="240" w:lineRule="auto"/>
        <w:ind w:left="709" w:right="760"/>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w:t>
      </w:r>
    </w:p>
    <w:p w14:paraId="5908B265" w14:textId="77777777" w:rsidR="000F6F93" w:rsidRPr="00FD5C7C" w:rsidRDefault="000F6F93" w:rsidP="000F6F93">
      <w:pPr>
        <w:spacing w:after="0" w:line="240" w:lineRule="auto"/>
        <w:ind w:left="709" w:right="758"/>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3DB0A302" w14:textId="77777777" w:rsidR="000F6F93" w:rsidRPr="00FD5C7C" w:rsidRDefault="000F6F93" w:rsidP="000F6F93">
      <w:pPr>
        <w:spacing w:after="0" w:line="240" w:lineRule="auto"/>
        <w:ind w:left="709" w:right="760"/>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w:t>
      </w:r>
    </w:p>
    <w:p w14:paraId="3C6A6728" w14:textId="77777777" w:rsidR="000F6F93" w:rsidRPr="00FD5C7C" w:rsidRDefault="000F6F93" w:rsidP="000F6F93">
      <w:pPr>
        <w:spacing w:after="0" w:line="240" w:lineRule="auto"/>
        <w:ind w:left="709" w:right="758"/>
        <w:contextualSpacing/>
        <w:jc w:val="both"/>
        <w:rPr>
          <w:rFonts w:ascii="Verdana" w:eastAsia="Calibri" w:hAnsi="Verdana" w:cs="Arial"/>
          <w:color w:val="000000" w:themeColor="text1"/>
          <w:sz w:val="20"/>
          <w:szCs w:val="20"/>
          <w:lang w:val="es-MX"/>
        </w:rPr>
      </w:pPr>
      <w:r w:rsidRPr="00FD5C7C">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p>
    <w:p w14:paraId="590444CB" w14:textId="77777777" w:rsidR="000F6F93" w:rsidRPr="004D09C6" w:rsidRDefault="000F6F93" w:rsidP="000F6F93">
      <w:pPr>
        <w:tabs>
          <w:tab w:val="left" w:pos="0"/>
        </w:tabs>
        <w:spacing w:after="0" w:line="276" w:lineRule="auto"/>
        <w:contextualSpacing/>
        <w:jc w:val="both"/>
        <w:rPr>
          <w:rFonts w:ascii="Verdana" w:hAnsi="Verdana" w:cs="Arial"/>
          <w:noProof/>
          <w:lang w:val="es-ES_tradnl"/>
        </w:rPr>
      </w:pPr>
      <w:r w:rsidRPr="004D09C6">
        <w:rPr>
          <w:rFonts w:ascii="Verdana" w:hAnsi="Verdana" w:cs="Arial"/>
          <w:noProof/>
          <w:lang w:val="es-ES_tradnl"/>
        </w:rPr>
        <w:tab/>
      </w:r>
    </w:p>
    <w:p w14:paraId="13D002BB" w14:textId="77777777" w:rsidR="000F6F93" w:rsidRPr="004D09C6" w:rsidRDefault="000F6F93" w:rsidP="000F6F93">
      <w:pPr>
        <w:tabs>
          <w:tab w:val="left" w:pos="0"/>
        </w:tabs>
        <w:spacing w:after="0" w:line="276" w:lineRule="auto"/>
        <w:contextualSpacing/>
        <w:jc w:val="both"/>
        <w:rPr>
          <w:rFonts w:ascii="Verdana" w:hAnsi="Verdana" w:cs="Arial"/>
          <w:noProof/>
          <w:lang w:val="es-ES_tradnl"/>
        </w:rPr>
      </w:pPr>
      <w:r w:rsidRPr="004D09C6">
        <w:rPr>
          <w:rFonts w:ascii="Verdana" w:hAnsi="Verdana" w:cs="Arial"/>
          <w:noProof/>
          <w:lang w:val="es-ES_tradnl"/>
        </w:rPr>
        <w:tab/>
        <w:t xml:space="preserve">En tal sentido, el </w:t>
      </w:r>
      <w:r>
        <w:rPr>
          <w:rFonts w:ascii="Verdana" w:hAnsi="Verdana" w:cs="Arial"/>
          <w:noProof/>
          <w:lang w:val="es-ES_tradnl"/>
        </w:rPr>
        <w:t>a</w:t>
      </w:r>
      <w:r w:rsidRPr="004D09C6">
        <w:rPr>
          <w:rFonts w:ascii="Verdana" w:hAnsi="Verdana" w:cs="Arial"/>
          <w:noProof/>
          <w:lang w:val="es-ES_tradnl"/>
        </w:rPr>
        <w:t xml:space="preserve">rtículo 2.2.1.2.1.4.9 </w:t>
      </w:r>
      <w:r>
        <w:rPr>
          <w:rFonts w:ascii="Verdana" w:hAnsi="Verdana" w:cs="Arial"/>
          <w:noProof/>
          <w:lang w:val="es-ES_tradnl"/>
        </w:rPr>
        <w:t xml:space="preserve">del </w:t>
      </w:r>
      <w:r w:rsidRPr="004D09C6">
        <w:rPr>
          <w:rFonts w:ascii="Verdana" w:hAnsi="Verdana" w:cs="Arial"/>
          <w:noProof/>
          <w:lang w:val="es-ES_tradnl"/>
        </w:rPr>
        <w:t xml:space="preserve">Decreto 1082 de 2015 reglamenta la contratación directa para los contratos de servicios profesionales </w:t>
      </w:r>
      <w:r w:rsidRPr="004D09C6">
        <w:rPr>
          <w:rFonts w:ascii="Verdana" w:hAnsi="Verdana" w:cs="Arial"/>
          <w:noProof/>
          <w:lang w:val="es-ES_tradnl"/>
        </w:rPr>
        <w:lastRenderedPageBreak/>
        <w:t>y de apoyo a la gestión, o para la ejecución de trabajos artísticos que solo puedan encomendarse a determinadas personas naturales, en los siguientes términos:</w:t>
      </w:r>
    </w:p>
    <w:p w14:paraId="2E057163" w14:textId="77777777" w:rsidR="000F6F93" w:rsidRPr="004D09C6" w:rsidRDefault="000F6F93" w:rsidP="000F6F93">
      <w:pPr>
        <w:tabs>
          <w:tab w:val="left" w:pos="0"/>
        </w:tabs>
        <w:spacing w:after="0" w:line="276" w:lineRule="auto"/>
        <w:contextualSpacing/>
        <w:jc w:val="both"/>
        <w:rPr>
          <w:rFonts w:ascii="Verdana" w:hAnsi="Verdana" w:cs="Arial"/>
          <w:noProof/>
          <w:lang w:val="es-ES_tradnl"/>
        </w:rPr>
      </w:pPr>
    </w:p>
    <w:p w14:paraId="21DBB84F" w14:textId="77777777" w:rsidR="000F6F93" w:rsidRPr="00FD5C7C" w:rsidRDefault="000F6F93" w:rsidP="000F6F93">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 xml:space="preserve">“Las Entidades Estatales </w:t>
      </w:r>
      <w:r w:rsidRPr="00FD5C7C">
        <w:rPr>
          <w:rFonts w:ascii="Verdana" w:hAnsi="Verdana" w:cs="Arial"/>
          <w:i/>
          <w:iCs/>
          <w:sz w:val="20"/>
          <w:szCs w:val="20"/>
          <w:u w:val="single"/>
          <w:lang w:val="es-MX"/>
        </w:rPr>
        <w:t>pueden contratar bajo la modalidad de contratación directa la prestación de servicios profesionales y de apoyo a la gestión</w:t>
      </w:r>
      <w:r w:rsidRPr="00FD5C7C">
        <w:rPr>
          <w:rFonts w:ascii="Verdana" w:hAnsi="Verdana" w:cs="Arial"/>
          <w:sz w:val="20"/>
          <w:szCs w:val="20"/>
          <w:lang w:val="es-MX"/>
        </w:rPr>
        <w:t xml:space="preserve">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53A8445" w14:textId="77777777" w:rsidR="000F6F93" w:rsidRPr="00FD5C7C" w:rsidRDefault="000F6F93" w:rsidP="000F6F93">
      <w:pPr>
        <w:spacing w:after="0" w:line="240" w:lineRule="auto"/>
        <w:ind w:left="709" w:right="760"/>
        <w:contextualSpacing/>
        <w:jc w:val="both"/>
        <w:rPr>
          <w:rFonts w:ascii="Verdana" w:hAnsi="Verdana" w:cs="Arial"/>
          <w:sz w:val="20"/>
          <w:szCs w:val="20"/>
        </w:rPr>
      </w:pPr>
    </w:p>
    <w:p w14:paraId="30F10F2D" w14:textId="77777777" w:rsidR="000F6F93" w:rsidRPr="00FD5C7C" w:rsidRDefault="000F6F93" w:rsidP="000F6F93">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AE00F76" w14:textId="77777777" w:rsidR="000F6F93" w:rsidRPr="00FD5C7C" w:rsidRDefault="000F6F93" w:rsidP="000F6F93">
      <w:pPr>
        <w:spacing w:after="0" w:line="240" w:lineRule="auto"/>
        <w:ind w:left="709" w:right="760"/>
        <w:contextualSpacing/>
        <w:jc w:val="both"/>
        <w:rPr>
          <w:rFonts w:ascii="Verdana" w:hAnsi="Verdana" w:cs="Arial"/>
          <w:sz w:val="20"/>
          <w:szCs w:val="20"/>
          <w:lang w:val="es-MX"/>
        </w:rPr>
      </w:pPr>
    </w:p>
    <w:p w14:paraId="70BDDABC" w14:textId="77777777" w:rsidR="000F6F93" w:rsidRPr="00FD5C7C" w:rsidRDefault="000F6F93" w:rsidP="000F6F93">
      <w:pPr>
        <w:spacing w:after="0" w:line="240" w:lineRule="auto"/>
        <w:ind w:left="709" w:right="760"/>
        <w:contextualSpacing/>
        <w:jc w:val="both"/>
        <w:rPr>
          <w:rFonts w:ascii="Verdana" w:hAnsi="Verdana" w:cs="Arial"/>
          <w:sz w:val="20"/>
          <w:szCs w:val="20"/>
          <w:lang w:val="es-MX"/>
        </w:rPr>
      </w:pPr>
      <w:r w:rsidRPr="00FD5C7C">
        <w:rPr>
          <w:rFonts w:ascii="Verdana" w:hAnsi="Verdana" w:cs="Arial"/>
          <w:sz w:val="20"/>
          <w:szCs w:val="20"/>
          <w:lang w:val="es-MX"/>
        </w:rPr>
        <w:t>La Entidad Estatal, para la contratación de trabajos artísticos que solamente puedan en</w:t>
      </w:r>
      <w:r w:rsidRPr="00FD5C7C">
        <w:rPr>
          <w:rFonts w:ascii="Verdana" w:hAnsi="Verdana" w:cs="Arial"/>
          <w:sz w:val="20"/>
          <w:szCs w:val="20"/>
          <w:lang w:val="es-MX"/>
        </w:rPr>
        <w:softHyphen/>
        <w:t>comendarse a determinadas personas naturales, debe justificar esta situación en los estudios y documentos previos”. [Énfasis fuera de texto]</w:t>
      </w:r>
    </w:p>
    <w:p w14:paraId="3E7D5954" w14:textId="77777777" w:rsidR="000F6F93" w:rsidRPr="004D09C6" w:rsidRDefault="000F6F93" w:rsidP="000F6F93">
      <w:pPr>
        <w:tabs>
          <w:tab w:val="left" w:pos="0"/>
        </w:tabs>
        <w:spacing w:after="0" w:line="276" w:lineRule="auto"/>
        <w:jc w:val="both"/>
        <w:rPr>
          <w:rFonts w:ascii="Verdana" w:hAnsi="Verdana" w:cs="Arial"/>
          <w:noProof/>
          <w:sz w:val="21"/>
          <w:szCs w:val="21"/>
        </w:rPr>
      </w:pPr>
    </w:p>
    <w:p w14:paraId="69D8CF3E" w14:textId="77777777" w:rsidR="000F6F93" w:rsidRPr="004D09C6" w:rsidRDefault="000F6F93" w:rsidP="000F6F93">
      <w:pPr>
        <w:tabs>
          <w:tab w:val="left" w:pos="0"/>
        </w:tabs>
        <w:spacing w:after="120" w:line="276" w:lineRule="auto"/>
        <w:jc w:val="both"/>
        <w:rPr>
          <w:rFonts w:ascii="Verdana" w:hAnsi="Verdana" w:cs="Arial"/>
          <w:color w:val="000000" w:themeColor="text1"/>
          <w:lang w:val="es-ES_tradnl"/>
        </w:rPr>
      </w:pPr>
      <w:r w:rsidRPr="004D09C6">
        <w:rPr>
          <w:rFonts w:ascii="Verdana" w:hAnsi="Verdana" w:cs="Arial"/>
          <w:color w:val="000000" w:themeColor="text1"/>
          <w:lang w:val="es-ES_tradnl"/>
        </w:rPr>
        <w:tab/>
        <w:t>A partir de las disposiciones citadas, así como de l</w:t>
      </w:r>
      <w:r>
        <w:rPr>
          <w:rFonts w:ascii="Verdana" w:hAnsi="Verdana" w:cs="Arial"/>
          <w:color w:val="000000" w:themeColor="text1"/>
          <w:lang w:val="es-ES_tradnl"/>
        </w:rPr>
        <w:t xml:space="preserve">o indicado en la </w:t>
      </w:r>
      <w:r w:rsidRPr="004D09C6">
        <w:rPr>
          <w:rFonts w:ascii="Verdana" w:hAnsi="Verdana" w:cs="Arial"/>
          <w:color w:val="000000" w:themeColor="text1"/>
          <w:lang w:val="es-ES_tradnl"/>
        </w:rPr>
        <w:t>Sentencia de Unificación Jurisprudencial del 9 de septiembre de 2021</w:t>
      </w:r>
      <w:r>
        <w:rPr>
          <w:rFonts w:ascii="Verdana" w:hAnsi="Verdana" w:cs="Arial"/>
          <w:color w:val="000000" w:themeColor="text1"/>
          <w:lang w:val="es-ES_tradnl"/>
        </w:rPr>
        <w:t xml:space="preserve">, emitida por </w:t>
      </w:r>
      <w:r w:rsidRPr="004D09C6">
        <w:rPr>
          <w:rFonts w:ascii="Verdana" w:hAnsi="Verdana" w:cs="Arial"/>
          <w:color w:val="000000" w:themeColor="text1"/>
          <w:lang w:val="es-ES_tradnl"/>
        </w:rPr>
        <w:t>el Consejo de Estado</w:t>
      </w:r>
      <w:r w:rsidRPr="004D09C6">
        <w:rPr>
          <w:rFonts w:ascii="Verdana" w:hAnsi="Verdana" w:cs="Arial"/>
          <w:bCs/>
          <w:vertAlign w:val="superscript"/>
          <w:lang w:val="es-ES"/>
        </w:rPr>
        <w:footnoteReference w:id="1"/>
      </w:r>
      <w:r w:rsidRPr="004D09C6">
        <w:rPr>
          <w:rFonts w:ascii="Verdana" w:hAnsi="Verdana" w:cs="Arial"/>
          <w:color w:val="000000" w:themeColor="text1"/>
          <w:lang w:val="es-ES_tradnl"/>
        </w:rPr>
        <w:t>, es posible señalar las siguientes características del contrato de prestación de servicios</w:t>
      </w:r>
      <w:r w:rsidRPr="004D09C6">
        <w:rPr>
          <w:rFonts w:ascii="Verdana" w:hAnsi="Verdana" w:cs="Arial"/>
          <w:noProof/>
          <w:lang w:val="es-ES_tradnl"/>
        </w:rPr>
        <w:t>:</w:t>
      </w:r>
    </w:p>
    <w:p w14:paraId="3D9374A9"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 xml:space="preserve">i) Solo puede celebrarse para realizar </w:t>
      </w:r>
      <w:r>
        <w:rPr>
          <w:rFonts w:ascii="Verdana" w:hAnsi="Verdana" w:cs="Arial"/>
          <w:noProof/>
          <w:lang w:val="es-ES_tradnl"/>
        </w:rPr>
        <w:t>“</w:t>
      </w:r>
      <w:r w:rsidRPr="004D09C6">
        <w:rPr>
          <w:rFonts w:ascii="Verdana" w:hAnsi="Verdana" w:cs="Arial"/>
          <w:noProof/>
          <w:lang w:val="es-ES_tradnl"/>
        </w:rPr>
        <w:t>actividades relacionadas con la administración o funcionamiento de la entidad</w:t>
      </w:r>
      <w:r>
        <w:rPr>
          <w:rFonts w:ascii="Verdana" w:hAnsi="Verdana" w:cs="Arial"/>
          <w:noProof/>
          <w:lang w:val="es-ES_tradnl"/>
        </w:rPr>
        <w:t>”</w:t>
      </w:r>
      <w:r w:rsidRPr="004D09C6">
        <w:rPr>
          <w:rFonts w:ascii="Verdana" w:hAnsi="Verdana" w:cs="Arial"/>
          <w:noProof/>
          <w:lang w:val="es-ES_tradnl"/>
        </w:rPr>
        <w:t>, es decir, que hagan parte de su giro ordinario o quehacer cotidiano</w:t>
      </w:r>
      <w:r w:rsidRPr="004D09C6">
        <w:rPr>
          <w:rFonts w:ascii="Verdana" w:hAnsi="Verdana" w:cs="Arial"/>
          <w:noProof/>
          <w:vertAlign w:val="superscript"/>
          <w:lang w:val="es-ES_tradnl"/>
        </w:rPr>
        <w:footnoteReference w:id="2"/>
      </w:r>
      <w:r w:rsidRPr="004D09C6">
        <w:rPr>
          <w:rFonts w:ascii="Verdana" w:hAnsi="Verdana" w:cs="Arial"/>
          <w:noProof/>
          <w:lang w:val="es-ES_tradnl"/>
        </w:rPr>
        <w:t>.</w:t>
      </w:r>
    </w:p>
    <w:p w14:paraId="5CEF49E4"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w:t>
      </w:r>
      <w:r w:rsidRPr="004D09C6">
        <w:rPr>
          <w:rFonts w:ascii="Verdana" w:hAnsi="Verdana" w:cs="Arial"/>
          <w:noProof/>
          <w:lang w:val="es-ES_tradnl"/>
        </w:rPr>
        <w:lastRenderedPageBreak/>
        <w:t xml:space="preserve">actividades </w:t>
      </w:r>
      <w:r>
        <w:rPr>
          <w:rFonts w:ascii="Verdana" w:hAnsi="Verdana" w:cs="Arial"/>
          <w:noProof/>
          <w:lang w:val="es-ES_tradnl"/>
        </w:rPr>
        <w:t>“</w:t>
      </w:r>
      <w:r w:rsidRPr="004D09C6">
        <w:rPr>
          <w:rFonts w:ascii="Verdana" w:hAnsi="Verdana" w:cs="Arial"/>
          <w:noProof/>
          <w:lang w:val="es-ES_tradnl"/>
        </w:rPr>
        <w:t>no puedan realizarse con personal de planta o requieran conocimientos especializados</w:t>
      </w:r>
      <w:r>
        <w:rPr>
          <w:rFonts w:ascii="Verdana" w:hAnsi="Verdana" w:cs="Arial"/>
          <w:noProof/>
          <w:lang w:val="es-ES_tradnl"/>
        </w:rPr>
        <w:t>”</w:t>
      </w:r>
      <w:r w:rsidRPr="004D09C6">
        <w:rPr>
          <w:rFonts w:ascii="Verdana" w:hAnsi="Verdana" w:cs="Arial"/>
          <w:noProof/>
          <w:lang w:val="es-ES_tradnl"/>
        </w:rPr>
        <w:t xml:space="preserve">. </w:t>
      </w:r>
    </w:p>
    <w:p w14:paraId="62F28924"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4D09C6">
        <w:rPr>
          <w:rFonts w:ascii="Verdana" w:hAnsi="Verdana" w:cs="Arial"/>
          <w:i/>
          <w:noProof/>
          <w:lang w:val="es-ES_tradnl"/>
        </w:rPr>
        <w:t xml:space="preserve">subordinación </w:t>
      </w:r>
      <w:r w:rsidRPr="004D09C6">
        <w:rPr>
          <w:rFonts w:ascii="Verdana" w:hAnsi="Verdana" w:cs="Arial"/>
          <w:iCs/>
          <w:noProof/>
          <w:lang w:val="es-ES_tradnl"/>
        </w:rPr>
        <w:t>ni</w:t>
      </w:r>
      <w:r w:rsidRPr="004D09C6">
        <w:rPr>
          <w:rFonts w:ascii="Verdana" w:hAnsi="Verdana" w:cs="Arial"/>
          <w:i/>
          <w:noProof/>
          <w:lang w:val="es-ES_tradnl"/>
        </w:rPr>
        <w:t xml:space="preserve"> dependencia</w:t>
      </w:r>
      <w:r w:rsidRPr="004D09C6">
        <w:rPr>
          <w:rFonts w:ascii="Verdana" w:hAnsi="Verdana" w:cs="Arial"/>
          <w:iCs/>
          <w:noProof/>
          <w:lang w:val="es-ES_tradnl"/>
        </w:rPr>
        <w:t>,</w:t>
      </w:r>
      <w:r w:rsidRPr="004D09C6">
        <w:rPr>
          <w:rFonts w:ascii="Verdana" w:hAnsi="Verdana" w:cs="Arial"/>
          <w:noProof/>
          <w:lang w:val="es-ES_tradnl"/>
        </w:rPr>
        <w:t xml:space="preserve"> que es uno de los elementos constitutivos del vínculo laboral</w:t>
      </w:r>
      <w:r w:rsidRPr="004D09C6">
        <w:rPr>
          <w:rFonts w:ascii="Verdana" w:hAnsi="Verdana" w:cs="Arial"/>
          <w:noProof/>
          <w:vertAlign w:val="superscript"/>
          <w:lang w:val="es-ES_tradnl"/>
        </w:rPr>
        <w:footnoteReference w:id="3"/>
      </w:r>
      <w:r w:rsidRPr="004D09C6">
        <w:rPr>
          <w:rFonts w:ascii="Verdana" w:hAnsi="Verdana" w:cs="Arial"/>
          <w:noProof/>
          <w:lang w:val="es-ES_tradnl"/>
        </w:rPr>
        <w:t xml:space="preserve">. Por eso, el artículo 32, numeral 3º, de la Ley 80 de 1993 establece que </w:t>
      </w:r>
      <w:r>
        <w:rPr>
          <w:rFonts w:ascii="Verdana" w:hAnsi="Verdana" w:cs="Arial"/>
          <w:noProof/>
          <w:lang w:val="es-ES_tradnl"/>
        </w:rPr>
        <w:t>“[e]</w:t>
      </w:r>
      <w:r w:rsidRPr="004D09C6">
        <w:rPr>
          <w:rFonts w:ascii="Verdana" w:hAnsi="Verdana" w:cs="Arial"/>
          <w:noProof/>
          <w:lang w:val="es-ES_tradnl"/>
        </w:rPr>
        <w:t>n ningún caso estos contratos generan relación laboral ni prestaciones sociales</w:t>
      </w:r>
      <w:r>
        <w:rPr>
          <w:rFonts w:ascii="Verdana" w:hAnsi="Verdana" w:cs="Arial"/>
          <w:noProof/>
          <w:lang w:val="es-ES_tradnl"/>
        </w:rPr>
        <w:t>”</w:t>
      </w:r>
      <w:r w:rsidRPr="004D09C6">
        <w:rPr>
          <w:rFonts w:ascii="Verdana" w:hAnsi="Verdana" w:cs="Arial"/>
          <w:noProof/>
          <w:lang w:val="es-ES_tradnl"/>
        </w:rPr>
        <w:t xml:space="preserve">. Este inciso, más que un enunciado que aluda al </w:t>
      </w:r>
      <w:r>
        <w:rPr>
          <w:rFonts w:ascii="Verdana" w:hAnsi="Verdana" w:cs="Arial"/>
          <w:noProof/>
          <w:lang w:val="es-ES_tradnl"/>
        </w:rPr>
        <w:t>“</w:t>
      </w:r>
      <w:r w:rsidRPr="004D09C6">
        <w:rPr>
          <w:rFonts w:ascii="Verdana" w:hAnsi="Verdana" w:cs="Arial"/>
          <w:noProof/>
          <w:lang w:val="es-ES_tradnl"/>
        </w:rPr>
        <w:t>ser</w:t>
      </w:r>
      <w:r>
        <w:rPr>
          <w:rFonts w:ascii="Verdana" w:hAnsi="Verdana" w:cs="Arial"/>
          <w:noProof/>
          <w:lang w:val="es-ES_tradnl"/>
        </w:rPr>
        <w:t>”</w:t>
      </w:r>
      <w:r w:rsidRPr="004D09C6">
        <w:rPr>
          <w:rFonts w:ascii="Verdana" w:hAnsi="Verdana" w:cs="Arial"/>
          <w:noProof/>
          <w:lang w:val="es-ES_tradnl"/>
        </w:rPr>
        <w:t xml:space="preserve">, se refiere al </w:t>
      </w:r>
      <w:r>
        <w:rPr>
          <w:rFonts w:ascii="Verdana" w:hAnsi="Verdana" w:cs="Arial"/>
          <w:noProof/>
          <w:lang w:val="es-ES_tradnl"/>
        </w:rPr>
        <w:t>“</w:t>
      </w:r>
      <w:r w:rsidRPr="004D09C6">
        <w:rPr>
          <w:rFonts w:ascii="Verdana" w:hAnsi="Verdana" w:cs="Arial"/>
          <w:noProof/>
          <w:lang w:val="es-ES_tradnl"/>
        </w:rPr>
        <w:t>deber ser</w:t>
      </w:r>
      <w:r>
        <w:rPr>
          <w:rFonts w:ascii="Verdana" w:hAnsi="Verdana" w:cs="Arial"/>
          <w:noProof/>
          <w:lang w:val="es-ES_tradnl"/>
        </w:rPr>
        <w:t>”</w:t>
      </w:r>
      <w:r w:rsidRPr="004D09C6">
        <w:rPr>
          <w:rFonts w:ascii="Verdana" w:hAnsi="Verdana" w:cs="Arial"/>
          <w:noProof/>
          <w:lang w:val="es-ES_tradnl"/>
        </w:rPr>
        <w:t xml:space="preserve">, pues debe interpretarse en el sentido de que los contratos de prestación de servicios profesionales </w:t>
      </w:r>
      <w:r w:rsidRPr="004D09C6">
        <w:rPr>
          <w:rFonts w:ascii="Verdana" w:hAnsi="Verdana" w:cs="Arial"/>
          <w:i/>
          <w:noProof/>
          <w:lang w:val="es-ES_tradnl"/>
        </w:rPr>
        <w:t>no pueden</w:t>
      </w:r>
      <w:r w:rsidRPr="004D09C6">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w:t>
      </w:r>
      <w:r>
        <w:rPr>
          <w:rFonts w:ascii="Verdana" w:hAnsi="Verdana" w:cs="Arial"/>
          <w:noProof/>
          <w:lang w:val="es-ES_tradnl"/>
        </w:rPr>
        <w:t>“</w:t>
      </w:r>
      <w:r w:rsidRPr="004D09C6">
        <w:rPr>
          <w:rFonts w:ascii="Verdana" w:hAnsi="Verdana" w:cs="Arial"/>
          <w:noProof/>
          <w:lang w:val="es-ES_tradnl"/>
        </w:rPr>
        <w:t>trabajador independiente</w:t>
      </w:r>
      <w:r>
        <w:rPr>
          <w:rFonts w:ascii="Verdana" w:hAnsi="Verdana" w:cs="Arial"/>
          <w:noProof/>
          <w:lang w:val="es-ES_tradnl"/>
        </w:rPr>
        <w:t>”</w:t>
      </w:r>
      <w:r w:rsidRPr="004D09C6">
        <w:rPr>
          <w:rFonts w:ascii="Verdana" w:hAnsi="Verdana" w:cs="Arial"/>
          <w:noProof/>
          <w:lang w:val="es-ES_tradnl"/>
        </w:rPr>
        <w:t xml:space="preserve"> –como lo califican las normas de la seguridad social– debe cotizar por su cuenta y riesgo al Sistema de Seguridad Social Integral</w:t>
      </w:r>
      <w:r w:rsidRPr="004D09C6">
        <w:rPr>
          <w:rFonts w:ascii="Verdana" w:hAnsi="Verdana" w:cs="Arial"/>
          <w:noProof/>
          <w:vertAlign w:val="superscript"/>
          <w:lang w:val="es-ES_tradnl"/>
        </w:rPr>
        <w:footnoteReference w:id="4"/>
      </w:r>
      <w:r w:rsidRPr="004D09C6">
        <w:rPr>
          <w:rFonts w:ascii="Verdana" w:hAnsi="Verdana" w:cs="Arial"/>
          <w:noProof/>
          <w:lang w:val="es-ES_tradnl"/>
        </w:rPr>
        <w:t xml:space="preserve">. </w:t>
      </w:r>
    </w:p>
    <w:p w14:paraId="0D8417B4"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lastRenderedPageBreak/>
        <w:t xml:space="preserve">A pesar de este mandato deontológico, es posible que en la práctica se configure una relación laboral, pues el contrato de trabajo es </w:t>
      </w:r>
      <w:r w:rsidRPr="004D09C6">
        <w:rPr>
          <w:rFonts w:ascii="Verdana" w:hAnsi="Verdana" w:cs="Arial"/>
          <w:i/>
          <w:iCs/>
          <w:noProof/>
          <w:lang w:val="es-ES_tradnl"/>
        </w:rPr>
        <w:t xml:space="preserve">de </w:t>
      </w:r>
      <w:r w:rsidRPr="004D09C6">
        <w:rPr>
          <w:rFonts w:ascii="Verdana" w:hAnsi="Verdana" w:cs="Arial"/>
          <w:i/>
          <w:noProof/>
          <w:lang w:val="es-ES_tradnl"/>
        </w:rPr>
        <w:t>realidad</w:t>
      </w:r>
      <w:r w:rsidRPr="004D09C6">
        <w:rPr>
          <w:rFonts w:ascii="Verdana" w:hAnsi="Verdana" w:cs="Arial"/>
          <w:noProof/>
          <w:lang w:val="es-ES_tradnl"/>
        </w:rPr>
        <w:t xml:space="preserve"> y para perfeccionarlo rige el principio de prevalencia de la realidad sobre las formalidades. En el sentido anterior, la Corte Constitucional declaró la exequibilidad condicionada del segundo inciso del numeral 3º del artículo 32, indicando que </w:t>
      </w:r>
      <w:r>
        <w:rPr>
          <w:rFonts w:ascii="Verdana" w:hAnsi="Verdana" w:cs="Arial"/>
          <w:noProof/>
          <w:lang w:val="es-ES_tradnl"/>
        </w:rPr>
        <w:t>“</w:t>
      </w:r>
      <w:r w:rsidRPr="004D09C6">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4D09C6">
        <w:rPr>
          <w:rFonts w:ascii="Verdana" w:hAnsi="Verdana" w:cs="Arial"/>
          <w:noProof/>
          <w:vertAlign w:val="superscript"/>
          <w:lang w:val="es-ES_tradnl"/>
        </w:rPr>
        <w:footnoteReference w:id="5"/>
      </w:r>
      <w:r w:rsidRPr="004D09C6">
        <w:rPr>
          <w:rFonts w:ascii="Verdana" w:hAnsi="Verdana" w:cs="Arial"/>
          <w:noProof/>
          <w:lang w:val="es-ES_tradnl"/>
        </w:rPr>
        <w:t>.</w:t>
      </w:r>
    </w:p>
    <w:p w14:paraId="1F8DFDE7"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 xml:space="preserve">iv) Deben ser temporales. La mencionada sentencia de unificacion jurisprudencial del Consejo de Estado, frente a la duración del contrato de prestación de servicios señaló que solo puede celebrarse por un </w:t>
      </w:r>
      <w:r>
        <w:rPr>
          <w:rFonts w:ascii="Verdana" w:hAnsi="Verdana" w:cs="Arial"/>
          <w:noProof/>
          <w:lang w:val="es-ES_tradnl"/>
        </w:rPr>
        <w:t>“</w:t>
      </w:r>
      <w:r w:rsidRPr="004D09C6">
        <w:rPr>
          <w:rFonts w:ascii="Verdana" w:hAnsi="Verdana" w:cs="Arial"/>
          <w:noProof/>
          <w:lang w:val="es-ES_tradnl"/>
        </w:rPr>
        <w:t>término estrictamente indispensable</w:t>
      </w:r>
      <w:r>
        <w:rPr>
          <w:rFonts w:ascii="Verdana" w:hAnsi="Verdana" w:cs="Arial"/>
          <w:noProof/>
          <w:lang w:val="es-ES_tradnl"/>
        </w:rPr>
        <w:t>”</w:t>
      </w:r>
      <w:r w:rsidRPr="004D09C6">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4D09C6">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4D09C6">
        <w:rPr>
          <w:rFonts w:ascii="Verdana" w:hAnsi="Verdana" w:cs="Arial"/>
          <w:noProof/>
          <w:lang w:val="es-ES_tradnl"/>
        </w:rPr>
        <w:t>.</w:t>
      </w:r>
    </w:p>
    <w:p w14:paraId="25525286" w14:textId="77777777" w:rsidR="000F6F93" w:rsidRPr="004D09C6" w:rsidRDefault="000F6F93" w:rsidP="000F6F93">
      <w:pPr>
        <w:spacing w:after="0" w:line="276" w:lineRule="auto"/>
        <w:ind w:firstLine="709"/>
        <w:jc w:val="both"/>
        <w:rPr>
          <w:rFonts w:ascii="Verdana" w:hAnsi="Verdana" w:cs="Arial"/>
          <w:noProof/>
          <w:lang w:val="es-ES_tradnl"/>
        </w:rPr>
      </w:pPr>
      <w:r w:rsidRPr="004D09C6">
        <w:rPr>
          <w:rFonts w:ascii="Verdana" w:hAnsi="Verdana" w:cs="Arial"/>
          <w:lang w:val="es-MX"/>
        </w:rPr>
        <w:t xml:space="preserve">De igual manera, señaló que </w:t>
      </w:r>
      <w:r>
        <w:rPr>
          <w:rFonts w:ascii="Verdana" w:hAnsi="Verdana" w:cs="Arial"/>
          <w:lang w:val="es-MX"/>
        </w:rPr>
        <w:t>“</w:t>
      </w:r>
      <w:r w:rsidRPr="004D09C6">
        <w:rPr>
          <w:rFonts w:ascii="Verdana" w:hAnsi="Verdana" w:cs="Arial"/>
          <w:lang w:val="es-MX"/>
        </w:rPr>
        <w:t>no cabe su empleo para la cobertura indefinida de necesidades permanentes o recurrentes</w:t>
      </w:r>
      <w:r>
        <w:rPr>
          <w:rFonts w:ascii="Verdana" w:hAnsi="Verdana" w:cs="Arial"/>
          <w:lang w:val="es-MX"/>
        </w:rPr>
        <w:t>”</w:t>
      </w:r>
      <w:r w:rsidRPr="004D09C6">
        <w:rPr>
          <w:rFonts w:ascii="Verdana" w:hAnsi="Verdana" w:cs="Arial"/>
          <w:lang w:val="es-MX"/>
        </w:rPr>
        <w:t xml:space="preserve">. </w:t>
      </w:r>
      <w:r w:rsidRPr="004D09C6">
        <w:rPr>
          <w:rFonts w:ascii="Verdana" w:hAnsi="Verdana" w:cs="Arial"/>
          <w:noProof/>
          <w:lang w:val="es-ES_tradnl"/>
        </w:rPr>
        <w:t>En sentido similar se manifestó la Corte Constitucional en la sentencia C-154 de 1997, expresando que:</w:t>
      </w:r>
    </w:p>
    <w:p w14:paraId="62349CB8" w14:textId="77777777" w:rsidR="000F6F93" w:rsidRPr="004D09C6" w:rsidRDefault="000F6F93" w:rsidP="000F6F93">
      <w:pPr>
        <w:spacing w:after="0" w:line="276" w:lineRule="auto"/>
        <w:contextualSpacing/>
        <w:jc w:val="both"/>
        <w:rPr>
          <w:rFonts w:ascii="Verdana" w:hAnsi="Verdana" w:cs="Arial"/>
          <w:noProof/>
          <w:lang w:val="es-ES_tradnl"/>
        </w:rPr>
      </w:pPr>
    </w:p>
    <w:p w14:paraId="176D27F9" w14:textId="77777777" w:rsidR="000F6F93" w:rsidRPr="007C73D8" w:rsidRDefault="000F6F93" w:rsidP="000F6F93">
      <w:pPr>
        <w:spacing w:after="0" w:line="240" w:lineRule="auto"/>
        <w:ind w:left="709" w:right="709"/>
        <w:contextualSpacing/>
        <w:jc w:val="both"/>
        <w:rPr>
          <w:rFonts w:ascii="Verdana" w:hAnsi="Verdana" w:cs="Arial"/>
          <w:noProof/>
          <w:sz w:val="20"/>
          <w:szCs w:val="20"/>
          <w:lang w:val="es-ES_tradnl"/>
        </w:rPr>
      </w:pPr>
      <w:r w:rsidRPr="007C73D8">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7C73D8">
        <w:rPr>
          <w:rFonts w:ascii="Verdana" w:hAnsi="Verdana" w:cs="Arial"/>
          <w:noProof/>
          <w:sz w:val="20"/>
          <w:szCs w:val="20"/>
          <w:vertAlign w:val="superscript"/>
          <w:lang w:val="es-ES_tradnl"/>
        </w:rPr>
        <w:footnoteReference w:id="6"/>
      </w:r>
      <w:r w:rsidRPr="007C73D8">
        <w:rPr>
          <w:rFonts w:ascii="Verdana" w:hAnsi="Verdana" w:cs="Arial"/>
          <w:noProof/>
          <w:sz w:val="20"/>
          <w:szCs w:val="20"/>
          <w:lang w:val="es-ES_tradnl"/>
        </w:rPr>
        <w:t>.</w:t>
      </w:r>
    </w:p>
    <w:p w14:paraId="51A328DD" w14:textId="77777777" w:rsidR="000F6F93" w:rsidRPr="004D09C6" w:rsidRDefault="000F6F93" w:rsidP="000F6F93">
      <w:pPr>
        <w:spacing w:after="0" w:line="240" w:lineRule="auto"/>
        <w:ind w:left="709" w:right="709"/>
        <w:contextualSpacing/>
        <w:jc w:val="both"/>
        <w:rPr>
          <w:rFonts w:ascii="Verdana" w:hAnsi="Verdana" w:cs="Arial"/>
          <w:noProof/>
          <w:sz w:val="21"/>
          <w:szCs w:val="21"/>
          <w:lang w:val="es-ES_tradnl"/>
        </w:rPr>
      </w:pPr>
    </w:p>
    <w:p w14:paraId="7B6382F8" w14:textId="77777777" w:rsidR="000F6F93" w:rsidRPr="004D09C6" w:rsidRDefault="000F6F93" w:rsidP="000F6F93">
      <w:pPr>
        <w:spacing w:after="120" w:line="276" w:lineRule="auto"/>
        <w:ind w:firstLine="709"/>
        <w:jc w:val="both"/>
        <w:rPr>
          <w:rFonts w:ascii="Verdana" w:hAnsi="Verdana" w:cs="Arial"/>
          <w:noProof/>
          <w:lang w:val="es-ES_tradnl"/>
        </w:rPr>
      </w:pPr>
      <w:r w:rsidRPr="004D09C6">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4D09C6">
        <w:rPr>
          <w:rFonts w:ascii="Verdana" w:hAnsi="Verdana" w:cs="Arial"/>
          <w:noProof/>
          <w:vertAlign w:val="superscript"/>
          <w:lang w:val="es-ES_tradnl"/>
        </w:rPr>
        <w:footnoteReference w:id="7"/>
      </w:r>
      <w:r w:rsidRPr="004D09C6">
        <w:rPr>
          <w:rFonts w:ascii="Verdana" w:hAnsi="Verdana" w:cs="Arial"/>
          <w:noProof/>
          <w:lang w:val="es-ES_tradnl"/>
        </w:rPr>
        <w:t>. Esto también se deriva d</w:t>
      </w:r>
      <w:r w:rsidRPr="004D09C6">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33A45862" w14:textId="77777777" w:rsidR="000F6F93" w:rsidRPr="004D09C6" w:rsidRDefault="000F6F93" w:rsidP="000F6F93">
      <w:pPr>
        <w:spacing w:after="120" w:line="276" w:lineRule="auto"/>
        <w:ind w:firstLine="709"/>
        <w:jc w:val="both"/>
        <w:rPr>
          <w:rFonts w:ascii="Verdana" w:hAnsi="Verdana" w:cs="Arial"/>
          <w:noProof/>
          <w:lang w:val="es-ES_tradnl"/>
        </w:rPr>
      </w:pPr>
      <w:r w:rsidRPr="004D09C6">
        <w:rPr>
          <w:rFonts w:ascii="Verdana" w:hAnsi="Verdana" w:cs="Arial"/>
          <w:noProof/>
          <w:lang w:val="es-ES_tradnl"/>
        </w:rPr>
        <w:t>vi) Para su celebración no se requiere expedir un acto administrativo de justificación de la contratación directa</w:t>
      </w:r>
      <w:r w:rsidRPr="004D09C6">
        <w:rPr>
          <w:rFonts w:ascii="Verdana" w:hAnsi="Verdana" w:cs="Arial"/>
          <w:noProof/>
          <w:vertAlign w:val="superscript"/>
          <w:lang w:val="es-ES_tradnl"/>
        </w:rPr>
        <w:footnoteReference w:id="8"/>
      </w:r>
      <w:r w:rsidRPr="004D09C6">
        <w:rPr>
          <w:rFonts w:ascii="Verdana" w:hAnsi="Verdana" w:cs="Arial"/>
          <w:noProof/>
          <w:lang w:val="es-ES_tradnl"/>
        </w:rPr>
        <w:t>.</w:t>
      </w:r>
    </w:p>
    <w:p w14:paraId="42DF7DD8"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lastRenderedPageBreak/>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4D09C6">
        <w:rPr>
          <w:rFonts w:ascii="Verdana" w:hAnsi="Verdana" w:cs="Arial"/>
          <w:noProof/>
          <w:vertAlign w:val="superscript"/>
          <w:lang w:val="es-ES_tradnl"/>
        </w:rPr>
        <w:footnoteReference w:id="9"/>
      </w:r>
      <w:r w:rsidRPr="004D09C6">
        <w:rPr>
          <w:rFonts w:ascii="Verdana" w:hAnsi="Verdana" w:cs="Arial"/>
          <w:noProof/>
          <w:lang w:val="es-ES_tradnl"/>
        </w:rPr>
        <w:t>.</w:t>
      </w:r>
    </w:p>
    <w:p w14:paraId="12EBA3EF"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viii) No es obligatoria la liquidación de estos contratos, como lo establece el artículo 217 del Decreto 019 de 2012, que modificó el artículo 60 de la Ley 80 de 1993</w:t>
      </w:r>
      <w:r w:rsidRPr="004D09C6">
        <w:rPr>
          <w:rFonts w:ascii="Verdana" w:hAnsi="Verdana" w:cs="Arial"/>
          <w:noProof/>
          <w:vertAlign w:val="superscript"/>
          <w:lang w:val="es-ES_tradnl"/>
        </w:rPr>
        <w:footnoteReference w:id="10"/>
      </w:r>
      <w:r w:rsidRPr="004D09C6">
        <w:rPr>
          <w:rFonts w:ascii="Verdana" w:hAnsi="Verdana" w:cs="Arial"/>
          <w:noProof/>
          <w:lang w:val="es-ES_tradnl"/>
        </w:rPr>
        <w:t>.</w:t>
      </w:r>
    </w:p>
    <w:p w14:paraId="74FCC0D7" w14:textId="77777777" w:rsidR="000F6F93" w:rsidRPr="004D09C6" w:rsidRDefault="000F6F93" w:rsidP="000F6F93">
      <w:pPr>
        <w:spacing w:before="120" w:after="120" w:line="276" w:lineRule="auto"/>
        <w:ind w:firstLine="709"/>
        <w:jc w:val="both"/>
        <w:rPr>
          <w:rFonts w:ascii="Verdana" w:hAnsi="Verdana" w:cs="Arial"/>
          <w:noProof/>
          <w:lang w:val="es-ES_tradnl"/>
        </w:rPr>
      </w:pPr>
      <w:r w:rsidRPr="004D09C6">
        <w:rPr>
          <w:rFonts w:ascii="Verdana" w:hAnsi="Verdana" w:cs="Arial"/>
          <w:noProof/>
          <w:lang w:val="es-ES_tradnl"/>
        </w:rPr>
        <w:t>ix) Para su celebración el contratista no requiere estar inscrito en el Registro Único de Proponentes –RUP–, como lo señala el artículo 6 de la Ley 1150 de 2007</w:t>
      </w:r>
      <w:r w:rsidRPr="004D09C6">
        <w:rPr>
          <w:rFonts w:ascii="Verdana" w:hAnsi="Verdana" w:cs="Arial"/>
          <w:noProof/>
          <w:vertAlign w:val="superscript"/>
          <w:lang w:val="es-ES_tradnl"/>
        </w:rPr>
        <w:footnoteReference w:id="11"/>
      </w:r>
      <w:r w:rsidRPr="004D09C6">
        <w:rPr>
          <w:rFonts w:ascii="Verdana" w:hAnsi="Verdana" w:cs="Arial"/>
          <w:noProof/>
          <w:lang w:val="es-ES_tradnl"/>
        </w:rPr>
        <w:t>.</w:t>
      </w:r>
    </w:p>
    <w:p w14:paraId="1F7F0114" w14:textId="77777777" w:rsidR="000F6F93" w:rsidRPr="004D09C6" w:rsidRDefault="000F6F93" w:rsidP="000F6F93">
      <w:pPr>
        <w:spacing w:before="120" w:after="120" w:line="276" w:lineRule="auto"/>
        <w:ind w:firstLine="708"/>
        <w:jc w:val="both"/>
        <w:rPr>
          <w:rFonts w:ascii="Verdana" w:hAnsi="Verdana" w:cs="Arial"/>
          <w:noProof/>
          <w:lang w:val="es-ES_tradnl"/>
        </w:rPr>
      </w:pPr>
      <w:r w:rsidRPr="004D09C6">
        <w:rPr>
          <w:rFonts w:ascii="Verdana" w:hAnsi="Verdana" w:cs="Arial"/>
          <w:noProof/>
          <w:lang w:val="es-ES_tradnl"/>
        </w:rPr>
        <w:lastRenderedPageBreak/>
        <w:t>x) No es obligtoria la exigencia de garantías</w:t>
      </w:r>
      <w:r w:rsidRPr="004D09C6">
        <w:rPr>
          <w:rFonts w:ascii="Verdana" w:hAnsi="Verdana" w:cs="Arial"/>
          <w:noProof/>
          <w:vertAlign w:val="superscript"/>
          <w:lang w:val="es-ES_tradnl"/>
        </w:rPr>
        <w:footnoteReference w:id="12"/>
      </w:r>
      <w:r w:rsidRPr="004D09C6">
        <w:rPr>
          <w:rFonts w:ascii="Verdana" w:hAnsi="Verdana" w:cs="Arial"/>
          <w:noProof/>
          <w:lang w:val="es-ES_tradnl"/>
        </w:rPr>
        <w:t>.</w:t>
      </w:r>
    </w:p>
    <w:p w14:paraId="6659113D" w14:textId="77777777" w:rsidR="000F6F93" w:rsidRPr="004D09C6" w:rsidRDefault="000F6F93" w:rsidP="000F6F93">
      <w:pPr>
        <w:spacing w:before="120" w:after="120" w:line="276" w:lineRule="auto"/>
        <w:ind w:firstLine="708"/>
        <w:jc w:val="both"/>
        <w:rPr>
          <w:rFonts w:ascii="Verdana" w:hAnsi="Verdana" w:cs="Arial"/>
          <w:noProof/>
          <w:lang w:val="es-ES"/>
        </w:rPr>
      </w:pPr>
      <w:r w:rsidRPr="004D09C6">
        <w:rPr>
          <w:rFonts w:ascii="Verdana" w:hAnsi="Verdana" w:cs="Arial"/>
          <w:noProof/>
          <w:lang w:val="es-ES_tradnl"/>
        </w:rPr>
        <w:t>xi) Como los demás contratos estatales, se trata de un contrato solemne que debe constar por escrito y debe ser publicado en el SECOP.</w:t>
      </w:r>
    </w:p>
    <w:p w14:paraId="01F73B1D" w14:textId="77777777" w:rsidR="000F6F93" w:rsidRPr="004D09C6" w:rsidRDefault="000F6F93" w:rsidP="000F6F93">
      <w:pPr>
        <w:tabs>
          <w:tab w:val="left" w:pos="0"/>
        </w:tabs>
        <w:spacing w:before="120" w:after="0" w:line="276" w:lineRule="auto"/>
        <w:ind w:firstLine="709"/>
        <w:jc w:val="both"/>
        <w:rPr>
          <w:rFonts w:ascii="Verdana" w:hAnsi="Verdana" w:cs="Arial"/>
          <w:color w:val="000000" w:themeColor="text1"/>
          <w:sz w:val="21"/>
          <w:szCs w:val="21"/>
          <w:lang w:val="es-MX"/>
        </w:rPr>
      </w:pPr>
      <w:r w:rsidRPr="004D09C6">
        <w:rPr>
          <w:rFonts w:ascii="Verdana" w:hAnsi="Verdana" w:cs="Arial"/>
          <w:color w:val="000000" w:themeColor="text1"/>
          <w:lang w:val="es-ES"/>
        </w:rPr>
        <w:t>xii) C</w:t>
      </w:r>
      <w:r w:rsidRPr="004D09C6">
        <w:rPr>
          <w:rFonts w:ascii="Verdana" w:hAnsi="Verdana" w:cs="Arial"/>
          <w:color w:val="000000" w:themeColor="text1"/>
          <w:lang w:val="es-MX"/>
        </w:rPr>
        <w:t xml:space="preserve">omo especies del género </w:t>
      </w:r>
      <w:r w:rsidRPr="00B06E57">
        <w:rPr>
          <w:rFonts w:ascii="Verdana" w:hAnsi="Verdana" w:cs="Arial"/>
          <w:iCs/>
          <w:color w:val="000000" w:themeColor="text1"/>
          <w:lang w:val="es-MX"/>
        </w:rPr>
        <w:t xml:space="preserve">prestación de servicios, se incluyen </w:t>
      </w:r>
      <w:r w:rsidRPr="00B06E57">
        <w:rPr>
          <w:rFonts w:ascii="Verdana" w:hAnsi="Verdana" w:cs="Arial"/>
          <w:iCs/>
          <w:color w:val="000000" w:themeColor="text1"/>
          <w:lang w:val="es-ES_tradnl"/>
        </w:rPr>
        <w:t>los contratos de prestación de servicios profesionales, los contratos de prestación de servicios de apoyo a la gestión y los contratos de prestación de servicios artísticos que solo pueden encomendarse a determinadas personas naturales</w:t>
      </w:r>
      <w:r w:rsidRPr="004D09C6">
        <w:rPr>
          <w:rFonts w:ascii="Verdana" w:hAnsi="Verdana" w:cs="Arial"/>
          <w:color w:val="000000" w:themeColor="text1"/>
          <w:vertAlign w:val="superscript"/>
          <w:lang w:val="es-ES_tradnl"/>
        </w:rPr>
        <w:footnoteReference w:id="13"/>
      </w:r>
      <w:r w:rsidRPr="004D09C6">
        <w:rPr>
          <w:rFonts w:ascii="Verdana" w:hAnsi="Verdana" w:cs="Arial"/>
          <w:color w:val="000000" w:themeColor="text1"/>
          <w:lang w:val="es-MX"/>
        </w:rPr>
        <w:t xml:space="preserve">. </w:t>
      </w:r>
      <w:r w:rsidRPr="004D09C6">
        <w:rPr>
          <w:rFonts w:ascii="Verdana" w:hAnsi="Verdana" w:cs="Arial"/>
          <w:color w:val="000000" w:themeColor="text1"/>
          <w:lang w:val="es-ES_tradnl"/>
        </w:rPr>
        <w:t xml:space="preserve">La diferencia entre el contrato de prestación de servicios </w:t>
      </w:r>
      <w:r w:rsidRPr="004D09C6">
        <w:rPr>
          <w:rFonts w:ascii="Verdana" w:hAnsi="Verdana" w:cs="Arial"/>
          <w:i/>
          <w:color w:val="000000" w:themeColor="text1"/>
          <w:lang w:val="es-ES_tradnl"/>
        </w:rPr>
        <w:t>profesionales</w:t>
      </w:r>
      <w:r w:rsidRPr="004D09C6">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04A374DF" w14:textId="77777777" w:rsidR="000F6F93" w:rsidRPr="004D09C6" w:rsidRDefault="000F6F93" w:rsidP="000F6F93">
      <w:pPr>
        <w:spacing w:after="0" w:line="276" w:lineRule="auto"/>
        <w:ind w:firstLine="709"/>
        <w:contextualSpacing/>
        <w:jc w:val="both"/>
        <w:rPr>
          <w:rFonts w:ascii="Verdana" w:hAnsi="Verdana" w:cs="Arial"/>
          <w:color w:val="000000" w:themeColor="text1"/>
          <w:lang w:val="es-ES_tradnl"/>
        </w:rPr>
      </w:pPr>
    </w:p>
    <w:p w14:paraId="0DC73E5F" w14:textId="77777777" w:rsidR="000F6F93" w:rsidRPr="009F475C" w:rsidRDefault="000F6F93" w:rsidP="000F6F93">
      <w:pPr>
        <w:spacing w:after="0" w:line="240" w:lineRule="auto"/>
        <w:ind w:left="709" w:right="709"/>
        <w:contextualSpacing/>
        <w:jc w:val="both"/>
        <w:rPr>
          <w:rFonts w:ascii="Verdana" w:hAnsi="Verdana" w:cs="Arial"/>
          <w:color w:val="000000" w:themeColor="text1"/>
          <w:sz w:val="20"/>
          <w:szCs w:val="20"/>
          <w:lang w:val="es-ES_tradnl"/>
        </w:rPr>
      </w:pPr>
      <w:r w:rsidRPr="009F475C">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w:t>
      </w:r>
      <w:r w:rsidRPr="009F475C">
        <w:rPr>
          <w:rFonts w:ascii="Verdana" w:hAnsi="Verdana" w:cs="Arial"/>
          <w:color w:val="000000" w:themeColor="text1"/>
          <w:sz w:val="20"/>
          <w:szCs w:val="20"/>
          <w:lang w:val="es-ES_tradnl"/>
        </w:rPr>
        <w:lastRenderedPageBreak/>
        <w:t>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9F475C">
        <w:rPr>
          <w:rFonts w:ascii="Verdana" w:hAnsi="Verdana" w:cs="Arial"/>
          <w:color w:val="000000" w:themeColor="text1"/>
          <w:sz w:val="20"/>
          <w:szCs w:val="20"/>
          <w:vertAlign w:val="superscript"/>
          <w:lang w:val="es-ES_tradnl"/>
        </w:rPr>
        <w:footnoteReference w:id="14"/>
      </w:r>
      <w:r w:rsidRPr="009F475C">
        <w:rPr>
          <w:rFonts w:ascii="Verdana" w:hAnsi="Verdana" w:cs="Arial"/>
          <w:color w:val="000000" w:themeColor="text1"/>
          <w:sz w:val="20"/>
          <w:szCs w:val="20"/>
          <w:lang w:val="es-ES_tradnl"/>
        </w:rPr>
        <w:t>.</w:t>
      </w:r>
    </w:p>
    <w:p w14:paraId="2FB08531" w14:textId="77777777" w:rsidR="000F6F93" w:rsidRPr="004D09C6" w:rsidRDefault="000F6F93" w:rsidP="000F6F93">
      <w:pPr>
        <w:spacing w:after="0" w:line="240" w:lineRule="auto"/>
        <w:ind w:firstLine="709"/>
        <w:contextualSpacing/>
        <w:jc w:val="both"/>
        <w:rPr>
          <w:rFonts w:ascii="Verdana" w:hAnsi="Verdana" w:cs="Arial"/>
          <w:color w:val="000000" w:themeColor="text1"/>
          <w:lang w:val="es-ES_tradnl"/>
        </w:rPr>
      </w:pPr>
    </w:p>
    <w:p w14:paraId="21F2665B" w14:textId="77777777" w:rsidR="000F6F93" w:rsidRPr="004D09C6" w:rsidRDefault="000F6F93" w:rsidP="000F6F93">
      <w:pPr>
        <w:spacing w:after="0" w:line="276" w:lineRule="auto"/>
        <w:ind w:firstLine="709"/>
        <w:contextualSpacing/>
        <w:jc w:val="both"/>
        <w:rPr>
          <w:rFonts w:ascii="Verdana" w:hAnsi="Verdana" w:cs="Arial"/>
          <w:color w:val="000000" w:themeColor="text1"/>
          <w:lang w:val="es-ES_tradnl"/>
        </w:rPr>
      </w:pPr>
      <w:r w:rsidRPr="004D09C6">
        <w:rPr>
          <w:rFonts w:ascii="Verdana" w:hAnsi="Verdana" w:cs="Arial"/>
          <w:color w:val="000000" w:themeColor="text1"/>
          <w:lang w:val="es-ES_tradnl"/>
        </w:rPr>
        <w:t xml:space="preserve">Lo expuesto, según la jurisprudencia citada, se diferencia del objeto del </w:t>
      </w:r>
      <w:r w:rsidRPr="004D09C6">
        <w:rPr>
          <w:rFonts w:ascii="Verdana" w:hAnsi="Verdana" w:cs="Arial"/>
          <w:i/>
          <w:iCs/>
          <w:color w:val="000000" w:themeColor="text1"/>
          <w:lang w:val="es-ES_tradnl"/>
        </w:rPr>
        <w:t>contrato de prestación de servicios de apoyo a la gestión</w:t>
      </w:r>
      <w:r w:rsidRPr="004D09C6">
        <w:rPr>
          <w:rFonts w:ascii="Verdana" w:hAnsi="Verdana" w:cs="Arial"/>
          <w:color w:val="000000" w:themeColor="text1"/>
          <w:lang w:val="es-ES_tradnl"/>
        </w:rPr>
        <w:t>, en los siguientes aspectos:</w:t>
      </w:r>
    </w:p>
    <w:p w14:paraId="6B4D8011" w14:textId="77777777" w:rsidR="000F6F93" w:rsidRPr="004D09C6" w:rsidRDefault="000F6F93" w:rsidP="000F6F93">
      <w:pPr>
        <w:spacing w:after="0" w:line="276" w:lineRule="auto"/>
        <w:ind w:firstLine="709"/>
        <w:contextualSpacing/>
        <w:jc w:val="both"/>
        <w:rPr>
          <w:rFonts w:ascii="Verdana" w:hAnsi="Verdana" w:cs="Arial"/>
          <w:color w:val="000000" w:themeColor="text1"/>
          <w:lang w:val="es-ES_tradnl"/>
        </w:rPr>
      </w:pPr>
    </w:p>
    <w:p w14:paraId="17370DEB"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_tradnl"/>
        </w:rPr>
      </w:pPr>
      <w:r w:rsidRPr="009F475C">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61DA44C"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_tradnl"/>
        </w:rPr>
      </w:pPr>
    </w:p>
    <w:p w14:paraId="2A34CCBB"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
        </w:rPr>
      </w:pPr>
      <w:r w:rsidRPr="3D17DA50">
        <w:rPr>
          <w:rFonts w:ascii="Verdana" w:hAnsi="Verdana" w:cs="Arial"/>
          <w:color w:val="000000" w:themeColor="text1"/>
          <w:sz w:val="20"/>
          <w:szCs w:val="20"/>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469EE299"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_tradnl"/>
        </w:rPr>
      </w:pPr>
    </w:p>
    <w:p w14:paraId="5867D80E"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_tradnl"/>
        </w:rPr>
      </w:pPr>
      <w:r w:rsidRPr="009F475C">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9F475C">
        <w:rPr>
          <w:rFonts w:ascii="Verdana" w:hAnsi="Verdana" w:cs="Arial"/>
          <w:color w:val="000000" w:themeColor="text1"/>
          <w:sz w:val="20"/>
          <w:szCs w:val="20"/>
          <w:vertAlign w:val="superscript"/>
          <w:lang w:val="es-ES_tradnl"/>
        </w:rPr>
        <w:footnoteReference w:id="15"/>
      </w:r>
      <w:r w:rsidRPr="009F475C">
        <w:rPr>
          <w:rFonts w:ascii="Verdana" w:hAnsi="Verdana" w:cs="Arial"/>
          <w:color w:val="000000" w:themeColor="text1"/>
          <w:sz w:val="20"/>
          <w:szCs w:val="20"/>
          <w:lang w:val="es-ES_tradnl"/>
        </w:rPr>
        <w:t>.</w:t>
      </w:r>
    </w:p>
    <w:p w14:paraId="22D86E13" w14:textId="77777777" w:rsidR="000F6F93" w:rsidRPr="004D09C6" w:rsidRDefault="000F6F93" w:rsidP="000F6F93">
      <w:pPr>
        <w:spacing w:after="0" w:line="276" w:lineRule="auto"/>
        <w:ind w:firstLine="709"/>
        <w:jc w:val="both"/>
        <w:rPr>
          <w:rFonts w:ascii="Verdana" w:hAnsi="Verdana" w:cs="Arial"/>
          <w:color w:val="000000" w:themeColor="text1"/>
          <w:lang w:val="es-ES_tradnl"/>
        </w:rPr>
      </w:pPr>
    </w:p>
    <w:p w14:paraId="64039256" w14:textId="77777777" w:rsidR="000F6F93" w:rsidRPr="004D09C6" w:rsidRDefault="000F6F93" w:rsidP="000F6F93">
      <w:pPr>
        <w:spacing w:after="0" w:line="276" w:lineRule="auto"/>
        <w:ind w:firstLine="709"/>
        <w:jc w:val="both"/>
        <w:rPr>
          <w:rFonts w:ascii="Verdana" w:hAnsi="Verdana" w:cs="Arial"/>
          <w:color w:val="000000" w:themeColor="text1"/>
          <w:lang w:val="es-ES_tradnl"/>
        </w:rPr>
      </w:pPr>
      <w:r w:rsidRPr="004D09C6">
        <w:rPr>
          <w:rFonts w:ascii="Verdana" w:hAnsi="Verdana" w:cs="Arial"/>
          <w:color w:val="000000" w:themeColor="text1"/>
          <w:lang w:val="es-ES_tradnl"/>
        </w:rPr>
        <w:t xml:space="preserve">En relación con el </w:t>
      </w:r>
      <w:r w:rsidRPr="004D09C6">
        <w:rPr>
          <w:rFonts w:ascii="Verdana" w:hAnsi="Verdana" w:cs="Arial"/>
          <w:i/>
          <w:iCs/>
          <w:color w:val="000000" w:themeColor="text1"/>
          <w:lang w:val="es-ES_tradnl"/>
        </w:rPr>
        <w:t>contrato de prestación de servicios artísticos que solo pueden encomendarse a determinadas personas naturales</w:t>
      </w:r>
      <w:r w:rsidRPr="004D09C6">
        <w:rPr>
          <w:rFonts w:ascii="Verdana" w:hAnsi="Verdana" w:cs="Arial"/>
          <w:color w:val="000000" w:themeColor="text1"/>
          <w:lang w:val="es-ES_tradnl"/>
        </w:rPr>
        <w:t>, señala la mencionada decisión judicial lo siguiente:</w:t>
      </w:r>
    </w:p>
    <w:p w14:paraId="7811D95C" w14:textId="77777777" w:rsidR="000F6F93" w:rsidRPr="004D09C6" w:rsidRDefault="000F6F93" w:rsidP="000F6F93">
      <w:pPr>
        <w:spacing w:after="0" w:line="240" w:lineRule="auto"/>
        <w:ind w:left="709" w:right="709"/>
        <w:jc w:val="both"/>
        <w:rPr>
          <w:rFonts w:ascii="Verdana" w:hAnsi="Verdana" w:cs="Arial"/>
          <w:color w:val="000000" w:themeColor="text1"/>
          <w:sz w:val="21"/>
          <w:szCs w:val="21"/>
          <w:lang w:val="es-ES_tradnl"/>
        </w:rPr>
      </w:pPr>
    </w:p>
    <w:p w14:paraId="5FCCA2BE" w14:textId="77777777" w:rsidR="000F6F93" w:rsidRPr="009F475C" w:rsidRDefault="000F6F93" w:rsidP="000F6F93">
      <w:pPr>
        <w:spacing w:after="0" w:line="240" w:lineRule="auto"/>
        <w:ind w:left="709" w:right="709"/>
        <w:jc w:val="both"/>
        <w:rPr>
          <w:rFonts w:ascii="Verdana" w:hAnsi="Verdana" w:cs="Arial"/>
          <w:color w:val="000000" w:themeColor="text1"/>
          <w:sz w:val="20"/>
          <w:szCs w:val="20"/>
          <w:lang w:val="es-ES_tradnl"/>
        </w:rPr>
      </w:pPr>
      <w:r w:rsidRPr="009F475C">
        <w:rPr>
          <w:rFonts w:ascii="Verdana" w:hAnsi="Verdana" w:cs="Arial"/>
          <w:color w:val="000000" w:themeColor="text1"/>
          <w:sz w:val="20"/>
          <w:szCs w:val="20"/>
          <w:lang w:val="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9F475C">
        <w:rPr>
          <w:rFonts w:ascii="Verdana" w:hAnsi="Verdana" w:cs="Arial"/>
          <w:color w:val="000000" w:themeColor="text1"/>
          <w:sz w:val="20"/>
          <w:szCs w:val="20"/>
          <w:vertAlign w:val="superscript"/>
          <w:lang w:val="es-ES_tradnl"/>
        </w:rPr>
        <w:footnoteReference w:id="16"/>
      </w:r>
      <w:r w:rsidRPr="009F475C">
        <w:rPr>
          <w:rFonts w:ascii="Verdana" w:hAnsi="Verdana" w:cs="Arial"/>
          <w:color w:val="000000" w:themeColor="text1"/>
          <w:sz w:val="20"/>
          <w:szCs w:val="20"/>
          <w:lang w:val="es-ES_tradnl"/>
        </w:rPr>
        <w:t>.</w:t>
      </w:r>
    </w:p>
    <w:p w14:paraId="488C4AD5" w14:textId="77777777" w:rsidR="000F6F93" w:rsidRPr="004D09C6" w:rsidRDefault="000F6F93" w:rsidP="000F6F93">
      <w:pPr>
        <w:spacing w:after="0" w:line="240" w:lineRule="auto"/>
        <w:ind w:left="709" w:right="709"/>
        <w:jc w:val="both"/>
        <w:rPr>
          <w:rFonts w:ascii="Verdana" w:hAnsi="Verdana" w:cs="Arial"/>
          <w:color w:val="000000" w:themeColor="text1"/>
          <w:sz w:val="21"/>
          <w:szCs w:val="21"/>
          <w:lang w:val="es-ES_tradnl"/>
        </w:rPr>
      </w:pPr>
    </w:p>
    <w:p w14:paraId="491FB83A" w14:textId="77777777" w:rsidR="000F6F93" w:rsidRPr="004D09C6" w:rsidRDefault="000F6F93" w:rsidP="000F6F93">
      <w:pPr>
        <w:spacing w:after="0" w:line="276" w:lineRule="auto"/>
        <w:ind w:firstLine="709"/>
        <w:jc w:val="both"/>
        <w:rPr>
          <w:rFonts w:ascii="Verdana" w:hAnsi="Verdana" w:cs="Arial"/>
          <w:color w:val="000000" w:themeColor="text1"/>
          <w:lang w:val="es-MX"/>
        </w:rPr>
      </w:pPr>
      <w:r w:rsidRPr="004D09C6">
        <w:rPr>
          <w:rFonts w:ascii="Verdana" w:hAnsi="Verdana" w:cs="Arial"/>
          <w:color w:val="000000" w:themeColor="text1"/>
          <w:lang w:val="es-ES_tradnl"/>
        </w:rPr>
        <w:t xml:space="preserve">En este sentido, el contrato de prestación de servicios </w:t>
      </w:r>
      <w:r w:rsidRPr="004D09C6">
        <w:rPr>
          <w:rFonts w:ascii="Verdana" w:hAnsi="Verdana" w:cs="Arial"/>
          <w:i/>
          <w:iCs/>
          <w:color w:val="000000" w:themeColor="text1"/>
          <w:lang w:val="es-ES_tradnl"/>
        </w:rPr>
        <w:t>profesionales</w:t>
      </w:r>
      <w:r w:rsidRPr="004D09C6">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4D09C6">
        <w:rPr>
          <w:rFonts w:ascii="Verdana" w:hAnsi="Verdana" w:cs="Arial"/>
          <w:i/>
          <w:iCs/>
          <w:color w:val="000000" w:themeColor="text1"/>
          <w:lang w:val="es-ES_tradnl"/>
        </w:rPr>
        <w:t>saber intelectivo cualificado.</w:t>
      </w:r>
      <w:r w:rsidRPr="004D09C6">
        <w:rPr>
          <w:rFonts w:ascii="Verdana" w:hAnsi="Verdana" w:cs="Arial"/>
          <w:color w:val="000000" w:themeColor="text1"/>
          <w:lang w:val="es-ES_tradnl"/>
        </w:rPr>
        <w:t xml:space="preserve"> En cambio, los contratos de prestación de servicios de </w:t>
      </w:r>
      <w:r w:rsidRPr="004D09C6">
        <w:rPr>
          <w:rFonts w:ascii="Verdana" w:hAnsi="Verdana" w:cs="Arial"/>
          <w:i/>
          <w:iCs/>
          <w:color w:val="000000" w:themeColor="text1"/>
          <w:lang w:val="es-ES_tradnl"/>
        </w:rPr>
        <w:t>apoyo a la gestión</w:t>
      </w:r>
      <w:r w:rsidRPr="004D09C6">
        <w:rPr>
          <w:rFonts w:ascii="Verdana" w:hAnsi="Verdana" w:cs="Arial"/>
          <w:color w:val="000000" w:themeColor="text1"/>
          <w:lang w:val="es-ES_tradnl"/>
        </w:rPr>
        <w:t xml:space="preserve"> y de </w:t>
      </w:r>
      <w:r w:rsidRPr="004D09C6">
        <w:rPr>
          <w:rFonts w:ascii="Verdana" w:hAnsi="Verdana" w:cs="Arial"/>
          <w:i/>
          <w:iCs/>
          <w:color w:val="000000" w:themeColor="text1"/>
          <w:lang w:val="es-ES_tradnl"/>
        </w:rPr>
        <w:t>servicios artísticos</w:t>
      </w:r>
      <w:r w:rsidRPr="004D09C6">
        <w:rPr>
          <w:rFonts w:ascii="Verdana" w:hAnsi="Verdana" w:cs="Arial"/>
          <w:color w:val="000000" w:themeColor="text1"/>
          <w:lang w:val="es-ES_tradnl"/>
        </w:rPr>
        <w:t xml:space="preserve"> no involucran ese conocimiento profesional </w:t>
      </w:r>
      <w:r w:rsidRPr="004D09C6">
        <w:rPr>
          <w:rFonts w:ascii="Verdana" w:hAnsi="Verdana" w:cs="Arial"/>
          <w:color w:val="000000" w:themeColor="text1"/>
          <w:lang w:val="es-MX"/>
        </w:rPr>
        <w:t xml:space="preserve">o especializados para su ejecución. En los contratos de apoyo a la gestión </w:t>
      </w:r>
      <w:r w:rsidRPr="004D09C6">
        <w:rPr>
          <w:rFonts w:ascii="Verdana" w:hAnsi="Verdana" w:cs="Arial"/>
          <w:color w:val="000000" w:themeColor="text1"/>
          <w:lang w:val="es-ES_tradnl"/>
        </w:rPr>
        <w:t xml:space="preserve">el contratista desempeña un esfuerzo o actividad de apoyo, acompañamiento, o soporte, </w:t>
      </w:r>
      <w:r w:rsidRPr="004D09C6">
        <w:rPr>
          <w:rFonts w:ascii="Verdana" w:hAnsi="Verdana" w:cs="Arial"/>
          <w:color w:val="000000" w:themeColor="text1"/>
          <w:lang w:val="es-MX"/>
        </w:rPr>
        <w:t xml:space="preserve">donde </w:t>
      </w:r>
      <w:r>
        <w:rPr>
          <w:rFonts w:ascii="Verdana" w:hAnsi="Verdana" w:cs="Arial"/>
          <w:color w:val="000000" w:themeColor="text1"/>
          <w:lang w:val="es-ES_tradnl"/>
        </w:rPr>
        <w:t>“</w:t>
      </w:r>
      <w:r w:rsidRPr="004D09C6">
        <w:rPr>
          <w:rFonts w:ascii="Verdana" w:hAnsi="Verdana" w:cs="Arial"/>
          <w:color w:val="000000" w:themeColor="text1"/>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Pr>
          <w:rFonts w:ascii="Verdana" w:hAnsi="Verdana" w:cs="Arial"/>
          <w:color w:val="000000" w:themeColor="text1"/>
          <w:lang w:val="es-ES_tradnl"/>
        </w:rPr>
        <w:t>”</w:t>
      </w:r>
      <w:r w:rsidRPr="004D09C6">
        <w:rPr>
          <w:rFonts w:ascii="Verdana" w:hAnsi="Verdana" w:cs="Arial"/>
          <w:color w:val="000000" w:themeColor="text1"/>
          <w:lang w:val="es-ES_tradnl"/>
        </w:rPr>
        <w:t xml:space="preserve">. Igualmente, en el contrato de prestación de servicios artísticos lo prevalente es que la persona que lo ejecute se trate de un artista, es decir, </w:t>
      </w:r>
      <w:r>
        <w:rPr>
          <w:rFonts w:ascii="Verdana" w:hAnsi="Verdana" w:cs="Arial"/>
          <w:color w:val="000000" w:themeColor="text1"/>
          <w:lang w:val="es-ES_tradnl"/>
        </w:rPr>
        <w:t>“</w:t>
      </w:r>
      <w:r w:rsidRPr="004D09C6">
        <w:rPr>
          <w:rFonts w:ascii="Verdana" w:hAnsi="Verdana" w:cs="Arial"/>
          <w:color w:val="000000" w:themeColor="text1"/>
          <w:lang w:val="es-ES_tradnl"/>
        </w:rPr>
        <w:t>una persona reconocida como realizador o productor de arte, de obras de arte, ejecutor de trabajos artísticos</w:t>
      </w:r>
      <w:r>
        <w:rPr>
          <w:rFonts w:ascii="Verdana" w:hAnsi="Verdana" w:cs="Arial"/>
          <w:color w:val="000000" w:themeColor="text1"/>
          <w:lang w:val="es-ES_tradnl"/>
        </w:rPr>
        <w:t>”</w:t>
      </w:r>
      <w:r w:rsidRPr="004D09C6">
        <w:rPr>
          <w:rFonts w:ascii="Verdana" w:hAnsi="Verdana" w:cs="Arial"/>
          <w:color w:val="000000" w:themeColor="text1"/>
          <w:lang w:val="es-ES_tradnl"/>
        </w:rPr>
        <w:t>, para lo cual es indiferente el carácter de profesional.</w:t>
      </w:r>
    </w:p>
    <w:p w14:paraId="60EB63A8" w14:textId="77777777" w:rsidR="000F6F93" w:rsidRDefault="000F6F93" w:rsidP="000F6F93">
      <w:pPr>
        <w:spacing w:before="120" w:after="0" w:line="276" w:lineRule="auto"/>
        <w:ind w:firstLine="708"/>
        <w:jc w:val="both"/>
        <w:rPr>
          <w:rFonts w:ascii="Verdana" w:eastAsia="Calibri" w:hAnsi="Verdana" w:cs="Arial"/>
          <w:color w:val="000000"/>
        </w:rPr>
      </w:pPr>
      <w:r w:rsidRPr="00920DC8">
        <w:rPr>
          <w:rFonts w:ascii="Verdana" w:eastAsia="Calibri" w:hAnsi="Verdana" w:cs="Arial"/>
          <w:color w:val="000000"/>
        </w:rPr>
        <w:t>Ahora bien</w:t>
      </w:r>
      <w:r>
        <w:rPr>
          <w:rFonts w:ascii="Verdana" w:eastAsia="Calibri" w:hAnsi="Verdana" w:cs="Arial"/>
          <w:color w:val="000000"/>
        </w:rPr>
        <w:t xml:space="preserve"> y con el fin de atender el objeto bajo consulta, dentro del marco legal dispuesto por el legislador en el artículo 2 de la Ley 1150 de 2007, las Entidades Estatales deben al momento de estructurar sus procesos de contratación, ceñirse a las situaciones fácticas y jurídicas allí dispuestas para aplicar una determinada modalidad de selección. En ese sentido, para la adquisición de prestación de servicios profesionales, de apoyo a la gestión o la ejecución de trabajos artísticos, las entidades deben adelantar el proceso de selección mediante la modalidad de contratación directa, sin distinción de la cuantía u objeto, pues esta es la forma señalada en el literal h), del numeral 4, del artículo 2 de la Ley 1150 de 2007.</w:t>
      </w:r>
    </w:p>
    <w:p w14:paraId="415B1506" w14:textId="77777777" w:rsidR="000F6F93" w:rsidRDefault="000F6F93" w:rsidP="000F6F93">
      <w:pPr>
        <w:spacing w:before="120" w:line="276" w:lineRule="auto"/>
        <w:ind w:firstLine="709"/>
        <w:jc w:val="both"/>
        <w:rPr>
          <w:rFonts w:ascii="Verdana" w:eastAsia="Calibri" w:hAnsi="Verdana" w:cs="Arial"/>
          <w:color w:val="000000"/>
        </w:rPr>
      </w:pPr>
      <w:r>
        <w:rPr>
          <w:rFonts w:ascii="Verdana" w:eastAsia="Calibri" w:hAnsi="Verdana" w:cs="Arial"/>
          <w:color w:val="000000"/>
        </w:rPr>
        <w:t xml:space="preserve">La anterior precisión resulta relevante, puesto que, si bien el legislador contempló en la referida norma otras modalidades de selección que implican el desarrollo de los procesos de contratación de manera competitiva –esto es, mediante la licitación pública, el concurso de méritos, la selección abreviada y la mínima cuantía–, para cada una de estas se establecieron delimitantes o factores determinantes que no sólo le permiten a las Entidades Estatales verificar su procedencia para adquirir el bien, obra o servicio objeto de la necesidad, sino que también constituyen limitantes que deben respetar. </w:t>
      </w:r>
    </w:p>
    <w:p w14:paraId="5E425DB8" w14:textId="77777777" w:rsidR="000F6F93" w:rsidRDefault="000F6F93" w:rsidP="000F6F93">
      <w:pPr>
        <w:spacing w:before="120" w:line="276" w:lineRule="auto"/>
        <w:ind w:firstLine="709"/>
        <w:jc w:val="both"/>
        <w:rPr>
          <w:rFonts w:ascii="Verdana" w:eastAsia="Calibri" w:hAnsi="Verdana" w:cs="Arial"/>
          <w:color w:val="000000"/>
        </w:rPr>
      </w:pPr>
      <w:r>
        <w:rPr>
          <w:rFonts w:ascii="Verdana" w:eastAsia="Calibri" w:hAnsi="Verdana" w:cs="Arial"/>
          <w:color w:val="000000"/>
        </w:rPr>
        <w:lastRenderedPageBreak/>
        <w:t>De esta forma, el adelantar procesos contractuales para la prestación de servicios profesionales, de apoyo a la gestión o de ejecución de trabajos artísticos mediante una modalidad de selección diferente a la contratación directa, no solo implicaría una mala práctica contractual, sino también el desconocimiento de los principios que rigen la contratación pública y el marco normativo dispuesto previamente para ello.</w:t>
      </w:r>
    </w:p>
    <w:p w14:paraId="3312542E" w14:textId="77777777" w:rsidR="000F6F93" w:rsidRPr="00705EEB" w:rsidRDefault="000F6F93" w:rsidP="000F6F93">
      <w:pPr>
        <w:spacing w:before="120" w:after="120" w:line="276" w:lineRule="auto"/>
        <w:ind w:firstLine="703"/>
        <w:jc w:val="both"/>
        <w:textAlignment w:val="baseline"/>
        <w:rPr>
          <w:rFonts w:ascii="Verdana" w:eastAsia="Times New Roman" w:hAnsi="Verdana" w:cs="Arial"/>
          <w:lang w:eastAsia="es-CO"/>
        </w:rPr>
      </w:pPr>
      <w:r>
        <w:rPr>
          <w:rFonts w:ascii="Verdana" w:eastAsia="Calibri" w:hAnsi="Verdana" w:cs="Arial"/>
          <w:color w:val="000000"/>
        </w:rPr>
        <w:t xml:space="preserve">En ese sentido, y por resultar relevante al tema objeto de consulta, se precisa que la Ley 996 de 2005, también conocida como Ley de Garantías Electorales, </w:t>
      </w:r>
      <w:r w:rsidRPr="00705EEB">
        <w:rPr>
          <w:rFonts w:ascii="Verdana" w:eastAsia="Times New Roman" w:hAnsi="Verdana" w:cs="Arial"/>
          <w:lang w:eastAsia="es-CO"/>
        </w:rPr>
        <w:t xml:space="preserve">estableció una serie de regulaciones y prohibiciones dirigidas a los servidores públicos con el fin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En ese sentido, dicha ley en materia de contratación estatal establece restricciones dirigidas a dos (2) tipos de </w:t>
      </w:r>
      <w:r w:rsidRPr="00705EEB">
        <w:rPr>
          <w:rFonts w:ascii="Verdana" w:eastAsia="Arial" w:hAnsi="Verdana" w:cs="Arial"/>
          <w:lang w:val="es-ES" w:eastAsia="es-ES" w:bidi="es-ES"/>
        </w:rPr>
        <w:t>de campañas electorales claramente diferenciadas: las presidenciales y las demás que se adelanten para la elección de los demás cargos de elección popular, tanto a nivel nacional como territorial.</w:t>
      </w:r>
    </w:p>
    <w:p w14:paraId="6134379C" w14:textId="77777777" w:rsidR="000F6F93" w:rsidRPr="00705EEB" w:rsidRDefault="000F6F93" w:rsidP="000F6F93">
      <w:pPr>
        <w:spacing w:after="120" w:line="276" w:lineRule="auto"/>
        <w:ind w:firstLine="708"/>
        <w:jc w:val="both"/>
        <w:rPr>
          <w:rFonts w:ascii="Verdana" w:eastAsia="Calibri" w:hAnsi="Verdana" w:cs="Arial"/>
        </w:rPr>
      </w:pPr>
      <w:r w:rsidRPr="00705EEB">
        <w:rPr>
          <w:rFonts w:ascii="Verdana" w:eastAsia="Calibri" w:hAnsi="Verdana" w:cs="Arial"/>
        </w:rPr>
        <w:t xml:space="preserve">Por un lado, el </w:t>
      </w:r>
      <w:r w:rsidRPr="00705EEB">
        <w:rPr>
          <w:rFonts w:ascii="Verdana" w:eastAsia="Calibri" w:hAnsi="Verdana" w:cs="Arial"/>
          <w:i/>
          <w:iCs/>
        </w:rPr>
        <w:t>artículo 33 de la Ley 996 de 2005</w:t>
      </w:r>
      <w:r w:rsidRPr="00705EEB">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05EEB">
        <w:rPr>
          <w:rFonts w:ascii="Verdana" w:hAnsi="Verdana"/>
          <w:vertAlign w:val="superscript"/>
        </w:rPr>
        <w:footnoteReference w:id="17"/>
      </w:r>
      <w:r w:rsidRPr="00705EEB">
        <w:rPr>
          <w:rFonts w:ascii="Verdana" w:eastAsia="Calibri" w:hAnsi="Verdana" w:cs="Arial"/>
        </w:rPr>
        <w:t>.</w:t>
      </w:r>
    </w:p>
    <w:p w14:paraId="2B463FC7" w14:textId="77777777" w:rsidR="000F6F93" w:rsidRPr="00705EEB" w:rsidRDefault="000F6F93" w:rsidP="000F6F93">
      <w:pPr>
        <w:widowControl w:val="0"/>
        <w:autoSpaceDE w:val="0"/>
        <w:autoSpaceDN w:val="0"/>
        <w:spacing w:after="120" w:line="276" w:lineRule="auto"/>
        <w:ind w:firstLine="709"/>
        <w:jc w:val="both"/>
        <w:rPr>
          <w:rFonts w:ascii="Verdana" w:eastAsia="Arial" w:hAnsi="Verdana" w:cs="Arial"/>
          <w:lang w:val="es-ES" w:eastAsia="es-ES" w:bidi="es-ES"/>
        </w:rPr>
      </w:pPr>
      <w:r w:rsidRPr="00705EEB">
        <w:rPr>
          <w:rFonts w:ascii="Verdana" w:eastAsia="Calibri" w:hAnsi="Verdana" w:cs="Arial"/>
        </w:rPr>
        <w:t xml:space="preserve">Por otro lado, </w:t>
      </w:r>
      <w:r w:rsidRPr="00705EEB">
        <w:rPr>
          <w:rFonts w:ascii="Verdana" w:eastAsia="Calibri" w:hAnsi="Verdana" w:cs="Arial"/>
          <w:i/>
          <w:iCs/>
        </w:rPr>
        <w:t>el parágrafo del artículo 38 de la Ley 996 de 2005</w:t>
      </w:r>
      <w:r w:rsidRPr="00705EEB">
        <w:rPr>
          <w:rFonts w:ascii="Verdana" w:eastAsia="Calibri" w:hAnsi="Verdana" w:cs="Arial"/>
        </w:rPr>
        <w:t xml:space="preserve"> prevé una restricción, aplicable respecto de cualquier tipo de contienda electoral, que prohíbe a los gobernadores, alcaldes municipales o distritales, secretarios, </w:t>
      </w:r>
      <w:r w:rsidRPr="00705EEB">
        <w:rPr>
          <w:rFonts w:ascii="Verdana" w:eastAsia="Calibri" w:hAnsi="Verdana" w:cs="Arial"/>
        </w:rPr>
        <w:lastRenderedPageBreak/>
        <w:t xml:space="preserve">gerentes y directores de entidades descentralizadas del orden municipal, departamental o distrital “[…] </w:t>
      </w:r>
      <w:r w:rsidRPr="00705EEB">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05EEB">
        <w:rPr>
          <w:rFonts w:ascii="Verdana" w:eastAsia="Calibri" w:hAnsi="Verdana" w:cs="Arial"/>
        </w:rPr>
        <w:t>”</w:t>
      </w:r>
      <w:r w:rsidRPr="00705EEB">
        <w:rPr>
          <w:rFonts w:ascii="Verdana" w:eastAsia="Calibri" w:hAnsi="Verdana" w:cs="Arial"/>
          <w:vertAlign w:val="superscript"/>
        </w:rPr>
        <w:footnoteReference w:id="18"/>
      </w:r>
      <w:r w:rsidRPr="00705EEB">
        <w:rPr>
          <w:rFonts w:ascii="Verdana" w:eastAsia="Calibri" w:hAnsi="Verdana" w:cs="Arial"/>
          <w:lang w:val="es-MX"/>
        </w:rPr>
        <w:t>.</w:t>
      </w:r>
      <w:r w:rsidRPr="00705EEB">
        <w:rPr>
          <w:rFonts w:ascii="Verdana" w:eastAsia="Arial" w:hAnsi="Verdana" w:cs="Arial"/>
          <w:lang w:val="es-ES" w:eastAsia="es-ES" w:bidi="es-ES"/>
        </w:rPr>
        <w:t xml:space="preserve"> </w:t>
      </w:r>
    </w:p>
    <w:p w14:paraId="4109828B" w14:textId="77777777" w:rsidR="000F6F93" w:rsidRPr="00705EEB" w:rsidRDefault="000F6F93" w:rsidP="000F6F9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705EEB">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24E1F2C1" w14:textId="77777777" w:rsidR="000F6F93" w:rsidRPr="00705EEB" w:rsidRDefault="000F6F93" w:rsidP="000F6F93">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B2A8AF1" w14:textId="77777777" w:rsidR="000F6F93" w:rsidRPr="00705EEB" w:rsidRDefault="000F6F93" w:rsidP="000F6F9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05EEB">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705EEB">
        <w:rPr>
          <w:rFonts w:ascii="Verdana" w:eastAsia="Arial" w:hAnsi="Verdana" w:cs="Arial"/>
          <w:sz w:val="20"/>
          <w:szCs w:val="20"/>
          <w:vertAlign w:val="superscript"/>
          <w:lang w:eastAsia="es-ES" w:bidi="es-ES"/>
        </w:rPr>
        <w:footnoteReference w:id="19"/>
      </w:r>
    </w:p>
    <w:p w14:paraId="7A20F532" w14:textId="77777777" w:rsidR="000F6F93" w:rsidRPr="00705EEB" w:rsidRDefault="000F6F93" w:rsidP="000F6F93">
      <w:pPr>
        <w:widowControl w:val="0"/>
        <w:autoSpaceDE w:val="0"/>
        <w:autoSpaceDN w:val="0"/>
        <w:spacing w:line="276" w:lineRule="auto"/>
        <w:contextualSpacing/>
        <w:rPr>
          <w:rFonts w:ascii="Verdana" w:eastAsia="Arial" w:hAnsi="Verdana" w:cs="Arial"/>
          <w:lang w:val="es-ES" w:eastAsia="es-ES" w:bidi="es-ES"/>
        </w:rPr>
      </w:pPr>
    </w:p>
    <w:p w14:paraId="5D6B8177" w14:textId="77777777" w:rsidR="000F6F93" w:rsidRPr="00705EEB" w:rsidRDefault="000F6F93" w:rsidP="000F6F93">
      <w:pPr>
        <w:spacing w:after="120" w:line="276" w:lineRule="auto"/>
        <w:ind w:firstLine="709"/>
        <w:jc w:val="both"/>
        <w:rPr>
          <w:rFonts w:ascii="Verdana" w:eastAsia="Arial" w:hAnsi="Verdana" w:cs="Arial"/>
          <w:lang w:val="es-ES" w:eastAsia="es-ES" w:bidi="es-ES"/>
        </w:rPr>
      </w:pPr>
      <w:r w:rsidRPr="00705EEB">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705EEB">
        <w:rPr>
          <w:rFonts w:ascii="Verdana" w:eastAsia="Arial" w:hAnsi="Verdana" w:cs="Arial"/>
          <w:i/>
          <w:lang w:val="es-ES" w:eastAsia="es-ES" w:bidi="es-ES"/>
        </w:rPr>
        <w:t>En primer lugar</w:t>
      </w:r>
      <w:r w:rsidRPr="00705EEB">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w:t>
      </w:r>
      <w:r w:rsidRPr="00705EEB">
        <w:rPr>
          <w:rFonts w:ascii="Verdana" w:eastAsia="Arial" w:hAnsi="Verdana" w:cs="Arial"/>
          <w:lang w:val="es-ES" w:eastAsia="es-ES" w:bidi="es-ES"/>
        </w:rPr>
        <w:lastRenderedPageBreak/>
        <w:t xml:space="preserve">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705EEB">
        <w:rPr>
          <w:rFonts w:ascii="Verdana" w:eastAsia="Arial" w:hAnsi="Verdana" w:cs="Arial"/>
          <w:i/>
          <w:lang w:val="es-ES" w:eastAsia="es-ES" w:bidi="es-ES"/>
        </w:rPr>
        <w:t>En segundo lugar</w:t>
      </w:r>
      <w:r w:rsidRPr="00705EEB">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0528747" w14:textId="77777777" w:rsidR="000F6F93" w:rsidRPr="00705EEB" w:rsidRDefault="000F6F93" w:rsidP="000F6F93">
      <w:pPr>
        <w:spacing w:after="120" w:line="276" w:lineRule="auto"/>
        <w:ind w:firstLine="709"/>
        <w:jc w:val="both"/>
        <w:rPr>
          <w:rFonts w:ascii="Verdana" w:eastAsia="Arial" w:hAnsi="Verdana" w:cs="Arial"/>
          <w:lang w:val="es-ES" w:eastAsia="es-ES" w:bidi="es-ES"/>
        </w:rPr>
      </w:pPr>
      <w:r w:rsidRPr="00705EEB">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791C687C" w14:textId="77777777" w:rsidR="000F6F93" w:rsidRPr="00F50E68" w:rsidRDefault="000F6F93" w:rsidP="000F6F93">
      <w:pPr>
        <w:spacing w:before="120" w:line="276" w:lineRule="auto"/>
        <w:ind w:firstLine="709"/>
        <w:jc w:val="both"/>
        <w:rPr>
          <w:rFonts w:ascii="Verdana" w:eastAsia="Calibri" w:hAnsi="Verdana" w:cs="Arial"/>
        </w:rPr>
      </w:pPr>
      <w:r w:rsidRPr="00E431A7">
        <w:rPr>
          <w:rFonts w:ascii="Verdana" w:eastAsia="Calibri" w:hAnsi="Verdana" w:cs="Arial"/>
          <w:color w:val="000000"/>
        </w:rPr>
        <w:t>Finalme</w:t>
      </w:r>
      <w:r w:rsidRPr="00B31C93">
        <w:rPr>
          <w:rFonts w:ascii="Verdana" w:eastAsia="Calibri" w:hAnsi="Verdana" w:cs="Arial"/>
        </w:rPr>
        <w:t>nte</w:t>
      </w:r>
      <w:r w:rsidRPr="00F50E68">
        <w:rPr>
          <w:rFonts w:ascii="Verdana" w:eastAsia="Calibri" w:hAnsi="Verdana" w:cs="Arial"/>
        </w:rPr>
        <w:t xml:space="preserve">, debe advertirse que el análisis requerido para resolver problemas específicos en torno a la </w:t>
      </w:r>
      <w:r>
        <w:rPr>
          <w:rFonts w:ascii="Verdana" w:eastAsia="Calibri" w:hAnsi="Verdana" w:cs="Arial"/>
        </w:rPr>
        <w:t>gestión contractual de las Entidades Estatales en vigencia de la Ley de Garantías Electorales</w:t>
      </w:r>
      <w:r w:rsidRPr="00F50E68">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1E15801" w14:textId="77777777" w:rsidR="000F6F93" w:rsidRPr="00F50E68" w:rsidRDefault="000F6F93" w:rsidP="000F6F93">
      <w:pPr>
        <w:spacing w:after="120" w:line="276" w:lineRule="auto"/>
        <w:ind w:firstLine="708"/>
        <w:jc w:val="both"/>
        <w:rPr>
          <w:rFonts w:ascii="Verdana" w:eastAsia="Calibri" w:hAnsi="Verdana" w:cs="Arial"/>
        </w:rPr>
      </w:pPr>
      <w:r w:rsidRPr="00F50E68">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CFA096F" w14:textId="77777777" w:rsidR="000F6F93" w:rsidRPr="00F50E68" w:rsidRDefault="000F6F93" w:rsidP="000F6F93">
      <w:pPr>
        <w:widowControl w:val="0"/>
        <w:autoSpaceDE w:val="0"/>
        <w:autoSpaceDN w:val="0"/>
        <w:spacing w:after="0" w:line="276" w:lineRule="auto"/>
        <w:contextualSpacing/>
        <w:jc w:val="both"/>
        <w:rPr>
          <w:rFonts w:ascii="Verdana" w:hAnsi="Verdana" w:cs="Arial"/>
        </w:rPr>
      </w:pPr>
    </w:p>
    <w:p w14:paraId="2F48D6D2" w14:textId="77777777" w:rsidR="000F6F93" w:rsidRPr="00F50E68" w:rsidRDefault="000F6F93" w:rsidP="000F6F93">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4. Referencias normativas, jurisprudenciales y otras fuentes:</w:t>
      </w:r>
    </w:p>
    <w:p w14:paraId="1865F48F" w14:textId="77777777" w:rsidR="000F6F93" w:rsidRPr="00F50E68" w:rsidRDefault="000F6F93" w:rsidP="000F6F9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6F93" w:rsidRPr="00F50E68" w14:paraId="72019281" w14:textId="77777777" w:rsidTr="001128BB">
        <w:trPr>
          <w:trHeight w:val="870"/>
        </w:trPr>
        <w:tc>
          <w:tcPr>
            <w:tcW w:w="8647" w:type="dxa"/>
          </w:tcPr>
          <w:p w14:paraId="1A63C341" w14:textId="77777777" w:rsidR="000F6F93" w:rsidRPr="000B20DE"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Calibri" w:hAnsi="Verdana" w:cs="Arial"/>
                <w:lang w:val="es-ES"/>
              </w:rPr>
              <w:t>Ley 80 de 1993. Artículo 32, numeral 3</w:t>
            </w:r>
          </w:p>
          <w:p w14:paraId="00465C06" w14:textId="77777777" w:rsidR="000F6F93"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Ley 1150 de 2007. Artículo 2, numeral 4, literal h); Artículo 2, numeral 5.</w:t>
            </w:r>
          </w:p>
          <w:p w14:paraId="264509A1" w14:textId="77777777" w:rsidR="000F6F93"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Ley 996 de 2005. Artículo 33; Artículo 38, parágrafo.</w:t>
            </w:r>
          </w:p>
          <w:p w14:paraId="418F28DA" w14:textId="77777777" w:rsidR="000F6F93" w:rsidRPr="007E1BAF"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 xml:space="preserve">Decreto 1082 de 2015. Artículo </w:t>
            </w:r>
            <w:r w:rsidRPr="007E1BAF">
              <w:rPr>
                <w:rFonts w:ascii="Verdana" w:eastAsia="Aptos" w:hAnsi="Verdana" w:cs="Arial"/>
              </w:rPr>
              <w:t>2.2.1.2.1.4.1</w:t>
            </w:r>
            <w:r>
              <w:rPr>
                <w:rFonts w:ascii="Verdana" w:eastAsia="Aptos" w:hAnsi="Verdana" w:cs="Arial"/>
              </w:rPr>
              <w:t xml:space="preserve"> y </w:t>
            </w:r>
            <w:r w:rsidRPr="004D09C6">
              <w:rPr>
                <w:rFonts w:ascii="Verdana" w:hAnsi="Verdana" w:cs="Arial"/>
                <w:noProof/>
                <w:lang w:val="es-ES_tradnl"/>
              </w:rPr>
              <w:t>2.2.1.2.1.4.9</w:t>
            </w:r>
          </w:p>
          <w:p w14:paraId="2C1F005F" w14:textId="77777777" w:rsidR="000F6F93"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sidRPr="007E1BAF">
              <w:rPr>
                <w:rFonts w:ascii="Verdana" w:eastAsia="Aptos" w:hAnsi="Verdana" w:cs="Arial"/>
              </w:rPr>
              <w:t>Consejo de Estado. Sección Segunda. Sentencia del 9 de septiembre de 2021. Expediente No. 05001-23-33-000-2013-01143-01(1317-16). M.P. Dra. Sandra Lisset Ibarra Vélez</w:t>
            </w:r>
          </w:p>
          <w:p w14:paraId="3C5E19CC" w14:textId="77777777" w:rsidR="000F6F93"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Pr>
                <w:rFonts w:ascii="Verdana" w:eastAsia="Aptos" w:hAnsi="Verdana" w:cs="Arial"/>
              </w:rPr>
              <w:t>Corte Constitucional. Sentencia C-154 de 1997</w:t>
            </w:r>
          </w:p>
          <w:p w14:paraId="0110866C" w14:textId="77777777" w:rsidR="000F6F93" w:rsidRPr="00EC1488" w:rsidRDefault="000F6F93" w:rsidP="000F6F93">
            <w:pPr>
              <w:widowControl w:val="0"/>
              <w:numPr>
                <w:ilvl w:val="0"/>
                <w:numId w:val="1"/>
              </w:numPr>
              <w:autoSpaceDE w:val="0"/>
              <w:autoSpaceDN w:val="0"/>
              <w:spacing w:after="160" w:line="276" w:lineRule="auto"/>
              <w:contextualSpacing/>
              <w:jc w:val="both"/>
              <w:rPr>
                <w:rFonts w:ascii="Verdana" w:eastAsia="Aptos" w:hAnsi="Verdana" w:cs="Arial"/>
              </w:rPr>
            </w:pPr>
            <w:r w:rsidRPr="007E1BAF">
              <w:rPr>
                <w:rFonts w:ascii="Verdana" w:eastAsia="Aptos" w:hAnsi="Verdana" w:cs="Arial"/>
              </w:rPr>
              <w:t>CONSEJO DE ESTADO. Sección Tercera. Subsección C. Sentencia de Unificación del 2 de diciembre de 2013. Exp. 41.719. C.P. Jaime Orlando Santofimio Gamboa.</w:t>
            </w:r>
          </w:p>
        </w:tc>
      </w:tr>
    </w:tbl>
    <w:p w14:paraId="415E64B0" w14:textId="77777777" w:rsidR="000F6F93" w:rsidRPr="00F50E68" w:rsidRDefault="000F6F93" w:rsidP="000F6F93">
      <w:pPr>
        <w:widowControl w:val="0"/>
        <w:autoSpaceDE w:val="0"/>
        <w:autoSpaceDN w:val="0"/>
        <w:spacing w:after="0" w:line="276" w:lineRule="auto"/>
        <w:jc w:val="both"/>
        <w:rPr>
          <w:rFonts w:ascii="Verdana" w:hAnsi="Verdana" w:cs="Arial"/>
        </w:rPr>
      </w:pPr>
    </w:p>
    <w:p w14:paraId="5D4982B0" w14:textId="77777777" w:rsidR="000F6F93" w:rsidRPr="00F50E68" w:rsidRDefault="000F6F93" w:rsidP="000F6F93">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5. Doctrina de la Agencia Nacional de Contratación Pública:</w:t>
      </w:r>
    </w:p>
    <w:p w14:paraId="6827701A" w14:textId="77777777" w:rsidR="000F6F93" w:rsidRPr="00F50E68" w:rsidRDefault="000F6F93" w:rsidP="000F6F93">
      <w:pPr>
        <w:widowControl w:val="0"/>
        <w:autoSpaceDE w:val="0"/>
        <w:autoSpaceDN w:val="0"/>
        <w:spacing w:after="0" w:line="276" w:lineRule="auto"/>
        <w:jc w:val="both"/>
        <w:rPr>
          <w:rFonts w:ascii="Verdana" w:hAnsi="Verdana" w:cs="Arial"/>
        </w:rPr>
      </w:pPr>
    </w:p>
    <w:p w14:paraId="4C04914D" w14:textId="77777777" w:rsidR="000F6F93" w:rsidRPr="00F50E68" w:rsidRDefault="000F6F93" w:rsidP="000F6F93">
      <w:pPr>
        <w:widowControl w:val="0"/>
        <w:autoSpaceDE w:val="0"/>
        <w:autoSpaceDN w:val="0"/>
        <w:spacing w:after="0" w:line="276" w:lineRule="auto"/>
        <w:jc w:val="both"/>
        <w:rPr>
          <w:rFonts w:ascii="Verdana" w:hAnsi="Verdana" w:cs="Arial"/>
          <w:shd w:val="clear" w:color="auto" w:fill="FFFFFF"/>
          <w:lang w:val="es-ES"/>
        </w:rPr>
      </w:pPr>
      <w:r w:rsidRPr="00F50E68">
        <w:rPr>
          <w:rFonts w:ascii="Verdana" w:eastAsia="Aptos" w:hAnsi="Verdana" w:cs="Arial"/>
          <w:shd w:val="clear" w:color="auto" w:fill="FFFFFF"/>
          <w:lang w:val="es-ES"/>
        </w:rPr>
        <w:t>Sobre el marco jurídico d</w:t>
      </w:r>
      <w:r>
        <w:rPr>
          <w:rFonts w:ascii="Verdana" w:eastAsia="Aptos" w:hAnsi="Verdana" w:cs="Arial"/>
          <w:shd w:val="clear" w:color="auto" w:fill="FFFFFF"/>
          <w:lang w:val="es-ES"/>
        </w:rPr>
        <w:t>el contrato de prestación de servicios profesionales, de apoyo a la gestión y para la ejecución de trabajos artísticos</w:t>
      </w:r>
      <w:r w:rsidRPr="00F50E68">
        <w:rPr>
          <w:rFonts w:ascii="Verdana" w:eastAsia="Aptos" w:hAnsi="Verdana" w:cs="Arial"/>
          <w:shd w:val="clear" w:color="auto" w:fill="FFFFFF"/>
          <w:lang w:val="es-ES"/>
        </w:rPr>
        <w:t>, esta Subdirección se ha referido en los Conceptos</w:t>
      </w:r>
      <w:r w:rsidRPr="00B43751">
        <w:rPr>
          <w:rFonts w:ascii="Verdana" w:eastAsia="Calibri" w:hAnsi="Verdana" w:cs="Arial"/>
          <w:lang w:val="es-ES_tradnl" w:eastAsia="es-MX"/>
        </w:rPr>
        <w:t xml:space="preserve"> C-004 del 12 de febrero de 2021, C-145 del 08 de abril de 2021, C-654 del 22 de noviembre de 2021, C-019 del 21 de febrero de 2022,</w:t>
      </w:r>
      <w:r>
        <w:rPr>
          <w:rFonts w:ascii="Verdana" w:eastAsia="Calibri" w:hAnsi="Verdana" w:cs="Arial"/>
          <w:lang w:val="es-ES_tradnl" w:eastAsia="es-MX"/>
        </w:rPr>
        <w:t xml:space="preserve"> </w:t>
      </w:r>
      <w:r w:rsidRPr="00B43751">
        <w:rPr>
          <w:rFonts w:ascii="Verdana" w:eastAsia="Calibri" w:hAnsi="Verdana" w:cs="Arial"/>
          <w:lang w:val="es-ES_tradnl" w:eastAsia="es-MX"/>
        </w:rPr>
        <w:t>C-181 del 8 de abril de 2022, C-491 del 01 de agosto de 2022</w:t>
      </w:r>
      <w:r w:rsidRPr="00F50E68">
        <w:rPr>
          <w:rFonts w:ascii="Verdana" w:eastAsia="Aptos" w:hAnsi="Verdana" w:cs="Arial"/>
          <w:shd w:val="clear" w:color="auto" w:fill="FFFFFF"/>
          <w:lang w:val="es-ES"/>
        </w:rPr>
        <w:t>,</w:t>
      </w:r>
      <w:r w:rsidRPr="00B43751">
        <w:rPr>
          <w:rFonts w:ascii="Verdana" w:eastAsia="Calibri" w:hAnsi="Verdana" w:cs="Arial"/>
          <w:lang w:val="es-ES_tradnl" w:eastAsia="es-MX"/>
        </w:rPr>
        <w:t xml:space="preserve"> C-024 del 4 de marzo de 2022, </w:t>
      </w:r>
      <w:r>
        <w:rPr>
          <w:rFonts w:ascii="Verdana" w:eastAsia="Calibri" w:hAnsi="Verdana" w:cs="Arial"/>
          <w:lang w:val="es-ES_tradnl" w:eastAsia="es-MX"/>
        </w:rPr>
        <w:t xml:space="preserve">C-102 del 4 de mayo de 2023, C-100 de 03 mayo de 2023, C-067 del 16 mayo de 2024, </w:t>
      </w:r>
      <w:r>
        <w:rPr>
          <w:rFonts w:ascii="Verdana" w:eastAsia="Aptos" w:hAnsi="Verdana" w:cs="Arial"/>
          <w:shd w:val="clear" w:color="auto" w:fill="FFFFFF"/>
          <w:lang w:val="es-ES"/>
        </w:rPr>
        <w:t>C-054 del 24 de febrero de 2026, C-098 del 5 marzo de 2026, C-142 del 11 de marzo de 2026, C-151 del 12 de marzo de 2026,</w:t>
      </w:r>
      <w:r w:rsidRPr="00F50E68">
        <w:rPr>
          <w:rFonts w:ascii="Verdana" w:eastAsia="Aptos" w:hAnsi="Verdana" w:cs="Arial"/>
          <w:shd w:val="clear" w:color="auto" w:fill="FFFFFF"/>
          <w:lang w:val="es-ES"/>
        </w:rPr>
        <w:t xml:space="preserve"> entre otros.</w:t>
      </w:r>
      <w:r>
        <w:rPr>
          <w:rFonts w:ascii="Verdana" w:eastAsia="Aptos" w:hAnsi="Verdana" w:cs="Arial"/>
          <w:shd w:val="clear" w:color="auto" w:fill="FFFFFF"/>
          <w:lang w:val="es-ES"/>
        </w:rPr>
        <w:t xml:space="preserve"> Igualmente, estudio las restricciones contractuales dispuestas en la Ley 996 de 2005, entre</w:t>
      </w:r>
      <w:r w:rsidRPr="00F50E68">
        <w:rPr>
          <w:rFonts w:ascii="Verdana" w:eastAsia="Aptos" w:hAnsi="Verdana" w:cs="Arial"/>
          <w:shd w:val="clear" w:color="auto" w:fill="FFFFFF"/>
          <w:lang w:val="es-ES"/>
        </w:rPr>
        <w:t xml:space="preserve"> </w:t>
      </w:r>
      <w:r>
        <w:rPr>
          <w:rFonts w:ascii="Verdana" w:eastAsia="Aptos" w:hAnsi="Verdana" w:cs="Arial"/>
          <w:shd w:val="clear" w:color="auto" w:fill="FFFFFF"/>
          <w:lang w:val="es-ES"/>
        </w:rPr>
        <w:t xml:space="preserve">otros, en los conceptos </w:t>
      </w:r>
      <w:r w:rsidRPr="000868A9">
        <w:rPr>
          <w:rFonts w:ascii="Verdana" w:eastAsia="Aptos" w:hAnsi="Verdana" w:cs="Arial"/>
          <w:shd w:val="clear" w:color="auto" w:fill="FFFFFF"/>
          <w:lang w:val="es-ES"/>
        </w:rPr>
        <w:t xml:space="preserve">C-681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w:t>
      </w:r>
      <w:r w:rsidRPr="000868A9">
        <w:rPr>
          <w:rFonts w:ascii="Verdana" w:eastAsia="Aptos" w:hAnsi="Verdana" w:cs="Arial"/>
          <w:shd w:val="clear" w:color="auto" w:fill="FFFFFF"/>
          <w:lang w:val="es-ES"/>
        </w:rPr>
        <w:lastRenderedPageBreak/>
        <w:t>2025, C-1509 del 19 de noviembre de 2025, C-1773 del 5 de diciembre de 2025, C-1646 del 17 de diciembre de 2025, C-1703 del 29 de diciembre de 2025, C-068 del 27 de enero de 2026, C-111 del 6 de febrero de 2026, C-127 del 6 de febrero de 2026, C-137 del 17 de febrero de 2026, C-185 del 23 de febrero de 2026, C-322 del 4 de marzo de 2026</w:t>
      </w:r>
      <w:r>
        <w:rPr>
          <w:rFonts w:ascii="Verdana" w:eastAsia="Aptos" w:hAnsi="Verdana" w:cs="Arial"/>
          <w:shd w:val="clear" w:color="auto" w:fill="FFFFFF"/>
          <w:lang w:val="es-ES"/>
        </w:rPr>
        <w:t xml:space="preserve">. </w:t>
      </w:r>
      <w:r w:rsidRPr="00F50E68">
        <w:rPr>
          <w:rFonts w:ascii="Verdana" w:hAnsi="Verdana" w:cs="Arial"/>
          <w:shd w:val="clear" w:color="auto" w:fill="FFFFFF"/>
          <w:lang w:val="es-ES"/>
        </w:rPr>
        <w:t>Es</w:t>
      </w:r>
      <w:r w:rsidRPr="00F50E68">
        <w:rPr>
          <w:rFonts w:ascii="Verdana" w:hAnsi="Verdana"/>
        </w:rPr>
        <w:t>tos y otros conceptos se encuentran disponibles para consulta en el Sistema de relatoría de la Agencia, al cual se puede acceder a través del siguiente enlace:</w:t>
      </w:r>
      <w:r w:rsidRPr="00F50E68">
        <w:rPr>
          <w:rFonts w:ascii="Verdana" w:hAnsi="Verdana" w:cs="Arial"/>
          <w:shd w:val="clear" w:color="auto" w:fill="FFFFFF"/>
          <w:lang w:val="es-ES"/>
        </w:rPr>
        <w:t xml:space="preserve"> </w:t>
      </w:r>
      <w:hyperlink r:id="rId12" w:history="1">
        <w:r w:rsidRPr="00F50E68">
          <w:rPr>
            <w:rFonts w:ascii="Verdana" w:hAnsi="Verdana" w:cs="Arial"/>
            <w:color w:val="467886" w:themeColor="hyperlink"/>
            <w:u w:val="single"/>
            <w:shd w:val="clear" w:color="auto" w:fill="FFFFFF"/>
            <w:lang w:val="es-ES"/>
          </w:rPr>
          <w:t>https://relatoria.colombiacompra.gov.co/busqueda/conceptos</w:t>
        </w:r>
      </w:hyperlink>
      <w:r w:rsidRPr="00F50E68">
        <w:rPr>
          <w:rFonts w:ascii="Verdana" w:hAnsi="Verdana" w:cs="Arial"/>
          <w:color w:val="FF0000"/>
          <w:shd w:val="clear" w:color="auto" w:fill="FFFFFF"/>
          <w:lang w:val="es-ES"/>
        </w:rPr>
        <w:t>.</w:t>
      </w:r>
    </w:p>
    <w:p w14:paraId="66471A7A" w14:textId="77777777" w:rsidR="000F6F93" w:rsidRPr="00F50E68" w:rsidRDefault="000F6F93" w:rsidP="000F6F93">
      <w:pPr>
        <w:spacing w:before="120" w:after="120"/>
        <w:ind w:firstLine="709"/>
        <w:jc w:val="both"/>
        <w:rPr>
          <w:rFonts w:ascii="Verdana" w:eastAsia="Aptos" w:hAnsi="Verdana" w:cs="Times New Roman"/>
        </w:rPr>
      </w:pPr>
      <w:r w:rsidRPr="00F50E6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F50E68">
        <w:rPr>
          <w:rFonts w:ascii="Verdana" w:eastAsia="Aptos" w:hAnsi="Verdana" w:cs="Times New Roman"/>
          <w:b/>
          <w:bCs/>
        </w:rPr>
        <w:t>Curso de Contratación Pública Sostenible y Socialmente Responsable</w:t>
      </w:r>
      <w:r w:rsidRPr="00F50E68">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50E68">
        <w:rPr>
          <w:rFonts w:ascii="Verdana" w:eastAsia="Aptos" w:hAnsi="Verdana" w:cs="Times New Roman"/>
        </w:rPr>
        <w:br/>
      </w:r>
      <w:hyperlink r:id="rId13" w:tgtFrame="_new" w:history="1">
        <w:r w:rsidRPr="00F50E68">
          <w:rPr>
            <w:rFonts w:ascii="Verdana" w:eastAsia="Aptos" w:hAnsi="Verdana" w:cs="Times New Roman"/>
            <w:color w:val="0000FF"/>
            <w:u w:val="single"/>
          </w:rPr>
          <w:t>https://formacionvirtual.colombiacompra.gov.co/mod/page/view.php?id=3718</w:t>
        </w:r>
      </w:hyperlink>
    </w:p>
    <w:p w14:paraId="50CF9C8D" w14:textId="77777777" w:rsidR="000F6F93" w:rsidRPr="00F50E68" w:rsidRDefault="000F6F93" w:rsidP="000F6F93">
      <w:pPr>
        <w:ind w:firstLine="708"/>
        <w:jc w:val="both"/>
        <w:rPr>
          <w:rFonts w:ascii="Verdana" w:eastAsia="Aptos" w:hAnsi="Verdana" w:cs="Times New Roman"/>
        </w:rPr>
      </w:pPr>
      <w:r w:rsidRPr="00F50E68">
        <w:rPr>
          <w:rFonts w:ascii="Verdana" w:eastAsia="Aptos" w:hAnsi="Verdana" w:cs="Times New Roman"/>
        </w:rPr>
        <w:t xml:space="preserve">De otro lado, te contamos que esta Agencia ha da un paso decisivo en la estandarización y modernización del </w:t>
      </w:r>
      <w:r w:rsidRPr="00F50E68">
        <w:rPr>
          <w:rFonts w:ascii="Verdana" w:eastAsia="Aptos" w:hAnsi="Verdana" w:cs="Times New Roman"/>
          <w:b/>
          <w:bCs/>
        </w:rPr>
        <w:t>sector  social</w:t>
      </w:r>
      <w:r w:rsidRPr="00F50E68">
        <w:rPr>
          <w:rFonts w:ascii="Verdana" w:eastAsia="Aptos" w:hAnsi="Verdana" w:cs="Times New Roman"/>
        </w:rPr>
        <w:t xml:space="preserve"> con la expedición de las </w:t>
      </w:r>
      <w:r w:rsidRPr="00F50E68">
        <w:rPr>
          <w:rFonts w:ascii="Verdana" w:eastAsia="Aptos" w:hAnsi="Verdana" w:cs="Times New Roman"/>
          <w:b/>
          <w:bCs/>
        </w:rPr>
        <w:t>Resoluciones 539, 540, 541, 952 y 953 de 2025</w:t>
      </w:r>
      <w:r w:rsidRPr="00F50E68">
        <w:rPr>
          <w:rFonts w:ascii="Verdana" w:eastAsia="Aptos" w:hAnsi="Verdana" w:cs="Times New Roman"/>
        </w:rPr>
        <w:t xml:space="preserve">, </w:t>
      </w:r>
      <w:r w:rsidRPr="00F50E68">
        <w:rPr>
          <w:rFonts w:ascii="Verdana" w:eastAsia="Aptos" w:hAnsi="Verdana" w:cs="Times New Roman"/>
          <w:b/>
          <w:bCs/>
        </w:rPr>
        <w:t>mediante las cuales adoptó Documentos Tipo</w:t>
      </w:r>
      <w:r w:rsidRPr="00F50E68">
        <w:rPr>
          <w:rFonts w:ascii="Verdana" w:eastAsia="Aptos" w:hAnsi="Verdana" w:cs="Times New Roman"/>
        </w:rPr>
        <w:t xml:space="preserve"> para las modalidades de selección de</w:t>
      </w:r>
      <w:r w:rsidRPr="00F50E68">
        <w:rPr>
          <w:rFonts w:ascii="Verdana" w:eastAsia="Aptos" w:hAnsi="Verdana" w:cs="Times New Roman"/>
          <w:b/>
          <w:bCs/>
        </w:rPr>
        <w:t xml:space="preserve"> licitación pública (versión 2), selección abreviada de menor cuantía, mínima cuantía, consultoría e interventoría</w:t>
      </w:r>
      <w:r w:rsidRPr="00F50E6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50E68">
          <w:rPr>
            <w:rFonts w:ascii="Verdana" w:eastAsia="Aptos" w:hAnsi="Verdana" w:cs="Times New Roman"/>
            <w:color w:val="0000FF"/>
            <w:u w:val="single"/>
          </w:rPr>
          <w:t>https://www.colombiacompra.gov.co/normativa-y-relatoria/documentos-tipo</w:t>
        </w:r>
      </w:hyperlink>
    </w:p>
    <w:p w14:paraId="47B5AC15" w14:textId="77777777" w:rsidR="000F6F93" w:rsidRPr="00F50E68" w:rsidRDefault="000F6F93" w:rsidP="000F6F93">
      <w:pPr>
        <w:widowControl w:val="0"/>
        <w:autoSpaceDE w:val="0"/>
        <w:autoSpaceDN w:val="0"/>
        <w:spacing w:after="0" w:line="276" w:lineRule="auto"/>
        <w:ind w:firstLine="708"/>
        <w:jc w:val="both"/>
        <w:rPr>
          <w:rFonts w:ascii="Verdana" w:hAnsi="Verdana"/>
        </w:rPr>
      </w:pPr>
      <w:r w:rsidRPr="00F50E68">
        <w:rPr>
          <w:rFonts w:ascii="Verdana" w:eastAsia="Aptos" w:hAnsi="Verdana" w:cs="Times New Roman"/>
        </w:rPr>
        <w:t xml:space="preserve">Si quieres conocer más sobre la aplicación de Documentos Tipo puedes consultar la última versión de la </w:t>
      </w:r>
      <w:r w:rsidRPr="00F50E68">
        <w:rPr>
          <w:rFonts w:ascii="Verdana" w:eastAsia="Aptos" w:hAnsi="Verdana" w:cs="Times New Roman"/>
          <w:b/>
          <w:bCs/>
        </w:rPr>
        <w:t>Guía para la comprensión e implementación de los Documentos Tipo de obra pública de infraestructura de transporte</w:t>
      </w:r>
      <w:r w:rsidRPr="00F50E68">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50E68">
        <w:rPr>
          <w:rFonts w:ascii="Verdana" w:eastAsia="Aptos" w:hAnsi="Verdana" w:cs="Times New Roman"/>
        </w:rPr>
        <w:br/>
      </w:r>
      <w:hyperlink r:id="rId15" w:tgtFrame="_new" w:history="1">
        <w:r w:rsidRPr="00F50E68">
          <w:rPr>
            <w:rFonts w:ascii="Verdana" w:eastAsia="Aptos" w:hAnsi="Verdana" w:cs="Times New Roman"/>
            <w:color w:val="0000FF"/>
            <w:u w:val="single"/>
          </w:rPr>
          <w:t>https://www.colombiacompra.gov.co/archivos/manual/guia-para-la-</w:t>
        </w:r>
        <w:r w:rsidRPr="00F50E68">
          <w:rPr>
            <w:rFonts w:ascii="Verdana" w:eastAsia="Aptos" w:hAnsi="Verdana" w:cs="Times New Roman"/>
            <w:color w:val="0000FF"/>
            <w:u w:val="single"/>
          </w:rPr>
          <w:lastRenderedPageBreak/>
          <w:t>comprension-e-implementacion-de-los-documentos-tipo-de-obra-publica-de-infraestructura-de-transporte-bajo-las-diferentes-modalidades-de-contratacion-vigentes</w:t>
        </w:r>
      </w:hyperlink>
    </w:p>
    <w:p w14:paraId="1F9779D2" w14:textId="77777777" w:rsidR="000F6F93" w:rsidRPr="00F50E68" w:rsidRDefault="000F6F93" w:rsidP="000F6F93">
      <w:pPr>
        <w:widowControl w:val="0"/>
        <w:autoSpaceDE w:val="0"/>
        <w:autoSpaceDN w:val="0"/>
        <w:spacing w:after="0" w:line="276" w:lineRule="auto"/>
        <w:jc w:val="both"/>
        <w:rPr>
          <w:rFonts w:ascii="Verdana" w:hAnsi="Verdana" w:cs="Arial"/>
          <w:shd w:val="clear" w:color="auto" w:fill="FFFFFF"/>
          <w:lang w:val="es-ES"/>
        </w:rPr>
      </w:pPr>
    </w:p>
    <w:p w14:paraId="11293F1D" w14:textId="77777777" w:rsidR="000F6F93" w:rsidRPr="00F50E68" w:rsidRDefault="000F6F93" w:rsidP="000F6F93">
      <w:pPr>
        <w:spacing w:after="0" w:line="240" w:lineRule="auto"/>
        <w:jc w:val="both"/>
        <w:rPr>
          <w:rFonts w:ascii="Verdana" w:hAnsi="Verdana"/>
        </w:rPr>
      </w:pPr>
      <w:r w:rsidRPr="00F50E68">
        <w:rPr>
          <w:rFonts w:ascii="Verdana" w:hAnsi="Verdana"/>
        </w:rPr>
        <w:t xml:space="preserve">Por último, lo invitamos a seguirnos en las redes sociales en las cuales se difunde información institucional: </w:t>
      </w:r>
    </w:p>
    <w:p w14:paraId="7666FC7F" w14:textId="77777777" w:rsidR="000F6F93" w:rsidRPr="00F50E68" w:rsidRDefault="000F6F93" w:rsidP="000F6F93">
      <w:pPr>
        <w:spacing w:after="0" w:line="240" w:lineRule="auto"/>
        <w:jc w:val="both"/>
        <w:rPr>
          <w:rFonts w:ascii="Verdana" w:hAnsi="Verdana"/>
        </w:rPr>
      </w:pPr>
    </w:p>
    <w:p w14:paraId="67F1807B" w14:textId="77777777" w:rsidR="000F6F93" w:rsidRPr="00F50E68" w:rsidRDefault="000F6F93" w:rsidP="000F6F93">
      <w:pPr>
        <w:spacing w:after="0" w:line="240" w:lineRule="auto"/>
        <w:jc w:val="both"/>
        <w:rPr>
          <w:rFonts w:ascii="Verdana" w:hAnsi="Verdana"/>
        </w:rPr>
      </w:pPr>
      <w:r w:rsidRPr="00F50E68">
        <w:rPr>
          <w:rFonts w:ascii="Verdana" w:hAnsi="Verdana"/>
        </w:rPr>
        <w:t xml:space="preserve">Twitter: </w:t>
      </w:r>
      <w:r w:rsidRPr="00F50E68">
        <w:rPr>
          <w:rFonts w:ascii="Verdana" w:hAnsi="Verdana"/>
          <w:color w:val="156082" w:themeColor="accent1"/>
          <w:u w:val="single"/>
        </w:rPr>
        <w:t>@colombiacompra</w:t>
      </w:r>
      <w:r w:rsidRPr="00F50E68">
        <w:rPr>
          <w:rFonts w:ascii="Verdana" w:hAnsi="Verdana"/>
          <w:color w:val="156082" w:themeColor="accent1"/>
        </w:rPr>
        <w:t xml:space="preserve"> </w:t>
      </w:r>
    </w:p>
    <w:p w14:paraId="36DAE1B3" w14:textId="77777777" w:rsidR="000F6F93" w:rsidRPr="00F50E68" w:rsidRDefault="000F6F93" w:rsidP="000F6F93">
      <w:pPr>
        <w:spacing w:after="0" w:line="240" w:lineRule="auto"/>
        <w:jc w:val="both"/>
        <w:rPr>
          <w:rFonts w:ascii="Verdana" w:hAnsi="Verdana"/>
        </w:rPr>
      </w:pPr>
      <w:r w:rsidRPr="00F50E68">
        <w:rPr>
          <w:rFonts w:ascii="Verdana" w:hAnsi="Verdana"/>
        </w:rPr>
        <w:t xml:space="preserve">Facebook: </w:t>
      </w:r>
      <w:r w:rsidRPr="00F50E68">
        <w:rPr>
          <w:rFonts w:ascii="Verdana" w:hAnsi="Verdana"/>
          <w:color w:val="156082" w:themeColor="accent1"/>
          <w:u w:val="single"/>
        </w:rPr>
        <w:t>ColombiaCompraEficiente</w:t>
      </w:r>
    </w:p>
    <w:p w14:paraId="061162E7" w14:textId="77777777" w:rsidR="000F6F93" w:rsidRPr="00F50E68" w:rsidRDefault="000F6F93" w:rsidP="000F6F93">
      <w:pPr>
        <w:spacing w:after="0" w:line="240" w:lineRule="auto"/>
        <w:jc w:val="both"/>
        <w:rPr>
          <w:rFonts w:ascii="Verdana" w:hAnsi="Verdana"/>
        </w:rPr>
      </w:pPr>
      <w:r w:rsidRPr="00F50E68">
        <w:rPr>
          <w:rFonts w:ascii="Verdana" w:hAnsi="Verdana"/>
        </w:rPr>
        <w:t xml:space="preserve">LinkedIn: </w:t>
      </w:r>
      <w:r w:rsidRPr="00F50E68">
        <w:rPr>
          <w:rFonts w:ascii="Verdana" w:hAnsi="Verdana"/>
          <w:color w:val="156082" w:themeColor="accent1"/>
          <w:u w:val="single"/>
        </w:rPr>
        <w:t>Agencia Nacional de Contratación Pública - Colombia Compra Eficiente</w:t>
      </w:r>
      <w:r w:rsidRPr="00F50E68">
        <w:rPr>
          <w:rFonts w:ascii="Verdana" w:hAnsi="Verdana"/>
          <w:color w:val="156082" w:themeColor="accent1"/>
        </w:rPr>
        <w:t xml:space="preserve"> </w:t>
      </w:r>
      <w:r w:rsidRPr="00F50E68">
        <w:rPr>
          <w:rFonts w:ascii="Verdana" w:hAnsi="Verdana"/>
        </w:rPr>
        <w:t xml:space="preserve">Instagram: </w:t>
      </w:r>
      <w:r w:rsidRPr="00F50E68">
        <w:rPr>
          <w:rFonts w:ascii="Verdana" w:hAnsi="Verdana"/>
          <w:color w:val="156082" w:themeColor="accent1"/>
          <w:u w:val="single"/>
        </w:rPr>
        <w:t>@colombiacompraeficiente_cce</w:t>
      </w:r>
    </w:p>
    <w:p w14:paraId="640BE759" w14:textId="77777777" w:rsidR="000F6F93" w:rsidRPr="00F50E68" w:rsidRDefault="000F6F93" w:rsidP="000F6F93">
      <w:pPr>
        <w:widowControl w:val="0"/>
        <w:autoSpaceDE w:val="0"/>
        <w:autoSpaceDN w:val="0"/>
        <w:spacing w:after="0" w:line="276" w:lineRule="auto"/>
        <w:jc w:val="both"/>
        <w:rPr>
          <w:rFonts w:ascii="Verdana" w:hAnsi="Verdana" w:cs="Arial"/>
        </w:rPr>
      </w:pPr>
    </w:p>
    <w:p w14:paraId="37B71A59" w14:textId="77777777" w:rsidR="000F6F93" w:rsidRPr="00F50E68" w:rsidRDefault="000F6F93" w:rsidP="000F6F93">
      <w:pPr>
        <w:widowControl w:val="0"/>
        <w:autoSpaceDE w:val="0"/>
        <w:autoSpaceDN w:val="0"/>
        <w:spacing w:after="0" w:line="276" w:lineRule="auto"/>
        <w:jc w:val="both"/>
        <w:rPr>
          <w:rFonts w:ascii="Verdana" w:hAnsi="Verdana" w:cs="Arial"/>
          <w:lang w:val="es-ES_tradnl"/>
        </w:rPr>
      </w:pPr>
      <w:r w:rsidRPr="00F50E68">
        <w:rPr>
          <w:rFonts w:ascii="Verdana" w:hAnsi="Verdana" w:cs="Arial"/>
        </w:rPr>
        <w:t xml:space="preserve">Este concepto tiene el alcance previsto en el artículo 28 del Código de Procedimiento Administrativo y de lo Contencioso Administrativo </w:t>
      </w:r>
      <w:r w:rsidRPr="00F50E68">
        <w:rPr>
          <w:rFonts w:ascii="Verdana" w:hAnsi="Verdana" w:cs="Arial"/>
          <w:lang w:val="es-ES_tradnl"/>
        </w:rPr>
        <w:t>y las expresiones aquí utilizadas con mayúscula inicial deben ser entendidas con el significado que les otorga el artículo 2.2.1.1.1.3.1. del Decreto 1082 de 2015.</w:t>
      </w:r>
    </w:p>
    <w:p w14:paraId="067A9A15" w14:textId="77777777" w:rsidR="000F6F93" w:rsidRPr="00F50E68" w:rsidRDefault="000F6F93" w:rsidP="000F6F93">
      <w:pPr>
        <w:widowControl w:val="0"/>
        <w:autoSpaceDE w:val="0"/>
        <w:autoSpaceDN w:val="0"/>
        <w:spacing w:after="0" w:line="276" w:lineRule="auto"/>
        <w:jc w:val="both"/>
        <w:rPr>
          <w:rFonts w:ascii="Verdana" w:hAnsi="Verdana" w:cs="Arial"/>
        </w:rPr>
      </w:pPr>
    </w:p>
    <w:p w14:paraId="2875D1A0" w14:textId="77777777" w:rsidR="000F6F93" w:rsidRPr="00F50E68" w:rsidRDefault="000F6F93" w:rsidP="000F6F93">
      <w:pPr>
        <w:spacing w:after="0" w:line="240" w:lineRule="auto"/>
        <w:rPr>
          <w:rFonts w:ascii="Verdana" w:hAnsi="Verdana" w:cs="Arial"/>
          <w:lang w:eastAsia="es-CO"/>
        </w:rPr>
      </w:pPr>
      <w:r w:rsidRPr="00F50E68">
        <w:rPr>
          <w:rFonts w:ascii="Verdana" w:eastAsia="Times New Roman" w:hAnsi="Verdana" w:cs="Arial"/>
          <w:lang w:eastAsia="es-CO"/>
        </w:rPr>
        <w:t>Atentamente,</w:t>
      </w:r>
      <w:r w:rsidRPr="00F50E68">
        <w:rPr>
          <w:rFonts w:ascii="Verdana" w:hAnsi="Verdana" w:cs="Arial"/>
          <w:lang w:eastAsia="es-CO"/>
        </w:rPr>
        <w:t xml:space="preserve"> </w:t>
      </w:r>
    </w:p>
    <w:p w14:paraId="4AF7B13B" w14:textId="351F77E2" w:rsidR="000F6F93" w:rsidRPr="00F50E68" w:rsidRDefault="00981A92" w:rsidP="000F6F93">
      <w:pPr>
        <w:spacing w:line="276" w:lineRule="auto"/>
        <w:jc w:val="center"/>
        <w:rPr>
          <w:rFonts w:ascii="Verdana" w:hAnsi="Verdana" w:cs="Arial"/>
          <w:lang w:val="es-ES_tradnl" w:eastAsia="es-CO"/>
        </w:rPr>
      </w:pPr>
      <w:r>
        <w:rPr>
          <w:noProof/>
        </w:rPr>
        <w:drawing>
          <wp:inline distT="0" distB="0" distL="0" distR="0" wp14:anchorId="051578DE" wp14:editId="3A38EE6C">
            <wp:extent cx="3771900" cy="1409700"/>
            <wp:effectExtent l="0" t="0" r="0" b="0"/>
            <wp:docPr id="10686989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0F6F93" w:rsidRPr="00F50E68" w14:paraId="55AB8E03" w14:textId="77777777" w:rsidTr="001128BB">
        <w:trPr>
          <w:trHeight w:val="286"/>
        </w:trPr>
        <w:tc>
          <w:tcPr>
            <w:tcW w:w="901" w:type="dxa"/>
            <w:vAlign w:val="center"/>
            <w:hideMark/>
          </w:tcPr>
          <w:p w14:paraId="1B56F090"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71578CC4"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Nasly Yeana Mosquera Rivas</w:t>
            </w:r>
          </w:p>
          <w:p w14:paraId="46C02DD8"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Analista T2–06 de la Subdirección de Gestión Contractual</w:t>
            </w:r>
          </w:p>
        </w:tc>
      </w:tr>
      <w:tr w:rsidR="000F6F93" w:rsidRPr="00F50E68" w14:paraId="2E97B4F6" w14:textId="77777777" w:rsidTr="001128BB">
        <w:trPr>
          <w:trHeight w:val="299"/>
        </w:trPr>
        <w:tc>
          <w:tcPr>
            <w:tcW w:w="901" w:type="dxa"/>
            <w:vAlign w:val="center"/>
          </w:tcPr>
          <w:p w14:paraId="3173DB10"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4A7C3B6" w14:textId="77777777" w:rsidR="000F6F93" w:rsidRPr="00F50E68" w:rsidRDefault="000F6F93" w:rsidP="001128BB">
            <w:pPr>
              <w:rPr>
                <w:rFonts w:ascii="Verdana" w:hAnsi="Verdana" w:cs="Arial"/>
                <w:sz w:val="14"/>
                <w:szCs w:val="14"/>
                <w:lang w:eastAsia="es-ES"/>
              </w:rPr>
            </w:pPr>
            <w:r>
              <w:rPr>
                <w:rFonts w:ascii="Verdana" w:hAnsi="Verdana" w:cs="Arial"/>
                <w:sz w:val="14"/>
                <w:szCs w:val="14"/>
                <w:lang w:eastAsia="es-ES"/>
              </w:rPr>
              <w:t>Juan David Cárdenas Cabeza</w:t>
            </w:r>
          </w:p>
          <w:p w14:paraId="730C0138"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Contratista de la Subdirección de Gestión Contractual</w:t>
            </w:r>
          </w:p>
        </w:tc>
      </w:tr>
      <w:tr w:rsidR="000F6F93" w:rsidRPr="00F50E68" w14:paraId="7A57A034" w14:textId="77777777" w:rsidTr="001128BB">
        <w:trPr>
          <w:trHeight w:val="272"/>
        </w:trPr>
        <w:tc>
          <w:tcPr>
            <w:tcW w:w="901" w:type="dxa"/>
            <w:vAlign w:val="center"/>
            <w:hideMark/>
          </w:tcPr>
          <w:p w14:paraId="0D05FF56"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3A214209"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Carolina Quintero Gacharná</w:t>
            </w:r>
          </w:p>
          <w:p w14:paraId="28EF2B2A" w14:textId="77777777" w:rsidR="000F6F93" w:rsidRPr="00F50E68" w:rsidRDefault="000F6F93" w:rsidP="001128BB">
            <w:pPr>
              <w:rPr>
                <w:rFonts w:ascii="Verdana" w:hAnsi="Verdana" w:cs="Arial"/>
                <w:sz w:val="14"/>
                <w:szCs w:val="14"/>
                <w:lang w:eastAsia="es-ES"/>
              </w:rPr>
            </w:pPr>
            <w:r w:rsidRPr="00F50E68">
              <w:rPr>
                <w:rFonts w:ascii="Verdana" w:hAnsi="Verdana" w:cs="Arial"/>
                <w:sz w:val="14"/>
                <w:szCs w:val="14"/>
                <w:lang w:eastAsia="es-ES"/>
              </w:rPr>
              <w:t>Subdirectora de Gestión Contractual ANCP – CCE</w:t>
            </w:r>
          </w:p>
        </w:tc>
      </w:tr>
    </w:tbl>
    <w:p w14:paraId="0EA9E2B4" w14:textId="77777777" w:rsidR="000F6F93" w:rsidRPr="00F50E68" w:rsidRDefault="000F6F93" w:rsidP="000F6F93">
      <w:pPr>
        <w:spacing w:after="0" w:line="240" w:lineRule="auto"/>
        <w:rPr>
          <w:rFonts w:ascii="Verdana" w:eastAsia="Times New Roman" w:hAnsi="Verdana" w:cs="Arial"/>
          <w:sz w:val="24"/>
          <w:szCs w:val="24"/>
          <w:lang w:eastAsia="es-ES"/>
        </w:rPr>
      </w:pPr>
    </w:p>
    <w:p w14:paraId="266AD7F4" w14:textId="77777777" w:rsidR="000F6F93" w:rsidRPr="00F50E68" w:rsidRDefault="000F6F93" w:rsidP="000F6F93">
      <w:pPr>
        <w:rPr>
          <w:rFonts w:ascii="Verdana" w:hAnsi="Verdana"/>
        </w:rPr>
      </w:pPr>
    </w:p>
    <w:p w14:paraId="6BEB66D5" w14:textId="77777777" w:rsidR="000F6F93" w:rsidRPr="00F50E68" w:rsidRDefault="000F6F93" w:rsidP="000F6F93">
      <w:pPr>
        <w:spacing w:after="0"/>
        <w:jc w:val="both"/>
        <w:rPr>
          <w:rFonts w:ascii="Verdana" w:hAnsi="Verdana"/>
        </w:rPr>
      </w:pPr>
    </w:p>
    <w:p w14:paraId="40D4E640" w14:textId="77777777" w:rsidR="000F6F93" w:rsidRPr="000E2B93" w:rsidRDefault="000F6F93" w:rsidP="000F6F93">
      <w:pPr>
        <w:spacing w:after="0" w:line="240" w:lineRule="auto"/>
        <w:jc w:val="both"/>
        <w:textAlignment w:val="baseline"/>
        <w:rPr>
          <w:rFonts w:ascii="Verdana" w:eastAsia="Verdana" w:hAnsi="Verdana" w:cs="Verdana"/>
          <w:lang w:eastAsia="es-CO"/>
        </w:rPr>
      </w:pPr>
    </w:p>
    <w:p w14:paraId="4291FC3E" w14:textId="25DD4A7A" w:rsidR="000F6F93" w:rsidRPr="000E2B93" w:rsidRDefault="000F6F93" w:rsidP="000F6F9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E43F6FF" w14:textId="77777777" w:rsidR="000F6F93" w:rsidRDefault="000F6F93"/>
    <w:sectPr w:rsidR="000F6F93" w:rsidSect="000F6F93">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0D006" w14:textId="77777777" w:rsidR="005C528F" w:rsidRDefault="005C528F" w:rsidP="000F6F93">
      <w:pPr>
        <w:spacing w:after="0" w:line="240" w:lineRule="auto"/>
      </w:pPr>
      <w:r>
        <w:separator/>
      </w:r>
    </w:p>
  </w:endnote>
  <w:endnote w:type="continuationSeparator" w:id="0">
    <w:p w14:paraId="2543B62F" w14:textId="77777777" w:rsidR="005C528F" w:rsidRDefault="005C528F" w:rsidP="000F6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AC47C" w14:textId="77777777" w:rsidR="000F6F93" w:rsidRDefault="000F6F93">
    <w:pPr>
      <w:pStyle w:val="Piedepgina"/>
    </w:pPr>
  </w:p>
  <w:p w14:paraId="6D40CF17" w14:textId="77777777" w:rsidR="000F6F93" w:rsidRPr="00174B77" w:rsidRDefault="000F6F93"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A55A3E8" w14:textId="77777777" w:rsidR="000F6F93" w:rsidRDefault="000F6F93"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727DF38A" w14:textId="77777777" w:rsidR="000F6F93" w:rsidRPr="00E41027" w:rsidRDefault="000F6F93"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64F4E36D" w14:textId="77777777" w:rsidR="000F6F93" w:rsidRDefault="000F6F93"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52BB2" w14:textId="77777777" w:rsidR="005C528F" w:rsidRDefault="005C528F" w:rsidP="000F6F93">
      <w:pPr>
        <w:spacing w:after="0" w:line="240" w:lineRule="auto"/>
      </w:pPr>
      <w:r>
        <w:separator/>
      </w:r>
    </w:p>
  </w:footnote>
  <w:footnote w:type="continuationSeparator" w:id="0">
    <w:p w14:paraId="58A97430" w14:textId="77777777" w:rsidR="005C528F" w:rsidRDefault="005C528F" w:rsidP="000F6F93">
      <w:pPr>
        <w:spacing w:after="0" w:line="240" w:lineRule="auto"/>
      </w:pPr>
      <w:r>
        <w:continuationSeparator/>
      </w:r>
    </w:p>
  </w:footnote>
  <w:footnote w:id="1">
    <w:p w14:paraId="1D947CBF" w14:textId="77777777" w:rsidR="000F6F93" w:rsidRPr="005F7396" w:rsidRDefault="000F6F93" w:rsidP="000F6F93">
      <w:pPr>
        <w:pStyle w:val="Textonotapie"/>
        <w:ind w:firstLine="708"/>
        <w:jc w:val="both"/>
        <w:rPr>
          <w:rFonts w:ascii="Verdana" w:hAnsi="Verdana" w:cs="Arial"/>
          <w:sz w:val="18"/>
          <w:szCs w:val="18"/>
        </w:rPr>
      </w:pPr>
      <w:r w:rsidRPr="005F7396">
        <w:rPr>
          <w:rStyle w:val="Refdenotaalpie"/>
          <w:rFonts w:ascii="Verdana" w:hAnsi="Verdana" w:cs="Arial"/>
          <w:sz w:val="18"/>
          <w:szCs w:val="18"/>
        </w:rPr>
        <w:footnoteRef/>
      </w:r>
      <w:r w:rsidRPr="005F7396">
        <w:rPr>
          <w:rFonts w:ascii="Verdana" w:hAnsi="Verdana" w:cs="Arial"/>
          <w:sz w:val="18"/>
          <w:szCs w:val="18"/>
        </w:rPr>
        <w:t xml:space="preserve"> Consejo de Estado. Sección Segunda. Sentencia del 9 de septiembre de 2021. Expediente No. 05001-23-33-000-2013-01143-01(1317-16). M.P. Dra. Sandra Lisset Ibarra Vélez.</w:t>
      </w:r>
    </w:p>
    <w:p w14:paraId="64826BD3" w14:textId="77777777" w:rsidR="000F6F93" w:rsidRPr="005F7396" w:rsidRDefault="000F6F93" w:rsidP="000F6F93">
      <w:pPr>
        <w:pStyle w:val="Textonotapie"/>
        <w:ind w:firstLine="708"/>
        <w:jc w:val="both"/>
        <w:rPr>
          <w:rFonts w:ascii="Verdana" w:hAnsi="Verdana" w:cs="Arial"/>
          <w:sz w:val="18"/>
          <w:szCs w:val="18"/>
        </w:rPr>
      </w:pPr>
    </w:p>
  </w:footnote>
  <w:footnote w:id="2">
    <w:p w14:paraId="7A6F5F95" w14:textId="77777777" w:rsidR="000F6F93" w:rsidRPr="005F7396" w:rsidRDefault="000F6F93" w:rsidP="000F6F93">
      <w:pPr>
        <w:pStyle w:val="Textonotapie"/>
        <w:ind w:firstLine="708"/>
        <w:jc w:val="both"/>
        <w:rPr>
          <w:rFonts w:ascii="Verdana" w:hAnsi="Verdana" w:cs="Arial"/>
          <w:sz w:val="18"/>
          <w:szCs w:val="18"/>
          <w:lang w:val="es-ES_tradnl"/>
        </w:rPr>
      </w:pPr>
      <w:r w:rsidRPr="005F7396">
        <w:rPr>
          <w:rStyle w:val="Refdenotaalpie"/>
          <w:rFonts w:ascii="Verdana" w:hAnsi="Verdana" w:cs="Arial"/>
          <w:sz w:val="18"/>
          <w:szCs w:val="18"/>
        </w:rPr>
        <w:footnoteRef/>
      </w:r>
      <w:r w:rsidRPr="005F7396">
        <w:rPr>
          <w:rFonts w:ascii="Verdana" w:hAnsi="Verdana" w:cs="Arial"/>
          <w:sz w:val="18"/>
          <w:szCs w:val="18"/>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1DB2C07B" w14:textId="77777777" w:rsidR="000F6F93" w:rsidRPr="005F7396" w:rsidRDefault="000F6F93" w:rsidP="000F6F93">
      <w:pPr>
        <w:pStyle w:val="Textonotapie"/>
        <w:ind w:firstLine="708"/>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6D8EF124" w14:textId="77777777" w:rsidR="000F6F93" w:rsidRPr="005F7396" w:rsidRDefault="000F6F93" w:rsidP="000F6F93">
      <w:pPr>
        <w:pStyle w:val="Textonotapie"/>
        <w:ind w:firstLine="709"/>
        <w:jc w:val="both"/>
        <w:rPr>
          <w:rFonts w:ascii="Verdana" w:hAnsi="Verdana" w:cs="Arial"/>
          <w:sz w:val="18"/>
          <w:szCs w:val="18"/>
          <w:lang w:val="es-ES"/>
        </w:rPr>
      </w:pPr>
    </w:p>
  </w:footnote>
  <w:footnote w:id="4">
    <w:p w14:paraId="1FC5F6B4"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8961E5A" w14:textId="77777777" w:rsidR="000F6F93" w:rsidRPr="005F7396" w:rsidRDefault="000F6F93" w:rsidP="000F6F93">
      <w:pPr>
        <w:pStyle w:val="Textonotapie"/>
        <w:ind w:firstLine="709"/>
        <w:jc w:val="both"/>
        <w:rPr>
          <w:rFonts w:ascii="Verdana" w:hAnsi="Verdana" w:cs="Arial"/>
          <w:sz w:val="18"/>
          <w:szCs w:val="18"/>
          <w:lang w:val="es-ES"/>
        </w:rPr>
      </w:pPr>
    </w:p>
    <w:p w14:paraId="021716B3"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ACE86C0" w14:textId="77777777" w:rsidR="000F6F93" w:rsidRPr="005F7396" w:rsidRDefault="000F6F93" w:rsidP="000F6F93">
      <w:pPr>
        <w:pStyle w:val="Textonotapie"/>
        <w:ind w:firstLine="709"/>
        <w:jc w:val="both"/>
        <w:rPr>
          <w:rFonts w:ascii="Verdana" w:hAnsi="Verdana" w:cs="Arial"/>
          <w:sz w:val="18"/>
          <w:szCs w:val="18"/>
          <w:lang w:val="es-ES"/>
        </w:rPr>
      </w:pPr>
    </w:p>
    <w:p w14:paraId="701456A8"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El Gobierno nacional reglamentará el mecanismo para realizar la mensualización de que trata el presente artículo.</w:t>
      </w:r>
    </w:p>
    <w:p w14:paraId="574D52E1" w14:textId="77777777" w:rsidR="000F6F93" w:rsidRPr="005F7396" w:rsidRDefault="000F6F93" w:rsidP="000F6F93">
      <w:pPr>
        <w:pStyle w:val="Textonotapie"/>
        <w:ind w:firstLine="709"/>
        <w:jc w:val="both"/>
        <w:rPr>
          <w:rFonts w:ascii="Verdana" w:hAnsi="Verdana" w:cs="Arial"/>
          <w:sz w:val="18"/>
          <w:szCs w:val="18"/>
          <w:lang w:val="pt-BR"/>
        </w:rPr>
      </w:pPr>
      <w:r w:rsidRPr="005F7396">
        <w:rPr>
          <w:rFonts w:ascii="Verdana" w:hAnsi="Verdana" w:cs="Arial"/>
          <w:sz w:val="18"/>
          <w:szCs w:val="18"/>
          <w:lang w:val="pt-BR"/>
        </w:rPr>
        <w:t>[…]”.</w:t>
      </w:r>
    </w:p>
  </w:footnote>
  <w:footnote w:id="5">
    <w:p w14:paraId="4C7178A6"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lang w:val="pt-BR"/>
        </w:rPr>
        <w:t xml:space="preserve"> Corte Constitucional. Sentencia C-154 de 1997. </w:t>
      </w:r>
      <w:r w:rsidRPr="005F7396">
        <w:rPr>
          <w:rFonts w:ascii="Verdana" w:hAnsi="Verdana" w:cs="Arial"/>
          <w:sz w:val="18"/>
          <w:szCs w:val="18"/>
          <w:lang w:val="es-ES"/>
        </w:rPr>
        <w:t>MP: Hernando Herrera Vergara.</w:t>
      </w:r>
    </w:p>
  </w:footnote>
  <w:footnote w:id="6">
    <w:p w14:paraId="382E5C43" w14:textId="77777777" w:rsidR="000F6F93" w:rsidRPr="005F7396" w:rsidRDefault="000F6F93" w:rsidP="000F6F93">
      <w:pPr>
        <w:pStyle w:val="Textonotapie"/>
        <w:ind w:firstLine="709"/>
        <w:jc w:val="both"/>
        <w:rPr>
          <w:rFonts w:ascii="Verdana" w:hAnsi="Verdana" w:cs="Arial"/>
          <w:sz w:val="18"/>
          <w:szCs w:val="18"/>
        </w:rPr>
      </w:pPr>
    </w:p>
    <w:p w14:paraId="659635A7"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Ibíd.</w:t>
      </w:r>
    </w:p>
    <w:p w14:paraId="4E95342A" w14:textId="77777777" w:rsidR="000F6F93" w:rsidRPr="005F7396" w:rsidRDefault="000F6F93" w:rsidP="000F6F93">
      <w:pPr>
        <w:pStyle w:val="Textonotapie"/>
        <w:ind w:firstLine="709"/>
        <w:jc w:val="both"/>
        <w:rPr>
          <w:rFonts w:ascii="Verdana" w:hAnsi="Verdana" w:cs="Arial"/>
          <w:sz w:val="18"/>
          <w:szCs w:val="18"/>
          <w:lang w:val="es-ES"/>
        </w:rPr>
      </w:pPr>
    </w:p>
  </w:footnote>
  <w:footnote w:id="7">
    <w:p w14:paraId="4CFF09B2" w14:textId="77777777" w:rsidR="000F6F93" w:rsidRPr="005F7396" w:rsidRDefault="000F6F93" w:rsidP="000F6F93">
      <w:pPr>
        <w:pStyle w:val="Textonotapie"/>
        <w:ind w:firstLine="709"/>
        <w:jc w:val="both"/>
        <w:rPr>
          <w:rFonts w:ascii="Verdana" w:hAnsi="Verdana" w:cs="Arial"/>
          <w:sz w:val="18"/>
          <w:szCs w:val="18"/>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color w:val="000000" w:themeColor="text1"/>
          <w:sz w:val="18"/>
          <w:szCs w:val="18"/>
          <w:lang w:val="es-ES"/>
        </w:rPr>
        <w:t>CONSEJO DE ESTADO. Sección Tercera. Subsección C. Sentencia de Unificación del 2 de diciembre de 2013. Exp. 41.719. C.P. Jaime Orlando Santofimio Gamboa.</w:t>
      </w:r>
      <w:r w:rsidRPr="005F7396">
        <w:rPr>
          <w:rFonts w:ascii="Verdana" w:hAnsi="Verdana" w:cs="Arial"/>
          <w:sz w:val="18"/>
          <w:szCs w:val="18"/>
        </w:rPr>
        <w:t xml:space="preserve"> </w:t>
      </w:r>
    </w:p>
    <w:p w14:paraId="6F23D4B7" w14:textId="77777777" w:rsidR="000F6F93" w:rsidRPr="005F7396" w:rsidRDefault="000F6F93" w:rsidP="000F6F93">
      <w:pPr>
        <w:pStyle w:val="Textonotapie"/>
        <w:ind w:firstLine="709"/>
        <w:jc w:val="both"/>
        <w:rPr>
          <w:rFonts w:ascii="Verdana" w:hAnsi="Verdana" w:cs="Arial"/>
          <w:sz w:val="18"/>
          <w:szCs w:val="18"/>
        </w:rPr>
      </w:pPr>
    </w:p>
    <w:p w14:paraId="4CA475A1"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C4172C9" w14:textId="77777777" w:rsidR="000F6F93" w:rsidRPr="005F7396" w:rsidRDefault="000F6F93" w:rsidP="000F6F93">
      <w:pPr>
        <w:pStyle w:val="Textonotapie"/>
        <w:ind w:firstLine="709"/>
        <w:jc w:val="both"/>
        <w:rPr>
          <w:rFonts w:ascii="Verdana" w:hAnsi="Verdana" w:cs="Arial"/>
          <w:sz w:val="18"/>
          <w:szCs w:val="18"/>
          <w:lang w:val="es-ES"/>
        </w:rPr>
      </w:pPr>
    </w:p>
    <w:p w14:paraId="55DD65EE"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299C3E4B" w14:textId="77777777" w:rsidR="000F6F93" w:rsidRPr="005F7396" w:rsidRDefault="000F6F93" w:rsidP="000F6F93">
      <w:pPr>
        <w:pStyle w:val="Textonotapie"/>
        <w:ind w:firstLine="709"/>
        <w:jc w:val="both"/>
        <w:rPr>
          <w:rFonts w:ascii="Verdana" w:hAnsi="Verdana" w:cs="Arial"/>
          <w:sz w:val="18"/>
          <w:szCs w:val="18"/>
          <w:lang w:val="es-ES"/>
        </w:rPr>
      </w:pPr>
    </w:p>
    <w:p w14:paraId="6A0E8D20"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Ninguna orden del interventor de una obra podrá darse verbalmente. Es obligatorio para el interventor entregar por escrito sus órdenes o sugerencias y ellas deben enmarcarse dentro de los términos del respectivo contrato”.</w:t>
      </w:r>
    </w:p>
    <w:p w14:paraId="4B48E236" w14:textId="77777777" w:rsidR="000F6F93" w:rsidRPr="005F7396" w:rsidRDefault="000F6F93" w:rsidP="000F6F93">
      <w:pPr>
        <w:pStyle w:val="Textonotapie"/>
        <w:ind w:firstLine="709"/>
        <w:jc w:val="both"/>
        <w:rPr>
          <w:rFonts w:ascii="Verdana" w:hAnsi="Verdana" w:cs="Arial"/>
          <w:sz w:val="18"/>
          <w:szCs w:val="18"/>
          <w:lang w:val="es-ES"/>
        </w:rPr>
      </w:pPr>
    </w:p>
  </w:footnote>
  <w:footnote w:id="8">
    <w:p w14:paraId="461B0670"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Así lo dispone el artículo 2.2.1.2.1.4.1. del Decreto 1082 de 2015: “La Entidad Estatal debe señalar en un acto administrativo la justificación para contratar bajo la modalidad de contratación directa, el cual debe contener:</w:t>
      </w:r>
    </w:p>
    <w:p w14:paraId="15D2C1D8"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1. La causal que invoca para contratar directamente.</w:t>
      </w:r>
    </w:p>
    <w:p w14:paraId="51633610"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2. El objeto del contrato.</w:t>
      </w:r>
    </w:p>
    <w:p w14:paraId="661DDF4C"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3. El presupuesto para la contratación y las condiciones que exigirá al contratista.</w:t>
      </w:r>
    </w:p>
    <w:p w14:paraId="230C5E7F"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4. El lugar en el cual los interesados pueden consultar los estudios y documentos previos.</w:t>
      </w:r>
    </w:p>
    <w:p w14:paraId="2C91F997" w14:textId="77777777" w:rsidR="000F6F93" w:rsidRPr="005F7396" w:rsidRDefault="000F6F93" w:rsidP="000F6F93">
      <w:pPr>
        <w:pStyle w:val="Textonotapie"/>
        <w:ind w:firstLine="709"/>
        <w:jc w:val="both"/>
        <w:rPr>
          <w:rFonts w:ascii="Verdana" w:hAnsi="Verdana" w:cs="Arial"/>
          <w:sz w:val="18"/>
          <w:szCs w:val="18"/>
          <w:lang w:val="es-ES"/>
        </w:rPr>
      </w:pPr>
    </w:p>
    <w:p w14:paraId="7720EC52"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4516F728" w14:textId="77777777" w:rsidR="000F6F93" w:rsidRPr="005F7396" w:rsidRDefault="000F6F93" w:rsidP="000F6F93">
      <w:pPr>
        <w:pStyle w:val="Textonotapie"/>
        <w:jc w:val="both"/>
        <w:rPr>
          <w:rFonts w:ascii="Verdana" w:hAnsi="Verdana" w:cs="Arial"/>
          <w:sz w:val="18"/>
          <w:szCs w:val="18"/>
        </w:rPr>
      </w:pPr>
    </w:p>
    <w:p w14:paraId="1D148CA1"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 xml:space="preserve">La norma expresa: “Art. 14. </w:t>
      </w:r>
      <w:r w:rsidRPr="005F7396">
        <w:rPr>
          <w:rFonts w:ascii="Verdana" w:hAnsi="Verdana" w:cs="Arial"/>
          <w:sz w:val="18"/>
          <w:szCs w:val="18"/>
        </w:rPr>
        <w:t>P</w:t>
      </w:r>
      <w:r w:rsidRPr="005F7396">
        <w:rPr>
          <w:rFonts w:ascii="Verdana" w:hAnsi="Verdana" w:cs="Arial"/>
          <w:sz w:val="18"/>
          <w:szCs w:val="18"/>
          <w:lang w:val="es-ES"/>
        </w:rPr>
        <w:t>ara el cumplimiento de los fines de la contratación, las entidades estatales al celebrar un contrato:</w:t>
      </w:r>
    </w:p>
    <w:p w14:paraId="3863C0D3"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w:t>
      </w:r>
    </w:p>
    <w:p w14:paraId="65E92B4D"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D2F2235" w14:textId="77777777" w:rsidR="000F6F93" w:rsidRPr="005F7396" w:rsidRDefault="000F6F93" w:rsidP="000F6F93">
      <w:pPr>
        <w:pStyle w:val="Textonotapie"/>
        <w:ind w:firstLine="709"/>
        <w:jc w:val="both"/>
        <w:rPr>
          <w:rFonts w:ascii="Verdana" w:hAnsi="Verdana" w:cs="Arial"/>
          <w:sz w:val="18"/>
          <w:szCs w:val="18"/>
          <w:lang w:val="es-ES"/>
        </w:rPr>
      </w:pPr>
    </w:p>
    <w:p w14:paraId="5440210C"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Las entidades estatales podrán pactar estas cláusulas en los contratos de suministro y de prestación de servicios.</w:t>
      </w:r>
    </w:p>
    <w:p w14:paraId="3B40A260" w14:textId="77777777" w:rsidR="000F6F93" w:rsidRPr="005F7396" w:rsidRDefault="000F6F93" w:rsidP="000F6F93">
      <w:pPr>
        <w:pStyle w:val="Textonotapie"/>
        <w:ind w:firstLine="709"/>
        <w:jc w:val="both"/>
        <w:rPr>
          <w:rFonts w:ascii="Verdana" w:hAnsi="Verdana" w:cs="Arial"/>
          <w:sz w:val="18"/>
          <w:szCs w:val="18"/>
          <w:lang w:val="es-ES"/>
        </w:rPr>
      </w:pPr>
      <w:r w:rsidRPr="005F7396">
        <w:rPr>
          <w:rFonts w:ascii="Verdana" w:hAnsi="Verdana" w:cs="Arial"/>
          <w:sz w:val="18"/>
          <w:szCs w:val="18"/>
          <w:lang w:val="es-ES"/>
        </w:rPr>
        <w:t>[…]”.</w:t>
      </w:r>
    </w:p>
    <w:p w14:paraId="39A20E9F" w14:textId="77777777" w:rsidR="000F6F93" w:rsidRPr="005F7396" w:rsidRDefault="000F6F93" w:rsidP="000F6F93">
      <w:pPr>
        <w:pStyle w:val="Textonotapie"/>
        <w:ind w:firstLine="709"/>
        <w:jc w:val="both"/>
        <w:rPr>
          <w:rFonts w:ascii="Verdana" w:hAnsi="Verdana" w:cs="Arial"/>
          <w:sz w:val="18"/>
          <w:szCs w:val="18"/>
          <w:lang w:val="es-ES"/>
        </w:rPr>
      </w:pPr>
    </w:p>
  </w:footnote>
  <w:footnote w:id="10">
    <w:p w14:paraId="1917CA1F"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La norma dispone: “La liquidación a que se refiere el presente artículo no será obligatoria en los contratos de prestación de servicios profesionales y de apoyo a la gestión”.</w:t>
      </w:r>
    </w:p>
    <w:p w14:paraId="40B1D15E" w14:textId="77777777" w:rsidR="000F6F93" w:rsidRPr="005F7396" w:rsidRDefault="000F6F93" w:rsidP="000F6F93">
      <w:pPr>
        <w:pStyle w:val="Textonotapie"/>
        <w:ind w:firstLine="709"/>
        <w:jc w:val="both"/>
        <w:rPr>
          <w:rFonts w:ascii="Verdana" w:hAnsi="Verdana" w:cs="Arial"/>
          <w:sz w:val="18"/>
          <w:szCs w:val="18"/>
          <w:lang w:val="es-ES"/>
        </w:rPr>
      </w:pPr>
    </w:p>
  </w:footnote>
  <w:footnote w:id="11">
    <w:p w14:paraId="00B9CF48" w14:textId="77777777" w:rsidR="000F6F93" w:rsidRPr="005F7396" w:rsidRDefault="000F6F93" w:rsidP="000F6F93">
      <w:pPr>
        <w:pStyle w:val="Textonotapie"/>
        <w:ind w:firstLine="709"/>
        <w:jc w:val="both"/>
        <w:rPr>
          <w:rFonts w:ascii="Verdana" w:hAnsi="Verdana" w:cs="Arial"/>
          <w:sz w:val="18"/>
          <w:szCs w:val="18"/>
        </w:rPr>
      </w:pPr>
      <w:r w:rsidRPr="005F7396">
        <w:rPr>
          <w:rStyle w:val="Refdenotaalpie"/>
          <w:rFonts w:ascii="Verdana" w:hAnsi="Verdana" w:cs="Arial"/>
          <w:sz w:val="18"/>
          <w:szCs w:val="18"/>
        </w:rPr>
        <w:footnoteRef/>
      </w:r>
      <w:r w:rsidRPr="005F7396">
        <w:rPr>
          <w:rFonts w:ascii="Verdana" w:hAnsi="Verdana" w:cs="Arial"/>
          <w:sz w:val="18"/>
          <w:szCs w:val="18"/>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3519F3F" w14:textId="77777777" w:rsidR="000F6F93" w:rsidRPr="005F7396" w:rsidRDefault="000F6F93" w:rsidP="000F6F93">
      <w:pPr>
        <w:pStyle w:val="Textonotapie"/>
        <w:ind w:firstLine="709"/>
        <w:jc w:val="both"/>
        <w:rPr>
          <w:rFonts w:ascii="Verdana" w:hAnsi="Verdana" w:cs="Arial"/>
          <w:sz w:val="18"/>
          <w:szCs w:val="18"/>
        </w:rPr>
      </w:pPr>
    </w:p>
    <w:p w14:paraId="1D572688" w14:textId="77777777" w:rsidR="000F6F93" w:rsidRPr="005F7396" w:rsidRDefault="000F6F93" w:rsidP="000F6F93">
      <w:pPr>
        <w:pStyle w:val="Textonotapie"/>
        <w:ind w:firstLine="709"/>
        <w:jc w:val="both"/>
        <w:rPr>
          <w:rFonts w:ascii="Verdana" w:hAnsi="Verdana" w:cs="Arial"/>
          <w:sz w:val="18"/>
          <w:szCs w:val="18"/>
        </w:rPr>
      </w:pPr>
      <w:r w:rsidRPr="005F7396">
        <w:rPr>
          <w:rFonts w:ascii="Verdana" w:hAnsi="Verdana" w:cs="Arial"/>
          <w:sz w:val="18"/>
          <w:szCs w:val="18"/>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36DEAFA" w14:textId="77777777" w:rsidR="000F6F93" w:rsidRPr="005F7396" w:rsidRDefault="000F6F93" w:rsidP="000F6F93">
      <w:pPr>
        <w:pStyle w:val="Textonotapie"/>
        <w:ind w:firstLine="709"/>
        <w:jc w:val="both"/>
        <w:rPr>
          <w:rFonts w:ascii="Verdana" w:hAnsi="Verdana" w:cs="Arial"/>
          <w:sz w:val="18"/>
          <w:szCs w:val="18"/>
        </w:rPr>
      </w:pPr>
      <w:r w:rsidRPr="005F7396">
        <w:rPr>
          <w:rFonts w:ascii="Verdana" w:hAnsi="Verdana" w:cs="Arial"/>
          <w:sz w:val="18"/>
          <w:szCs w:val="18"/>
        </w:rPr>
        <w:t>[…]”.</w:t>
      </w:r>
    </w:p>
    <w:p w14:paraId="1ADC3BCF" w14:textId="77777777" w:rsidR="000F6F93" w:rsidRPr="005F7396" w:rsidRDefault="000F6F93" w:rsidP="000F6F93">
      <w:pPr>
        <w:pStyle w:val="Textonotapie"/>
        <w:ind w:firstLine="709"/>
        <w:jc w:val="both"/>
        <w:rPr>
          <w:rFonts w:ascii="Verdana" w:hAnsi="Verdana" w:cs="Arial"/>
          <w:sz w:val="18"/>
          <w:szCs w:val="18"/>
          <w:lang w:val="es-ES"/>
        </w:rPr>
      </w:pPr>
    </w:p>
  </w:footnote>
  <w:footnote w:id="12">
    <w:p w14:paraId="0DEF3684" w14:textId="77777777" w:rsidR="000F6F93" w:rsidRPr="005F7396" w:rsidRDefault="000F6F93" w:rsidP="000F6F93">
      <w:pPr>
        <w:pStyle w:val="Textonotapie"/>
        <w:ind w:firstLine="709"/>
        <w:jc w:val="both"/>
        <w:rPr>
          <w:rFonts w:ascii="Verdana" w:hAnsi="Verdana" w:cs="Arial"/>
          <w:sz w:val="18"/>
          <w:szCs w:val="18"/>
          <w:lang w:val="es-ES"/>
        </w:rPr>
      </w:pPr>
      <w:r w:rsidRPr="005F7396">
        <w:rPr>
          <w:rStyle w:val="Refdenotaalpie"/>
          <w:rFonts w:ascii="Verdana" w:hAnsi="Verdana" w:cs="Arial"/>
          <w:sz w:val="18"/>
          <w:szCs w:val="18"/>
        </w:rPr>
        <w:footnoteRef/>
      </w:r>
      <w:r w:rsidRPr="005F7396">
        <w:rPr>
          <w:rFonts w:ascii="Verdana" w:hAnsi="Verdana" w:cs="Arial"/>
          <w:sz w:val="18"/>
          <w:szCs w:val="18"/>
        </w:rPr>
        <w:t xml:space="preserve"> </w:t>
      </w:r>
      <w:r w:rsidRPr="005F7396">
        <w:rPr>
          <w:rFonts w:ascii="Verdana" w:hAnsi="Verdana" w:cs="Arial"/>
          <w:sz w:val="18"/>
          <w:szCs w:val="18"/>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2D0B0FEA" w14:textId="77777777" w:rsidR="000F6F93" w:rsidRPr="005F7396" w:rsidRDefault="000F6F93" w:rsidP="000F6F93">
      <w:pPr>
        <w:pStyle w:val="Textonotapie"/>
        <w:ind w:firstLine="709"/>
        <w:jc w:val="both"/>
        <w:rPr>
          <w:rFonts w:ascii="Verdana" w:hAnsi="Verdana" w:cs="Arial"/>
          <w:sz w:val="18"/>
          <w:szCs w:val="18"/>
          <w:lang w:val="es-ES"/>
        </w:rPr>
      </w:pPr>
    </w:p>
  </w:footnote>
  <w:footnote w:id="13">
    <w:p w14:paraId="1C6E530F"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Style w:val="Refdenotaalpie"/>
          <w:rFonts w:ascii="Verdana" w:hAnsi="Verdana" w:cs="Arial"/>
          <w:color w:val="000000" w:themeColor="text1"/>
          <w:sz w:val="18"/>
          <w:szCs w:val="18"/>
        </w:rPr>
        <w:footnoteRef/>
      </w:r>
      <w:r w:rsidRPr="005F7396">
        <w:rPr>
          <w:rFonts w:ascii="Verdana" w:hAnsi="Verdana" w:cs="Arial"/>
          <w:color w:val="000000" w:themeColor="text1"/>
          <w:sz w:val="18"/>
          <w:szCs w:val="18"/>
        </w:rPr>
        <w:t xml:space="preserve"> </w:t>
      </w:r>
      <w:r w:rsidRPr="005F7396">
        <w:rPr>
          <w:rFonts w:ascii="Verdana" w:hAnsi="Verdana" w:cs="Arial"/>
          <w:color w:val="000000" w:themeColor="text1"/>
          <w:sz w:val="18"/>
          <w:szCs w:val="18"/>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F753220"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p>
    <w:p w14:paraId="5E10E0FF"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Fonts w:ascii="Verdana" w:hAnsi="Verdana" w:cs="Arial"/>
          <w:color w:val="000000" w:themeColor="text1"/>
          <w:sz w:val="18"/>
          <w:szCs w:val="18"/>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8947BA4"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Fonts w:ascii="Verdana" w:hAnsi="Verdana" w:cs="Arial"/>
          <w:color w:val="000000" w:themeColor="text1"/>
          <w:sz w:val="18"/>
          <w:szCs w:val="18"/>
          <w:lang w:val="es-ES"/>
        </w:rPr>
        <w:t>La Entidad Estatal, para la contratación de trabajos artísticos que solamente puedan en</w:t>
      </w:r>
      <w:r w:rsidRPr="005F7396">
        <w:rPr>
          <w:rFonts w:ascii="Verdana" w:hAnsi="Verdana" w:cs="Arial"/>
          <w:color w:val="000000" w:themeColor="text1"/>
          <w:sz w:val="18"/>
          <w:szCs w:val="18"/>
          <w:lang w:val="es-ES"/>
        </w:rPr>
        <w:softHyphen/>
        <w:t>comendarse a determinadas personas naturales, debe justificar esta situación en los estudios y documentos previos”.</w:t>
      </w:r>
    </w:p>
    <w:p w14:paraId="035816BA"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p>
  </w:footnote>
  <w:footnote w:id="14">
    <w:p w14:paraId="656C905F"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Style w:val="Refdenotaalpie"/>
          <w:rFonts w:ascii="Verdana" w:hAnsi="Verdana" w:cs="Arial"/>
          <w:color w:val="000000" w:themeColor="text1"/>
          <w:sz w:val="18"/>
          <w:szCs w:val="18"/>
        </w:rPr>
        <w:footnoteRef/>
      </w:r>
      <w:r w:rsidRPr="005F7396">
        <w:rPr>
          <w:rFonts w:ascii="Verdana" w:hAnsi="Verdana" w:cs="Arial"/>
          <w:color w:val="000000" w:themeColor="text1"/>
          <w:sz w:val="18"/>
          <w:szCs w:val="18"/>
        </w:rPr>
        <w:t xml:space="preserve"> </w:t>
      </w:r>
      <w:r w:rsidRPr="005F7396">
        <w:rPr>
          <w:rFonts w:ascii="Verdana" w:hAnsi="Verdana" w:cs="Arial"/>
          <w:color w:val="000000" w:themeColor="text1"/>
          <w:sz w:val="18"/>
          <w:szCs w:val="18"/>
          <w:lang w:val="es-ES"/>
        </w:rPr>
        <w:t>CONSEJO DE ESTADO. Sección Tercera. Subsección C. Sentencia de Unificación del 2 de diciembre de 2013. Exp. 41.719. C.P. Jaime Orlando Santofimio Gamboa.</w:t>
      </w:r>
    </w:p>
    <w:p w14:paraId="10EB6C33"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p>
  </w:footnote>
  <w:footnote w:id="15">
    <w:p w14:paraId="32A29248"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Style w:val="Refdenotaalpie"/>
          <w:rFonts w:ascii="Verdana" w:hAnsi="Verdana" w:cs="Arial"/>
          <w:color w:val="000000" w:themeColor="text1"/>
          <w:sz w:val="18"/>
          <w:szCs w:val="18"/>
        </w:rPr>
        <w:footnoteRef/>
      </w:r>
      <w:r w:rsidRPr="005F7396">
        <w:rPr>
          <w:rFonts w:ascii="Verdana" w:hAnsi="Verdana" w:cs="Arial"/>
          <w:color w:val="000000" w:themeColor="text1"/>
          <w:sz w:val="18"/>
          <w:szCs w:val="18"/>
        </w:rPr>
        <w:t xml:space="preserve"> </w:t>
      </w:r>
      <w:r w:rsidRPr="005F7396">
        <w:rPr>
          <w:rFonts w:ascii="Verdana" w:hAnsi="Verdana" w:cs="Arial"/>
          <w:i/>
          <w:iCs/>
          <w:color w:val="000000" w:themeColor="text1"/>
          <w:sz w:val="18"/>
          <w:szCs w:val="18"/>
          <w:lang w:val="es-ES"/>
        </w:rPr>
        <w:t>Ibíd</w:t>
      </w:r>
      <w:r w:rsidRPr="005F7396">
        <w:rPr>
          <w:rFonts w:ascii="Verdana" w:hAnsi="Verdana" w:cs="Arial"/>
          <w:color w:val="000000" w:themeColor="text1"/>
          <w:sz w:val="18"/>
          <w:szCs w:val="18"/>
          <w:lang w:val="es-ES"/>
        </w:rPr>
        <w:t>.</w:t>
      </w:r>
    </w:p>
    <w:p w14:paraId="21D29F03"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p>
  </w:footnote>
  <w:footnote w:id="16">
    <w:p w14:paraId="282AFB2D" w14:textId="77777777" w:rsidR="000F6F93" w:rsidRPr="005F7396" w:rsidRDefault="000F6F93" w:rsidP="000F6F93">
      <w:pPr>
        <w:pStyle w:val="Textonotapie"/>
        <w:ind w:firstLine="709"/>
        <w:jc w:val="both"/>
        <w:rPr>
          <w:rFonts w:ascii="Verdana" w:hAnsi="Verdana" w:cs="Arial"/>
          <w:color w:val="000000" w:themeColor="text1"/>
          <w:sz w:val="18"/>
          <w:szCs w:val="18"/>
          <w:lang w:val="es-ES"/>
        </w:rPr>
      </w:pPr>
      <w:r w:rsidRPr="005F7396">
        <w:rPr>
          <w:rStyle w:val="Refdenotaalpie"/>
          <w:rFonts w:ascii="Verdana" w:hAnsi="Verdana" w:cs="Arial"/>
          <w:color w:val="000000" w:themeColor="text1"/>
          <w:sz w:val="18"/>
          <w:szCs w:val="18"/>
        </w:rPr>
        <w:footnoteRef/>
      </w:r>
      <w:r w:rsidRPr="005F7396">
        <w:rPr>
          <w:rFonts w:ascii="Verdana" w:hAnsi="Verdana" w:cs="Arial"/>
          <w:color w:val="000000" w:themeColor="text1"/>
          <w:sz w:val="18"/>
          <w:szCs w:val="18"/>
        </w:rPr>
        <w:t xml:space="preserve"> </w:t>
      </w:r>
      <w:r w:rsidRPr="005F7396">
        <w:rPr>
          <w:rFonts w:ascii="Verdana" w:hAnsi="Verdana" w:cs="Arial"/>
          <w:i/>
          <w:iCs/>
          <w:color w:val="000000" w:themeColor="text1"/>
          <w:sz w:val="18"/>
          <w:szCs w:val="18"/>
          <w:lang w:val="es-ES"/>
        </w:rPr>
        <w:t>Ibíd</w:t>
      </w:r>
      <w:r w:rsidRPr="005F7396">
        <w:rPr>
          <w:rFonts w:ascii="Verdana" w:hAnsi="Verdana" w:cs="Arial"/>
          <w:color w:val="000000" w:themeColor="text1"/>
          <w:sz w:val="18"/>
          <w:szCs w:val="18"/>
          <w:lang w:val="es-ES"/>
        </w:rPr>
        <w:t>.</w:t>
      </w:r>
    </w:p>
  </w:footnote>
  <w:footnote w:id="17">
    <w:p w14:paraId="13F2B2F6" w14:textId="77777777" w:rsidR="000F6F93" w:rsidRPr="005F7396" w:rsidRDefault="000F6F93" w:rsidP="000F6F93">
      <w:pPr>
        <w:spacing w:after="0" w:line="240" w:lineRule="auto"/>
        <w:ind w:firstLine="709"/>
        <w:jc w:val="both"/>
        <w:rPr>
          <w:rFonts w:ascii="Verdana" w:eastAsia="Times New Roman" w:hAnsi="Verdana" w:cs="Arial"/>
          <w:sz w:val="16"/>
          <w:szCs w:val="16"/>
        </w:rPr>
      </w:pPr>
      <w:r w:rsidRPr="005F7396">
        <w:rPr>
          <w:rStyle w:val="Refdenotaalpie"/>
          <w:rFonts w:ascii="Verdana" w:hAnsi="Verdana" w:cs="Arial"/>
          <w:sz w:val="16"/>
          <w:szCs w:val="16"/>
        </w:rPr>
        <w:footnoteRef/>
      </w:r>
      <w:r w:rsidRPr="005F7396">
        <w:rPr>
          <w:rFonts w:ascii="Verdana" w:hAnsi="Verdana" w:cs="Arial"/>
          <w:sz w:val="16"/>
          <w:szCs w:val="16"/>
        </w:rPr>
        <w:t xml:space="preserve"> </w:t>
      </w:r>
      <w:r w:rsidRPr="005F7396">
        <w:rPr>
          <w:rFonts w:ascii="Verdana" w:eastAsia="Calibri" w:hAnsi="Verdana" w:cs="Arial"/>
          <w:color w:val="000000"/>
          <w:sz w:val="16"/>
          <w:szCs w:val="16"/>
        </w:rPr>
        <w:t>“</w:t>
      </w:r>
      <w:bookmarkStart w:id="3" w:name="33"/>
      <w:r w:rsidRPr="005F7396">
        <w:rPr>
          <w:rFonts w:ascii="Verdana" w:eastAsia="Times New Roman" w:hAnsi="Verdana" w:cs="Arial"/>
          <w:sz w:val="16"/>
          <w:szCs w:val="16"/>
        </w:rPr>
        <w:t>Artículo 33. Restricciones a la contratación pública.</w:t>
      </w:r>
      <w:bookmarkEnd w:id="3"/>
      <w:r w:rsidRPr="005F73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0C83107" w14:textId="77777777" w:rsidR="000F6F93" w:rsidRPr="005F7396" w:rsidRDefault="000F6F93" w:rsidP="000F6F93">
      <w:pPr>
        <w:spacing w:after="0" w:line="240" w:lineRule="auto"/>
        <w:ind w:firstLine="709"/>
        <w:jc w:val="both"/>
        <w:rPr>
          <w:rFonts w:ascii="Verdana" w:eastAsia="Times New Roman" w:hAnsi="Verdana" w:cs="Arial"/>
          <w:sz w:val="16"/>
          <w:szCs w:val="16"/>
        </w:rPr>
      </w:pPr>
      <w:r w:rsidRPr="005F73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F7396">
        <w:rPr>
          <w:rFonts w:ascii="Verdana" w:eastAsia="Calibri" w:hAnsi="Verdana" w:cs="Arial"/>
          <w:color w:val="000000"/>
          <w:sz w:val="16"/>
          <w:szCs w:val="16"/>
        </w:rPr>
        <w:t>”</w:t>
      </w:r>
      <w:r w:rsidRPr="005F7396">
        <w:rPr>
          <w:rFonts w:ascii="Verdana" w:eastAsia="Times New Roman" w:hAnsi="Verdana" w:cs="Arial"/>
          <w:sz w:val="16"/>
          <w:szCs w:val="16"/>
        </w:rPr>
        <w:t>.</w:t>
      </w:r>
    </w:p>
  </w:footnote>
  <w:footnote w:id="18">
    <w:p w14:paraId="7B0DB314" w14:textId="77777777" w:rsidR="000F6F93" w:rsidRPr="005F7396" w:rsidRDefault="000F6F93" w:rsidP="000F6F93">
      <w:pPr>
        <w:pStyle w:val="NormalWeb"/>
        <w:spacing w:before="0" w:beforeAutospacing="0" w:after="0" w:afterAutospacing="0"/>
        <w:ind w:firstLine="709"/>
        <w:jc w:val="both"/>
        <w:rPr>
          <w:rFonts w:ascii="Verdana" w:hAnsi="Verdana" w:cs="Arial"/>
          <w:sz w:val="16"/>
          <w:szCs w:val="16"/>
          <w:lang w:val="es-MX"/>
        </w:rPr>
      </w:pPr>
      <w:r w:rsidRPr="005F7396">
        <w:rPr>
          <w:rStyle w:val="Refdenotaalpie"/>
          <w:rFonts w:ascii="Verdana" w:eastAsiaTheme="majorEastAsia" w:hAnsi="Verdana" w:cs="Arial"/>
          <w:sz w:val="16"/>
          <w:szCs w:val="16"/>
        </w:rPr>
        <w:footnoteRef/>
      </w:r>
      <w:r w:rsidRPr="005F7396">
        <w:rPr>
          <w:rFonts w:ascii="Verdana" w:hAnsi="Verdana" w:cs="Arial"/>
          <w:sz w:val="16"/>
          <w:szCs w:val="16"/>
        </w:rPr>
        <w:t xml:space="preserve"> </w:t>
      </w:r>
      <w:r w:rsidRPr="005F7396">
        <w:rPr>
          <w:rFonts w:ascii="Verdana" w:eastAsia="Calibri" w:hAnsi="Verdana" w:cs="Arial"/>
          <w:color w:val="000000"/>
          <w:sz w:val="16"/>
          <w:szCs w:val="16"/>
        </w:rPr>
        <w:t>“</w:t>
      </w:r>
      <w:bookmarkStart w:id="4" w:name="38"/>
      <w:r w:rsidRPr="005F7396">
        <w:rPr>
          <w:rFonts w:ascii="Verdana" w:hAnsi="Verdana" w:cs="Arial"/>
          <w:sz w:val="16"/>
          <w:szCs w:val="16"/>
          <w:lang w:val="es-MX"/>
        </w:rPr>
        <w:t>Artículo 38. Prohibiciones para los servidores públicos. A los empleados del Estado les está prohibido:</w:t>
      </w:r>
      <w:bookmarkEnd w:id="4"/>
      <w:r w:rsidRPr="005F7396">
        <w:rPr>
          <w:rFonts w:ascii="Verdana" w:hAnsi="Verdana" w:cs="Arial"/>
          <w:sz w:val="16"/>
          <w:szCs w:val="16"/>
          <w:lang w:val="es-MX"/>
        </w:rPr>
        <w:t xml:space="preserve"> […]</w:t>
      </w:r>
    </w:p>
    <w:p w14:paraId="579C08CA" w14:textId="77777777" w:rsidR="000F6F93" w:rsidRPr="005F7396" w:rsidRDefault="000F6F93" w:rsidP="000F6F93">
      <w:pPr>
        <w:pStyle w:val="NormalWeb"/>
        <w:spacing w:before="0" w:beforeAutospacing="0" w:after="0" w:afterAutospacing="0"/>
        <w:ind w:firstLine="709"/>
        <w:jc w:val="both"/>
        <w:rPr>
          <w:rFonts w:ascii="Verdana" w:hAnsi="Verdana" w:cs="Arial"/>
          <w:sz w:val="16"/>
          <w:szCs w:val="16"/>
          <w:lang w:val="es-MX"/>
        </w:rPr>
      </w:pPr>
      <w:r w:rsidRPr="005F7396">
        <w:rPr>
          <w:rStyle w:val="baj"/>
          <w:rFonts w:ascii="Verdana" w:hAnsi="Verdana" w:cs="Arial"/>
          <w:sz w:val="16"/>
          <w:szCs w:val="16"/>
          <w:lang w:val="es-MX"/>
        </w:rPr>
        <w:t>Parágrafo.</w:t>
      </w:r>
      <w:r w:rsidRPr="005F73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F7396">
        <w:rPr>
          <w:rFonts w:ascii="Verdana" w:eastAsia="Calibri" w:hAnsi="Verdana" w:cs="Arial"/>
          <w:color w:val="000000"/>
          <w:sz w:val="16"/>
          <w:szCs w:val="16"/>
        </w:rPr>
        <w:t>”</w:t>
      </w:r>
      <w:r w:rsidRPr="005F7396">
        <w:rPr>
          <w:rFonts w:ascii="Verdana" w:hAnsi="Verdana" w:cs="Arial"/>
          <w:sz w:val="16"/>
          <w:szCs w:val="16"/>
          <w:lang w:val="es-MX"/>
        </w:rPr>
        <w:t>.</w:t>
      </w:r>
    </w:p>
  </w:footnote>
  <w:footnote w:id="19">
    <w:p w14:paraId="180A1769" w14:textId="77777777" w:rsidR="000F6F93" w:rsidRPr="005F7396" w:rsidRDefault="000F6F93" w:rsidP="000F6F93">
      <w:pPr>
        <w:spacing w:after="0" w:line="240" w:lineRule="auto"/>
        <w:ind w:left="100" w:right="244" w:firstLine="608"/>
        <w:jc w:val="both"/>
        <w:rPr>
          <w:rFonts w:ascii="Verdana" w:hAnsi="Verdana" w:cs="Arial"/>
          <w:sz w:val="16"/>
          <w:szCs w:val="16"/>
          <w:lang w:val="es-ES"/>
        </w:rPr>
      </w:pPr>
      <w:r w:rsidRPr="005F7396">
        <w:rPr>
          <w:rStyle w:val="Refdenotaalpie"/>
          <w:rFonts w:ascii="Verdana" w:hAnsi="Verdana" w:cs="Arial"/>
          <w:sz w:val="16"/>
          <w:szCs w:val="16"/>
        </w:rPr>
        <w:footnoteRef/>
      </w:r>
      <w:r w:rsidRPr="005F73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0CB72" w14:textId="77777777" w:rsidR="000F6F93" w:rsidRDefault="000F6F93"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AA72B78" wp14:editId="7A3BA415">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D12C5D1" wp14:editId="343BDD6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8F9A603" w14:textId="77777777" w:rsidR="000F6F93" w:rsidRDefault="000F6F93">
    <w:pPr>
      <w:pStyle w:val="Encabezado"/>
    </w:pPr>
  </w:p>
  <w:p w14:paraId="0C629384" w14:textId="77777777" w:rsidR="000F6F93" w:rsidRPr="004A305D" w:rsidRDefault="000F6F93" w:rsidP="00B01B1A">
    <w:pPr>
      <w:spacing w:after="0" w:line="120" w:lineRule="auto"/>
      <w:rPr>
        <w:rFonts w:ascii="Century Gothic" w:eastAsia="Geo" w:hAnsi="Century Gothic" w:cs="Geo"/>
        <w:sz w:val="16"/>
        <w:szCs w:val="16"/>
        <w:lang w:eastAsia="es-CO"/>
      </w:rPr>
    </w:pPr>
  </w:p>
  <w:p w14:paraId="3CC1DAF0" w14:textId="77777777" w:rsidR="000F6F93" w:rsidRDefault="000F6F93" w:rsidP="00844AE9">
    <w:pPr>
      <w:spacing w:after="0" w:line="240" w:lineRule="auto"/>
      <w:rPr>
        <w:rFonts w:ascii="Verdana" w:hAnsi="Verdana"/>
        <w:sz w:val="24"/>
        <w:szCs w:val="24"/>
      </w:rPr>
    </w:pPr>
  </w:p>
  <w:p w14:paraId="73F8F490" w14:textId="77777777" w:rsidR="000F6F93" w:rsidRPr="00C925AC" w:rsidRDefault="000F6F93" w:rsidP="00844AE9">
    <w:pPr>
      <w:spacing w:after="0" w:line="240" w:lineRule="auto"/>
      <w:rPr>
        <w:rFonts w:ascii="Verdana" w:hAnsi="Verdana"/>
        <w:sz w:val="24"/>
        <w:szCs w:val="24"/>
      </w:rPr>
    </w:pPr>
  </w:p>
  <w:p w14:paraId="30CB2E2D" w14:textId="77777777" w:rsidR="000F6F93" w:rsidRPr="00C925AC" w:rsidRDefault="000F6F9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F93"/>
    <w:rsid w:val="000F0583"/>
    <w:rsid w:val="000F3771"/>
    <w:rsid w:val="000F6F93"/>
    <w:rsid w:val="002055F0"/>
    <w:rsid w:val="003C2D0C"/>
    <w:rsid w:val="005C528F"/>
    <w:rsid w:val="006678DD"/>
    <w:rsid w:val="0090211B"/>
    <w:rsid w:val="00981A92"/>
    <w:rsid w:val="00A411B6"/>
    <w:rsid w:val="00C6150B"/>
    <w:rsid w:val="00E92D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F52CD"/>
  <w15:chartTrackingRefBased/>
  <w15:docId w15:val="{035D641F-3956-44E5-AE8C-262BA58D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F93"/>
    <w:pPr>
      <w:spacing w:line="259" w:lineRule="auto"/>
    </w:pPr>
    <w:rPr>
      <w:kern w:val="0"/>
      <w:sz w:val="22"/>
      <w:szCs w:val="22"/>
      <w14:ligatures w14:val="none"/>
    </w:rPr>
  </w:style>
  <w:style w:type="paragraph" w:styleId="Ttulo1">
    <w:name w:val="heading 1"/>
    <w:basedOn w:val="Normal"/>
    <w:next w:val="Normal"/>
    <w:link w:val="Ttulo1Car"/>
    <w:uiPriority w:val="9"/>
    <w:qFormat/>
    <w:rsid w:val="000F6F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F6F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F6F9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F6F9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F6F9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F6F9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F6F9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F6F9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F6F9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6F9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F6F9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F6F9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F6F9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F6F9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F6F9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F6F9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F6F9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F6F93"/>
    <w:rPr>
      <w:rFonts w:eastAsiaTheme="majorEastAsia" w:cstheme="majorBidi"/>
      <w:color w:val="272727" w:themeColor="text1" w:themeTint="D8"/>
    </w:rPr>
  </w:style>
  <w:style w:type="paragraph" w:styleId="Ttulo">
    <w:name w:val="Title"/>
    <w:basedOn w:val="Normal"/>
    <w:next w:val="Normal"/>
    <w:link w:val="TtuloCar"/>
    <w:uiPriority w:val="10"/>
    <w:qFormat/>
    <w:rsid w:val="000F6F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F6F9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F6F9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F6F9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F6F93"/>
    <w:pPr>
      <w:spacing w:before="160"/>
      <w:jc w:val="center"/>
    </w:pPr>
    <w:rPr>
      <w:i/>
      <w:iCs/>
      <w:color w:val="404040" w:themeColor="text1" w:themeTint="BF"/>
    </w:rPr>
  </w:style>
  <w:style w:type="character" w:customStyle="1" w:styleId="CitaCar">
    <w:name w:val="Cita Car"/>
    <w:basedOn w:val="Fuentedeprrafopredeter"/>
    <w:link w:val="Cita"/>
    <w:uiPriority w:val="29"/>
    <w:rsid w:val="000F6F93"/>
    <w:rPr>
      <w:i/>
      <w:iCs/>
      <w:color w:val="404040" w:themeColor="text1" w:themeTint="BF"/>
    </w:rPr>
  </w:style>
  <w:style w:type="paragraph" w:styleId="Prrafodelista">
    <w:name w:val="List Paragraph"/>
    <w:basedOn w:val="Normal"/>
    <w:uiPriority w:val="34"/>
    <w:qFormat/>
    <w:rsid w:val="000F6F93"/>
    <w:pPr>
      <w:ind w:left="720"/>
      <w:contextualSpacing/>
    </w:pPr>
  </w:style>
  <w:style w:type="character" w:styleId="nfasisintenso">
    <w:name w:val="Intense Emphasis"/>
    <w:basedOn w:val="Fuentedeprrafopredeter"/>
    <w:uiPriority w:val="21"/>
    <w:qFormat/>
    <w:rsid w:val="000F6F93"/>
    <w:rPr>
      <w:i/>
      <w:iCs/>
      <w:color w:val="0F4761" w:themeColor="accent1" w:themeShade="BF"/>
    </w:rPr>
  </w:style>
  <w:style w:type="paragraph" w:styleId="Citadestacada">
    <w:name w:val="Intense Quote"/>
    <w:basedOn w:val="Normal"/>
    <w:next w:val="Normal"/>
    <w:link w:val="CitadestacadaCar"/>
    <w:uiPriority w:val="30"/>
    <w:qFormat/>
    <w:rsid w:val="000F6F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F6F93"/>
    <w:rPr>
      <w:i/>
      <w:iCs/>
      <w:color w:val="0F4761" w:themeColor="accent1" w:themeShade="BF"/>
    </w:rPr>
  </w:style>
  <w:style w:type="character" w:styleId="Referenciaintensa">
    <w:name w:val="Intense Reference"/>
    <w:basedOn w:val="Fuentedeprrafopredeter"/>
    <w:uiPriority w:val="32"/>
    <w:qFormat/>
    <w:rsid w:val="000F6F93"/>
    <w:rPr>
      <w:b/>
      <w:bCs/>
      <w:smallCaps/>
      <w:color w:val="0F4761" w:themeColor="accent1" w:themeShade="BF"/>
      <w:spacing w:val="5"/>
    </w:rPr>
  </w:style>
  <w:style w:type="paragraph" w:styleId="Encabezado">
    <w:name w:val="header"/>
    <w:basedOn w:val="Normal"/>
    <w:link w:val="EncabezadoCar"/>
    <w:uiPriority w:val="99"/>
    <w:unhideWhenUsed/>
    <w:rsid w:val="000F6F9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6F93"/>
    <w:rPr>
      <w:kern w:val="0"/>
      <w:sz w:val="22"/>
      <w:szCs w:val="22"/>
      <w14:ligatures w14:val="none"/>
    </w:rPr>
  </w:style>
  <w:style w:type="paragraph" w:styleId="Piedepgina">
    <w:name w:val="footer"/>
    <w:basedOn w:val="Normal"/>
    <w:link w:val="PiedepginaCar"/>
    <w:uiPriority w:val="99"/>
    <w:unhideWhenUsed/>
    <w:rsid w:val="000F6F9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6F93"/>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F6F9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F6F9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F6F9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F6F93"/>
    <w:rPr>
      <w:vertAlign w:val="superscript"/>
    </w:rPr>
  </w:style>
  <w:style w:type="table" w:styleId="Tablaconcuadrcula">
    <w:name w:val="Table Grid"/>
    <w:basedOn w:val="Tablanormal"/>
    <w:uiPriority w:val="39"/>
    <w:qFormat/>
    <w:rsid w:val="000F6F9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F6F93"/>
    <w:rPr>
      <w:color w:val="0000FF"/>
      <w:u w:val="single"/>
    </w:rPr>
  </w:style>
  <w:style w:type="paragraph" w:styleId="NormalWeb">
    <w:name w:val="Normal (Web)"/>
    <w:basedOn w:val="Normal"/>
    <w:link w:val="NormalWebCar"/>
    <w:uiPriority w:val="99"/>
    <w:unhideWhenUsed/>
    <w:rsid w:val="000F6F9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0F6F93"/>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0F6F9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F6F93"/>
    <w:rPr>
      <w:rFonts w:ascii="Times New Roman" w:eastAsia="Times New Roman" w:hAnsi="Times New Roman" w:cs="Times New Roman"/>
      <w:kern w:val="0"/>
      <w:lang w:eastAsia="es-CO"/>
      <w14:ligatures w14:val="none"/>
    </w:rPr>
  </w:style>
  <w:style w:type="character" w:customStyle="1" w:styleId="baj">
    <w:name w:val="b_aj"/>
    <w:basedOn w:val="Fuentedeprrafopredeter"/>
    <w:rsid w:val="000F6F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joloaiza23@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25F530-65DC-4AE6-9DBA-2A7DE9F35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169633-349A-4E1B-B982-5B27468580C6}">
  <ds:schemaRefs>
    <ds:schemaRef ds:uri="http://schemas.microsoft.com/sharepoint/v3/contenttype/forms"/>
  </ds:schemaRefs>
</ds:datastoreItem>
</file>

<file path=customXml/itemProps3.xml><?xml version="1.0" encoding="utf-8"?>
<ds:datastoreItem xmlns:ds="http://schemas.openxmlformats.org/officeDocument/2006/customXml" ds:itemID="{350D34B1-1E98-416F-B525-197D31B1605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20</Pages>
  <Words>5912</Words>
  <Characters>32519</Characters>
  <Application>Microsoft Office Word</Application>
  <DocSecurity>0</DocSecurity>
  <Lines>270</Lines>
  <Paragraphs>76</Paragraphs>
  <ScaleCrop>false</ScaleCrop>
  <Company/>
  <LinksUpToDate>false</LinksUpToDate>
  <CharactersWithSpaces>38355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4</cp:revision>
  <dcterms:created xsi:type="dcterms:W3CDTF">2026-04-10T19:55:00Z</dcterms:created>
  <dcterms:modified xsi:type="dcterms:W3CDTF">2026-04-10T19:57:00Z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