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D18EA" w14:textId="77777777" w:rsidR="00F6115A" w:rsidRPr="00F6115A" w:rsidRDefault="00F6115A" w:rsidP="00F6115A">
      <w:pPr>
        <w:spacing w:after="0" w:line="276" w:lineRule="auto"/>
        <w:jc w:val="both"/>
        <w:rPr>
          <w:rFonts w:ascii="Verdana" w:eastAsia="Calibri" w:hAnsi="Verdana" w:cs="Arial"/>
          <w:b/>
          <w:bCs/>
          <w:lang w:val="es-ES_tradnl" w:eastAsia="es-MX"/>
        </w:rPr>
      </w:pPr>
      <w:bookmarkStart w:id="0" w:name="_Hlk143780582"/>
      <w:r w:rsidRPr="00F6115A">
        <w:rPr>
          <w:rFonts w:ascii="Verdana" w:eastAsia="Calibri" w:hAnsi="Verdana" w:cs="Arial"/>
          <w:b/>
          <w:bCs/>
          <w:lang w:val="es-ES_tradnl" w:eastAsia="es-MX"/>
        </w:rPr>
        <w:t xml:space="preserve">DOCUMENTOS TIPO – Fundamento normativo – Obligatoriedad </w:t>
      </w:r>
    </w:p>
    <w:p w14:paraId="07F18B2C" w14:textId="77777777" w:rsidR="00F6115A" w:rsidRPr="00F6115A" w:rsidRDefault="00F6115A" w:rsidP="00F6115A">
      <w:pPr>
        <w:spacing w:after="0" w:line="276" w:lineRule="auto"/>
        <w:jc w:val="both"/>
        <w:rPr>
          <w:rFonts w:ascii="Verdana" w:eastAsia="Calibri" w:hAnsi="Verdana" w:cs="Arial"/>
          <w:b/>
          <w:bCs/>
          <w:sz w:val="20"/>
          <w:szCs w:val="20"/>
          <w:lang w:val="es-ES_tradnl" w:eastAsia="es-MX"/>
        </w:rPr>
      </w:pPr>
    </w:p>
    <w:p w14:paraId="5874D95F" w14:textId="77777777" w:rsidR="00F6115A" w:rsidRPr="00F6115A" w:rsidRDefault="00F6115A" w:rsidP="00F6115A">
      <w:pPr>
        <w:tabs>
          <w:tab w:val="left" w:pos="709"/>
        </w:tabs>
        <w:spacing w:after="0" w:line="240" w:lineRule="auto"/>
        <w:jc w:val="both"/>
        <w:rPr>
          <w:rFonts w:ascii="Verdana" w:eastAsia="Calibri" w:hAnsi="Verdana" w:cs="Arial"/>
          <w:sz w:val="20"/>
          <w:szCs w:val="20"/>
          <w:lang w:val="es-ES" w:eastAsia="es-MX"/>
        </w:rPr>
      </w:pPr>
      <w:r w:rsidRPr="00F6115A">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15C3E8CE" w14:textId="77777777" w:rsidR="00F6115A" w:rsidRPr="00F6115A" w:rsidRDefault="00F6115A" w:rsidP="00F6115A">
      <w:pPr>
        <w:spacing w:after="0" w:line="276" w:lineRule="auto"/>
        <w:jc w:val="both"/>
        <w:rPr>
          <w:rFonts w:ascii="Verdana" w:eastAsia="Calibri" w:hAnsi="Verdana" w:cs="Arial"/>
          <w:b/>
          <w:bCs/>
          <w:lang w:val="es-ES_tradnl" w:eastAsia="es-MX"/>
        </w:rPr>
      </w:pPr>
    </w:p>
    <w:p w14:paraId="17C6F1C4" w14:textId="77777777" w:rsidR="00F6115A" w:rsidRPr="00F6115A" w:rsidRDefault="00F6115A" w:rsidP="00F6115A">
      <w:pPr>
        <w:spacing w:after="0" w:line="276" w:lineRule="auto"/>
        <w:jc w:val="both"/>
        <w:rPr>
          <w:rFonts w:ascii="Verdana" w:eastAsia="Calibri" w:hAnsi="Verdana" w:cs="Arial"/>
          <w:b/>
          <w:bCs/>
          <w:lang w:val="es-ES_tradnl" w:eastAsia="es-MX"/>
        </w:rPr>
      </w:pPr>
      <w:r w:rsidRPr="00F6115A">
        <w:rPr>
          <w:rFonts w:ascii="Verdana" w:eastAsia="Calibri" w:hAnsi="Verdana" w:cs="Arial"/>
          <w:b/>
          <w:bCs/>
          <w:lang w:val="es-ES_tradnl" w:eastAsia="es-MX"/>
        </w:rPr>
        <w:t>DOCUMENTOS TIPO – Agua potable – Saneamiento básico</w:t>
      </w:r>
    </w:p>
    <w:p w14:paraId="4635B841" w14:textId="77777777" w:rsidR="00F6115A" w:rsidRPr="00F6115A" w:rsidRDefault="00F6115A" w:rsidP="00F6115A">
      <w:pPr>
        <w:spacing w:after="0" w:line="276" w:lineRule="auto"/>
        <w:jc w:val="both"/>
        <w:rPr>
          <w:rFonts w:ascii="Verdana" w:eastAsia="Calibri" w:hAnsi="Verdana" w:cs="Arial"/>
          <w:b/>
          <w:bCs/>
          <w:lang w:val="es-ES_tradnl" w:eastAsia="es-MX"/>
        </w:rPr>
      </w:pPr>
    </w:p>
    <w:p w14:paraId="15EA7D77" w14:textId="77777777" w:rsidR="00F6115A" w:rsidRPr="00F6115A" w:rsidRDefault="00F6115A" w:rsidP="00F6115A">
      <w:pPr>
        <w:tabs>
          <w:tab w:val="left" w:pos="709"/>
        </w:tabs>
        <w:spacing w:after="0" w:line="240" w:lineRule="auto"/>
        <w:jc w:val="both"/>
        <w:rPr>
          <w:rFonts w:ascii="Verdana" w:eastAsia="Calibri" w:hAnsi="Verdana" w:cs="Arial"/>
          <w:sz w:val="20"/>
          <w:szCs w:val="20"/>
          <w:lang w:val="es-ES" w:eastAsia="es-MX"/>
        </w:rPr>
      </w:pPr>
      <w:r w:rsidRPr="00F6115A">
        <w:rPr>
          <w:rFonts w:ascii="Verdana" w:eastAsia="Calibri" w:hAnsi="Verdana" w:cs="Arial"/>
          <w:sz w:val="20"/>
          <w:szCs w:val="20"/>
          <w:lang w:val="es-ES" w:eastAsia="es-MX"/>
        </w:rPr>
        <w:t>En el sector de infraestructura de agua potable y saneamiento básico, la Agencia Nacional de Contratación Pública – Colombia Compra Eficiente, mediante la Resolución 248 del 1 de diciembre de 2020, adoptó los Documentos Tipo para los procesos de licitación pública para obras de infraestructura de agua potable y saneamiento básico. Por su parte, mediante la Resolución 249 del 1 de diciembre de 2025, esta Agencia expidió los Documentos Tipo para los procesos de licitación pública para obras de infraestructura de agua potable y saneamiento básico en la modalidad de llave en mano. Finalmente, por medio de la Resolución 333 del 27 de julio de 2022, esta Entidad expidió los Documentos Tipo para los procesos de selección de interventoría de obra pública de infraestructura de agua potable y saneamiento básico que se adelanten por la modalidad de concurso de méritos.</w:t>
      </w:r>
    </w:p>
    <w:p w14:paraId="5FDC0EA0" w14:textId="77777777" w:rsidR="00F6115A" w:rsidRPr="00F6115A" w:rsidRDefault="00F6115A" w:rsidP="00F6115A">
      <w:pPr>
        <w:spacing w:after="0" w:line="276" w:lineRule="auto"/>
        <w:jc w:val="both"/>
        <w:rPr>
          <w:rFonts w:ascii="Verdana" w:eastAsia="Calibri" w:hAnsi="Verdana" w:cs="Arial"/>
          <w:b/>
          <w:bCs/>
          <w:lang w:eastAsia="es-MX"/>
        </w:rPr>
      </w:pPr>
    </w:p>
    <w:p w14:paraId="182A0C82" w14:textId="77777777" w:rsidR="00F6115A" w:rsidRPr="00F6115A" w:rsidRDefault="00F6115A" w:rsidP="00F6115A">
      <w:pPr>
        <w:widowControl w:val="0"/>
        <w:autoSpaceDE w:val="0"/>
        <w:autoSpaceDN w:val="0"/>
        <w:spacing w:after="0" w:line="276" w:lineRule="auto"/>
        <w:jc w:val="both"/>
        <w:rPr>
          <w:rFonts w:ascii="Verdana" w:eastAsia="Calibri" w:hAnsi="Verdana" w:cs="Times New Roman"/>
          <w:b/>
          <w:bCs/>
          <w:lang w:val="es-ES" w:eastAsia="es-MX"/>
        </w:rPr>
      </w:pPr>
      <w:r w:rsidRPr="00F6115A">
        <w:rPr>
          <w:rFonts w:ascii="Verdana" w:eastAsia="Calibri" w:hAnsi="Verdana" w:cs="Arial"/>
          <w:b/>
          <w:bCs/>
          <w:lang w:val="es-ES_tradnl" w:eastAsia="es-MX"/>
        </w:rPr>
        <w:t>SECTOR SOCIAL</w:t>
      </w:r>
      <w:r w:rsidRPr="00F6115A">
        <w:rPr>
          <w:rFonts w:ascii="Verdana" w:eastAsia="Calibri" w:hAnsi="Verdana" w:cs="Times New Roman"/>
          <w:lang w:val="es-ES" w:eastAsia="es-MX"/>
        </w:rPr>
        <w:t xml:space="preserve"> </w:t>
      </w:r>
      <w:r w:rsidRPr="00F6115A">
        <w:rPr>
          <w:rFonts w:ascii="Verdana" w:eastAsia="Calibri" w:hAnsi="Verdana" w:cs="Times New Roman"/>
          <w:b/>
          <w:bCs/>
          <w:lang w:val="es-ES" w:eastAsia="es-MX"/>
        </w:rPr>
        <w:t>– Documentos tipo – Vigentes</w:t>
      </w:r>
    </w:p>
    <w:p w14:paraId="202E9EC9" w14:textId="77777777" w:rsidR="00F6115A" w:rsidRPr="00F6115A" w:rsidRDefault="00F6115A" w:rsidP="00F6115A">
      <w:pPr>
        <w:widowControl w:val="0"/>
        <w:autoSpaceDE w:val="0"/>
        <w:autoSpaceDN w:val="0"/>
        <w:spacing w:after="0" w:line="276" w:lineRule="auto"/>
        <w:jc w:val="both"/>
        <w:rPr>
          <w:rFonts w:ascii="Verdana" w:eastAsia="Calibri" w:hAnsi="Verdana" w:cs="Times New Roman"/>
          <w:b/>
          <w:bCs/>
          <w:lang w:val="es-ES" w:eastAsia="es-MX"/>
        </w:rPr>
      </w:pPr>
    </w:p>
    <w:p w14:paraId="378E4A67" w14:textId="77777777" w:rsidR="00F6115A" w:rsidRPr="00F6115A" w:rsidRDefault="00F6115A" w:rsidP="00F6115A">
      <w:pPr>
        <w:widowControl w:val="0"/>
        <w:autoSpaceDE w:val="0"/>
        <w:autoSpaceDN w:val="0"/>
        <w:spacing w:after="0" w:line="240" w:lineRule="auto"/>
        <w:jc w:val="both"/>
        <w:rPr>
          <w:rFonts w:ascii="Verdana" w:eastAsia="Calibri" w:hAnsi="Verdana" w:cs="Times New Roman"/>
          <w:b/>
          <w:bCs/>
          <w:sz w:val="20"/>
          <w:szCs w:val="20"/>
          <w:lang w:val="es-ES" w:eastAsia="es-MX"/>
        </w:rPr>
      </w:pPr>
      <w:r w:rsidRPr="00F6115A">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68C932E6" w14:textId="77777777" w:rsidR="00F6115A" w:rsidRPr="00F6115A" w:rsidRDefault="00F6115A" w:rsidP="00F6115A">
      <w:pPr>
        <w:widowControl w:val="0"/>
        <w:autoSpaceDE w:val="0"/>
        <w:autoSpaceDN w:val="0"/>
        <w:spacing w:after="0" w:line="276" w:lineRule="auto"/>
        <w:jc w:val="both"/>
        <w:rPr>
          <w:rFonts w:ascii="Verdana" w:eastAsia="Calibri" w:hAnsi="Verdana" w:cs="Times New Roman"/>
          <w:lang w:val="es-ES" w:eastAsia="es-MX"/>
        </w:rPr>
      </w:pPr>
    </w:p>
    <w:p w14:paraId="09B28776" w14:textId="77777777" w:rsidR="00F6115A" w:rsidRPr="00F6115A" w:rsidRDefault="00F6115A" w:rsidP="00F6115A">
      <w:pPr>
        <w:spacing w:after="0" w:line="276" w:lineRule="auto"/>
        <w:jc w:val="both"/>
        <w:rPr>
          <w:rFonts w:ascii="Verdana" w:eastAsia="Calibri" w:hAnsi="Verdana" w:cs="Times New Roman"/>
          <w:sz w:val="20"/>
          <w:szCs w:val="20"/>
          <w:lang w:val="es-ES" w:eastAsia="es-MX"/>
        </w:rPr>
      </w:pPr>
      <w:r w:rsidRPr="00F6115A">
        <w:rPr>
          <w:rFonts w:ascii="Verdana" w:eastAsia="Calibri" w:hAnsi="Verdana" w:cs="Times New Roman"/>
          <w:b/>
          <w:bCs/>
          <w:lang w:val="es-ES" w:eastAsia="es-MX"/>
        </w:rPr>
        <w:t xml:space="preserve">DOCUMENTOS TIPO – Aplicación – Matriz de Experiencia </w:t>
      </w:r>
    </w:p>
    <w:p w14:paraId="21036E8B" w14:textId="77777777" w:rsidR="00F6115A" w:rsidRPr="00F6115A" w:rsidRDefault="00F6115A" w:rsidP="00F6115A">
      <w:pPr>
        <w:spacing w:after="0" w:line="240" w:lineRule="auto"/>
        <w:rPr>
          <w:rFonts w:ascii="Verdana" w:eastAsia="Geomanist Light" w:hAnsi="Verdana" w:cs="Arial"/>
          <w:lang w:val="es-MX" w:eastAsia="es-MX"/>
        </w:rPr>
      </w:pPr>
    </w:p>
    <w:p w14:paraId="1BB49893" w14:textId="77777777" w:rsidR="00F6115A" w:rsidRPr="00F6115A" w:rsidRDefault="00F6115A" w:rsidP="00F6115A">
      <w:pPr>
        <w:widowControl w:val="0"/>
        <w:autoSpaceDE w:val="0"/>
        <w:autoSpaceDN w:val="0"/>
        <w:spacing w:after="0" w:line="240" w:lineRule="auto"/>
        <w:jc w:val="both"/>
        <w:rPr>
          <w:rFonts w:ascii="Verdana" w:eastAsia="Calibri" w:hAnsi="Verdana" w:cs="Times New Roman"/>
          <w:sz w:val="20"/>
          <w:szCs w:val="20"/>
          <w:lang w:val="es-ES" w:eastAsia="es-MX"/>
        </w:rPr>
      </w:pPr>
      <w:r w:rsidRPr="00F6115A">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A4DFD37" w14:textId="77777777" w:rsidR="00F6115A" w:rsidRPr="00F6115A" w:rsidRDefault="00F6115A" w:rsidP="00F6115A">
      <w:pPr>
        <w:widowControl w:val="0"/>
        <w:autoSpaceDE w:val="0"/>
        <w:autoSpaceDN w:val="0"/>
        <w:spacing w:after="0" w:line="240" w:lineRule="auto"/>
        <w:jc w:val="both"/>
        <w:rPr>
          <w:rFonts w:ascii="Verdana" w:eastAsia="Calibri" w:hAnsi="Verdana" w:cs="Times New Roman"/>
          <w:sz w:val="20"/>
          <w:szCs w:val="20"/>
          <w:lang w:val="es-ES" w:eastAsia="es-MX"/>
        </w:rPr>
      </w:pPr>
    </w:p>
    <w:p w14:paraId="1CF82191" w14:textId="77777777" w:rsidR="00F6115A" w:rsidRPr="00F6115A" w:rsidRDefault="00F6115A" w:rsidP="00F6115A">
      <w:pPr>
        <w:widowControl w:val="0"/>
        <w:autoSpaceDE w:val="0"/>
        <w:autoSpaceDN w:val="0"/>
        <w:spacing w:after="0" w:line="240" w:lineRule="auto"/>
        <w:jc w:val="both"/>
        <w:rPr>
          <w:rFonts w:ascii="Verdana" w:eastAsia="Calibri" w:hAnsi="Verdana" w:cs="Times New Roman"/>
          <w:sz w:val="20"/>
          <w:szCs w:val="20"/>
          <w:lang w:val="es-ES" w:eastAsia="es-MX"/>
        </w:rPr>
      </w:pPr>
      <w:r w:rsidRPr="00F6115A">
        <w:rPr>
          <w:rFonts w:ascii="Verdana" w:eastAsia="Calibri" w:hAnsi="Verdana" w:cs="Times New Roman"/>
          <w:sz w:val="20"/>
          <w:szCs w:val="20"/>
          <w:lang w:val="es-ES" w:eastAsia="es-MX"/>
        </w:rPr>
        <w:lastRenderedPageBreak/>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62C7171" w14:textId="77777777" w:rsidR="00F6115A" w:rsidRPr="00F6115A" w:rsidRDefault="00F6115A" w:rsidP="00F6115A">
      <w:pPr>
        <w:widowControl w:val="0"/>
        <w:autoSpaceDE w:val="0"/>
        <w:autoSpaceDN w:val="0"/>
        <w:spacing w:after="0" w:line="240" w:lineRule="auto"/>
        <w:jc w:val="both"/>
        <w:rPr>
          <w:rFonts w:ascii="Verdana" w:eastAsia="Calibri" w:hAnsi="Verdana" w:cs="Times New Roman"/>
          <w:sz w:val="20"/>
          <w:szCs w:val="20"/>
          <w:lang w:val="es-ES" w:eastAsia="es-MX"/>
        </w:rPr>
      </w:pPr>
    </w:p>
    <w:p w14:paraId="2208FDFB" w14:textId="77777777" w:rsidR="00F6115A" w:rsidRPr="00F6115A" w:rsidRDefault="00F6115A" w:rsidP="00F6115A">
      <w:pPr>
        <w:widowControl w:val="0"/>
        <w:autoSpaceDE w:val="0"/>
        <w:autoSpaceDN w:val="0"/>
        <w:spacing w:after="0" w:line="240" w:lineRule="auto"/>
        <w:jc w:val="both"/>
        <w:rPr>
          <w:rFonts w:ascii="Verdana" w:eastAsia="Calibri" w:hAnsi="Verdana" w:cs="Times New Roman"/>
          <w:b/>
          <w:bCs/>
          <w:lang w:val="es-ES" w:eastAsia="es-MX"/>
        </w:rPr>
      </w:pPr>
      <w:r w:rsidRPr="00F6115A">
        <w:rPr>
          <w:rFonts w:ascii="Verdana" w:eastAsia="Calibri" w:hAnsi="Verdana" w:cs="Times New Roman"/>
          <w:b/>
          <w:bCs/>
          <w:lang w:val="es-ES" w:eastAsia="es-MX"/>
        </w:rPr>
        <w:t>NORMA NSR 10 – Sitios de reclusión – Centro de atención especializada</w:t>
      </w:r>
    </w:p>
    <w:p w14:paraId="4E04384F" w14:textId="77777777" w:rsidR="00F6115A" w:rsidRPr="00F6115A" w:rsidRDefault="00F6115A" w:rsidP="00F6115A">
      <w:pPr>
        <w:widowControl w:val="0"/>
        <w:autoSpaceDE w:val="0"/>
        <w:autoSpaceDN w:val="0"/>
        <w:spacing w:after="0" w:line="240" w:lineRule="auto"/>
        <w:jc w:val="both"/>
        <w:rPr>
          <w:rFonts w:ascii="Verdana" w:eastAsia="Calibri" w:hAnsi="Verdana" w:cs="Times New Roman"/>
          <w:sz w:val="20"/>
          <w:szCs w:val="20"/>
          <w:lang w:val="es-ES" w:eastAsia="es-MX"/>
        </w:rPr>
      </w:pPr>
    </w:p>
    <w:p w14:paraId="12F11C66" w14:textId="77777777" w:rsidR="00F6115A" w:rsidRPr="00F6115A" w:rsidRDefault="00F6115A" w:rsidP="00F6115A">
      <w:pPr>
        <w:spacing w:after="0" w:line="240" w:lineRule="auto"/>
        <w:jc w:val="both"/>
        <w:rPr>
          <w:rFonts w:ascii="Verdana" w:eastAsia="Calibri" w:hAnsi="Verdana" w:cs="Arial"/>
          <w:sz w:val="20"/>
          <w:szCs w:val="20"/>
          <w:lang w:eastAsia="es-MX"/>
        </w:rPr>
      </w:pPr>
      <w:r w:rsidRPr="00F6115A">
        <w:rPr>
          <w:rFonts w:ascii="Verdana" w:eastAsia="Calibri" w:hAnsi="Verdana" w:cs="Arial"/>
          <w:sz w:val="20"/>
          <w:szCs w:val="20"/>
          <w:lang w:eastAsia="es-MX"/>
        </w:rPr>
        <w:t>Conforme con lo anterior, un Centro de Atención Especializada puede ser considerado un sitio de reclusión conforme al Subgrupo de Ocupación Institucional de Reclusión (I-1) de la NSR-10, en la medida en que, más allá de su denominación y enfoque pedagógico o restaurativo, presenta elementos funcionales coincidentes con las edificaciones allí previstas, tales como la existencia de control y vigilancia institucional, la organización de los espacios para la permanencia supervisada de sus ocupantes y la ejecución de medidas impuestas por una autoridad competente. En este sentido, se trata de un establecimiento cuya finalidad material implica la custodia y supervisión de personas dentro de un entorno institucional cerrado, lo que permite encuadrarlo dentro de la categoría de “otros similares” prevista en dicha clasificación normativa.</w:t>
      </w:r>
    </w:p>
    <w:p w14:paraId="46DB2589" w14:textId="77777777" w:rsidR="00F6115A" w:rsidRPr="00F6115A" w:rsidRDefault="00F6115A" w:rsidP="00F6115A">
      <w:pPr>
        <w:spacing w:after="0" w:line="240" w:lineRule="auto"/>
        <w:jc w:val="both"/>
        <w:rPr>
          <w:rFonts w:ascii="Verdana" w:eastAsia="Calibri" w:hAnsi="Verdana" w:cs="Arial"/>
          <w:sz w:val="20"/>
          <w:szCs w:val="20"/>
          <w:lang w:eastAsia="es-MX"/>
        </w:rPr>
      </w:pPr>
    </w:p>
    <w:p w14:paraId="603BC040" w14:textId="77777777" w:rsidR="00F6115A" w:rsidRPr="00F6115A" w:rsidRDefault="00F6115A" w:rsidP="00F6115A">
      <w:pPr>
        <w:spacing w:after="0" w:line="240" w:lineRule="auto"/>
        <w:jc w:val="both"/>
        <w:rPr>
          <w:rFonts w:ascii="Verdana" w:eastAsia="Calibri" w:hAnsi="Verdana" w:cs="Arial"/>
          <w:sz w:val="20"/>
          <w:szCs w:val="20"/>
          <w:lang w:eastAsia="es-MX"/>
        </w:rPr>
      </w:pPr>
      <w:r w:rsidRPr="00F6115A">
        <w:rPr>
          <w:rFonts w:ascii="Verdana" w:eastAsia="Calibri" w:hAnsi="Verdana" w:cs="Arial"/>
          <w:sz w:val="20"/>
          <w:szCs w:val="20"/>
          <w:lang w:eastAsia="es-MX"/>
        </w:rPr>
        <w:t>Sin perjuicio de lo anterior, corresponderá a la entidad estatal que adelante el proceso de selección determinar, en cada caso concreto, si dicha naturaleza es la predominante o si, por el contrario, el proyecto debe clasificarse como una edificación institucional de servicio público, de conformidad con el alcance previsto para la aplicación de la actividad 2.2 contenida en la Matriz 1 de experiencia de los documentos tipo de infraestructura institucional.</w:t>
      </w:r>
    </w:p>
    <w:p w14:paraId="6F4B3C07" w14:textId="77777777" w:rsidR="00F6115A" w:rsidRPr="00F6115A" w:rsidRDefault="00F6115A" w:rsidP="00F6115A">
      <w:pPr>
        <w:spacing w:after="0" w:line="240" w:lineRule="auto"/>
        <w:jc w:val="both"/>
        <w:rPr>
          <w:rFonts w:ascii="Verdana" w:eastAsia="Calibri" w:hAnsi="Verdana" w:cs="Arial"/>
          <w:sz w:val="20"/>
          <w:szCs w:val="20"/>
          <w:lang w:eastAsia="es-MX"/>
        </w:rPr>
      </w:pPr>
    </w:p>
    <w:p w14:paraId="344ABE26" w14:textId="77777777" w:rsidR="00F6115A" w:rsidRPr="00F6115A" w:rsidRDefault="00F6115A" w:rsidP="00F6115A">
      <w:pPr>
        <w:spacing w:after="0" w:line="240" w:lineRule="auto"/>
        <w:jc w:val="both"/>
        <w:rPr>
          <w:rFonts w:ascii="Verdana" w:eastAsia="Calibri" w:hAnsi="Verdana" w:cs="Times New Roman"/>
          <w:b/>
          <w:bCs/>
          <w:lang w:val="es-ES" w:eastAsia="es-MX"/>
        </w:rPr>
      </w:pPr>
      <w:r w:rsidRPr="00F6115A">
        <w:rPr>
          <w:rFonts w:ascii="Verdana" w:eastAsia="Calibri" w:hAnsi="Verdana" w:cs="Times New Roman"/>
          <w:b/>
          <w:bCs/>
          <w:lang w:val="es-ES" w:eastAsia="es-MX"/>
        </w:rPr>
        <w:t xml:space="preserve">CENTRO DE ATENCIÓN ESPECIALIZADA – Obras – Planta de tratamiento – Agua residual </w:t>
      </w:r>
    </w:p>
    <w:p w14:paraId="326D76F8" w14:textId="77777777" w:rsidR="00F6115A" w:rsidRPr="00F6115A" w:rsidRDefault="00F6115A" w:rsidP="00F6115A">
      <w:pPr>
        <w:spacing w:after="0" w:line="240" w:lineRule="auto"/>
        <w:jc w:val="both"/>
        <w:rPr>
          <w:rFonts w:ascii="Verdana" w:eastAsia="Calibri" w:hAnsi="Verdana" w:cs="Arial"/>
          <w:sz w:val="20"/>
          <w:szCs w:val="20"/>
          <w:lang w:eastAsia="es-MX"/>
        </w:rPr>
      </w:pPr>
    </w:p>
    <w:p w14:paraId="2C79E6A8" w14:textId="77777777" w:rsidR="00F6115A" w:rsidRPr="00F6115A" w:rsidRDefault="00F6115A" w:rsidP="00F6115A">
      <w:pPr>
        <w:spacing w:after="0" w:line="240" w:lineRule="auto"/>
        <w:jc w:val="both"/>
        <w:rPr>
          <w:rFonts w:ascii="Verdana" w:eastAsia="Calibri" w:hAnsi="Verdana" w:cs="Arial"/>
          <w:sz w:val="20"/>
          <w:szCs w:val="20"/>
          <w:lang w:eastAsia="es-MX"/>
        </w:rPr>
      </w:pPr>
      <w:r w:rsidRPr="00F6115A">
        <w:rPr>
          <w:rFonts w:ascii="Verdana" w:eastAsia="Calibri" w:hAnsi="Verdana" w:cs="Arial"/>
          <w:sz w:val="20"/>
          <w:szCs w:val="20"/>
          <w:lang w:eastAsia="es-MX"/>
        </w:rPr>
        <w:t xml:space="preserve">Considerando que, aunque el objeto del proceso de selección por el que se indaga en la solicitud se ejecuta sobre una infraestructura institucional denominada “Centro de Atención Especializada – CAE”, este se refiere a las obras de “mantenimiento integral, reparación, conservación, mejoramiento y adecuaciones técnicas y locativas de la Planta de Tratamiento de Agua Potable (PTAP)”, la entidad que adelanta el proceso de selección puede revisar la Matriz 1 – Experiencia de los Documentos Tipo de licitación de obra pública de agua potable y saneamiento básico. Lo anterior, teniendo en cuenta que en el capítulo cuatro (4), “Obras para PTAP (Planta de Tratamiento de Agua Potable) y/o PTAR (Planta de Tratamiento de Aguas Residuales)”, se incluye la siguiente actividad, sobre la cual eventualmente podría recaer el objeto de selección planteado (…). </w:t>
      </w:r>
    </w:p>
    <w:p w14:paraId="5B927759" w14:textId="77777777" w:rsidR="00F6115A" w:rsidRPr="00F6115A" w:rsidRDefault="00F6115A" w:rsidP="00F6115A">
      <w:pPr>
        <w:spacing w:after="0" w:line="240" w:lineRule="auto"/>
        <w:jc w:val="both"/>
        <w:rPr>
          <w:rFonts w:ascii="Verdana" w:eastAsia="Calibri" w:hAnsi="Verdana" w:cs="Arial"/>
          <w:sz w:val="20"/>
          <w:szCs w:val="20"/>
          <w:lang w:eastAsia="es-MX"/>
        </w:rPr>
      </w:pPr>
    </w:p>
    <w:p w14:paraId="1CF973A4" w14:textId="77777777" w:rsidR="00F6115A" w:rsidRPr="00F6115A" w:rsidRDefault="00F6115A" w:rsidP="00F6115A">
      <w:pPr>
        <w:spacing w:after="0" w:line="240" w:lineRule="auto"/>
        <w:jc w:val="both"/>
        <w:rPr>
          <w:rFonts w:ascii="Verdana" w:eastAsia="Calibri" w:hAnsi="Verdana" w:cs="Arial"/>
          <w:sz w:val="20"/>
          <w:szCs w:val="20"/>
          <w:lang w:eastAsia="es-MX"/>
        </w:rPr>
      </w:pPr>
      <w:r w:rsidRPr="00F6115A">
        <w:rPr>
          <w:rFonts w:ascii="Verdana" w:eastAsia="Calibri" w:hAnsi="Verdana" w:cs="Arial"/>
          <w:sz w:val="20"/>
          <w:szCs w:val="20"/>
          <w:lang w:eastAsia="es-MX"/>
        </w:rPr>
        <w:t xml:space="preserve">Sin embargo, es preciso indicar que corresponde a la entidad que adelanta el proceso de selección determinar, a través de sus estudios previos o de los documentos técnicos que hagan parte del proceso, en cuál de estas actividades puede enmarcarse, así como </w:t>
      </w:r>
      <w:r w:rsidRPr="00F6115A">
        <w:rPr>
          <w:rFonts w:ascii="Verdana" w:eastAsia="Calibri" w:hAnsi="Verdana" w:cs="Arial"/>
          <w:sz w:val="20"/>
          <w:szCs w:val="20"/>
          <w:lang w:eastAsia="es-MX"/>
        </w:rPr>
        <w:lastRenderedPageBreak/>
        <w:t>establecer si resulta conveniente la aplicación de las reglas de combinación de experiencia incluidas en el numeral “3.5.2 Características de los contratos presentados para acreditar la experiencia exigida” del documento base de los documentos tipo de licitación de obra pública de infraestructura social – versión 2.</w:t>
      </w:r>
    </w:p>
    <w:p w14:paraId="28D61A0B" w14:textId="77777777" w:rsidR="00F6115A" w:rsidRPr="00F6115A" w:rsidRDefault="00F6115A" w:rsidP="00F6115A">
      <w:pPr>
        <w:widowControl w:val="0"/>
        <w:autoSpaceDE w:val="0"/>
        <w:autoSpaceDN w:val="0"/>
        <w:spacing w:after="0" w:line="240" w:lineRule="auto"/>
        <w:jc w:val="both"/>
        <w:rPr>
          <w:rFonts w:ascii="Verdana" w:eastAsia="Calibri" w:hAnsi="Verdana" w:cs="Times New Roman"/>
          <w:sz w:val="20"/>
          <w:szCs w:val="20"/>
          <w:lang w:eastAsia="es-MX"/>
        </w:rPr>
      </w:pPr>
    </w:p>
    <w:p w14:paraId="38B1EC11"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1CBA1A60"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2A929251"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5404052A"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394710FF"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7663E053"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70A1BA40"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07730AE3"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63754DA7"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2630D96F"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3B124207"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467BE40E"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19E8BAF0"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10585877"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28468774"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34C725CA"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57017625"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6E1E5962"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1D57ECAE"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511F8E3A"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42A017B1"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12B9CC3A"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7CDC8843"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33645F36"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2CA5719C"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62044317"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588EA5E4"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737F022D"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6A837D31"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5166C2F3"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6E51D1AC"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53E594D1"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298AEDF8"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51D806FA"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67909463"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30998590" w14:textId="77777777" w:rsidR="00F6115A" w:rsidRPr="00F6115A" w:rsidRDefault="00F6115A" w:rsidP="00F6115A">
      <w:pPr>
        <w:spacing w:after="0" w:line="240" w:lineRule="auto"/>
        <w:rPr>
          <w:rFonts w:ascii="Arial" w:eastAsia="Calibri" w:hAnsi="Arial" w:cs="Arial"/>
          <w:b/>
          <w:bCs/>
          <w:color w:val="000000"/>
          <w:sz w:val="24"/>
          <w:szCs w:val="24"/>
          <w:lang w:eastAsia="es-MX"/>
        </w:rPr>
      </w:pPr>
    </w:p>
    <w:p w14:paraId="0CA5B8DC" w14:textId="77777777" w:rsidR="00F6115A" w:rsidRPr="00F6115A" w:rsidRDefault="00F6115A" w:rsidP="00F6115A">
      <w:pPr>
        <w:spacing w:after="0" w:line="240" w:lineRule="auto"/>
        <w:rPr>
          <w:rFonts w:ascii="Verdana" w:eastAsia="Geomanist Light" w:hAnsi="Verdana" w:cs="Arial"/>
          <w:lang w:val="es-ES_tradnl" w:eastAsia="es-MX"/>
        </w:rPr>
      </w:pPr>
    </w:p>
    <w:p w14:paraId="4CB197B4" w14:textId="5993E3C3" w:rsidR="00F6115A" w:rsidRDefault="00F6115A" w:rsidP="00F6115A">
      <w:pPr>
        <w:spacing w:after="0" w:line="240" w:lineRule="auto"/>
        <w:rPr>
          <w:rFonts w:ascii="Verdana" w:eastAsia="Aptos" w:hAnsi="Verdana" w:cs="Times New Roman"/>
          <w:lang w:eastAsia="es-MX"/>
        </w:rPr>
      </w:pPr>
      <w:r w:rsidRPr="00F6115A">
        <w:rPr>
          <w:rFonts w:ascii="Verdana" w:eastAsia="Aptos" w:hAnsi="Verdana" w:cs="Times New Roman"/>
          <w:lang w:eastAsia="es-MX"/>
        </w:rPr>
        <w:t xml:space="preserve">Bogotá D.C., </w:t>
      </w:r>
      <w:r w:rsidR="00EF1A55">
        <w:rPr>
          <w:rFonts w:ascii="Verdana" w:eastAsia="Aptos" w:hAnsi="Verdana" w:cs="Times New Roman"/>
          <w:lang w:eastAsia="es-MX"/>
        </w:rPr>
        <w:t>14 de abril de 2026</w:t>
      </w:r>
    </w:p>
    <w:p w14:paraId="194CB44C" w14:textId="77777777" w:rsidR="00EF1A55" w:rsidRDefault="00EF1A55" w:rsidP="00F6115A">
      <w:pPr>
        <w:spacing w:after="0" w:line="240" w:lineRule="auto"/>
        <w:rPr>
          <w:rFonts w:ascii="Verdana" w:eastAsia="Aptos" w:hAnsi="Verdana" w:cs="Times New Roman"/>
          <w:lang w:eastAsia="es-MX"/>
        </w:rPr>
      </w:pPr>
    </w:p>
    <w:p w14:paraId="52ADB1C3" w14:textId="1A4D7227" w:rsidR="00EF1A55" w:rsidRPr="00F6115A" w:rsidRDefault="00EF1A55" w:rsidP="00EF1A55">
      <w:pPr>
        <w:spacing w:after="0" w:line="240" w:lineRule="auto"/>
        <w:jc w:val="right"/>
        <w:rPr>
          <w:rFonts w:ascii="Verdana" w:eastAsia="Aptos" w:hAnsi="Verdana" w:cs="Times New Roman"/>
          <w:lang w:eastAsia="es-MX"/>
        </w:rPr>
      </w:pPr>
    </w:p>
    <w:p w14:paraId="5415AEAE" w14:textId="3DBEF596" w:rsidR="00F6115A" w:rsidRPr="00F6115A" w:rsidRDefault="00F6115A" w:rsidP="00F6115A">
      <w:pPr>
        <w:spacing w:after="0" w:line="240" w:lineRule="auto"/>
        <w:rPr>
          <w:rFonts w:ascii="Verdana" w:eastAsia="Calibri" w:hAnsi="Verdana" w:cs="Arial"/>
          <w:lang w:eastAsia="es-ES"/>
        </w:rPr>
      </w:pPr>
    </w:p>
    <w:p w14:paraId="5EDB1E54" w14:textId="2821150A" w:rsidR="00F6115A" w:rsidRPr="00F6115A" w:rsidRDefault="009F2120" w:rsidP="00F6115A">
      <w:pPr>
        <w:spacing w:after="0" w:line="240" w:lineRule="auto"/>
        <w:rPr>
          <w:rFonts w:ascii="Verdana" w:eastAsia="Calibri" w:hAnsi="Verdana" w:cs="Arial"/>
          <w:lang w:val="es-ES" w:eastAsia="es-ES"/>
        </w:rPr>
      </w:pPr>
      <w:r w:rsidRPr="00EF1A55">
        <w:rPr>
          <w:rFonts w:ascii="Verdana" w:eastAsia="Aptos" w:hAnsi="Verdana" w:cs="Times New Roman"/>
          <w:noProof/>
          <w:lang w:eastAsia="es-MX"/>
        </w:rPr>
        <w:drawing>
          <wp:anchor distT="0" distB="0" distL="114300" distR="114300" simplePos="0" relativeHeight="251658240" behindDoc="0" locked="0" layoutInCell="1" allowOverlap="1" wp14:anchorId="239178AD" wp14:editId="08EEBDFE">
            <wp:simplePos x="0" y="0"/>
            <wp:positionH relativeFrom="margin">
              <wp:align>right</wp:align>
            </wp:positionH>
            <wp:positionV relativeFrom="paragraph">
              <wp:posOffset>10795</wp:posOffset>
            </wp:positionV>
            <wp:extent cx="2836545" cy="778510"/>
            <wp:effectExtent l="0" t="0" r="1905" b="2540"/>
            <wp:wrapSquare wrapText="bothSides"/>
            <wp:docPr id="9833852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385268" name=""/>
                    <pic:cNvPicPr/>
                  </pic:nvPicPr>
                  <pic:blipFill>
                    <a:blip r:embed="rId10">
                      <a:extLst>
                        <a:ext uri="{28A0092B-C50C-407E-A947-70E740481C1C}">
                          <a14:useLocalDpi xmlns:a14="http://schemas.microsoft.com/office/drawing/2010/main" val="0"/>
                        </a:ext>
                      </a:extLst>
                    </a:blip>
                    <a:stretch>
                      <a:fillRect/>
                    </a:stretch>
                  </pic:blipFill>
                  <pic:spPr>
                    <a:xfrm>
                      <a:off x="0" y="0"/>
                      <a:ext cx="2836545" cy="778510"/>
                    </a:xfrm>
                    <a:prstGeom prst="rect">
                      <a:avLst/>
                    </a:prstGeom>
                  </pic:spPr>
                </pic:pic>
              </a:graphicData>
            </a:graphic>
            <wp14:sizeRelH relativeFrom="margin">
              <wp14:pctWidth>0</wp14:pctWidth>
            </wp14:sizeRelH>
            <wp14:sizeRelV relativeFrom="margin">
              <wp14:pctHeight>0</wp14:pctHeight>
            </wp14:sizeRelV>
          </wp:anchor>
        </w:drawing>
      </w:r>
      <w:r w:rsidR="00F6115A" w:rsidRPr="00F6115A">
        <w:rPr>
          <w:rFonts w:ascii="Verdana" w:eastAsia="Calibri" w:hAnsi="Verdana" w:cs="Arial"/>
          <w:lang w:val="es-ES" w:eastAsia="es-ES"/>
        </w:rPr>
        <w:t>Señor</w:t>
      </w:r>
    </w:p>
    <w:p w14:paraId="1727638B" w14:textId="77777777" w:rsidR="00F6115A" w:rsidRPr="00F6115A" w:rsidRDefault="00F6115A" w:rsidP="00F6115A">
      <w:pPr>
        <w:spacing w:after="0" w:line="240" w:lineRule="auto"/>
        <w:rPr>
          <w:rFonts w:ascii="Verdana" w:eastAsia="Aptos" w:hAnsi="Verdana" w:cs="Times New Roman"/>
          <w:b/>
          <w:bCs/>
          <w:lang w:eastAsia="es-MX"/>
        </w:rPr>
      </w:pPr>
      <w:r w:rsidRPr="00F6115A">
        <w:rPr>
          <w:rFonts w:ascii="Verdana" w:eastAsia="Aptos" w:hAnsi="Verdana" w:cs="Times New Roman"/>
          <w:b/>
          <w:bCs/>
          <w:lang w:eastAsia="es-MX"/>
        </w:rPr>
        <w:t>Miguel Enrique Andrade López</w:t>
      </w:r>
    </w:p>
    <w:p w14:paraId="5D229BF8" w14:textId="77777777" w:rsidR="00F6115A" w:rsidRPr="00F6115A" w:rsidRDefault="00F6115A" w:rsidP="00F6115A">
      <w:pPr>
        <w:spacing w:after="0" w:line="240" w:lineRule="auto"/>
        <w:rPr>
          <w:rFonts w:ascii="Verdana" w:eastAsia="Aptos" w:hAnsi="Verdana" w:cs="Times New Roman"/>
          <w:lang w:eastAsia="es-MX"/>
        </w:rPr>
      </w:pPr>
      <w:r w:rsidRPr="00F6115A">
        <w:rPr>
          <w:rFonts w:ascii="Verdana" w:eastAsia="Aptos" w:hAnsi="Verdana" w:cs="Times New Roman"/>
          <w:lang w:eastAsia="es-MX"/>
        </w:rPr>
        <w:t xml:space="preserve">Profesional Universitario </w:t>
      </w:r>
    </w:p>
    <w:p w14:paraId="13C65615" w14:textId="77777777" w:rsidR="00F6115A" w:rsidRPr="00F6115A" w:rsidRDefault="00F6115A" w:rsidP="00F6115A">
      <w:pPr>
        <w:spacing w:after="0" w:line="240" w:lineRule="auto"/>
        <w:rPr>
          <w:rFonts w:ascii="Verdana" w:eastAsia="Aptos" w:hAnsi="Verdana" w:cs="Times New Roman"/>
          <w:lang w:eastAsia="es-MX"/>
        </w:rPr>
      </w:pPr>
      <w:r w:rsidRPr="00F6115A">
        <w:rPr>
          <w:rFonts w:ascii="Verdana" w:eastAsia="Aptos" w:hAnsi="Verdana" w:cs="Times New Roman"/>
          <w:lang w:eastAsia="es-MX"/>
        </w:rPr>
        <w:t>ICBF Centro Zonal Tuluá</w:t>
      </w:r>
    </w:p>
    <w:p w14:paraId="3AE12711" w14:textId="77777777" w:rsidR="00F6115A" w:rsidRPr="00F6115A" w:rsidRDefault="00F6115A" w:rsidP="00F6115A">
      <w:pPr>
        <w:spacing w:after="0" w:line="240" w:lineRule="auto"/>
        <w:rPr>
          <w:rFonts w:ascii="Verdana" w:eastAsia="Aptos" w:hAnsi="Verdana" w:cs="Times New Roman"/>
          <w:lang w:eastAsia="es-MX"/>
        </w:rPr>
      </w:pPr>
      <w:r w:rsidRPr="00F6115A">
        <w:rPr>
          <w:rFonts w:ascii="Verdana" w:eastAsia="Aptos" w:hAnsi="Verdana" w:cs="Times New Roman"/>
          <w:lang w:eastAsia="es-MX"/>
        </w:rPr>
        <w:t>Tuluá – Valle del Cauca</w:t>
      </w:r>
    </w:p>
    <w:p w14:paraId="6AA47CEF" w14:textId="77777777" w:rsidR="00F6115A" w:rsidRPr="00F6115A" w:rsidRDefault="00F6115A" w:rsidP="00F6115A">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F6115A" w:rsidRPr="00F6115A" w14:paraId="7925D812" w14:textId="77777777" w:rsidTr="008A62F8">
        <w:trPr>
          <w:trHeight w:val="229"/>
        </w:trPr>
        <w:tc>
          <w:tcPr>
            <w:tcW w:w="2268" w:type="dxa"/>
          </w:tcPr>
          <w:p w14:paraId="4359BAC9" w14:textId="77777777" w:rsidR="00F6115A" w:rsidRPr="00F6115A" w:rsidRDefault="00F6115A" w:rsidP="00F6115A">
            <w:pPr>
              <w:jc w:val="both"/>
              <w:rPr>
                <w:rFonts w:ascii="Verdana" w:eastAsia="Calibri" w:hAnsi="Verdana" w:cs="Arial"/>
                <w:b/>
                <w:bCs/>
                <w:lang w:val="es-ES_tradnl" w:eastAsia="es-ES_tradnl"/>
              </w:rPr>
            </w:pPr>
          </w:p>
        </w:tc>
        <w:tc>
          <w:tcPr>
            <w:tcW w:w="6100" w:type="dxa"/>
          </w:tcPr>
          <w:p w14:paraId="645F8251" w14:textId="77777777" w:rsidR="00F6115A" w:rsidRPr="00F6115A" w:rsidRDefault="00F6115A" w:rsidP="00F6115A">
            <w:pPr>
              <w:jc w:val="both"/>
              <w:rPr>
                <w:rFonts w:ascii="Verdana" w:eastAsia="Calibri" w:hAnsi="Verdana" w:cs="Arial"/>
                <w:b/>
                <w:bCs/>
                <w:lang w:val="es-ES" w:eastAsia="es-ES"/>
              </w:rPr>
            </w:pPr>
            <w:r w:rsidRPr="00F6115A">
              <w:rPr>
                <w:rFonts w:ascii="Verdana" w:eastAsia="Calibri" w:hAnsi="Verdana" w:cs="Arial"/>
                <w:b/>
                <w:bCs/>
                <w:lang w:val="es-ES" w:eastAsia="es-ES"/>
              </w:rPr>
              <w:t xml:space="preserve">Concepto </w:t>
            </w:r>
            <w:bookmarkStart w:id="1" w:name="OLE_LINK1"/>
            <w:r w:rsidRPr="00F6115A">
              <w:rPr>
                <w:rFonts w:ascii="Verdana" w:eastAsia="Calibri" w:hAnsi="Verdana" w:cs="Arial"/>
                <w:b/>
                <w:bCs/>
                <w:lang w:val="es-ES" w:eastAsia="es-ES"/>
              </w:rPr>
              <w:t>C-429 de 2026</w:t>
            </w:r>
            <w:bookmarkEnd w:id="1"/>
          </w:p>
          <w:p w14:paraId="3F173A56" w14:textId="77777777" w:rsidR="00F6115A" w:rsidRPr="00F6115A" w:rsidRDefault="00F6115A" w:rsidP="00F6115A">
            <w:pPr>
              <w:jc w:val="both"/>
              <w:rPr>
                <w:rFonts w:ascii="Verdana" w:eastAsia="Calibri" w:hAnsi="Verdana" w:cs="Arial"/>
                <w:b/>
                <w:bCs/>
                <w:lang w:val="es-ES" w:eastAsia="es-ES"/>
              </w:rPr>
            </w:pPr>
          </w:p>
        </w:tc>
      </w:tr>
      <w:tr w:rsidR="00F6115A" w:rsidRPr="00F6115A" w14:paraId="3F08C61F" w14:textId="77777777" w:rsidTr="008A62F8">
        <w:trPr>
          <w:trHeight w:val="884"/>
        </w:trPr>
        <w:tc>
          <w:tcPr>
            <w:tcW w:w="2268" w:type="dxa"/>
          </w:tcPr>
          <w:p w14:paraId="3BDF1AC8" w14:textId="77777777" w:rsidR="00F6115A" w:rsidRPr="00F6115A" w:rsidRDefault="00F6115A" w:rsidP="00F6115A">
            <w:pPr>
              <w:jc w:val="both"/>
              <w:rPr>
                <w:rFonts w:ascii="Verdana" w:eastAsia="Calibri" w:hAnsi="Verdana" w:cs="Arial"/>
                <w:lang w:val="es-ES_tradnl" w:eastAsia="es-ES_tradnl"/>
              </w:rPr>
            </w:pPr>
            <w:r w:rsidRPr="00F6115A">
              <w:rPr>
                <w:rFonts w:ascii="Verdana" w:eastAsia="Calibri" w:hAnsi="Verdana" w:cs="Arial"/>
                <w:b/>
                <w:lang w:val="es-ES_tradnl" w:eastAsia="es-ES_tradnl"/>
              </w:rPr>
              <w:t>Temas:</w:t>
            </w:r>
            <w:r w:rsidRPr="00F6115A">
              <w:rPr>
                <w:rFonts w:ascii="Verdana" w:eastAsia="Calibri" w:hAnsi="Verdana" w:cs="Arial"/>
                <w:lang w:val="es-ES_tradnl" w:eastAsia="es-ES_tradnl"/>
              </w:rPr>
              <w:t xml:space="preserve">                   </w:t>
            </w:r>
          </w:p>
        </w:tc>
        <w:tc>
          <w:tcPr>
            <w:tcW w:w="6100" w:type="dxa"/>
          </w:tcPr>
          <w:p w14:paraId="7913483D" w14:textId="77777777" w:rsidR="00F6115A" w:rsidRPr="00F6115A" w:rsidRDefault="00F6115A" w:rsidP="00F6115A">
            <w:pPr>
              <w:jc w:val="both"/>
              <w:rPr>
                <w:rFonts w:ascii="Verdana" w:eastAsia="Calibri" w:hAnsi="Verdana" w:cs="Times New Roman"/>
                <w:lang w:val="es-ES" w:eastAsia="es-MX"/>
              </w:rPr>
            </w:pPr>
            <w:r w:rsidRPr="00F6115A">
              <w:rPr>
                <w:rFonts w:ascii="Verdana" w:eastAsia="Calibri" w:hAnsi="Verdana" w:cs="Arial"/>
                <w:lang w:val="es-ES_tradnl" w:eastAsia="es-MX"/>
              </w:rPr>
              <w:t>DOCUMENTOS TIPO – Fundamento normativo – Obligatoriedad / DOCUMENTOS TIPO – Agua potable – Saneamiento básico / SECTOR SOCIAL</w:t>
            </w:r>
            <w:r w:rsidRPr="00F6115A">
              <w:rPr>
                <w:rFonts w:ascii="Verdana" w:eastAsia="Calibri" w:hAnsi="Verdana" w:cs="Times New Roman"/>
                <w:lang w:val="es-ES" w:eastAsia="es-MX"/>
              </w:rPr>
              <w:t xml:space="preserve"> – Documentos tipo – Vigentes / DOCUMENTOS TIPO – Aplicación – Matriz de Experiencia </w:t>
            </w:r>
            <w:r w:rsidRPr="00F6115A">
              <w:rPr>
                <w:rFonts w:ascii="Verdana" w:eastAsia="Calibri" w:hAnsi="Verdana" w:cs="Times New Roman"/>
                <w:sz w:val="20"/>
                <w:szCs w:val="20"/>
                <w:lang w:val="es-ES" w:eastAsia="es-MX"/>
              </w:rPr>
              <w:t xml:space="preserve">/ </w:t>
            </w:r>
            <w:r w:rsidRPr="00F6115A">
              <w:rPr>
                <w:rFonts w:ascii="Verdana" w:eastAsia="Calibri" w:hAnsi="Verdana" w:cs="Times New Roman"/>
                <w:lang w:val="es-ES" w:eastAsia="es-MX"/>
              </w:rPr>
              <w:t xml:space="preserve">NORMA NSR 10 – Sitios de reclusión – Centro de atención especializada / CENTRO DE ATENCIÓN ESPECIALIZADA – Obras – Planta de tratamiento – Agua residual </w:t>
            </w:r>
          </w:p>
          <w:p w14:paraId="73C74757" w14:textId="77777777" w:rsidR="00F6115A" w:rsidRPr="00F6115A" w:rsidRDefault="00F6115A" w:rsidP="00F6115A">
            <w:pPr>
              <w:jc w:val="both"/>
              <w:rPr>
                <w:rFonts w:ascii="Verdana" w:eastAsia="Calibri" w:hAnsi="Verdana" w:cs="Arial"/>
                <w:bCs/>
                <w:lang w:val="es-ES" w:eastAsia="es-ES"/>
              </w:rPr>
            </w:pPr>
          </w:p>
        </w:tc>
      </w:tr>
      <w:tr w:rsidR="00F6115A" w:rsidRPr="00F6115A" w14:paraId="7A111DCA" w14:textId="77777777" w:rsidTr="008A62F8">
        <w:tc>
          <w:tcPr>
            <w:tcW w:w="2268" w:type="dxa"/>
          </w:tcPr>
          <w:p w14:paraId="4EA5744B" w14:textId="77777777" w:rsidR="00F6115A" w:rsidRPr="00F6115A" w:rsidRDefault="00F6115A" w:rsidP="00F6115A">
            <w:pPr>
              <w:jc w:val="both"/>
              <w:rPr>
                <w:rFonts w:ascii="Verdana" w:eastAsia="Calibri" w:hAnsi="Verdana" w:cs="Arial"/>
                <w:b/>
                <w:lang w:val="es-ES_tradnl" w:eastAsia="es-ES_tradnl"/>
              </w:rPr>
            </w:pPr>
            <w:r w:rsidRPr="00F6115A">
              <w:rPr>
                <w:rFonts w:ascii="Verdana" w:eastAsia="Calibri" w:hAnsi="Verdana" w:cs="Arial"/>
                <w:b/>
                <w:lang w:val="es-ES_tradnl" w:eastAsia="es-ES_tradnl"/>
              </w:rPr>
              <w:t>Radicación:</w:t>
            </w:r>
            <w:r w:rsidRPr="00F6115A">
              <w:rPr>
                <w:rFonts w:ascii="Verdana" w:eastAsia="Calibri" w:hAnsi="Verdana" w:cs="Arial"/>
                <w:lang w:val="es-ES_tradnl" w:eastAsia="es-ES_tradnl"/>
              </w:rPr>
              <w:t xml:space="preserve">               </w:t>
            </w:r>
          </w:p>
        </w:tc>
        <w:tc>
          <w:tcPr>
            <w:tcW w:w="6100" w:type="dxa"/>
          </w:tcPr>
          <w:p w14:paraId="3C6B43B4" w14:textId="77777777" w:rsidR="00F6115A" w:rsidRPr="00F6115A" w:rsidRDefault="00F6115A" w:rsidP="00F6115A">
            <w:pPr>
              <w:ind w:left="3" w:hanging="3"/>
              <w:jc w:val="both"/>
              <w:rPr>
                <w:rFonts w:ascii="Verdana" w:eastAsia="Calibri" w:hAnsi="Verdana" w:cs="Arial"/>
                <w:lang w:val="es-ES_tradnl" w:eastAsia="es-ES_tradnl"/>
              </w:rPr>
            </w:pPr>
            <w:r w:rsidRPr="00F6115A">
              <w:rPr>
                <w:rFonts w:ascii="Verdana" w:eastAsia="Calibri" w:hAnsi="Verdana" w:cs="Arial"/>
                <w:lang w:val="es-ES_tradnl" w:eastAsia="es-ES_tradnl"/>
              </w:rPr>
              <w:t>Respuesta a consulta con radicado No. 1_2026_03_16_003662</w:t>
            </w:r>
          </w:p>
        </w:tc>
      </w:tr>
    </w:tbl>
    <w:p w14:paraId="7DB0C092" w14:textId="77777777" w:rsidR="00F6115A" w:rsidRPr="00F6115A" w:rsidRDefault="00F6115A" w:rsidP="00F6115A">
      <w:pPr>
        <w:spacing w:after="0" w:line="240" w:lineRule="auto"/>
        <w:jc w:val="both"/>
        <w:rPr>
          <w:rFonts w:ascii="Verdana" w:eastAsia="Calibri" w:hAnsi="Verdana" w:cs="Arial"/>
          <w:lang w:val="es-ES_tradnl" w:eastAsia="es-ES_tradnl"/>
        </w:rPr>
      </w:pPr>
    </w:p>
    <w:p w14:paraId="00D89A5A" w14:textId="77777777" w:rsidR="00F6115A" w:rsidRPr="00F6115A" w:rsidRDefault="00F6115A" w:rsidP="00F6115A">
      <w:pPr>
        <w:spacing w:after="0" w:line="276" w:lineRule="auto"/>
        <w:jc w:val="both"/>
        <w:rPr>
          <w:rFonts w:ascii="Verdana" w:eastAsia="Calibri" w:hAnsi="Verdana" w:cs="Arial"/>
          <w:lang w:val="es-ES" w:eastAsia="es-ES"/>
        </w:rPr>
      </w:pPr>
      <w:r w:rsidRPr="00F6115A">
        <w:rPr>
          <w:rFonts w:ascii="Verdana" w:eastAsia="Calibri" w:hAnsi="Verdana" w:cs="Arial"/>
          <w:lang w:val="es-ES" w:eastAsia="es-ES"/>
        </w:rPr>
        <w:t xml:space="preserve">Estimado señor </w:t>
      </w:r>
      <w:r w:rsidRPr="00F6115A">
        <w:rPr>
          <w:rFonts w:ascii="Verdana" w:eastAsia="Aptos" w:hAnsi="Verdana" w:cs="Times New Roman"/>
          <w:lang w:eastAsia="es-MX"/>
        </w:rPr>
        <w:t>Andrade López</w:t>
      </w:r>
      <w:r w:rsidRPr="00F6115A">
        <w:rPr>
          <w:rFonts w:ascii="Verdana" w:eastAsia="Calibri" w:hAnsi="Verdana" w:cs="Arial"/>
          <w:lang w:val="es-ES" w:eastAsia="es-ES"/>
        </w:rPr>
        <w:t xml:space="preserve">: </w:t>
      </w:r>
    </w:p>
    <w:p w14:paraId="10A6252C" w14:textId="77777777" w:rsidR="00F6115A" w:rsidRPr="00F6115A" w:rsidRDefault="00F6115A" w:rsidP="00F6115A">
      <w:pPr>
        <w:tabs>
          <w:tab w:val="left" w:pos="3768"/>
        </w:tabs>
        <w:spacing w:after="0" w:line="276" w:lineRule="auto"/>
        <w:jc w:val="both"/>
        <w:rPr>
          <w:rFonts w:ascii="Verdana" w:eastAsia="Calibri" w:hAnsi="Verdana" w:cs="Arial"/>
          <w:lang w:val="es-ES" w:eastAsia="es-ES"/>
        </w:rPr>
      </w:pPr>
      <w:r w:rsidRPr="00F6115A">
        <w:rPr>
          <w:rFonts w:ascii="Verdana" w:eastAsia="Calibri" w:hAnsi="Verdana" w:cs="Arial"/>
          <w:lang w:val="es-ES" w:eastAsia="es-ES"/>
        </w:rPr>
        <w:tab/>
      </w:r>
    </w:p>
    <w:p w14:paraId="50ECBE7C" w14:textId="77777777" w:rsidR="00F6115A" w:rsidRPr="00F6115A" w:rsidRDefault="00F6115A" w:rsidP="00F6115A">
      <w:pPr>
        <w:spacing w:after="0" w:line="276" w:lineRule="auto"/>
        <w:jc w:val="both"/>
        <w:rPr>
          <w:rFonts w:ascii="Verdana" w:eastAsia="Calibri" w:hAnsi="Verdana" w:cs="Arial"/>
          <w:lang w:val="es-ES" w:eastAsia="es-ES"/>
        </w:rPr>
      </w:pPr>
      <w:r w:rsidRPr="00F6115A">
        <w:rPr>
          <w:rFonts w:ascii="Verdana" w:eastAsia="Calibri" w:hAnsi="Verdana" w:cs="Arial"/>
          <w:lang w:val="es-ES" w:eastAsia="es-ES"/>
        </w:rPr>
        <w:t>En ejercicio de la competencia otorgada por los artículos 3, numeral 5º, y 11, numeral 8º, del Decreto Ley 4170 de 2011,</w:t>
      </w:r>
      <w:r w:rsidRPr="00F6115A">
        <w:rPr>
          <w:rFonts w:ascii="Verdana" w:eastAsia="Arial MT" w:hAnsi="Verdana" w:cs="Arial MT"/>
          <w:lang w:val="es-ES" w:eastAsia="es-ES"/>
        </w:rPr>
        <w:t xml:space="preserve"> </w:t>
      </w:r>
      <w:r w:rsidRPr="00F6115A">
        <w:rPr>
          <w:rFonts w:ascii="Verdana" w:eastAsia="Calibri" w:hAnsi="Verdana" w:cs="Arial"/>
          <w:lang w:eastAsia="es-MX"/>
        </w:rPr>
        <w:t xml:space="preserve">así como lo establecido por la </w:t>
      </w:r>
      <w:r w:rsidRPr="00F6115A">
        <w:rPr>
          <w:rFonts w:ascii="Verdana" w:eastAsia="Aptos" w:hAnsi="Verdana" w:cs="Arial"/>
          <w:bCs/>
          <w:lang w:eastAsia="es-ES" w:bidi="es-ES"/>
        </w:rPr>
        <w:t>Resolución 469 de 2025 expedida por esta Entidad</w:t>
      </w:r>
      <w:r w:rsidRPr="00F6115A">
        <w:rPr>
          <w:rFonts w:ascii="Verdana" w:eastAsia="Calibri" w:hAnsi="Verdana" w:cs="Arial"/>
          <w:lang w:eastAsia="es-MX"/>
        </w:rPr>
        <w:t xml:space="preserve">, </w:t>
      </w:r>
      <w:r w:rsidRPr="00F6115A">
        <w:rPr>
          <w:rFonts w:ascii="Verdana" w:eastAsia="Calibri" w:hAnsi="Verdana" w:cs="Arial"/>
          <w:lang w:val="es-ES" w:eastAsia="es-ES"/>
        </w:rPr>
        <w:t xml:space="preserve">la Agencia Nacional de Contratación Pública – Colombia Compra Eficiente– responde su solicitud de consulta del 13 de marzo de 2026, en la cual manifiesta lo siguiente: </w:t>
      </w:r>
    </w:p>
    <w:p w14:paraId="2554748D" w14:textId="77777777" w:rsidR="00F6115A" w:rsidRPr="00F6115A" w:rsidRDefault="00F6115A" w:rsidP="00F6115A">
      <w:pPr>
        <w:tabs>
          <w:tab w:val="left" w:pos="142"/>
          <w:tab w:val="left" w:pos="284"/>
        </w:tabs>
        <w:spacing w:after="0" w:line="276" w:lineRule="auto"/>
        <w:ind w:left="709" w:right="709"/>
        <w:jc w:val="both"/>
        <w:rPr>
          <w:rFonts w:ascii="Verdana" w:eastAsia="Century Gothic" w:hAnsi="Verdana" w:cs="Century Gothic"/>
          <w:b/>
          <w:bCs/>
          <w:lang w:eastAsia="es-MX"/>
        </w:rPr>
      </w:pPr>
    </w:p>
    <w:p w14:paraId="34080AC2" w14:textId="77777777" w:rsidR="00F6115A" w:rsidRPr="00F6115A" w:rsidRDefault="00F6115A" w:rsidP="00F6115A">
      <w:pPr>
        <w:shd w:val="clear" w:color="auto" w:fill="FFFFFF"/>
        <w:spacing w:after="120" w:line="240" w:lineRule="auto"/>
        <w:ind w:left="709" w:right="709"/>
        <w:jc w:val="both"/>
        <w:rPr>
          <w:rFonts w:ascii="Verdana" w:eastAsia="Times New Roman" w:hAnsi="Verdana" w:cs="Arial"/>
          <w:color w:val="000000"/>
          <w:sz w:val="21"/>
          <w:szCs w:val="21"/>
          <w:lang w:eastAsia="es-MX"/>
        </w:rPr>
      </w:pPr>
      <w:r w:rsidRPr="00F6115A">
        <w:rPr>
          <w:rFonts w:ascii="Verdana" w:eastAsia="Aptos" w:hAnsi="Verdana" w:cs="Arial"/>
          <w:sz w:val="21"/>
          <w:szCs w:val="21"/>
          <w:lang w:eastAsia="es-MX"/>
        </w:rPr>
        <w:t>“</w:t>
      </w:r>
      <w:r w:rsidRPr="00F6115A">
        <w:rPr>
          <w:rFonts w:ascii="Verdana" w:eastAsia="Times New Roman" w:hAnsi="Verdana" w:cs="Arial"/>
          <w:color w:val="000000"/>
          <w:sz w:val="21"/>
          <w:szCs w:val="21"/>
          <w:lang w:eastAsia="es-MX"/>
        </w:rPr>
        <w:t>Actualmente nos encontramos estructurando un proceso contractual cuyo objeto corresponde al </w:t>
      </w:r>
      <w:r w:rsidRPr="00F6115A">
        <w:rPr>
          <w:rFonts w:ascii="Verdana" w:eastAsia="Times New Roman" w:hAnsi="Verdana" w:cs="Arial"/>
          <w:b/>
          <w:bCs/>
          <w:color w:val="000000"/>
          <w:sz w:val="21"/>
          <w:szCs w:val="21"/>
          <w:lang w:eastAsia="es-MX"/>
        </w:rPr>
        <w:t>mantenimiento integral, reparación, conservación, mejoramiento y adecuaciones técnicas y locativas de la Planta de Tratamiento de Agua Potable (PTAP)</w:t>
      </w:r>
      <w:r w:rsidRPr="00F6115A">
        <w:rPr>
          <w:rFonts w:ascii="Verdana" w:eastAsia="Times New Roman" w:hAnsi="Verdana" w:cs="Arial"/>
          <w:color w:val="000000"/>
          <w:sz w:val="21"/>
          <w:szCs w:val="21"/>
          <w:lang w:eastAsia="es-MX"/>
        </w:rPr>
        <w:t> ubicada en el Centro de Atención Especializada – CAE Valle de Lili, en Cali.</w:t>
      </w:r>
    </w:p>
    <w:p w14:paraId="33917D88" w14:textId="77777777" w:rsidR="00F6115A" w:rsidRPr="00F6115A" w:rsidRDefault="00F6115A" w:rsidP="00F6115A">
      <w:pPr>
        <w:shd w:val="clear" w:color="auto" w:fill="FFFFFF"/>
        <w:spacing w:after="120" w:line="240" w:lineRule="auto"/>
        <w:ind w:left="709" w:right="709"/>
        <w:jc w:val="both"/>
        <w:rPr>
          <w:rFonts w:ascii="Verdana" w:eastAsia="Times New Roman" w:hAnsi="Verdana" w:cs="Arial"/>
          <w:color w:val="000000"/>
          <w:sz w:val="21"/>
          <w:szCs w:val="21"/>
          <w:lang w:eastAsia="es-MX"/>
        </w:rPr>
      </w:pPr>
      <w:r w:rsidRPr="00F6115A">
        <w:rPr>
          <w:rFonts w:ascii="Verdana" w:eastAsia="Times New Roman" w:hAnsi="Verdana" w:cs="Arial"/>
          <w:color w:val="000000"/>
          <w:sz w:val="21"/>
          <w:szCs w:val="21"/>
          <w:lang w:eastAsia="es-MX"/>
        </w:rPr>
        <w:lastRenderedPageBreak/>
        <w:t>De acuerdo con la naturaleza de la intervención, las actividades corresponden principalmente a </w:t>
      </w:r>
      <w:r w:rsidRPr="00F6115A">
        <w:rPr>
          <w:rFonts w:ascii="Verdana" w:eastAsia="Times New Roman" w:hAnsi="Verdana" w:cs="Arial"/>
          <w:b/>
          <w:bCs/>
          <w:color w:val="000000"/>
          <w:sz w:val="21"/>
          <w:szCs w:val="21"/>
          <w:lang w:eastAsia="es-MX"/>
        </w:rPr>
        <w:t>mantenimientos electromecánicos, hidráulicos, obras civiles menores y adecuaciones locativas</w:t>
      </w:r>
      <w:r w:rsidRPr="00F6115A">
        <w:rPr>
          <w:rFonts w:ascii="Verdana" w:eastAsia="Times New Roman" w:hAnsi="Verdana" w:cs="Arial"/>
          <w:color w:val="000000"/>
          <w:sz w:val="21"/>
          <w:szCs w:val="21"/>
          <w:lang w:eastAsia="es-MX"/>
        </w:rPr>
        <w:t>, que </w:t>
      </w:r>
      <w:r w:rsidRPr="00F6115A">
        <w:rPr>
          <w:rFonts w:ascii="Verdana" w:eastAsia="Times New Roman" w:hAnsi="Verdana" w:cs="Arial"/>
          <w:b/>
          <w:bCs/>
          <w:color w:val="000000"/>
          <w:sz w:val="21"/>
          <w:szCs w:val="21"/>
          <w:lang w:eastAsia="es-MX"/>
        </w:rPr>
        <w:t>no requieren licencia urbanística</w:t>
      </w:r>
      <w:r w:rsidRPr="00F6115A">
        <w:rPr>
          <w:rFonts w:ascii="Verdana" w:eastAsia="Times New Roman" w:hAnsi="Verdana" w:cs="Arial"/>
          <w:color w:val="000000"/>
          <w:sz w:val="21"/>
          <w:szCs w:val="21"/>
          <w:lang w:eastAsia="es-MX"/>
        </w:rPr>
        <w:t>, en los términos del artículo 2.2.6.1.1.10 del Decreto 1077 de 2015.</w:t>
      </w:r>
    </w:p>
    <w:p w14:paraId="6F89A810" w14:textId="77777777" w:rsidR="00F6115A" w:rsidRPr="00F6115A" w:rsidRDefault="00F6115A" w:rsidP="00F6115A">
      <w:pPr>
        <w:shd w:val="clear" w:color="auto" w:fill="FFFFFF"/>
        <w:spacing w:after="120" w:line="240" w:lineRule="auto"/>
        <w:ind w:left="709" w:right="709"/>
        <w:jc w:val="both"/>
        <w:rPr>
          <w:rFonts w:ascii="Verdana" w:eastAsia="Times New Roman" w:hAnsi="Verdana" w:cs="Arial"/>
          <w:color w:val="000000"/>
          <w:sz w:val="21"/>
          <w:szCs w:val="21"/>
          <w:lang w:eastAsia="es-MX"/>
        </w:rPr>
      </w:pPr>
      <w:r w:rsidRPr="00F6115A">
        <w:rPr>
          <w:rFonts w:ascii="Verdana" w:eastAsia="Times New Roman" w:hAnsi="Verdana" w:cs="Arial"/>
          <w:color w:val="000000"/>
          <w:sz w:val="21"/>
          <w:szCs w:val="21"/>
          <w:lang w:eastAsia="es-MX"/>
        </w:rPr>
        <w:t>Atendiendo los lineamientos vigentes sobre el uso obligatorio de los Documentos Tipo, y con el fin de garantizar la adecuada estructuración del proceso y el cumplimiento normativo, solicito muy respetuosamente a Colombia Compra Eficiente confirmar si, para esta necesidad específica:</w:t>
      </w:r>
    </w:p>
    <w:p w14:paraId="0F016FF7" w14:textId="77777777" w:rsidR="00F6115A" w:rsidRPr="00F6115A" w:rsidRDefault="00F6115A" w:rsidP="00F6115A">
      <w:pPr>
        <w:numPr>
          <w:ilvl w:val="0"/>
          <w:numId w:val="18"/>
        </w:numPr>
        <w:shd w:val="clear" w:color="auto" w:fill="FFFFFF"/>
        <w:spacing w:before="100" w:beforeAutospacing="1" w:after="120" w:line="240" w:lineRule="auto"/>
        <w:ind w:left="1069" w:right="709"/>
        <w:jc w:val="both"/>
        <w:rPr>
          <w:rFonts w:ascii="Verdana" w:eastAsia="Times New Roman" w:hAnsi="Verdana" w:cs="Arial"/>
          <w:color w:val="000000"/>
          <w:sz w:val="21"/>
          <w:szCs w:val="21"/>
          <w:lang w:eastAsia="es-MX"/>
        </w:rPr>
      </w:pPr>
      <w:r w:rsidRPr="00F6115A">
        <w:rPr>
          <w:rFonts w:ascii="Verdana" w:eastAsia="Times New Roman" w:hAnsi="Verdana" w:cs="Arial"/>
          <w:color w:val="000000"/>
          <w:sz w:val="21"/>
          <w:szCs w:val="21"/>
          <w:lang w:eastAsia="es-MX"/>
        </w:rPr>
        <w:t>¿Es obligatorio aplicar los </w:t>
      </w:r>
      <w:r w:rsidRPr="00F6115A">
        <w:rPr>
          <w:rFonts w:ascii="Verdana" w:eastAsia="Times New Roman" w:hAnsi="Verdana" w:cs="Arial"/>
          <w:b/>
          <w:bCs/>
          <w:color w:val="000000"/>
          <w:sz w:val="21"/>
          <w:szCs w:val="21"/>
          <w:lang w:eastAsia="es-MX"/>
        </w:rPr>
        <w:t>Documentos Tipo de Infraestructura Social</w:t>
      </w:r>
      <w:r w:rsidRPr="00F6115A">
        <w:rPr>
          <w:rFonts w:ascii="Verdana" w:eastAsia="Times New Roman" w:hAnsi="Verdana" w:cs="Arial"/>
          <w:color w:val="000000"/>
          <w:sz w:val="21"/>
          <w:szCs w:val="21"/>
          <w:lang w:eastAsia="es-MX"/>
        </w:rPr>
        <w:t>?</w:t>
      </w:r>
    </w:p>
    <w:p w14:paraId="45311DD6" w14:textId="77777777" w:rsidR="00F6115A" w:rsidRPr="00F6115A" w:rsidRDefault="00F6115A" w:rsidP="00F6115A">
      <w:pPr>
        <w:numPr>
          <w:ilvl w:val="0"/>
          <w:numId w:val="18"/>
        </w:numPr>
        <w:shd w:val="clear" w:color="auto" w:fill="FFFFFF"/>
        <w:spacing w:before="100" w:beforeAutospacing="1" w:after="120" w:line="240" w:lineRule="auto"/>
        <w:ind w:left="1069" w:right="709"/>
        <w:jc w:val="both"/>
        <w:rPr>
          <w:rFonts w:ascii="Verdana" w:eastAsia="Times New Roman" w:hAnsi="Verdana" w:cs="Arial"/>
          <w:color w:val="000000"/>
          <w:sz w:val="21"/>
          <w:szCs w:val="21"/>
          <w:lang w:eastAsia="es-MX"/>
        </w:rPr>
      </w:pPr>
      <w:r w:rsidRPr="00F6115A">
        <w:rPr>
          <w:rFonts w:ascii="Verdana" w:eastAsia="Times New Roman" w:hAnsi="Verdana" w:cs="Arial"/>
          <w:color w:val="000000"/>
          <w:sz w:val="21"/>
          <w:szCs w:val="21"/>
          <w:lang w:eastAsia="es-MX"/>
        </w:rPr>
        <w:t>Si la respuesta es afirmativa, en que actividad de enmarcaría dentro de la matriz</w:t>
      </w:r>
      <w:r w:rsidRPr="00F6115A">
        <w:rPr>
          <w:rFonts w:ascii="Verdana" w:eastAsia="Aptos" w:hAnsi="Verdana" w:cs="Times New Roman"/>
          <w:sz w:val="21"/>
          <w:szCs w:val="21"/>
          <w:lang w:eastAsia="es-MX"/>
        </w:rPr>
        <w:t>”.</w:t>
      </w:r>
    </w:p>
    <w:p w14:paraId="0852830C" w14:textId="77777777" w:rsidR="00F6115A" w:rsidRPr="00F6115A" w:rsidRDefault="00F6115A" w:rsidP="00F6115A">
      <w:pPr>
        <w:spacing w:after="0" w:line="240" w:lineRule="auto"/>
        <w:ind w:left="709" w:right="709"/>
        <w:jc w:val="both"/>
        <w:rPr>
          <w:rFonts w:ascii="Arial" w:eastAsia="Aptos" w:hAnsi="Arial" w:cs="Arial"/>
          <w:sz w:val="21"/>
          <w:szCs w:val="21"/>
          <w:lang w:eastAsia="es-MX"/>
        </w:rPr>
      </w:pPr>
    </w:p>
    <w:p w14:paraId="607A10D7" w14:textId="77777777" w:rsidR="00F6115A" w:rsidRPr="00F6115A" w:rsidRDefault="00F6115A" w:rsidP="00F6115A">
      <w:pPr>
        <w:spacing w:after="120" w:line="276" w:lineRule="auto"/>
        <w:ind w:firstLine="709"/>
        <w:jc w:val="both"/>
        <w:rPr>
          <w:rFonts w:ascii="Verdana" w:eastAsia="Calibri" w:hAnsi="Verdana" w:cs="Arial"/>
          <w:color w:val="000000"/>
          <w:lang w:val="es-ES" w:eastAsia="es-ES"/>
        </w:rPr>
      </w:pPr>
      <w:r w:rsidRPr="00F6115A">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6115A">
        <w:rPr>
          <w:rFonts w:ascii="Verdana" w:eastAsia="Calibri" w:hAnsi="Verdana" w:cs="Arial"/>
          <w:color w:val="000000"/>
          <w:lang w:val="es-ES_tradnl" w:eastAsia="es-ES_tradnl"/>
        </w:rPr>
        <w:tab/>
      </w:r>
    </w:p>
    <w:p w14:paraId="45E4EBC3" w14:textId="77777777" w:rsidR="00F6115A" w:rsidRPr="00F6115A" w:rsidRDefault="00F6115A" w:rsidP="00F6115A">
      <w:pPr>
        <w:spacing w:after="0" w:line="276" w:lineRule="auto"/>
        <w:ind w:firstLine="709"/>
        <w:jc w:val="both"/>
        <w:rPr>
          <w:rFonts w:ascii="Verdana" w:eastAsia="Calibri" w:hAnsi="Verdana" w:cs="Arial"/>
          <w:color w:val="000000"/>
          <w:lang w:val="es-ES" w:eastAsia="es-ES"/>
        </w:rPr>
      </w:pPr>
      <w:r w:rsidRPr="00F6115A">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F6115A">
        <w:rPr>
          <w:rFonts w:ascii="Verdana" w:eastAsia="Calibri" w:hAnsi="Verdana" w:cs="Arial"/>
          <w:color w:val="7030A0"/>
          <w:lang w:val="es-ES" w:eastAsia="es-ES"/>
        </w:rPr>
        <w:t xml:space="preserve"> </w:t>
      </w:r>
      <w:r w:rsidRPr="00F6115A">
        <w:rPr>
          <w:rFonts w:ascii="Verdana" w:eastAsia="Calibri" w:hAnsi="Verdana" w:cs="Arial"/>
          <w:color w:val="000000"/>
          <w:lang w:val="es-ES" w:eastAsia="es-ES"/>
        </w:rPr>
        <w:t>problema</w:t>
      </w:r>
      <w:r w:rsidRPr="00F6115A">
        <w:rPr>
          <w:rFonts w:ascii="Verdana" w:eastAsia="Calibri" w:hAnsi="Verdana" w:cs="Arial"/>
          <w:color w:val="7030A0"/>
          <w:lang w:val="es-ES" w:eastAsia="es-ES"/>
        </w:rPr>
        <w:t xml:space="preserve"> </w:t>
      </w:r>
      <w:r w:rsidRPr="00F6115A">
        <w:rPr>
          <w:rFonts w:ascii="Verdana" w:eastAsia="Calibri" w:hAnsi="Verdana" w:cs="Arial"/>
          <w:color w:val="000000"/>
          <w:lang w:val="es-ES" w:eastAsia="es-ES"/>
        </w:rPr>
        <w:t>jurídico</w:t>
      </w:r>
      <w:r w:rsidRPr="00F6115A">
        <w:rPr>
          <w:rFonts w:ascii="Verdana" w:eastAsia="Calibri" w:hAnsi="Verdana" w:cs="Arial"/>
          <w:color w:val="7030A0"/>
          <w:lang w:val="es-ES" w:eastAsia="es-ES"/>
        </w:rPr>
        <w:t xml:space="preserve"> </w:t>
      </w:r>
      <w:r w:rsidRPr="00F6115A">
        <w:rPr>
          <w:rFonts w:ascii="Verdana" w:eastAsia="Calibri" w:hAnsi="Verdana" w:cs="Arial"/>
          <w:color w:val="000000"/>
          <w:lang w:val="es-ES" w:eastAsia="es-ES"/>
        </w:rPr>
        <w:t xml:space="preserve">de su consulta. </w:t>
      </w:r>
    </w:p>
    <w:p w14:paraId="7A3561A4" w14:textId="77777777" w:rsidR="00F6115A" w:rsidRPr="00F6115A" w:rsidRDefault="00F6115A" w:rsidP="00F6115A">
      <w:pPr>
        <w:spacing w:after="0" w:line="276" w:lineRule="auto"/>
        <w:jc w:val="both"/>
        <w:rPr>
          <w:rFonts w:ascii="Verdana" w:eastAsia="Calibri" w:hAnsi="Verdana" w:cs="Arial"/>
          <w:lang w:val="es-ES" w:eastAsia="es-ES"/>
        </w:rPr>
      </w:pPr>
    </w:p>
    <w:p w14:paraId="6CEFCD8E" w14:textId="77777777" w:rsidR="00F6115A" w:rsidRPr="00F6115A" w:rsidRDefault="00F6115A" w:rsidP="00F6115A">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F6115A">
        <w:rPr>
          <w:rFonts w:ascii="Verdana" w:eastAsia="Century Gothic" w:hAnsi="Verdana" w:cs="Century Gothic"/>
          <w:b/>
          <w:bCs/>
          <w:lang w:eastAsia="es-MX"/>
        </w:rPr>
        <w:t>Problema planteado:</w:t>
      </w:r>
    </w:p>
    <w:p w14:paraId="46ADBFE4" w14:textId="77777777" w:rsidR="00F6115A" w:rsidRPr="00F6115A" w:rsidRDefault="00F6115A" w:rsidP="00F6115A">
      <w:pPr>
        <w:tabs>
          <w:tab w:val="left" w:pos="426"/>
        </w:tabs>
        <w:spacing w:after="0" w:line="276" w:lineRule="auto"/>
        <w:jc w:val="both"/>
        <w:rPr>
          <w:rFonts w:ascii="Verdana" w:eastAsia="Century Gothic" w:hAnsi="Verdana" w:cs="Century Gothic"/>
          <w:lang w:val="es-ES" w:eastAsia="es-MX"/>
        </w:rPr>
      </w:pPr>
    </w:p>
    <w:p w14:paraId="12A758AF" w14:textId="77777777" w:rsidR="00F6115A" w:rsidRPr="00F6115A" w:rsidRDefault="00F6115A" w:rsidP="00F6115A">
      <w:pPr>
        <w:spacing w:after="0" w:line="276" w:lineRule="auto"/>
        <w:jc w:val="both"/>
        <w:rPr>
          <w:rFonts w:ascii="Verdana" w:eastAsia="Calibri" w:hAnsi="Verdana" w:cs="Arial"/>
          <w:bCs/>
          <w:lang w:val="es-ES_tradnl" w:eastAsia="es-ES_tradnl"/>
        </w:rPr>
      </w:pPr>
      <w:r w:rsidRPr="00F6115A">
        <w:rPr>
          <w:rFonts w:ascii="Verdana" w:eastAsia="Century Gothic" w:hAnsi="Verdana" w:cs="Century Gothic"/>
          <w:lang w:eastAsia="es-MX"/>
        </w:rPr>
        <w:lastRenderedPageBreak/>
        <w:t>De acuerdo con el contenido de su solicitud, esta Agencia resolverá el siguiente problema jurídico: ¿Aplican los documentos tipo expedidos por la Agencia Nacional de Contratación Pública – Colombia Compra Eficiente para adelantar un proceso de selección que tiene por objeto “</w:t>
      </w:r>
      <w:r w:rsidRPr="00F6115A">
        <w:rPr>
          <w:rFonts w:ascii="Verdana" w:eastAsia="Times New Roman" w:hAnsi="Verdana" w:cs="Arial"/>
          <w:color w:val="000000"/>
          <w:sz w:val="21"/>
          <w:szCs w:val="21"/>
          <w:lang w:eastAsia="es-MX"/>
        </w:rPr>
        <w:t>mantenimiento integral, reparación, conservación, mejoramiento y adecuaciones técnicas y locativas de la Planta de Tratamiento de Agua Potable (PTAP) ubicada en el Centro de Atención Especializada – CAE Valle de Lili</w:t>
      </w:r>
      <w:r w:rsidRPr="00F6115A">
        <w:rPr>
          <w:rFonts w:ascii="Verdana" w:eastAsia="Aptos" w:hAnsi="Verdana" w:cs="Aptos"/>
          <w:lang w:eastAsia="es-MX"/>
        </w:rPr>
        <w:t xml:space="preserve">? </w:t>
      </w:r>
    </w:p>
    <w:p w14:paraId="3901F6A9" w14:textId="77777777" w:rsidR="00F6115A" w:rsidRPr="00F6115A" w:rsidRDefault="00F6115A" w:rsidP="00F6115A">
      <w:pPr>
        <w:spacing w:after="0" w:line="276" w:lineRule="auto"/>
        <w:jc w:val="both"/>
        <w:rPr>
          <w:rFonts w:ascii="Verdana" w:eastAsia="Century Gothic" w:hAnsi="Verdana" w:cs="Century Gothic"/>
          <w:lang w:val="es-ES_tradnl" w:eastAsia="es-MX"/>
        </w:rPr>
      </w:pPr>
    </w:p>
    <w:p w14:paraId="1B607701" w14:textId="77777777" w:rsidR="00F6115A" w:rsidRPr="00F6115A" w:rsidRDefault="00F6115A" w:rsidP="00F6115A">
      <w:pPr>
        <w:tabs>
          <w:tab w:val="left" w:pos="142"/>
          <w:tab w:val="left" w:pos="284"/>
        </w:tabs>
        <w:spacing w:after="0" w:line="276" w:lineRule="auto"/>
        <w:contextualSpacing/>
        <w:jc w:val="both"/>
        <w:rPr>
          <w:rFonts w:ascii="Verdana" w:eastAsia="Century Gothic" w:hAnsi="Verdana" w:cs="Century Gothic"/>
          <w:b/>
          <w:bCs/>
          <w:lang w:val="es-ES" w:eastAsia="es-MX"/>
        </w:rPr>
      </w:pPr>
      <w:r w:rsidRPr="00F6115A">
        <w:rPr>
          <w:rFonts w:ascii="Verdana" w:eastAsia="Century Gothic" w:hAnsi="Verdana" w:cs="Century Gothic"/>
          <w:b/>
          <w:bCs/>
          <w:lang w:val="es-ES" w:eastAsia="es-MX"/>
        </w:rPr>
        <w:t>2. Respuestas:</w:t>
      </w:r>
    </w:p>
    <w:p w14:paraId="5EC23163" w14:textId="77777777" w:rsidR="00F6115A" w:rsidRPr="00F6115A" w:rsidRDefault="00F6115A" w:rsidP="00F6115A">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6115A" w:rsidRPr="00F6115A" w14:paraId="27106C59" w14:textId="77777777" w:rsidTr="008A62F8">
        <w:trPr>
          <w:trHeight w:val="40"/>
        </w:trPr>
        <w:tc>
          <w:tcPr>
            <w:tcW w:w="8828" w:type="dxa"/>
            <w:tcBorders>
              <w:top w:val="dotted" w:sz="4" w:space="0" w:color="auto"/>
              <w:left w:val="dotted" w:sz="4" w:space="0" w:color="auto"/>
              <w:bottom w:val="dotted" w:sz="4" w:space="0" w:color="auto"/>
              <w:right w:val="dotted" w:sz="4" w:space="0" w:color="auto"/>
            </w:tcBorders>
          </w:tcPr>
          <w:p w14:paraId="5AED7C81" w14:textId="77777777" w:rsidR="00F6115A" w:rsidRPr="00F6115A" w:rsidRDefault="00F6115A" w:rsidP="00F6115A">
            <w:pPr>
              <w:spacing w:after="120" w:line="276" w:lineRule="auto"/>
              <w:jc w:val="both"/>
              <w:rPr>
                <w:rFonts w:ascii="Verdana" w:eastAsia="Aptos" w:hAnsi="Verdana" w:cs="Arial"/>
                <w:lang w:eastAsia="es-MX"/>
              </w:rPr>
            </w:pPr>
            <w:r w:rsidRPr="00F6115A">
              <w:rPr>
                <w:rFonts w:ascii="Verdana" w:eastAsia="Calibri" w:hAnsi="Verdana" w:cs="Times New Roman"/>
                <w:lang w:val="es-ES" w:eastAsia="es-MX"/>
              </w:rPr>
              <w:t>i</w:t>
            </w:r>
            <w:r w:rsidRPr="00F6115A">
              <w:rPr>
                <w:rFonts w:ascii="Verdana" w:eastAsia="Aptos" w:hAnsi="Verdana" w:cs="Arial"/>
                <w:lang w:val="es-ES" w:eastAsia="es-MX"/>
              </w:rPr>
              <w:t xml:space="preserve">. </w:t>
            </w:r>
            <w:r w:rsidRPr="00F6115A">
              <w:rPr>
                <w:rFonts w:ascii="Verdana" w:eastAsia="Aptos" w:hAnsi="Verdana" w:cs="Arial"/>
                <w:lang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3CE3D06" w14:textId="77777777" w:rsidR="00F6115A" w:rsidRPr="00F6115A" w:rsidRDefault="00F6115A" w:rsidP="00F6115A">
            <w:pPr>
              <w:widowControl w:val="0"/>
              <w:autoSpaceDE w:val="0"/>
              <w:autoSpaceDN w:val="0"/>
              <w:spacing w:after="120" w:line="276" w:lineRule="auto"/>
              <w:ind w:firstLine="708"/>
              <w:jc w:val="both"/>
              <w:rPr>
                <w:rFonts w:ascii="Verdana" w:eastAsia="Calibri" w:hAnsi="Verdana" w:cs="Times New Roman"/>
                <w:lang w:val="es-ES" w:eastAsia="es-MX"/>
              </w:rPr>
            </w:pPr>
            <w:r w:rsidRPr="00F6115A">
              <w:rPr>
                <w:rFonts w:ascii="Verdana" w:eastAsia="Calibri" w:hAnsi="Verdana" w:cs="Times New Roman"/>
                <w:lang w:val="es-ES" w:eastAsia="es-MX"/>
              </w:rPr>
              <w:t>Para establecer si determinado objeto contractual se encuentra cobijado o no por los Documentos Tipo,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mientras que en el caso contrario no será forzosa su aplicación.</w:t>
            </w:r>
          </w:p>
          <w:p w14:paraId="7A07F90D" w14:textId="77777777" w:rsidR="00F6115A" w:rsidRPr="00F6115A" w:rsidRDefault="00F6115A" w:rsidP="00F6115A">
            <w:pPr>
              <w:widowControl w:val="0"/>
              <w:autoSpaceDE w:val="0"/>
              <w:autoSpaceDN w:val="0"/>
              <w:spacing w:after="120" w:line="276" w:lineRule="auto"/>
              <w:ind w:firstLine="708"/>
              <w:jc w:val="both"/>
              <w:rPr>
                <w:rFonts w:ascii="Verdana" w:eastAsia="Calibri" w:hAnsi="Verdana" w:cs="Times New Roman"/>
                <w:lang w:val="es-ES" w:eastAsia="es-MX"/>
              </w:rPr>
            </w:pPr>
            <w:r w:rsidRPr="00F6115A">
              <w:rPr>
                <w:rFonts w:ascii="Verdana" w:eastAsia="Calibri" w:hAnsi="Verdana" w:cs="Times New Roman"/>
                <w:lang w:val="es-ES" w:eastAsia="es-MX"/>
              </w:rPr>
              <w:t xml:space="preserve">El artículo 17 de la Resolución 539 de 2025 y el artículo 16 de las Resoluciones 540 y 541 de 2025, adoptan los Documentos Tipo complementarios para los procesos de infraestructura social relacionados con el Sector Institucional -según la modalidad que corresponda-. De acuerdo con el parágrafo segundo del artículo 17 y 16 de las citadas resoluciones, estos documentos aplican a los procesos contractuales que correspondan a las actividades definidas en la Matriz 1 – Experiencia del Sector Institucional. </w:t>
            </w:r>
          </w:p>
          <w:p w14:paraId="1EEA5AD1" w14:textId="77777777" w:rsidR="00F6115A" w:rsidRPr="00F6115A" w:rsidRDefault="00F6115A" w:rsidP="00F6115A">
            <w:pPr>
              <w:spacing w:line="276" w:lineRule="auto"/>
              <w:ind w:firstLine="708"/>
              <w:jc w:val="both"/>
              <w:rPr>
                <w:rFonts w:ascii="Verdana" w:eastAsia="Calibri" w:hAnsi="Verdana" w:cs="Times New Roman"/>
                <w:kern w:val="2"/>
                <w:lang w:val="es-ES"/>
                <w14:ligatures w14:val="standardContextual"/>
              </w:rPr>
            </w:pPr>
            <w:r w:rsidRPr="00F6115A">
              <w:rPr>
                <w:rFonts w:ascii="Verdana" w:eastAsia="Calibri" w:hAnsi="Verdana" w:cs="Times New Roman"/>
                <w:lang w:val="es-ES" w:eastAsia="es-MX"/>
              </w:rPr>
              <w:t>L</w:t>
            </w:r>
            <w:r w:rsidRPr="00F6115A">
              <w:rPr>
                <w:rFonts w:ascii="Verdana" w:eastAsia="Times New Roman" w:hAnsi="Verdana" w:cs="Times New Roman"/>
                <w:color w:val="000000"/>
                <w:lang w:eastAsia="es-CO"/>
              </w:rPr>
              <w:t xml:space="preserve">os Documentos Tipo complementarios del Sector Institucional, en la modalidad de licitación pública, selección abreviada de menor cuantía y mínima cuantía, en la Matriz 1 contienen los siguientes tipos de </w:t>
            </w:r>
            <w:r w:rsidRPr="00F6115A">
              <w:rPr>
                <w:rFonts w:ascii="Verdana" w:eastAsia="Times New Roman" w:hAnsi="Verdana" w:cs="Times New Roman"/>
                <w:color w:val="000000"/>
                <w:lang w:eastAsia="es-CO"/>
              </w:rPr>
              <w:lastRenderedPageBreak/>
              <w:t>infraestructura:</w:t>
            </w:r>
            <w:r w:rsidRPr="00F6115A">
              <w:rPr>
                <w:rFonts w:ascii="Times New Roman" w:eastAsia="Arial" w:hAnsi="Times New Roman" w:cs="Aptos"/>
                <w:lang w:eastAsia="es-ES"/>
              </w:rPr>
              <w:t xml:space="preserve"> </w:t>
            </w:r>
            <w:r w:rsidRPr="00F6115A">
              <w:rPr>
                <w:rFonts w:ascii="Verdana" w:eastAsia="Arial" w:hAnsi="Verdana" w:cs="Aptos"/>
                <w:lang w:eastAsia="es-ES"/>
              </w:rPr>
              <w:t>“1)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F6115A">
              <w:rPr>
                <w:rFonts w:ascii="Verdana" w:eastAsia="Times New Roman" w:hAnsi="Verdana" w:cs="Arial"/>
                <w:lang w:eastAsia="es-MX"/>
              </w:rPr>
              <w:t>.</w:t>
            </w:r>
            <w:r w:rsidRPr="00F6115A">
              <w:rPr>
                <w:rFonts w:ascii="Verdana" w:eastAsia="Calibri" w:hAnsi="Verdana" w:cs="Times New Roman"/>
                <w:lang w:eastAsia="es-MX"/>
              </w:rPr>
              <w:t xml:space="preserve"> Particularmente, en relación el problema jurídico planteado en este concepto, en el Capítulo dos (2) “</w:t>
            </w:r>
            <w:r w:rsidRPr="00F6115A">
              <w:rPr>
                <w:rFonts w:ascii="Verdana" w:eastAsia="Arial" w:hAnsi="Verdana" w:cs="Aptos"/>
                <w:lang w:eastAsia="es-ES"/>
              </w:rPr>
              <w:t>Obras en proyectos de infraestructura institucional de servicio público” y en el capítulo tres (3) “Obras en proyectos de infraestructura institucional – sitios de reclusión”,</w:t>
            </w:r>
            <w:r w:rsidRPr="00F6115A">
              <w:rPr>
                <w:rFonts w:ascii="Verdana" w:eastAsia="Calibri" w:hAnsi="Verdana" w:cs="Times New Roman"/>
                <w:lang w:eastAsia="es-MX"/>
              </w:rPr>
              <w:t xml:space="preserve"> se incluyen las siguientes actividades sobre las cuales -eventualmente- puede recaer el proyecto por el que indaga en su solicitud:  </w:t>
            </w:r>
          </w:p>
          <w:p w14:paraId="1FAAB767" w14:textId="77777777" w:rsidR="00F6115A" w:rsidRPr="00F6115A" w:rsidRDefault="00F6115A" w:rsidP="00F6115A">
            <w:pPr>
              <w:spacing w:line="276" w:lineRule="auto"/>
              <w:ind w:firstLine="708"/>
              <w:jc w:val="both"/>
              <w:rPr>
                <w:rFonts w:ascii="Verdana" w:eastAsia="Calibri" w:hAnsi="Verdana" w:cs="Times New Roman"/>
                <w:lang w:eastAsia="es-MX"/>
              </w:rPr>
            </w:pPr>
          </w:p>
          <w:p w14:paraId="734ABC16" w14:textId="77777777" w:rsidR="00F6115A" w:rsidRPr="00F6115A" w:rsidRDefault="00F6115A" w:rsidP="00F6115A">
            <w:pPr>
              <w:ind w:left="720"/>
              <w:contextualSpacing/>
              <w:jc w:val="both"/>
              <w:rPr>
                <w:rFonts w:ascii="Verdana" w:eastAsia="Times New Roman" w:hAnsi="Verdana" w:cs="Aptos"/>
                <w:sz w:val="21"/>
                <w:szCs w:val="21"/>
                <w:lang w:eastAsia="es-MX"/>
              </w:rPr>
            </w:pPr>
            <w:r w:rsidRPr="00F6115A">
              <w:rPr>
                <w:rFonts w:ascii="Verdana" w:eastAsia="Times New Roman" w:hAnsi="Verdana" w:cs="Aptos"/>
                <w:sz w:val="21"/>
                <w:szCs w:val="21"/>
                <w:lang w:eastAsia="es-MX"/>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w:t>
            </w:r>
          </w:p>
          <w:p w14:paraId="151E97BF" w14:textId="77777777" w:rsidR="00F6115A" w:rsidRPr="00F6115A" w:rsidRDefault="00F6115A" w:rsidP="00F6115A">
            <w:pPr>
              <w:ind w:left="720"/>
              <w:contextualSpacing/>
              <w:jc w:val="both"/>
              <w:rPr>
                <w:rFonts w:ascii="Verdana" w:eastAsia="Times New Roman" w:hAnsi="Verdana" w:cs="Aptos"/>
                <w:sz w:val="21"/>
                <w:szCs w:val="21"/>
                <w:lang w:eastAsia="es-MX"/>
              </w:rPr>
            </w:pPr>
          </w:p>
          <w:p w14:paraId="51B048B0" w14:textId="77777777" w:rsidR="00F6115A" w:rsidRPr="00F6115A" w:rsidRDefault="00F6115A" w:rsidP="00F6115A">
            <w:pPr>
              <w:ind w:left="720"/>
              <w:contextualSpacing/>
              <w:jc w:val="both"/>
              <w:rPr>
                <w:rFonts w:ascii="Verdana" w:eastAsia="Times New Roman" w:hAnsi="Verdana" w:cs="Aptos"/>
                <w:sz w:val="21"/>
                <w:szCs w:val="21"/>
                <w:lang w:eastAsia="es-MX"/>
              </w:rPr>
            </w:pPr>
            <w:r w:rsidRPr="00F6115A">
              <w:rPr>
                <w:rFonts w:ascii="Verdana" w:eastAsia="Times New Roman" w:hAnsi="Verdana" w:cs="Aptos"/>
                <w:sz w:val="21"/>
                <w:szCs w:val="21"/>
                <w:lang w:eastAsia="es-MX"/>
              </w:rPr>
              <w:t xml:space="preserve">3.2.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INSTITUCIONAL - SITIOS DE RECLUSIÓN”.  </w:t>
            </w:r>
          </w:p>
          <w:p w14:paraId="72E15AA8" w14:textId="77777777" w:rsidR="00F6115A" w:rsidRPr="00F6115A" w:rsidRDefault="00F6115A" w:rsidP="00F6115A">
            <w:pPr>
              <w:spacing w:line="276" w:lineRule="auto"/>
              <w:jc w:val="both"/>
              <w:rPr>
                <w:rFonts w:ascii="Verdana" w:eastAsia="Arial" w:hAnsi="Verdana" w:cs="Aptos"/>
                <w:lang w:eastAsia="es-ES"/>
              </w:rPr>
            </w:pPr>
          </w:p>
          <w:p w14:paraId="4A5FCD40" w14:textId="77777777" w:rsidR="00F6115A" w:rsidRPr="00F6115A" w:rsidRDefault="00F6115A" w:rsidP="00F6115A">
            <w:pPr>
              <w:spacing w:after="120" w:line="276" w:lineRule="auto"/>
              <w:ind w:firstLine="708"/>
              <w:jc w:val="both"/>
              <w:rPr>
                <w:rFonts w:ascii="Verdana" w:eastAsia="Times New Roman" w:hAnsi="Verdana" w:cs="Times New Roman"/>
                <w:color w:val="000000"/>
                <w:lang w:eastAsia="es-CO"/>
              </w:rPr>
            </w:pPr>
            <w:r w:rsidRPr="00F6115A">
              <w:rPr>
                <w:rFonts w:ascii="Verdana" w:eastAsia="Times New Roman" w:hAnsi="Verdana" w:cs="Aptos"/>
                <w:lang w:eastAsia="es-MX"/>
              </w:rPr>
              <w:t xml:space="preserve">Las actividades señaladas, contenida en la Matriz 1 – Experiencia de los Documentos Tipo del sector Institucional, de manera general corresponde a proyectos de adecuación y/o conservación y/o intervención y/o instalación y/o mantenimiento y/o mejoramiento y/o modificación u optimización y/o rehabilitación y/o remodelación y/o reposición y/o reparación locativa y/o restauración y/o restitución y/o terminación que recaigan sobre -respectivamente- infraestructura de servicio público y/o infraestructura de sitios de reclusión. </w:t>
            </w:r>
            <w:r w:rsidRPr="00F6115A">
              <w:rPr>
                <w:rFonts w:ascii="Verdana" w:eastAsia="Times New Roman" w:hAnsi="Verdana" w:cs="Times New Roman"/>
                <w:color w:val="000000"/>
                <w:lang w:eastAsia="es-CO"/>
              </w:rPr>
              <w:t xml:space="preserve">Esto es importante para precisar el ámbito de aplicación de </w:t>
            </w:r>
            <w:r w:rsidRPr="00F6115A">
              <w:rPr>
                <w:rFonts w:ascii="Verdana" w:eastAsia="Times New Roman" w:hAnsi="Verdana" w:cs="Times New Roman"/>
                <w:color w:val="000000"/>
                <w:lang w:eastAsia="es-CO"/>
              </w:rPr>
              <w:lastRenderedPageBreak/>
              <w:t>los Documentos Tipo de este sector adoptados en de las Resoluciones 539, 540 y 541 de 2025.</w:t>
            </w:r>
          </w:p>
          <w:p w14:paraId="5851F195" w14:textId="3874A1C8" w:rsidR="00F6115A" w:rsidRPr="00F6115A" w:rsidRDefault="00F6115A" w:rsidP="00F6115A">
            <w:pPr>
              <w:spacing w:after="120" w:line="276" w:lineRule="auto"/>
              <w:ind w:firstLine="708"/>
              <w:jc w:val="both"/>
              <w:rPr>
                <w:rFonts w:ascii="Verdana" w:eastAsia="Calibri" w:hAnsi="Verdana" w:cs="Times New Roman"/>
                <w:kern w:val="2"/>
                <w:lang w:val="es-ES"/>
                <w14:ligatures w14:val="standardContextual"/>
              </w:rPr>
            </w:pPr>
            <w:r w:rsidRPr="00F6115A">
              <w:rPr>
                <w:rFonts w:ascii="Verdana" w:eastAsia="Aptos" w:hAnsi="Verdana" w:cs="Times New Roman"/>
                <w:color w:val="000000"/>
                <w:kern w:val="2"/>
                <w:lang w:eastAsia="es-CO"/>
                <w14:ligatures w14:val="standardContextual"/>
              </w:rPr>
              <w:t xml:space="preserve">La nota general 1 de la </w:t>
            </w:r>
            <w:r w:rsidRPr="00F6115A">
              <w:rPr>
                <w:rFonts w:ascii="Verdana" w:eastAsia="Arial" w:hAnsi="Verdana" w:cs="Aptos"/>
                <w:kern w:val="2"/>
                <w:lang w:eastAsia="es-ES"/>
                <w14:ligatures w14:val="standardContextual"/>
              </w:rPr>
              <w:t>Matriz 1</w:t>
            </w:r>
            <w:r w:rsidRPr="00F6115A">
              <w:rPr>
                <w:rFonts w:ascii="Verdana" w:eastAsia="Calibri" w:hAnsi="Verdana" w:cs="Times New Roman"/>
                <w:kern w:val="2"/>
                <w:lang w:val="es-ES"/>
                <w14:ligatures w14:val="standardContextual"/>
              </w:rPr>
              <w:t xml:space="preserve">– Experiencia del Sector </w:t>
            </w:r>
            <w:r w:rsidR="007E5574">
              <w:rPr>
                <w:rFonts w:ascii="Verdana" w:eastAsia="Calibri" w:hAnsi="Verdana" w:cs="Times New Roman"/>
                <w:kern w:val="2"/>
                <w:lang w:val="es-ES"/>
                <w14:ligatures w14:val="standardContextual"/>
              </w:rPr>
              <w:t>Institucional</w:t>
            </w:r>
            <w:r w:rsidRPr="00F6115A">
              <w:rPr>
                <w:rFonts w:ascii="Verdana" w:eastAsia="Calibri" w:hAnsi="Verdana" w:cs="Times New Roman"/>
                <w:kern w:val="2"/>
                <w:lang w:val="es-ES"/>
                <w14:ligatures w14:val="standardContextual"/>
              </w:rPr>
              <w:t xml:space="preserve"> en las distintas modalidades de los Documentos Tipo adoptados por esta Agencia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5AADB918" w14:textId="77777777" w:rsidR="00F6115A" w:rsidRPr="00F6115A" w:rsidRDefault="00F6115A" w:rsidP="00F6115A">
            <w:pPr>
              <w:spacing w:after="120" w:line="276" w:lineRule="auto"/>
              <w:ind w:firstLine="708"/>
              <w:jc w:val="both"/>
              <w:rPr>
                <w:rFonts w:ascii="Verdana" w:eastAsia="Calibri" w:hAnsi="Verdana" w:cs="Arial"/>
                <w:kern w:val="2"/>
                <w:lang w:val="es-ES_tradnl"/>
                <w14:ligatures w14:val="standardContextual"/>
              </w:rPr>
            </w:pPr>
            <w:r w:rsidRPr="00F6115A">
              <w:rPr>
                <w:rFonts w:ascii="Verdana" w:eastAsia="Calibri" w:hAnsi="Verdana" w:cs="Times New Roman"/>
                <w:kern w:val="2"/>
                <w14:ligatures w14:val="standardContextual"/>
              </w:rPr>
              <w:t xml:space="preserve">La nota general 1 contenida en la Matriz 1 – Experiencia de los Documentos Tipo indicados, es congruente con </w:t>
            </w:r>
            <w:r w:rsidRPr="00F6115A">
              <w:rPr>
                <w:rFonts w:ascii="Verdana" w:eastAsia="Calibri" w:hAnsi="Verdana" w:cs="Arial"/>
                <w:kern w:val="2"/>
                <w:lang w:val="es-ES_tradnl"/>
                <w14:ligatures w14:val="standardContextual"/>
              </w:rPr>
              <w:t>el numeral 1.10 del documento base que dispone que “</w:t>
            </w:r>
            <w:r w:rsidRPr="00F6115A">
              <w:rPr>
                <w:rFonts w:ascii="Verdana" w:eastAsia="Calibri" w:hAnsi="Verdana" w:cs="Arial"/>
                <w:kern w:val="2"/>
                <w:lang w:val="es-MX"/>
                <w14:ligatures w14:val="standardContextual"/>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F6115A">
              <w:rPr>
                <w:rFonts w:ascii="Verdana" w:eastAsia="Calibri" w:hAnsi="Verdana" w:cs="Arial"/>
                <w:kern w:val="2"/>
                <w:lang w:val="es-ES_tradnl"/>
                <w14:ligatures w14:val="standardContextual"/>
              </w:rPr>
              <w:t>”.</w:t>
            </w:r>
          </w:p>
          <w:p w14:paraId="55A2B0FF" w14:textId="77777777" w:rsidR="00F6115A" w:rsidRPr="00F6115A" w:rsidRDefault="00F6115A" w:rsidP="00F6115A">
            <w:pPr>
              <w:spacing w:after="120" w:line="276" w:lineRule="auto"/>
              <w:ind w:firstLine="708"/>
              <w:jc w:val="both"/>
              <w:rPr>
                <w:rFonts w:ascii="Verdana" w:eastAsia="Calibri" w:hAnsi="Verdana" w:cs="Times New Roman"/>
                <w:kern w:val="2"/>
                <w14:ligatures w14:val="standardContextual"/>
              </w:rPr>
            </w:pPr>
            <w:r w:rsidRPr="00F6115A">
              <w:rPr>
                <w:rFonts w:ascii="Verdana" w:eastAsia="Calibri" w:hAnsi="Verdana" w:cs="Times New Roman"/>
                <w:kern w:val="2"/>
                <w14:ligatures w14:val="standardContextual"/>
              </w:rPr>
              <w:t xml:space="preserve">Considerando que de acuerdo con el artículo 95 de la Ley 1709 de 2014 que adiciona un parágrafo al artículo 187 de le Ley 1098 de 2006 “Los Centros de Atención Especializada funcionarán bajo el asesoramiento del Sistema Nacional Penitenciario y Carcelario en lo relativo a las medidas de seguridad y administración, de conformidad con la función protectora, restaurativa y educativa de la medida de privación de la libertad” y que de acuerdo con el Instituto Colombiano de Bienestar Familiar estos corresponden a “(…) una sanción de privación de libertad ordenada por una autoridad judicial, en la que no se permite al adolescente o joven, declarado penalmente responsable, salir por su propia voluntad”. Del contenido de la citada disposición, se puede concluirse que, los establecimientos a los que se refiere dicha disposición corresponden de alguna forma a lugares de reclusión, con un enfoque integral que busca garantizar la protección de los derechos, la resocialización y el desarrollo de los adolescentes sujetos a la medida. </w:t>
            </w:r>
          </w:p>
          <w:p w14:paraId="5D6D1A53" w14:textId="77777777" w:rsidR="00F6115A" w:rsidRPr="00F6115A" w:rsidRDefault="00F6115A" w:rsidP="00F6115A">
            <w:pPr>
              <w:spacing w:after="120" w:line="276" w:lineRule="auto"/>
              <w:ind w:firstLine="708"/>
              <w:jc w:val="both"/>
              <w:rPr>
                <w:rFonts w:ascii="Verdana" w:eastAsia="Calibri" w:hAnsi="Verdana" w:cs="Arial"/>
                <w:color w:val="0D0D0D"/>
                <w:lang w:eastAsia="es-MX"/>
              </w:rPr>
            </w:pPr>
            <w:r w:rsidRPr="00F6115A">
              <w:rPr>
                <w:rFonts w:ascii="Verdana" w:eastAsia="Calibri" w:hAnsi="Verdana" w:cs="Arial"/>
                <w:kern w:val="2"/>
                <w14:ligatures w14:val="standardContextual"/>
              </w:rPr>
              <w:t xml:space="preserve">Conforme con lo anterior, en criterio de la Agencia Nacional de Contratación Pública – Colombia Compra Eficiente sí la naturaleza de los Centros de Atención Especializados es la que se señaló de forma precedente, estos podrían enmarcarse dentro del tipo de obra de Infraestructura Institucional – Sitios de Reclusión, que de acuerdo con la norma </w:t>
            </w:r>
            <w:r w:rsidRPr="00F6115A">
              <w:rPr>
                <w:rFonts w:ascii="Verdana" w:eastAsia="Calibri" w:hAnsi="Verdana" w:cs="Arial"/>
                <w:color w:val="0D0D0D"/>
                <w:kern w:val="2"/>
                <w14:ligatures w14:val="standardContextual"/>
              </w:rPr>
              <w:t xml:space="preserve">NSR-10 </w:t>
            </w:r>
            <w:r w:rsidRPr="00F6115A">
              <w:rPr>
                <w:rFonts w:ascii="Verdana" w:eastAsia="Calibri" w:hAnsi="Verdana" w:cs="Arial"/>
                <w:color w:val="0D0D0D"/>
                <w:lang w:eastAsia="es-MX"/>
              </w:rPr>
              <w:t xml:space="preserve">en el </w:t>
            </w:r>
            <w:r w:rsidRPr="00F6115A">
              <w:rPr>
                <w:rFonts w:ascii="Verdana" w:eastAsia="Calibri" w:hAnsi="Verdana" w:cs="Arial"/>
                <w:color w:val="0D0D0D"/>
                <w:lang w:eastAsia="es-MX"/>
              </w:rPr>
              <w:lastRenderedPageBreak/>
              <w:t>Subgrupo de Ocupación Institucional de Reclusión (I-1) “</w:t>
            </w:r>
            <w:r w:rsidRPr="00F6115A">
              <w:rPr>
                <w:rFonts w:ascii="Verdana" w:eastAsia="Times New Roman" w:hAnsi="Verdana" w:cs="Times New Roman"/>
                <w:lang w:eastAsia="es-MX"/>
              </w:rPr>
              <w:t>se clasifican las edificaciones o espacios empleados en la reclusión de personas con libertad restringida por razones penales, correccionales o de limitación mental.</w:t>
            </w:r>
            <w:r w:rsidRPr="00F6115A">
              <w:rPr>
                <w:rFonts w:ascii="Verdana" w:eastAsia="Calibri" w:hAnsi="Verdana" w:cs="Arial"/>
                <w:color w:val="0D0D0D"/>
                <w:lang w:eastAsia="es-MX"/>
              </w:rPr>
              <w:t>”</w:t>
            </w:r>
            <w:r w:rsidRPr="00F6115A">
              <w:rPr>
                <w:rFonts w:ascii="Verdana" w:eastAsia="Calibri" w:hAnsi="Verdana" w:cs="Arial"/>
                <w:color w:val="0D0D0D"/>
                <w:vertAlign w:val="superscript"/>
                <w:lang w:eastAsia="es-MX"/>
              </w:rPr>
              <w:footnoteReference w:id="2"/>
            </w:r>
            <w:r w:rsidRPr="00F6115A">
              <w:rPr>
                <w:rFonts w:ascii="Verdana" w:eastAsia="Calibri" w:hAnsi="Verdana" w:cs="Arial"/>
                <w:color w:val="0D0D0D"/>
                <w:lang w:eastAsia="es-MX"/>
              </w:rPr>
              <w:t>. Entre las edificaciones o espacios que pertenecen a este Subgrupo se encuentran las siguientes: “presiones, reformatorios, cárceles, manicomios, asilos y otros similares”</w:t>
            </w:r>
            <w:r w:rsidRPr="00F6115A">
              <w:rPr>
                <w:rFonts w:ascii="Verdana" w:eastAsia="Calibri" w:hAnsi="Verdana" w:cs="Arial"/>
                <w:color w:val="0D0D0D"/>
                <w:vertAlign w:val="superscript"/>
                <w:lang w:eastAsia="es-MX"/>
              </w:rPr>
              <w:footnoteReference w:id="3"/>
            </w:r>
            <w:r w:rsidRPr="00F6115A">
              <w:rPr>
                <w:rFonts w:ascii="Verdana" w:eastAsia="Calibri" w:hAnsi="Verdana" w:cs="Arial"/>
                <w:color w:val="0D0D0D"/>
                <w:lang w:eastAsia="es-MX"/>
              </w:rPr>
              <w:t xml:space="preserve">. </w:t>
            </w:r>
          </w:p>
          <w:p w14:paraId="3D97CD60" w14:textId="77777777" w:rsidR="00F6115A" w:rsidRPr="00F6115A" w:rsidRDefault="00F6115A" w:rsidP="00F6115A">
            <w:pPr>
              <w:spacing w:after="120"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 xml:space="preserve">La expresión “otros similares” en el Subgrupo de Ocupación Institucional de Reclusión (I-1) de la NSR-10 debe interpretarse de manera restrictiva y funcional, en el sentido de que comprende aquellas edificaciones o espacios que, aunque no estén expresamente mencionados, comparten las características esenciales de prisiones, cárceles, reformatorios, manicomios o asilos. Esto es, lugares sometidos a control y vigilancia institucional, con una organización orientada a la custodia, supervisión y permanencia de sus ocupantes por razones penales, correccionales, médicas o de protección. En consecuencia, la expresión abarca aquellos establecimientos cuya finalidad material sea la custodia o supervisión institucional de personas, independientemente de su denominación formal. </w:t>
            </w:r>
          </w:p>
          <w:p w14:paraId="03AEB2F2" w14:textId="77777777" w:rsidR="00F6115A" w:rsidRPr="00F6115A" w:rsidRDefault="00F6115A" w:rsidP="00F6115A">
            <w:pPr>
              <w:spacing w:after="120"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Conforme con lo anterior, un Centro de Atención Especializada puede ser considerado un sitio de reclusión conforme al Subgrupo de Ocupación Institucional de Reclusión (I-1) de la NSR-10, en la medida en que, más allá de su denominación y enfoque pedagógico o restaurativo, presenta elementos funcionales coincidentes con las edificaciones allí previstas, tales como la existencia de control y vigilancia institucional, la organización de los espacios para la permanencia supervisada de sus ocupantes y la ejecución de medidas impuestas por una autoridad competente. En este sentido, se trata de un establecimiento cuya finalidad material implica la custodia y supervisión de personas dentro de un entorno institucional cerrado, lo que permite encuadrarlo dentro de la categoría de “otros similares” prevista en dicha clasificación normativa.</w:t>
            </w:r>
          </w:p>
          <w:p w14:paraId="6013A3F0" w14:textId="77777777" w:rsidR="00F6115A" w:rsidRPr="00F6115A" w:rsidRDefault="00F6115A" w:rsidP="00F6115A">
            <w:pPr>
              <w:spacing w:after="120"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 xml:space="preserve">Sin perjuicio de lo anterior, corresponderá a la entidad estatal que adelante el proceso de selección determinar, en cada caso concreto, si dicha </w:t>
            </w:r>
            <w:r w:rsidRPr="00F6115A">
              <w:rPr>
                <w:rFonts w:ascii="Verdana" w:eastAsia="Calibri" w:hAnsi="Verdana" w:cs="Arial"/>
                <w:kern w:val="2"/>
                <w14:ligatures w14:val="standardContextual"/>
              </w:rPr>
              <w:lastRenderedPageBreak/>
              <w:t>naturaleza es la predominante o si, por el contrario, el proyecto debe clasificarse como una edificación institucional de servicio público, de conformidad con el alcance previsto para la aplicación de la actividad 2.2 contenida en la Matriz 1 de experiencia de los documentos tipo de infraestructura institucional.</w:t>
            </w:r>
          </w:p>
          <w:p w14:paraId="6C85069A" w14:textId="21858307" w:rsidR="00F6115A" w:rsidRPr="00F6115A" w:rsidRDefault="00F6115A" w:rsidP="00F6115A">
            <w:pPr>
              <w:spacing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 xml:space="preserve">Considerando que, aunque el objeto del proceso de selección por el que se indaga en la solicitud se ejecuta sobre una infraestructura institucional denominada “Centro de Atención Especializada – CAE”, este se refiere a las obras de “mantenimiento integral, reparación, conservación, mejoramiento y adecuaciones técnicas y locativas de la Planta de Tratamiento de Agua Potable (PTAP)”, la entidad que adelanta el proceso de selección puede revisar </w:t>
            </w:r>
            <w:r w:rsidR="00737EC5">
              <w:rPr>
                <w:rFonts w:ascii="Verdana" w:eastAsia="Calibri" w:hAnsi="Verdana" w:cs="Arial"/>
                <w:kern w:val="2"/>
                <w14:ligatures w14:val="standardContextual"/>
              </w:rPr>
              <w:t>las reglas de combinación de experiencia definidas en el numeral 3.5.1.</w:t>
            </w:r>
            <w:r w:rsidR="007D32EB">
              <w:rPr>
                <w:rFonts w:ascii="Verdana" w:eastAsia="Calibri" w:hAnsi="Verdana" w:cs="Arial"/>
                <w:kern w:val="2"/>
                <w14:ligatures w14:val="standardContextual"/>
              </w:rPr>
              <w:t xml:space="preserve"> del documento base y </w:t>
            </w:r>
            <w:r w:rsidRPr="00F6115A">
              <w:rPr>
                <w:rFonts w:ascii="Verdana" w:eastAsia="Calibri" w:hAnsi="Verdana" w:cs="Arial"/>
                <w:kern w:val="2"/>
                <w14:ligatures w14:val="standardContextual"/>
              </w:rPr>
              <w:t>la Matriz 1 – Experiencia de los Documentos Tipo de licitación de obra pública de agua potable y saneamiento básico. Lo anterior, teniendo en cuenta que en el capítulo cuatro (4), “Obras para PTAP (Planta de Tratamiento de Agua Potable) y/o PTAR (Planta de Tratamiento de Aguas Residuales)”, se incluye la siguiente actividad, sobre la cual eventualmente podría recaer el objeto de selección planteado:</w:t>
            </w:r>
          </w:p>
          <w:p w14:paraId="465B28AC" w14:textId="77777777" w:rsidR="00F6115A" w:rsidRPr="00F6115A" w:rsidRDefault="00F6115A" w:rsidP="00F6115A">
            <w:pPr>
              <w:spacing w:line="276" w:lineRule="auto"/>
              <w:ind w:firstLine="708"/>
              <w:jc w:val="both"/>
              <w:rPr>
                <w:rFonts w:ascii="Verdana" w:eastAsia="Calibri" w:hAnsi="Verdana" w:cs="Arial"/>
                <w:kern w:val="2"/>
                <w14:ligatures w14:val="standardContextual"/>
              </w:rPr>
            </w:pPr>
          </w:p>
          <w:p w14:paraId="32342986" w14:textId="77777777" w:rsidR="00F6115A" w:rsidRPr="00F6115A" w:rsidRDefault="00F6115A" w:rsidP="00F6115A">
            <w:pPr>
              <w:ind w:left="709" w:right="709"/>
              <w:contextualSpacing/>
              <w:jc w:val="both"/>
              <w:rPr>
                <w:rFonts w:ascii="Verdana" w:eastAsia="Calibri" w:hAnsi="Verdana" w:cs="Calibri"/>
                <w:kern w:val="2"/>
                <w:sz w:val="21"/>
                <w:szCs w:val="21"/>
                <w14:ligatures w14:val="standardContextual"/>
              </w:rPr>
            </w:pPr>
            <w:r w:rsidRPr="00F6115A">
              <w:rPr>
                <w:rFonts w:ascii="Verdana" w:eastAsia="Calibri" w:hAnsi="Verdana" w:cs="Calibri"/>
                <w:kern w:val="2"/>
                <w:sz w:val="21"/>
                <w:szCs w:val="21"/>
                <w14:ligatures w14:val="standardContextual"/>
              </w:rPr>
              <w:t>“4.3 PROYECTOS DE OPTIMIZACIÓN Y/O MEJORAMIENTO Y/O ADECUACIÓN Y/O REFORZAMIENTO  Y/O REHABILITACIÓN Y/O MANTENIMIENTO DE PTAP Y/U OBRAS COMPLEMENTARIAS”.</w:t>
            </w:r>
          </w:p>
          <w:p w14:paraId="1629C7C2" w14:textId="77777777" w:rsidR="00F6115A" w:rsidRPr="00F6115A" w:rsidRDefault="00F6115A" w:rsidP="00F6115A">
            <w:pPr>
              <w:jc w:val="both"/>
              <w:rPr>
                <w:rFonts w:ascii="Calibri" w:eastAsia="Calibri" w:hAnsi="Calibri" w:cs="Calibri"/>
                <w:i/>
                <w:iCs/>
                <w:kern w:val="2"/>
                <w14:ligatures w14:val="standardContextual"/>
              </w:rPr>
            </w:pPr>
          </w:p>
          <w:p w14:paraId="5BE11B4B" w14:textId="3AF00542" w:rsidR="00F6115A" w:rsidRPr="00F6115A" w:rsidRDefault="00F6115A" w:rsidP="00F6115A">
            <w:pPr>
              <w:spacing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Sin embargo, es preciso indicar que corresponde a la entidad que adelanta el proceso de selección determinar, a través de sus estudios previos o de los documentos técnicos que hagan parte del proceso, en cuál de estas actividades puede enmarcarse, así como establecer si resulta conveniente la aplicación de las reglas de combinación de experiencia incluidas en el numeral “3.5.</w:t>
            </w:r>
            <w:r w:rsidR="0021007C">
              <w:rPr>
                <w:rFonts w:ascii="Verdana" w:eastAsia="Calibri" w:hAnsi="Verdana" w:cs="Arial"/>
                <w:kern w:val="2"/>
                <w14:ligatures w14:val="standardContextual"/>
              </w:rPr>
              <w:t>1</w:t>
            </w:r>
            <w:r w:rsidRPr="00F6115A">
              <w:rPr>
                <w:rFonts w:ascii="Verdana" w:eastAsia="Calibri" w:hAnsi="Verdana" w:cs="Arial"/>
                <w:kern w:val="2"/>
                <w14:ligatures w14:val="standardContextual"/>
              </w:rPr>
              <w:t xml:space="preserve"> Características de los contratos presentados para acreditar la experiencia exigida” del documento base. </w:t>
            </w:r>
            <w:r w:rsidRPr="00F6115A">
              <w:rPr>
                <w:rFonts w:ascii="Verdana" w:eastAsia="Aptos" w:hAnsi="Verdana" w:cs="Aptos"/>
                <w:lang w:eastAsia="es-MX"/>
              </w:rPr>
              <w:t xml:space="preserve">Sobre el particular, se anexa el concepto C-186 de 2026 que desarrolla las reglas de combinación de la experiencia.  </w:t>
            </w:r>
          </w:p>
          <w:p w14:paraId="65E0E077" w14:textId="77777777" w:rsidR="00F6115A" w:rsidRPr="00F6115A" w:rsidRDefault="00F6115A" w:rsidP="00F6115A">
            <w:pPr>
              <w:spacing w:line="276" w:lineRule="auto"/>
              <w:ind w:firstLine="708"/>
              <w:jc w:val="both"/>
              <w:rPr>
                <w:rFonts w:ascii="Verdana" w:eastAsia="Aptos" w:hAnsi="Verdana" w:cs="Aptos"/>
                <w:lang w:eastAsia="es-MX"/>
              </w:rPr>
            </w:pPr>
          </w:p>
          <w:p w14:paraId="7F10155C" w14:textId="77777777" w:rsidR="00F6115A" w:rsidRPr="00F6115A" w:rsidRDefault="00F6115A" w:rsidP="00F6115A">
            <w:pPr>
              <w:snapToGrid w:val="0"/>
              <w:spacing w:after="120" w:line="276" w:lineRule="auto"/>
              <w:jc w:val="both"/>
              <w:rPr>
                <w:rFonts w:ascii="Verdana" w:eastAsia="Times New Roman" w:hAnsi="Verdana" w:cs="Arial"/>
                <w:shd w:val="clear" w:color="auto" w:fill="FFFFFF"/>
                <w:lang w:val="es-ES_tradnl" w:eastAsia="es-ES_tradnl"/>
              </w:rPr>
            </w:pPr>
            <w:r w:rsidRPr="00F6115A">
              <w:rPr>
                <w:rFonts w:ascii="Verdana" w:eastAsia="Aptos" w:hAnsi="Verdana" w:cs="Aptos"/>
                <w:lang w:eastAsia="es-MX"/>
              </w:rPr>
              <w:t xml:space="preserve">Sin perjuicio de las aclaraciones anteriores, debe advertirse que es la entidad contratante, al momento de adelantar sus actividades de planeación de cada proceso contractual, quien debe determinar si de acuerdo con las </w:t>
            </w:r>
            <w:r w:rsidRPr="00F6115A">
              <w:rPr>
                <w:rFonts w:ascii="Verdana" w:eastAsia="Aptos" w:hAnsi="Verdana" w:cs="Aptos"/>
                <w:lang w:eastAsia="es-MX"/>
              </w:rPr>
              <w:lastRenderedPageBreak/>
              <w:t>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F6115A">
              <w:rPr>
                <w:rFonts w:ascii="Verdana" w:eastAsia="Times New Roman" w:hAnsi="Verdana" w:cs="Arial"/>
                <w:shd w:val="clear" w:color="auto" w:fill="FFFFFF"/>
                <w:lang w:val="es-ES_tradnl" w:eastAsia="es-ES_tradnl"/>
              </w:rPr>
              <w:t xml:space="preserve"> </w:t>
            </w:r>
          </w:p>
        </w:tc>
      </w:tr>
    </w:tbl>
    <w:p w14:paraId="3C196AD3" w14:textId="77777777" w:rsidR="00F6115A" w:rsidRPr="00F6115A" w:rsidRDefault="00F6115A" w:rsidP="00F6115A">
      <w:pPr>
        <w:tabs>
          <w:tab w:val="left" w:pos="142"/>
          <w:tab w:val="left" w:pos="284"/>
        </w:tabs>
        <w:spacing w:after="0" w:line="276" w:lineRule="auto"/>
        <w:jc w:val="both"/>
        <w:rPr>
          <w:rFonts w:ascii="Verdana" w:eastAsia="Century Gothic" w:hAnsi="Verdana" w:cs="Century Gothic"/>
          <w:b/>
          <w:bCs/>
          <w:lang w:val="es-ES" w:eastAsia="es-MX"/>
        </w:rPr>
      </w:pPr>
    </w:p>
    <w:p w14:paraId="3623E7FC" w14:textId="77777777" w:rsidR="00F6115A" w:rsidRPr="00F6115A" w:rsidRDefault="00F6115A" w:rsidP="00F6115A">
      <w:pPr>
        <w:tabs>
          <w:tab w:val="left" w:pos="142"/>
          <w:tab w:val="left" w:pos="284"/>
        </w:tabs>
        <w:spacing w:after="0" w:line="276" w:lineRule="auto"/>
        <w:jc w:val="both"/>
        <w:rPr>
          <w:rFonts w:ascii="Verdana" w:eastAsia="Century Gothic" w:hAnsi="Verdana" w:cs="Century Gothic"/>
          <w:b/>
          <w:bCs/>
          <w:lang w:val="es-ES" w:eastAsia="es-MX"/>
        </w:rPr>
      </w:pPr>
      <w:r w:rsidRPr="00F6115A">
        <w:rPr>
          <w:rFonts w:ascii="Verdana" w:eastAsia="Century Gothic" w:hAnsi="Verdana" w:cs="Century Gothic"/>
          <w:b/>
          <w:bCs/>
          <w:lang w:val="es-ES" w:eastAsia="es-MX"/>
        </w:rPr>
        <w:t>3. Razones de la respuesta:</w:t>
      </w:r>
    </w:p>
    <w:p w14:paraId="1A878564" w14:textId="77777777" w:rsidR="00F6115A" w:rsidRPr="00F6115A" w:rsidRDefault="00F6115A" w:rsidP="00F6115A">
      <w:pPr>
        <w:spacing w:after="0" w:line="276" w:lineRule="auto"/>
        <w:jc w:val="both"/>
        <w:rPr>
          <w:rFonts w:ascii="Verdana" w:eastAsia="Calibri" w:hAnsi="Verdana" w:cs="Arial"/>
          <w:lang w:val="es-ES" w:eastAsia="es-MX"/>
        </w:rPr>
      </w:pPr>
    </w:p>
    <w:p w14:paraId="5C1514CF" w14:textId="77777777" w:rsidR="00F6115A" w:rsidRPr="00F6115A" w:rsidRDefault="00F6115A" w:rsidP="00F6115A">
      <w:pPr>
        <w:spacing w:after="0" w:line="276" w:lineRule="auto"/>
        <w:jc w:val="both"/>
        <w:rPr>
          <w:rFonts w:ascii="Verdana" w:eastAsia="Calibri" w:hAnsi="Verdana" w:cs="Arial"/>
          <w:lang w:val="es-ES" w:eastAsia="es-MX"/>
        </w:rPr>
      </w:pPr>
      <w:r w:rsidRPr="00F6115A">
        <w:rPr>
          <w:rFonts w:ascii="Verdana" w:eastAsia="Calibri" w:hAnsi="Verdana" w:cs="Arial"/>
          <w:lang w:val="es-ES" w:eastAsia="es-MX"/>
        </w:rPr>
        <w:t xml:space="preserve">Lo anterior se sustenta en las siguientes consideraciones: </w:t>
      </w:r>
    </w:p>
    <w:p w14:paraId="2FCC2DFB" w14:textId="77777777" w:rsidR="00F6115A" w:rsidRPr="00F6115A" w:rsidRDefault="00F6115A" w:rsidP="00F6115A">
      <w:pPr>
        <w:spacing w:after="0" w:line="276" w:lineRule="auto"/>
        <w:jc w:val="both"/>
        <w:rPr>
          <w:rFonts w:ascii="Verdana" w:eastAsia="Calibri" w:hAnsi="Verdana" w:cs="Arial"/>
          <w:lang w:val="es-ES" w:eastAsia="es-MX"/>
        </w:rPr>
      </w:pPr>
    </w:p>
    <w:p w14:paraId="470CB56C" w14:textId="77777777" w:rsidR="00F6115A" w:rsidRPr="00F6115A" w:rsidRDefault="00F6115A" w:rsidP="00F6115A">
      <w:pPr>
        <w:spacing w:after="120" w:line="276" w:lineRule="auto"/>
        <w:jc w:val="both"/>
        <w:rPr>
          <w:rFonts w:ascii="Verdana" w:eastAsia="Aptos" w:hAnsi="Verdana" w:cs="Arial"/>
          <w:lang w:eastAsia="es-MX"/>
        </w:rPr>
      </w:pPr>
      <w:r w:rsidRPr="00F6115A">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D98D5C3" w14:textId="77777777" w:rsidR="00F6115A" w:rsidRPr="00F6115A" w:rsidRDefault="00F6115A" w:rsidP="00F6115A">
      <w:pPr>
        <w:spacing w:after="120" w:line="276" w:lineRule="auto"/>
        <w:ind w:firstLine="708"/>
        <w:jc w:val="both"/>
        <w:rPr>
          <w:rFonts w:ascii="Verdana" w:eastAsia="Aptos" w:hAnsi="Verdana" w:cs="Arial"/>
          <w:lang w:val="es-ES" w:eastAsia="es-MX"/>
        </w:rPr>
      </w:pPr>
      <w:r w:rsidRPr="00F6115A">
        <w:rPr>
          <w:rFonts w:ascii="Verdana" w:eastAsia="Aptos" w:hAnsi="Verdana" w:cs="Arial"/>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B4D7865" w14:textId="77777777" w:rsidR="00F6115A" w:rsidRPr="00F6115A" w:rsidRDefault="00F6115A" w:rsidP="00F6115A">
      <w:pPr>
        <w:spacing w:after="120" w:line="276" w:lineRule="auto"/>
        <w:ind w:firstLine="708"/>
        <w:jc w:val="both"/>
        <w:rPr>
          <w:rFonts w:ascii="Verdana" w:eastAsia="Aptos" w:hAnsi="Verdana" w:cs="Arial"/>
          <w:lang w:eastAsia="es-MX"/>
        </w:rPr>
      </w:pPr>
      <w:r w:rsidRPr="00F6115A">
        <w:rPr>
          <w:rFonts w:ascii="Verdana" w:eastAsia="Calibri" w:hAnsi="Verdana" w:cs="Times New Roman"/>
          <w:lang w:val="es-ES" w:eastAsia="es-MX"/>
        </w:rPr>
        <w:t xml:space="preserve">En el sector de infraestructura de agua potable y saneamiento básico, la Agencia Nacional de Contratación Pública – Colombia Compra Eficiente, mediante la Resolución 248 del 1 de diciembre de 2020, adoptó los Documentos Tipo para los procesos de licitación pública para obras de infraestructura de agua potable y saneamiento básico. Por su parte, mediante la Resolución 249 del 1 de diciembre de 2025, esta Agencia expidió los Documentos Tipo para los procesos de licitación pública para obras de infraestructura de agua potable y saneamiento básico en la modalidad de llave en mano. Finalmente, por medio </w:t>
      </w:r>
      <w:r w:rsidRPr="00F6115A">
        <w:rPr>
          <w:rFonts w:ascii="Verdana" w:eastAsia="Calibri" w:hAnsi="Verdana" w:cs="Times New Roman"/>
          <w:lang w:val="es-ES" w:eastAsia="es-MX"/>
        </w:rPr>
        <w:lastRenderedPageBreak/>
        <w:t>de la Resolución 333 del 27 de julio de 2022, esta Entidad expidió los Documentos Tipo para los procesos de selección de interventoría de obra pública de infraestructura de agua potable y saneamiento básico que se adelanten por la modalidad de concurso de méritos.</w:t>
      </w:r>
    </w:p>
    <w:p w14:paraId="6610C3BC" w14:textId="77777777" w:rsidR="00F6115A" w:rsidRPr="00F6115A" w:rsidRDefault="00F6115A" w:rsidP="00F6115A">
      <w:pPr>
        <w:spacing w:after="120" w:line="276" w:lineRule="auto"/>
        <w:ind w:firstLine="708"/>
        <w:jc w:val="both"/>
        <w:rPr>
          <w:rFonts w:ascii="Verdana" w:eastAsia="Times New Roman" w:hAnsi="Verdana" w:cs="Times New Roman"/>
          <w:color w:val="000000"/>
          <w:lang w:eastAsia="es-CO"/>
        </w:rPr>
      </w:pPr>
      <w:r w:rsidRPr="00F6115A">
        <w:rPr>
          <w:rFonts w:ascii="Verdana" w:eastAsia="Aptos" w:hAnsi="Verdana" w:cs="Arial"/>
          <w:lang w:eastAsia="es-MX"/>
        </w:rPr>
        <w:t xml:space="preserve">En el sector social, </w:t>
      </w:r>
      <w:r w:rsidRPr="00F6115A">
        <w:rPr>
          <w:rFonts w:ascii="Verdana" w:eastAsia="Calibri" w:hAnsi="Verdana" w:cs="Arial"/>
          <w:lang w:val="es-MX" w:eastAsia="es-MX"/>
        </w:rPr>
        <w:t xml:space="preserve">la Agencia Nacional de Contratación Pública – Colombia Compra </w:t>
      </w:r>
      <w:r w:rsidRPr="00F6115A">
        <w:rPr>
          <w:rFonts w:ascii="Verdana" w:eastAsia="Calibri" w:hAnsi="Verdana" w:cs="Arial"/>
          <w:lang w:eastAsia="es-MX"/>
        </w:rPr>
        <w:t xml:space="preserve">Eficiente </w:t>
      </w:r>
      <w:r w:rsidRPr="00F6115A">
        <w:rPr>
          <w:rFonts w:ascii="Verdana" w:eastAsia="Times New Roman" w:hAnsi="Verdana" w:cs="Times New Roman"/>
          <w:color w:val="000000"/>
          <w:lang w:eastAsia="es-CO"/>
        </w:rPr>
        <w:t>en el segundo semestre del año 2025 adoptó las siguientes Resoluciones para contratar obra pública y concurso de méritos:</w:t>
      </w:r>
    </w:p>
    <w:p w14:paraId="2C31E5AE" w14:textId="77777777" w:rsidR="00F6115A" w:rsidRPr="00F6115A" w:rsidRDefault="00F6115A" w:rsidP="00F6115A">
      <w:pPr>
        <w:spacing w:after="120" w:line="276" w:lineRule="auto"/>
        <w:ind w:firstLine="708"/>
        <w:jc w:val="both"/>
        <w:rPr>
          <w:rFonts w:ascii="Verdana" w:eastAsia="Times New Roman" w:hAnsi="Verdana" w:cs="Times New Roman"/>
          <w:color w:val="000000"/>
          <w:lang w:eastAsia="es-CO"/>
        </w:rPr>
      </w:pPr>
      <w:r w:rsidRPr="00F6115A">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11450AA6" w14:textId="77777777" w:rsidR="00F6115A" w:rsidRPr="00F6115A" w:rsidRDefault="00F6115A" w:rsidP="00F6115A">
      <w:pPr>
        <w:spacing w:after="120" w:line="276" w:lineRule="auto"/>
        <w:ind w:firstLine="708"/>
        <w:jc w:val="both"/>
        <w:rPr>
          <w:rFonts w:ascii="Verdana" w:eastAsia="Times New Roman" w:hAnsi="Verdana" w:cs="Times New Roman"/>
          <w:color w:val="000000"/>
          <w:lang w:eastAsia="es-CO"/>
        </w:rPr>
      </w:pPr>
      <w:r w:rsidRPr="00F6115A">
        <w:rPr>
          <w:rFonts w:ascii="Verdana" w:eastAsia="Times New Roman" w:hAnsi="Verdana" w:cs="Times New Roman"/>
          <w:color w:val="000000"/>
          <w:lang w:eastAsia="es-CO"/>
        </w:rPr>
        <w:t xml:space="preserve"> </w:t>
      </w:r>
      <w:proofErr w:type="spellStart"/>
      <w:r w:rsidRPr="00F6115A">
        <w:rPr>
          <w:rFonts w:ascii="Verdana" w:eastAsia="Times New Roman" w:hAnsi="Verdana" w:cs="Times New Roman"/>
          <w:color w:val="000000"/>
          <w:lang w:eastAsia="es-CO"/>
        </w:rPr>
        <w:t>ii</w:t>
      </w:r>
      <w:proofErr w:type="spellEnd"/>
      <w:r w:rsidRPr="00F6115A">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20B62BE4" w14:textId="77777777" w:rsidR="00F6115A" w:rsidRPr="00F6115A" w:rsidRDefault="00F6115A" w:rsidP="00F6115A">
      <w:pPr>
        <w:spacing w:after="120" w:line="276" w:lineRule="auto"/>
        <w:ind w:firstLine="708"/>
        <w:jc w:val="both"/>
        <w:rPr>
          <w:rFonts w:ascii="Verdana" w:eastAsia="Times New Roman" w:hAnsi="Verdana" w:cs="Times New Roman"/>
          <w:color w:val="000000"/>
          <w:lang w:eastAsia="es-CO"/>
        </w:rPr>
      </w:pPr>
      <w:proofErr w:type="spellStart"/>
      <w:r w:rsidRPr="00F6115A">
        <w:rPr>
          <w:rFonts w:ascii="Verdana" w:eastAsia="Times New Roman" w:hAnsi="Verdana" w:cs="Times New Roman"/>
          <w:color w:val="000000"/>
          <w:lang w:eastAsia="es-CO"/>
        </w:rPr>
        <w:t>iii</w:t>
      </w:r>
      <w:proofErr w:type="spellEnd"/>
      <w:r w:rsidRPr="00F6115A">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7BE9C67" w14:textId="77777777" w:rsidR="00F6115A" w:rsidRPr="00F6115A" w:rsidRDefault="00F6115A" w:rsidP="00F6115A">
      <w:pPr>
        <w:spacing w:after="120" w:line="276" w:lineRule="auto"/>
        <w:ind w:firstLine="708"/>
        <w:jc w:val="both"/>
        <w:rPr>
          <w:rFonts w:ascii="Verdana" w:eastAsia="Times New Roman" w:hAnsi="Verdana" w:cs="Times New Roman"/>
          <w:color w:val="000000"/>
          <w:lang w:eastAsia="es-CO"/>
        </w:rPr>
      </w:pPr>
      <w:proofErr w:type="spellStart"/>
      <w:r w:rsidRPr="00F6115A">
        <w:rPr>
          <w:rFonts w:ascii="Verdana" w:eastAsia="Times New Roman" w:hAnsi="Verdana" w:cs="Times New Roman"/>
          <w:color w:val="000000"/>
          <w:lang w:eastAsia="es-CO"/>
        </w:rPr>
        <w:t>iv</w:t>
      </w:r>
      <w:proofErr w:type="spellEnd"/>
      <w:r w:rsidRPr="00F6115A">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3682D557" w14:textId="77777777" w:rsidR="00F6115A" w:rsidRPr="00F6115A" w:rsidRDefault="00F6115A" w:rsidP="00F6115A">
      <w:pPr>
        <w:spacing w:after="120" w:line="276" w:lineRule="auto"/>
        <w:ind w:firstLine="708"/>
        <w:jc w:val="both"/>
        <w:rPr>
          <w:rFonts w:ascii="Verdana" w:eastAsia="Times New Roman" w:hAnsi="Verdana" w:cs="Times New Roman"/>
          <w:color w:val="000000"/>
          <w:lang w:eastAsia="es-CO"/>
        </w:rPr>
      </w:pPr>
      <w:r w:rsidRPr="00F6115A">
        <w:rPr>
          <w:rFonts w:ascii="Verdana" w:eastAsia="Times New Roman" w:hAnsi="Verdana" w:cs="Times New Roman"/>
          <w:color w:val="000000"/>
          <w:lang w:eastAsia="es-CO"/>
        </w:rPr>
        <w:lastRenderedPageBreak/>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F6115A">
        <w:rPr>
          <w:rFonts w:ascii="Verdana" w:eastAsia="Aptos" w:hAnsi="Verdana" w:cs="Times New Roman"/>
          <w:lang w:eastAsia="es-MX"/>
        </w:rPr>
        <w:t xml:space="preserve"> </w:t>
      </w:r>
    </w:p>
    <w:p w14:paraId="543F2DBE" w14:textId="77777777" w:rsidR="00F6115A" w:rsidRPr="00F6115A" w:rsidRDefault="00F6115A" w:rsidP="00F6115A">
      <w:pPr>
        <w:spacing w:after="120" w:line="276" w:lineRule="auto"/>
        <w:ind w:firstLine="708"/>
        <w:jc w:val="both"/>
        <w:textAlignment w:val="baseline"/>
        <w:rPr>
          <w:rFonts w:ascii="Verdana" w:eastAsia="Calibri" w:hAnsi="Verdana" w:cs="Arial"/>
          <w:lang w:eastAsia="es-MX"/>
        </w:rPr>
      </w:pPr>
      <w:r w:rsidRPr="00F6115A">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F6115A">
        <w:rPr>
          <w:rFonts w:ascii="Verdana" w:eastAsia="Calibri" w:hAnsi="Verdana" w:cs="Arial"/>
          <w:vertAlign w:val="superscript"/>
          <w:lang w:eastAsia="es-MX"/>
        </w:rPr>
        <w:footnoteReference w:id="4"/>
      </w:r>
      <w:r w:rsidRPr="00F6115A">
        <w:rPr>
          <w:rFonts w:ascii="Verdana" w:eastAsia="Calibri" w:hAnsi="Verdana" w:cs="Arial"/>
          <w:lang w:eastAsia="es-MX"/>
        </w:rPr>
        <w:t>.</w:t>
      </w:r>
    </w:p>
    <w:p w14:paraId="16CAA246" w14:textId="77777777" w:rsidR="00F6115A" w:rsidRPr="00F6115A" w:rsidRDefault="00F6115A" w:rsidP="00F6115A">
      <w:pPr>
        <w:widowControl w:val="0"/>
        <w:autoSpaceDE w:val="0"/>
        <w:autoSpaceDN w:val="0"/>
        <w:spacing w:after="120" w:line="276" w:lineRule="auto"/>
        <w:ind w:firstLine="708"/>
        <w:jc w:val="both"/>
        <w:rPr>
          <w:rFonts w:ascii="Verdana" w:eastAsia="Calibri" w:hAnsi="Verdana" w:cs="Arial"/>
          <w:lang w:eastAsia="es-MX"/>
        </w:rPr>
      </w:pPr>
      <w:r w:rsidRPr="00F6115A">
        <w:rPr>
          <w:rFonts w:ascii="Verdana" w:eastAsia="Calibri" w:hAnsi="Verdana" w:cs="Arial"/>
          <w:lang w:eastAsia="es-MX"/>
        </w:rPr>
        <w:lastRenderedPageBreak/>
        <w:t>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w:t>
      </w:r>
    </w:p>
    <w:p w14:paraId="76C01F82" w14:textId="77777777" w:rsidR="00F6115A" w:rsidRPr="00F6115A" w:rsidRDefault="00F6115A" w:rsidP="00F6115A">
      <w:pPr>
        <w:widowControl w:val="0"/>
        <w:autoSpaceDE w:val="0"/>
        <w:autoSpaceDN w:val="0"/>
        <w:spacing w:after="120" w:line="276" w:lineRule="auto"/>
        <w:ind w:firstLine="708"/>
        <w:jc w:val="both"/>
        <w:rPr>
          <w:rFonts w:ascii="Verdana" w:eastAsia="Calibri" w:hAnsi="Verdana" w:cs="Arial"/>
          <w:lang w:eastAsia="es-MX"/>
        </w:rPr>
      </w:pPr>
      <w:r w:rsidRPr="00F6115A">
        <w:rPr>
          <w:rFonts w:ascii="Verdana" w:eastAsia="Calibri" w:hAnsi="Verdana" w:cs="Arial"/>
          <w:lang w:eastAsia="es-MX"/>
        </w:rPr>
        <w:t xml:space="preserve">En consecuencia, los obligados a su aplicación, al adelantar sus procedimientos de selección, solo podrán modificarlos en los aspectos que los Documentos Tipo lo permitan. </w:t>
      </w:r>
      <w:r w:rsidRPr="00F6115A">
        <w:rPr>
          <w:rFonts w:ascii="Verdana" w:eastAsia="Calibri" w:hAnsi="Verdana" w:cs="Times New Roman"/>
          <w:lang w:val="es-ES" w:eastAsia="es-MX"/>
        </w:rPr>
        <w:t xml:space="preserve">Esto corresponde a aquellos aspectos que se encuentran entre corchetes y resaltados en gris </w:t>
      </w:r>
      <w:r w:rsidRPr="00F6115A">
        <w:rPr>
          <w:rFonts w:ascii="Verdana" w:eastAsia="Calibri" w:hAnsi="Verdana" w:cs="Times New Roman"/>
          <w:shd w:val="clear" w:color="auto" w:fill="E8E8E8"/>
          <w:lang w:val="es-ES" w:eastAsia="es-MX"/>
        </w:rPr>
        <w:t>–[texto]–,</w:t>
      </w:r>
      <w:r w:rsidRPr="00F6115A">
        <w:rPr>
          <w:rFonts w:ascii="Verdana" w:eastAsia="Calibri" w:hAnsi="Verdana" w:cs="Times New Roman"/>
          <w:lang w:val="es-ES" w:eastAsia="es-MX"/>
        </w:rPr>
        <w:t xml:space="preserve"> para lo cual deberán observarse las instrucciones contenidas en los mismos para su diligenciamiento.</w:t>
      </w:r>
    </w:p>
    <w:p w14:paraId="4385B463" w14:textId="77777777" w:rsidR="00F6115A" w:rsidRPr="00F6115A" w:rsidRDefault="00F6115A" w:rsidP="00F6115A">
      <w:pPr>
        <w:widowControl w:val="0"/>
        <w:autoSpaceDE w:val="0"/>
        <w:autoSpaceDN w:val="0"/>
        <w:spacing w:after="120" w:line="276" w:lineRule="auto"/>
        <w:ind w:firstLine="708"/>
        <w:jc w:val="both"/>
        <w:rPr>
          <w:rFonts w:ascii="Verdana" w:eastAsia="Calibri" w:hAnsi="Verdana" w:cs="Times New Roman"/>
          <w:lang w:val="es-ES" w:eastAsia="es-MX"/>
        </w:rPr>
      </w:pPr>
      <w:r w:rsidRPr="00F6115A">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7B662509" w14:textId="77777777" w:rsidR="00F6115A" w:rsidRPr="00F6115A" w:rsidRDefault="00F6115A" w:rsidP="00F6115A">
      <w:pPr>
        <w:widowControl w:val="0"/>
        <w:autoSpaceDE w:val="0"/>
        <w:autoSpaceDN w:val="0"/>
        <w:spacing w:after="120" w:line="276" w:lineRule="auto"/>
        <w:ind w:firstLine="708"/>
        <w:jc w:val="both"/>
        <w:rPr>
          <w:rFonts w:ascii="Verdana" w:eastAsia="Calibri" w:hAnsi="Verdana" w:cs="Times New Roman"/>
          <w:lang w:val="es-ES" w:eastAsia="es-MX"/>
        </w:rPr>
      </w:pPr>
      <w:r w:rsidRPr="00F6115A">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8A7B9C4" w14:textId="77777777" w:rsidR="00F6115A" w:rsidRPr="00F6115A" w:rsidRDefault="00F6115A" w:rsidP="00F6115A">
      <w:pPr>
        <w:widowControl w:val="0"/>
        <w:autoSpaceDE w:val="0"/>
        <w:autoSpaceDN w:val="0"/>
        <w:spacing w:after="120" w:line="276" w:lineRule="auto"/>
        <w:ind w:firstLine="708"/>
        <w:jc w:val="both"/>
        <w:rPr>
          <w:rFonts w:ascii="Verdana" w:eastAsia="Calibri" w:hAnsi="Verdana" w:cs="Times New Roman"/>
          <w:lang w:val="es-ES" w:eastAsia="es-MX"/>
        </w:rPr>
      </w:pPr>
      <w:r w:rsidRPr="00F6115A">
        <w:rPr>
          <w:rFonts w:ascii="Verdana" w:eastAsia="Calibri" w:hAnsi="Verdana" w:cs="Times New Roman"/>
          <w:lang w:val="es-ES" w:eastAsia="es-MX"/>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w:t>
      </w:r>
      <w:r w:rsidRPr="00F6115A">
        <w:rPr>
          <w:rFonts w:ascii="Verdana" w:eastAsia="Calibri" w:hAnsi="Verdana" w:cs="Times New Roman"/>
          <w:lang w:val="es-ES" w:eastAsia="es-MX"/>
        </w:rPr>
        <w:lastRenderedPageBreak/>
        <w:t>contratarse debe emplear los Documentos Tipo adoptados por esta Agencia.</w:t>
      </w:r>
    </w:p>
    <w:p w14:paraId="758E5277" w14:textId="77777777" w:rsidR="00F6115A" w:rsidRPr="00F6115A" w:rsidRDefault="00F6115A" w:rsidP="00F6115A">
      <w:pPr>
        <w:widowControl w:val="0"/>
        <w:autoSpaceDE w:val="0"/>
        <w:autoSpaceDN w:val="0"/>
        <w:spacing w:after="120" w:line="276" w:lineRule="auto"/>
        <w:ind w:firstLine="708"/>
        <w:jc w:val="both"/>
        <w:rPr>
          <w:rFonts w:ascii="Verdana" w:eastAsia="Calibri" w:hAnsi="Verdana" w:cs="Times New Roman"/>
          <w:lang w:val="es-ES" w:eastAsia="es-MX"/>
        </w:rPr>
      </w:pPr>
      <w:r w:rsidRPr="00F6115A">
        <w:rPr>
          <w:rFonts w:ascii="Verdana" w:eastAsia="Calibri" w:hAnsi="Verdana" w:cs="Times New Roman"/>
          <w:lang w:val="es-ES" w:eastAsia="es-MX"/>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FFE9D42" w14:textId="77777777" w:rsidR="00F6115A" w:rsidRPr="00F6115A" w:rsidRDefault="00F6115A" w:rsidP="00F6115A">
      <w:pPr>
        <w:widowControl w:val="0"/>
        <w:autoSpaceDE w:val="0"/>
        <w:autoSpaceDN w:val="0"/>
        <w:spacing w:after="0" w:line="276" w:lineRule="auto"/>
        <w:ind w:firstLine="708"/>
        <w:jc w:val="both"/>
        <w:rPr>
          <w:rFonts w:ascii="Verdana" w:eastAsia="Calibri" w:hAnsi="Verdana" w:cs="Times New Roman"/>
          <w:lang w:val="es-ES" w:eastAsia="es-MX"/>
        </w:rPr>
      </w:pPr>
      <w:r w:rsidRPr="00F6115A">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15E3DAC0" w14:textId="77777777" w:rsidR="00F6115A" w:rsidRPr="00F6115A" w:rsidRDefault="00F6115A" w:rsidP="00F6115A">
      <w:pPr>
        <w:widowControl w:val="0"/>
        <w:autoSpaceDE w:val="0"/>
        <w:autoSpaceDN w:val="0"/>
        <w:spacing w:after="0" w:line="276" w:lineRule="auto"/>
        <w:ind w:firstLine="708"/>
        <w:jc w:val="both"/>
        <w:rPr>
          <w:rFonts w:ascii="Verdana" w:eastAsia="Calibri" w:hAnsi="Verdana" w:cs="Times New Roman"/>
          <w:lang w:val="es-ES" w:eastAsia="es-MX"/>
        </w:rPr>
      </w:pPr>
    </w:p>
    <w:p w14:paraId="614BAF45" w14:textId="77777777" w:rsidR="00F6115A" w:rsidRPr="00F6115A" w:rsidRDefault="00F6115A" w:rsidP="00F6115A">
      <w:pPr>
        <w:spacing w:after="120" w:line="276" w:lineRule="auto"/>
        <w:jc w:val="both"/>
        <w:rPr>
          <w:rFonts w:ascii="Verdana" w:eastAsia="Calibri" w:hAnsi="Verdana" w:cs="Times New Roman"/>
          <w:kern w:val="2"/>
          <w:lang w:val="es-ES"/>
          <w14:ligatures w14:val="standardContextual"/>
        </w:rPr>
      </w:pPr>
      <w:proofErr w:type="spellStart"/>
      <w:r w:rsidRPr="00F6115A">
        <w:rPr>
          <w:rFonts w:ascii="Verdana" w:eastAsia="Calibri" w:hAnsi="Verdana" w:cs="Times New Roman"/>
          <w:lang w:val="es-ES" w:eastAsia="es-MX"/>
        </w:rPr>
        <w:t>ii</w:t>
      </w:r>
      <w:proofErr w:type="spellEnd"/>
      <w:r w:rsidRPr="00F6115A">
        <w:rPr>
          <w:rFonts w:ascii="Verdana" w:eastAsia="Calibri" w:hAnsi="Verdana" w:cs="Times New Roman"/>
          <w:lang w:val="es-ES" w:eastAsia="es-MX"/>
        </w:rPr>
        <w:t xml:space="preserve">. </w:t>
      </w:r>
      <w:r w:rsidRPr="00F6115A">
        <w:rPr>
          <w:rFonts w:ascii="Verdana" w:eastAsia="Calibri" w:hAnsi="Verdana" w:cs="Times New Roman"/>
          <w:kern w:val="2"/>
          <w:lang w:val="es-ES"/>
          <w14:ligatures w14:val="standardContextual"/>
        </w:rPr>
        <w:t xml:space="preserve">El artículo 17 de la Resolución 539 de 2025 y el artículo 16 de las Resoluciones 540 y 541 de 2025, adoptan los Documentos Tipo complementarios para los procesos de infraestructura social relacionados con el Sector Institucional -según la modalidad que corresponda-. De acuerdo con el parágrafo segundo del artículo 17 y 16 de las citadas resoluciones, estos documentos aplican a los procesos contractuales que correspondan a las actividades definidas en la Matriz 1 – Experiencia del Sector Institucional. </w:t>
      </w:r>
    </w:p>
    <w:p w14:paraId="2F8FDAC3" w14:textId="77777777" w:rsidR="00F6115A" w:rsidRPr="00F6115A" w:rsidRDefault="00F6115A" w:rsidP="00F6115A">
      <w:pPr>
        <w:spacing w:after="0" w:line="276" w:lineRule="auto"/>
        <w:ind w:firstLine="708"/>
        <w:jc w:val="both"/>
        <w:rPr>
          <w:rFonts w:ascii="Verdana" w:eastAsia="Calibri" w:hAnsi="Verdana" w:cs="Times New Roman"/>
          <w:kern w:val="2"/>
          <w:lang w:val="es-ES"/>
          <w14:ligatures w14:val="standardContextual"/>
        </w:rPr>
      </w:pPr>
      <w:r w:rsidRPr="00F6115A">
        <w:rPr>
          <w:rFonts w:ascii="Verdana" w:eastAsia="Calibri" w:hAnsi="Verdana" w:cs="Times New Roman"/>
          <w:lang w:val="es-ES" w:eastAsia="es-MX"/>
        </w:rPr>
        <w:t>L</w:t>
      </w:r>
      <w:r w:rsidRPr="00F6115A">
        <w:rPr>
          <w:rFonts w:ascii="Verdana" w:eastAsia="Times New Roman" w:hAnsi="Verdana" w:cs="Times New Roman"/>
          <w:color w:val="000000"/>
          <w:lang w:eastAsia="es-CO"/>
        </w:rPr>
        <w:t>os Documentos Tipo complementarios del Sector Institucional, en la modalidad de licitación pública, selección abreviada de menor cuantía y mínima cuantía, en la Matriz 1 contienen los siguientes tipos de infraestructura:</w:t>
      </w:r>
      <w:r w:rsidRPr="00F6115A">
        <w:rPr>
          <w:rFonts w:ascii="Times New Roman" w:eastAsia="Arial" w:hAnsi="Times New Roman" w:cs="Aptos"/>
          <w:lang w:eastAsia="es-ES"/>
        </w:rPr>
        <w:t xml:space="preserve"> </w:t>
      </w:r>
      <w:r w:rsidRPr="00F6115A">
        <w:rPr>
          <w:rFonts w:ascii="Verdana" w:eastAsia="Arial" w:hAnsi="Verdana" w:cs="Aptos"/>
          <w:lang w:eastAsia="es-ES"/>
        </w:rPr>
        <w:t xml:space="preserve">“1)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w:t>
      </w:r>
      <w:r w:rsidRPr="00F6115A">
        <w:rPr>
          <w:rFonts w:ascii="Verdana" w:eastAsia="Arial" w:hAnsi="Verdana" w:cs="Aptos"/>
          <w:lang w:eastAsia="es-ES"/>
        </w:rPr>
        <w:lastRenderedPageBreak/>
        <w:t>DIFERENTES A CONTRATACIÓN DIRECTA PARA EL SECTOR INSTITUCIONAL”</w:t>
      </w:r>
      <w:r w:rsidRPr="00F6115A">
        <w:rPr>
          <w:rFonts w:ascii="Verdana" w:eastAsia="Times New Roman" w:hAnsi="Verdana" w:cs="Arial"/>
          <w:lang w:eastAsia="es-MX"/>
        </w:rPr>
        <w:t>.</w:t>
      </w:r>
      <w:r w:rsidRPr="00F6115A">
        <w:rPr>
          <w:rFonts w:ascii="Verdana" w:eastAsia="Calibri" w:hAnsi="Verdana" w:cs="Times New Roman"/>
          <w:lang w:eastAsia="es-MX"/>
        </w:rPr>
        <w:t xml:space="preserve"> Particularmente, en relación el problema jurídico planteado en este concepto, en el Capítulo dos (2) “</w:t>
      </w:r>
      <w:r w:rsidRPr="00F6115A">
        <w:rPr>
          <w:rFonts w:ascii="Verdana" w:eastAsia="Arial" w:hAnsi="Verdana" w:cs="Aptos"/>
          <w:lang w:eastAsia="es-ES"/>
        </w:rPr>
        <w:t>Obras en proyectos de infraestructura institucional de servicio público” y en el capítulo tres (3) “Obras en proyectos de infraestructura institucional – sitios de reclusión”,</w:t>
      </w:r>
      <w:r w:rsidRPr="00F6115A">
        <w:rPr>
          <w:rFonts w:ascii="Verdana" w:eastAsia="Calibri" w:hAnsi="Verdana" w:cs="Times New Roman"/>
          <w:lang w:eastAsia="es-MX"/>
        </w:rPr>
        <w:t xml:space="preserve"> se incluyen las siguientes actividades sobre las cuales -eventualmente- puede recaer el proyecto por el que indaga en su solicitud:  </w:t>
      </w:r>
    </w:p>
    <w:p w14:paraId="3CC82582" w14:textId="77777777" w:rsidR="00F6115A" w:rsidRPr="00F6115A" w:rsidRDefault="00F6115A" w:rsidP="00F6115A">
      <w:pPr>
        <w:spacing w:after="0" w:line="276" w:lineRule="auto"/>
        <w:ind w:firstLine="708"/>
        <w:jc w:val="both"/>
        <w:rPr>
          <w:rFonts w:ascii="Verdana" w:eastAsia="Calibri" w:hAnsi="Verdana" w:cs="Times New Roman"/>
          <w:lang w:eastAsia="es-MX"/>
        </w:rPr>
      </w:pPr>
    </w:p>
    <w:p w14:paraId="6553CEAE" w14:textId="77777777" w:rsidR="00F6115A" w:rsidRPr="00F6115A" w:rsidRDefault="00F6115A" w:rsidP="00F6115A">
      <w:pPr>
        <w:spacing w:after="0" w:line="240" w:lineRule="auto"/>
        <w:ind w:left="720"/>
        <w:contextualSpacing/>
        <w:jc w:val="both"/>
        <w:rPr>
          <w:rFonts w:ascii="Verdana" w:eastAsia="Times New Roman" w:hAnsi="Verdana" w:cs="Aptos"/>
          <w:sz w:val="21"/>
          <w:szCs w:val="21"/>
          <w:lang w:eastAsia="es-MX"/>
        </w:rPr>
      </w:pPr>
      <w:r w:rsidRPr="00F6115A">
        <w:rPr>
          <w:rFonts w:ascii="Verdana" w:eastAsia="Times New Roman" w:hAnsi="Verdana" w:cs="Aptos"/>
          <w:sz w:val="21"/>
          <w:szCs w:val="21"/>
          <w:lang w:eastAsia="es-MX"/>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w:t>
      </w:r>
    </w:p>
    <w:p w14:paraId="5B2CDCF9" w14:textId="77777777" w:rsidR="00F6115A" w:rsidRPr="00F6115A" w:rsidRDefault="00F6115A" w:rsidP="00F6115A">
      <w:pPr>
        <w:spacing w:after="0" w:line="240" w:lineRule="auto"/>
        <w:ind w:left="720"/>
        <w:contextualSpacing/>
        <w:jc w:val="both"/>
        <w:rPr>
          <w:rFonts w:ascii="Verdana" w:eastAsia="Times New Roman" w:hAnsi="Verdana" w:cs="Aptos"/>
          <w:sz w:val="21"/>
          <w:szCs w:val="21"/>
          <w:lang w:eastAsia="es-MX"/>
        </w:rPr>
      </w:pPr>
    </w:p>
    <w:p w14:paraId="63262EA5" w14:textId="77777777" w:rsidR="00F6115A" w:rsidRPr="00F6115A" w:rsidRDefault="00F6115A" w:rsidP="00F6115A">
      <w:pPr>
        <w:spacing w:after="0" w:line="240" w:lineRule="auto"/>
        <w:ind w:left="720"/>
        <w:contextualSpacing/>
        <w:jc w:val="both"/>
        <w:rPr>
          <w:rFonts w:ascii="Verdana" w:eastAsia="Times New Roman" w:hAnsi="Verdana" w:cs="Aptos"/>
          <w:sz w:val="21"/>
          <w:szCs w:val="21"/>
          <w:lang w:eastAsia="es-MX"/>
        </w:rPr>
      </w:pPr>
      <w:r w:rsidRPr="00F6115A">
        <w:rPr>
          <w:rFonts w:ascii="Verdana" w:eastAsia="Times New Roman" w:hAnsi="Verdana" w:cs="Aptos"/>
          <w:sz w:val="21"/>
          <w:szCs w:val="21"/>
          <w:lang w:eastAsia="es-MX"/>
        </w:rPr>
        <w:t xml:space="preserve">3.2.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INSTITUCIONAL - SITIOS DE RECLUSIÓN”.  </w:t>
      </w:r>
    </w:p>
    <w:p w14:paraId="4AD86940" w14:textId="77777777" w:rsidR="00F6115A" w:rsidRPr="00F6115A" w:rsidRDefault="00F6115A" w:rsidP="00F6115A">
      <w:pPr>
        <w:spacing w:after="0" w:line="276" w:lineRule="auto"/>
        <w:jc w:val="both"/>
        <w:rPr>
          <w:rFonts w:ascii="Verdana" w:eastAsia="Arial" w:hAnsi="Verdana" w:cs="Aptos"/>
          <w:lang w:eastAsia="es-ES"/>
        </w:rPr>
      </w:pPr>
    </w:p>
    <w:p w14:paraId="6B4A9902" w14:textId="77777777" w:rsidR="00F6115A" w:rsidRPr="00F6115A" w:rsidRDefault="00F6115A" w:rsidP="00F6115A">
      <w:pPr>
        <w:spacing w:after="120" w:line="276" w:lineRule="auto"/>
        <w:ind w:firstLine="708"/>
        <w:jc w:val="both"/>
        <w:rPr>
          <w:rFonts w:ascii="Verdana" w:eastAsia="Times New Roman" w:hAnsi="Verdana" w:cs="Times New Roman"/>
          <w:color w:val="000000"/>
          <w:lang w:eastAsia="es-CO"/>
        </w:rPr>
      </w:pPr>
      <w:r w:rsidRPr="00F6115A">
        <w:rPr>
          <w:rFonts w:ascii="Verdana" w:eastAsia="Times New Roman" w:hAnsi="Verdana" w:cs="Aptos"/>
          <w:lang w:eastAsia="es-MX"/>
        </w:rPr>
        <w:t xml:space="preserve">Las actividades señaladas, contenida en la Matriz 1 – Experiencia de los Documentos Tipo del sector Institucional, de manera general corresponde a proyectos de adecuación y/o conservación y/o intervención y/o instalación y/o mantenimiento y/o mejoramiento y/o modificación u optimización y/o rehabilitación y/o remodelación y/o reposición y/o reparación locativa y/o restauración y/o restitución y/o terminación que recaigan sobre -respectivamente- infraestructura de servicio público y/o infraestructura de sitios de reclusión. </w:t>
      </w:r>
      <w:r w:rsidRPr="00F6115A">
        <w:rPr>
          <w:rFonts w:ascii="Verdana" w:eastAsia="Times New Roman" w:hAnsi="Verdana" w:cs="Times New Roman"/>
          <w:color w:val="000000"/>
          <w:lang w:eastAsia="es-CO"/>
        </w:rPr>
        <w:t>Esto es importante para precisar el ámbito de aplicación de los Documentos Tipo de este sector adoptados en de las Resoluciones 539, 540 y 541 de 2025.</w:t>
      </w:r>
    </w:p>
    <w:p w14:paraId="27DCDCFC" w14:textId="05BEA726" w:rsidR="00F6115A" w:rsidRPr="00F6115A" w:rsidRDefault="00F6115A" w:rsidP="00790D49">
      <w:pPr>
        <w:spacing w:after="120" w:line="276" w:lineRule="auto"/>
        <w:ind w:firstLine="708"/>
        <w:jc w:val="both"/>
        <w:rPr>
          <w:rFonts w:ascii="Verdana" w:eastAsia="Calibri" w:hAnsi="Verdana" w:cs="Times New Roman"/>
          <w:kern w:val="2"/>
          <w:lang w:val="es-ES"/>
          <w14:ligatures w14:val="standardContextual"/>
        </w:rPr>
      </w:pPr>
      <w:r w:rsidRPr="00F6115A">
        <w:rPr>
          <w:rFonts w:ascii="Verdana" w:eastAsia="Aptos" w:hAnsi="Verdana" w:cs="Times New Roman"/>
          <w:color w:val="000000"/>
          <w:kern w:val="2"/>
          <w:lang w:eastAsia="es-CO"/>
          <w14:ligatures w14:val="standardContextual"/>
        </w:rPr>
        <w:t xml:space="preserve">La nota general 1 de la </w:t>
      </w:r>
      <w:r w:rsidRPr="00F6115A">
        <w:rPr>
          <w:rFonts w:ascii="Verdana" w:eastAsia="Arial" w:hAnsi="Verdana" w:cs="Aptos"/>
          <w:kern w:val="2"/>
          <w:lang w:eastAsia="es-ES"/>
          <w14:ligatures w14:val="standardContextual"/>
        </w:rPr>
        <w:t>Matriz 1</w:t>
      </w:r>
      <w:r w:rsidRPr="00F6115A">
        <w:rPr>
          <w:rFonts w:ascii="Verdana" w:eastAsia="Calibri" w:hAnsi="Verdana" w:cs="Times New Roman"/>
          <w:kern w:val="2"/>
          <w:lang w:val="es-ES"/>
          <w14:ligatures w14:val="standardContextual"/>
        </w:rPr>
        <w:t xml:space="preserve">– Experiencia del Sector </w:t>
      </w:r>
      <w:r w:rsidR="00790D49">
        <w:rPr>
          <w:rFonts w:ascii="Verdana" w:eastAsia="Calibri" w:hAnsi="Verdana" w:cs="Times New Roman"/>
          <w:kern w:val="2"/>
          <w:lang w:val="es-ES"/>
          <w14:ligatures w14:val="standardContextual"/>
        </w:rPr>
        <w:t>Institucional</w:t>
      </w:r>
      <w:r w:rsidRPr="00F6115A">
        <w:rPr>
          <w:rFonts w:ascii="Verdana" w:eastAsia="Calibri" w:hAnsi="Verdana" w:cs="Times New Roman"/>
          <w:kern w:val="2"/>
          <w:lang w:val="es-ES"/>
          <w14:ligatures w14:val="standardContextual"/>
        </w:rPr>
        <w:t xml:space="preserve"> en las distintas modalidades de los Documentos Tipo adoptados por esta Agencia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5F1681BE" w14:textId="77777777" w:rsidR="00F6115A" w:rsidRPr="00F6115A" w:rsidRDefault="00F6115A" w:rsidP="00F6115A">
      <w:pPr>
        <w:spacing w:after="120" w:line="276" w:lineRule="auto"/>
        <w:ind w:firstLine="708"/>
        <w:jc w:val="both"/>
        <w:rPr>
          <w:rFonts w:ascii="Verdana" w:eastAsia="Calibri" w:hAnsi="Verdana" w:cs="Arial"/>
          <w:kern w:val="2"/>
          <w:lang w:val="es-ES_tradnl"/>
          <w14:ligatures w14:val="standardContextual"/>
        </w:rPr>
      </w:pPr>
      <w:r w:rsidRPr="00F6115A">
        <w:rPr>
          <w:rFonts w:ascii="Verdana" w:eastAsia="Calibri" w:hAnsi="Verdana" w:cs="Times New Roman"/>
          <w:kern w:val="2"/>
          <w14:ligatures w14:val="standardContextual"/>
        </w:rPr>
        <w:lastRenderedPageBreak/>
        <w:t xml:space="preserve">La nota general 1 contenida en la Matriz 1 – Experiencia de los Documentos Tipo indicados, es congruente con </w:t>
      </w:r>
      <w:r w:rsidRPr="00F6115A">
        <w:rPr>
          <w:rFonts w:ascii="Verdana" w:eastAsia="Calibri" w:hAnsi="Verdana" w:cs="Arial"/>
          <w:kern w:val="2"/>
          <w:lang w:val="es-ES_tradnl"/>
          <w14:ligatures w14:val="standardContextual"/>
        </w:rPr>
        <w:t>el numeral 1.10 del documento base que dispone que “</w:t>
      </w:r>
      <w:r w:rsidRPr="00F6115A">
        <w:rPr>
          <w:rFonts w:ascii="Verdana" w:eastAsia="Calibri" w:hAnsi="Verdana" w:cs="Arial"/>
          <w:kern w:val="2"/>
          <w:lang w:val="es-MX"/>
          <w14:ligatures w14:val="standardContextual"/>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sidRPr="00F6115A">
        <w:rPr>
          <w:rFonts w:ascii="Verdana" w:eastAsia="Calibri" w:hAnsi="Verdana" w:cs="Arial"/>
          <w:kern w:val="2"/>
          <w:lang w:val="es-ES_tradnl"/>
          <w14:ligatures w14:val="standardContextual"/>
        </w:rPr>
        <w:t>”.</w:t>
      </w:r>
    </w:p>
    <w:p w14:paraId="7D7C39D3" w14:textId="77777777" w:rsidR="00F6115A" w:rsidRPr="00F6115A" w:rsidRDefault="00F6115A" w:rsidP="00F6115A">
      <w:pPr>
        <w:spacing w:after="120" w:line="276" w:lineRule="auto"/>
        <w:ind w:firstLine="708"/>
        <w:jc w:val="both"/>
        <w:rPr>
          <w:rFonts w:ascii="Verdana" w:eastAsia="Calibri" w:hAnsi="Verdana" w:cs="Times New Roman"/>
          <w:kern w:val="2"/>
          <w14:ligatures w14:val="standardContextual"/>
        </w:rPr>
      </w:pPr>
      <w:r w:rsidRPr="00F6115A">
        <w:rPr>
          <w:rFonts w:ascii="Verdana" w:eastAsia="Calibri" w:hAnsi="Verdana" w:cs="Times New Roman"/>
          <w:kern w:val="2"/>
          <w14:ligatures w14:val="standardContextual"/>
        </w:rPr>
        <w:t xml:space="preserve">Considerando que de acuerdo con el artículo 95 de la Ley 1709 de 2014 que adiciona un parágrafo al artículo 187 de le Ley 1098 de 2006 “Los Centros de Atención Especializada funcionarán bajo el asesoramiento del Sistema Nacional Penitenciario y Carcelario en lo relativo a las medidas de seguridad y administración, de conformidad con la función protectora, restaurativa y educativa de la medida de privación de la libertad” y que de acuerdo con el Instituto Colombiano de Bienestar Familiar estos corresponden a “(…) una sanción de privación de libertad ordenada por una autoridad judicial, en la que no se permite al adolescente o joven, declarado penalmente responsable, salir por su propia voluntad”. Del contenido de la citada disposición, se puede concluirse que, los establecimientos a los que se refiere dicha disposición corresponden de alguna forma a lugares de reclusión, con un enfoque integral que busca garantizar la protección de los derechos, la resocialización y el desarrollo de los adolescentes sujetos a la medida. </w:t>
      </w:r>
    </w:p>
    <w:p w14:paraId="21C351C2" w14:textId="77777777" w:rsidR="00F6115A" w:rsidRPr="00F6115A" w:rsidRDefault="00F6115A" w:rsidP="00F6115A">
      <w:pPr>
        <w:spacing w:after="120" w:line="276" w:lineRule="auto"/>
        <w:ind w:firstLine="708"/>
        <w:jc w:val="both"/>
        <w:rPr>
          <w:rFonts w:ascii="Verdana" w:eastAsia="Calibri" w:hAnsi="Verdana" w:cs="Arial"/>
          <w:color w:val="0D0D0D"/>
          <w:lang w:eastAsia="es-MX"/>
        </w:rPr>
      </w:pPr>
      <w:r w:rsidRPr="00F6115A">
        <w:rPr>
          <w:rFonts w:ascii="Verdana" w:eastAsia="Calibri" w:hAnsi="Verdana" w:cs="Arial"/>
          <w:kern w:val="2"/>
          <w14:ligatures w14:val="standardContextual"/>
        </w:rPr>
        <w:t xml:space="preserve">Conforme con lo anterior, en criterio de la Agencia Nacional de Contratación Pública – Colombia Compra Eficiente sí la naturaleza de los Centros de Atención Especializados es la que se señaló de forma precedente, estos podrían enmarcarse dentro del tipo de obra de Infraestructura Institucional – Sitios de Reclusión, que de acuerdo con la norma </w:t>
      </w:r>
      <w:r w:rsidRPr="00F6115A">
        <w:rPr>
          <w:rFonts w:ascii="Verdana" w:eastAsia="Calibri" w:hAnsi="Verdana" w:cs="Arial"/>
          <w:color w:val="0D0D0D"/>
          <w:kern w:val="2"/>
          <w14:ligatures w14:val="standardContextual"/>
        </w:rPr>
        <w:t xml:space="preserve">NSR-10 </w:t>
      </w:r>
      <w:r w:rsidRPr="00F6115A">
        <w:rPr>
          <w:rFonts w:ascii="Verdana" w:eastAsia="Calibri" w:hAnsi="Verdana" w:cs="Arial"/>
          <w:color w:val="0D0D0D"/>
          <w:lang w:eastAsia="es-MX"/>
        </w:rPr>
        <w:t>en el Subgrupo de Ocupación Institucional de Reclusión (I-1) “</w:t>
      </w:r>
      <w:r w:rsidRPr="00F6115A">
        <w:rPr>
          <w:rFonts w:ascii="Verdana" w:eastAsia="Times New Roman" w:hAnsi="Verdana" w:cs="Times New Roman"/>
          <w:lang w:eastAsia="es-MX"/>
        </w:rPr>
        <w:t>se clasifican las edificaciones o espacios empleados en la reclusión de personas con libertad restringida por razones penales, correccionales o de limitación mental.</w:t>
      </w:r>
      <w:r w:rsidRPr="00F6115A">
        <w:rPr>
          <w:rFonts w:ascii="Verdana" w:eastAsia="Calibri" w:hAnsi="Verdana" w:cs="Arial"/>
          <w:color w:val="0D0D0D"/>
          <w:lang w:eastAsia="es-MX"/>
        </w:rPr>
        <w:t>”</w:t>
      </w:r>
      <w:r w:rsidRPr="00F6115A">
        <w:rPr>
          <w:rFonts w:ascii="Verdana" w:eastAsia="Calibri" w:hAnsi="Verdana" w:cs="Arial"/>
          <w:color w:val="0D0D0D"/>
          <w:vertAlign w:val="superscript"/>
          <w:lang w:eastAsia="es-MX"/>
        </w:rPr>
        <w:footnoteReference w:id="5"/>
      </w:r>
      <w:r w:rsidRPr="00F6115A">
        <w:rPr>
          <w:rFonts w:ascii="Verdana" w:eastAsia="Calibri" w:hAnsi="Verdana" w:cs="Arial"/>
          <w:color w:val="0D0D0D"/>
          <w:lang w:eastAsia="es-MX"/>
        </w:rPr>
        <w:t>. Entre las edificaciones o espacios que pertenecen a este Subgrupo se encuentran las siguientes: “presiones, reformatorios, cárceles, manicomios, asilos y otros similares”</w:t>
      </w:r>
      <w:r w:rsidRPr="00F6115A">
        <w:rPr>
          <w:rFonts w:ascii="Verdana" w:eastAsia="Calibri" w:hAnsi="Verdana" w:cs="Arial"/>
          <w:color w:val="0D0D0D"/>
          <w:vertAlign w:val="superscript"/>
          <w:lang w:eastAsia="es-MX"/>
        </w:rPr>
        <w:footnoteReference w:id="6"/>
      </w:r>
      <w:r w:rsidRPr="00F6115A">
        <w:rPr>
          <w:rFonts w:ascii="Verdana" w:eastAsia="Calibri" w:hAnsi="Verdana" w:cs="Arial"/>
          <w:color w:val="0D0D0D"/>
          <w:lang w:eastAsia="es-MX"/>
        </w:rPr>
        <w:t xml:space="preserve">. </w:t>
      </w:r>
    </w:p>
    <w:p w14:paraId="5D244DED" w14:textId="77777777" w:rsidR="00F6115A" w:rsidRPr="00F6115A" w:rsidRDefault="00F6115A" w:rsidP="00F6115A">
      <w:pPr>
        <w:spacing w:after="120"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lastRenderedPageBreak/>
        <w:t xml:space="preserve">La expresión “otros similares” en el Subgrupo de Ocupación Institucional de Reclusión (I-1) de la NSR-10 debe interpretarse de manera restrictiva y funcional, en el sentido de que comprende aquellas edificaciones o espacios que, aunque no estén expresamente mencionados, comparten las características esenciales de prisiones, cárceles, reformatorios, manicomios o asilos. Esto es, lugares sometidos a control y vigilancia institucional, con una organización orientada a la custodia, supervisión y permanencia de sus ocupantes por razones penales, correccionales, médicas o de protección. En consecuencia, la expresión abarca aquellos establecimientos cuya finalidad material sea la custodia o supervisión institucional de personas, independientemente de su denominación formal. </w:t>
      </w:r>
    </w:p>
    <w:p w14:paraId="54CE5DC1" w14:textId="77777777" w:rsidR="00F6115A" w:rsidRPr="00F6115A" w:rsidRDefault="00F6115A" w:rsidP="00F6115A">
      <w:pPr>
        <w:spacing w:after="120"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Conforme con lo anterior, un Centro de Atención Especializada puede ser considerado un sitio de reclusión conforme al Subgrupo de Ocupación Institucional de Reclusión (I-1) de la NSR-10, en la medida en que, más allá de su denominación y enfoque pedagógico o restaurativo, presenta elementos funcionales coincidentes con las edificaciones allí previstas, tales como la existencia de control y vigilancia institucional, la organización de los espacios para la permanencia supervisada de sus ocupantes y la ejecución de medidas impuestas por una autoridad competente. En este sentido, se trata de un establecimiento cuya finalidad material implica la custodia y supervisión de personas dentro de un entorno institucional cerrado, lo que permite encuadrarlo dentro de la categoría de “otros similares” prevista en dicha clasificación normativa.</w:t>
      </w:r>
    </w:p>
    <w:p w14:paraId="0BEF9B18" w14:textId="77777777" w:rsidR="00F6115A" w:rsidRPr="00F6115A" w:rsidRDefault="00F6115A" w:rsidP="00F6115A">
      <w:pPr>
        <w:spacing w:after="120"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Sin perjuicio de lo anterior, corresponderá a la entidad estatal que adelante el proceso de selección determinar, en cada caso concreto, si dicha naturaleza es la predominante o si, por el contrario, el proyecto debe clasificarse como una edificación institucional de servicio público, de conformidad con el alcance previsto para la aplicación de la actividad 2.2 contenida en la Matriz 1 de experiencia de los documentos tipo de infraestructura institucional.</w:t>
      </w:r>
    </w:p>
    <w:p w14:paraId="021DA35E" w14:textId="1420742C" w:rsidR="00F6115A" w:rsidRPr="00F6115A" w:rsidRDefault="00F6115A" w:rsidP="00F6115A">
      <w:pPr>
        <w:spacing w:after="0"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 xml:space="preserve">Considerando que, aunque el objeto del proceso de selección por el que se indaga en la solicitud se ejecuta sobre una infraestructura institucional denominada “Centro de Atención Especializada – CAE”, este se refiere a las obras de “mantenimiento integral, reparación, conservación, mejoramiento y adecuaciones técnicas y locativas de la Planta de Tratamiento de Agua Potable (PTAP)”, la entidad que adelanta el proceso de selección puede revisar </w:t>
      </w:r>
      <w:r w:rsidR="00160B80">
        <w:rPr>
          <w:rFonts w:ascii="Verdana" w:eastAsia="Calibri" w:hAnsi="Verdana" w:cs="Arial"/>
          <w:kern w:val="2"/>
          <w14:ligatures w14:val="standardContextual"/>
        </w:rPr>
        <w:t xml:space="preserve">las reglas </w:t>
      </w:r>
      <w:r w:rsidR="00160B80">
        <w:rPr>
          <w:rFonts w:ascii="Verdana" w:eastAsia="Calibri" w:hAnsi="Verdana" w:cs="Arial"/>
          <w:kern w:val="2"/>
          <w14:ligatures w14:val="standardContextual"/>
        </w:rPr>
        <w:lastRenderedPageBreak/>
        <w:t>de combinación de experiencia del numeral 3.5.1. del documento base y</w:t>
      </w:r>
      <w:r w:rsidRPr="00F6115A">
        <w:rPr>
          <w:rFonts w:ascii="Verdana" w:eastAsia="Calibri" w:hAnsi="Verdana" w:cs="Arial"/>
          <w:kern w:val="2"/>
          <w14:ligatures w14:val="standardContextual"/>
        </w:rPr>
        <w:t xml:space="preserve"> la Matriz 1 – Experiencia de los Documentos Tipo de licitación de obra pública de agua potable y saneamiento básico. Lo anterior, teniendo en cuenta que en el capítulo cuatro (4), “Obras para PTAP (Planta de Tratamiento de Agua Potable) y/o PTAR (Planta de Tratamiento de Aguas Residuales)”, se incluye la siguiente actividad, sobre la cual eventualmente podría recaer el objeto de selección planteado:</w:t>
      </w:r>
    </w:p>
    <w:p w14:paraId="4610F0BD" w14:textId="77777777" w:rsidR="00F6115A" w:rsidRPr="00F6115A" w:rsidRDefault="00F6115A" w:rsidP="00F6115A">
      <w:pPr>
        <w:spacing w:after="0" w:line="276" w:lineRule="auto"/>
        <w:ind w:firstLine="708"/>
        <w:jc w:val="both"/>
        <w:rPr>
          <w:rFonts w:ascii="Verdana" w:eastAsia="Calibri" w:hAnsi="Verdana" w:cs="Arial"/>
          <w:kern w:val="2"/>
          <w14:ligatures w14:val="standardContextual"/>
        </w:rPr>
      </w:pPr>
    </w:p>
    <w:p w14:paraId="12F06738" w14:textId="77777777" w:rsidR="00F6115A" w:rsidRPr="00F6115A" w:rsidRDefault="00F6115A" w:rsidP="00F6115A">
      <w:pPr>
        <w:spacing w:after="0" w:line="240" w:lineRule="auto"/>
        <w:ind w:left="709" w:right="709"/>
        <w:contextualSpacing/>
        <w:jc w:val="both"/>
        <w:rPr>
          <w:rFonts w:ascii="Verdana" w:eastAsia="Calibri" w:hAnsi="Verdana" w:cs="Calibri"/>
          <w:kern w:val="2"/>
          <w:sz w:val="21"/>
          <w:szCs w:val="21"/>
          <w14:ligatures w14:val="standardContextual"/>
        </w:rPr>
      </w:pPr>
      <w:r w:rsidRPr="00F6115A">
        <w:rPr>
          <w:rFonts w:ascii="Verdana" w:eastAsia="Calibri" w:hAnsi="Verdana" w:cs="Calibri"/>
          <w:kern w:val="2"/>
          <w:sz w:val="21"/>
          <w:szCs w:val="21"/>
          <w14:ligatures w14:val="standardContextual"/>
        </w:rPr>
        <w:t>“4.3 PROYECTOS DE OPTIMIZACIÓN Y/O MEJORAMIENTO Y/O ADECUACIÓN Y/O REFORZAMIENTO  Y/O REHABILITACIÓN Y/O MANTENIMIENTO DE PTAP Y/U OBRAS COMPLEMENTARIAS”.</w:t>
      </w:r>
    </w:p>
    <w:p w14:paraId="2BB490AF" w14:textId="77777777" w:rsidR="00F6115A" w:rsidRPr="00F6115A" w:rsidRDefault="00F6115A" w:rsidP="00F6115A">
      <w:pPr>
        <w:spacing w:after="0" w:line="240" w:lineRule="auto"/>
        <w:jc w:val="both"/>
        <w:rPr>
          <w:rFonts w:ascii="Calibri" w:eastAsia="Calibri" w:hAnsi="Calibri" w:cs="Calibri"/>
          <w:i/>
          <w:iCs/>
          <w:kern w:val="2"/>
          <w14:ligatures w14:val="standardContextual"/>
        </w:rPr>
      </w:pPr>
    </w:p>
    <w:p w14:paraId="491F4C09" w14:textId="4E499730" w:rsidR="00F6115A" w:rsidRPr="00F6115A" w:rsidRDefault="00F6115A" w:rsidP="00F6115A">
      <w:pPr>
        <w:spacing w:after="0" w:line="276" w:lineRule="auto"/>
        <w:ind w:firstLine="708"/>
        <w:jc w:val="both"/>
        <w:rPr>
          <w:rFonts w:ascii="Verdana" w:eastAsia="Calibri" w:hAnsi="Verdana" w:cs="Arial"/>
          <w:kern w:val="2"/>
          <w14:ligatures w14:val="standardContextual"/>
        </w:rPr>
      </w:pPr>
      <w:r w:rsidRPr="00F6115A">
        <w:rPr>
          <w:rFonts w:ascii="Verdana" w:eastAsia="Calibri" w:hAnsi="Verdana" w:cs="Arial"/>
          <w:kern w:val="2"/>
          <w14:ligatures w14:val="standardContextual"/>
        </w:rPr>
        <w:t>Sin embargo, es preciso indicar que corresponde a la entidad que adelanta el proceso de selección determinar, a través de sus estudios previos o de los documentos técnicos que hagan parte del proceso, en cuál de estas actividades puede enmarcarse, así como establecer si resulta conveniente la aplicación de las reglas de combinación de experiencia incluidas en el numeral “3.5.</w:t>
      </w:r>
      <w:r w:rsidR="00621FE4">
        <w:rPr>
          <w:rFonts w:ascii="Verdana" w:eastAsia="Calibri" w:hAnsi="Verdana" w:cs="Arial"/>
          <w:kern w:val="2"/>
          <w14:ligatures w14:val="standardContextual"/>
        </w:rPr>
        <w:t>1</w:t>
      </w:r>
      <w:r w:rsidRPr="00F6115A">
        <w:rPr>
          <w:rFonts w:ascii="Verdana" w:eastAsia="Calibri" w:hAnsi="Verdana" w:cs="Arial"/>
          <w:kern w:val="2"/>
          <w14:ligatures w14:val="standardContextual"/>
        </w:rPr>
        <w:t xml:space="preserve"> Características de los contratos presentados para acreditar la experiencia exigida” del documento base. Sobre el particular, se anexa el concepto C-186 de 2026 que desarrolla las reglas de combinación de la experiencia.</w:t>
      </w:r>
      <w:r w:rsidRPr="00F6115A">
        <w:rPr>
          <w:rFonts w:ascii="Verdana" w:eastAsia="Aptos" w:hAnsi="Verdana" w:cs="Aptos"/>
          <w:sz w:val="24"/>
          <w:szCs w:val="24"/>
          <w:lang w:eastAsia="es-MX"/>
        </w:rPr>
        <w:t xml:space="preserve">  </w:t>
      </w:r>
    </w:p>
    <w:p w14:paraId="50B4D387" w14:textId="77777777" w:rsidR="00F6115A" w:rsidRPr="00F6115A" w:rsidRDefault="00F6115A" w:rsidP="00F6115A">
      <w:pPr>
        <w:spacing w:after="0" w:line="276" w:lineRule="auto"/>
        <w:ind w:firstLine="708"/>
        <w:jc w:val="both"/>
        <w:rPr>
          <w:rFonts w:ascii="Verdana" w:eastAsia="Calibri" w:hAnsi="Verdana" w:cs="Arial"/>
          <w:kern w:val="2"/>
          <w14:ligatures w14:val="standardContextual"/>
        </w:rPr>
      </w:pPr>
    </w:p>
    <w:p w14:paraId="4423CF37" w14:textId="77777777" w:rsidR="00F6115A" w:rsidRPr="00F6115A" w:rsidRDefault="00F6115A" w:rsidP="00F6115A">
      <w:pPr>
        <w:snapToGrid w:val="0"/>
        <w:spacing w:after="120" w:line="276" w:lineRule="auto"/>
        <w:jc w:val="both"/>
        <w:rPr>
          <w:rFonts w:ascii="Verdana" w:eastAsia="Times New Roman" w:hAnsi="Verdana" w:cs="Arial"/>
          <w:sz w:val="24"/>
          <w:szCs w:val="24"/>
          <w:shd w:val="clear" w:color="auto" w:fill="FFFFFF"/>
          <w:lang w:val="es-ES_tradnl" w:eastAsia="es-ES_tradnl"/>
        </w:rPr>
      </w:pPr>
      <w:proofErr w:type="spellStart"/>
      <w:r w:rsidRPr="00F6115A">
        <w:rPr>
          <w:rFonts w:ascii="Verdana" w:eastAsia="Calibri" w:hAnsi="Verdana" w:cs="Arial"/>
          <w:lang w:eastAsia="es-MX"/>
        </w:rPr>
        <w:t>iii</w:t>
      </w:r>
      <w:proofErr w:type="spellEnd"/>
      <w:r w:rsidRPr="00F6115A">
        <w:rPr>
          <w:rFonts w:ascii="Verdana" w:eastAsia="Calibri" w:hAnsi="Verdana" w:cs="Arial"/>
          <w:lang w:eastAsia="es-MX"/>
        </w:rPr>
        <w:t xml:space="preserve">. </w:t>
      </w:r>
      <w:r w:rsidRPr="00F6115A">
        <w:rPr>
          <w:rFonts w:ascii="Verdana" w:eastAsia="Aptos" w:hAnsi="Verdana" w:cs="Aptos"/>
          <w:lang w:eastAsia="es-MX"/>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F6115A">
        <w:rPr>
          <w:rFonts w:ascii="Verdana" w:eastAsia="Times New Roman" w:hAnsi="Verdana" w:cs="Arial"/>
          <w:sz w:val="24"/>
          <w:szCs w:val="24"/>
          <w:shd w:val="clear" w:color="auto" w:fill="FFFFFF"/>
          <w:lang w:val="es-ES_tradnl" w:eastAsia="es-ES_tradnl"/>
        </w:rPr>
        <w:t xml:space="preserve"> </w:t>
      </w:r>
    </w:p>
    <w:p w14:paraId="2CD13D69" w14:textId="77777777" w:rsidR="00F6115A" w:rsidRPr="00F6115A" w:rsidRDefault="00F6115A" w:rsidP="00F6115A">
      <w:pPr>
        <w:spacing w:after="120" w:line="276" w:lineRule="auto"/>
        <w:ind w:firstLine="708"/>
        <w:jc w:val="both"/>
        <w:rPr>
          <w:rFonts w:ascii="Verdana" w:eastAsia="Aptos" w:hAnsi="Verdana" w:cs="Times New Roman"/>
          <w:lang w:eastAsia="es-MX"/>
        </w:rPr>
      </w:pPr>
      <w:r w:rsidRPr="00F6115A">
        <w:rPr>
          <w:rFonts w:ascii="Verdana" w:eastAsia="Calibri" w:hAnsi="Verdana" w:cs="Arial"/>
          <w:bCs/>
          <w:color w:val="000000"/>
          <w:lang w:eastAsia="es-MX"/>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F6115A">
        <w:rPr>
          <w:rFonts w:ascii="Verdana" w:eastAsia="Calibri" w:hAnsi="Verdana" w:cs="Arial"/>
          <w:bCs/>
          <w:color w:val="000000"/>
          <w:lang w:eastAsia="es-MX"/>
        </w:rPr>
        <w:lastRenderedPageBreak/>
        <w:t>correspondiente y, en caso de conflicto, a las autoridades judiciales, fiscales y disciplinarias.</w:t>
      </w:r>
    </w:p>
    <w:p w14:paraId="722DA31C" w14:textId="77777777" w:rsidR="00F6115A" w:rsidRPr="00F6115A" w:rsidRDefault="00F6115A" w:rsidP="00F6115A">
      <w:pPr>
        <w:spacing w:after="0" w:line="276" w:lineRule="auto"/>
        <w:ind w:firstLine="708"/>
        <w:jc w:val="both"/>
        <w:rPr>
          <w:rFonts w:ascii="Verdana" w:eastAsia="Calibri" w:hAnsi="Verdana" w:cs="Arial"/>
          <w:bCs/>
          <w:color w:val="000000"/>
          <w:lang w:eastAsia="es-MX"/>
        </w:rPr>
      </w:pPr>
      <w:r w:rsidRPr="00F6115A">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BD74B54" w14:textId="77777777" w:rsidR="00F6115A" w:rsidRPr="00F6115A" w:rsidRDefault="00F6115A" w:rsidP="00F6115A">
      <w:pPr>
        <w:spacing w:after="0" w:line="276" w:lineRule="auto"/>
        <w:jc w:val="both"/>
        <w:rPr>
          <w:rFonts w:ascii="Verdana" w:eastAsia="Calibri" w:hAnsi="Verdana" w:cs="Times New Roman"/>
          <w:lang w:eastAsia="es-MX"/>
        </w:rPr>
      </w:pPr>
    </w:p>
    <w:p w14:paraId="6D71AD67" w14:textId="77777777" w:rsidR="00F6115A" w:rsidRPr="00F6115A" w:rsidRDefault="00F6115A" w:rsidP="00F6115A">
      <w:pPr>
        <w:tabs>
          <w:tab w:val="left" w:pos="142"/>
          <w:tab w:val="left" w:pos="284"/>
        </w:tabs>
        <w:spacing w:after="0" w:line="276" w:lineRule="auto"/>
        <w:jc w:val="both"/>
        <w:rPr>
          <w:rFonts w:ascii="Verdana" w:eastAsia="Century Gothic" w:hAnsi="Verdana" w:cs="Century Gothic"/>
          <w:b/>
          <w:bCs/>
          <w:lang w:val="es-ES_tradnl" w:eastAsia="es-MX"/>
        </w:rPr>
      </w:pPr>
      <w:r w:rsidRPr="00F6115A">
        <w:rPr>
          <w:rFonts w:ascii="Verdana" w:eastAsia="Century Gothic" w:hAnsi="Verdana" w:cs="Century Gothic"/>
          <w:b/>
          <w:bCs/>
          <w:lang w:val="es-ES_tradnl" w:eastAsia="es-MX"/>
        </w:rPr>
        <w:t>4. Referencias normativas, jurisprudenciales y otras fuentes:</w:t>
      </w:r>
    </w:p>
    <w:p w14:paraId="3D164B18" w14:textId="77777777" w:rsidR="00F6115A" w:rsidRPr="00F6115A" w:rsidRDefault="00F6115A" w:rsidP="00F6115A">
      <w:pPr>
        <w:spacing w:after="0"/>
        <w:ind w:left="-15840"/>
        <w:jc w:val="both"/>
        <w:rPr>
          <w:rFonts w:ascii="Verdana" w:eastAsia="Calibri" w:hAnsi="Verdana" w:cs="Arial"/>
          <w:b/>
          <w:bCs/>
          <w:lang w:eastAsia="es-MX"/>
        </w:rPr>
      </w:pPr>
      <w:r w:rsidRPr="00F6115A">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6115A" w:rsidRPr="00F6115A" w14:paraId="5892941D" w14:textId="77777777" w:rsidTr="008A62F8">
        <w:trPr>
          <w:trHeight w:val="870"/>
        </w:trPr>
        <w:tc>
          <w:tcPr>
            <w:tcW w:w="8647" w:type="dxa"/>
            <w:tcBorders>
              <w:top w:val="dotted" w:sz="4" w:space="0" w:color="auto"/>
              <w:left w:val="dotted" w:sz="4" w:space="0" w:color="auto"/>
              <w:bottom w:val="dotted" w:sz="4" w:space="0" w:color="auto"/>
              <w:right w:val="dotted" w:sz="4" w:space="0" w:color="auto"/>
            </w:tcBorders>
          </w:tcPr>
          <w:p w14:paraId="1B4BA92B" w14:textId="77777777" w:rsidR="00F6115A" w:rsidRPr="00F6115A" w:rsidRDefault="00F6115A" w:rsidP="00F6115A">
            <w:pPr>
              <w:contextualSpacing/>
              <w:jc w:val="both"/>
              <w:rPr>
                <w:rFonts w:ascii="Verdana" w:eastAsia="Calibri" w:hAnsi="Verdana" w:cs="Arial"/>
                <w:bCs/>
                <w:lang w:eastAsia="es-MX"/>
              </w:rPr>
            </w:pPr>
          </w:p>
          <w:p w14:paraId="40A59B1B" w14:textId="77777777" w:rsidR="00F6115A" w:rsidRPr="00F6115A" w:rsidRDefault="00F6115A" w:rsidP="00F6115A">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F6115A">
              <w:rPr>
                <w:rFonts w:ascii="Verdana" w:eastAsia="Calibri" w:hAnsi="Verdana" w:cs="Arial"/>
                <w:lang w:val="es-ES_tradnl" w:eastAsia="es-MX"/>
              </w:rPr>
              <w:t xml:space="preserve">Ley 2022 de 2020, artículo 1. </w:t>
            </w:r>
          </w:p>
          <w:p w14:paraId="2C3C3566" w14:textId="77777777" w:rsidR="00F6115A" w:rsidRPr="00F6115A" w:rsidRDefault="00F6115A" w:rsidP="00F6115A">
            <w:pPr>
              <w:widowControl w:val="0"/>
              <w:numPr>
                <w:ilvl w:val="0"/>
                <w:numId w:val="16"/>
              </w:numPr>
              <w:autoSpaceDE w:val="0"/>
              <w:autoSpaceDN w:val="0"/>
              <w:spacing w:line="276" w:lineRule="auto"/>
              <w:jc w:val="both"/>
              <w:rPr>
                <w:rFonts w:ascii="Verdana" w:eastAsia="Calibri" w:hAnsi="Verdana" w:cs="Arial"/>
                <w:lang w:eastAsia="es-MX"/>
              </w:rPr>
            </w:pPr>
            <w:r w:rsidRPr="00F6115A">
              <w:rPr>
                <w:rFonts w:ascii="Verdana" w:eastAsia="Calibri" w:hAnsi="Verdana" w:cs="Arial"/>
                <w:lang w:eastAsia="es-MX"/>
              </w:rPr>
              <w:t>Ley 1150 de 2007, artículo 2.</w:t>
            </w:r>
          </w:p>
          <w:p w14:paraId="1CD954B0" w14:textId="77777777" w:rsidR="00F6115A" w:rsidRPr="00F6115A" w:rsidRDefault="00F6115A" w:rsidP="00F6115A">
            <w:pPr>
              <w:widowControl w:val="0"/>
              <w:numPr>
                <w:ilvl w:val="0"/>
                <w:numId w:val="16"/>
              </w:numPr>
              <w:autoSpaceDE w:val="0"/>
              <w:autoSpaceDN w:val="0"/>
              <w:spacing w:line="276" w:lineRule="auto"/>
              <w:contextualSpacing/>
              <w:jc w:val="both"/>
              <w:rPr>
                <w:rFonts w:ascii="Verdana" w:eastAsia="Calibri" w:hAnsi="Verdana" w:cs="Arial"/>
                <w:lang w:eastAsia="es-MX"/>
              </w:rPr>
            </w:pPr>
            <w:r w:rsidRPr="00F6115A">
              <w:rPr>
                <w:rFonts w:ascii="Verdana" w:eastAsia="Calibri" w:hAnsi="Verdana" w:cs="Arial"/>
                <w:lang w:val="es-ES_tradnl" w:eastAsia="es-MX"/>
              </w:rPr>
              <w:t xml:space="preserve">Documentos Tipo. Disponibles en: </w:t>
            </w:r>
            <w:hyperlink r:id="rId11" w:history="1">
              <w:r w:rsidRPr="00F6115A">
                <w:rPr>
                  <w:rFonts w:ascii="Verdana" w:eastAsia="Calibri" w:hAnsi="Verdana" w:cs="Arial"/>
                  <w:color w:val="0000FF"/>
                  <w:u w:val="single"/>
                  <w:lang w:val="es-ES_tradnl" w:eastAsia="es-MX"/>
                </w:rPr>
                <w:t>https://www.colombiacompra.gov.co/documentos-tipo/documentos-tipo</w:t>
              </w:r>
            </w:hyperlink>
            <w:r w:rsidRPr="00F6115A">
              <w:rPr>
                <w:rFonts w:ascii="Verdana" w:eastAsia="Calibri" w:hAnsi="Verdana" w:cs="Arial"/>
                <w:lang w:val="es-ES_tradnl" w:eastAsia="es-MX"/>
              </w:rPr>
              <w:t>.</w:t>
            </w:r>
          </w:p>
        </w:tc>
      </w:tr>
    </w:tbl>
    <w:p w14:paraId="0A4914E0" w14:textId="77777777" w:rsidR="00F6115A" w:rsidRPr="00F6115A" w:rsidRDefault="00F6115A" w:rsidP="00F6115A">
      <w:pPr>
        <w:tabs>
          <w:tab w:val="left" w:pos="142"/>
          <w:tab w:val="left" w:pos="284"/>
        </w:tabs>
        <w:spacing w:after="0" w:line="276" w:lineRule="auto"/>
        <w:jc w:val="both"/>
        <w:rPr>
          <w:rFonts w:ascii="Verdana" w:eastAsia="Calibri" w:hAnsi="Verdana" w:cs="Arial"/>
          <w:lang w:eastAsia="es-MX"/>
        </w:rPr>
      </w:pPr>
    </w:p>
    <w:p w14:paraId="30B27DEA" w14:textId="77777777" w:rsidR="00F6115A" w:rsidRPr="00F6115A" w:rsidRDefault="00F6115A" w:rsidP="00F6115A">
      <w:pPr>
        <w:tabs>
          <w:tab w:val="left" w:pos="142"/>
          <w:tab w:val="left" w:pos="284"/>
        </w:tabs>
        <w:spacing w:after="0" w:line="276" w:lineRule="auto"/>
        <w:jc w:val="both"/>
        <w:rPr>
          <w:rFonts w:ascii="Verdana" w:eastAsia="Century Gothic" w:hAnsi="Verdana" w:cs="Century Gothic"/>
          <w:b/>
          <w:bCs/>
          <w:lang w:val="es-ES" w:eastAsia="es-MX"/>
        </w:rPr>
      </w:pPr>
      <w:r w:rsidRPr="00F6115A">
        <w:rPr>
          <w:rFonts w:ascii="Verdana" w:eastAsia="Calibri" w:hAnsi="Verdana" w:cs="Arial"/>
          <w:b/>
          <w:bCs/>
          <w:lang w:eastAsia="es-MX"/>
        </w:rPr>
        <w:t>5</w:t>
      </w:r>
      <w:r w:rsidRPr="00F6115A">
        <w:rPr>
          <w:rFonts w:ascii="Verdana" w:eastAsia="Calibri" w:hAnsi="Verdana" w:cs="Arial"/>
          <w:lang w:eastAsia="es-MX"/>
        </w:rPr>
        <w:t>.</w:t>
      </w:r>
      <w:r w:rsidRPr="00F6115A">
        <w:rPr>
          <w:rFonts w:ascii="Verdana" w:eastAsia="Century Gothic" w:hAnsi="Verdana" w:cs="Century Gothic"/>
          <w:b/>
          <w:bCs/>
          <w:lang w:val="es-ES" w:eastAsia="es-MX"/>
        </w:rPr>
        <w:t>Doctrina de la Agencia Nacional de Contratación Pública:</w:t>
      </w:r>
    </w:p>
    <w:p w14:paraId="4A9537C0" w14:textId="77777777" w:rsidR="00F6115A" w:rsidRPr="00F6115A" w:rsidRDefault="00F6115A" w:rsidP="00F6115A">
      <w:pPr>
        <w:widowControl w:val="0"/>
        <w:autoSpaceDE w:val="0"/>
        <w:autoSpaceDN w:val="0"/>
        <w:spacing w:after="0" w:line="276" w:lineRule="auto"/>
        <w:jc w:val="both"/>
        <w:rPr>
          <w:rFonts w:ascii="Verdana" w:eastAsia="Calibri" w:hAnsi="Verdana" w:cs="Arial"/>
          <w:lang w:eastAsia="es-MX"/>
        </w:rPr>
      </w:pPr>
    </w:p>
    <w:p w14:paraId="59888E00" w14:textId="77777777" w:rsidR="00F6115A" w:rsidRPr="00F6115A" w:rsidRDefault="00F6115A" w:rsidP="00F6115A">
      <w:pPr>
        <w:spacing w:after="0" w:line="276" w:lineRule="auto"/>
        <w:jc w:val="both"/>
        <w:rPr>
          <w:rFonts w:ascii="Verdana" w:eastAsia="Calibri" w:hAnsi="Verdana" w:cs="Arial"/>
          <w:shd w:val="clear" w:color="auto" w:fill="FFFFFF"/>
          <w:lang w:val="es-ES" w:eastAsia="es-MX"/>
        </w:rPr>
      </w:pPr>
      <w:r w:rsidRPr="00F6115A">
        <w:rPr>
          <w:rFonts w:ascii="Verdana" w:eastAsia="Calibri" w:hAnsi="Verdana" w:cs="Arial"/>
          <w:shd w:val="clear" w:color="auto" w:fill="FFFFFF"/>
          <w:lang w:val="es-ES" w:eastAsia="es-MX"/>
        </w:rPr>
        <w:t>La Agencia Nacional de Contratación Pública – Colombia Compra Eficiente se pronunció</w:t>
      </w:r>
      <w:r w:rsidRPr="00F6115A">
        <w:rPr>
          <w:rFonts w:ascii="Verdana" w:eastAsia="Calibri" w:hAnsi="Verdana" w:cs="Times New Roman"/>
          <w:lang w:eastAsia="es-MX"/>
        </w:rPr>
        <w:t xml:space="preserve"> </w:t>
      </w:r>
      <w:r w:rsidRPr="00F6115A">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F6115A">
        <w:rPr>
          <w:rFonts w:ascii="Verdana" w:eastAsia="Calibri" w:hAnsi="Verdana" w:cs="Arial"/>
          <w:shd w:val="clear" w:color="auto" w:fill="FFFFFF"/>
          <w:lang w:val="es-ES" w:eastAsia="es-MX"/>
        </w:rPr>
        <w:tab/>
        <w:t xml:space="preserve">C-636 del 1 de noviembre de 2024, C-777 del 9 de diciembre de 2024, C-971 del 21 de enero de 2025 y C-1813 del 31 de diciembre de 2025, entre otros. </w:t>
      </w:r>
    </w:p>
    <w:p w14:paraId="66BC7A41" w14:textId="77777777" w:rsidR="00F6115A" w:rsidRPr="00F6115A" w:rsidRDefault="00F6115A" w:rsidP="00F6115A">
      <w:pPr>
        <w:spacing w:after="0" w:line="240" w:lineRule="auto"/>
        <w:jc w:val="both"/>
        <w:rPr>
          <w:rFonts w:ascii="Verdana" w:eastAsia="Calibri" w:hAnsi="Verdana" w:cs="Arial"/>
          <w:color w:val="000000"/>
          <w:shd w:val="clear" w:color="auto" w:fill="FFFFFF"/>
          <w:lang w:eastAsia="es-MX"/>
        </w:rPr>
      </w:pPr>
    </w:p>
    <w:p w14:paraId="67AAEACD" w14:textId="77777777" w:rsidR="00F6115A" w:rsidRPr="00F6115A" w:rsidRDefault="00F6115A" w:rsidP="00F6115A">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F6115A">
        <w:rPr>
          <w:rFonts w:ascii="Verdana" w:eastAsia="Calibri" w:hAnsi="Verdana" w:cs="Arial"/>
          <w:color w:val="000000"/>
          <w:shd w:val="clear" w:color="auto" w:fill="FFFFFF"/>
          <w:lang w:eastAsia="es-MX"/>
        </w:rPr>
        <w:t xml:space="preserve">Estos y otros conceptos se encuentran disponibles para consulta en el Sistema de Relatoría de la Agencia, en el cual también podrás encontrar jurisprudencia </w:t>
      </w:r>
      <w:r w:rsidRPr="00F6115A">
        <w:rPr>
          <w:rFonts w:ascii="Verdana" w:eastAsia="Calibri" w:hAnsi="Verdana" w:cs="Arial"/>
          <w:color w:val="000000"/>
          <w:shd w:val="clear" w:color="auto" w:fill="FFFFFF"/>
          <w:lang w:eastAsia="es-MX"/>
        </w:rPr>
        <w:lastRenderedPageBreak/>
        <w:t>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F6115A">
          <w:rPr>
            <w:rFonts w:ascii="Verdana" w:eastAsia="Calibri" w:hAnsi="Verdana" w:cs="Arial"/>
            <w:color w:val="0000FF"/>
            <w:u w:val="single"/>
            <w:shd w:val="clear" w:color="auto" w:fill="FFFFFF"/>
            <w:lang w:eastAsia="es-MX"/>
          </w:rPr>
          <w:t>https://relatoria.colombiacompra.gov.co/</w:t>
        </w:r>
      </w:hyperlink>
      <w:r w:rsidRPr="00F6115A">
        <w:rPr>
          <w:rFonts w:ascii="Verdana" w:eastAsia="Calibri" w:hAnsi="Verdana" w:cs="Arial"/>
          <w:color w:val="0000FF"/>
          <w:u w:val="single"/>
          <w:shd w:val="clear" w:color="auto" w:fill="FFFFFF"/>
          <w:lang w:eastAsia="es-MX"/>
        </w:rPr>
        <w:t> .</w:t>
      </w:r>
    </w:p>
    <w:p w14:paraId="22FE967D" w14:textId="77777777" w:rsidR="00F6115A" w:rsidRPr="00F6115A" w:rsidRDefault="00F6115A" w:rsidP="00F6115A">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1BDFEEFD" w14:textId="77777777" w:rsidR="00F6115A" w:rsidRPr="00F6115A" w:rsidRDefault="00F6115A" w:rsidP="00F6115A">
      <w:pPr>
        <w:spacing w:after="0" w:line="276" w:lineRule="auto"/>
        <w:jc w:val="both"/>
        <w:rPr>
          <w:rFonts w:ascii="Verdana" w:eastAsia="Aptos" w:hAnsi="Verdana" w:cs="Arial"/>
          <w:lang w:eastAsia="es-MX"/>
        </w:rPr>
      </w:pPr>
      <w:r w:rsidRPr="00F6115A">
        <w:rPr>
          <w:rFonts w:ascii="Verdana" w:eastAsia="Aptos" w:hAnsi="Verdana" w:cs="Arial"/>
          <w:lang w:eastAsia="es-MX"/>
        </w:rPr>
        <w:t xml:space="preserve">La sostenibilidad no es una opción, es una obligación. Por ello, la Agencia Nacional de Contratación Pública –Colombia Compra Eficiente– te invita a realizar el </w:t>
      </w:r>
      <w:r w:rsidRPr="00F6115A">
        <w:rPr>
          <w:rFonts w:ascii="Verdana" w:eastAsia="Aptos" w:hAnsi="Verdana" w:cs="Arial"/>
          <w:b/>
          <w:bCs/>
          <w:lang w:eastAsia="es-MX"/>
        </w:rPr>
        <w:t>Curso de Contratación Pública Sostenible y Socialmente Responsable</w:t>
      </w:r>
      <w:r w:rsidRPr="00F6115A">
        <w:rPr>
          <w:rFonts w:ascii="Verdana" w:eastAsia="Aptos"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F6115A">
        <w:rPr>
          <w:rFonts w:ascii="Verdana" w:eastAsia="Aptos" w:hAnsi="Verdana" w:cs="Arial"/>
          <w:lang w:eastAsia="es-MX"/>
        </w:rPr>
        <w:br/>
      </w:r>
      <w:hyperlink r:id="rId13" w:tgtFrame="_new" w:history="1">
        <w:r w:rsidRPr="00F6115A">
          <w:rPr>
            <w:rFonts w:ascii="Verdana" w:eastAsia="Aptos" w:hAnsi="Verdana" w:cs="Arial"/>
            <w:color w:val="0000FF"/>
            <w:u w:val="single"/>
            <w:lang w:eastAsia="es-MX"/>
          </w:rPr>
          <w:t>https://formacionvirtual.colombiacompra.gov.co/mod/page/view.php?id=3718</w:t>
        </w:r>
      </w:hyperlink>
    </w:p>
    <w:p w14:paraId="78E00E83" w14:textId="77777777" w:rsidR="00F6115A" w:rsidRPr="00F6115A" w:rsidRDefault="00F6115A" w:rsidP="00F6115A">
      <w:pPr>
        <w:spacing w:after="0" w:line="276" w:lineRule="auto"/>
        <w:jc w:val="both"/>
        <w:rPr>
          <w:rFonts w:ascii="Verdana" w:eastAsia="Aptos" w:hAnsi="Verdana" w:cs="Arial"/>
          <w:lang w:eastAsia="es-MX"/>
        </w:rPr>
      </w:pPr>
      <w:r w:rsidRPr="00F6115A">
        <w:rPr>
          <w:rFonts w:ascii="Verdana" w:eastAsia="Aptos" w:hAnsi="Verdana" w:cs="Arial"/>
          <w:lang w:eastAsia="es-MX"/>
        </w:rPr>
        <w:t xml:space="preserve">De otro lado, te contamos que esta Agencia ha da un paso decisivo en la estandarización y modernización del </w:t>
      </w:r>
      <w:r w:rsidRPr="00F6115A">
        <w:rPr>
          <w:rFonts w:ascii="Verdana" w:eastAsia="Aptos" w:hAnsi="Verdana" w:cs="Arial"/>
          <w:b/>
          <w:bCs/>
          <w:lang w:eastAsia="es-MX"/>
        </w:rPr>
        <w:t>sector  social</w:t>
      </w:r>
      <w:r w:rsidRPr="00F6115A">
        <w:rPr>
          <w:rFonts w:ascii="Verdana" w:eastAsia="Aptos" w:hAnsi="Verdana" w:cs="Arial"/>
          <w:lang w:eastAsia="es-MX"/>
        </w:rPr>
        <w:t xml:space="preserve"> con la expedición de las </w:t>
      </w:r>
      <w:r w:rsidRPr="00F6115A">
        <w:rPr>
          <w:rFonts w:ascii="Verdana" w:eastAsia="Aptos" w:hAnsi="Verdana" w:cs="Arial"/>
          <w:b/>
          <w:bCs/>
          <w:lang w:eastAsia="es-MX"/>
        </w:rPr>
        <w:t>Resoluciones 539, 540, 541, 952 y 953 de 2025</w:t>
      </w:r>
      <w:r w:rsidRPr="00F6115A">
        <w:rPr>
          <w:rFonts w:ascii="Verdana" w:eastAsia="Aptos" w:hAnsi="Verdana" w:cs="Arial"/>
          <w:lang w:eastAsia="es-MX"/>
        </w:rPr>
        <w:t xml:space="preserve">, </w:t>
      </w:r>
      <w:r w:rsidRPr="00F6115A">
        <w:rPr>
          <w:rFonts w:ascii="Verdana" w:eastAsia="Aptos" w:hAnsi="Verdana" w:cs="Arial"/>
          <w:b/>
          <w:bCs/>
          <w:lang w:eastAsia="es-MX"/>
        </w:rPr>
        <w:t>mediante las cuales adoptó Documentos Tipo</w:t>
      </w:r>
      <w:r w:rsidRPr="00F6115A">
        <w:rPr>
          <w:rFonts w:ascii="Verdana" w:eastAsia="Aptos" w:hAnsi="Verdana" w:cs="Arial"/>
          <w:lang w:eastAsia="es-MX"/>
        </w:rPr>
        <w:t xml:space="preserve"> para las modalidades de selección de</w:t>
      </w:r>
      <w:r w:rsidRPr="00F6115A">
        <w:rPr>
          <w:rFonts w:ascii="Verdana" w:eastAsia="Aptos" w:hAnsi="Verdana" w:cs="Arial"/>
          <w:b/>
          <w:bCs/>
          <w:lang w:eastAsia="es-MX"/>
        </w:rPr>
        <w:t xml:space="preserve"> licitación pública (versión 2), selección abreviada de menor cuantía, mínima cuantía, consultoría e interventoría</w:t>
      </w:r>
      <w:r w:rsidRPr="00F6115A">
        <w:rPr>
          <w:rFonts w:ascii="Verdana" w:eastAsia="Aptos"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6115A">
          <w:rPr>
            <w:rFonts w:ascii="Verdana" w:eastAsia="Aptos" w:hAnsi="Verdana" w:cs="Arial"/>
            <w:color w:val="0000FF"/>
            <w:u w:val="single"/>
            <w:lang w:eastAsia="es-MX"/>
          </w:rPr>
          <w:t>https://www.colombiacompra.gov.co/normativa-y-relatoria/documentos-tipo</w:t>
        </w:r>
      </w:hyperlink>
    </w:p>
    <w:p w14:paraId="4699B70B" w14:textId="77777777" w:rsidR="00F6115A" w:rsidRPr="00F6115A" w:rsidRDefault="00F6115A" w:rsidP="00F6115A">
      <w:pPr>
        <w:spacing w:after="0" w:line="276" w:lineRule="auto"/>
        <w:jc w:val="both"/>
        <w:rPr>
          <w:rFonts w:ascii="Verdana" w:eastAsia="Aptos" w:hAnsi="Verdana" w:cs="Arial"/>
          <w:lang w:eastAsia="es-MX"/>
        </w:rPr>
      </w:pPr>
    </w:p>
    <w:p w14:paraId="120FF9CA" w14:textId="77777777" w:rsidR="00F6115A" w:rsidRPr="00F6115A" w:rsidRDefault="00F6115A" w:rsidP="00F6115A">
      <w:pPr>
        <w:spacing w:after="0" w:line="276" w:lineRule="auto"/>
        <w:jc w:val="both"/>
        <w:rPr>
          <w:rFonts w:ascii="Verdana" w:eastAsia="Aptos" w:hAnsi="Verdana" w:cs="Arial"/>
          <w:lang w:eastAsia="es-MX"/>
        </w:rPr>
      </w:pPr>
      <w:r w:rsidRPr="00F6115A">
        <w:rPr>
          <w:rFonts w:ascii="Verdana" w:eastAsia="Aptos" w:hAnsi="Verdana" w:cs="Arial"/>
          <w:lang w:eastAsia="es-MX"/>
        </w:rPr>
        <w:t xml:space="preserve">Si quieres conocer más sobre la aplicación de Documentos Tipo puedes consultar la última versión de la </w:t>
      </w:r>
      <w:r w:rsidRPr="00F6115A">
        <w:rPr>
          <w:rFonts w:ascii="Verdana" w:eastAsia="Aptos" w:hAnsi="Verdana" w:cs="Arial"/>
          <w:b/>
          <w:bCs/>
          <w:lang w:eastAsia="es-MX"/>
        </w:rPr>
        <w:t>Guía para la comprensión e implementación de los Documentos Tipo de obra pública de infraestructura de transporte</w:t>
      </w:r>
      <w:r w:rsidRPr="00F6115A">
        <w:rPr>
          <w:rFonts w:ascii="Verdana" w:eastAsia="Aptos"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6115A">
        <w:rPr>
          <w:rFonts w:ascii="Verdana" w:eastAsia="Aptos" w:hAnsi="Verdana" w:cs="Arial"/>
          <w:lang w:eastAsia="es-MX"/>
        </w:rPr>
        <w:br/>
      </w:r>
      <w:hyperlink r:id="rId15" w:tgtFrame="_new" w:history="1">
        <w:r w:rsidRPr="00F6115A">
          <w:rPr>
            <w:rFonts w:ascii="Verdana" w:eastAsia="Aptos"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09EE773A" w14:textId="77777777" w:rsidR="00F6115A" w:rsidRPr="00F6115A" w:rsidRDefault="00F6115A" w:rsidP="00F6115A">
      <w:pPr>
        <w:spacing w:after="0"/>
        <w:jc w:val="both"/>
        <w:rPr>
          <w:rFonts w:ascii="Verdana" w:eastAsia="Aptos" w:hAnsi="Verdana" w:cs="Times New Roman"/>
          <w:color w:val="212121"/>
          <w:lang w:eastAsia="es-MX"/>
        </w:rPr>
      </w:pPr>
    </w:p>
    <w:p w14:paraId="1C60B26E" w14:textId="77777777" w:rsidR="00F6115A" w:rsidRPr="00F6115A" w:rsidRDefault="00F6115A" w:rsidP="00F6115A">
      <w:pPr>
        <w:spacing w:after="0" w:line="240" w:lineRule="auto"/>
        <w:jc w:val="both"/>
        <w:rPr>
          <w:rFonts w:ascii="Verdana" w:eastAsia="Calibri" w:hAnsi="Verdana" w:cs="Times New Roman"/>
          <w:lang w:eastAsia="es-MX"/>
        </w:rPr>
      </w:pPr>
      <w:r w:rsidRPr="00F6115A">
        <w:rPr>
          <w:rFonts w:ascii="Verdana" w:eastAsia="Aptos" w:hAnsi="Verdana" w:cs="Times New Roman"/>
          <w:lang w:eastAsia="es-MX"/>
        </w:rPr>
        <w:t xml:space="preserve">Por último, lo invitamos a seguirnos en las redes sociales en las cuales se difunde información institucional: </w:t>
      </w:r>
    </w:p>
    <w:p w14:paraId="44A9EEF1" w14:textId="77777777" w:rsidR="00F6115A" w:rsidRPr="00F6115A" w:rsidRDefault="00F6115A" w:rsidP="00F6115A">
      <w:pPr>
        <w:spacing w:after="0" w:line="240" w:lineRule="auto"/>
        <w:jc w:val="both"/>
        <w:rPr>
          <w:rFonts w:ascii="Verdana" w:eastAsia="Aptos" w:hAnsi="Verdana" w:cs="Times New Roman"/>
          <w:lang w:eastAsia="es-MX"/>
        </w:rPr>
      </w:pPr>
    </w:p>
    <w:p w14:paraId="46406A3E" w14:textId="77777777" w:rsidR="00F6115A" w:rsidRPr="00F6115A" w:rsidRDefault="00F6115A" w:rsidP="00F6115A">
      <w:pPr>
        <w:spacing w:after="0" w:line="240" w:lineRule="auto"/>
        <w:jc w:val="both"/>
        <w:rPr>
          <w:rFonts w:ascii="Verdana" w:eastAsia="Aptos" w:hAnsi="Verdana" w:cs="Times New Roman"/>
          <w:lang w:eastAsia="es-MX"/>
        </w:rPr>
      </w:pPr>
      <w:r w:rsidRPr="00F6115A">
        <w:rPr>
          <w:rFonts w:ascii="Verdana" w:eastAsia="Aptos" w:hAnsi="Verdana" w:cs="Times New Roman"/>
          <w:lang w:eastAsia="es-MX"/>
        </w:rPr>
        <w:t xml:space="preserve">Twitter: </w:t>
      </w:r>
      <w:r w:rsidRPr="00F6115A">
        <w:rPr>
          <w:rFonts w:ascii="Verdana" w:eastAsia="Calibri" w:hAnsi="Verdana" w:cs="Times New Roman"/>
          <w:color w:val="156082"/>
          <w:u w:val="single"/>
          <w:lang w:eastAsia="es-MX"/>
        </w:rPr>
        <w:t>@colombiacompra</w:t>
      </w:r>
      <w:r w:rsidRPr="00F6115A">
        <w:rPr>
          <w:rFonts w:ascii="Verdana" w:eastAsia="Calibri" w:hAnsi="Verdana" w:cs="Times New Roman"/>
          <w:color w:val="156082"/>
          <w:lang w:eastAsia="es-MX"/>
        </w:rPr>
        <w:t xml:space="preserve"> </w:t>
      </w:r>
    </w:p>
    <w:p w14:paraId="3038AC6F" w14:textId="77777777" w:rsidR="00F6115A" w:rsidRPr="00F6115A" w:rsidRDefault="00F6115A" w:rsidP="00F6115A">
      <w:pPr>
        <w:spacing w:after="0" w:line="240" w:lineRule="auto"/>
        <w:jc w:val="both"/>
        <w:rPr>
          <w:rFonts w:ascii="Verdana" w:eastAsia="Aptos" w:hAnsi="Verdana" w:cs="Times New Roman"/>
          <w:lang w:eastAsia="es-MX"/>
        </w:rPr>
      </w:pPr>
      <w:r w:rsidRPr="00F6115A">
        <w:rPr>
          <w:rFonts w:ascii="Verdana" w:eastAsia="Aptos" w:hAnsi="Verdana" w:cs="Times New Roman"/>
          <w:lang w:eastAsia="es-MX"/>
        </w:rPr>
        <w:t xml:space="preserve">Facebook: </w:t>
      </w:r>
      <w:proofErr w:type="spellStart"/>
      <w:r w:rsidRPr="00F6115A">
        <w:rPr>
          <w:rFonts w:ascii="Verdana" w:eastAsia="Calibri" w:hAnsi="Verdana" w:cs="Times New Roman"/>
          <w:color w:val="156082"/>
          <w:u w:val="single"/>
          <w:lang w:eastAsia="es-MX"/>
        </w:rPr>
        <w:t>ColombiaCompraEficiente</w:t>
      </w:r>
      <w:proofErr w:type="spellEnd"/>
    </w:p>
    <w:p w14:paraId="093BE4FC" w14:textId="77777777" w:rsidR="00F6115A" w:rsidRPr="00F6115A" w:rsidRDefault="00F6115A" w:rsidP="00F6115A">
      <w:pPr>
        <w:spacing w:after="0" w:line="240" w:lineRule="auto"/>
        <w:jc w:val="both"/>
        <w:rPr>
          <w:rFonts w:ascii="Verdana" w:eastAsia="Aptos" w:hAnsi="Verdana" w:cs="Times New Roman"/>
          <w:lang w:eastAsia="es-MX"/>
        </w:rPr>
      </w:pPr>
      <w:r w:rsidRPr="00F6115A">
        <w:rPr>
          <w:rFonts w:ascii="Verdana" w:eastAsia="Aptos" w:hAnsi="Verdana" w:cs="Times New Roman"/>
          <w:lang w:eastAsia="es-MX"/>
        </w:rPr>
        <w:t xml:space="preserve">LinkedIn: </w:t>
      </w:r>
      <w:r w:rsidRPr="00F6115A">
        <w:rPr>
          <w:rFonts w:ascii="Verdana" w:eastAsia="Calibri" w:hAnsi="Verdana" w:cs="Times New Roman"/>
          <w:color w:val="156082"/>
          <w:u w:val="single"/>
          <w:lang w:eastAsia="es-MX"/>
        </w:rPr>
        <w:t>Agencia Nacional de Contratación Pública - Colombia Compra Eficiente</w:t>
      </w:r>
      <w:r w:rsidRPr="00F6115A">
        <w:rPr>
          <w:rFonts w:ascii="Verdana" w:eastAsia="Calibri" w:hAnsi="Verdana" w:cs="Times New Roman"/>
          <w:color w:val="156082"/>
          <w:lang w:eastAsia="es-MX"/>
        </w:rPr>
        <w:t xml:space="preserve"> </w:t>
      </w:r>
      <w:r w:rsidRPr="00F6115A">
        <w:rPr>
          <w:rFonts w:ascii="Verdana" w:eastAsia="Aptos" w:hAnsi="Verdana" w:cs="Times New Roman"/>
          <w:lang w:eastAsia="es-MX"/>
        </w:rPr>
        <w:t xml:space="preserve">Instagram: </w:t>
      </w:r>
      <w:r w:rsidRPr="00F6115A">
        <w:rPr>
          <w:rFonts w:ascii="Verdana" w:eastAsia="Calibri" w:hAnsi="Verdana" w:cs="Times New Roman"/>
          <w:color w:val="156082"/>
          <w:u w:val="single"/>
          <w:lang w:eastAsia="es-MX"/>
        </w:rPr>
        <w:t>@colombiacompraeficiente_cce</w:t>
      </w:r>
    </w:p>
    <w:p w14:paraId="59CC5609" w14:textId="77777777" w:rsidR="00F6115A" w:rsidRPr="00F6115A" w:rsidRDefault="00F6115A" w:rsidP="00F6115A">
      <w:pPr>
        <w:spacing w:after="0" w:line="276" w:lineRule="auto"/>
        <w:jc w:val="both"/>
        <w:rPr>
          <w:rFonts w:ascii="Verdana" w:eastAsia="Aptos" w:hAnsi="Verdana" w:cs="Times New Roman"/>
          <w:lang w:eastAsia="es-MX"/>
        </w:rPr>
      </w:pPr>
    </w:p>
    <w:p w14:paraId="0F0D83D8" w14:textId="77777777" w:rsidR="00F6115A" w:rsidRPr="00F6115A" w:rsidRDefault="00F6115A" w:rsidP="00F6115A">
      <w:pPr>
        <w:spacing w:after="0" w:line="276" w:lineRule="auto"/>
        <w:jc w:val="both"/>
        <w:rPr>
          <w:rFonts w:ascii="Verdana" w:eastAsia="Calibri" w:hAnsi="Verdana" w:cs="Times New Roman"/>
          <w:bCs/>
          <w:lang w:val="es-ES_tradnl" w:eastAsia="es-MX"/>
        </w:rPr>
      </w:pPr>
      <w:r w:rsidRPr="00F6115A">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487B084" w14:textId="77777777" w:rsidR="00F6115A" w:rsidRPr="00F6115A" w:rsidRDefault="00F6115A" w:rsidP="00F6115A">
      <w:pPr>
        <w:spacing w:after="0" w:line="276" w:lineRule="auto"/>
        <w:jc w:val="both"/>
        <w:rPr>
          <w:rFonts w:ascii="Verdana" w:eastAsia="Calibri" w:hAnsi="Verdana" w:cs="Times New Roman"/>
          <w:lang w:eastAsia="es-MX"/>
        </w:rPr>
      </w:pPr>
    </w:p>
    <w:p w14:paraId="348B7086" w14:textId="77777777" w:rsidR="00F6115A" w:rsidRPr="00F6115A" w:rsidRDefault="00F6115A" w:rsidP="00F6115A">
      <w:pPr>
        <w:spacing w:after="0" w:line="276" w:lineRule="auto"/>
        <w:jc w:val="both"/>
        <w:rPr>
          <w:rFonts w:ascii="Verdana" w:eastAsia="Calibri" w:hAnsi="Verdana" w:cs="Times New Roman"/>
          <w:lang w:eastAsia="es-MX"/>
        </w:rPr>
      </w:pPr>
      <w:r w:rsidRPr="00F6115A">
        <w:rPr>
          <w:rFonts w:ascii="Verdana" w:eastAsia="Calibri" w:hAnsi="Verdana" w:cs="Times New Roman"/>
          <w:lang w:eastAsia="es-MX"/>
        </w:rPr>
        <w:t>Atentamente,</w:t>
      </w:r>
    </w:p>
    <w:p w14:paraId="6468A3D6" w14:textId="2FCD71B6" w:rsidR="00F6115A" w:rsidRPr="00F6115A" w:rsidRDefault="00E779CD" w:rsidP="00F6115A">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77901008" wp14:editId="6CC3F698">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p w14:paraId="1D623CCF" w14:textId="77777777" w:rsidR="00F6115A" w:rsidRPr="00F6115A" w:rsidRDefault="00F6115A" w:rsidP="00F6115A">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F6115A" w:rsidRPr="00F6115A" w14:paraId="74B0DE33" w14:textId="77777777" w:rsidTr="008A62F8">
        <w:trPr>
          <w:trHeight w:val="323"/>
        </w:trPr>
        <w:tc>
          <w:tcPr>
            <w:tcW w:w="1041" w:type="dxa"/>
            <w:vAlign w:val="center"/>
            <w:hideMark/>
          </w:tcPr>
          <w:p w14:paraId="5CC39289" w14:textId="77777777" w:rsidR="00F6115A" w:rsidRPr="00F6115A" w:rsidRDefault="00F6115A" w:rsidP="00F6115A">
            <w:pPr>
              <w:rPr>
                <w:rFonts w:ascii="Verdana" w:eastAsia="Calibri" w:hAnsi="Verdana" w:cs="Arial"/>
                <w:sz w:val="16"/>
                <w:szCs w:val="16"/>
                <w:lang w:val="es-ES_tradnl" w:eastAsia="es-ES"/>
              </w:rPr>
            </w:pPr>
            <w:r w:rsidRPr="00F6115A">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5D97A98" w14:textId="77777777" w:rsidR="00F6115A" w:rsidRPr="00F6115A" w:rsidRDefault="00F6115A" w:rsidP="00F6115A">
            <w:pPr>
              <w:rPr>
                <w:rFonts w:ascii="Verdana" w:eastAsia="Arial" w:hAnsi="Verdana" w:cs="Arial"/>
                <w:sz w:val="16"/>
                <w:szCs w:val="16"/>
                <w:lang w:val="es-ES" w:eastAsia="es-MX"/>
              </w:rPr>
            </w:pPr>
            <w:r w:rsidRPr="00F6115A">
              <w:rPr>
                <w:rFonts w:ascii="Verdana" w:eastAsia="Arial" w:hAnsi="Verdana" w:cs="Arial"/>
                <w:sz w:val="16"/>
                <w:szCs w:val="16"/>
                <w:lang w:val="es-ES" w:eastAsia="es-MX"/>
              </w:rPr>
              <w:t xml:space="preserve">Carlos Mario Castrillón Endo </w:t>
            </w:r>
          </w:p>
          <w:p w14:paraId="1340F77B" w14:textId="77777777" w:rsidR="00F6115A" w:rsidRPr="00F6115A" w:rsidRDefault="00F6115A" w:rsidP="00F6115A">
            <w:pPr>
              <w:rPr>
                <w:rFonts w:ascii="Verdana" w:eastAsia="Arial" w:hAnsi="Verdana" w:cs="Arial"/>
                <w:sz w:val="16"/>
                <w:szCs w:val="16"/>
                <w:lang w:val="es-ES_tradnl" w:eastAsia="es-MX"/>
              </w:rPr>
            </w:pPr>
            <w:r w:rsidRPr="00F6115A">
              <w:rPr>
                <w:rFonts w:ascii="Verdana" w:eastAsia="Arial" w:hAnsi="Verdana" w:cs="Arial"/>
                <w:sz w:val="16"/>
                <w:szCs w:val="16"/>
                <w:lang w:val="es-ES_tradnl" w:eastAsia="es-MX"/>
              </w:rPr>
              <w:t>Contratista de la Subdirección de Gestión Contractual</w:t>
            </w:r>
          </w:p>
          <w:p w14:paraId="3E62F07E" w14:textId="77777777" w:rsidR="00F6115A" w:rsidRPr="00F6115A" w:rsidRDefault="00F6115A" w:rsidP="00F6115A">
            <w:pPr>
              <w:rPr>
                <w:rFonts w:ascii="Verdana" w:eastAsia="Arial" w:hAnsi="Verdana" w:cs="Arial"/>
                <w:sz w:val="16"/>
                <w:szCs w:val="16"/>
                <w:lang w:val="es-ES_tradnl" w:eastAsia="es-MX"/>
              </w:rPr>
            </w:pPr>
          </w:p>
        </w:tc>
      </w:tr>
      <w:tr w:rsidR="00F6115A" w:rsidRPr="00F6115A" w14:paraId="4C39164C" w14:textId="77777777" w:rsidTr="008A62F8">
        <w:trPr>
          <w:trHeight w:val="338"/>
        </w:trPr>
        <w:tc>
          <w:tcPr>
            <w:tcW w:w="1041" w:type="dxa"/>
            <w:vAlign w:val="center"/>
            <w:hideMark/>
          </w:tcPr>
          <w:p w14:paraId="40492EDB" w14:textId="77777777" w:rsidR="00F6115A" w:rsidRPr="00F6115A" w:rsidRDefault="00F6115A" w:rsidP="00F6115A">
            <w:pPr>
              <w:rPr>
                <w:rFonts w:ascii="Verdana" w:eastAsia="Calibri" w:hAnsi="Verdana" w:cs="Arial"/>
                <w:sz w:val="16"/>
                <w:szCs w:val="16"/>
                <w:lang w:val="es-ES_tradnl" w:eastAsia="es-ES"/>
              </w:rPr>
            </w:pPr>
            <w:r w:rsidRPr="00F6115A">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529769CA" w14:textId="77777777" w:rsidR="00F6115A" w:rsidRPr="00F6115A" w:rsidRDefault="00F6115A" w:rsidP="00F6115A">
            <w:pPr>
              <w:rPr>
                <w:rFonts w:ascii="Verdana" w:eastAsia="Arial" w:hAnsi="Verdana" w:cs="Arial"/>
                <w:sz w:val="16"/>
                <w:szCs w:val="16"/>
                <w:lang w:val="es-ES" w:eastAsia="es-MX"/>
              </w:rPr>
            </w:pPr>
            <w:r w:rsidRPr="00F6115A">
              <w:rPr>
                <w:rFonts w:ascii="Verdana" w:eastAsia="Arial" w:hAnsi="Verdana" w:cs="Arial"/>
                <w:sz w:val="16"/>
                <w:szCs w:val="16"/>
                <w:lang w:val="es-ES" w:eastAsia="es-MX"/>
              </w:rPr>
              <w:t xml:space="preserve">Lida Milena </w:t>
            </w:r>
            <w:proofErr w:type="spellStart"/>
            <w:r w:rsidRPr="00F6115A">
              <w:rPr>
                <w:rFonts w:ascii="Verdana" w:eastAsia="Arial" w:hAnsi="Verdana" w:cs="Arial"/>
                <w:sz w:val="16"/>
                <w:szCs w:val="16"/>
                <w:lang w:val="es-ES" w:eastAsia="es-MX"/>
              </w:rPr>
              <w:t>Guanumen</w:t>
            </w:r>
            <w:proofErr w:type="spellEnd"/>
            <w:r w:rsidRPr="00F6115A">
              <w:rPr>
                <w:rFonts w:ascii="Verdana" w:eastAsia="Arial" w:hAnsi="Verdana" w:cs="Arial"/>
                <w:sz w:val="16"/>
                <w:szCs w:val="16"/>
                <w:lang w:val="es-ES" w:eastAsia="es-MX"/>
              </w:rPr>
              <w:t xml:space="preserve"> Pacheco</w:t>
            </w:r>
          </w:p>
          <w:p w14:paraId="15C2493F" w14:textId="77777777" w:rsidR="00F6115A" w:rsidRPr="00F6115A" w:rsidRDefault="00F6115A" w:rsidP="00F6115A">
            <w:pPr>
              <w:rPr>
                <w:rFonts w:ascii="Verdana" w:eastAsia="Arial" w:hAnsi="Verdana" w:cs="Arial"/>
                <w:sz w:val="16"/>
                <w:szCs w:val="16"/>
                <w:lang w:val="es-ES" w:eastAsia="es-MX"/>
              </w:rPr>
            </w:pPr>
            <w:r w:rsidRPr="00F6115A">
              <w:rPr>
                <w:rFonts w:ascii="Verdana" w:eastAsia="Arial" w:hAnsi="Verdana" w:cs="Arial"/>
                <w:sz w:val="16"/>
                <w:szCs w:val="16"/>
                <w:lang w:val="es-ES_tradnl" w:eastAsia="es-MX"/>
              </w:rPr>
              <w:t>Contratista de la Subdirección de Gestión Contractual</w:t>
            </w:r>
          </w:p>
          <w:p w14:paraId="5980A7B6" w14:textId="77777777" w:rsidR="00F6115A" w:rsidRPr="00F6115A" w:rsidRDefault="00F6115A" w:rsidP="00F6115A">
            <w:pPr>
              <w:rPr>
                <w:rFonts w:ascii="Verdana" w:eastAsia="Arial" w:hAnsi="Verdana" w:cs="Arial"/>
                <w:sz w:val="16"/>
                <w:szCs w:val="16"/>
                <w:lang w:val="es-ES" w:eastAsia="es-MX"/>
              </w:rPr>
            </w:pPr>
            <w:r w:rsidRPr="00F6115A">
              <w:rPr>
                <w:rFonts w:ascii="Verdana" w:eastAsia="Arial" w:hAnsi="Verdana" w:cs="Arial"/>
                <w:sz w:val="16"/>
                <w:szCs w:val="16"/>
                <w:lang w:val="es-ES" w:eastAsia="es-MX"/>
              </w:rPr>
              <w:t>Juan David Cárdenas Cabeza</w:t>
            </w:r>
          </w:p>
          <w:p w14:paraId="37AEE94E" w14:textId="77777777" w:rsidR="00F6115A" w:rsidRPr="00F6115A" w:rsidRDefault="00F6115A" w:rsidP="00F6115A">
            <w:pPr>
              <w:rPr>
                <w:rFonts w:ascii="Verdana" w:eastAsia="Arial" w:hAnsi="Verdana" w:cs="Arial"/>
                <w:sz w:val="16"/>
                <w:szCs w:val="16"/>
                <w:lang w:val="es-ES_tradnl" w:eastAsia="es-MX"/>
              </w:rPr>
            </w:pPr>
            <w:r w:rsidRPr="00F6115A">
              <w:rPr>
                <w:rFonts w:ascii="Verdana" w:eastAsia="Arial" w:hAnsi="Verdana" w:cs="Arial"/>
                <w:sz w:val="16"/>
                <w:szCs w:val="16"/>
                <w:lang w:val="es-ES_tradnl" w:eastAsia="es-MX"/>
              </w:rPr>
              <w:t>Contratista de la Subdirección de Gestión Contractual</w:t>
            </w:r>
          </w:p>
        </w:tc>
      </w:tr>
      <w:tr w:rsidR="00F6115A" w:rsidRPr="00F6115A" w14:paraId="78879EED" w14:textId="77777777" w:rsidTr="008A62F8">
        <w:trPr>
          <w:trHeight w:val="308"/>
        </w:trPr>
        <w:tc>
          <w:tcPr>
            <w:tcW w:w="1041" w:type="dxa"/>
            <w:vAlign w:val="center"/>
          </w:tcPr>
          <w:p w14:paraId="45194DF5" w14:textId="77777777" w:rsidR="00F6115A" w:rsidRPr="00F6115A" w:rsidRDefault="00F6115A" w:rsidP="00F6115A">
            <w:pPr>
              <w:rPr>
                <w:rFonts w:ascii="Verdana" w:eastAsia="Calibri" w:hAnsi="Verdana" w:cs="Arial"/>
                <w:sz w:val="16"/>
                <w:szCs w:val="16"/>
                <w:lang w:val="es-ES_tradnl" w:eastAsia="es-ES"/>
              </w:rPr>
            </w:pPr>
            <w:r w:rsidRPr="00F6115A">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76D07C81" w14:textId="77777777" w:rsidR="00F6115A" w:rsidRPr="00F6115A" w:rsidRDefault="00F6115A" w:rsidP="00F6115A">
            <w:pPr>
              <w:rPr>
                <w:rFonts w:ascii="Verdana" w:eastAsia="Calibri" w:hAnsi="Verdana" w:cs="Arial"/>
                <w:sz w:val="16"/>
                <w:szCs w:val="16"/>
                <w:lang w:val="es-ES" w:eastAsia="es-ES"/>
              </w:rPr>
            </w:pPr>
            <w:r w:rsidRPr="00F6115A">
              <w:rPr>
                <w:rFonts w:ascii="Verdana" w:eastAsia="Calibri" w:hAnsi="Verdana" w:cs="Arial"/>
                <w:sz w:val="16"/>
                <w:szCs w:val="16"/>
                <w:lang w:val="es-ES" w:eastAsia="es-ES"/>
              </w:rPr>
              <w:t>Carolina Quintero Gacharná</w:t>
            </w:r>
          </w:p>
          <w:p w14:paraId="37454C29" w14:textId="77777777" w:rsidR="00F6115A" w:rsidRPr="00F6115A" w:rsidRDefault="00F6115A" w:rsidP="00F6115A">
            <w:pPr>
              <w:rPr>
                <w:rFonts w:ascii="Verdana" w:eastAsia="Calibri" w:hAnsi="Verdana" w:cs="Arial"/>
                <w:sz w:val="16"/>
                <w:szCs w:val="16"/>
                <w:lang w:val="es-ES_tradnl" w:eastAsia="es-ES"/>
              </w:rPr>
            </w:pPr>
            <w:r w:rsidRPr="00F6115A">
              <w:rPr>
                <w:rFonts w:ascii="Verdana" w:eastAsia="Calibri" w:hAnsi="Verdana" w:cs="Arial"/>
                <w:sz w:val="16"/>
                <w:szCs w:val="16"/>
                <w:lang w:val="es-ES_tradnl" w:eastAsia="es-ES"/>
              </w:rPr>
              <w:t>Subdirectora de Gestión Contractual ANCP – CCE</w:t>
            </w:r>
          </w:p>
        </w:tc>
      </w:tr>
      <w:tr w:rsidR="00F6115A" w:rsidRPr="00F6115A" w14:paraId="335BACA1" w14:textId="77777777" w:rsidTr="008A62F8">
        <w:trPr>
          <w:trHeight w:val="308"/>
        </w:trPr>
        <w:tc>
          <w:tcPr>
            <w:tcW w:w="1041" w:type="dxa"/>
            <w:vAlign w:val="center"/>
          </w:tcPr>
          <w:p w14:paraId="05E8E8BB" w14:textId="77777777" w:rsidR="00F6115A" w:rsidRPr="00F6115A" w:rsidRDefault="00F6115A" w:rsidP="00F6115A">
            <w:pPr>
              <w:rPr>
                <w:rFonts w:ascii="Verdana" w:eastAsia="Calibri" w:hAnsi="Verdana" w:cs="Arial"/>
                <w:sz w:val="16"/>
                <w:szCs w:val="16"/>
                <w:lang w:val="es-ES_tradnl" w:eastAsia="es-ES"/>
              </w:rPr>
            </w:pPr>
            <w:r w:rsidRPr="00F6115A">
              <w:rPr>
                <w:rFonts w:ascii="Verdana" w:eastAsia="Calibri" w:hAnsi="Verdana" w:cs="Arial"/>
                <w:sz w:val="16"/>
                <w:szCs w:val="16"/>
                <w:lang w:val="es-ES_tradnl" w:eastAsia="es-ES"/>
              </w:rPr>
              <w:t>Anexo:</w:t>
            </w:r>
          </w:p>
        </w:tc>
        <w:tc>
          <w:tcPr>
            <w:tcW w:w="6561" w:type="dxa"/>
            <w:tcBorders>
              <w:top w:val="dotted" w:sz="4" w:space="0" w:color="7F7F7F"/>
              <w:left w:val="nil"/>
              <w:bottom w:val="dotted" w:sz="4" w:space="0" w:color="7F7F7F"/>
              <w:right w:val="nil"/>
            </w:tcBorders>
            <w:vAlign w:val="center"/>
          </w:tcPr>
          <w:p w14:paraId="5335005C" w14:textId="77777777" w:rsidR="00F6115A" w:rsidRPr="00F6115A" w:rsidRDefault="00F6115A" w:rsidP="00F6115A">
            <w:pPr>
              <w:rPr>
                <w:rFonts w:ascii="Verdana" w:eastAsia="Calibri" w:hAnsi="Verdana" w:cs="Arial"/>
                <w:sz w:val="16"/>
                <w:szCs w:val="16"/>
                <w:lang w:val="es-ES" w:eastAsia="es-ES"/>
              </w:rPr>
            </w:pPr>
            <w:r w:rsidRPr="00F6115A">
              <w:rPr>
                <w:rFonts w:ascii="Verdana" w:eastAsia="Calibri" w:hAnsi="Verdana" w:cs="Arial"/>
                <w:sz w:val="16"/>
                <w:szCs w:val="16"/>
                <w:lang w:val="es-ES" w:eastAsia="es-ES"/>
              </w:rPr>
              <w:t>Concepto C-186 de 2026</w:t>
            </w:r>
          </w:p>
        </w:tc>
      </w:tr>
    </w:tbl>
    <w:p w14:paraId="5B008E29" w14:textId="77777777" w:rsidR="00F6115A" w:rsidRPr="00F6115A" w:rsidRDefault="00F6115A" w:rsidP="00F6115A">
      <w:pPr>
        <w:spacing w:after="0" w:line="240" w:lineRule="auto"/>
        <w:rPr>
          <w:rFonts w:ascii="Aptos" w:eastAsia="Aptos" w:hAnsi="Aptos" w:cs="Times New Roman"/>
          <w:sz w:val="24"/>
          <w:szCs w:val="24"/>
          <w:lang w:eastAsia="es-MX"/>
        </w:rPr>
      </w:pPr>
    </w:p>
    <w:bookmarkEnd w:id="0"/>
    <w:p w14:paraId="0F293BF4" w14:textId="17D7D2E9" w:rsidR="00127233" w:rsidRPr="00A23965" w:rsidRDefault="00127233" w:rsidP="00A23965"/>
    <w:sectPr w:rsidR="00127233" w:rsidRPr="00A2396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FB612" w14:textId="77777777" w:rsidR="008C3820" w:rsidRDefault="008C3820" w:rsidP="004A1847">
      <w:pPr>
        <w:spacing w:after="0" w:line="240" w:lineRule="auto"/>
      </w:pPr>
      <w:r>
        <w:separator/>
      </w:r>
    </w:p>
  </w:endnote>
  <w:endnote w:type="continuationSeparator" w:id="0">
    <w:p w14:paraId="5D4C4542" w14:textId="77777777" w:rsidR="008C3820" w:rsidRDefault="008C3820" w:rsidP="004A1847">
      <w:pPr>
        <w:spacing w:after="0" w:line="240" w:lineRule="auto"/>
      </w:pPr>
      <w:r>
        <w:continuationSeparator/>
      </w:r>
    </w:p>
  </w:endnote>
  <w:endnote w:type="continuationNotice" w:id="1">
    <w:p w14:paraId="6035983B" w14:textId="77777777" w:rsidR="008C3820" w:rsidRDefault="008C38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F6115A">
      <w:rPr>
        <w:rFonts w:ascii="Verdana" w:eastAsia="Verdana" w:hAnsi="Verdana" w:cs="Verdana"/>
        <w:b/>
        <w:bCs/>
        <w:color w:val="000000"/>
        <w:sz w:val="18"/>
        <w:szCs w:val="18"/>
        <w:lang w:eastAsia="es-CO"/>
      </w:rPr>
      <w:t xml:space="preserve">Código: </w:t>
    </w:r>
    <w:r w:rsidRPr="00F6115A">
      <w:rPr>
        <w:rFonts w:ascii="Verdana" w:eastAsia="Verdana" w:hAnsi="Verdana" w:cs="Verdana"/>
        <w:color w:val="000000"/>
        <w:sz w:val="18"/>
        <w:szCs w:val="18"/>
        <w:lang w:eastAsia="es-CO"/>
      </w:rPr>
      <w:t xml:space="preserve">CCE-REC-FM-17 </w:t>
    </w:r>
    <w:r w:rsidRPr="00F6115A">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C66D1" w14:textId="77777777" w:rsidR="008C3820" w:rsidRDefault="008C3820" w:rsidP="004A1847">
      <w:pPr>
        <w:spacing w:after="0" w:line="240" w:lineRule="auto"/>
      </w:pPr>
      <w:r>
        <w:separator/>
      </w:r>
    </w:p>
  </w:footnote>
  <w:footnote w:type="continuationSeparator" w:id="0">
    <w:p w14:paraId="3900858B" w14:textId="77777777" w:rsidR="008C3820" w:rsidRDefault="008C3820" w:rsidP="004A1847">
      <w:pPr>
        <w:spacing w:after="0" w:line="240" w:lineRule="auto"/>
      </w:pPr>
      <w:r>
        <w:continuationSeparator/>
      </w:r>
    </w:p>
  </w:footnote>
  <w:footnote w:type="continuationNotice" w:id="1">
    <w:p w14:paraId="5586CF1E" w14:textId="77777777" w:rsidR="008C3820" w:rsidRDefault="008C3820">
      <w:pPr>
        <w:spacing w:after="0" w:line="240" w:lineRule="auto"/>
      </w:pPr>
    </w:p>
  </w:footnote>
  <w:footnote w:id="2">
    <w:p w14:paraId="243B526B" w14:textId="77777777" w:rsidR="00F6115A" w:rsidRDefault="00F6115A" w:rsidP="00F6115A">
      <w:pPr>
        <w:pStyle w:val="Textonotapie"/>
        <w:ind w:firstLine="708"/>
        <w:jc w:val="both"/>
        <w:rPr>
          <w:rFonts w:ascii="Verdana" w:hAnsi="Verdana"/>
          <w:sz w:val="18"/>
          <w:szCs w:val="18"/>
        </w:rPr>
      </w:pPr>
      <w:r w:rsidRPr="00EB1E25">
        <w:rPr>
          <w:rStyle w:val="Refdenotaalpie"/>
          <w:rFonts w:ascii="Verdana" w:hAnsi="Verdana"/>
          <w:sz w:val="18"/>
          <w:szCs w:val="18"/>
        </w:rPr>
        <w:footnoteRef/>
      </w:r>
      <w:r w:rsidRPr="00EB1E25">
        <w:rPr>
          <w:rFonts w:ascii="Verdana" w:hAnsi="Verdana"/>
          <w:sz w:val="18"/>
          <w:szCs w:val="18"/>
        </w:rPr>
        <w:t xml:space="preserve"> Reglamento Colombiano de Construcción Sismo Resistente NSR-10</w:t>
      </w:r>
    </w:p>
    <w:p w14:paraId="12D59E1A" w14:textId="77777777" w:rsidR="00F6115A" w:rsidRPr="00EB1E25" w:rsidRDefault="00F6115A" w:rsidP="00F6115A">
      <w:pPr>
        <w:pStyle w:val="Textonotapie"/>
        <w:ind w:firstLine="708"/>
        <w:jc w:val="both"/>
        <w:rPr>
          <w:rFonts w:ascii="Verdana" w:hAnsi="Verdana"/>
          <w:sz w:val="18"/>
          <w:szCs w:val="18"/>
          <w:lang w:val="es-ES_tradnl"/>
        </w:rPr>
      </w:pPr>
    </w:p>
  </w:footnote>
  <w:footnote w:id="3">
    <w:p w14:paraId="281F0D02" w14:textId="77777777" w:rsidR="00F6115A" w:rsidRPr="00EB1E25" w:rsidRDefault="00F6115A" w:rsidP="00F6115A">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w:t>
      </w:r>
      <w:r w:rsidRPr="00EB1E25">
        <w:rPr>
          <w:rFonts w:ascii="Verdana" w:hAnsi="Verdana"/>
          <w:sz w:val="18"/>
          <w:szCs w:val="18"/>
          <w:lang w:val="es-ES_tradnl"/>
        </w:rPr>
        <w:t xml:space="preserve">Ibidem </w:t>
      </w:r>
    </w:p>
    <w:p w14:paraId="4A42DD18" w14:textId="77777777" w:rsidR="00F6115A" w:rsidRPr="00EB1E25" w:rsidRDefault="00F6115A" w:rsidP="00F6115A">
      <w:pPr>
        <w:pStyle w:val="Textonotapie"/>
        <w:ind w:firstLine="708"/>
        <w:jc w:val="both"/>
        <w:rPr>
          <w:rFonts w:ascii="Verdana" w:hAnsi="Verdana"/>
          <w:sz w:val="18"/>
          <w:szCs w:val="18"/>
          <w:lang w:val="es-ES_tradnl"/>
        </w:rPr>
      </w:pPr>
    </w:p>
  </w:footnote>
  <w:footnote w:id="4">
    <w:p w14:paraId="0228B39F" w14:textId="77777777" w:rsidR="00F6115A" w:rsidRPr="00ED5638" w:rsidRDefault="00F6115A" w:rsidP="00F6115A">
      <w:pPr>
        <w:pStyle w:val="Textonotapie"/>
        <w:ind w:firstLine="708"/>
        <w:jc w:val="both"/>
        <w:rPr>
          <w:rFonts w:ascii="Verdana" w:hAnsi="Verdana"/>
          <w:sz w:val="18"/>
          <w:szCs w:val="18"/>
        </w:rPr>
      </w:pPr>
      <w:r w:rsidRPr="00ED5638">
        <w:rPr>
          <w:rStyle w:val="Refdenotaalpie"/>
          <w:rFonts w:ascii="Verdana" w:hAnsi="Verdana"/>
          <w:sz w:val="18"/>
          <w:szCs w:val="18"/>
        </w:rPr>
        <w:footnoteRef/>
      </w:r>
      <w:r w:rsidRPr="00ED5638">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6E7F7C54" w14:textId="77777777" w:rsidR="00F6115A" w:rsidRPr="00ED5638" w:rsidRDefault="00F6115A" w:rsidP="00F6115A">
      <w:pPr>
        <w:pStyle w:val="Textonotapie"/>
        <w:ind w:firstLine="708"/>
        <w:jc w:val="both"/>
        <w:rPr>
          <w:rFonts w:ascii="Verdana" w:hAnsi="Verdana"/>
          <w:sz w:val="18"/>
          <w:szCs w:val="18"/>
        </w:rPr>
      </w:pPr>
    </w:p>
    <w:p w14:paraId="2BD18ABF" w14:textId="77777777" w:rsidR="00F6115A" w:rsidRPr="00ED5638" w:rsidRDefault="00F6115A" w:rsidP="00F6115A">
      <w:pPr>
        <w:pStyle w:val="Textonotapie"/>
        <w:ind w:firstLine="708"/>
        <w:jc w:val="both"/>
        <w:rPr>
          <w:rFonts w:ascii="Verdana" w:hAnsi="Verdana"/>
          <w:sz w:val="18"/>
          <w:szCs w:val="18"/>
        </w:rPr>
      </w:pPr>
      <w:r w:rsidRPr="00ED5638">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20C47EE8" w14:textId="77777777" w:rsidR="00F6115A" w:rsidRPr="00ED5638" w:rsidRDefault="00F6115A" w:rsidP="00F6115A">
      <w:pPr>
        <w:pStyle w:val="Textonotapie"/>
        <w:ind w:firstLine="708"/>
        <w:jc w:val="both"/>
        <w:rPr>
          <w:rFonts w:ascii="Verdana" w:hAnsi="Verdana"/>
          <w:sz w:val="18"/>
          <w:szCs w:val="18"/>
        </w:rPr>
      </w:pPr>
    </w:p>
    <w:p w14:paraId="2D4542A1" w14:textId="77777777" w:rsidR="00F6115A" w:rsidRPr="00ED5638" w:rsidRDefault="00F6115A" w:rsidP="00F6115A">
      <w:pPr>
        <w:pStyle w:val="Textonotapie"/>
        <w:ind w:firstLine="708"/>
        <w:jc w:val="both"/>
        <w:rPr>
          <w:rFonts w:ascii="Verdana" w:hAnsi="Verdana"/>
          <w:sz w:val="18"/>
          <w:szCs w:val="18"/>
        </w:rPr>
      </w:pPr>
      <w:r w:rsidRPr="00ED5638">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5519E4BE" w14:textId="77777777" w:rsidR="00F6115A" w:rsidRPr="00ED5638" w:rsidRDefault="00F6115A" w:rsidP="00F6115A">
      <w:pPr>
        <w:pStyle w:val="Textonotapie"/>
        <w:ind w:firstLine="708"/>
        <w:jc w:val="both"/>
        <w:rPr>
          <w:rFonts w:ascii="Verdana" w:hAnsi="Verdana"/>
          <w:sz w:val="18"/>
          <w:szCs w:val="18"/>
        </w:rPr>
      </w:pPr>
    </w:p>
    <w:p w14:paraId="5D692716" w14:textId="77777777" w:rsidR="00F6115A" w:rsidRPr="00ED5638" w:rsidRDefault="00F6115A" w:rsidP="00F6115A">
      <w:pPr>
        <w:pStyle w:val="Textonotapie"/>
        <w:ind w:firstLine="708"/>
        <w:jc w:val="both"/>
        <w:rPr>
          <w:rFonts w:ascii="Verdana" w:hAnsi="Verdana"/>
          <w:sz w:val="18"/>
          <w:szCs w:val="18"/>
        </w:rPr>
      </w:pPr>
      <w:r w:rsidRPr="00ED5638">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260D5D92" w14:textId="77777777" w:rsidR="00F6115A" w:rsidRPr="00ED5638" w:rsidRDefault="00F6115A" w:rsidP="00F6115A">
      <w:pPr>
        <w:pStyle w:val="Textonotapie"/>
        <w:ind w:firstLine="708"/>
        <w:jc w:val="both"/>
        <w:rPr>
          <w:rFonts w:ascii="Verdana" w:hAnsi="Verdana"/>
          <w:sz w:val="18"/>
          <w:szCs w:val="18"/>
        </w:rPr>
      </w:pPr>
    </w:p>
    <w:p w14:paraId="69CB7710" w14:textId="77777777" w:rsidR="00F6115A" w:rsidRPr="00ED5638" w:rsidRDefault="00F6115A" w:rsidP="00F6115A">
      <w:pPr>
        <w:pStyle w:val="Textonotapie"/>
        <w:ind w:firstLine="708"/>
        <w:jc w:val="both"/>
        <w:rPr>
          <w:rFonts w:ascii="Verdana" w:hAnsi="Verdana"/>
          <w:sz w:val="18"/>
          <w:szCs w:val="18"/>
        </w:rPr>
      </w:pPr>
      <w:r w:rsidRPr="00ED5638">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5">
    <w:p w14:paraId="3DA39686" w14:textId="77777777" w:rsidR="00F6115A" w:rsidRDefault="00F6115A" w:rsidP="00F6115A">
      <w:pPr>
        <w:pStyle w:val="Textonotapie"/>
        <w:ind w:firstLine="708"/>
        <w:jc w:val="both"/>
        <w:rPr>
          <w:rFonts w:ascii="Verdana" w:hAnsi="Verdana"/>
          <w:sz w:val="18"/>
          <w:szCs w:val="18"/>
        </w:rPr>
      </w:pPr>
      <w:r w:rsidRPr="00EB1E25">
        <w:rPr>
          <w:rStyle w:val="Refdenotaalpie"/>
          <w:rFonts w:ascii="Verdana" w:hAnsi="Verdana"/>
          <w:sz w:val="18"/>
          <w:szCs w:val="18"/>
        </w:rPr>
        <w:footnoteRef/>
      </w:r>
      <w:r w:rsidRPr="00EB1E25">
        <w:rPr>
          <w:rFonts w:ascii="Verdana" w:hAnsi="Verdana"/>
          <w:sz w:val="18"/>
          <w:szCs w:val="18"/>
        </w:rPr>
        <w:t xml:space="preserve"> Reglamento Colombiano de Construcción Sismo Resistente NSR-10</w:t>
      </w:r>
    </w:p>
    <w:p w14:paraId="47D27A3B" w14:textId="77777777" w:rsidR="00F6115A" w:rsidRPr="00EB1E25" w:rsidRDefault="00F6115A" w:rsidP="00F6115A">
      <w:pPr>
        <w:pStyle w:val="Textonotapie"/>
        <w:ind w:firstLine="708"/>
        <w:jc w:val="both"/>
        <w:rPr>
          <w:rFonts w:ascii="Verdana" w:hAnsi="Verdana"/>
          <w:sz w:val="18"/>
          <w:szCs w:val="18"/>
          <w:lang w:val="es-ES_tradnl"/>
        </w:rPr>
      </w:pPr>
    </w:p>
  </w:footnote>
  <w:footnote w:id="6">
    <w:p w14:paraId="70A80452" w14:textId="77777777" w:rsidR="00F6115A" w:rsidRPr="00EB1E25" w:rsidRDefault="00F6115A" w:rsidP="00F6115A">
      <w:pPr>
        <w:pStyle w:val="Textonotapie"/>
        <w:ind w:firstLine="708"/>
        <w:jc w:val="both"/>
        <w:rPr>
          <w:rFonts w:ascii="Verdana" w:hAnsi="Verdana"/>
          <w:sz w:val="18"/>
          <w:szCs w:val="18"/>
          <w:lang w:val="es-ES_tradnl"/>
        </w:rPr>
      </w:pPr>
      <w:r w:rsidRPr="00EB1E25">
        <w:rPr>
          <w:rStyle w:val="Refdenotaalpie"/>
          <w:rFonts w:ascii="Verdana" w:hAnsi="Verdana"/>
          <w:sz w:val="18"/>
          <w:szCs w:val="18"/>
        </w:rPr>
        <w:footnoteRef/>
      </w:r>
      <w:r w:rsidRPr="00EB1E25">
        <w:rPr>
          <w:rFonts w:ascii="Verdana" w:hAnsi="Verdana"/>
          <w:sz w:val="18"/>
          <w:szCs w:val="18"/>
        </w:rPr>
        <w:t xml:space="preserve"> </w:t>
      </w:r>
      <w:r w:rsidRPr="00EB1E25">
        <w:rPr>
          <w:rFonts w:ascii="Verdana" w:hAnsi="Verdana"/>
          <w:sz w:val="18"/>
          <w:szCs w:val="18"/>
          <w:lang w:val="es-ES_tradnl"/>
        </w:rPr>
        <w:t xml:space="preserve">Ibidem </w:t>
      </w:r>
    </w:p>
    <w:p w14:paraId="78BAA44A" w14:textId="77777777" w:rsidR="00F6115A" w:rsidRPr="00EB1E25" w:rsidRDefault="00F6115A" w:rsidP="00F6115A">
      <w:pPr>
        <w:pStyle w:val="Textonotapie"/>
        <w:ind w:firstLine="708"/>
        <w:jc w:val="both"/>
        <w:rPr>
          <w:rFonts w:ascii="Verdana" w:hAnsi="Verdana"/>
          <w:sz w:val="18"/>
          <w:szCs w:val="18"/>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78765A2"/>
    <w:multiLevelType w:val="multilevel"/>
    <w:tmpl w:val="6F244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827985604">
    <w:abstractNumId w:val="9"/>
  </w:num>
  <w:num w:numId="17" w16cid:durableId="341274352">
    <w:abstractNumId w:val="0"/>
  </w:num>
  <w:num w:numId="18" w16cid:durableId="4033759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CBA"/>
    <w:rsid w:val="00046945"/>
    <w:rsid w:val="00061B2A"/>
    <w:rsid w:val="00082362"/>
    <w:rsid w:val="000A683E"/>
    <w:rsid w:val="000B19B9"/>
    <w:rsid w:val="000D0334"/>
    <w:rsid w:val="000D5DA7"/>
    <w:rsid w:val="000F6486"/>
    <w:rsid w:val="00116940"/>
    <w:rsid w:val="00125105"/>
    <w:rsid w:val="00127233"/>
    <w:rsid w:val="0015699B"/>
    <w:rsid w:val="00160B80"/>
    <w:rsid w:val="001A33BF"/>
    <w:rsid w:val="001E4177"/>
    <w:rsid w:val="001F0B24"/>
    <w:rsid w:val="001F7DC6"/>
    <w:rsid w:val="0021007C"/>
    <w:rsid w:val="0022400B"/>
    <w:rsid w:val="002421BB"/>
    <w:rsid w:val="0025796E"/>
    <w:rsid w:val="002707A2"/>
    <w:rsid w:val="002951A0"/>
    <w:rsid w:val="002962BC"/>
    <w:rsid w:val="002A093D"/>
    <w:rsid w:val="002A0DD0"/>
    <w:rsid w:val="002A49AC"/>
    <w:rsid w:val="002A64FD"/>
    <w:rsid w:val="002C7A84"/>
    <w:rsid w:val="002E2BF8"/>
    <w:rsid w:val="002E4FD9"/>
    <w:rsid w:val="00304CE9"/>
    <w:rsid w:val="0030657A"/>
    <w:rsid w:val="00322A85"/>
    <w:rsid w:val="00324168"/>
    <w:rsid w:val="00330834"/>
    <w:rsid w:val="003448F4"/>
    <w:rsid w:val="00374F5E"/>
    <w:rsid w:val="00377E3E"/>
    <w:rsid w:val="00391859"/>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67B5"/>
    <w:rsid w:val="00533A6D"/>
    <w:rsid w:val="005566E8"/>
    <w:rsid w:val="00574867"/>
    <w:rsid w:val="00591460"/>
    <w:rsid w:val="005A65E0"/>
    <w:rsid w:val="005C3777"/>
    <w:rsid w:val="005C5CDC"/>
    <w:rsid w:val="005D476C"/>
    <w:rsid w:val="00604ED3"/>
    <w:rsid w:val="006200BF"/>
    <w:rsid w:val="006219F8"/>
    <w:rsid w:val="00621FE4"/>
    <w:rsid w:val="006302F7"/>
    <w:rsid w:val="00646B9F"/>
    <w:rsid w:val="00647D6F"/>
    <w:rsid w:val="00665D70"/>
    <w:rsid w:val="006900D9"/>
    <w:rsid w:val="00706C16"/>
    <w:rsid w:val="00733783"/>
    <w:rsid w:val="007340C3"/>
    <w:rsid w:val="00737EC5"/>
    <w:rsid w:val="0075235A"/>
    <w:rsid w:val="00756841"/>
    <w:rsid w:val="007649AB"/>
    <w:rsid w:val="00771D0C"/>
    <w:rsid w:val="00772A33"/>
    <w:rsid w:val="007833AC"/>
    <w:rsid w:val="00790D49"/>
    <w:rsid w:val="007B268C"/>
    <w:rsid w:val="007B7171"/>
    <w:rsid w:val="007C0C0F"/>
    <w:rsid w:val="007C284E"/>
    <w:rsid w:val="007C3DC2"/>
    <w:rsid w:val="007D32EB"/>
    <w:rsid w:val="007E5497"/>
    <w:rsid w:val="007E5574"/>
    <w:rsid w:val="00806F5F"/>
    <w:rsid w:val="00820278"/>
    <w:rsid w:val="008258C9"/>
    <w:rsid w:val="00844AE9"/>
    <w:rsid w:val="00860BAD"/>
    <w:rsid w:val="00867F95"/>
    <w:rsid w:val="008843B6"/>
    <w:rsid w:val="00891928"/>
    <w:rsid w:val="008A446D"/>
    <w:rsid w:val="008B25F1"/>
    <w:rsid w:val="008C3820"/>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2120"/>
    <w:rsid w:val="009F3A13"/>
    <w:rsid w:val="00A122D3"/>
    <w:rsid w:val="00A14468"/>
    <w:rsid w:val="00A17F13"/>
    <w:rsid w:val="00A20739"/>
    <w:rsid w:val="00A23965"/>
    <w:rsid w:val="00A23AF9"/>
    <w:rsid w:val="00A33C78"/>
    <w:rsid w:val="00A7613B"/>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97E3A"/>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4764"/>
    <w:rsid w:val="00E75C92"/>
    <w:rsid w:val="00E771DC"/>
    <w:rsid w:val="00E779CD"/>
    <w:rsid w:val="00E8772A"/>
    <w:rsid w:val="00E90F6B"/>
    <w:rsid w:val="00E92C27"/>
    <w:rsid w:val="00EA0E3D"/>
    <w:rsid w:val="00EA708B"/>
    <w:rsid w:val="00EC38A7"/>
    <w:rsid w:val="00EE1AA8"/>
    <w:rsid w:val="00EF1A55"/>
    <w:rsid w:val="00F23FEA"/>
    <w:rsid w:val="00F31EDC"/>
    <w:rsid w:val="00F462B3"/>
    <w:rsid w:val="00F5664F"/>
    <w:rsid w:val="00F6115A"/>
    <w:rsid w:val="00F666C4"/>
    <w:rsid w:val="00F76AFC"/>
    <w:rsid w:val="00FA47C0"/>
    <w:rsid w:val="00FB5DD1"/>
    <w:rsid w:val="00FB7A69"/>
    <w:rsid w:val="00FC2B5D"/>
    <w:rsid w:val="00FD6AE4"/>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F61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6115A"/>
    <w:pPr>
      <w:spacing w:after="0" w:line="240" w:lineRule="exact"/>
    </w:pPr>
    <w:rPr>
      <w:vertAlign w:val="superscript"/>
    </w:rPr>
  </w:style>
  <w:style w:type="character" w:styleId="Refdecomentario">
    <w:name w:val="annotation reference"/>
    <w:basedOn w:val="Fuentedeprrafopredeter"/>
    <w:uiPriority w:val="99"/>
    <w:semiHidden/>
    <w:unhideWhenUsed/>
    <w:rsid w:val="005267B5"/>
    <w:rPr>
      <w:sz w:val="16"/>
      <w:szCs w:val="16"/>
    </w:rPr>
  </w:style>
  <w:style w:type="paragraph" w:styleId="Textocomentario">
    <w:name w:val="annotation text"/>
    <w:basedOn w:val="Normal"/>
    <w:link w:val="TextocomentarioCar"/>
    <w:uiPriority w:val="99"/>
    <w:semiHidden/>
    <w:unhideWhenUsed/>
    <w:rsid w:val="005267B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267B5"/>
    <w:rPr>
      <w:sz w:val="20"/>
      <w:szCs w:val="20"/>
    </w:rPr>
  </w:style>
  <w:style w:type="paragraph" w:styleId="Asuntodelcomentario">
    <w:name w:val="annotation subject"/>
    <w:basedOn w:val="Textocomentario"/>
    <w:next w:val="Textocomentario"/>
    <w:link w:val="AsuntodelcomentarioCar"/>
    <w:uiPriority w:val="99"/>
    <w:semiHidden/>
    <w:unhideWhenUsed/>
    <w:rsid w:val="005267B5"/>
    <w:rPr>
      <w:b/>
      <w:bCs/>
    </w:rPr>
  </w:style>
  <w:style w:type="character" w:customStyle="1" w:styleId="AsuntodelcomentarioCar">
    <w:name w:val="Asunto del comentario Car"/>
    <w:basedOn w:val="TextocomentarioCar"/>
    <w:link w:val="Asuntodelcomentario"/>
    <w:uiPriority w:val="99"/>
    <w:semiHidden/>
    <w:rsid w:val="005267B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22A8755-7EA8-4B21-AE43-7DE2F6DDB8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22</Pages>
  <Words>7015</Words>
  <Characters>40269</Characters>
  <Application>Microsoft Office Word</Application>
  <DocSecurity>0</DocSecurity>
  <Lines>805</Lines>
  <Paragraphs>148</Paragraphs>
  <ScaleCrop>false</ScaleCrop>
  <Company/>
  <LinksUpToDate>false</LinksUpToDate>
  <CharactersWithSpaces>47136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2026-04-11T16:50:00Z</dcterms:created>
  <dcterms:modified xsi:type="dcterms:W3CDTF">2026-04-15T23:06:00Z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