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440CE8" w14:textId="39A6E315" w:rsidR="006019B1" w:rsidRPr="006019B1" w:rsidRDefault="006019B1" w:rsidP="00E87283">
      <w:pPr>
        <w:spacing w:after="0"/>
        <w:jc w:val="both"/>
        <w:rPr>
          <w:rFonts w:ascii="Verdana" w:eastAsia="Verdana" w:hAnsi="Verdana" w:cs="Verdana"/>
        </w:rPr>
      </w:pPr>
      <w:bookmarkStart w:id="0" w:name="_Hlk143780582"/>
      <w:r w:rsidRPr="006019B1">
        <w:rPr>
          <w:rFonts w:ascii="Verdana" w:eastAsia="Calibri" w:hAnsi="Verdana" w:cs="Arial"/>
          <w:b/>
          <w:bCs/>
          <w:color w:val="000000"/>
          <w:kern w:val="2"/>
          <w:lang w:val="es-ES" w:eastAsia="es-CO"/>
          <w14:ligatures w14:val="standardContextual"/>
        </w:rPr>
        <w:t>INALTERABILIDAD – Documentos Tipo</w:t>
      </w:r>
    </w:p>
    <w:p w14:paraId="0BAFFEEB" w14:textId="77777777" w:rsidR="006019B1" w:rsidRPr="006019B1" w:rsidRDefault="006019B1" w:rsidP="006019B1">
      <w:pPr>
        <w:spacing w:after="0"/>
        <w:jc w:val="both"/>
        <w:rPr>
          <w:rFonts w:ascii="Verdana" w:eastAsia="Calibri" w:hAnsi="Verdana" w:cs="Arial"/>
          <w:b/>
          <w:bCs/>
          <w:color w:val="000000"/>
          <w:kern w:val="2"/>
          <w:lang w:val="es-ES" w:eastAsia="es-CO"/>
          <w14:ligatures w14:val="standardContextual"/>
        </w:rPr>
      </w:pPr>
    </w:p>
    <w:p w14:paraId="7EC85335" w14:textId="58875E5F" w:rsidR="00EA1E7F" w:rsidRDefault="00EA1E7F" w:rsidP="00C248BB">
      <w:pPr>
        <w:snapToGrid w:val="0"/>
        <w:spacing w:after="0" w:line="240" w:lineRule="auto"/>
        <w:jc w:val="both"/>
        <w:rPr>
          <w:rFonts w:ascii="Verdana" w:eastAsia="Times New Roman" w:hAnsi="Verdana" w:cs="Arial"/>
          <w:sz w:val="20"/>
          <w:szCs w:val="20"/>
          <w:shd w:val="clear" w:color="auto" w:fill="FFFFFF"/>
          <w:lang w:val="es-ES_tradnl" w:eastAsia="es-ES_tradnl"/>
        </w:rPr>
      </w:pPr>
      <w:r w:rsidRPr="00C248BB">
        <w:rPr>
          <w:rFonts w:ascii="Verdana" w:eastAsia="Times New Roman" w:hAnsi="Verdana" w:cs="Arial"/>
          <w:sz w:val="20"/>
          <w:szCs w:val="20"/>
          <w:shd w:val="clear" w:color="auto" w:fill="FFFFFF"/>
          <w:lang w:val="es-ES_tradnl" w:eastAsia="es-ES_tradnl"/>
        </w:rPr>
        <w:t xml:space="preserve">Todas las resoluciones expedidas por la Agencia Nacional de Contratación Pública – Colombia Compra Eficiente, mediante las cuales se han adoptado los documentos tipo, consagran la regla de la inalterabilidad. Esta prohibición consiste en que las entidades estatales no pueden incluir o modificar en los </w:t>
      </w:r>
      <w:r w:rsidRPr="00C248BB">
        <w:rPr>
          <w:rFonts w:ascii="Verdana" w:eastAsia="Times New Roman" w:hAnsi="Verdana" w:cs="Arial"/>
          <w:i/>
          <w:iCs/>
          <w:sz w:val="20"/>
          <w:szCs w:val="20"/>
          <w:shd w:val="clear" w:color="auto" w:fill="FFFFFF"/>
          <w:lang w:val="es-ES_tradnl" w:eastAsia="es-ES_tradnl"/>
        </w:rPr>
        <w:t>Documentos del Proceso</w:t>
      </w:r>
      <w:r w:rsidRPr="00C248BB">
        <w:rPr>
          <w:rFonts w:ascii="Verdana" w:eastAsia="Times New Roman" w:hAnsi="Verdana" w:cs="Arial"/>
          <w:sz w:val="20"/>
          <w:szCs w:val="20"/>
          <w:shd w:val="clear" w:color="auto" w:fill="FFFFFF"/>
          <w:lang w:val="es-ES_tradnl" w:eastAsia="es-ES_tradnl"/>
        </w:rPr>
        <w:t xml:space="preserve"> condiciones habilitantes, factores técnicos y económicos de escogencia y sistemas de ponderación distintos a los señalados en los documentos tipo. En consecuencia, las condiciones establecidas en dichos documentos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4B0FDF38" w14:textId="77777777" w:rsidR="00C248BB" w:rsidRPr="00C248BB" w:rsidRDefault="00C248BB" w:rsidP="00C248BB">
      <w:pPr>
        <w:snapToGrid w:val="0"/>
        <w:spacing w:after="0" w:line="240" w:lineRule="auto"/>
        <w:jc w:val="both"/>
        <w:rPr>
          <w:rFonts w:ascii="Verdana" w:eastAsia="Calibri" w:hAnsi="Verdana" w:cs="Arial"/>
          <w:sz w:val="20"/>
          <w:szCs w:val="20"/>
          <w:lang w:val="es-ES" w:eastAsia="es-ES"/>
        </w:rPr>
      </w:pPr>
    </w:p>
    <w:p w14:paraId="7AA66341" w14:textId="5A9CEF62" w:rsidR="006019B1" w:rsidRPr="00EA1E7F" w:rsidRDefault="00EA1E7F" w:rsidP="00C248BB">
      <w:pPr>
        <w:snapToGrid w:val="0"/>
        <w:spacing w:after="0" w:line="240" w:lineRule="auto"/>
        <w:jc w:val="both"/>
        <w:rPr>
          <w:rFonts w:ascii="Verdana" w:eastAsia="Times New Roman" w:hAnsi="Verdana" w:cs="Arial"/>
          <w:shd w:val="clear" w:color="auto" w:fill="FFFFFF"/>
          <w:lang w:val="es-ES_tradnl" w:eastAsia="es-ES_tradnl"/>
        </w:rPr>
      </w:pPr>
      <w:r w:rsidRPr="00C248BB">
        <w:rPr>
          <w:rFonts w:ascii="Verdana" w:eastAsia="Times New Roman" w:hAnsi="Verdana" w:cs="Arial"/>
          <w:sz w:val="20"/>
          <w:szCs w:val="20"/>
          <w:shd w:val="clear" w:color="auto" w:fill="FFFFFF"/>
          <w:lang w:val="es-ES_tradnl" w:eastAsia="es-ES_tradnl"/>
        </w:rPr>
        <w:t>El fundamento legal vigente de la regla de inalterabilidad se encuentra en el artículo 1 de la Ley 2022 de 2020, según el cual “</w:t>
      </w:r>
      <w:r w:rsidRPr="00C248BB">
        <w:rPr>
          <w:rFonts w:ascii="Verdana" w:eastAsia="Times New Roman" w:hAnsi="Verdana" w:cs="Arial"/>
          <w:sz w:val="20"/>
          <w:szCs w:val="20"/>
          <w:lang w:val="es-ES_tradnl" w:eastAsia="es-ES_tradnl"/>
        </w:rPr>
        <w:t xml:space="preserve">[…] </w:t>
      </w:r>
      <w:r w:rsidRPr="00C248BB">
        <w:rPr>
          <w:rFonts w:ascii="Verdana" w:eastAsia="Times New Roman" w:hAnsi="Verdana" w:cs="Arial"/>
          <w:sz w:val="20"/>
          <w:szCs w:val="20"/>
          <w:shd w:val="clear" w:color="auto" w:fill="FFFFFF"/>
          <w:lang w:val="es-ES_tradnl" w:eastAsia="es-ES_tradnl"/>
        </w:rPr>
        <w:t>serán de obligatorio cumplimiento en la actividad contractual de todas las entidades sometidas al Estatuto General de Contratación de la Administración Pública”. Pero eso no significa que antes no rigiera, pues así también lo disponía el artículo 4 de la Ley 1882 de 2018. Incluso por vía reglamentaria también se dispuso el carácter inmodificable de los pliegos tipo en el artículo 1 de los Decretos 342 de 2019 y 594 de 2020, que adicionaron, respectivamente, los artículos 2.2.1.2.6.1.4. y 2.2.1.2.6.3.4 al Decreto 1082 de 2015.</w:t>
      </w:r>
      <w:r w:rsidRPr="006019B1">
        <w:rPr>
          <w:rFonts w:ascii="Verdana" w:eastAsia="Times New Roman" w:hAnsi="Verdana" w:cs="Arial"/>
          <w:shd w:val="clear" w:color="auto" w:fill="FFFFFF"/>
          <w:lang w:val="es-ES" w:eastAsia="es-ES"/>
        </w:rPr>
        <w:tab/>
      </w:r>
    </w:p>
    <w:p w14:paraId="5C3AB27E" w14:textId="77777777" w:rsidR="006019B1" w:rsidRPr="006019B1" w:rsidRDefault="006019B1" w:rsidP="006019B1">
      <w:pPr>
        <w:spacing w:after="0"/>
        <w:jc w:val="both"/>
        <w:rPr>
          <w:rFonts w:ascii="Verdana" w:eastAsia="Calibri" w:hAnsi="Verdana" w:cs="Arial"/>
          <w:b/>
          <w:bCs/>
          <w:color w:val="000000"/>
          <w:kern w:val="2"/>
          <w:lang w:val="es-ES" w:eastAsia="es-CO"/>
          <w14:ligatures w14:val="standardContextual"/>
        </w:rPr>
      </w:pPr>
    </w:p>
    <w:p w14:paraId="52DE6B9B" w14:textId="77777777" w:rsidR="006019B1" w:rsidRPr="006019B1" w:rsidRDefault="006019B1" w:rsidP="006019B1">
      <w:pPr>
        <w:spacing w:after="0"/>
        <w:jc w:val="both"/>
        <w:rPr>
          <w:rFonts w:ascii="Verdana" w:eastAsia="Calibri" w:hAnsi="Verdana" w:cs="Times New Roman"/>
        </w:rPr>
      </w:pPr>
      <w:r w:rsidRPr="006019B1">
        <w:rPr>
          <w:rFonts w:ascii="Verdana" w:eastAsia="Calibri" w:hAnsi="Verdana" w:cs="Arial"/>
          <w:b/>
          <w:bCs/>
          <w:color w:val="000000"/>
          <w:kern w:val="2"/>
          <w:lang w:val="es-ES" w:eastAsia="es-CO"/>
          <w14:ligatures w14:val="standardContextual"/>
        </w:rPr>
        <w:t xml:space="preserve">INDUSTRIA NACIONAL – Puntaje adicional – Decreto 680 de 2021 </w:t>
      </w:r>
    </w:p>
    <w:p w14:paraId="39D2FF5D" w14:textId="77777777" w:rsidR="006019B1" w:rsidRPr="006019B1" w:rsidRDefault="006019B1" w:rsidP="006019B1">
      <w:pPr>
        <w:snapToGrid w:val="0"/>
        <w:spacing w:after="0" w:line="240" w:lineRule="auto"/>
        <w:jc w:val="both"/>
        <w:rPr>
          <w:rFonts w:ascii="Verdana" w:eastAsia="Arial" w:hAnsi="Verdana" w:cs="Arial"/>
          <w:color w:val="000000"/>
          <w:kern w:val="2"/>
          <w:lang w:val="es-ES"/>
          <w14:ligatures w14:val="standardContextual"/>
        </w:rPr>
      </w:pPr>
    </w:p>
    <w:p w14:paraId="07CC368A" w14:textId="77777777" w:rsidR="000A2ECD" w:rsidRDefault="000A2ECD" w:rsidP="00C248BB">
      <w:pPr>
        <w:tabs>
          <w:tab w:val="left" w:pos="0"/>
        </w:tabs>
        <w:spacing w:after="0" w:line="240" w:lineRule="auto"/>
        <w:jc w:val="both"/>
        <w:rPr>
          <w:rFonts w:ascii="Verdana" w:eastAsia="Calibri" w:hAnsi="Verdana" w:cs="Arial"/>
          <w:bCs/>
          <w:color w:val="000000"/>
          <w:sz w:val="20"/>
          <w:szCs w:val="20"/>
          <w:lang w:val="es-ES_tradnl"/>
        </w:rPr>
      </w:pPr>
      <w:r w:rsidRPr="00C248BB">
        <w:rPr>
          <w:rFonts w:ascii="Verdana" w:eastAsia="Calibri" w:hAnsi="Verdana" w:cs="Arial"/>
          <w:bCs/>
          <w:color w:val="000000"/>
          <w:sz w:val="20"/>
          <w:szCs w:val="20"/>
          <w:lang w:val="es-ES_tradnl"/>
        </w:rPr>
        <w:t>Dentro de las reglas que restringen la discrecionalidad administrativa de las entidades estatales en la elaboración del pliego de condiciones se encuentra el artículo 2 de la Ley 816 de 2003. En efecto, este enunciado normativo establece que las entidades de la administración pública a las que se refiere el artículo 1 de la misma ley deben incluir “</w:t>
      </w:r>
      <w:r w:rsidRPr="00C248BB">
        <w:rPr>
          <w:rFonts w:ascii="Verdana" w:eastAsia="Calibri" w:hAnsi="Verdana" w:cs="Arial"/>
          <w:sz w:val="20"/>
          <w:szCs w:val="20"/>
          <w:lang w:val="es-ES_tradnl"/>
        </w:rPr>
        <w:t xml:space="preserve">[…] </w:t>
      </w:r>
      <w:r w:rsidRPr="00C248BB">
        <w:rPr>
          <w:rFonts w:ascii="Verdana" w:eastAsia="Calibri" w:hAnsi="Verdana" w:cs="Arial"/>
          <w:bCs/>
          <w:color w:val="000000"/>
          <w:sz w:val="20"/>
          <w:szCs w:val="20"/>
          <w:lang w:val="es-ES_tradnl"/>
        </w:rPr>
        <w:t xml:space="preserve">un puntaje comprendido entre el diez (10) y el veinte por ciento (20%)” para estimular la industria nacional, cuando se oferten bienes o servicios nacionales” –inciso primero o “Franja 1”–. Adicionalmente, la norma indica que, si no se ofertan bienes o servicios nacionales, sino bienes o servicios </w:t>
      </w:r>
      <w:r w:rsidRPr="00C248BB">
        <w:rPr>
          <w:rFonts w:ascii="Verdana" w:eastAsia="Calibri" w:hAnsi="Verdana" w:cs="Arial"/>
          <w:bCs/>
          <w:i/>
          <w:iCs/>
          <w:color w:val="000000"/>
          <w:sz w:val="20"/>
          <w:szCs w:val="20"/>
          <w:lang w:val="es-ES_tradnl"/>
        </w:rPr>
        <w:t>extranjeros</w:t>
      </w:r>
      <w:r w:rsidRPr="00C248BB">
        <w:rPr>
          <w:rFonts w:ascii="Verdana" w:eastAsia="Calibri" w:hAnsi="Verdana" w:cs="Arial"/>
          <w:bCs/>
          <w:color w:val="000000"/>
          <w:sz w:val="20"/>
          <w:szCs w:val="20"/>
          <w:lang w:val="es-ES_tradnl"/>
        </w:rPr>
        <w:t xml:space="preserve">, “[…] la entidad contratante establecerá un puntaje comprendido entre el cinco (5) y el quince por ciento (15%), para incentivar la incorporación de componente colombiano de bienes y servicios profesionales, técnicos y operativos” –inciso segundo o </w:t>
      </w:r>
      <w:r w:rsidRPr="00C248BB">
        <w:rPr>
          <w:rFonts w:ascii="Verdana" w:eastAsia="Calibri" w:hAnsi="Verdana" w:cs="Arial"/>
          <w:bCs/>
          <w:color w:val="000000"/>
          <w:sz w:val="20"/>
          <w:szCs w:val="20"/>
        </w:rPr>
        <w:t>“</w:t>
      </w:r>
      <w:r w:rsidRPr="00C248BB">
        <w:rPr>
          <w:rFonts w:ascii="Verdana" w:eastAsia="Calibri" w:hAnsi="Verdana" w:cs="Arial"/>
          <w:bCs/>
          <w:color w:val="000000"/>
          <w:sz w:val="20"/>
          <w:szCs w:val="20"/>
          <w:lang w:val="es-ES_tradnl"/>
        </w:rPr>
        <w:t xml:space="preserve">Franja 2”–. </w:t>
      </w:r>
    </w:p>
    <w:p w14:paraId="74B477A4" w14:textId="77777777" w:rsidR="00C248BB" w:rsidRPr="00C248BB" w:rsidRDefault="00C248BB" w:rsidP="00C248BB">
      <w:pPr>
        <w:tabs>
          <w:tab w:val="left" w:pos="0"/>
        </w:tabs>
        <w:spacing w:after="0" w:line="240" w:lineRule="auto"/>
        <w:jc w:val="both"/>
        <w:rPr>
          <w:rFonts w:ascii="Verdana" w:eastAsia="Calibri" w:hAnsi="Verdana" w:cs="Arial"/>
          <w:bCs/>
          <w:color w:val="000000"/>
          <w:sz w:val="20"/>
          <w:szCs w:val="20"/>
          <w:lang w:val="es-ES_tradnl"/>
        </w:rPr>
      </w:pPr>
    </w:p>
    <w:p w14:paraId="0F2ABC66" w14:textId="6F4738C3" w:rsidR="006019B1" w:rsidRPr="00C248BB" w:rsidRDefault="000A2ECD" w:rsidP="00C248BB">
      <w:pPr>
        <w:spacing w:after="0" w:line="240" w:lineRule="auto"/>
        <w:jc w:val="both"/>
        <w:rPr>
          <w:rFonts w:ascii="Verdana" w:eastAsia="Calibri" w:hAnsi="Verdana" w:cs="Arial"/>
          <w:color w:val="000000"/>
          <w:sz w:val="20"/>
          <w:szCs w:val="20"/>
          <w:lang w:val="es-ES"/>
        </w:rPr>
      </w:pPr>
      <w:r w:rsidRPr="00C248BB">
        <w:rPr>
          <w:rFonts w:ascii="Verdana" w:eastAsia="Calibri" w:hAnsi="Verdana" w:cs="Arial"/>
          <w:color w:val="000000"/>
          <w:sz w:val="20"/>
          <w:szCs w:val="20"/>
          <w:lang w:val="es-ES"/>
        </w:rPr>
        <w:t xml:space="preserve">Aclarado el alcance de la norma que promueve el factor de evaluación de apoyo a la industria nacional en las compras públicas, es importante señalar que la aplicación del puntaje al que se refiere el artículo 2 de la Ley 816 de 2003 fue reglamentado mediante el Decreto 680 de 2021. Por lo tanto, ha de tenerse en cuenta la nueva regulación de la regla de origen contemplada en este Decreto. En primer lugar, el artículo 1 del mencionado Decreto modificó parcialmente el artículo 2.2.1.1.1.3.1. del Decreto 1082 de 2015, para definir los </w:t>
      </w:r>
      <w:r w:rsidRPr="00C248BB">
        <w:rPr>
          <w:rFonts w:ascii="Verdana" w:eastAsia="Calibri" w:hAnsi="Verdana" w:cs="Arial"/>
          <w:i/>
          <w:iCs/>
          <w:color w:val="000000"/>
          <w:sz w:val="20"/>
          <w:szCs w:val="20"/>
          <w:lang w:val="es-ES"/>
        </w:rPr>
        <w:t>Servicios Nacionales</w:t>
      </w:r>
      <w:r w:rsidRPr="00C248BB">
        <w:rPr>
          <w:rFonts w:ascii="Verdana" w:eastAsia="Calibri" w:hAnsi="Verdana" w:cs="Arial"/>
          <w:color w:val="000000"/>
          <w:sz w:val="20"/>
          <w:szCs w:val="20"/>
          <w:lang w:val="es-ES"/>
        </w:rPr>
        <w:t xml:space="preserve"> en forma distinta, así:</w:t>
      </w:r>
    </w:p>
    <w:p w14:paraId="758A3BDD" w14:textId="77777777" w:rsidR="006019B1" w:rsidRPr="00C248BB" w:rsidRDefault="006019B1" w:rsidP="00C248BB">
      <w:pPr>
        <w:spacing w:after="0" w:line="240" w:lineRule="auto"/>
        <w:jc w:val="both"/>
        <w:rPr>
          <w:rFonts w:ascii="Verdana" w:eastAsia="Calibri" w:hAnsi="Verdana" w:cs="Arial"/>
          <w:color w:val="000000"/>
          <w:sz w:val="20"/>
          <w:szCs w:val="20"/>
          <w:lang w:val="es-ES"/>
        </w:rPr>
      </w:pPr>
      <w:r w:rsidRPr="00C248BB">
        <w:rPr>
          <w:rFonts w:ascii="Verdana" w:eastAsia="Calibri" w:hAnsi="Verdana" w:cs="Arial"/>
          <w:color w:val="000000"/>
          <w:sz w:val="20"/>
          <w:szCs w:val="20"/>
          <w:lang w:val="es-ES"/>
        </w:rPr>
        <w:lastRenderedPageBreak/>
        <w:t>[…]</w:t>
      </w:r>
    </w:p>
    <w:p w14:paraId="2B8EA44C" w14:textId="77777777" w:rsidR="000A2ECD" w:rsidRPr="00C248BB" w:rsidRDefault="000A2ECD" w:rsidP="00C248BB">
      <w:pPr>
        <w:tabs>
          <w:tab w:val="left" w:pos="0"/>
        </w:tabs>
        <w:spacing w:after="0" w:line="240" w:lineRule="auto"/>
        <w:jc w:val="both"/>
        <w:rPr>
          <w:rFonts w:ascii="Verdana" w:eastAsia="Calibri" w:hAnsi="Verdana" w:cs="Arial"/>
          <w:bCs/>
          <w:color w:val="000000"/>
          <w:sz w:val="20"/>
          <w:szCs w:val="20"/>
          <w:lang w:val="es-ES_tradnl"/>
        </w:rPr>
      </w:pPr>
      <w:r w:rsidRPr="00C248BB">
        <w:rPr>
          <w:rFonts w:ascii="Verdana" w:eastAsia="Calibri" w:hAnsi="Verdana" w:cs="Arial"/>
          <w:bCs/>
          <w:color w:val="000000"/>
          <w:sz w:val="20"/>
          <w:szCs w:val="20"/>
          <w:lang w:val="es-ES_tradnl"/>
        </w:rPr>
        <w:t xml:space="preserve">De acuerdo con lo anterior, la noción de </w:t>
      </w:r>
      <w:r w:rsidRPr="00C248BB">
        <w:rPr>
          <w:rFonts w:ascii="Verdana" w:eastAsia="Calibri" w:hAnsi="Verdana" w:cs="Arial"/>
          <w:bCs/>
          <w:i/>
          <w:iCs/>
          <w:color w:val="000000"/>
          <w:sz w:val="20"/>
          <w:szCs w:val="20"/>
          <w:lang w:val="es-ES_tradnl"/>
        </w:rPr>
        <w:t>Servicios Nacionales</w:t>
      </w:r>
      <w:r w:rsidRPr="00C248BB">
        <w:rPr>
          <w:rFonts w:ascii="Verdana" w:eastAsia="Calibri" w:hAnsi="Verdana" w:cs="Arial"/>
          <w:bCs/>
          <w:color w:val="000000"/>
          <w:sz w:val="20"/>
          <w:szCs w:val="20"/>
          <w:lang w:val="es-ES_tradnl"/>
        </w:rPr>
        <w:t xml:space="preserve"> no está determinada únicamente por la naturaleza jurídica de su prestador, ya que además de tratarse de una persona natural colombiana o jurídica conformada según la ley colombiana, se requiere que la propuesta, en principio, incluya en la ejecución del contrato la utilización de los bienes nacionales relevantes. En ese sentido, la definición de </w:t>
      </w:r>
      <w:r w:rsidRPr="00C248BB">
        <w:rPr>
          <w:rFonts w:ascii="Verdana" w:eastAsia="Calibri" w:hAnsi="Verdana" w:cs="Arial"/>
          <w:bCs/>
          <w:i/>
          <w:iCs/>
          <w:color w:val="000000"/>
          <w:sz w:val="20"/>
          <w:szCs w:val="20"/>
          <w:lang w:val="es-ES_tradnl"/>
        </w:rPr>
        <w:t xml:space="preserve">Servicios Nacionales </w:t>
      </w:r>
      <w:r w:rsidRPr="00C248BB">
        <w:rPr>
          <w:rFonts w:ascii="Verdana" w:eastAsia="Calibri" w:hAnsi="Verdana" w:cs="Arial"/>
          <w:bCs/>
          <w:color w:val="000000"/>
          <w:sz w:val="20"/>
          <w:szCs w:val="20"/>
          <w:lang w:val="es-ES_tradnl"/>
        </w:rPr>
        <w:t xml:space="preserve">remite a la noción de </w:t>
      </w:r>
      <w:r w:rsidRPr="00C248BB">
        <w:rPr>
          <w:rFonts w:ascii="Verdana" w:eastAsia="Calibri" w:hAnsi="Verdana" w:cs="Arial"/>
          <w:bCs/>
          <w:i/>
          <w:iCs/>
          <w:color w:val="000000"/>
          <w:sz w:val="20"/>
          <w:szCs w:val="20"/>
          <w:lang w:val="es-ES_tradnl"/>
        </w:rPr>
        <w:t>Bienes Nacionales</w:t>
      </w:r>
      <w:r w:rsidRPr="00C248BB">
        <w:rPr>
          <w:rFonts w:ascii="Verdana" w:eastAsia="Calibri" w:hAnsi="Verdana" w:cs="Arial"/>
          <w:bCs/>
          <w:color w:val="000000"/>
          <w:sz w:val="20"/>
          <w:szCs w:val="20"/>
          <w:lang w:val="es-ES_tradnl"/>
        </w:rPr>
        <w:t xml:space="preserve"> establecida en el mismo artículo 2.2.1.1.1.3.1. del Decreto 1082 de 2015, que dispone que son aquellos “Bienes definidos como nacionales en el Registro de Productores de Bienes Nacionales, de conformidad con el Decreto 2680 de 2009 o las normas que lo modifiquen, aclaren, adicionen o sustituyan”. El artículo 1 del Decreto 2680 de 2009 dispone que “Se entiende como bienes nacionales, aquellos bienes totalmente obtenidos, bienes elaborados con materiales nacionales o productos que sufran una transformación sustancial de conformidad con lo previsto en el presente decreto”.</w:t>
      </w:r>
    </w:p>
    <w:p w14:paraId="2FF00036" w14:textId="77777777" w:rsidR="006019B1" w:rsidRPr="006019B1" w:rsidRDefault="006019B1" w:rsidP="006019B1">
      <w:pPr>
        <w:snapToGrid w:val="0"/>
        <w:spacing w:after="0" w:line="240" w:lineRule="auto"/>
        <w:jc w:val="both"/>
        <w:rPr>
          <w:rFonts w:ascii="Verdana" w:eastAsia="Calibri" w:hAnsi="Verdana" w:cs="Arial"/>
          <w:b/>
          <w:bCs/>
          <w:color w:val="000000"/>
          <w:kern w:val="2"/>
          <w:lang w:val="es-ES" w:eastAsia="es-CO"/>
          <w14:ligatures w14:val="standardContextual"/>
        </w:rPr>
      </w:pPr>
    </w:p>
    <w:p w14:paraId="2544D3DD" w14:textId="77777777" w:rsidR="006019B1" w:rsidRPr="006019B1" w:rsidRDefault="006019B1" w:rsidP="006019B1">
      <w:pPr>
        <w:snapToGrid w:val="0"/>
        <w:spacing w:after="0" w:line="276" w:lineRule="auto"/>
        <w:jc w:val="both"/>
        <w:rPr>
          <w:rFonts w:ascii="Verdana" w:eastAsia="Calibri" w:hAnsi="Verdana" w:cs="Arial"/>
          <w:b/>
          <w:bCs/>
          <w:color w:val="000000"/>
          <w:kern w:val="2"/>
          <w:lang w:val="es-ES" w:eastAsia="es-CO"/>
          <w14:ligatures w14:val="standardContextual"/>
        </w:rPr>
      </w:pPr>
      <w:r w:rsidRPr="006019B1">
        <w:rPr>
          <w:rFonts w:ascii="Verdana" w:eastAsia="Calibri" w:hAnsi="Verdana" w:cs="Arial"/>
          <w:b/>
          <w:bCs/>
          <w:color w:val="000000"/>
          <w:kern w:val="2"/>
          <w:lang w:val="es-ES" w:eastAsia="es-CO"/>
          <w14:ligatures w14:val="standardContextual"/>
        </w:rPr>
        <w:t xml:space="preserve">DOCUMENTOS TIPO DE INFRAESTRUCTURA SOCIAL – Apoyo a la industria nacional – Promoción de servicios nacionales o con trato nacional </w:t>
      </w:r>
    </w:p>
    <w:p w14:paraId="5C807A42" w14:textId="77777777" w:rsidR="006019B1" w:rsidRPr="006019B1" w:rsidRDefault="006019B1" w:rsidP="006019B1">
      <w:pPr>
        <w:snapToGrid w:val="0"/>
        <w:spacing w:after="0" w:line="240" w:lineRule="auto"/>
        <w:jc w:val="both"/>
        <w:rPr>
          <w:rFonts w:ascii="Verdana" w:eastAsia="Calibri" w:hAnsi="Verdana" w:cs="Arial"/>
          <w:b/>
          <w:bCs/>
          <w:color w:val="000000"/>
          <w:kern w:val="2"/>
          <w:lang w:val="es-ES" w:eastAsia="es-CO"/>
          <w14:ligatures w14:val="standardContextual"/>
        </w:rPr>
      </w:pPr>
    </w:p>
    <w:p w14:paraId="47DF1FED" w14:textId="75F10123" w:rsidR="006019B1" w:rsidRPr="00C248BB" w:rsidRDefault="006019B1" w:rsidP="00C248BB">
      <w:pPr>
        <w:spacing w:after="0" w:line="240" w:lineRule="auto"/>
        <w:jc w:val="both"/>
        <w:rPr>
          <w:rFonts w:ascii="Verdana" w:eastAsia="Calibri" w:hAnsi="Verdana" w:cs="Arial"/>
          <w:color w:val="000000"/>
          <w:sz w:val="20"/>
          <w:szCs w:val="20"/>
        </w:rPr>
      </w:pPr>
      <w:r w:rsidRPr="00C248BB">
        <w:rPr>
          <w:rFonts w:ascii="Verdana" w:eastAsia="Calibri" w:hAnsi="Verdana" w:cs="Arial"/>
          <w:color w:val="000000"/>
          <w:sz w:val="20"/>
          <w:szCs w:val="20"/>
        </w:rPr>
        <w:t xml:space="preserve">[…] </w:t>
      </w:r>
      <w:r w:rsidR="00E97E60" w:rsidRPr="00C248BB">
        <w:rPr>
          <w:rFonts w:ascii="Verdana" w:eastAsia="Calibri" w:hAnsi="Verdana" w:cs="Arial"/>
          <w:color w:val="000000"/>
          <w:sz w:val="20"/>
          <w:szCs w:val="20"/>
        </w:rPr>
        <w:t xml:space="preserve">el numeral 4.3 </w:t>
      </w:r>
      <w:r w:rsidR="00E97E60" w:rsidRPr="00C248BB">
        <w:rPr>
          <w:rFonts w:ascii="Verdana" w:eastAsia="Calibri" w:hAnsi="Verdana" w:cs="Arial"/>
          <w:i/>
          <w:iCs/>
          <w:color w:val="000000"/>
          <w:sz w:val="20"/>
          <w:szCs w:val="20"/>
        </w:rPr>
        <w:t>“Apoyo a la Industria Nacional”</w:t>
      </w:r>
      <w:r w:rsidR="00E97E60" w:rsidRPr="00C248BB">
        <w:rPr>
          <w:rFonts w:ascii="Verdana" w:eastAsia="Calibri" w:hAnsi="Verdana" w:cs="Arial"/>
          <w:color w:val="000000"/>
          <w:sz w:val="20"/>
          <w:szCs w:val="20"/>
        </w:rPr>
        <w:t xml:space="preserve"> del documento base de los referidos documentos tipo, establece dos (2) alternativas para la obtención del puntaje de apoyo a la industria nacional, así:</w:t>
      </w:r>
    </w:p>
    <w:p w14:paraId="55D89ACB" w14:textId="77777777" w:rsidR="006019B1" w:rsidRPr="00C248BB" w:rsidRDefault="006019B1" w:rsidP="00C248BB">
      <w:pPr>
        <w:spacing w:after="0" w:line="240" w:lineRule="auto"/>
        <w:jc w:val="both"/>
        <w:rPr>
          <w:rFonts w:ascii="Verdana" w:eastAsia="Calibri" w:hAnsi="Verdana" w:cs="Arial"/>
          <w:color w:val="000000"/>
          <w:sz w:val="20"/>
          <w:szCs w:val="20"/>
        </w:rPr>
      </w:pPr>
      <w:r w:rsidRPr="00C248BB">
        <w:rPr>
          <w:rFonts w:ascii="Verdana" w:eastAsia="Calibri" w:hAnsi="Verdana" w:cs="Arial"/>
          <w:color w:val="000000"/>
          <w:sz w:val="20"/>
          <w:szCs w:val="20"/>
        </w:rPr>
        <w:t>[…]</w:t>
      </w:r>
    </w:p>
    <w:p w14:paraId="71B73376" w14:textId="35DEF9C9" w:rsidR="006019B1" w:rsidRPr="00C248BB" w:rsidRDefault="00C248BB" w:rsidP="00C248BB">
      <w:pPr>
        <w:tabs>
          <w:tab w:val="left" w:pos="709"/>
        </w:tabs>
        <w:spacing w:after="0" w:line="240" w:lineRule="auto"/>
        <w:jc w:val="both"/>
        <w:rPr>
          <w:rFonts w:ascii="Verdana" w:eastAsia="Calibri" w:hAnsi="Verdana" w:cs="Arial"/>
          <w:color w:val="000000"/>
          <w:kern w:val="2"/>
          <w:sz w:val="20"/>
          <w:szCs w:val="20"/>
          <w:lang w:val="es-ES"/>
          <w14:ligatures w14:val="standardContextual"/>
        </w:rPr>
      </w:pPr>
      <w:r w:rsidRPr="00C248BB">
        <w:rPr>
          <w:rFonts w:ascii="Verdana" w:eastAsia="Calibri" w:hAnsi="Verdana" w:cs="Arial"/>
          <w:color w:val="000000"/>
          <w:sz w:val="20"/>
          <w:szCs w:val="20"/>
        </w:rPr>
        <w:t xml:space="preserve">Asimismo, el numeral 4.3.1 </w:t>
      </w:r>
      <w:r w:rsidRPr="00C248BB">
        <w:rPr>
          <w:rFonts w:ascii="Verdana" w:eastAsia="Calibri" w:hAnsi="Verdana" w:cs="Arial"/>
          <w:i/>
          <w:iCs/>
          <w:color w:val="000000"/>
          <w:sz w:val="20"/>
          <w:szCs w:val="20"/>
        </w:rPr>
        <w:t>ibidem</w:t>
      </w:r>
      <w:r w:rsidRPr="00C248BB">
        <w:rPr>
          <w:rFonts w:ascii="Verdana" w:eastAsia="Calibri" w:hAnsi="Verdana" w:cs="Arial"/>
          <w:sz w:val="20"/>
          <w:szCs w:val="20"/>
        </w:rPr>
        <w:t xml:space="preserve"> </w:t>
      </w:r>
      <w:r w:rsidRPr="00C248BB">
        <w:rPr>
          <w:rFonts w:ascii="Verdana" w:eastAsia="Calibri" w:hAnsi="Verdana" w:cs="Arial"/>
          <w:i/>
          <w:iCs/>
          <w:color w:val="000000"/>
          <w:sz w:val="20"/>
          <w:szCs w:val="20"/>
        </w:rPr>
        <w:t>“Promoción de Servicios Nacionales o con Trato Nacional”</w:t>
      </w:r>
      <w:r w:rsidRPr="00C248BB">
        <w:rPr>
          <w:rFonts w:ascii="Verdana" w:eastAsia="Calibri" w:hAnsi="Verdana" w:cs="Arial"/>
          <w:color w:val="000000"/>
          <w:kern w:val="2"/>
          <w:sz w:val="20"/>
          <w:szCs w:val="20"/>
          <w:lang w:val="es-ES"/>
          <w14:ligatures w14:val="standardContextual"/>
        </w:rPr>
        <w:t>, explica cómo el proponente se hace acreedor para el otorgamiento del puntaje por “Promoción de Servicios Nacionales o con Trato Nacional” y las reglas que las entidades deben tener en cuenta para definir el porcentaje de empleados o contratistas por prestación de servicios colombianos. De igual forma, para la acreditación del puntaje por servicios nacionales o con trato nacional, el numeral 4.3.1.1 prevé que:</w:t>
      </w:r>
      <w:r w:rsidR="006019B1" w:rsidRPr="00C248BB">
        <w:rPr>
          <w:rFonts w:ascii="Verdana" w:eastAsia="Arial" w:hAnsi="Verdana" w:cs="Arial"/>
          <w:color w:val="000000"/>
          <w:sz w:val="20"/>
          <w:szCs w:val="20"/>
        </w:rPr>
        <w:t xml:space="preserve"> </w:t>
      </w:r>
      <w:r w:rsidR="006019B1" w:rsidRPr="00C248BB">
        <w:rPr>
          <w:rFonts w:ascii="Verdana" w:eastAsia="Arial" w:hAnsi="Verdana" w:cs="Arial"/>
          <w:bCs/>
          <w:color w:val="000000"/>
          <w:sz w:val="20"/>
          <w:szCs w:val="20"/>
        </w:rPr>
        <w:t>[…]</w:t>
      </w:r>
    </w:p>
    <w:p w14:paraId="1C3E2E48" w14:textId="77777777" w:rsidR="006019B1" w:rsidRPr="006019B1" w:rsidRDefault="006019B1" w:rsidP="006019B1">
      <w:pPr>
        <w:tabs>
          <w:tab w:val="left" w:pos="709"/>
        </w:tabs>
        <w:spacing w:after="0" w:line="240" w:lineRule="auto"/>
        <w:jc w:val="both"/>
        <w:rPr>
          <w:rFonts w:ascii="Verdana" w:eastAsia="Calibri" w:hAnsi="Verdana" w:cs="Arial"/>
          <w:bCs/>
          <w:color w:val="000000"/>
          <w:kern w:val="2"/>
          <w:lang w:val="es-ES_tradnl"/>
          <w14:ligatures w14:val="standardContextual"/>
        </w:rPr>
      </w:pPr>
    </w:p>
    <w:p w14:paraId="18822FBD" w14:textId="77777777" w:rsidR="006019B1" w:rsidRPr="006019B1" w:rsidRDefault="006019B1" w:rsidP="006019B1">
      <w:pPr>
        <w:tabs>
          <w:tab w:val="left" w:pos="709"/>
        </w:tabs>
        <w:adjustRightInd w:val="0"/>
        <w:snapToGrid w:val="0"/>
        <w:spacing w:after="0" w:line="276" w:lineRule="auto"/>
        <w:jc w:val="both"/>
        <w:rPr>
          <w:rFonts w:ascii="Verdana" w:eastAsia="Aptos" w:hAnsi="Verdana" w:cs="Arial"/>
          <w:b/>
          <w:bCs/>
          <w:kern w:val="2"/>
          <w:lang w:val="es-ES_tradnl"/>
          <w14:ligatures w14:val="standardContextual"/>
        </w:rPr>
      </w:pPr>
      <w:r w:rsidRPr="006019B1">
        <w:rPr>
          <w:rFonts w:ascii="Verdana" w:eastAsia="Aptos" w:hAnsi="Verdana" w:cs="Arial"/>
          <w:b/>
          <w:bCs/>
          <w:kern w:val="2"/>
          <w:lang w:val="es-ES_tradnl"/>
          <w14:ligatures w14:val="standardContextual"/>
        </w:rPr>
        <w:t>DOCUMENTOS TIPO DE INFRAESTRUCTURA SOCIAL – Matriz 4 – Bienes nacionales relevantes para la obra pública del sector social</w:t>
      </w:r>
    </w:p>
    <w:p w14:paraId="556E263F" w14:textId="77777777" w:rsidR="006019B1" w:rsidRPr="006019B1" w:rsidRDefault="006019B1" w:rsidP="006019B1">
      <w:pPr>
        <w:snapToGrid w:val="0"/>
        <w:spacing w:after="0" w:line="240" w:lineRule="auto"/>
        <w:jc w:val="both"/>
        <w:rPr>
          <w:rFonts w:ascii="Verdana" w:eastAsia="Calibri" w:hAnsi="Verdana" w:cs="Arial"/>
          <w:b/>
          <w:bCs/>
          <w:color w:val="000000"/>
          <w:kern w:val="2"/>
          <w:lang w:val="es-ES" w:eastAsia="es-CO"/>
          <w14:ligatures w14:val="standardContextual"/>
        </w:rPr>
      </w:pPr>
    </w:p>
    <w:p w14:paraId="7DBE2EC0" w14:textId="42478C0D" w:rsidR="006019B1" w:rsidRPr="00C248BB" w:rsidRDefault="006019B1" w:rsidP="00C248BB">
      <w:pPr>
        <w:tabs>
          <w:tab w:val="left" w:pos="709"/>
        </w:tabs>
        <w:adjustRightInd w:val="0"/>
        <w:snapToGrid w:val="0"/>
        <w:spacing w:after="0" w:line="240" w:lineRule="auto"/>
        <w:jc w:val="both"/>
        <w:rPr>
          <w:rFonts w:ascii="Verdana" w:eastAsia="Calibri" w:hAnsi="Verdana" w:cs="Arial"/>
          <w:bCs/>
          <w:color w:val="000000"/>
          <w:kern w:val="2"/>
          <w:sz w:val="20"/>
          <w:szCs w:val="20"/>
          <w:lang w:val="es-ES_tradnl"/>
          <w14:ligatures w14:val="standardContextual"/>
        </w:rPr>
      </w:pPr>
      <w:r w:rsidRPr="00C248BB">
        <w:rPr>
          <w:rFonts w:ascii="Verdana" w:eastAsia="Calibri" w:hAnsi="Verdana" w:cs="Arial"/>
          <w:bCs/>
          <w:color w:val="000000"/>
          <w:kern w:val="2"/>
          <w:sz w:val="20"/>
          <w:szCs w:val="20"/>
          <w:lang w:val="es-ES_tradnl"/>
          <w14:ligatures w14:val="standardContextual"/>
        </w:rPr>
        <w:t xml:space="preserve">[…] </w:t>
      </w:r>
      <w:r w:rsidR="00C248BB" w:rsidRPr="00C248BB">
        <w:rPr>
          <w:rFonts w:ascii="Verdana" w:eastAsia="Calibri" w:hAnsi="Verdana" w:cs="Arial"/>
          <w:bCs/>
          <w:color w:val="000000"/>
          <w:kern w:val="2"/>
          <w:sz w:val="20"/>
          <w:szCs w:val="20"/>
          <w:lang w:val="es-ES_tradnl"/>
          <w14:ligatures w14:val="standardContextual"/>
        </w:rPr>
        <w:t>la “Matriz 4 – Bienes nacionales relevantes para la obra pública del sector social” señala la metodología para identificar los bienes nacionales relevantes para la ejecución del objeto a contratar, como se puede observar a continuación:</w:t>
      </w:r>
    </w:p>
    <w:p w14:paraId="04148339" w14:textId="77777777" w:rsidR="006019B1" w:rsidRPr="00C248BB" w:rsidRDefault="006019B1" w:rsidP="00C248BB">
      <w:pPr>
        <w:tabs>
          <w:tab w:val="left" w:pos="709"/>
        </w:tabs>
        <w:adjustRightInd w:val="0"/>
        <w:snapToGrid w:val="0"/>
        <w:spacing w:after="0" w:line="240" w:lineRule="auto"/>
        <w:ind w:right="709"/>
        <w:jc w:val="both"/>
        <w:rPr>
          <w:rFonts w:ascii="Verdana" w:eastAsia="Calibri" w:hAnsi="Verdana" w:cs="Arial"/>
          <w:bCs/>
          <w:color w:val="000000"/>
          <w:kern w:val="2"/>
          <w:sz w:val="20"/>
          <w:szCs w:val="20"/>
          <w:lang w:val="es-ES_tradnl"/>
          <w14:ligatures w14:val="standardContextual"/>
        </w:rPr>
      </w:pPr>
      <w:r w:rsidRPr="00C248BB">
        <w:rPr>
          <w:rFonts w:ascii="Verdana" w:eastAsia="Calibri" w:hAnsi="Verdana" w:cs="Arial"/>
          <w:bCs/>
          <w:color w:val="000000"/>
          <w:kern w:val="2"/>
          <w:sz w:val="20"/>
          <w:szCs w:val="20"/>
          <w:lang w:val="es-ES_tradnl"/>
          <w14:ligatures w14:val="standardContextual"/>
        </w:rPr>
        <w:t>[…]</w:t>
      </w:r>
    </w:p>
    <w:p w14:paraId="45FED4AA" w14:textId="77777777" w:rsidR="00C248BB" w:rsidRDefault="00C248BB" w:rsidP="00C248BB">
      <w:pPr>
        <w:tabs>
          <w:tab w:val="left" w:pos="709"/>
        </w:tabs>
        <w:adjustRightInd w:val="0"/>
        <w:snapToGrid w:val="0"/>
        <w:spacing w:after="0" w:line="240" w:lineRule="auto"/>
        <w:jc w:val="both"/>
        <w:rPr>
          <w:rFonts w:ascii="Verdana" w:eastAsia="Calibri" w:hAnsi="Verdana" w:cs="Arial"/>
          <w:bCs/>
          <w:color w:val="000000"/>
          <w:kern w:val="2"/>
          <w:sz w:val="20"/>
          <w:szCs w:val="20"/>
          <w:lang w:val="es-ES_tradnl"/>
          <w14:ligatures w14:val="standardContextual"/>
        </w:rPr>
      </w:pPr>
      <w:r w:rsidRPr="00C248BB">
        <w:rPr>
          <w:rFonts w:ascii="Verdana" w:eastAsia="Calibri" w:hAnsi="Verdana" w:cs="Arial"/>
          <w:bCs/>
          <w:color w:val="000000"/>
          <w:kern w:val="2"/>
          <w:sz w:val="20"/>
          <w:szCs w:val="20"/>
          <w:lang w:val="es-ES_tradnl"/>
          <w14:ligatures w14:val="standardContextual"/>
        </w:rPr>
        <w:t xml:space="preserve">Conforme a la metodología anterior, la entidad contratante deberá verificar, al momento de publicar el pliego de condiciones definitivo, que el registro del bien o insumo se encuentre vigente hasta una fecha posterior a la del cierre del proceso de proceso de contratación, entendiéndose por </w:t>
      </w:r>
      <w:r w:rsidRPr="00C248BB">
        <w:rPr>
          <w:rFonts w:ascii="Verdana" w:eastAsia="Calibri" w:hAnsi="Verdana" w:cs="Arial"/>
          <w:bCs/>
          <w:i/>
          <w:iCs/>
          <w:color w:val="000000"/>
          <w:kern w:val="2"/>
          <w:sz w:val="20"/>
          <w:szCs w:val="20"/>
          <w:lang w:val="es-ES_tradnl"/>
          <w14:ligatures w14:val="standardContextual"/>
        </w:rPr>
        <w:t>fecha de cierre</w:t>
      </w:r>
      <w:r w:rsidRPr="00C248BB">
        <w:rPr>
          <w:rFonts w:ascii="Verdana" w:eastAsia="Calibri" w:hAnsi="Verdana" w:cs="Arial"/>
          <w:bCs/>
          <w:color w:val="000000"/>
          <w:kern w:val="2"/>
          <w:sz w:val="20"/>
          <w:szCs w:val="20"/>
          <w:lang w:val="es-ES_tradnl"/>
          <w14:ligatures w14:val="standardContextual"/>
        </w:rPr>
        <w:t xml:space="preserve"> la publicada en el pliego de condiciones definitivo. Una vez verificada la fecha de registro de estos bienes, estos serán los que se incluyan en el numeral 4.3.1 del documento base. </w:t>
      </w:r>
    </w:p>
    <w:p w14:paraId="69D552F4" w14:textId="77777777" w:rsidR="00C248BB" w:rsidRDefault="00C248BB" w:rsidP="00C248BB">
      <w:pPr>
        <w:tabs>
          <w:tab w:val="left" w:pos="709"/>
        </w:tabs>
        <w:adjustRightInd w:val="0"/>
        <w:snapToGrid w:val="0"/>
        <w:spacing w:after="0" w:line="240" w:lineRule="auto"/>
        <w:jc w:val="both"/>
        <w:rPr>
          <w:rFonts w:ascii="Verdana" w:eastAsia="Calibri" w:hAnsi="Verdana" w:cs="Arial"/>
          <w:bCs/>
          <w:color w:val="000000"/>
          <w:kern w:val="2"/>
          <w:sz w:val="20"/>
          <w:szCs w:val="20"/>
          <w:lang w:val="es-ES_tradnl"/>
          <w14:ligatures w14:val="standardContextual"/>
        </w:rPr>
      </w:pPr>
    </w:p>
    <w:p w14:paraId="17036E22" w14:textId="5C314949" w:rsidR="00C248BB" w:rsidRPr="006019B1" w:rsidRDefault="00C248BB" w:rsidP="00C248BB">
      <w:pPr>
        <w:tabs>
          <w:tab w:val="left" w:pos="709"/>
        </w:tabs>
        <w:adjustRightInd w:val="0"/>
        <w:snapToGrid w:val="0"/>
        <w:spacing w:after="0" w:line="240" w:lineRule="auto"/>
        <w:jc w:val="both"/>
        <w:rPr>
          <w:rFonts w:ascii="Verdana" w:eastAsia="Calibri" w:hAnsi="Verdana" w:cs="Arial"/>
          <w:bCs/>
          <w:color w:val="000000"/>
          <w:kern w:val="2"/>
          <w:sz w:val="20"/>
          <w:szCs w:val="20"/>
          <w:lang w:val="es-ES_tradnl"/>
          <w14:ligatures w14:val="standardContextual"/>
        </w:rPr>
      </w:pPr>
      <w:r w:rsidRPr="00C248BB">
        <w:rPr>
          <w:rFonts w:ascii="Verdana" w:eastAsia="Calibri" w:hAnsi="Verdana" w:cs="Arial"/>
          <w:bCs/>
          <w:color w:val="000000"/>
          <w:kern w:val="2"/>
          <w:sz w:val="20"/>
          <w:szCs w:val="20"/>
          <w:lang w:val="es-ES_tradnl"/>
          <w14:ligatures w14:val="standardContextual"/>
        </w:rPr>
        <w:lastRenderedPageBreak/>
        <w:t xml:space="preserve">De esta manera, la Matriz 4 precisa que la fecha de cierre del proceso corresponderá a la señalada en el pliego de condiciones definitivo, y que corresponde a la entidad verificar, con la publicación del pliego de condiciones definitivo, que el registro del bien o insumo esté vigente hasta una fecha posterior a la del cierre del proceso. </w:t>
      </w:r>
    </w:p>
    <w:p w14:paraId="0E5E47B2" w14:textId="77777777" w:rsidR="006019B1" w:rsidRPr="006019B1" w:rsidRDefault="006019B1" w:rsidP="00C248BB">
      <w:pPr>
        <w:spacing w:after="0" w:line="276" w:lineRule="auto"/>
        <w:jc w:val="both"/>
        <w:rPr>
          <w:rFonts w:ascii="Verdana" w:eastAsia="Calibri" w:hAnsi="Verdana" w:cs="Times New Roman"/>
          <w:lang w:val="es-ES_tradnl"/>
        </w:rPr>
      </w:pPr>
    </w:p>
    <w:p w14:paraId="51F13FD2" w14:textId="77777777" w:rsidR="006019B1" w:rsidRPr="006019B1" w:rsidRDefault="006019B1" w:rsidP="006019B1">
      <w:pPr>
        <w:tabs>
          <w:tab w:val="left" w:pos="709"/>
        </w:tabs>
        <w:adjustRightInd w:val="0"/>
        <w:snapToGrid w:val="0"/>
        <w:spacing w:after="0" w:line="276" w:lineRule="auto"/>
        <w:jc w:val="both"/>
        <w:rPr>
          <w:rFonts w:ascii="Verdana" w:eastAsia="Aptos" w:hAnsi="Verdana" w:cs="Arial"/>
          <w:b/>
          <w:bCs/>
          <w:kern w:val="2"/>
          <w:lang w:val="es-ES_tradnl"/>
          <w14:ligatures w14:val="standardContextual"/>
        </w:rPr>
      </w:pPr>
      <w:r w:rsidRPr="006019B1">
        <w:rPr>
          <w:rFonts w:ascii="Verdana" w:eastAsia="Aptos" w:hAnsi="Verdana" w:cs="Arial"/>
          <w:b/>
          <w:bCs/>
          <w:kern w:val="2"/>
          <w:lang w:val="es-ES_tradnl"/>
          <w14:ligatures w14:val="standardContextual"/>
        </w:rPr>
        <w:t>DOCUMENTOS TIPO DE INFRAESTRUCTURA SOCIAL – Criterios de desempate – Oferta de bienes o servicios nacionales</w:t>
      </w:r>
    </w:p>
    <w:p w14:paraId="2F2A320F" w14:textId="77777777" w:rsidR="006019B1" w:rsidRPr="006019B1" w:rsidRDefault="006019B1" w:rsidP="006019B1">
      <w:pPr>
        <w:spacing w:after="0" w:line="240" w:lineRule="auto"/>
        <w:jc w:val="both"/>
        <w:rPr>
          <w:rFonts w:ascii="Verdana" w:eastAsia="Calibri" w:hAnsi="Verdana" w:cs="Times New Roman"/>
          <w:lang w:val="es-ES_tradnl"/>
        </w:rPr>
      </w:pPr>
    </w:p>
    <w:p w14:paraId="00CF29F7" w14:textId="03E34BC1" w:rsidR="006019B1" w:rsidRPr="00C248BB" w:rsidRDefault="006019B1" w:rsidP="00C248BB">
      <w:pPr>
        <w:tabs>
          <w:tab w:val="left" w:pos="709"/>
        </w:tabs>
        <w:adjustRightInd w:val="0"/>
        <w:snapToGrid w:val="0"/>
        <w:spacing w:after="0" w:line="240" w:lineRule="auto"/>
        <w:jc w:val="both"/>
        <w:rPr>
          <w:rFonts w:ascii="Verdana" w:eastAsia="Calibri" w:hAnsi="Verdana" w:cs="Arial"/>
          <w:bCs/>
          <w:color w:val="000000"/>
          <w:kern w:val="2"/>
          <w:sz w:val="20"/>
          <w:szCs w:val="20"/>
          <w:lang w:val="es-ES_tradnl"/>
          <w14:ligatures w14:val="standardContextual"/>
        </w:rPr>
      </w:pPr>
      <w:r w:rsidRPr="00C248BB">
        <w:rPr>
          <w:rFonts w:ascii="Verdana" w:eastAsia="Calibri" w:hAnsi="Verdana" w:cs="Arial"/>
          <w:bCs/>
          <w:color w:val="000000"/>
          <w:kern w:val="2"/>
          <w:sz w:val="20"/>
          <w:szCs w:val="20"/>
          <w:lang w:val="es-ES_tradnl"/>
          <w14:ligatures w14:val="standardContextual"/>
        </w:rPr>
        <w:t xml:space="preserve">[…] </w:t>
      </w:r>
      <w:r w:rsidR="00C248BB" w:rsidRPr="00C248BB">
        <w:rPr>
          <w:rFonts w:ascii="Verdana" w:eastAsia="Calibri" w:hAnsi="Verdana" w:cs="Arial"/>
          <w:bCs/>
          <w:color w:val="000000"/>
          <w:kern w:val="2"/>
          <w:sz w:val="20"/>
          <w:szCs w:val="20"/>
          <w:lang w:val="es-ES_tradnl"/>
          <w14:ligatures w14:val="standardContextual"/>
        </w:rPr>
        <w:t xml:space="preserve">conviene precisar que el numeral 4.8 </w:t>
      </w:r>
      <w:r w:rsidR="00C248BB" w:rsidRPr="00C248BB">
        <w:rPr>
          <w:rFonts w:ascii="Verdana" w:eastAsia="Calibri" w:hAnsi="Verdana" w:cs="Arial"/>
          <w:bCs/>
          <w:i/>
          <w:iCs/>
          <w:color w:val="000000"/>
          <w:kern w:val="2"/>
          <w:sz w:val="20"/>
          <w:szCs w:val="20"/>
          <w:lang w:val="es-ES_tradnl"/>
          <w14:ligatures w14:val="standardContextual"/>
        </w:rPr>
        <w:t>“Criterios de desempate”</w:t>
      </w:r>
      <w:r w:rsidR="00C248BB" w:rsidRPr="00C248BB">
        <w:rPr>
          <w:rFonts w:ascii="Verdana" w:eastAsia="Calibri" w:hAnsi="Verdana" w:cs="Arial"/>
          <w:bCs/>
          <w:color w:val="000000"/>
          <w:kern w:val="2"/>
          <w:sz w:val="20"/>
          <w:szCs w:val="20"/>
          <w:lang w:val="es-ES_tradnl"/>
          <w14:ligatures w14:val="standardContextual"/>
        </w:rPr>
        <w:t xml:space="preserve"> del documento base de los documentos tipo de infraestructura social, dispone:</w:t>
      </w:r>
    </w:p>
    <w:p w14:paraId="2689AB45" w14:textId="77777777" w:rsidR="006019B1" w:rsidRPr="00C248BB" w:rsidRDefault="006019B1" w:rsidP="00C248BB">
      <w:pPr>
        <w:tabs>
          <w:tab w:val="left" w:pos="284"/>
          <w:tab w:val="left" w:pos="851"/>
          <w:tab w:val="left" w:pos="993"/>
        </w:tabs>
        <w:adjustRightInd w:val="0"/>
        <w:snapToGrid w:val="0"/>
        <w:spacing w:after="0" w:line="240" w:lineRule="auto"/>
        <w:ind w:right="709"/>
        <w:jc w:val="both"/>
        <w:rPr>
          <w:rFonts w:ascii="Verdana" w:eastAsia="Calibri" w:hAnsi="Verdana" w:cs="Arial"/>
          <w:color w:val="000000"/>
          <w:kern w:val="2"/>
          <w:sz w:val="20"/>
          <w:szCs w:val="20"/>
          <w:lang w:val="es-MX"/>
          <w14:ligatures w14:val="standardContextual"/>
        </w:rPr>
      </w:pPr>
      <w:r w:rsidRPr="00C248BB">
        <w:rPr>
          <w:rFonts w:ascii="Verdana" w:eastAsia="Calibri" w:hAnsi="Verdana" w:cs="Arial"/>
          <w:kern w:val="2"/>
          <w:sz w:val="20"/>
          <w:szCs w:val="20"/>
          <w:lang w:val="es-MX"/>
          <w14:ligatures w14:val="standardContextual"/>
        </w:rPr>
        <w:t>[…]</w:t>
      </w:r>
    </w:p>
    <w:p w14:paraId="7C7C2800" w14:textId="77777777" w:rsidR="00C248BB" w:rsidRPr="00C248BB" w:rsidRDefault="00C248BB" w:rsidP="00C248BB">
      <w:pPr>
        <w:tabs>
          <w:tab w:val="left" w:pos="709"/>
        </w:tabs>
        <w:adjustRightInd w:val="0"/>
        <w:snapToGrid w:val="0"/>
        <w:spacing w:after="120" w:line="240" w:lineRule="auto"/>
        <w:jc w:val="both"/>
        <w:rPr>
          <w:rFonts w:ascii="Verdana" w:eastAsia="Calibri" w:hAnsi="Verdana" w:cs="Arial"/>
          <w:bCs/>
          <w:color w:val="000000"/>
          <w:kern w:val="2"/>
          <w:sz w:val="20"/>
          <w:szCs w:val="20"/>
          <w:lang w:val="es-ES_tradnl"/>
          <w14:ligatures w14:val="standardContextual"/>
        </w:rPr>
      </w:pPr>
      <w:r w:rsidRPr="00C248BB">
        <w:rPr>
          <w:rFonts w:ascii="Verdana" w:eastAsia="Calibri" w:hAnsi="Verdana" w:cs="Arial"/>
          <w:bCs/>
          <w:color w:val="000000"/>
          <w:kern w:val="2"/>
          <w:sz w:val="20"/>
          <w:szCs w:val="20"/>
          <w:lang w:val="es-ES_tradnl"/>
          <w14:ligatures w14:val="standardContextual"/>
        </w:rPr>
        <w:t>El anterior se trata del primer criterio que debe tener en cuenta la entidad contratante en caso de que se presente un empate en el puntaje de las ofertas presentadas al respectivo proceso de contratación. Por lo tanto, si bien el aludido criterio de desempate se encuentra relacionado con el puntaje de Industria Nacional e incluso a la regulación que al respecto contempla el documento base, lo cierto es que, en este caso, se trata de una regla para seleccionar al proponente favorecido, que difiere significativamente del puntaje por Apoyo a la Industria Nacional regulado en los numerales 4.3 y siguientes del documento base.</w:t>
      </w:r>
    </w:p>
    <w:p w14:paraId="5A078303" w14:textId="77777777" w:rsidR="006019B1" w:rsidRPr="006019B1" w:rsidRDefault="006019B1" w:rsidP="006019B1">
      <w:pPr>
        <w:spacing w:after="0" w:line="240" w:lineRule="auto"/>
        <w:jc w:val="both"/>
        <w:rPr>
          <w:rFonts w:ascii="Verdana" w:eastAsia="Calibri" w:hAnsi="Verdana" w:cs="Times New Roman"/>
          <w:lang w:val="es-ES_tradnl"/>
        </w:rPr>
      </w:pPr>
    </w:p>
    <w:p w14:paraId="6D39E58A" w14:textId="77777777" w:rsidR="006019B1" w:rsidRPr="006019B1" w:rsidRDefault="006019B1" w:rsidP="006019B1">
      <w:pPr>
        <w:spacing w:after="0" w:line="240" w:lineRule="auto"/>
        <w:jc w:val="both"/>
        <w:rPr>
          <w:rFonts w:ascii="Verdana" w:eastAsia="Calibri" w:hAnsi="Verdana" w:cs="Times New Roman"/>
          <w:lang w:val="es-ES_tradnl"/>
        </w:rPr>
      </w:pPr>
    </w:p>
    <w:p w14:paraId="6127C063" w14:textId="77777777" w:rsidR="006019B1" w:rsidRPr="006019B1" w:rsidRDefault="006019B1" w:rsidP="006019B1">
      <w:pPr>
        <w:spacing w:after="0" w:line="240" w:lineRule="auto"/>
        <w:jc w:val="both"/>
        <w:rPr>
          <w:rFonts w:ascii="Verdana" w:eastAsia="Calibri" w:hAnsi="Verdana" w:cs="Times New Roman"/>
          <w:lang w:val="es-ES_tradnl"/>
        </w:rPr>
      </w:pPr>
    </w:p>
    <w:p w14:paraId="4D0C8D7A" w14:textId="77777777" w:rsidR="006019B1" w:rsidRPr="006019B1" w:rsidRDefault="006019B1" w:rsidP="006019B1">
      <w:pPr>
        <w:spacing w:after="0" w:line="240" w:lineRule="auto"/>
        <w:jc w:val="both"/>
        <w:rPr>
          <w:rFonts w:ascii="Verdana" w:eastAsia="Calibri" w:hAnsi="Verdana" w:cs="Times New Roman"/>
          <w:lang w:val="es-ES_tradnl"/>
        </w:rPr>
      </w:pPr>
    </w:p>
    <w:p w14:paraId="759C504B" w14:textId="77777777" w:rsidR="006019B1" w:rsidRPr="006019B1" w:rsidRDefault="006019B1" w:rsidP="006019B1">
      <w:pPr>
        <w:spacing w:after="0" w:line="240" w:lineRule="auto"/>
        <w:jc w:val="both"/>
        <w:rPr>
          <w:rFonts w:ascii="Verdana" w:eastAsia="Calibri" w:hAnsi="Verdana" w:cs="Times New Roman"/>
          <w:lang w:val="es-ES_tradnl"/>
        </w:rPr>
      </w:pPr>
    </w:p>
    <w:p w14:paraId="08C13853" w14:textId="77777777" w:rsidR="006019B1" w:rsidRPr="006019B1" w:rsidRDefault="006019B1" w:rsidP="006019B1">
      <w:pPr>
        <w:spacing w:after="0" w:line="240" w:lineRule="auto"/>
        <w:jc w:val="both"/>
        <w:rPr>
          <w:rFonts w:ascii="Verdana" w:eastAsia="Calibri" w:hAnsi="Verdana" w:cs="Times New Roman"/>
          <w:lang w:val="es-ES_tradnl"/>
        </w:rPr>
      </w:pPr>
    </w:p>
    <w:p w14:paraId="779A6AFE" w14:textId="77777777" w:rsidR="006019B1" w:rsidRPr="006019B1" w:rsidRDefault="006019B1" w:rsidP="006019B1">
      <w:pPr>
        <w:spacing w:after="0" w:line="240" w:lineRule="auto"/>
        <w:jc w:val="both"/>
        <w:rPr>
          <w:rFonts w:ascii="Verdana" w:eastAsia="Calibri" w:hAnsi="Verdana" w:cs="Times New Roman"/>
          <w:lang w:val="es-ES_tradnl"/>
        </w:rPr>
      </w:pPr>
    </w:p>
    <w:p w14:paraId="7A077DDE" w14:textId="77777777" w:rsidR="006019B1" w:rsidRPr="006019B1" w:rsidRDefault="006019B1" w:rsidP="006019B1">
      <w:pPr>
        <w:spacing w:after="0" w:line="240" w:lineRule="auto"/>
        <w:jc w:val="both"/>
        <w:rPr>
          <w:rFonts w:ascii="Verdana" w:eastAsia="Calibri" w:hAnsi="Verdana" w:cs="Times New Roman"/>
          <w:lang w:val="es-ES_tradnl"/>
        </w:rPr>
      </w:pPr>
    </w:p>
    <w:p w14:paraId="0C74A78F" w14:textId="77777777" w:rsidR="006019B1" w:rsidRPr="006019B1" w:rsidRDefault="006019B1" w:rsidP="006019B1">
      <w:pPr>
        <w:spacing w:after="0" w:line="240" w:lineRule="auto"/>
        <w:jc w:val="both"/>
        <w:rPr>
          <w:rFonts w:ascii="Verdana" w:eastAsia="Calibri" w:hAnsi="Verdana" w:cs="Times New Roman"/>
          <w:lang w:val="es-ES_tradnl"/>
        </w:rPr>
      </w:pPr>
    </w:p>
    <w:p w14:paraId="724CE0CD" w14:textId="77777777" w:rsidR="006019B1" w:rsidRPr="006019B1" w:rsidRDefault="006019B1" w:rsidP="006019B1">
      <w:pPr>
        <w:spacing w:after="0" w:line="240" w:lineRule="auto"/>
        <w:jc w:val="both"/>
        <w:rPr>
          <w:rFonts w:ascii="Verdana" w:eastAsia="Calibri" w:hAnsi="Verdana" w:cs="Times New Roman"/>
          <w:lang w:val="es-ES_tradnl"/>
        </w:rPr>
      </w:pPr>
    </w:p>
    <w:p w14:paraId="0A592019" w14:textId="77777777" w:rsidR="006019B1" w:rsidRPr="006019B1" w:rsidRDefault="006019B1" w:rsidP="006019B1">
      <w:pPr>
        <w:spacing w:after="0" w:line="240" w:lineRule="auto"/>
        <w:jc w:val="both"/>
        <w:rPr>
          <w:rFonts w:ascii="Verdana" w:eastAsia="Calibri" w:hAnsi="Verdana" w:cs="Times New Roman"/>
          <w:lang w:val="es-ES_tradnl"/>
        </w:rPr>
      </w:pPr>
    </w:p>
    <w:p w14:paraId="183109DE" w14:textId="77777777" w:rsidR="006019B1" w:rsidRPr="006019B1" w:rsidRDefault="006019B1" w:rsidP="006019B1">
      <w:pPr>
        <w:spacing w:after="0" w:line="240" w:lineRule="auto"/>
        <w:jc w:val="both"/>
        <w:rPr>
          <w:rFonts w:ascii="Verdana" w:eastAsia="Calibri" w:hAnsi="Verdana" w:cs="Times New Roman"/>
          <w:lang w:val="es-ES_tradnl"/>
        </w:rPr>
      </w:pPr>
    </w:p>
    <w:p w14:paraId="2C5458A0" w14:textId="77777777" w:rsidR="006019B1" w:rsidRPr="006019B1" w:rsidRDefault="006019B1" w:rsidP="006019B1">
      <w:pPr>
        <w:spacing w:after="0" w:line="240" w:lineRule="auto"/>
        <w:jc w:val="both"/>
        <w:rPr>
          <w:rFonts w:ascii="Verdana" w:eastAsia="Calibri" w:hAnsi="Verdana" w:cs="Times New Roman"/>
          <w:lang w:val="es-ES_tradnl"/>
        </w:rPr>
      </w:pPr>
    </w:p>
    <w:p w14:paraId="3AD8B6D6" w14:textId="77777777" w:rsidR="006019B1" w:rsidRPr="006019B1" w:rsidRDefault="006019B1" w:rsidP="006019B1">
      <w:pPr>
        <w:spacing w:after="0" w:line="240" w:lineRule="auto"/>
        <w:jc w:val="both"/>
        <w:rPr>
          <w:rFonts w:ascii="Verdana" w:eastAsia="Calibri" w:hAnsi="Verdana" w:cs="Times New Roman"/>
          <w:lang w:val="es-ES_tradnl"/>
        </w:rPr>
      </w:pPr>
    </w:p>
    <w:p w14:paraId="26EAF8E0" w14:textId="77777777" w:rsidR="006019B1" w:rsidRPr="006019B1" w:rsidRDefault="006019B1" w:rsidP="006019B1">
      <w:pPr>
        <w:spacing w:after="0" w:line="240" w:lineRule="auto"/>
        <w:jc w:val="both"/>
        <w:rPr>
          <w:rFonts w:ascii="Verdana" w:eastAsia="Calibri" w:hAnsi="Verdana" w:cs="Times New Roman"/>
          <w:lang w:val="es-ES_tradnl"/>
        </w:rPr>
      </w:pPr>
    </w:p>
    <w:p w14:paraId="3D2FA99A" w14:textId="77777777" w:rsidR="00C248BB" w:rsidRDefault="00C248BB" w:rsidP="006019B1">
      <w:pPr>
        <w:spacing w:after="0" w:line="240" w:lineRule="auto"/>
        <w:jc w:val="both"/>
        <w:rPr>
          <w:rFonts w:ascii="Verdana" w:eastAsia="Verdana" w:hAnsi="Verdana" w:cs="Verdana"/>
        </w:rPr>
      </w:pPr>
    </w:p>
    <w:p w14:paraId="1EF56AEA" w14:textId="77777777" w:rsidR="00C248BB" w:rsidRDefault="00C248BB" w:rsidP="006019B1">
      <w:pPr>
        <w:spacing w:after="0" w:line="240" w:lineRule="auto"/>
        <w:jc w:val="both"/>
        <w:rPr>
          <w:rFonts w:ascii="Verdana" w:eastAsia="Verdana" w:hAnsi="Verdana" w:cs="Verdana"/>
        </w:rPr>
      </w:pPr>
    </w:p>
    <w:p w14:paraId="2B971A44" w14:textId="77777777" w:rsidR="00C248BB" w:rsidRDefault="00C248BB" w:rsidP="006019B1">
      <w:pPr>
        <w:spacing w:after="0" w:line="240" w:lineRule="auto"/>
        <w:jc w:val="both"/>
        <w:rPr>
          <w:rFonts w:ascii="Verdana" w:eastAsia="Verdana" w:hAnsi="Verdana" w:cs="Verdana"/>
        </w:rPr>
      </w:pPr>
    </w:p>
    <w:p w14:paraId="089017AD" w14:textId="77777777" w:rsidR="00C248BB" w:rsidRDefault="00C248BB" w:rsidP="006019B1">
      <w:pPr>
        <w:spacing w:after="0" w:line="240" w:lineRule="auto"/>
        <w:jc w:val="both"/>
        <w:rPr>
          <w:rFonts w:ascii="Verdana" w:eastAsia="Verdana" w:hAnsi="Verdana" w:cs="Verdana"/>
        </w:rPr>
      </w:pPr>
    </w:p>
    <w:p w14:paraId="77CD6782" w14:textId="77777777" w:rsidR="00C248BB" w:rsidRDefault="00C248BB" w:rsidP="006019B1">
      <w:pPr>
        <w:spacing w:after="0" w:line="240" w:lineRule="auto"/>
        <w:jc w:val="both"/>
        <w:rPr>
          <w:rFonts w:ascii="Verdana" w:eastAsia="Verdana" w:hAnsi="Verdana" w:cs="Verdana"/>
        </w:rPr>
      </w:pPr>
    </w:p>
    <w:p w14:paraId="57F28AE5" w14:textId="77777777" w:rsidR="00C248BB" w:rsidRDefault="00C248BB" w:rsidP="006019B1">
      <w:pPr>
        <w:spacing w:after="0" w:line="240" w:lineRule="auto"/>
        <w:jc w:val="both"/>
        <w:rPr>
          <w:rFonts w:ascii="Verdana" w:eastAsia="Verdana" w:hAnsi="Verdana" w:cs="Verdana"/>
        </w:rPr>
      </w:pPr>
    </w:p>
    <w:p w14:paraId="1010D001" w14:textId="77777777" w:rsidR="00C248BB" w:rsidRDefault="00C248BB" w:rsidP="006019B1">
      <w:pPr>
        <w:spacing w:after="0" w:line="240" w:lineRule="auto"/>
        <w:jc w:val="both"/>
        <w:rPr>
          <w:rFonts w:ascii="Verdana" w:eastAsia="Verdana" w:hAnsi="Verdana" w:cs="Verdana"/>
        </w:rPr>
      </w:pPr>
    </w:p>
    <w:p w14:paraId="0C24E20D" w14:textId="77777777" w:rsidR="00C248BB" w:rsidRDefault="00C248BB" w:rsidP="006019B1">
      <w:pPr>
        <w:spacing w:after="0" w:line="240" w:lineRule="auto"/>
        <w:jc w:val="both"/>
        <w:rPr>
          <w:rFonts w:ascii="Verdana" w:eastAsia="Verdana" w:hAnsi="Verdana" w:cs="Verdana"/>
        </w:rPr>
      </w:pPr>
    </w:p>
    <w:p w14:paraId="2616790F" w14:textId="5C34573A" w:rsidR="006019B1" w:rsidRPr="00A34240" w:rsidRDefault="00E87283" w:rsidP="006019B1">
      <w:pPr>
        <w:spacing w:after="0" w:line="240" w:lineRule="auto"/>
        <w:jc w:val="both"/>
        <w:rPr>
          <w:rFonts w:ascii="Verdana" w:eastAsia="Verdana" w:hAnsi="Verdana" w:cs="Verdana"/>
        </w:rPr>
      </w:pPr>
      <w:r w:rsidRPr="30821638">
        <w:rPr>
          <w:rFonts w:ascii="Verdana" w:eastAsia="Verdana" w:hAnsi="Verdana" w:cs="Verdana"/>
        </w:rPr>
        <w:lastRenderedPageBreak/>
        <w:t xml:space="preserve">Bogotá D.C., </w:t>
      </w:r>
      <w:r w:rsidR="00A34240">
        <w:rPr>
          <w:rFonts w:ascii="Verdana" w:eastAsia="Verdana" w:hAnsi="Verdana" w:cs="Verdana"/>
        </w:rPr>
        <w:t xml:space="preserve">28 </w:t>
      </w:r>
      <w:proofErr w:type="gramStart"/>
      <w:r w:rsidR="00A34240">
        <w:rPr>
          <w:rFonts w:ascii="Verdana" w:eastAsia="Verdana" w:hAnsi="Verdana" w:cs="Verdana"/>
        </w:rPr>
        <w:t>Abril</w:t>
      </w:r>
      <w:proofErr w:type="gramEnd"/>
      <w:r w:rsidR="00A34240">
        <w:rPr>
          <w:rFonts w:ascii="Verdana" w:eastAsia="Verdana" w:hAnsi="Verdana" w:cs="Verdana"/>
        </w:rPr>
        <w:t xml:space="preserve"> 2026</w:t>
      </w:r>
    </w:p>
    <w:p w14:paraId="472EF7CF" w14:textId="37D2A7B6" w:rsidR="006019B1" w:rsidRPr="006019B1" w:rsidRDefault="00A34240" w:rsidP="00A34240">
      <w:pPr>
        <w:spacing w:after="0" w:line="240" w:lineRule="auto"/>
        <w:jc w:val="right"/>
        <w:rPr>
          <w:rFonts w:ascii="Verdana" w:eastAsia="Calibri" w:hAnsi="Verdana" w:cs="Arial"/>
          <w:lang w:val="es-ES_tradnl"/>
        </w:rPr>
      </w:pPr>
      <w:r w:rsidRPr="00A34240">
        <w:rPr>
          <w:rFonts w:ascii="Verdana" w:eastAsia="Calibri" w:hAnsi="Verdana" w:cs="Arial"/>
          <w:lang w:val="es-ES_tradnl"/>
        </w:rPr>
        <w:drawing>
          <wp:inline distT="0" distB="0" distL="0" distR="0" wp14:anchorId="2778BE38" wp14:editId="5E2640A9">
            <wp:extent cx="2457793" cy="704948"/>
            <wp:effectExtent l="0" t="0" r="0" b="0"/>
            <wp:docPr id="97776128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7761289" name=""/>
                    <pic:cNvPicPr/>
                  </pic:nvPicPr>
                  <pic:blipFill>
                    <a:blip r:embed="rId10"/>
                    <a:stretch>
                      <a:fillRect/>
                    </a:stretch>
                  </pic:blipFill>
                  <pic:spPr>
                    <a:xfrm>
                      <a:off x="0" y="0"/>
                      <a:ext cx="2457793" cy="704948"/>
                    </a:xfrm>
                    <a:prstGeom prst="rect">
                      <a:avLst/>
                    </a:prstGeom>
                  </pic:spPr>
                </pic:pic>
              </a:graphicData>
            </a:graphic>
          </wp:inline>
        </w:drawing>
      </w:r>
    </w:p>
    <w:p w14:paraId="6FE5A55A" w14:textId="77777777" w:rsidR="006019B1" w:rsidRPr="006019B1" w:rsidRDefault="006019B1" w:rsidP="006019B1">
      <w:pPr>
        <w:spacing w:after="0" w:line="240" w:lineRule="auto"/>
        <w:jc w:val="both"/>
        <w:rPr>
          <w:rFonts w:ascii="Verdana" w:eastAsia="Calibri" w:hAnsi="Verdana" w:cs="Arial"/>
          <w:lang w:val="es-ES_tradnl" w:eastAsia="es-ES"/>
        </w:rPr>
      </w:pPr>
      <w:r w:rsidRPr="006019B1">
        <w:rPr>
          <w:rFonts w:ascii="Verdana" w:eastAsia="Calibri" w:hAnsi="Verdana" w:cs="Arial"/>
          <w:lang w:val="es-ES_tradnl" w:eastAsia="es-ES"/>
        </w:rPr>
        <w:t>Señora</w:t>
      </w:r>
    </w:p>
    <w:p w14:paraId="58054FC6" w14:textId="77777777" w:rsidR="006019B1" w:rsidRPr="006019B1" w:rsidRDefault="006019B1" w:rsidP="38B08A2A">
      <w:pPr>
        <w:spacing w:after="0" w:line="240" w:lineRule="auto"/>
        <w:rPr>
          <w:rFonts w:ascii="Verdana" w:eastAsia="Calibri" w:hAnsi="Verdana" w:cs="Arial"/>
          <w:b/>
          <w:bCs/>
          <w:lang w:val="es-ES" w:eastAsia="es-ES"/>
        </w:rPr>
      </w:pPr>
      <w:r w:rsidRPr="38B08A2A">
        <w:rPr>
          <w:rFonts w:ascii="Verdana" w:eastAsia="Calibri" w:hAnsi="Verdana" w:cs="Arial"/>
          <w:b/>
          <w:bCs/>
          <w:lang w:val="es-ES" w:eastAsia="es-ES"/>
        </w:rPr>
        <w:t>María Elena Pérez Ovallos</w:t>
      </w:r>
    </w:p>
    <w:p w14:paraId="5ED2564A" w14:textId="77777777" w:rsidR="006019B1" w:rsidRPr="006019B1" w:rsidRDefault="006019B1" w:rsidP="006019B1">
      <w:pPr>
        <w:spacing w:after="0" w:line="240" w:lineRule="auto"/>
        <w:rPr>
          <w:rFonts w:ascii="Verdana" w:eastAsia="Calibri" w:hAnsi="Verdana" w:cs="Arial"/>
          <w:b/>
          <w:bCs/>
          <w:lang w:val="es-ES_tradnl" w:eastAsia="es-ES"/>
        </w:rPr>
      </w:pPr>
      <w:r w:rsidRPr="006019B1">
        <w:rPr>
          <w:rFonts w:ascii="Verdana" w:eastAsia="Calibri" w:hAnsi="Verdana" w:cs="Arial"/>
          <w:lang w:val="es-ES_tradnl" w:eastAsia="es-ES"/>
        </w:rPr>
        <w:t>Ciudad</w:t>
      </w:r>
    </w:p>
    <w:p w14:paraId="46453C49" w14:textId="77777777" w:rsidR="006019B1" w:rsidRPr="006019B1" w:rsidRDefault="006019B1" w:rsidP="006019B1">
      <w:pPr>
        <w:spacing w:after="0" w:line="240" w:lineRule="auto"/>
        <w:rPr>
          <w:rFonts w:ascii="Verdana" w:eastAsia="Calibri" w:hAnsi="Verdana" w:cs="Arial"/>
          <w:b/>
          <w:bCs/>
          <w:lang w:val="es-ES_tradnl" w:eastAsia="es-ES_tradnl"/>
        </w:rPr>
      </w:pPr>
    </w:p>
    <w:p w14:paraId="69268978" w14:textId="77777777" w:rsidR="006019B1" w:rsidRPr="006019B1" w:rsidRDefault="006019B1" w:rsidP="006019B1">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019B1" w:rsidRPr="006019B1" w14:paraId="0FF42886" w14:textId="77777777" w:rsidTr="00A0211B">
        <w:trPr>
          <w:trHeight w:val="884"/>
        </w:trPr>
        <w:tc>
          <w:tcPr>
            <w:tcW w:w="2689" w:type="dxa"/>
          </w:tcPr>
          <w:p w14:paraId="0674AF57" w14:textId="77777777" w:rsidR="006019B1" w:rsidRPr="006019B1" w:rsidRDefault="006019B1" w:rsidP="006019B1">
            <w:pPr>
              <w:jc w:val="both"/>
              <w:rPr>
                <w:rFonts w:ascii="Verdana" w:eastAsia="Calibri" w:hAnsi="Verdana" w:cs="Arial"/>
                <w:b/>
                <w:bCs/>
                <w:lang w:val="es-ES_tradnl" w:eastAsia="es-ES_tradnl"/>
              </w:rPr>
            </w:pPr>
          </w:p>
        </w:tc>
        <w:tc>
          <w:tcPr>
            <w:tcW w:w="6100" w:type="dxa"/>
          </w:tcPr>
          <w:p w14:paraId="457761EA" w14:textId="77777777" w:rsidR="006019B1" w:rsidRPr="006019B1" w:rsidRDefault="006019B1" w:rsidP="006019B1">
            <w:pPr>
              <w:jc w:val="both"/>
              <w:rPr>
                <w:rFonts w:ascii="Verdana" w:eastAsia="Calibri" w:hAnsi="Verdana" w:cs="Arial"/>
                <w:b/>
                <w:bCs/>
                <w:lang w:val="es-ES_tradnl" w:eastAsia="es-ES"/>
              </w:rPr>
            </w:pPr>
            <w:r w:rsidRPr="006019B1">
              <w:rPr>
                <w:rFonts w:ascii="Verdana" w:eastAsia="Calibri" w:hAnsi="Verdana" w:cs="Arial"/>
                <w:b/>
                <w:bCs/>
                <w:lang w:val="es-ES_tradnl" w:eastAsia="es-ES"/>
              </w:rPr>
              <w:t>Concepto C – 430 de 2026</w:t>
            </w:r>
          </w:p>
        </w:tc>
      </w:tr>
      <w:tr w:rsidR="006019B1" w:rsidRPr="006019B1" w14:paraId="5DF8B841" w14:textId="77777777" w:rsidTr="00A0211B">
        <w:trPr>
          <w:trHeight w:val="884"/>
        </w:trPr>
        <w:tc>
          <w:tcPr>
            <w:tcW w:w="2689" w:type="dxa"/>
          </w:tcPr>
          <w:p w14:paraId="24C36058" w14:textId="77777777" w:rsidR="006019B1" w:rsidRPr="006019B1" w:rsidRDefault="006019B1" w:rsidP="006019B1">
            <w:pPr>
              <w:jc w:val="both"/>
              <w:rPr>
                <w:rFonts w:ascii="Verdana" w:eastAsia="Calibri" w:hAnsi="Verdana" w:cs="Arial"/>
                <w:lang w:val="es-ES_tradnl" w:eastAsia="es-ES_tradnl"/>
              </w:rPr>
            </w:pPr>
            <w:r w:rsidRPr="006019B1">
              <w:rPr>
                <w:rFonts w:ascii="Verdana" w:eastAsia="Calibri" w:hAnsi="Verdana" w:cs="Arial"/>
                <w:b/>
                <w:lang w:val="es-ES_tradnl" w:eastAsia="es-ES_tradnl"/>
              </w:rPr>
              <w:t>Temas:</w:t>
            </w:r>
            <w:r w:rsidRPr="006019B1">
              <w:rPr>
                <w:rFonts w:ascii="Verdana" w:eastAsia="Calibri" w:hAnsi="Verdana" w:cs="Arial"/>
                <w:lang w:val="es-ES_tradnl" w:eastAsia="es-ES_tradnl"/>
              </w:rPr>
              <w:t xml:space="preserve">                   </w:t>
            </w:r>
          </w:p>
        </w:tc>
        <w:tc>
          <w:tcPr>
            <w:tcW w:w="6100" w:type="dxa"/>
          </w:tcPr>
          <w:p w14:paraId="7653C444" w14:textId="77777777" w:rsidR="006019B1" w:rsidRPr="006019B1" w:rsidRDefault="006019B1" w:rsidP="006019B1">
            <w:pPr>
              <w:tabs>
                <w:tab w:val="left" w:pos="709"/>
              </w:tabs>
              <w:adjustRightInd w:val="0"/>
              <w:snapToGrid w:val="0"/>
              <w:spacing w:line="276" w:lineRule="auto"/>
              <w:jc w:val="both"/>
              <w:rPr>
                <w:rFonts w:ascii="Verdana" w:eastAsia="Aptos" w:hAnsi="Verdana" w:cs="Arial"/>
                <w:lang w:val="es-ES_tradnl"/>
              </w:rPr>
            </w:pPr>
            <w:r w:rsidRPr="006019B1">
              <w:rPr>
                <w:rFonts w:ascii="Verdana" w:eastAsia="Calibri" w:hAnsi="Verdana" w:cs="Arial"/>
                <w:color w:val="000000"/>
                <w:lang w:val="es-ES" w:eastAsia="es-CO"/>
              </w:rPr>
              <w:t xml:space="preserve">INALTERABILIDAD – Documentos Tipo / INDUSTRIA NACIONAL – Puntaje adicional – Decreto 680 de 2021 / DOCUMENTOS TIPO DE INFRAESTRUCTURA SOCIAL – Apoyo a la industria nacional – Promoción de servicios nacionales o con trato nacional / </w:t>
            </w:r>
            <w:r w:rsidRPr="006019B1">
              <w:rPr>
                <w:rFonts w:ascii="Verdana" w:eastAsia="Aptos" w:hAnsi="Verdana" w:cs="Arial"/>
                <w:lang w:val="es-ES_tradnl"/>
              </w:rPr>
              <w:t>DOCUMENTOS TIPO DE INFRAESTRUCTURA SOCIAL – Matriz 4 – Bienes nacionales relevantes para la obra pública del sector social / DOCUMENTOS TIPO DE INFRAESTRUCTURA SOCIAL – Criterios de desempate – Oferta de bienes o servicios nacionales</w:t>
            </w:r>
          </w:p>
          <w:p w14:paraId="069D5CAB" w14:textId="77777777" w:rsidR="006019B1" w:rsidRPr="006019B1" w:rsidRDefault="006019B1" w:rsidP="006019B1">
            <w:pPr>
              <w:jc w:val="both"/>
              <w:rPr>
                <w:rFonts w:ascii="Verdana" w:eastAsia="Calibri" w:hAnsi="Verdana" w:cs="Times New Roman"/>
                <w:highlight w:val="yellow"/>
              </w:rPr>
            </w:pPr>
          </w:p>
        </w:tc>
      </w:tr>
      <w:tr w:rsidR="006019B1" w:rsidRPr="006019B1" w14:paraId="559CCDB7" w14:textId="77777777" w:rsidTr="00A0211B">
        <w:tc>
          <w:tcPr>
            <w:tcW w:w="2689" w:type="dxa"/>
          </w:tcPr>
          <w:p w14:paraId="29C16EEE" w14:textId="77777777" w:rsidR="006019B1" w:rsidRPr="006019B1" w:rsidRDefault="006019B1" w:rsidP="006019B1">
            <w:pPr>
              <w:jc w:val="both"/>
              <w:rPr>
                <w:rFonts w:ascii="Verdana" w:eastAsia="Calibri" w:hAnsi="Verdana" w:cs="Arial"/>
                <w:b/>
                <w:lang w:val="es-ES_tradnl" w:eastAsia="es-ES_tradnl"/>
              </w:rPr>
            </w:pPr>
            <w:r w:rsidRPr="006019B1">
              <w:rPr>
                <w:rFonts w:ascii="Verdana" w:eastAsia="Calibri" w:hAnsi="Verdana" w:cs="Arial"/>
                <w:b/>
                <w:lang w:val="es-ES_tradnl" w:eastAsia="es-ES_tradnl"/>
              </w:rPr>
              <w:t>Radicación:</w:t>
            </w:r>
            <w:r w:rsidRPr="006019B1">
              <w:rPr>
                <w:rFonts w:ascii="Verdana" w:eastAsia="Calibri" w:hAnsi="Verdana" w:cs="Arial"/>
                <w:lang w:val="es-ES_tradnl" w:eastAsia="es-ES_tradnl"/>
              </w:rPr>
              <w:t xml:space="preserve">               </w:t>
            </w:r>
          </w:p>
        </w:tc>
        <w:tc>
          <w:tcPr>
            <w:tcW w:w="6100" w:type="dxa"/>
          </w:tcPr>
          <w:p w14:paraId="7CC967B7" w14:textId="77777777" w:rsidR="006019B1" w:rsidRPr="006019B1" w:rsidRDefault="006019B1" w:rsidP="006019B1">
            <w:pPr>
              <w:jc w:val="both"/>
              <w:rPr>
                <w:rFonts w:ascii="Verdana" w:eastAsia="Calibri" w:hAnsi="Verdana" w:cs="Arial"/>
                <w:lang w:val="es-ES_tradnl" w:eastAsia="es-ES_tradnl"/>
              </w:rPr>
            </w:pPr>
            <w:r w:rsidRPr="006019B1">
              <w:rPr>
                <w:rFonts w:ascii="Verdana" w:eastAsia="Calibri" w:hAnsi="Verdana" w:cs="Arial"/>
                <w:lang w:val="es-ES_tradnl" w:eastAsia="es-ES_tradnl"/>
              </w:rPr>
              <w:t>Respuesta a consulta con radicado No. 1_2026_03_16_003663</w:t>
            </w:r>
          </w:p>
        </w:tc>
      </w:tr>
    </w:tbl>
    <w:p w14:paraId="7B8CD798" w14:textId="77777777" w:rsidR="006019B1" w:rsidRPr="006019B1" w:rsidRDefault="006019B1" w:rsidP="006019B1">
      <w:pPr>
        <w:spacing w:after="0" w:line="240" w:lineRule="auto"/>
        <w:jc w:val="both"/>
        <w:rPr>
          <w:rFonts w:ascii="Verdana" w:eastAsia="Calibri" w:hAnsi="Verdana" w:cs="Arial"/>
          <w:lang w:val="es-ES_tradnl" w:eastAsia="es-ES_tradnl"/>
        </w:rPr>
      </w:pPr>
    </w:p>
    <w:p w14:paraId="6537D48F" w14:textId="77777777" w:rsidR="006019B1" w:rsidRPr="006019B1" w:rsidRDefault="006019B1" w:rsidP="006019B1">
      <w:pPr>
        <w:spacing w:after="0" w:line="240" w:lineRule="auto"/>
        <w:jc w:val="both"/>
        <w:rPr>
          <w:rFonts w:ascii="Verdana" w:eastAsia="Calibri" w:hAnsi="Verdana" w:cs="Arial"/>
          <w:lang w:val="es-ES_tradnl" w:eastAsia="es-ES_tradnl"/>
        </w:rPr>
      </w:pPr>
    </w:p>
    <w:p w14:paraId="29E252FC" w14:textId="77777777" w:rsidR="006019B1" w:rsidRPr="006019B1" w:rsidRDefault="006019B1" w:rsidP="006019B1">
      <w:pPr>
        <w:spacing w:after="0" w:line="276" w:lineRule="auto"/>
        <w:jc w:val="both"/>
        <w:rPr>
          <w:rFonts w:ascii="Verdana" w:eastAsia="Calibri" w:hAnsi="Verdana" w:cs="Arial"/>
          <w:lang w:val="es-ES_tradnl" w:eastAsia="es-ES"/>
        </w:rPr>
      </w:pPr>
      <w:r w:rsidRPr="006019B1">
        <w:rPr>
          <w:rFonts w:ascii="Verdana" w:eastAsia="Calibri" w:hAnsi="Verdana" w:cs="Arial"/>
          <w:lang w:val="es-ES_tradnl" w:eastAsia="es-ES"/>
        </w:rPr>
        <w:t xml:space="preserve">Estimada señora Pérez Ovallos: </w:t>
      </w:r>
    </w:p>
    <w:p w14:paraId="6A9649A3" w14:textId="77777777" w:rsidR="006019B1" w:rsidRPr="006019B1" w:rsidRDefault="006019B1" w:rsidP="006019B1">
      <w:pPr>
        <w:tabs>
          <w:tab w:val="left" w:pos="3768"/>
        </w:tabs>
        <w:spacing w:after="0" w:line="276" w:lineRule="auto"/>
        <w:jc w:val="both"/>
        <w:rPr>
          <w:rFonts w:ascii="Verdana" w:eastAsia="Calibri" w:hAnsi="Verdana" w:cs="Arial"/>
          <w:lang w:val="es-ES_tradnl" w:eastAsia="es-ES"/>
        </w:rPr>
      </w:pPr>
      <w:r w:rsidRPr="006019B1">
        <w:rPr>
          <w:rFonts w:ascii="Verdana" w:eastAsia="Calibri" w:hAnsi="Verdana" w:cs="Arial"/>
          <w:lang w:val="es-ES_tradnl" w:eastAsia="es-ES"/>
        </w:rPr>
        <w:tab/>
      </w:r>
    </w:p>
    <w:p w14:paraId="2293E5FB" w14:textId="77777777" w:rsidR="006019B1" w:rsidRPr="006019B1" w:rsidRDefault="006019B1" w:rsidP="006019B1">
      <w:pPr>
        <w:spacing w:after="0" w:line="276" w:lineRule="auto"/>
        <w:jc w:val="both"/>
        <w:rPr>
          <w:rFonts w:ascii="Verdana" w:eastAsia="Calibri" w:hAnsi="Verdana" w:cs="Arial"/>
          <w:lang w:val="es-ES" w:eastAsia="es-ES"/>
        </w:rPr>
      </w:pPr>
      <w:r w:rsidRPr="006019B1">
        <w:rPr>
          <w:rFonts w:ascii="Verdana" w:eastAsia="Calibri" w:hAnsi="Verdana" w:cs="Arial"/>
          <w:lang w:val="es-ES" w:eastAsia="es-ES"/>
        </w:rPr>
        <w:t>En ejercicio de la competencia otorgada por los artículos 3, numeral 5º, y 11, numeral 8º, del Decreto Ley 4170 de 2011,</w:t>
      </w:r>
      <w:r w:rsidRPr="006019B1">
        <w:rPr>
          <w:rFonts w:ascii="Verdana" w:eastAsia="Arial MT" w:hAnsi="Verdana" w:cs="Arial MT"/>
          <w:lang w:val="es-ES" w:eastAsia="es-ES"/>
        </w:rPr>
        <w:t xml:space="preserve"> </w:t>
      </w:r>
      <w:r w:rsidRPr="006019B1">
        <w:rPr>
          <w:rFonts w:ascii="Verdana" w:eastAsia="Calibri" w:hAnsi="Verdana" w:cs="Arial"/>
          <w:lang w:val="es-ES"/>
        </w:rPr>
        <w:t xml:space="preserve">así como lo establecido la </w:t>
      </w:r>
      <w:r w:rsidRPr="006019B1">
        <w:rPr>
          <w:rFonts w:ascii="Verdana" w:eastAsia="Calibri" w:hAnsi="Verdana" w:cs="Arial"/>
          <w:lang w:eastAsia="es-MX"/>
        </w:rPr>
        <w:t xml:space="preserve">Resolución 469 de 2025 </w:t>
      </w:r>
      <w:r w:rsidRPr="006019B1">
        <w:rPr>
          <w:rFonts w:ascii="Verdana" w:eastAsia="Calibri" w:hAnsi="Verdana" w:cs="Arial"/>
          <w:lang w:val="es-ES"/>
        </w:rPr>
        <w:t xml:space="preserve">expedida por esta Entidad, </w:t>
      </w:r>
      <w:r w:rsidRPr="006019B1">
        <w:rPr>
          <w:rFonts w:ascii="Verdana" w:eastAsia="Calibri" w:hAnsi="Verdana" w:cs="Arial"/>
          <w:lang w:val="es-ES" w:eastAsia="es-ES"/>
        </w:rPr>
        <w:t>la Agencia Nacional de Contratación Pública –Colombia Compra Eficiente– responde su solicitud de consulta de fecha 16 de marzo de 2026. En relación con los documentos tipo, usted pregunta lo siguiente:</w:t>
      </w:r>
    </w:p>
    <w:p w14:paraId="1EEA9A03" w14:textId="77777777" w:rsidR="006019B1" w:rsidRPr="006019B1" w:rsidRDefault="006019B1" w:rsidP="006019B1">
      <w:pPr>
        <w:tabs>
          <w:tab w:val="left" w:pos="142"/>
          <w:tab w:val="left" w:pos="284"/>
        </w:tabs>
        <w:spacing w:line="276" w:lineRule="auto"/>
        <w:contextualSpacing/>
        <w:jc w:val="both"/>
        <w:rPr>
          <w:rFonts w:ascii="Verdana" w:eastAsia="Century Gothic" w:hAnsi="Verdana" w:cs="Century Gothic"/>
          <w:b/>
          <w:bCs/>
          <w:lang w:val="es-ES_tradnl"/>
        </w:rPr>
      </w:pPr>
    </w:p>
    <w:p w14:paraId="2923380A" w14:textId="77777777" w:rsidR="006019B1" w:rsidRPr="006019B1" w:rsidRDefault="006019B1" w:rsidP="006019B1">
      <w:pPr>
        <w:spacing w:after="0" w:line="240" w:lineRule="auto"/>
        <w:ind w:left="709" w:right="709"/>
        <w:jc w:val="both"/>
        <w:rPr>
          <w:rFonts w:ascii="Verdana" w:eastAsia="Century Gothic" w:hAnsi="Verdana" w:cs="Century Gothic"/>
          <w:sz w:val="21"/>
          <w:szCs w:val="21"/>
          <w:lang w:val="es-ES"/>
        </w:rPr>
      </w:pPr>
      <w:r w:rsidRPr="006019B1">
        <w:rPr>
          <w:rFonts w:ascii="Verdana" w:eastAsia="Century Gothic" w:hAnsi="Verdana" w:cs="Century Gothic"/>
          <w:sz w:val="21"/>
          <w:szCs w:val="21"/>
          <w:lang w:val="es-ES"/>
        </w:rPr>
        <w:lastRenderedPageBreak/>
        <w:t>“[…] me permito solicitar se oriente al Instituto Colombiano de Bienestar Familiar – Regional Tolima respecto a la aplicación de lo establecido en el numeral 5.1.4.1 “Preferencia a los bienes o servicios nacionales – criterio de desempate”, particularmente en relación con el diligenciamiento de la Matriz 4.</w:t>
      </w:r>
    </w:p>
    <w:p w14:paraId="47298E08" w14:textId="77777777" w:rsidR="006019B1" w:rsidRPr="006019B1" w:rsidRDefault="006019B1" w:rsidP="006019B1">
      <w:pPr>
        <w:spacing w:after="0" w:line="240" w:lineRule="auto"/>
        <w:ind w:left="709" w:right="709"/>
        <w:jc w:val="both"/>
        <w:rPr>
          <w:rFonts w:ascii="Verdana" w:eastAsia="Century Gothic" w:hAnsi="Verdana" w:cs="Century Gothic"/>
          <w:sz w:val="21"/>
          <w:szCs w:val="21"/>
          <w:lang w:val="es-ES"/>
        </w:rPr>
      </w:pPr>
    </w:p>
    <w:p w14:paraId="203A9DCD" w14:textId="77777777" w:rsidR="006019B1" w:rsidRPr="006019B1" w:rsidRDefault="006019B1" w:rsidP="006019B1">
      <w:pPr>
        <w:spacing w:after="0" w:line="240" w:lineRule="auto"/>
        <w:ind w:left="709" w:right="709"/>
        <w:jc w:val="both"/>
        <w:rPr>
          <w:rFonts w:ascii="Verdana" w:eastAsia="Century Gothic" w:hAnsi="Verdana" w:cs="Century Gothic"/>
          <w:sz w:val="21"/>
          <w:szCs w:val="21"/>
          <w:lang w:val="es-ES"/>
        </w:rPr>
      </w:pPr>
      <w:r w:rsidRPr="006019B1">
        <w:rPr>
          <w:rFonts w:ascii="Verdana" w:eastAsia="Century Gothic" w:hAnsi="Verdana" w:cs="Century Gothic"/>
          <w:sz w:val="21"/>
          <w:szCs w:val="21"/>
          <w:lang w:val="es-ES"/>
        </w:rPr>
        <w:t>En este sentido y teniendo en cuenta que se debe modificar toda la documentación de los procesos contractuales, agradecemos nos puedan brindar claridad frente a los criterios que deben considerarse para determinar el porcentaje de participación de bienes o servicios nacionales, teniendo en cuenta que el mismo no puede ser inferior al 40%, de acuerdo con lo establecido en los documentos tipo.</w:t>
      </w:r>
    </w:p>
    <w:p w14:paraId="03C49399" w14:textId="77777777" w:rsidR="006019B1" w:rsidRPr="006019B1" w:rsidRDefault="006019B1" w:rsidP="006019B1">
      <w:pPr>
        <w:spacing w:after="0" w:line="240" w:lineRule="auto"/>
        <w:ind w:left="709" w:right="709"/>
        <w:jc w:val="both"/>
        <w:rPr>
          <w:rFonts w:ascii="Verdana" w:eastAsia="Century Gothic" w:hAnsi="Verdana" w:cs="Century Gothic"/>
          <w:sz w:val="21"/>
          <w:szCs w:val="21"/>
          <w:lang w:val="es-ES"/>
        </w:rPr>
      </w:pPr>
    </w:p>
    <w:p w14:paraId="275F0B0F" w14:textId="77777777" w:rsidR="006019B1" w:rsidRPr="006019B1" w:rsidRDefault="006019B1" w:rsidP="006019B1">
      <w:pPr>
        <w:spacing w:after="0" w:line="240" w:lineRule="auto"/>
        <w:ind w:left="709" w:right="709"/>
        <w:jc w:val="both"/>
        <w:rPr>
          <w:rFonts w:ascii="Verdana" w:eastAsia="Century Gothic" w:hAnsi="Verdana" w:cs="Century Gothic"/>
          <w:sz w:val="21"/>
          <w:szCs w:val="21"/>
          <w:lang w:val="es-ES"/>
        </w:rPr>
      </w:pPr>
      <w:r w:rsidRPr="006019B1">
        <w:rPr>
          <w:rFonts w:ascii="Verdana" w:eastAsia="Century Gothic" w:hAnsi="Verdana" w:cs="Century Gothic"/>
          <w:sz w:val="21"/>
          <w:szCs w:val="21"/>
          <w:lang w:val="es-ES"/>
        </w:rPr>
        <w:t>Así mismo, solicitamos orientación sobre:</w:t>
      </w:r>
    </w:p>
    <w:p w14:paraId="0437F3F4" w14:textId="77777777" w:rsidR="006019B1" w:rsidRPr="006019B1" w:rsidRDefault="006019B1" w:rsidP="006019B1">
      <w:pPr>
        <w:spacing w:after="0" w:line="240" w:lineRule="auto"/>
        <w:ind w:left="709" w:right="709"/>
        <w:jc w:val="both"/>
        <w:rPr>
          <w:rFonts w:ascii="Verdana" w:eastAsia="Century Gothic" w:hAnsi="Verdana" w:cs="Century Gothic"/>
          <w:sz w:val="21"/>
          <w:szCs w:val="21"/>
          <w:lang w:val="es-ES"/>
        </w:rPr>
      </w:pPr>
    </w:p>
    <w:p w14:paraId="71967F46" w14:textId="77777777" w:rsidR="006019B1" w:rsidRPr="006019B1" w:rsidRDefault="006019B1" w:rsidP="006019B1">
      <w:pPr>
        <w:numPr>
          <w:ilvl w:val="0"/>
          <w:numId w:val="18"/>
        </w:numPr>
        <w:spacing w:after="0" w:line="240" w:lineRule="auto"/>
        <w:ind w:right="709"/>
        <w:contextualSpacing/>
        <w:jc w:val="both"/>
        <w:rPr>
          <w:rFonts w:ascii="Verdana" w:eastAsia="Century Gothic" w:hAnsi="Verdana" w:cs="Century Gothic"/>
          <w:sz w:val="21"/>
          <w:szCs w:val="21"/>
          <w:lang w:val="es-ES"/>
        </w:rPr>
      </w:pPr>
      <w:r w:rsidRPr="006019B1">
        <w:rPr>
          <w:rFonts w:ascii="Verdana" w:eastAsia="Century Gothic" w:hAnsi="Verdana" w:cs="Century Gothic"/>
          <w:sz w:val="21"/>
          <w:szCs w:val="21"/>
          <w:lang w:val="es-ES"/>
        </w:rPr>
        <w:t>La forma correcta de diligenciar la Matriz 4.</w:t>
      </w:r>
    </w:p>
    <w:p w14:paraId="359DA401" w14:textId="77777777" w:rsidR="006019B1" w:rsidRPr="006019B1" w:rsidRDefault="006019B1" w:rsidP="006019B1">
      <w:pPr>
        <w:numPr>
          <w:ilvl w:val="0"/>
          <w:numId w:val="18"/>
        </w:numPr>
        <w:spacing w:after="0" w:line="240" w:lineRule="auto"/>
        <w:ind w:right="709"/>
        <w:contextualSpacing/>
        <w:jc w:val="both"/>
        <w:rPr>
          <w:rFonts w:ascii="Verdana" w:eastAsia="Century Gothic" w:hAnsi="Verdana" w:cs="Century Gothic"/>
          <w:sz w:val="21"/>
          <w:szCs w:val="21"/>
          <w:lang w:val="es-ES"/>
        </w:rPr>
      </w:pPr>
      <w:r w:rsidRPr="006019B1">
        <w:rPr>
          <w:rFonts w:ascii="Verdana" w:eastAsia="Century Gothic" w:hAnsi="Verdana" w:cs="Century Gothic"/>
          <w:sz w:val="21"/>
          <w:szCs w:val="21"/>
          <w:lang w:val="es-ES"/>
        </w:rPr>
        <w:t>Los criterios técnicos o metodológicos que deben tenerse en cuenta para definir y justificar el porcentaje de bienes o servicios nacionales dentro del proceso.</w:t>
      </w:r>
    </w:p>
    <w:p w14:paraId="7BA992B3" w14:textId="77777777" w:rsidR="006019B1" w:rsidRPr="006019B1" w:rsidRDefault="006019B1" w:rsidP="006019B1">
      <w:pPr>
        <w:numPr>
          <w:ilvl w:val="0"/>
          <w:numId w:val="18"/>
        </w:numPr>
        <w:spacing w:after="0" w:line="240" w:lineRule="auto"/>
        <w:ind w:right="709"/>
        <w:contextualSpacing/>
        <w:jc w:val="both"/>
        <w:rPr>
          <w:rFonts w:ascii="Verdana" w:eastAsia="Century Gothic" w:hAnsi="Verdana" w:cs="Century Gothic"/>
          <w:sz w:val="21"/>
          <w:szCs w:val="21"/>
          <w:lang w:val="es-ES"/>
        </w:rPr>
      </w:pPr>
      <w:r w:rsidRPr="006019B1">
        <w:rPr>
          <w:rFonts w:ascii="Verdana" w:eastAsia="Century Gothic" w:hAnsi="Verdana" w:cs="Century Gothic"/>
          <w:sz w:val="21"/>
          <w:szCs w:val="21"/>
          <w:lang w:val="es-ES"/>
        </w:rPr>
        <w:t>Cualquier lineamiento o referencia normativa adicional que deba aplicarse para el adecuado cumplimiento de este requisito.</w:t>
      </w:r>
    </w:p>
    <w:p w14:paraId="336DE326" w14:textId="77777777" w:rsidR="006019B1" w:rsidRPr="006019B1" w:rsidRDefault="006019B1" w:rsidP="006019B1">
      <w:pPr>
        <w:spacing w:after="0" w:line="240" w:lineRule="auto"/>
        <w:ind w:left="709" w:right="709"/>
        <w:jc w:val="both"/>
        <w:rPr>
          <w:rFonts w:ascii="Verdana" w:eastAsia="Century Gothic" w:hAnsi="Verdana" w:cs="Century Gothic"/>
          <w:sz w:val="21"/>
          <w:szCs w:val="21"/>
          <w:lang w:val="es-ES"/>
        </w:rPr>
      </w:pPr>
    </w:p>
    <w:p w14:paraId="19B0080B" w14:textId="77777777" w:rsidR="006019B1" w:rsidRPr="006019B1" w:rsidRDefault="006019B1" w:rsidP="006019B1">
      <w:pPr>
        <w:spacing w:after="0" w:line="240" w:lineRule="auto"/>
        <w:ind w:left="709" w:right="709"/>
        <w:jc w:val="both"/>
        <w:rPr>
          <w:rFonts w:ascii="Verdana" w:eastAsia="Century Gothic" w:hAnsi="Verdana" w:cs="Century Gothic"/>
          <w:sz w:val="21"/>
          <w:szCs w:val="21"/>
          <w:lang w:val="es-ES"/>
        </w:rPr>
      </w:pPr>
      <w:r w:rsidRPr="006019B1">
        <w:rPr>
          <w:rFonts w:ascii="Verdana" w:eastAsia="Century Gothic" w:hAnsi="Verdana" w:cs="Century Gothic"/>
          <w:sz w:val="21"/>
          <w:szCs w:val="21"/>
          <w:lang w:val="es-ES"/>
        </w:rPr>
        <w:t>Lo anterior, con el fin de garantizar la correcta estructuración de los procesos contractual y el cumplimiento de la normativa aplicable”.</w:t>
      </w:r>
    </w:p>
    <w:p w14:paraId="11313C4E" w14:textId="77777777" w:rsidR="006019B1" w:rsidRPr="006019B1" w:rsidRDefault="006019B1" w:rsidP="006019B1">
      <w:pPr>
        <w:spacing w:after="0" w:line="276" w:lineRule="auto"/>
        <w:ind w:left="709" w:right="709"/>
        <w:jc w:val="both"/>
        <w:rPr>
          <w:rFonts w:ascii="Verdana" w:eastAsia="Century Gothic" w:hAnsi="Verdana" w:cs="Century Gothic"/>
          <w:lang w:val="es-ES_tradnl"/>
        </w:rPr>
      </w:pPr>
      <w:r w:rsidRPr="006019B1">
        <w:rPr>
          <w:rFonts w:ascii="Verdana" w:eastAsia="Century Gothic" w:hAnsi="Verdana" w:cs="Century Gothic"/>
          <w:sz w:val="20"/>
          <w:szCs w:val="20"/>
          <w:lang w:val="es-ES_tradnl"/>
        </w:rPr>
        <w:t xml:space="preserve">   </w:t>
      </w:r>
    </w:p>
    <w:p w14:paraId="28E3398E" w14:textId="77777777" w:rsidR="006019B1" w:rsidRPr="006019B1" w:rsidRDefault="006019B1" w:rsidP="006019B1">
      <w:pPr>
        <w:spacing w:after="120" w:line="276" w:lineRule="auto"/>
        <w:ind w:firstLine="709"/>
        <w:jc w:val="both"/>
        <w:rPr>
          <w:rFonts w:ascii="Verdana" w:eastAsia="Calibri" w:hAnsi="Verdana" w:cs="Arial"/>
          <w:lang w:val="es-ES" w:eastAsia="es-ES"/>
        </w:rPr>
      </w:pPr>
      <w:r w:rsidRPr="006019B1">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6019B1">
        <w:rPr>
          <w:rFonts w:ascii="Calibri" w:eastAsia="Calibri" w:hAnsi="Calibri" w:cs="Times New Roman"/>
        </w:rPr>
        <w:tab/>
      </w:r>
    </w:p>
    <w:p w14:paraId="3023BF6C" w14:textId="77777777" w:rsidR="006019B1" w:rsidRPr="006019B1" w:rsidRDefault="006019B1" w:rsidP="006019B1">
      <w:pPr>
        <w:snapToGrid w:val="0"/>
        <w:spacing w:after="0" w:line="276" w:lineRule="auto"/>
        <w:ind w:firstLine="709"/>
        <w:jc w:val="both"/>
        <w:rPr>
          <w:rFonts w:ascii="Verdana" w:eastAsia="Calibri" w:hAnsi="Verdana" w:cs="Arial"/>
          <w:lang w:val="es-ES_tradnl" w:eastAsia="es-ES"/>
        </w:rPr>
      </w:pPr>
      <w:r w:rsidRPr="006019B1">
        <w:rPr>
          <w:rFonts w:ascii="Verdana" w:eastAsia="Calibri" w:hAnsi="Verdana" w:cs="Arial"/>
          <w:lang w:val="es-ES_tradnl" w:eastAsia="es-ES"/>
        </w:rPr>
        <w:t xml:space="preserve">Conforme a lo expuesto, en aras de satisfacer el derecho fundamental de petición se resolverá su consulta dentro de los límites de la referida competencia consultiva, esto es, haciendo abstracción de las circunstancias particulares y </w:t>
      </w:r>
      <w:r w:rsidRPr="006019B1">
        <w:rPr>
          <w:rFonts w:ascii="Verdana" w:eastAsia="Calibri" w:hAnsi="Verdana" w:cs="Arial"/>
          <w:lang w:val="es-ES_tradnl" w:eastAsia="es-ES"/>
        </w:rPr>
        <w:lastRenderedPageBreak/>
        <w:t xml:space="preserve">concretas mencionadas en su petición, pero haciendo unas consideraciones sobre las normas generales relacionadas con el problema jurídico de su consulta. </w:t>
      </w:r>
    </w:p>
    <w:p w14:paraId="66736CF8" w14:textId="77777777" w:rsidR="006019B1" w:rsidRPr="006019B1" w:rsidRDefault="006019B1" w:rsidP="006019B1">
      <w:pPr>
        <w:snapToGrid w:val="0"/>
        <w:spacing w:after="0" w:line="276" w:lineRule="auto"/>
        <w:ind w:firstLine="709"/>
        <w:jc w:val="both"/>
        <w:rPr>
          <w:rFonts w:ascii="Verdana" w:eastAsia="Calibri" w:hAnsi="Verdana" w:cs="Arial"/>
          <w:lang w:val="es-ES_tradnl" w:eastAsia="es-ES"/>
        </w:rPr>
      </w:pPr>
    </w:p>
    <w:p w14:paraId="75286505" w14:textId="77777777" w:rsidR="006019B1" w:rsidRPr="006019B1" w:rsidRDefault="006019B1" w:rsidP="006019B1">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6019B1">
        <w:rPr>
          <w:rFonts w:ascii="Verdana" w:eastAsia="Century Gothic" w:hAnsi="Verdana" w:cs="Century Gothic"/>
          <w:b/>
          <w:bCs/>
          <w:lang w:val="es-ES_tradnl"/>
        </w:rPr>
        <w:t>Problema planteado:</w:t>
      </w:r>
    </w:p>
    <w:p w14:paraId="29B8657B" w14:textId="77777777" w:rsidR="006019B1" w:rsidRPr="006019B1" w:rsidRDefault="006019B1" w:rsidP="006019B1">
      <w:pPr>
        <w:tabs>
          <w:tab w:val="left" w:pos="426"/>
        </w:tabs>
        <w:snapToGrid w:val="0"/>
        <w:spacing w:after="0" w:line="276" w:lineRule="auto"/>
        <w:jc w:val="both"/>
        <w:rPr>
          <w:rFonts w:ascii="Verdana" w:eastAsia="Century Gothic" w:hAnsi="Verdana" w:cs="Century Gothic"/>
          <w:lang w:val="es-ES_tradnl"/>
        </w:rPr>
      </w:pPr>
    </w:p>
    <w:p w14:paraId="2219F27B" w14:textId="77777777" w:rsidR="006019B1" w:rsidRPr="006019B1" w:rsidRDefault="006019B1" w:rsidP="006019B1">
      <w:pPr>
        <w:snapToGrid w:val="0"/>
        <w:spacing w:after="0" w:line="276" w:lineRule="auto"/>
        <w:jc w:val="both"/>
        <w:rPr>
          <w:rFonts w:ascii="Verdana" w:eastAsia="Century Gothic" w:hAnsi="Verdana" w:cs="Century Gothic"/>
          <w:lang w:val="es-ES_tradnl"/>
        </w:rPr>
      </w:pPr>
      <w:r w:rsidRPr="006019B1">
        <w:rPr>
          <w:rFonts w:ascii="Verdana" w:eastAsia="Century Gothic" w:hAnsi="Verdana" w:cs="Century Gothic"/>
          <w:lang w:val="es-ES_tradnl"/>
        </w:rPr>
        <w:t>De acuerdo con el contenido de su solicitud, esta Agencia resolverá el siguiente problema jurídico: ¿cuál es el alcance de la “Matriz 4 – Bienes Nacionales relevantes” y de aquellos aspectos relacionados con la asignación del puntaje por Apoyo a la Industria Nacional en los documentos tipo de infraestructura social?</w:t>
      </w:r>
    </w:p>
    <w:p w14:paraId="58782782" w14:textId="77777777" w:rsidR="006019B1" w:rsidRPr="006019B1" w:rsidRDefault="006019B1" w:rsidP="006019B1">
      <w:pPr>
        <w:snapToGrid w:val="0"/>
        <w:spacing w:after="0" w:line="276" w:lineRule="auto"/>
        <w:jc w:val="both"/>
        <w:rPr>
          <w:rFonts w:ascii="Verdana" w:eastAsia="Century Gothic" w:hAnsi="Verdana" w:cs="Century Gothic"/>
          <w:lang w:val="es-ES_tradnl"/>
        </w:rPr>
      </w:pPr>
    </w:p>
    <w:p w14:paraId="1490835E" w14:textId="77777777" w:rsidR="006019B1" w:rsidRPr="006019B1" w:rsidRDefault="006019B1" w:rsidP="006019B1">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6019B1">
        <w:rPr>
          <w:rFonts w:ascii="Verdana" w:eastAsia="Century Gothic" w:hAnsi="Verdana" w:cs="Century Gothic"/>
          <w:b/>
          <w:bCs/>
          <w:lang w:val="es-ES_tradnl"/>
        </w:rPr>
        <w:t>Respuesta:</w:t>
      </w:r>
    </w:p>
    <w:p w14:paraId="070C5829" w14:textId="77777777" w:rsidR="006019B1" w:rsidRPr="006019B1" w:rsidRDefault="006019B1" w:rsidP="006019B1">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019B1" w:rsidRPr="006019B1" w14:paraId="4D15EFF2" w14:textId="77777777" w:rsidTr="00A0211B">
        <w:tc>
          <w:tcPr>
            <w:tcW w:w="8828" w:type="dxa"/>
          </w:tcPr>
          <w:p w14:paraId="7F9EDA68" w14:textId="77777777" w:rsidR="006019B1" w:rsidRPr="006019B1" w:rsidRDefault="006019B1" w:rsidP="006019B1">
            <w:pPr>
              <w:snapToGrid w:val="0"/>
              <w:spacing w:after="120" w:line="276" w:lineRule="auto"/>
              <w:jc w:val="both"/>
              <w:rPr>
                <w:rFonts w:ascii="Verdana" w:eastAsia="Calibri" w:hAnsi="Verdana" w:cs="Times New Roman"/>
                <w:lang w:val="es-ES" w:eastAsia="es-MX"/>
              </w:rPr>
            </w:pPr>
            <w:r w:rsidRPr="006019B1">
              <w:rPr>
                <w:rFonts w:ascii="Verdana" w:eastAsia="Calibri" w:hAnsi="Verdana" w:cs="Times New Roman"/>
                <w:lang w:val="es-ES" w:eastAsia="es-MX"/>
              </w:rPr>
              <w:t>Los documentos tipo del sector de infraestructura social fueron modificados mediante la Resolución No. 539 del 21 de agosto de 2025, “Por la cual se adopta la versión -2- de los documentos tipo para los procesos de selección de licitación de obra pública del sector de infraestructura social y se deroga la Resolución 219 de 2021; se adoptan los documento tipo complementarios para los procesos de licitación de obra pública de infraestructura social relacionados con los sectores de educación, salud, cultura, recreación y deporte – versión 2 y se derogan las Resoluciones 220, 392 y 454 de 2021; y se adoptan los documentos tipo complementarios para los procesos de licitación de obra pública de infraestructura social relacionados con los sectores institucional y vivienda”. Estos nuevos documentos tipo aplican a los procedimientos de selección de licitación de obra pública de infraestructura social en los sectores de educación, salud, cultura, recreación y deporte, institucional y vivienda, cuyo aviso de convocatoria sea publicado a partir del 16 de febrero de 2026.</w:t>
            </w:r>
          </w:p>
          <w:p w14:paraId="0C2DCCDB" w14:textId="77777777" w:rsidR="006019B1" w:rsidRPr="006019B1" w:rsidRDefault="006019B1" w:rsidP="006019B1">
            <w:pPr>
              <w:spacing w:line="276" w:lineRule="auto"/>
              <w:ind w:firstLine="709"/>
              <w:jc w:val="both"/>
              <w:rPr>
                <w:rFonts w:ascii="Verdana" w:eastAsia="Calibri" w:hAnsi="Verdana" w:cs="Arial"/>
                <w:color w:val="000000"/>
              </w:rPr>
            </w:pPr>
            <w:r w:rsidRPr="006019B1">
              <w:rPr>
                <w:rFonts w:ascii="Verdana" w:eastAsia="Calibri" w:hAnsi="Verdana" w:cs="Arial"/>
                <w:bCs/>
                <w:color w:val="000000"/>
                <w:lang w:val="es-ES_tradnl"/>
              </w:rPr>
              <w:t xml:space="preserve">Sobre el tema de consulta, conviene señalar que </w:t>
            </w:r>
            <w:r w:rsidRPr="006019B1">
              <w:rPr>
                <w:rFonts w:ascii="Verdana" w:eastAsia="Calibri" w:hAnsi="Verdana" w:cs="Arial"/>
                <w:color w:val="000000"/>
              </w:rPr>
              <w:t xml:space="preserve">el numeral 4.3 </w:t>
            </w:r>
            <w:r w:rsidRPr="006019B1">
              <w:rPr>
                <w:rFonts w:ascii="Verdana" w:eastAsia="Calibri" w:hAnsi="Verdana" w:cs="Arial"/>
                <w:i/>
                <w:iCs/>
                <w:color w:val="000000"/>
              </w:rPr>
              <w:t>“Apoyo a la Industria Nacional”</w:t>
            </w:r>
            <w:r w:rsidRPr="006019B1">
              <w:rPr>
                <w:rFonts w:ascii="Verdana" w:eastAsia="Calibri" w:hAnsi="Verdana" w:cs="Arial"/>
                <w:color w:val="000000"/>
              </w:rPr>
              <w:t xml:space="preserve"> del documento base de los referidos documentos tipo, establece dos (2) alternativas para la obtención del puntaje de apoyo a la industria nacional, así:</w:t>
            </w:r>
          </w:p>
          <w:p w14:paraId="5418B7D0" w14:textId="77777777" w:rsidR="006019B1" w:rsidRPr="006019B1" w:rsidRDefault="006019B1" w:rsidP="006019B1">
            <w:pPr>
              <w:spacing w:line="276" w:lineRule="auto"/>
              <w:ind w:firstLine="709"/>
              <w:jc w:val="both"/>
              <w:rPr>
                <w:rFonts w:ascii="Verdana" w:eastAsia="Calibri" w:hAnsi="Verdana" w:cs="Arial"/>
                <w:color w:val="000000"/>
              </w:rPr>
            </w:pPr>
          </w:p>
          <w:p w14:paraId="535080A0" w14:textId="77777777" w:rsidR="006019B1" w:rsidRDefault="006019B1" w:rsidP="006019B1">
            <w:pPr>
              <w:adjustRightInd w:val="0"/>
              <w:snapToGrid w:val="0"/>
              <w:ind w:left="709" w:right="709"/>
              <w:jc w:val="both"/>
              <w:rPr>
                <w:rFonts w:ascii="Verdana" w:eastAsia="Calibri" w:hAnsi="Verdana" w:cs="Arial"/>
                <w:color w:val="000000"/>
                <w:sz w:val="21"/>
                <w:szCs w:val="21"/>
                <w:lang w:val="es-MX"/>
              </w:rPr>
            </w:pPr>
            <w:r w:rsidRPr="006019B1">
              <w:rPr>
                <w:rFonts w:ascii="Verdana" w:eastAsia="Calibri" w:hAnsi="Verdana" w:cs="Arial"/>
                <w:color w:val="000000"/>
                <w:sz w:val="21"/>
                <w:szCs w:val="21"/>
                <w:lang w:val="es-MX"/>
              </w:rPr>
              <w:t>Los Proponentes pueden obtener puntaje de apoyo a la industria nacional por: i) Servicios Nacionales o con Trato Nacional o por ii) la incorporación de componente nacional en servicios extranjeros. La Entidad en ningún caso otorgará simultáneamente el puntaje por ambos aspectos.</w:t>
            </w:r>
          </w:p>
          <w:p w14:paraId="03C85457" w14:textId="77777777" w:rsidR="00E97E60" w:rsidRPr="006019B1" w:rsidRDefault="00E97E60" w:rsidP="006019B1">
            <w:pPr>
              <w:adjustRightInd w:val="0"/>
              <w:snapToGrid w:val="0"/>
              <w:ind w:left="709" w:right="709"/>
              <w:jc w:val="both"/>
              <w:rPr>
                <w:rFonts w:ascii="Verdana" w:eastAsia="Calibri" w:hAnsi="Verdana" w:cs="Arial"/>
                <w:color w:val="000000"/>
                <w:sz w:val="21"/>
                <w:szCs w:val="21"/>
                <w:lang w:val="es-MX"/>
              </w:rPr>
            </w:pPr>
          </w:p>
          <w:p w14:paraId="526360B3" w14:textId="77777777" w:rsidR="006019B1" w:rsidRPr="006019B1" w:rsidRDefault="006019B1" w:rsidP="006019B1">
            <w:pPr>
              <w:adjustRightInd w:val="0"/>
              <w:ind w:left="709" w:right="709"/>
              <w:jc w:val="both"/>
              <w:rPr>
                <w:rFonts w:ascii="Verdana" w:eastAsia="Calibri" w:hAnsi="Verdana" w:cs="Arial"/>
                <w:color w:val="000000"/>
                <w:sz w:val="21"/>
                <w:szCs w:val="21"/>
                <w:lang w:val="es-MX"/>
              </w:rPr>
            </w:pPr>
            <w:r w:rsidRPr="006019B1">
              <w:rPr>
                <w:rFonts w:ascii="Verdana" w:eastAsia="Calibri" w:hAnsi="Verdana" w:cs="Arial"/>
                <w:color w:val="000000"/>
                <w:sz w:val="21"/>
                <w:szCs w:val="21"/>
                <w:lang w:val="es-MX"/>
              </w:rPr>
              <w:t>Los puntajes para estimular a la industria nacional se relacionan en la siguiente tabla:</w:t>
            </w:r>
          </w:p>
          <w:tbl>
            <w:tblPr>
              <w:tblW w:w="45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70" w:type="dxa"/>
                <w:right w:w="70" w:type="dxa"/>
              </w:tblCellMar>
              <w:tblLook w:val="00A0" w:firstRow="1" w:lastRow="0" w:firstColumn="1" w:lastColumn="0" w:noHBand="0" w:noVBand="0"/>
            </w:tblPr>
            <w:tblGrid>
              <w:gridCol w:w="3140"/>
              <w:gridCol w:w="1398"/>
            </w:tblGrid>
            <w:tr w:rsidR="006019B1" w:rsidRPr="006019B1" w14:paraId="04F919E6" w14:textId="77777777" w:rsidTr="00A0211B">
              <w:trPr>
                <w:trHeight w:val="340"/>
                <w:tblHeader/>
                <w:jc w:val="center"/>
              </w:trPr>
              <w:tc>
                <w:tcPr>
                  <w:tcW w:w="3140" w:type="dxa"/>
                  <w:tcBorders>
                    <w:top w:val="double" w:sz="4" w:space="0" w:color="auto"/>
                    <w:left w:val="double" w:sz="4" w:space="0" w:color="auto"/>
                    <w:bottom w:val="single" w:sz="6" w:space="0" w:color="auto"/>
                    <w:right w:val="single" w:sz="6" w:space="0" w:color="auto"/>
                  </w:tcBorders>
                  <w:shd w:val="clear" w:color="auto" w:fill="3B3838"/>
                  <w:vAlign w:val="center"/>
                  <w:hideMark/>
                </w:tcPr>
                <w:p w14:paraId="4981A66B" w14:textId="77777777" w:rsidR="006019B1" w:rsidRPr="006019B1" w:rsidRDefault="006019B1" w:rsidP="006019B1">
                  <w:pPr>
                    <w:spacing w:after="0" w:line="276" w:lineRule="auto"/>
                    <w:jc w:val="center"/>
                    <w:rPr>
                      <w:rFonts w:ascii="Verdana" w:eastAsia="Times New Roman" w:hAnsi="Verdana" w:cs="Arial"/>
                      <w:b/>
                      <w:caps/>
                      <w:noProof/>
                      <w:sz w:val="19"/>
                      <w:szCs w:val="19"/>
                      <w:lang w:val="es-ES"/>
                    </w:rPr>
                  </w:pPr>
                  <w:r w:rsidRPr="006019B1">
                    <w:rPr>
                      <w:rFonts w:ascii="Verdana" w:eastAsia="Calibri" w:hAnsi="Verdana" w:cs="Arial"/>
                      <w:b/>
                      <w:bCs/>
                      <w:noProof/>
                      <w:sz w:val="19"/>
                      <w:szCs w:val="19"/>
                      <w:lang w:val="es-ES"/>
                    </w:rPr>
                    <w:t>Concepto</w:t>
                  </w:r>
                </w:p>
              </w:tc>
              <w:tc>
                <w:tcPr>
                  <w:tcW w:w="1398" w:type="dxa"/>
                  <w:tcBorders>
                    <w:top w:val="double" w:sz="4" w:space="0" w:color="auto"/>
                    <w:left w:val="single" w:sz="6" w:space="0" w:color="auto"/>
                    <w:bottom w:val="single" w:sz="6" w:space="0" w:color="auto"/>
                    <w:right w:val="double" w:sz="4" w:space="0" w:color="auto"/>
                  </w:tcBorders>
                  <w:shd w:val="clear" w:color="auto" w:fill="3B3838"/>
                  <w:vAlign w:val="center"/>
                  <w:hideMark/>
                </w:tcPr>
                <w:p w14:paraId="0DDA2639" w14:textId="77777777" w:rsidR="006019B1" w:rsidRPr="006019B1" w:rsidRDefault="006019B1" w:rsidP="006019B1">
                  <w:pPr>
                    <w:spacing w:after="0" w:line="276" w:lineRule="auto"/>
                    <w:jc w:val="center"/>
                    <w:rPr>
                      <w:rFonts w:ascii="Verdana" w:eastAsia="Times New Roman" w:hAnsi="Verdana" w:cs="Arial"/>
                      <w:b/>
                      <w:caps/>
                      <w:noProof/>
                      <w:sz w:val="19"/>
                      <w:szCs w:val="19"/>
                      <w:lang w:val="es-ES"/>
                    </w:rPr>
                  </w:pPr>
                  <w:r w:rsidRPr="006019B1">
                    <w:rPr>
                      <w:rFonts w:ascii="Verdana" w:eastAsia="Calibri" w:hAnsi="Verdana" w:cs="Arial"/>
                      <w:b/>
                      <w:bCs/>
                      <w:noProof/>
                      <w:sz w:val="19"/>
                      <w:szCs w:val="19"/>
                      <w:lang w:val="es-ES"/>
                    </w:rPr>
                    <w:t>Puntaje</w:t>
                  </w:r>
                </w:p>
              </w:tc>
            </w:tr>
            <w:tr w:rsidR="006019B1" w:rsidRPr="006019B1" w14:paraId="1AD985A1" w14:textId="77777777" w:rsidTr="00A0211B">
              <w:trPr>
                <w:trHeight w:val="20"/>
                <w:jc w:val="center"/>
              </w:trPr>
              <w:tc>
                <w:tcPr>
                  <w:tcW w:w="3140" w:type="dxa"/>
                  <w:tcBorders>
                    <w:top w:val="single" w:sz="6" w:space="0" w:color="auto"/>
                    <w:left w:val="double" w:sz="4" w:space="0" w:color="auto"/>
                    <w:bottom w:val="single" w:sz="6" w:space="0" w:color="auto"/>
                    <w:right w:val="single" w:sz="6" w:space="0" w:color="auto"/>
                  </w:tcBorders>
                  <w:vAlign w:val="center"/>
                  <w:hideMark/>
                </w:tcPr>
                <w:p w14:paraId="63634114" w14:textId="77777777" w:rsidR="006019B1" w:rsidRPr="006019B1" w:rsidRDefault="006019B1" w:rsidP="006019B1">
                  <w:pPr>
                    <w:spacing w:after="0" w:line="276" w:lineRule="auto"/>
                    <w:jc w:val="both"/>
                    <w:rPr>
                      <w:rFonts w:ascii="Verdana" w:eastAsia="Times New Roman" w:hAnsi="Verdana" w:cs="Arial"/>
                      <w:caps/>
                      <w:sz w:val="19"/>
                      <w:szCs w:val="19"/>
                      <w:lang w:val="es-ES"/>
                    </w:rPr>
                  </w:pPr>
                  <w:r w:rsidRPr="006019B1">
                    <w:rPr>
                      <w:rFonts w:ascii="Verdana" w:eastAsia="Times New Roman" w:hAnsi="Verdana" w:cs="Arial"/>
                      <w:sz w:val="19"/>
                      <w:szCs w:val="19"/>
                      <w:lang w:val="es-ES"/>
                    </w:rPr>
                    <w:t>Promoción de Servicios Nacionales o con Trato Nacional</w:t>
                  </w:r>
                </w:p>
              </w:tc>
              <w:tc>
                <w:tcPr>
                  <w:tcW w:w="1398" w:type="dxa"/>
                  <w:tcBorders>
                    <w:top w:val="single" w:sz="6" w:space="0" w:color="auto"/>
                    <w:left w:val="single" w:sz="6" w:space="0" w:color="auto"/>
                    <w:bottom w:val="single" w:sz="6" w:space="0" w:color="auto"/>
                    <w:right w:val="double" w:sz="4" w:space="0" w:color="auto"/>
                  </w:tcBorders>
                  <w:vAlign w:val="center"/>
                  <w:hideMark/>
                </w:tcPr>
                <w:p w14:paraId="71C482C4" w14:textId="77777777" w:rsidR="006019B1" w:rsidRPr="006019B1" w:rsidRDefault="006019B1" w:rsidP="006019B1">
                  <w:pPr>
                    <w:spacing w:after="0" w:line="276" w:lineRule="auto"/>
                    <w:jc w:val="center"/>
                    <w:rPr>
                      <w:rFonts w:ascii="Verdana" w:eastAsia="Times New Roman" w:hAnsi="Verdana" w:cs="Arial"/>
                      <w:caps/>
                      <w:sz w:val="19"/>
                      <w:szCs w:val="19"/>
                      <w:lang w:val="es-ES"/>
                    </w:rPr>
                  </w:pPr>
                  <w:r w:rsidRPr="006019B1">
                    <w:rPr>
                      <w:rFonts w:ascii="Verdana" w:eastAsia="Times New Roman" w:hAnsi="Verdana" w:cs="Arial"/>
                      <w:sz w:val="19"/>
                      <w:szCs w:val="19"/>
                      <w:lang w:val="es-ES"/>
                    </w:rPr>
                    <w:t>20</w:t>
                  </w:r>
                </w:p>
              </w:tc>
            </w:tr>
            <w:tr w:rsidR="006019B1" w:rsidRPr="006019B1" w14:paraId="34922EFE" w14:textId="77777777" w:rsidTr="00A0211B">
              <w:trPr>
                <w:trHeight w:val="20"/>
                <w:jc w:val="center"/>
              </w:trPr>
              <w:tc>
                <w:tcPr>
                  <w:tcW w:w="3140" w:type="dxa"/>
                  <w:tcBorders>
                    <w:top w:val="single" w:sz="6" w:space="0" w:color="auto"/>
                    <w:left w:val="double" w:sz="4" w:space="0" w:color="auto"/>
                    <w:bottom w:val="double" w:sz="4" w:space="0" w:color="auto"/>
                    <w:right w:val="single" w:sz="6" w:space="0" w:color="auto"/>
                  </w:tcBorders>
                  <w:vAlign w:val="center"/>
                  <w:hideMark/>
                </w:tcPr>
                <w:p w14:paraId="25E81EAC" w14:textId="77777777" w:rsidR="006019B1" w:rsidRPr="006019B1" w:rsidRDefault="006019B1" w:rsidP="006019B1">
                  <w:pPr>
                    <w:spacing w:after="0" w:line="276" w:lineRule="auto"/>
                    <w:jc w:val="both"/>
                    <w:rPr>
                      <w:rFonts w:ascii="Verdana" w:eastAsia="Times New Roman" w:hAnsi="Verdana" w:cs="Arial"/>
                      <w:caps/>
                      <w:noProof/>
                      <w:sz w:val="19"/>
                      <w:szCs w:val="19"/>
                      <w:lang w:val="es-ES"/>
                    </w:rPr>
                  </w:pPr>
                  <w:r w:rsidRPr="006019B1">
                    <w:rPr>
                      <w:rFonts w:ascii="Verdana" w:eastAsia="Times New Roman" w:hAnsi="Verdana" w:cs="Arial"/>
                      <w:noProof/>
                      <w:sz w:val="19"/>
                      <w:szCs w:val="19"/>
                      <w:lang w:val="es-ES"/>
                    </w:rPr>
                    <w:t>Incorporación de componente nacional en servicios extranjeros</w:t>
                  </w:r>
                </w:p>
              </w:tc>
              <w:tc>
                <w:tcPr>
                  <w:tcW w:w="1398" w:type="dxa"/>
                  <w:tcBorders>
                    <w:top w:val="single" w:sz="6" w:space="0" w:color="auto"/>
                    <w:left w:val="single" w:sz="6" w:space="0" w:color="auto"/>
                    <w:bottom w:val="double" w:sz="4" w:space="0" w:color="auto"/>
                    <w:right w:val="double" w:sz="4" w:space="0" w:color="auto"/>
                  </w:tcBorders>
                  <w:vAlign w:val="center"/>
                  <w:hideMark/>
                </w:tcPr>
                <w:p w14:paraId="54ED7444" w14:textId="77777777" w:rsidR="006019B1" w:rsidRPr="006019B1" w:rsidRDefault="006019B1" w:rsidP="006019B1">
                  <w:pPr>
                    <w:spacing w:after="0" w:line="276" w:lineRule="auto"/>
                    <w:jc w:val="center"/>
                    <w:rPr>
                      <w:rFonts w:ascii="Verdana" w:eastAsia="Times New Roman" w:hAnsi="Verdana" w:cs="Arial"/>
                      <w:caps/>
                      <w:noProof/>
                      <w:sz w:val="19"/>
                      <w:szCs w:val="19"/>
                      <w:lang w:val="es-ES"/>
                    </w:rPr>
                  </w:pPr>
                  <w:r w:rsidRPr="006019B1">
                    <w:rPr>
                      <w:rFonts w:ascii="Verdana" w:eastAsia="Times New Roman" w:hAnsi="Verdana" w:cs="Arial"/>
                      <w:noProof/>
                      <w:sz w:val="19"/>
                      <w:szCs w:val="19"/>
                      <w:lang w:val="es-ES"/>
                    </w:rPr>
                    <w:t>5</w:t>
                  </w:r>
                </w:p>
              </w:tc>
            </w:tr>
          </w:tbl>
          <w:p w14:paraId="67219B64" w14:textId="77777777" w:rsidR="006019B1" w:rsidRPr="006019B1" w:rsidRDefault="006019B1" w:rsidP="006019B1">
            <w:pPr>
              <w:spacing w:line="276" w:lineRule="auto"/>
              <w:jc w:val="both"/>
              <w:rPr>
                <w:rFonts w:ascii="Verdana" w:eastAsia="Calibri" w:hAnsi="Verdana" w:cs="Arial"/>
                <w:color w:val="000000"/>
              </w:rPr>
            </w:pPr>
          </w:p>
          <w:p w14:paraId="0F53325C" w14:textId="77777777" w:rsidR="006019B1" w:rsidRPr="006019B1" w:rsidRDefault="006019B1" w:rsidP="006019B1">
            <w:pPr>
              <w:tabs>
                <w:tab w:val="left" w:pos="709"/>
              </w:tabs>
              <w:spacing w:after="120" w:line="276" w:lineRule="auto"/>
              <w:ind w:firstLine="709"/>
              <w:jc w:val="both"/>
              <w:rPr>
                <w:rFonts w:ascii="Verdana" w:eastAsia="Calibri" w:hAnsi="Verdana" w:cs="Arial"/>
                <w:bCs/>
                <w:color w:val="000000"/>
                <w:sz w:val="21"/>
                <w:szCs w:val="21"/>
                <w:lang w:val="es-ES_tradnl"/>
              </w:rPr>
            </w:pPr>
            <w:r w:rsidRPr="006019B1">
              <w:rPr>
                <w:rFonts w:ascii="Verdana" w:eastAsia="Calibri" w:hAnsi="Verdana" w:cs="Arial"/>
                <w:color w:val="000000"/>
              </w:rPr>
              <w:t xml:space="preserve">Asimismo, el numeral 4.3.1 </w:t>
            </w:r>
            <w:r w:rsidRPr="006019B1">
              <w:rPr>
                <w:rFonts w:ascii="Verdana" w:eastAsia="Calibri" w:hAnsi="Verdana" w:cs="Arial"/>
                <w:i/>
                <w:iCs/>
                <w:color w:val="000000"/>
              </w:rPr>
              <w:t>ibidem</w:t>
            </w:r>
            <w:r w:rsidRPr="006019B1">
              <w:rPr>
                <w:rFonts w:ascii="Verdana" w:eastAsia="Calibri" w:hAnsi="Verdana" w:cs="Arial"/>
              </w:rPr>
              <w:t xml:space="preserve"> </w:t>
            </w:r>
            <w:r w:rsidRPr="006019B1">
              <w:rPr>
                <w:rFonts w:ascii="Verdana" w:eastAsia="Calibri" w:hAnsi="Verdana" w:cs="Arial"/>
                <w:i/>
                <w:iCs/>
                <w:color w:val="000000"/>
              </w:rPr>
              <w:t>“Promoción de Servicios Nacionales o con Trato Nacional”</w:t>
            </w:r>
            <w:r w:rsidRPr="006019B1">
              <w:rPr>
                <w:rFonts w:ascii="Verdana" w:eastAsia="Calibri" w:hAnsi="Verdana" w:cs="Arial"/>
                <w:color w:val="000000"/>
                <w:lang w:val="es-ES"/>
              </w:rPr>
              <w:t xml:space="preserve">, explica cómo el proponente se hace acreedor para el otorgamiento del puntaje por “Promoción de Servicios Nacionales o con Trato Nacional” y las reglas que las entidades deben tener en cuenta para definir el porcentaje de empleados o contratistas por prestación de servicios colombianos. </w:t>
            </w:r>
          </w:p>
          <w:p w14:paraId="05BF9D89" w14:textId="77777777" w:rsidR="006019B1" w:rsidRPr="006019B1" w:rsidRDefault="006019B1" w:rsidP="006019B1">
            <w:pPr>
              <w:tabs>
                <w:tab w:val="left" w:pos="709"/>
              </w:tabs>
              <w:adjustRightInd w:val="0"/>
              <w:snapToGrid w:val="0"/>
              <w:spacing w:after="120" w:line="276" w:lineRule="auto"/>
              <w:ind w:firstLine="709"/>
              <w:jc w:val="both"/>
              <w:rPr>
                <w:rFonts w:ascii="Verdana" w:eastAsia="Calibri" w:hAnsi="Verdana" w:cs="Arial"/>
                <w:bCs/>
                <w:color w:val="000000"/>
                <w:lang w:val="es-ES_tradnl"/>
              </w:rPr>
            </w:pPr>
            <w:r w:rsidRPr="006019B1">
              <w:rPr>
                <w:rFonts w:ascii="Verdana" w:eastAsia="Calibri" w:hAnsi="Verdana" w:cs="Arial"/>
                <w:bCs/>
                <w:color w:val="000000"/>
                <w:lang w:val="es-ES_tradnl"/>
              </w:rPr>
              <w:t xml:space="preserve">Ahora bien, es importante precisar que, tratándose de la </w:t>
            </w:r>
            <w:r w:rsidRPr="006019B1">
              <w:rPr>
                <w:rFonts w:ascii="Verdana" w:eastAsia="Calibri" w:hAnsi="Verdana" w:cs="Arial"/>
                <w:i/>
                <w:iCs/>
                <w:color w:val="000000"/>
              </w:rPr>
              <w:t xml:space="preserve">“Promoción de Servicios Nacionales o con Trato Nacional”, </w:t>
            </w:r>
            <w:r w:rsidRPr="006019B1">
              <w:rPr>
                <w:rFonts w:ascii="Verdana" w:eastAsia="Calibri" w:hAnsi="Verdana" w:cs="Arial"/>
                <w:bCs/>
                <w:color w:val="000000"/>
                <w:lang w:val="es-ES_tradnl"/>
              </w:rPr>
              <w:t>para determinar uno o varios bienes nacionales relevantes, la Entidad Estatal debe aplicar los criterios establecidos en el artículo 2.2.1.2.4.2.9 del Decreto 1082 de 2015, lo cual constará en los estudios y documentos previos y en las reglas definidas en la “Matriz 4 – Bienes nacionales relevantes para la obra pública del sector social”.</w:t>
            </w:r>
          </w:p>
          <w:p w14:paraId="230B4765" w14:textId="77777777" w:rsidR="006019B1" w:rsidRPr="006019B1" w:rsidRDefault="006019B1" w:rsidP="006019B1">
            <w:pPr>
              <w:tabs>
                <w:tab w:val="left" w:pos="709"/>
              </w:tabs>
              <w:adjustRightInd w:val="0"/>
              <w:snapToGrid w:val="0"/>
              <w:spacing w:line="276" w:lineRule="auto"/>
              <w:ind w:firstLine="709"/>
              <w:jc w:val="both"/>
              <w:rPr>
                <w:rFonts w:ascii="Verdana" w:eastAsia="Calibri" w:hAnsi="Verdana" w:cs="Arial"/>
                <w:color w:val="000000"/>
              </w:rPr>
            </w:pPr>
            <w:r w:rsidRPr="006019B1">
              <w:rPr>
                <w:rFonts w:ascii="Verdana" w:eastAsia="Calibri" w:hAnsi="Verdana" w:cs="Arial"/>
                <w:bCs/>
                <w:color w:val="000000"/>
                <w:lang w:val="es-ES_tradnl"/>
              </w:rPr>
              <w:t xml:space="preserve">El documento base de licitación de infraestructura social contempla dos (2) opciones para la asignación del puntaje correspondiente a la </w:t>
            </w:r>
            <w:r w:rsidRPr="006019B1">
              <w:rPr>
                <w:rFonts w:ascii="Verdana" w:eastAsia="Calibri" w:hAnsi="Verdana" w:cs="Arial"/>
                <w:i/>
                <w:iCs/>
                <w:color w:val="000000"/>
              </w:rPr>
              <w:t xml:space="preserve">“Promoción de Servicios Nacionales o con Trato Nacional”, </w:t>
            </w:r>
            <w:r w:rsidRPr="006019B1">
              <w:rPr>
                <w:rFonts w:ascii="Verdana" w:eastAsia="Calibri" w:hAnsi="Verdana" w:cs="Arial"/>
                <w:color w:val="000000"/>
              </w:rPr>
              <w:t>que dependen de si se logran identificar bienes relevantes registrados en el Registro de Productores de Bienes Nacionales. Estas opciones se consagran en el numeral 4.3.1 del documento base, así:</w:t>
            </w:r>
          </w:p>
          <w:p w14:paraId="02BEB122" w14:textId="77777777" w:rsidR="006019B1" w:rsidRPr="006019B1" w:rsidRDefault="006019B1" w:rsidP="006019B1">
            <w:pPr>
              <w:tabs>
                <w:tab w:val="left" w:pos="709"/>
              </w:tabs>
              <w:adjustRightInd w:val="0"/>
              <w:snapToGrid w:val="0"/>
              <w:spacing w:line="276" w:lineRule="auto"/>
              <w:jc w:val="both"/>
              <w:rPr>
                <w:rFonts w:ascii="Verdana" w:eastAsia="Calibri" w:hAnsi="Verdana" w:cs="Arial"/>
                <w:bCs/>
                <w:color w:val="000000"/>
                <w:lang w:val="es-ES_tradnl"/>
              </w:rPr>
            </w:pPr>
          </w:p>
          <w:p w14:paraId="689E04BF" w14:textId="77777777" w:rsidR="006019B1" w:rsidRPr="006019B1" w:rsidRDefault="006019B1" w:rsidP="006019B1">
            <w:pPr>
              <w:adjustRightInd w:val="0"/>
              <w:snapToGrid w:val="0"/>
              <w:ind w:left="709" w:right="709"/>
              <w:jc w:val="both"/>
              <w:rPr>
                <w:rFonts w:ascii="Verdana" w:eastAsia="Aptos" w:hAnsi="Verdana" w:cs="Arial"/>
                <w:sz w:val="21"/>
                <w:szCs w:val="21"/>
                <w:highlight w:val="lightGray"/>
                <w:lang w:val="es-ES_tradnl"/>
              </w:rPr>
            </w:pPr>
            <w:r w:rsidRPr="006019B1">
              <w:rPr>
                <w:rFonts w:ascii="Verdana" w:eastAsia="Aptos" w:hAnsi="Verdana" w:cs="Times New Roman"/>
                <w:sz w:val="21"/>
                <w:szCs w:val="21"/>
                <w:lang w:val="es-MX"/>
              </w:rPr>
              <w:t>“</w:t>
            </w:r>
            <w:r w:rsidRPr="006019B1">
              <w:rPr>
                <w:rFonts w:ascii="Verdana" w:eastAsia="Aptos" w:hAnsi="Verdana" w:cs="Arial"/>
                <w:b/>
                <w:bCs/>
                <w:sz w:val="21"/>
                <w:szCs w:val="21"/>
                <w:highlight w:val="lightGray"/>
                <w:lang w:val="es-ES_tradnl"/>
              </w:rPr>
              <w:t>[Opción 1</w:t>
            </w:r>
            <w:r w:rsidRPr="006019B1">
              <w:rPr>
                <w:rFonts w:ascii="Verdana" w:eastAsia="Aptos" w:hAnsi="Verdana" w:cs="Arial"/>
                <w:sz w:val="21"/>
                <w:szCs w:val="21"/>
                <w:highlight w:val="lightGray"/>
                <w:lang w:val="es-ES_tradnl"/>
              </w:rPr>
              <w:t>. Si la Entidad luego de aplicar la metodología para identificar los bienes nacionales relevantes prevista en la Matriz 4, determina uno o varios bienes nacionales relevantes para el Proceso de Contratación, incluirá los siguientes párrafos:]</w:t>
            </w:r>
          </w:p>
          <w:p w14:paraId="1128F15A" w14:textId="77777777" w:rsidR="006019B1" w:rsidRPr="006019B1" w:rsidRDefault="006019B1" w:rsidP="006019B1">
            <w:pPr>
              <w:adjustRightInd w:val="0"/>
              <w:snapToGrid w:val="0"/>
              <w:ind w:left="709" w:right="709"/>
              <w:jc w:val="both"/>
              <w:rPr>
                <w:rFonts w:ascii="Verdana" w:eastAsia="Aptos" w:hAnsi="Verdana" w:cs="Arial"/>
                <w:color w:val="000000"/>
                <w:sz w:val="21"/>
                <w:szCs w:val="21"/>
                <w:highlight w:val="lightGray"/>
                <w:lang w:val="es-ES_tradnl"/>
              </w:rPr>
            </w:pPr>
          </w:p>
          <w:p w14:paraId="6ABFCBA1" w14:textId="77777777" w:rsidR="006019B1" w:rsidRPr="006019B1" w:rsidRDefault="006019B1" w:rsidP="006019B1">
            <w:pPr>
              <w:adjustRightInd w:val="0"/>
              <w:snapToGrid w:val="0"/>
              <w:ind w:left="709" w:right="709"/>
              <w:jc w:val="both"/>
              <w:rPr>
                <w:rFonts w:ascii="Verdana" w:eastAsia="Aptos" w:hAnsi="Verdana" w:cs="Arial"/>
                <w:sz w:val="21"/>
                <w:szCs w:val="21"/>
                <w:lang w:val="es-ES_tradnl"/>
              </w:rPr>
            </w:pPr>
            <w:r w:rsidRPr="006019B1">
              <w:rPr>
                <w:rFonts w:ascii="Verdana" w:eastAsia="Aptos" w:hAnsi="Verdana" w:cs="Arial"/>
                <w:sz w:val="21"/>
                <w:szCs w:val="21"/>
                <w:lang w:val="es-ES_tradnl"/>
              </w:rPr>
              <w:t xml:space="preserve">En el presente Proceso de Contratación los bienes nacionales relevantes son: </w:t>
            </w:r>
          </w:p>
          <w:p w14:paraId="5AF3D9B2" w14:textId="77777777" w:rsidR="006019B1" w:rsidRPr="006019B1" w:rsidRDefault="006019B1" w:rsidP="006019B1">
            <w:pPr>
              <w:adjustRightInd w:val="0"/>
              <w:snapToGrid w:val="0"/>
              <w:ind w:left="709" w:right="709"/>
              <w:jc w:val="both"/>
              <w:rPr>
                <w:rFonts w:ascii="Verdana" w:eastAsia="Aptos" w:hAnsi="Verdana" w:cs="Arial"/>
                <w:color w:val="000000"/>
                <w:sz w:val="21"/>
                <w:szCs w:val="21"/>
                <w:lang w:val="es-ES_tradnl"/>
              </w:rPr>
            </w:pPr>
          </w:p>
          <w:p w14:paraId="57F36551" w14:textId="77777777" w:rsidR="006019B1" w:rsidRPr="006019B1" w:rsidRDefault="006019B1" w:rsidP="006019B1">
            <w:pPr>
              <w:adjustRightInd w:val="0"/>
              <w:snapToGrid w:val="0"/>
              <w:ind w:left="709" w:right="709"/>
              <w:jc w:val="both"/>
              <w:rPr>
                <w:rFonts w:ascii="Verdana" w:eastAsia="Aptos" w:hAnsi="Verdana" w:cs="Arial"/>
                <w:color w:val="000000"/>
                <w:sz w:val="21"/>
                <w:szCs w:val="21"/>
                <w:highlight w:val="lightGray"/>
                <w:lang w:val="es-ES_tradnl"/>
              </w:rPr>
            </w:pPr>
            <w:r w:rsidRPr="006019B1">
              <w:rPr>
                <w:rFonts w:ascii="Verdana" w:eastAsia="Aptos" w:hAnsi="Verdana" w:cs="Arial"/>
                <w:sz w:val="21"/>
                <w:szCs w:val="21"/>
                <w:highlight w:val="lightGray"/>
                <w:lang w:val="es-ES_tradnl"/>
              </w:rPr>
              <w:lastRenderedPageBreak/>
              <w:t xml:space="preserve">[La </w:t>
            </w:r>
            <w:r w:rsidRPr="006019B1" w:rsidDel="57736099">
              <w:rPr>
                <w:rFonts w:ascii="Verdana" w:eastAsia="Aptos" w:hAnsi="Verdana" w:cs="Arial"/>
                <w:sz w:val="21"/>
                <w:szCs w:val="21"/>
                <w:highlight w:val="lightGray"/>
                <w:lang w:val="es-ES_tradnl"/>
              </w:rPr>
              <w:t>E</w:t>
            </w:r>
            <w:r w:rsidRPr="006019B1">
              <w:rPr>
                <w:rFonts w:ascii="Verdana" w:eastAsia="Aptos" w:hAnsi="Verdana" w:cs="Arial"/>
                <w:sz w:val="21"/>
                <w:szCs w:val="21"/>
                <w:highlight w:val="lightGray"/>
                <w:lang w:val="es-ES_tradnl"/>
              </w:rPr>
              <w:t>ntidad debe diligenciar la siguiente tabla con la información tomada del Registro de Productores de Bienes Nacionales]</w:t>
            </w:r>
          </w:p>
          <w:p w14:paraId="2F82C498" w14:textId="77777777" w:rsidR="006019B1" w:rsidRPr="006019B1" w:rsidRDefault="006019B1" w:rsidP="006019B1">
            <w:pPr>
              <w:tabs>
                <w:tab w:val="left" w:pos="709"/>
              </w:tabs>
              <w:adjustRightInd w:val="0"/>
              <w:snapToGrid w:val="0"/>
              <w:ind w:left="709" w:right="709"/>
              <w:jc w:val="both"/>
              <w:rPr>
                <w:rFonts w:ascii="Verdana" w:eastAsia="Calibri" w:hAnsi="Verdana" w:cs="Arial"/>
                <w:bCs/>
                <w:color w:val="000000"/>
                <w:sz w:val="21"/>
                <w:szCs w:val="21"/>
                <w:lang w:val="es-ES_tradnl"/>
              </w:rPr>
            </w:pPr>
            <w:r w:rsidRPr="006019B1">
              <w:rPr>
                <w:rFonts w:ascii="Verdana" w:eastAsia="Calibri" w:hAnsi="Verdana" w:cs="Arial"/>
                <w:bCs/>
                <w:color w:val="000000"/>
                <w:sz w:val="21"/>
                <w:szCs w:val="21"/>
                <w:lang w:val="es-ES_tradnl"/>
              </w:rPr>
              <w:t>[…]</w:t>
            </w:r>
          </w:p>
          <w:p w14:paraId="46BCD1D6" w14:textId="77777777" w:rsidR="006019B1" w:rsidRPr="006019B1" w:rsidRDefault="006019B1" w:rsidP="006019B1">
            <w:pPr>
              <w:adjustRightInd w:val="0"/>
              <w:snapToGrid w:val="0"/>
              <w:ind w:left="709" w:right="709"/>
              <w:jc w:val="both"/>
              <w:rPr>
                <w:rFonts w:ascii="Verdana" w:eastAsia="Aptos" w:hAnsi="Verdana" w:cs="Arial"/>
                <w:sz w:val="21"/>
                <w:szCs w:val="21"/>
                <w:lang w:val="es-ES_tradnl"/>
              </w:rPr>
            </w:pPr>
            <w:r w:rsidRPr="006019B1">
              <w:rPr>
                <w:rFonts w:ascii="Verdana" w:eastAsia="Aptos" w:hAnsi="Verdana" w:cs="Arial"/>
                <w:sz w:val="21"/>
                <w:szCs w:val="21"/>
                <w:highlight w:val="lightGray"/>
                <w:lang w:val="es-ES_tradnl"/>
              </w:rPr>
              <w:t>[</w:t>
            </w:r>
            <w:r w:rsidRPr="006019B1">
              <w:rPr>
                <w:rFonts w:ascii="Verdana" w:eastAsia="Aptos" w:hAnsi="Verdana" w:cs="Arial"/>
                <w:b/>
                <w:bCs/>
                <w:sz w:val="21"/>
                <w:szCs w:val="21"/>
                <w:highlight w:val="lightGray"/>
                <w:lang w:val="es-ES_tradnl"/>
              </w:rPr>
              <w:t xml:space="preserve">Opción 2. </w:t>
            </w:r>
            <w:r w:rsidRPr="006019B1">
              <w:rPr>
                <w:rFonts w:ascii="Verdana" w:eastAsia="Aptos" w:hAnsi="Verdana" w:cs="Arial"/>
                <w:sz w:val="21"/>
                <w:szCs w:val="21"/>
                <w:highlight w:val="lightGray"/>
                <w:lang w:val="es-ES_tradnl"/>
              </w:rPr>
              <w:t xml:space="preserve">Si luego de aplicar la metodología para identificar los bienes nacionales relevantes descritos en la Matriz 4 – Bienes nacionales relevantes para la obra pública del sector de infraestructura social, la </w:t>
            </w:r>
            <w:r w:rsidRPr="006019B1" w:rsidDel="57736099">
              <w:rPr>
                <w:rFonts w:ascii="Verdana" w:eastAsia="Aptos" w:hAnsi="Verdana" w:cs="Arial"/>
                <w:sz w:val="21"/>
                <w:szCs w:val="21"/>
                <w:highlight w:val="lightGray"/>
                <w:lang w:val="es-ES_tradnl"/>
              </w:rPr>
              <w:t>E</w:t>
            </w:r>
            <w:r w:rsidRPr="006019B1">
              <w:rPr>
                <w:rFonts w:ascii="Verdana" w:eastAsia="Aptos" w:hAnsi="Verdana" w:cs="Arial"/>
                <w:sz w:val="21"/>
                <w:szCs w:val="21"/>
                <w:highlight w:val="lightGray"/>
                <w:lang w:val="es-ES_tradnl"/>
              </w:rPr>
              <w:t xml:space="preserve">ntidad demuestra que los bienes relevantes no están registrados en el Registro de Productores de Bienes Nacionales, se otorgará el puntaje a los </w:t>
            </w:r>
            <w:r w:rsidRPr="006019B1" w:rsidDel="57736099">
              <w:rPr>
                <w:rFonts w:ascii="Verdana" w:eastAsia="Aptos" w:hAnsi="Verdana" w:cs="Arial"/>
                <w:sz w:val="21"/>
                <w:szCs w:val="21"/>
                <w:highlight w:val="lightGray"/>
                <w:lang w:val="es-ES_tradnl"/>
              </w:rPr>
              <w:t>P</w:t>
            </w:r>
            <w:r w:rsidRPr="006019B1">
              <w:rPr>
                <w:rFonts w:ascii="Verdana" w:eastAsia="Aptos" w:hAnsi="Verdana" w:cs="Arial"/>
                <w:sz w:val="21"/>
                <w:szCs w:val="21"/>
                <w:highlight w:val="lightGray"/>
                <w:lang w:val="es-ES_tradnl"/>
              </w:rPr>
              <w:t xml:space="preserve">roponentes que se comprometan a vincular al desarrollo del objeto contractual un porcentaje de empleados o contratistas por prestación de servicios colombianos de al menos el cuarenta por ciento (40 %) del personal requerido para el cumplimiento del contrato. Para estos casos deberán incluirse los siguientes párrafos en el presente </w:t>
            </w:r>
            <w:r w:rsidRPr="006019B1" w:rsidDel="57736099">
              <w:rPr>
                <w:rFonts w:ascii="Verdana" w:eastAsia="Aptos" w:hAnsi="Verdana" w:cs="Arial"/>
                <w:sz w:val="21"/>
                <w:szCs w:val="21"/>
                <w:highlight w:val="lightGray"/>
                <w:lang w:val="es-ES_tradnl"/>
              </w:rPr>
              <w:t>Pliego de Condiciones</w:t>
            </w:r>
            <w:r w:rsidRPr="006019B1">
              <w:rPr>
                <w:rFonts w:ascii="Verdana" w:eastAsia="Aptos" w:hAnsi="Verdana" w:cs="Arial"/>
                <w:sz w:val="21"/>
                <w:szCs w:val="21"/>
                <w:highlight w:val="lightGray"/>
                <w:lang w:val="es-ES_tradnl"/>
              </w:rPr>
              <w:t>.]</w:t>
            </w:r>
          </w:p>
          <w:p w14:paraId="54CAD7AE" w14:textId="77777777" w:rsidR="006019B1" w:rsidRPr="006019B1" w:rsidRDefault="006019B1" w:rsidP="006019B1">
            <w:pPr>
              <w:adjustRightInd w:val="0"/>
              <w:snapToGrid w:val="0"/>
              <w:ind w:left="709" w:right="709"/>
              <w:jc w:val="both"/>
              <w:rPr>
                <w:rFonts w:ascii="Verdana" w:eastAsia="Aptos" w:hAnsi="Verdana" w:cs="Arial"/>
                <w:sz w:val="21"/>
                <w:szCs w:val="21"/>
                <w:lang w:val="es-ES_tradnl"/>
              </w:rPr>
            </w:pPr>
            <w:r w:rsidRPr="006019B1">
              <w:rPr>
                <w:rFonts w:ascii="Verdana" w:eastAsia="Calibri" w:hAnsi="Verdana" w:cs="Arial"/>
                <w:bCs/>
                <w:color w:val="000000"/>
                <w:sz w:val="21"/>
                <w:szCs w:val="21"/>
                <w:lang w:val="es-ES_tradnl"/>
              </w:rPr>
              <w:t>[…]”</w:t>
            </w:r>
          </w:p>
          <w:p w14:paraId="04C11F5B" w14:textId="77777777" w:rsidR="006019B1" w:rsidRPr="006019B1" w:rsidRDefault="006019B1" w:rsidP="006019B1">
            <w:pPr>
              <w:tabs>
                <w:tab w:val="left" w:pos="709"/>
              </w:tabs>
              <w:adjustRightInd w:val="0"/>
              <w:snapToGrid w:val="0"/>
              <w:ind w:left="709" w:right="709"/>
              <w:jc w:val="both"/>
              <w:rPr>
                <w:rFonts w:ascii="Verdana" w:eastAsia="Calibri" w:hAnsi="Verdana" w:cs="Arial"/>
                <w:bCs/>
                <w:color w:val="000000"/>
                <w:lang w:val="es-ES_tradnl"/>
              </w:rPr>
            </w:pPr>
          </w:p>
          <w:p w14:paraId="7FDCA42C" w14:textId="77777777" w:rsidR="006019B1" w:rsidRPr="006019B1" w:rsidRDefault="006019B1" w:rsidP="006019B1">
            <w:pPr>
              <w:tabs>
                <w:tab w:val="left" w:pos="709"/>
              </w:tabs>
              <w:adjustRightInd w:val="0"/>
              <w:snapToGrid w:val="0"/>
              <w:spacing w:line="276" w:lineRule="auto"/>
              <w:ind w:firstLine="709"/>
              <w:jc w:val="both"/>
              <w:rPr>
                <w:rFonts w:ascii="Verdana" w:eastAsia="Calibri" w:hAnsi="Verdana" w:cs="Arial"/>
                <w:bCs/>
                <w:color w:val="000000"/>
                <w:lang w:val="es-ES_tradnl"/>
              </w:rPr>
            </w:pPr>
            <w:r w:rsidRPr="006019B1">
              <w:rPr>
                <w:rFonts w:ascii="Verdana" w:eastAsia="Calibri" w:hAnsi="Verdana" w:cs="Arial"/>
                <w:bCs/>
                <w:color w:val="000000"/>
                <w:lang w:val="es-ES_tradnl"/>
              </w:rPr>
              <w:t>En línea con lo anterior, la “Matriz 4 – Bienes nacionales relevantes para la obra pública del sector social” señala la metodología para identificar los bienes nacionales relevantes para la ejecución del objeto a contratar, como se puede observar a continuación:</w:t>
            </w:r>
          </w:p>
          <w:p w14:paraId="4E931C14" w14:textId="77777777" w:rsidR="006019B1" w:rsidRPr="006019B1" w:rsidRDefault="006019B1" w:rsidP="006019B1">
            <w:pPr>
              <w:tabs>
                <w:tab w:val="left" w:pos="709"/>
              </w:tabs>
              <w:adjustRightInd w:val="0"/>
              <w:snapToGrid w:val="0"/>
              <w:spacing w:line="276" w:lineRule="auto"/>
              <w:jc w:val="both"/>
              <w:rPr>
                <w:rFonts w:ascii="Verdana" w:eastAsia="Calibri" w:hAnsi="Verdana" w:cs="Arial"/>
                <w:bCs/>
                <w:color w:val="000000"/>
                <w:lang w:val="es-ES_tradnl"/>
              </w:rPr>
            </w:pPr>
          </w:p>
          <w:p w14:paraId="7CA8FAE9" w14:textId="77777777" w:rsidR="006019B1" w:rsidRPr="006019B1" w:rsidRDefault="006019B1" w:rsidP="006019B1">
            <w:pPr>
              <w:numPr>
                <w:ilvl w:val="0"/>
                <w:numId w:val="19"/>
              </w:numPr>
              <w:adjustRightInd w:val="0"/>
              <w:snapToGrid w:val="0"/>
              <w:ind w:left="709" w:right="709" w:firstLine="0"/>
              <w:contextualSpacing/>
              <w:jc w:val="both"/>
              <w:rPr>
                <w:rFonts w:ascii="Verdana" w:eastAsia="Verdana" w:hAnsi="Verdana" w:cs="Verdana"/>
                <w:i/>
                <w:iCs/>
                <w:sz w:val="21"/>
                <w:szCs w:val="21"/>
              </w:rPr>
            </w:pPr>
            <w:r w:rsidRPr="006019B1">
              <w:rPr>
                <w:rFonts w:ascii="Verdana" w:eastAsia="Verdana" w:hAnsi="Verdana" w:cs="Verdana"/>
                <w:sz w:val="21"/>
                <w:szCs w:val="21"/>
              </w:rPr>
              <w:t>Identificar dentro del Presupuesto Oficial los bienes o insumos requeridos para la ejecución del proyecto.</w:t>
            </w:r>
          </w:p>
          <w:p w14:paraId="79AEC011" w14:textId="77777777" w:rsidR="006019B1" w:rsidRPr="006019B1" w:rsidRDefault="006019B1" w:rsidP="006019B1">
            <w:pPr>
              <w:adjustRightInd w:val="0"/>
              <w:snapToGrid w:val="0"/>
              <w:ind w:left="709" w:right="709"/>
              <w:jc w:val="both"/>
              <w:rPr>
                <w:rFonts w:ascii="Verdana" w:eastAsia="Verdana" w:hAnsi="Verdana" w:cs="Verdana"/>
                <w:i/>
                <w:iCs/>
                <w:sz w:val="21"/>
                <w:szCs w:val="21"/>
              </w:rPr>
            </w:pPr>
          </w:p>
          <w:p w14:paraId="400B3D18" w14:textId="77777777" w:rsidR="006019B1" w:rsidRPr="006019B1" w:rsidRDefault="006019B1" w:rsidP="006019B1">
            <w:pPr>
              <w:numPr>
                <w:ilvl w:val="0"/>
                <w:numId w:val="19"/>
              </w:numPr>
              <w:adjustRightInd w:val="0"/>
              <w:snapToGrid w:val="0"/>
              <w:ind w:left="709" w:right="709" w:firstLine="0"/>
              <w:jc w:val="both"/>
              <w:rPr>
                <w:rFonts w:ascii="Verdana" w:eastAsia="Verdana" w:hAnsi="Verdana" w:cs="Verdana"/>
                <w:i/>
                <w:iCs/>
                <w:sz w:val="21"/>
                <w:szCs w:val="21"/>
              </w:rPr>
            </w:pPr>
            <w:r w:rsidRPr="006019B1">
              <w:rPr>
                <w:rFonts w:ascii="Verdana" w:eastAsia="Verdana" w:hAnsi="Verdana" w:cs="Verdana"/>
                <w:sz w:val="21"/>
                <w:szCs w:val="21"/>
              </w:rPr>
              <w:t xml:space="preserve">Calcular el </w:t>
            </w:r>
            <w:r w:rsidRPr="006019B1">
              <w:rPr>
                <w:rFonts w:ascii="Verdana" w:eastAsia="Verdana" w:hAnsi="Verdana" w:cs="Verdana"/>
                <w:b/>
                <w:bCs/>
                <w:i/>
                <w:iCs/>
                <w:sz w:val="21"/>
                <w:szCs w:val="21"/>
              </w:rPr>
              <w:t xml:space="preserve">valor parcial </w:t>
            </w:r>
            <w:r w:rsidRPr="006019B1">
              <w:rPr>
                <w:rFonts w:ascii="Verdana" w:eastAsia="Verdana" w:hAnsi="Verdana" w:cs="Verdana"/>
                <w:sz w:val="21"/>
                <w:szCs w:val="21"/>
              </w:rPr>
              <w:t>de los bienes o insumos identificados, para lo cual se deberá multiplicar el valor unitario de cada uno por la cantidad requerida.</w:t>
            </w:r>
          </w:p>
          <w:p w14:paraId="0A33915F" w14:textId="77777777" w:rsidR="006019B1" w:rsidRPr="006019B1" w:rsidRDefault="006019B1" w:rsidP="006019B1">
            <w:pPr>
              <w:adjustRightInd w:val="0"/>
              <w:snapToGrid w:val="0"/>
              <w:ind w:left="709" w:right="709"/>
              <w:jc w:val="both"/>
              <w:rPr>
                <w:rFonts w:ascii="Verdana" w:eastAsia="Verdana" w:hAnsi="Verdana" w:cs="Verdana"/>
                <w:i/>
                <w:iCs/>
                <w:sz w:val="21"/>
                <w:szCs w:val="21"/>
              </w:rPr>
            </w:pPr>
          </w:p>
          <w:p w14:paraId="775CA035" w14:textId="77777777" w:rsidR="006019B1" w:rsidRPr="006019B1" w:rsidRDefault="006019B1" w:rsidP="006019B1">
            <w:pPr>
              <w:numPr>
                <w:ilvl w:val="0"/>
                <w:numId w:val="19"/>
              </w:numPr>
              <w:adjustRightInd w:val="0"/>
              <w:snapToGrid w:val="0"/>
              <w:ind w:left="709" w:right="709" w:firstLine="0"/>
              <w:jc w:val="both"/>
              <w:rPr>
                <w:rFonts w:ascii="Verdana" w:eastAsia="Verdana" w:hAnsi="Verdana" w:cs="Verdana"/>
                <w:i/>
                <w:iCs/>
                <w:sz w:val="21"/>
                <w:szCs w:val="21"/>
              </w:rPr>
            </w:pPr>
            <w:r w:rsidRPr="006019B1">
              <w:rPr>
                <w:rFonts w:ascii="Verdana" w:eastAsia="Verdana" w:hAnsi="Verdana" w:cs="Verdana"/>
                <w:sz w:val="21"/>
                <w:szCs w:val="21"/>
              </w:rPr>
              <w:t>Calcular el</w:t>
            </w:r>
            <w:r w:rsidRPr="006019B1">
              <w:rPr>
                <w:rFonts w:ascii="Verdana" w:eastAsia="Verdana" w:hAnsi="Verdana" w:cs="Verdana"/>
                <w:b/>
                <w:bCs/>
                <w:i/>
                <w:iCs/>
                <w:sz w:val="21"/>
                <w:szCs w:val="21"/>
              </w:rPr>
              <w:t xml:space="preserve"> valor total</w:t>
            </w:r>
            <w:r w:rsidRPr="006019B1">
              <w:rPr>
                <w:rFonts w:ascii="Verdana" w:eastAsia="Verdana" w:hAnsi="Verdana" w:cs="Verdana"/>
                <w:sz w:val="21"/>
                <w:szCs w:val="21"/>
              </w:rPr>
              <w:t xml:space="preserve"> realizando la sumatoria</w:t>
            </w:r>
            <w:r w:rsidRPr="006019B1">
              <w:rPr>
                <w:rFonts w:ascii="Verdana" w:eastAsia="Verdana" w:hAnsi="Verdana" w:cs="Verdana"/>
                <w:b/>
                <w:bCs/>
                <w:i/>
                <w:iCs/>
                <w:sz w:val="21"/>
                <w:szCs w:val="21"/>
              </w:rPr>
              <w:t xml:space="preserve"> </w:t>
            </w:r>
            <w:r w:rsidRPr="006019B1">
              <w:rPr>
                <w:rFonts w:ascii="Verdana" w:eastAsia="Verdana" w:hAnsi="Verdana" w:cs="Verdana"/>
                <w:sz w:val="21"/>
                <w:szCs w:val="21"/>
              </w:rPr>
              <w:t xml:space="preserve">de los </w:t>
            </w:r>
            <w:r w:rsidRPr="006019B1">
              <w:rPr>
                <w:rFonts w:ascii="Verdana" w:eastAsia="Verdana" w:hAnsi="Verdana" w:cs="Verdana"/>
                <w:b/>
                <w:bCs/>
                <w:i/>
                <w:iCs/>
                <w:sz w:val="21"/>
                <w:szCs w:val="21"/>
              </w:rPr>
              <w:t>valores parciales</w:t>
            </w:r>
            <w:r w:rsidRPr="006019B1">
              <w:rPr>
                <w:rFonts w:ascii="Verdana" w:eastAsia="Verdana" w:hAnsi="Verdana" w:cs="Verdana"/>
                <w:sz w:val="21"/>
                <w:szCs w:val="21"/>
              </w:rPr>
              <w:t xml:space="preserve"> de los bienes o insumos requeridos en el proyecto.</w:t>
            </w:r>
          </w:p>
          <w:p w14:paraId="377B0206" w14:textId="77777777" w:rsidR="006019B1" w:rsidRPr="006019B1" w:rsidRDefault="006019B1" w:rsidP="006019B1">
            <w:pPr>
              <w:adjustRightInd w:val="0"/>
              <w:snapToGrid w:val="0"/>
              <w:ind w:left="709" w:right="709"/>
              <w:jc w:val="both"/>
              <w:rPr>
                <w:rFonts w:ascii="Verdana" w:eastAsia="Verdana" w:hAnsi="Verdana" w:cs="Verdana"/>
                <w:i/>
                <w:iCs/>
                <w:sz w:val="21"/>
                <w:szCs w:val="21"/>
              </w:rPr>
            </w:pPr>
          </w:p>
          <w:p w14:paraId="050961E5" w14:textId="77777777" w:rsidR="006019B1" w:rsidRPr="006019B1" w:rsidRDefault="006019B1" w:rsidP="006019B1">
            <w:pPr>
              <w:numPr>
                <w:ilvl w:val="0"/>
                <w:numId w:val="19"/>
              </w:numPr>
              <w:adjustRightInd w:val="0"/>
              <w:snapToGrid w:val="0"/>
              <w:ind w:left="709" w:right="709" w:firstLine="0"/>
              <w:jc w:val="both"/>
              <w:rPr>
                <w:rFonts w:ascii="Verdana" w:eastAsia="Verdana" w:hAnsi="Verdana" w:cs="Verdana"/>
                <w:i/>
                <w:iCs/>
                <w:sz w:val="21"/>
                <w:szCs w:val="21"/>
              </w:rPr>
            </w:pPr>
            <w:r w:rsidRPr="006019B1">
              <w:rPr>
                <w:rFonts w:ascii="Verdana" w:eastAsia="Verdana" w:hAnsi="Verdana" w:cs="Verdana"/>
                <w:sz w:val="21"/>
                <w:szCs w:val="21"/>
              </w:rPr>
              <w:t xml:space="preserve">Determinar el </w:t>
            </w:r>
            <w:r w:rsidRPr="006019B1">
              <w:rPr>
                <w:rFonts w:ascii="Verdana" w:eastAsia="Verdana" w:hAnsi="Verdana" w:cs="Verdana"/>
                <w:b/>
                <w:bCs/>
                <w:i/>
                <w:iCs/>
                <w:sz w:val="21"/>
                <w:szCs w:val="21"/>
              </w:rPr>
              <w:t>porcentaje de participación</w:t>
            </w:r>
            <w:r w:rsidRPr="006019B1">
              <w:rPr>
                <w:rFonts w:ascii="Verdana" w:eastAsia="Verdana" w:hAnsi="Verdana" w:cs="Verdana"/>
                <w:i/>
                <w:iCs/>
                <w:sz w:val="21"/>
                <w:szCs w:val="21"/>
              </w:rPr>
              <w:t xml:space="preserve"> </w:t>
            </w:r>
            <w:r w:rsidRPr="006019B1">
              <w:rPr>
                <w:rFonts w:ascii="Verdana" w:eastAsia="Verdana" w:hAnsi="Verdana" w:cs="Verdana"/>
                <w:sz w:val="21"/>
                <w:szCs w:val="21"/>
              </w:rPr>
              <w:t xml:space="preserve">de cada bien o insumo usando su </w:t>
            </w:r>
            <w:r w:rsidRPr="006019B1">
              <w:rPr>
                <w:rFonts w:ascii="Verdana" w:eastAsia="Verdana" w:hAnsi="Verdana" w:cs="Verdana"/>
                <w:b/>
                <w:bCs/>
                <w:i/>
                <w:iCs/>
                <w:sz w:val="21"/>
                <w:szCs w:val="21"/>
              </w:rPr>
              <w:t>valor parcial</w:t>
            </w:r>
            <w:r w:rsidRPr="006019B1">
              <w:rPr>
                <w:rFonts w:ascii="Verdana" w:eastAsia="Verdana" w:hAnsi="Verdana" w:cs="Verdana"/>
                <w:sz w:val="21"/>
                <w:szCs w:val="21"/>
              </w:rPr>
              <w:t xml:space="preserve"> divido por el </w:t>
            </w:r>
            <w:r w:rsidRPr="006019B1">
              <w:rPr>
                <w:rFonts w:ascii="Verdana" w:eastAsia="Verdana" w:hAnsi="Verdana" w:cs="Verdana"/>
                <w:b/>
                <w:bCs/>
                <w:i/>
                <w:iCs/>
                <w:sz w:val="21"/>
                <w:szCs w:val="21"/>
              </w:rPr>
              <w:t>valor total</w:t>
            </w:r>
            <w:r w:rsidRPr="006019B1">
              <w:rPr>
                <w:rFonts w:ascii="Verdana" w:eastAsia="Verdana" w:hAnsi="Verdana" w:cs="Verdana"/>
                <w:sz w:val="21"/>
                <w:szCs w:val="21"/>
              </w:rPr>
              <w:t>, cociente que deberá ser multiplicado por cien (100). Para esto se aplicará la siguiente fórmula:</w:t>
            </w:r>
          </w:p>
          <w:p w14:paraId="53FD4D21" w14:textId="77777777" w:rsidR="006019B1" w:rsidRPr="006019B1" w:rsidRDefault="006019B1" w:rsidP="006019B1">
            <w:pPr>
              <w:adjustRightInd w:val="0"/>
              <w:snapToGrid w:val="0"/>
              <w:ind w:left="709" w:right="709"/>
              <w:jc w:val="both"/>
              <w:rPr>
                <w:rFonts w:ascii="Verdana" w:eastAsia="Verdana" w:hAnsi="Verdana" w:cs="Verdana"/>
                <w:i/>
                <w:iCs/>
                <w:sz w:val="21"/>
                <w:szCs w:val="21"/>
              </w:rPr>
            </w:pPr>
          </w:p>
          <w:p w14:paraId="3784DB02" w14:textId="77777777" w:rsidR="006019B1" w:rsidRPr="006019B1" w:rsidRDefault="006019B1" w:rsidP="006019B1">
            <w:pPr>
              <w:adjustRightInd w:val="0"/>
              <w:snapToGrid w:val="0"/>
              <w:ind w:left="709" w:right="709"/>
              <w:jc w:val="center"/>
              <w:rPr>
                <w:rFonts w:ascii="Verdana" w:eastAsia="Verdana" w:hAnsi="Verdana" w:cs="Verdana"/>
                <w:sz w:val="21"/>
                <w:szCs w:val="21"/>
              </w:rPr>
            </w:pPr>
            <w:r w:rsidRPr="006019B1">
              <w:rPr>
                <w:rFonts w:ascii="Verdana" w:eastAsia="Arial" w:hAnsi="Verdana" w:cs="Times New Roman"/>
                <w:noProof/>
                <w:sz w:val="21"/>
                <w:szCs w:val="21"/>
                <w:lang w:val="es-MX"/>
              </w:rPr>
              <w:drawing>
                <wp:inline distT="0" distB="0" distL="0" distR="0" wp14:anchorId="7AD8BAC0" wp14:editId="67815E78">
                  <wp:extent cx="2670048" cy="429188"/>
                  <wp:effectExtent l="0" t="0" r="0" b="9525"/>
                  <wp:docPr id="2003163049" name="Imagen 2003163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81902" cy="431093"/>
                          </a:xfrm>
                          <a:prstGeom prst="rect">
                            <a:avLst/>
                          </a:prstGeom>
                          <a:noFill/>
                          <a:ln>
                            <a:noFill/>
                          </a:ln>
                        </pic:spPr>
                      </pic:pic>
                    </a:graphicData>
                  </a:graphic>
                </wp:inline>
              </w:drawing>
            </w:r>
          </w:p>
          <w:p w14:paraId="7ED2A467" w14:textId="77777777" w:rsidR="006019B1" w:rsidRPr="006019B1" w:rsidRDefault="006019B1" w:rsidP="006019B1">
            <w:pPr>
              <w:adjustRightInd w:val="0"/>
              <w:snapToGrid w:val="0"/>
              <w:ind w:left="709" w:right="709"/>
              <w:jc w:val="both"/>
              <w:rPr>
                <w:rFonts w:ascii="Verdana" w:eastAsia="Verdana" w:hAnsi="Verdana" w:cs="Verdana"/>
                <w:sz w:val="21"/>
                <w:szCs w:val="21"/>
              </w:rPr>
            </w:pPr>
          </w:p>
          <w:p w14:paraId="71FA0AF6" w14:textId="77777777" w:rsidR="006019B1" w:rsidRPr="006019B1" w:rsidRDefault="006019B1" w:rsidP="006019B1">
            <w:pPr>
              <w:numPr>
                <w:ilvl w:val="0"/>
                <w:numId w:val="19"/>
              </w:numPr>
              <w:adjustRightInd w:val="0"/>
              <w:snapToGrid w:val="0"/>
              <w:ind w:left="709" w:right="709" w:firstLine="0"/>
              <w:jc w:val="both"/>
              <w:rPr>
                <w:rFonts w:ascii="Verdana" w:eastAsia="Verdana" w:hAnsi="Verdana" w:cs="Verdana"/>
                <w:sz w:val="21"/>
                <w:szCs w:val="21"/>
              </w:rPr>
            </w:pPr>
            <w:r w:rsidRPr="006019B1">
              <w:rPr>
                <w:rFonts w:ascii="Verdana" w:eastAsia="Verdana" w:hAnsi="Verdana" w:cs="Verdana"/>
                <w:sz w:val="21"/>
                <w:szCs w:val="21"/>
              </w:rPr>
              <w:t>Determinar el</w:t>
            </w:r>
            <w:r w:rsidRPr="006019B1">
              <w:rPr>
                <w:rFonts w:ascii="Verdana" w:eastAsia="Verdana" w:hAnsi="Verdana" w:cs="Verdana"/>
                <w:b/>
                <w:bCs/>
                <w:i/>
                <w:iCs/>
                <w:sz w:val="21"/>
                <w:szCs w:val="21"/>
              </w:rPr>
              <w:t xml:space="preserve"> porcentaje acumulado </w:t>
            </w:r>
            <w:r w:rsidRPr="006019B1">
              <w:rPr>
                <w:rFonts w:ascii="Verdana" w:eastAsia="Verdana" w:hAnsi="Verdana" w:cs="Verdana"/>
                <w:sz w:val="21"/>
                <w:szCs w:val="21"/>
              </w:rPr>
              <w:t xml:space="preserve">entendido como la sumatoria de los porcentajes de participación definidos en el numeral </w:t>
            </w:r>
            <w:r w:rsidRPr="006019B1">
              <w:rPr>
                <w:rFonts w:ascii="Verdana" w:eastAsia="Verdana" w:hAnsi="Verdana" w:cs="Verdana"/>
                <w:sz w:val="21"/>
                <w:szCs w:val="21"/>
              </w:rPr>
              <w:lastRenderedPageBreak/>
              <w:t xml:space="preserve">anterior. Para lo cual, se sugiere, organizar los bienes en una tabla, en orden descendente según su </w:t>
            </w:r>
            <w:r w:rsidRPr="006019B1">
              <w:rPr>
                <w:rFonts w:ascii="Verdana" w:eastAsia="Verdana" w:hAnsi="Verdana" w:cs="Verdana"/>
                <w:b/>
                <w:bCs/>
                <w:i/>
                <w:iCs/>
                <w:sz w:val="21"/>
                <w:szCs w:val="21"/>
              </w:rPr>
              <w:t>porcentaje de participación,</w:t>
            </w:r>
            <w:r w:rsidRPr="006019B1">
              <w:rPr>
                <w:rFonts w:ascii="Verdana" w:eastAsia="Verdana" w:hAnsi="Verdana" w:cs="Verdana"/>
                <w:sz w:val="21"/>
                <w:szCs w:val="21"/>
              </w:rPr>
              <w:t xml:space="preserve"> disponiendo una fila por cada bien, una columna para el nombre o descripción del bien, otra para el </w:t>
            </w:r>
            <w:r w:rsidRPr="006019B1">
              <w:rPr>
                <w:rFonts w:ascii="Verdana" w:eastAsia="Verdana" w:hAnsi="Verdana" w:cs="Verdana"/>
                <w:b/>
                <w:bCs/>
                <w:i/>
                <w:iCs/>
                <w:sz w:val="21"/>
                <w:szCs w:val="21"/>
              </w:rPr>
              <w:t>porcentaje de participación</w:t>
            </w:r>
            <w:r w:rsidRPr="006019B1">
              <w:rPr>
                <w:rFonts w:ascii="Verdana" w:eastAsia="Verdana" w:hAnsi="Verdana" w:cs="Verdana"/>
                <w:b/>
                <w:bCs/>
                <w:sz w:val="21"/>
                <w:szCs w:val="21"/>
              </w:rPr>
              <w:t xml:space="preserve"> </w:t>
            </w:r>
            <w:r w:rsidRPr="006019B1">
              <w:rPr>
                <w:rFonts w:ascii="Verdana" w:eastAsia="Verdana" w:hAnsi="Verdana" w:cs="Verdana"/>
                <w:sz w:val="21"/>
                <w:szCs w:val="21"/>
              </w:rPr>
              <w:t xml:space="preserve">y otra en la que se consignará el </w:t>
            </w:r>
            <w:r w:rsidRPr="006019B1">
              <w:rPr>
                <w:rFonts w:ascii="Verdana" w:eastAsia="Verdana" w:hAnsi="Verdana" w:cs="Verdana"/>
                <w:b/>
                <w:bCs/>
                <w:i/>
                <w:iCs/>
                <w:sz w:val="21"/>
                <w:szCs w:val="21"/>
              </w:rPr>
              <w:t>porcentaje acumulado.</w:t>
            </w:r>
            <w:r w:rsidRPr="006019B1">
              <w:rPr>
                <w:rFonts w:ascii="Verdana" w:eastAsia="Verdana" w:hAnsi="Verdana" w:cs="Verdana"/>
                <w:b/>
                <w:bCs/>
                <w:sz w:val="21"/>
                <w:szCs w:val="21"/>
              </w:rPr>
              <w:t xml:space="preserve"> </w:t>
            </w:r>
          </w:p>
          <w:p w14:paraId="20836FD6" w14:textId="77777777" w:rsidR="006019B1" w:rsidRPr="006019B1" w:rsidRDefault="006019B1" w:rsidP="006019B1">
            <w:pPr>
              <w:adjustRightInd w:val="0"/>
              <w:snapToGrid w:val="0"/>
              <w:ind w:left="709" w:right="709"/>
              <w:jc w:val="both"/>
              <w:rPr>
                <w:rFonts w:ascii="Verdana" w:eastAsia="Verdana" w:hAnsi="Verdana" w:cs="Verdana"/>
                <w:sz w:val="21"/>
                <w:szCs w:val="21"/>
              </w:rPr>
            </w:pPr>
          </w:p>
          <w:p w14:paraId="6D6630F1" w14:textId="77777777" w:rsidR="006019B1" w:rsidRPr="006019B1" w:rsidRDefault="006019B1" w:rsidP="006019B1">
            <w:pPr>
              <w:adjustRightInd w:val="0"/>
              <w:snapToGrid w:val="0"/>
              <w:ind w:left="709" w:right="709"/>
              <w:jc w:val="both"/>
              <w:rPr>
                <w:rFonts w:ascii="Verdana" w:eastAsia="Verdana" w:hAnsi="Verdana" w:cs="Verdana"/>
                <w:sz w:val="21"/>
                <w:szCs w:val="21"/>
              </w:rPr>
            </w:pPr>
            <w:r w:rsidRPr="006019B1">
              <w:rPr>
                <w:rFonts w:ascii="Verdana" w:eastAsia="Verdana" w:hAnsi="Verdana" w:cs="Verdana"/>
                <w:sz w:val="21"/>
                <w:szCs w:val="21"/>
              </w:rPr>
              <w:t xml:space="preserve">Al bien o insumo que tiene la mayor participación, es decir el que ocupa el primer lugar en el listado, le corresponderá como </w:t>
            </w:r>
            <w:r w:rsidRPr="006019B1">
              <w:rPr>
                <w:rFonts w:ascii="Verdana" w:eastAsia="Verdana" w:hAnsi="Verdana" w:cs="Verdana"/>
                <w:b/>
                <w:bCs/>
                <w:i/>
                <w:iCs/>
                <w:sz w:val="21"/>
                <w:szCs w:val="21"/>
              </w:rPr>
              <w:t>porcentaje acumulado</w:t>
            </w:r>
            <w:r w:rsidRPr="006019B1">
              <w:rPr>
                <w:rFonts w:ascii="Verdana" w:eastAsia="Verdana" w:hAnsi="Verdana" w:cs="Verdana"/>
                <w:sz w:val="21"/>
                <w:szCs w:val="21"/>
              </w:rPr>
              <w:t xml:space="preserve"> el valor asignado como </w:t>
            </w:r>
            <w:r w:rsidRPr="006019B1">
              <w:rPr>
                <w:rFonts w:ascii="Verdana" w:eastAsia="Verdana" w:hAnsi="Verdana" w:cs="Verdana"/>
                <w:b/>
                <w:bCs/>
                <w:i/>
                <w:iCs/>
                <w:sz w:val="21"/>
                <w:szCs w:val="21"/>
              </w:rPr>
              <w:t>porcentaje de participación</w:t>
            </w:r>
            <w:r w:rsidRPr="006019B1">
              <w:rPr>
                <w:rFonts w:ascii="Verdana" w:eastAsia="Verdana" w:hAnsi="Verdana" w:cs="Verdana"/>
                <w:sz w:val="21"/>
                <w:szCs w:val="21"/>
              </w:rPr>
              <w:t xml:space="preserve">. Para el segundo bien el </w:t>
            </w:r>
            <w:r w:rsidRPr="006019B1">
              <w:rPr>
                <w:rFonts w:ascii="Verdana" w:eastAsia="Verdana" w:hAnsi="Verdana" w:cs="Verdana"/>
                <w:b/>
                <w:bCs/>
                <w:i/>
                <w:iCs/>
                <w:sz w:val="21"/>
                <w:szCs w:val="21"/>
              </w:rPr>
              <w:t xml:space="preserve">porcentaje acumulado </w:t>
            </w:r>
            <w:r w:rsidRPr="006019B1">
              <w:rPr>
                <w:rFonts w:ascii="Verdana" w:eastAsia="Verdana" w:hAnsi="Verdana" w:cs="Verdana"/>
                <w:sz w:val="21"/>
                <w:szCs w:val="21"/>
              </w:rPr>
              <w:t xml:space="preserve">será la suma de su porcentaje de participación con el </w:t>
            </w:r>
            <w:r w:rsidRPr="006019B1">
              <w:rPr>
                <w:rFonts w:ascii="Verdana" w:eastAsia="Verdana" w:hAnsi="Verdana" w:cs="Verdana"/>
                <w:b/>
                <w:bCs/>
                <w:i/>
                <w:iCs/>
                <w:sz w:val="21"/>
                <w:szCs w:val="21"/>
              </w:rPr>
              <w:t>porcentaje acumulado</w:t>
            </w:r>
            <w:r w:rsidRPr="006019B1">
              <w:rPr>
                <w:rFonts w:ascii="Verdana" w:eastAsia="Verdana" w:hAnsi="Verdana" w:cs="Verdana"/>
                <w:sz w:val="21"/>
                <w:szCs w:val="21"/>
              </w:rPr>
              <w:t xml:space="preserve"> asignado al bien que lo antecede en el listado. Del mismo modo, para el tercer bien el </w:t>
            </w:r>
            <w:r w:rsidRPr="006019B1">
              <w:rPr>
                <w:rFonts w:ascii="Verdana" w:eastAsia="Verdana" w:hAnsi="Verdana" w:cs="Verdana"/>
                <w:b/>
                <w:bCs/>
                <w:i/>
                <w:iCs/>
                <w:sz w:val="21"/>
                <w:szCs w:val="21"/>
              </w:rPr>
              <w:t>porcentaje acumulado</w:t>
            </w:r>
            <w:r w:rsidRPr="006019B1">
              <w:rPr>
                <w:rFonts w:ascii="Verdana" w:eastAsia="Verdana" w:hAnsi="Verdana" w:cs="Verdana"/>
                <w:sz w:val="21"/>
                <w:szCs w:val="21"/>
              </w:rPr>
              <w:t xml:space="preserve"> será la suma de su porcentaje de participación con el </w:t>
            </w:r>
            <w:r w:rsidRPr="006019B1">
              <w:rPr>
                <w:rFonts w:ascii="Verdana" w:eastAsia="Verdana" w:hAnsi="Verdana" w:cs="Verdana"/>
                <w:b/>
                <w:bCs/>
                <w:i/>
                <w:iCs/>
                <w:sz w:val="21"/>
                <w:szCs w:val="21"/>
              </w:rPr>
              <w:t>porcentaje acumulado</w:t>
            </w:r>
            <w:r w:rsidRPr="006019B1">
              <w:rPr>
                <w:rFonts w:ascii="Verdana" w:eastAsia="Verdana" w:hAnsi="Verdana" w:cs="Verdana"/>
                <w:sz w:val="21"/>
                <w:szCs w:val="21"/>
              </w:rPr>
              <w:t xml:space="preserve"> calculado para el anterior bien, y así sucesivamente deberá procederse respecto de los demás bienes hasta completar todos los porcentajes acumulados. Para mayor claridad se aplicará la siguiente fórmula: </w:t>
            </w:r>
          </w:p>
          <w:p w14:paraId="04708358" w14:textId="77777777" w:rsidR="006019B1" w:rsidRPr="006019B1" w:rsidRDefault="006019B1" w:rsidP="006019B1">
            <w:pPr>
              <w:adjustRightInd w:val="0"/>
              <w:snapToGrid w:val="0"/>
              <w:ind w:left="709" w:right="709"/>
              <w:jc w:val="both"/>
              <w:rPr>
                <w:rFonts w:ascii="Verdana" w:eastAsia="Verdana" w:hAnsi="Verdana" w:cs="Verdana"/>
                <w:b/>
                <w:bCs/>
                <w:i/>
                <w:iCs/>
                <w:sz w:val="21"/>
                <w:szCs w:val="21"/>
              </w:rPr>
            </w:pPr>
          </w:p>
          <w:p w14:paraId="6B6B68C2" w14:textId="77777777" w:rsidR="006019B1" w:rsidRPr="006019B1" w:rsidRDefault="006019B1" w:rsidP="006019B1">
            <w:pPr>
              <w:adjustRightInd w:val="0"/>
              <w:snapToGrid w:val="0"/>
              <w:ind w:left="709" w:right="709"/>
              <w:jc w:val="center"/>
              <w:rPr>
                <w:rFonts w:ascii="Verdana" w:eastAsia="Verdana" w:hAnsi="Verdana" w:cs="Verdana"/>
                <w:sz w:val="21"/>
                <w:szCs w:val="21"/>
                <w:lang w:val="es-MX"/>
              </w:rPr>
            </w:pPr>
            <w:r w:rsidRPr="006019B1">
              <w:rPr>
                <w:rFonts w:ascii="Verdana" w:eastAsia="Arial" w:hAnsi="Verdana" w:cs="Times New Roman"/>
                <w:noProof/>
                <w:sz w:val="21"/>
                <w:szCs w:val="21"/>
                <w:lang w:val="es-MX"/>
              </w:rPr>
              <w:drawing>
                <wp:inline distT="0" distB="0" distL="0" distR="0" wp14:anchorId="69121235" wp14:editId="75517BAE">
                  <wp:extent cx="3057525" cy="511810"/>
                  <wp:effectExtent l="0" t="0" r="9525" b="2540"/>
                  <wp:docPr id="7618888" name="Imagen 7618888" descr="Dibujo de una person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8" descr="Dibujo de una persona&#10;&#10;Descripción generada automáticamente con confianza media"/>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57525" cy="511810"/>
                          </a:xfrm>
                          <a:prstGeom prst="rect">
                            <a:avLst/>
                          </a:prstGeom>
                          <a:noFill/>
                          <a:ln>
                            <a:noFill/>
                          </a:ln>
                        </pic:spPr>
                      </pic:pic>
                    </a:graphicData>
                  </a:graphic>
                </wp:inline>
              </w:drawing>
            </w:r>
          </w:p>
          <w:p w14:paraId="129ED79C" w14:textId="77777777" w:rsidR="006019B1" w:rsidRPr="006019B1" w:rsidRDefault="006019B1" w:rsidP="006019B1">
            <w:pPr>
              <w:adjustRightInd w:val="0"/>
              <w:snapToGrid w:val="0"/>
              <w:ind w:left="709" w:right="709"/>
              <w:jc w:val="both"/>
              <w:rPr>
                <w:rFonts w:ascii="Verdana" w:eastAsia="Verdana" w:hAnsi="Verdana" w:cs="Verdana"/>
                <w:sz w:val="21"/>
                <w:szCs w:val="21"/>
              </w:rPr>
            </w:pPr>
          </w:p>
          <w:p w14:paraId="72C23C55" w14:textId="77777777" w:rsidR="006019B1" w:rsidRPr="006019B1" w:rsidRDefault="006019B1" w:rsidP="006019B1">
            <w:pPr>
              <w:adjustRightInd w:val="0"/>
              <w:snapToGrid w:val="0"/>
              <w:ind w:left="709" w:right="709"/>
              <w:jc w:val="both"/>
              <w:rPr>
                <w:rFonts w:ascii="Verdana" w:eastAsia="Verdana" w:hAnsi="Verdana" w:cs="Verdana"/>
                <w:sz w:val="21"/>
                <w:szCs w:val="21"/>
              </w:rPr>
            </w:pPr>
          </w:p>
          <w:p w14:paraId="20917FB8" w14:textId="77777777" w:rsidR="006019B1" w:rsidRPr="006019B1" w:rsidRDefault="006019B1" w:rsidP="006019B1">
            <w:pPr>
              <w:adjustRightInd w:val="0"/>
              <w:snapToGrid w:val="0"/>
              <w:ind w:left="709" w:right="709"/>
              <w:jc w:val="both"/>
              <w:rPr>
                <w:rFonts w:ascii="Verdana" w:eastAsia="Verdana" w:hAnsi="Verdana" w:cs="Verdana"/>
                <w:sz w:val="21"/>
                <w:szCs w:val="21"/>
              </w:rPr>
            </w:pPr>
            <w:r w:rsidRPr="006019B1">
              <w:rPr>
                <w:rFonts w:ascii="Verdana" w:eastAsia="Verdana" w:hAnsi="Verdana" w:cs="Verdana"/>
                <w:sz w:val="21"/>
                <w:szCs w:val="21"/>
              </w:rPr>
              <w:t xml:space="preserve">Donde </w:t>
            </w:r>
            <m:oMath>
              <m:sSub>
                <m:sSubPr>
                  <m:ctrlPr>
                    <w:rPr>
                      <w:rFonts w:ascii="Cambria Math" w:eastAsia="Arial" w:hAnsi="Cambria Math" w:cs="Arial"/>
                      <w:bCs/>
                      <w:i/>
                      <w:sz w:val="21"/>
                      <w:szCs w:val="21"/>
                    </w:rPr>
                  </m:ctrlPr>
                </m:sSubPr>
                <m:e>
                  <m:r>
                    <w:rPr>
                      <w:rFonts w:ascii="Cambria Math" w:eastAsia="Arial" w:hAnsi="Cambria Math" w:cs="Arial"/>
                      <w:sz w:val="21"/>
                      <w:szCs w:val="21"/>
                    </w:rPr>
                    <m:t>participacion (%)</m:t>
                  </m:r>
                </m:e>
                <m:sub>
                  <m:r>
                    <w:rPr>
                      <w:rFonts w:ascii="Cambria Math" w:eastAsia="Arial" w:hAnsi="Cambria Math" w:cs="Arial"/>
                      <w:sz w:val="21"/>
                      <w:szCs w:val="21"/>
                    </w:rPr>
                    <m:t>i</m:t>
                  </m:r>
                </m:sub>
              </m:sSub>
            </m:oMath>
            <w:r w:rsidRPr="006019B1">
              <w:rPr>
                <w:rFonts w:ascii="Verdana" w:eastAsia="Verdana" w:hAnsi="Verdana" w:cs="Verdana"/>
                <w:sz w:val="21"/>
                <w:szCs w:val="21"/>
              </w:rPr>
              <w:t xml:space="preserve"> son las frecuencias acumuladas o porcentaje de participación (%) calculado.</w:t>
            </w:r>
          </w:p>
          <w:p w14:paraId="08DD6C9F" w14:textId="77777777" w:rsidR="006019B1" w:rsidRPr="006019B1" w:rsidRDefault="006019B1" w:rsidP="006019B1">
            <w:pPr>
              <w:adjustRightInd w:val="0"/>
              <w:snapToGrid w:val="0"/>
              <w:ind w:left="709" w:right="709"/>
              <w:jc w:val="both"/>
              <w:rPr>
                <w:rFonts w:ascii="Verdana" w:eastAsia="Verdana" w:hAnsi="Verdana" w:cs="Verdana"/>
                <w:sz w:val="21"/>
                <w:szCs w:val="21"/>
              </w:rPr>
            </w:pPr>
          </w:p>
          <w:p w14:paraId="319CBAC6" w14:textId="77777777" w:rsidR="006019B1" w:rsidRPr="006019B1" w:rsidRDefault="006019B1" w:rsidP="006019B1">
            <w:pPr>
              <w:numPr>
                <w:ilvl w:val="0"/>
                <w:numId w:val="19"/>
              </w:numPr>
              <w:adjustRightInd w:val="0"/>
              <w:snapToGrid w:val="0"/>
              <w:ind w:left="709" w:right="709" w:firstLine="0"/>
              <w:jc w:val="both"/>
              <w:rPr>
                <w:rFonts w:ascii="Verdana" w:eastAsia="Verdana" w:hAnsi="Verdana" w:cs="Verdana"/>
                <w:sz w:val="21"/>
                <w:szCs w:val="21"/>
              </w:rPr>
            </w:pPr>
            <w:r w:rsidRPr="006019B1">
              <w:rPr>
                <w:rFonts w:ascii="Verdana" w:eastAsia="Verdana" w:hAnsi="Verdana" w:cs="Verdana"/>
                <w:sz w:val="21"/>
                <w:szCs w:val="21"/>
              </w:rPr>
              <w:t xml:space="preserve">Identificar los bienes o insumos cuyo </w:t>
            </w:r>
            <w:r w:rsidRPr="006019B1">
              <w:rPr>
                <w:rFonts w:ascii="Verdana" w:eastAsia="Verdana" w:hAnsi="Verdana" w:cs="Verdana"/>
                <w:b/>
                <w:bCs/>
                <w:i/>
                <w:iCs/>
                <w:sz w:val="21"/>
                <w:szCs w:val="21"/>
              </w:rPr>
              <w:t>porcentaje acumulado</w:t>
            </w:r>
            <w:r w:rsidRPr="006019B1">
              <w:rPr>
                <w:rFonts w:ascii="Verdana" w:eastAsia="Verdana" w:hAnsi="Verdana" w:cs="Verdana"/>
                <w:sz w:val="21"/>
                <w:szCs w:val="21"/>
              </w:rPr>
              <w:t xml:space="preserve"> esté dentro del ochenta por ciento (80%</w:t>
            </w:r>
            <w:r w:rsidRPr="006019B1">
              <w:rPr>
                <w:rFonts w:ascii="Verdana" w:eastAsia="Verdana" w:hAnsi="Verdana" w:cs="Verdana"/>
                <w:sz w:val="21"/>
                <w:szCs w:val="21"/>
                <w:vertAlign w:val="superscript"/>
              </w:rPr>
              <w:footnoteReference w:id="1"/>
            </w:r>
            <w:r w:rsidRPr="006019B1">
              <w:rPr>
                <w:rFonts w:ascii="Verdana" w:eastAsia="Verdana" w:hAnsi="Verdana" w:cs="Verdana"/>
                <w:sz w:val="21"/>
                <w:szCs w:val="21"/>
              </w:rPr>
              <w:t>) o un valor aproximado por debajo.</w:t>
            </w:r>
          </w:p>
          <w:p w14:paraId="64B5FB72" w14:textId="77777777" w:rsidR="006019B1" w:rsidRPr="006019B1" w:rsidRDefault="006019B1" w:rsidP="006019B1">
            <w:pPr>
              <w:adjustRightInd w:val="0"/>
              <w:snapToGrid w:val="0"/>
              <w:ind w:left="709" w:right="709"/>
              <w:jc w:val="both"/>
              <w:rPr>
                <w:rFonts w:ascii="Verdana" w:eastAsia="Verdana" w:hAnsi="Verdana" w:cs="Verdana"/>
                <w:sz w:val="21"/>
                <w:szCs w:val="21"/>
              </w:rPr>
            </w:pPr>
          </w:p>
          <w:p w14:paraId="347C2320" w14:textId="77777777" w:rsidR="006019B1" w:rsidRPr="006019B1" w:rsidRDefault="006019B1" w:rsidP="006019B1">
            <w:pPr>
              <w:numPr>
                <w:ilvl w:val="0"/>
                <w:numId w:val="19"/>
              </w:numPr>
              <w:adjustRightInd w:val="0"/>
              <w:snapToGrid w:val="0"/>
              <w:ind w:left="709" w:right="709" w:firstLine="0"/>
              <w:jc w:val="both"/>
              <w:rPr>
                <w:rFonts w:ascii="Verdana" w:eastAsia="Verdana" w:hAnsi="Verdana" w:cs="Verdana"/>
                <w:sz w:val="21"/>
                <w:szCs w:val="21"/>
              </w:rPr>
            </w:pPr>
            <w:r w:rsidRPr="006019B1">
              <w:rPr>
                <w:rFonts w:ascii="Verdana" w:eastAsia="Verdana" w:hAnsi="Verdana" w:cs="Verdana"/>
                <w:sz w:val="21"/>
                <w:szCs w:val="21"/>
              </w:rPr>
              <w:t xml:space="preserve">Identificar los bienes o insumos que cumplan con la condición anterior y en relación con estos se calculará el promedio de su </w:t>
            </w:r>
            <w:r w:rsidRPr="006019B1">
              <w:rPr>
                <w:rFonts w:ascii="Verdana" w:eastAsia="Verdana" w:hAnsi="Verdana" w:cs="Verdana"/>
                <w:b/>
                <w:bCs/>
                <w:i/>
                <w:iCs/>
                <w:sz w:val="21"/>
                <w:szCs w:val="21"/>
              </w:rPr>
              <w:t>porcentaje de participación</w:t>
            </w:r>
            <w:r w:rsidRPr="006019B1">
              <w:rPr>
                <w:rFonts w:ascii="Verdana" w:eastAsia="Verdana" w:hAnsi="Verdana" w:cs="Verdana"/>
                <w:sz w:val="21"/>
                <w:szCs w:val="21"/>
              </w:rPr>
              <w:t xml:space="preserve">. El promedio se calculará realizando la sumatoria de los </w:t>
            </w:r>
            <w:r w:rsidRPr="006019B1">
              <w:rPr>
                <w:rFonts w:ascii="Verdana" w:eastAsia="Verdana" w:hAnsi="Verdana" w:cs="Verdana"/>
                <w:b/>
                <w:bCs/>
                <w:i/>
                <w:iCs/>
                <w:sz w:val="21"/>
                <w:szCs w:val="21"/>
              </w:rPr>
              <w:t>porcentajes de participación</w:t>
            </w:r>
            <w:r w:rsidRPr="006019B1">
              <w:rPr>
                <w:rFonts w:ascii="Verdana" w:eastAsia="Verdana" w:hAnsi="Verdana" w:cs="Verdana"/>
                <w:b/>
                <w:bCs/>
                <w:sz w:val="21"/>
                <w:szCs w:val="21"/>
              </w:rPr>
              <w:t xml:space="preserve"> </w:t>
            </w:r>
            <w:r w:rsidRPr="006019B1">
              <w:rPr>
                <w:rFonts w:ascii="Verdana" w:eastAsia="Verdana" w:hAnsi="Verdana" w:cs="Verdana"/>
                <w:sz w:val="21"/>
                <w:szCs w:val="21"/>
              </w:rPr>
              <w:t xml:space="preserve">de cada bien, resultado que luego se dividirá entre el número de bienes que se promedian. </w:t>
            </w:r>
          </w:p>
          <w:p w14:paraId="195C4CE2" w14:textId="77777777" w:rsidR="006019B1" w:rsidRPr="006019B1" w:rsidRDefault="006019B1" w:rsidP="006019B1">
            <w:pPr>
              <w:adjustRightInd w:val="0"/>
              <w:snapToGrid w:val="0"/>
              <w:ind w:left="709" w:right="709"/>
              <w:jc w:val="both"/>
              <w:rPr>
                <w:rFonts w:ascii="Verdana" w:eastAsia="Verdana" w:hAnsi="Verdana" w:cs="Verdana"/>
                <w:sz w:val="21"/>
                <w:szCs w:val="21"/>
              </w:rPr>
            </w:pPr>
          </w:p>
          <w:p w14:paraId="04FE2DCE" w14:textId="77777777" w:rsidR="006019B1" w:rsidRPr="006019B1" w:rsidRDefault="006019B1" w:rsidP="006019B1">
            <w:pPr>
              <w:numPr>
                <w:ilvl w:val="0"/>
                <w:numId w:val="19"/>
              </w:numPr>
              <w:adjustRightInd w:val="0"/>
              <w:snapToGrid w:val="0"/>
              <w:ind w:left="709" w:right="709" w:firstLine="0"/>
              <w:jc w:val="both"/>
              <w:rPr>
                <w:rFonts w:ascii="Verdana" w:eastAsia="Verdana" w:hAnsi="Verdana" w:cs="Verdana"/>
                <w:sz w:val="21"/>
                <w:szCs w:val="21"/>
              </w:rPr>
            </w:pPr>
            <w:r w:rsidRPr="006019B1">
              <w:rPr>
                <w:rFonts w:ascii="Verdana" w:eastAsia="Verdana" w:hAnsi="Verdana" w:cs="Verdana"/>
                <w:sz w:val="21"/>
                <w:szCs w:val="21"/>
              </w:rPr>
              <w:lastRenderedPageBreak/>
              <w:t xml:space="preserve">Los bienes relevantes serán aquellos cuyo </w:t>
            </w:r>
            <w:r w:rsidRPr="006019B1">
              <w:rPr>
                <w:rFonts w:ascii="Verdana" w:eastAsia="Verdana" w:hAnsi="Verdana" w:cs="Verdana"/>
                <w:b/>
                <w:bCs/>
                <w:i/>
                <w:iCs/>
                <w:sz w:val="21"/>
                <w:szCs w:val="21"/>
              </w:rPr>
              <w:t>porcentaje de participación</w:t>
            </w:r>
            <w:r w:rsidRPr="006019B1">
              <w:rPr>
                <w:rFonts w:ascii="Verdana" w:eastAsia="Verdana" w:hAnsi="Verdana" w:cs="Verdana"/>
                <w:sz w:val="21"/>
                <w:szCs w:val="21"/>
              </w:rPr>
              <w:t xml:space="preserve"> sea igual o superior al promedio calculado en el paso anterior. </w:t>
            </w:r>
          </w:p>
          <w:p w14:paraId="262FF80D" w14:textId="77777777" w:rsidR="006019B1" w:rsidRPr="006019B1" w:rsidRDefault="006019B1" w:rsidP="006019B1">
            <w:pPr>
              <w:adjustRightInd w:val="0"/>
              <w:snapToGrid w:val="0"/>
              <w:ind w:left="709" w:right="709"/>
              <w:jc w:val="both"/>
              <w:rPr>
                <w:rFonts w:ascii="Verdana" w:eastAsia="Verdana" w:hAnsi="Verdana" w:cs="Verdana"/>
                <w:sz w:val="21"/>
                <w:szCs w:val="21"/>
              </w:rPr>
            </w:pPr>
          </w:p>
          <w:p w14:paraId="194BD7C0" w14:textId="77777777" w:rsidR="006019B1" w:rsidRPr="006019B1" w:rsidRDefault="006019B1" w:rsidP="006019B1">
            <w:pPr>
              <w:numPr>
                <w:ilvl w:val="0"/>
                <w:numId w:val="19"/>
              </w:numPr>
              <w:adjustRightInd w:val="0"/>
              <w:snapToGrid w:val="0"/>
              <w:ind w:left="709" w:right="709" w:firstLine="0"/>
              <w:jc w:val="both"/>
              <w:rPr>
                <w:rFonts w:ascii="Verdana" w:eastAsia="Verdana" w:hAnsi="Verdana" w:cs="Verdana"/>
                <w:sz w:val="21"/>
                <w:szCs w:val="21"/>
                <w:lang w:val="es-MX"/>
              </w:rPr>
            </w:pPr>
            <w:r w:rsidRPr="006019B1">
              <w:rPr>
                <w:rFonts w:ascii="Verdana" w:eastAsia="Verdana" w:hAnsi="Verdana" w:cs="Verdana"/>
                <w:sz w:val="21"/>
                <w:szCs w:val="21"/>
              </w:rPr>
              <w:t xml:space="preserve">Verificar si </w:t>
            </w:r>
            <w:r w:rsidRPr="006019B1">
              <w:rPr>
                <w:rFonts w:ascii="Verdana" w:eastAsia="Verdana" w:hAnsi="Verdana" w:cs="Verdana"/>
                <w:sz w:val="21"/>
                <w:szCs w:val="21"/>
                <w:lang w:val="es-419"/>
              </w:rPr>
              <w:t xml:space="preserve">uno o varios </w:t>
            </w:r>
            <w:r w:rsidRPr="006019B1">
              <w:rPr>
                <w:rFonts w:ascii="Verdana" w:eastAsia="Verdana" w:hAnsi="Verdana" w:cs="Verdana"/>
                <w:sz w:val="21"/>
                <w:szCs w:val="21"/>
              </w:rPr>
              <w:t xml:space="preserve">bienes que cumplan con lo previsto en el numeral anterior se encuentran incluidos en el Registro de Productores de Bienes Nacionales, en los términos del Decreto 2680 de 2009. De estar incorporados, la Entidad Estatal </w:t>
            </w:r>
            <w:r w:rsidRPr="006019B1">
              <w:rPr>
                <w:rFonts w:ascii="Verdana" w:eastAsia="Verdana" w:hAnsi="Verdana" w:cs="Verdana"/>
                <w:sz w:val="21"/>
                <w:szCs w:val="21"/>
                <w:lang w:val="es-MX"/>
              </w:rPr>
              <w:t xml:space="preserve">verificará al momento de publicar el pliego de condiciones definitivo que el registro del bien o insumo esté vigente hasta una fecha posterior a la del cierre del proceso. Para tal efecto, se entiende por fecha del cierre la publicada en el pliego de condiciones definitivo. Verificada la fecha de registro de estos bienes estos serán los que incluya en el numeral 4.4.1 del Pliego de Condiciones. </w:t>
            </w:r>
          </w:p>
          <w:p w14:paraId="0DA0B01A" w14:textId="77777777" w:rsidR="006019B1" w:rsidRPr="006019B1" w:rsidRDefault="006019B1" w:rsidP="006019B1">
            <w:pPr>
              <w:adjustRightInd w:val="0"/>
              <w:snapToGrid w:val="0"/>
              <w:ind w:left="709" w:right="709"/>
              <w:jc w:val="both"/>
              <w:rPr>
                <w:rFonts w:ascii="Verdana" w:eastAsia="Verdana" w:hAnsi="Verdana" w:cs="Verdana"/>
                <w:sz w:val="21"/>
                <w:szCs w:val="21"/>
              </w:rPr>
            </w:pPr>
          </w:p>
          <w:p w14:paraId="689096A1" w14:textId="77777777" w:rsidR="006019B1" w:rsidRPr="006019B1" w:rsidRDefault="006019B1" w:rsidP="006019B1">
            <w:pPr>
              <w:numPr>
                <w:ilvl w:val="0"/>
                <w:numId w:val="19"/>
              </w:numPr>
              <w:adjustRightInd w:val="0"/>
              <w:snapToGrid w:val="0"/>
              <w:ind w:left="709" w:right="709" w:firstLine="0"/>
              <w:jc w:val="both"/>
              <w:rPr>
                <w:rFonts w:ascii="Verdana" w:eastAsia="Verdana" w:hAnsi="Verdana" w:cs="Verdana"/>
                <w:sz w:val="21"/>
                <w:szCs w:val="21"/>
              </w:rPr>
            </w:pPr>
            <w:r w:rsidRPr="006019B1">
              <w:rPr>
                <w:rFonts w:ascii="Verdana" w:eastAsia="Verdana" w:hAnsi="Verdana" w:cs="Verdana"/>
                <w:sz w:val="21"/>
                <w:szCs w:val="21"/>
              </w:rPr>
              <w:t xml:space="preserve">Si </w:t>
            </w:r>
            <w:proofErr w:type="gramStart"/>
            <w:r w:rsidRPr="006019B1">
              <w:rPr>
                <w:rFonts w:ascii="Verdana" w:eastAsia="Verdana" w:hAnsi="Verdana" w:cs="Verdana"/>
                <w:sz w:val="21"/>
                <w:szCs w:val="21"/>
              </w:rPr>
              <w:t>ninguno de los bienes relevantes están</w:t>
            </w:r>
            <w:proofErr w:type="gramEnd"/>
            <w:r w:rsidRPr="006019B1">
              <w:rPr>
                <w:rFonts w:ascii="Verdana" w:eastAsia="Verdana" w:hAnsi="Verdana" w:cs="Verdana"/>
                <w:sz w:val="21"/>
                <w:szCs w:val="21"/>
              </w:rPr>
              <w:t xml:space="preserve"> incluidos en el Registro de Productores de Bienes Nacionales, la Entidad Estatal otorgará el puntaje a los Proponentes que se comprometan a vincular un porcentaje de empleados o contratistas por prestación de servicios colombianos de al menos el [</w:t>
            </w:r>
            <w:r w:rsidRPr="006019B1">
              <w:rPr>
                <w:rFonts w:ascii="Verdana" w:eastAsia="Verdana" w:hAnsi="Verdana" w:cs="Verdana"/>
                <w:sz w:val="21"/>
                <w:szCs w:val="21"/>
                <w:highlight w:val="lightGray"/>
                <w:lang w:val="es-MX"/>
              </w:rPr>
              <w:t>l</w:t>
            </w:r>
            <w:r w:rsidRPr="006019B1">
              <w:rPr>
                <w:rFonts w:ascii="Verdana" w:eastAsia="Verdana" w:hAnsi="Verdana" w:cs="Verdana"/>
                <w:sz w:val="21"/>
                <w:szCs w:val="21"/>
                <w:highlight w:val="lightGray"/>
                <w:lang w:val="es-ES"/>
              </w:rPr>
              <w:t>a Entidad Estatal incluirá el porcentaje definido en el numeral 4.4.1 del documento base</w:t>
            </w:r>
            <w:r w:rsidRPr="006019B1">
              <w:rPr>
                <w:rFonts w:ascii="Verdana" w:eastAsia="Verdana" w:hAnsi="Verdana" w:cs="Verdana"/>
                <w:sz w:val="21"/>
                <w:szCs w:val="21"/>
                <w:lang w:val="es-ES"/>
              </w:rPr>
              <w:t xml:space="preserve">] </w:t>
            </w:r>
            <w:r w:rsidRPr="006019B1">
              <w:rPr>
                <w:rFonts w:ascii="Verdana" w:eastAsia="Verdana" w:hAnsi="Verdana" w:cs="Verdana"/>
                <w:sz w:val="21"/>
                <w:szCs w:val="21"/>
              </w:rPr>
              <w:t xml:space="preserve">del personal requerido para el cumplimiento del contrato. </w:t>
            </w:r>
          </w:p>
          <w:p w14:paraId="0DEF9FBE" w14:textId="77777777" w:rsidR="006019B1" w:rsidRPr="006019B1" w:rsidRDefault="006019B1" w:rsidP="006019B1">
            <w:pPr>
              <w:tabs>
                <w:tab w:val="left" w:pos="709"/>
              </w:tabs>
              <w:adjustRightInd w:val="0"/>
              <w:snapToGrid w:val="0"/>
              <w:ind w:right="709"/>
              <w:jc w:val="both"/>
              <w:rPr>
                <w:rFonts w:ascii="Verdana" w:eastAsia="Calibri" w:hAnsi="Verdana" w:cs="Arial"/>
                <w:bCs/>
                <w:color w:val="000000"/>
                <w:lang w:val="es-ES_tradnl"/>
              </w:rPr>
            </w:pPr>
          </w:p>
          <w:p w14:paraId="3CCFFC2A" w14:textId="77777777" w:rsidR="006019B1" w:rsidRPr="006019B1" w:rsidRDefault="006019B1" w:rsidP="006019B1">
            <w:pPr>
              <w:tabs>
                <w:tab w:val="left" w:pos="709"/>
              </w:tabs>
              <w:adjustRightInd w:val="0"/>
              <w:snapToGrid w:val="0"/>
              <w:spacing w:after="120" w:line="276" w:lineRule="auto"/>
              <w:ind w:firstLine="709"/>
              <w:jc w:val="both"/>
              <w:rPr>
                <w:rFonts w:ascii="Verdana" w:eastAsia="Calibri" w:hAnsi="Verdana" w:cs="Arial"/>
                <w:bCs/>
                <w:color w:val="000000"/>
                <w:lang w:val="es-ES_tradnl"/>
              </w:rPr>
            </w:pPr>
            <w:r w:rsidRPr="006019B1">
              <w:rPr>
                <w:rFonts w:ascii="Verdana" w:eastAsia="Calibri" w:hAnsi="Verdana" w:cs="Arial"/>
                <w:bCs/>
                <w:color w:val="000000"/>
                <w:lang w:val="es-ES_tradnl"/>
              </w:rPr>
              <w:t xml:space="preserve">El porcentaje, en el caso de la </w:t>
            </w:r>
            <w:r w:rsidRPr="006019B1">
              <w:rPr>
                <w:rFonts w:ascii="Verdana" w:eastAsia="Calibri" w:hAnsi="Verdana" w:cs="Arial"/>
                <w:bCs/>
                <w:i/>
                <w:iCs/>
                <w:color w:val="000000"/>
                <w:lang w:val="es-ES_tradnl"/>
              </w:rPr>
              <w:t xml:space="preserve">opción 2 </w:t>
            </w:r>
            <w:r w:rsidRPr="006019B1">
              <w:rPr>
                <w:rFonts w:ascii="Verdana" w:eastAsia="Calibri" w:hAnsi="Verdana" w:cs="Arial"/>
                <w:bCs/>
                <w:color w:val="000000"/>
                <w:lang w:val="es-ES_tradnl"/>
              </w:rPr>
              <w:t>sobre empleados o contratistas por prestación de servicios colombianos, debe corresponder como mínimo al cuarenta por ciento (40 %) del personal requerido para el cumplimiento del contrato.</w:t>
            </w:r>
          </w:p>
          <w:p w14:paraId="12099D52" w14:textId="77777777" w:rsidR="006019B1" w:rsidRPr="006019B1" w:rsidRDefault="006019B1" w:rsidP="006019B1">
            <w:pPr>
              <w:tabs>
                <w:tab w:val="left" w:pos="709"/>
              </w:tabs>
              <w:adjustRightInd w:val="0"/>
              <w:snapToGrid w:val="0"/>
              <w:spacing w:after="120" w:line="276" w:lineRule="auto"/>
              <w:ind w:firstLine="709"/>
              <w:jc w:val="both"/>
              <w:rPr>
                <w:rFonts w:ascii="Verdana" w:eastAsia="Calibri" w:hAnsi="Verdana" w:cs="Arial"/>
                <w:bCs/>
                <w:color w:val="000000"/>
                <w:lang w:val="es-ES_tradnl"/>
              </w:rPr>
            </w:pPr>
            <w:r w:rsidRPr="006019B1">
              <w:rPr>
                <w:rFonts w:ascii="Verdana" w:eastAsia="Calibri" w:hAnsi="Verdana" w:cs="Arial"/>
                <w:bCs/>
                <w:color w:val="000000"/>
                <w:lang w:val="es-ES_tradnl"/>
              </w:rPr>
              <w:t xml:space="preserve">Por su parte, en lo que respecta a los proponentes, estos diligenciarán el Formato 9 – Puntaje de Industria Nacional, dependiendo de si se trata de: i) promoción de servicios nacionales o con trato nacional –Formato 9A–, o incorporación de componente nacional en servicios extranjeros –Formato 9B–. Lo anterior, de conformidad con las instrucciones señaladas en los citados formatos. </w:t>
            </w:r>
          </w:p>
          <w:p w14:paraId="15E4FFE6" w14:textId="77777777" w:rsidR="006019B1" w:rsidRPr="006019B1" w:rsidRDefault="006019B1" w:rsidP="006019B1">
            <w:pPr>
              <w:tabs>
                <w:tab w:val="left" w:pos="709"/>
              </w:tabs>
              <w:adjustRightInd w:val="0"/>
              <w:snapToGrid w:val="0"/>
              <w:spacing w:line="276" w:lineRule="auto"/>
              <w:ind w:firstLine="709"/>
              <w:jc w:val="both"/>
              <w:rPr>
                <w:rFonts w:ascii="Verdana" w:eastAsia="Calibri" w:hAnsi="Verdana" w:cs="Arial"/>
                <w:bCs/>
                <w:color w:val="000000"/>
                <w:lang w:val="es-ES_tradnl"/>
              </w:rPr>
            </w:pPr>
            <w:r w:rsidRPr="006019B1">
              <w:rPr>
                <w:rFonts w:ascii="Verdana" w:eastAsia="Calibri" w:hAnsi="Verdana" w:cs="Arial"/>
                <w:bCs/>
                <w:color w:val="000000"/>
                <w:lang w:val="es-ES_tradnl"/>
              </w:rPr>
              <w:t xml:space="preserve">Finalmente, debe precisarse que el numeral 4.8 </w:t>
            </w:r>
            <w:r w:rsidRPr="006019B1">
              <w:rPr>
                <w:rFonts w:ascii="Verdana" w:eastAsia="Calibri" w:hAnsi="Verdana" w:cs="Arial"/>
                <w:bCs/>
                <w:i/>
                <w:iCs/>
                <w:color w:val="000000"/>
                <w:lang w:val="es-ES_tradnl"/>
              </w:rPr>
              <w:t>“Criterios de desempate”</w:t>
            </w:r>
            <w:r w:rsidRPr="006019B1">
              <w:rPr>
                <w:rFonts w:ascii="Verdana" w:eastAsia="Calibri" w:hAnsi="Verdana" w:cs="Arial"/>
                <w:bCs/>
                <w:color w:val="000000"/>
                <w:lang w:val="es-ES_tradnl"/>
              </w:rPr>
              <w:t xml:space="preserve"> del documento base de los documentos tipo de infraestructura social, dispone:</w:t>
            </w:r>
          </w:p>
          <w:p w14:paraId="0D39DB5F" w14:textId="77777777" w:rsidR="006019B1" w:rsidRPr="006019B1" w:rsidRDefault="006019B1" w:rsidP="006019B1">
            <w:pPr>
              <w:tabs>
                <w:tab w:val="left" w:pos="709"/>
              </w:tabs>
              <w:adjustRightInd w:val="0"/>
              <w:snapToGrid w:val="0"/>
              <w:ind w:left="709" w:right="709"/>
              <w:jc w:val="both"/>
              <w:rPr>
                <w:rFonts w:ascii="Verdana" w:eastAsia="Calibri" w:hAnsi="Verdana" w:cs="Arial"/>
                <w:bCs/>
                <w:color w:val="000000"/>
                <w:sz w:val="21"/>
                <w:szCs w:val="21"/>
                <w:lang w:val="es-ES_tradnl"/>
              </w:rPr>
            </w:pPr>
          </w:p>
          <w:p w14:paraId="7FA1838E" w14:textId="77777777" w:rsidR="006019B1" w:rsidRPr="006019B1" w:rsidRDefault="006019B1" w:rsidP="006019B1">
            <w:pPr>
              <w:shd w:val="clear" w:color="auto" w:fill="FFFFFF"/>
              <w:adjustRightInd w:val="0"/>
              <w:snapToGrid w:val="0"/>
              <w:ind w:left="709" w:right="709"/>
              <w:jc w:val="both"/>
              <w:rPr>
                <w:rFonts w:ascii="Verdana" w:eastAsia="Calibri" w:hAnsi="Verdana" w:cs="Arial"/>
                <w:sz w:val="21"/>
                <w:szCs w:val="21"/>
                <w:lang w:val="es-MX"/>
              </w:rPr>
            </w:pPr>
            <w:r w:rsidRPr="006019B1">
              <w:rPr>
                <w:rFonts w:ascii="Verdana" w:eastAsia="Calibri" w:hAnsi="Verdana" w:cs="Arial"/>
                <w:sz w:val="21"/>
                <w:szCs w:val="21"/>
                <w:lang w:val="es-MX"/>
              </w:rPr>
              <w:t xml:space="preserve">“En caso de empate en el puntaje total de dos o más ofertas deberán aplicarse las siguientes reglas de acuerdo con cada uno de los numerales, de forma sucesiva y excluyente, para seleccionar al </w:t>
            </w:r>
            <w:r w:rsidRPr="006019B1">
              <w:rPr>
                <w:rFonts w:ascii="Verdana" w:eastAsia="Calibri" w:hAnsi="Verdana" w:cs="Arial"/>
                <w:sz w:val="21"/>
                <w:szCs w:val="21"/>
                <w:lang w:val="es-MX"/>
              </w:rPr>
              <w:lastRenderedPageBreak/>
              <w:t>proponente favorecido, respetando en todo caso las obligaciones contenidas en los Acuerdos Comerciales vigentes, especialmente en materia de trato nacional:</w:t>
            </w:r>
          </w:p>
          <w:p w14:paraId="7240D9B1" w14:textId="77777777" w:rsidR="006019B1" w:rsidRPr="006019B1" w:rsidRDefault="006019B1" w:rsidP="006019B1">
            <w:pPr>
              <w:shd w:val="clear" w:color="auto" w:fill="FFFFFF"/>
              <w:adjustRightInd w:val="0"/>
              <w:snapToGrid w:val="0"/>
              <w:ind w:left="709" w:right="709"/>
              <w:jc w:val="both"/>
              <w:rPr>
                <w:rFonts w:ascii="Verdana" w:eastAsia="Calibri" w:hAnsi="Verdana" w:cs="Arial"/>
                <w:color w:val="000000"/>
                <w:sz w:val="21"/>
                <w:szCs w:val="21"/>
                <w:lang w:val="es-MX"/>
              </w:rPr>
            </w:pPr>
          </w:p>
          <w:p w14:paraId="3CEC45ED" w14:textId="77777777" w:rsidR="006019B1" w:rsidRPr="006019B1" w:rsidRDefault="006019B1" w:rsidP="006019B1">
            <w:pPr>
              <w:numPr>
                <w:ilvl w:val="0"/>
                <w:numId w:val="20"/>
              </w:numPr>
              <w:tabs>
                <w:tab w:val="left" w:pos="284"/>
                <w:tab w:val="left" w:pos="851"/>
                <w:tab w:val="left" w:pos="993"/>
              </w:tabs>
              <w:adjustRightInd w:val="0"/>
              <w:snapToGrid w:val="0"/>
              <w:ind w:left="709" w:right="709" w:firstLine="0"/>
              <w:jc w:val="both"/>
              <w:rPr>
                <w:rFonts w:ascii="Verdana" w:eastAsia="Calibri" w:hAnsi="Verdana" w:cs="Arial"/>
                <w:color w:val="000000"/>
                <w:sz w:val="21"/>
                <w:szCs w:val="21"/>
                <w:lang w:val="es-MX"/>
              </w:rPr>
            </w:pPr>
            <w:r w:rsidRPr="006019B1">
              <w:rPr>
                <w:rFonts w:ascii="Verdana" w:eastAsia="Calibri" w:hAnsi="Verdana" w:cs="Arial"/>
                <w:sz w:val="21"/>
                <w:szCs w:val="21"/>
                <w:lang w:val="es-MX"/>
              </w:rPr>
              <w:t xml:space="preserve">Preferir la oferta de bienes o servicios nacionales frente a la oferta de bienes o servicios extranjeros. El </w:t>
            </w:r>
            <w:r w:rsidRPr="006019B1" w:rsidDel="7EB69AB8">
              <w:rPr>
                <w:rFonts w:ascii="Verdana" w:eastAsia="Calibri" w:hAnsi="Verdana" w:cs="Arial"/>
                <w:sz w:val="21"/>
                <w:szCs w:val="21"/>
                <w:lang w:val="es-MX"/>
              </w:rPr>
              <w:t>P</w:t>
            </w:r>
            <w:r w:rsidRPr="006019B1">
              <w:rPr>
                <w:rFonts w:ascii="Verdana" w:eastAsia="Calibri" w:hAnsi="Verdana" w:cs="Arial"/>
                <w:sz w:val="21"/>
                <w:szCs w:val="21"/>
                <w:lang w:val="es-MX"/>
              </w:rPr>
              <w:t xml:space="preserve">roponente acreditará este factor de desempate de acuerdo con las reglas definidas en el numeral 4.3.1 y con los documentos señalados en la sección 4.3.1.1 del </w:t>
            </w:r>
            <w:r w:rsidRPr="006019B1">
              <w:rPr>
                <w:rFonts w:ascii="Verdana" w:eastAsia="Aptos" w:hAnsi="Verdana" w:cs="Times New Roman"/>
                <w:sz w:val="21"/>
                <w:szCs w:val="21"/>
                <w:lang w:val="es-ES_tradnl"/>
              </w:rPr>
              <w:t xml:space="preserve">presente </w:t>
            </w:r>
            <w:r w:rsidRPr="006019B1" w:rsidDel="7EB69AB8">
              <w:rPr>
                <w:rFonts w:ascii="Verdana" w:eastAsia="Calibri" w:hAnsi="Verdana" w:cs="Arial"/>
                <w:sz w:val="21"/>
                <w:szCs w:val="21"/>
                <w:lang w:val="es-MX"/>
              </w:rPr>
              <w:t>Pliego de Condiciones</w:t>
            </w:r>
            <w:r w:rsidRPr="006019B1">
              <w:rPr>
                <w:rFonts w:ascii="Verdana" w:eastAsia="Calibri" w:hAnsi="Verdana" w:cs="Arial"/>
                <w:sz w:val="21"/>
                <w:szCs w:val="21"/>
                <w:lang w:val="es-MX"/>
              </w:rPr>
              <w:t xml:space="preserve">. Por tanto, este criterio de desempate se probará con los mismos documentos que se presentan para el puntaje de apoyo a la industria nacional. Para el caso de los Proponentes </w:t>
            </w:r>
            <w:r w:rsidRPr="006019B1" w:rsidDel="7EB69AB8">
              <w:rPr>
                <w:rFonts w:ascii="Verdana" w:eastAsia="Calibri" w:hAnsi="Verdana" w:cs="Arial"/>
                <w:sz w:val="21"/>
                <w:szCs w:val="21"/>
                <w:lang w:val="es-MX"/>
              </w:rPr>
              <w:t>P</w:t>
            </w:r>
            <w:r w:rsidRPr="006019B1">
              <w:rPr>
                <w:rFonts w:ascii="Verdana" w:eastAsia="Calibri" w:hAnsi="Verdana" w:cs="Arial"/>
                <w:sz w:val="21"/>
                <w:szCs w:val="21"/>
                <w:lang w:val="es-MX"/>
              </w:rPr>
              <w:t xml:space="preserve">lurales, todos los integrantes deberán demostrar el origen nacional de la oferta en las condiciones indicadas en los numerales anteriormente citados. </w:t>
            </w:r>
          </w:p>
          <w:p w14:paraId="4F435ADB" w14:textId="77777777" w:rsidR="006019B1" w:rsidRPr="006019B1" w:rsidRDefault="006019B1" w:rsidP="006019B1">
            <w:pPr>
              <w:tabs>
                <w:tab w:val="left" w:pos="284"/>
                <w:tab w:val="left" w:pos="851"/>
                <w:tab w:val="left" w:pos="993"/>
              </w:tabs>
              <w:adjustRightInd w:val="0"/>
              <w:snapToGrid w:val="0"/>
              <w:ind w:left="709" w:right="709"/>
              <w:jc w:val="both"/>
              <w:rPr>
                <w:rFonts w:ascii="Verdana" w:eastAsia="Calibri" w:hAnsi="Verdana" w:cs="Arial"/>
                <w:color w:val="000000"/>
                <w:sz w:val="21"/>
                <w:szCs w:val="21"/>
                <w:lang w:val="es-MX"/>
              </w:rPr>
            </w:pPr>
            <w:r w:rsidRPr="006019B1">
              <w:rPr>
                <w:rFonts w:ascii="Verdana" w:eastAsia="Calibri" w:hAnsi="Verdana" w:cs="Arial"/>
                <w:sz w:val="21"/>
                <w:szCs w:val="21"/>
                <w:lang w:val="es-MX"/>
              </w:rPr>
              <w:t>[…]”</w:t>
            </w:r>
          </w:p>
          <w:p w14:paraId="66016184" w14:textId="77777777" w:rsidR="006019B1" w:rsidRPr="006019B1" w:rsidRDefault="006019B1" w:rsidP="006019B1">
            <w:pPr>
              <w:tabs>
                <w:tab w:val="left" w:pos="709"/>
              </w:tabs>
              <w:adjustRightInd w:val="0"/>
              <w:snapToGrid w:val="0"/>
              <w:ind w:firstLine="709"/>
              <w:jc w:val="both"/>
              <w:rPr>
                <w:rFonts w:ascii="Verdana" w:eastAsia="Calibri" w:hAnsi="Verdana" w:cs="Arial"/>
                <w:bCs/>
                <w:color w:val="000000"/>
                <w:lang w:val="es-ES_tradnl"/>
              </w:rPr>
            </w:pPr>
          </w:p>
          <w:p w14:paraId="5E06FC9D" w14:textId="77777777" w:rsidR="006019B1" w:rsidRPr="006019B1" w:rsidRDefault="006019B1" w:rsidP="006019B1">
            <w:pPr>
              <w:tabs>
                <w:tab w:val="left" w:pos="709"/>
              </w:tabs>
              <w:adjustRightInd w:val="0"/>
              <w:snapToGrid w:val="0"/>
              <w:spacing w:line="276" w:lineRule="auto"/>
              <w:ind w:firstLine="709"/>
              <w:jc w:val="both"/>
              <w:rPr>
                <w:rFonts w:ascii="Verdana" w:eastAsia="Calibri" w:hAnsi="Verdana" w:cs="Arial"/>
                <w:bCs/>
                <w:color w:val="000000"/>
                <w:lang w:val="es-ES_tradnl"/>
              </w:rPr>
            </w:pPr>
            <w:r w:rsidRPr="006019B1">
              <w:rPr>
                <w:rFonts w:ascii="Verdana" w:eastAsia="Calibri" w:hAnsi="Verdana" w:cs="Arial"/>
                <w:bCs/>
                <w:color w:val="000000"/>
                <w:lang w:val="es-ES_tradnl"/>
              </w:rPr>
              <w:t>El anterior se trata del primer criterio que debe tener en cuenta la entidad contratante en caso de que se presente un empate en el puntaje de las ofertas presentadas al respectivo proceso de contratación. Por lo tanto, si bien el aludido criterio de desempate se encuentra relacionado con el puntaje de Industria Nacional e incluso a la regulación que al respecto contempla el documento base, lo cierto es que, en este caso, se trata de una regla para seleccionar al proponente favorecido, que difiere significativamente del puntaje por Apoyo a la Industria Nacional regulado en los numerales 4.3 y siguientes del documento base.</w:t>
            </w:r>
          </w:p>
        </w:tc>
      </w:tr>
    </w:tbl>
    <w:p w14:paraId="5DA2F9BE" w14:textId="77777777" w:rsidR="006019B1" w:rsidRPr="006019B1" w:rsidRDefault="006019B1" w:rsidP="006019B1">
      <w:pPr>
        <w:tabs>
          <w:tab w:val="left" w:pos="142"/>
          <w:tab w:val="left" w:pos="284"/>
        </w:tabs>
        <w:snapToGrid w:val="0"/>
        <w:spacing w:after="0" w:line="276" w:lineRule="auto"/>
        <w:jc w:val="both"/>
        <w:rPr>
          <w:rFonts w:ascii="Verdana" w:eastAsia="Century Gothic" w:hAnsi="Verdana" w:cs="Century Gothic"/>
          <w:b/>
          <w:bCs/>
          <w:lang w:val="es-ES_tradnl"/>
        </w:rPr>
      </w:pPr>
    </w:p>
    <w:p w14:paraId="5053DE44" w14:textId="77777777" w:rsidR="006019B1" w:rsidRPr="006019B1" w:rsidRDefault="006019B1" w:rsidP="006019B1">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6019B1">
        <w:rPr>
          <w:rFonts w:ascii="Verdana" w:eastAsia="Century Gothic" w:hAnsi="Verdana" w:cs="Century Gothic"/>
          <w:b/>
          <w:bCs/>
          <w:lang w:val="es-ES_tradnl"/>
        </w:rPr>
        <w:t>Razones de la respuesta:</w:t>
      </w:r>
    </w:p>
    <w:p w14:paraId="3C82B44A" w14:textId="77777777" w:rsidR="006019B1" w:rsidRPr="006019B1" w:rsidRDefault="006019B1" w:rsidP="006019B1">
      <w:pPr>
        <w:tabs>
          <w:tab w:val="left" w:pos="142"/>
          <w:tab w:val="left" w:pos="284"/>
        </w:tabs>
        <w:snapToGrid w:val="0"/>
        <w:spacing w:after="0" w:line="276" w:lineRule="auto"/>
        <w:ind w:left="357"/>
        <w:jc w:val="both"/>
        <w:rPr>
          <w:rFonts w:ascii="Verdana" w:eastAsia="Century Gothic" w:hAnsi="Verdana" w:cs="Century Gothic"/>
          <w:b/>
          <w:bCs/>
          <w:lang w:val="es-ES_tradnl"/>
        </w:rPr>
      </w:pPr>
    </w:p>
    <w:p w14:paraId="7D4B4FB3" w14:textId="77777777" w:rsidR="006019B1" w:rsidRPr="006019B1" w:rsidRDefault="006019B1" w:rsidP="006019B1">
      <w:pPr>
        <w:snapToGrid w:val="0"/>
        <w:spacing w:after="0" w:line="276" w:lineRule="auto"/>
        <w:jc w:val="both"/>
        <w:rPr>
          <w:rFonts w:ascii="Verdana" w:eastAsia="Calibri" w:hAnsi="Verdana" w:cs="Arial"/>
          <w:lang w:val="es-ES_tradnl"/>
        </w:rPr>
      </w:pPr>
      <w:r w:rsidRPr="006019B1">
        <w:rPr>
          <w:rFonts w:ascii="Verdana" w:eastAsia="Calibri" w:hAnsi="Verdana" w:cs="Arial"/>
          <w:lang w:val="es-ES_tradnl"/>
        </w:rPr>
        <w:t xml:space="preserve">Lo anterior se sustenta en las siguientes consideraciones: </w:t>
      </w:r>
    </w:p>
    <w:p w14:paraId="4D3D778B" w14:textId="77777777" w:rsidR="006019B1" w:rsidRPr="006019B1" w:rsidRDefault="006019B1" w:rsidP="006019B1">
      <w:pPr>
        <w:snapToGrid w:val="0"/>
        <w:spacing w:after="0" w:line="276" w:lineRule="auto"/>
        <w:jc w:val="both"/>
        <w:rPr>
          <w:rFonts w:ascii="Verdana" w:eastAsia="Calibri" w:hAnsi="Verdana" w:cs="Arial"/>
          <w:lang w:val="es-ES_tradnl"/>
        </w:rPr>
      </w:pPr>
    </w:p>
    <w:p w14:paraId="4A1FF087" w14:textId="77777777" w:rsidR="006019B1" w:rsidRPr="006019B1" w:rsidRDefault="006019B1" w:rsidP="006019B1">
      <w:pPr>
        <w:spacing w:after="120"/>
        <w:jc w:val="both"/>
        <w:rPr>
          <w:rFonts w:ascii="Verdana" w:eastAsia="Aptos" w:hAnsi="Verdana" w:cs="ArialMT"/>
        </w:rPr>
      </w:pPr>
      <w:r w:rsidRPr="006019B1">
        <w:rPr>
          <w:rFonts w:ascii="Verdana" w:eastAsia="Aptos" w:hAnsi="Verdana" w:cs="Arial"/>
        </w:rPr>
        <w:t xml:space="preserve">Los documentos tipo expedidos por la Agencia Nacional de Contratación Pública </w:t>
      </w:r>
      <w:r w:rsidRPr="006019B1">
        <w:rPr>
          <w:rFonts w:ascii="Verdana" w:eastAsia="Aptos" w:hAnsi="Verdana" w:cs="ArialMT"/>
        </w:rPr>
        <w:t xml:space="preserve">– Colombia Compra Eficiente </w:t>
      </w:r>
      <w:r w:rsidRPr="006019B1">
        <w:rPr>
          <w:rFonts w:ascii="Verdana" w:eastAsia="Aptos" w:hAnsi="Verdana" w:cs="Arial"/>
        </w:rPr>
        <w:t>en ejercicio de la potestad otorgada</w:t>
      </w:r>
      <w:r w:rsidRPr="006019B1">
        <w:rPr>
          <w:rFonts w:ascii="Verdana" w:eastAsia="Aptos" w:hAnsi="Verdana" w:cs="ArialMT"/>
        </w:rPr>
        <w:t xml:space="preserve">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Así mismo, los sujetos obligados a su aplicación no podrán variar los requisitos que en ellos sean fijados, ni </w:t>
      </w:r>
      <w:r w:rsidRPr="006019B1">
        <w:rPr>
          <w:rFonts w:ascii="Verdana" w:eastAsia="Aptos" w:hAnsi="Verdana" w:cs="ArialMT"/>
        </w:rPr>
        <w:lastRenderedPageBreak/>
        <w:t>establecer reglas o requisitos adicionales a los establecidos en estos para la presentación de las ofertas y la acreditación de los requisitos habilitantes.</w:t>
      </w:r>
    </w:p>
    <w:p w14:paraId="465B4D80" w14:textId="77777777" w:rsidR="006019B1" w:rsidRPr="006019B1" w:rsidRDefault="006019B1" w:rsidP="006019B1">
      <w:pPr>
        <w:spacing w:after="120"/>
        <w:ind w:firstLine="708"/>
        <w:jc w:val="both"/>
        <w:rPr>
          <w:rFonts w:ascii="Verdana" w:eastAsia="Aptos" w:hAnsi="Verdana" w:cs="ArialMT"/>
        </w:rPr>
      </w:pPr>
      <w:r w:rsidRPr="006019B1">
        <w:rPr>
          <w:rFonts w:ascii="Verdana" w:eastAsia="Aptos" w:hAnsi="Verdana" w:cs="ArialMT"/>
        </w:rPr>
        <w:t>La Agencia Nacional de Contratación Pública – Colombia Compra Eficiente expidió documentos tipo para los sectores de infraestructura de transporte, agua potable y 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6019B1">
        <w:rPr>
          <w:rFonts w:ascii="Verdana" w:eastAsia="Calibri" w:hAnsi="Verdana" w:cs="Times New Roman"/>
          <w:vertAlign w:val="superscript"/>
        </w:rPr>
        <w:footnoteReference w:id="2"/>
      </w:r>
      <w:r w:rsidRPr="006019B1">
        <w:rPr>
          <w:rFonts w:ascii="Verdana" w:eastAsia="Aptos" w:hAnsi="Verdana" w:cs="ArialMT"/>
        </w:rPr>
        <w:t xml:space="preserve">. </w:t>
      </w:r>
    </w:p>
    <w:p w14:paraId="37B8F4E7" w14:textId="77777777" w:rsidR="006019B1" w:rsidRPr="006019B1" w:rsidRDefault="006019B1" w:rsidP="006019B1">
      <w:pPr>
        <w:snapToGrid w:val="0"/>
        <w:spacing w:after="120" w:line="276" w:lineRule="auto"/>
        <w:jc w:val="both"/>
        <w:rPr>
          <w:rFonts w:ascii="Verdana" w:eastAsia="Calibri" w:hAnsi="Verdana" w:cs="Arial"/>
          <w:lang w:val="es-ES" w:eastAsia="es-ES"/>
        </w:rPr>
      </w:pPr>
      <w:r w:rsidRPr="006019B1">
        <w:rPr>
          <w:rFonts w:ascii="Verdana" w:eastAsia="Times New Roman" w:hAnsi="Verdana" w:cs="Arial"/>
          <w:shd w:val="clear" w:color="auto" w:fill="FFFFFF"/>
          <w:lang w:val="es-ES_tradnl" w:eastAsia="es-ES_tradnl"/>
        </w:rPr>
        <w:tab/>
        <w:t>Todas las resoluciones expedidas por la Agencia Nacional de Contratación Pública – Colombia Compra Eficiente, mediante las cuales se han adoptado los documentos tipo, consagran la regla de la inalterabilidad</w:t>
      </w:r>
      <w:r w:rsidRPr="006019B1">
        <w:rPr>
          <w:rFonts w:ascii="Verdana" w:eastAsia="Aptos" w:hAnsi="Verdana" w:cs="Times New Roman"/>
          <w:shd w:val="clear" w:color="auto" w:fill="FFFFFF"/>
          <w:vertAlign w:val="superscript"/>
          <w:lang w:val="es-ES_tradnl" w:eastAsia="es-ES_tradnl"/>
        </w:rPr>
        <w:footnoteReference w:id="3"/>
      </w:r>
      <w:r w:rsidRPr="006019B1">
        <w:rPr>
          <w:rFonts w:ascii="Verdana" w:eastAsia="Times New Roman" w:hAnsi="Verdana" w:cs="Arial"/>
          <w:shd w:val="clear" w:color="auto" w:fill="FFFFFF"/>
          <w:lang w:val="es-ES_tradnl" w:eastAsia="es-ES_tradnl"/>
        </w:rPr>
        <w:t xml:space="preserve">. Esta prohibición consiste en que las entidades estatales no pueden incluir o modificar en los </w:t>
      </w:r>
      <w:r w:rsidRPr="006019B1">
        <w:rPr>
          <w:rFonts w:ascii="Verdana" w:eastAsia="Times New Roman" w:hAnsi="Verdana" w:cs="Arial"/>
          <w:i/>
          <w:iCs/>
          <w:shd w:val="clear" w:color="auto" w:fill="FFFFFF"/>
          <w:lang w:val="es-ES_tradnl" w:eastAsia="es-ES_tradnl"/>
        </w:rPr>
        <w:t>Documentos del Proceso</w:t>
      </w:r>
      <w:r w:rsidRPr="006019B1">
        <w:rPr>
          <w:rFonts w:ascii="Verdana" w:eastAsia="Times New Roman" w:hAnsi="Verdana" w:cs="Arial"/>
          <w:shd w:val="clear" w:color="auto" w:fill="FFFFFF"/>
          <w:lang w:val="es-ES_tradnl" w:eastAsia="es-ES_tradnl"/>
        </w:rPr>
        <w:t xml:space="preserve"> condiciones habilitantes, factores técnicos y económicos de escogencia y sistemas de ponderación distintos a los señalados en los documentos tipo. En consecuencia, las condiciones establecidas en dichos documentos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4D980DBF" w14:textId="77777777" w:rsidR="006019B1" w:rsidRPr="006019B1" w:rsidRDefault="006019B1" w:rsidP="006019B1">
      <w:pPr>
        <w:snapToGrid w:val="0"/>
        <w:spacing w:after="120" w:line="276" w:lineRule="auto"/>
        <w:jc w:val="both"/>
        <w:rPr>
          <w:rFonts w:ascii="Verdana" w:eastAsia="Times New Roman" w:hAnsi="Verdana" w:cs="Arial"/>
          <w:shd w:val="clear" w:color="auto" w:fill="FFFFFF"/>
          <w:lang w:val="es-ES_tradnl" w:eastAsia="es-ES_tradnl"/>
        </w:rPr>
      </w:pPr>
      <w:r w:rsidRPr="006019B1">
        <w:rPr>
          <w:rFonts w:ascii="Verdana" w:eastAsia="Calibri" w:hAnsi="Verdana" w:cs="Arial"/>
          <w:lang w:val="es-ES" w:eastAsia="es-ES"/>
        </w:rPr>
        <w:tab/>
      </w:r>
      <w:r w:rsidRPr="006019B1">
        <w:rPr>
          <w:rFonts w:ascii="Verdana" w:eastAsia="Times New Roman" w:hAnsi="Verdana" w:cs="Arial"/>
          <w:shd w:val="clear" w:color="auto" w:fill="FFFFFF"/>
          <w:lang w:val="es-ES_tradnl" w:eastAsia="es-ES_tradnl"/>
        </w:rPr>
        <w:t>El fundamento legal vigente de la regla de inalterabilidad se encuentra en el artículo 1 de la Ley 2022 de 2020, según el cual “</w:t>
      </w:r>
      <w:r w:rsidRPr="006019B1">
        <w:rPr>
          <w:rFonts w:ascii="Verdana" w:eastAsia="Times New Roman" w:hAnsi="Verdana" w:cs="Arial"/>
          <w:lang w:val="es-ES_tradnl" w:eastAsia="es-ES_tradnl"/>
        </w:rPr>
        <w:t xml:space="preserve">[…] </w:t>
      </w:r>
      <w:r w:rsidRPr="006019B1">
        <w:rPr>
          <w:rFonts w:ascii="Verdana" w:eastAsia="Times New Roman" w:hAnsi="Verdana" w:cs="Arial"/>
          <w:shd w:val="clear" w:color="auto" w:fill="FFFFFF"/>
          <w:lang w:val="es-ES_tradnl" w:eastAsia="es-ES_tradnl"/>
        </w:rPr>
        <w:t xml:space="preserve">serán de obligatorio cumplimiento en la actividad contractual de todas las entidades sometidas al Estatuto General de Contratación de la Administración Pública”. Pero eso no </w:t>
      </w:r>
      <w:r w:rsidRPr="006019B1">
        <w:rPr>
          <w:rFonts w:ascii="Verdana" w:eastAsia="Times New Roman" w:hAnsi="Verdana" w:cs="Arial"/>
          <w:shd w:val="clear" w:color="auto" w:fill="FFFFFF"/>
          <w:lang w:val="es-ES_tradnl" w:eastAsia="es-ES_tradnl"/>
        </w:rPr>
        <w:lastRenderedPageBreak/>
        <w:t>significa que antes no rigiera, pues así también lo disponía el artículo 4 de la Ley 1882 de 2018. Incluso por vía reglamentaria también se dispuso el carácter inmodificable de los pliegos tipo en el artículo 1 de los Decretos 342 de 2019 y 594 de 2020, que adicionaron, respectivamente, los artículos 2.2.1.2.6.1.4. y 2.2.1.2.6.3.4 al Decreto 1082 de 2015.</w:t>
      </w:r>
      <w:r w:rsidRPr="006019B1">
        <w:rPr>
          <w:rFonts w:ascii="Verdana" w:eastAsia="Times New Roman" w:hAnsi="Verdana" w:cs="Arial"/>
          <w:shd w:val="clear" w:color="auto" w:fill="FFFFFF"/>
          <w:lang w:val="es-ES" w:eastAsia="es-ES"/>
        </w:rPr>
        <w:tab/>
      </w:r>
    </w:p>
    <w:p w14:paraId="5D542B55" w14:textId="77777777" w:rsidR="006019B1" w:rsidRPr="006019B1" w:rsidRDefault="006019B1" w:rsidP="006019B1">
      <w:pPr>
        <w:snapToGrid w:val="0"/>
        <w:spacing w:after="120" w:line="276" w:lineRule="auto"/>
        <w:jc w:val="both"/>
        <w:rPr>
          <w:rFonts w:ascii="Verdana" w:eastAsia="Times New Roman" w:hAnsi="Verdana" w:cs="Arial"/>
          <w:shd w:val="clear" w:color="auto" w:fill="FFFFFF"/>
          <w:lang w:val="es-ES" w:eastAsia="es-ES"/>
        </w:rPr>
      </w:pPr>
      <w:r w:rsidRPr="006019B1">
        <w:rPr>
          <w:rFonts w:ascii="Verdana" w:eastAsia="Times New Roman" w:hAnsi="Verdana" w:cs="Arial"/>
          <w:shd w:val="clear" w:color="auto" w:fill="FFFFFF"/>
          <w:lang w:val="es-ES_tradnl" w:eastAsia="es-ES_tradnl"/>
        </w:rPr>
        <w:tab/>
      </w:r>
      <w:r w:rsidRPr="006019B1">
        <w:rPr>
          <w:rFonts w:ascii="Verdana" w:eastAsia="Times New Roman" w:hAnsi="Verdana" w:cs="Arial"/>
          <w:shd w:val="clear" w:color="auto" w:fill="FFFFFF"/>
          <w:lang w:val="es-ES" w:eastAsia="es-ES"/>
        </w:rPr>
        <w:t>En consecuencia, en virtud de la regla de inalterabilidad aludida, los documentos tipo solo pueden ser modificados en los aspectos en que estos lo permitan. Esto corresponde a aquellos aspectos que se encuentran entre corchetes y resaltados en gris –</w:t>
      </w:r>
      <w:r w:rsidRPr="006019B1">
        <w:rPr>
          <w:rFonts w:ascii="Verdana" w:eastAsia="Times New Roman" w:hAnsi="Verdana" w:cs="Arial"/>
          <w:highlight w:val="lightGray"/>
          <w:shd w:val="clear" w:color="auto" w:fill="FFFFFF"/>
          <w:lang w:val="es-ES" w:eastAsia="es-ES"/>
        </w:rPr>
        <w:t>[texto]</w:t>
      </w:r>
      <w:r w:rsidRPr="006019B1">
        <w:rPr>
          <w:rFonts w:ascii="Verdana" w:eastAsia="Times New Roman" w:hAnsi="Verdana" w:cs="Arial"/>
          <w:shd w:val="clear" w:color="auto" w:fill="FFFFFF"/>
          <w:lang w:val="es-ES" w:eastAsia="es-ES"/>
        </w:rPr>
        <w:t>–, para lo cual deberán observarse las instrucciones contenidas en los mismos para su diligenciamiento.</w:t>
      </w:r>
      <w:r w:rsidRPr="006019B1">
        <w:rPr>
          <w:rFonts w:ascii="Verdana" w:eastAsia="Times New Roman" w:hAnsi="Verdana" w:cs="Arial"/>
          <w:shd w:val="clear" w:color="auto" w:fill="FFFFFF"/>
          <w:lang w:val="es-ES_tradnl" w:eastAsia="es-ES_tradnl"/>
        </w:rPr>
        <w:tab/>
      </w:r>
    </w:p>
    <w:p w14:paraId="010F38A5" w14:textId="77777777" w:rsidR="006019B1" w:rsidRPr="006019B1" w:rsidRDefault="006019B1" w:rsidP="006019B1">
      <w:pPr>
        <w:snapToGrid w:val="0"/>
        <w:spacing w:after="120" w:line="276" w:lineRule="auto"/>
        <w:jc w:val="both"/>
        <w:rPr>
          <w:rFonts w:ascii="Verdana" w:eastAsia="Times New Roman" w:hAnsi="Verdana" w:cs="Arial"/>
          <w:shd w:val="clear" w:color="auto" w:fill="FFFFFF"/>
          <w:lang w:val="es-ES_tradnl" w:eastAsia="es-ES_tradnl"/>
        </w:rPr>
      </w:pPr>
      <w:r w:rsidRPr="006019B1">
        <w:rPr>
          <w:rFonts w:ascii="Verdana" w:eastAsia="Times New Roman" w:hAnsi="Verdana" w:cs="Arial"/>
          <w:shd w:val="clear" w:color="auto" w:fill="FFFFFF"/>
          <w:lang w:val="es-ES_tradnl" w:eastAsia="es-ES_tradnl"/>
        </w:rPr>
        <w:tab/>
        <w:t xml:space="preserve">Por lo tanto, una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3FFCC079" w14:textId="77777777" w:rsidR="006019B1" w:rsidRPr="006019B1" w:rsidRDefault="006019B1" w:rsidP="006019B1">
      <w:pPr>
        <w:snapToGrid w:val="0"/>
        <w:spacing w:after="0" w:line="276" w:lineRule="auto"/>
        <w:jc w:val="both"/>
        <w:rPr>
          <w:rFonts w:ascii="Verdana" w:eastAsia="Calibri" w:hAnsi="Verdana" w:cs="Arial"/>
          <w:lang w:val="es-MX"/>
        </w:rPr>
      </w:pPr>
      <w:r w:rsidRPr="006019B1">
        <w:rPr>
          <w:rFonts w:ascii="Verdana" w:eastAsia="Times New Roman" w:hAnsi="Verdana" w:cs="Arial"/>
          <w:shd w:val="clear" w:color="auto" w:fill="FFFFFF"/>
          <w:lang w:val="es-ES_tradnl" w:eastAsia="es-ES_tradnl"/>
        </w:rPr>
        <w:tab/>
        <w:t xml:space="preserve">En relación </w:t>
      </w:r>
      <w:bookmarkStart w:id="1" w:name="_Hlk87025618"/>
      <w:r w:rsidRPr="006019B1">
        <w:rPr>
          <w:rFonts w:ascii="Verdana" w:eastAsia="Times New Roman" w:hAnsi="Verdana" w:cs="Arial"/>
          <w:shd w:val="clear" w:color="auto" w:fill="FFFFFF"/>
          <w:lang w:val="es-ES_tradnl" w:eastAsia="es-ES_tradnl"/>
        </w:rPr>
        <w:t xml:space="preserve">con su solicitud, le indicamos que, </w:t>
      </w:r>
      <w:r w:rsidRPr="006019B1">
        <w:rPr>
          <w:rFonts w:ascii="Verdana" w:eastAsia="Arial" w:hAnsi="Verdana" w:cs="Arial"/>
          <w:color w:val="000000"/>
          <w:lang w:val="es-ES" w:eastAsia="es-CO"/>
        </w:rPr>
        <w:t>la Ley 816 de 2003 “Por medio de la cual se apoya a la industria nacional a través de la contratación pública”, tiene como objetivo promover una mayor participación de los proveedores de bienes y servicios de origen colombiano en las compras de las entidades públicas. De igual manera, se adoptó con el propósito de crear un factor de preferencia para las propuestas que ofrezcan productos o servicios nacionales</w:t>
      </w:r>
      <w:r w:rsidRPr="006019B1">
        <w:rPr>
          <w:rFonts w:ascii="Verdana" w:eastAsia="Arial" w:hAnsi="Verdana" w:cs="Arial"/>
          <w:color w:val="000000"/>
          <w:vertAlign w:val="superscript"/>
          <w:lang w:eastAsia="es-CO"/>
        </w:rPr>
        <w:footnoteReference w:id="4"/>
      </w:r>
      <w:r w:rsidRPr="006019B1">
        <w:rPr>
          <w:rFonts w:ascii="Verdana" w:eastAsia="Arial" w:hAnsi="Verdana" w:cs="Arial"/>
          <w:color w:val="000000"/>
          <w:lang w:val="es-ES" w:eastAsia="es-CO"/>
        </w:rPr>
        <w:t xml:space="preserve">. </w:t>
      </w:r>
      <w:r w:rsidRPr="006019B1">
        <w:rPr>
          <w:rFonts w:ascii="Verdana" w:eastAsia="Calibri" w:hAnsi="Verdana" w:cs="Arial"/>
          <w:bCs/>
          <w:color w:val="000000"/>
          <w:lang w:val="es-ES_tradnl"/>
        </w:rPr>
        <w:t>Para ello, el artículo 1 dispone que las entidades estatales, en los procedimientos de selección que realicen e independientemente del régimen contractual que les sea aplicable, deben adoptar criterios que apoyen la industria nacional. En consonancia con lo anterior, el parágrafo de dicho artículo indica que:</w:t>
      </w:r>
    </w:p>
    <w:p w14:paraId="5E70B414" w14:textId="77777777" w:rsidR="006019B1" w:rsidRPr="006019B1" w:rsidRDefault="006019B1" w:rsidP="006019B1">
      <w:pPr>
        <w:tabs>
          <w:tab w:val="left" w:pos="0"/>
        </w:tabs>
        <w:spacing w:after="0" w:line="276" w:lineRule="auto"/>
        <w:ind w:left="709" w:right="709"/>
        <w:jc w:val="both"/>
        <w:rPr>
          <w:rFonts w:ascii="Verdana" w:eastAsia="Calibri" w:hAnsi="Verdana" w:cs="Arial"/>
          <w:bCs/>
          <w:color w:val="000000"/>
          <w:lang w:val="es-ES_tradnl"/>
        </w:rPr>
      </w:pPr>
    </w:p>
    <w:p w14:paraId="24B94B91" w14:textId="77777777" w:rsidR="006019B1" w:rsidRPr="006019B1" w:rsidRDefault="006019B1" w:rsidP="006019B1">
      <w:pPr>
        <w:tabs>
          <w:tab w:val="left" w:pos="0"/>
        </w:tabs>
        <w:spacing w:after="0" w:line="240" w:lineRule="auto"/>
        <w:ind w:left="709" w:right="709"/>
        <w:jc w:val="both"/>
        <w:rPr>
          <w:rFonts w:ascii="Verdana" w:eastAsia="Calibri" w:hAnsi="Verdana" w:cs="Arial"/>
          <w:bCs/>
          <w:color w:val="000000"/>
          <w:sz w:val="21"/>
          <w:szCs w:val="21"/>
          <w:lang w:val="es-ES_tradnl"/>
        </w:rPr>
      </w:pPr>
      <w:r w:rsidRPr="006019B1">
        <w:rPr>
          <w:rFonts w:ascii="Verdana" w:eastAsia="Calibri" w:hAnsi="Verdana" w:cs="Arial"/>
          <w:bCs/>
          <w:color w:val="000000"/>
          <w:sz w:val="21"/>
          <w:szCs w:val="21"/>
          <w:lang w:val="es-ES_tradnl"/>
        </w:rPr>
        <w:t>“Se otorgará tratamiento de bienes y servicios nacionales a aquellos bienes y servicios originarios de los países con los que Colombia ha negociado trato nacional en materia de compras estatales y de aquellos países en los cuales a las ofertas de bienes y servicios colombianos se les conceda el mismo tratamiento otorgado a sus bienes y servicios nacionales. La acreditación o demostración de tal circunstancia se hará en los términos que señale el reglamento”.</w:t>
      </w:r>
    </w:p>
    <w:p w14:paraId="7394CD85" w14:textId="77777777" w:rsidR="006019B1" w:rsidRPr="006019B1" w:rsidRDefault="006019B1" w:rsidP="006019B1">
      <w:pPr>
        <w:tabs>
          <w:tab w:val="left" w:pos="0"/>
        </w:tabs>
        <w:spacing w:after="0" w:line="276" w:lineRule="auto"/>
        <w:jc w:val="both"/>
        <w:rPr>
          <w:rFonts w:ascii="Verdana" w:eastAsia="Calibri" w:hAnsi="Verdana" w:cs="Arial"/>
          <w:bCs/>
          <w:color w:val="000000"/>
          <w:lang w:val="es-ES_tradnl"/>
        </w:rPr>
      </w:pPr>
    </w:p>
    <w:p w14:paraId="2E9D4AF9" w14:textId="77777777" w:rsidR="006019B1" w:rsidRPr="006019B1" w:rsidRDefault="006019B1" w:rsidP="006019B1">
      <w:pPr>
        <w:tabs>
          <w:tab w:val="left" w:pos="0"/>
        </w:tabs>
        <w:spacing w:after="0" w:line="276" w:lineRule="auto"/>
        <w:ind w:firstLine="709"/>
        <w:jc w:val="both"/>
        <w:rPr>
          <w:rFonts w:ascii="Verdana" w:eastAsia="Calibri" w:hAnsi="Verdana" w:cs="Arial"/>
          <w:bCs/>
          <w:color w:val="000000"/>
          <w:lang w:val="es-ES_tradnl"/>
        </w:rPr>
      </w:pPr>
      <w:r w:rsidRPr="006019B1">
        <w:rPr>
          <w:rFonts w:ascii="Verdana" w:eastAsia="Calibri" w:hAnsi="Verdana" w:cs="Arial"/>
          <w:bCs/>
          <w:color w:val="000000"/>
          <w:lang w:val="es-ES_tradnl"/>
        </w:rPr>
        <w:t>En materia de contratación pública, dicho trato nacional es aplicable a los proponentes que ofrezcan bienes y servicios nacionales, de conformidad con las definiciones del artículo 2.2.1.1.1.3.1 del Decreto 1082 de 2015, así como a los extranjeros que cumplan con los criterios que se encuentran regulados en el artículo 2.2.1.2.4.1.3. del mismo Decreto</w:t>
      </w:r>
      <w:r w:rsidRPr="006019B1">
        <w:rPr>
          <w:rFonts w:ascii="Verdana" w:eastAsia="Calibri" w:hAnsi="Verdana" w:cs="Arial"/>
          <w:bCs/>
          <w:color w:val="000000"/>
          <w:vertAlign w:val="superscript"/>
          <w:lang w:val="es-ES_tradnl"/>
        </w:rPr>
        <w:footnoteReference w:id="5"/>
      </w:r>
      <w:r w:rsidRPr="006019B1">
        <w:rPr>
          <w:rFonts w:ascii="Verdana" w:eastAsia="Calibri" w:hAnsi="Verdana" w:cs="Arial"/>
          <w:bCs/>
          <w:color w:val="000000"/>
          <w:lang w:val="es-ES_tradnl"/>
        </w:rPr>
        <w:t>, en el que se establece la forma como se debe acreditar la existencia de trato nacional para extranjeros, dependiendo del fundamento de este y exigiendo el certificado expedido por el Ministerio de Relaciones Exteriores, cuando no exista tratado, ni regulación andina aplicable. Por otra parte, las entidades estatales deben aplicar en sus procedimientos de selección lo previsto en el artículo 2 de la Ley 816 de 2003, que establece un criterio de calificación diferencial, en los siguientes términos:</w:t>
      </w:r>
    </w:p>
    <w:p w14:paraId="6351FC69" w14:textId="77777777" w:rsidR="006019B1" w:rsidRPr="006019B1" w:rsidRDefault="006019B1" w:rsidP="006019B1">
      <w:pPr>
        <w:tabs>
          <w:tab w:val="left" w:pos="0"/>
        </w:tabs>
        <w:spacing w:after="0" w:line="276" w:lineRule="auto"/>
        <w:ind w:left="709" w:right="709"/>
        <w:jc w:val="both"/>
        <w:rPr>
          <w:rFonts w:ascii="Verdana" w:eastAsia="Calibri" w:hAnsi="Verdana" w:cs="Arial"/>
          <w:bCs/>
          <w:color w:val="000000"/>
          <w:lang w:val="es-ES_tradnl"/>
        </w:rPr>
      </w:pPr>
    </w:p>
    <w:p w14:paraId="5B4D2CB2" w14:textId="77777777" w:rsidR="006019B1" w:rsidRPr="006019B1" w:rsidRDefault="006019B1" w:rsidP="006019B1">
      <w:pPr>
        <w:tabs>
          <w:tab w:val="left" w:pos="0"/>
        </w:tabs>
        <w:spacing w:after="0" w:line="240" w:lineRule="auto"/>
        <w:ind w:left="709" w:right="709"/>
        <w:jc w:val="both"/>
        <w:rPr>
          <w:rFonts w:ascii="Verdana" w:eastAsia="Calibri" w:hAnsi="Verdana" w:cs="Arial"/>
          <w:bCs/>
          <w:color w:val="000000"/>
          <w:sz w:val="21"/>
          <w:szCs w:val="21"/>
          <w:lang w:val="es-ES_tradnl"/>
        </w:rPr>
      </w:pPr>
      <w:r w:rsidRPr="006019B1">
        <w:rPr>
          <w:rFonts w:ascii="Verdana" w:eastAsia="Calibri" w:hAnsi="Verdana" w:cs="Arial"/>
          <w:bCs/>
          <w:color w:val="000000"/>
          <w:sz w:val="21"/>
          <w:szCs w:val="21"/>
          <w:lang w:val="es-ES_tradnl"/>
        </w:rPr>
        <w:lastRenderedPageBreak/>
        <w:t>“Las entidades de que trata el artículo 1o asignarán, dentro de los criterios de calificación de las propuestas, un puntaje comprendido entre el diez (10) y el veinte por ciento (20%), para estimular la industria colombiana cuando los proponentes oferten bienes o servicios nacionales.</w:t>
      </w:r>
    </w:p>
    <w:p w14:paraId="3AB89FBA" w14:textId="77777777" w:rsidR="006019B1" w:rsidRPr="006019B1" w:rsidRDefault="006019B1" w:rsidP="006019B1">
      <w:pPr>
        <w:tabs>
          <w:tab w:val="left" w:pos="0"/>
        </w:tabs>
        <w:spacing w:after="0" w:line="240" w:lineRule="auto"/>
        <w:ind w:left="709" w:right="709"/>
        <w:jc w:val="both"/>
        <w:rPr>
          <w:rFonts w:ascii="Verdana" w:eastAsia="Calibri" w:hAnsi="Verdana" w:cs="Arial"/>
          <w:bCs/>
          <w:color w:val="000000"/>
          <w:sz w:val="21"/>
          <w:szCs w:val="21"/>
          <w:lang w:val="es-ES_tradnl"/>
        </w:rPr>
      </w:pPr>
    </w:p>
    <w:p w14:paraId="57D46E19" w14:textId="77777777" w:rsidR="006019B1" w:rsidRPr="006019B1" w:rsidRDefault="006019B1" w:rsidP="006019B1">
      <w:pPr>
        <w:tabs>
          <w:tab w:val="left" w:pos="0"/>
        </w:tabs>
        <w:spacing w:after="0" w:line="240" w:lineRule="auto"/>
        <w:ind w:left="709" w:right="709"/>
        <w:jc w:val="both"/>
        <w:rPr>
          <w:rFonts w:ascii="Verdana" w:eastAsia="Calibri" w:hAnsi="Verdana" w:cs="Arial"/>
          <w:bCs/>
          <w:color w:val="000000"/>
          <w:sz w:val="21"/>
          <w:szCs w:val="21"/>
          <w:lang w:val="es-ES_tradnl"/>
        </w:rPr>
      </w:pPr>
      <w:r w:rsidRPr="006019B1">
        <w:rPr>
          <w:rFonts w:ascii="Verdana" w:eastAsia="Calibri" w:hAnsi="Verdana" w:cs="Arial"/>
          <w:bCs/>
          <w:color w:val="000000"/>
          <w:sz w:val="21"/>
          <w:szCs w:val="21"/>
          <w:lang w:val="es-ES_tradnl"/>
        </w:rPr>
        <w:t>Tratándose de bienes o servicios extranjeros, la entidad contratante establecerá un puntaje comprendido entre el cinco (5) y el quince por ciento (15%), para incentivar la incorporación de componente colombiano de bienes y servicios profesionales, técnicos y operativos.</w:t>
      </w:r>
    </w:p>
    <w:p w14:paraId="0B909285" w14:textId="77777777" w:rsidR="006019B1" w:rsidRPr="006019B1" w:rsidRDefault="006019B1" w:rsidP="006019B1">
      <w:pPr>
        <w:tabs>
          <w:tab w:val="left" w:pos="0"/>
        </w:tabs>
        <w:spacing w:after="0" w:line="240" w:lineRule="auto"/>
        <w:ind w:left="709" w:right="709"/>
        <w:jc w:val="both"/>
        <w:rPr>
          <w:rFonts w:ascii="Verdana" w:eastAsia="Calibri" w:hAnsi="Verdana" w:cs="Arial"/>
          <w:bCs/>
          <w:color w:val="000000"/>
          <w:sz w:val="21"/>
          <w:szCs w:val="21"/>
          <w:lang w:val="es-ES_tradnl"/>
        </w:rPr>
      </w:pPr>
    </w:p>
    <w:p w14:paraId="4451BF33" w14:textId="77777777" w:rsidR="006019B1" w:rsidRPr="006019B1" w:rsidRDefault="006019B1" w:rsidP="006019B1">
      <w:pPr>
        <w:tabs>
          <w:tab w:val="left" w:pos="0"/>
        </w:tabs>
        <w:spacing w:after="0" w:line="240" w:lineRule="auto"/>
        <w:ind w:left="709" w:right="709"/>
        <w:jc w:val="both"/>
        <w:rPr>
          <w:rFonts w:ascii="Verdana" w:eastAsia="Calibri" w:hAnsi="Verdana" w:cs="Arial"/>
          <w:bCs/>
          <w:color w:val="000000"/>
          <w:sz w:val="21"/>
          <w:szCs w:val="21"/>
          <w:lang w:val="es-ES_tradnl"/>
        </w:rPr>
      </w:pPr>
      <w:r w:rsidRPr="006019B1">
        <w:rPr>
          <w:rFonts w:ascii="Verdana" w:eastAsia="Calibri" w:hAnsi="Verdana" w:cs="Arial"/>
          <w:bCs/>
          <w:color w:val="000000"/>
          <w:sz w:val="21"/>
          <w:szCs w:val="21"/>
          <w:lang w:val="es-ES_tradnl"/>
        </w:rPr>
        <w:t>Si una vez efectuada la calificación correspondiente, la oferta de un proponente extranjero se encuentra en igualdad de condiciones con la de un proponente nacional, se adjudicará al nacional”.</w:t>
      </w:r>
    </w:p>
    <w:p w14:paraId="0F20DAED" w14:textId="77777777" w:rsidR="006019B1" w:rsidRPr="006019B1" w:rsidRDefault="006019B1" w:rsidP="006019B1">
      <w:pPr>
        <w:tabs>
          <w:tab w:val="left" w:pos="0"/>
        </w:tabs>
        <w:spacing w:after="0" w:line="276" w:lineRule="auto"/>
        <w:jc w:val="both"/>
        <w:rPr>
          <w:rFonts w:ascii="Verdana" w:eastAsia="Calibri" w:hAnsi="Verdana" w:cs="Arial"/>
          <w:bCs/>
          <w:color w:val="000000"/>
          <w:lang w:val="es-ES_tradnl"/>
        </w:rPr>
      </w:pPr>
      <w:r w:rsidRPr="006019B1">
        <w:rPr>
          <w:rFonts w:ascii="Verdana" w:eastAsia="Calibri" w:hAnsi="Verdana" w:cs="Arial"/>
          <w:bCs/>
          <w:color w:val="000000"/>
          <w:lang w:val="es-ES_tradnl"/>
        </w:rPr>
        <w:tab/>
      </w:r>
    </w:p>
    <w:p w14:paraId="7A7B6FF0" w14:textId="77777777" w:rsidR="006019B1" w:rsidRPr="006019B1" w:rsidRDefault="006019B1" w:rsidP="006019B1">
      <w:pPr>
        <w:tabs>
          <w:tab w:val="left" w:pos="0"/>
        </w:tabs>
        <w:spacing w:after="0" w:line="276" w:lineRule="auto"/>
        <w:jc w:val="both"/>
        <w:rPr>
          <w:rFonts w:ascii="Verdana" w:eastAsia="Calibri" w:hAnsi="Verdana" w:cs="Arial"/>
          <w:bCs/>
          <w:color w:val="000000"/>
          <w:lang w:val="es-ES_tradnl"/>
        </w:rPr>
      </w:pPr>
      <w:r w:rsidRPr="006019B1">
        <w:rPr>
          <w:rFonts w:ascii="Verdana" w:eastAsia="Calibri" w:hAnsi="Verdana" w:cs="Arial"/>
          <w:bCs/>
          <w:color w:val="000000"/>
          <w:lang w:val="es-ES_tradnl"/>
        </w:rPr>
        <w:tab/>
        <w:t>De acuerdo con esta norma, las ofertas de bienes y servicios nacionales –o extranjeros con derecho a trato nacional– deberán beneficiarse de la obtención de un puntaje comprendido entre el 10% y el 20% del total de los puntos, según lo haya definido la entidad estatal contratante en el pliego de condiciones o documento equivalente, con la finalidad de incentivar la industria nacional. Al respecto, conviene señalar que es la entidad pública la que, en el pliego de condiciones, debe fijar los criterios de asignación de puntaje –o factores de evaluación–. De este modo, cuenta con la discrecionalidad administrativa para determinar a partir de qué elementos o circunstancias realizará la calificación de las propuestas. Por supuesto, tal discrecionalidad no es absoluta, sino que está limitada por las normas de orden público, que incluyen reglas imperativas para la elaboración del pliego de condiciones y el deber de selección objetiva.</w:t>
      </w:r>
    </w:p>
    <w:p w14:paraId="6C825314" w14:textId="77777777" w:rsidR="006019B1" w:rsidRPr="006019B1" w:rsidRDefault="006019B1" w:rsidP="006019B1">
      <w:pPr>
        <w:tabs>
          <w:tab w:val="left" w:pos="0"/>
        </w:tabs>
        <w:spacing w:before="120" w:after="120" w:line="276" w:lineRule="auto"/>
        <w:jc w:val="both"/>
        <w:rPr>
          <w:rFonts w:ascii="Verdana" w:eastAsia="Calibri" w:hAnsi="Verdana" w:cs="Arial"/>
          <w:bCs/>
          <w:color w:val="000000"/>
          <w:lang w:val="es-ES_tradnl"/>
        </w:rPr>
      </w:pPr>
      <w:r w:rsidRPr="006019B1">
        <w:rPr>
          <w:rFonts w:ascii="Verdana" w:eastAsia="Calibri" w:hAnsi="Verdana" w:cs="Arial"/>
          <w:bCs/>
          <w:color w:val="000000"/>
          <w:lang w:val="es-ES_tradnl"/>
        </w:rPr>
        <w:tab/>
        <w:t>Dentro de las reglas que restringen la discrecionalidad administrativa de las entidades estatales en la elaboración del pliego de condiciones se encuentra el artículo 2 de la Ley 816 de 2003. En efecto, este enunciado normativo establece que las entidades de la administración pública a las que se refiere el artículo 1 de la misma ley deben incluir “</w:t>
      </w:r>
      <w:r w:rsidRPr="006019B1">
        <w:rPr>
          <w:rFonts w:ascii="Verdana" w:eastAsia="Calibri" w:hAnsi="Verdana" w:cs="Arial"/>
          <w:lang w:val="es-ES_tradnl"/>
        </w:rPr>
        <w:t xml:space="preserve">[…] </w:t>
      </w:r>
      <w:r w:rsidRPr="006019B1">
        <w:rPr>
          <w:rFonts w:ascii="Verdana" w:eastAsia="Calibri" w:hAnsi="Verdana" w:cs="Arial"/>
          <w:bCs/>
          <w:color w:val="000000"/>
          <w:lang w:val="es-ES_tradnl"/>
        </w:rPr>
        <w:t xml:space="preserve">un puntaje comprendido entre el diez (10) y el veinte por ciento (20%)” para estimular la industria nacional, cuando se oferten bienes o servicios nacionales” –inciso primero o “Franja 1”–. Adicionalmente, la norma indica que, si no se ofertan bienes o servicios nacionales, sino bienes o servicios </w:t>
      </w:r>
      <w:r w:rsidRPr="006019B1">
        <w:rPr>
          <w:rFonts w:ascii="Verdana" w:eastAsia="Calibri" w:hAnsi="Verdana" w:cs="Arial"/>
          <w:bCs/>
          <w:i/>
          <w:iCs/>
          <w:color w:val="000000"/>
          <w:lang w:val="es-ES_tradnl"/>
        </w:rPr>
        <w:t>extranjeros</w:t>
      </w:r>
      <w:r w:rsidRPr="006019B1">
        <w:rPr>
          <w:rFonts w:ascii="Verdana" w:eastAsia="Calibri" w:hAnsi="Verdana" w:cs="Arial"/>
          <w:bCs/>
          <w:color w:val="000000"/>
          <w:lang w:val="es-ES_tradnl"/>
        </w:rPr>
        <w:t xml:space="preserve">, “[…] la entidad contratante establecerá un puntaje comprendido entre el cinco (5) y el quince por ciento </w:t>
      </w:r>
      <w:r w:rsidRPr="006019B1">
        <w:rPr>
          <w:rFonts w:ascii="Verdana" w:eastAsia="Calibri" w:hAnsi="Verdana" w:cs="Arial"/>
          <w:bCs/>
          <w:color w:val="000000"/>
          <w:lang w:val="es-ES_tradnl"/>
        </w:rPr>
        <w:lastRenderedPageBreak/>
        <w:t xml:space="preserve">(15%), para incentivar la incorporación de componente colombiano de bienes y servicios profesionales, técnicos y operativos” –inciso segundo o </w:t>
      </w:r>
      <w:r w:rsidRPr="006019B1">
        <w:rPr>
          <w:rFonts w:ascii="Verdana" w:eastAsia="Calibri" w:hAnsi="Verdana" w:cs="Arial"/>
          <w:bCs/>
          <w:color w:val="000000"/>
        </w:rPr>
        <w:t>“</w:t>
      </w:r>
      <w:r w:rsidRPr="006019B1">
        <w:rPr>
          <w:rFonts w:ascii="Verdana" w:eastAsia="Calibri" w:hAnsi="Verdana" w:cs="Arial"/>
          <w:bCs/>
          <w:color w:val="000000"/>
          <w:lang w:val="es-ES_tradnl"/>
        </w:rPr>
        <w:t xml:space="preserve">Franja 2”–. </w:t>
      </w:r>
    </w:p>
    <w:p w14:paraId="5EBA2112" w14:textId="77777777" w:rsidR="006019B1" w:rsidRPr="006019B1" w:rsidRDefault="006019B1" w:rsidP="006019B1">
      <w:pPr>
        <w:spacing w:after="0" w:line="276" w:lineRule="auto"/>
        <w:jc w:val="both"/>
        <w:rPr>
          <w:rFonts w:ascii="Verdana" w:eastAsia="Calibri" w:hAnsi="Verdana" w:cs="Arial"/>
          <w:color w:val="000000"/>
          <w:lang w:val="es-ES"/>
        </w:rPr>
      </w:pPr>
      <w:r w:rsidRPr="006019B1">
        <w:rPr>
          <w:rFonts w:ascii="Verdana" w:eastAsia="Calibri" w:hAnsi="Verdana" w:cs="Arial"/>
          <w:bCs/>
          <w:color w:val="000000"/>
          <w:lang w:val="es-ES_tradnl"/>
        </w:rPr>
        <w:tab/>
      </w:r>
      <w:r w:rsidRPr="006019B1">
        <w:rPr>
          <w:rFonts w:ascii="Verdana" w:eastAsia="Calibri" w:hAnsi="Verdana" w:cs="Arial"/>
          <w:color w:val="000000"/>
          <w:lang w:val="es-ES"/>
        </w:rPr>
        <w:t xml:space="preserve">Aclarado el alcance de la norma que promueve el factor de evaluación de apoyo a la industria nacional en las compras públicas, es importante señalar que la aplicación del puntaje al que se refiere el artículo 2 de la Ley 816 de 2003 fue reglamentado mediante el Decreto 680 de 2021. Por lo tanto, ha de tenerse en cuenta la nueva regulación de la regla de origen contemplada en este Decreto. En primer lugar, el artículo 1 del mencionado Decreto modificó parcialmente el artículo 2.2.1.1.1.3.1. del Decreto 1082 de 2015, para definir los </w:t>
      </w:r>
      <w:r w:rsidRPr="006019B1">
        <w:rPr>
          <w:rFonts w:ascii="Verdana" w:eastAsia="Calibri" w:hAnsi="Verdana" w:cs="Arial"/>
          <w:i/>
          <w:iCs/>
          <w:color w:val="000000"/>
          <w:lang w:val="es-ES"/>
        </w:rPr>
        <w:t>Servicios Nacionales</w:t>
      </w:r>
      <w:r w:rsidRPr="006019B1">
        <w:rPr>
          <w:rFonts w:ascii="Verdana" w:eastAsia="Calibri" w:hAnsi="Verdana" w:cs="Arial"/>
          <w:color w:val="000000"/>
          <w:lang w:val="es-ES"/>
        </w:rPr>
        <w:t xml:space="preserve"> en forma distinta, así:</w:t>
      </w:r>
    </w:p>
    <w:p w14:paraId="2593A4A7" w14:textId="77777777" w:rsidR="006019B1" w:rsidRPr="006019B1" w:rsidRDefault="006019B1" w:rsidP="006019B1">
      <w:pPr>
        <w:spacing w:after="0" w:line="276" w:lineRule="auto"/>
        <w:jc w:val="both"/>
        <w:rPr>
          <w:rFonts w:ascii="Verdana" w:eastAsia="Calibri" w:hAnsi="Verdana" w:cs="Arial"/>
          <w:bCs/>
          <w:color w:val="000000"/>
          <w:lang w:val="es-ES_tradnl"/>
        </w:rPr>
      </w:pPr>
    </w:p>
    <w:p w14:paraId="2C2070D6" w14:textId="77777777" w:rsidR="006019B1" w:rsidRPr="006019B1" w:rsidRDefault="006019B1" w:rsidP="006019B1">
      <w:pPr>
        <w:tabs>
          <w:tab w:val="left" w:pos="0"/>
        </w:tabs>
        <w:spacing w:after="0" w:line="240" w:lineRule="auto"/>
        <w:ind w:left="709" w:right="709"/>
        <w:jc w:val="both"/>
        <w:rPr>
          <w:rFonts w:ascii="Verdana" w:eastAsia="Calibri" w:hAnsi="Verdana" w:cs="Arial"/>
          <w:bCs/>
          <w:color w:val="000000"/>
          <w:sz w:val="21"/>
          <w:szCs w:val="21"/>
          <w:lang w:val="es-ES_tradnl"/>
        </w:rPr>
      </w:pPr>
      <w:r w:rsidRPr="006019B1">
        <w:rPr>
          <w:rFonts w:ascii="Verdana" w:eastAsia="Calibri" w:hAnsi="Verdana" w:cs="Arial"/>
          <w:bCs/>
          <w:color w:val="000000"/>
          <w:sz w:val="21"/>
          <w:szCs w:val="21"/>
          <w:lang w:val="es-ES_tradnl"/>
        </w:rPr>
        <w:t>“Servicios Nacionales. En los contratos que deban cumplirse en Colombia, un servicio es colombiano si además de ser prestado por una persona natural colombiana o por un residente en Colombia, por una persona jurídica constituida de conformidad con la legislación colombiana o por un proponente plural conformado por estos o por estos y un extranjero con trato nacional, usa los bienes nacionales relevantes definidos por la Entidad Estatal para la prestación del servicio que será objeto del Proceso de Contratación o vinculen el porcentaje mínimo de personal colombiano según corresponda.</w:t>
      </w:r>
    </w:p>
    <w:p w14:paraId="7395973C" w14:textId="77777777" w:rsidR="006019B1" w:rsidRPr="006019B1" w:rsidRDefault="006019B1" w:rsidP="006019B1">
      <w:pPr>
        <w:tabs>
          <w:tab w:val="left" w:pos="0"/>
        </w:tabs>
        <w:spacing w:after="0" w:line="240" w:lineRule="auto"/>
        <w:ind w:left="709" w:right="709"/>
        <w:jc w:val="both"/>
        <w:rPr>
          <w:rFonts w:ascii="Verdana" w:eastAsia="Calibri" w:hAnsi="Verdana" w:cs="Arial"/>
          <w:bCs/>
          <w:color w:val="000000"/>
          <w:sz w:val="21"/>
          <w:szCs w:val="21"/>
          <w:lang w:val="es-ES_tradnl"/>
        </w:rPr>
      </w:pPr>
    </w:p>
    <w:p w14:paraId="4CD7BC4D" w14:textId="77777777" w:rsidR="006019B1" w:rsidRPr="006019B1" w:rsidRDefault="006019B1" w:rsidP="006019B1">
      <w:pPr>
        <w:tabs>
          <w:tab w:val="left" w:pos="0"/>
        </w:tabs>
        <w:spacing w:after="0" w:line="240" w:lineRule="auto"/>
        <w:ind w:left="709" w:right="709"/>
        <w:jc w:val="both"/>
        <w:rPr>
          <w:rFonts w:ascii="Verdana" w:eastAsia="Calibri" w:hAnsi="Verdana" w:cs="Arial"/>
          <w:bCs/>
          <w:color w:val="000000"/>
          <w:sz w:val="21"/>
          <w:szCs w:val="21"/>
          <w:lang w:val="es-ES_tradnl"/>
        </w:rPr>
      </w:pPr>
      <w:r w:rsidRPr="006019B1">
        <w:rPr>
          <w:rFonts w:ascii="Verdana" w:eastAsia="Calibri" w:hAnsi="Verdana" w:cs="Arial"/>
          <w:bCs/>
          <w:color w:val="000000"/>
          <w:sz w:val="21"/>
          <w:szCs w:val="21"/>
          <w:lang w:val="es-ES_tradnl"/>
        </w:rPr>
        <w:t>En los contratos que no deban cumplirse en Colombia, que sean prestados en el extranjero y estén sometidos a la legislación colombiana, un servicio es colombiano si es prestado por una persona natural colombiana o por un residente en Colombia, por una persona jurídica constituida de conformidad con la legislación colombiana o un proponente plural conformado por estos, sin que sea necesario el uso de bienes colombianos o la vinculación de personal colombiano.</w:t>
      </w:r>
    </w:p>
    <w:p w14:paraId="0B5FB835" w14:textId="77777777" w:rsidR="006019B1" w:rsidRPr="006019B1" w:rsidRDefault="006019B1" w:rsidP="006019B1">
      <w:pPr>
        <w:tabs>
          <w:tab w:val="left" w:pos="0"/>
        </w:tabs>
        <w:spacing w:after="0" w:line="240" w:lineRule="auto"/>
        <w:ind w:left="709" w:right="709"/>
        <w:jc w:val="both"/>
        <w:rPr>
          <w:rFonts w:ascii="Verdana" w:eastAsia="Calibri" w:hAnsi="Verdana" w:cs="Arial"/>
          <w:bCs/>
          <w:color w:val="000000"/>
          <w:sz w:val="21"/>
          <w:szCs w:val="21"/>
          <w:lang w:val="es-ES_tradnl"/>
        </w:rPr>
      </w:pPr>
    </w:p>
    <w:p w14:paraId="722A81BF" w14:textId="77777777" w:rsidR="006019B1" w:rsidRPr="006019B1" w:rsidRDefault="006019B1" w:rsidP="006019B1">
      <w:pPr>
        <w:tabs>
          <w:tab w:val="left" w:pos="0"/>
        </w:tabs>
        <w:spacing w:after="0" w:line="240" w:lineRule="auto"/>
        <w:ind w:left="709" w:right="709"/>
        <w:jc w:val="both"/>
        <w:rPr>
          <w:rFonts w:ascii="Verdana" w:eastAsia="Calibri" w:hAnsi="Verdana" w:cs="Arial"/>
          <w:bCs/>
          <w:color w:val="000000"/>
          <w:sz w:val="21"/>
          <w:szCs w:val="21"/>
          <w:lang w:val="es-ES_tradnl"/>
        </w:rPr>
      </w:pPr>
      <w:r w:rsidRPr="006019B1">
        <w:rPr>
          <w:rFonts w:ascii="Verdana" w:eastAsia="Calibri" w:hAnsi="Verdana" w:cs="Arial"/>
          <w:bCs/>
          <w:color w:val="000000"/>
          <w:sz w:val="21"/>
          <w:szCs w:val="21"/>
          <w:lang w:val="es-ES_tradnl"/>
        </w:rPr>
        <w:t>Los extranjeros con trato nacional que participen en el Proceso de Contratación de manera singular o mediante la conformación de un proponente plural, podrán definir en su oferta si aplican la regla de origen aquí prevista, o cualquiera de las reglas de origen aplicables según el Acuerdo Comercial o la normativa comunitaria que corresponda. En aquellos casos en que no se indique en la oferta la regla de origen a aplicar, la Entidad Estatal deberá evaluar la oferta de acuerdo con la regla de origen aquí prevista”.</w:t>
      </w:r>
    </w:p>
    <w:p w14:paraId="63C07AF0" w14:textId="77777777" w:rsidR="006019B1" w:rsidRPr="006019B1" w:rsidRDefault="006019B1" w:rsidP="006019B1">
      <w:pPr>
        <w:tabs>
          <w:tab w:val="left" w:pos="0"/>
        </w:tabs>
        <w:spacing w:after="0" w:line="278" w:lineRule="auto"/>
        <w:ind w:left="709" w:right="709"/>
        <w:jc w:val="both"/>
        <w:rPr>
          <w:rFonts w:ascii="Verdana" w:eastAsia="Calibri" w:hAnsi="Verdana" w:cs="Arial"/>
          <w:bCs/>
          <w:color w:val="000000"/>
          <w:lang w:val="es-ES_tradnl"/>
        </w:rPr>
      </w:pPr>
    </w:p>
    <w:p w14:paraId="6A394172" w14:textId="77777777" w:rsidR="006019B1" w:rsidRPr="006019B1" w:rsidRDefault="006019B1" w:rsidP="006019B1">
      <w:pPr>
        <w:tabs>
          <w:tab w:val="left" w:pos="0"/>
        </w:tabs>
        <w:spacing w:after="0" w:line="276" w:lineRule="auto"/>
        <w:ind w:firstLine="709"/>
        <w:jc w:val="both"/>
        <w:rPr>
          <w:rFonts w:ascii="Verdana" w:eastAsia="Calibri" w:hAnsi="Verdana" w:cs="Arial"/>
          <w:bCs/>
          <w:color w:val="000000"/>
          <w:lang w:val="es-ES_tradnl"/>
        </w:rPr>
      </w:pPr>
      <w:bookmarkStart w:id="3" w:name="_Hlk86820071"/>
      <w:r w:rsidRPr="006019B1">
        <w:rPr>
          <w:rFonts w:ascii="Verdana" w:eastAsia="Calibri" w:hAnsi="Verdana" w:cs="Arial"/>
          <w:bCs/>
          <w:color w:val="000000"/>
          <w:lang w:val="es-ES_tradnl"/>
        </w:rPr>
        <w:t xml:space="preserve">De acuerdo con lo anterior, la noción de </w:t>
      </w:r>
      <w:r w:rsidRPr="006019B1">
        <w:rPr>
          <w:rFonts w:ascii="Verdana" w:eastAsia="Calibri" w:hAnsi="Verdana" w:cs="Arial"/>
          <w:bCs/>
          <w:i/>
          <w:iCs/>
          <w:color w:val="000000"/>
          <w:lang w:val="es-ES_tradnl"/>
        </w:rPr>
        <w:t>Servicios Nacionales</w:t>
      </w:r>
      <w:r w:rsidRPr="006019B1">
        <w:rPr>
          <w:rFonts w:ascii="Verdana" w:eastAsia="Calibri" w:hAnsi="Verdana" w:cs="Arial"/>
          <w:bCs/>
          <w:color w:val="000000"/>
          <w:lang w:val="es-ES_tradnl"/>
        </w:rPr>
        <w:t xml:space="preserve"> no está determinada únicamente por la naturaleza jurídica de su prestador, ya que </w:t>
      </w:r>
      <w:r w:rsidRPr="006019B1">
        <w:rPr>
          <w:rFonts w:ascii="Verdana" w:eastAsia="Calibri" w:hAnsi="Verdana" w:cs="Arial"/>
          <w:bCs/>
          <w:color w:val="000000"/>
          <w:lang w:val="es-ES_tradnl"/>
        </w:rPr>
        <w:lastRenderedPageBreak/>
        <w:t xml:space="preserve">además de tratarse de una persona natural colombiana o jurídica conformada según la ley colombiana, se requiere que la propuesta, en principio, incluya en la ejecución del contrato la utilización de los bienes nacionales relevantes. En ese sentido, la definición de </w:t>
      </w:r>
      <w:r w:rsidRPr="006019B1">
        <w:rPr>
          <w:rFonts w:ascii="Verdana" w:eastAsia="Calibri" w:hAnsi="Verdana" w:cs="Arial"/>
          <w:bCs/>
          <w:i/>
          <w:iCs/>
          <w:color w:val="000000"/>
          <w:lang w:val="es-ES_tradnl"/>
        </w:rPr>
        <w:t xml:space="preserve">Servicios Nacionales </w:t>
      </w:r>
      <w:r w:rsidRPr="006019B1">
        <w:rPr>
          <w:rFonts w:ascii="Verdana" w:eastAsia="Calibri" w:hAnsi="Verdana" w:cs="Arial"/>
          <w:bCs/>
          <w:color w:val="000000"/>
          <w:lang w:val="es-ES_tradnl"/>
        </w:rPr>
        <w:t xml:space="preserve">remite a la noción de </w:t>
      </w:r>
      <w:r w:rsidRPr="006019B1">
        <w:rPr>
          <w:rFonts w:ascii="Verdana" w:eastAsia="Calibri" w:hAnsi="Verdana" w:cs="Arial"/>
          <w:bCs/>
          <w:i/>
          <w:iCs/>
          <w:color w:val="000000"/>
          <w:lang w:val="es-ES_tradnl"/>
        </w:rPr>
        <w:t>Bienes Nacionales</w:t>
      </w:r>
      <w:r w:rsidRPr="006019B1">
        <w:rPr>
          <w:rFonts w:ascii="Verdana" w:eastAsia="Calibri" w:hAnsi="Verdana" w:cs="Arial"/>
          <w:bCs/>
          <w:color w:val="000000"/>
          <w:lang w:val="es-ES_tradnl"/>
        </w:rPr>
        <w:t xml:space="preserve"> establecida en el mismo artículo 2.2.1.1.1.3.1. del Decreto 1082 de 2015, que dispone que son aquellos “Bienes definidos como nacionales en el Registro de Productores de Bienes Nacionales, de conformidad con el Decreto 2680 de 2009 o las normas que lo modifiquen, aclaren, adicionen o sustituyan”. El artículo 1 del Decreto 2680 de 2009 dispone que “Se entiende como bienes nacionales, aquellos bienes totalmente obtenidos, bienes elaborados con materiales nacionales o productos que sufran una transformación sustancial de conformidad con lo previsto en el presente decreto</w:t>
      </w:r>
      <w:bookmarkEnd w:id="3"/>
      <w:r w:rsidRPr="006019B1">
        <w:rPr>
          <w:rFonts w:ascii="Verdana" w:eastAsia="Calibri" w:hAnsi="Verdana" w:cs="Arial"/>
          <w:bCs/>
          <w:color w:val="000000"/>
          <w:lang w:val="es-ES_tradnl"/>
        </w:rPr>
        <w:t>”.</w:t>
      </w:r>
    </w:p>
    <w:p w14:paraId="3190A0B6" w14:textId="77777777" w:rsidR="006019B1" w:rsidRPr="006019B1" w:rsidRDefault="006019B1" w:rsidP="006019B1">
      <w:pPr>
        <w:tabs>
          <w:tab w:val="left" w:pos="0"/>
        </w:tabs>
        <w:spacing w:before="120" w:after="120" w:line="276" w:lineRule="auto"/>
        <w:ind w:firstLine="709"/>
        <w:jc w:val="both"/>
        <w:rPr>
          <w:rFonts w:ascii="Verdana" w:eastAsia="Calibri" w:hAnsi="Verdana" w:cs="Arial"/>
          <w:bCs/>
          <w:color w:val="000000"/>
          <w:lang w:val="es-ES_tradnl"/>
        </w:rPr>
      </w:pPr>
      <w:r w:rsidRPr="006019B1">
        <w:rPr>
          <w:rFonts w:ascii="Verdana" w:eastAsia="Calibri" w:hAnsi="Verdana" w:cs="Arial"/>
          <w:bCs/>
          <w:color w:val="000000"/>
          <w:lang w:val="es-ES_tradnl"/>
        </w:rPr>
        <w:t>En consecuencia, si el contrato debe cumplirse en Colombia, la entidad estatal debe definir los bienes nacionales relevantes, pues el uso de estos por parte del proponente es uno de los criterios que permiten establecer si el servicio puede calificarse como nacional –el otro criterio es la vinculación del porcentaje mínimo de personal colombiano, según corresponda–. Si el contrato no debe cumplirse en Colombia, para que el servicio sea nacional, no es necesario que se usen bienes o personal colombianos, sino que basta con que sea prestado “por una persona natural colombiana o por un residente en Colombia, por una persona jurídica constituida de conformidad con la legislación colombiana o un proponente plural conformado por estos”. Lo anterior en consonancia con el artículo 1 del Decreto 680 de 2021.</w:t>
      </w:r>
    </w:p>
    <w:p w14:paraId="147227FB" w14:textId="77777777" w:rsidR="006019B1" w:rsidRPr="006019B1" w:rsidRDefault="006019B1" w:rsidP="006019B1">
      <w:pPr>
        <w:tabs>
          <w:tab w:val="left" w:pos="0"/>
        </w:tabs>
        <w:spacing w:before="120" w:after="120" w:line="276" w:lineRule="auto"/>
        <w:ind w:firstLine="709"/>
        <w:jc w:val="both"/>
        <w:rPr>
          <w:rFonts w:ascii="Verdana" w:eastAsia="Calibri" w:hAnsi="Verdana" w:cs="Arial"/>
          <w:bCs/>
          <w:color w:val="000000"/>
          <w:lang w:val="es-ES_tradnl"/>
        </w:rPr>
      </w:pPr>
      <w:r w:rsidRPr="006019B1">
        <w:rPr>
          <w:rFonts w:ascii="Verdana" w:eastAsia="Calibri" w:hAnsi="Verdana" w:cs="Arial"/>
          <w:bCs/>
          <w:color w:val="000000"/>
          <w:lang w:val="es-ES_tradnl"/>
        </w:rPr>
        <w:t xml:space="preserve">De otra parte, el último inciso de la definición transcrita establece una prerrogativa aplicable solo a los proponentes extranjeros con derecho a trato nacional. Conforme a esta, es posible establecer si se acoge la regla de origen establecida en el Decreto 1082 de 2015, o si por el contrario se acredita el origen de los servicios conforme a las reglas de sus correspondientes países o las contemplada en los respectivos Acuerdos Comerciales. Esto es aplicable oferentes de países con Acuerdos Comerciales vigentes, los provenientes de países que tengan trato nacional por reciprocidad y a los miembros de la Comunidad Andina de Naciones.  </w:t>
      </w:r>
    </w:p>
    <w:p w14:paraId="7A74950F" w14:textId="77777777" w:rsidR="006019B1" w:rsidRPr="006019B1" w:rsidRDefault="006019B1" w:rsidP="006019B1">
      <w:pPr>
        <w:tabs>
          <w:tab w:val="left" w:pos="0"/>
        </w:tabs>
        <w:spacing w:after="0" w:line="276" w:lineRule="auto"/>
        <w:ind w:firstLine="709"/>
        <w:jc w:val="both"/>
        <w:rPr>
          <w:rFonts w:ascii="Verdana" w:eastAsia="Calibri" w:hAnsi="Verdana" w:cs="Arial"/>
          <w:bCs/>
          <w:color w:val="000000"/>
          <w:lang w:val="es-ES_tradnl"/>
        </w:rPr>
      </w:pPr>
      <w:r w:rsidRPr="006019B1">
        <w:rPr>
          <w:rFonts w:ascii="Verdana" w:eastAsia="Calibri" w:hAnsi="Verdana" w:cs="Arial"/>
          <w:bCs/>
          <w:color w:val="000000"/>
          <w:lang w:val="es-ES_tradnl"/>
        </w:rPr>
        <w:t xml:space="preserve">Además, el Decreto 680 de 2021 consagra, en el artículo 2, unos lineamientos que deben seguir las entidades estatales para definir los </w:t>
      </w:r>
      <w:r w:rsidRPr="006019B1">
        <w:rPr>
          <w:rFonts w:ascii="Verdana" w:eastAsia="Calibri" w:hAnsi="Verdana" w:cs="Arial"/>
          <w:bCs/>
          <w:i/>
          <w:iCs/>
          <w:color w:val="000000"/>
          <w:lang w:val="es-ES_tradnl"/>
        </w:rPr>
        <w:t>bienes colombianos relevantes</w:t>
      </w:r>
      <w:r w:rsidRPr="006019B1">
        <w:rPr>
          <w:rFonts w:ascii="Verdana" w:eastAsia="Calibri" w:hAnsi="Verdana" w:cs="Arial"/>
          <w:bCs/>
          <w:color w:val="000000"/>
          <w:lang w:val="es-ES_tradnl"/>
        </w:rPr>
        <w:t xml:space="preserve"> y otorgar el puntaje de que trata el inciso 1 del artículo </w:t>
      </w:r>
      <w:r w:rsidRPr="006019B1">
        <w:rPr>
          <w:rFonts w:ascii="Verdana" w:eastAsia="Calibri" w:hAnsi="Verdana" w:cs="Arial"/>
          <w:bCs/>
          <w:color w:val="000000"/>
          <w:lang w:val="es-ES_tradnl"/>
        </w:rPr>
        <w:lastRenderedPageBreak/>
        <w:t xml:space="preserve">2 de la Ley 816 de 2003. En efecto, el artículo 2 del Decreto en comento, establece: </w:t>
      </w:r>
    </w:p>
    <w:p w14:paraId="65874839" w14:textId="77777777" w:rsidR="006019B1" w:rsidRPr="006019B1" w:rsidRDefault="006019B1" w:rsidP="006019B1">
      <w:pPr>
        <w:tabs>
          <w:tab w:val="left" w:pos="0"/>
        </w:tabs>
        <w:spacing w:after="0" w:line="276" w:lineRule="auto"/>
        <w:ind w:left="709" w:right="709"/>
        <w:jc w:val="both"/>
        <w:rPr>
          <w:rFonts w:ascii="Verdana" w:eastAsia="Calibri" w:hAnsi="Verdana" w:cs="Arial"/>
          <w:bCs/>
          <w:color w:val="000000"/>
          <w:lang w:val="es-ES_tradnl"/>
        </w:rPr>
      </w:pPr>
    </w:p>
    <w:p w14:paraId="11EAA294" w14:textId="77777777" w:rsidR="006019B1" w:rsidRPr="006019B1" w:rsidRDefault="006019B1" w:rsidP="006019B1">
      <w:pPr>
        <w:tabs>
          <w:tab w:val="left" w:pos="0"/>
        </w:tabs>
        <w:spacing w:after="0" w:line="240" w:lineRule="auto"/>
        <w:ind w:left="709" w:right="709"/>
        <w:jc w:val="both"/>
        <w:rPr>
          <w:rFonts w:ascii="Verdana" w:eastAsia="Calibri" w:hAnsi="Verdana" w:cs="Arial"/>
          <w:bCs/>
          <w:color w:val="000000"/>
          <w:sz w:val="21"/>
          <w:szCs w:val="21"/>
          <w:lang w:val="es-ES_tradnl"/>
        </w:rPr>
      </w:pPr>
      <w:r w:rsidRPr="006019B1">
        <w:rPr>
          <w:rFonts w:ascii="Verdana" w:eastAsia="Calibri" w:hAnsi="Verdana" w:cs="Arial"/>
          <w:bCs/>
          <w:color w:val="000000"/>
          <w:sz w:val="21"/>
          <w:szCs w:val="21"/>
          <w:lang w:val="es-ES_tradnl"/>
        </w:rPr>
        <w:t>“Adiciónese el artículo 2.2.1.2.4.2.9. a la Subsección 2 de la Sección 4 del Capítulo 2 del Título 1 de la Parte 2 del Libro 2 del Decreto 1082 de 2015, Único Reglamentario del Sector Administrativo de Planeación Nacional, cuyo texto será el siguiente:</w:t>
      </w:r>
    </w:p>
    <w:p w14:paraId="716BC282" w14:textId="77777777" w:rsidR="006019B1" w:rsidRPr="006019B1" w:rsidRDefault="006019B1" w:rsidP="006019B1">
      <w:pPr>
        <w:tabs>
          <w:tab w:val="left" w:pos="0"/>
        </w:tabs>
        <w:spacing w:after="0" w:line="240" w:lineRule="auto"/>
        <w:ind w:left="709" w:right="709"/>
        <w:jc w:val="both"/>
        <w:rPr>
          <w:rFonts w:ascii="Verdana" w:eastAsia="Calibri" w:hAnsi="Verdana" w:cs="Arial"/>
          <w:bCs/>
          <w:color w:val="000000"/>
          <w:sz w:val="21"/>
          <w:szCs w:val="21"/>
          <w:lang w:val="es-ES_tradnl"/>
        </w:rPr>
      </w:pPr>
    </w:p>
    <w:p w14:paraId="4E11DEA6" w14:textId="77777777" w:rsidR="006019B1" w:rsidRPr="006019B1" w:rsidRDefault="006019B1" w:rsidP="006019B1">
      <w:pPr>
        <w:tabs>
          <w:tab w:val="left" w:pos="0"/>
        </w:tabs>
        <w:spacing w:after="0" w:line="240" w:lineRule="auto"/>
        <w:ind w:left="709" w:right="709"/>
        <w:jc w:val="both"/>
        <w:rPr>
          <w:rFonts w:ascii="Verdana" w:eastAsia="Calibri" w:hAnsi="Verdana" w:cs="Arial"/>
          <w:bCs/>
          <w:color w:val="000000"/>
          <w:sz w:val="21"/>
          <w:szCs w:val="21"/>
          <w:lang w:val="es-ES_tradnl"/>
        </w:rPr>
      </w:pPr>
      <w:r w:rsidRPr="006019B1">
        <w:rPr>
          <w:rFonts w:ascii="Verdana" w:eastAsia="Calibri" w:hAnsi="Verdana" w:cs="Arial"/>
          <w:bCs/>
          <w:color w:val="000000"/>
          <w:sz w:val="21"/>
          <w:szCs w:val="21"/>
          <w:lang w:val="es-ES_tradnl"/>
        </w:rPr>
        <w:t>ARTÍCULO 2.2.1.2.4.2.9. Puntaje para la promoción de la industria nacional en los Procesos de Contratación de servicios. La Entidad Estatal en los Procesos de Contratación de servicios, otorgará el puntaje de que trata el inciso primero del artículo 2 de la Ley 816 de 2003 al proponente que oferte Servicios Nacionales o servicios extranjeros con trato nacional de acuerdo con la regla de origen aplicable.</w:t>
      </w:r>
    </w:p>
    <w:p w14:paraId="1E977606" w14:textId="77777777" w:rsidR="006019B1" w:rsidRPr="006019B1" w:rsidRDefault="006019B1" w:rsidP="006019B1">
      <w:pPr>
        <w:tabs>
          <w:tab w:val="left" w:pos="0"/>
        </w:tabs>
        <w:spacing w:after="0" w:line="240" w:lineRule="auto"/>
        <w:ind w:left="709" w:right="709"/>
        <w:jc w:val="both"/>
        <w:rPr>
          <w:rFonts w:ascii="Verdana" w:eastAsia="Calibri" w:hAnsi="Verdana" w:cs="Arial"/>
          <w:bCs/>
          <w:color w:val="000000"/>
          <w:sz w:val="21"/>
          <w:szCs w:val="21"/>
          <w:lang w:val="es-ES_tradnl"/>
        </w:rPr>
      </w:pPr>
    </w:p>
    <w:p w14:paraId="3397975A" w14:textId="77777777" w:rsidR="006019B1" w:rsidRPr="006019B1" w:rsidRDefault="006019B1" w:rsidP="006019B1">
      <w:pPr>
        <w:tabs>
          <w:tab w:val="left" w:pos="0"/>
        </w:tabs>
        <w:spacing w:after="0" w:line="240" w:lineRule="auto"/>
        <w:ind w:left="709" w:right="709"/>
        <w:jc w:val="both"/>
        <w:rPr>
          <w:rFonts w:ascii="Verdana" w:eastAsia="Calibri" w:hAnsi="Verdana" w:cs="Arial"/>
          <w:bCs/>
          <w:color w:val="000000"/>
          <w:sz w:val="21"/>
          <w:szCs w:val="21"/>
          <w:lang w:val="es-ES_tradnl"/>
        </w:rPr>
      </w:pPr>
      <w:r w:rsidRPr="006019B1">
        <w:rPr>
          <w:rFonts w:ascii="Verdana" w:eastAsia="Calibri" w:hAnsi="Verdana" w:cs="Arial"/>
          <w:bCs/>
          <w:color w:val="000000"/>
          <w:sz w:val="21"/>
          <w:szCs w:val="21"/>
          <w:lang w:val="es-ES_tradnl"/>
        </w:rPr>
        <w:t>En los contratos que deban cumplirse en Colombia, la Entidad Estatal definirá de manera razonable y proporcionada los bienes colombianos relevantes teniendo en cuenta:</w:t>
      </w:r>
    </w:p>
    <w:p w14:paraId="599622FF" w14:textId="77777777" w:rsidR="006019B1" w:rsidRPr="006019B1" w:rsidRDefault="006019B1" w:rsidP="006019B1">
      <w:pPr>
        <w:tabs>
          <w:tab w:val="left" w:pos="0"/>
        </w:tabs>
        <w:spacing w:after="0" w:line="240" w:lineRule="auto"/>
        <w:ind w:left="709" w:right="709"/>
        <w:jc w:val="both"/>
        <w:rPr>
          <w:rFonts w:ascii="Verdana" w:eastAsia="Calibri" w:hAnsi="Verdana" w:cs="Arial"/>
          <w:bCs/>
          <w:color w:val="000000"/>
          <w:sz w:val="21"/>
          <w:szCs w:val="21"/>
          <w:lang w:val="es-ES_tradnl"/>
        </w:rPr>
      </w:pPr>
    </w:p>
    <w:p w14:paraId="6FC97F87" w14:textId="77777777" w:rsidR="006019B1" w:rsidRPr="006019B1" w:rsidRDefault="006019B1" w:rsidP="006019B1">
      <w:pPr>
        <w:tabs>
          <w:tab w:val="left" w:pos="0"/>
        </w:tabs>
        <w:spacing w:after="0" w:line="240" w:lineRule="auto"/>
        <w:ind w:left="709" w:right="709"/>
        <w:jc w:val="both"/>
        <w:rPr>
          <w:rFonts w:ascii="Verdana" w:eastAsia="Calibri" w:hAnsi="Verdana" w:cs="Arial"/>
          <w:bCs/>
          <w:color w:val="000000"/>
          <w:sz w:val="21"/>
          <w:szCs w:val="21"/>
          <w:lang w:val="es-ES_tradnl"/>
        </w:rPr>
      </w:pPr>
      <w:r w:rsidRPr="006019B1">
        <w:rPr>
          <w:rFonts w:ascii="Verdana" w:eastAsia="Calibri" w:hAnsi="Verdana" w:cs="Arial"/>
          <w:bCs/>
          <w:color w:val="000000"/>
          <w:sz w:val="21"/>
          <w:szCs w:val="21"/>
          <w:lang w:val="es-ES_tradnl"/>
        </w:rPr>
        <w:t>1. El análisis del sector económico y de los oferentes, y, toda aquella información adicional con la que cuente la Entidad Estatal en la etapa de planeación del Proceso de Contratación;</w:t>
      </w:r>
    </w:p>
    <w:p w14:paraId="202E57A7" w14:textId="77777777" w:rsidR="006019B1" w:rsidRPr="006019B1" w:rsidRDefault="006019B1" w:rsidP="006019B1">
      <w:pPr>
        <w:tabs>
          <w:tab w:val="left" w:pos="0"/>
        </w:tabs>
        <w:spacing w:after="0" w:line="240" w:lineRule="auto"/>
        <w:ind w:left="709" w:right="709"/>
        <w:jc w:val="both"/>
        <w:rPr>
          <w:rFonts w:ascii="Verdana" w:eastAsia="Calibri" w:hAnsi="Verdana" w:cs="Arial"/>
          <w:bCs/>
          <w:color w:val="000000"/>
          <w:sz w:val="21"/>
          <w:szCs w:val="21"/>
          <w:lang w:val="es-ES_tradnl"/>
        </w:rPr>
      </w:pPr>
    </w:p>
    <w:p w14:paraId="2CE57404" w14:textId="77777777" w:rsidR="006019B1" w:rsidRPr="006019B1" w:rsidRDefault="006019B1" w:rsidP="006019B1">
      <w:pPr>
        <w:tabs>
          <w:tab w:val="left" w:pos="0"/>
        </w:tabs>
        <w:spacing w:after="0" w:line="240" w:lineRule="auto"/>
        <w:ind w:left="709" w:right="709"/>
        <w:jc w:val="both"/>
        <w:rPr>
          <w:rFonts w:ascii="Verdana" w:eastAsia="Calibri" w:hAnsi="Verdana" w:cs="Arial"/>
          <w:bCs/>
          <w:color w:val="000000"/>
          <w:sz w:val="21"/>
          <w:szCs w:val="21"/>
          <w:lang w:val="es-ES_tradnl"/>
        </w:rPr>
      </w:pPr>
      <w:r w:rsidRPr="006019B1">
        <w:rPr>
          <w:rFonts w:ascii="Verdana" w:eastAsia="Calibri" w:hAnsi="Verdana" w:cs="Arial"/>
          <w:bCs/>
          <w:color w:val="000000"/>
          <w:sz w:val="21"/>
          <w:szCs w:val="21"/>
          <w:lang w:val="es-ES_tradnl"/>
        </w:rPr>
        <w:t>2. El porcentaje de participación de los bienes en el presupuesto del Proceso de Contratación; y</w:t>
      </w:r>
    </w:p>
    <w:p w14:paraId="79A088D4" w14:textId="77777777" w:rsidR="006019B1" w:rsidRPr="006019B1" w:rsidRDefault="006019B1" w:rsidP="006019B1">
      <w:pPr>
        <w:tabs>
          <w:tab w:val="left" w:pos="0"/>
        </w:tabs>
        <w:spacing w:after="0" w:line="240" w:lineRule="auto"/>
        <w:ind w:left="709" w:right="709"/>
        <w:jc w:val="both"/>
        <w:rPr>
          <w:rFonts w:ascii="Verdana" w:eastAsia="Calibri" w:hAnsi="Verdana" w:cs="Arial"/>
          <w:bCs/>
          <w:color w:val="000000"/>
          <w:sz w:val="21"/>
          <w:szCs w:val="21"/>
          <w:lang w:val="es-ES_tradnl"/>
        </w:rPr>
      </w:pPr>
    </w:p>
    <w:p w14:paraId="1EAE22E1" w14:textId="77777777" w:rsidR="006019B1" w:rsidRPr="006019B1" w:rsidRDefault="006019B1" w:rsidP="006019B1">
      <w:pPr>
        <w:tabs>
          <w:tab w:val="left" w:pos="0"/>
        </w:tabs>
        <w:spacing w:after="0" w:line="240" w:lineRule="auto"/>
        <w:ind w:left="709" w:right="709"/>
        <w:jc w:val="both"/>
        <w:rPr>
          <w:rFonts w:ascii="Verdana" w:eastAsia="Calibri" w:hAnsi="Verdana" w:cs="Arial"/>
          <w:bCs/>
          <w:color w:val="000000"/>
          <w:sz w:val="21"/>
          <w:szCs w:val="21"/>
          <w:lang w:val="es-ES_tradnl"/>
        </w:rPr>
      </w:pPr>
      <w:r w:rsidRPr="006019B1">
        <w:rPr>
          <w:rFonts w:ascii="Verdana" w:eastAsia="Calibri" w:hAnsi="Verdana" w:cs="Arial"/>
          <w:bCs/>
          <w:color w:val="000000"/>
          <w:sz w:val="21"/>
          <w:szCs w:val="21"/>
          <w:lang w:val="es-ES_tradnl"/>
        </w:rPr>
        <w:t>3. La existencia de los bienes en el Registro de Productores de Bienes Nacionales, en los términos del Decreto 2680 de 2009 o las normas que lo modifiquen, aclaren, adicionen o sustituyan.</w:t>
      </w:r>
    </w:p>
    <w:p w14:paraId="197CE0F1" w14:textId="77777777" w:rsidR="006019B1" w:rsidRPr="006019B1" w:rsidRDefault="006019B1" w:rsidP="006019B1">
      <w:pPr>
        <w:tabs>
          <w:tab w:val="left" w:pos="0"/>
        </w:tabs>
        <w:spacing w:after="0" w:line="240" w:lineRule="auto"/>
        <w:ind w:left="709" w:right="709"/>
        <w:jc w:val="both"/>
        <w:rPr>
          <w:rFonts w:ascii="Verdana" w:eastAsia="Calibri" w:hAnsi="Verdana" w:cs="Arial"/>
          <w:bCs/>
          <w:color w:val="000000"/>
          <w:sz w:val="21"/>
          <w:szCs w:val="21"/>
          <w:lang w:val="es-ES_tradnl"/>
        </w:rPr>
      </w:pPr>
    </w:p>
    <w:p w14:paraId="66CE30CD" w14:textId="77777777" w:rsidR="006019B1" w:rsidRPr="006019B1" w:rsidRDefault="006019B1" w:rsidP="006019B1">
      <w:pPr>
        <w:tabs>
          <w:tab w:val="left" w:pos="0"/>
        </w:tabs>
        <w:spacing w:after="0" w:line="240" w:lineRule="auto"/>
        <w:ind w:left="709" w:right="709"/>
        <w:jc w:val="both"/>
        <w:rPr>
          <w:rFonts w:ascii="Verdana" w:eastAsia="Calibri" w:hAnsi="Verdana" w:cs="Arial"/>
          <w:bCs/>
          <w:color w:val="000000"/>
          <w:sz w:val="21"/>
          <w:szCs w:val="21"/>
          <w:lang w:val="es-ES_tradnl"/>
        </w:rPr>
      </w:pPr>
      <w:r w:rsidRPr="006019B1">
        <w:rPr>
          <w:rFonts w:ascii="Verdana" w:eastAsia="Calibri" w:hAnsi="Verdana" w:cs="Arial"/>
          <w:bCs/>
          <w:color w:val="000000"/>
          <w:sz w:val="21"/>
          <w:szCs w:val="21"/>
          <w:lang w:val="es-ES_tradnl"/>
        </w:rPr>
        <w:t>En aquellos casos en que, de acuerdo con el objeto contractual, no existan bienes colombianos relevantes o no exista oferta nacional de los mismos en el Registro de Productores de Bienes Nacionales, la Entidad Estatal otorgará el puntaje de que trata el inciso primero del artículo 2 de la Ley 816 de 2003 al proponente que vincule el porcentaje mínimo establecido por la Entidad Estatal de empleados o contratistas por prestación de servicios colombianos, que no podrá ser inferior al 40% del total de empleados y contratistas asociados al cumplimiento del contrato.</w:t>
      </w:r>
    </w:p>
    <w:p w14:paraId="0F330B9B" w14:textId="77777777" w:rsidR="006019B1" w:rsidRPr="006019B1" w:rsidRDefault="006019B1" w:rsidP="006019B1">
      <w:pPr>
        <w:tabs>
          <w:tab w:val="left" w:pos="0"/>
        </w:tabs>
        <w:spacing w:after="0" w:line="240" w:lineRule="auto"/>
        <w:ind w:left="709" w:right="709"/>
        <w:jc w:val="both"/>
        <w:rPr>
          <w:rFonts w:ascii="Verdana" w:eastAsia="Calibri" w:hAnsi="Verdana" w:cs="Arial"/>
          <w:bCs/>
          <w:color w:val="000000"/>
          <w:sz w:val="21"/>
          <w:szCs w:val="21"/>
          <w:lang w:val="es-ES_tradnl"/>
        </w:rPr>
      </w:pPr>
    </w:p>
    <w:p w14:paraId="3450F8B3" w14:textId="77777777" w:rsidR="006019B1" w:rsidRPr="006019B1" w:rsidRDefault="006019B1" w:rsidP="006019B1">
      <w:pPr>
        <w:tabs>
          <w:tab w:val="left" w:pos="0"/>
        </w:tabs>
        <w:spacing w:after="0" w:line="240" w:lineRule="auto"/>
        <w:ind w:left="709" w:right="709"/>
        <w:jc w:val="both"/>
        <w:rPr>
          <w:rFonts w:ascii="Verdana" w:eastAsia="Calibri" w:hAnsi="Verdana" w:cs="Arial"/>
          <w:bCs/>
          <w:color w:val="000000"/>
          <w:sz w:val="21"/>
          <w:szCs w:val="21"/>
          <w:lang w:val="es-ES_tradnl"/>
        </w:rPr>
      </w:pPr>
      <w:r w:rsidRPr="006019B1">
        <w:rPr>
          <w:rFonts w:ascii="Verdana" w:eastAsia="Calibri" w:hAnsi="Verdana" w:cs="Arial"/>
          <w:bCs/>
          <w:color w:val="000000"/>
          <w:sz w:val="21"/>
          <w:szCs w:val="21"/>
          <w:lang w:val="es-ES_tradnl"/>
        </w:rPr>
        <w:t>La Entidad Estatal documentará este análisis y dejará constancia en los Documentos del Proceso”.</w:t>
      </w:r>
    </w:p>
    <w:p w14:paraId="2161B821" w14:textId="77777777" w:rsidR="006019B1" w:rsidRPr="006019B1" w:rsidRDefault="006019B1" w:rsidP="006019B1">
      <w:pPr>
        <w:tabs>
          <w:tab w:val="left" w:pos="0"/>
        </w:tabs>
        <w:spacing w:after="0" w:line="276" w:lineRule="auto"/>
        <w:ind w:left="709" w:right="709"/>
        <w:jc w:val="both"/>
        <w:rPr>
          <w:rFonts w:ascii="Verdana" w:eastAsia="Calibri" w:hAnsi="Verdana" w:cs="Arial"/>
          <w:bCs/>
          <w:color w:val="000000"/>
          <w:lang w:val="es-ES_tradnl"/>
        </w:rPr>
      </w:pPr>
    </w:p>
    <w:p w14:paraId="3CE1A04E" w14:textId="77777777" w:rsidR="006019B1" w:rsidRPr="006019B1" w:rsidRDefault="006019B1" w:rsidP="006019B1">
      <w:pPr>
        <w:tabs>
          <w:tab w:val="left" w:pos="0"/>
        </w:tabs>
        <w:spacing w:after="120" w:line="276" w:lineRule="auto"/>
        <w:ind w:firstLine="709"/>
        <w:jc w:val="both"/>
        <w:rPr>
          <w:rFonts w:ascii="Verdana" w:eastAsia="Calibri" w:hAnsi="Verdana" w:cs="Arial"/>
          <w:color w:val="000000"/>
          <w:lang w:val="es-ES"/>
        </w:rPr>
      </w:pPr>
      <w:bookmarkStart w:id="4" w:name="_Hlk86820149"/>
      <w:bookmarkStart w:id="5" w:name="_Hlk87025682"/>
      <w:r w:rsidRPr="006019B1">
        <w:rPr>
          <w:rFonts w:ascii="Verdana" w:eastAsia="Calibri" w:hAnsi="Verdana" w:cs="Arial"/>
          <w:color w:val="000000"/>
          <w:lang w:val="es-ES"/>
        </w:rPr>
        <w:t xml:space="preserve">Según el artículo 2.2.1.2.4.2.9 del Decreto 1082 de 2015, adicionado por el Decreto 680 de 2021, que desarrolla lo establecido en la Ley 816 de 2003, para definir los bienes colombianos relevantes, la entidad estatal debe tener en cuenta tres criterios, a saber: i) el análisis del sector económico y toda la  aquella información recabada en la etapa de planeación proceso, </w:t>
      </w:r>
      <w:proofErr w:type="spellStart"/>
      <w:r w:rsidRPr="006019B1">
        <w:rPr>
          <w:rFonts w:ascii="Verdana" w:eastAsia="Calibri" w:hAnsi="Verdana" w:cs="Arial"/>
          <w:color w:val="000000"/>
          <w:lang w:val="es-ES"/>
        </w:rPr>
        <w:t>ii</w:t>
      </w:r>
      <w:proofErr w:type="spellEnd"/>
      <w:r w:rsidRPr="006019B1">
        <w:rPr>
          <w:rFonts w:ascii="Verdana" w:eastAsia="Calibri" w:hAnsi="Verdana" w:cs="Arial"/>
          <w:color w:val="000000"/>
          <w:lang w:val="es-ES"/>
        </w:rPr>
        <w:t xml:space="preserve">) el porcentaje de participación de los bienes en el presupuesto del contratos y </w:t>
      </w:r>
      <w:proofErr w:type="spellStart"/>
      <w:r w:rsidRPr="006019B1">
        <w:rPr>
          <w:rFonts w:ascii="Verdana" w:eastAsia="Calibri" w:hAnsi="Verdana" w:cs="Arial"/>
          <w:color w:val="000000"/>
          <w:lang w:val="es-ES"/>
        </w:rPr>
        <w:t>iii</w:t>
      </w:r>
      <w:proofErr w:type="spellEnd"/>
      <w:r w:rsidRPr="006019B1">
        <w:rPr>
          <w:rFonts w:ascii="Verdana" w:eastAsia="Calibri" w:hAnsi="Verdana" w:cs="Arial"/>
          <w:color w:val="000000"/>
          <w:lang w:val="es-ES"/>
        </w:rPr>
        <w:t xml:space="preserve">) la existencia de los bienes en el Registro de Productores de Bienes Nacionales, en los términos del Decreto 2680 de 2009. Las entidades estatales deben valerse de estos criterios para analizar los insumos requeridos para la ejecución del objeto contractual ofertado y establecer cuáles constituyen los bienes nacionales relevantes, análisis que debe constar en los Documentos del Proceso.  Se considera importante que en los pliegos de condiciones o documentos equivalentes se establezca con claridad qué bienes colombianos deben incluir en las propuestas para que puedan ser consideradas de origen nacional y, en consecuencia, optar al puntaje por apoyo a la industria nacional.   </w:t>
      </w:r>
    </w:p>
    <w:bookmarkEnd w:id="4"/>
    <w:p w14:paraId="36CFB3C4" w14:textId="77777777" w:rsidR="006019B1" w:rsidRPr="006019B1" w:rsidRDefault="006019B1" w:rsidP="006019B1">
      <w:pPr>
        <w:tabs>
          <w:tab w:val="left" w:pos="0"/>
        </w:tabs>
        <w:spacing w:after="120" w:line="276" w:lineRule="auto"/>
        <w:ind w:firstLine="709"/>
        <w:jc w:val="both"/>
        <w:rPr>
          <w:rFonts w:ascii="Verdana" w:eastAsia="Calibri" w:hAnsi="Verdana" w:cs="Arial"/>
          <w:bCs/>
          <w:color w:val="000000"/>
          <w:lang w:val="es-ES_tradnl"/>
        </w:rPr>
      </w:pPr>
      <w:r w:rsidRPr="006019B1">
        <w:rPr>
          <w:rFonts w:ascii="Verdana" w:eastAsia="Calibri" w:hAnsi="Verdana" w:cs="Arial"/>
          <w:bCs/>
          <w:color w:val="000000"/>
          <w:lang w:val="es-ES_tradnl"/>
        </w:rPr>
        <w:t xml:space="preserve">El penúltimo inciso del artículo del 2.2.1.2.4.2.9 del Decreto 1082 de 2015, adicionado por el Decreto 680 de 2021, establece una regla subsidiaria para otorgar el puntaje de industria nacional en procesos de contratación en los que, en atención al objeto contractual, no existan bienes colombianos relevantes o no exista oferta nacional de los bienes relevantes en el Registro de Productores de Bienes Nacionales. Esta regla consiste en otorgar el puntaje, al proponente que vincule el porcentaje mínimo de empleados o contratistas por prestación de servicios colombianos establecido por la entidad estatal, el cual no podrá ser inferior al 40% del total de empleados y contratistas asociados al cumplimiento del contrato. Conforme a esta regla residual, cuando en el marco de la planeación, la entidad estatal no logre establecer que el objeto contractual requiera de bienes nacionales que se ajusten a los referidos criterios, deberá otorgar el puntaje por apoyo a la industria nacional a los proponentes que ejecuten el contrato garantizando la participación de personal colombiano en el correspondiente porcentaje mínimo.    </w:t>
      </w:r>
    </w:p>
    <w:bookmarkEnd w:id="5"/>
    <w:p w14:paraId="59304177" w14:textId="77777777" w:rsidR="006019B1" w:rsidRPr="006019B1" w:rsidRDefault="006019B1" w:rsidP="006019B1">
      <w:pPr>
        <w:tabs>
          <w:tab w:val="left" w:pos="0"/>
        </w:tabs>
        <w:spacing w:before="120" w:line="276" w:lineRule="auto"/>
        <w:jc w:val="both"/>
        <w:rPr>
          <w:rFonts w:ascii="Verdana" w:eastAsia="Calibri" w:hAnsi="Verdana" w:cs="Arial"/>
          <w:bCs/>
          <w:color w:val="000000"/>
        </w:rPr>
      </w:pPr>
      <w:r w:rsidRPr="006019B1">
        <w:rPr>
          <w:rFonts w:ascii="Verdana" w:eastAsia="Calibri" w:hAnsi="Verdana" w:cs="Arial"/>
          <w:bCs/>
          <w:color w:val="000000"/>
        </w:rPr>
        <w:tab/>
        <w:t xml:space="preserve">De acuerdo con lo anterior, corresponde a las entidades estatales, dentro de la planeación de los procesos de selección competitivos que adelantan, establecer cuál de las dos alternativas para el otorgamiento de puntaje por apoyo a la industria nacional tendrá aplicación, para lo cual deben realizar un análisis que conste en los Documentos del Proceso. Adicionalmente, en la </w:t>
      </w:r>
      <w:r w:rsidRPr="006019B1">
        <w:rPr>
          <w:rFonts w:ascii="Verdana" w:eastAsia="Calibri" w:hAnsi="Verdana" w:cs="Arial"/>
          <w:bCs/>
          <w:color w:val="000000"/>
        </w:rPr>
        <w:lastRenderedPageBreak/>
        <w:t>medida en que el Decreto 680 de 2021 no establece ninguna regla específica al respecto, se estima indispensable que las entidades estatales, de conformidad con el artículo 2.2.1.1.2.1.3 del Decreto 1082 de 2015</w:t>
      </w:r>
      <w:r w:rsidRPr="006019B1">
        <w:rPr>
          <w:rFonts w:ascii="Verdana" w:eastAsia="Calibri" w:hAnsi="Verdana" w:cs="Arial"/>
          <w:bCs/>
          <w:color w:val="000000"/>
          <w:vertAlign w:val="superscript"/>
        </w:rPr>
        <w:footnoteReference w:id="6"/>
      </w:r>
      <w:r w:rsidRPr="006019B1">
        <w:rPr>
          <w:rFonts w:ascii="Verdana" w:eastAsia="Calibri" w:hAnsi="Verdana" w:cs="Arial"/>
          <w:bCs/>
          <w:color w:val="000000"/>
        </w:rPr>
        <w:t xml:space="preserve">, establezcan en los pliegos de condiciones las reglas por las que deben seguirse los proponentes al momento de presentar sus ofertas para poder obtener el puntaje por apoyo a la industria nacional. </w:t>
      </w:r>
    </w:p>
    <w:p w14:paraId="2B4C5536" w14:textId="77777777" w:rsidR="006019B1" w:rsidRPr="006019B1" w:rsidRDefault="006019B1" w:rsidP="006019B1">
      <w:pPr>
        <w:tabs>
          <w:tab w:val="left" w:pos="0"/>
        </w:tabs>
        <w:spacing w:before="120" w:line="276" w:lineRule="auto"/>
        <w:jc w:val="both"/>
        <w:rPr>
          <w:rFonts w:ascii="Verdana" w:eastAsia="Calibri" w:hAnsi="Verdana" w:cs="Arial"/>
          <w:bCs/>
          <w:color w:val="000000"/>
        </w:rPr>
      </w:pPr>
      <w:r w:rsidRPr="006019B1">
        <w:rPr>
          <w:rFonts w:ascii="Verdana" w:eastAsia="Calibri" w:hAnsi="Verdana" w:cs="Arial"/>
          <w:bCs/>
          <w:color w:val="000000"/>
        </w:rPr>
        <w:tab/>
        <w:t xml:space="preserve">En consonancia con lo aquí explicado, tales reglas aplicables a la asignación del puntaje por apoyo a la industria nacional no solo deberán reparar en si el oferente es una persona natural colombiana, una persona jurídica constituida conforme a la ley nacional, un proponente extranjero con derecho a trata nacional o un proponente plural conformado por estos, sino que además deben procurar en que se satisfaga el criterio adicional necesario para hablar de </w:t>
      </w:r>
      <w:r w:rsidRPr="006019B1">
        <w:rPr>
          <w:rFonts w:ascii="Verdana" w:eastAsia="Calibri" w:hAnsi="Verdana" w:cs="Arial"/>
          <w:bCs/>
          <w:i/>
          <w:iCs/>
          <w:color w:val="000000"/>
        </w:rPr>
        <w:t>Servicio Nacional</w:t>
      </w:r>
      <w:r w:rsidRPr="006019B1">
        <w:rPr>
          <w:rFonts w:ascii="Verdana" w:eastAsia="Calibri" w:hAnsi="Verdana" w:cs="Arial"/>
          <w:bCs/>
          <w:color w:val="000000"/>
        </w:rPr>
        <w:t xml:space="preserve">, en cualquiera de las dos alternativas por las que se haya decantado la entidad tras aplicar el </w:t>
      </w:r>
      <w:r w:rsidRPr="006019B1">
        <w:rPr>
          <w:rFonts w:ascii="Verdana" w:eastAsia="Calibri" w:hAnsi="Verdana" w:cs="Arial"/>
          <w:bCs/>
          <w:color w:val="000000"/>
          <w:lang w:val="es-ES_tradnl"/>
        </w:rPr>
        <w:t xml:space="preserve">artículo del 2.2.1.2.4.2.9 del Decreto 1082 de 2015, adicionado por el Decreto 680 de 2021. En ese sentido, si se determinó que existen bienes con una participación importante en el presupuesto incluidos en el Registro de Productores de Bienes Nacionales, para otorgar el puntaje la entidad deberá verificar que el oferente efectivamente se haya comprometido a hacer uso de esos bienes en la ejecución del contrato en caso de resultar adjudicatario, o en su defecto, que se haya hecho el compromiso de vincular el personal mínimo establecido por la entidad, el cual, se reitera, no podrá ser inferior al 40%.    </w:t>
      </w:r>
    </w:p>
    <w:p w14:paraId="2A6DD06F" w14:textId="77777777" w:rsidR="006019B1" w:rsidRPr="006019B1" w:rsidRDefault="006019B1" w:rsidP="006019B1">
      <w:pPr>
        <w:tabs>
          <w:tab w:val="left" w:pos="0"/>
        </w:tabs>
        <w:spacing w:before="120" w:line="276" w:lineRule="auto"/>
        <w:jc w:val="both"/>
        <w:rPr>
          <w:rFonts w:ascii="Verdana" w:eastAsia="Calibri" w:hAnsi="Verdana" w:cs="Arial"/>
          <w:bCs/>
          <w:color w:val="000000"/>
          <w:lang w:val="es-ES_tradnl"/>
        </w:rPr>
      </w:pPr>
      <w:r w:rsidRPr="006019B1">
        <w:rPr>
          <w:rFonts w:ascii="Verdana" w:eastAsia="Calibri" w:hAnsi="Verdana" w:cs="Arial"/>
          <w:bCs/>
          <w:color w:val="000000"/>
        </w:rPr>
        <w:tab/>
        <w:t xml:space="preserve">Ahora bien, bajo el marco normativo establecido con anterioridad, para efectos del problema jurídico planteado en este concepto, es pertinente referirse </w:t>
      </w:r>
      <w:r w:rsidRPr="006019B1">
        <w:rPr>
          <w:rFonts w:ascii="Verdana" w:eastAsia="Calibri" w:hAnsi="Verdana" w:cs="Arial"/>
          <w:bCs/>
          <w:color w:val="000000"/>
        </w:rPr>
        <w:lastRenderedPageBreak/>
        <w:t xml:space="preserve">a la </w:t>
      </w:r>
      <w:bookmarkEnd w:id="1"/>
      <w:r w:rsidRPr="006019B1">
        <w:rPr>
          <w:rFonts w:ascii="Verdana" w:eastAsia="Calibri" w:hAnsi="Verdana" w:cs="Arial"/>
          <w:bCs/>
          <w:color w:val="000000"/>
          <w:lang w:val="es-ES_tradnl"/>
        </w:rPr>
        <w:t>regulación del puntaje por apoyo a la industria nacional en procesos adelantados con documentos tipo.</w:t>
      </w:r>
    </w:p>
    <w:p w14:paraId="51E207AB" w14:textId="77777777" w:rsidR="006019B1" w:rsidRPr="006019B1" w:rsidRDefault="006019B1" w:rsidP="006019B1">
      <w:pPr>
        <w:tabs>
          <w:tab w:val="left" w:pos="0"/>
        </w:tabs>
        <w:spacing w:before="120" w:line="276" w:lineRule="auto"/>
        <w:ind w:firstLine="709"/>
        <w:jc w:val="both"/>
        <w:rPr>
          <w:rFonts w:ascii="Verdana" w:eastAsia="Calibri" w:hAnsi="Verdana" w:cs="Arial"/>
          <w:bCs/>
          <w:color w:val="000000"/>
          <w:lang w:val="es-ES_tradnl"/>
        </w:rPr>
      </w:pPr>
      <w:r w:rsidRPr="006019B1">
        <w:rPr>
          <w:rFonts w:ascii="Verdana" w:eastAsia="Arial" w:hAnsi="Verdana" w:cs="Arial"/>
          <w:color w:val="000000"/>
          <w:kern w:val="2"/>
          <w:lang w:val="es-ES_tradnl"/>
          <w14:ligatures w14:val="standardContextual"/>
        </w:rPr>
        <w:t>En virtud de las normas expuestas, particularmente, el Decreto 680 de 2021, la Agencia Nacional de Contratación Pública, en desarrollo del procedimiento de actualización regulado por la Resolución 160 de 2020, expidió la Resolución 304 de 2021 “</w:t>
      </w:r>
      <w:r w:rsidRPr="006019B1">
        <w:rPr>
          <w:rFonts w:ascii="Verdana" w:eastAsia="Arial" w:hAnsi="Verdana" w:cs="Arial"/>
          <w:i/>
          <w:iCs/>
          <w:color w:val="000000"/>
          <w:kern w:val="2"/>
          <w:lang w:val="es-ES_tradnl"/>
          <w14:ligatures w14:val="standardContextual"/>
        </w:rPr>
        <w:t>Por la cual se modifican los Documentos Tipo adoptados por la Agencia Nacional de Contratación Pública – Colombia Compra Eficiente”</w:t>
      </w:r>
      <w:r w:rsidRPr="006019B1">
        <w:rPr>
          <w:rFonts w:ascii="Verdana" w:eastAsia="Arial" w:hAnsi="Verdana" w:cs="Arial"/>
          <w:color w:val="000000"/>
          <w:kern w:val="2"/>
          <w:lang w:val="es-ES_tradnl"/>
          <w14:ligatures w14:val="standardContextual"/>
        </w:rPr>
        <w:t>. Asimismo, los nuevos documentos tipo que se han expedido contemplan, en lo pertinente y aplicable, los cambios implementados con la modificación.</w:t>
      </w:r>
    </w:p>
    <w:p w14:paraId="674D00B0" w14:textId="77777777" w:rsidR="006019B1" w:rsidRPr="006019B1" w:rsidRDefault="006019B1" w:rsidP="006019B1">
      <w:pPr>
        <w:snapToGrid w:val="0"/>
        <w:spacing w:after="120" w:line="276" w:lineRule="auto"/>
        <w:ind w:firstLine="709"/>
        <w:jc w:val="both"/>
        <w:rPr>
          <w:rFonts w:ascii="Verdana" w:eastAsia="Calibri" w:hAnsi="Verdana" w:cs="Times New Roman"/>
          <w:lang w:val="es-ES" w:eastAsia="es-MX"/>
        </w:rPr>
      </w:pPr>
      <w:r w:rsidRPr="006019B1">
        <w:rPr>
          <w:rFonts w:ascii="Verdana" w:eastAsia="Calibri" w:hAnsi="Verdana" w:cs="Times New Roman"/>
          <w:lang w:val="es-ES" w:eastAsia="es-MX"/>
        </w:rPr>
        <w:t>Recientemente, los documentos tipo del sector de infraestructura social fueron modificados mediante la Resolución No. 539 del 21 de agosto de 2025, “Por la cual se adopta la versión -2- de los documentos tipo para los procesos de selección de licitación de obra pública del sector de infraestructura social y se deroga la Resolución 219 de 2021; se adoptan los documento tipo complementarios para los procesos de licitación de obra pública de infraestructura social relacionados con los sectores de educación, salud, cultura, recreación y deporte – versión 2 y se derogan las Resoluciones 220, 392 y 454 de 2021; y se adoptan los documentos tipo complementarios para los procesos de licitación de obra pública de infraestructura social relacionados con los sectores institucional y vivienda”. Estos nuevos documentos tipo aplican a los procedimientos de selección de licitación de obra pública de infraestructura social en los sectores de educación, salud, cultura, recreación y deporte, institucional y vivienda, cuyo aviso de convocatoria sea publicado a partir del 16 de febrero de 2026.</w:t>
      </w:r>
    </w:p>
    <w:p w14:paraId="10204A6A" w14:textId="77777777" w:rsidR="006019B1" w:rsidRPr="006019B1" w:rsidRDefault="006019B1" w:rsidP="006019B1">
      <w:pPr>
        <w:spacing w:after="0" w:line="276" w:lineRule="auto"/>
        <w:ind w:firstLine="709"/>
        <w:jc w:val="both"/>
        <w:rPr>
          <w:rFonts w:ascii="Verdana" w:eastAsia="Calibri" w:hAnsi="Verdana" w:cs="Arial"/>
          <w:color w:val="000000"/>
        </w:rPr>
      </w:pPr>
      <w:bookmarkStart w:id="6" w:name="_Hlk96463303"/>
      <w:r w:rsidRPr="006019B1">
        <w:rPr>
          <w:rFonts w:ascii="Verdana" w:eastAsia="Calibri" w:hAnsi="Verdana" w:cs="Arial"/>
          <w:bCs/>
          <w:color w:val="000000"/>
          <w:lang w:val="es-ES_tradnl"/>
        </w:rPr>
        <w:t xml:space="preserve">Sobre el particular, </w:t>
      </w:r>
      <w:bookmarkEnd w:id="6"/>
      <w:r w:rsidRPr="006019B1">
        <w:rPr>
          <w:rFonts w:ascii="Verdana" w:eastAsia="Calibri" w:hAnsi="Verdana" w:cs="Arial"/>
          <w:color w:val="000000"/>
        </w:rPr>
        <w:t xml:space="preserve">el numeral 4.3 </w:t>
      </w:r>
      <w:r w:rsidRPr="006019B1">
        <w:rPr>
          <w:rFonts w:ascii="Verdana" w:eastAsia="Calibri" w:hAnsi="Verdana" w:cs="Arial"/>
          <w:i/>
          <w:iCs/>
          <w:color w:val="000000"/>
        </w:rPr>
        <w:t>“Apoyo a la Industria Nacional”</w:t>
      </w:r>
      <w:r w:rsidRPr="006019B1">
        <w:rPr>
          <w:rFonts w:ascii="Verdana" w:eastAsia="Calibri" w:hAnsi="Verdana" w:cs="Arial"/>
          <w:color w:val="000000"/>
        </w:rPr>
        <w:t xml:space="preserve"> del documento base de los referidos documentos tipo, establece dos (2) alternativas para la obtención del puntaje de apoyo a la industria nacional, así:</w:t>
      </w:r>
    </w:p>
    <w:p w14:paraId="41D37C41" w14:textId="77777777" w:rsidR="006019B1" w:rsidRPr="006019B1" w:rsidRDefault="006019B1" w:rsidP="006019B1">
      <w:pPr>
        <w:spacing w:after="0" w:line="276" w:lineRule="auto"/>
        <w:ind w:firstLine="709"/>
        <w:jc w:val="both"/>
        <w:rPr>
          <w:rFonts w:ascii="Verdana" w:eastAsia="Calibri" w:hAnsi="Verdana" w:cs="Arial"/>
          <w:color w:val="000000"/>
        </w:rPr>
      </w:pPr>
    </w:p>
    <w:p w14:paraId="6952A8D8" w14:textId="77777777" w:rsidR="006019B1" w:rsidRPr="006019B1" w:rsidRDefault="006019B1" w:rsidP="006019B1">
      <w:pPr>
        <w:adjustRightInd w:val="0"/>
        <w:snapToGrid w:val="0"/>
        <w:spacing w:line="240" w:lineRule="auto"/>
        <w:ind w:left="709" w:right="709"/>
        <w:jc w:val="both"/>
        <w:rPr>
          <w:rFonts w:ascii="Verdana" w:eastAsia="Calibri" w:hAnsi="Verdana" w:cs="Arial"/>
          <w:color w:val="000000"/>
          <w:sz w:val="21"/>
          <w:szCs w:val="21"/>
          <w:lang w:val="es-MX"/>
        </w:rPr>
      </w:pPr>
      <w:r w:rsidRPr="006019B1">
        <w:rPr>
          <w:rFonts w:ascii="Verdana" w:eastAsia="Calibri" w:hAnsi="Verdana" w:cs="Arial"/>
          <w:color w:val="000000"/>
          <w:sz w:val="21"/>
          <w:szCs w:val="21"/>
          <w:lang w:val="es-MX"/>
        </w:rPr>
        <w:t>Los Proponentes pueden obtener puntaje de apoyo a la industria nacional por: i) Servicios Nacionales o con Trato Nacional o por ii) la incorporación de componente nacional en servicios extranjeros. La Entidad en ningún caso otorgará simultáneamente el puntaje por ambos aspectos.</w:t>
      </w:r>
    </w:p>
    <w:p w14:paraId="23246181" w14:textId="77777777" w:rsidR="006019B1" w:rsidRPr="006019B1" w:rsidRDefault="006019B1" w:rsidP="006019B1">
      <w:pPr>
        <w:adjustRightInd w:val="0"/>
        <w:spacing w:line="240" w:lineRule="auto"/>
        <w:ind w:left="709" w:right="709"/>
        <w:jc w:val="both"/>
        <w:rPr>
          <w:rFonts w:ascii="Verdana" w:eastAsia="Calibri" w:hAnsi="Verdana" w:cs="Arial"/>
          <w:color w:val="000000"/>
          <w:sz w:val="21"/>
          <w:szCs w:val="21"/>
          <w:lang w:val="es-MX"/>
        </w:rPr>
      </w:pPr>
      <w:r w:rsidRPr="006019B1">
        <w:rPr>
          <w:rFonts w:ascii="Verdana" w:eastAsia="Calibri" w:hAnsi="Verdana" w:cs="Arial"/>
          <w:color w:val="000000"/>
          <w:sz w:val="21"/>
          <w:szCs w:val="21"/>
          <w:lang w:val="es-MX"/>
        </w:rPr>
        <w:lastRenderedPageBreak/>
        <w:t>Los puntajes para estimular a la industria nacional se relacionan en la siguiente tabla:</w:t>
      </w:r>
    </w:p>
    <w:tbl>
      <w:tblPr>
        <w:tblW w:w="45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70" w:type="dxa"/>
          <w:right w:w="70" w:type="dxa"/>
        </w:tblCellMar>
        <w:tblLook w:val="00A0" w:firstRow="1" w:lastRow="0" w:firstColumn="1" w:lastColumn="0" w:noHBand="0" w:noVBand="0"/>
      </w:tblPr>
      <w:tblGrid>
        <w:gridCol w:w="3140"/>
        <w:gridCol w:w="1398"/>
      </w:tblGrid>
      <w:tr w:rsidR="006019B1" w:rsidRPr="006019B1" w14:paraId="424BFEF8" w14:textId="77777777" w:rsidTr="00A0211B">
        <w:trPr>
          <w:trHeight w:val="340"/>
          <w:tblHeader/>
          <w:jc w:val="center"/>
        </w:trPr>
        <w:tc>
          <w:tcPr>
            <w:tcW w:w="3140" w:type="dxa"/>
            <w:tcBorders>
              <w:top w:val="double" w:sz="4" w:space="0" w:color="auto"/>
              <w:left w:val="double" w:sz="4" w:space="0" w:color="auto"/>
              <w:bottom w:val="single" w:sz="6" w:space="0" w:color="auto"/>
              <w:right w:val="single" w:sz="6" w:space="0" w:color="auto"/>
            </w:tcBorders>
            <w:shd w:val="clear" w:color="auto" w:fill="3B3838"/>
            <w:vAlign w:val="center"/>
            <w:hideMark/>
          </w:tcPr>
          <w:p w14:paraId="45BD4F14" w14:textId="77777777" w:rsidR="006019B1" w:rsidRPr="006019B1" w:rsidRDefault="006019B1" w:rsidP="006019B1">
            <w:pPr>
              <w:spacing w:after="0" w:line="276" w:lineRule="auto"/>
              <w:jc w:val="center"/>
              <w:rPr>
                <w:rFonts w:ascii="Verdana" w:eastAsia="Times New Roman" w:hAnsi="Verdana" w:cs="Arial"/>
                <w:b/>
                <w:caps/>
                <w:noProof/>
                <w:sz w:val="19"/>
                <w:szCs w:val="19"/>
                <w:lang w:val="es-ES"/>
              </w:rPr>
            </w:pPr>
            <w:r w:rsidRPr="006019B1">
              <w:rPr>
                <w:rFonts w:ascii="Verdana" w:eastAsia="Calibri" w:hAnsi="Verdana" w:cs="Arial"/>
                <w:b/>
                <w:bCs/>
                <w:noProof/>
                <w:sz w:val="19"/>
                <w:szCs w:val="19"/>
                <w:lang w:val="es-ES"/>
              </w:rPr>
              <w:t>Concepto</w:t>
            </w:r>
          </w:p>
        </w:tc>
        <w:tc>
          <w:tcPr>
            <w:tcW w:w="1398" w:type="dxa"/>
            <w:tcBorders>
              <w:top w:val="double" w:sz="4" w:space="0" w:color="auto"/>
              <w:left w:val="single" w:sz="6" w:space="0" w:color="auto"/>
              <w:bottom w:val="single" w:sz="6" w:space="0" w:color="auto"/>
              <w:right w:val="double" w:sz="4" w:space="0" w:color="auto"/>
            </w:tcBorders>
            <w:shd w:val="clear" w:color="auto" w:fill="3B3838"/>
            <w:vAlign w:val="center"/>
            <w:hideMark/>
          </w:tcPr>
          <w:p w14:paraId="0A8F9B78" w14:textId="77777777" w:rsidR="006019B1" w:rsidRPr="006019B1" w:rsidRDefault="006019B1" w:rsidP="006019B1">
            <w:pPr>
              <w:spacing w:after="0" w:line="276" w:lineRule="auto"/>
              <w:jc w:val="center"/>
              <w:rPr>
                <w:rFonts w:ascii="Verdana" w:eastAsia="Times New Roman" w:hAnsi="Verdana" w:cs="Arial"/>
                <w:b/>
                <w:caps/>
                <w:noProof/>
                <w:sz w:val="19"/>
                <w:szCs w:val="19"/>
                <w:lang w:val="es-ES"/>
              </w:rPr>
            </w:pPr>
            <w:r w:rsidRPr="006019B1">
              <w:rPr>
                <w:rFonts w:ascii="Verdana" w:eastAsia="Calibri" w:hAnsi="Verdana" w:cs="Arial"/>
                <w:b/>
                <w:bCs/>
                <w:noProof/>
                <w:sz w:val="19"/>
                <w:szCs w:val="19"/>
                <w:lang w:val="es-ES"/>
              </w:rPr>
              <w:t>Puntaje</w:t>
            </w:r>
          </w:p>
        </w:tc>
      </w:tr>
      <w:tr w:rsidR="006019B1" w:rsidRPr="006019B1" w14:paraId="68910475" w14:textId="77777777" w:rsidTr="00A0211B">
        <w:trPr>
          <w:trHeight w:val="20"/>
          <w:jc w:val="center"/>
        </w:trPr>
        <w:tc>
          <w:tcPr>
            <w:tcW w:w="3140" w:type="dxa"/>
            <w:tcBorders>
              <w:top w:val="single" w:sz="6" w:space="0" w:color="auto"/>
              <w:left w:val="double" w:sz="4" w:space="0" w:color="auto"/>
              <w:bottom w:val="single" w:sz="6" w:space="0" w:color="auto"/>
              <w:right w:val="single" w:sz="6" w:space="0" w:color="auto"/>
            </w:tcBorders>
            <w:vAlign w:val="center"/>
            <w:hideMark/>
          </w:tcPr>
          <w:p w14:paraId="788148A8" w14:textId="77777777" w:rsidR="006019B1" w:rsidRPr="006019B1" w:rsidRDefault="006019B1" w:rsidP="006019B1">
            <w:pPr>
              <w:spacing w:after="0" w:line="276" w:lineRule="auto"/>
              <w:jc w:val="both"/>
              <w:rPr>
                <w:rFonts w:ascii="Verdana" w:eastAsia="Times New Roman" w:hAnsi="Verdana" w:cs="Arial"/>
                <w:caps/>
                <w:sz w:val="19"/>
                <w:szCs w:val="19"/>
                <w:lang w:val="es-ES"/>
              </w:rPr>
            </w:pPr>
            <w:r w:rsidRPr="006019B1">
              <w:rPr>
                <w:rFonts w:ascii="Verdana" w:eastAsia="Times New Roman" w:hAnsi="Verdana" w:cs="Arial"/>
                <w:sz w:val="19"/>
                <w:szCs w:val="19"/>
                <w:lang w:val="es-ES"/>
              </w:rPr>
              <w:t>Promoción de Servicios Nacionales o con Trato Nacional</w:t>
            </w:r>
          </w:p>
        </w:tc>
        <w:tc>
          <w:tcPr>
            <w:tcW w:w="1398" w:type="dxa"/>
            <w:tcBorders>
              <w:top w:val="single" w:sz="6" w:space="0" w:color="auto"/>
              <w:left w:val="single" w:sz="6" w:space="0" w:color="auto"/>
              <w:bottom w:val="single" w:sz="6" w:space="0" w:color="auto"/>
              <w:right w:val="double" w:sz="4" w:space="0" w:color="auto"/>
            </w:tcBorders>
            <w:vAlign w:val="center"/>
            <w:hideMark/>
          </w:tcPr>
          <w:p w14:paraId="12CD49B3" w14:textId="77777777" w:rsidR="006019B1" w:rsidRPr="006019B1" w:rsidRDefault="006019B1" w:rsidP="006019B1">
            <w:pPr>
              <w:spacing w:after="0" w:line="276" w:lineRule="auto"/>
              <w:jc w:val="center"/>
              <w:rPr>
                <w:rFonts w:ascii="Verdana" w:eastAsia="Times New Roman" w:hAnsi="Verdana" w:cs="Arial"/>
                <w:caps/>
                <w:sz w:val="19"/>
                <w:szCs w:val="19"/>
                <w:lang w:val="es-ES"/>
              </w:rPr>
            </w:pPr>
            <w:r w:rsidRPr="006019B1">
              <w:rPr>
                <w:rFonts w:ascii="Verdana" w:eastAsia="Times New Roman" w:hAnsi="Verdana" w:cs="Arial"/>
                <w:sz w:val="19"/>
                <w:szCs w:val="19"/>
                <w:lang w:val="es-ES"/>
              </w:rPr>
              <w:t>20</w:t>
            </w:r>
          </w:p>
        </w:tc>
      </w:tr>
      <w:tr w:rsidR="006019B1" w:rsidRPr="006019B1" w14:paraId="034CCA10" w14:textId="77777777" w:rsidTr="00A0211B">
        <w:trPr>
          <w:trHeight w:val="20"/>
          <w:jc w:val="center"/>
        </w:trPr>
        <w:tc>
          <w:tcPr>
            <w:tcW w:w="3140" w:type="dxa"/>
            <w:tcBorders>
              <w:top w:val="single" w:sz="6" w:space="0" w:color="auto"/>
              <w:left w:val="double" w:sz="4" w:space="0" w:color="auto"/>
              <w:bottom w:val="double" w:sz="4" w:space="0" w:color="auto"/>
              <w:right w:val="single" w:sz="6" w:space="0" w:color="auto"/>
            </w:tcBorders>
            <w:vAlign w:val="center"/>
            <w:hideMark/>
          </w:tcPr>
          <w:p w14:paraId="1E64F1B2" w14:textId="77777777" w:rsidR="006019B1" w:rsidRPr="006019B1" w:rsidRDefault="006019B1" w:rsidP="006019B1">
            <w:pPr>
              <w:spacing w:after="0" w:line="276" w:lineRule="auto"/>
              <w:jc w:val="both"/>
              <w:rPr>
                <w:rFonts w:ascii="Verdana" w:eastAsia="Times New Roman" w:hAnsi="Verdana" w:cs="Arial"/>
                <w:caps/>
                <w:noProof/>
                <w:sz w:val="19"/>
                <w:szCs w:val="19"/>
                <w:lang w:val="es-ES"/>
              </w:rPr>
            </w:pPr>
            <w:r w:rsidRPr="006019B1">
              <w:rPr>
                <w:rFonts w:ascii="Verdana" w:eastAsia="Times New Roman" w:hAnsi="Verdana" w:cs="Arial"/>
                <w:noProof/>
                <w:sz w:val="19"/>
                <w:szCs w:val="19"/>
                <w:lang w:val="es-ES"/>
              </w:rPr>
              <w:t>Incorporación de componente nacional en servicios extranjeros</w:t>
            </w:r>
          </w:p>
        </w:tc>
        <w:tc>
          <w:tcPr>
            <w:tcW w:w="1398" w:type="dxa"/>
            <w:tcBorders>
              <w:top w:val="single" w:sz="6" w:space="0" w:color="auto"/>
              <w:left w:val="single" w:sz="6" w:space="0" w:color="auto"/>
              <w:bottom w:val="double" w:sz="4" w:space="0" w:color="auto"/>
              <w:right w:val="double" w:sz="4" w:space="0" w:color="auto"/>
            </w:tcBorders>
            <w:vAlign w:val="center"/>
            <w:hideMark/>
          </w:tcPr>
          <w:p w14:paraId="2198F070" w14:textId="77777777" w:rsidR="006019B1" w:rsidRPr="006019B1" w:rsidRDefault="006019B1" w:rsidP="006019B1">
            <w:pPr>
              <w:spacing w:after="0" w:line="276" w:lineRule="auto"/>
              <w:jc w:val="center"/>
              <w:rPr>
                <w:rFonts w:ascii="Verdana" w:eastAsia="Times New Roman" w:hAnsi="Verdana" w:cs="Arial"/>
                <w:caps/>
                <w:noProof/>
                <w:sz w:val="19"/>
                <w:szCs w:val="19"/>
                <w:lang w:val="es-ES"/>
              </w:rPr>
            </w:pPr>
            <w:r w:rsidRPr="006019B1">
              <w:rPr>
                <w:rFonts w:ascii="Verdana" w:eastAsia="Times New Roman" w:hAnsi="Verdana" w:cs="Arial"/>
                <w:noProof/>
                <w:sz w:val="19"/>
                <w:szCs w:val="19"/>
                <w:lang w:val="es-ES"/>
              </w:rPr>
              <w:t>5</w:t>
            </w:r>
          </w:p>
        </w:tc>
      </w:tr>
    </w:tbl>
    <w:p w14:paraId="33F08554" w14:textId="77777777" w:rsidR="006019B1" w:rsidRPr="006019B1" w:rsidRDefault="006019B1" w:rsidP="006019B1">
      <w:pPr>
        <w:spacing w:after="0" w:line="276" w:lineRule="auto"/>
        <w:jc w:val="both"/>
        <w:rPr>
          <w:rFonts w:ascii="Verdana" w:eastAsia="Calibri" w:hAnsi="Verdana" w:cs="Arial"/>
          <w:color w:val="000000"/>
        </w:rPr>
      </w:pPr>
    </w:p>
    <w:p w14:paraId="2D37C63B" w14:textId="77777777" w:rsidR="006019B1" w:rsidRPr="006019B1" w:rsidRDefault="006019B1" w:rsidP="006019B1">
      <w:pPr>
        <w:tabs>
          <w:tab w:val="left" w:pos="709"/>
        </w:tabs>
        <w:spacing w:after="0" w:line="276" w:lineRule="auto"/>
        <w:ind w:firstLine="709"/>
        <w:jc w:val="both"/>
        <w:rPr>
          <w:rFonts w:ascii="Verdana" w:eastAsia="Calibri" w:hAnsi="Verdana" w:cs="Arial"/>
          <w:color w:val="000000"/>
          <w:kern w:val="2"/>
          <w:lang w:val="es-ES"/>
          <w14:ligatures w14:val="standardContextual"/>
        </w:rPr>
      </w:pPr>
      <w:r w:rsidRPr="006019B1">
        <w:rPr>
          <w:rFonts w:ascii="Verdana" w:eastAsia="Calibri" w:hAnsi="Verdana" w:cs="Arial"/>
          <w:color w:val="000000"/>
        </w:rPr>
        <w:t xml:space="preserve">Asimismo, el numeral 4.3.1 </w:t>
      </w:r>
      <w:r w:rsidRPr="006019B1">
        <w:rPr>
          <w:rFonts w:ascii="Verdana" w:eastAsia="Calibri" w:hAnsi="Verdana" w:cs="Arial"/>
          <w:i/>
          <w:iCs/>
          <w:color w:val="000000"/>
        </w:rPr>
        <w:t>ibidem</w:t>
      </w:r>
      <w:r w:rsidRPr="006019B1">
        <w:rPr>
          <w:rFonts w:ascii="Verdana" w:eastAsia="Calibri" w:hAnsi="Verdana" w:cs="Arial"/>
        </w:rPr>
        <w:t xml:space="preserve"> </w:t>
      </w:r>
      <w:r w:rsidRPr="006019B1">
        <w:rPr>
          <w:rFonts w:ascii="Verdana" w:eastAsia="Calibri" w:hAnsi="Verdana" w:cs="Arial"/>
          <w:i/>
          <w:iCs/>
          <w:color w:val="000000"/>
        </w:rPr>
        <w:t>“Promoción de Servicios Nacionales o con Trato Nacional”</w:t>
      </w:r>
      <w:r w:rsidRPr="006019B1">
        <w:rPr>
          <w:rFonts w:ascii="Verdana" w:eastAsia="Calibri" w:hAnsi="Verdana" w:cs="Arial"/>
          <w:color w:val="000000"/>
          <w:kern w:val="2"/>
          <w:lang w:val="es-ES"/>
          <w14:ligatures w14:val="standardContextual"/>
        </w:rPr>
        <w:t xml:space="preserve">, explica cómo el proponente se hace acreedor para el otorgamiento del puntaje por “Promoción de Servicios Nacionales o con Trato Nacional” y las reglas que las entidades deben tener en cuenta para definir el porcentaje de empleados o contratistas por prestación de servicios colombianos. De igual forma, para la acreditación del puntaje por servicios nacionales o con trato nacional, el numeral 4.3.1.1 prevé que: </w:t>
      </w:r>
    </w:p>
    <w:p w14:paraId="4FBC8054" w14:textId="77777777" w:rsidR="006019B1" w:rsidRPr="006019B1" w:rsidRDefault="006019B1" w:rsidP="006019B1">
      <w:pPr>
        <w:tabs>
          <w:tab w:val="left" w:pos="709"/>
        </w:tabs>
        <w:spacing w:after="0" w:line="276" w:lineRule="auto"/>
        <w:ind w:left="709" w:right="709"/>
        <w:jc w:val="both"/>
        <w:rPr>
          <w:rFonts w:ascii="Verdana" w:eastAsia="Calibri" w:hAnsi="Verdana" w:cs="Arial"/>
          <w:bCs/>
          <w:color w:val="000000"/>
          <w:kern w:val="2"/>
          <w:lang w:val="es-ES_tradnl"/>
          <w14:ligatures w14:val="standardContextual"/>
        </w:rPr>
      </w:pPr>
    </w:p>
    <w:p w14:paraId="0D93E784" w14:textId="77777777" w:rsidR="006019B1" w:rsidRPr="006019B1" w:rsidRDefault="006019B1" w:rsidP="006019B1">
      <w:pPr>
        <w:adjustRightInd w:val="0"/>
        <w:snapToGrid w:val="0"/>
        <w:spacing w:after="0" w:line="240" w:lineRule="auto"/>
        <w:ind w:left="709" w:right="709"/>
        <w:jc w:val="both"/>
        <w:rPr>
          <w:rFonts w:ascii="Verdana" w:eastAsia="Calibri" w:hAnsi="Verdana" w:cs="Arial"/>
          <w:iCs/>
          <w:color w:val="000000"/>
          <w:sz w:val="21"/>
          <w:szCs w:val="21"/>
        </w:rPr>
      </w:pPr>
      <w:r w:rsidRPr="006019B1">
        <w:rPr>
          <w:rFonts w:ascii="Verdana" w:eastAsia="Calibri" w:hAnsi="Verdana" w:cs="Arial"/>
          <w:iCs/>
          <w:color w:val="000000"/>
          <w:sz w:val="21"/>
          <w:szCs w:val="21"/>
        </w:rPr>
        <w:t xml:space="preserve">“Para que el Proponente nacional obtenga puntaje por Servicios Nacionales debe presentar, además del Formato 9 A – Promoción de Servicios Nacionales o con Trato Nacional, alguno de los siguientes documentos, según corresponda: </w:t>
      </w:r>
    </w:p>
    <w:p w14:paraId="7E2573FD" w14:textId="77777777" w:rsidR="006019B1" w:rsidRPr="006019B1" w:rsidRDefault="006019B1" w:rsidP="006019B1">
      <w:pPr>
        <w:adjustRightInd w:val="0"/>
        <w:snapToGrid w:val="0"/>
        <w:spacing w:after="0" w:line="240" w:lineRule="auto"/>
        <w:ind w:left="709" w:right="709"/>
        <w:jc w:val="both"/>
        <w:rPr>
          <w:rFonts w:ascii="Verdana" w:eastAsia="Calibri" w:hAnsi="Verdana" w:cs="Arial"/>
          <w:iCs/>
          <w:color w:val="000000"/>
          <w:sz w:val="21"/>
          <w:szCs w:val="21"/>
        </w:rPr>
      </w:pPr>
    </w:p>
    <w:p w14:paraId="7DDFA439" w14:textId="77777777" w:rsidR="006019B1" w:rsidRPr="006019B1" w:rsidRDefault="006019B1" w:rsidP="006019B1">
      <w:pPr>
        <w:adjustRightInd w:val="0"/>
        <w:snapToGrid w:val="0"/>
        <w:spacing w:after="0" w:line="240" w:lineRule="auto"/>
        <w:ind w:left="709" w:right="709"/>
        <w:jc w:val="both"/>
        <w:rPr>
          <w:rFonts w:ascii="Verdana" w:eastAsia="Calibri" w:hAnsi="Verdana" w:cs="Arial"/>
          <w:iCs/>
          <w:color w:val="000000"/>
          <w:sz w:val="21"/>
          <w:szCs w:val="21"/>
        </w:rPr>
      </w:pPr>
      <w:r w:rsidRPr="006019B1">
        <w:rPr>
          <w:rFonts w:ascii="Verdana" w:eastAsia="Calibri" w:hAnsi="Verdana" w:cs="Arial"/>
          <w:iCs/>
          <w:color w:val="000000"/>
          <w:sz w:val="21"/>
          <w:szCs w:val="21"/>
        </w:rPr>
        <w:t>A.</w:t>
      </w:r>
      <w:r w:rsidRPr="006019B1">
        <w:rPr>
          <w:rFonts w:ascii="Verdana" w:eastAsia="Calibri" w:hAnsi="Verdana" w:cs="Arial"/>
          <w:iCs/>
          <w:color w:val="000000"/>
          <w:sz w:val="21"/>
          <w:szCs w:val="21"/>
        </w:rPr>
        <w:tab/>
        <w:t>Persona natural colombiana: La cédula de ciudadanía del Proponente.</w:t>
      </w:r>
    </w:p>
    <w:p w14:paraId="07AC0D88" w14:textId="77777777" w:rsidR="006019B1" w:rsidRPr="006019B1" w:rsidRDefault="006019B1" w:rsidP="006019B1">
      <w:pPr>
        <w:adjustRightInd w:val="0"/>
        <w:snapToGrid w:val="0"/>
        <w:spacing w:after="0" w:line="240" w:lineRule="auto"/>
        <w:ind w:left="709" w:right="709"/>
        <w:jc w:val="both"/>
        <w:rPr>
          <w:rFonts w:ascii="Verdana" w:eastAsia="Calibri" w:hAnsi="Verdana" w:cs="Arial"/>
          <w:iCs/>
          <w:color w:val="000000"/>
          <w:sz w:val="21"/>
          <w:szCs w:val="21"/>
        </w:rPr>
      </w:pPr>
    </w:p>
    <w:p w14:paraId="6E8FC064" w14:textId="77777777" w:rsidR="006019B1" w:rsidRPr="006019B1" w:rsidRDefault="006019B1" w:rsidP="006019B1">
      <w:pPr>
        <w:adjustRightInd w:val="0"/>
        <w:snapToGrid w:val="0"/>
        <w:spacing w:after="0" w:line="240" w:lineRule="auto"/>
        <w:ind w:left="709" w:right="709"/>
        <w:jc w:val="both"/>
        <w:rPr>
          <w:rFonts w:ascii="Verdana" w:eastAsia="Calibri" w:hAnsi="Verdana" w:cs="Arial"/>
          <w:iCs/>
          <w:color w:val="000000"/>
          <w:sz w:val="21"/>
          <w:szCs w:val="21"/>
        </w:rPr>
      </w:pPr>
      <w:r w:rsidRPr="006019B1">
        <w:rPr>
          <w:rFonts w:ascii="Verdana" w:eastAsia="Calibri" w:hAnsi="Verdana" w:cs="Arial"/>
          <w:iCs/>
          <w:color w:val="000000"/>
          <w:sz w:val="21"/>
          <w:szCs w:val="21"/>
        </w:rPr>
        <w:t>B.</w:t>
      </w:r>
      <w:r w:rsidRPr="006019B1">
        <w:rPr>
          <w:rFonts w:ascii="Verdana" w:eastAsia="Calibri" w:hAnsi="Verdana" w:cs="Arial"/>
          <w:iCs/>
          <w:color w:val="000000"/>
          <w:sz w:val="21"/>
          <w:szCs w:val="21"/>
        </w:rPr>
        <w:tab/>
        <w:t xml:space="preserve">Persona natural extranjera residente en Colombia: La visa de residencia que le permita la ejecución del objeto contractual de conformidad con la ley. </w:t>
      </w:r>
    </w:p>
    <w:p w14:paraId="1BD4C00E" w14:textId="77777777" w:rsidR="006019B1" w:rsidRPr="006019B1" w:rsidRDefault="006019B1" w:rsidP="006019B1">
      <w:pPr>
        <w:adjustRightInd w:val="0"/>
        <w:snapToGrid w:val="0"/>
        <w:spacing w:after="0" w:line="240" w:lineRule="auto"/>
        <w:ind w:left="709" w:right="709"/>
        <w:jc w:val="both"/>
        <w:rPr>
          <w:rFonts w:ascii="Verdana" w:eastAsia="Calibri" w:hAnsi="Verdana" w:cs="Arial"/>
          <w:iCs/>
          <w:color w:val="000000"/>
          <w:sz w:val="21"/>
          <w:szCs w:val="21"/>
        </w:rPr>
      </w:pPr>
    </w:p>
    <w:p w14:paraId="4BD89926" w14:textId="77777777" w:rsidR="006019B1" w:rsidRPr="006019B1" w:rsidRDefault="006019B1" w:rsidP="006019B1">
      <w:pPr>
        <w:adjustRightInd w:val="0"/>
        <w:snapToGrid w:val="0"/>
        <w:spacing w:after="0" w:line="240" w:lineRule="auto"/>
        <w:ind w:left="709" w:right="709"/>
        <w:jc w:val="both"/>
        <w:rPr>
          <w:rFonts w:ascii="Verdana" w:eastAsia="Calibri" w:hAnsi="Verdana" w:cs="Arial"/>
          <w:iCs/>
          <w:color w:val="000000"/>
          <w:sz w:val="21"/>
          <w:szCs w:val="21"/>
        </w:rPr>
      </w:pPr>
      <w:r w:rsidRPr="006019B1">
        <w:rPr>
          <w:rFonts w:ascii="Verdana" w:eastAsia="Calibri" w:hAnsi="Verdana" w:cs="Arial"/>
          <w:iCs/>
          <w:color w:val="000000"/>
          <w:sz w:val="21"/>
          <w:szCs w:val="21"/>
        </w:rPr>
        <w:t>C.</w:t>
      </w:r>
      <w:r w:rsidRPr="006019B1">
        <w:rPr>
          <w:rFonts w:ascii="Verdana" w:eastAsia="Calibri" w:hAnsi="Verdana" w:cs="Arial"/>
          <w:iCs/>
          <w:color w:val="000000"/>
          <w:sz w:val="21"/>
          <w:szCs w:val="21"/>
        </w:rPr>
        <w:tab/>
        <w:t>Persona jurídica constituida en Colombia: El certificado de existencia y representación legal emitido por alguna de las cámaras de comercio del país”.</w:t>
      </w:r>
    </w:p>
    <w:p w14:paraId="4F782C42" w14:textId="77777777" w:rsidR="006019B1" w:rsidRPr="006019B1" w:rsidRDefault="006019B1" w:rsidP="006019B1">
      <w:pPr>
        <w:spacing w:after="0" w:line="240" w:lineRule="auto"/>
        <w:ind w:right="709"/>
        <w:jc w:val="both"/>
        <w:rPr>
          <w:rFonts w:ascii="Verdana" w:eastAsia="Calibri" w:hAnsi="Verdana" w:cs="Arial"/>
          <w:iCs/>
        </w:rPr>
      </w:pPr>
    </w:p>
    <w:p w14:paraId="5046B791" w14:textId="77777777" w:rsidR="006019B1" w:rsidRPr="006019B1" w:rsidRDefault="006019B1" w:rsidP="006019B1">
      <w:pPr>
        <w:tabs>
          <w:tab w:val="left" w:pos="709"/>
        </w:tabs>
        <w:adjustRightInd w:val="0"/>
        <w:snapToGrid w:val="0"/>
        <w:spacing w:after="0" w:line="276" w:lineRule="auto"/>
        <w:ind w:firstLine="709"/>
        <w:jc w:val="both"/>
        <w:rPr>
          <w:rFonts w:ascii="Verdana" w:eastAsia="Calibri" w:hAnsi="Verdana" w:cs="Arial"/>
          <w:bCs/>
          <w:i/>
          <w:iCs/>
          <w:color w:val="000000"/>
          <w:kern w:val="2"/>
          <w:lang w:val="es-ES_tradnl"/>
          <w14:ligatures w14:val="standardContextual"/>
        </w:rPr>
      </w:pPr>
      <w:r w:rsidRPr="006019B1">
        <w:rPr>
          <w:rFonts w:ascii="Verdana" w:eastAsia="Calibri" w:hAnsi="Verdana" w:cs="Arial"/>
          <w:bCs/>
          <w:color w:val="000000"/>
          <w:kern w:val="2"/>
          <w:lang w:val="es-ES_tradnl"/>
          <w14:ligatures w14:val="standardContextual"/>
        </w:rPr>
        <w:t xml:space="preserve">A su vez, el numeral 4.3.2 del documento base en comento dispone lo siguiente sobre la </w:t>
      </w:r>
      <w:r w:rsidRPr="006019B1">
        <w:rPr>
          <w:rFonts w:ascii="Verdana" w:eastAsia="Calibri" w:hAnsi="Verdana" w:cs="Arial"/>
          <w:bCs/>
          <w:i/>
          <w:iCs/>
          <w:color w:val="000000"/>
          <w:kern w:val="2"/>
          <w:lang w:val="es-ES_tradnl"/>
          <w14:ligatures w14:val="standardContextual"/>
        </w:rPr>
        <w:t>“Incorporación de Componente Nacional en Servicios Extranjeros”:</w:t>
      </w:r>
    </w:p>
    <w:p w14:paraId="43FD1C7A" w14:textId="77777777" w:rsidR="006019B1" w:rsidRPr="006019B1" w:rsidRDefault="006019B1" w:rsidP="006019B1">
      <w:pPr>
        <w:tabs>
          <w:tab w:val="left" w:pos="709"/>
        </w:tabs>
        <w:adjustRightInd w:val="0"/>
        <w:snapToGrid w:val="0"/>
        <w:spacing w:after="0" w:line="276" w:lineRule="auto"/>
        <w:ind w:firstLine="709"/>
        <w:jc w:val="both"/>
        <w:rPr>
          <w:rFonts w:ascii="Verdana" w:eastAsia="Calibri" w:hAnsi="Verdana" w:cs="Arial"/>
          <w:bCs/>
          <w:i/>
          <w:iCs/>
          <w:color w:val="000000"/>
          <w:kern w:val="2"/>
          <w:lang w:val="es-ES_tradnl"/>
          <w14:ligatures w14:val="standardContextual"/>
        </w:rPr>
      </w:pPr>
    </w:p>
    <w:p w14:paraId="603A5640" w14:textId="77777777" w:rsidR="006019B1" w:rsidRPr="006019B1" w:rsidRDefault="006019B1" w:rsidP="006019B1">
      <w:pPr>
        <w:tabs>
          <w:tab w:val="left" w:pos="709"/>
        </w:tabs>
        <w:adjustRightInd w:val="0"/>
        <w:snapToGrid w:val="0"/>
        <w:spacing w:after="0" w:line="240" w:lineRule="auto"/>
        <w:ind w:left="709" w:right="709"/>
        <w:jc w:val="both"/>
        <w:rPr>
          <w:rFonts w:ascii="Verdana" w:eastAsia="Calibri" w:hAnsi="Verdana" w:cs="Arial"/>
          <w:bCs/>
          <w:color w:val="000000"/>
          <w:kern w:val="2"/>
          <w:sz w:val="21"/>
          <w:szCs w:val="21"/>
          <w:lang w:val="es-ES_tradnl"/>
          <w14:ligatures w14:val="standardContextual"/>
        </w:rPr>
      </w:pPr>
      <w:r w:rsidRPr="006019B1">
        <w:rPr>
          <w:rFonts w:ascii="Verdana" w:eastAsia="Calibri" w:hAnsi="Verdana" w:cs="Arial"/>
          <w:bCs/>
          <w:color w:val="000000"/>
          <w:kern w:val="2"/>
          <w:sz w:val="21"/>
          <w:szCs w:val="21"/>
          <w:lang w:val="es-ES_tradnl"/>
          <w14:ligatures w14:val="standardContextual"/>
        </w:rPr>
        <w:t xml:space="preserve">“La Entidad asignará cinco (5) puntos a los Proponentes extranjeros sin derecho a Trato Nacional o a Proponentes Plurales en los que al </w:t>
      </w:r>
      <w:r w:rsidRPr="006019B1">
        <w:rPr>
          <w:rFonts w:ascii="Verdana" w:eastAsia="Calibri" w:hAnsi="Verdana" w:cs="Arial"/>
          <w:bCs/>
          <w:color w:val="000000"/>
          <w:kern w:val="2"/>
          <w:sz w:val="21"/>
          <w:szCs w:val="21"/>
          <w:lang w:val="es-ES_tradnl"/>
          <w14:ligatures w14:val="standardContextual"/>
        </w:rPr>
        <w:lastRenderedPageBreak/>
        <w:t>menos uno de sus integrantes sea un extranjero sin derecho a Trato Nacional, que incorporen a la ejecución del contrato más del noventa por ciento (90 %) del personal técnico, operativo y profesional de origen colombiano”.</w:t>
      </w:r>
    </w:p>
    <w:p w14:paraId="390BBE9A" w14:textId="77777777" w:rsidR="006019B1" w:rsidRPr="006019B1" w:rsidRDefault="006019B1" w:rsidP="006019B1">
      <w:pPr>
        <w:tabs>
          <w:tab w:val="left" w:pos="709"/>
        </w:tabs>
        <w:adjustRightInd w:val="0"/>
        <w:snapToGrid w:val="0"/>
        <w:spacing w:after="0" w:line="240" w:lineRule="auto"/>
        <w:ind w:left="709" w:right="709"/>
        <w:jc w:val="both"/>
        <w:rPr>
          <w:rFonts w:ascii="Verdana" w:eastAsia="Calibri" w:hAnsi="Verdana" w:cs="Arial"/>
          <w:bCs/>
          <w:color w:val="000000"/>
          <w:kern w:val="2"/>
          <w:lang w:val="es-ES_tradnl"/>
          <w14:ligatures w14:val="standardContextual"/>
        </w:rPr>
      </w:pPr>
    </w:p>
    <w:p w14:paraId="129BDC43" w14:textId="77777777" w:rsidR="006019B1" w:rsidRPr="006019B1" w:rsidRDefault="006019B1" w:rsidP="006019B1">
      <w:pPr>
        <w:tabs>
          <w:tab w:val="left" w:pos="709"/>
        </w:tabs>
        <w:adjustRightInd w:val="0"/>
        <w:snapToGrid w:val="0"/>
        <w:spacing w:after="120" w:line="276" w:lineRule="auto"/>
        <w:ind w:firstLine="709"/>
        <w:jc w:val="both"/>
        <w:rPr>
          <w:rFonts w:ascii="Verdana" w:eastAsia="Calibri" w:hAnsi="Verdana" w:cs="Arial"/>
          <w:bCs/>
          <w:color w:val="000000"/>
          <w:kern w:val="2"/>
          <w:lang w:val="es-ES_tradnl"/>
          <w14:ligatures w14:val="standardContextual"/>
        </w:rPr>
      </w:pPr>
      <w:r w:rsidRPr="006019B1">
        <w:rPr>
          <w:rFonts w:ascii="Verdana" w:eastAsia="Calibri" w:hAnsi="Verdana" w:cs="Arial"/>
          <w:bCs/>
          <w:color w:val="000000"/>
          <w:kern w:val="2"/>
          <w:lang w:val="es-ES_tradnl"/>
          <w14:ligatures w14:val="standardContextual"/>
        </w:rPr>
        <w:t xml:space="preserve">Ahora bien, conforme al objeto de la consulta, es importante precisar que, tratándose de la </w:t>
      </w:r>
      <w:r w:rsidRPr="006019B1">
        <w:rPr>
          <w:rFonts w:ascii="Verdana" w:eastAsia="Calibri" w:hAnsi="Verdana" w:cs="Arial"/>
          <w:i/>
          <w:iCs/>
          <w:color w:val="000000"/>
        </w:rPr>
        <w:t xml:space="preserve">“Promoción de Servicios Nacionales o con Trato Nacional”, </w:t>
      </w:r>
      <w:r w:rsidRPr="006019B1">
        <w:rPr>
          <w:rFonts w:ascii="Verdana" w:eastAsia="Calibri" w:hAnsi="Verdana" w:cs="Arial"/>
          <w:bCs/>
          <w:color w:val="000000"/>
          <w:kern w:val="2"/>
          <w:lang w:val="es-ES_tradnl"/>
          <w14:ligatures w14:val="standardContextual"/>
        </w:rPr>
        <w:t>para determinar uno o varios bienes nacionales relevantes, la Entidad Estatal debe aplicar los criterios establecidos en el artículo 2.2.1.2.4.2.9 del Decreto 1082 de 2015, lo cual constará en los estudios y documentos previos y en las reglas definidas en la “Matriz 4 – Bienes nacionales relevantes para la obra pública del sector social”.</w:t>
      </w:r>
    </w:p>
    <w:p w14:paraId="005DA04E" w14:textId="77777777" w:rsidR="006019B1" w:rsidRPr="006019B1" w:rsidRDefault="006019B1" w:rsidP="006019B1">
      <w:pPr>
        <w:tabs>
          <w:tab w:val="left" w:pos="709"/>
        </w:tabs>
        <w:adjustRightInd w:val="0"/>
        <w:snapToGrid w:val="0"/>
        <w:spacing w:after="0" w:line="276" w:lineRule="auto"/>
        <w:ind w:firstLine="709"/>
        <w:jc w:val="both"/>
        <w:rPr>
          <w:rFonts w:ascii="Verdana" w:eastAsia="Calibri" w:hAnsi="Verdana" w:cs="Arial"/>
          <w:color w:val="000000"/>
        </w:rPr>
      </w:pPr>
      <w:r w:rsidRPr="006019B1">
        <w:rPr>
          <w:rFonts w:ascii="Verdana" w:eastAsia="Calibri" w:hAnsi="Verdana" w:cs="Arial"/>
          <w:bCs/>
          <w:color w:val="000000"/>
          <w:kern w:val="2"/>
          <w:lang w:val="es-ES_tradnl"/>
          <w14:ligatures w14:val="standardContextual"/>
        </w:rPr>
        <w:t xml:space="preserve">El documento base de licitación de infraestructura social contempla dos (2) opciones para la asignación del puntaje correspondiente a la </w:t>
      </w:r>
      <w:r w:rsidRPr="006019B1">
        <w:rPr>
          <w:rFonts w:ascii="Verdana" w:eastAsia="Calibri" w:hAnsi="Verdana" w:cs="Arial"/>
          <w:i/>
          <w:iCs/>
          <w:color w:val="000000"/>
        </w:rPr>
        <w:t xml:space="preserve">“Promoción de Servicios Nacionales o con Trato Nacional”, </w:t>
      </w:r>
      <w:r w:rsidRPr="006019B1">
        <w:rPr>
          <w:rFonts w:ascii="Verdana" w:eastAsia="Calibri" w:hAnsi="Verdana" w:cs="Arial"/>
          <w:color w:val="000000"/>
        </w:rPr>
        <w:t>que dependen de si se logran identificar bienes relevantes registrados en el Registro de Productores de Bienes Nacionales. Estas opciones se consagran en el numeral 4.3.1 del documento base, así:</w:t>
      </w:r>
    </w:p>
    <w:p w14:paraId="22DB7906" w14:textId="77777777" w:rsidR="006019B1" w:rsidRPr="006019B1" w:rsidRDefault="006019B1" w:rsidP="006019B1">
      <w:pPr>
        <w:tabs>
          <w:tab w:val="left" w:pos="709"/>
        </w:tabs>
        <w:adjustRightInd w:val="0"/>
        <w:snapToGrid w:val="0"/>
        <w:spacing w:after="0" w:line="276" w:lineRule="auto"/>
        <w:jc w:val="both"/>
        <w:rPr>
          <w:rFonts w:ascii="Verdana" w:eastAsia="Calibri" w:hAnsi="Verdana" w:cs="Arial"/>
          <w:bCs/>
          <w:color w:val="000000"/>
          <w:kern w:val="2"/>
          <w:lang w:val="es-ES_tradnl"/>
          <w14:ligatures w14:val="standardContextual"/>
        </w:rPr>
      </w:pPr>
    </w:p>
    <w:p w14:paraId="58BEA6DC" w14:textId="77777777" w:rsidR="006019B1" w:rsidRPr="006019B1" w:rsidRDefault="006019B1" w:rsidP="006019B1">
      <w:pPr>
        <w:adjustRightInd w:val="0"/>
        <w:snapToGrid w:val="0"/>
        <w:spacing w:after="0" w:line="240" w:lineRule="auto"/>
        <w:ind w:left="709" w:right="709"/>
        <w:jc w:val="both"/>
        <w:rPr>
          <w:rFonts w:ascii="Verdana" w:eastAsia="Aptos" w:hAnsi="Verdana" w:cs="Arial"/>
          <w:kern w:val="2"/>
          <w:sz w:val="21"/>
          <w:szCs w:val="21"/>
          <w:highlight w:val="lightGray"/>
          <w:lang w:val="es-ES_tradnl"/>
          <w14:ligatures w14:val="standardContextual"/>
        </w:rPr>
      </w:pPr>
      <w:r w:rsidRPr="006019B1">
        <w:rPr>
          <w:rFonts w:ascii="Verdana" w:eastAsia="Aptos" w:hAnsi="Verdana" w:cs="Times New Roman"/>
          <w:kern w:val="2"/>
          <w:sz w:val="21"/>
          <w:szCs w:val="21"/>
          <w:lang w:val="es-MX"/>
          <w14:ligatures w14:val="standardContextual"/>
        </w:rPr>
        <w:t>“</w:t>
      </w:r>
      <w:r w:rsidRPr="006019B1">
        <w:rPr>
          <w:rFonts w:ascii="Verdana" w:eastAsia="Aptos" w:hAnsi="Verdana" w:cs="Arial"/>
          <w:b/>
          <w:bCs/>
          <w:kern w:val="2"/>
          <w:sz w:val="21"/>
          <w:szCs w:val="21"/>
          <w:highlight w:val="lightGray"/>
          <w:lang w:val="es-ES_tradnl"/>
          <w14:ligatures w14:val="standardContextual"/>
        </w:rPr>
        <w:t>[Opción 1</w:t>
      </w:r>
      <w:r w:rsidRPr="006019B1">
        <w:rPr>
          <w:rFonts w:ascii="Verdana" w:eastAsia="Aptos" w:hAnsi="Verdana" w:cs="Arial"/>
          <w:kern w:val="2"/>
          <w:sz w:val="21"/>
          <w:szCs w:val="21"/>
          <w:highlight w:val="lightGray"/>
          <w:lang w:val="es-ES_tradnl"/>
          <w14:ligatures w14:val="standardContextual"/>
        </w:rPr>
        <w:t>. Si la Entidad luego de aplicar la metodología para identificar los bienes nacionales relevantes prevista en la Matriz 4, determina uno o varios bienes nacionales relevantes para el Proceso de Contratación, incluirá los siguientes párrafos:]</w:t>
      </w:r>
    </w:p>
    <w:p w14:paraId="25141952" w14:textId="77777777" w:rsidR="006019B1" w:rsidRPr="006019B1" w:rsidRDefault="006019B1" w:rsidP="006019B1">
      <w:pPr>
        <w:adjustRightInd w:val="0"/>
        <w:snapToGrid w:val="0"/>
        <w:spacing w:after="0" w:line="240" w:lineRule="auto"/>
        <w:ind w:left="709" w:right="709"/>
        <w:jc w:val="both"/>
        <w:rPr>
          <w:rFonts w:ascii="Verdana" w:eastAsia="Aptos" w:hAnsi="Verdana" w:cs="Arial"/>
          <w:color w:val="000000"/>
          <w:kern w:val="2"/>
          <w:sz w:val="21"/>
          <w:szCs w:val="21"/>
          <w:highlight w:val="lightGray"/>
          <w:lang w:val="es-ES_tradnl"/>
          <w14:ligatures w14:val="standardContextual"/>
        </w:rPr>
      </w:pPr>
    </w:p>
    <w:p w14:paraId="0F1C18A3" w14:textId="77777777" w:rsidR="006019B1" w:rsidRPr="006019B1" w:rsidRDefault="006019B1" w:rsidP="006019B1">
      <w:pPr>
        <w:adjustRightInd w:val="0"/>
        <w:snapToGrid w:val="0"/>
        <w:spacing w:after="0" w:line="240" w:lineRule="auto"/>
        <w:ind w:left="709" w:right="709"/>
        <w:jc w:val="both"/>
        <w:rPr>
          <w:rFonts w:ascii="Verdana" w:eastAsia="Aptos" w:hAnsi="Verdana" w:cs="Arial"/>
          <w:kern w:val="2"/>
          <w:sz w:val="21"/>
          <w:szCs w:val="21"/>
          <w:lang w:val="es-ES_tradnl"/>
          <w14:ligatures w14:val="standardContextual"/>
        </w:rPr>
      </w:pPr>
      <w:r w:rsidRPr="006019B1">
        <w:rPr>
          <w:rFonts w:ascii="Verdana" w:eastAsia="Aptos" w:hAnsi="Verdana" w:cs="Arial"/>
          <w:kern w:val="2"/>
          <w:sz w:val="21"/>
          <w:szCs w:val="21"/>
          <w:lang w:val="es-ES_tradnl"/>
          <w14:ligatures w14:val="standardContextual"/>
        </w:rPr>
        <w:t xml:space="preserve">En el presente Proceso de Contratación los bienes nacionales relevantes son: </w:t>
      </w:r>
    </w:p>
    <w:p w14:paraId="43E9E162" w14:textId="77777777" w:rsidR="006019B1" w:rsidRPr="006019B1" w:rsidRDefault="006019B1" w:rsidP="006019B1">
      <w:pPr>
        <w:adjustRightInd w:val="0"/>
        <w:snapToGrid w:val="0"/>
        <w:spacing w:after="0" w:line="240" w:lineRule="auto"/>
        <w:ind w:left="709" w:right="709"/>
        <w:jc w:val="both"/>
        <w:rPr>
          <w:rFonts w:ascii="Verdana" w:eastAsia="Aptos" w:hAnsi="Verdana" w:cs="Arial"/>
          <w:color w:val="000000"/>
          <w:kern w:val="2"/>
          <w:sz w:val="21"/>
          <w:szCs w:val="21"/>
          <w:lang w:val="es-ES_tradnl"/>
          <w14:ligatures w14:val="standardContextual"/>
        </w:rPr>
      </w:pPr>
    </w:p>
    <w:p w14:paraId="7E7840F8" w14:textId="77777777" w:rsidR="006019B1" w:rsidRPr="006019B1" w:rsidRDefault="006019B1" w:rsidP="006019B1">
      <w:pPr>
        <w:adjustRightInd w:val="0"/>
        <w:snapToGrid w:val="0"/>
        <w:spacing w:after="0" w:line="240" w:lineRule="auto"/>
        <w:ind w:left="709" w:right="709"/>
        <w:jc w:val="both"/>
        <w:rPr>
          <w:rFonts w:ascii="Verdana" w:eastAsia="Aptos" w:hAnsi="Verdana" w:cs="Arial"/>
          <w:color w:val="000000"/>
          <w:kern w:val="2"/>
          <w:sz w:val="21"/>
          <w:szCs w:val="21"/>
          <w:highlight w:val="lightGray"/>
          <w:lang w:val="es-ES_tradnl"/>
          <w14:ligatures w14:val="standardContextual"/>
        </w:rPr>
      </w:pPr>
      <w:r w:rsidRPr="006019B1">
        <w:rPr>
          <w:rFonts w:ascii="Verdana" w:eastAsia="Aptos" w:hAnsi="Verdana" w:cs="Arial"/>
          <w:kern w:val="2"/>
          <w:sz w:val="21"/>
          <w:szCs w:val="21"/>
          <w:highlight w:val="lightGray"/>
          <w:lang w:val="es-ES_tradnl"/>
          <w14:ligatures w14:val="standardContextual"/>
        </w:rPr>
        <w:t xml:space="preserve">[La </w:t>
      </w:r>
      <w:r w:rsidRPr="006019B1" w:rsidDel="57736099">
        <w:rPr>
          <w:rFonts w:ascii="Verdana" w:eastAsia="Aptos" w:hAnsi="Verdana" w:cs="Arial"/>
          <w:kern w:val="2"/>
          <w:sz w:val="21"/>
          <w:szCs w:val="21"/>
          <w:highlight w:val="lightGray"/>
          <w:lang w:val="es-ES_tradnl"/>
          <w14:ligatures w14:val="standardContextual"/>
        </w:rPr>
        <w:t>E</w:t>
      </w:r>
      <w:r w:rsidRPr="006019B1">
        <w:rPr>
          <w:rFonts w:ascii="Verdana" w:eastAsia="Aptos" w:hAnsi="Verdana" w:cs="Arial"/>
          <w:kern w:val="2"/>
          <w:sz w:val="21"/>
          <w:szCs w:val="21"/>
          <w:highlight w:val="lightGray"/>
          <w:lang w:val="es-ES_tradnl"/>
          <w14:ligatures w14:val="standardContextual"/>
        </w:rPr>
        <w:t>ntidad debe diligenciar la siguiente tabla con la información tomada del Registro de Productores de Bienes Nacionales]</w:t>
      </w:r>
    </w:p>
    <w:p w14:paraId="66615829" w14:textId="77777777" w:rsidR="006019B1" w:rsidRPr="006019B1" w:rsidRDefault="006019B1" w:rsidP="006019B1">
      <w:pPr>
        <w:tabs>
          <w:tab w:val="left" w:pos="709"/>
        </w:tabs>
        <w:adjustRightInd w:val="0"/>
        <w:snapToGrid w:val="0"/>
        <w:spacing w:after="0" w:line="240" w:lineRule="auto"/>
        <w:ind w:left="709" w:right="709"/>
        <w:jc w:val="both"/>
        <w:rPr>
          <w:rFonts w:ascii="Verdana" w:eastAsia="Calibri" w:hAnsi="Verdana" w:cs="Arial"/>
          <w:bCs/>
          <w:color w:val="000000"/>
          <w:kern w:val="2"/>
          <w:sz w:val="21"/>
          <w:szCs w:val="21"/>
          <w:lang w:val="es-ES_tradnl"/>
          <w14:ligatures w14:val="standardContextual"/>
        </w:rPr>
      </w:pPr>
      <w:r w:rsidRPr="006019B1">
        <w:rPr>
          <w:rFonts w:ascii="Verdana" w:eastAsia="Calibri" w:hAnsi="Verdana" w:cs="Arial"/>
          <w:bCs/>
          <w:color w:val="000000"/>
          <w:kern w:val="2"/>
          <w:sz w:val="21"/>
          <w:szCs w:val="21"/>
          <w:lang w:val="es-ES_tradnl"/>
          <w14:ligatures w14:val="standardContextual"/>
        </w:rPr>
        <w:t>[…]</w:t>
      </w:r>
    </w:p>
    <w:p w14:paraId="3F8016A7" w14:textId="77777777" w:rsidR="006019B1" w:rsidRPr="006019B1" w:rsidRDefault="006019B1" w:rsidP="006019B1">
      <w:pPr>
        <w:adjustRightInd w:val="0"/>
        <w:snapToGrid w:val="0"/>
        <w:spacing w:after="0" w:line="240" w:lineRule="auto"/>
        <w:ind w:left="709" w:right="709"/>
        <w:jc w:val="both"/>
        <w:rPr>
          <w:rFonts w:ascii="Verdana" w:eastAsia="Aptos" w:hAnsi="Verdana" w:cs="Arial"/>
          <w:kern w:val="2"/>
          <w:sz w:val="21"/>
          <w:szCs w:val="21"/>
          <w:lang w:val="es-ES_tradnl"/>
          <w14:ligatures w14:val="standardContextual"/>
        </w:rPr>
      </w:pPr>
      <w:r w:rsidRPr="006019B1">
        <w:rPr>
          <w:rFonts w:ascii="Verdana" w:eastAsia="Aptos" w:hAnsi="Verdana" w:cs="Arial"/>
          <w:kern w:val="2"/>
          <w:sz w:val="21"/>
          <w:szCs w:val="21"/>
          <w:highlight w:val="lightGray"/>
          <w:lang w:val="es-ES_tradnl"/>
          <w14:ligatures w14:val="standardContextual"/>
        </w:rPr>
        <w:t>[</w:t>
      </w:r>
      <w:r w:rsidRPr="006019B1">
        <w:rPr>
          <w:rFonts w:ascii="Verdana" w:eastAsia="Aptos" w:hAnsi="Verdana" w:cs="Arial"/>
          <w:b/>
          <w:bCs/>
          <w:kern w:val="2"/>
          <w:sz w:val="21"/>
          <w:szCs w:val="21"/>
          <w:highlight w:val="lightGray"/>
          <w:lang w:val="es-ES_tradnl"/>
          <w14:ligatures w14:val="standardContextual"/>
        </w:rPr>
        <w:t xml:space="preserve">Opción 2. </w:t>
      </w:r>
      <w:r w:rsidRPr="006019B1">
        <w:rPr>
          <w:rFonts w:ascii="Verdana" w:eastAsia="Aptos" w:hAnsi="Verdana" w:cs="Arial"/>
          <w:kern w:val="2"/>
          <w:sz w:val="21"/>
          <w:szCs w:val="21"/>
          <w:highlight w:val="lightGray"/>
          <w:lang w:val="es-ES_tradnl"/>
          <w14:ligatures w14:val="standardContextual"/>
        </w:rPr>
        <w:t xml:space="preserve">Si luego de aplicar la metodología para identificar los bienes nacionales relevantes descritos en la Matriz 4 – Bienes nacionales relevantes para la obra pública del sector de infraestructura social, la </w:t>
      </w:r>
      <w:r w:rsidRPr="006019B1" w:rsidDel="57736099">
        <w:rPr>
          <w:rFonts w:ascii="Verdana" w:eastAsia="Aptos" w:hAnsi="Verdana" w:cs="Arial"/>
          <w:kern w:val="2"/>
          <w:sz w:val="21"/>
          <w:szCs w:val="21"/>
          <w:highlight w:val="lightGray"/>
          <w:lang w:val="es-ES_tradnl"/>
          <w14:ligatures w14:val="standardContextual"/>
        </w:rPr>
        <w:t>E</w:t>
      </w:r>
      <w:r w:rsidRPr="006019B1">
        <w:rPr>
          <w:rFonts w:ascii="Verdana" w:eastAsia="Aptos" w:hAnsi="Verdana" w:cs="Arial"/>
          <w:kern w:val="2"/>
          <w:sz w:val="21"/>
          <w:szCs w:val="21"/>
          <w:highlight w:val="lightGray"/>
          <w:lang w:val="es-ES_tradnl"/>
          <w14:ligatures w14:val="standardContextual"/>
        </w:rPr>
        <w:t xml:space="preserve">ntidad demuestra que los bienes relevantes no están registrados en el Registro de Productores de Bienes Nacionales, se otorgará el puntaje a los </w:t>
      </w:r>
      <w:r w:rsidRPr="006019B1" w:rsidDel="57736099">
        <w:rPr>
          <w:rFonts w:ascii="Verdana" w:eastAsia="Aptos" w:hAnsi="Verdana" w:cs="Arial"/>
          <w:kern w:val="2"/>
          <w:sz w:val="21"/>
          <w:szCs w:val="21"/>
          <w:highlight w:val="lightGray"/>
          <w:lang w:val="es-ES_tradnl"/>
          <w14:ligatures w14:val="standardContextual"/>
        </w:rPr>
        <w:t>P</w:t>
      </w:r>
      <w:r w:rsidRPr="006019B1">
        <w:rPr>
          <w:rFonts w:ascii="Verdana" w:eastAsia="Aptos" w:hAnsi="Verdana" w:cs="Arial"/>
          <w:kern w:val="2"/>
          <w:sz w:val="21"/>
          <w:szCs w:val="21"/>
          <w:highlight w:val="lightGray"/>
          <w:lang w:val="es-ES_tradnl"/>
          <w14:ligatures w14:val="standardContextual"/>
        </w:rPr>
        <w:t xml:space="preserve">roponentes que se comprometan a vincular al desarrollo del objeto contractual un porcentaje de empleados o contratistas por prestación de servicios colombianos de al menos el cuarenta por ciento (40 %) del personal requerido para el </w:t>
      </w:r>
      <w:r w:rsidRPr="006019B1">
        <w:rPr>
          <w:rFonts w:ascii="Verdana" w:eastAsia="Aptos" w:hAnsi="Verdana" w:cs="Arial"/>
          <w:kern w:val="2"/>
          <w:sz w:val="21"/>
          <w:szCs w:val="21"/>
          <w:highlight w:val="lightGray"/>
          <w:lang w:val="es-ES_tradnl"/>
          <w14:ligatures w14:val="standardContextual"/>
        </w:rPr>
        <w:lastRenderedPageBreak/>
        <w:t xml:space="preserve">cumplimiento del contrato. Para estos casos deberán incluirse los siguientes párrafos en el presente </w:t>
      </w:r>
      <w:r w:rsidRPr="006019B1" w:rsidDel="57736099">
        <w:rPr>
          <w:rFonts w:ascii="Verdana" w:eastAsia="Aptos" w:hAnsi="Verdana" w:cs="Arial"/>
          <w:kern w:val="2"/>
          <w:sz w:val="21"/>
          <w:szCs w:val="21"/>
          <w:highlight w:val="lightGray"/>
          <w:lang w:val="es-ES_tradnl"/>
          <w14:ligatures w14:val="standardContextual"/>
        </w:rPr>
        <w:t>Pliego de Condiciones</w:t>
      </w:r>
      <w:r w:rsidRPr="006019B1">
        <w:rPr>
          <w:rFonts w:ascii="Verdana" w:eastAsia="Aptos" w:hAnsi="Verdana" w:cs="Arial"/>
          <w:kern w:val="2"/>
          <w:sz w:val="21"/>
          <w:szCs w:val="21"/>
          <w:highlight w:val="lightGray"/>
          <w:lang w:val="es-ES_tradnl"/>
          <w14:ligatures w14:val="standardContextual"/>
        </w:rPr>
        <w:t>.]</w:t>
      </w:r>
    </w:p>
    <w:p w14:paraId="2FF1E4E1" w14:textId="77777777" w:rsidR="006019B1" w:rsidRPr="006019B1" w:rsidRDefault="006019B1" w:rsidP="006019B1">
      <w:pPr>
        <w:adjustRightInd w:val="0"/>
        <w:snapToGrid w:val="0"/>
        <w:spacing w:after="0" w:line="240" w:lineRule="auto"/>
        <w:ind w:left="709" w:right="709"/>
        <w:jc w:val="both"/>
        <w:rPr>
          <w:rFonts w:ascii="Verdana" w:eastAsia="Aptos" w:hAnsi="Verdana" w:cs="Arial"/>
          <w:color w:val="000000"/>
          <w:kern w:val="2"/>
          <w:sz w:val="21"/>
          <w:szCs w:val="21"/>
          <w:lang w:val="es-ES_tradnl"/>
          <w14:ligatures w14:val="standardContextual"/>
        </w:rPr>
      </w:pPr>
    </w:p>
    <w:p w14:paraId="6DE647E7" w14:textId="77777777" w:rsidR="006019B1" w:rsidRPr="006019B1" w:rsidRDefault="006019B1" w:rsidP="006019B1">
      <w:pPr>
        <w:adjustRightInd w:val="0"/>
        <w:snapToGrid w:val="0"/>
        <w:spacing w:after="0" w:line="240" w:lineRule="auto"/>
        <w:ind w:left="709" w:right="709"/>
        <w:jc w:val="both"/>
        <w:rPr>
          <w:rFonts w:ascii="Verdana" w:eastAsia="Aptos" w:hAnsi="Verdana" w:cs="Arial"/>
          <w:color w:val="000000"/>
          <w:kern w:val="2"/>
          <w:sz w:val="21"/>
          <w:szCs w:val="21"/>
          <w:lang w:val="es-ES_tradnl"/>
          <w14:ligatures w14:val="standardContextual"/>
        </w:rPr>
      </w:pPr>
      <w:r w:rsidRPr="006019B1">
        <w:rPr>
          <w:rFonts w:ascii="Verdana" w:eastAsia="Aptos" w:hAnsi="Verdana" w:cs="Arial"/>
          <w:kern w:val="2"/>
          <w:sz w:val="21"/>
          <w:szCs w:val="21"/>
          <w:lang w:val="es-ES_tradnl"/>
          <w14:ligatures w14:val="standardContextual"/>
        </w:rPr>
        <w:t xml:space="preserve">De conformidad con la consulta del Registro de Productores de Bienes Nacionales, realizada en fecha </w:t>
      </w:r>
      <w:r w:rsidRPr="006019B1">
        <w:rPr>
          <w:rFonts w:ascii="Verdana" w:eastAsia="Aptos" w:hAnsi="Verdana" w:cs="Arial"/>
          <w:kern w:val="2"/>
          <w:sz w:val="21"/>
          <w:szCs w:val="21"/>
          <w:highlight w:val="lightGray"/>
          <w:lang w:val="es-ES_tradnl"/>
          <w14:ligatures w14:val="standardContextual"/>
        </w:rPr>
        <w:t>[Ingresar fecha en formato DD/MM/AAAA],</w:t>
      </w:r>
      <w:r w:rsidRPr="006019B1">
        <w:rPr>
          <w:rFonts w:ascii="Verdana" w:eastAsia="Aptos" w:hAnsi="Verdana" w:cs="Arial"/>
          <w:kern w:val="2"/>
          <w:sz w:val="21"/>
          <w:szCs w:val="21"/>
          <w:lang w:val="es-ES_tradnl"/>
          <w14:ligatures w14:val="standardContextual"/>
        </w:rPr>
        <w:t xml:space="preserve"> se determinó que los bienes relevantes para el desarrollo de la obra no se encuentran incluidos en dicho registro de conformidad con el numeral 3 del artículo 2.2.1.2.4.2.9. del Decreto 1082 de 2015. Por tal motivo, se otorgará el puntaje de apoyo a la industria nacional a los </w:t>
      </w:r>
      <w:r w:rsidRPr="006019B1" w:rsidDel="57736099">
        <w:rPr>
          <w:rFonts w:ascii="Verdana" w:eastAsia="Aptos" w:hAnsi="Verdana" w:cs="Arial"/>
          <w:kern w:val="2"/>
          <w:sz w:val="21"/>
          <w:szCs w:val="21"/>
          <w:lang w:val="es-ES_tradnl"/>
          <w14:ligatures w14:val="standardContextual"/>
        </w:rPr>
        <w:t>P</w:t>
      </w:r>
      <w:r w:rsidRPr="006019B1">
        <w:rPr>
          <w:rFonts w:ascii="Verdana" w:eastAsia="Aptos" w:hAnsi="Verdana" w:cs="Arial"/>
          <w:kern w:val="2"/>
          <w:sz w:val="21"/>
          <w:szCs w:val="21"/>
          <w:lang w:val="es-ES_tradnl"/>
          <w14:ligatures w14:val="standardContextual"/>
        </w:rPr>
        <w:t xml:space="preserve">roponentes que se comprometan a vincular al desarrollo del objeto contractual un porcentaje de empleados o contratistas por prestación de servicios colombianos, de al menos el </w:t>
      </w:r>
      <w:r w:rsidRPr="006019B1">
        <w:rPr>
          <w:rFonts w:ascii="Verdana" w:eastAsia="Aptos" w:hAnsi="Verdana" w:cs="Arial"/>
          <w:kern w:val="2"/>
          <w:sz w:val="21"/>
          <w:szCs w:val="21"/>
          <w:highlight w:val="lightGray"/>
          <w:lang w:val="es-ES_tradnl"/>
          <w14:ligatures w14:val="standardContextual"/>
        </w:rPr>
        <w:t>[la Entidad definirá el porcentaje requerido que sea por lo menos del cuarenta por ciento (40 %), sin perjuicio de incluir uno superior]</w:t>
      </w:r>
      <w:r w:rsidRPr="006019B1">
        <w:rPr>
          <w:rFonts w:ascii="Verdana" w:eastAsia="Aptos" w:hAnsi="Verdana" w:cs="Arial"/>
          <w:kern w:val="2"/>
          <w:sz w:val="21"/>
          <w:szCs w:val="21"/>
          <w:lang w:val="es-ES_tradnl"/>
          <w14:ligatures w14:val="standardContextual"/>
        </w:rPr>
        <w:t xml:space="preserve"> del personal requerido para el cumplimiento del contrato. </w:t>
      </w:r>
    </w:p>
    <w:p w14:paraId="366163A7" w14:textId="77777777" w:rsidR="006019B1" w:rsidRPr="006019B1" w:rsidRDefault="006019B1" w:rsidP="006019B1">
      <w:pPr>
        <w:tabs>
          <w:tab w:val="left" w:pos="709"/>
        </w:tabs>
        <w:adjustRightInd w:val="0"/>
        <w:snapToGrid w:val="0"/>
        <w:spacing w:after="0" w:line="240" w:lineRule="auto"/>
        <w:ind w:left="709" w:right="709"/>
        <w:jc w:val="both"/>
        <w:rPr>
          <w:rFonts w:ascii="Verdana" w:eastAsia="Calibri" w:hAnsi="Verdana" w:cs="Arial"/>
          <w:bCs/>
          <w:color w:val="000000"/>
          <w:kern w:val="2"/>
          <w:sz w:val="21"/>
          <w:szCs w:val="21"/>
          <w:lang w:val="es-ES_tradnl"/>
          <w14:ligatures w14:val="standardContextual"/>
        </w:rPr>
      </w:pPr>
      <w:r w:rsidRPr="006019B1">
        <w:rPr>
          <w:rFonts w:ascii="Verdana" w:eastAsia="Calibri" w:hAnsi="Verdana" w:cs="Arial"/>
          <w:bCs/>
          <w:color w:val="000000"/>
          <w:kern w:val="2"/>
          <w:sz w:val="21"/>
          <w:szCs w:val="21"/>
          <w:lang w:val="es-ES_tradnl"/>
          <w14:ligatures w14:val="standardContextual"/>
        </w:rPr>
        <w:t>[…]”</w:t>
      </w:r>
    </w:p>
    <w:p w14:paraId="5138C586" w14:textId="77777777" w:rsidR="006019B1" w:rsidRPr="006019B1" w:rsidRDefault="006019B1" w:rsidP="006019B1">
      <w:pPr>
        <w:tabs>
          <w:tab w:val="left" w:pos="709"/>
        </w:tabs>
        <w:adjustRightInd w:val="0"/>
        <w:snapToGrid w:val="0"/>
        <w:spacing w:after="0" w:line="240" w:lineRule="auto"/>
        <w:ind w:left="709" w:right="709"/>
        <w:jc w:val="both"/>
        <w:rPr>
          <w:rFonts w:ascii="Verdana" w:eastAsia="Calibri" w:hAnsi="Verdana" w:cs="Arial"/>
          <w:bCs/>
          <w:color w:val="000000"/>
          <w:kern w:val="2"/>
          <w:lang w:val="es-ES_tradnl"/>
          <w14:ligatures w14:val="standardContextual"/>
        </w:rPr>
      </w:pPr>
    </w:p>
    <w:p w14:paraId="09FE86F1" w14:textId="77777777" w:rsidR="006019B1" w:rsidRPr="006019B1" w:rsidRDefault="006019B1" w:rsidP="006019B1">
      <w:pPr>
        <w:tabs>
          <w:tab w:val="left" w:pos="709"/>
        </w:tabs>
        <w:adjustRightInd w:val="0"/>
        <w:snapToGrid w:val="0"/>
        <w:spacing w:after="0" w:line="276" w:lineRule="auto"/>
        <w:ind w:firstLine="709"/>
        <w:jc w:val="both"/>
        <w:rPr>
          <w:rFonts w:ascii="Verdana" w:eastAsia="Calibri" w:hAnsi="Verdana" w:cs="Arial"/>
          <w:bCs/>
          <w:color w:val="000000"/>
          <w:kern w:val="2"/>
          <w:lang w:val="es-ES_tradnl"/>
          <w14:ligatures w14:val="standardContextual"/>
        </w:rPr>
      </w:pPr>
      <w:r w:rsidRPr="006019B1">
        <w:rPr>
          <w:rFonts w:ascii="Verdana" w:eastAsia="Calibri" w:hAnsi="Verdana" w:cs="Arial"/>
          <w:bCs/>
          <w:color w:val="000000"/>
          <w:kern w:val="2"/>
          <w:lang w:val="es-ES_tradnl"/>
          <w14:ligatures w14:val="standardContextual"/>
        </w:rPr>
        <w:t>En línea con lo anterior, la “Matriz 4 – Bienes nacionales relevantes para la obra pública del sector social” señala la metodología para identificar los bienes nacionales relevantes para la ejecución del objeto a contratar, como se puede observar a continuación:</w:t>
      </w:r>
    </w:p>
    <w:p w14:paraId="048B7630" w14:textId="77777777" w:rsidR="006019B1" w:rsidRPr="006019B1" w:rsidRDefault="006019B1" w:rsidP="006019B1">
      <w:pPr>
        <w:tabs>
          <w:tab w:val="left" w:pos="709"/>
        </w:tabs>
        <w:adjustRightInd w:val="0"/>
        <w:snapToGrid w:val="0"/>
        <w:spacing w:after="0" w:line="276" w:lineRule="auto"/>
        <w:jc w:val="both"/>
        <w:rPr>
          <w:rFonts w:ascii="Verdana" w:eastAsia="Calibri" w:hAnsi="Verdana" w:cs="Arial"/>
          <w:bCs/>
          <w:color w:val="000000"/>
          <w:kern w:val="2"/>
          <w:lang w:val="es-ES_tradnl"/>
          <w14:ligatures w14:val="standardContextual"/>
        </w:rPr>
      </w:pPr>
    </w:p>
    <w:p w14:paraId="7541D079" w14:textId="77777777" w:rsidR="006019B1" w:rsidRPr="006019B1" w:rsidRDefault="006019B1" w:rsidP="006019B1">
      <w:pPr>
        <w:numPr>
          <w:ilvl w:val="0"/>
          <w:numId w:val="21"/>
        </w:numPr>
        <w:adjustRightInd w:val="0"/>
        <w:snapToGrid w:val="0"/>
        <w:spacing w:after="0" w:line="240" w:lineRule="auto"/>
        <w:ind w:left="709" w:right="709" w:firstLine="0"/>
        <w:contextualSpacing/>
        <w:jc w:val="both"/>
        <w:rPr>
          <w:rFonts w:ascii="Verdana" w:eastAsia="Verdana" w:hAnsi="Verdana" w:cs="Verdana"/>
          <w:i/>
          <w:iCs/>
          <w:sz w:val="21"/>
          <w:szCs w:val="21"/>
        </w:rPr>
      </w:pPr>
      <w:r w:rsidRPr="006019B1">
        <w:rPr>
          <w:rFonts w:ascii="Verdana" w:eastAsia="Verdana" w:hAnsi="Verdana" w:cs="Verdana"/>
          <w:sz w:val="21"/>
          <w:szCs w:val="21"/>
        </w:rPr>
        <w:t>Identificar dentro del Presupuesto Oficial los bienes o insumos requeridos para la ejecución del proyecto.</w:t>
      </w:r>
    </w:p>
    <w:p w14:paraId="78E7A545" w14:textId="77777777" w:rsidR="006019B1" w:rsidRPr="006019B1" w:rsidRDefault="006019B1" w:rsidP="006019B1">
      <w:pPr>
        <w:adjustRightInd w:val="0"/>
        <w:snapToGrid w:val="0"/>
        <w:spacing w:after="0" w:line="240" w:lineRule="auto"/>
        <w:ind w:left="709" w:right="709"/>
        <w:jc w:val="both"/>
        <w:rPr>
          <w:rFonts w:ascii="Verdana" w:eastAsia="Verdana" w:hAnsi="Verdana" w:cs="Verdana"/>
          <w:i/>
          <w:iCs/>
          <w:sz w:val="21"/>
          <w:szCs w:val="21"/>
        </w:rPr>
      </w:pPr>
    </w:p>
    <w:p w14:paraId="69BC36E2" w14:textId="77777777" w:rsidR="006019B1" w:rsidRPr="006019B1" w:rsidRDefault="006019B1" w:rsidP="006019B1">
      <w:pPr>
        <w:numPr>
          <w:ilvl w:val="0"/>
          <w:numId w:val="21"/>
        </w:numPr>
        <w:adjustRightInd w:val="0"/>
        <w:snapToGrid w:val="0"/>
        <w:spacing w:after="0" w:line="240" w:lineRule="auto"/>
        <w:ind w:left="709" w:right="709" w:firstLine="0"/>
        <w:contextualSpacing/>
        <w:jc w:val="both"/>
        <w:rPr>
          <w:rFonts w:ascii="Verdana" w:eastAsia="Verdana" w:hAnsi="Verdana" w:cs="Verdana"/>
          <w:i/>
          <w:iCs/>
          <w:sz w:val="21"/>
          <w:szCs w:val="21"/>
        </w:rPr>
      </w:pPr>
      <w:r w:rsidRPr="006019B1">
        <w:rPr>
          <w:rFonts w:ascii="Verdana" w:eastAsia="Verdana" w:hAnsi="Verdana" w:cs="Verdana"/>
          <w:sz w:val="21"/>
          <w:szCs w:val="21"/>
        </w:rPr>
        <w:t xml:space="preserve">Calcular el </w:t>
      </w:r>
      <w:r w:rsidRPr="006019B1">
        <w:rPr>
          <w:rFonts w:ascii="Verdana" w:eastAsia="Verdana" w:hAnsi="Verdana" w:cs="Verdana"/>
          <w:b/>
          <w:bCs/>
          <w:i/>
          <w:iCs/>
          <w:sz w:val="21"/>
          <w:szCs w:val="21"/>
        </w:rPr>
        <w:t xml:space="preserve">valor parcial </w:t>
      </w:r>
      <w:r w:rsidRPr="006019B1">
        <w:rPr>
          <w:rFonts w:ascii="Verdana" w:eastAsia="Verdana" w:hAnsi="Verdana" w:cs="Verdana"/>
          <w:sz w:val="21"/>
          <w:szCs w:val="21"/>
        </w:rPr>
        <w:t>de los bienes o insumos identificados, para lo cual se deberá multiplicar el valor unitario de cada uno por la cantidad requerida.</w:t>
      </w:r>
    </w:p>
    <w:p w14:paraId="74926ED0" w14:textId="77777777" w:rsidR="006019B1" w:rsidRPr="006019B1" w:rsidRDefault="006019B1" w:rsidP="006019B1">
      <w:pPr>
        <w:adjustRightInd w:val="0"/>
        <w:snapToGrid w:val="0"/>
        <w:spacing w:after="0" w:line="240" w:lineRule="auto"/>
        <w:ind w:left="709" w:right="709"/>
        <w:jc w:val="both"/>
        <w:rPr>
          <w:rFonts w:ascii="Verdana" w:eastAsia="Verdana" w:hAnsi="Verdana" w:cs="Verdana"/>
          <w:i/>
          <w:iCs/>
          <w:sz w:val="21"/>
          <w:szCs w:val="21"/>
        </w:rPr>
      </w:pPr>
    </w:p>
    <w:p w14:paraId="30B2254A" w14:textId="77777777" w:rsidR="006019B1" w:rsidRPr="006019B1" w:rsidRDefault="006019B1" w:rsidP="006019B1">
      <w:pPr>
        <w:numPr>
          <w:ilvl w:val="0"/>
          <w:numId w:val="21"/>
        </w:numPr>
        <w:adjustRightInd w:val="0"/>
        <w:snapToGrid w:val="0"/>
        <w:spacing w:after="0" w:line="240" w:lineRule="auto"/>
        <w:ind w:left="709" w:right="709" w:firstLine="0"/>
        <w:jc w:val="both"/>
        <w:rPr>
          <w:rFonts w:ascii="Verdana" w:eastAsia="Verdana" w:hAnsi="Verdana" w:cs="Verdana"/>
          <w:i/>
          <w:iCs/>
          <w:sz w:val="21"/>
          <w:szCs w:val="21"/>
        </w:rPr>
      </w:pPr>
      <w:r w:rsidRPr="006019B1">
        <w:rPr>
          <w:rFonts w:ascii="Verdana" w:eastAsia="Verdana" w:hAnsi="Verdana" w:cs="Verdana"/>
          <w:sz w:val="21"/>
          <w:szCs w:val="21"/>
        </w:rPr>
        <w:t>Calcular el</w:t>
      </w:r>
      <w:r w:rsidRPr="006019B1">
        <w:rPr>
          <w:rFonts w:ascii="Verdana" w:eastAsia="Verdana" w:hAnsi="Verdana" w:cs="Verdana"/>
          <w:b/>
          <w:bCs/>
          <w:i/>
          <w:iCs/>
          <w:sz w:val="21"/>
          <w:szCs w:val="21"/>
        </w:rPr>
        <w:t xml:space="preserve"> valor total</w:t>
      </w:r>
      <w:r w:rsidRPr="006019B1">
        <w:rPr>
          <w:rFonts w:ascii="Verdana" w:eastAsia="Verdana" w:hAnsi="Verdana" w:cs="Verdana"/>
          <w:sz w:val="21"/>
          <w:szCs w:val="21"/>
        </w:rPr>
        <w:t xml:space="preserve"> realizando la sumatoria</w:t>
      </w:r>
      <w:r w:rsidRPr="006019B1">
        <w:rPr>
          <w:rFonts w:ascii="Verdana" w:eastAsia="Verdana" w:hAnsi="Verdana" w:cs="Verdana"/>
          <w:b/>
          <w:bCs/>
          <w:i/>
          <w:iCs/>
          <w:sz w:val="21"/>
          <w:szCs w:val="21"/>
        </w:rPr>
        <w:t xml:space="preserve"> </w:t>
      </w:r>
      <w:r w:rsidRPr="006019B1">
        <w:rPr>
          <w:rFonts w:ascii="Verdana" w:eastAsia="Verdana" w:hAnsi="Verdana" w:cs="Verdana"/>
          <w:sz w:val="21"/>
          <w:szCs w:val="21"/>
        </w:rPr>
        <w:t xml:space="preserve">de los </w:t>
      </w:r>
      <w:r w:rsidRPr="006019B1">
        <w:rPr>
          <w:rFonts w:ascii="Verdana" w:eastAsia="Verdana" w:hAnsi="Verdana" w:cs="Verdana"/>
          <w:b/>
          <w:bCs/>
          <w:i/>
          <w:iCs/>
          <w:sz w:val="21"/>
          <w:szCs w:val="21"/>
        </w:rPr>
        <w:t>valores parciales</w:t>
      </w:r>
      <w:r w:rsidRPr="006019B1">
        <w:rPr>
          <w:rFonts w:ascii="Verdana" w:eastAsia="Verdana" w:hAnsi="Verdana" w:cs="Verdana"/>
          <w:sz w:val="21"/>
          <w:szCs w:val="21"/>
        </w:rPr>
        <w:t xml:space="preserve"> de los bienes o insumos requeridos en el proyecto.</w:t>
      </w:r>
    </w:p>
    <w:p w14:paraId="3D4D47F2" w14:textId="77777777" w:rsidR="006019B1" w:rsidRPr="006019B1" w:rsidRDefault="006019B1" w:rsidP="006019B1">
      <w:pPr>
        <w:adjustRightInd w:val="0"/>
        <w:snapToGrid w:val="0"/>
        <w:spacing w:after="0" w:line="240" w:lineRule="auto"/>
        <w:ind w:left="709" w:right="709"/>
        <w:jc w:val="both"/>
        <w:rPr>
          <w:rFonts w:ascii="Verdana" w:eastAsia="Verdana" w:hAnsi="Verdana" w:cs="Verdana"/>
          <w:i/>
          <w:iCs/>
          <w:sz w:val="21"/>
          <w:szCs w:val="21"/>
        </w:rPr>
      </w:pPr>
    </w:p>
    <w:p w14:paraId="58CDF45E" w14:textId="77777777" w:rsidR="006019B1" w:rsidRPr="006019B1" w:rsidRDefault="006019B1" w:rsidP="006019B1">
      <w:pPr>
        <w:numPr>
          <w:ilvl w:val="0"/>
          <w:numId w:val="21"/>
        </w:numPr>
        <w:adjustRightInd w:val="0"/>
        <w:snapToGrid w:val="0"/>
        <w:spacing w:after="0" w:line="240" w:lineRule="auto"/>
        <w:ind w:left="709" w:right="709" w:firstLine="0"/>
        <w:jc w:val="both"/>
        <w:rPr>
          <w:rFonts w:ascii="Verdana" w:eastAsia="Verdana" w:hAnsi="Verdana" w:cs="Verdana"/>
          <w:i/>
          <w:iCs/>
          <w:sz w:val="21"/>
          <w:szCs w:val="21"/>
        </w:rPr>
      </w:pPr>
      <w:r w:rsidRPr="006019B1">
        <w:rPr>
          <w:rFonts w:ascii="Verdana" w:eastAsia="Verdana" w:hAnsi="Verdana" w:cs="Verdana"/>
          <w:sz w:val="21"/>
          <w:szCs w:val="21"/>
        </w:rPr>
        <w:t xml:space="preserve">Determinar el </w:t>
      </w:r>
      <w:r w:rsidRPr="006019B1">
        <w:rPr>
          <w:rFonts w:ascii="Verdana" w:eastAsia="Verdana" w:hAnsi="Verdana" w:cs="Verdana"/>
          <w:b/>
          <w:bCs/>
          <w:i/>
          <w:iCs/>
          <w:sz w:val="21"/>
          <w:szCs w:val="21"/>
        </w:rPr>
        <w:t>porcentaje de participación</w:t>
      </w:r>
      <w:r w:rsidRPr="006019B1">
        <w:rPr>
          <w:rFonts w:ascii="Verdana" w:eastAsia="Verdana" w:hAnsi="Verdana" w:cs="Verdana"/>
          <w:i/>
          <w:iCs/>
          <w:sz w:val="21"/>
          <w:szCs w:val="21"/>
        </w:rPr>
        <w:t xml:space="preserve"> </w:t>
      </w:r>
      <w:r w:rsidRPr="006019B1">
        <w:rPr>
          <w:rFonts w:ascii="Verdana" w:eastAsia="Verdana" w:hAnsi="Verdana" w:cs="Verdana"/>
          <w:sz w:val="21"/>
          <w:szCs w:val="21"/>
        </w:rPr>
        <w:t xml:space="preserve">de cada bien o insumo usando su </w:t>
      </w:r>
      <w:r w:rsidRPr="006019B1">
        <w:rPr>
          <w:rFonts w:ascii="Verdana" w:eastAsia="Verdana" w:hAnsi="Verdana" w:cs="Verdana"/>
          <w:b/>
          <w:bCs/>
          <w:i/>
          <w:iCs/>
          <w:sz w:val="21"/>
          <w:szCs w:val="21"/>
        </w:rPr>
        <w:t>valor parcial</w:t>
      </w:r>
      <w:r w:rsidRPr="006019B1">
        <w:rPr>
          <w:rFonts w:ascii="Verdana" w:eastAsia="Verdana" w:hAnsi="Verdana" w:cs="Verdana"/>
          <w:sz w:val="21"/>
          <w:szCs w:val="21"/>
        </w:rPr>
        <w:t xml:space="preserve"> divido por el </w:t>
      </w:r>
      <w:r w:rsidRPr="006019B1">
        <w:rPr>
          <w:rFonts w:ascii="Verdana" w:eastAsia="Verdana" w:hAnsi="Verdana" w:cs="Verdana"/>
          <w:b/>
          <w:bCs/>
          <w:i/>
          <w:iCs/>
          <w:sz w:val="21"/>
          <w:szCs w:val="21"/>
        </w:rPr>
        <w:t>valor total</w:t>
      </w:r>
      <w:r w:rsidRPr="006019B1">
        <w:rPr>
          <w:rFonts w:ascii="Verdana" w:eastAsia="Verdana" w:hAnsi="Verdana" w:cs="Verdana"/>
          <w:sz w:val="21"/>
          <w:szCs w:val="21"/>
        </w:rPr>
        <w:t>, cociente que deberá ser multiplicado por cien (100). Para esto se aplicará la siguiente fórmula:</w:t>
      </w:r>
    </w:p>
    <w:p w14:paraId="702491BD" w14:textId="77777777" w:rsidR="006019B1" w:rsidRPr="006019B1" w:rsidRDefault="006019B1" w:rsidP="006019B1">
      <w:pPr>
        <w:adjustRightInd w:val="0"/>
        <w:snapToGrid w:val="0"/>
        <w:spacing w:after="0" w:line="240" w:lineRule="auto"/>
        <w:ind w:left="709" w:right="709"/>
        <w:jc w:val="both"/>
        <w:rPr>
          <w:rFonts w:ascii="Verdana" w:eastAsia="Verdana" w:hAnsi="Verdana" w:cs="Verdana"/>
          <w:i/>
          <w:iCs/>
          <w:sz w:val="21"/>
          <w:szCs w:val="21"/>
        </w:rPr>
      </w:pPr>
    </w:p>
    <w:p w14:paraId="45F7E676" w14:textId="77777777" w:rsidR="006019B1" w:rsidRPr="006019B1" w:rsidRDefault="006019B1" w:rsidP="006019B1">
      <w:pPr>
        <w:adjustRightInd w:val="0"/>
        <w:snapToGrid w:val="0"/>
        <w:spacing w:after="0" w:line="240" w:lineRule="auto"/>
        <w:ind w:left="709" w:right="709"/>
        <w:jc w:val="center"/>
        <w:rPr>
          <w:rFonts w:ascii="Verdana" w:eastAsia="Verdana" w:hAnsi="Verdana" w:cs="Verdana"/>
          <w:sz w:val="21"/>
          <w:szCs w:val="21"/>
        </w:rPr>
      </w:pPr>
      <w:r w:rsidRPr="006019B1">
        <w:rPr>
          <w:rFonts w:ascii="Verdana" w:eastAsia="Arial" w:hAnsi="Verdana" w:cs="Times New Roman"/>
          <w:noProof/>
          <w:sz w:val="21"/>
          <w:szCs w:val="21"/>
          <w:lang w:val="es-MX"/>
        </w:rPr>
        <w:drawing>
          <wp:inline distT="0" distB="0" distL="0" distR="0" wp14:anchorId="5202A8C9" wp14:editId="4B121A7C">
            <wp:extent cx="2670048" cy="429188"/>
            <wp:effectExtent l="0" t="0" r="0" b="9525"/>
            <wp:docPr id="859012841" name="Imagen 859012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81902" cy="431093"/>
                    </a:xfrm>
                    <a:prstGeom prst="rect">
                      <a:avLst/>
                    </a:prstGeom>
                    <a:noFill/>
                    <a:ln>
                      <a:noFill/>
                    </a:ln>
                  </pic:spPr>
                </pic:pic>
              </a:graphicData>
            </a:graphic>
          </wp:inline>
        </w:drawing>
      </w:r>
    </w:p>
    <w:p w14:paraId="52511ECC" w14:textId="77777777" w:rsidR="006019B1" w:rsidRPr="006019B1" w:rsidRDefault="006019B1" w:rsidP="006019B1">
      <w:pPr>
        <w:adjustRightInd w:val="0"/>
        <w:snapToGrid w:val="0"/>
        <w:spacing w:after="0" w:line="240" w:lineRule="auto"/>
        <w:ind w:left="709" w:right="709"/>
        <w:jc w:val="both"/>
        <w:rPr>
          <w:rFonts w:ascii="Verdana" w:eastAsia="Verdana" w:hAnsi="Verdana" w:cs="Verdana"/>
          <w:sz w:val="21"/>
          <w:szCs w:val="21"/>
        </w:rPr>
      </w:pPr>
    </w:p>
    <w:p w14:paraId="0D176176" w14:textId="77777777" w:rsidR="006019B1" w:rsidRPr="006019B1" w:rsidRDefault="006019B1" w:rsidP="006019B1">
      <w:pPr>
        <w:numPr>
          <w:ilvl w:val="0"/>
          <w:numId w:val="21"/>
        </w:numPr>
        <w:adjustRightInd w:val="0"/>
        <w:snapToGrid w:val="0"/>
        <w:spacing w:after="0" w:line="240" w:lineRule="auto"/>
        <w:ind w:left="709" w:right="709" w:firstLine="0"/>
        <w:jc w:val="both"/>
        <w:rPr>
          <w:rFonts w:ascii="Verdana" w:eastAsia="Verdana" w:hAnsi="Verdana" w:cs="Verdana"/>
          <w:sz w:val="21"/>
          <w:szCs w:val="21"/>
        </w:rPr>
      </w:pPr>
      <w:r w:rsidRPr="006019B1">
        <w:rPr>
          <w:rFonts w:ascii="Verdana" w:eastAsia="Verdana" w:hAnsi="Verdana" w:cs="Verdana"/>
          <w:sz w:val="21"/>
          <w:szCs w:val="21"/>
        </w:rPr>
        <w:t>Determinar el</w:t>
      </w:r>
      <w:r w:rsidRPr="006019B1">
        <w:rPr>
          <w:rFonts w:ascii="Verdana" w:eastAsia="Verdana" w:hAnsi="Verdana" w:cs="Verdana"/>
          <w:b/>
          <w:bCs/>
          <w:i/>
          <w:iCs/>
          <w:sz w:val="21"/>
          <w:szCs w:val="21"/>
        </w:rPr>
        <w:t xml:space="preserve"> porcentaje acumulado </w:t>
      </w:r>
      <w:r w:rsidRPr="006019B1">
        <w:rPr>
          <w:rFonts w:ascii="Verdana" w:eastAsia="Verdana" w:hAnsi="Verdana" w:cs="Verdana"/>
          <w:sz w:val="21"/>
          <w:szCs w:val="21"/>
        </w:rPr>
        <w:t xml:space="preserve">entendido como la sumatoria de los porcentajes de participación definidos en el numeral </w:t>
      </w:r>
      <w:r w:rsidRPr="006019B1">
        <w:rPr>
          <w:rFonts w:ascii="Verdana" w:eastAsia="Verdana" w:hAnsi="Verdana" w:cs="Verdana"/>
          <w:sz w:val="21"/>
          <w:szCs w:val="21"/>
        </w:rPr>
        <w:lastRenderedPageBreak/>
        <w:t xml:space="preserve">anterior. Para lo cual, se sugiere, organizar los bienes en una tabla, en orden descendente según su </w:t>
      </w:r>
      <w:r w:rsidRPr="006019B1">
        <w:rPr>
          <w:rFonts w:ascii="Verdana" w:eastAsia="Verdana" w:hAnsi="Verdana" w:cs="Verdana"/>
          <w:b/>
          <w:bCs/>
          <w:i/>
          <w:iCs/>
          <w:sz w:val="21"/>
          <w:szCs w:val="21"/>
        </w:rPr>
        <w:t>porcentaje de participación,</w:t>
      </w:r>
      <w:r w:rsidRPr="006019B1">
        <w:rPr>
          <w:rFonts w:ascii="Verdana" w:eastAsia="Verdana" w:hAnsi="Verdana" w:cs="Verdana"/>
          <w:sz w:val="21"/>
          <w:szCs w:val="21"/>
        </w:rPr>
        <w:t xml:space="preserve"> disponiendo una fila por cada bien, una columna para el nombre o descripción del bien, otra para el </w:t>
      </w:r>
      <w:r w:rsidRPr="006019B1">
        <w:rPr>
          <w:rFonts w:ascii="Verdana" w:eastAsia="Verdana" w:hAnsi="Verdana" w:cs="Verdana"/>
          <w:b/>
          <w:bCs/>
          <w:i/>
          <w:iCs/>
          <w:sz w:val="21"/>
          <w:szCs w:val="21"/>
        </w:rPr>
        <w:t>porcentaje de participación</w:t>
      </w:r>
      <w:r w:rsidRPr="006019B1">
        <w:rPr>
          <w:rFonts w:ascii="Verdana" w:eastAsia="Verdana" w:hAnsi="Verdana" w:cs="Verdana"/>
          <w:b/>
          <w:bCs/>
          <w:sz w:val="21"/>
          <w:szCs w:val="21"/>
        </w:rPr>
        <w:t xml:space="preserve"> </w:t>
      </w:r>
      <w:r w:rsidRPr="006019B1">
        <w:rPr>
          <w:rFonts w:ascii="Verdana" w:eastAsia="Verdana" w:hAnsi="Verdana" w:cs="Verdana"/>
          <w:sz w:val="21"/>
          <w:szCs w:val="21"/>
        </w:rPr>
        <w:t xml:space="preserve">y otra en la que se consignará el </w:t>
      </w:r>
      <w:r w:rsidRPr="006019B1">
        <w:rPr>
          <w:rFonts w:ascii="Verdana" w:eastAsia="Verdana" w:hAnsi="Verdana" w:cs="Verdana"/>
          <w:b/>
          <w:bCs/>
          <w:i/>
          <w:iCs/>
          <w:sz w:val="21"/>
          <w:szCs w:val="21"/>
        </w:rPr>
        <w:t>porcentaje acumulado.</w:t>
      </w:r>
      <w:r w:rsidRPr="006019B1">
        <w:rPr>
          <w:rFonts w:ascii="Verdana" w:eastAsia="Verdana" w:hAnsi="Verdana" w:cs="Verdana"/>
          <w:b/>
          <w:bCs/>
          <w:sz w:val="21"/>
          <w:szCs w:val="21"/>
        </w:rPr>
        <w:t xml:space="preserve"> </w:t>
      </w:r>
    </w:p>
    <w:p w14:paraId="5502AE2E" w14:textId="77777777" w:rsidR="006019B1" w:rsidRPr="006019B1" w:rsidRDefault="006019B1" w:rsidP="006019B1">
      <w:pPr>
        <w:adjustRightInd w:val="0"/>
        <w:snapToGrid w:val="0"/>
        <w:spacing w:after="0" w:line="240" w:lineRule="auto"/>
        <w:ind w:left="709" w:right="709"/>
        <w:jc w:val="both"/>
        <w:rPr>
          <w:rFonts w:ascii="Verdana" w:eastAsia="Verdana" w:hAnsi="Verdana" w:cs="Verdana"/>
          <w:sz w:val="21"/>
          <w:szCs w:val="21"/>
        </w:rPr>
      </w:pPr>
    </w:p>
    <w:p w14:paraId="62E0EB08" w14:textId="77777777" w:rsidR="006019B1" w:rsidRPr="006019B1" w:rsidRDefault="006019B1" w:rsidP="006019B1">
      <w:pPr>
        <w:adjustRightInd w:val="0"/>
        <w:snapToGrid w:val="0"/>
        <w:spacing w:after="0" w:line="240" w:lineRule="auto"/>
        <w:ind w:left="709" w:right="709"/>
        <w:jc w:val="both"/>
        <w:rPr>
          <w:rFonts w:ascii="Verdana" w:eastAsia="Verdana" w:hAnsi="Verdana" w:cs="Verdana"/>
          <w:sz w:val="21"/>
          <w:szCs w:val="21"/>
        </w:rPr>
      </w:pPr>
      <w:r w:rsidRPr="006019B1">
        <w:rPr>
          <w:rFonts w:ascii="Verdana" w:eastAsia="Verdana" w:hAnsi="Verdana" w:cs="Verdana"/>
          <w:sz w:val="21"/>
          <w:szCs w:val="21"/>
        </w:rPr>
        <w:t xml:space="preserve">Al bien o insumo que tiene la mayor participación, es decir el que ocupa el primer lugar en el listado, le corresponderá como </w:t>
      </w:r>
      <w:r w:rsidRPr="006019B1">
        <w:rPr>
          <w:rFonts w:ascii="Verdana" w:eastAsia="Verdana" w:hAnsi="Verdana" w:cs="Verdana"/>
          <w:b/>
          <w:bCs/>
          <w:i/>
          <w:iCs/>
          <w:sz w:val="21"/>
          <w:szCs w:val="21"/>
        </w:rPr>
        <w:t>porcentaje acumulado</w:t>
      </w:r>
      <w:r w:rsidRPr="006019B1">
        <w:rPr>
          <w:rFonts w:ascii="Verdana" w:eastAsia="Verdana" w:hAnsi="Verdana" w:cs="Verdana"/>
          <w:sz w:val="21"/>
          <w:szCs w:val="21"/>
        </w:rPr>
        <w:t xml:space="preserve"> el valor asignado como </w:t>
      </w:r>
      <w:r w:rsidRPr="006019B1">
        <w:rPr>
          <w:rFonts w:ascii="Verdana" w:eastAsia="Verdana" w:hAnsi="Verdana" w:cs="Verdana"/>
          <w:b/>
          <w:bCs/>
          <w:i/>
          <w:iCs/>
          <w:sz w:val="21"/>
          <w:szCs w:val="21"/>
        </w:rPr>
        <w:t>porcentaje de participación</w:t>
      </w:r>
      <w:r w:rsidRPr="006019B1">
        <w:rPr>
          <w:rFonts w:ascii="Verdana" w:eastAsia="Verdana" w:hAnsi="Verdana" w:cs="Verdana"/>
          <w:sz w:val="21"/>
          <w:szCs w:val="21"/>
        </w:rPr>
        <w:t xml:space="preserve">. Para el segundo bien el </w:t>
      </w:r>
      <w:r w:rsidRPr="006019B1">
        <w:rPr>
          <w:rFonts w:ascii="Verdana" w:eastAsia="Verdana" w:hAnsi="Verdana" w:cs="Verdana"/>
          <w:b/>
          <w:bCs/>
          <w:i/>
          <w:iCs/>
          <w:sz w:val="21"/>
          <w:szCs w:val="21"/>
        </w:rPr>
        <w:t xml:space="preserve">porcentaje acumulado </w:t>
      </w:r>
      <w:r w:rsidRPr="006019B1">
        <w:rPr>
          <w:rFonts w:ascii="Verdana" w:eastAsia="Verdana" w:hAnsi="Verdana" w:cs="Verdana"/>
          <w:sz w:val="21"/>
          <w:szCs w:val="21"/>
        </w:rPr>
        <w:t xml:space="preserve">será la suma de su porcentaje de participación con el </w:t>
      </w:r>
      <w:r w:rsidRPr="006019B1">
        <w:rPr>
          <w:rFonts w:ascii="Verdana" w:eastAsia="Verdana" w:hAnsi="Verdana" w:cs="Verdana"/>
          <w:b/>
          <w:bCs/>
          <w:i/>
          <w:iCs/>
          <w:sz w:val="21"/>
          <w:szCs w:val="21"/>
        </w:rPr>
        <w:t>porcentaje acumulado</w:t>
      </w:r>
      <w:r w:rsidRPr="006019B1">
        <w:rPr>
          <w:rFonts w:ascii="Verdana" w:eastAsia="Verdana" w:hAnsi="Verdana" w:cs="Verdana"/>
          <w:sz w:val="21"/>
          <w:szCs w:val="21"/>
        </w:rPr>
        <w:t xml:space="preserve"> asignado al bien que lo antecede en el listado. Del mismo modo, para el tercer bien el </w:t>
      </w:r>
      <w:r w:rsidRPr="006019B1">
        <w:rPr>
          <w:rFonts w:ascii="Verdana" w:eastAsia="Verdana" w:hAnsi="Verdana" w:cs="Verdana"/>
          <w:b/>
          <w:bCs/>
          <w:i/>
          <w:iCs/>
          <w:sz w:val="21"/>
          <w:szCs w:val="21"/>
        </w:rPr>
        <w:t>porcentaje acumulado</w:t>
      </w:r>
      <w:r w:rsidRPr="006019B1">
        <w:rPr>
          <w:rFonts w:ascii="Verdana" w:eastAsia="Verdana" w:hAnsi="Verdana" w:cs="Verdana"/>
          <w:sz w:val="21"/>
          <w:szCs w:val="21"/>
        </w:rPr>
        <w:t xml:space="preserve"> será la suma de su porcentaje de participación con el </w:t>
      </w:r>
      <w:r w:rsidRPr="006019B1">
        <w:rPr>
          <w:rFonts w:ascii="Verdana" w:eastAsia="Verdana" w:hAnsi="Verdana" w:cs="Verdana"/>
          <w:b/>
          <w:bCs/>
          <w:i/>
          <w:iCs/>
          <w:sz w:val="21"/>
          <w:szCs w:val="21"/>
        </w:rPr>
        <w:t>porcentaje acumulado</w:t>
      </w:r>
      <w:r w:rsidRPr="006019B1">
        <w:rPr>
          <w:rFonts w:ascii="Verdana" w:eastAsia="Verdana" w:hAnsi="Verdana" w:cs="Verdana"/>
          <w:sz w:val="21"/>
          <w:szCs w:val="21"/>
        </w:rPr>
        <w:t xml:space="preserve"> calculado para el anterior bien, y así sucesivamente deberá procederse respecto de los demás bienes hasta completar todos los porcentajes acumulados. Para mayor claridad se aplicará la siguiente fórmula: </w:t>
      </w:r>
    </w:p>
    <w:p w14:paraId="69A58751" w14:textId="77777777" w:rsidR="006019B1" w:rsidRPr="006019B1" w:rsidRDefault="006019B1" w:rsidP="006019B1">
      <w:pPr>
        <w:adjustRightInd w:val="0"/>
        <w:snapToGrid w:val="0"/>
        <w:spacing w:after="0" w:line="240" w:lineRule="auto"/>
        <w:ind w:left="709" w:right="709"/>
        <w:jc w:val="both"/>
        <w:rPr>
          <w:rFonts w:ascii="Verdana" w:eastAsia="Verdana" w:hAnsi="Verdana" w:cs="Verdana"/>
          <w:b/>
          <w:bCs/>
          <w:i/>
          <w:iCs/>
          <w:sz w:val="21"/>
          <w:szCs w:val="21"/>
        </w:rPr>
      </w:pPr>
    </w:p>
    <w:p w14:paraId="0E452078" w14:textId="77777777" w:rsidR="006019B1" w:rsidRPr="006019B1" w:rsidRDefault="006019B1" w:rsidP="006019B1">
      <w:pPr>
        <w:adjustRightInd w:val="0"/>
        <w:snapToGrid w:val="0"/>
        <w:spacing w:after="0" w:line="240" w:lineRule="auto"/>
        <w:ind w:left="709" w:right="709"/>
        <w:jc w:val="center"/>
        <w:rPr>
          <w:rFonts w:ascii="Verdana" w:eastAsia="Verdana" w:hAnsi="Verdana" w:cs="Verdana"/>
          <w:sz w:val="21"/>
          <w:szCs w:val="21"/>
          <w:lang w:val="es-MX"/>
        </w:rPr>
      </w:pPr>
      <w:r w:rsidRPr="006019B1">
        <w:rPr>
          <w:rFonts w:ascii="Verdana" w:eastAsia="Arial" w:hAnsi="Verdana" w:cs="Times New Roman"/>
          <w:noProof/>
          <w:sz w:val="21"/>
          <w:szCs w:val="21"/>
          <w:lang w:val="es-MX"/>
        </w:rPr>
        <w:drawing>
          <wp:inline distT="0" distB="0" distL="0" distR="0" wp14:anchorId="108EDD5E" wp14:editId="53CF1C37">
            <wp:extent cx="3057525" cy="511810"/>
            <wp:effectExtent l="0" t="0" r="9525" b="2540"/>
            <wp:docPr id="411311422" name="Imagen 411311422" descr="Dibujo de una person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8" descr="Dibujo de una persona&#10;&#10;Descripción generada automáticamente con confianza media"/>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57525" cy="511810"/>
                    </a:xfrm>
                    <a:prstGeom prst="rect">
                      <a:avLst/>
                    </a:prstGeom>
                    <a:noFill/>
                    <a:ln>
                      <a:noFill/>
                    </a:ln>
                  </pic:spPr>
                </pic:pic>
              </a:graphicData>
            </a:graphic>
          </wp:inline>
        </w:drawing>
      </w:r>
    </w:p>
    <w:p w14:paraId="0CFB609B" w14:textId="77777777" w:rsidR="006019B1" w:rsidRPr="006019B1" w:rsidRDefault="006019B1" w:rsidP="006019B1">
      <w:pPr>
        <w:adjustRightInd w:val="0"/>
        <w:snapToGrid w:val="0"/>
        <w:spacing w:after="0" w:line="240" w:lineRule="auto"/>
        <w:ind w:left="709" w:right="709"/>
        <w:jc w:val="both"/>
        <w:rPr>
          <w:rFonts w:ascii="Verdana" w:eastAsia="Verdana" w:hAnsi="Verdana" w:cs="Verdana"/>
          <w:sz w:val="21"/>
          <w:szCs w:val="21"/>
        </w:rPr>
      </w:pPr>
    </w:p>
    <w:p w14:paraId="22B5D8F3" w14:textId="77777777" w:rsidR="006019B1" w:rsidRPr="006019B1" w:rsidRDefault="006019B1" w:rsidP="006019B1">
      <w:pPr>
        <w:adjustRightInd w:val="0"/>
        <w:snapToGrid w:val="0"/>
        <w:spacing w:after="0" w:line="240" w:lineRule="auto"/>
        <w:ind w:left="709" w:right="709"/>
        <w:jc w:val="both"/>
        <w:rPr>
          <w:rFonts w:ascii="Verdana" w:eastAsia="Verdana" w:hAnsi="Verdana" w:cs="Verdana"/>
          <w:sz w:val="21"/>
          <w:szCs w:val="21"/>
        </w:rPr>
      </w:pPr>
    </w:p>
    <w:p w14:paraId="3550B66C" w14:textId="77777777" w:rsidR="006019B1" w:rsidRPr="006019B1" w:rsidRDefault="006019B1" w:rsidP="006019B1">
      <w:pPr>
        <w:adjustRightInd w:val="0"/>
        <w:snapToGrid w:val="0"/>
        <w:spacing w:after="0" w:line="240" w:lineRule="auto"/>
        <w:ind w:left="709" w:right="709"/>
        <w:jc w:val="both"/>
        <w:rPr>
          <w:rFonts w:ascii="Verdana" w:eastAsia="Verdana" w:hAnsi="Verdana" w:cs="Verdana"/>
          <w:sz w:val="21"/>
          <w:szCs w:val="21"/>
        </w:rPr>
      </w:pPr>
      <w:r w:rsidRPr="006019B1">
        <w:rPr>
          <w:rFonts w:ascii="Verdana" w:eastAsia="Verdana" w:hAnsi="Verdana" w:cs="Verdana"/>
          <w:sz w:val="21"/>
          <w:szCs w:val="21"/>
        </w:rPr>
        <w:t xml:space="preserve">Donde </w:t>
      </w:r>
      <m:oMath>
        <m:sSub>
          <m:sSubPr>
            <m:ctrlPr>
              <w:rPr>
                <w:rFonts w:ascii="Cambria Math" w:eastAsia="Arial" w:hAnsi="Cambria Math" w:cs="Arial"/>
                <w:bCs/>
                <w:i/>
                <w:sz w:val="21"/>
                <w:szCs w:val="21"/>
              </w:rPr>
            </m:ctrlPr>
          </m:sSubPr>
          <m:e>
            <m:r>
              <w:rPr>
                <w:rFonts w:ascii="Cambria Math" w:eastAsia="Arial" w:hAnsi="Cambria Math" w:cs="Arial"/>
                <w:sz w:val="21"/>
                <w:szCs w:val="21"/>
              </w:rPr>
              <m:t>participacion (%)</m:t>
            </m:r>
          </m:e>
          <m:sub>
            <m:r>
              <w:rPr>
                <w:rFonts w:ascii="Cambria Math" w:eastAsia="Arial" w:hAnsi="Cambria Math" w:cs="Arial"/>
                <w:sz w:val="21"/>
                <w:szCs w:val="21"/>
              </w:rPr>
              <m:t>i</m:t>
            </m:r>
          </m:sub>
        </m:sSub>
      </m:oMath>
      <w:r w:rsidRPr="006019B1">
        <w:rPr>
          <w:rFonts w:ascii="Verdana" w:eastAsia="Verdana" w:hAnsi="Verdana" w:cs="Verdana"/>
          <w:sz w:val="21"/>
          <w:szCs w:val="21"/>
        </w:rPr>
        <w:t xml:space="preserve"> son las frecuencias acumuladas o porcentaje de participación (%) calculado.</w:t>
      </w:r>
    </w:p>
    <w:p w14:paraId="74732665" w14:textId="77777777" w:rsidR="006019B1" w:rsidRPr="006019B1" w:rsidRDefault="006019B1" w:rsidP="006019B1">
      <w:pPr>
        <w:adjustRightInd w:val="0"/>
        <w:snapToGrid w:val="0"/>
        <w:spacing w:after="0" w:line="240" w:lineRule="auto"/>
        <w:ind w:left="709" w:right="709"/>
        <w:jc w:val="both"/>
        <w:rPr>
          <w:rFonts w:ascii="Verdana" w:eastAsia="Verdana" w:hAnsi="Verdana" w:cs="Verdana"/>
          <w:sz w:val="21"/>
          <w:szCs w:val="21"/>
        </w:rPr>
      </w:pPr>
    </w:p>
    <w:p w14:paraId="0094F6BE" w14:textId="77777777" w:rsidR="006019B1" w:rsidRPr="006019B1" w:rsidRDefault="006019B1" w:rsidP="006019B1">
      <w:pPr>
        <w:numPr>
          <w:ilvl w:val="0"/>
          <w:numId w:val="21"/>
        </w:numPr>
        <w:adjustRightInd w:val="0"/>
        <w:snapToGrid w:val="0"/>
        <w:spacing w:after="0" w:line="240" w:lineRule="auto"/>
        <w:ind w:left="709" w:right="709" w:firstLine="0"/>
        <w:jc w:val="both"/>
        <w:rPr>
          <w:rFonts w:ascii="Verdana" w:eastAsia="Verdana" w:hAnsi="Verdana" w:cs="Verdana"/>
          <w:sz w:val="21"/>
          <w:szCs w:val="21"/>
        </w:rPr>
      </w:pPr>
      <w:r w:rsidRPr="006019B1">
        <w:rPr>
          <w:rFonts w:ascii="Verdana" w:eastAsia="Verdana" w:hAnsi="Verdana" w:cs="Verdana"/>
          <w:sz w:val="21"/>
          <w:szCs w:val="21"/>
        </w:rPr>
        <w:t xml:space="preserve">Identificar los bienes o insumos cuyo </w:t>
      </w:r>
      <w:r w:rsidRPr="006019B1">
        <w:rPr>
          <w:rFonts w:ascii="Verdana" w:eastAsia="Verdana" w:hAnsi="Verdana" w:cs="Verdana"/>
          <w:b/>
          <w:bCs/>
          <w:i/>
          <w:iCs/>
          <w:sz w:val="21"/>
          <w:szCs w:val="21"/>
        </w:rPr>
        <w:t>porcentaje acumulado</w:t>
      </w:r>
      <w:r w:rsidRPr="006019B1">
        <w:rPr>
          <w:rFonts w:ascii="Verdana" w:eastAsia="Verdana" w:hAnsi="Verdana" w:cs="Verdana"/>
          <w:sz w:val="21"/>
          <w:szCs w:val="21"/>
        </w:rPr>
        <w:t xml:space="preserve"> esté dentro del ochenta por ciento (80%</w:t>
      </w:r>
      <w:r w:rsidRPr="006019B1">
        <w:rPr>
          <w:rFonts w:ascii="Verdana" w:eastAsia="Verdana" w:hAnsi="Verdana" w:cs="Verdana"/>
          <w:sz w:val="21"/>
          <w:szCs w:val="21"/>
          <w:vertAlign w:val="superscript"/>
        </w:rPr>
        <w:footnoteReference w:id="7"/>
      </w:r>
      <w:r w:rsidRPr="006019B1">
        <w:rPr>
          <w:rFonts w:ascii="Verdana" w:eastAsia="Verdana" w:hAnsi="Verdana" w:cs="Verdana"/>
          <w:sz w:val="21"/>
          <w:szCs w:val="21"/>
        </w:rPr>
        <w:t>) o un valor aproximado por debajo.</w:t>
      </w:r>
    </w:p>
    <w:p w14:paraId="6DCA88D9" w14:textId="77777777" w:rsidR="006019B1" w:rsidRPr="006019B1" w:rsidRDefault="006019B1" w:rsidP="006019B1">
      <w:pPr>
        <w:adjustRightInd w:val="0"/>
        <w:snapToGrid w:val="0"/>
        <w:spacing w:after="0" w:line="240" w:lineRule="auto"/>
        <w:ind w:left="709" w:right="709"/>
        <w:jc w:val="both"/>
        <w:rPr>
          <w:rFonts w:ascii="Verdana" w:eastAsia="Verdana" w:hAnsi="Verdana" w:cs="Verdana"/>
          <w:sz w:val="21"/>
          <w:szCs w:val="21"/>
        </w:rPr>
      </w:pPr>
    </w:p>
    <w:p w14:paraId="0DF0E506" w14:textId="77777777" w:rsidR="006019B1" w:rsidRPr="006019B1" w:rsidRDefault="006019B1" w:rsidP="006019B1">
      <w:pPr>
        <w:numPr>
          <w:ilvl w:val="0"/>
          <w:numId w:val="21"/>
        </w:numPr>
        <w:adjustRightInd w:val="0"/>
        <w:snapToGrid w:val="0"/>
        <w:spacing w:after="0" w:line="240" w:lineRule="auto"/>
        <w:ind w:left="709" w:right="709" w:firstLine="0"/>
        <w:jc w:val="both"/>
        <w:rPr>
          <w:rFonts w:ascii="Verdana" w:eastAsia="Verdana" w:hAnsi="Verdana" w:cs="Verdana"/>
          <w:sz w:val="21"/>
          <w:szCs w:val="21"/>
        </w:rPr>
      </w:pPr>
      <w:r w:rsidRPr="006019B1">
        <w:rPr>
          <w:rFonts w:ascii="Verdana" w:eastAsia="Verdana" w:hAnsi="Verdana" w:cs="Verdana"/>
          <w:sz w:val="21"/>
          <w:szCs w:val="21"/>
        </w:rPr>
        <w:t xml:space="preserve">Identificar los bienes o insumos que cumplan con la condición anterior y en relación con estos se calculará el promedio de su </w:t>
      </w:r>
      <w:r w:rsidRPr="006019B1">
        <w:rPr>
          <w:rFonts w:ascii="Verdana" w:eastAsia="Verdana" w:hAnsi="Verdana" w:cs="Verdana"/>
          <w:b/>
          <w:bCs/>
          <w:i/>
          <w:iCs/>
          <w:sz w:val="21"/>
          <w:szCs w:val="21"/>
        </w:rPr>
        <w:t>porcentaje de participación</w:t>
      </w:r>
      <w:r w:rsidRPr="006019B1">
        <w:rPr>
          <w:rFonts w:ascii="Verdana" w:eastAsia="Verdana" w:hAnsi="Verdana" w:cs="Verdana"/>
          <w:sz w:val="21"/>
          <w:szCs w:val="21"/>
        </w:rPr>
        <w:t xml:space="preserve">. El promedio se calculará realizando la sumatoria de los </w:t>
      </w:r>
      <w:r w:rsidRPr="006019B1">
        <w:rPr>
          <w:rFonts w:ascii="Verdana" w:eastAsia="Verdana" w:hAnsi="Verdana" w:cs="Verdana"/>
          <w:b/>
          <w:bCs/>
          <w:i/>
          <w:iCs/>
          <w:sz w:val="21"/>
          <w:szCs w:val="21"/>
        </w:rPr>
        <w:t>porcentajes de participación</w:t>
      </w:r>
      <w:r w:rsidRPr="006019B1">
        <w:rPr>
          <w:rFonts w:ascii="Verdana" w:eastAsia="Verdana" w:hAnsi="Verdana" w:cs="Verdana"/>
          <w:b/>
          <w:bCs/>
          <w:sz w:val="21"/>
          <w:szCs w:val="21"/>
        </w:rPr>
        <w:t xml:space="preserve"> </w:t>
      </w:r>
      <w:r w:rsidRPr="006019B1">
        <w:rPr>
          <w:rFonts w:ascii="Verdana" w:eastAsia="Verdana" w:hAnsi="Verdana" w:cs="Verdana"/>
          <w:sz w:val="21"/>
          <w:szCs w:val="21"/>
        </w:rPr>
        <w:t xml:space="preserve">de cada bien, resultado que luego se dividirá entre el número de bienes que se promedian. </w:t>
      </w:r>
    </w:p>
    <w:p w14:paraId="6D8EBD51" w14:textId="77777777" w:rsidR="006019B1" w:rsidRPr="006019B1" w:rsidRDefault="006019B1" w:rsidP="006019B1">
      <w:pPr>
        <w:adjustRightInd w:val="0"/>
        <w:snapToGrid w:val="0"/>
        <w:spacing w:after="0" w:line="240" w:lineRule="auto"/>
        <w:ind w:left="709" w:right="709"/>
        <w:jc w:val="both"/>
        <w:rPr>
          <w:rFonts w:ascii="Verdana" w:eastAsia="Verdana" w:hAnsi="Verdana" w:cs="Verdana"/>
          <w:sz w:val="21"/>
          <w:szCs w:val="21"/>
        </w:rPr>
      </w:pPr>
    </w:p>
    <w:p w14:paraId="1801B7BA" w14:textId="77777777" w:rsidR="006019B1" w:rsidRPr="006019B1" w:rsidRDefault="006019B1" w:rsidP="006019B1">
      <w:pPr>
        <w:numPr>
          <w:ilvl w:val="0"/>
          <w:numId w:val="21"/>
        </w:numPr>
        <w:adjustRightInd w:val="0"/>
        <w:snapToGrid w:val="0"/>
        <w:spacing w:after="0" w:line="240" w:lineRule="auto"/>
        <w:ind w:left="709" w:right="709" w:firstLine="0"/>
        <w:jc w:val="both"/>
        <w:rPr>
          <w:rFonts w:ascii="Verdana" w:eastAsia="Verdana" w:hAnsi="Verdana" w:cs="Verdana"/>
          <w:sz w:val="21"/>
          <w:szCs w:val="21"/>
        </w:rPr>
      </w:pPr>
      <w:r w:rsidRPr="006019B1">
        <w:rPr>
          <w:rFonts w:ascii="Verdana" w:eastAsia="Verdana" w:hAnsi="Verdana" w:cs="Verdana"/>
          <w:sz w:val="21"/>
          <w:szCs w:val="21"/>
        </w:rPr>
        <w:lastRenderedPageBreak/>
        <w:t xml:space="preserve">Los bienes relevantes serán aquellos cuyo </w:t>
      </w:r>
      <w:r w:rsidRPr="006019B1">
        <w:rPr>
          <w:rFonts w:ascii="Verdana" w:eastAsia="Verdana" w:hAnsi="Verdana" w:cs="Verdana"/>
          <w:b/>
          <w:bCs/>
          <w:i/>
          <w:iCs/>
          <w:sz w:val="21"/>
          <w:szCs w:val="21"/>
        </w:rPr>
        <w:t>porcentaje de participación</w:t>
      </w:r>
      <w:r w:rsidRPr="006019B1">
        <w:rPr>
          <w:rFonts w:ascii="Verdana" w:eastAsia="Verdana" w:hAnsi="Verdana" w:cs="Verdana"/>
          <w:sz w:val="21"/>
          <w:szCs w:val="21"/>
        </w:rPr>
        <w:t xml:space="preserve"> sea igual o superior al promedio calculado en el paso anterior. </w:t>
      </w:r>
    </w:p>
    <w:p w14:paraId="14F2123F" w14:textId="77777777" w:rsidR="006019B1" w:rsidRPr="006019B1" w:rsidRDefault="006019B1" w:rsidP="006019B1">
      <w:pPr>
        <w:adjustRightInd w:val="0"/>
        <w:snapToGrid w:val="0"/>
        <w:spacing w:after="0" w:line="240" w:lineRule="auto"/>
        <w:ind w:left="709" w:right="709"/>
        <w:jc w:val="both"/>
        <w:rPr>
          <w:rFonts w:ascii="Verdana" w:eastAsia="Verdana" w:hAnsi="Verdana" w:cs="Verdana"/>
          <w:sz w:val="21"/>
          <w:szCs w:val="21"/>
        </w:rPr>
      </w:pPr>
    </w:p>
    <w:p w14:paraId="25B2ACCA" w14:textId="77777777" w:rsidR="006019B1" w:rsidRPr="006019B1" w:rsidRDefault="006019B1" w:rsidP="006019B1">
      <w:pPr>
        <w:numPr>
          <w:ilvl w:val="0"/>
          <w:numId w:val="21"/>
        </w:numPr>
        <w:adjustRightInd w:val="0"/>
        <w:snapToGrid w:val="0"/>
        <w:spacing w:after="0" w:line="240" w:lineRule="auto"/>
        <w:ind w:left="709" w:right="709" w:firstLine="0"/>
        <w:jc w:val="both"/>
        <w:rPr>
          <w:rFonts w:ascii="Verdana" w:eastAsia="Verdana" w:hAnsi="Verdana" w:cs="Verdana"/>
          <w:sz w:val="21"/>
          <w:szCs w:val="21"/>
          <w:lang w:val="es-MX"/>
        </w:rPr>
      </w:pPr>
      <w:r w:rsidRPr="006019B1">
        <w:rPr>
          <w:rFonts w:ascii="Verdana" w:eastAsia="Verdana" w:hAnsi="Verdana" w:cs="Verdana"/>
          <w:sz w:val="21"/>
          <w:szCs w:val="21"/>
        </w:rPr>
        <w:t xml:space="preserve">Verificar si </w:t>
      </w:r>
      <w:r w:rsidRPr="006019B1">
        <w:rPr>
          <w:rFonts w:ascii="Verdana" w:eastAsia="Verdana" w:hAnsi="Verdana" w:cs="Verdana"/>
          <w:sz w:val="21"/>
          <w:szCs w:val="21"/>
          <w:lang w:val="es-419"/>
        </w:rPr>
        <w:t xml:space="preserve">uno o varios </w:t>
      </w:r>
      <w:r w:rsidRPr="006019B1">
        <w:rPr>
          <w:rFonts w:ascii="Verdana" w:eastAsia="Verdana" w:hAnsi="Verdana" w:cs="Verdana"/>
          <w:sz w:val="21"/>
          <w:szCs w:val="21"/>
        </w:rPr>
        <w:t xml:space="preserve">bienes que cumplan con lo previsto en el numeral anterior se encuentran incluidos en el Registro de Productores de Bienes Nacionales, en los términos del Decreto 2680 de 2009. De estar incorporados, la Entidad Estatal </w:t>
      </w:r>
      <w:r w:rsidRPr="006019B1">
        <w:rPr>
          <w:rFonts w:ascii="Verdana" w:eastAsia="Verdana" w:hAnsi="Verdana" w:cs="Verdana"/>
          <w:sz w:val="21"/>
          <w:szCs w:val="21"/>
          <w:lang w:val="es-MX"/>
        </w:rPr>
        <w:t xml:space="preserve">verificará al momento de publicar el pliego de condiciones definitivo que el registro del bien o insumo esté vigente hasta una fecha posterior a la del cierre del proceso. Para tal efecto, se entiende por fecha del cierre la publicada en el pliego de condiciones definitivo. Verificada la fecha de registro de estos bienes estos serán los que incluya en el numeral 4.4.1 del Pliego de Condiciones. </w:t>
      </w:r>
    </w:p>
    <w:p w14:paraId="529B9A2C" w14:textId="77777777" w:rsidR="006019B1" w:rsidRPr="006019B1" w:rsidRDefault="006019B1" w:rsidP="006019B1">
      <w:pPr>
        <w:adjustRightInd w:val="0"/>
        <w:snapToGrid w:val="0"/>
        <w:spacing w:after="0" w:line="240" w:lineRule="auto"/>
        <w:ind w:left="709" w:right="709"/>
        <w:jc w:val="both"/>
        <w:rPr>
          <w:rFonts w:ascii="Verdana" w:eastAsia="Verdana" w:hAnsi="Verdana" w:cs="Verdana"/>
          <w:sz w:val="21"/>
          <w:szCs w:val="21"/>
        </w:rPr>
      </w:pPr>
    </w:p>
    <w:p w14:paraId="36766D31" w14:textId="77777777" w:rsidR="006019B1" w:rsidRPr="006019B1" w:rsidRDefault="006019B1" w:rsidP="006019B1">
      <w:pPr>
        <w:numPr>
          <w:ilvl w:val="0"/>
          <w:numId w:val="21"/>
        </w:numPr>
        <w:adjustRightInd w:val="0"/>
        <w:snapToGrid w:val="0"/>
        <w:spacing w:after="0" w:line="240" w:lineRule="auto"/>
        <w:ind w:left="709" w:right="709" w:firstLine="0"/>
        <w:jc w:val="both"/>
        <w:rPr>
          <w:rFonts w:ascii="Verdana" w:eastAsia="Verdana" w:hAnsi="Verdana" w:cs="Verdana"/>
          <w:sz w:val="21"/>
          <w:szCs w:val="21"/>
        </w:rPr>
      </w:pPr>
      <w:r w:rsidRPr="006019B1">
        <w:rPr>
          <w:rFonts w:ascii="Verdana" w:eastAsia="Verdana" w:hAnsi="Verdana" w:cs="Verdana"/>
          <w:sz w:val="21"/>
          <w:szCs w:val="21"/>
        </w:rPr>
        <w:t xml:space="preserve">Si </w:t>
      </w:r>
      <w:proofErr w:type="gramStart"/>
      <w:r w:rsidRPr="006019B1">
        <w:rPr>
          <w:rFonts w:ascii="Verdana" w:eastAsia="Verdana" w:hAnsi="Verdana" w:cs="Verdana"/>
          <w:sz w:val="21"/>
          <w:szCs w:val="21"/>
        </w:rPr>
        <w:t>ninguno de los bienes relevantes están</w:t>
      </w:r>
      <w:proofErr w:type="gramEnd"/>
      <w:r w:rsidRPr="006019B1">
        <w:rPr>
          <w:rFonts w:ascii="Verdana" w:eastAsia="Verdana" w:hAnsi="Verdana" w:cs="Verdana"/>
          <w:sz w:val="21"/>
          <w:szCs w:val="21"/>
        </w:rPr>
        <w:t xml:space="preserve"> incluidos en el Registro de Productores de Bienes Nacionales, la Entidad Estatal otorgará el puntaje a los Proponentes que se comprometan a vincular un porcentaje de empleados o contratistas por prestación de servicios colombianos de al menos el [</w:t>
      </w:r>
      <w:r w:rsidRPr="006019B1">
        <w:rPr>
          <w:rFonts w:ascii="Verdana" w:eastAsia="Verdana" w:hAnsi="Verdana" w:cs="Verdana"/>
          <w:sz w:val="21"/>
          <w:szCs w:val="21"/>
          <w:highlight w:val="lightGray"/>
          <w:lang w:val="es-MX"/>
        </w:rPr>
        <w:t>l</w:t>
      </w:r>
      <w:r w:rsidRPr="006019B1">
        <w:rPr>
          <w:rFonts w:ascii="Verdana" w:eastAsia="Verdana" w:hAnsi="Verdana" w:cs="Verdana"/>
          <w:sz w:val="21"/>
          <w:szCs w:val="21"/>
          <w:highlight w:val="lightGray"/>
          <w:lang w:val="es-ES"/>
        </w:rPr>
        <w:t>a Entidad Estatal incluirá el porcentaje definido en el numeral 4.4.1 del documento base</w:t>
      </w:r>
      <w:r w:rsidRPr="006019B1">
        <w:rPr>
          <w:rFonts w:ascii="Verdana" w:eastAsia="Verdana" w:hAnsi="Verdana" w:cs="Verdana"/>
          <w:sz w:val="21"/>
          <w:szCs w:val="21"/>
          <w:lang w:val="es-ES"/>
        </w:rPr>
        <w:t xml:space="preserve">] </w:t>
      </w:r>
      <w:r w:rsidRPr="006019B1">
        <w:rPr>
          <w:rFonts w:ascii="Verdana" w:eastAsia="Verdana" w:hAnsi="Verdana" w:cs="Verdana"/>
          <w:sz w:val="21"/>
          <w:szCs w:val="21"/>
        </w:rPr>
        <w:t xml:space="preserve">del personal requerido para el cumplimiento del contrato. </w:t>
      </w:r>
    </w:p>
    <w:p w14:paraId="7847B728" w14:textId="77777777" w:rsidR="006019B1" w:rsidRPr="006019B1" w:rsidRDefault="006019B1" w:rsidP="006019B1">
      <w:pPr>
        <w:tabs>
          <w:tab w:val="left" w:pos="709"/>
        </w:tabs>
        <w:adjustRightInd w:val="0"/>
        <w:snapToGrid w:val="0"/>
        <w:spacing w:after="0" w:line="240" w:lineRule="auto"/>
        <w:ind w:right="709"/>
        <w:jc w:val="both"/>
        <w:rPr>
          <w:rFonts w:ascii="Verdana" w:eastAsia="Calibri" w:hAnsi="Verdana" w:cs="Arial"/>
          <w:bCs/>
          <w:color w:val="000000"/>
          <w:kern w:val="2"/>
          <w:sz w:val="24"/>
          <w:szCs w:val="24"/>
          <w:lang w:val="es-ES_tradnl"/>
          <w14:ligatures w14:val="standardContextual"/>
        </w:rPr>
      </w:pPr>
    </w:p>
    <w:p w14:paraId="724A68DF" w14:textId="77777777" w:rsidR="006019B1" w:rsidRPr="006019B1" w:rsidRDefault="006019B1" w:rsidP="006019B1">
      <w:pPr>
        <w:tabs>
          <w:tab w:val="left" w:pos="709"/>
        </w:tabs>
        <w:adjustRightInd w:val="0"/>
        <w:snapToGrid w:val="0"/>
        <w:spacing w:after="120" w:line="276" w:lineRule="auto"/>
        <w:ind w:firstLine="709"/>
        <w:jc w:val="both"/>
        <w:rPr>
          <w:rFonts w:ascii="Verdana" w:eastAsia="Calibri" w:hAnsi="Verdana" w:cs="Arial"/>
          <w:bCs/>
          <w:color w:val="000000"/>
          <w:kern w:val="2"/>
          <w:lang w:val="es-ES_tradnl"/>
          <w14:ligatures w14:val="standardContextual"/>
        </w:rPr>
      </w:pPr>
      <w:r w:rsidRPr="006019B1">
        <w:rPr>
          <w:rFonts w:ascii="Verdana" w:eastAsia="Calibri" w:hAnsi="Verdana" w:cs="Arial"/>
          <w:bCs/>
          <w:color w:val="000000"/>
          <w:kern w:val="2"/>
          <w:lang w:val="es-ES_tradnl"/>
          <w14:ligatures w14:val="standardContextual"/>
        </w:rPr>
        <w:t xml:space="preserve">Conforme a la metodología anterior, la entidad contratante deberá verificar, al momento de publicar el pliego de condiciones definitivo, que el registro del bien o insumo se encuentre vigente hasta una fecha posterior a la del cierre del proceso de proceso de contratación, entendiéndose por </w:t>
      </w:r>
      <w:r w:rsidRPr="006019B1">
        <w:rPr>
          <w:rFonts w:ascii="Verdana" w:eastAsia="Calibri" w:hAnsi="Verdana" w:cs="Arial"/>
          <w:bCs/>
          <w:i/>
          <w:iCs/>
          <w:color w:val="000000"/>
          <w:kern w:val="2"/>
          <w:lang w:val="es-ES_tradnl"/>
          <w14:ligatures w14:val="standardContextual"/>
        </w:rPr>
        <w:t>fecha de cierre</w:t>
      </w:r>
      <w:r w:rsidRPr="006019B1">
        <w:rPr>
          <w:rFonts w:ascii="Verdana" w:eastAsia="Calibri" w:hAnsi="Verdana" w:cs="Arial"/>
          <w:bCs/>
          <w:color w:val="000000"/>
          <w:kern w:val="2"/>
          <w:lang w:val="es-ES_tradnl"/>
          <w14:ligatures w14:val="standardContextual"/>
        </w:rPr>
        <w:t xml:space="preserve"> la publicada en el pliego de condiciones definitivo. Una vez verificada la fecha de registro de estos bienes, estos serán los que se incluyan en el numeral 4.3.1 del documento base. </w:t>
      </w:r>
    </w:p>
    <w:p w14:paraId="2BA63038" w14:textId="77777777" w:rsidR="006019B1" w:rsidRPr="006019B1" w:rsidRDefault="006019B1" w:rsidP="006019B1">
      <w:pPr>
        <w:tabs>
          <w:tab w:val="left" w:pos="709"/>
        </w:tabs>
        <w:adjustRightInd w:val="0"/>
        <w:snapToGrid w:val="0"/>
        <w:spacing w:after="120" w:line="276" w:lineRule="auto"/>
        <w:ind w:firstLine="709"/>
        <w:jc w:val="both"/>
        <w:rPr>
          <w:rFonts w:ascii="Verdana" w:eastAsia="Calibri" w:hAnsi="Verdana" w:cs="Arial"/>
          <w:bCs/>
          <w:color w:val="000000"/>
          <w:kern w:val="2"/>
          <w:lang w:val="es-ES_tradnl"/>
          <w14:ligatures w14:val="standardContextual"/>
        </w:rPr>
      </w:pPr>
      <w:r w:rsidRPr="006019B1">
        <w:rPr>
          <w:rFonts w:ascii="Verdana" w:eastAsia="Calibri" w:hAnsi="Verdana" w:cs="Arial"/>
          <w:bCs/>
          <w:color w:val="000000"/>
          <w:kern w:val="2"/>
          <w:lang w:val="es-ES_tradnl"/>
          <w14:ligatures w14:val="standardContextual"/>
        </w:rPr>
        <w:t xml:space="preserve">De esta manera, la Matriz 4 precisa que la fecha de cierre del proceso corresponderá a la señalada en el pliego de condiciones definitivo, y que corresponde a la entidad verificar, con la publicación del pliego de condiciones definitivo, que el registro del bien o insumo esté vigente hasta una fecha posterior a la del cierre del proceso. </w:t>
      </w:r>
    </w:p>
    <w:p w14:paraId="21949BE7" w14:textId="77777777" w:rsidR="006019B1" w:rsidRPr="006019B1" w:rsidRDefault="006019B1" w:rsidP="006019B1">
      <w:pPr>
        <w:tabs>
          <w:tab w:val="left" w:pos="709"/>
        </w:tabs>
        <w:adjustRightInd w:val="0"/>
        <w:snapToGrid w:val="0"/>
        <w:spacing w:after="120" w:line="276" w:lineRule="auto"/>
        <w:ind w:firstLine="709"/>
        <w:jc w:val="both"/>
        <w:rPr>
          <w:rFonts w:ascii="Verdana" w:eastAsia="Calibri" w:hAnsi="Verdana" w:cs="Arial"/>
          <w:bCs/>
          <w:color w:val="000000"/>
          <w:kern w:val="2"/>
          <w:lang w:val="es-ES_tradnl"/>
          <w14:ligatures w14:val="standardContextual"/>
        </w:rPr>
      </w:pPr>
      <w:r w:rsidRPr="006019B1">
        <w:rPr>
          <w:rFonts w:ascii="Verdana" w:eastAsia="Calibri" w:hAnsi="Verdana" w:cs="Arial"/>
          <w:bCs/>
          <w:color w:val="000000"/>
          <w:kern w:val="2"/>
          <w:lang w:val="es-ES_tradnl"/>
          <w14:ligatures w14:val="standardContextual"/>
        </w:rPr>
        <w:t xml:space="preserve">Por el contrario, si en la oportunidad señalada en el párrafo anterior la entidad determina que ninguno de los bienes relevantes está incluido en el Registro de Productores de Bienes Nacionales, otorgará el puntaje a los proponentes que se comprometan a vincular un determinado porcentaje de </w:t>
      </w:r>
      <w:r w:rsidRPr="006019B1">
        <w:rPr>
          <w:rFonts w:ascii="Verdana" w:eastAsia="Calibri" w:hAnsi="Verdana" w:cs="Arial"/>
          <w:bCs/>
          <w:color w:val="000000"/>
          <w:kern w:val="2"/>
          <w:lang w:val="es-ES_tradnl"/>
          <w14:ligatures w14:val="standardContextual"/>
        </w:rPr>
        <w:lastRenderedPageBreak/>
        <w:t>empleados o contratistas por prestación de servicios colombianos, de acuerdo con el numeral 4.3.1 del documento base.</w:t>
      </w:r>
    </w:p>
    <w:p w14:paraId="5D2DB24D" w14:textId="77777777" w:rsidR="006019B1" w:rsidRPr="006019B1" w:rsidRDefault="006019B1" w:rsidP="006019B1">
      <w:pPr>
        <w:tabs>
          <w:tab w:val="left" w:pos="709"/>
        </w:tabs>
        <w:adjustRightInd w:val="0"/>
        <w:snapToGrid w:val="0"/>
        <w:spacing w:after="120" w:line="276" w:lineRule="auto"/>
        <w:ind w:firstLine="709"/>
        <w:jc w:val="both"/>
        <w:rPr>
          <w:rFonts w:ascii="Verdana" w:eastAsia="Calibri" w:hAnsi="Verdana" w:cs="Arial"/>
          <w:bCs/>
          <w:color w:val="000000"/>
          <w:kern w:val="2"/>
          <w:lang w:val="es-ES_tradnl"/>
          <w14:ligatures w14:val="standardContextual"/>
        </w:rPr>
      </w:pPr>
      <w:r w:rsidRPr="006019B1">
        <w:rPr>
          <w:rFonts w:ascii="Verdana" w:eastAsia="Calibri" w:hAnsi="Verdana" w:cs="Arial"/>
          <w:bCs/>
          <w:color w:val="000000"/>
          <w:kern w:val="2"/>
          <w:lang w:val="es-ES_tradnl"/>
          <w14:ligatures w14:val="standardContextual"/>
        </w:rPr>
        <w:t xml:space="preserve">El porcentaje, en el caso de la </w:t>
      </w:r>
      <w:r w:rsidRPr="006019B1">
        <w:rPr>
          <w:rFonts w:ascii="Verdana" w:eastAsia="Calibri" w:hAnsi="Verdana" w:cs="Arial"/>
          <w:bCs/>
          <w:i/>
          <w:iCs/>
          <w:color w:val="000000"/>
          <w:kern w:val="2"/>
          <w:lang w:val="es-ES_tradnl"/>
          <w14:ligatures w14:val="standardContextual"/>
        </w:rPr>
        <w:t xml:space="preserve">opción 2 </w:t>
      </w:r>
      <w:r w:rsidRPr="006019B1">
        <w:rPr>
          <w:rFonts w:ascii="Verdana" w:eastAsia="Calibri" w:hAnsi="Verdana" w:cs="Arial"/>
          <w:bCs/>
          <w:color w:val="000000"/>
          <w:kern w:val="2"/>
          <w:lang w:val="es-ES_tradnl"/>
          <w14:ligatures w14:val="standardContextual"/>
        </w:rPr>
        <w:t>sobre empleados o contratistas por prestación de servicios colombianos, debe corresponder como mínimo al cuarenta por ciento (40 %) del personal requerido para el cumplimiento del contrato.</w:t>
      </w:r>
    </w:p>
    <w:p w14:paraId="3D1E1574" w14:textId="77777777" w:rsidR="006019B1" w:rsidRPr="006019B1" w:rsidRDefault="006019B1" w:rsidP="006019B1">
      <w:pPr>
        <w:tabs>
          <w:tab w:val="left" w:pos="709"/>
        </w:tabs>
        <w:adjustRightInd w:val="0"/>
        <w:snapToGrid w:val="0"/>
        <w:spacing w:after="120" w:line="276" w:lineRule="auto"/>
        <w:ind w:firstLine="709"/>
        <w:jc w:val="both"/>
        <w:rPr>
          <w:rFonts w:ascii="Verdana" w:eastAsia="Calibri" w:hAnsi="Verdana" w:cs="Arial"/>
          <w:bCs/>
          <w:color w:val="000000"/>
          <w:kern w:val="2"/>
          <w:lang w:val="es-ES_tradnl"/>
          <w14:ligatures w14:val="standardContextual"/>
        </w:rPr>
      </w:pPr>
      <w:r w:rsidRPr="006019B1">
        <w:rPr>
          <w:rFonts w:ascii="Verdana" w:eastAsia="Calibri" w:hAnsi="Verdana" w:cs="Arial"/>
          <w:bCs/>
          <w:color w:val="000000"/>
          <w:kern w:val="2"/>
          <w:lang w:val="es-ES_tradnl"/>
          <w14:ligatures w14:val="standardContextual"/>
        </w:rPr>
        <w:t xml:space="preserve">Por su parte, en lo que respecta a los proponentes, estos diligenciarán el Formato 9 – Puntaje de Industria Nacional, dependiendo de si se trata de: i) promoción de servicios nacionales o con trato nacional –Formato 9A–, o incorporación de componente nacional en servicios extranjeros –Formato 9B–. Lo anterior, de conformidad con las instrucciones señaladas en los citados formatos. </w:t>
      </w:r>
    </w:p>
    <w:p w14:paraId="4629E90B" w14:textId="77777777" w:rsidR="006019B1" w:rsidRPr="006019B1" w:rsidRDefault="006019B1" w:rsidP="006019B1">
      <w:pPr>
        <w:tabs>
          <w:tab w:val="left" w:pos="709"/>
        </w:tabs>
        <w:adjustRightInd w:val="0"/>
        <w:snapToGrid w:val="0"/>
        <w:spacing w:after="0" w:line="276" w:lineRule="auto"/>
        <w:ind w:firstLine="709"/>
        <w:jc w:val="both"/>
        <w:rPr>
          <w:rFonts w:ascii="Verdana" w:eastAsia="Calibri" w:hAnsi="Verdana" w:cs="Arial"/>
          <w:bCs/>
          <w:color w:val="000000"/>
          <w:kern w:val="2"/>
          <w:lang w:val="es-ES_tradnl"/>
          <w14:ligatures w14:val="standardContextual"/>
        </w:rPr>
      </w:pPr>
      <w:r w:rsidRPr="006019B1">
        <w:rPr>
          <w:rFonts w:ascii="Verdana" w:eastAsia="Calibri" w:hAnsi="Verdana" w:cs="Arial"/>
          <w:bCs/>
          <w:color w:val="000000"/>
          <w:kern w:val="2"/>
          <w:lang w:val="es-ES_tradnl"/>
          <w14:ligatures w14:val="standardContextual"/>
        </w:rPr>
        <w:t xml:space="preserve">Finalmente, teniendo en cuenta su petición, conviene precisar que el numeral 4.8 </w:t>
      </w:r>
      <w:r w:rsidRPr="006019B1">
        <w:rPr>
          <w:rFonts w:ascii="Verdana" w:eastAsia="Calibri" w:hAnsi="Verdana" w:cs="Arial"/>
          <w:bCs/>
          <w:i/>
          <w:iCs/>
          <w:color w:val="000000"/>
          <w:kern w:val="2"/>
          <w:lang w:val="es-ES_tradnl"/>
          <w14:ligatures w14:val="standardContextual"/>
        </w:rPr>
        <w:t>“Criterios de desempate”</w:t>
      </w:r>
      <w:r w:rsidRPr="006019B1">
        <w:rPr>
          <w:rFonts w:ascii="Verdana" w:eastAsia="Calibri" w:hAnsi="Verdana" w:cs="Arial"/>
          <w:bCs/>
          <w:color w:val="000000"/>
          <w:kern w:val="2"/>
          <w:lang w:val="es-ES_tradnl"/>
          <w14:ligatures w14:val="standardContextual"/>
        </w:rPr>
        <w:t xml:space="preserve"> del documento base de los documentos tipo de infraestructura social, dispone:</w:t>
      </w:r>
    </w:p>
    <w:p w14:paraId="50DE2609" w14:textId="77777777" w:rsidR="006019B1" w:rsidRPr="006019B1" w:rsidRDefault="006019B1" w:rsidP="006019B1">
      <w:pPr>
        <w:tabs>
          <w:tab w:val="left" w:pos="709"/>
        </w:tabs>
        <w:adjustRightInd w:val="0"/>
        <w:snapToGrid w:val="0"/>
        <w:spacing w:after="0" w:line="240" w:lineRule="auto"/>
        <w:ind w:left="709" w:right="709"/>
        <w:jc w:val="both"/>
        <w:rPr>
          <w:rFonts w:ascii="Verdana" w:eastAsia="Calibri" w:hAnsi="Verdana" w:cs="Arial"/>
          <w:bCs/>
          <w:color w:val="000000"/>
          <w:kern w:val="2"/>
          <w:sz w:val="21"/>
          <w:szCs w:val="21"/>
          <w:lang w:val="es-ES_tradnl"/>
          <w14:ligatures w14:val="standardContextual"/>
        </w:rPr>
      </w:pPr>
    </w:p>
    <w:p w14:paraId="7565F558" w14:textId="77777777" w:rsidR="006019B1" w:rsidRPr="006019B1" w:rsidRDefault="006019B1" w:rsidP="006019B1">
      <w:pPr>
        <w:shd w:val="clear" w:color="auto" w:fill="FFFFFF"/>
        <w:adjustRightInd w:val="0"/>
        <w:snapToGrid w:val="0"/>
        <w:spacing w:after="0" w:line="240" w:lineRule="auto"/>
        <w:ind w:left="709" w:right="709"/>
        <w:jc w:val="both"/>
        <w:rPr>
          <w:rFonts w:ascii="Verdana" w:eastAsia="Calibri" w:hAnsi="Verdana" w:cs="Arial"/>
          <w:kern w:val="2"/>
          <w:sz w:val="21"/>
          <w:szCs w:val="21"/>
          <w:lang w:val="es-MX"/>
          <w14:ligatures w14:val="standardContextual"/>
        </w:rPr>
      </w:pPr>
      <w:r w:rsidRPr="006019B1">
        <w:rPr>
          <w:rFonts w:ascii="Verdana" w:eastAsia="Calibri" w:hAnsi="Verdana" w:cs="Arial"/>
          <w:kern w:val="2"/>
          <w:sz w:val="21"/>
          <w:szCs w:val="21"/>
          <w:lang w:val="es-MX"/>
          <w14:ligatures w14:val="standardContextual"/>
        </w:rPr>
        <w:t>“En caso de empate en el puntaje total de dos o más ofertas deberán aplicarse las siguientes reglas de acuerdo con cada uno de los numerales, de forma sucesiva y excluyente, para seleccionar al proponente favorecido, respetando en todo caso las obligaciones contenidas en los Acuerdos Comerciales vigentes, especialmente en materia de trato nacional:</w:t>
      </w:r>
    </w:p>
    <w:p w14:paraId="63821525" w14:textId="77777777" w:rsidR="006019B1" w:rsidRPr="006019B1" w:rsidRDefault="006019B1" w:rsidP="006019B1">
      <w:pPr>
        <w:shd w:val="clear" w:color="auto" w:fill="FFFFFF"/>
        <w:adjustRightInd w:val="0"/>
        <w:snapToGrid w:val="0"/>
        <w:spacing w:after="0" w:line="240" w:lineRule="auto"/>
        <w:ind w:left="709" w:right="709"/>
        <w:jc w:val="both"/>
        <w:rPr>
          <w:rFonts w:ascii="Verdana" w:eastAsia="Calibri" w:hAnsi="Verdana" w:cs="Arial"/>
          <w:color w:val="000000"/>
          <w:kern w:val="2"/>
          <w:sz w:val="21"/>
          <w:szCs w:val="21"/>
          <w:lang w:val="es-MX"/>
          <w14:ligatures w14:val="standardContextual"/>
        </w:rPr>
      </w:pPr>
    </w:p>
    <w:p w14:paraId="1072271A" w14:textId="77777777" w:rsidR="006019B1" w:rsidRPr="006019B1" w:rsidRDefault="006019B1" w:rsidP="006019B1">
      <w:pPr>
        <w:tabs>
          <w:tab w:val="left" w:pos="284"/>
          <w:tab w:val="left" w:pos="851"/>
          <w:tab w:val="left" w:pos="993"/>
        </w:tabs>
        <w:adjustRightInd w:val="0"/>
        <w:snapToGrid w:val="0"/>
        <w:spacing w:after="0" w:line="240" w:lineRule="auto"/>
        <w:ind w:left="709" w:right="709"/>
        <w:jc w:val="both"/>
        <w:rPr>
          <w:rFonts w:ascii="Verdana" w:eastAsia="Calibri" w:hAnsi="Verdana" w:cs="Arial"/>
          <w:color w:val="000000"/>
          <w:kern w:val="2"/>
          <w:sz w:val="21"/>
          <w:szCs w:val="21"/>
          <w:lang w:val="es-MX"/>
          <w14:ligatures w14:val="standardContextual"/>
        </w:rPr>
      </w:pPr>
      <w:r w:rsidRPr="006019B1">
        <w:rPr>
          <w:rFonts w:ascii="Verdana" w:eastAsia="Calibri" w:hAnsi="Verdana" w:cs="Arial"/>
          <w:kern w:val="2"/>
          <w:sz w:val="21"/>
          <w:szCs w:val="21"/>
          <w:lang w:val="es-MX"/>
          <w14:ligatures w14:val="standardContextual"/>
        </w:rPr>
        <w:t xml:space="preserve">1. Preferir la oferta de bienes o servicios nacionales frente a la oferta de bienes o servicios extranjeros. El </w:t>
      </w:r>
      <w:r w:rsidRPr="006019B1" w:rsidDel="7EB69AB8">
        <w:rPr>
          <w:rFonts w:ascii="Verdana" w:eastAsia="Calibri" w:hAnsi="Verdana" w:cs="Arial"/>
          <w:kern w:val="2"/>
          <w:sz w:val="21"/>
          <w:szCs w:val="21"/>
          <w:lang w:val="es-MX"/>
          <w14:ligatures w14:val="standardContextual"/>
        </w:rPr>
        <w:t>P</w:t>
      </w:r>
      <w:r w:rsidRPr="006019B1">
        <w:rPr>
          <w:rFonts w:ascii="Verdana" w:eastAsia="Calibri" w:hAnsi="Verdana" w:cs="Arial"/>
          <w:kern w:val="2"/>
          <w:sz w:val="21"/>
          <w:szCs w:val="21"/>
          <w:lang w:val="es-MX"/>
          <w14:ligatures w14:val="standardContextual"/>
        </w:rPr>
        <w:t xml:space="preserve">roponente acreditará este factor de desempate de acuerdo con las reglas definidas en el numeral 4.3.1 y con los documentos señalados en la sección 4.3.1.1 del </w:t>
      </w:r>
      <w:r w:rsidRPr="006019B1">
        <w:rPr>
          <w:rFonts w:ascii="Verdana" w:eastAsia="Aptos" w:hAnsi="Verdana" w:cs="Times New Roman"/>
          <w:kern w:val="2"/>
          <w:sz w:val="21"/>
          <w:szCs w:val="21"/>
          <w:lang w:val="es-ES_tradnl"/>
          <w14:ligatures w14:val="standardContextual"/>
        </w:rPr>
        <w:t xml:space="preserve">presente </w:t>
      </w:r>
      <w:r w:rsidRPr="006019B1" w:rsidDel="7EB69AB8">
        <w:rPr>
          <w:rFonts w:ascii="Verdana" w:eastAsia="Calibri" w:hAnsi="Verdana" w:cs="Arial"/>
          <w:kern w:val="2"/>
          <w:sz w:val="21"/>
          <w:szCs w:val="21"/>
          <w:lang w:val="es-MX"/>
          <w14:ligatures w14:val="standardContextual"/>
        </w:rPr>
        <w:t>Pliego de Condiciones</w:t>
      </w:r>
      <w:r w:rsidRPr="006019B1">
        <w:rPr>
          <w:rFonts w:ascii="Verdana" w:eastAsia="Calibri" w:hAnsi="Verdana" w:cs="Arial"/>
          <w:kern w:val="2"/>
          <w:sz w:val="21"/>
          <w:szCs w:val="21"/>
          <w:lang w:val="es-MX"/>
          <w14:ligatures w14:val="standardContextual"/>
        </w:rPr>
        <w:t xml:space="preserve">. Por tanto, este criterio de desempate se probará con los mismos documentos que se presentan para el puntaje de apoyo a la industria nacional. Para el caso de los Proponentes </w:t>
      </w:r>
      <w:r w:rsidRPr="006019B1" w:rsidDel="7EB69AB8">
        <w:rPr>
          <w:rFonts w:ascii="Verdana" w:eastAsia="Calibri" w:hAnsi="Verdana" w:cs="Arial"/>
          <w:kern w:val="2"/>
          <w:sz w:val="21"/>
          <w:szCs w:val="21"/>
          <w:lang w:val="es-MX"/>
          <w14:ligatures w14:val="standardContextual"/>
        </w:rPr>
        <w:t>P</w:t>
      </w:r>
      <w:r w:rsidRPr="006019B1">
        <w:rPr>
          <w:rFonts w:ascii="Verdana" w:eastAsia="Calibri" w:hAnsi="Verdana" w:cs="Arial"/>
          <w:kern w:val="2"/>
          <w:sz w:val="21"/>
          <w:szCs w:val="21"/>
          <w:lang w:val="es-MX"/>
          <w14:ligatures w14:val="standardContextual"/>
        </w:rPr>
        <w:t xml:space="preserve">lurales, todos los integrantes deberán demostrar el origen nacional de la oferta en las condiciones indicadas en los numerales anteriormente citados. </w:t>
      </w:r>
    </w:p>
    <w:p w14:paraId="0652D130" w14:textId="77777777" w:rsidR="006019B1" w:rsidRPr="006019B1" w:rsidRDefault="006019B1" w:rsidP="006019B1">
      <w:pPr>
        <w:tabs>
          <w:tab w:val="left" w:pos="284"/>
          <w:tab w:val="left" w:pos="851"/>
          <w:tab w:val="left" w:pos="993"/>
        </w:tabs>
        <w:adjustRightInd w:val="0"/>
        <w:snapToGrid w:val="0"/>
        <w:spacing w:after="0" w:line="240" w:lineRule="auto"/>
        <w:ind w:left="709" w:right="709"/>
        <w:jc w:val="both"/>
        <w:rPr>
          <w:rFonts w:ascii="Verdana" w:eastAsia="Calibri" w:hAnsi="Verdana" w:cs="Arial"/>
          <w:color w:val="000000"/>
          <w:kern w:val="2"/>
          <w:sz w:val="21"/>
          <w:szCs w:val="21"/>
          <w:lang w:val="es-MX"/>
          <w14:ligatures w14:val="standardContextual"/>
        </w:rPr>
      </w:pPr>
      <w:r w:rsidRPr="006019B1">
        <w:rPr>
          <w:rFonts w:ascii="Verdana" w:eastAsia="Calibri" w:hAnsi="Verdana" w:cs="Arial"/>
          <w:kern w:val="2"/>
          <w:sz w:val="21"/>
          <w:szCs w:val="21"/>
          <w:lang w:val="es-MX"/>
          <w14:ligatures w14:val="standardContextual"/>
        </w:rPr>
        <w:t>[…]”</w:t>
      </w:r>
    </w:p>
    <w:p w14:paraId="322FCF84" w14:textId="77777777" w:rsidR="006019B1" w:rsidRPr="006019B1" w:rsidRDefault="006019B1" w:rsidP="006019B1">
      <w:pPr>
        <w:tabs>
          <w:tab w:val="left" w:pos="284"/>
          <w:tab w:val="left" w:pos="851"/>
          <w:tab w:val="left" w:pos="993"/>
        </w:tabs>
        <w:adjustRightInd w:val="0"/>
        <w:snapToGrid w:val="0"/>
        <w:spacing w:after="0" w:line="276" w:lineRule="auto"/>
        <w:ind w:left="709" w:right="709"/>
        <w:jc w:val="both"/>
        <w:rPr>
          <w:rFonts w:ascii="Verdana" w:eastAsia="Calibri" w:hAnsi="Verdana" w:cs="Arial"/>
          <w:color w:val="000000"/>
          <w:kern w:val="2"/>
          <w:lang w:val="es-MX"/>
          <w14:ligatures w14:val="standardContextual"/>
        </w:rPr>
      </w:pPr>
    </w:p>
    <w:p w14:paraId="6F38D3D1" w14:textId="77777777" w:rsidR="006019B1" w:rsidRPr="006019B1" w:rsidRDefault="006019B1" w:rsidP="006019B1">
      <w:pPr>
        <w:tabs>
          <w:tab w:val="left" w:pos="709"/>
        </w:tabs>
        <w:adjustRightInd w:val="0"/>
        <w:snapToGrid w:val="0"/>
        <w:spacing w:after="120" w:line="276" w:lineRule="auto"/>
        <w:ind w:firstLine="709"/>
        <w:jc w:val="both"/>
        <w:rPr>
          <w:rFonts w:ascii="Verdana" w:eastAsia="Calibri" w:hAnsi="Verdana" w:cs="Arial"/>
          <w:bCs/>
          <w:color w:val="000000"/>
          <w:kern w:val="2"/>
          <w:lang w:val="es-ES_tradnl"/>
          <w14:ligatures w14:val="standardContextual"/>
        </w:rPr>
      </w:pPr>
      <w:r w:rsidRPr="006019B1">
        <w:rPr>
          <w:rFonts w:ascii="Verdana" w:eastAsia="Calibri" w:hAnsi="Verdana" w:cs="Arial"/>
          <w:bCs/>
          <w:color w:val="000000"/>
          <w:kern w:val="2"/>
          <w:lang w:val="es-ES_tradnl"/>
          <w14:ligatures w14:val="standardContextual"/>
        </w:rPr>
        <w:t xml:space="preserve">El anterior se trata del primer criterio que debe tener en cuenta la entidad contratante en caso de que se presente un empate en el puntaje de las ofertas presentadas al respectivo proceso de contratación. Por lo tanto, si bien el aludido criterio de desempate se encuentra relacionado con el puntaje de Industria </w:t>
      </w:r>
      <w:r w:rsidRPr="006019B1">
        <w:rPr>
          <w:rFonts w:ascii="Verdana" w:eastAsia="Calibri" w:hAnsi="Verdana" w:cs="Arial"/>
          <w:bCs/>
          <w:color w:val="000000"/>
          <w:kern w:val="2"/>
          <w:lang w:val="es-ES_tradnl"/>
          <w14:ligatures w14:val="standardContextual"/>
        </w:rPr>
        <w:lastRenderedPageBreak/>
        <w:t>Nacional e incluso a la regulación que al respecto contempla el documento base, lo cierto es que, en este caso, se trata de una regla para seleccionar al proponente favorecido, que difiere significativamente del puntaje por Apoyo a la Industria Nacional regulado en los numerales 4.3 y siguientes del documento base.</w:t>
      </w:r>
    </w:p>
    <w:p w14:paraId="7222E319" w14:textId="77777777" w:rsidR="006019B1" w:rsidRPr="006019B1" w:rsidRDefault="006019B1" w:rsidP="006019B1">
      <w:pPr>
        <w:tabs>
          <w:tab w:val="left" w:pos="709"/>
        </w:tabs>
        <w:adjustRightInd w:val="0"/>
        <w:snapToGrid w:val="0"/>
        <w:spacing w:after="0" w:line="276" w:lineRule="auto"/>
        <w:ind w:firstLine="709"/>
        <w:jc w:val="both"/>
        <w:rPr>
          <w:rFonts w:ascii="Verdana" w:eastAsia="Calibri" w:hAnsi="Verdana" w:cs="Arial"/>
          <w:bCs/>
          <w:color w:val="000000"/>
          <w:kern w:val="2"/>
          <w:lang w:val="es-ES_tradnl"/>
          <w14:ligatures w14:val="standardContextual"/>
        </w:rPr>
      </w:pPr>
      <w:r w:rsidRPr="006019B1">
        <w:rPr>
          <w:rFonts w:ascii="Verdana" w:eastAsia="Calibri" w:hAnsi="Verdana" w:cs="Arial"/>
          <w:bCs/>
          <w:color w:val="000000"/>
          <w:kern w:val="2"/>
          <w:lang w:val="es-ES_tradnl"/>
          <w14:ligatures w14:val="standardContextual"/>
        </w:rPr>
        <w:t xml:space="preserve">En todo caso, corresponde a las entidades estatales adelantar sus procesos de contratación, conforme al marco normativo vigente y realizando una adecuada aplicación de los documentos tipo. Asimismo, los proponentes deberán observar las reglas que establezcan las entidades en los pliegos de condiciones, y no podrán modificar los documentos tipo, salvo en aquellos aspectos que los mismos permitan de forma expresa, en los términos expuestos en este concepto. </w:t>
      </w:r>
    </w:p>
    <w:p w14:paraId="3F6F1EC2" w14:textId="77777777" w:rsidR="006019B1" w:rsidRPr="006019B1" w:rsidRDefault="006019B1" w:rsidP="006019B1">
      <w:pPr>
        <w:tabs>
          <w:tab w:val="left" w:pos="709"/>
        </w:tabs>
        <w:adjustRightInd w:val="0"/>
        <w:snapToGrid w:val="0"/>
        <w:spacing w:after="0" w:line="276" w:lineRule="auto"/>
        <w:ind w:firstLine="709"/>
        <w:jc w:val="both"/>
        <w:rPr>
          <w:rFonts w:ascii="Verdana" w:eastAsia="Calibri" w:hAnsi="Verdana" w:cs="Arial"/>
          <w:bCs/>
          <w:color w:val="000000"/>
          <w:kern w:val="2"/>
          <w:lang w:val="es-ES_tradnl"/>
          <w14:ligatures w14:val="standardContextual"/>
        </w:rPr>
      </w:pPr>
      <w:r w:rsidRPr="006019B1">
        <w:rPr>
          <w:rFonts w:ascii="Verdana" w:eastAsia="Calibri" w:hAnsi="Verdana" w:cs="Arial"/>
          <w:bCs/>
          <w:color w:val="000000"/>
          <w:kern w:val="2"/>
          <w:lang w:val="es-ES_tradnl"/>
          <w14:ligatures w14:val="standardContextual"/>
        </w:rPr>
        <w:t xml:space="preserve"> </w:t>
      </w:r>
    </w:p>
    <w:p w14:paraId="24FBC8E0" w14:textId="77777777" w:rsidR="006019B1" w:rsidRPr="006019B1" w:rsidRDefault="006019B1" w:rsidP="006019B1">
      <w:pPr>
        <w:numPr>
          <w:ilvl w:val="0"/>
          <w:numId w:val="16"/>
        </w:numPr>
        <w:tabs>
          <w:tab w:val="left" w:pos="142"/>
          <w:tab w:val="left" w:pos="284"/>
        </w:tabs>
        <w:snapToGrid w:val="0"/>
        <w:spacing w:after="0" w:line="276" w:lineRule="auto"/>
        <w:ind w:left="357" w:hanging="357"/>
        <w:contextualSpacing/>
        <w:jc w:val="both"/>
        <w:rPr>
          <w:rFonts w:ascii="Verdana" w:eastAsia="Century Gothic" w:hAnsi="Verdana" w:cs="Century Gothic"/>
          <w:b/>
          <w:bCs/>
          <w:lang w:val="es-ES_tradnl"/>
        </w:rPr>
      </w:pPr>
      <w:r w:rsidRPr="006019B1">
        <w:rPr>
          <w:rFonts w:ascii="Verdana" w:eastAsia="Century Gothic" w:hAnsi="Verdana" w:cs="Century Gothic"/>
          <w:b/>
          <w:bCs/>
          <w:lang w:val="es-ES_tradnl"/>
        </w:rPr>
        <w:t>Referencias normativas, jurisprudenciales y otras fuentes:</w:t>
      </w:r>
    </w:p>
    <w:p w14:paraId="6A560F64" w14:textId="77777777" w:rsidR="006019B1" w:rsidRPr="006019B1" w:rsidRDefault="006019B1" w:rsidP="006019B1">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6019B1" w:rsidRPr="006019B1" w14:paraId="06BC2D0C" w14:textId="77777777" w:rsidTr="00A0211B">
        <w:trPr>
          <w:trHeight w:val="870"/>
        </w:trPr>
        <w:tc>
          <w:tcPr>
            <w:tcW w:w="8647" w:type="dxa"/>
          </w:tcPr>
          <w:p w14:paraId="02995D41" w14:textId="77777777" w:rsidR="006019B1" w:rsidRPr="006019B1" w:rsidRDefault="006019B1" w:rsidP="006019B1">
            <w:pPr>
              <w:widowControl w:val="0"/>
              <w:numPr>
                <w:ilvl w:val="0"/>
                <w:numId w:val="17"/>
              </w:numPr>
              <w:autoSpaceDE w:val="0"/>
              <w:autoSpaceDN w:val="0"/>
              <w:snapToGrid w:val="0"/>
              <w:spacing w:after="120" w:line="276" w:lineRule="auto"/>
              <w:ind w:left="714" w:hanging="357"/>
              <w:jc w:val="both"/>
              <w:rPr>
                <w:rFonts w:ascii="Verdana" w:eastAsia="Calibri" w:hAnsi="Verdana" w:cs="Arial"/>
                <w:lang w:val="es-ES_tradnl"/>
              </w:rPr>
            </w:pPr>
            <w:r w:rsidRPr="006019B1">
              <w:rPr>
                <w:rFonts w:ascii="Verdana" w:eastAsia="Calibri" w:hAnsi="Verdana" w:cs="Arial"/>
                <w:lang w:val="es-ES_tradnl"/>
              </w:rPr>
              <w:t>Ley 816 de 2003, artículo 2.</w:t>
            </w:r>
          </w:p>
          <w:p w14:paraId="509B25A2" w14:textId="77777777" w:rsidR="006019B1" w:rsidRPr="006019B1" w:rsidRDefault="006019B1" w:rsidP="006019B1">
            <w:pPr>
              <w:widowControl w:val="0"/>
              <w:numPr>
                <w:ilvl w:val="0"/>
                <w:numId w:val="17"/>
              </w:numPr>
              <w:autoSpaceDE w:val="0"/>
              <w:autoSpaceDN w:val="0"/>
              <w:snapToGrid w:val="0"/>
              <w:spacing w:after="120" w:line="276" w:lineRule="auto"/>
              <w:ind w:left="714" w:hanging="357"/>
              <w:jc w:val="both"/>
              <w:rPr>
                <w:rFonts w:ascii="Verdana" w:eastAsia="Calibri" w:hAnsi="Verdana" w:cs="Arial"/>
                <w:lang w:val="es-ES_tradnl"/>
              </w:rPr>
            </w:pPr>
            <w:r w:rsidRPr="006019B1">
              <w:rPr>
                <w:rFonts w:ascii="Verdana" w:eastAsia="Calibri" w:hAnsi="Verdana" w:cs="Arial"/>
                <w:lang w:val="es-ES_tradnl"/>
              </w:rPr>
              <w:t>Ley 2022 de 2020, artículo 1.</w:t>
            </w:r>
          </w:p>
          <w:p w14:paraId="6AFF9955" w14:textId="77777777" w:rsidR="006019B1" w:rsidRPr="006019B1" w:rsidRDefault="006019B1" w:rsidP="006019B1">
            <w:pPr>
              <w:widowControl w:val="0"/>
              <w:numPr>
                <w:ilvl w:val="0"/>
                <w:numId w:val="17"/>
              </w:numPr>
              <w:autoSpaceDE w:val="0"/>
              <w:autoSpaceDN w:val="0"/>
              <w:snapToGrid w:val="0"/>
              <w:spacing w:after="120" w:line="276" w:lineRule="auto"/>
              <w:ind w:left="714" w:hanging="357"/>
              <w:jc w:val="both"/>
              <w:rPr>
                <w:rFonts w:ascii="Verdana" w:eastAsia="Calibri" w:hAnsi="Verdana" w:cs="Arial"/>
                <w:lang w:val="es-ES_tradnl"/>
              </w:rPr>
            </w:pPr>
            <w:r w:rsidRPr="006019B1">
              <w:rPr>
                <w:rFonts w:ascii="Verdana" w:eastAsia="Calibri" w:hAnsi="Verdana" w:cs="Arial"/>
                <w:lang w:val="es-ES_tradnl"/>
              </w:rPr>
              <w:t>Decreto 680 de 2021, artículos 1 y 2.</w:t>
            </w:r>
          </w:p>
          <w:p w14:paraId="6AAA4EC8" w14:textId="77777777" w:rsidR="006019B1" w:rsidRPr="006019B1" w:rsidRDefault="006019B1" w:rsidP="006019B1">
            <w:pPr>
              <w:widowControl w:val="0"/>
              <w:numPr>
                <w:ilvl w:val="0"/>
                <w:numId w:val="17"/>
              </w:numPr>
              <w:autoSpaceDE w:val="0"/>
              <w:autoSpaceDN w:val="0"/>
              <w:snapToGrid w:val="0"/>
              <w:spacing w:after="120" w:line="276" w:lineRule="auto"/>
              <w:ind w:left="714" w:hanging="357"/>
              <w:jc w:val="both"/>
              <w:rPr>
                <w:rFonts w:ascii="Verdana" w:eastAsia="Calibri" w:hAnsi="Verdana" w:cs="Arial"/>
                <w:lang w:val="es-ES_tradnl"/>
              </w:rPr>
            </w:pPr>
            <w:r w:rsidRPr="006019B1">
              <w:rPr>
                <w:rFonts w:ascii="Verdana" w:eastAsia="Calibri" w:hAnsi="Verdana" w:cs="Arial"/>
                <w:lang w:val="es-ES_tradnl"/>
              </w:rPr>
              <w:t>Decreto 1082 de 2015, artículos 2.2.1.1.1.3.1 y 2.2.1.2.4.2.9.</w:t>
            </w:r>
          </w:p>
          <w:p w14:paraId="229D4711" w14:textId="77777777" w:rsidR="006019B1" w:rsidRPr="006019B1" w:rsidRDefault="006019B1" w:rsidP="006019B1">
            <w:pPr>
              <w:widowControl w:val="0"/>
              <w:numPr>
                <w:ilvl w:val="0"/>
                <w:numId w:val="17"/>
              </w:numPr>
              <w:autoSpaceDE w:val="0"/>
              <w:autoSpaceDN w:val="0"/>
              <w:snapToGrid w:val="0"/>
              <w:spacing w:after="120" w:line="276" w:lineRule="auto"/>
              <w:ind w:left="714" w:hanging="357"/>
              <w:jc w:val="both"/>
              <w:rPr>
                <w:rFonts w:ascii="Verdana" w:eastAsia="Calibri" w:hAnsi="Verdana" w:cs="Arial"/>
                <w:lang w:val="es-ES_tradnl"/>
              </w:rPr>
            </w:pPr>
            <w:r w:rsidRPr="006019B1">
              <w:rPr>
                <w:rFonts w:ascii="Verdana" w:eastAsia="Aptos" w:hAnsi="Verdana" w:cs="Arial"/>
                <w:spacing w:val="2"/>
                <w:lang w:val="es-ES_tradnl" w:eastAsia="es-CO"/>
              </w:rPr>
              <w:t xml:space="preserve">Documentos tipo de infraestructura social. Disponibles en: </w:t>
            </w:r>
            <w:hyperlink r:id="rId13" w:history="1">
              <w:r w:rsidRPr="006019B1">
                <w:rPr>
                  <w:rFonts w:ascii="Verdana" w:eastAsia="Aptos" w:hAnsi="Verdana" w:cs="Arial"/>
                  <w:color w:val="467886"/>
                  <w:spacing w:val="2"/>
                  <w:u w:val="single"/>
                  <w:lang w:val="es-ES_tradnl" w:eastAsia="es-CO"/>
                </w:rPr>
                <w:t>https://www.colombiacompra.gov.co/normativa-y-relatoria/documentos-tipo</w:t>
              </w:r>
            </w:hyperlink>
            <w:r w:rsidRPr="006019B1">
              <w:rPr>
                <w:rFonts w:ascii="Verdana" w:eastAsia="Aptos" w:hAnsi="Verdana" w:cs="Arial"/>
                <w:spacing w:val="2"/>
                <w:lang w:val="es-ES_tradnl" w:eastAsia="es-CO"/>
              </w:rPr>
              <w:t xml:space="preserve">. </w:t>
            </w:r>
          </w:p>
        </w:tc>
      </w:tr>
    </w:tbl>
    <w:p w14:paraId="7C18DEFA" w14:textId="77777777" w:rsidR="006019B1" w:rsidRPr="006019B1" w:rsidRDefault="006019B1" w:rsidP="006019B1">
      <w:pPr>
        <w:widowControl w:val="0"/>
        <w:autoSpaceDE w:val="0"/>
        <w:autoSpaceDN w:val="0"/>
        <w:snapToGrid w:val="0"/>
        <w:spacing w:after="0" w:line="276" w:lineRule="auto"/>
        <w:jc w:val="both"/>
        <w:rPr>
          <w:rFonts w:ascii="Verdana" w:eastAsia="Calibri" w:hAnsi="Verdana" w:cs="Arial"/>
          <w:lang w:val="es-ES_tradnl"/>
        </w:rPr>
      </w:pPr>
    </w:p>
    <w:p w14:paraId="612F10CF" w14:textId="77777777" w:rsidR="006019B1" w:rsidRPr="006019B1" w:rsidRDefault="006019B1" w:rsidP="006019B1">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6019B1">
        <w:rPr>
          <w:rFonts w:ascii="Verdana" w:eastAsia="Century Gothic" w:hAnsi="Verdana" w:cs="Century Gothic"/>
          <w:b/>
          <w:bCs/>
          <w:lang w:val="es-ES_tradnl"/>
        </w:rPr>
        <w:t>Doctrina de la Agencia Nacional de Contratación Pública:</w:t>
      </w:r>
    </w:p>
    <w:p w14:paraId="65A4B5EE" w14:textId="77777777" w:rsidR="006019B1" w:rsidRPr="006019B1" w:rsidRDefault="006019B1" w:rsidP="006019B1">
      <w:pPr>
        <w:widowControl w:val="0"/>
        <w:autoSpaceDE w:val="0"/>
        <w:autoSpaceDN w:val="0"/>
        <w:snapToGrid w:val="0"/>
        <w:spacing w:after="0" w:line="276" w:lineRule="auto"/>
        <w:jc w:val="both"/>
        <w:rPr>
          <w:rFonts w:ascii="Verdana" w:eastAsia="Calibri" w:hAnsi="Verdana" w:cs="Arial"/>
          <w:lang w:val="es-ES_tradnl"/>
        </w:rPr>
      </w:pPr>
    </w:p>
    <w:p w14:paraId="7AE45867" w14:textId="77777777" w:rsidR="006019B1" w:rsidRPr="006019B1" w:rsidRDefault="006019B1" w:rsidP="006019B1">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6019B1">
        <w:rPr>
          <w:rFonts w:ascii="Verdana" w:eastAsia="Calibri" w:hAnsi="Verdana" w:cs="Arial"/>
          <w:shd w:val="clear" w:color="auto" w:fill="FFFFFF"/>
          <w:lang w:val="es-ES"/>
        </w:rPr>
        <w:t xml:space="preserve">La Agencia Nacional de Contratación Pública – Colombia Compra Eficiente se pronunció sobre la aplicación del Decreto 680 de 2021 y el otorgamiento del puntaje por apoyo a la industria nacional en los procedimientos de selección en los conceptos C-527 del 08 de agosto de 2022, C-528 del 17 de agosto de 2022, C-600 del 21 de septiembre de 2022, C-291 de 21 de julio de 2023, C-467 del 5 de diciembre de 2023, C-382 del 6 de mayo de 2025, C-1482 del 24 de noviembre de 2025, entre otros. </w:t>
      </w:r>
      <w:r w:rsidRPr="006019B1">
        <w:rPr>
          <w:rFonts w:ascii="Verdana" w:eastAsia="Times New Roman" w:hAnsi="Verdana" w:cs="Arial"/>
          <w:kern w:val="2"/>
          <w:shd w:val="clear" w:color="auto" w:fill="FFFFFF"/>
          <w:lang w:val="es-ES_tradnl"/>
          <w14:ligatures w14:val="standardContextual"/>
        </w:rPr>
        <w:t xml:space="preserve">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w:t>
      </w:r>
      <w:r w:rsidRPr="006019B1">
        <w:rPr>
          <w:rFonts w:ascii="Verdana" w:eastAsia="Times New Roman" w:hAnsi="Verdana" w:cs="Arial"/>
          <w:kern w:val="2"/>
          <w:shd w:val="clear" w:color="auto" w:fill="FFFFFF"/>
          <w:lang w:val="es-ES_tradnl"/>
          <w14:ligatures w14:val="standardContextual"/>
        </w:rPr>
        <w:lastRenderedPageBreak/>
        <w:t>de Gestión Contractual. Acceda a través del siguiente enlace: </w:t>
      </w:r>
      <w:hyperlink r:id="rId14" w:tgtFrame="_blank" w:tooltip="Dirección URL original: https://relatoria.colombiacompra.gov.co/. Haga clic o pulse si confía en este vínculo." w:history="1">
        <w:r w:rsidRPr="006019B1">
          <w:rPr>
            <w:rFonts w:ascii="Verdana" w:eastAsia="Times New Roman" w:hAnsi="Verdana" w:cs="Arial"/>
            <w:kern w:val="2"/>
            <w:shd w:val="clear" w:color="auto" w:fill="FFFFFF"/>
            <w:lang w:val="es-ES_tradnl"/>
            <w14:ligatures w14:val="standardContextual"/>
          </w:rPr>
          <w:t>https://relatoria.colombiacompra.gov.co/</w:t>
        </w:r>
      </w:hyperlink>
      <w:r w:rsidRPr="006019B1">
        <w:rPr>
          <w:rFonts w:ascii="Verdana" w:eastAsia="Times New Roman" w:hAnsi="Verdana" w:cs="Arial"/>
          <w:kern w:val="2"/>
          <w:shd w:val="clear" w:color="auto" w:fill="FFFFFF"/>
          <w:lang w:val="es-ES_tradnl"/>
          <w14:ligatures w14:val="standardContextual"/>
        </w:rPr>
        <w:t>.</w:t>
      </w:r>
    </w:p>
    <w:p w14:paraId="25206BAB" w14:textId="77777777" w:rsidR="006019B1" w:rsidRPr="006019B1" w:rsidRDefault="006019B1" w:rsidP="006019B1">
      <w:pPr>
        <w:spacing w:after="0" w:line="240" w:lineRule="auto"/>
        <w:jc w:val="both"/>
        <w:rPr>
          <w:rFonts w:ascii="Verdana" w:eastAsia="Calibri" w:hAnsi="Verdana" w:cs="Arial"/>
          <w:color w:val="000000"/>
          <w:kern w:val="2"/>
          <w:shd w:val="clear" w:color="auto" w:fill="FFFFFF"/>
          <w:lang w:val="es-ES_tradnl"/>
          <w14:ligatures w14:val="standardContextual"/>
        </w:rPr>
      </w:pPr>
    </w:p>
    <w:p w14:paraId="67CF4986" w14:textId="77777777" w:rsidR="006019B1" w:rsidRPr="006019B1" w:rsidRDefault="006019B1" w:rsidP="006019B1">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6019B1">
        <w:rPr>
          <w:rFonts w:ascii="Verdana" w:eastAsia="Calibri" w:hAnsi="Verdana" w:cs="Arial"/>
          <w:kern w:val="2"/>
          <w:shd w:val="clear" w:color="auto" w:fill="FFFFFF"/>
          <w:lang w:val="es-ES_tradnl"/>
          <w14:ligatures w14:val="standardContextual"/>
        </w:rPr>
        <w:t>La</w:t>
      </w:r>
      <w:r w:rsidRPr="006019B1">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6019B1">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6019B1">
        <w:rPr>
          <w:rFonts w:ascii="Verdana" w:eastAsia="Calibri" w:hAnsi="Verdana" w:cs="Arial"/>
          <w:b/>
          <w:bCs/>
          <w:kern w:val="2"/>
          <w:shd w:val="clear" w:color="auto" w:fill="FFFFFF"/>
          <w:lang w:val="es-ES_tradnl"/>
          <w14:ligatures w14:val="standardContextual"/>
        </w:rPr>
        <w:t>Documentos Tipo</w:t>
      </w:r>
      <w:r w:rsidRPr="006019B1">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6019B1">
        <w:rPr>
          <w:rFonts w:ascii="Verdana" w:eastAsia="Calibri" w:hAnsi="Verdana" w:cs="Arial"/>
          <w:b/>
          <w:bCs/>
          <w:kern w:val="2"/>
          <w:shd w:val="clear" w:color="auto" w:fill="FFFFFF"/>
          <w:lang w:val="es-ES_tradnl"/>
          <w14:ligatures w14:val="standardContextual"/>
        </w:rPr>
        <w:t>transparencia</w:t>
      </w:r>
      <w:r w:rsidRPr="006019B1">
        <w:rPr>
          <w:rFonts w:ascii="Verdana" w:eastAsia="Calibri" w:hAnsi="Verdana" w:cs="Arial"/>
          <w:kern w:val="2"/>
          <w:shd w:val="clear" w:color="auto" w:fill="FFFFFF"/>
          <w:lang w:val="es-ES_tradnl"/>
          <w14:ligatures w14:val="standardContextual"/>
        </w:rPr>
        <w:t> y promover un proceso de </w:t>
      </w:r>
      <w:r w:rsidRPr="006019B1">
        <w:rPr>
          <w:rFonts w:ascii="Verdana" w:eastAsia="Calibri" w:hAnsi="Verdana" w:cs="Arial"/>
          <w:b/>
          <w:bCs/>
          <w:kern w:val="2"/>
          <w:shd w:val="clear" w:color="auto" w:fill="FFFFFF"/>
          <w:lang w:val="es-ES_tradnl"/>
          <w14:ligatures w14:val="standardContextual"/>
        </w:rPr>
        <w:t>selección objetiva</w:t>
      </w:r>
      <w:r w:rsidRPr="006019B1">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164481AF" w14:textId="77777777" w:rsidR="006019B1" w:rsidRPr="006019B1" w:rsidRDefault="006019B1" w:rsidP="006019B1">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5D2FCE8B" w14:textId="77777777" w:rsidR="006019B1" w:rsidRPr="006019B1" w:rsidRDefault="006019B1" w:rsidP="006019B1">
      <w:pPr>
        <w:spacing w:after="0" w:line="276" w:lineRule="auto"/>
        <w:jc w:val="both"/>
        <w:rPr>
          <w:rFonts w:ascii="Verdana" w:eastAsia="Aptos" w:hAnsi="Verdana" w:cs="Times New Roman"/>
          <w:kern w:val="2"/>
          <w:lang w:val="es-ES_tradnl"/>
          <w14:ligatures w14:val="standardContextual"/>
        </w:rPr>
      </w:pPr>
      <w:r w:rsidRPr="006019B1">
        <w:rPr>
          <w:rFonts w:ascii="Verdana" w:eastAsia="Aptos" w:hAnsi="Verdana" w:cs="Times New Roman"/>
          <w:kern w:val="2"/>
          <w:lang w:val="es-ES_tradnl"/>
          <w14:ligatures w14:val="standardContextual"/>
        </w:rPr>
        <w:t xml:space="preserve">La sostenibilidad no es una opción, es una obligación. Por ello, la Agencia Nacional de Contratación Pública –Colombia Compra Eficiente– te invita a realizar el </w:t>
      </w:r>
      <w:r w:rsidRPr="006019B1">
        <w:rPr>
          <w:rFonts w:ascii="Verdana" w:eastAsia="Aptos" w:hAnsi="Verdana" w:cs="Times New Roman"/>
          <w:b/>
          <w:bCs/>
          <w:kern w:val="2"/>
          <w:lang w:val="es-ES_tradnl"/>
          <w14:ligatures w14:val="standardContextual"/>
        </w:rPr>
        <w:t>Curso de Contratación Pública Sostenible y Socialmente Responsable</w:t>
      </w:r>
      <w:r w:rsidRPr="006019B1">
        <w:rPr>
          <w:rFonts w:ascii="Verdana" w:eastAsia="Aptos" w:hAnsi="Verdana" w:cs="Times New Roman"/>
          <w:kern w:val="2"/>
          <w:lang w:val="es-ES_tradnl"/>
          <w14:ligatures w14:val="standardContextu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6019B1">
        <w:rPr>
          <w:rFonts w:ascii="Verdana" w:eastAsia="Aptos" w:hAnsi="Verdana" w:cs="Times New Roman"/>
          <w:kern w:val="2"/>
          <w:lang w:val="es-ES_tradnl"/>
          <w14:ligatures w14:val="standardContextual"/>
        </w:rPr>
        <w:br/>
      </w:r>
      <w:hyperlink r:id="rId15" w:tgtFrame="_new" w:history="1">
        <w:r w:rsidRPr="006019B1">
          <w:rPr>
            <w:rFonts w:ascii="Verdana" w:eastAsia="Aptos" w:hAnsi="Verdana" w:cs="Times New Roman"/>
            <w:color w:val="0000FF"/>
            <w:kern w:val="2"/>
            <w:u w:val="single"/>
            <w:lang w:val="es-ES_tradnl"/>
            <w14:ligatures w14:val="standardContextual"/>
          </w:rPr>
          <w:t>https://formacionvirtual.colombiacompra.gov.co/mod/page/view.php?id=3718</w:t>
        </w:r>
      </w:hyperlink>
    </w:p>
    <w:p w14:paraId="0E139EA3" w14:textId="77777777" w:rsidR="006019B1" w:rsidRPr="006019B1" w:rsidRDefault="006019B1" w:rsidP="006019B1">
      <w:pPr>
        <w:spacing w:after="0" w:line="276" w:lineRule="auto"/>
        <w:jc w:val="both"/>
        <w:rPr>
          <w:rFonts w:ascii="Verdana" w:eastAsia="Aptos" w:hAnsi="Verdana" w:cs="Times New Roman"/>
          <w:kern w:val="2"/>
          <w:lang w:val="es-ES_tradnl"/>
          <w14:ligatures w14:val="standardContextual"/>
        </w:rPr>
      </w:pPr>
    </w:p>
    <w:p w14:paraId="21B99B86" w14:textId="77777777" w:rsidR="006019B1" w:rsidRPr="006019B1" w:rsidRDefault="006019B1" w:rsidP="006019B1">
      <w:pPr>
        <w:spacing w:after="0" w:line="276" w:lineRule="auto"/>
        <w:jc w:val="both"/>
        <w:rPr>
          <w:rFonts w:ascii="Verdana" w:eastAsia="Aptos" w:hAnsi="Verdana" w:cs="Times New Roman"/>
          <w:kern w:val="2"/>
          <w:lang w:val="es-ES_tradnl"/>
          <w14:ligatures w14:val="standardContextual"/>
        </w:rPr>
      </w:pPr>
      <w:r w:rsidRPr="006019B1">
        <w:rPr>
          <w:rFonts w:ascii="Verdana" w:eastAsia="Aptos" w:hAnsi="Verdana" w:cs="Times New Roman"/>
          <w:kern w:val="2"/>
          <w:lang w:val="es-ES_tradnl"/>
          <w14:ligatures w14:val="standardContextual"/>
        </w:rPr>
        <w:t xml:space="preserve">De otro lado, te contamos que esta Agencia ha da un paso decisivo en la estandarización y modernización del </w:t>
      </w:r>
      <w:r w:rsidRPr="006019B1">
        <w:rPr>
          <w:rFonts w:ascii="Verdana" w:eastAsia="Aptos" w:hAnsi="Verdana" w:cs="Times New Roman"/>
          <w:b/>
          <w:bCs/>
          <w:kern w:val="2"/>
          <w:lang w:val="es-ES_tradnl"/>
          <w14:ligatures w14:val="standardContextual"/>
        </w:rPr>
        <w:t>sector  social</w:t>
      </w:r>
      <w:r w:rsidRPr="006019B1">
        <w:rPr>
          <w:rFonts w:ascii="Verdana" w:eastAsia="Aptos" w:hAnsi="Verdana" w:cs="Times New Roman"/>
          <w:kern w:val="2"/>
          <w:lang w:val="es-ES_tradnl"/>
          <w14:ligatures w14:val="standardContextual"/>
        </w:rPr>
        <w:t xml:space="preserve"> con la expedición de las </w:t>
      </w:r>
      <w:r w:rsidRPr="006019B1">
        <w:rPr>
          <w:rFonts w:ascii="Verdana" w:eastAsia="Aptos" w:hAnsi="Verdana" w:cs="Times New Roman"/>
          <w:b/>
          <w:bCs/>
          <w:kern w:val="2"/>
          <w:lang w:val="es-ES_tradnl"/>
          <w14:ligatures w14:val="standardContextual"/>
        </w:rPr>
        <w:t>Resoluciones 539, 540, 541, 952 y 953 de 2025</w:t>
      </w:r>
      <w:r w:rsidRPr="006019B1">
        <w:rPr>
          <w:rFonts w:ascii="Verdana" w:eastAsia="Aptos" w:hAnsi="Verdana" w:cs="Times New Roman"/>
          <w:kern w:val="2"/>
          <w:lang w:val="es-ES_tradnl"/>
          <w14:ligatures w14:val="standardContextual"/>
        </w:rPr>
        <w:t xml:space="preserve">, </w:t>
      </w:r>
      <w:r w:rsidRPr="006019B1">
        <w:rPr>
          <w:rFonts w:ascii="Verdana" w:eastAsia="Aptos" w:hAnsi="Verdana" w:cs="Times New Roman"/>
          <w:b/>
          <w:bCs/>
          <w:kern w:val="2"/>
          <w:lang w:val="es-ES_tradnl"/>
          <w14:ligatures w14:val="standardContextual"/>
        </w:rPr>
        <w:t>mediante las cuales adoptó Documentos Tipo</w:t>
      </w:r>
      <w:r w:rsidRPr="006019B1">
        <w:rPr>
          <w:rFonts w:ascii="Verdana" w:eastAsia="Aptos" w:hAnsi="Verdana" w:cs="Times New Roman"/>
          <w:kern w:val="2"/>
          <w:lang w:val="es-ES_tradnl"/>
          <w14:ligatures w14:val="standardContextual"/>
        </w:rPr>
        <w:t xml:space="preserve"> para las modalidades de selección de</w:t>
      </w:r>
      <w:r w:rsidRPr="006019B1">
        <w:rPr>
          <w:rFonts w:ascii="Verdana" w:eastAsia="Aptos" w:hAnsi="Verdana" w:cs="Times New Roman"/>
          <w:b/>
          <w:bCs/>
          <w:kern w:val="2"/>
          <w:lang w:val="es-ES_tradnl"/>
          <w14:ligatures w14:val="standardContextual"/>
        </w:rPr>
        <w:t xml:space="preserve"> licitación pública (versión 2), selección abreviada de menor cuantía, mínima cuantía, consultoría e interventoría</w:t>
      </w:r>
      <w:r w:rsidRPr="006019B1">
        <w:rPr>
          <w:rFonts w:ascii="Verdana" w:eastAsia="Aptos" w:hAnsi="Verdana" w:cs="Times New Roman"/>
          <w:kern w:val="2"/>
          <w:lang w:val="es-ES_tradnl"/>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6" w:tgtFrame="_new" w:history="1">
        <w:r w:rsidRPr="006019B1">
          <w:rPr>
            <w:rFonts w:ascii="Verdana" w:eastAsia="Aptos" w:hAnsi="Verdana" w:cs="Times New Roman"/>
            <w:color w:val="0000FF"/>
            <w:kern w:val="2"/>
            <w:u w:val="single"/>
            <w:lang w:val="es-ES_tradnl"/>
            <w14:ligatures w14:val="standardContextual"/>
          </w:rPr>
          <w:t>https://www.colombiacompra.gov.co/normativa-y-relatoria/documentos-tipo</w:t>
        </w:r>
      </w:hyperlink>
    </w:p>
    <w:p w14:paraId="68902205" w14:textId="77777777" w:rsidR="006019B1" w:rsidRPr="006019B1" w:rsidRDefault="006019B1" w:rsidP="006019B1">
      <w:pPr>
        <w:spacing w:after="0" w:line="276" w:lineRule="auto"/>
        <w:jc w:val="both"/>
        <w:rPr>
          <w:rFonts w:ascii="Verdana" w:eastAsia="Aptos" w:hAnsi="Verdana" w:cs="Times New Roman"/>
          <w:kern w:val="2"/>
          <w:lang w:val="es-ES_tradnl"/>
          <w14:ligatures w14:val="standardContextual"/>
        </w:rPr>
      </w:pPr>
    </w:p>
    <w:p w14:paraId="7C75F873" w14:textId="77777777" w:rsidR="006019B1" w:rsidRPr="006019B1" w:rsidRDefault="006019B1" w:rsidP="006019B1">
      <w:pPr>
        <w:spacing w:after="0" w:line="276" w:lineRule="auto"/>
        <w:jc w:val="both"/>
        <w:rPr>
          <w:rFonts w:ascii="Verdana" w:eastAsia="Aptos" w:hAnsi="Verdana" w:cs="Times New Roman"/>
          <w:kern w:val="2"/>
          <w:lang w:val="es-ES_tradnl"/>
          <w14:ligatures w14:val="standardContextual"/>
        </w:rPr>
      </w:pPr>
      <w:r w:rsidRPr="006019B1">
        <w:rPr>
          <w:rFonts w:ascii="Verdana" w:eastAsia="Aptos" w:hAnsi="Verdana" w:cs="Times New Roman"/>
          <w:kern w:val="2"/>
          <w:lang w:val="es-ES_tradnl"/>
          <w14:ligatures w14:val="standardContextual"/>
        </w:rPr>
        <w:t xml:space="preserve">Si quieres conocer más sobre la aplicación de Documentos Tipo, puedes consultar la última versión de la </w:t>
      </w:r>
      <w:r w:rsidRPr="006019B1">
        <w:rPr>
          <w:rFonts w:ascii="Verdana" w:eastAsia="Aptos" w:hAnsi="Verdana" w:cs="Times New Roman"/>
          <w:b/>
          <w:bCs/>
          <w:kern w:val="2"/>
          <w:lang w:val="es-ES_tradnl"/>
          <w14:ligatures w14:val="standardContextual"/>
        </w:rPr>
        <w:t xml:space="preserve">Guía para la comprensión e implementación de los Documentos Tipo de obra pública de </w:t>
      </w:r>
      <w:r w:rsidRPr="006019B1">
        <w:rPr>
          <w:rFonts w:ascii="Verdana" w:eastAsia="Aptos" w:hAnsi="Verdana" w:cs="Times New Roman"/>
          <w:b/>
          <w:bCs/>
          <w:kern w:val="2"/>
          <w:lang w:val="es-ES_tradnl"/>
          <w14:ligatures w14:val="standardContextual"/>
        </w:rPr>
        <w:lastRenderedPageBreak/>
        <w:t>infraestructura de transporte</w:t>
      </w:r>
      <w:r w:rsidRPr="006019B1">
        <w:rPr>
          <w:rFonts w:ascii="Verdana" w:eastAsia="Aptos" w:hAnsi="Verdana" w:cs="Times New Roman"/>
          <w:kern w:val="2"/>
          <w:lang w:val="es-ES_tradnl"/>
          <w14:ligatures w14:val="standardContextual"/>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w:t>
      </w:r>
      <w:proofErr w:type="gramStart"/>
      <w:r w:rsidRPr="006019B1">
        <w:rPr>
          <w:rFonts w:ascii="Verdana" w:eastAsia="Aptos" w:hAnsi="Verdana" w:cs="Times New Roman"/>
          <w:kern w:val="2"/>
          <w:lang w:val="es-ES_tradnl"/>
          <w14:ligatures w14:val="standardContextual"/>
        </w:rPr>
        <w:t>Además</w:t>
      </w:r>
      <w:proofErr w:type="gramEnd"/>
      <w:r w:rsidRPr="006019B1">
        <w:rPr>
          <w:rFonts w:ascii="Verdana" w:eastAsia="Aptos" w:hAnsi="Verdana" w:cs="Times New Roman"/>
          <w:kern w:val="2"/>
          <w:lang w:val="es-ES_tradnl"/>
          <w14:ligatures w14:val="standardContextual"/>
        </w:rPr>
        <w:t xml:space="preserve"> se incluyeron lineamientos que orientan la implementación de los criterios ambientales y sociales incluidos en los documentos tipo. Consulta la guía aquí:</w:t>
      </w:r>
      <w:r w:rsidRPr="006019B1">
        <w:rPr>
          <w:rFonts w:ascii="Verdana" w:eastAsia="Aptos" w:hAnsi="Verdana" w:cs="Times New Roman"/>
          <w:kern w:val="2"/>
          <w:lang w:val="es-ES_tradnl"/>
          <w14:ligatures w14:val="standardContextual"/>
        </w:rPr>
        <w:br/>
      </w:r>
      <w:hyperlink r:id="rId17" w:tgtFrame="_new" w:history="1">
        <w:r w:rsidRPr="006019B1">
          <w:rPr>
            <w:rFonts w:ascii="Verdana" w:eastAsia="Aptos" w:hAnsi="Verdana" w:cs="Times New Roman"/>
            <w:color w:val="0000FF"/>
            <w:kern w:val="2"/>
            <w:u w:val="single"/>
            <w:lang w:val="es-ES_tradnl"/>
            <w14:ligatures w14:val="standardContextual"/>
          </w:rPr>
          <w:t>https://www.colombiacompra.gov.co/archivos/manual/guia-para-la-comprension-e-implementacion-de-los-documentos-tipo-de-obra-publica-de-infraestructura-de-transporte-bajo-las-diferentes-modalidades-de-contratacion-vigentes</w:t>
        </w:r>
      </w:hyperlink>
    </w:p>
    <w:p w14:paraId="54C93D6D" w14:textId="77777777" w:rsidR="006019B1" w:rsidRPr="006019B1" w:rsidRDefault="006019B1" w:rsidP="006019B1">
      <w:pPr>
        <w:widowControl w:val="0"/>
        <w:autoSpaceDE w:val="0"/>
        <w:autoSpaceDN w:val="0"/>
        <w:spacing w:after="0" w:line="276" w:lineRule="auto"/>
        <w:jc w:val="both"/>
        <w:rPr>
          <w:rFonts w:ascii="Verdana" w:eastAsia="Calibri" w:hAnsi="Verdana" w:cs="Arial"/>
          <w:shd w:val="clear" w:color="auto" w:fill="FFFFFF"/>
          <w:lang w:val="es-ES_tradnl"/>
        </w:rPr>
      </w:pPr>
    </w:p>
    <w:p w14:paraId="47465CEF" w14:textId="77777777" w:rsidR="006019B1" w:rsidRPr="006019B1" w:rsidRDefault="006019B1" w:rsidP="006019B1">
      <w:pPr>
        <w:spacing w:after="0" w:line="276" w:lineRule="auto"/>
        <w:jc w:val="both"/>
        <w:rPr>
          <w:rFonts w:ascii="Verdana" w:eastAsia="Calibri" w:hAnsi="Verdana" w:cs="Times New Roman"/>
          <w:lang w:val="es-ES_tradnl"/>
        </w:rPr>
      </w:pPr>
      <w:r w:rsidRPr="006019B1">
        <w:rPr>
          <w:rFonts w:ascii="Verdana" w:eastAsia="Calibri" w:hAnsi="Verdana" w:cs="Times New Roman"/>
          <w:lang w:val="es-ES_tradnl"/>
        </w:rPr>
        <w:t xml:space="preserve">Por último, los invitamos a seguirnos en las redes sociales, en las cuales se difunde información institucional: </w:t>
      </w:r>
    </w:p>
    <w:p w14:paraId="71680A99" w14:textId="77777777" w:rsidR="006019B1" w:rsidRPr="006019B1" w:rsidRDefault="006019B1" w:rsidP="006019B1">
      <w:pPr>
        <w:spacing w:after="0" w:line="240" w:lineRule="auto"/>
        <w:jc w:val="both"/>
        <w:rPr>
          <w:rFonts w:ascii="Verdana" w:eastAsia="Calibri" w:hAnsi="Verdana" w:cs="Times New Roman"/>
          <w:kern w:val="2"/>
          <w:lang w:val="es-ES_tradnl" w:eastAsia="es-MX"/>
          <w14:ligatures w14:val="standardContextual"/>
        </w:rPr>
      </w:pPr>
    </w:p>
    <w:p w14:paraId="3F6B7E40" w14:textId="77777777" w:rsidR="006019B1" w:rsidRPr="006019B1" w:rsidRDefault="006019B1" w:rsidP="006019B1">
      <w:pPr>
        <w:spacing w:after="0" w:line="240" w:lineRule="auto"/>
        <w:jc w:val="both"/>
        <w:rPr>
          <w:rFonts w:ascii="Verdana" w:eastAsia="Calibri" w:hAnsi="Verdana" w:cs="Times New Roman"/>
          <w:kern w:val="2"/>
          <w:lang w:val="es-ES_tradnl" w:eastAsia="es-MX"/>
          <w14:ligatures w14:val="standardContextual"/>
        </w:rPr>
      </w:pPr>
      <w:r w:rsidRPr="006019B1">
        <w:rPr>
          <w:rFonts w:ascii="Verdana" w:eastAsia="Calibri" w:hAnsi="Verdana" w:cs="Times New Roman"/>
          <w:kern w:val="2"/>
          <w:lang w:val="es-ES_tradnl" w:eastAsia="es-MX"/>
          <w14:ligatures w14:val="standardContextual"/>
        </w:rPr>
        <w:t xml:space="preserve">X: </w:t>
      </w:r>
      <w:r w:rsidRPr="006019B1">
        <w:rPr>
          <w:rFonts w:ascii="Verdana" w:eastAsia="Calibri" w:hAnsi="Verdana" w:cs="Times New Roman"/>
          <w:kern w:val="2"/>
          <w:u w:val="single"/>
          <w:lang w:val="es-ES_tradnl" w:eastAsia="es-MX"/>
          <w14:ligatures w14:val="standardContextual"/>
        </w:rPr>
        <w:t>@colombiacompra</w:t>
      </w:r>
      <w:r w:rsidRPr="006019B1">
        <w:rPr>
          <w:rFonts w:ascii="Verdana" w:eastAsia="Calibri" w:hAnsi="Verdana" w:cs="Times New Roman"/>
          <w:kern w:val="2"/>
          <w:lang w:val="es-ES_tradnl" w:eastAsia="es-MX"/>
          <w14:ligatures w14:val="standardContextual"/>
        </w:rPr>
        <w:t xml:space="preserve"> </w:t>
      </w:r>
    </w:p>
    <w:p w14:paraId="19D74208" w14:textId="77777777" w:rsidR="006019B1" w:rsidRPr="006019B1" w:rsidRDefault="006019B1" w:rsidP="006019B1">
      <w:pPr>
        <w:spacing w:after="0" w:line="240" w:lineRule="auto"/>
        <w:jc w:val="both"/>
        <w:rPr>
          <w:rFonts w:ascii="Verdana" w:eastAsia="Calibri" w:hAnsi="Verdana" w:cs="Times New Roman"/>
          <w:kern w:val="2"/>
          <w:lang w:val="es-ES_tradnl" w:eastAsia="es-MX"/>
          <w14:ligatures w14:val="standardContextual"/>
        </w:rPr>
      </w:pPr>
      <w:r w:rsidRPr="006019B1">
        <w:rPr>
          <w:rFonts w:ascii="Verdana" w:eastAsia="Calibri" w:hAnsi="Verdana" w:cs="Times New Roman"/>
          <w:kern w:val="2"/>
          <w:lang w:val="es-ES_tradnl" w:eastAsia="es-MX"/>
          <w14:ligatures w14:val="standardContextual"/>
        </w:rPr>
        <w:t xml:space="preserve">Facebook: </w:t>
      </w:r>
      <w:proofErr w:type="spellStart"/>
      <w:r w:rsidRPr="006019B1">
        <w:rPr>
          <w:rFonts w:ascii="Verdana" w:eastAsia="Calibri" w:hAnsi="Verdana" w:cs="Times New Roman"/>
          <w:kern w:val="2"/>
          <w:u w:val="single"/>
          <w:lang w:val="es-ES_tradnl" w:eastAsia="es-MX"/>
          <w14:ligatures w14:val="standardContextual"/>
        </w:rPr>
        <w:t>ColombiaCompraEficiente</w:t>
      </w:r>
      <w:proofErr w:type="spellEnd"/>
    </w:p>
    <w:p w14:paraId="720CEC25" w14:textId="77777777" w:rsidR="006019B1" w:rsidRPr="006019B1" w:rsidRDefault="006019B1" w:rsidP="006019B1">
      <w:pPr>
        <w:spacing w:after="0" w:line="240" w:lineRule="auto"/>
        <w:jc w:val="both"/>
        <w:rPr>
          <w:rFonts w:ascii="Verdana" w:eastAsia="Calibri" w:hAnsi="Verdana" w:cs="Times New Roman"/>
          <w:kern w:val="2"/>
          <w:lang w:val="es-ES_tradnl" w:eastAsia="es-MX"/>
          <w14:ligatures w14:val="standardContextual"/>
        </w:rPr>
      </w:pPr>
      <w:r w:rsidRPr="006019B1">
        <w:rPr>
          <w:rFonts w:ascii="Verdana" w:eastAsia="Calibri" w:hAnsi="Verdana" w:cs="Times New Roman"/>
          <w:kern w:val="2"/>
          <w:lang w:val="es-ES_tradnl" w:eastAsia="es-MX"/>
          <w14:ligatures w14:val="standardContextual"/>
        </w:rPr>
        <w:t xml:space="preserve">LinkedIn: </w:t>
      </w:r>
      <w:r w:rsidRPr="006019B1">
        <w:rPr>
          <w:rFonts w:ascii="Verdana" w:eastAsia="Calibri" w:hAnsi="Verdana" w:cs="Times New Roman"/>
          <w:kern w:val="2"/>
          <w:u w:val="single"/>
          <w:lang w:val="es-ES_tradnl" w:eastAsia="es-MX"/>
          <w14:ligatures w14:val="standardContextual"/>
        </w:rPr>
        <w:t>Agencia Nacional de Contratación Pública - Colombia Compra Eficiente</w:t>
      </w:r>
      <w:r w:rsidRPr="006019B1">
        <w:rPr>
          <w:rFonts w:ascii="Verdana" w:eastAsia="Calibri" w:hAnsi="Verdana" w:cs="Times New Roman"/>
          <w:kern w:val="2"/>
          <w:lang w:val="es-ES_tradnl" w:eastAsia="es-MX"/>
          <w14:ligatures w14:val="standardContextual"/>
        </w:rPr>
        <w:t xml:space="preserve"> Instagram: </w:t>
      </w:r>
      <w:r w:rsidRPr="006019B1">
        <w:rPr>
          <w:rFonts w:ascii="Verdana" w:eastAsia="Calibri" w:hAnsi="Verdana" w:cs="Times New Roman"/>
          <w:kern w:val="2"/>
          <w:u w:val="single"/>
          <w:lang w:val="es-ES_tradnl" w:eastAsia="es-MX"/>
          <w14:ligatures w14:val="standardContextual"/>
        </w:rPr>
        <w:t>@colombiacompraeficiente_cce</w:t>
      </w:r>
    </w:p>
    <w:p w14:paraId="74CC2CF7" w14:textId="77777777" w:rsidR="006019B1" w:rsidRPr="006019B1" w:rsidRDefault="006019B1" w:rsidP="006019B1">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57E604BA" w14:textId="77777777" w:rsidR="006019B1" w:rsidRPr="006019B1" w:rsidRDefault="006019B1" w:rsidP="006019B1">
      <w:pPr>
        <w:widowControl w:val="0"/>
        <w:autoSpaceDE w:val="0"/>
        <w:autoSpaceDN w:val="0"/>
        <w:spacing w:after="0" w:line="276" w:lineRule="auto"/>
        <w:jc w:val="both"/>
        <w:rPr>
          <w:rFonts w:ascii="Verdana" w:eastAsia="Calibri" w:hAnsi="Verdana" w:cs="Arial"/>
          <w:kern w:val="2"/>
          <w:lang w:val="es-ES_tradnl"/>
          <w14:ligatures w14:val="standardContextual"/>
        </w:rPr>
      </w:pPr>
      <w:r w:rsidRPr="006019B1">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74C4B66" w14:textId="77777777" w:rsidR="006019B1" w:rsidRPr="006019B1" w:rsidRDefault="006019B1" w:rsidP="006019B1">
      <w:pPr>
        <w:widowControl w:val="0"/>
        <w:autoSpaceDE w:val="0"/>
        <w:autoSpaceDN w:val="0"/>
        <w:spacing w:after="0" w:line="276" w:lineRule="auto"/>
        <w:jc w:val="both"/>
        <w:rPr>
          <w:rFonts w:ascii="Verdana" w:eastAsia="Calibri" w:hAnsi="Verdana" w:cs="Arial"/>
          <w:lang w:val="es-ES_tradnl"/>
        </w:rPr>
      </w:pPr>
    </w:p>
    <w:p w14:paraId="24F56A23" w14:textId="77777777" w:rsidR="006019B1" w:rsidRPr="006019B1" w:rsidRDefault="006019B1" w:rsidP="006019B1">
      <w:pPr>
        <w:spacing w:after="0" w:line="240" w:lineRule="auto"/>
        <w:rPr>
          <w:rFonts w:ascii="Verdana" w:eastAsia="Calibri" w:hAnsi="Verdana" w:cs="Arial"/>
          <w:lang w:val="es-ES_tradnl" w:eastAsia="es-CO"/>
        </w:rPr>
      </w:pPr>
      <w:r w:rsidRPr="006019B1">
        <w:rPr>
          <w:rFonts w:ascii="Verdana" w:eastAsia="Times New Roman" w:hAnsi="Verdana" w:cs="Arial"/>
          <w:lang w:val="es-ES_tradnl" w:eastAsia="es-CO"/>
        </w:rPr>
        <w:t>Atentamente,</w:t>
      </w:r>
      <w:r w:rsidRPr="006019B1">
        <w:rPr>
          <w:rFonts w:ascii="Verdana" w:eastAsia="Calibri" w:hAnsi="Verdana" w:cs="Arial"/>
          <w:lang w:val="es-ES_tradnl" w:eastAsia="es-CO"/>
        </w:rPr>
        <w:t xml:space="preserve"> </w:t>
      </w:r>
    </w:p>
    <w:p w14:paraId="75F591A2" w14:textId="281B82DD" w:rsidR="006019B1" w:rsidRPr="006019B1" w:rsidRDefault="00B60A01" w:rsidP="006019B1">
      <w:pPr>
        <w:spacing w:line="276" w:lineRule="auto"/>
        <w:jc w:val="center"/>
        <w:rPr>
          <w:rFonts w:ascii="Verdana" w:eastAsia="Calibri" w:hAnsi="Verdana" w:cs="Arial"/>
          <w:lang w:val="es-ES_tradnl" w:eastAsia="es-CO"/>
        </w:rPr>
      </w:pPr>
      <w:r w:rsidRPr="002C3AD6">
        <w:rPr>
          <w:rFonts w:ascii="Century Gothic" w:hAnsi="Century Gothic"/>
          <w:noProof/>
        </w:rPr>
        <w:drawing>
          <wp:inline distT="0" distB="0" distL="0" distR="0" wp14:anchorId="42781EDE" wp14:editId="15450889">
            <wp:extent cx="3551709" cy="1318437"/>
            <wp:effectExtent l="0" t="0" r="4445" b="254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8"/>
                    <a:stretch>
                      <a:fillRect/>
                    </a:stretch>
                  </pic:blipFill>
                  <pic:spPr>
                    <a:xfrm>
                      <a:off x="0" y="0"/>
                      <a:ext cx="3560419" cy="13216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019B1" w:rsidRPr="006019B1" w14:paraId="0148EB9D" w14:textId="77777777" w:rsidTr="00A0211B">
        <w:trPr>
          <w:trHeight w:val="315"/>
        </w:trPr>
        <w:tc>
          <w:tcPr>
            <w:tcW w:w="893" w:type="dxa"/>
            <w:vAlign w:val="center"/>
            <w:hideMark/>
          </w:tcPr>
          <w:p w14:paraId="68E0FAA5" w14:textId="77777777" w:rsidR="006019B1" w:rsidRPr="006019B1" w:rsidRDefault="006019B1" w:rsidP="006019B1">
            <w:pPr>
              <w:rPr>
                <w:rFonts w:ascii="Verdana" w:eastAsia="Calibri" w:hAnsi="Verdana" w:cs="Arial"/>
                <w:sz w:val="16"/>
                <w:szCs w:val="16"/>
                <w:lang w:val="es-ES_tradnl" w:eastAsia="es-ES"/>
              </w:rPr>
            </w:pPr>
            <w:r w:rsidRPr="006019B1">
              <w:rPr>
                <w:rFonts w:ascii="Verdana" w:eastAsia="Calibri" w:hAnsi="Verdana" w:cs="Arial"/>
                <w:sz w:val="16"/>
                <w:szCs w:val="16"/>
                <w:lang w:val="es-ES_tradnl" w:eastAsia="es-ES"/>
              </w:rPr>
              <w:t>Elaboró:</w:t>
            </w:r>
          </w:p>
        </w:tc>
        <w:tc>
          <w:tcPr>
            <w:tcW w:w="5628" w:type="dxa"/>
            <w:tcBorders>
              <w:top w:val="nil"/>
              <w:left w:val="nil"/>
              <w:bottom w:val="dotted" w:sz="4" w:space="0" w:color="7F7F7F"/>
              <w:right w:val="nil"/>
            </w:tcBorders>
            <w:vAlign w:val="center"/>
            <w:hideMark/>
          </w:tcPr>
          <w:p w14:paraId="19FC8374" w14:textId="77777777" w:rsidR="006019B1" w:rsidRPr="006019B1" w:rsidRDefault="006019B1" w:rsidP="006019B1">
            <w:pPr>
              <w:rPr>
                <w:rFonts w:ascii="Verdana" w:eastAsia="Arial" w:hAnsi="Verdana" w:cs="Arial"/>
                <w:sz w:val="16"/>
                <w:szCs w:val="16"/>
                <w:lang w:val="es-ES"/>
              </w:rPr>
            </w:pPr>
            <w:r w:rsidRPr="006019B1">
              <w:rPr>
                <w:rFonts w:ascii="Verdana" w:eastAsia="Arial" w:hAnsi="Verdana" w:cs="Arial"/>
                <w:sz w:val="16"/>
                <w:szCs w:val="16"/>
                <w:lang w:val="es-ES"/>
              </w:rPr>
              <w:t>Kevin Arlid Herrera Santa</w:t>
            </w:r>
          </w:p>
          <w:p w14:paraId="074BC81E" w14:textId="77777777" w:rsidR="006019B1" w:rsidRPr="006019B1" w:rsidRDefault="006019B1" w:rsidP="006019B1">
            <w:pPr>
              <w:rPr>
                <w:rFonts w:ascii="Verdana" w:eastAsia="Arial" w:hAnsi="Verdana" w:cs="Arial"/>
                <w:sz w:val="16"/>
                <w:szCs w:val="16"/>
                <w:lang w:val="es-ES_tradnl"/>
              </w:rPr>
            </w:pPr>
            <w:r w:rsidRPr="006019B1">
              <w:rPr>
                <w:rFonts w:ascii="Verdana" w:eastAsia="Arial" w:hAnsi="Verdana" w:cs="Arial"/>
                <w:sz w:val="16"/>
                <w:szCs w:val="16"/>
                <w:lang w:val="es-ES_tradnl"/>
              </w:rPr>
              <w:t>Contratista de la Subdirección de Gestión Contractual</w:t>
            </w:r>
          </w:p>
        </w:tc>
      </w:tr>
      <w:tr w:rsidR="006019B1" w:rsidRPr="006019B1" w14:paraId="6EE48228" w14:textId="77777777" w:rsidTr="00A0211B">
        <w:trPr>
          <w:trHeight w:val="330"/>
        </w:trPr>
        <w:tc>
          <w:tcPr>
            <w:tcW w:w="893" w:type="dxa"/>
            <w:vAlign w:val="center"/>
            <w:hideMark/>
          </w:tcPr>
          <w:p w14:paraId="658388CD" w14:textId="77777777" w:rsidR="006019B1" w:rsidRPr="006019B1" w:rsidRDefault="006019B1" w:rsidP="006019B1">
            <w:pPr>
              <w:rPr>
                <w:rFonts w:ascii="Verdana" w:eastAsia="Calibri" w:hAnsi="Verdana" w:cs="Arial"/>
                <w:sz w:val="16"/>
                <w:szCs w:val="16"/>
                <w:lang w:val="es-ES_tradnl" w:eastAsia="es-ES"/>
              </w:rPr>
            </w:pPr>
            <w:r w:rsidRPr="006019B1">
              <w:rPr>
                <w:rFonts w:ascii="Verdana" w:eastAsia="Calibri" w:hAnsi="Verdana" w:cs="Arial"/>
                <w:sz w:val="16"/>
                <w:szCs w:val="16"/>
                <w:lang w:val="es-ES_tradnl" w:eastAsia="es-ES"/>
              </w:rPr>
              <w:t>Revisó:</w:t>
            </w:r>
          </w:p>
        </w:tc>
        <w:tc>
          <w:tcPr>
            <w:tcW w:w="5628" w:type="dxa"/>
            <w:tcBorders>
              <w:top w:val="dotted" w:sz="4" w:space="0" w:color="7F7F7F"/>
              <w:left w:val="nil"/>
              <w:bottom w:val="dotted" w:sz="4" w:space="0" w:color="7F7F7F"/>
              <w:right w:val="nil"/>
            </w:tcBorders>
            <w:vAlign w:val="center"/>
            <w:hideMark/>
          </w:tcPr>
          <w:p w14:paraId="0224051B" w14:textId="77777777" w:rsidR="006019B1" w:rsidRPr="006019B1" w:rsidRDefault="006019B1" w:rsidP="006019B1">
            <w:pPr>
              <w:textAlignment w:val="baseline"/>
              <w:rPr>
                <w:rFonts w:ascii="Verdana" w:eastAsia="Times New Roman" w:hAnsi="Verdana" w:cs="Segoe UI"/>
                <w:sz w:val="16"/>
                <w:szCs w:val="16"/>
                <w:lang w:val="es-ES_tradnl" w:eastAsia="es-ES_tradnl"/>
              </w:rPr>
            </w:pPr>
            <w:r w:rsidRPr="006019B1">
              <w:rPr>
                <w:rFonts w:ascii="Verdana" w:eastAsia="Times New Roman" w:hAnsi="Verdana" w:cs="Segoe UI"/>
                <w:sz w:val="16"/>
                <w:szCs w:val="16"/>
                <w:lang w:val="es-ES_tradnl" w:eastAsia="es-ES_tradnl"/>
              </w:rPr>
              <w:t xml:space="preserve">Adriana </w:t>
            </w:r>
            <w:proofErr w:type="spellStart"/>
            <w:r w:rsidRPr="006019B1">
              <w:rPr>
                <w:rFonts w:ascii="Verdana" w:eastAsia="Times New Roman" w:hAnsi="Verdana" w:cs="Segoe UI"/>
                <w:sz w:val="16"/>
                <w:szCs w:val="16"/>
                <w:lang w:val="es-ES_tradnl" w:eastAsia="es-ES_tradnl"/>
              </w:rPr>
              <w:t>Katerine</w:t>
            </w:r>
            <w:proofErr w:type="spellEnd"/>
            <w:r w:rsidRPr="006019B1">
              <w:rPr>
                <w:rFonts w:ascii="Verdana" w:eastAsia="Times New Roman" w:hAnsi="Verdana" w:cs="Segoe UI"/>
                <w:sz w:val="16"/>
                <w:szCs w:val="16"/>
                <w:lang w:val="es-ES_tradnl" w:eastAsia="es-ES_tradnl"/>
              </w:rPr>
              <w:t xml:space="preserve"> López Rodríguez</w:t>
            </w:r>
          </w:p>
          <w:p w14:paraId="3AE49993" w14:textId="77777777" w:rsidR="006019B1" w:rsidRPr="006019B1" w:rsidRDefault="006019B1" w:rsidP="006019B1">
            <w:pPr>
              <w:textAlignment w:val="baseline"/>
              <w:rPr>
                <w:rFonts w:ascii="Verdana" w:eastAsia="Times New Roman" w:hAnsi="Verdana" w:cs="Segoe UI"/>
                <w:sz w:val="16"/>
                <w:szCs w:val="16"/>
                <w:lang w:val="es-ES_tradnl" w:eastAsia="es-ES_tradnl"/>
              </w:rPr>
            </w:pPr>
            <w:r w:rsidRPr="006019B1">
              <w:rPr>
                <w:rFonts w:ascii="Verdana" w:eastAsia="Times New Roman" w:hAnsi="Verdana" w:cs="Arial"/>
                <w:sz w:val="16"/>
                <w:szCs w:val="16"/>
                <w:lang w:val="es-ES_tradnl" w:eastAsia="es-ES_tradnl"/>
              </w:rPr>
              <w:t>Contratista de la Subdirección de Gestión Contractual </w:t>
            </w:r>
          </w:p>
        </w:tc>
      </w:tr>
      <w:tr w:rsidR="006019B1" w:rsidRPr="006019B1" w14:paraId="5D95BB3C" w14:textId="77777777" w:rsidTr="00A0211B">
        <w:trPr>
          <w:trHeight w:val="300"/>
        </w:trPr>
        <w:tc>
          <w:tcPr>
            <w:tcW w:w="893" w:type="dxa"/>
            <w:vAlign w:val="center"/>
          </w:tcPr>
          <w:p w14:paraId="4F621CA3" w14:textId="77777777" w:rsidR="006019B1" w:rsidRPr="006019B1" w:rsidRDefault="006019B1" w:rsidP="006019B1">
            <w:pPr>
              <w:rPr>
                <w:rFonts w:ascii="Verdana" w:eastAsia="Calibri" w:hAnsi="Verdana" w:cs="Arial"/>
                <w:sz w:val="16"/>
                <w:szCs w:val="16"/>
                <w:lang w:val="es-ES_tradnl" w:eastAsia="es-ES"/>
              </w:rPr>
            </w:pPr>
            <w:r w:rsidRPr="006019B1">
              <w:rPr>
                <w:rFonts w:ascii="Verdana" w:eastAsia="Calibri" w:hAnsi="Verdana" w:cs="Arial"/>
                <w:sz w:val="16"/>
                <w:szCs w:val="16"/>
                <w:lang w:val="es-ES_tradnl" w:eastAsia="es-ES"/>
              </w:rPr>
              <w:t>Aprobó:</w:t>
            </w:r>
          </w:p>
        </w:tc>
        <w:tc>
          <w:tcPr>
            <w:tcW w:w="5628" w:type="dxa"/>
            <w:tcBorders>
              <w:top w:val="dotted" w:sz="4" w:space="0" w:color="7F7F7F"/>
              <w:left w:val="nil"/>
              <w:bottom w:val="dotted" w:sz="4" w:space="0" w:color="7F7F7F"/>
              <w:right w:val="nil"/>
            </w:tcBorders>
            <w:vAlign w:val="center"/>
          </w:tcPr>
          <w:p w14:paraId="01F16678" w14:textId="77777777" w:rsidR="006019B1" w:rsidRPr="006019B1" w:rsidRDefault="006019B1" w:rsidP="006019B1">
            <w:pPr>
              <w:rPr>
                <w:rFonts w:ascii="Verdana" w:eastAsia="Calibri" w:hAnsi="Verdana" w:cs="Arial"/>
                <w:sz w:val="16"/>
                <w:szCs w:val="16"/>
                <w:lang w:val="es-ES" w:eastAsia="es-ES"/>
              </w:rPr>
            </w:pPr>
            <w:r w:rsidRPr="006019B1">
              <w:rPr>
                <w:rFonts w:ascii="Verdana" w:eastAsia="Calibri" w:hAnsi="Verdana" w:cs="Arial"/>
                <w:sz w:val="16"/>
                <w:szCs w:val="16"/>
                <w:lang w:val="es-ES" w:eastAsia="es-ES"/>
              </w:rPr>
              <w:t>Carolina Quintero Gacharná</w:t>
            </w:r>
          </w:p>
          <w:p w14:paraId="24F4C77D" w14:textId="77777777" w:rsidR="006019B1" w:rsidRPr="006019B1" w:rsidRDefault="006019B1" w:rsidP="006019B1">
            <w:pPr>
              <w:rPr>
                <w:rFonts w:ascii="Verdana" w:eastAsia="Calibri" w:hAnsi="Verdana" w:cs="Arial"/>
                <w:sz w:val="16"/>
                <w:szCs w:val="16"/>
                <w:lang w:val="es-ES_tradnl" w:eastAsia="es-ES"/>
              </w:rPr>
            </w:pPr>
            <w:r w:rsidRPr="006019B1">
              <w:rPr>
                <w:rFonts w:ascii="Verdana" w:eastAsia="Calibri" w:hAnsi="Verdana" w:cs="Arial"/>
                <w:sz w:val="16"/>
                <w:szCs w:val="16"/>
                <w:lang w:val="es-ES_tradnl" w:eastAsia="es-ES"/>
              </w:rPr>
              <w:t>Subdirectora de Gestión Contractual ANCP – CCE</w:t>
            </w:r>
          </w:p>
        </w:tc>
      </w:tr>
    </w:tbl>
    <w:p w14:paraId="69BC4D14" w14:textId="5F033079"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A957B8" w14:textId="77777777" w:rsidR="00FF773E" w:rsidRDefault="00FF773E" w:rsidP="004A1847">
      <w:pPr>
        <w:spacing w:after="0" w:line="240" w:lineRule="auto"/>
      </w:pPr>
      <w:r>
        <w:separator/>
      </w:r>
    </w:p>
  </w:endnote>
  <w:endnote w:type="continuationSeparator" w:id="0">
    <w:p w14:paraId="40E19D60" w14:textId="77777777" w:rsidR="00FF773E" w:rsidRDefault="00FF773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ArialMT">
    <w:altName w:val="Arial"/>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F77193" w14:textId="77777777" w:rsidR="00FF773E" w:rsidRDefault="00FF773E" w:rsidP="004A1847">
      <w:pPr>
        <w:spacing w:after="0" w:line="240" w:lineRule="auto"/>
      </w:pPr>
      <w:r>
        <w:separator/>
      </w:r>
    </w:p>
  </w:footnote>
  <w:footnote w:type="continuationSeparator" w:id="0">
    <w:p w14:paraId="34E7BAA9" w14:textId="77777777" w:rsidR="00FF773E" w:rsidRDefault="00FF773E" w:rsidP="004A1847">
      <w:pPr>
        <w:spacing w:after="0" w:line="240" w:lineRule="auto"/>
      </w:pPr>
      <w:r>
        <w:continuationSeparator/>
      </w:r>
    </w:p>
  </w:footnote>
  <w:footnote w:id="1">
    <w:p w14:paraId="3FCDB2AE" w14:textId="77777777" w:rsidR="006019B1" w:rsidRPr="00DE533F" w:rsidRDefault="006019B1" w:rsidP="006019B1">
      <w:pPr>
        <w:pStyle w:val="Textonotapie"/>
        <w:ind w:firstLine="709"/>
        <w:jc w:val="both"/>
        <w:rPr>
          <w:rFonts w:ascii="Verdana" w:hAnsi="Verdana" w:cs="Arial"/>
          <w:sz w:val="18"/>
          <w:szCs w:val="18"/>
          <w:lang w:val="es-ES"/>
        </w:rPr>
      </w:pPr>
      <w:r w:rsidRPr="00DE533F">
        <w:rPr>
          <w:rStyle w:val="Refdenotaalpie"/>
          <w:rFonts w:ascii="Verdana" w:hAnsi="Verdana"/>
          <w:sz w:val="18"/>
          <w:szCs w:val="18"/>
        </w:rPr>
        <w:footnoteRef/>
      </w:r>
      <w:r w:rsidRPr="00DE533F">
        <w:rPr>
          <w:rStyle w:val="Refdenotaalpie"/>
          <w:rFonts w:ascii="Verdana" w:hAnsi="Verdana"/>
          <w:sz w:val="18"/>
          <w:szCs w:val="18"/>
        </w:rPr>
        <w:footnoteRef/>
      </w:r>
      <w:r w:rsidRPr="00DE533F">
        <w:rPr>
          <w:rFonts w:ascii="Verdana" w:hAnsi="Verdana"/>
          <w:sz w:val="18"/>
          <w:szCs w:val="18"/>
        </w:rPr>
        <w:t xml:space="preserve"> </w:t>
      </w:r>
      <w:r w:rsidRPr="00DE533F">
        <w:rPr>
          <w:rFonts w:ascii="Verdana" w:hAnsi="Verdana" w:cs="Arial"/>
          <w:iCs/>
          <w:color w:val="000000"/>
          <w:sz w:val="18"/>
          <w:szCs w:val="18"/>
          <w:lang w:val="es-CO"/>
        </w:rPr>
        <w:t>Corte definido a partir del diagrama de Pareto.</w:t>
      </w:r>
      <w:r w:rsidRPr="00DE533F">
        <w:rPr>
          <w:rFonts w:ascii="Verdana" w:hAnsi="Verdana" w:cs="Arial"/>
          <w:sz w:val="18"/>
          <w:szCs w:val="18"/>
        </w:rPr>
        <w:t xml:space="preserve"> Este es una herramienta gráfica donde los datos se ordenan de mayor a menor, lo que deja más en claro qué aspectos deben resolverse primero y se apoya en el principio de Pareto, que dice que el 80% de las consecuencias son el resultado del 20% de las causas.</w:t>
      </w:r>
    </w:p>
  </w:footnote>
  <w:footnote w:id="2">
    <w:p w14:paraId="514C928E" w14:textId="77777777" w:rsidR="006019B1" w:rsidRPr="00DE533F" w:rsidRDefault="006019B1" w:rsidP="006019B1">
      <w:pPr>
        <w:pStyle w:val="Textonotapie"/>
        <w:ind w:firstLine="709"/>
        <w:jc w:val="both"/>
        <w:rPr>
          <w:rFonts w:ascii="Verdana" w:hAnsi="Verdana"/>
          <w:color w:val="000000"/>
          <w:sz w:val="18"/>
          <w:szCs w:val="18"/>
          <w:lang w:val="es-CO"/>
        </w:rPr>
      </w:pPr>
      <w:r w:rsidRPr="00DE533F">
        <w:rPr>
          <w:rStyle w:val="Refdenotaalpie"/>
          <w:rFonts w:ascii="Verdana" w:hAnsi="Verdana"/>
          <w:color w:val="000000"/>
          <w:sz w:val="18"/>
          <w:szCs w:val="18"/>
          <w:lang w:val="es-CO"/>
        </w:rPr>
        <w:footnoteRef/>
      </w:r>
      <w:r w:rsidRPr="00DE533F">
        <w:rPr>
          <w:rFonts w:ascii="Verdana" w:hAnsi="Verdana"/>
          <w:color w:val="000000"/>
          <w:sz w:val="18"/>
          <w:szCs w:val="18"/>
          <w:lang w:val="es-CO"/>
        </w:rPr>
        <w:t xml:space="preserve"> Estos Documentos Tipo pueden ser consultados en la página web de Colombia Compra Eficiente, a través del siguiente enlace: </w:t>
      </w:r>
      <w:hyperlink r:id="rId1" w:history="1">
        <w:r w:rsidRPr="00DE533F">
          <w:rPr>
            <w:rStyle w:val="Hipervnculo"/>
            <w:rFonts w:ascii="Verdana" w:hAnsi="Verdana"/>
            <w:color w:val="000000"/>
            <w:sz w:val="18"/>
            <w:szCs w:val="18"/>
            <w:lang w:val="es-CO"/>
          </w:rPr>
          <w:t>https://www.colombiacompra.gov.co/documentos-tipo/documentos-tipo</w:t>
        </w:r>
      </w:hyperlink>
      <w:r w:rsidRPr="00DE533F">
        <w:rPr>
          <w:rFonts w:ascii="Verdana" w:hAnsi="Verdana"/>
          <w:color w:val="000000"/>
          <w:sz w:val="18"/>
          <w:szCs w:val="18"/>
          <w:lang w:val="es-CO"/>
        </w:rPr>
        <w:t xml:space="preserve"> </w:t>
      </w:r>
    </w:p>
  </w:footnote>
  <w:footnote w:id="3">
    <w:p w14:paraId="019F2728" w14:textId="77777777" w:rsidR="006019B1" w:rsidRPr="00DE533F" w:rsidRDefault="006019B1" w:rsidP="006019B1">
      <w:pPr>
        <w:spacing w:line="240" w:lineRule="auto"/>
        <w:ind w:firstLine="709"/>
        <w:jc w:val="both"/>
        <w:rPr>
          <w:rFonts w:ascii="Verdana" w:hAnsi="Verdana"/>
          <w:color w:val="000000"/>
          <w:sz w:val="18"/>
          <w:szCs w:val="18"/>
        </w:rPr>
      </w:pPr>
      <w:r w:rsidRPr="00DE533F">
        <w:rPr>
          <w:rStyle w:val="Refdenotaalpie"/>
          <w:rFonts w:ascii="Verdana" w:hAnsi="Verdana" w:cs="Arial"/>
          <w:color w:val="000000"/>
          <w:sz w:val="18"/>
          <w:szCs w:val="18"/>
        </w:rPr>
        <w:footnoteRef/>
      </w:r>
      <w:r w:rsidRPr="00DE533F">
        <w:rPr>
          <w:rFonts w:ascii="Verdana" w:hAnsi="Verdana" w:cs="Arial"/>
          <w:color w:val="000000"/>
          <w:sz w:val="18"/>
          <w:szCs w:val="18"/>
        </w:rPr>
        <w:t xml:space="preserve"> </w:t>
      </w:r>
      <w:r w:rsidRPr="00DE533F">
        <w:rPr>
          <w:rFonts w:ascii="Verdana" w:eastAsia="Calibri" w:hAnsi="Verdana" w:cs="Arial"/>
          <w:bCs/>
          <w:color w:val="000000"/>
          <w:sz w:val="18"/>
          <w:szCs w:val="18"/>
        </w:rPr>
        <w:t>Entre estas se encuentra el artículo 3 de la Resolución 725 del 19 de diciembre de 2024, que dispone: “</w:t>
      </w:r>
      <w:r w:rsidRPr="00DE533F">
        <w:rPr>
          <w:rFonts w:ascii="Verdana" w:hAnsi="Verdana"/>
          <w:color w:val="000000"/>
          <w:sz w:val="18"/>
          <w:szCs w:val="18"/>
        </w:rPr>
        <w:t>Inalterabilidad de los documentos tipo. De conformidad con el artículo 1 de la Ley 2022 de 2020, los documentos tipo son obligatorios en la actividad contractual de las entidades estatales sometidas al Estatuto General de Contratación de la Administración Pública, patrimonios autónomos o personas naturales o jurídicas de derecho público o privado que por mandato legal estén obligadas a su aplicación. En consecuencia, los obligados a su aplicación, al adelantar sus procedimientos de selección, solo podrán modificarlos en los aspectos en que los documentos tipo lo permitan”.</w:t>
      </w:r>
    </w:p>
    <w:p w14:paraId="51ADEDA4" w14:textId="77777777" w:rsidR="006019B1" w:rsidRPr="00DE533F" w:rsidRDefault="006019B1" w:rsidP="006019B1">
      <w:pPr>
        <w:spacing w:line="240" w:lineRule="auto"/>
        <w:ind w:firstLine="709"/>
        <w:jc w:val="both"/>
        <w:rPr>
          <w:rFonts w:ascii="Verdana" w:eastAsia="Calibri" w:hAnsi="Verdana" w:cs="Arial"/>
          <w:bCs/>
          <w:color w:val="000000"/>
          <w:sz w:val="18"/>
          <w:szCs w:val="18"/>
        </w:rPr>
      </w:pPr>
    </w:p>
  </w:footnote>
  <w:footnote w:id="4">
    <w:p w14:paraId="18828AB1" w14:textId="77777777" w:rsidR="006019B1" w:rsidRPr="00DE533F" w:rsidRDefault="006019B1" w:rsidP="006019B1">
      <w:pPr>
        <w:pStyle w:val="Textonotapie"/>
        <w:ind w:firstLine="709"/>
        <w:jc w:val="both"/>
        <w:rPr>
          <w:rFonts w:ascii="Verdana" w:hAnsi="Verdana"/>
          <w:sz w:val="18"/>
          <w:szCs w:val="18"/>
        </w:rPr>
      </w:pPr>
      <w:r w:rsidRPr="00DE533F">
        <w:rPr>
          <w:rStyle w:val="Refdenotaalpie"/>
          <w:rFonts w:ascii="Verdana" w:hAnsi="Verdana" w:cs="Arial"/>
          <w:color w:val="000000"/>
          <w:sz w:val="18"/>
          <w:szCs w:val="18"/>
        </w:rPr>
        <w:footnoteRef/>
      </w:r>
      <w:r w:rsidRPr="00DE533F">
        <w:rPr>
          <w:rFonts w:ascii="Verdana" w:hAnsi="Verdana" w:cs="Arial"/>
          <w:color w:val="000000"/>
          <w:sz w:val="18"/>
          <w:szCs w:val="18"/>
        </w:rPr>
        <w:t xml:space="preserve"> </w:t>
      </w:r>
      <w:r w:rsidRPr="00DE533F">
        <w:rPr>
          <w:rFonts w:ascii="Verdana" w:hAnsi="Verdana" w:cs="Arial"/>
          <w:color w:val="000000"/>
          <w:sz w:val="18"/>
          <w:szCs w:val="18"/>
          <w:lang w:val="es-ES"/>
        </w:rPr>
        <w:t xml:space="preserve">Gaceta del Congreso. Cámara de Representantes. Año X – No. 642, 11 de diciembre de 2001. Disponible en: </w:t>
      </w:r>
      <w:hyperlink r:id="rId2" w:history="1">
        <w:r w:rsidRPr="00DE533F">
          <w:rPr>
            <w:rFonts w:ascii="Verdana" w:hAnsi="Verdana" w:cs="Arial"/>
            <w:color w:val="000000"/>
            <w:sz w:val="18"/>
            <w:szCs w:val="18"/>
            <w:lang w:val="es-ES"/>
          </w:rPr>
          <w:t>GACETAS DEL CONGRESO (imprenta.gov.co)</w:t>
        </w:r>
      </w:hyperlink>
      <w:r w:rsidRPr="00DE533F">
        <w:rPr>
          <w:rFonts w:ascii="Verdana" w:hAnsi="Verdana"/>
          <w:sz w:val="18"/>
          <w:szCs w:val="18"/>
        </w:rPr>
        <w:t>.</w:t>
      </w:r>
    </w:p>
  </w:footnote>
  <w:footnote w:id="5">
    <w:p w14:paraId="630F6CA2" w14:textId="77777777" w:rsidR="006019B1" w:rsidRPr="00DE533F" w:rsidRDefault="006019B1" w:rsidP="006019B1">
      <w:pPr>
        <w:pStyle w:val="NormalWeb"/>
        <w:shd w:val="clear" w:color="auto" w:fill="FFFFFF"/>
        <w:ind w:firstLine="709"/>
        <w:jc w:val="both"/>
        <w:rPr>
          <w:rFonts w:ascii="Verdana" w:hAnsi="Verdana" w:cs="Arial"/>
          <w:color w:val="000000"/>
          <w:sz w:val="18"/>
          <w:szCs w:val="18"/>
        </w:rPr>
      </w:pPr>
      <w:r w:rsidRPr="00DE533F">
        <w:rPr>
          <w:rStyle w:val="Refdenotaalpie"/>
          <w:rFonts w:ascii="Verdana" w:hAnsi="Verdana" w:cs="Arial"/>
          <w:color w:val="000000"/>
          <w:sz w:val="18"/>
          <w:szCs w:val="18"/>
        </w:rPr>
        <w:footnoteRef/>
      </w:r>
      <w:r w:rsidRPr="00DE533F">
        <w:rPr>
          <w:rFonts w:ascii="Verdana" w:hAnsi="Verdana" w:cs="Arial"/>
          <w:color w:val="000000"/>
          <w:sz w:val="18"/>
          <w:szCs w:val="18"/>
        </w:rPr>
        <w:t xml:space="preserve"> Decreto 1082 de 2015: “Artículo </w:t>
      </w:r>
      <w:bookmarkStart w:id="2" w:name="2.2.1.2.4.1.3"/>
      <w:bookmarkEnd w:id="2"/>
      <w:r w:rsidRPr="00DE533F">
        <w:rPr>
          <w:rFonts w:ascii="Verdana" w:hAnsi="Verdana" w:cs="Arial"/>
          <w:color w:val="000000"/>
          <w:sz w:val="18"/>
          <w:szCs w:val="18"/>
        </w:rPr>
        <w:t>2.2.1.2.4.1.3.</w:t>
      </w:r>
      <w:r w:rsidRPr="00DE533F">
        <w:rPr>
          <w:rFonts w:ascii="Verdana" w:hAnsi="Verdana" w:cs="Arial"/>
          <w:i/>
          <w:iCs/>
          <w:color w:val="000000"/>
          <w:sz w:val="18"/>
          <w:szCs w:val="18"/>
        </w:rPr>
        <w:t> </w:t>
      </w:r>
      <w:r w:rsidRPr="00DE533F">
        <w:rPr>
          <w:rFonts w:ascii="Verdana" w:hAnsi="Verdana" w:cs="Arial"/>
          <w:color w:val="000000"/>
          <w:sz w:val="18"/>
          <w:szCs w:val="18"/>
        </w:rPr>
        <w:t> </w:t>
      </w:r>
      <w:r w:rsidRPr="00DE533F">
        <w:rPr>
          <w:rFonts w:ascii="Verdana" w:hAnsi="Verdana" w:cs="Arial"/>
          <w:i/>
          <w:iCs/>
          <w:color w:val="000000"/>
          <w:sz w:val="18"/>
          <w:szCs w:val="18"/>
        </w:rPr>
        <w:t>Existencia de trato nacional.</w:t>
      </w:r>
      <w:r w:rsidRPr="00DE533F">
        <w:rPr>
          <w:rFonts w:ascii="Verdana" w:hAnsi="Verdana" w:cs="Arial"/>
          <w:color w:val="000000"/>
          <w:sz w:val="18"/>
          <w:szCs w:val="18"/>
        </w:rPr>
        <w:t xml:space="preserve"> La Entidad Estatal debe conceder trato nacional a: (a) los oferentes, bienes y servicios provenientes de Estados con los cuales Colombia tenga Acuerdos Comerciales, en los términos establecidos en tales Acuerdos Comerciales; (b) a los bienes y servicios provenientes de Estados con los cuales no exista un Acuerdo Comercial pero respecto de los cuales el Gobierno Nacional haya certificado que los oferentes de Bienes y Servicios Nacionales gozan de trato nacional, con base en la revisión y comparación de la normativa en materia de compras y contratación pública de dicho Estado; y (e) a los servicios prestados por oferentes miembros de la Comunidad Andina de Naciones teniendo en cuenta la regulación andina aplicable a la materia.</w:t>
      </w:r>
    </w:p>
    <w:p w14:paraId="61C775DD" w14:textId="77777777" w:rsidR="006019B1" w:rsidRPr="00DE533F" w:rsidRDefault="006019B1" w:rsidP="006019B1">
      <w:pPr>
        <w:shd w:val="clear" w:color="auto" w:fill="FFFFFF"/>
        <w:spacing w:line="240" w:lineRule="auto"/>
        <w:ind w:firstLine="709"/>
        <w:jc w:val="both"/>
        <w:rPr>
          <w:rFonts w:ascii="Verdana" w:hAnsi="Verdana" w:cs="Arial"/>
          <w:color w:val="000000"/>
          <w:sz w:val="18"/>
          <w:szCs w:val="18"/>
          <w:lang w:eastAsia="es-CO"/>
        </w:rPr>
      </w:pPr>
      <w:r w:rsidRPr="00DE533F">
        <w:rPr>
          <w:rFonts w:ascii="Verdana" w:hAnsi="Verdana" w:cs="Arial"/>
          <w:color w:val="000000"/>
          <w:sz w:val="18"/>
          <w:szCs w:val="18"/>
          <w:lang w:eastAsia="es-CO"/>
        </w:rPr>
        <w:t>El Ministerio de Relaciones Exteriores debe expedir el certificado por medio del cual se acredite la situación mencionada en el literal (b) anterior en relación con un Estado en particular, lo cual no es requerido para acreditar las situaciones a las que se refieren los literales (a) y (c) anteriores. Para constatar que los oferentes de Bienes y Servicios Nacionales gozan de trato nacional en un Estado, el Ministerio de Relaciones Exteriores debe revisar y comparar la normativa en materia de compras y contratación pública del respectivo Estado para lo cual puede solicitar el apoyo técnico del Ministerio de Comercio, Industria y Turismo y de Colombia Compra Eficiente, dentro de sus competencias legales.</w:t>
      </w:r>
    </w:p>
    <w:p w14:paraId="3C019885" w14:textId="77777777" w:rsidR="006019B1" w:rsidRPr="00DE533F" w:rsidRDefault="006019B1" w:rsidP="006019B1">
      <w:pPr>
        <w:shd w:val="clear" w:color="auto" w:fill="FFFFFF"/>
        <w:spacing w:line="240" w:lineRule="auto"/>
        <w:ind w:firstLine="709"/>
        <w:jc w:val="both"/>
        <w:rPr>
          <w:rFonts w:ascii="Verdana" w:hAnsi="Verdana" w:cs="Arial"/>
          <w:color w:val="000000"/>
          <w:sz w:val="18"/>
          <w:szCs w:val="18"/>
          <w:lang w:eastAsia="es-CO"/>
        </w:rPr>
      </w:pPr>
      <w:r w:rsidRPr="00DE533F">
        <w:rPr>
          <w:rFonts w:ascii="Verdana" w:hAnsi="Verdana" w:cs="Arial"/>
          <w:color w:val="000000"/>
          <w:sz w:val="18"/>
          <w:szCs w:val="18"/>
          <w:lang w:eastAsia="es-CO"/>
        </w:rPr>
        <w:t>Los certificados para acreditar la condición a la que se refiere el literal (b) anterior deben ser publicados en la forma y oportunidad que para el efecto disponga Colombia Compra Eficiente. La vigencia de los certificados será de dos años contados a partir de la fecha de su expedición, sin perjuicio de que el Ministerio de Comercio, Industria y Turismo o Colombia Compra Eficiente soliciten al Ministerio de Relaciones Exteriores su revisión con ocasión de la expedición de nueva normativa en el Estado sobre el cual se expide el certificado. Colombia Compra Eficiente puede determinar vía circular la forma como el Ministerio de Relaciones Exteriores debe constatar que los oferentes de Bienes y Servicios Nacionales gozan de trato nacional y de revisar y comparar la normativa en materia de compras y contratación pública para la expedición del certificado”.</w:t>
      </w:r>
    </w:p>
  </w:footnote>
  <w:footnote w:id="6">
    <w:p w14:paraId="2444FC1C" w14:textId="77777777" w:rsidR="006019B1" w:rsidRPr="00DE533F" w:rsidRDefault="006019B1" w:rsidP="006019B1">
      <w:pPr>
        <w:spacing w:line="240" w:lineRule="auto"/>
        <w:ind w:firstLine="709"/>
        <w:jc w:val="both"/>
        <w:rPr>
          <w:rFonts w:ascii="Verdana" w:hAnsi="Verdana" w:cs="Arial"/>
          <w:color w:val="000000"/>
          <w:sz w:val="18"/>
          <w:szCs w:val="18"/>
          <w:lang w:eastAsia="es-CO"/>
        </w:rPr>
      </w:pPr>
      <w:r w:rsidRPr="00DE533F">
        <w:rPr>
          <w:rStyle w:val="Refdenotaalpie"/>
          <w:rFonts w:ascii="Verdana" w:hAnsi="Verdana" w:cs="Arial"/>
          <w:color w:val="000000"/>
          <w:sz w:val="18"/>
          <w:szCs w:val="18"/>
        </w:rPr>
        <w:footnoteRef/>
      </w:r>
      <w:r w:rsidRPr="00DE533F">
        <w:rPr>
          <w:rFonts w:ascii="Verdana" w:hAnsi="Verdana" w:cs="Arial"/>
          <w:color w:val="000000"/>
          <w:sz w:val="18"/>
          <w:szCs w:val="18"/>
        </w:rPr>
        <w:t xml:space="preserve"> Decreto 1082 de 2015: </w:t>
      </w:r>
      <w:r w:rsidRPr="00DE533F">
        <w:rPr>
          <w:rFonts w:ascii="Verdana" w:hAnsi="Verdana" w:cs="Arial"/>
          <w:b/>
          <w:bCs/>
          <w:color w:val="000000"/>
          <w:sz w:val="18"/>
          <w:szCs w:val="18"/>
          <w:lang w:eastAsia="es-CO"/>
        </w:rPr>
        <w:t>“</w:t>
      </w:r>
      <w:r w:rsidRPr="00DE533F">
        <w:rPr>
          <w:rFonts w:ascii="Verdana" w:hAnsi="Verdana" w:cs="Arial"/>
          <w:color w:val="000000"/>
          <w:sz w:val="18"/>
          <w:szCs w:val="18"/>
          <w:lang w:eastAsia="es-CO"/>
        </w:rPr>
        <w:t>Artículo 2.2.1.1.2.1.3. Pliegos de condiciones. Los pliegos de condiciones deben contener por lo menos la siguiente información: </w:t>
      </w:r>
    </w:p>
    <w:p w14:paraId="05889731" w14:textId="77777777" w:rsidR="006019B1" w:rsidRPr="00DE533F" w:rsidRDefault="006019B1" w:rsidP="006019B1">
      <w:pPr>
        <w:spacing w:line="240" w:lineRule="auto"/>
        <w:ind w:firstLine="709"/>
        <w:jc w:val="both"/>
        <w:rPr>
          <w:rFonts w:ascii="Verdana" w:hAnsi="Verdana" w:cs="Arial"/>
          <w:color w:val="000000"/>
          <w:sz w:val="18"/>
          <w:szCs w:val="18"/>
          <w:lang w:eastAsia="es-CO"/>
        </w:rPr>
      </w:pPr>
      <w:r w:rsidRPr="00DE533F">
        <w:rPr>
          <w:rFonts w:ascii="Verdana" w:hAnsi="Verdana" w:cs="Arial"/>
          <w:color w:val="000000"/>
          <w:sz w:val="18"/>
          <w:szCs w:val="18"/>
          <w:lang w:eastAsia="es-CO"/>
        </w:rPr>
        <w:t>[…]</w:t>
      </w:r>
    </w:p>
    <w:p w14:paraId="641CDE2F" w14:textId="77777777" w:rsidR="006019B1" w:rsidRPr="00DE533F" w:rsidRDefault="006019B1" w:rsidP="006019B1">
      <w:pPr>
        <w:spacing w:line="240" w:lineRule="auto"/>
        <w:ind w:firstLine="709"/>
        <w:jc w:val="both"/>
        <w:rPr>
          <w:rFonts w:ascii="Verdana" w:hAnsi="Verdana" w:cs="Arial"/>
          <w:color w:val="000000"/>
          <w:sz w:val="18"/>
          <w:szCs w:val="18"/>
          <w:lang w:eastAsia="es-CO"/>
        </w:rPr>
      </w:pPr>
      <w:r w:rsidRPr="00DE533F">
        <w:rPr>
          <w:rFonts w:ascii="Verdana" w:hAnsi="Verdana" w:cs="Arial"/>
          <w:color w:val="000000"/>
          <w:sz w:val="18"/>
          <w:szCs w:val="18"/>
          <w:lang w:eastAsia="es-CO"/>
        </w:rPr>
        <w:t>  3. Los criterios de selección, incluyendo los factores de desempate y los incentivos cuando a ello haya lugar. </w:t>
      </w:r>
    </w:p>
    <w:p w14:paraId="4284916F" w14:textId="77777777" w:rsidR="006019B1" w:rsidRPr="00DE533F" w:rsidRDefault="006019B1" w:rsidP="006019B1">
      <w:pPr>
        <w:spacing w:line="240" w:lineRule="auto"/>
        <w:ind w:firstLine="709"/>
        <w:jc w:val="both"/>
        <w:rPr>
          <w:rFonts w:ascii="Verdana" w:hAnsi="Verdana" w:cs="Arial"/>
          <w:color w:val="000000"/>
          <w:sz w:val="18"/>
          <w:szCs w:val="18"/>
          <w:lang w:eastAsia="es-CO"/>
        </w:rPr>
      </w:pPr>
      <w:r w:rsidRPr="00DE533F">
        <w:rPr>
          <w:rFonts w:ascii="Verdana" w:hAnsi="Verdana" w:cs="Arial"/>
          <w:color w:val="000000"/>
          <w:sz w:val="18"/>
          <w:szCs w:val="18"/>
          <w:lang w:eastAsia="es-CO"/>
        </w:rPr>
        <w:t>[…]</w:t>
      </w:r>
    </w:p>
    <w:p w14:paraId="72CC196D" w14:textId="77777777" w:rsidR="006019B1" w:rsidRPr="00DE533F" w:rsidRDefault="006019B1" w:rsidP="006019B1">
      <w:pPr>
        <w:spacing w:line="240" w:lineRule="auto"/>
        <w:ind w:firstLine="709"/>
        <w:jc w:val="both"/>
        <w:rPr>
          <w:rFonts w:ascii="Verdana" w:hAnsi="Verdana" w:cs="Arial"/>
          <w:color w:val="000000"/>
          <w:sz w:val="18"/>
          <w:szCs w:val="18"/>
          <w:lang w:eastAsia="es-CO"/>
        </w:rPr>
      </w:pPr>
      <w:r w:rsidRPr="00DE533F">
        <w:rPr>
          <w:rFonts w:ascii="Verdana" w:hAnsi="Verdana" w:cs="Arial"/>
          <w:color w:val="000000"/>
          <w:sz w:val="18"/>
          <w:szCs w:val="18"/>
          <w:lang w:eastAsia="es-CO"/>
        </w:rPr>
        <w:t>5. Las reglas aplicables a la presentación de las ofertas, su evaluación y a la adjudicación del contrato […]”.</w:t>
      </w:r>
    </w:p>
  </w:footnote>
  <w:footnote w:id="7">
    <w:p w14:paraId="1AF85D17" w14:textId="77777777" w:rsidR="006019B1" w:rsidRPr="00DE533F" w:rsidRDefault="006019B1" w:rsidP="006019B1">
      <w:pPr>
        <w:pStyle w:val="Textonotapie"/>
        <w:ind w:firstLine="709"/>
        <w:jc w:val="both"/>
        <w:rPr>
          <w:rFonts w:ascii="Verdana" w:hAnsi="Verdana"/>
          <w:sz w:val="18"/>
          <w:szCs w:val="18"/>
          <w:lang w:val="es-ES_tradnl"/>
        </w:rPr>
      </w:pPr>
      <w:r w:rsidRPr="00DE533F">
        <w:rPr>
          <w:rStyle w:val="Refdenotaalpie"/>
          <w:rFonts w:ascii="Verdana" w:hAnsi="Verdana"/>
          <w:sz w:val="18"/>
          <w:szCs w:val="18"/>
        </w:rPr>
        <w:footnoteRef/>
      </w:r>
      <w:r w:rsidRPr="00DE533F">
        <w:rPr>
          <w:rFonts w:ascii="Verdana" w:hAnsi="Verdana"/>
          <w:sz w:val="18"/>
          <w:szCs w:val="18"/>
        </w:rPr>
        <w:t xml:space="preserve"> </w:t>
      </w:r>
      <w:r w:rsidRPr="00DE533F">
        <w:rPr>
          <w:rFonts w:ascii="Verdana" w:hAnsi="Verdana" w:cs="Arial"/>
          <w:iCs/>
          <w:color w:val="000000"/>
          <w:sz w:val="18"/>
          <w:szCs w:val="18"/>
          <w:lang w:val="es-CO"/>
        </w:rPr>
        <w:t>Corte definido a partir del diagrama de Pareto.</w:t>
      </w:r>
      <w:r w:rsidRPr="00DE533F">
        <w:rPr>
          <w:rFonts w:ascii="Verdana" w:hAnsi="Verdana" w:cs="Arial"/>
          <w:sz w:val="18"/>
          <w:szCs w:val="18"/>
        </w:rPr>
        <w:t xml:space="preserve"> Este es una herramienta gráfica donde los datos se ordenan de mayor a menor, lo que deja más en claro qué aspectos deben resolverse primero y se apoya en el principio de Pareto, que dice que el 80% de las consecuencias son el resultado del 20% de las causas.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CB31615"/>
    <w:multiLevelType w:val="hybridMultilevel"/>
    <w:tmpl w:val="B34639CA"/>
    <w:lvl w:ilvl="0" w:tplc="02B06D6C">
      <w:start w:val="1"/>
      <w:numFmt w:val="decimal"/>
      <w:lvlText w:val="%1."/>
      <w:lvlJc w:val="left"/>
      <w:pPr>
        <w:ind w:left="644" w:hanging="360"/>
      </w:pPr>
      <w:rPr>
        <w:rFonts w:ascii="Arial" w:hAnsi="Arial" w:hint="default"/>
        <w:sz w:val="20"/>
        <w:szCs w:val="20"/>
      </w:rPr>
    </w:lvl>
    <w:lvl w:ilvl="1" w:tplc="3148F37C">
      <w:start w:val="1"/>
      <w:numFmt w:val="lowerLetter"/>
      <w:lvlText w:val="%2."/>
      <w:lvlJc w:val="left"/>
      <w:pPr>
        <w:ind w:left="1364" w:hanging="360"/>
      </w:pPr>
    </w:lvl>
    <w:lvl w:ilvl="2" w:tplc="951CFC16" w:tentative="1">
      <w:start w:val="1"/>
      <w:numFmt w:val="lowerRoman"/>
      <w:lvlText w:val="%3."/>
      <w:lvlJc w:val="right"/>
      <w:pPr>
        <w:ind w:left="2084" w:hanging="180"/>
      </w:pPr>
    </w:lvl>
    <w:lvl w:ilvl="3" w:tplc="7B18B244" w:tentative="1">
      <w:start w:val="1"/>
      <w:numFmt w:val="decimal"/>
      <w:lvlText w:val="%4."/>
      <w:lvlJc w:val="left"/>
      <w:pPr>
        <w:ind w:left="2804" w:hanging="360"/>
      </w:pPr>
    </w:lvl>
    <w:lvl w:ilvl="4" w:tplc="482423F4" w:tentative="1">
      <w:start w:val="1"/>
      <w:numFmt w:val="lowerLetter"/>
      <w:lvlText w:val="%5."/>
      <w:lvlJc w:val="left"/>
      <w:pPr>
        <w:ind w:left="3524" w:hanging="360"/>
      </w:pPr>
    </w:lvl>
    <w:lvl w:ilvl="5" w:tplc="978442D8" w:tentative="1">
      <w:start w:val="1"/>
      <w:numFmt w:val="lowerRoman"/>
      <w:lvlText w:val="%6."/>
      <w:lvlJc w:val="right"/>
      <w:pPr>
        <w:ind w:left="4244" w:hanging="180"/>
      </w:pPr>
    </w:lvl>
    <w:lvl w:ilvl="6" w:tplc="DF148CB0" w:tentative="1">
      <w:start w:val="1"/>
      <w:numFmt w:val="decimal"/>
      <w:lvlText w:val="%7."/>
      <w:lvlJc w:val="left"/>
      <w:pPr>
        <w:ind w:left="4964" w:hanging="360"/>
      </w:pPr>
    </w:lvl>
    <w:lvl w:ilvl="7" w:tplc="BBA06F08" w:tentative="1">
      <w:start w:val="1"/>
      <w:numFmt w:val="lowerLetter"/>
      <w:lvlText w:val="%8."/>
      <w:lvlJc w:val="left"/>
      <w:pPr>
        <w:ind w:left="5684" w:hanging="360"/>
      </w:pPr>
    </w:lvl>
    <w:lvl w:ilvl="8" w:tplc="0268C802" w:tentative="1">
      <w:start w:val="1"/>
      <w:numFmt w:val="lowerRoman"/>
      <w:lvlText w:val="%9."/>
      <w:lvlJc w:val="right"/>
      <w:pPr>
        <w:ind w:left="6404" w:hanging="18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81B32BE"/>
    <w:multiLevelType w:val="hybridMultilevel"/>
    <w:tmpl w:val="C62E62E4"/>
    <w:lvl w:ilvl="0" w:tplc="37C6036A">
      <w:start w:val="1"/>
      <w:numFmt w:val="decimal"/>
      <w:lvlText w:val="%1."/>
      <w:lvlJc w:val="left"/>
      <w:pPr>
        <w:ind w:left="502" w:hanging="360"/>
      </w:pPr>
      <w:rPr>
        <w:rFonts w:hint="default"/>
        <w:b/>
        <w:bCs/>
        <w:i w:val="0"/>
        <w:iCs/>
      </w:rPr>
    </w:lvl>
    <w:lvl w:ilvl="1" w:tplc="240A0019">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55A02520"/>
    <w:multiLevelType w:val="hybridMultilevel"/>
    <w:tmpl w:val="6EC02ED0"/>
    <w:lvl w:ilvl="0" w:tplc="C3E6DFF6">
      <w:start w:val="1"/>
      <w:numFmt w:val="decimal"/>
      <w:lvlText w:val="%1."/>
      <w:lvlJc w:val="left"/>
      <w:pPr>
        <w:ind w:left="1069" w:hanging="360"/>
      </w:pPr>
      <w:rPr>
        <w:rFonts w:hint="default"/>
        <w:b/>
        <w:i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15:restartNumberingAfterBreak="0">
    <w:nsid w:val="58347D49"/>
    <w:multiLevelType w:val="hybridMultilevel"/>
    <w:tmpl w:val="50A08EB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7"/>
  </w:num>
  <w:num w:numId="7" w16cid:durableId="1946422806">
    <w:abstractNumId w:val="6"/>
  </w:num>
  <w:num w:numId="8" w16cid:durableId="152644682">
    <w:abstractNumId w:val="16"/>
  </w:num>
  <w:num w:numId="9" w16cid:durableId="1317221377">
    <w:abstractNumId w:val="8"/>
  </w:num>
  <w:num w:numId="10" w16cid:durableId="1471245386">
    <w:abstractNumId w:val="15"/>
  </w:num>
  <w:num w:numId="11" w16cid:durableId="289172385">
    <w:abstractNumId w:val="9"/>
  </w:num>
  <w:num w:numId="12" w16cid:durableId="1470781324">
    <w:abstractNumId w:val="1"/>
  </w:num>
  <w:num w:numId="13" w16cid:durableId="1512908409">
    <w:abstractNumId w:val="3"/>
  </w:num>
  <w:num w:numId="14" w16cid:durableId="895897244">
    <w:abstractNumId w:val="18"/>
  </w:num>
  <w:num w:numId="15" w16cid:durableId="390349800">
    <w:abstractNumId w:val="14"/>
  </w:num>
  <w:num w:numId="16" w16cid:durableId="341274352">
    <w:abstractNumId w:val="0"/>
  </w:num>
  <w:num w:numId="17" w16cid:durableId="679089576">
    <w:abstractNumId w:val="11"/>
  </w:num>
  <w:num w:numId="18" w16cid:durableId="2135826949">
    <w:abstractNumId w:val="13"/>
  </w:num>
  <w:num w:numId="19" w16cid:durableId="1927834805">
    <w:abstractNumId w:val="10"/>
  </w:num>
  <w:num w:numId="20" w16cid:durableId="2037197309">
    <w:abstractNumId w:val="4"/>
  </w:num>
  <w:num w:numId="21" w16cid:durableId="7456169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2ECD"/>
    <w:rsid w:val="000A683E"/>
    <w:rsid w:val="000B19B9"/>
    <w:rsid w:val="000D0334"/>
    <w:rsid w:val="000D5DA7"/>
    <w:rsid w:val="000F6486"/>
    <w:rsid w:val="00116940"/>
    <w:rsid w:val="00125105"/>
    <w:rsid w:val="00127233"/>
    <w:rsid w:val="0015699B"/>
    <w:rsid w:val="001727C4"/>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60875"/>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3702E"/>
    <w:rsid w:val="005566E8"/>
    <w:rsid w:val="00574867"/>
    <w:rsid w:val="00591460"/>
    <w:rsid w:val="005A65E0"/>
    <w:rsid w:val="005C3777"/>
    <w:rsid w:val="005C5CDC"/>
    <w:rsid w:val="005D476C"/>
    <w:rsid w:val="006019B1"/>
    <w:rsid w:val="006200BF"/>
    <w:rsid w:val="006219F8"/>
    <w:rsid w:val="006302F7"/>
    <w:rsid w:val="00646B9F"/>
    <w:rsid w:val="00665D70"/>
    <w:rsid w:val="006900D9"/>
    <w:rsid w:val="00706C16"/>
    <w:rsid w:val="007340C3"/>
    <w:rsid w:val="0075235A"/>
    <w:rsid w:val="00756841"/>
    <w:rsid w:val="007649AB"/>
    <w:rsid w:val="00771D0C"/>
    <w:rsid w:val="00780A36"/>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C3B7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34240"/>
    <w:rsid w:val="00AB0ADB"/>
    <w:rsid w:val="00B00C0E"/>
    <w:rsid w:val="00B01B1A"/>
    <w:rsid w:val="00B0381D"/>
    <w:rsid w:val="00B05C17"/>
    <w:rsid w:val="00B44A47"/>
    <w:rsid w:val="00B60A01"/>
    <w:rsid w:val="00B72CD3"/>
    <w:rsid w:val="00B72FFF"/>
    <w:rsid w:val="00BC3D36"/>
    <w:rsid w:val="00BD54A6"/>
    <w:rsid w:val="00BD7F72"/>
    <w:rsid w:val="00BF7425"/>
    <w:rsid w:val="00C04FB3"/>
    <w:rsid w:val="00C11D8B"/>
    <w:rsid w:val="00C15139"/>
    <w:rsid w:val="00C248BB"/>
    <w:rsid w:val="00C330EB"/>
    <w:rsid w:val="00C50D69"/>
    <w:rsid w:val="00C5365C"/>
    <w:rsid w:val="00C55C50"/>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283"/>
    <w:rsid w:val="00E8772A"/>
    <w:rsid w:val="00E90F6B"/>
    <w:rsid w:val="00E92C27"/>
    <w:rsid w:val="00E97E60"/>
    <w:rsid w:val="00EA0E3D"/>
    <w:rsid w:val="00EA1E7F"/>
    <w:rsid w:val="00EC38A7"/>
    <w:rsid w:val="00EE1AA8"/>
    <w:rsid w:val="00F23FEA"/>
    <w:rsid w:val="00F31EDC"/>
    <w:rsid w:val="00F462B3"/>
    <w:rsid w:val="00F5664F"/>
    <w:rsid w:val="00F666C4"/>
    <w:rsid w:val="00F76AFC"/>
    <w:rsid w:val="00FA47C0"/>
    <w:rsid w:val="00FB5DD1"/>
    <w:rsid w:val="00FC2B5D"/>
    <w:rsid w:val="00FD484D"/>
    <w:rsid w:val="00FF1449"/>
    <w:rsid w:val="00FF773E"/>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8B08A2A"/>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6019B1"/>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normativa-y-relatoria/documentos-tipo" TargetMode="External"/><Relationship Id="rId18" Type="http://schemas.openxmlformats.org/officeDocument/2006/relationships/image" Target="media/image5.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4.png"/><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5" Type="http://schemas.openxmlformats.org/officeDocument/2006/relationships/hyperlink" Target="https://formacionvirtual.colombiacompra.gov.co/mod/page/view.php?id=3718"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vrpubindc.imprenta.gov.co/senado/" TargetMode="External"/><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65DC6038-461B-407C-B334-79B315D10610}"/>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30</Pages>
  <Words>9584</Words>
  <Characters>52717</Characters>
  <Application>Microsoft Office Word</Application>
  <DocSecurity>0</DocSecurity>
  <Lines>439</Lines>
  <Paragraphs>124</Paragraphs>
  <ScaleCrop>false</ScaleCrop>
  <Company/>
  <LinksUpToDate>false</LinksUpToDate>
  <CharactersWithSpaces>62177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Arlid Herrera Santa</cp:lastModifiedBy>
  <cp:revision>4</cp:revision>
  <cp:lastPrinted>2023-01-10T21:18:00Z</cp:lastPrinted>
  <dcterms:created xsi:type="dcterms:W3CDTF">2026-04-28T21:43:00Z</dcterms:created>
  <dcterms:modified xsi:type="dcterms:W3CDTF">2026-04-28T21:46:00Z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