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BAE23" w14:textId="77777777" w:rsidR="00AC4D7E" w:rsidRPr="00AC4D7E" w:rsidRDefault="00AC4D7E" w:rsidP="00AC4D7E">
      <w:pPr>
        <w:spacing w:line="276" w:lineRule="auto"/>
        <w:jc w:val="both"/>
        <w:rPr>
          <w:rFonts w:ascii="Verdana" w:eastAsia="Calibri" w:hAnsi="Verdana" w:cs="Arial"/>
          <w:bCs/>
        </w:rPr>
      </w:pPr>
      <w:bookmarkStart w:id="0" w:name="_Hlk143780582"/>
      <w:r w:rsidRPr="00AC4D7E">
        <w:rPr>
          <w:rFonts w:ascii="Verdana" w:eastAsia="Calibri" w:hAnsi="Verdana" w:cs="Arial"/>
          <w:b/>
          <w:bCs/>
        </w:rPr>
        <w:t>SUBSANABILIDAD – Concepto – Límites</w:t>
      </w:r>
    </w:p>
    <w:p w14:paraId="1E8452FA" w14:textId="77777777" w:rsidR="00AC4D7E" w:rsidRPr="00AC4D7E" w:rsidRDefault="00AC4D7E" w:rsidP="00AC4D7E">
      <w:pPr>
        <w:spacing w:line="276" w:lineRule="auto"/>
        <w:jc w:val="both"/>
        <w:rPr>
          <w:rFonts w:ascii="Verdana" w:eastAsia="Calibri" w:hAnsi="Verdana" w:cs="Arial"/>
          <w:bCs/>
          <w:sz w:val="20"/>
          <w:szCs w:val="20"/>
        </w:rPr>
      </w:pPr>
      <w:r w:rsidRPr="00AC4D7E">
        <w:rPr>
          <w:rFonts w:ascii="Verdana" w:eastAsia="Calibri" w:hAnsi="Verdana" w:cs="Arial"/>
          <w:bCs/>
          <w:sz w:val="20"/>
          <w:szCs w:val="20"/>
        </w:rPr>
        <w:t xml:space="preserve">La </w:t>
      </w:r>
      <w:proofErr w:type="spellStart"/>
      <w:r w:rsidRPr="00AC4D7E">
        <w:rPr>
          <w:rFonts w:ascii="Verdana" w:eastAsia="Calibri" w:hAnsi="Verdana" w:cs="Arial"/>
          <w:bCs/>
          <w:sz w:val="20"/>
          <w:szCs w:val="20"/>
        </w:rPr>
        <w:t>subsanabilidad</w:t>
      </w:r>
      <w:proofErr w:type="spellEnd"/>
      <w:r w:rsidRPr="00AC4D7E">
        <w:rPr>
          <w:rFonts w:ascii="Verdana" w:eastAsia="Calibri" w:hAnsi="Verdana" w:cs="Arial"/>
          <w:bCs/>
          <w:sz w:val="20"/>
          <w:szCs w:val="20"/>
        </w:rPr>
        <w:t xml:space="preserve">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w:t>
      </w:r>
    </w:p>
    <w:p w14:paraId="557007A0" w14:textId="77777777" w:rsidR="00AC4D7E" w:rsidRPr="00AC4D7E" w:rsidRDefault="00AC4D7E" w:rsidP="00AC4D7E">
      <w:pPr>
        <w:spacing w:line="276" w:lineRule="auto"/>
        <w:jc w:val="both"/>
        <w:rPr>
          <w:rFonts w:ascii="Verdana" w:eastAsia="Calibri" w:hAnsi="Verdana" w:cs="Arial"/>
          <w:bCs/>
          <w:sz w:val="20"/>
          <w:szCs w:val="20"/>
        </w:rPr>
      </w:pPr>
      <w:r w:rsidRPr="00AC4D7E">
        <w:rPr>
          <w:rFonts w:ascii="Verdana" w:eastAsia="Calibri" w:hAnsi="Verdana" w:cs="Arial"/>
          <w:bCs/>
          <w:sz w:val="20"/>
          <w:szCs w:val="20"/>
        </w:rPr>
        <w:t xml:space="preserve">[…] Esta norma [Ley 1882 de 2018]: i) mantiene el criterio de la Ley 80 de 1993, relativo a que todo lo que no sea necesario para la comparación de propuestas no es título suficiente para su rechazo; </w:t>
      </w:r>
      <w:proofErr w:type="spellStart"/>
      <w:r w:rsidRPr="00AC4D7E">
        <w:rPr>
          <w:rFonts w:ascii="Verdana" w:eastAsia="Calibri" w:hAnsi="Verdana" w:cs="Arial"/>
          <w:bCs/>
          <w:sz w:val="20"/>
          <w:szCs w:val="20"/>
        </w:rPr>
        <w:t>ii</w:t>
      </w:r>
      <w:proofErr w:type="spellEnd"/>
      <w:r w:rsidRPr="00AC4D7E">
        <w:rPr>
          <w:rFonts w:ascii="Verdana" w:eastAsia="Calibri" w:hAnsi="Verdana" w:cs="Arial"/>
          <w:bCs/>
          <w:sz w:val="20"/>
          <w:szCs w:val="20"/>
        </w:rPr>
        <w:t xml:space="preserve">) mantiene el criterio aclaratorio de la Ley 1150 de 2007, según el cual todo lo que no afecte la asignación de puntaje puede subsanarse y, </w:t>
      </w:r>
      <w:proofErr w:type="spellStart"/>
      <w:r w:rsidRPr="00AC4D7E">
        <w:rPr>
          <w:rFonts w:ascii="Verdana" w:eastAsia="Calibri" w:hAnsi="Verdana" w:cs="Arial"/>
          <w:bCs/>
          <w:sz w:val="20"/>
          <w:szCs w:val="20"/>
        </w:rPr>
        <w:t>iii</w:t>
      </w:r>
      <w:proofErr w:type="spellEnd"/>
      <w:r w:rsidRPr="00AC4D7E">
        <w:rPr>
          <w:rFonts w:ascii="Verdana" w:eastAsia="Calibri" w:hAnsi="Verdana" w:cs="Arial"/>
          <w:bCs/>
          <w:sz w:val="20"/>
          <w:szCs w:val="20"/>
        </w:rPr>
        <w:t>) introduce modificaciones en relación con tres (3) aspectos que se analizarán a continuación:</w:t>
      </w:r>
    </w:p>
    <w:p w14:paraId="45E177EA" w14:textId="77777777" w:rsidR="00AC4D7E" w:rsidRPr="00AC4D7E" w:rsidRDefault="00AC4D7E" w:rsidP="00AC4D7E">
      <w:pPr>
        <w:spacing w:line="276" w:lineRule="auto"/>
        <w:jc w:val="both"/>
        <w:rPr>
          <w:rFonts w:ascii="Verdana" w:eastAsia="Calibri" w:hAnsi="Verdana" w:cs="Arial"/>
          <w:bCs/>
          <w:sz w:val="20"/>
          <w:szCs w:val="20"/>
        </w:rPr>
      </w:pPr>
      <w:r w:rsidRPr="00AC4D7E">
        <w:rPr>
          <w:rFonts w:ascii="Verdana" w:eastAsia="Calibri" w:hAnsi="Verdana" w:cs="Arial"/>
          <w:bCs/>
          <w:sz w:val="20"/>
          <w:szCs w:val="2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 requisitos subsanables deben solicitarse, como límite final, hasta el momento previo a su realización.</w:t>
      </w:r>
    </w:p>
    <w:p w14:paraId="75C23055" w14:textId="77777777" w:rsidR="00AC4D7E" w:rsidRPr="00AC4D7E" w:rsidRDefault="00AC4D7E" w:rsidP="00AC4D7E">
      <w:pPr>
        <w:spacing w:line="276" w:lineRule="auto"/>
        <w:jc w:val="both"/>
        <w:rPr>
          <w:rFonts w:ascii="Verdana" w:eastAsia="Calibri" w:hAnsi="Verdana" w:cs="Arial"/>
          <w:bCs/>
          <w:sz w:val="20"/>
          <w:szCs w:val="20"/>
        </w:rPr>
      </w:pPr>
      <w:r w:rsidRPr="00AC4D7E">
        <w:rPr>
          <w:rFonts w:ascii="Verdana" w:eastAsia="Calibri" w:hAnsi="Verdana" w:cs="Arial"/>
          <w:bCs/>
          <w:sz w:val="20"/>
          <w:szCs w:val="20"/>
        </w:rPr>
        <w:t xml:space="preserve">De otro lado, el segundo cambio importante de la Ley 1882 de 2018 es el correspondiente a la garantía de seriedad. El parágrafo 3 del artículo 5 de la Ley 1150 de 2007, adicionado por el artículo 5 de la Ley 1882 de 2018 dispone que la falta de entrega de la garantía de seriedad es insubsanable. Al respecto, la norma prescribe lo siguiente: «PARÁGRAFO 3o. La no entrega de la garantía de seriedad junto con la propuesta no será subsanable y será causal de rechazo de </w:t>
      </w:r>
      <w:proofErr w:type="gramStart"/>
      <w:r w:rsidRPr="00AC4D7E">
        <w:rPr>
          <w:rFonts w:ascii="Verdana" w:eastAsia="Calibri" w:hAnsi="Verdana" w:cs="Arial"/>
          <w:bCs/>
          <w:sz w:val="20"/>
          <w:szCs w:val="20"/>
        </w:rPr>
        <w:t>la misma</w:t>
      </w:r>
      <w:proofErr w:type="gramEnd"/>
      <w:r w:rsidRPr="00AC4D7E">
        <w:rPr>
          <w:rFonts w:ascii="Verdana" w:eastAsia="Calibri" w:hAnsi="Verdana" w:cs="Arial"/>
          <w:bCs/>
          <w:sz w:val="20"/>
          <w:szCs w:val="20"/>
        </w:rPr>
        <w:t>».</w:t>
      </w:r>
    </w:p>
    <w:p w14:paraId="35C53566" w14:textId="77777777" w:rsidR="00AC4D7E" w:rsidRPr="00AC4D7E" w:rsidRDefault="00AC4D7E" w:rsidP="00AC4D7E">
      <w:pPr>
        <w:spacing w:line="276" w:lineRule="auto"/>
        <w:jc w:val="both"/>
        <w:rPr>
          <w:rFonts w:ascii="Verdana" w:eastAsia="Calibri" w:hAnsi="Verdana" w:cs="Arial"/>
          <w:bCs/>
          <w:sz w:val="20"/>
          <w:szCs w:val="20"/>
        </w:rPr>
      </w:pPr>
      <w:r w:rsidRPr="00AC4D7E">
        <w:rPr>
          <w:rFonts w:ascii="Verdana" w:eastAsia="Calibri" w:hAnsi="Verdana" w:cs="Arial"/>
          <w:bCs/>
          <w:sz w:val="20"/>
          <w:szCs w:val="20"/>
        </w:rPr>
        <w:t>Finalmente, el último cambio importante de la Ley 1882 de 2018 fue la introducción de un criterio material, directamente relacionado con los aspectos subsanables: «los proponentes no podrán acreditar circunstancias ocurridas con posterioridad al cierre del proceso». Esta regla tiene una finalidad particular, y es que, al momento de presentar la oferta, el proponente la deberá hacerlo de forma íntegra y así evitar que a lo largo del procedimiento contractual complete o adicione su propuesta, conforme mejora su situación particular.</w:t>
      </w:r>
    </w:p>
    <w:p w14:paraId="699E6218" w14:textId="77777777" w:rsidR="00AC4D7E" w:rsidRPr="00AC4D7E" w:rsidRDefault="00AC4D7E" w:rsidP="00AC4D7E">
      <w:pPr>
        <w:spacing w:line="276" w:lineRule="auto"/>
        <w:jc w:val="both"/>
        <w:rPr>
          <w:rFonts w:ascii="Verdana" w:eastAsia="Calibri" w:hAnsi="Verdana" w:cs="Arial"/>
          <w:bCs/>
        </w:rPr>
      </w:pPr>
      <w:r w:rsidRPr="00AC4D7E">
        <w:rPr>
          <w:rFonts w:ascii="Verdana" w:eastAsia="Calibri" w:hAnsi="Verdana" w:cs="Arial"/>
          <w:b/>
          <w:bCs/>
        </w:rPr>
        <w:t>SUBSANACIÓN – Requisitos Habilitantes – Reglas</w:t>
      </w:r>
    </w:p>
    <w:p w14:paraId="7C261CF7" w14:textId="77777777" w:rsidR="00AC4D7E" w:rsidRPr="00AC4D7E" w:rsidRDefault="00AC4D7E" w:rsidP="00AC4D7E">
      <w:pPr>
        <w:spacing w:line="276" w:lineRule="auto"/>
        <w:jc w:val="both"/>
        <w:rPr>
          <w:rFonts w:ascii="Verdana" w:eastAsia="Calibri" w:hAnsi="Verdana" w:cs="Arial"/>
          <w:bCs/>
          <w:sz w:val="20"/>
          <w:szCs w:val="20"/>
        </w:rPr>
      </w:pPr>
      <w:r w:rsidRPr="00AC4D7E">
        <w:rPr>
          <w:rFonts w:ascii="Verdana" w:eastAsia="Calibri" w:hAnsi="Verdana" w:cs="Arial"/>
          <w:bCs/>
          <w:sz w:val="20"/>
          <w:szCs w:val="20"/>
        </w:rPr>
        <w:t xml:space="preserve">En consecuencia, una vez verificada la ausencia de requisitos y/o documentos de la oferta, para efectos de saber si se pueden subsanar, la Entidad Estatal se debe </w:t>
      </w:r>
      <w:r w:rsidRPr="00AC4D7E">
        <w:rPr>
          <w:rFonts w:ascii="Verdana" w:eastAsia="Calibri" w:hAnsi="Verdana" w:cs="Arial"/>
          <w:bCs/>
          <w:sz w:val="20"/>
          <w:szCs w:val="20"/>
        </w:rPr>
        <w:lastRenderedPageBreak/>
        <w:t>preguntar, en primer lugar, si lo que hace falta o debe corregirse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5D321F4C" w14:textId="7408E90A" w:rsidR="00AC4D7E" w:rsidRPr="00AC4D7E" w:rsidRDefault="00AC4D7E" w:rsidP="00AC4D7E">
      <w:pPr>
        <w:spacing w:line="276" w:lineRule="auto"/>
        <w:jc w:val="both"/>
        <w:rPr>
          <w:rFonts w:ascii="Verdana" w:eastAsia="Calibri" w:hAnsi="Verdana" w:cs="Arial"/>
          <w:bCs/>
        </w:rPr>
      </w:pPr>
      <w:r w:rsidRPr="00AC4D7E">
        <w:rPr>
          <w:rFonts w:ascii="Verdana" w:eastAsia="Calibri" w:hAnsi="Verdana" w:cs="Arial"/>
          <w:b/>
          <w:bCs/>
        </w:rPr>
        <w:t>Manual para determinar y verificar los requisitos habilitantes en los Procesos de Contratación – consulta</w:t>
      </w:r>
    </w:p>
    <w:p w14:paraId="66E79247" w14:textId="77777777" w:rsidR="00AC4D7E" w:rsidRPr="00AC4D7E" w:rsidRDefault="00AC4D7E" w:rsidP="00AC4D7E">
      <w:pPr>
        <w:spacing w:line="276" w:lineRule="auto"/>
        <w:jc w:val="both"/>
        <w:rPr>
          <w:rFonts w:ascii="Verdana" w:eastAsia="Calibri" w:hAnsi="Verdana" w:cs="Arial"/>
          <w:bCs/>
          <w:sz w:val="20"/>
          <w:szCs w:val="20"/>
        </w:rPr>
      </w:pPr>
      <w:r w:rsidRPr="00AC4D7E">
        <w:rPr>
          <w:rFonts w:ascii="Verdana" w:eastAsia="Calibri" w:hAnsi="Verdana" w:cs="Arial"/>
          <w:bCs/>
          <w:sz w:val="20"/>
          <w:szCs w:val="20"/>
        </w:rPr>
        <w:t>El Manual para determinar y verificar los requisitos habilitantes en los Procesos de Contratación, elaborado por Colombia Compra Eficiente</w:t>
      </w:r>
      <w:bookmarkStart w:id="1" w:name="_ftnref1"/>
      <w:r w:rsidRPr="00AC4D7E">
        <w:rPr>
          <w:rFonts w:ascii="Verdana" w:eastAsia="Calibri" w:hAnsi="Verdana" w:cs="Arial"/>
          <w:bCs/>
          <w:sz w:val="20"/>
          <w:szCs w:val="20"/>
        </w:rPr>
        <w:fldChar w:fldCharType="begin"/>
      </w:r>
      <w:r w:rsidRPr="00AC4D7E">
        <w:rPr>
          <w:rFonts w:ascii="Verdana" w:eastAsia="Calibri" w:hAnsi="Verdana" w:cs="Arial"/>
          <w:bCs/>
          <w:sz w:val="20"/>
          <w:szCs w:val="20"/>
        </w:rPr>
        <w:instrText>HYPERLINK "https://relatoria.colombiacompra.gov.co/conceptos/c-518-de-2025/" \l "_ftn1"</w:instrText>
      </w:r>
      <w:r w:rsidRPr="00AC4D7E">
        <w:rPr>
          <w:rFonts w:ascii="Verdana" w:eastAsia="Calibri" w:hAnsi="Verdana" w:cs="Arial"/>
          <w:bCs/>
          <w:sz w:val="20"/>
          <w:szCs w:val="20"/>
        </w:rPr>
      </w:r>
      <w:r w:rsidRPr="00AC4D7E">
        <w:rPr>
          <w:rFonts w:ascii="Verdana" w:eastAsia="Calibri" w:hAnsi="Verdana" w:cs="Arial"/>
          <w:bCs/>
          <w:sz w:val="20"/>
          <w:szCs w:val="20"/>
        </w:rPr>
        <w:fldChar w:fldCharType="separate"/>
      </w:r>
      <w:r w:rsidRPr="00AC4D7E">
        <w:rPr>
          <w:rStyle w:val="Hipervnculo"/>
          <w:rFonts w:ascii="Verdana" w:eastAsia="Calibri" w:hAnsi="Verdana" w:cs="Arial"/>
          <w:bCs/>
          <w:sz w:val="20"/>
          <w:szCs w:val="20"/>
        </w:rPr>
        <w:t>[1]</w:t>
      </w:r>
      <w:r w:rsidRPr="00AC4D7E">
        <w:rPr>
          <w:rFonts w:ascii="Verdana" w:eastAsia="Calibri" w:hAnsi="Verdana" w:cs="Arial"/>
          <w:bCs/>
          <w:sz w:val="20"/>
          <w:szCs w:val="20"/>
          <w:lang w:val="es-ES"/>
        </w:rPr>
        <w:fldChar w:fldCharType="end"/>
      </w:r>
      <w:bookmarkEnd w:id="1"/>
      <w:r w:rsidRPr="00AC4D7E">
        <w:rPr>
          <w:rFonts w:ascii="Verdana" w:eastAsia="Calibri" w:hAnsi="Verdana" w:cs="Arial"/>
          <w:bCs/>
          <w:sz w:val="20"/>
          <w:szCs w:val="20"/>
        </w:rPr>
        <w:t>,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w:t>
      </w:r>
    </w:p>
    <w:p w14:paraId="07D72603" w14:textId="5663FA88" w:rsidR="00407333" w:rsidRPr="00547A08" w:rsidRDefault="00407333" w:rsidP="00AC4D7E">
      <w:pPr>
        <w:spacing w:line="276" w:lineRule="auto"/>
        <w:jc w:val="both"/>
        <w:rPr>
          <w:rFonts w:ascii="Verdana" w:eastAsia="Calibri" w:hAnsi="Verdana" w:cs="Arial"/>
          <w:bCs/>
          <w:sz w:val="20"/>
          <w:szCs w:val="20"/>
          <w:lang w:val="es-ES"/>
        </w:rPr>
      </w:pPr>
      <w:r w:rsidRPr="00547A08">
        <w:rPr>
          <w:rFonts w:ascii="Verdana" w:eastAsia="Calibri" w:hAnsi="Verdana" w:cs="Arial"/>
          <w:bCs/>
          <w:sz w:val="20"/>
          <w:szCs w:val="20"/>
          <w:lang w:val="es-ES"/>
        </w:rPr>
        <w:t xml:space="preserve"> </w:t>
      </w:r>
    </w:p>
    <w:p w14:paraId="3FAD18ED" w14:textId="77777777" w:rsidR="00407333" w:rsidRPr="00407333" w:rsidRDefault="00407333" w:rsidP="001530AE">
      <w:pPr>
        <w:spacing w:after="0" w:line="240" w:lineRule="auto"/>
        <w:jc w:val="both"/>
        <w:rPr>
          <w:rFonts w:ascii="Verdana" w:hAnsi="Verdana"/>
          <w:lang w:val="es-ES"/>
        </w:rPr>
      </w:pPr>
    </w:p>
    <w:p w14:paraId="58C385CB" w14:textId="77777777" w:rsidR="00407333" w:rsidRDefault="00407333" w:rsidP="001530AE">
      <w:pPr>
        <w:spacing w:after="0" w:line="240" w:lineRule="auto"/>
        <w:jc w:val="both"/>
        <w:rPr>
          <w:rFonts w:ascii="Verdana" w:hAnsi="Verdana"/>
        </w:rPr>
      </w:pPr>
    </w:p>
    <w:p w14:paraId="2CED3D3C" w14:textId="77777777" w:rsidR="00407333" w:rsidRDefault="00407333" w:rsidP="001530AE">
      <w:pPr>
        <w:spacing w:after="0" w:line="240" w:lineRule="auto"/>
        <w:jc w:val="both"/>
        <w:rPr>
          <w:rFonts w:ascii="Verdana" w:hAnsi="Verdana"/>
        </w:rPr>
      </w:pPr>
    </w:p>
    <w:p w14:paraId="1AF6B0CF" w14:textId="77777777" w:rsidR="00407333" w:rsidRDefault="00407333" w:rsidP="001530AE">
      <w:pPr>
        <w:spacing w:after="0" w:line="240" w:lineRule="auto"/>
        <w:jc w:val="both"/>
        <w:rPr>
          <w:rFonts w:ascii="Verdana" w:hAnsi="Verdana"/>
        </w:rPr>
      </w:pPr>
    </w:p>
    <w:p w14:paraId="1593A885" w14:textId="77777777" w:rsidR="00407333" w:rsidRDefault="00407333" w:rsidP="001530AE">
      <w:pPr>
        <w:spacing w:after="0" w:line="240" w:lineRule="auto"/>
        <w:jc w:val="both"/>
        <w:rPr>
          <w:rFonts w:ascii="Verdana" w:hAnsi="Verdana"/>
        </w:rPr>
      </w:pPr>
    </w:p>
    <w:p w14:paraId="3595168D" w14:textId="77777777" w:rsidR="0029009C" w:rsidRDefault="0029009C" w:rsidP="001530AE">
      <w:pPr>
        <w:spacing w:after="0" w:line="240" w:lineRule="auto"/>
        <w:jc w:val="both"/>
        <w:rPr>
          <w:rFonts w:ascii="Verdana" w:hAnsi="Verdana"/>
        </w:rPr>
      </w:pPr>
    </w:p>
    <w:p w14:paraId="1BC9BF91" w14:textId="77777777" w:rsidR="00AC4D7E" w:rsidRDefault="00AC4D7E" w:rsidP="001530AE">
      <w:pPr>
        <w:spacing w:after="0" w:line="240" w:lineRule="auto"/>
        <w:jc w:val="both"/>
        <w:rPr>
          <w:rFonts w:ascii="Verdana" w:hAnsi="Verdana"/>
        </w:rPr>
      </w:pPr>
    </w:p>
    <w:p w14:paraId="591E8225" w14:textId="77777777" w:rsidR="00AC4D7E" w:rsidRDefault="00AC4D7E" w:rsidP="001530AE">
      <w:pPr>
        <w:spacing w:after="0" w:line="240" w:lineRule="auto"/>
        <w:jc w:val="both"/>
        <w:rPr>
          <w:rFonts w:ascii="Verdana" w:hAnsi="Verdana"/>
        </w:rPr>
      </w:pPr>
    </w:p>
    <w:p w14:paraId="2D4CE9CE" w14:textId="77777777" w:rsidR="00AC4D7E" w:rsidRDefault="00AC4D7E" w:rsidP="001530AE">
      <w:pPr>
        <w:spacing w:after="0" w:line="240" w:lineRule="auto"/>
        <w:jc w:val="both"/>
        <w:rPr>
          <w:rFonts w:ascii="Verdana" w:hAnsi="Verdana"/>
        </w:rPr>
      </w:pPr>
    </w:p>
    <w:p w14:paraId="27702225" w14:textId="77777777" w:rsidR="00AC4D7E" w:rsidRDefault="00AC4D7E" w:rsidP="001530AE">
      <w:pPr>
        <w:spacing w:after="0" w:line="240" w:lineRule="auto"/>
        <w:jc w:val="both"/>
        <w:rPr>
          <w:rFonts w:ascii="Verdana" w:hAnsi="Verdana"/>
        </w:rPr>
      </w:pPr>
    </w:p>
    <w:p w14:paraId="488A4E9B" w14:textId="77777777" w:rsidR="00AC4D7E" w:rsidRDefault="00AC4D7E" w:rsidP="001530AE">
      <w:pPr>
        <w:spacing w:after="0" w:line="240" w:lineRule="auto"/>
        <w:jc w:val="both"/>
        <w:rPr>
          <w:rFonts w:ascii="Verdana" w:hAnsi="Verdana"/>
        </w:rPr>
      </w:pPr>
    </w:p>
    <w:p w14:paraId="14DCFF46" w14:textId="77777777" w:rsidR="00AC4D7E" w:rsidRDefault="00AC4D7E" w:rsidP="001530AE">
      <w:pPr>
        <w:spacing w:after="0" w:line="240" w:lineRule="auto"/>
        <w:jc w:val="both"/>
        <w:rPr>
          <w:rFonts w:ascii="Verdana" w:hAnsi="Verdana"/>
        </w:rPr>
      </w:pPr>
    </w:p>
    <w:p w14:paraId="2D91C7D1" w14:textId="77777777" w:rsidR="00AC4D7E" w:rsidRDefault="00AC4D7E" w:rsidP="001530AE">
      <w:pPr>
        <w:spacing w:after="0" w:line="240" w:lineRule="auto"/>
        <w:jc w:val="both"/>
        <w:rPr>
          <w:rFonts w:ascii="Verdana" w:hAnsi="Verdana"/>
        </w:rPr>
      </w:pPr>
    </w:p>
    <w:p w14:paraId="690F0DD7" w14:textId="77777777" w:rsidR="00AC4D7E" w:rsidRDefault="00AC4D7E" w:rsidP="001530AE">
      <w:pPr>
        <w:spacing w:after="0" w:line="240" w:lineRule="auto"/>
        <w:jc w:val="both"/>
        <w:rPr>
          <w:rFonts w:ascii="Verdana" w:hAnsi="Verdana"/>
        </w:rPr>
      </w:pPr>
    </w:p>
    <w:p w14:paraId="783E2F0C" w14:textId="77777777" w:rsidR="00AC4D7E" w:rsidRDefault="00AC4D7E" w:rsidP="001530AE">
      <w:pPr>
        <w:spacing w:after="0" w:line="240" w:lineRule="auto"/>
        <w:jc w:val="both"/>
        <w:rPr>
          <w:rFonts w:ascii="Verdana" w:hAnsi="Verdana"/>
        </w:rPr>
      </w:pPr>
    </w:p>
    <w:p w14:paraId="03BAFB54" w14:textId="77777777" w:rsidR="00AC4D7E" w:rsidRDefault="00AC4D7E" w:rsidP="001530AE">
      <w:pPr>
        <w:spacing w:after="0" w:line="240" w:lineRule="auto"/>
        <w:jc w:val="both"/>
        <w:rPr>
          <w:rFonts w:ascii="Verdana" w:hAnsi="Verdana"/>
        </w:rPr>
      </w:pPr>
    </w:p>
    <w:p w14:paraId="70C6EBEB" w14:textId="77777777" w:rsidR="00AC4D7E" w:rsidRDefault="00AC4D7E" w:rsidP="001530AE">
      <w:pPr>
        <w:spacing w:after="0" w:line="240" w:lineRule="auto"/>
        <w:jc w:val="both"/>
        <w:rPr>
          <w:rFonts w:ascii="Verdana" w:hAnsi="Verdana"/>
        </w:rPr>
      </w:pPr>
    </w:p>
    <w:p w14:paraId="60087C86" w14:textId="77777777" w:rsidR="00AC4D7E" w:rsidRDefault="00AC4D7E" w:rsidP="001530AE">
      <w:pPr>
        <w:spacing w:after="0" w:line="240" w:lineRule="auto"/>
        <w:jc w:val="both"/>
        <w:rPr>
          <w:rFonts w:ascii="Verdana" w:hAnsi="Verdana"/>
        </w:rPr>
      </w:pPr>
    </w:p>
    <w:p w14:paraId="2E0732B5" w14:textId="3193B2ED" w:rsidR="001530AE" w:rsidRPr="008E4F36" w:rsidRDefault="00AC3B5A" w:rsidP="001530AE">
      <w:pPr>
        <w:spacing w:after="0" w:line="240" w:lineRule="auto"/>
        <w:jc w:val="both"/>
        <w:rPr>
          <w:rFonts w:ascii="Verdana" w:hAnsi="Verdana"/>
        </w:rPr>
      </w:pPr>
      <w:r w:rsidRPr="00AC3B5A">
        <w:rPr>
          <w:rFonts w:ascii="Verdana" w:hAnsi="Verdana"/>
        </w:rPr>
        <w:t xml:space="preserve">Bogotá D.C., 28 </w:t>
      </w:r>
      <w:r w:rsidR="00AC4D7E" w:rsidRPr="00AC3B5A">
        <w:rPr>
          <w:rFonts w:ascii="Verdana" w:hAnsi="Verdana"/>
        </w:rPr>
        <w:t>abril</w:t>
      </w:r>
      <w:r w:rsidRPr="00AC3B5A">
        <w:rPr>
          <w:rFonts w:ascii="Verdana" w:hAnsi="Verdana"/>
        </w:rPr>
        <w:t xml:space="preserve"> 2026</w:t>
      </w:r>
      <w:r>
        <w:rPr>
          <w:rFonts w:ascii="Verdana" w:hAnsi="Verdana"/>
        </w:rPr>
        <w:t xml:space="preserve"> </w:t>
      </w:r>
      <w:r w:rsidR="001530AE">
        <w:rPr>
          <w:rFonts w:ascii="Verdana" w:hAnsi="Verdana"/>
        </w:rPr>
        <w:t xml:space="preserve"> </w:t>
      </w:r>
    </w:p>
    <w:p w14:paraId="6531052C" w14:textId="323825BB" w:rsidR="001530AE" w:rsidRPr="008E4F36" w:rsidRDefault="00D800C0" w:rsidP="001530AE">
      <w:pPr>
        <w:spacing w:after="0" w:line="240" w:lineRule="auto"/>
        <w:jc w:val="both"/>
        <w:rPr>
          <w:rFonts w:ascii="Verdana" w:eastAsia="Calibri" w:hAnsi="Verdana" w:cs="Arial"/>
          <w:lang w:eastAsia="es-ES"/>
        </w:rPr>
      </w:pPr>
      <w:bookmarkStart w:id="2" w:name="_Hlk197462763"/>
      <w:bookmarkStart w:id="3" w:name="_Hlk197529996"/>
      <w:r w:rsidRPr="00D800C0">
        <w:rPr>
          <w:rFonts w:ascii="Verdana" w:eastAsia="Calibri" w:hAnsi="Verdana" w:cs="Arial"/>
          <w:lang w:eastAsia="es-ES"/>
        </w:rPr>
        <w:drawing>
          <wp:anchor distT="0" distB="0" distL="114300" distR="114300" simplePos="0" relativeHeight="251658240" behindDoc="1" locked="0" layoutInCell="1" allowOverlap="1" wp14:anchorId="5E4C92C9" wp14:editId="47A6A8C3">
            <wp:simplePos x="0" y="0"/>
            <wp:positionH relativeFrom="column">
              <wp:posOffset>3535778</wp:posOffset>
            </wp:positionH>
            <wp:positionV relativeFrom="paragraph">
              <wp:posOffset>166370</wp:posOffset>
            </wp:positionV>
            <wp:extent cx="2590800" cy="723900"/>
            <wp:effectExtent l="0" t="0" r="0" b="0"/>
            <wp:wrapTight wrapText="bothSides">
              <wp:wrapPolygon edited="0">
                <wp:start x="0" y="0"/>
                <wp:lineTo x="0" y="21032"/>
                <wp:lineTo x="21441" y="21032"/>
                <wp:lineTo x="21441" y="0"/>
                <wp:lineTo x="0" y="0"/>
              </wp:wrapPolygon>
            </wp:wrapTight>
            <wp:docPr id="9792687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268751" name=""/>
                    <pic:cNvPicPr/>
                  </pic:nvPicPr>
                  <pic:blipFill>
                    <a:blip r:embed="rId7">
                      <a:extLst>
                        <a:ext uri="{28A0092B-C50C-407E-A947-70E740481C1C}">
                          <a14:useLocalDpi xmlns:a14="http://schemas.microsoft.com/office/drawing/2010/main" val="0"/>
                        </a:ext>
                      </a:extLst>
                    </a:blip>
                    <a:stretch>
                      <a:fillRect/>
                    </a:stretch>
                  </pic:blipFill>
                  <pic:spPr>
                    <a:xfrm>
                      <a:off x="0" y="0"/>
                      <a:ext cx="2590800" cy="723900"/>
                    </a:xfrm>
                    <a:prstGeom prst="rect">
                      <a:avLst/>
                    </a:prstGeom>
                  </pic:spPr>
                </pic:pic>
              </a:graphicData>
            </a:graphic>
          </wp:anchor>
        </w:drawing>
      </w:r>
    </w:p>
    <w:p w14:paraId="24A04466" w14:textId="7AFC0AD2" w:rsidR="001530AE" w:rsidRDefault="001530AE" w:rsidP="001530AE">
      <w:pPr>
        <w:spacing w:after="0" w:line="240" w:lineRule="auto"/>
        <w:jc w:val="both"/>
        <w:rPr>
          <w:rFonts w:ascii="Verdana" w:eastAsia="Calibri" w:hAnsi="Verdana" w:cs="Arial"/>
          <w:lang w:eastAsia="es-ES"/>
        </w:rPr>
      </w:pPr>
    </w:p>
    <w:p w14:paraId="336CC79C" w14:textId="77777777" w:rsidR="001530AE" w:rsidRPr="00E57640" w:rsidRDefault="001530AE" w:rsidP="001530AE">
      <w:pPr>
        <w:spacing w:after="0" w:line="240" w:lineRule="auto"/>
        <w:jc w:val="both"/>
        <w:rPr>
          <w:rFonts w:ascii="Verdana" w:eastAsia="Calibri" w:hAnsi="Verdana" w:cs="Arial"/>
          <w:lang w:eastAsia="es-ES"/>
        </w:rPr>
      </w:pPr>
      <w:r w:rsidRPr="00E57640">
        <w:rPr>
          <w:rFonts w:ascii="Verdana" w:eastAsia="Calibri" w:hAnsi="Verdana" w:cs="Arial"/>
          <w:lang w:eastAsia="es-ES"/>
        </w:rPr>
        <w:t>Señor</w:t>
      </w:r>
    </w:p>
    <w:p w14:paraId="6F327B3E" w14:textId="77777777" w:rsidR="001530AE" w:rsidRPr="00E57640" w:rsidRDefault="001530AE" w:rsidP="001530AE">
      <w:pPr>
        <w:spacing w:after="0" w:line="240" w:lineRule="auto"/>
        <w:jc w:val="both"/>
        <w:rPr>
          <w:rFonts w:ascii="Verdana" w:eastAsia="Calibri" w:hAnsi="Verdana" w:cs="Arial"/>
          <w:b/>
          <w:highlight w:val="yellow"/>
          <w:lang w:eastAsia="es-ES_tradnl"/>
        </w:rPr>
      </w:pPr>
      <w:r w:rsidRPr="00E57640">
        <w:rPr>
          <w:rFonts w:ascii="Verdana" w:eastAsia="Calibri" w:hAnsi="Verdana" w:cs="Arial"/>
          <w:b/>
          <w:lang w:eastAsia="es-ES_tradnl"/>
        </w:rPr>
        <w:t>Ciudadan</w:t>
      </w:r>
      <w:r>
        <w:rPr>
          <w:rFonts w:ascii="Verdana" w:eastAsia="Calibri" w:hAnsi="Verdana" w:cs="Arial"/>
          <w:b/>
          <w:lang w:eastAsia="es-ES_tradnl"/>
        </w:rPr>
        <w:t>@</w:t>
      </w:r>
      <w:r w:rsidRPr="00E57640">
        <w:rPr>
          <w:rFonts w:ascii="Verdana" w:eastAsia="Calibri" w:hAnsi="Verdana" w:cs="Arial"/>
          <w:b/>
          <w:lang w:eastAsia="es-ES_tradnl"/>
        </w:rPr>
        <w:t xml:space="preserve"> Anónim</w:t>
      </w:r>
      <w:r>
        <w:rPr>
          <w:rFonts w:ascii="Verdana" w:eastAsia="Calibri" w:hAnsi="Verdana" w:cs="Arial"/>
          <w:b/>
          <w:lang w:eastAsia="es-ES_tradnl"/>
        </w:rPr>
        <w:t>o</w:t>
      </w:r>
    </w:p>
    <w:p w14:paraId="7EAEF5FA" w14:textId="77777777" w:rsidR="001530AE" w:rsidRPr="00E57640" w:rsidRDefault="001530AE" w:rsidP="001530AE">
      <w:pPr>
        <w:spacing w:after="0" w:line="240" w:lineRule="auto"/>
        <w:jc w:val="both"/>
        <w:rPr>
          <w:rFonts w:ascii="Verdana" w:eastAsia="Calibri" w:hAnsi="Verdana" w:cs="Arial"/>
          <w:b/>
          <w:bCs/>
          <w:color w:val="000000"/>
          <w:lang w:val="it-CH" w:eastAsia="es-ES_tradnl"/>
        </w:rPr>
      </w:pPr>
      <w:r w:rsidRPr="00E57640">
        <w:rPr>
          <w:rFonts w:ascii="Verdana" w:hAnsi="Verdana"/>
        </w:rPr>
        <w:t>Ciudad</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1530AE" w:rsidRPr="002842E0" w14:paraId="706C1DF6" w14:textId="77777777" w:rsidTr="004451CB">
        <w:trPr>
          <w:trHeight w:val="162"/>
        </w:trPr>
        <w:tc>
          <w:tcPr>
            <w:tcW w:w="3119" w:type="dxa"/>
          </w:tcPr>
          <w:p w14:paraId="191F6CC9" w14:textId="77777777" w:rsidR="001530AE" w:rsidRPr="005B4C57" w:rsidRDefault="001530AE" w:rsidP="004451CB">
            <w:pPr>
              <w:jc w:val="both"/>
              <w:rPr>
                <w:rFonts w:ascii="Verdana" w:eastAsia="Calibri" w:hAnsi="Verdana" w:cs="Arial"/>
                <w:b/>
                <w:bCs/>
                <w:color w:val="7030A0"/>
                <w:lang w:val="it-CH" w:eastAsia="es-ES_tradnl"/>
              </w:rPr>
            </w:pPr>
          </w:p>
        </w:tc>
        <w:tc>
          <w:tcPr>
            <w:tcW w:w="5670" w:type="dxa"/>
          </w:tcPr>
          <w:p w14:paraId="659D2353" w14:textId="75265251" w:rsidR="001530AE" w:rsidRDefault="001530AE" w:rsidP="004451CB">
            <w:pPr>
              <w:jc w:val="both"/>
              <w:rPr>
                <w:rFonts w:ascii="Verdana" w:eastAsia="Calibri" w:hAnsi="Verdana" w:cs="Arial"/>
                <w:b/>
                <w:bCs/>
                <w:lang w:eastAsia="es-ES"/>
              </w:rPr>
            </w:pPr>
          </w:p>
          <w:p w14:paraId="58610BDB" w14:textId="77777777" w:rsidR="001530AE" w:rsidRDefault="001530AE" w:rsidP="004451CB">
            <w:pPr>
              <w:jc w:val="both"/>
              <w:rPr>
                <w:rFonts w:ascii="Verdana" w:eastAsia="Calibri" w:hAnsi="Verdana" w:cs="Arial"/>
                <w:b/>
                <w:bCs/>
                <w:lang w:eastAsia="es-ES"/>
              </w:rPr>
            </w:pPr>
          </w:p>
          <w:p w14:paraId="1E10AF32" w14:textId="77777777" w:rsidR="001530AE" w:rsidRPr="00801462" w:rsidRDefault="001530AE" w:rsidP="004451CB">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431 de 2026</w:t>
            </w:r>
          </w:p>
          <w:p w14:paraId="011DD474" w14:textId="77777777" w:rsidR="001530AE" w:rsidRPr="00801462" w:rsidRDefault="001530AE" w:rsidP="004451CB">
            <w:pPr>
              <w:jc w:val="both"/>
              <w:rPr>
                <w:rFonts w:ascii="Verdana" w:eastAsia="Calibri" w:hAnsi="Verdana" w:cs="Arial"/>
                <w:b/>
                <w:bCs/>
                <w:color w:val="7030A0"/>
                <w:lang w:eastAsia="es-ES"/>
              </w:rPr>
            </w:pPr>
          </w:p>
        </w:tc>
      </w:tr>
      <w:tr w:rsidR="001530AE" w:rsidRPr="002842E0" w14:paraId="10732921" w14:textId="77777777" w:rsidTr="004451CB">
        <w:trPr>
          <w:trHeight w:val="884"/>
        </w:trPr>
        <w:tc>
          <w:tcPr>
            <w:tcW w:w="3119" w:type="dxa"/>
          </w:tcPr>
          <w:p w14:paraId="7EC64C91" w14:textId="77777777" w:rsidR="001530AE" w:rsidRPr="00801462" w:rsidRDefault="001530AE" w:rsidP="004451CB">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18745921" w14:textId="77777777" w:rsidR="001530AE" w:rsidRDefault="001530AE" w:rsidP="004451CB">
            <w:pPr>
              <w:contextualSpacing/>
              <w:jc w:val="both"/>
              <w:rPr>
                <w:rFonts w:ascii="Verdana" w:hAnsi="Verdana" w:cs="Arial"/>
                <w:bCs/>
                <w:bdr w:val="none" w:sz="0" w:space="0" w:color="auto" w:frame="1"/>
                <w:lang w:eastAsia="es-CO"/>
              </w:rPr>
            </w:pPr>
            <w:r w:rsidRPr="00142702">
              <w:rPr>
                <w:rFonts w:ascii="Verdana" w:eastAsia="Calibri" w:hAnsi="Verdana" w:cs="Arial"/>
                <w:bCs/>
                <w:lang w:val="es-ES"/>
              </w:rPr>
              <w:t xml:space="preserve">SUBSANABILIDAD – Concepto – Límites </w:t>
            </w:r>
            <w:r>
              <w:rPr>
                <w:rFonts w:ascii="Verdana" w:eastAsia="Calibri" w:hAnsi="Verdana" w:cs="Arial"/>
                <w:bCs/>
                <w:lang w:val="es-ES"/>
              </w:rPr>
              <w:t>-</w:t>
            </w:r>
            <w:r w:rsidRPr="00142702">
              <w:rPr>
                <w:rFonts w:ascii="Verdana" w:eastAsia="Calibri" w:hAnsi="Verdana" w:cs="Arial"/>
                <w:bCs/>
                <w:lang w:val="es-ES"/>
              </w:rPr>
              <w:t xml:space="preserve"> </w:t>
            </w:r>
            <w:r w:rsidRPr="00142702">
              <w:rPr>
                <w:rFonts w:ascii="Verdana" w:hAnsi="Verdana" w:cs="Arial"/>
                <w:bCs/>
                <w:bdr w:val="none" w:sz="0" w:space="0" w:color="auto" w:frame="1"/>
                <w:lang w:eastAsia="es-CO"/>
              </w:rPr>
              <w:t>SUBSANACIÓN – Requisitos Habilitantes – Reglas</w:t>
            </w:r>
            <w:r>
              <w:rPr>
                <w:rFonts w:ascii="Verdana" w:hAnsi="Verdana" w:cs="Arial"/>
                <w:bCs/>
                <w:bdr w:val="none" w:sz="0" w:space="0" w:color="auto" w:frame="1"/>
                <w:lang w:eastAsia="es-CO"/>
              </w:rPr>
              <w:t xml:space="preserve"> - </w:t>
            </w:r>
            <w:r w:rsidRPr="00142702">
              <w:rPr>
                <w:rFonts w:ascii="Verdana" w:hAnsi="Verdana" w:cs="Arial"/>
                <w:bCs/>
                <w:bdr w:val="none" w:sz="0" w:space="0" w:color="auto" w:frame="1"/>
                <w:lang w:eastAsia="es-CO"/>
              </w:rPr>
              <w:t>Manual para determinar y verificar los requisitos habilitantes en los Procesos de Contratación – consulta</w:t>
            </w:r>
          </w:p>
          <w:p w14:paraId="428C039B" w14:textId="77777777" w:rsidR="001530AE" w:rsidRPr="00C671F3" w:rsidRDefault="001530AE" w:rsidP="004451CB">
            <w:pPr>
              <w:contextualSpacing/>
              <w:jc w:val="both"/>
              <w:rPr>
                <w:rFonts w:ascii="Verdana" w:hAnsi="Verdana" w:cs="Arial"/>
                <w:b/>
                <w:bdr w:val="none" w:sz="0" w:space="0" w:color="auto" w:frame="1"/>
                <w:lang w:eastAsia="es-CO"/>
              </w:rPr>
            </w:pPr>
          </w:p>
        </w:tc>
      </w:tr>
      <w:tr w:rsidR="001530AE" w:rsidRPr="002842E0" w14:paraId="21684DDF" w14:textId="77777777" w:rsidTr="004451CB">
        <w:tc>
          <w:tcPr>
            <w:tcW w:w="3119" w:type="dxa"/>
          </w:tcPr>
          <w:p w14:paraId="2CFD85F8" w14:textId="77777777" w:rsidR="001530AE" w:rsidRPr="00801462" w:rsidRDefault="001530AE" w:rsidP="004451CB">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150950AA" w14:textId="77777777" w:rsidR="001530AE" w:rsidRPr="00C84654" w:rsidRDefault="001530AE" w:rsidP="004451CB">
            <w:pPr>
              <w:jc w:val="both"/>
              <w:rPr>
                <w:rFonts w:ascii="Verdana" w:eastAsia="Calibri" w:hAnsi="Verdana" w:cs="Arial"/>
                <w:lang w:eastAsia="es-ES_tradnl"/>
              </w:rPr>
            </w:pPr>
            <w:r w:rsidRPr="008C54F3">
              <w:rPr>
                <w:rFonts w:ascii="Verdana" w:eastAsia="Calibri" w:hAnsi="Verdana" w:cs="Arial"/>
                <w:lang w:eastAsia="es-ES_tradnl"/>
              </w:rPr>
              <w:t xml:space="preserve">Respuesta a consulta con radicado </w:t>
            </w:r>
            <w:r>
              <w:rPr>
                <w:rFonts w:ascii="Verdana" w:hAnsi="Verdana" w:cs="Calibri"/>
              </w:rPr>
              <w:t>1_2026_03_16_003674</w:t>
            </w:r>
          </w:p>
        </w:tc>
      </w:tr>
    </w:tbl>
    <w:p w14:paraId="39801BC2" w14:textId="77777777" w:rsidR="001530AE" w:rsidRDefault="001530AE" w:rsidP="001530AE">
      <w:pPr>
        <w:spacing w:after="0" w:line="276" w:lineRule="auto"/>
        <w:jc w:val="both"/>
        <w:rPr>
          <w:rFonts w:ascii="Verdana" w:eastAsia="Calibri" w:hAnsi="Verdana" w:cs="Arial"/>
          <w:lang w:eastAsia="es-ES_tradnl"/>
        </w:rPr>
      </w:pPr>
    </w:p>
    <w:p w14:paraId="02B5C0B7" w14:textId="77777777" w:rsidR="001530AE" w:rsidRPr="008E4F36" w:rsidRDefault="001530AE" w:rsidP="001530AE">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Anónimo</w:t>
      </w:r>
      <w:r w:rsidRPr="00083AB6">
        <w:rPr>
          <w:rFonts w:ascii="Verdana" w:eastAsia="Calibri" w:hAnsi="Verdana" w:cs="Arial"/>
          <w:lang w:eastAsia="es-ES"/>
        </w:rPr>
        <w:t>:</w:t>
      </w:r>
      <w:r w:rsidRPr="008E4F36">
        <w:rPr>
          <w:rFonts w:ascii="Verdana" w:eastAsia="Calibri" w:hAnsi="Verdana" w:cs="Arial"/>
          <w:lang w:eastAsia="es-ES"/>
        </w:rPr>
        <w:t xml:space="preserve"> </w:t>
      </w:r>
    </w:p>
    <w:p w14:paraId="11AEDACA" w14:textId="77777777" w:rsidR="001530AE" w:rsidRDefault="001530AE" w:rsidP="001530AE">
      <w:pPr>
        <w:tabs>
          <w:tab w:val="left" w:pos="3768"/>
        </w:tabs>
        <w:spacing w:after="0" w:line="240" w:lineRule="auto"/>
        <w:jc w:val="both"/>
        <w:rPr>
          <w:rFonts w:ascii="Verdana" w:eastAsia="Calibri" w:hAnsi="Verdana" w:cs="Arial"/>
          <w:lang w:eastAsia="es-ES"/>
        </w:rPr>
      </w:pPr>
    </w:p>
    <w:p w14:paraId="7C0C3499" w14:textId="77777777" w:rsidR="001530AE" w:rsidRPr="008E4F36" w:rsidRDefault="001530AE" w:rsidP="001530AE">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16</w:t>
      </w:r>
      <w:r w:rsidRPr="00AF6D58">
        <w:rPr>
          <w:rFonts w:ascii="Verdana" w:eastAsia="Calibri" w:hAnsi="Verdana" w:cs="Arial"/>
          <w:lang w:eastAsia="es-ES"/>
        </w:rPr>
        <w:t xml:space="preserve"> de </w:t>
      </w:r>
      <w:r>
        <w:rPr>
          <w:rFonts w:ascii="Verdana" w:eastAsia="Calibri" w:hAnsi="Verdana" w:cs="Arial"/>
          <w:lang w:eastAsia="es-ES"/>
        </w:rPr>
        <w:t>marzo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7B4AD1C8" w14:textId="77777777" w:rsidR="001530AE" w:rsidRPr="008C54F3" w:rsidRDefault="001530AE" w:rsidP="001530AE">
      <w:pPr>
        <w:spacing w:line="240" w:lineRule="auto"/>
        <w:ind w:left="709" w:right="709"/>
        <w:jc w:val="both"/>
        <w:rPr>
          <w:rFonts w:ascii="Verdana" w:eastAsia="Calibri" w:hAnsi="Verdana" w:cs="Arial"/>
          <w:color w:val="000000" w:themeColor="text1"/>
          <w:sz w:val="20"/>
          <w:szCs w:val="20"/>
        </w:rPr>
      </w:pPr>
    </w:p>
    <w:p w14:paraId="005EDDC5" w14:textId="77777777" w:rsidR="001530AE" w:rsidRPr="00E949C1" w:rsidRDefault="001530AE" w:rsidP="001530AE">
      <w:pPr>
        <w:spacing w:after="0" w:line="240" w:lineRule="auto"/>
        <w:ind w:left="709" w:right="709"/>
        <w:jc w:val="both"/>
        <w:rPr>
          <w:rFonts w:ascii="Verdana" w:eastAsia="Times New Roman" w:hAnsi="Verdana" w:cs="Arial"/>
          <w:color w:val="000000"/>
          <w:sz w:val="20"/>
          <w:szCs w:val="20"/>
          <w:lang w:val="es-ES" w:eastAsia="es-MX"/>
        </w:rPr>
      </w:pPr>
      <w:bookmarkStart w:id="4" w:name="_Hlk192699624"/>
      <w:bookmarkStart w:id="5" w:name="_Hlk199394899"/>
      <w:r w:rsidRPr="00E949C1">
        <w:rPr>
          <w:rFonts w:ascii="Verdana" w:eastAsia="Times New Roman" w:hAnsi="Verdana" w:cs="Arial"/>
          <w:color w:val="000000"/>
          <w:sz w:val="20"/>
          <w:szCs w:val="20"/>
          <w:lang w:val="es-ES" w:eastAsia="es-MX"/>
        </w:rPr>
        <w:t>“</w:t>
      </w:r>
      <w:bookmarkEnd w:id="4"/>
      <w:bookmarkEnd w:id="5"/>
      <w:r w:rsidRPr="00E949C1">
        <w:rPr>
          <w:rFonts w:ascii="Verdana" w:eastAsia="Times New Roman" w:hAnsi="Verdana" w:cs="Arial"/>
          <w:color w:val="000000"/>
          <w:sz w:val="20"/>
          <w:szCs w:val="20"/>
          <w:lang w:val="es-ES" w:eastAsia="es-MX"/>
        </w:rPr>
        <w:t xml:space="preserve">Respetuosamente solicitamos concepto sobre el alcance de la </w:t>
      </w:r>
      <w:proofErr w:type="spellStart"/>
      <w:r w:rsidRPr="00E949C1">
        <w:rPr>
          <w:rFonts w:ascii="Verdana" w:eastAsia="Times New Roman" w:hAnsi="Verdana" w:cs="Arial"/>
          <w:color w:val="000000"/>
          <w:sz w:val="20"/>
          <w:szCs w:val="20"/>
          <w:lang w:val="es-ES" w:eastAsia="es-MX"/>
        </w:rPr>
        <w:t>subsanabilidad</w:t>
      </w:r>
      <w:proofErr w:type="spellEnd"/>
      <w:r w:rsidRPr="00E949C1">
        <w:rPr>
          <w:rFonts w:ascii="Verdana" w:eastAsia="Times New Roman" w:hAnsi="Verdana" w:cs="Arial"/>
          <w:color w:val="000000"/>
          <w:sz w:val="20"/>
          <w:szCs w:val="20"/>
          <w:lang w:val="es-ES" w:eastAsia="es-MX"/>
        </w:rPr>
        <w:t xml:space="preserve"> prevista en el artículo 5 de la Ley 1150 de 2007, modificado por la Ley 1882 de 2018, respecto de la acreditación de experiencia habilitante en procesos de contratación pública.</w:t>
      </w:r>
    </w:p>
    <w:p w14:paraId="526E88A3" w14:textId="77777777" w:rsidR="001530AE" w:rsidRPr="00E949C1" w:rsidRDefault="001530AE" w:rsidP="001530AE">
      <w:pPr>
        <w:spacing w:after="0" w:line="240" w:lineRule="auto"/>
        <w:ind w:left="709" w:right="709"/>
        <w:jc w:val="both"/>
        <w:rPr>
          <w:rFonts w:ascii="Verdana" w:eastAsia="Times New Roman" w:hAnsi="Verdana" w:cs="Arial"/>
          <w:color w:val="000000"/>
          <w:sz w:val="20"/>
          <w:szCs w:val="20"/>
          <w:lang w:val="es-ES" w:eastAsia="es-MX"/>
        </w:rPr>
      </w:pPr>
    </w:p>
    <w:p w14:paraId="757CA649" w14:textId="77777777" w:rsidR="001530AE" w:rsidRPr="00E949C1" w:rsidRDefault="001530AE" w:rsidP="001530AE">
      <w:pPr>
        <w:spacing w:after="0" w:line="240" w:lineRule="auto"/>
        <w:ind w:left="709" w:right="709"/>
        <w:jc w:val="both"/>
        <w:rPr>
          <w:rFonts w:ascii="Verdana" w:eastAsia="Times New Roman" w:hAnsi="Verdana" w:cs="Arial"/>
          <w:color w:val="000000"/>
          <w:sz w:val="20"/>
          <w:szCs w:val="20"/>
          <w:lang w:val="es-ES" w:eastAsia="es-MX"/>
        </w:rPr>
      </w:pPr>
      <w:r w:rsidRPr="00E949C1">
        <w:rPr>
          <w:rFonts w:ascii="Verdana" w:eastAsia="Times New Roman" w:hAnsi="Verdana" w:cs="Arial"/>
          <w:color w:val="000000"/>
          <w:sz w:val="20"/>
          <w:szCs w:val="20"/>
          <w:lang w:val="es-ES" w:eastAsia="es-MX"/>
        </w:rPr>
        <w:t xml:space="preserve">En un proceso de selección, el pliego exige acreditar experiencia mínima habilitante equivalente a un valor en SMMLV y establece adicionalmente experiencia específica adicional como criterio de puntuación. En la propuesta presentada, el proponente aporta varios contratos ejecutados antes del cierre del proceso. Uno de ellos es relacionado como experiencia habilitante y otros como experiencia adicional objeto de puntaje. </w:t>
      </w:r>
    </w:p>
    <w:p w14:paraId="4A043B46" w14:textId="77777777" w:rsidR="001530AE" w:rsidRPr="00E949C1" w:rsidRDefault="001530AE" w:rsidP="001530AE">
      <w:pPr>
        <w:spacing w:after="0" w:line="240" w:lineRule="auto"/>
        <w:ind w:left="709" w:right="709"/>
        <w:jc w:val="both"/>
        <w:rPr>
          <w:rFonts w:ascii="Verdana" w:eastAsia="Times New Roman" w:hAnsi="Verdana" w:cs="Arial"/>
          <w:color w:val="000000"/>
          <w:sz w:val="20"/>
          <w:szCs w:val="20"/>
          <w:lang w:val="es-ES" w:eastAsia="es-MX"/>
        </w:rPr>
      </w:pPr>
    </w:p>
    <w:p w14:paraId="1F62D6E8" w14:textId="77777777" w:rsidR="001530AE" w:rsidRPr="00E949C1" w:rsidRDefault="001530AE" w:rsidP="001530AE">
      <w:pPr>
        <w:spacing w:after="0" w:line="240" w:lineRule="auto"/>
        <w:ind w:left="709" w:right="709"/>
        <w:jc w:val="both"/>
        <w:rPr>
          <w:rFonts w:ascii="Verdana" w:eastAsia="Times New Roman" w:hAnsi="Verdana" w:cs="Arial"/>
          <w:color w:val="000000"/>
          <w:sz w:val="20"/>
          <w:szCs w:val="20"/>
          <w:lang w:val="es-ES" w:eastAsia="es-MX"/>
        </w:rPr>
      </w:pPr>
      <w:r w:rsidRPr="00E949C1">
        <w:rPr>
          <w:rFonts w:ascii="Verdana" w:eastAsia="Times New Roman" w:hAnsi="Verdana" w:cs="Arial"/>
          <w:color w:val="000000"/>
          <w:sz w:val="20"/>
          <w:szCs w:val="20"/>
          <w:lang w:val="es-ES" w:eastAsia="es-MX"/>
        </w:rPr>
        <w:lastRenderedPageBreak/>
        <w:t>Durante la evaluación, la entidad concluye que el contrato señalado como habilitante no cumple el mínimo exigido. En la etapa de subsanación, el proponente solicita que se valore otro contrato ya aportado en la propuesta — inicialmente relacionado como experiencia adicional — cuyo valor sí cumple el requisito habilitante.”</w:t>
      </w:r>
    </w:p>
    <w:p w14:paraId="2DDB3A08" w14:textId="77777777" w:rsidR="001530AE" w:rsidRDefault="001530AE" w:rsidP="001530AE">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E4DFDC7" w14:textId="77777777" w:rsidR="001530AE" w:rsidRPr="00054383" w:rsidRDefault="001530AE" w:rsidP="001530AE">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10D8FF7" w14:textId="77777777" w:rsidR="001530AE" w:rsidRPr="008E4F36" w:rsidRDefault="001530AE" w:rsidP="001530AE">
      <w:pPr>
        <w:spacing w:after="0"/>
        <w:ind w:firstLine="709"/>
        <w:jc w:val="both"/>
        <w:rPr>
          <w:rFonts w:ascii="Verdana" w:eastAsia="Calibri" w:hAnsi="Verdana" w:cs="Arial"/>
          <w:color w:val="000000"/>
          <w:lang w:eastAsia="es-ES"/>
        </w:rPr>
      </w:pPr>
    </w:p>
    <w:p w14:paraId="2058B3F3" w14:textId="77777777" w:rsidR="001530AE" w:rsidRDefault="001530AE" w:rsidP="001530AE">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5FC341E" w14:textId="77777777" w:rsidR="001530AE" w:rsidRDefault="001530AE" w:rsidP="001530AE">
      <w:pPr>
        <w:spacing w:after="0" w:line="276" w:lineRule="auto"/>
        <w:jc w:val="both"/>
        <w:rPr>
          <w:rFonts w:ascii="Verdana" w:eastAsia="Calibri" w:hAnsi="Verdana" w:cs="Arial"/>
          <w:color w:val="000000"/>
          <w:highlight w:val="yellow"/>
          <w:lang w:eastAsia="es-ES"/>
        </w:rPr>
      </w:pPr>
    </w:p>
    <w:p w14:paraId="37681746" w14:textId="77777777" w:rsidR="001530AE" w:rsidRPr="005A3B40" w:rsidRDefault="001530AE" w:rsidP="001530AE">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1E45BF">
        <w:rPr>
          <w:rFonts w:ascii="Verdana" w:eastAsia="Calibri" w:hAnsi="Verdana" w:cs="Arial"/>
          <w:color w:val="000000"/>
          <w:lang w:eastAsia="es-ES"/>
        </w:rPr>
        <w:t>¡)</w:t>
      </w:r>
      <w:r w:rsidRPr="001E45BF">
        <w:rPr>
          <w:rFonts w:ascii="Verdana" w:hAnsi="Verdana"/>
        </w:rPr>
        <w:t xml:space="preserve"> </w:t>
      </w:r>
      <w:r w:rsidRPr="001E45BF">
        <w:rPr>
          <w:rFonts w:ascii="Verdana" w:eastAsia="Calibri" w:hAnsi="Verdana" w:cs="Arial"/>
          <w:color w:val="000000"/>
          <w:lang w:eastAsia="es-ES"/>
        </w:rPr>
        <w:t>¿</w:t>
      </w:r>
      <w:r w:rsidRPr="001E45BF">
        <w:rPr>
          <w:rFonts w:ascii="Verdana" w:hAnsi="Verdana"/>
        </w:rPr>
        <w:t>Puede</w:t>
      </w:r>
      <w:r w:rsidRPr="001E45BF">
        <w:rPr>
          <w:rFonts w:ascii="Verdana" w:eastAsia="Calibri" w:hAnsi="Verdana" w:cs="Arial"/>
          <w:color w:val="000000"/>
          <w:lang w:eastAsia="es-ES"/>
        </w:rPr>
        <w:t xml:space="preserve"> un proponente, en etapa de subsanación, acreditar la experiencia habilitante con un contrato oportunamente aportado para puntaje? </w:t>
      </w:r>
    </w:p>
    <w:p w14:paraId="2F51B0FF" w14:textId="77777777" w:rsidR="001530AE" w:rsidRPr="00BF422F" w:rsidRDefault="001530AE" w:rsidP="001530AE">
      <w:pPr>
        <w:spacing w:after="0" w:line="276" w:lineRule="auto"/>
        <w:jc w:val="both"/>
        <w:rPr>
          <w:rFonts w:ascii="Verdana" w:eastAsia="Calibri" w:hAnsi="Verdana" w:cs="Times New Roman"/>
          <w:i/>
          <w:iCs/>
          <w:lang w:val="es-ES"/>
        </w:rPr>
      </w:pPr>
    </w:p>
    <w:p w14:paraId="6BFFF4EF" w14:textId="77777777" w:rsidR="001530AE" w:rsidRPr="008E4F36" w:rsidRDefault="001530AE" w:rsidP="001530AE">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55646DE8" w14:textId="77777777" w:rsidR="001530AE" w:rsidRPr="008E4F36" w:rsidRDefault="001530AE" w:rsidP="001530AE">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1530AE" w:rsidRPr="008E4F36" w14:paraId="22F9C44A" w14:textId="77777777" w:rsidTr="004451CB">
        <w:tc>
          <w:tcPr>
            <w:tcW w:w="8828" w:type="dxa"/>
          </w:tcPr>
          <w:p w14:paraId="08D94B81" w14:textId="77777777" w:rsidR="001530AE" w:rsidRPr="008D5B42" w:rsidRDefault="001530AE" w:rsidP="004451CB">
            <w:pPr>
              <w:spacing w:after="120" w:line="276" w:lineRule="auto"/>
              <w:ind w:firstLine="709"/>
              <w:jc w:val="both"/>
              <w:rPr>
                <w:rFonts w:ascii="Verdana" w:hAnsi="Verdana"/>
              </w:rPr>
            </w:pPr>
            <w:r>
              <w:rPr>
                <w:rFonts w:ascii="Verdana" w:hAnsi="Verdana"/>
              </w:rPr>
              <w:t>Frente al interrogante, d</w:t>
            </w:r>
            <w:r w:rsidRPr="008D5B42">
              <w:rPr>
                <w:rFonts w:ascii="Verdana" w:hAnsi="Verdana"/>
              </w:rPr>
              <w:t xml:space="preserve">e conformidad con el artículo 5 de la Ley 1150 de 2007, modificado por la Ley 1882 de 2018, los requisitos habilitantes en los procesos de contratación estatal son, como regla general, subsanables, siempre que dicha subsanación no afecte la asignación de puntaje ni implique </w:t>
            </w:r>
            <w:r w:rsidRPr="008D5B42">
              <w:rPr>
                <w:rFonts w:ascii="Verdana" w:hAnsi="Verdana"/>
              </w:rPr>
              <w:lastRenderedPageBreak/>
              <w:t xml:space="preserve">la mejora de la oferta; en virtud de esta disposición, las entidades estatales pueden solicitar a los proponentes la corrección, aclaración o complementación de la información relacionada con su capacidad dentro del término de traslado del informe de evaluación, bajo el entendido de que la </w:t>
            </w:r>
            <w:proofErr w:type="spellStart"/>
            <w:r w:rsidRPr="008D5B42">
              <w:rPr>
                <w:rFonts w:ascii="Verdana" w:hAnsi="Verdana"/>
              </w:rPr>
              <w:t>subsanabilidad</w:t>
            </w:r>
            <w:proofErr w:type="spellEnd"/>
            <w:r w:rsidRPr="008D5B42">
              <w:rPr>
                <w:rFonts w:ascii="Verdana" w:hAnsi="Verdana"/>
              </w:rPr>
              <w:t xml:space="preserve"> es un mecanismo orientado a garantizar la prevalencia del derecho sustancial sobre las formalidades.</w:t>
            </w:r>
          </w:p>
          <w:p w14:paraId="13324EC3" w14:textId="77777777" w:rsidR="001530AE" w:rsidRPr="008D5B42" w:rsidRDefault="001530AE" w:rsidP="004451CB">
            <w:pPr>
              <w:spacing w:after="120" w:line="276" w:lineRule="auto"/>
              <w:ind w:firstLine="709"/>
              <w:jc w:val="both"/>
              <w:rPr>
                <w:rFonts w:ascii="Verdana" w:hAnsi="Verdana"/>
              </w:rPr>
            </w:pPr>
            <w:r w:rsidRPr="008D5B42">
              <w:rPr>
                <w:rFonts w:ascii="Verdana" w:hAnsi="Verdana"/>
              </w:rPr>
              <w:t>En este contexto, es jurídicamente viable que un proponente, en la etapa de subsanación, acredite la experiencia habilitante con un contrato que fue oportunamente aportado para efectos de puntaje, siempre que dicho documento haga parte integral de la oferta desde su presentación y, por tanto, no constituya información nueva; lo anterior se explica en que la experiencia habilitante corresponde a un requisito de capacidad —y no a un factor de evaluación—, lo que permite su acreditación o precisión mediante la utilización de documentos ya allegados, siempre que ello implique únicamente una labor de aclaración, organización o complementación de la información existente.</w:t>
            </w:r>
          </w:p>
          <w:p w14:paraId="0C04397A" w14:textId="77777777" w:rsidR="001530AE" w:rsidRPr="008D5B42" w:rsidRDefault="001530AE" w:rsidP="004451CB">
            <w:pPr>
              <w:spacing w:after="120" w:line="276" w:lineRule="auto"/>
              <w:ind w:firstLine="709"/>
              <w:jc w:val="both"/>
              <w:rPr>
                <w:rFonts w:ascii="Verdana" w:hAnsi="Verdana"/>
              </w:rPr>
            </w:pPr>
            <w:r w:rsidRPr="008D5B42">
              <w:rPr>
                <w:rFonts w:ascii="Verdana" w:hAnsi="Verdana"/>
              </w:rPr>
              <w:t xml:space="preserve">No obstante, esta posibilidad encuentra límites en la prohibición de modificar, adicionar o mejorar la oferta, de modo que no será procedente cuando el uso del contrato implique alterar sustancialmente el contenido de la propuesta, acreditar circunstancias ocurridas con posterioridad al cierre del proceso o incidir en la asignación de puntaje o en la comparación entre proponentes, pues ello vulneraría los principios de transparencia, igualdad y selección objetiva; en consecuencia, la procedencia de esta actuación debe analizarse en cada caso concreto, atendiendo a las reglas del pliego de condiciones y a la finalidad de la </w:t>
            </w:r>
            <w:proofErr w:type="spellStart"/>
            <w:r w:rsidRPr="008D5B42">
              <w:rPr>
                <w:rFonts w:ascii="Verdana" w:hAnsi="Verdana"/>
              </w:rPr>
              <w:t>subsanabilidad</w:t>
            </w:r>
            <w:proofErr w:type="spellEnd"/>
            <w:r w:rsidRPr="008D5B42">
              <w:rPr>
                <w:rFonts w:ascii="Verdana" w:hAnsi="Verdana"/>
              </w:rPr>
              <w:t xml:space="preserve"> dentro del proceso de contratación.</w:t>
            </w:r>
          </w:p>
          <w:p w14:paraId="191DBE5C" w14:textId="77777777" w:rsidR="001530AE" w:rsidRDefault="001530AE" w:rsidP="004451CB">
            <w:pPr>
              <w:spacing w:after="120" w:line="276" w:lineRule="auto"/>
              <w:ind w:firstLine="709"/>
              <w:jc w:val="both"/>
              <w:rPr>
                <w:rFonts w:ascii="Verdana" w:hAnsi="Verdana"/>
              </w:rPr>
            </w:pPr>
            <w:r>
              <w:rPr>
                <w:rFonts w:ascii="Verdana" w:hAnsi="Verdana"/>
              </w:rPr>
              <w:t>En todo caso</w:t>
            </w:r>
            <w:r w:rsidRPr="0039567B">
              <w:rPr>
                <w:rFonts w:ascii="Verdana" w:hAnsi="Verdana"/>
              </w:rPr>
              <w:t xml:space="preserve">, el “Manual para determinar y verificar los requisitos habilitantes en los Procesos de Contratación”, elaborado por la Colombia Compra Eficiente, constituye una herramienta técnica fundamental para las entidades estatales y los proponentes, en la medida en que establece criterios claros y uniformes para definir, exigir y verificar los requisitos habilitantes en los distintos procesos de selección. Este instrumento orienta a las entidades para que dichos requisitos guarden relación con la naturaleza y complejidad del objeto contractual, se ajusten al principio de proporcionalidad y no se conviertan en barreras injustificadas al acceso a la contratación pública. </w:t>
            </w:r>
            <w:r w:rsidRPr="0039567B">
              <w:rPr>
                <w:rFonts w:ascii="Verdana" w:hAnsi="Verdana"/>
              </w:rPr>
              <w:lastRenderedPageBreak/>
              <w:t xml:space="preserve">Asimismo, delimita con mayor precisión cuáles documentos pueden ser objeto de subsanación, contribuyendo a dotar de seguridad jurídica la evaluación de las ofertas. Por ello, se recomienda su consulta como criterio auxiliar de interpretación y aplicación práctica del régimen de </w:t>
            </w:r>
            <w:proofErr w:type="spellStart"/>
            <w:r w:rsidRPr="0039567B">
              <w:rPr>
                <w:rFonts w:ascii="Verdana" w:hAnsi="Verdana"/>
              </w:rPr>
              <w:t>subsanabilidad</w:t>
            </w:r>
            <w:proofErr w:type="spellEnd"/>
            <w:r w:rsidRPr="0039567B">
              <w:rPr>
                <w:rFonts w:ascii="Verdana" w:hAnsi="Verdana"/>
              </w:rPr>
              <w:t>.</w:t>
            </w:r>
          </w:p>
          <w:p w14:paraId="251C9C60" w14:textId="77777777" w:rsidR="001530AE" w:rsidRPr="008D5B42" w:rsidRDefault="001530AE" w:rsidP="004451CB">
            <w:pPr>
              <w:spacing w:after="120" w:line="276" w:lineRule="auto"/>
              <w:ind w:firstLine="709"/>
              <w:jc w:val="both"/>
              <w:rPr>
                <w:rFonts w:ascii="Verdana" w:hAnsi="Verdana"/>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Pr="008D5B42">
              <w:rPr>
                <w:rFonts w:ascii="Verdana" w:hAnsi="Verdana"/>
              </w:rPr>
              <w:t xml:space="preserve">interesados de adoptar la decisión y, en caso de conflicto, a las autoridades judiciales, fiscales y disciplinarias. </w:t>
            </w:r>
          </w:p>
          <w:p w14:paraId="55A7D741" w14:textId="77777777" w:rsidR="001530AE" w:rsidRPr="00275C92" w:rsidRDefault="001530AE" w:rsidP="004451CB">
            <w:pPr>
              <w:spacing w:after="120" w:line="276" w:lineRule="auto"/>
              <w:ind w:firstLine="709"/>
              <w:jc w:val="both"/>
              <w:rPr>
                <w:rFonts w:ascii="Verdana" w:eastAsia="Calibri" w:hAnsi="Verdana" w:cs="Times New Roman"/>
                <w:lang w:val="es-ES"/>
              </w:rPr>
            </w:pPr>
            <w:r w:rsidRPr="008D5B42">
              <w:rPr>
                <w:rFonts w:ascii="Verdana" w:hAnsi="Verdana"/>
              </w:rPr>
              <w:t>En ese sentido, al tratarse de</w:t>
            </w:r>
            <w:r w:rsidRPr="00DB4737">
              <w:rPr>
                <w:rFonts w:ascii="Verdana" w:eastAsia="Calibri" w:hAnsi="Verdana" w:cs="Times New Roman"/>
                <w:lang w:val="es-ES"/>
              </w:rPr>
              <w:t xml:space="preserv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62EBFF08" w14:textId="77777777" w:rsidR="001530AE" w:rsidRDefault="001530AE" w:rsidP="001530AE">
      <w:pPr>
        <w:tabs>
          <w:tab w:val="left" w:pos="142"/>
          <w:tab w:val="left" w:pos="284"/>
        </w:tabs>
        <w:spacing w:after="0" w:line="276" w:lineRule="auto"/>
        <w:jc w:val="both"/>
        <w:rPr>
          <w:rFonts w:ascii="Verdana" w:eastAsia="Century Gothic" w:hAnsi="Verdana" w:cs="Century Gothic"/>
          <w:b/>
          <w:bCs/>
        </w:rPr>
      </w:pPr>
    </w:p>
    <w:p w14:paraId="12A3BFEF" w14:textId="77777777" w:rsidR="001530AE" w:rsidRPr="008E4F36" w:rsidRDefault="001530AE" w:rsidP="001530AE">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2F06E820" w14:textId="77777777" w:rsidR="001530AE" w:rsidRDefault="001530AE" w:rsidP="001530AE">
      <w:pPr>
        <w:pStyle w:val="Prrafodelista"/>
        <w:tabs>
          <w:tab w:val="left" w:pos="142"/>
          <w:tab w:val="left" w:pos="284"/>
        </w:tabs>
        <w:spacing w:after="0" w:line="276" w:lineRule="auto"/>
        <w:ind w:left="0"/>
        <w:contextualSpacing w:val="0"/>
        <w:jc w:val="both"/>
        <w:rPr>
          <w:rFonts w:ascii="Verdana" w:eastAsia="Calibri" w:hAnsi="Verdana" w:cs="Arial"/>
        </w:rPr>
      </w:pPr>
    </w:p>
    <w:p w14:paraId="3703E539" w14:textId="77777777" w:rsidR="001530AE" w:rsidRDefault="001530AE" w:rsidP="001530AE">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2B7D8E21" w14:textId="77777777" w:rsidR="001530AE" w:rsidRDefault="001530AE" w:rsidP="001530AE">
      <w:pPr>
        <w:pStyle w:val="Prrafodelista"/>
        <w:tabs>
          <w:tab w:val="left" w:pos="142"/>
          <w:tab w:val="left" w:pos="284"/>
        </w:tabs>
        <w:spacing w:after="0" w:line="276" w:lineRule="auto"/>
        <w:ind w:left="0"/>
        <w:contextualSpacing w:val="0"/>
        <w:jc w:val="both"/>
        <w:rPr>
          <w:rFonts w:ascii="Verdana" w:eastAsia="Calibri" w:hAnsi="Verdana" w:cs="Arial"/>
        </w:rPr>
      </w:pPr>
    </w:p>
    <w:p w14:paraId="0AC25A57" w14:textId="77777777" w:rsidR="001530AE" w:rsidRPr="00C543FB" w:rsidRDefault="001530AE" w:rsidP="001530AE">
      <w:pPr>
        <w:spacing w:line="276" w:lineRule="auto"/>
        <w:jc w:val="both"/>
        <w:rPr>
          <w:rFonts w:ascii="Verdana" w:eastAsia="Calibri" w:hAnsi="Verdana" w:cs="Arial"/>
          <w:color w:val="000000"/>
          <w:lang w:val="es-ES" w:eastAsia="es-MX"/>
        </w:rPr>
      </w:pPr>
      <w:r w:rsidRPr="00C543FB">
        <w:rPr>
          <w:rFonts w:ascii="Verdana" w:eastAsia="Calibri" w:hAnsi="Verdana" w:cs="Arial"/>
          <w:color w:val="000000"/>
          <w:lang w:val="es-ES" w:eastAsia="es-MX"/>
        </w:rPr>
        <w:t xml:space="preserve">La </w:t>
      </w:r>
      <w:proofErr w:type="spellStart"/>
      <w:r w:rsidRPr="00C543FB">
        <w:rPr>
          <w:rFonts w:ascii="Verdana" w:eastAsia="Calibri" w:hAnsi="Verdana" w:cs="Arial"/>
          <w:color w:val="000000"/>
          <w:lang w:val="es-ES" w:eastAsia="es-MX"/>
        </w:rPr>
        <w:t>subsanabilidad</w:t>
      </w:r>
      <w:proofErr w:type="spellEnd"/>
      <w:r w:rsidRPr="00C543FB">
        <w:rPr>
          <w:rFonts w:ascii="Verdana" w:eastAsia="Calibri" w:hAnsi="Verdana" w:cs="Arial"/>
          <w:color w:val="000000"/>
          <w:lang w:val="es-ES" w:eastAsia="es-MX"/>
        </w:rPr>
        <w:t xml:space="preserve">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 Además, la posibilidad de subsanar estos documentos tiene como propósito: </w:t>
      </w:r>
    </w:p>
    <w:p w14:paraId="5D10609E" w14:textId="77777777" w:rsidR="001530AE" w:rsidRPr="007D1D8C" w:rsidRDefault="001530AE" w:rsidP="001530AE">
      <w:pPr>
        <w:ind w:left="709" w:right="709"/>
        <w:jc w:val="both"/>
        <w:rPr>
          <w:rFonts w:ascii="Verdana" w:eastAsia="Calibri" w:hAnsi="Verdana" w:cs="Arial"/>
          <w:color w:val="000000"/>
          <w:sz w:val="20"/>
          <w:szCs w:val="20"/>
          <w:lang w:val="es-ES" w:eastAsia="es-MX"/>
        </w:rPr>
      </w:pPr>
      <w:r w:rsidRPr="00E949C1">
        <w:rPr>
          <w:rFonts w:ascii="Verdana" w:eastAsia="Times New Roman" w:hAnsi="Verdana" w:cs="Arial"/>
          <w:color w:val="000000"/>
          <w:sz w:val="20"/>
          <w:szCs w:val="20"/>
          <w:lang w:val="es-ES" w:eastAsia="es-MX"/>
        </w:rPr>
        <w:t xml:space="preserve">[…] materializar un principio general de primacía de lo sustancial sobre lo formal, adoptando medidas de saneamiento del proceso de selección tendientes a que los meros defectos formales, que no afecten </w:t>
      </w:r>
      <w:r w:rsidRPr="00E949C1">
        <w:rPr>
          <w:rFonts w:ascii="Verdana" w:eastAsia="Times New Roman" w:hAnsi="Verdana" w:cs="Arial"/>
          <w:color w:val="000000"/>
          <w:sz w:val="20"/>
          <w:szCs w:val="20"/>
          <w:lang w:val="es-ES" w:eastAsia="es-MX"/>
        </w:rPr>
        <w:lastRenderedPageBreak/>
        <w:t xml:space="preserve">sustancialmente la oferta, referidos a la documentación o instrumentalización de </w:t>
      </w:r>
      <w:proofErr w:type="gramStart"/>
      <w:r w:rsidRPr="00E949C1">
        <w:rPr>
          <w:rFonts w:ascii="Verdana" w:eastAsia="Times New Roman" w:hAnsi="Verdana" w:cs="Arial"/>
          <w:color w:val="000000"/>
          <w:sz w:val="20"/>
          <w:szCs w:val="20"/>
          <w:lang w:val="es-ES" w:eastAsia="es-MX"/>
        </w:rPr>
        <w:t>la misma</w:t>
      </w:r>
      <w:proofErr w:type="gramEnd"/>
      <w:r w:rsidRPr="00E949C1">
        <w:rPr>
          <w:rFonts w:ascii="Verdana" w:eastAsia="Times New Roman" w:hAnsi="Verdana" w:cs="Arial"/>
          <w:color w:val="000000"/>
          <w:sz w:val="20"/>
          <w:szCs w:val="20"/>
          <w:lang w:val="es-ES" w:eastAsia="es-MX"/>
        </w:rPr>
        <w:t>, priven a la administración de considerar una oferta por causa de tales fale</w:t>
      </w:r>
      <w:r w:rsidRPr="007D1D8C">
        <w:rPr>
          <w:rFonts w:ascii="Verdana" w:eastAsia="Calibri" w:hAnsi="Verdana" w:cs="Arial"/>
          <w:color w:val="000000"/>
          <w:sz w:val="20"/>
          <w:szCs w:val="20"/>
          <w:lang w:val="es-ES" w:eastAsia="es-MX"/>
        </w:rPr>
        <w:t>ncias</w:t>
      </w:r>
      <w:r w:rsidRPr="007D1D8C">
        <w:rPr>
          <w:rFonts w:ascii="Verdana" w:eastAsia="Calibri" w:hAnsi="Verdana" w:cs="Arial"/>
          <w:color w:val="000000"/>
          <w:sz w:val="20"/>
          <w:szCs w:val="20"/>
          <w:vertAlign w:val="superscript"/>
          <w:lang w:val="es-ES" w:eastAsia="es-MX"/>
        </w:rPr>
        <w:footnoteReference w:id="1"/>
      </w:r>
      <w:r w:rsidRPr="007D1D8C">
        <w:rPr>
          <w:rFonts w:ascii="Verdana" w:eastAsia="Calibri" w:hAnsi="Verdana" w:cs="Arial"/>
          <w:color w:val="000000"/>
          <w:sz w:val="20"/>
          <w:szCs w:val="20"/>
          <w:lang w:val="es-ES" w:eastAsia="es-MX"/>
        </w:rPr>
        <w:t>.</w:t>
      </w:r>
    </w:p>
    <w:p w14:paraId="58578342" w14:textId="77777777" w:rsidR="001530AE" w:rsidRPr="00C543FB" w:rsidRDefault="001530AE" w:rsidP="001530AE">
      <w:pPr>
        <w:spacing w:after="120" w:line="276" w:lineRule="auto"/>
        <w:ind w:firstLine="708"/>
        <w:jc w:val="both"/>
        <w:rPr>
          <w:rFonts w:ascii="Verdana" w:eastAsia="Times New Roman" w:hAnsi="Verdana" w:cs="Arial"/>
          <w:color w:val="000000"/>
          <w:lang w:val="es-ES" w:eastAsia="es-MX"/>
        </w:rPr>
      </w:pPr>
      <w:r w:rsidRPr="00C543FB">
        <w:rPr>
          <w:rFonts w:ascii="Verdana" w:eastAsia="Calibri" w:hAnsi="Verdana" w:cs="Arial"/>
          <w:color w:val="000000"/>
          <w:lang w:val="es-ES" w:eastAsia="es-MX"/>
        </w:rPr>
        <w:t xml:space="preserve">A raíz de lo anterior, no podrán rechazarse las propuestas por ausencia de requisitos o falta de documentos que verifiquen las condiciones habilitantes del proponente, y que, a su vez, estos no se constituyan como factores de comparación entre propuestas. </w:t>
      </w:r>
      <w:r w:rsidRPr="00C543FB">
        <w:rPr>
          <w:rFonts w:ascii="Verdana" w:eastAsia="Times New Roman" w:hAnsi="Verdana" w:cs="Arial"/>
          <w:color w:val="000000"/>
          <w:lang w:val="es-ES" w:eastAsia="es-MX"/>
        </w:rPr>
        <w:t xml:space="preserve">Ahora bien, la posibilidad de subsanar los documentos contentivos de la oferta es un tema que ha tenido diferentes momentos o etapas en el ordenamiento jurídico colombiano. </w:t>
      </w:r>
    </w:p>
    <w:p w14:paraId="30537077" w14:textId="77777777" w:rsidR="001530AE" w:rsidRPr="00C543FB" w:rsidRDefault="001530AE" w:rsidP="001530AE">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primer momento</w:t>
      </w:r>
      <w:r w:rsidRPr="00C543FB">
        <w:rPr>
          <w:rFonts w:ascii="Verdana" w:eastAsia="Times New Roman" w:hAnsi="Verdana" w:cs="Arial"/>
          <w:color w:val="000000"/>
          <w:lang w:val="es-ES" w:eastAsia="es-MX"/>
        </w:rPr>
        <w:t xml:space="preserve">, antes de la entrada en vigor de la Constitución Política de 1991, el régimen jurídico de la </w:t>
      </w:r>
      <w:proofErr w:type="spellStart"/>
      <w:r w:rsidRPr="00C543FB">
        <w:rPr>
          <w:rFonts w:ascii="Verdana" w:eastAsia="Times New Roman" w:hAnsi="Verdana" w:cs="Arial"/>
          <w:color w:val="000000"/>
          <w:lang w:val="es-ES" w:eastAsia="es-MX"/>
        </w:rPr>
        <w:t>subsanabilidad</w:t>
      </w:r>
      <w:proofErr w:type="spellEnd"/>
      <w:r w:rsidRPr="00C543FB">
        <w:rPr>
          <w:rFonts w:ascii="Verdana" w:eastAsia="Times New Roman" w:hAnsi="Verdana" w:cs="Arial"/>
          <w:color w:val="000000"/>
          <w:lang w:val="es-ES" w:eastAsia="es-MX"/>
        </w:rPr>
        <w:t xml:space="preserve"> de las ofertas estaba compuesto por el Decreto Ley 150 de 1976 y el Decreto 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0C0E57E1" w14:textId="77777777" w:rsidR="001530AE" w:rsidRPr="00C543FB" w:rsidRDefault="001530AE" w:rsidP="001530AE">
      <w:pPr>
        <w:spacing w:before="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segundo momento</w:t>
      </w:r>
      <w:r w:rsidRPr="00C543FB">
        <w:rPr>
          <w:rFonts w:ascii="Verdana" w:eastAsia="Times New Roman" w:hAnsi="Verdana" w:cs="Arial"/>
          <w:color w:val="000000"/>
          <w:lang w:val="es-ES" w:eastAsia="es-MX"/>
        </w:rPr>
        <w:t xml:space="preserve"> se expidió la Ley 80 de 1993, bajo el nuevo paradigma que supuso la Constitución de 1991, particularmente en la forma como se relaciona lo formal y lo sustancial en las actuaciones judiciales y administrativas. Este cambio ideológico quedó consignado en el artículo 228, que introdujo un principio de supremacía o prevalencia del derecho sustancial sobre lo procedimental. En este nuevo escenario constitucional, el artículo 25.15 de la Ley 80 de 1993 dispuso lo siguiente: </w:t>
      </w:r>
    </w:p>
    <w:p w14:paraId="1D4E13A1" w14:textId="77777777" w:rsidR="001530AE" w:rsidRPr="007D1D8C" w:rsidRDefault="001530AE" w:rsidP="001530AE">
      <w:pPr>
        <w:spacing w:after="120"/>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5753C680" w14:textId="77777777" w:rsidR="001530AE" w:rsidRPr="007A4295" w:rsidRDefault="001530AE" w:rsidP="001530AE">
      <w:pPr>
        <w:spacing w:before="120"/>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La ausencia de requisitos o la falta de documentos referentes a la futura contratación o al proponente, no necesarios para la comparación de propuestas, no servirá de título suficiente para el rechazo de los ofrecimientos hechos. </w:t>
      </w:r>
    </w:p>
    <w:p w14:paraId="43F3137C" w14:textId="77777777" w:rsidR="001530AE" w:rsidRPr="00C543FB" w:rsidRDefault="001530AE" w:rsidP="001530AE">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lastRenderedPageBreak/>
        <w:t xml:space="preserve">Bajo el amparo de esta norma, el régimen jurídico de </w:t>
      </w:r>
      <w:proofErr w:type="spellStart"/>
      <w:r w:rsidRPr="00C543FB">
        <w:rPr>
          <w:rFonts w:ascii="Verdana" w:eastAsia="Times New Roman" w:hAnsi="Verdana" w:cs="Arial"/>
          <w:color w:val="000000"/>
          <w:lang w:val="es-ES" w:eastAsia="es-MX"/>
        </w:rPr>
        <w:t>subsanabilidad</w:t>
      </w:r>
      <w:proofErr w:type="spellEnd"/>
      <w:r w:rsidRPr="00C543FB">
        <w:rPr>
          <w:rFonts w:ascii="Verdana" w:eastAsia="Times New Roman" w:hAnsi="Verdana" w:cs="Arial"/>
          <w:color w:val="000000"/>
          <w:lang w:val="es-ES" w:eastAsia="es-MX"/>
        </w:rPr>
        <w:t xml:space="preserve"> de las ofertas sufre un cambio fundamental, pues ya no era posible rechazar las ofertas por falta de requisitos o documentos que no fueran </w:t>
      </w:r>
      <w:r>
        <w:rPr>
          <w:rFonts w:ascii="Verdana" w:eastAsia="Times New Roman" w:hAnsi="Verdana" w:cs="Arial"/>
          <w:color w:val="000000"/>
          <w:lang w:val="es-ES" w:eastAsia="es-MX"/>
        </w:rPr>
        <w:t>“</w:t>
      </w:r>
      <w:r w:rsidRPr="00C543FB">
        <w:rPr>
          <w:rFonts w:ascii="Verdana" w:eastAsia="Times New Roman" w:hAnsi="Verdana" w:cs="Arial"/>
          <w:color w:val="000000"/>
          <w:lang w:val="es-ES" w:eastAsia="es-MX"/>
        </w:rPr>
        <w:t>necesarios para la comparación de propuestas</w:t>
      </w:r>
      <w:r>
        <w:rPr>
          <w:rFonts w:ascii="Verdana" w:eastAsia="Times New Roman" w:hAnsi="Verdana" w:cs="Arial"/>
          <w:color w:val="000000"/>
          <w:lang w:val="es-ES" w:eastAsia="es-MX"/>
        </w:rPr>
        <w:t>”</w:t>
      </w:r>
      <w:r w:rsidRPr="00C543FB">
        <w:rPr>
          <w:rFonts w:ascii="Verdana" w:eastAsia="Times New Roman" w:hAnsi="Verdana" w:cs="Arial"/>
          <w:color w:val="000000"/>
          <w:lang w:val="es-ES" w:eastAsia="es-MX"/>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5F3F66F8" w14:textId="77777777" w:rsidR="001530AE" w:rsidRPr="00C543FB" w:rsidRDefault="001530AE" w:rsidP="001530AE">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Esta norma debía leerse en conjunto con otras de la Ley 80 de 1993, particularmente con el artículo 30.7, que ordena a la entidad señalar un plazo razonable para evaluar las propuestas y para pedir a los proponentes, de ser necesario, que aclaren o expliquen aspectos que ofrezcan dudas y resulten indispensables para llevar a cabo la evaluación</w:t>
      </w:r>
      <w:r w:rsidRPr="00C543FB">
        <w:rPr>
          <w:rFonts w:ascii="Verdana" w:eastAsia="Times New Roman" w:hAnsi="Verdana" w:cs="Arial"/>
          <w:color w:val="000000"/>
          <w:vertAlign w:val="superscript"/>
          <w:lang w:val="es-ES" w:eastAsia="es-MX"/>
        </w:rPr>
        <w:footnoteReference w:id="2"/>
      </w:r>
      <w:r w:rsidRPr="00C543FB">
        <w:rPr>
          <w:rFonts w:ascii="Verdana" w:eastAsia="Times New Roman" w:hAnsi="Verdana" w:cs="Arial"/>
          <w:color w:val="000000"/>
          <w:lang w:val="es-ES" w:eastAsia="es-MX"/>
        </w:rPr>
        <w:t>; y con el artículo 30.8, que consagró el término de 5 días hábiles para que los oferentes presenten observaciones al informe de evaluación de las propuestas, sin que sea posible completar, adicionar, modificar o mejorar su oferta</w:t>
      </w:r>
      <w:r w:rsidRPr="00C543FB">
        <w:rPr>
          <w:rFonts w:ascii="Verdana" w:eastAsia="Times New Roman" w:hAnsi="Verdana" w:cs="Arial"/>
          <w:color w:val="000000"/>
          <w:vertAlign w:val="superscript"/>
          <w:lang w:val="es-ES" w:eastAsia="es-MX"/>
        </w:rPr>
        <w:footnoteReference w:id="3"/>
      </w:r>
      <w:r w:rsidRPr="00C543FB">
        <w:rPr>
          <w:rFonts w:ascii="Verdana" w:eastAsia="Times New Roman" w:hAnsi="Verdana" w:cs="Arial"/>
          <w:color w:val="000000"/>
          <w:lang w:val="es-ES" w:eastAsia="es-MX"/>
        </w:rPr>
        <w:t xml:space="preserve">.  </w:t>
      </w:r>
    </w:p>
    <w:p w14:paraId="1E5E19A7" w14:textId="77777777" w:rsidR="001530AE" w:rsidRPr="00C543FB" w:rsidRDefault="001530AE" w:rsidP="001530AE">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A partir de la lectura integrada de estas tres normas debía concluirse que con la Ley 80 de 1993 era posible subsanar las propuestas, y la omisión o el error en algún aspecto de esta no podía llevar a su rechazo, sin antes verificar que lo omitido fuera un aspecto necesario para la comparación. </w:t>
      </w:r>
    </w:p>
    <w:p w14:paraId="1B0AE22E" w14:textId="77777777" w:rsidR="001530AE" w:rsidRPr="00C543FB" w:rsidRDefault="001530AE" w:rsidP="001530AE">
      <w:pPr>
        <w:spacing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tercer momento</w:t>
      </w:r>
      <w:r w:rsidRPr="00C543FB">
        <w:rPr>
          <w:rFonts w:ascii="Verdana" w:eastAsia="Times New Roman" w:hAnsi="Verdana" w:cs="Arial"/>
          <w:color w:val="000000"/>
          <w:lang w:val="es-ES" w:eastAsia="es-MX"/>
        </w:rPr>
        <w:t xml:space="preserve">, siguiendo la línea trazada por la Ley 80 de 1993, el legislador expidió la Ley 1150 de 2007, que en el parágrafo 1º del artículo 5, determinó lo siguiente: </w:t>
      </w:r>
    </w:p>
    <w:p w14:paraId="0B93AF45" w14:textId="77777777" w:rsidR="001530AE" w:rsidRPr="007D1D8C" w:rsidRDefault="001530AE" w:rsidP="001530AE">
      <w:pPr>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Parágrafo 1°. La ausencia de requisitos o la falta de documentos referentes a la futura contratación o al proponente, no necesarios para la comparación de las propuestas no servirán de título suficiente para el rechazo de los ofrecimientos hechos. En consecuencia</w:t>
      </w:r>
      <w:r w:rsidRPr="007D1D8C">
        <w:rPr>
          <w:rFonts w:ascii="Verdana" w:eastAsia="Times New Roman" w:hAnsi="Verdana" w:cs="Arial"/>
          <w:b/>
          <w:color w:val="000000"/>
          <w:sz w:val="20"/>
          <w:szCs w:val="20"/>
          <w:lang w:val="es-ES" w:eastAsia="es-MX"/>
        </w:rPr>
        <w:t xml:space="preserve">, </w:t>
      </w:r>
      <w:r w:rsidRPr="007D1D8C">
        <w:rPr>
          <w:rFonts w:ascii="Verdana" w:eastAsia="Times New Roman" w:hAnsi="Verdana" w:cs="Arial"/>
          <w:color w:val="000000"/>
          <w:sz w:val="20"/>
          <w:szCs w:val="20"/>
          <w:lang w:val="es-ES" w:eastAsia="es-MX"/>
        </w:rPr>
        <w:t xml:space="preserve">todos aquellos requisitos de la propuesta que no afecten la asignación de </w:t>
      </w:r>
      <w:proofErr w:type="gramStart"/>
      <w:r w:rsidRPr="007D1D8C">
        <w:rPr>
          <w:rFonts w:ascii="Verdana" w:eastAsia="Times New Roman" w:hAnsi="Verdana" w:cs="Arial"/>
          <w:color w:val="000000"/>
          <w:sz w:val="20"/>
          <w:szCs w:val="20"/>
          <w:lang w:val="es-ES" w:eastAsia="es-MX"/>
        </w:rPr>
        <w:t>puntaje,</w:t>
      </w:r>
      <w:proofErr w:type="gramEnd"/>
      <w:r w:rsidRPr="007D1D8C">
        <w:rPr>
          <w:rFonts w:ascii="Verdana" w:eastAsia="Times New Roman" w:hAnsi="Verdana" w:cs="Arial"/>
          <w:color w:val="000000"/>
          <w:sz w:val="20"/>
          <w:szCs w:val="20"/>
          <w:lang w:val="es-ES" w:eastAsia="es-MX"/>
        </w:rPr>
        <w:t xml:space="preserve"> podrán ser solicitados por las entidades en cualquier momento, hasta la </w:t>
      </w:r>
      <w:r w:rsidRPr="007D1D8C">
        <w:rPr>
          <w:rFonts w:ascii="Verdana" w:eastAsia="Times New Roman" w:hAnsi="Verdana" w:cs="Arial"/>
          <w:color w:val="000000"/>
          <w:sz w:val="20"/>
          <w:szCs w:val="20"/>
          <w:lang w:val="es-ES" w:eastAsia="es-MX"/>
        </w:rPr>
        <w:lastRenderedPageBreak/>
        <w:t xml:space="preserve">adjudicación. No </w:t>
      </w:r>
      <w:proofErr w:type="gramStart"/>
      <w:r w:rsidRPr="007D1D8C">
        <w:rPr>
          <w:rFonts w:ascii="Verdana" w:eastAsia="Times New Roman" w:hAnsi="Verdana" w:cs="Arial"/>
          <w:color w:val="000000"/>
          <w:sz w:val="20"/>
          <w:szCs w:val="20"/>
          <w:lang w:val="es-ES" w:eastAsia="es-MX"/>
        </w:rPr>
        <w:t>obstante</w:t>
      </w:r>
      <w:proofErr w:type="gramEnd"/>
      <w:r w:rsidRPr="007D1D8C">
        <w:rPr>
          <w:rFonts w:ascii="Verdana" w:eastAsia="Times New Roman" w:hAnsi="Verdana" w:cs="Arial"/>
          <w:color w:val="000000"/>
          <w:sz w:val="20"/>
          <w:szCs w:val="20"/>
          <w:lang w:val="es-ES" w:eastAsia="es-MX"/>
        </w:rPr>
        <w:t xml:space="preserve"> lo anterior, en aquellos procesos de selección en los que se utilice el mecanismo de subasta, deberán ser solicitados hasta el momento previo a su realización. </w:t>
      </w:r>
    </w:p>
    <w:p w14:paraId="3BB79227" w14:textId="77777777" w:rsidR="001530AE" w:rsidRPr="00C543FB" w:rsidRDefault="001530AE" w:rsidP="001530AE">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0C6EC2D4" w14:textId="77777777" w:rsidR="001530AE" w:rsidRPr="00C543FB" w:rsidRDefault="001530AE" w:rsidP="001530AE">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otorga puntaje, no es posible subsanarlo; pero, si lo omitido no otorga puntaje, la Administración debe requerir al proponente para que lo subsane.  </w:t>
      </w:r>
    </w:p>
    <w:p w14:paraId="1034FEA2" w14:textId="77777777" w:rsidR="001530AE" w:rsidRPr="00C543FB" w:rsidRDefault="001530AE" w:rsidP="001530AE">
      <w:pPr>
        <w:spacing w:before="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El artículo 5 de la Ley 1150 de 2007, además de consagrar un criterio más claro, y, de paso, reducir la discrecionalidad de la Administración, fijó un ámbito temporal para la subsanación de las ofertas: «en cualquier momento, hasta la adjudicación». El Consejo de Estado concluyó que a partir del parágrafo 1º del artículo 5 de la Ley 1150, la definición de lo que es subsanable y lo que no lo es surge a partir del planteamiento de la pregunta sobre si el defecto asigna puntaje o no, en estos términos: </w:t>
      </w:r>
    </w:p>
    <w:p w14:paraId="5C19487E" w14:textId="77777777" w:rsidR="001530AE" w:rsidRPr="007D1D8C" w:rsidRDefault="001530AE" w:rsidP="001530AE">
      <w:pPr>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w:t>
      </w:r>
      <w:r w:rsidRPr="007D1D8C">
        <w:rPr>
          <w:rFonts w:ascii="Verdana" w:eastAsia="Times New Roman" w:hAnsi="Verdana" w:cs="Arial"/>
          <w:color w:val="000000"/>
          <w:sz w:val="20"/>
          <w:szCs w:val="20"/>
          <w:lang w:val="es-ES" w:eastAsia="es-MX"/>
        </w:rPr>
        <w:lastRenderedPageBreak/>
        <w:t>ofertas, con la condición de que cuando le pidan la acreditación la satisfaga suficientemente</w:t>
      </w:r>
      <w:r w:rsidRPr="007D1D8C">
        <w:rPr>
          <w:rFonts w:ascii="Verdana" w:eastAsia="Times New Roman" w:hAnsi="Verdana" w:cs="Arial"/>
          <w:color w:val="000000"/>
          <w:sz w:val="20"/>
          <w:szCs w:val="20"/>
          <w:vertAlign w:val="superscript"/>
          <w:lang w:val="es-ES" w:eastAsia="es-MX"/>
        </w:rPr>
        <w:footnoteReference w:id="4"/>
      </w:r>
      <w:r w:rsidRPr="007D1D8C">
        <w:rPr>
          <w:rFonts w:ascii="Verdana" w:eastAsia="Times New Roman" w:hAnsi="Verdana" w:cs="Arial"/>
          <w:color w:val="000000"/>
          <w:sz w:val="20"/>
          <w:szCs w:val="20"/>
          <w:lang w:val="es-ES" w:eastAsia="es-MX"/>
        </w:rPr>
        <w:t>.</w:t>
      </w:r>
    </w:p>
    <w:p w14:paraId="50FEFA17" w14:textId="77777777" w:rsidR="001530AE" w:rsidRPr="00C543FB" w:rsidRDefault="001530AE" w:rsidP="001530AE">
      <w:pPr>
        <w:tabs>
          <w:tab w:val="left" w:pos="284"/>
        </w:tabs>
        <w:spacing w:after="120" w:line="276" w:lineRule="auto"/>
        <w:ind w:firstLine="709"/>
        <w:jc w:val="both"/>
        <w:rPr>
          <w:rFonts w:ascii="Verdana" w:eastAsia="Calibri" w:hAnsi="Verdana" w:cs="Arial"/>
          <w:color w:val="000000"/>
          <w:lang w:val="es-ES"/>
        </w:rPr>
      </w:pPr>
      <w:r w:rsidRPr="00C543FB">
        <w:rPr>
          <w:rFonts w:ascii="Verdana" w:eastAsia="Calibri" w:hAnsi="Verdana" w:cs="Arial"/>
          <w:color w:val="000000"/>
          <w:lang w:val="es-ES"/>
        </w:rPr>
        <w:t xml:space="preserve">Esa interpretación fue compartida por la </w:t>
      </w:r>
      <w:r w:rsidRPr="00C543FB">
        <w:rPr>
          <w:rFonts w:ascii="Verdana" w:eastAsia="MS Mincho" w:hAnsi="Verdana" w:cs="Arial"/>
          <w:color w:val="000000"/>
          <w:lang w:val="es-ES" w:eastAsia="es-CO"/>
        </w:rPr>
        <w:t>Agencia Nacional de Contratación Pública – Colombia Compra Eficiente</w:t>
      </w:r>
      <w:r w:rsidRPr="00C543FB">
        <w:rPr>
          <w:rFonts w:ascii="Verdana" w:eastAsia="Calibri" w:hAnsi="Verdana" w:cs="Arial"/>
          <w:color w:val="000000"/>
          <w:lang w:val="es-ES"/>
        </w:rPr>
        <w:t xml:space="preserve">, pues en la Circular Externa Única se precisó </w:t>
      </w:r>
      <w:proofErr w:type="gramStart"/>
      <w:r w:rsidRPr="00C543FB">
        <w:rPr>
          <w:rFonts w:ascii="Verdana" w:eastAsia="Calibri" w:hAnsi="Verdana" w:cs="Arial"/>
          <w:color w:val="000000"/>
          <w:lang w:val="es-ES"/>
        </w:rPr>
        <w:t>que</w:t>
      </w:r>
      <w:proofErr w:type="gramEnd"/>
      <w:r w:rsidRPr="00C543FB">
        <w:rPr>
          <w:rFonts w:ascii="Verdana" w:eastAsia="Calibri" w:hAnsi="Verdana" w:cs="Arial"/>
          <w:color w:val="000000"/>
          <w:lang w:val="es-ES"/>
        </w:rPr>
        <w:t xml:space="preserve"> si durante un proceso de contratación hay proponentes que no acreditaron en sus ofertas requisitos que no afectan la asignación de puntaje o la comparación de </w:t>
      </w:r>
      <w:proofErr w:type="gramStart"/>
      <w:r w:rsidRPr="00C543FB">
        <w:rPr>
          <w:rFonts w:ascii="Verdana" w:eastAsia="Calibri" w:hAnsi="Verdana" w:cs="Arial"/>
          <w:color w:val="000000"/>
          <w:lang w:val="es-ES"/>
        </w:rPr>
        <w:t>las mismas</w:t>
      </w:r>
      <w:proofErr w:type="gramEnd"/>
      <w:r w:rsidRPr="00C543FB">
        <w:rPr>
          <w:rFonts w:ascii="Verdana" w:eastAsia="Calibri" w:hAnsi="Verdana" w:cs="Arial"/>
          <w:color w:val="000000"/>
          <w:lang w:val="es-ES"/>
        </w:rPr>
        <w:t>, la entidad estatal deberá indicarlo en el informe de evaluación y advertir que la correspondiente oferta no será evaluada hasta que se subsane.</w:t>
      </w:r>
    </w:p>
    <w:p w14:paraId="60CD28E8" w14:textId="77777777" w:rsidR="001530AE" w:rsidRPr="00C543FB" w:rsidRDefault="001530AE" w:rsidP="001530AE">
      <w:pPr>
        <w:tabs>
          <w:tab w:val="left" w:pos="284"/>
        </w:tabs>
        <w:spacing w:before="120" w:line="276" w:lineRule="auto"/>
        <w:ind w:firstLine="709"/>
        <w:jc w:val="both"/>
        <w:rPr>
          <w:rFonts w:ascii="Verdana" w:eastAsia="MS Mincho" w:hAnsi="Verdana" w:cs="Arial"/>
          <w:color w:val="000000"/>
          <w:lang w:val="es-ES"/>
        </w:rPr>
      </w:pPr>
      <w:r w:rsidRPr="00C543FB">
        <w:rPr>
          <w:rFonts w:ascii="Verdana" w:eastAsia="MS Mincho" w:hAnsi="Verdana" w:cs="Arial"/>
          <w:color w:val="000000"/>
          <w:lang w:val="es-ES" w:eastAsia="es-CO"/>
        </w:rPr>
        <w:t xml:space="preserve">En un </w:t>
      </w:r>
      <w:r w:rsidRPr="00C543FB">
        <w:rPr>
          <w:rFonts w:ascii="Verdana" w:eastAsia="MS Mincho" w:hAnsi="Verdana" w:cs="Arial"/>
          <w:i/>
          <w:iCs/>
          <w:color w:val="000000"/>
          <w:lang w:val="es-ES" w:eastAsia="es-CO"/>
        </w:rPr>
        <w:t>cuarto momento</w:t>
      </w:r>
      <w:r w:rsidRPr="00C543FB">
        <w:rPr>
          <w:rFonts w:ascii="Verdana" w:eastAsia="MS Mincho" w:hAnsi="Verdana" w:cs="Arial"/>
          <w:color w:val="000000"/>
          <w:lang w:val="es-ES" w:eastAsia="es-CO"/>
        </w:rPr>
        <w:t xml:space="preserve">, el legislador expidió la Ley 1882 de 2018, con la finalidad de introducir cambios y ajustes para fortalecer la contratación pública. El artículo 5 modificó el parágrafo 1º y adicionó algunos otros, entre ellos el 4° del artículo 5 de la Ley 1150 de 2007: </w:t>
      </w:r>
    </w:p>
    <w:p w14:paraId="39A74358" w14:textId="77777777" w:rsidR="001530AE" w:rsidRPr="00547A08" w:rsidRDefault="001530AE" w:rsidP="001530AE">
      <w:pPr>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 xml:space="preserve">Artículo 5°. De la selección objetiva. </w:t>
      </w:r>
    </w:p>
    <w:p w14:paraId="60CF527F" w14:textId="77777777" w:rsidR="001530AE" w:rsidRPr="00547A08" w:rsidRDefault="001530AE" w:rsidP="001530AE">
      <w:pPr>
        <w:spacing w:after="120"/>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w:t>
      </w:r>
    </w:p>
    <w:p w14:paraId="0C9CAF93" w14:textId="77777777" w:rsidR="001530AE" w:rsidRPr="00547A08" w:rsidRDefault="001530AE" w:rsidP="001530AE">
      <w:pPr>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 xml:space="preserve">Parágrafo 1º. La ausencia de requisitos o la falta de documentos referentes a la futura contratación o al proponente, no necesarios para la </w:t>
      </w:r>
      <w:bookmarkStart w:id="6" w:name="_Hlk71479674"/>
      <w:r w:rsidRPr="00547A08">
        <w:rPr>
          <w:rFonts w:ascii="Verdana" w:eastAsia="Times New Roman" w:hAnsi="Verdana" w:cs="Arial"/>
          <w:color w:val="000000"/>
          <w:sz w:val="20"/>
          <w:szCs w:val="20"/>
          <w:lang w:val="es-ES" w:eastAsia="es-MX"/>
        </w:rPr>
        <w:t>comparación de las propuestas</w:t>
      </w:r>
      <w:bookmarkEnd w:id="6"/>
      <w:r w:rsidRPr="00547A08">
        <w:rPr>
          <w:rFonts w:ascii="Verdana" w:eastAsia="Times New Roman" w:hAnsi="Verdana" w:cs="Arial"/>
          <w:color w:val="000000"/>
          <w:sz w:val="20"/>
          <w:szCs w:val="20"/>
          <w:lang w:val="es-ES" w:eastAsia="es-MX"/>
        </w:rPr>
        <w:t xml:space="preserve"> no servirán de título suficiente para el rechazo de los ofrecimientos hechos. En consecuencia, todos aquellos requisitos de la propuesta que no afecten la asignación de </w:t>
      </w:r>
      <w:proofErr w:type="gramStart"/>
      <w:r w:rsidRPr="00547A08">
        <w:rPr>
          <w:rFonts w:ascii="Verdana" w:eastAsia="Times New Roman" w:hAnsi="Verdana" w:cs="Arial"/>
          <w:color w:val="000000"/>
          <w:sz w:val="20"/>
          <w:szCs w:val="20"/>
          <w:lang w:val="es-ES" w:eastAsia="es-MX"/>
        </w:rPr>
        <w:t>puntaje,</w:t>
      </w:r>
      <w:proofErr w:type="gramEnd"/>
      <w:r w:rsidRPr="00547A08">
        <w:rPr>
          <w:rFonts w:ascii="Verdana" w:eastAsia="Times New Roman" w:hAnsi="Verdana" w:cs="Arial"/>
          <w:color w:val="000000"/>
          <w:sz w:val="20"/>
          <w:szCs w:val="20"/>
          <w:lang w:val="es-ES" w:eastAsia="es-MX"/>
        </w:rPr>
        <w:t xml:space="preserv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72086148" w14:textId="77777777" w:rsidR="001530AE" w:rsidRPr="00C543FB" w:rsidRDefault="001530AE" w:rsidP="001530AE">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Esta norma: i) mantiene el criterio de la Ley 80 de 1993, relativo a que todo lo que no sea necesario para la comparación de propuestas no es título suficiente para su rechazo; </w:t>
      </w:r>
      <w:proofErr w:type="spellStart"/>
      <w:r w:rsidRPr="00C543FB">
        <w:rPr>
          <w:rFonts w:ascii="Verdana" w:eastAsia="Times New Roman" w:hAnsi="Verdana" w:cs="Arial"/>
          <w:color w:val="000000"/>
          <w:lang w:val="es-ES" w:eastAsia="es-MX"/>
        </w:rPr>
        <w:t>ii</w:t>
      </w:r>
      <w:proofErr w:type="spellEnd"/>
      <w:r w:rsidRPr="00C543FB">
        <w:rPr>
          <w:rFonts w:ascii="Verdana" w:eastAsia="Times New Roman" w:hAnsi="Verdana" w:cs="Arial"/>
          <w:color w:val="000000"/>
          <w:lang w:val="es-ES" w:eastAsia="es-MX"/>
        </w:rPr>
        <w:t xml:space="preserve">) mantiene el criterio aclaratorio de la Ley 1150 de </w:t>
      </w:r>
      <w:r w:rsidRPr="00C543FB">
        <w:rPr>
          <w:rFonts w:ascii="Verdana" w:eastAsia="Times New Roman" w:hAnsi="Verdana" w:cs="Arial"/>
          <w:color w:val="000000"/>
          <w:lang w:val="es-ES" w:eastAsia="es-MX"/>
        </w:rPr>
        <w:lastRenderedPageBreak/>
        <w:t xml:space="preserve">2007, según el cual todo lo que no afecte la asignación de puntaje puede subsanarse y, </w:t>
      </w:r>
      <w:proofErr w:type="spellStart"/>
      <w:r w:rsidRPr="00C543FB">
        <w:rPr>
          <w:rFonts w:ascii="Verdana" w:eastAsia="Times New Roman" w:hAnsi="Verdana" w:cs="Arial"/>
          <w:color w:val="000000"/>
          <w:lang w:val="es-ES" w:eastAsia="es-MX"/>
        </w:rPr>
        <w:t>iii</w:t>
      </w:r>
      <w:proofErr w:type="spellEnd"/>
      <w:r w:rsidRPr="00C543FB">
        <w:rPr>
          <w:rFonts w:ascii="Verdana" w:eastAsia="Times New Roman" w:hAnsi="Verdana" w:cs="Arial"/>
          <w:color w:val="000000"/>
          <w:lang w:val="es-ES" w:eastAsia="es-MX"/>
        </w:rPr>
        <w:t>) introduce modificaciones en relación con tres (3) aspectos que se analizarán a continuación:</w:t>
      </w:r>
    </w:p>
    <w:p w14:paraId="468900EA" w14:textId="77777777" w:rsidR="001530AE" w:rsidRPr="00C543FB" w:rsidRDefault="001530AE" w:rsidP="001530AE">
      <w:pPr>
        <w:spacing w:after="120" w:line="276" w:lineRule="auto"/>
        <w:ind w:firstLine="709"/>
        <w:jc w:val="both"/>
        <w:rPr>
          <w:rFonts w:ascii="Verdana" w:eastAsia="Arial" w:hAnsi="Verdana" w:cs="Arial"/>
          <w:color w:val="000000"/>
          <w:lang w:val="es-ES" w:eastAsia="es-MX"/>
        </w:rPr>
      </w:pPr>
      <w:r w:rsidRPr="00C543FB">
        <w:rPr>
          <w:rFonts w:ascii="Verdana" w:eastAsia="Arial" w:hAnsi="Verdana" w:cs="Arial"/>
          <w:color w:val="000000"/>
          <w:lang w:val="es-ES" w:eastAsia="es-MX"/>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 requisitos subsanables deben solicitarse, como límite final, hasta el momento previo a su realización</w:t>
      </w:r>
      <w:r w:rsidRPr="00C543FB">
        <w:rPr>
          <w:rFonts w:ascii="Verdana" w:eastAsia="Arial" w:hAnsi="Verdana" w:cs="Arial"/>
          <w:color w:val="000000"/>
          <w:vertAlign w:val="superscript"/>
          <w:lang w:val="es-ES" w:eastAsia="es-MX"/>
        </w:rPr>
        <w:footnoteReference w:id="5"/>
      </w:r>
      <w:r w:rsidRPr="00C543FB">
        <w:rPr>
          <w:rFonts w:ascii="Verdana" w:eastAsia="Arial" w:hAnsi="Verdana" w:cs="Arial"/>
          <w:color w:val="000000"/>
          <w:lang w:val="es-ES" w:eastAsia="es-MX"/>
        </w:rPr>
        <w:t>.</w:t>
      </w:r>
    </w:p>
    <w:p w14:paraId="10F4F14B" w14:textId="77777777" w:rsidR="001530AE" w:rsidRPr="00C543FB" w:rsidRDefault="001530AE" w:rsidP="001530AE">
      <w:pPr>
        <w:spacing w:after="120" w:line="276" w:lineRule="auto"/>
        <w:ind w:firstLine="709"/>
        <w:jc w:val="both"/>
        <w:rPr>
          <w:rFonts w:ascii="Verdana" w:eastAsia="Arial" w:hAnsi="Verdana" w:cs="Arial"/>
          <w:color w:val="000000"/>
          <w:lang w:val="es-ES" w:eastAsia="es-MX"/>
        </w:rPr>
      </w:pPr>
      <w:r w:rsidRPr="00C543FB">
        <w:rPr>
          <w:rFonts w:ascii="Verdana" w:eastAsia="Times New Roman" w:hAnsi="Verdana" w:cs="Arial"/>
          <w:color w:val="000000"/>
          <w:shd w:val="clear" w:color="auto" w:fill="FFFFFF"/>
          <w:lang w:val="es-ES" w:eastAsia="es-MX"/>
        </w:rPr>
        <w:t>Frente a la regla general, como se explica en el Concepto CU-060 del 24 de febrero de 2020, la norma fijó un límite final para que la Administración y los oferentes subsanen los requisitos o documentos que puedan y deban ser subsanados; pero nada impide, y la norma no lo hace, que la Administración requiera al proponente antes de publicar el informe de evaluación.  </w:t>
      </w:r>
    </w:p>
    <w:p w14:paraId="1FD98D62" w14:textId="77777777" w:rsidR="001530AE" w:rsidRPr="00C543FB" w:rsidRDefault="001530AE" w:rsidP="001530AE">
      <w:pPr>
        <w:spacing w:after="120" w:line="276" w:lineRule="auto"/>
        <w:ind w:firstLine="720"/>
        <w:jc w:val="both"/>
        <w:rPr>
          <w:rFonts w:ascii="Verdana" w:eastAsia="Calibri" w:hAnsi="Verdana" w:cs="Arial"/>
          <w:color w:val="000000"/>
          <w:lang w:val="es-ES" w:eastAsia="es-MX"/>
        </w:rPr>
      </w:pPr>
      <w:r w:rsidRPr="00C543FB">
        <w:rPr>
          <w:rFonts w:ascii="Verdana" w:eastAsia="Arial" w:hAnsi="Verdana" w:cs="Arial"/>
          <w:color w:val="000000"/>
          <w:lang w:val="es-ES" w:eastAsia="es-MX"/>
        </w:rPr>
        <w:t xml:space="preserve">De otro lado, el segundo cambio importante de la Ley 1882 de 2018 </w:t>
      </w:r>
      <w:r w:rsidRPr="00C543FB">
        <w:rPr>
          <w:rFonts w:ascii="Verdana" w:eastAsia="Calibri" w:hAnsi="Verdana" w:cs="Arial"/>
          <w:color w:val="000000"/>
          <w:lang w:val="es-ES" w:eastAsia="es-MX"/>
        </w:rPr>
        <w:t xml:space="preserve">es el correspondiente a la garantía de seriedad. El parágrafo 3 del artículo 5 de la Ley 1150 de 2007, adicionado por el artículo 5 de la Ley 1882 de 2018 dispone que la falta de entrega de la garantía de seriedad es insubsanable. Al respecto, la norma prescribe lo siguiente: </w:t>
      </w:r>
      <w:r>
        <w:rPr>
          <w:rFonts w:ascii="Verdana" w:eastAsia="Calibri" w:hAnsi="Verdana" w:cs="Arial"/>
          <w:color w:val="000000"/>
          <w:lang w:val="es-ES" w:eastAsia="es-MX"/>
        </w:rPr>
        <w:t>“</w:t>
      </w:r>
      <w:r w:rsidRPr="00C543FB">
        <w:rPr>
          <w:rFonts w:ascii="Verdana" w:eastAsia="Calibri" w:hAnsi="Verdana" w:cs="Arial"/>
          <w:color w:val="000000"/>
          <w:lang w:val="es-ES" w:eastAsia="es-MX"/>
        </w:rPr>
        <w:t xml:space="preserve">PARÁGRAFO 3o. La no entrega de la garantía de seriedad junto con la propuesta no será subsanable y será causal de rechazo de </w:t>
      </w:r>
      <w:proofErr w:type="gramStart"/>
      <w:r w:rsidRPr="00C543FB">
        <w:rPr>
          <w:rFonts w:ascii="Verdana" w:eastAsia="Calibri" w:hAnsi="Verdana" w:cs="Arial"/>
          <w:color w:val="000000"/>
          <w:lang w:val="es-ES" w:eastAsia="es-MX"/>
        </w:rPr>
        <w:t>la misma</w:t>
      </w:r>
      <w:proofErr w:type="gramEnd"/>
      <w:r>
        <w:rPr>
          <w:rFonts w:ascii="Verdana" w:eastAsia="Calibri" w:hAnsi="Verdana" w:cs="Arial"/>
          <w:color w:val="000000"/>
          <w:lang w:val="es-ES" w:eastAsia="es-MX"/>
        </w:rPr>
        <w:t>”</w:t>
      </w:r>
      <w:r w:rsidRPr="00C543FB">
        <w:rPr>
          <w:rFonts w:ascii="Verdana" w:eastAsia="Calibri" w:hAnsi="Verdana" w:cs="Arial"/>
          <w:color w:val="000000"/>
          <w:lang w:val="es-ES" w:eastAsia="es-MX"/>
        </w:rPr>
        <w:t>.</w:t>
      </w:r>
    </w:p>
    <w:p w14:paraId="7811B8D9" w14:textId="77777777" w:rsidR="001530AE" w:rsidRPr="00C543FB" w:rsidRDefault="001530AE" w:rsidP="001530AE">
      <w:pPr>
        <w:spacing w:line="276" w:lineRule="auto"/>
        <w:ind w:firstLine="709"/>
        <w:jc w:val="both"/>
        <w:rPr>
          <w:rFonts w:ascii="Verdana" w:eastAsia="Times New Roman" w:hAnsi="Verdana" w:cs="Arial"/>
          <w:bdr w:val="none" w:sz="0" w:space="0" w:color="auto" w:frame="1"/>
          <w:lang w:val="es-ES" w:eastAsia="es-MX"/>
        </w:rPr>
      </w:pPr>
      <w:r>
        <w:rPr>
          <w:rFonts w:ascii="Verdana" w:eastAsia="Arial" w:hAnsi="Verdana" w:cs="Arial"/>
          <w:color w:val="000000"/>
          <w:lang w:val="es-ES" w:eastAsia="es-MX"/>
        </w:rPr>
        <w:t>E</w:t>
      </w:r>
      <w:r w:rsidRPr="00C543FB">
        <w:rPr>
          <w:rFonts w:ascii="Verdana" w:eastAsia="Arial" w:hAnsi="Verdana" w:cs="Arial"/>
          <w:color w:val="000000"/>
          <w:lang w:val="es-ES" w:eastAsia="es-MX"/>
        </w:rPr>
        <w:t xml:space="preserve">l último cambio importante de la Ley 1882 de 2018 fue la introducción de un criterio material, directamente relacionado con los aspectos subsanables: </w:t>
      </w:r>
      <w:r>
        <w:rPr>
          <w:rFonts w:ascii="Verdana" w:eastAsia="Arial" w:hAnsi="Verdana" w:cs="Arial"/>
          <w:i/>
          <w:iCs/>
          <w:color w:val="000000"/>
          <w:lang w:val="es-ES" w:eastAsia="es-MX"/>
        </w:rPr>
        <w:t>“</w:t>
      </w:r>
      <w:r w:rsidRPr="00C543FB">
        <w:rPr>
          <w:rFonts w:ascii="Verdana" w:eastAsia="Arial" w:hAnsi="Verdana" w:cs="Arial"/>
          <w:color w:val="000000"/>
          <w:lang w:val="es-ES" w:eastAsia="es-MX"/>
        </w:rPr>
        <w:t>los proponentes no podrán acreditar circunstancias ocurridas con posterioridad al cierre del proceso</w:t>
      </w:r>
      <w:r>
        <w:rPr>
          <w:rFonts w:ascii="Verdana" w:eastAsia="Arial" w:hAnsi="Verdana" w:cs="Arial"/>
          <w:color w:val="000000"/>
          <w:lang w:val="es-ES" w:eastAsia="es-MX"/>
        </w:rPr>
        <w:t>”</w:t>
      </w:r>
      <w:r w:rsidRPr="00C543FB">
        <w:rPr>
          <w:rFonts w:ascii="Verdana" w:eastAsia="Arial" w:hAnsi="Verdana" w:cs="Arial"/>
          <w:b/>
          <w:bCs/>
          <w:color w:val="000000"/>
          <w:lang w:val="es-ES" w:eastAsia="es-MX"/>
        </w:rPr>
        <w:t>.</w:t>
      </w:r>
      <w:r w:rsidRPr="00C543FB">
        <w:rPr>
          <w:rFonts w:ascii="Verdana" w:eastAsia="Times New Roman" w:hAnsi="Verdana" w:cs="Arial"/>
          <w:bdr w:val="none" w:sz="0" w:space="0" w:color="auto" w:frame="1"/>
          <w:lang w:val="es-ES" w:eastAsia="es-MX"/>
        </w:rPr>
        <w:t xml:space="preserve"> Esta regla tiene una finalidad particular, y es que, al momento de presentar la oferta, el proponente la deberá hacerlo de forma íntegra y así evitar que a lo largo del procedimiento contractual complete o </w:t>
      </w:r>
      <w:r w:rsidRPr="00C543FB">
        <w:rPr>
          <w:rFonts w:ascii="Verdana" w:eastAsia="Times New Roman" w:hAnsi="Verdana" w:cs="Arial"/>
          <w:bdr w:val="none" w:sz="0" w:space="0" w:color="auto" w:frame="1"/>
          <w:lang w:val="es-ES" w:eastAsia="es-MX"/>
        </w:rPr>
        <w:lastRenderedPageBreak/>
        <w:t>adicione su propuesta, conforme mejora su situación particular. En términos del Consejo de Estado:</w:t>
      </w:r>
    </w:p>
    <w:p w14:paraId="5AED4B46" w14:textId="77777777" w:rsidR="001530AE" w:rsidRPr="00547A08" w:rsidRDefault="001530AE" w:rsidP="001530AE">
      <w:pPr>
        <w:tabs>
          <w:tab w:val="left" w:pos="426"/>
        </w:tabs>
        <w:ind w:left="709" w:right="709"/>
        <w:jc w:val="both"/>
        <w:rPr>
          <w:rFonts w:ascii="Verdana" w:eastAsia="Arial" w:hAnsi="Verdana" w:cs="Arial"/>
          <w:color w:val="000000"/>
          <w:sz w:val="20"/>
          <w:szCs w:val="20"/>
          <w:lang w:val="es-ES" w:eastAsia="es-MX"/>
        </w:rPr>
      </w:pPr>
      <w:r w:rsidRPr="00547A08">
        <w:rPr>
          <w:rFonts w:ascii="Verdana" w:eastAsia="Arial" w:hAnsi="Verdana" w:cs="Arial"/>
          <w:color w:val="000000"/>
          <w:sz w:val="20"/>
          <w:szCs w:val="20"/>
          <w:lang w:val="es-ES" w:eastAsia="es-MX"/>
        </w:rPr>
        <w:t>[…] no es posible que el oferente vaya mejorando, completando, adicionando, modificando o estructurando su propuesta a lo largo del proceso contractual según vaya evolucionando su situación particular en el mismo, pues como se establece en el numeral 6º del artículo 30 de la Ley 80 de 1993, “las propuestas deben referirse y sujetarse a todos y cada uno de los puntos contenidos en el pliego de condiciones”, es decir, todos los elementos del negocio jurídico exigidos en los pliegos de condiciones. Dicho de otra forma, el oferente tiene la carga de presentar su oferta en forma íntegra, esto es, respondiendo todos los puntos del pliego de condiciones y adjuntando todos los documentos de soporte o prueba de las condiciones habilitantes y de los elementos de su oferta, de manera que la entidad licitante pueda, con economía de medios, evaluarla lo más eficientemente posible, y sólo si hace falta algún requisito o un documento, la administración puede requerirlo del oferente.</w:t>
      </w:r>
      <w:r w:rsidRPr="00547A08">
        <w:rPr>
          <w:rFonts w:ascii="Verdana" w:eastAsia="Arial" w:hAnsi="Verdana" w:cs="Arial"/>
          <w:color w:val="000000"/>
          <w:sz w:val="20"/>
          <w:szCs w:val="20"/>
          <w:vertAlign w:val="superscript"/>
          <w:lang w:val="es-ES" w:eastAsia="es-MX"/>
        </w:rPr>
        <w:footnoteReference w:id="6"/>
      </w:r>
    </w:p>
    <w:p w14:paraId="5C6DB2BD" w14:textId="77777777" w:rsidR="001530AE" w:rsidRDefault="001530AE" w:rsidP="001530AE">
      <w:pPr>
        <w:spacing w:line="276" w:lineRule="auto"/>
        <w:ind w:firstLine="708"/>
        <w:jc w:val="both"/>
        <w:rPr>
          <w:rFonts w:ascii="Verdana" w:eastAsia="Calibri" w:hAnsi="Verdana" w:cs="Arial"/>
        </w:rPr>
      </w:pPr>
      <w:r>
        <w:rPr>
          <w:rFonts w:ascii="Verdana" w:eastAsia="Calibri" w:hAnsi="Verdana" w:cs="Arial"/>
        </w:rPr>
        <w:t xml:space="preserve">De esta manera, </w:t>
      </w:r>
      <w:r w:rsidRPr="00B75683">
        <w:rPr>
          <w:rFonts w:ascii="Verdana" w:eastAsia="Calibri" w:hAnsi="Verdana" w:cs="Arial"/>
        </w:rPr>
        <w:t>los requisitos habilitantes que no afectan la asignación de puntaje pueden ser subsanados, siempre que la información subsanada corresponda a hechos ocurridos antes del cierre del proceso de selección. En el caso de los perfiles profesionales, si estos no cumplen con los requisitos establecidos, el proponente puede presentar nuevos profesionales durante la etapa de subsanación, siempre que se demuestre que estos cumplían con los requisitos desde antes del cierre del proceso</w:t>
      </w:r>
      <w:r w:rsidRPr="004C6846">
        <w:rPr>
          <w:rFonts w:ascii="Verdana" w:eastAsia="Calibri" w:hAnsi="Verdana" w:cs="Arial"/>
        </w:rPr>
        <w:t xml:space="preserve">. </w:t>
      </w:r>
    </w:p>
    <w:p w14:paraId="776EF597" w14:textId="77777777" w:rsidR="001530AE" w:rsidRDefault="001530AE" w:rsidP="001530AE">
      <w:pPr>
        <w:spacing w:line="276" w:lineRule="auto"/>
        <w:ind w:firstLine="708"/>
        <w:jc w:val="both"/>
        <w:rPr>
          <w:rFonts w:ascii="Verdana" w:eastAsia="Calibri" w:hAnsi="Verdana" w:cs="Arial"/>
          <w:bCs/>
          <w:color w:val="000000" w:themeColor="text1"/>
        </w:rPr>
      </w:pPr>
      <w:r>
        <w:rPr>
          <w:rFonts w:ascii="Verdana" w:eastAsia="Calibri" w:hAnsi="Verdana" w:cs="Arial"/>
        </w:rPr>
        <w:t>Ahora bien, e</w:t>
      </w:r>
      <w:r w:rsidRPr="00E85A8F">
        <w:rPr>
          <w:rFonts w:ascii="Verdana" w:eastAsia="Calibri" w:hAnsi="Verdana" w:cs="Arial"/>
        </w:rPr>
        <w:t>l Manual para determinar y verificar los requisitos habilitantes en los Procesos de Contratación, elaborado por Colombia Compra Eficiente</w:t>
      </w:r>
      <w:r>
        <w:rPr>
          <w:rStyle w:val="Refdenotaalpie"/>
          <w:rFonts w:ascii="Verdana" w:eastAsia="Calibri" w:hAnsi="Verdana" w:cs="Arial"/>
        </w:rPr>
        <w:footnoteReference w:id="7"/>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w:t>
      </w:r>
      <w:r w:rsidRPr="00E85A8F">
        <w:rPr>
          <w:rFonts w:ascii="Verdana" w:eastAsia="Calibri" w:hAnsi="Verdana" w:cs="Arial"/>
        </w:rPr>
        <w:lastRenderedPageBreak/>
        <w:t xml:space="preserve">brindando seguridad jurídica en la evaluación de ofertas. Por lo tanto, se recomienda su consulta </w:t>
      </w:r>
      <w:r>
        <w:rPr>
          <w:rFonts w:ascii="Verdana" w:eastAsia="Calibri" w:hAnsi="Verdana" w:cs="Arial"/>
        </w:rPr>
        <w:t xml:space="preserve">en el sitio web: </w:t>
      </w:r>
      <w:hyperlink r:id="rId8" w:history="1">
        <w:r w:rsidRPr="00B47936">
          <w:rPr>
            <w:rStyle w:val="Hipervnculo"/>
            <w:rFonts w:ascii="Verdana" w:eastAsia="Calibri" w:hAnsi="Verdana" w:cs="Arial"/>
            <w:color w:val="227ACB"/>
          </w:rPr>
          <w:t>https://www.colombiacompra</w:t>
        </w:r>
      </w:hyperlink>
      <w:r w:rsidRPr="00B47936">
        <w:rPr>
          <w:rFonts w:ascii="Verdana" w:eastAsia="Calibri" w:hAnsi="Verdana" w:cs="Arial"/>
          <w:color w:val="227ACB"/>
          <w:u w:val="single"/>
        </w:rPr>
        <w:t>. gov.co/archivos/manual/manual-para-determinar-y-verificar-los-requisitos-habilitantes-en-los-procesos-de-contratacion.</w:t>
      </w:r>
    </w:p>
    <w:p w14:paraId="76D0A880" w14:textId="77777777" w:rsidR="001530AE" w:rsidRPr="00AE7E03" w:rsidRDefault="001530AE" w:rsidP="001530AE">
      <w:pPr>
        <w:spacing w:after="0" w:line="276" w:lineRule="auto"/>
        <w:ind w:firstLine="708"/>
        <w:contextualSpacing/>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para resolver problemas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CD211E">
        <w:rPr>
          <w:rFonts w:ascii="Verdana" w:eastAsia="Calibri" w:hAnsi="Verdana" w:cs="Times New Roman"/>
          <w:lang w:val="es-ES"/>
        </w:rPr>
        <w:t>.</w:t>
      </w:r>
    </w:p>
    <w:p w14:paraId="3DDD2013" w14:textId="77777777" w:rsidR="001530AE" w:rsidRDefault="001530AE" w:rsidP="001530AE">
      <w:pPr>
        <w:spacing w:before="120" w:after="0" w:line="276" w:lineRule="auto"/>
        <w:ind w:firstLine="708"/>
        <w:jc w:val="both"/>
        <w:rPr>
          <w:rFonts w:ascii="Verdana" w:eastAsia="Calibri" w:hAnsi="Verdana" w:cs="Arial"/>
        </w:rPr>
      </w:pPr>
      <w:r w:rsidRPr="00AE7E03">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67245031" w14:textId="77777777" w:rsidR="001530AE" w:rsidRDefault="001530AE" w:rsidP="001530AE">
      <w:pPr>
        <w:spacing w:after="0" w:line="276" w:lineRule="auto"/>
        <w:jc w:val="both"/>
        <w:rPr>
          <w:rFonts w:ascii="Verdana" w:eastAsia="Calibri" w:hAnsi="Verdana" w:cs="Arial"/>
          <w:color w:val="000000"/>
          <w:shd w:val="clear" w:color="auto" w:fill="FFFFFF"/>
          <w:lang w:val="es-ES"/>
        </w:rPr>
      </w:pPr>
      <w:bookmarkStart w:id="7" w:name="_Hlk204856061"/>
      <w:bookmarkStart w:id="8" w:name="_Hlk78820161"/>
      <w:bookmarkStart w:id="9" w:name="_Hlk99546562"/>
      <w:bookmarkStart w:id="10" w:name="_Hlk204854194"/>
    </w:p>
    <w:bookmarkEnd w:id="7"/>
    <w:bookmarkEnd w:id="8"/>
    <w:bookmarkEnd w:id="9"/>
    <w:p w14:paraId="77255917" w14:textId="77777777" w:rsidR="001530AE" w:rsidRPr="001F283D" w:rsidRDefault="001530AE" w:rsidP="001530AE">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10"/>
    <w:p w14:paraId="6ED7B9C5" w14:textId="77777777" w:rsidR="001530AE" w:rsidRPr="00593A5F" w:rsidRDefault="001530AE" w:rsidP="001530A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530AE" w:rsidRPr="002407CE" w14:paraId="06EF665A" w14:textId="77777777" w:rsidTr="004451CB">
        <w:trPr>
          <w:trHeight w:val="870"/>
          <w:jc w:val="center"/>
        </w:trPr>
        <w:tc>
          <w:tcPr>
            <w:tcW w:w="8647" w:type="dxa"/>
          </w:tcPr>
          <w:p w14:paraId="64FEA27D" w14:textId="77777777" w:rsidR="001530AE" w:rsidRDefault="001530AE" w:rsidP="001530AE">
            <w:pPr>
              <w:pStyle w:val="Prrafodelista"/>
              <w:widowControl w:val="0"/>
              <w:numPr>
                <w:ilvl w:val="0"/>
                <w:numId w:val="2"/>
              </w:numPr>
              <w:tabs>
                <w:tab w:val="left" w:pos="8419"/>
              </w:tabs>
              <w:autoSpaceDE w:val="0"/>
              <w:autoSpaceDN w:val="0"/>
              <w:spacing w:after="160" w:line="276" w:lineRule="auto"/>
              <w:contextualSpacing w:val="0"/>
              <w:jc w:val="both"/>
              <w:rPr>
                <w:rFonts w:ascii="Verdana" w:hAnsi="Verdana" w:cs="Arial"/>
              </w:rPr>
            </w:pPr>
            <w:r>
              <w:rPr>
                <w:rFonts w:ascii="Verdana" w:hAnsi="Verdana" w:cs="Arial"/>
              </w:rPr>
              <w:t>Ley 80 de 1993.</w:t>
            </w:r>
            <w:r w:rsidRPr="00C543FB">
              <w:rPr>
                <w:rFonts w:ascii="Verdana" w:eastAsia="Times New Roman" w:hAnsi="Verdana" w:cs="Arial"/>
                <w:color w:val="000000"/>
                <w:lang w:eastAsia="es-MX"/>
              </w:rPr>
              <w:t xml:space="preserve"> </w:t>
            </w:r>
            <w:r>
              <w:rPr>
                <w:rFonts w:ascii="Verdana" w:eastAsia="Times New Roman" w:hAnsi="Verdana" w:cs="Arial"/>
                <w:color w:val="000000"/>
                <w:lang w:eastAsia="es-MX"/>
              </w:rPr>
              <w:t xml:space="preserve">Articulo. </w:t>
            </w:r>
            <w:r w:rsidRPr="00C543FB">
              <w:rPr>
                <w:rFonts w:ascii="Verdana" w:eastAsia="Times New Roman" w:hAnsi="Verdana" w:cs="Arial"/>
                <w:color w:val="000000"/>
                <w:lang w:eastAsia="es-MX"/>
              </w:rPr>
              <w:t>25.15</w:t>
            </w:r>
          </w:p>
          <w:p w14:paraId="17AC9338" w14:textId="77777777" w:rsidR="001530AE" w:rsidRPr="004C6846" w:rsidRDefault="001530AE" w:rsidP="001530AE">
            <w:pPr>
              <w:pStyle w:val="Prrafodelista"/>
              <w:widowControl w:val="0"/>
              <w:numPr>
                <w:ilvl w:val="0"/>
                <w:numId w:val="2"/>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 xml:space="preserve">Ley </w:t>
            </w:r>
            <w:r w:rsidRPr="004C6846">
              <w:rPr>
                <w:rFonts w:ascii="Verdana" w:eastAsia="Calibri" w:hAnsi="Verdana" w:cs="Arial"/>
              </w:rPr>
              <w:t>1150 de 2007. Artículo 5, Párrafos 1º y 4º. Artículo 2.</w:t>
            </w:r>
          </w:p>
          <w:p w14:paraId="52987DD8" w14:textId="77777777" w:rsidR="001530AE" w:rsidRPr="004C6846" w:rsidRDefault="001530AE" w:rsidP="001530AE">
            <w:pPr>
              <w:pStyle w:val="Prrafodelista"/>
              <w:widowControl w:val="0"/>
              <w:numPr>
                <w:ilvl w:val="0"/>
                <w:numId w:val="2"/>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Ley 1882 de 2018. Artículo 5.</w:t>
            </w:r>
          </w:p>
          <w:p w14:paraId="3F20B1A4" w14:textId="77777777" w:rsidR="001530AE" w:rsidRDefault="001530AE" w:rsidP="001530AE">
            <w:pPr>
              <w:pStyle w:val="Prrafodelista"/>
              <w:widowControl w:val="0"/>
              <w:numPr>
                <w:ilvl w:val="0"/>
                <w:numId w:val="2"/>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Decreto 1082 de 2015. Artículo 2.2.1.2.1.2.2</w:t>
            </w:r>
            <w:r>
              <w:rPr>
                <w:rFonts w:ascii="Verdana" w:hAnsi="Verdana" w:cs="Arial"/>
              </w:rPr>
              <w:t>.</w:t>
            </w:r>
          </w:p>
          <w:p w14:paraId="644BC92D" w14:textId="77777777" w:rsidR="001530AE" w:rsidRDefault="001530AE" w:rsidP="001530AE">
            <w:pPr>
              <w:pStyle w:val="Prrafodelista"/>
              <w:widowControl w:val="0"/>
              <w:numPr>
                <w:ilvl w:val="0"/>
                <w:numId w:val="2"/>
              </w:numPr>
              <w:tabs>
                <w:tab w:val="left" w:pos="8419"/>
              </w:tabs>
              <w:autoSpaceDE w:val="0"/>
              <w:autoSpaceDN w:val="0"/>
              <w:spacing w:after="160" w:line="276" w:lineRule="auto"/>
              <w:contextualSpacing w:val="0"/>
              <w:jc w:val="both"/>
              <w:rPr>
                <w:rFonts w:ascii="Verdana" w:hAnsi="Verdana" w:cs="Arial"/>
              </w:rPr>
            </w:pPr>
            <w:r w:rsidRPr="007B7547">
              <w:rPr>
                <w:rFonts w:ascii="Verdana" w:hAnsi="Verdana" w:cs="Arial"/>
              </w:rPr>
              <w:t>Consejo de Estado. Sala de Consulta y Servicio Civil. Concepto del 20 de mayo de 2010. No. de Radicado: 11001-03-06-000-2010-00034-00(1992). C.P. Enrique José Arboleda Perdomo.</w:t>
            </w:r>
          </w:p>
          <w:p w14:paraId="4A71B311" w14:textId="77777777" w:rsidR="001530AE" w:rsidRPr="00E949C1" w:rsidRDefault="001530AE" w:rsidP="001530AE">
            <w:pPr>
              <w:pStyle w:val="Prrafodelista"/>
              <w:widowControl w:val="0"/>
              <w:numPr>
                <w:ilvl w:val="0"/>
                <w:numId w:val="2"/>
              </w:numPr>
              <w:tabs>
                <w:tab w:val="left" w:pos="8419"/>
              </w:tabs>
              <w:autoSpaceDE w:val="0"/>
              <w:autoSpaceDN w:val="0"/>
              <w:spacing w:after="160" w:line="276" w:lineRule="auto"/>
              <w:contextualSpacing w:val="0"/>
              <w:jc w:val="both"/>
              <w:rPr>
                <w:rFonts w:ascii="Verdana" w:hAnsi="Verdana" w:cs="Arial"/>
              </w:rPr>
            </w:pPr>
            <w:r w:rsidRPr="00E85A8F">
              <w:rPr>
                <w:rFonts w:ascii="Verdana" w:eastAsia="Calibri" w:hAnsi="Verdana" w:cs="Arial"/>
              </w:rPr>
              <w:t xml:space="preserve">Manual para determinar y verificar los requisitos habilitantes en los </w:t>
            </w:r>
            <w:r w:rsidRPr="00E85A8F">
              <w:rPr>
                <w:rFonts w:ascii="Verdana" w:eastAsia="Calibri" w:hAnsi="Verdana" w:cs="Arial"/>
              </w:rPr>
              <w:lastRenderedPageBreak/>
              <w:t>Procesos de Contratación</w:t>
            </w:r>
          </w:p>
        </w:tc>
      </w:tr>
    </w:tbl>
    <w:p w14:paraId="29362FA3" w14:textId="77777777" w:rsidR="001530AE" w:rsidRPr="00277E26" w:rsidRDefault="001530AE" w:rsidP="001530AE">
      <w:pPr>
        <w:widowControl w:val="0"/>
        <w:autoSpaceDE w:val="0"/>
        <w:autoSpaceDN w:val="0"/>
        <w:spacing w:after="0" w:line="276" w:lineRule="auto"/>
        <w:jc w:val="both"/>
        <w:rPr>
          <w:rFonts w:ascii="Verdana" w:hAnsi="Verdana" w:cs="Arial"/>
        </w:rPr>
      </w:pPr>
    </w:p>
    <w:p w14:paraId="1ECE48BF" w14:textId="77777777" w:rsidR="001530AE" w:rsidRPr="001F283D" w:rsidRDefault="001530AE" w:rsidP="001530AE">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6AC99AA1" w14:textId="77777777" w:rsidR="001530AE" w:rsidRDefault="001530AE" w:rsidP="001530AE">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533E0B1F" w14:textId="77777777" w:rsidR="001530AE" w:rsidRPr="00AE7E03" w:rsidRDefault="001530AE" w:rsidP="001530AE">
      <w:pPr>
        <w:widowControl w:val="0"/>
        <w:autoSpaceDE w:val="0"/>
        <w:autoSpaceDN w:val="0"/>
        <w:spacing w:after="0" w:line="276" w:lineRule="auto"/>
        <w:jc w:val="both"/>
        <w:rPr>
          <w:rFonts w:ascii="Verdana" w:eastAsia="Arial" w:hAnsi="Verdana" w:cs="Arial"/>
          <w:lang w:val="es-MX" w:eastAsia="es-ES_tradnl"/>
        </w:rPr>
      </w:pPr>
      <w:r w:rsidRPr="007B7547">
        <w:rPr>
          <w:rFonts w:ascii="Verdana" w:eastAsia="Calibri" w:hAnsi="Verdana" w:cs="Arial"/>
          <w:lang w:val="es-ES_tradnl" w:eastAsia="es-ES_tradnl"/>
        </w:rPr>
        <w:t xml:space="preserve">En cuanto a los criterios que deben ser tenidos en cuenta para la </w:t>
      </w:r>
      <w:proofErr w:type="spellStart"/>
      <w:r w:rsidRPr="007B7547">
        <w:rPr>
          <w:rFonts w:ascii="Verdana" w:eastAsia="Calibri" w:hAnsi="Verdana" w:cs="Arial"/>
          <w:lang w:val="es-ES_tradnl" w:eastAsia="es-ES_tradnl"/>
        </w:rPr>
        <w:t>subsanabilidad</w:t>
      </w:r>
      <w:proofErr w:type="spellEnd"/>
      <w:r w:rsidRPr="007B7547">
        <w:rPr>
          <w:rFonts w:ascii="Verdana" w:eastAsia="Calibri" w:hAnsi="Verdana" w:cs="Arial"/>
          <w:lang w:val="es-ES_tradnl" w:eastAsia="es-ES_tradnl"/>
        </w:rPr>
        <w:t xml:space="preserve"> de las propuestas, esta Agencia unificó su criterio mediante el concepto C-060 del 16 de enero de 2020, reiterado por los conceptos C-218 del 2 de febrero de 2020, C-267 del 4 de mayo de 2020, C-283 del 4 de mayo de 2020, C-307 del 21 de mayo de 2020, C-365 del 30 de junio de 2020, C-391 del 10 de agosto de 2020, C-675 del 25 de noviembre de 2020, C-683 del 25 de noviembre de 2020, C-730 del 14 de diciembre de 2020, C-779 de 18 de enero de 2021, C-055 del 10 de marzo de 2021, C-207 del 10 de mayo de 2021, C-332 del 07 de mayo de 2021, C-311 del 10 de junio de 2021</w:t>
      </w:r>
      <w:r w:rsidRPr="0027034B">
        <w:rPr>
          <w:rFonts w:ascii="Verdana" w:eastAsia="Calibri" w:hAnsi="Verdana" w:cs="Arial"/>
          <w:lang w:val="es-ES_tradnl" w:eastAsia="es-ES_tradnl"/>
        </w:rPr>
        <w:t xml:space="preserve">, </w:t>
      </w:r>
      <w:r w:rsidRPr="004C6846">
        <w:rPr>
          <w:rFonts w:ascii="Verdana" w:hAnsi="Verdana" w:cs="Arial"/>
        </w:rPr>
        <w:t>C-233 del 12 de agosto de 2024</w:t>
      </w:r>
      <w:r>
        <w:rPr>
          <w:rFonts w:ascii="Verdana" w:hAnsi="Verdana" w:cs="Arial"/>
        </w:rPr>
        <w:t>,</w:t>
      </w:r>
      <w:r w:rsidRPr="004C6846">
        <w:rPr>
          <w:rFonts w:ascii="Verdana" w:hAnsi="Verdana" w:cs="Arial"/>
        </w:rPr>
        <w:t xml:space="preserve"> C-369 del 09 de septiembre del 2024</w:t>
      </w:r>
      <w:r>
        <w:rPr>
          <w:rFonts w:ascii="Verdana" w:hAnsi="Verdana" w:cs="Arial"/>
          <w:shd w:val="clear" w:color="auto" w:fill="FFFFFF"/>
        </w:rPr>
        <w:t xml:space="preserve"> y C-834 del 21 de noviembre de 2024, </w:t>
      </w:r>
      <w:r w:rsidRPr="0027034B">
        <w:rPr>
          <w:rFonts w:ascii="Verdana" w:eastAsia="Calibri" w:hAnsi="Verdana" w:cs="Arial"/>
          <w:lang w:val="es-ES_tradnl" w:eastAsia="es-ES_tradnl"/>
        </w:rPr>
        <w:t>entre otros</w:t>
      </w:r>
      <w:r>
        <w:rPr>
          <w:rFonts w:ascii="Verdana" w:eastAsia="Calibri" w:hAnsi="Verdana" w:cs="Arial"/>
          <w:lang w:val="es-ES" w:eastAsia="es-ES_tradnl"/>
        </w:rPr>
        <w:t>;</w:t>
      </w:r>
      <w:r w:rsidRPr="00185EE9">
        <w:rPr>
          <w:rFonts w:ascii="Verdana" w:eastAsia="Calibri" w:hAnsi="Verdana" w:cs="Times New Roman"/>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E3D8F30" w14:textId="77777777" w:rsidR="001530AE" w:rsidRPr="0065720B" w:rsidRDefault="001530AE" w:rsidP="001530AE">
      <w:pPr>
        <w:widowControl w:val="0"/>
        <w:autoSpaceDE w:val="0"/>
        <w:autoSpaceDN w:val="0"/>
        <w:spacing w:after="0" w:line="276" w:lineRule="auto"/>
        <w:jc w:val="both"/>
        <w:rPr>
          <w:rStyle w:val="normaltextrun"/>
          <w:rFonts w:ascii="Verdana" w:eastAsia="Calibri" w:hAnsi="Verdana" w:cs="Arial"/>
          <w:lang w:val="es-ES_tradnl" w:eastAsia="en-GB"/>
        </w:rPr>
      </w:pPr>
      <w:hyperlink r:id="rId9"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6AAADFA1" w14:textId="77777777" w:rsidR="001530AE" w:rsidRPr="004C1B9F" w:rsidRDefault="001530AE" w:rsidP="001530AE">
      <w:pPr>
        <w:widowControl w:val="0"/>
        <w:autoSpaceDE w:val="0"/>
        <w:autoSpaceDN w:val="0"/>
        <w:spacing w:after="0" w:line="276" w:lineRule="auto"/>
        <w:jc w:val="both"/>
        <w:rPr>
          <w:rFonts w:ascii="Verdana" w:hAnsi="Verdana" w:cs="Arial"/>
          <w:color w:val="FF0000"/>
          <w:shd w:val="clear" w:color="auto" w:fill="FFFFFF"/>
          <w:lang w:val="es-ES"/>
        </w:rPr>
      </w:pPr>
      <w:r w:rsidRPr="00C861EF">
        <w:rPr>
          <w:rStyle w:val="normaltextrun"/>
          <w:rFonts w:ascii="Verdana" w:hAnsi="Verdana" w:cs="Arial"/>
          <w:color w:val="156082" w:themeColor="accent1"/>
          <w:shd w:val="clear" w:color="auto" w:fill="FFFFFF"/>
          <w:lang w:val="es-ES"/>
        </w:rPr>
        <w:t xml:space="preserve"> </w:t>
      </w:r>
    </w:p>
    <w:p w14:paraId="3852105C" w14:textId="77777777" w:rsidR="001530AE" w:rsidRPr="00237766" w:rsidRDefault="001530AE" w:rsidP="001530AE">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F4A7057" w14:textId="77777777" w:rsidR="001530AE" w:rsidRPr="008E4F36" w:rsidRDefault="001530AE" w:rsidP="001530AE">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25C4880F" w14:textId="77777777" w:rsidR="001530AE" w:rsidRPr="008E4F36" w:rsidRDefault="001530AE" w:rsidP="001530AE">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7FA461BD" w14:textId="77777777" w:rsidR="001530AE" w:rsidRPr="008E4F36" w:rsidRDefault="001530AE" w:rsidP="001530AE">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60469C00" w14:textId="77777777" w:rsidR="001530AE" w:rsidRPr="008E4F36" w:rsidRDefault="001530AE" w:rsidP="001530AE">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0" w:history="1">
        <w:r w:rsidRPr="008E4F36">
          <w:rPr>
            <w:rStyle w:val="Hipervnculo"/>
            <w:rFonts w:ascii="Verdana" w:hAnsi="Verdana"/>
          </w:rPr>
          <w:t>www.colombiacompra.gov.co</w:t>
        </w:r>
      </w:hyperlink>
    </w:p>
    <w:p w14:paraId="0FDB8E16" w14:textId="77777777" w:rsidR="001530AE" w:rsidRPr="008E4F36" w:rsidRDefault="001530AE" w:rsidP="001530AE">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74E68C8C" w14:textId="77777777" w:rsidR="001530AE" w:rsidRPr="008E4F36" w:rsidRDefault="001530AE" w:rsidP="001530AE">
      <w:pPr>
        <w:spacing w:after="0" w:line="276" w:lineRule="auto"/>
        <w:jc w:val="both"/>
        <w:rPr>
          <w:rFonts w:ascii="Verdana" w:hAnsi="Verdana"/>
        </w:rPr>
      </w:pPr>
    </w:p>
    <w:p w14:paraId="4BAADDA8" w14:textId="77777777" w:rsidR="001530AE" w:rsidRPr="008E4F36" w:rsidRDefault="001530AE" w:rsidP="001530AE">
      <w:pPr>
        <w:spacing w:after="0" w:line="276" w:lineRule="auto"/>
        <w:jc w:val="both"/>
        <w:rPr>
          <w:rFonts w:ascii="Verdana" w:hAnsi="Verdana"/>
        </w:rPr>
      </w:pPr>
      <w:r w:rsidRPr="008E4F36">
        <w:rPr>
          <w:rFonts w:ascii="Verdana" w:hAnsi="Verdana"/>
        </w:rPr>
        <w:lastRenderedPageBreak/>
        <w:t xml:space="preserve">Twitter: </w:t>
      </w:r>
      <w:r w:rsidRPr="008E4F36">
        <w:rPr>
          <w:rStyle w:val="Hipervnculo"/>
          <w:rFonts w:ascii="Verdana" w:hAnsi="Verdana"/>
        </w:rPr>
        <w:t>@colombiacompra</w:t>
      </w:r>
      <w:r w:rsidRPr="008E4F36">
        <w:rPr>
          <w:rFonts w:ascii="Verdana" w:hAnsi="Verdana"/>
        </w:rPr>
        <w:t xml:space="preserve"> </w:t>
      </w:r>
    </w:p>
    <w:p w14:paraId="7506472D" w14:textId="77777777" w:rsidR="001530AE" w:rsidRPr="008E4F36" w:rsidRDefault="001530AE" w:rsidP="001530AE">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0CE57EB0" w14:textId="77777777" w:rsidR="001530AE" w:rsidRDefault="001530AE" w:rsidP="001530AE">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5B39EACC" w14:textId="77777777" w:rsidR="001530AE" w:rsidRDefault="001530AE" w:rsidP="001530AE">
      <w:pPr>
        <w:spacing w:after="0" w:line="276" w:lineRule="auto"/>
        <w:jc w:val="both"/>
        <w:rPr>
          <w:rFonts w:ascii="Verdana" w:hAnsi="Verdana"/>
        </w:rPr>
      </w:pPr>
    </w:p>
    <w:p w14:paraId="57F16B2D" w14:textId="77777777" w:rsidR="001530AE" w:rsidRPr="00FB6C33" w:rsidRDefault="001530AE" w:rsidP="001530AE">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3A979BB" w14:textId="77777777" w:rsidR="001530AE" w:rsidRPr="008E4F36" w:rsidRDefault="001530AE" w:rsidP="001530AE">
      <w:pPr>
        <w:spacing w:after="0" w:line="276" w:lineRule="auto"/>
        <w:jc w:val="both"/>
        <w:rPr>
          <w:rFonts w:ascii="Verdana" w:eastAsia="Calibri" w:hAnsi="Verdana" w:cs="Times New Roman"/>
        </w:rPr>
      </w:pPr>
    </w:p>
    <w:p w14:paraId="77AFF9B6" w14:textId="77777777" w:rsidR="001530AE" w:rsidRDefault="001530AE" w:rsidP="001530AE">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350BA1D8" w14:textId="77777777" w:rsidR="001530AE" w:rsidRDefault="001530AE" w:rsidP="001530AE">
      <w:pPr>
        <w:spacing w:after="0" w:line="256" w:lineRule="auto"/>
        <w:jc w:val="both"/>
        <w:rPr>
          <w:rFonts w:ascii="Verdana" w:eastAsia="Calibri" w:hAnsi="Verdana" w:cs="Times New Roman"/>
        </w:rPr>
      </w:pPr>
    </w:p>
    <w:p w14:paraId="5088CFDF" w14:textId="17FAA864" w:rsidR="001530AE" w:rsidRPr="00AC3B5A" w:rsidRDefault="00D24F21" w:rsidP="00AC3B5A">
      <w:pPr>
        <w:spacing w:after="0" w:line="256" w:lineRule="auto"/>
        <w:jc w:val="center"/>
        <w:rPr>
          <w:noProof/>
        </w:rPr>
      </w:pPr>
      <w:r w:rsidRPr="00285BF7">
        <w:rPr>
          <w:noProof/>
        </w:rPr>
        <w:drawing>
          <wp:inline distT="0" distB="0" distL="0" distR="0" wp14:anchorId="0CF992DA" wp14:editId="5D8374A8">
            <wp:extent cx="3295015" cy="1414506"/>
            <wp:effectExtent l="0" t="0" r="635" b="0"/>
            <wp:docPr id="79349769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99284" cy="1416338"/>
                    </a:xfrm>
                    <a:prstGeom prst="rect">
                      <a:avLst/>
                    </a:prstGeom>
                    <a:noFill/>
                    <a:ln>
                      <a:noFill/>
                    </a:ln>
                  </pic:spPr>
                </pic:pic>
              </a:graphicData>
            </a:graphic>
          </wp:inline>
        </w:drawing>
      </w:r>
      <w:bookmarkEnd w:id="2"/>
      <w:bookmarkEnd w:id="3"/>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530AE" w:rsidRPr="002423D6" w14:paraId="171E8900" w14:textId="77777777" w:rsidTr="004451CB">
        <w:trPr>
          <w:trHeight w:val="315"/>
        </w:trPr>
        <w:tc>
          <w:tcPr>
            <w:tcW w:w="893" w:type="dxa"/>
            <w:vAlign w:val="center"/>
            <w:hideMark/>
          </w:tcPr>
          <w:p w14:paraId="2B9B8BDC" w14:textId="77777777" w:rsidR="001530AE" w:rsidRPr="002423D6" w:rsidRDefault="001530AE" w:rsidP="004451C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9513557" w14:textId="77777777" w:rsidR="001530AE" w:rsidRPr="002423D6" w:rsidRDefault="001530AE" w:rsidP="004451CB">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0B7809D9" w14:textId="77777777" w:rsidR="001530AE" w:rsidRPr="002423D6" w:rsidRDefault="001530AE" w:rsidP="004451CB">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1530AE" w:rsidRPr="002423D6" w14:paraId="0806A2C3" w14:textId="77777777" w:rsidTr="004451CB">
        <w:trPr>
          <w:trHeight w:val="330"/>
        </w:trPr>
        <w:tc>
          <w:tcPr>
            <w:tcW w:w="893" w:type="dxa"/>
            <w:vAlign w:val="center"/>
            <w:hideMark/>
          </w:tcPr>
          <w:p w14:paraId="097A7D33" w14:textId="77777777" w:rsidR="001530AE" w:rsidRPr="002423D6" w:rsidRDefault="001530AE" w:rsidP="004451C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21C9D8" w14:textId="77777777" w:rsidR="001530AE" w:rsidRPr="002423D6" w:rsidRDefault="001530AE" w:rsidP="004451CB">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1A4945C7" w14:textId="77777777" w:rsidR="001530AE" w:rsidRPr="002423D6" w:rsidRDefault="001530AE" w:rsidP="004451CB">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1530AE" w:rsidRPr="002423D6" w14:paraId="2C054F09" w14:textId="77777777" w:rsidTr="004451CB">
        <w:trPr>
          <w:trHeight w:val="300"/>
        </w:trPr>
        <w:tc>
          <w:tcPr>
            <w:tcW w:w="893" w:type="dxa"/>
            <w:vAlign w:val="center"/>
          </w:tcPr>
          <w:p w14:paraId="019EC08D" w14:textId="77777777" w:rsidR="001530AE" w:rsidRPr="002423D6" w:rsidRDefault="001530AE" w:rsidP="004451C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24D8D0E" w14:textId="77777777" w:rsidR="001530AE" w:rsidRPr="002423D6" w:rsidRDefault="001530AE" w:rsidP="004451C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342935E5" w14:textId="77777777" w:rsidR="001530AE" w:rsidRPr="002423D6" w:rsidRDefault="001530AE" w:rsidP="004451C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5CE95949" w14:textId="3A6AA69D" w:rsidR="001530AE" w:rsidRPr="000E2B93" w:rsidRDefault="001530AE" w:rsidP="001530AE">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47C7B895" w14:textId="77777777" w:rsidR="000F5A42" w:rsidRPr="001530AE" w:rsidRDefault="000F5A42" w:rsidP="001530AE"/>
    <w:sectPr w:rsidR="000F5A42" w:rsidRPr="001530AE" w:rsidSect="00C84654">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3DA24" w14:textId="77777777" w:rsidR="00CE7DC3" w:rsidRDefault="00CE7DC3">
      <w:pPr>
        <w:spacing w:after="0" w:line="240" w:lineRule="auto"/>
      </w:pPr>
      <w:r>
        <w:separator/>
      </w:r>
    </w:p>
  </w:endnote>
  <w:endnote w:type="continuationSeparator" w:id="0">
    <w:p w14:paraId="5A2C2C1C" w14:textId="77777777" w:rsidR="00CE7DC3" w:rsidRDefault="00CE7D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3F4B6" w14:textId="77777777" w:rsidR="00C84654" w:rsidRDefault="00C84654" w:rsidP="000849D5">
    <w:pPr>
      <w:spacing w:after="0"/>
      <w:rPr>
        <w:rFonts w:ascii="Verdana" w:hAnsi="Verdana"/>
        <w:b/>
        <w:bCs/>
        <w:sz w:val="20"/>
        <w:szCs w:val="20"/>
      </w:rPr>
    </w:pPr>
  </w:p>
  <w:p w14:paraId="773FA708" w14:textId="77777777" w:rsidR="00C84654" w:rsidRPr="00174B77" w:rsidRDefault="00C84654"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FF7D198" w14:textId="77777777" w:rsidR="00C84654" w:rsidRDefault="00C84654"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1309F71" w14:textId="77777777" w:rsidR="00C84654" w:rsidRPr="00E41027" w:rsidRDefault="00C84654" w:rsidP="000849D5">
    <w:pPr>
      <w:spacing w:after="0"/>
      <w:jc w:val="both"/>
      <w:rPr>
        <w:rFonts w:ascii="Verdana" w:hAnsi="Verdana"/>
        <w:sz w:val="18"/>
        <w:szCs w:val="18"/>
      </w:rPr>
    </w:pPr>
    <w:r w:rsidRPr="00E41027">
      <w:rPr>
        <w:rFonts w:ascii="Verdana" w:hAnsi="Verdana"/>
        <w:sz w:val="18"/>
        <w:szCs w:val="18"/>
      </w:rPr>
      <w:t>Mesa de servicio: (+57) 601 7456788</w:t>
    </w:r>
  </w:p>
  <w:p w14:paraId="0161891F" w14:textId="77777777" w:rsidR="00C84654" w:rsidRDefault="00C84654"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15D6204A" w14:textId="77777777" w:rsidR="00C84654" w:rsidRPr="007D04B2" w:rsidRDefault="00C84654" w:rsidP="000849D5">
    <w:pPr>
      <w:pStyle w:val="Piedepgina"/>
    </w:pPr>
  </w:p>
  <w:p w14:paraId="52A168EF" w14:textId="77777777" w:rsidR="00C84654" w:rsidRPr="000849D5" w:rsidRDefault="00C84654"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157BA" w14:textId="77777777" w:rsidR="00CE7DC3" w:rsidRDefault="00CE7DC3">
      <w:pPr>
        <w:spacing w:after="0" w:line="240" w:lineRule="auto"/>
      </w:pPr>
      <w:r>
        <w:separator/>
      </w:r>
    </w:p>
  </w:footnote>
  <w:footnote w:type="continuationSeparator" w:id="0">
    <w:p w14:paraId="18549075" w14:textId="77777777" w:rsidR="00CE7DC3" w:rsidRDefault="00CE7DC3">
      <w:pPr>
        <w:spacing w:after="0" w:line="240" w:lineRule="auto"/>
      </w:pPr>
      <w:r>
        <w:continuationSeparator/>
      </w:r>
    </w:p>
  </w:footnote>
  <w:footnote w:id="1">
    <w:p w14:paraId="6993E910" w14:textId="77777777" w:rsidR="001530AE" w:rsidRPr="00597235" w:rsidRDefault="001530AE" w:rsidP="001530AE">
      <w:pPr>
        <w:pStyle w:val="Textonotapie"/>
        <w:ind w:firstLine="708"/>
        <w:rPr>
          <w:rFonts w:ascii="Verdana" w:hAnsi="Verdana" w:cs="Arial"/>
          <w:sz w:val="18"/>
          <w:szCs w:val="18"/>
          <w:lang w:val="es-ES"/>
        </w:rPr>
      </w:pPr>
      <w:r w:rsidRPr="00597235">
        <w:rPr>
          <w:rStyle w:val="Refdenotaalpie"/>
          <w:rFonts w:ascii="Verdana" w:hAnsi="Verdana" w:cs="Arial"/>
          <w:sz w:val="18"/>
          <w:szCs w:val="18"/>
        </w:rPr>
        <w:footnoteRef/>
      </w:r>
      <w:r w:rsidRPr="00597235">
        <w:rPr>
          <w:rFonts w:ascii="Verdana" w:hAnsi="Verdana" w:cs="Arial"/>
          <w:sz w:val="18"/>
          <w:szCs w:val="18"/>
        </w:rPr>
        <w:t xml:space="preserve"> </w:t>
      </w:r>
      <w:r w:rsidRPr="00597235">
        <w:rPr>
          <w:rFonts w:ascii="Verdana" w:hAnsi="Verdana" w:cs="Arial"/>
          <w:sz w:val="18"/>
          <w:szCs w:val="18"/>
          <w:lang w:val="es-ES"/>
        </w:rPr>
        <w:t>Consejo de Estado. Sala de Consulta y Servicio Civil. Concepto del 20 de mayo de 2010. No. de Radicado: 11001-03-06-000-2010-00034-00(1992). C.P. Enrique José Arboleda Perdomo.</w:t>
      </w:r>
    </w:p>
  </w:footnote>
  <w:footnote w:id="2">
    <w:p w14:paraId="6A60FB94" w14:textId="77777777" w:rsidR="001530AE" w:rsidRPr="00A81FC4" w:rsidRDefault="001530AE" w:rsidP="001530AE">
      <w:pPr>
        <w:pStyle w:val="Textonotapie"/>
        <w:ind w:firstLine="709"/>
        <w:jc w:val="both"/>
        <w:rPr>
          <w:rFonts w:ascii="Verdana" w:hAnsi="Verdana" w:cs="Arial"/>
          <w:color w:val="000000"/>
          <w:sz w:val="14"/>
          <w:szCs w:val="14"/>
        </w:rPr>
      </w:pPr>
      <w:r w:rsidRPr="00A81FC4">
        <w:rPr>
          <w:rStyle w:val="Refdenotaalpie"/>
          <w:rFonts w:ascii="Verdana" w:hAnsi="Verdana" w:cs="Arial"/>
          <w:color w:val="000000"/>
          <w:sz w:val="14"/>
          <w:szCs w:val="14"/>
        </w:rPr>
        <w:footnoteRef/>
      </w:r>
      <w:r w:rsidRPr="00A81FC4">
        <w:rPr>
          <w:rFonts w:ascii="Verdana" w:hAnsi="Verdana" w:cs="Arial"/>
          <w:color w:val="000000"/>
          <w:sz w:val="14"/>
          <w:szCs w:val="14"/>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footnote>
  <w:footnote w:id="3">
    <w:p w14:paraId="25A044C5" w14:textId="77777777" w:rsidR="001530AE" w:rsidRPr="00831269" w:rsidRDefault="001530AE" w:rsidP="001530AE">
      <w:pPr>
        <w:pStyle w:val="Textonotapie"/>
        <w:ind w:firstLine="709"/>
        <w:jc w:val="both"/>
        <w:rPr>
          <w:rFonts w:ascii="Arial" w:hAnsi="Arial" w:cs="Arial"/>
          <w:color w:val="000000"/>
          <w:sz w:val="19"/>
          <w:szCs w:val="19"/>
        </w:rPr>
      </w:pPr>
      <w:r w:rsidRPr="00A81FC4">
        <w:rPr>
          <w:rStyle w:val="Refdenotaalpie"/>
          <w:rFonts w:ascii="Verdana" w:hAnsi="Verdana" w:cs="Arial"/>
          <w:color w:val="000000"/>
          <w:sz w:val="14"/>
          <w:szCs w:val="14"/>
        </w:rPr>
        <w:footnoteRef/>
      </w:r>
      <w:r w:rsidRPr="00A81FC4">
        <w:rPr>
          <w:rFonts w:ascii="Verdana" w:hAnsi="Verdana" w:cs="Arial"/>
          <w:color w:val="000000"/>
          <w:sz w:val="14"/>
          <w:szCs w:val="14"/>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4">
    <w:p w14:paraId="107AF18B" w14:textId="77777777" w:rsidR="001530AE" w:rsidRPr="00A81FC4" w:rsidRDefault="001530AE" w:rsidP="001530AE">
      <w:pPr>
        <w:pStyle w:val="Textonotapie"/>
        <w:ind w:firstLine="709"/>
        <w:jc w:val="both"/>
        <w:rPr>
          <w:rFonts w:ascii="Verdana" w:hAnsi="Verdana" w:cs="Arial"/>
          <w:color w:val="000000"/>
          <w:sz w:val="16"/>
          <w:szCs w:val="16"/>
        </w:rPr>
      </w:pPr>
      <w:r w:rsidRPr="00A81FC4">
        <w:rPr>
          <w:rStyle w:val="Refdenotaalpie"/>
          <w:rFonts w:ascii="Verdana" w:hAnsi="Verdana" w:cs="Arial"/>
          <w:color w:val="000000"/>
          <w:sz w:val="16"/>
          <w:szCs w:val="16"/>
        </w:rPr>
        <w:footnoteRef/>
      </w:r>
      <w:r w:rsidRPr="00A81FC4">
        <w:rPr>
          <w:rFonts w:ascii="Verdana" w:hAnsi="Verdana" w:cs="Arial"/>
          <w:color w:val="000000"/>
          <w:sz w:val="16"/>
          <w:szCs w:val="16"/>
        </w:rPr>
        <w:t xml:space="preserve"> Consejo de Estado. Sección Tercera. Subsección C. Sentencia del 26 de febrero de 2014. Expediente: 25.804. Consejero Ponente: Enrique Gil Botero.</w:t>
      </w:r>
    </w:p>
  </w:footnote>
  <w:footnote w:id="5">
    <w:p w14:paraId="579108E8" w14:textId="77777777" w:rsidR="001530AE" w:rsidRPr="00A81FC4" w:rsidRDefault="001530AE" w:rsidP="001530AE">
      <w:pPr>
        <w:pBdr>
          <w:top w:val="nil"/>
          <w:left w:val="nil"/>
          <w:bottom w:val="nil"/>
          <w:right w:val="nil"/>
          <w:between w:val="nil"/>
        </w:pBdr>
        <w:ind w:firstLine="709"/>
        <w:jc w:val="both"/>
        <w:rPr>
          <w:rFonts w:ascii="Verdana" w:eastAsia="Arial" w:hAnsi="Verdana" w:cs="Arial"/>
          <w:color w:val="000000"/>
          <w:sz w:val="16"/>
          <w:szCs w:val="16"/>
        </w:rPr>
      </w:pPr>
      <w:r w:rsidRPr="00A81FC4">
        <w:rPr>
          <w:rFonts w:ascii="Verdana" w:hAnsi="Verdana" w:cs="Arial"/>
          <w:sz w:val="16"/>
          <w:szCs w:val="16"/>
          <w:vertAlign w:val="superscript"/>
        </w:rPr>
        <w:footnoteRef/>
      </w:r>
      <w:r w:rsidRPr="00A81FC4">
        <w:rPr>
          <w:rFonts w:ascii="Verdana" w:eastAsia="Arial" w:hAnsi="Verdana" w:cs="Arial"/>
          <w:color w:val="000000"/>
          <w:sz w:val="16"/>
          <w:szCs w:val="16"/>
          <w:vertAlign w:val="superscript"/>
        </w:rPr>
        <w:t xml:space="preserve"> </w:t>
      </w:r>
      <w:r w:rsidRPr="00A81FC4">
        <w:rPr>
          <w:rFonts w:ascii="Verdana" w:eastAsia="Arial"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6">
    <w:p w14:paraId="720F9AF3" w14:textId="77777777" w:rsidR="001530AE" w:rsidRPr="00A81FC4" w:rsidRDefault="001530AE" w:rsidP="001530AE">
      <w:pPr>
        <w:pStyle w:val="Textonotapie"/>
        <w:ind w:firstLine="708"/>
        <w:rPr>
          <w:rFonts w:ascii="Verdana" w:hAnsi="Verdana" w:cs="Arial"/>
          <w:color w:val="000000"/>
          <w:sz w:val="16"/>
          <w:szCs w:val="16"/>
          <w:lang w:val="es-ES"/>
        </w:rPr>
      </w:pPr>
      <w:r w:rsidRPr="00A81FC4">
        <w:rPr>
          <w:rFonts w:ascii="Verdana" w:eastAsia="Arial" w:hAnsi="Verdana" w:cs="Arial"/>
          <w:color w:val="000000"/>
          <w:sz w:val="16"/>
          <w:szCs w:val="16"/>
          <w:vertAlign w:val="superscript"/>
        </w:rPr>
        <w:footnoteRef/>
      </w:r>
      <w:r w:rsidRPr="00A81FC4">
        <w:rPr>
          <w:rFonts w:ascii="Verdana" w:eastAsia="Arial" w:hAnsi="Verdana" w:cs="Arial"/>
          <w:color w:val="000000"/>
          <w:sz w:val="16"/>
          <w:szCs w:val="16"/>
          <w:vertAlign w:val="superscript"/>
          <w:lang w:val="es-ES"/>
        </w:rPr>
        <w:t xml:space="preserve"> </w:t>
      </w:r>
      <w:r w:rsidRPr="00A81FC4">
        <w:rPr>
          <w:rFonts w:ascii="Verdana" w:eastAsia="Arial" w:hAnsi="Verdana" w:cs="Arial"/>
          <w:color w:val="000000"/>
          <w:sz w:val="16"/>
          <w:szCs w:val="16"/>
          <w:lang w:val="es-ES"/>
        </w:rPr>
        <w:t>Consejo de Estado. Sala de Consulta y Servicio Civil. Concepto del 20 de mayo de 2010. No. de Radicado: 11001-03-06-000-2010-00034-00(1992). C.P. Enrique José Arboleda Perdomo.</w:t>
      </w:r>
    </w:p>
    <w:p w14:paraId="5BB840FB" w14:textId="77777777" w:rsidR="001530AE" w:rsidRPr="00A81FC4" w:rsidRDefault="001530AE" w:rsidP="001530AE">
      <w:pPr>
        <w:pStyle w:val="Textonotapie"/>
        <w:ind w:firstLine="708"/>
        <w:jc w:val="both"/>
        <w:rPr>
          <w:rFonts w:ascii="Verdana" w:hAnsi="Verdana" w:cs="Arial"/>
          <w:color w:val="000000"/>
          <w:sz w:val="16"/>
          <w:szCs w:val="16"/>
        </w:rPr>
      </w:pPr>
    </w:p>
  </w:footnote>
  <w:footnote w:id="7">
    <w:p w14:paraId="46A1BBD1" w14:textId="77777777" w:rsidR="001530AE" w:rsidRPr="001A0745" w:rsidRDefault="001530AE" w:rsidP="001530AE">
      <w:pPr>
        <w:pStyle w:val="Textonotapie"/>
        <w:rPr>
          <w:rFonts w:ascii="Verdana" w:hAnsi="Verdana"/>
          <w:sz w:val="16"/>
          <w:szCs w:val="16"/>
          <w:lang w:val="es-ES"/>
        </w:rPr>
      </w:pPr>
      <w:r w:rsidRPr="00A81FC4">
        <w:rPr>
          <w:rStyle w:val="Refdenotaalpie"/>
          <w:rFonts w:ascii="Verdana" w:hAnsi="Verdana"/>
          <w:sz w:val="16"/>
          <w:szCs w:val="16"/>
        </w:rPr>
        <w:footnoteRef/>
      </w:r>
      <w:r w:rsidRPr="00A81FC4">
        <w:rPr>
          <w:rFonts w:ascii="Verdana" w:hAnsi="Verdana"/>
          <w:sz w:val="16"/>
          <w:szCs w:val="16"/>
        </w:rPr>
        <w:t xml:space="preserve"> https://www.colombiacompra.gov.co/archivos/manual/manual-para-determinar-y-verificar-los-requisitos-habilitantes-en-los-procesos-de-contratacion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2A6E2" w14:textId="77777777" w:rsidR="00C84654" w:rsidRDefault="00C84654"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8155EBD" wp14:editId="76E04B61">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5B8B676" wp14:editId="6A3C87D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E28E040" w14:textId="77777777" w:rsidR="00C84654" w:rsidRDefault="00C84654" w:rsidP="00515FB5">
    <w:pPr>
      <w:pStyle w:val="Encabezado"/>
    </w:pPr>
  </w:p>
  <w:p w14:paraId="312FE146" w14:textId="77777777" w:rsidR="00C84654" w:rsidRDefault="00C84654" w:rsidP="00515FB5">
    <w:pPr>
      <w:pStyle w:val="Encabezado"/>
    </w:pPr>
  </w:p>
  <w:p w14:paraId="14E2152C" w14:textId="77777777" w:rsidR="00C84654" w:rsidRPr="00515FB5" w:rsidRDefault="00C84654"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5pt;height:14.5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7FA7610"/>
    <w:multiLevelType w:val="hybridMultilevel"/>
    <w:tmpl w:val="80CC9B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2"/>
  </w:num>
  <w:num w:numId="3" w16cid:durableId="390349800">
    <w:abstractNumId w:val="4"/>
  </w:num>
  <w:num w:numId="4" w16cid:durableId="187254162">
    <w:abstractNumId w:val="1"/>
  </w:num>
  <w:num w:numId="5" w16cid:durableId="19396736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654"/>
    <w:rsid w:val="0000290F"/>
    <w:rsid w:val="0005607B"/>
    <w:rsid w:val="0007141D"/>
    <w:rsid w:val="00090FB4"/>
    <w:rsid w:val="000F5A42"/>
    <w:rsid w:val="00107F51"/>
    <w:rsid w:val="001327E0"/>
    <w:rsid w:val="001530AE"/>
    <w:rsid w:val="00164840"/>
    <w:rsid w:val="001829D7"/>
    <w:rsid w:val="00186A5D"/>
    <w:rsid w:val="001C0CC7"/>
    <w:rsid w:val="001D00BD"/>
    <w:rsid w:val="001D121B"/>
    <w:rsid w:val="001E3316"/>
    <w:rsid w:val="001E45BF"/>
    <w:rsid w:val="001E68FB"/>
    <w:rsid w:val="00204902"/>
    <w:rsid w:val="00242AD0"/>
    <w:rsid w:val="002622E1"/>
    <w:rsid w:val="00275C92"/>
    <w:rsid w:val="0029009C"/>
    <w:rsid w:val="002C5D30"/>
    <w:rsid w:val="00300149"/>
    <w:rsid w:val="00343724"/>
    <w:rsid w:val="00346F93"/>
    <w:rsid w:val="003659ED"/>
    <w:rsid w:val="003701F4"/>
    <w:rsid w:val="0039567B"/>
    <w:rsid w:val="003F2194"/>
    <w:rsid w:val="003F761D"/>
    <w:rsid w:val="00407333"/>
    <w:rsid w:val="004440C6"/>
    <w:rsid w:val="004533A2"/>
    <w:rsid w:val="004931C5"/>
    <w:rsid w:val="004A1D9A"/>
    <w:rsid w:val="004C1B9F"/>
    <w:rsid w:val="004C2887"/>
    <w:rsid w:val="004E6D98"/>
    <w:rsid w:val="00535A29"/>
    <w:rsid w:val="00576401"/>
    <w:rsid w:val="005F6944"/>
    <w:rsid w:val="00647776"/>
    <w:rsid w:val="00660782"/>
    <w:rsid w:val="00665D88"/>
    <w:rsid w:val="006A3E38"/>
    <w:rsid w:val="006C3B0C"/>
    <w:rsid w:val="006C7E07"/>
    <w:rsid w:val="006F38AF"/>
    <w:rsid w:val="0071395E"/>
    <w:rsid w:val="007810A6"/>
    <w:rsid w:val="00804566"/>
    <w:rsid w:val="00844835"/>
    <w:rsid w:val="00895AB1"/>
    <w:rsid w:val="008C28A9"/>
    <w:rsid w:val="008D5B42"/>
    <w:rsid w:val="008E29CC"/>
    <w:rsid w:val="008F346E"/>
    <w:rsid w:val="009231A1"/>
    <w:rsid w:val="00996C1C"/>
    <w:rsid w:val="009A519B"/>
    <w:rsid w:val="009E051C"/>
    <w:rsid w:val="00A12218"/>
    <w:rsid w:val="00A33AF0"/>
    <w:rsid w:val="00A42782"/>
    <w:rsid w:val="00A73ABA"/>
    <w:rsid w:val="00A81FC4"/>
    <w:rsid w:val="00A90678"/>
    <w:rsid w:val="00A95852"/>
    <w:rsid w:val="00AC3B5A"/>
    <w:rsid w:val="00AC4D7E"/>
    <w:rsid w:val="00AF7FB8"/>
    <w:rsid w:val="00B642B8"/>
    <w:rsid w:val="00BB3C45"/>
    <w:rsid w:val="00BC02F4"/>
    <w:rsid w:val="00BC2E0D"/>
    <w:rsid w:val="00C21698"/>
    <w:rsid w:val="00C615C3"/>
    <w:rsid w:val="00C671F3"/>
    <w:rsid w:val="00C84654"/>
    <w:rsid w:val="00C85404"/>
    <w:rsid w:val="00CE7DC3"/>
    <w:rsid w:val="00D24F21"/>
    <w:rsid w:val="00D800C0"/>
    <w:rsid w:val="00DB26D7"/>
    <w:rsid w:val="00E010AA"/>
    <w:rsid w:val="00E43846"/>
    <w:rsid w:val="00E57640"/>
    <w:rsid w:val="00E602C0"/>
    <w:rsid w:val="00E65B0C"/>
    <w:rsid w:val="00E949C1"/>
    <w:rsid w:val="00E95D1B"/>
    <w:rsid w:val="00F56240"/>
    <w:rsid w:val="00F70EEC"/>
    <w:rsid w:val="00F7129F"/>
    <w:rsid w:val="00FA6E22"/>
    <w:rsid w:val="00FD0D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85E55"/>
  <w15:chartTrackingRefBased/>
  <w15:docId w15:val="{BBBF0580-AD8A-4645-AD81-3E1494DA4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2E1"/>
    <w:rPr>
      <w:kern w:val="0"/>
      <w14:ligatures w14:val="none"/>
    </w:rPr>
  </w:style>
  <w:style w:type="paragraph" w:styleId="Ttulo1">
    <w:name w:val="heading 1"/>
    <w:basedOn w:val="Normal"/>
    <w:next w:val="Normal"/>
    <w:link w:val="Ttulo1Car"/>
    <w:uiPriority w:val="9"/>
    <w:qFormat/>
    <w:rsid w:val="00C846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846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8465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8465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8465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8465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8465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8465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8465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8465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8465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8465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8465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8465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8465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8465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8465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84654"/>
    <w:rPr>
      <w:rFonts w:eastAsiaTheme="majorEastAsia" w:cstheme="majorBidi"/>
      <w:color w:val="272727" w:themeColor="text1" w:themeTint="D8"/>
    </w:rPr>
  </w:style>
  <w:style w:type="paragraph" w:styleId="Ttulo">
    <w:name w:val="Title"/>
    <w:basedOn w:val="Normal"/>
    <w:next w:val="Normal"/>
    <w:link w:val="TtuloCar"/>
    <w:uiPriority w:val="10"/>
    <w:qFormat/>
    <w:rsid w:val="00C846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8465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8465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8465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84654"/>
    <w:pPr>
      <w:spacing w:before="160"/>
      <w:jc w:val="center"/>
    </w:pPr>
    <w:rPr>
      <w:i/>
      <w:iCs/>
      <w:color w:val="404040" w:themeColor="text1" w:themeTint="BF"/>
    </w:rPr>
  </w:style>
  <w:style w:type="character" w:customStyle="1" w:styleId="CitaCar">
    <w:name w:val="Cita Car"/>
    <w:basedOn w:val="Fuentedeprrafopredeter"/>
    <w:link w:val="Cita"/>
    <w:uiPriority w:val="29"/>
    <w:rsid w:val="00C84654"/>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C84654"/>
    <w:pPr>
      <w:ind w:left="720"/>
      <w:contextualSpacing/>
    </w:pPr>
  </w:style>
  <w:style w:type="character" w:styleId="nfasisintenso">
    <w:name w:val="Intense Emphasis"/>
    <w:basedOn w:val="Fuentedeprrafopredeter"/>
    <w:uiPriority w:val="21"/>
    <w:qFormat/>
    <w:rsid w:val="00C84654"/>
    <w:rPr>
      <w:i/>
      <w:iCs/>
      <w:color w:val="0F4761" w:themeColor="accent1" w:themeShade="BF"/>
    </w:rPr>
  </w:style>
  <w:style w:type="paragraph" w:styleId="Citadestacada">
    <w:name w:val="Intense Quote"/>
    <w:basedOn w:val="Normal"/>
    <w:next w:val="Normal"/>
    <w:link w:val="CitadestacadaCar"/>
    <w:uiPriority w:val="30"/>
    <w:qFormat/>
    <w:rsid w:val="00C846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84654"/>
    <w:rPr>
      <w:i/>
      <w:iCs/>
      <w:color w:val="0F4761" w:themeColor="accent1" w:themeShade="BF"/>
    </w:rPr>
  </w:style>
  <w:style w:type="character" w:styleId="Referenciaintensa">
    <w:name w:val="Intense Reference"/>
    <w:basedOn w:val="Fuentedeprrafopredeter"/>
    <w:uiPriority w:val="32"/>
    <w:qFormat/>
    <w:rsid w:val="00C84654"/>
    <w:rPr>
      <w:b/>
      <w:bCs/>
      <w:smallCaps/>
      <w:color w:val="0F4761" w:themeColor="accent1" w:themeShade="BF"/>
      <w:spacing w:val="5"/>
    </w:rPr>
  </w:style>
  <w:style w:type="paragraph" w:styleId="Encabezado">
    <w:name w:val="header"/>
    <w:basedOn w:val="Normal"/>
    <w:link w:val="EncabezadoCar"/>
    <w:uiPriority w:val="99"/>
    <w:unhideWhenUsed/>
    <w:rsid w:val="00C8465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84654"/>
    <w:rPr>
      <w:kern w:val="0"/>
      <w14:ligatures w14:val="none"/>
    </w:rPr>
  </w:style>
  <w:style w:type="paragraph" w:styleId="Piedepgina">
    <w:name w:val="footer"/>
    <w:basedOn w:val="Normal"/>
    <w:link w:val="PiedepginaCar"/>
    <w:uiPriority w:val="99"/>
    <w:unhideWhenUsed/>
    <w:rsid w:val="00C8465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84654"/>
    <w:rPr>
      <w:kern w:val="0"/>
      <w14:ligatures w14:val="none"/>
    </w:rPr>
  </w:style>
  <w:style w:type="table" w:styleId="Tablaconcuadrcula">
    <w:name w:val="Table Grid"/>
    <w:basedOn w:val="Tablanormal"/>
    <w:uiPriority w:val="39"/>
    <w:qFormat/>
    <w:rsid w:val="00C8465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84654"/>
    <w:rPr>
      <w:color w:val="467886" w:themeColor="hyperlink"/>
      <w:u w:val="single"/>
    </w:rPr>
  </w:style>
  <w:style w:type="character" w:customStyle="1" w:styleId="normaltextrun">
    <w:name w:val="normaltextrun"/>
    <w:basedOn w:val="Fuentedeprrafopredeter"/>
    <w:rsid w:val="00C84654"/>
  </w:style>
  <w:style w:type="character" w:customStyle="1" w:styleId="eop">
    <w:name w:val="eop"/>
    <w:basedOn w:val="Fuentedeprrafopredeter"/>
    <w:rsid w:val="00C84654"/>
  </w:style>
  <w:style w:type="paragraph" w:customStyle="1" w:styleId="paragraph">
    <w:name w:val="paragraph"/>
    <w:basedOn w:val="Normal"/>
    <w:rsid w:val="00C8465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84654"/>
  </w:style>
  <w:style w:type="paragraph" w:styleId="NormalWeb">
    <w:name w:val="Normal (Web)"/>
    <w:basedOn w:val="Normal"/>
    <w:link w:val="NormalWebCar"/>
    <w:uiPriority w:val="99"/>
    <w:unhideWhenUsed/>
    <w:rsid w:val="00C84654"/>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C84654"/>
    <w:rPr>
      <w:rFonts w:ascii="Times New Roman" w:eastAsia="Times New Roman" w:hAnsi="Times New Roman" w:cs="Times New Roman"/>
      <w:kern w:val="0"/>
      <w:sz w:val="24"/>
      <w:szCs w:val="24"/>
      <w:lang w:eastAsia="es-CO"/>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F38A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F38AF"/>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F38AF"/>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F38AF"/>
    <w:rPr>
      <w:vertAlign w:val="superscript"/>
    </w:rPr>
  </w:style>
  <w:style w:type="paragraph" w:customStyle="1" w:styleId="Appelnotedebasde">
    <w:name w:val="Appel note de bas de..."/>
    <w:basedOn w:val="Normal"/>
    <w:link w:val="Refdenotaalpie"/>
    <w:uiPriority w:val="99"/>
    <w:rsid w:val="006F38AF"/>
    <w:pPr>
      <w:spacing w:line="240" w:lineRule="exact"/>
    </w:pPr>
    <w:rPr>
      <w:kern w:val="2"/>
      <w:vertAlign w:val="superscript"/>
      <w14:ligatures w14:val="standardContextual"/>
    </w:rPr>
  </w:style>
  <w:style w:type="character" w:styleId="Mencinsinresolver">
    <w:name w:val="Unresolved Mention"/>
    <w:basedOn w:val="Fuentedeprrafopredeter"/>
    <w:uiPriority w:val="99"/>
    <w:semiHidden/>
    <w:unhideWhenUsed/>
    <w:rsid w:val="00AC4D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170623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ombiacompra"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19E617F-FF8F-47CF-B4D8-E86B19F06CDB}"/>
</file>

<file path=customXml/itemProps2.xml><?xml version="1.0" encoding="utf-8"?>
<ds:datastoreItem xmlns:ds="http://schemas.openxmlformats.org/officeDocument/2006/customXml" ds:itemID="{66588D0D-50E9-4BDB-B72C-CA018C88ED9D}"/>
</file>

<file path=customXml/itemProps3.xml><?xml version="1.0" encoding="utf-8"?>
<ds:datastoreItem xmlns:ds="http://schemas.openxmlformats.org/officeDocument/2006/customXml" ds:itemID="{9AEE36F0-045B-4D27-926E-4F21EC10F67A}"/>
</file>

<file path=docProps/app.xml><?xml version="1.0" encoding="utf-8"?>
<Properties xmlns="http://schemas.openxmlformats.org/officeDocument/2006/extended-properties" xmlns:vt="http://schemas.openxmlformats.org/officeDocument/2006/docPropsVTypes">
  <Template>Normal</Template>
  <TotalTime>229</TotalTime>
  <Pages>15</Pages>
  <Words>4671</Words>
  <Characters>25695</Characters>
  <Application>Microsoft Office Word</Application>
  <DocSecurity>0</DocSecurity>
  <Lines>214</Lines>
  <Paragraphs>60</Paragraphs>
  <ScaleCrop>false</ScaleCrop>
  <Company/>
  <LinksUpToDate>false</LinksUpToDate>
  <CharactersWithSpaces>30306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84</cp:revision>
  <dcterms:created xsi:type="dcterms:W3CDTF">2026-03-30T20:22:00Z</dcterms:created>
  <dcterms:modified xsi:type="dcterms:W3CDTF">2026-04-28T17:10:00Z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