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86242D" w14:textId="77777777" w:rsidR="00421C10" w:rsidRDefault="00421C10" w:rsidP="008926D3">
      <w:pPr>
        <w:spacing w:after="0" w:line="240" w:lineRule="auto"/>
        <w:rPr>
          <w:rFonts w:ascii="Verdana" w:eastAsia="Verdana" w:hAnsi="Verdana" w:cs="Verdana"/>
        </w:rPr>
      </w:pPr>
    </w:p>
    <w:p w14:paraId="41E459DD" w14:textId="77777777" w:rsidR="00421C10" w:rsidRDefault="00421C10" w:rsidP="008926D3">
      <w:pPr>
        <w:spacing w:after="0" w:line="240" w:lineRule="auto"/>
        <w:rPr>
          <w:rFonts w:ascii="Verdana" w:eastAsia="Verdana" w:hAnsi="Verdana" w:cs="Verdana"/>
        </w:rPr>
      </w:pPr>
    </w:p>
    <w:p w14:paraId="06DE52F0" w14:textId="77777777" w:rsidR="00421C10" w:rsidRDefault="00EA734A" w:rsidP="00421C10">
      <w:pPr>
        <w:spacing w:after="0" w:line="240" w:lineRule="auto"/>
        <w:rPr>
          <w:rFonts w:ascii="Verdana" w:eastAsia="Calibri" w:hAnsi="Verdana" w:cs="Arial"/>
          <w:b/>
          <w:bCs/>
        </w:rPr>
      </w:pPr>
      <w:r w:rsidRPr="00EA734A">
        <w:rPr>
          <w:rFonts w:ascii="Verdana" w:eastAsia="Calibri" w:hAnsi="Verdana" w:cs="Arial"/>
          <w:b/>
          <w:bCs/>
        </w:rPr>
        <w:t xml:space="preserve"> </w:t>
      </w:r>
    </w:p>
    <w:p w14:paraId="6B47E27F" w14:textId="77777777" w:rsidR="00421C10" w:rsidRDefault="00421C10" w:rsidP="00421C10">
      <w:pPr>
        <w:spacing w:after="0" w:line="240" w:lineRule="auto"/>
        <w:rPr>
          <w:rFonts w:ascii="Verdana" w:eastAsia="Calibri" w:hAnsi="Verdana" w:cs="Arial"/>
          <w:b/>
          <w:bCs/>
        </w:rPr>
      </w:pPr>
    </w:p>
    <w:p w14:paraId="0315D3D0" w14:textId="1A207C29" w:rsidR="00EA734A" w:rsidRPr="00EA734A" w:rsidRDefault="00EA734A" w:rsidP="00421C10">
      <w:pPr>
        <w:spacing w:after="0" w:line="240" w:lineRule="auto"/>
        <w:rPr>
          <w:rFonts w:ascii="Verdana" w:eastAsia="Verdana" w:hAnsi="Verdana" w:cs="Verdana"/>
          <w:b/>
          <w:bCs/>
        </w:rPr>
      </w:pPr>
      <w:r w:rsidRPr="00EA734A">
        <w:rPr>
          <w:rFonts w:ascii="Verdana" w:eastAsia="Times New Roman" w:hAnsi="Verdana" w:cs="Arial"/>
          <w:b/>
          <w:bCs/>
          <w:lang w:eastAsia="es-ES_tradnl"/>
        </w:rPr>
        <w:t>CONTRATO DE PRESTACIÓN DE SERVICIOS</w:t>
      </w:r>
      <w:r w:rsidR="004255DD">
        <w:rPr>
          <w:rFonts w:ascii="Verdana" w:eastAsia="Times New Roman" w:hAnsi="Verdana" w:cs="Arial"/>
          <w:b/>
          <w:bCs/>
          <w:lang w:eastAsia="es-ES_tradnl"/>
        </w:rPr>
        <w:t xml:space="preserve"> </w:t>
      </w:r>
      <w:r w:rsidR="004255DD" w:rsidRPr="004255DD">
        <w:rPr>
          <w:rFonts w:ascii="Verdana" w:eastAsia="Calibri" w:hAnsi="Verdana" w:cs="Arial"/>
          <w:b/>
          <w:bCs/>
        </w:rPr>
        <w:t>– Concepto</w:t>
      </w:r>
      <w:r w:rsidR="007F3BC4">
        <w:rPr>
          <w:rFonts w:ascii="Verdana" w:eastAsia="Calibri" w:hAnsi="Verdana" w:cs="Arial"/>
          <w:b/>
          <w:bCs/>
        </w:rPr>
        <w:t xml:space="preserve"> </w:t>
      </w:r>
      <w:r w:rsidR="007F3BC4" w:rsidRPr="007F3BC4">
        <w:rPr>
          <w:rFonts w:ascii="Verdana" w:eastAsia="Calibri" w:hAnsi="Verdana" w:cs="Arial"/>
          <w:b/>
          <w:bCs/>
        </w:rPr>
        <w:t xml:space="preserve">─ Régimen jurídico </w:t>
      </w:r>
    </w:p>
    <w:p w14:paraId="7080FC25" w14:textId="77777777" w:rsidR="00EA734A" w:rsidRPr="00C83F10" w:rsidRDefault="00EA734A" w:rsidP="008926D3">
      <w:pPr>
        <w:spacing w:after="0" w:line="240" w:lineRule="auto"/>
        <w:rPr>
          <w:rFonts w:ascii="Verdana" w:eastAsia="Verdana" w:hAnsi="Verdana" w:cs="Verdana"/>
          <w:sz w:val="20"/>
          <w:szCs w:val="20"/>
        </w:rPr>
      </w:pPr>
    </w:p>
    <w:p w14:paraId="6C53EAE1" w14:textId="5C45501E" w:rsidR="00EA734A" w:rsidRPr="00C83F10" w:rsidRDefault="00C83F10" w:rsidP="00EA734A">
      <w:pPr>
        <w:spacing w:after="120" w:line="276" w:lineRule="auto"/>
        <w:jc w:val="both"/>
        <w:rPr>
          <w:rFonts w:ascii="Verdana" w:hAnsi="Verdana"/>
          <w:sz w:val="20"/>
          <w:szCs w:val="20"/>
        </w:rPr>
      </w:pPr>
      <w:r w:rsidRPr="00C83F10">
        <w:rPr>
          <w:rFonts w:ascii="Verdana" w:eastAsia="Calibri" w:hAnsi="Verdana" w:cs="Arial"/>
          <w:sz w:val="20"/>
          <w:szCs w:val="20"/>
        </w:rPr>
        <w:t>E</w:t>
      </w:r>
      <w:r w:rsidR="00EA734A" w:rsidRPr="00C83F10">
        <w:rPr>
          <w:rFonts w:ascii="Verdana" w:eastAsia="Calibri" w:hAnsi="Verdana" w:cs="Arial"/>
          <w:sz w:val="20"/>
          <w:szCs w:val="20"/>
        </w:rPr>
        <w:t xml:space="preserve">l </w:t>
      </w:r>
      <w:r w:rsidR="00EA734A" w:rsidRPr="00C83F10">
        <w:rPr>
          <w:rFonts w:ascii="Verdana" w:eastAsia="Times New Roman" w:hAnsi="Verdana" w:cs="Arial"/>
          <w:sz w:val="20"/>
          <w:szCs w:val="20"/>
          <w:lang w:eastAsia="es-ES_tradnl"/>
        </w:rPr>
        <w:t>contrato de prestación de servicios es una tipología contractual regulada por el numeral 3 del artículo 32 de la Ley 80 de 1993</w:t>
      </w:r>
      <w:r w:rsidR="00EA734A" w:rsidRPr="00C83F10">
        <w:rPr>
          <w:rFonts w:ascii="Verdana" w:hAnsi="Verdana" w:cs="Arial"/>
          <w:noProof/>
          <w:sz w:val="20"/>
          <w:szCs w:val="20"/>
          <w:lang w:val="es-ES_tradnl"/>
        </w:rPr>
        <w:t xml:space="preserve">. Si bien se celebran para obtener la prestación personal de un servicio, se diferencian del contrato de trabajo en que el contratista de prestación de servicios debe mantener autonomía e independencia en la ejecución de la labor. Esto significa que no debe existir </w:t>
      </w:r>
      <w:r w:rsidR="00EA734A" w:rsidRPr="00C83F10">
        <w:rPr>
          <w:rFonts w:ascii="Verdana" w:hAnsi="Verdana" w:cs="Arial"/>
          <w:i/>
          <w:noProof/>
          <w:sz w:val="20"/>
          <w:szCs w:val="20"/>
          <w:lang w:val="es-ES_tradnl"/>
        </w:rPr>
        <w:t xml:space="preserve">subordinación </w:t>
      </w:r>
      <w:r w:rsidR="00EA734A" w:rsidRPr="00C83F10">
        <w:rPr>
          <w:rFonts w:ascii="Verdana" w:hAnsi="Verdana" w:cs="Arial"/>
          <w:iCs/>
          <w:noProof/>
          <w:sz w:val="20"/>
          <w:szCs w:val="20"/>
          <w:lang w:val="es-ES_tradnl"/>
        </w:rPr>
        <w:t>ni</w:t>
      </w:r>
      <w:r w:rsidR="00EA734A" w:rsidRPr="00C83F10">
        <w:rPr>
          <w:rFonts w:ascii="Verdana" w:hAnsi="Verdana" w:cs="Arial"/>
          <w:i/>
          <w:noProof/>
          <w:sz w:val="20"/>
          <w:szCs w:val="20"/>
          <w:lang w:val="es-ES_tradnl"/>
        </w:rPr>
        <w:t xml:space="preserve"> dependencia</w:t>
      </w:r>
      <w:r w:rsidR="00EA734A" w:rsidRPr="00C83F10">
        <w:rPr>
          <w:rFonts w:ascii="Verdana" w:hAnsi="Verdana" w:cs="Arial"/>
          <w:iCs/>
          <w:noProof/>
          <w:sz w:val="20"/>
          <w:szCs w:val="20"/>
          <w:lang w:val="es-ES_tradnl"/>
        </w:rPr>
        <w:t>,</w:t>
      </w:r>
      <w:r w:rsidR="00EA734A" w:rsidRPr="00C83F10">
        <w:rPr>
          <w:rFonts w:ascii="Verdana" w:hAnsi="Verdana" w:cs="Arial"/>
          <w:noProof/>
          <w:sz w:val="20"/>
          <w:szCs w:val="20"/>
          <w:lang w:val="es-ES_tradnl"/>
        </w:rPr>
        <w:t xml:space="preserve"> elementos constitutivos del vínculo laboral</w:t>
      </w:r>
      <w:r w:rsidR="00EA734A" w:rsidRPr="00C83F10">
        <w:rPr>
          <w:rFonts w:ascii="Verdana" w:hAnsi="Verdana"/>
          <w:sz w:val="20"/>
          <w:szCs w:val="20"/>
        </w:rPr>
        <w:t>.</w:t>
      </w:r>
    </w:p>
    <w:p w14:paraId="423544F3" w14:textId="77777777" w:rsidR="00EA734A" w:rsidRDefault="00EA734A" w:rsidP="008926D3">
      <w:pPr>
        <w:spacing w:after="0" w:line="240" w:lineRule="auto"/>
        <w:rPr>
          <w:rFonts w:ascii="Verdana" w:eastAsia="Verdana" w:hAnsi="Verdana" w:cs="Verdana"/>
        </w:rPr>
      </w:pPr>
    </w:p>
    <w:p w14:paraId="2522ABCF" w14:textId="77777777" w:rsidR="00C56266" w:rsidRDefault="00C56266" w:rsidP="008926D3">
      <w:pPr>
        <w:spacing w:after="0" w:line="240" w:lineRule="auto"/>
        <w:rPr>
          <w:rFonts w:ascii="Verdana" w:eastAsia="Verdana" w:hAnsi="Verdana" w:cs="Verdana"/>
        </w:rPr>
      </w:pPr>
    </w:p>
    <w:p w14:paraId="50F489CC" w14:textId="77777777" w:rsidR="00C56266" w:rsidRPr="00C56266" w:rsidRDefault="00C56266" w:rsidP="008926D3">
      <w:pPr>
        <w:spacing w:after="0" w:line="240" w:lineRule="auto"/>
        <w:rPr>
          <w:rFonts w:ascii="Verdana" w:eastAsia="Verdana" w:hAnsi="Verdana" w:cs="Verdana"/>
          <w:b/>
          <w:bCs/>
        </w:rPr>
      </w:pPr>
    </w:p>
    <w:p w14:paraId="3E0034CD" w14:textId="32386EDC" w:rsidR="00C56266" w:rsidRPr="00423681" w:rsidRDefault="00C56266" w:rsidP="00423681">
      <w:pPr>
        <w:tabs>
          <w:tab w:val="left" w:pos="7275"/>
        </w:tabs>
        <w:spacing w:after="0" w:line="240" w:lineRule="auto"/>
        <w:rPr>
          <w:rFonts w:ascii="Verdana" w:eastAsia="Verdana" w:hAnsi="Verdana" w:cs="Verdana"/>
          <w:sz w:val="20"/>
          <w:szCs w:val="20"/>
        </w:rPr>
      </w:pPr>
      <w:r w:rsidRPr="00423681">
        <w:rPr>
          <w:rFonts w:ascii="Verdana" w:eastAsia="Calibri" w:hAnsi="Verdana" w:cs="Arial"/>
          <w:b/>
          <w:bCs/>
        </w:rPr>
        <w:t xml:space="preserve">CONTRATO DE PRESTACIÓN DE SERVICIOS – </w:t>
      </w:r>
      <w:r w:rsidR="00423681" w:rsidRPr="00423681">
        <w:rPr>
          <w:rFonts w:ascii="Verdana" w:eastAsia="Calibri" w:hAnsi="Verdana" w:cs="Arial"/>
          <w:b/>
          <w:bCs/>
        </w:rPr>
        <w:t>Horario</w:t>
      </w:r>
      <w:r w:rsidR="00E83D55">
        <w:rPr>
          <w:rFonts w:ascii="Verdana" w:eastAsia="Calibri" w:hAnsi="Verdana" w:cs="Arial"/>
          <w:b/>
          <w:bCs/>
        </w:rPr>
        <w:t>s</w:t>
      </w:r>
      <w:r w:rsidR="00423681" w:rsidRPr="00423681">
        <w:rPr>
          <w:rFonts w:ascii="Verdana" w:eastAsia="Calibri" w:hAnsi="Verdana" w:cs="Arial"/>
          <w:b/>
          <w:bCs/>
        </w:rPr>
        <w:t xml:space="preserve"> – Obligaciones</w:t>
      </w:r>
      <w:r w:rsidR="00423681" w:rsidRPr="00423681">
        <w:rPr>
          <w:rFonts w:ascii="Verdana" w:hAnsi="Verdana" w:cs="Arial"/>
          <w:b/>
          <w:bCs/>
          <w:noProof/>
        </w:rPr>
        <w:t xml:space="preserve"> Contractuales</w:t>
      </w:r>
      <w:r w:rsidR="00423681" w:rsidRPr="00423681">
        <w:rPr>
          <w:rFonts w:ascii="Verdana" w:eastAsia="Verdana" w:hAnsi="Verdana" w:cs="Verdana"/>
          <w:sz w:val="20"/>
          <w:szCs w:val="20"/>
        </w:rPr>
        <w:tab/>
        <w:t xml:space="preserve"> </w:t>
      </w:r>
    </w:p>
    <w:p w14:paraId="58D8B444" w14:textId="77777777" w:rsidR="00EA734A" w:rsidRPr="00785AB0" w:rsidRDefault="00EA734A" w:rsidP="00785AB0">
      <w:pPr>
        <w:spacing w:after="0" w:line="240" w:lineRule="auto"/>
        <w:jc w:val="both"/>
        <w:rPr>
          <w:rFonts w:ascii="Verdana" w:eastAsia="Verdana" w:hAnsi="Verdana" w:cs="Verdana"/>
          <w:sz w:val="20"/>
          <w:szCs w:val="20"/>
        </w:rPr>
      </w:pPr>
    </w:p>
    <w:p w14:paraId="522F7D08" w14:textId="77777777" w:rsidR="00785AB0" w:rsidRPr="00785AB0" w:rsidRDefault="00785AB0" w:rsidP="00785AB0">
      <w:pPr>
        <w:spacing w:after="120" w:line="276" w:lineRule="auto"/>
        <w:jc w:val="both"/>
        <w:rPr>
          <w:rFonts w:ascii="Verdana" w:hAnsi="Verdana" w:cs="Arial"/>
          <w:noProof/>
          <w:sz w:val="20"/>
          <w:szCs w:val="20"/>
        </w:rPr>
      </w:pPr>
      <w:r w:rsidRPr="00785AB0">
        <w:rPr>
          <w:rFonts w:ascii="Verdana" w:hAnsi="Verdana" w:cs="Arial"/>
          <w:noProof/>
          <w:sz w:val="20"/>
          <w:szCs w:val="20"/>
          <w:lang w:val="es-ES_tradnl"/>
        </w:rPr>
        <w:t>La jurisprudencia, que será reseñado a lo largo de este concepto, ha señalado que la fijación de un horario, por sí sola, no configura una relación laboral, ni desnaturaliza el contrato de prestación de servicios, siempre que dicha medida responda a necesidades objetivas del servicio y no suponga un ejercicio permanente de subordinación ya que se configuraría un contrato realidad.</w:t>
      </w:r>
      <w:r w:rsidRPr="00785AB0">
        <w:rPr>
          <w:rFonts w:ascii="Verdana" w:hAnsi="Verdana" w:cs="Arial"/>
          <w:noProof/>
          <w:sz w:val="20"/>
          <w:szCs w:val="20"/>
        </w:rPr>
        <w:t xml:space="preserve"> En ese sentido, la fijación de un horario, aunque puede constituir un inidicio de una relación laboral, no constituye por sí sola una prueba concluyente de la existencia de un contrato realidad. </w:t>
      </w:r>
    </w:p>
    <w:p w14:paraId="02DC8FE6" w14:textId="77777777" w:rsidR="00785AB0" w:rsidRPr="00785AB0" w:rsidRDefault="00785AB0" w:rsidP="00785AB0">
      <w:pPr>
        <w:spacing w:after="120" w:line="276" w:lineRule="auto"/>
        <w:jc w:val="both"/>
        <w:rPr>
          <w:rFonts w:ascii="Verdana" w:hAnsi="Verdana" w:cs="Arial"/>
          <w:noProof/>
          <w:sz w:val="20"/>
          <w:szCs w:val="20"/>
        </w:rPr>
      </w:pPr>
      <w:r w:rsidRPr="00785AB0">
        <w:rPr>
          <w:rFonts w:ascii="Verdana" w:hAnsi="Verdana" w:cs="Arial"/>
          <w:noProof/>
          <w:sz w:val="20"/>
          <w:szCs w:val="20"/>
        </w:rPr>
        <w:t>El Consejo de Estado ha sostenido, en múltiples sentencias, que la existencia de una jornada u horario puede ser necesaria para garantizar el cumplimiento eficiente del objeto contractual. Por lo tanto, la exigencia de un horario no desnaturaliza el contrato de prestación de servicios, siempre que este sea indispensable para la adecuada ejecución de las actividades pactadas.</w:t>
      </w:r>
    </w:p>
    <w:p w14:paraId="628924EC" w14:textId="77777777" w:rsidR="00785AB0" w:rsidRPr="00785AB0" w:rsidRDefault="00785AB0" w:rsidP="00785AB0">
      <w:pPr>
        <w:spacing w:after="120" w:line="276" w:lineRule="auto"/>
        <w:jc w:val="both"/>
        <w:rPr>
          <w:rFonts w:ascii="Verdana" w:eastAsia="Century Gothic" w:hAnsi="Verdana" w:cs="Century Gothic"/>
          <w:sz w:val="20"/>
          <w:szCs w:val="20"/>
          <w:lang w:val="es-ES_tradnl"/>
        </w:rPr>
      </w:pPr>
      <w:r w:rsidRPr="00785AB0">
        <w:rPr>
          <w:rFonts w:ascii="Verdana" w:hAnsi="Verdana" w:cs="Arial"/>
          <w:noProof/>
          <w:sz w:val="20"/>
          <w:szCs w:val="20"/>
        </w:rPr>
        <w:t>En ese marco, los contratistas por prestación de servicios deben ajustarse, en el desarrollo de sus obligaciones contractuales, a las directrices establecidas por la entidad estatal contratante, así como a la forma en que se coordinan las distintas actividades asociadas al objeto contractual. Si se requiere la presencia del contratista en una jornada específica dentro de la entidad, dicha exigencia debe estar claramente estipulada en el contrato y debe estar debidamente justificada. En todo caso, más que imponer un horario, se trata de asegurar el cumplimiento de las tareas propias del objeto contractual, conforme a las necesidades  del servicio y de las funciones de la entidad.</w:t>
      </w:r>
    </w:p>
    <w:p w14:paraId="661252C6" w14:textId="77777777" w:rsidR="00EA734A" w:rsidRPr="00785AB0" w:rsidRDefault="00EA734A" w:rsidP="00C83F10">
      <w:pPr>
        <w:spacing w:after="0" w:line="240" w:lineRule="auto"/>
        <w:jc w:val="both"/>
        <w:rPr>
          <w:rFonts w:ascii="Verdana" w:eastAsia="Verdana" w:hAnsi="Verdana" w:cs="Verdana"/>
          <w:sz w:val="20"/>
          <w:szCs w:val="20"/>
          <w:lang w:val="es-ES_tradnl"/>
        </w:rPr>
      </w:pPr>
    </w:p>
    <w:p w14:paraId="2535487C" w14:textId="77777777" w:rsidR="00EA734A" w:rsidRDefault="00EA734A" w:rsidP="008926D3">
      <w:pPr>
        <w:spacing w:after="0" w:line="240" w:lineRule="auto"/>
        <w:rPr>
          <w:rFonts w:ascii="Verdana" w:eastAsia="Verdana" w:hAnsi="Verdana" w:cs="Verdana"/>
        </w:rPr>
      </w:pPr>
    </w:p>
    <w:p w14:paraId="64A3775E" w14:textId="77777777" w:rsidR="00EA734A" w:rsidRDefault="00EA734A" w:rsidP="008926D3">
      <w:pPr>
        <w:spacing w:after="0" w:line="240" w:lineRule="auto"/>
        <w:rPr>
          <w:rFonts w:ascii="Verdana" w:eastAsia="Verdana" w:hAnsi="Verdana" w:cs="Verdana"/>
        </w:rPr>
      </w:pPr>
    </w:p>
    <w:p w14:paraId="7388B0F6" w14:textId="77777777" w:rsidR="00EA734A" w:rsidRDefault="00EA734A" w:rsidP="008926D3">
      <w:pPr>
        <w:spacing w:after="0" w:line="240" w:lineRule="auto"/>
        <w:rPr>
          <w:rFonts w:ascii="Verdana" w:eastAsia="Verdana" w:hAnsi="Verdana" w:cs="Verdana"/>
        </w:rPr>
      </w:pPr>
    </w:p>
    <w:p w14:paraId="0CF34969" w14:textId="77777777" w:rsidR="00EA734A" w:rsidRDefault="00EA734A" w:rsidP="008926D3">
      <w:pPr>
        <w:spacing w:after="0" w:line="240" w:lineRule="auto"/>
        <w:rPr>
          <w:rFonts w:ascii="Verdana" w:eastAsia="Verdana" w:hAnsi="Verdana" w:cs="Verdana"/>
        </w:rPr>
      </w:pPr>
    </w:p>
    <w:p w14:paraId="508E898F" w14:textId="77777777" w:rsidR="00BE1D31" w:rsidRDefault="00BE1D31" w:rsidP="008926D3">
      <w:pPr>
        <w:spacing w:after="0" w:line="240" w:lineRule="auto"/>
        <w:rPr>
          <w:rFonts w:ascii="Verdana" w:eastAsia="Verdana" w:hAnsi="Verdana" w:cs="Verdana"/>
        </w:rPr>
      </w:pPr>
    </w:p>
    <w:p w14:paraId="404B66A4" w14:textId="77777777" w:rsidR="00BE1D31" w:rsidRDefault="00BE1D31" w:rsidP="008926D3">
      <w:pPr>
        <w:spacing w:after="0" w:line="240" w:lineRule="auto"/>
        <w:rPr>
          <w:rFonts w:ascii="Verdana" w:eastAsia="Verdana" w:hAnsi="Verdana" w:cs="Verdana"/>
        </w:rPr>
      </w:pPr>
    </w:p>
    <w:p w14:paraId="7921E08E" w14:textId="4B55E885" w:rsidR="008926D3" w:rsidRDefault="004032E4" w:rsidP="008926D3">
      <w:pPr>
        <w:spacing w:after="0" w:line="240" w:lineRule="auto"/>
        <w:rPr>
          <w:rFonts w:ascii="Verdana" w:hAnsi="Verdana"/>
        </w:rPr>
      </w:pPr>
      <w:r w:rsidRPr="30821638">
        <w:rPr>
          <w:rFonts w:ascii="Verdana" w:eastAsia="Verdana" w:hAnsi="Verdana" w:cs="Verdana"/>
        </w:rPr>
        <w:t xml:space="preserve">Bogotá D.C., </w:t>
      </w:r>
      <w:r w:rsidR="00BF3D98">
        <w:rPr>
          <w:rFonts w:ascii="Verdana" w:eastAsia="Verdana" w:hAnsi="Verdana" w:cs="Verdana"/>
        </w:rPr>
        <w:t>22 abril</w:t>
      </w:r>
      <w:r>
        <w:rPr>
          <w:rFonts w:ascii="Verdana" w:eastAsia="Verdana" w:hAnsi="Verdana" w:cs="Verdana"/>
        </w:rPr>
        <w:t xml:space="preserve"> 2026</w:t>
      </w:r>
      <w:r w:rsidRPr="008363F8">
        <w:rPr>
          <w:rFonts w:ascii="Verdana" w:hAnsi="Verdana"/>
        </w:rPr>
        <w:tab/>
      </w:r>
      <w:r w:rsidR="00AD2B88" w:rsidRPr="00AD2B88">
        <w:rPr>
          <w:rFonts w:ascii="Verdana" w:hAnsi="Verdana"/>
          <w:noProof/>
        </w:rPr>
        <w:drawing>
          <wp:inline distT="0" distB="0" distL="0" distR="0" wp14:anchorId="033EF8E2" wp14:editId="27EA3651">
            <wp:extent cx="2257425" cy="625275"/>
            <wp:effectExtent l="0" t="0" r="0" b="3810"/>
            <wp:docPr id="15576530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2018" cy="637627"/>
                    </a:xfrm>
                    <a:prstGeom prst="rect">
                      <a:avLst/>
                    </a:prstGeom>
                    <a:noFill/>
                    <a:ln>
                      <a:noFill/>
                    </a:ln>
                  </pic:spPr>
                </pic:pic>
              </a:graphicData>
            </a:graphic>
          </wp:inline>
        </w:drawing>
      </w:r>
    </w:p>
    <w:p w14:paraId="1B38698B" w14:textId="77777777" w:rsidR="004032E4" w:rsidRDefault="004032E4" w:rsidP="008926D3">
      <w:pPr>
        <w:spacing w:after="0" w:line="240" w:lineRule="auto"/>
        <w:rPr>
          <w:rFonts w:ascii="Verdana" w:hAnsi="Verdana"/>
          <w:highlight w:val="lightGray"/>
          <w:lang w:val="es-ES"/>
        </w:rPr>
      </w:pPr>
    </w:p>
    <w:p w14:paraId="52E4B0A3" w14:textId="77777777" w:rsidR="00BE1D31" w:rsidRPr="00E75507" w:rsidRDefault="00BE1D31" w:rsidP="008926D3">
      <w:pPr>
        <w:spacing w:after="0" w:line="240" w:lineRule="auto"/>
        <w:rPr>
          <w:rFonts w:ascii="Verdana" w:hAnsi="Verdana"/>
          <w:highlight w:val="lightGray"/>
          <w:lang w:val="es-ES"/>
        </w:rPr>
      </w:pPr>
    </w:p>
    <w:p w14:paraId="23B0AC83" w14:textId="77777777" w:rsidR="008926D3" w:rsidRPr="00E75507" w:rsidRDefault="008926D3" w:rsidP="008926D3">
      <w:pPr>
        <w:spacing w:after="0" w:line="240" w:lineRule="auto"/>
        <w:rPr>
          <w:rFonts w:ascii="Verdana" w:hAnsi="Verdana"/>
          <w:lang w:val="es-ES"/>
        </w:rPr>
      </w:pPr>
      <w:bookmarkStart w:id="0" w:name="_Hlk143780582"/>
      <w:r w:rsidRPr="00E75507">
        <w:rPr>
          <w:rFonts w:ascii="Verdana" w:eastAsia="Calibri" w:hAnsi="Verdana" w:cs="Arial"/>
          <w:lang w:val="es-ES" w:eastAsia="es-ES"/>
        </w:rPr>
        <w:t>Señora</w:t>
      </w:r>
    </w:p>
    <w:p w14:paraId="4BD6DA0E" w14:textId="2A8E0AEF" w:rsidR="008926D3" w:rsidRDefault="004571EE" w:rsidP="008926D3">
      <w:pPr>
        <w:spacing w:after="0" w:line="240" w:lineRule="auto"/>
        <w:rPr>
          <w:rFonts w:ascii="Verdana" w:eastAsia="Calibri" w:hAnsi="Verdana" w:cs="Arial"/>
          <w:b/>
          <w:bCs/>
          <w:lang w:eastAsia="es-ES"/>
        </w:rPr>
      </w:pPr>
      <w:r>
        <w:rPr>
          <w:rFonts w:ascii="Verdana" w:eastAsia="Calibri" w:hAnsi="Verdana" w:cs="Arial"/>
          <w:b/>
          <w:bCs/>
          <w:lang w:eastAsia="es-ES"/>
        </w:rPr>
        <w:t>Leydi Natalia Olarte Ortiz</w:t>
      </w:r>
    </w:p>
    <w:p w14:paraId="79674225" w14:textId="01FAA750" w:rsidR="004A2D70" w:rsidRDefault="004A2D70" w:rsidP="008926D3">
      <w:pPr>
        <w:spacing w:after="0" w:line="240" w:lineRule="auto"/>
        <w:rPr>
          <w:rFonts w:ascii="Verdana" w:hAnsi="Verdana"/>
          <w:lang w:val="es-ES"/>
        </w:rPr>
      </w:pPr>
      <w:hyperlink r:id="rId11" w:history="1">
        <w:r w:rsidRPr="00F86646">
          <w:rPr>
            <w:rStyle w:val="Hipervnculo"/>
            <w:rFonts w:ascii="Verdana" w:hAnsi="Verdana"/>
            <w:lang w:val="es-ES"/>
          </w:rPr>
          <w:t>olarteortizleidynatalia@gmail.com</w:t>
        </w:r>
      </w:hyperlink>
    </w:p>
    <w:p w14:paraId="727ABCCE" w14:textId="275602B3" w:rsidR="004A2D70" w:rsidRPr="009756EB" w:rsidRDefault="004A2D70" w:rsidP="008926D3">
      <w:pPr>
        <w:spacing w:after="0" w:line="240" w:lineRule="auto"/>
        <w:rPr>
          <w:rFonts w:ascii="Verdana" w:hAnsi="Verdana"/>
          <w:lang w:val="es-ES"/>
        </w:rPr>
      </w:pPr>
      <w:r>
        <w:rPr>
          <w:rFonts w:ascii="Verdana" w:hAnsi="Verdana"/>
          <w:lang w:val="es-ES"/>
        </w:rPr>
        <w:t>Ciudad</w:t>
      </w:r>
    </w:p>
    <w:p w14:paraId="2F415A84" w14:textId="77777777" w:rsidR="008926D3" w:rsidRPr="00492084" w:rsidRDefault="008926D3" w:rsidP="008926D3">
      <w:pPr>
        <w:spacing w:after="0" w:line="240" w:lineRule="auto"/>
        <w:rPr>
          <w:rFonts w:ascii="Verdana" w:eastAsia="Calibri" w:hAnsi="Verdana" w:cs="Arial"/>
          <w:b/>
          <w:bCs/>
          <w:color w:val="EE0000"/>
          <w:highlight w:val="lightGray"/>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926D3" w:rsidRPr="00E75507" w14:paraId="22A75B07" w14:textId="77777777" w:rsidTr="0051452B">
        <w:trPr>
          <w:trHeight w:val="300"/>
        </w:trPr>
        <w:tc>
          <w:tcPr>
            <w:tcW w:w="2410" w:type="dxa"/>
          </w:tcPr>
          <w:p w14:paraId="793A5570" w14:textId="77777777" w:rsidR="008926D3" w:rsidRPr="0003707A" w:rsidRDefault="008926D3" w:rsidP="0051452B">
            <w:pPr>
              <w:ind w:left="-142"/>
              <w:jc w:val="both"/>
              <w:rPr>
                <w:rFonts w:ascii="Verdana" w:eastAsia="Calibri" w:hAnsi="Verdana" w:cs="Arial"/>
                <w:b/>
                <w:bCs/>
                <w:color w:val="EE0000"/>
                <w:highlight w:val="lightGray"/>
                <w:lang w:val="es-ES" w:eastAsia="es-ES_tradnl"/>
              </w:rPr>
            </w:pPr>
          </w:p>
        </w:tc>
        <w:tc>
          <w:tcPr>
            <w:tcW w:w="6100" w:type="dxa"/>
          </w:tcPr>
          <w:p w14:paraId="4DECA192" w14:textId="05DCDCF7" w:rsidR="008926D3" w:rsidRPr="000940A2" w:rsidRDefault="008926D3" w:rsidP="0051452B">
            <w:pPr>
              <w:ind w:left="3"/>
              <w:jc w:val="both"/>
              <w:rPr>
                <w:rFonts w:ascii="Verdana" w:eastAsia="Calibri" w:hAnsi="Verdana" w:cs="Arial"/>
                <w:b/>
                <w:bCs/>
                <w:highlight w:val="lightGray"/>
                <w:lang w:val="es-ES" w:eastAsia="es-ES"/>
              </w:rPr>
            </w:pPr>
            <w:r w:rsidRPr="00255E89">
              <w:rPr>
                <w:rFonts w:ascii="Verdana" w:eastAsia="Calibri" w:hAnsi="Verdana" w:cs="Arial"/>
                <w:b/>
                <w:bCs/>
                <w:lang w:val="es-ES" w:eastAsia="es-ES"/>
              </w:rPr>
              <w:t>Concepto C-</w:t>
            </w:r>
            <w:r w:rsidR="00E000B1">
              <w:rPr>
                <w:rFonts w:ascii="Verdana" w:eastAsia="Calibri" w:hAnsi="Verdana" w:cs="Arial"/>
                <w:b/>
                <w:bCs/>
                <w:lang w:val="es-ES" w:eastAsia="es-ES"/>
              </w:rPr>
              <w:t>432</w:t>
            </w:r>
            <w:r w:rsidRPr="00255E89">
              <w:rPr>
                <w:rFonts w:ascii="Verdana" w:eastAsia="Calibri" w:hAnsi="Verdana" w:cs="Arial"/>
                <w:b/>
                <w:bCs/>
                <w:lang w:val="es-ES" w:eastAsia="es-ES"/>
              </w:rPr>
              <w:t xml:space="preserve"> de</w:t>
            </w:r>
            <w:r w:rsidRPr="000940A2">
              <w:rPr>
                <w:rFonts w:ascii="Verdana" w:eastAsia="Calibri" w:hAnsi="Verdana" w:cs="Arial"/>
                <w:b/>
                <w:bCs/>
                <w:lang w:val="es-ES" w:eastAsia="es-ES"/>
              </w:rPr>
              <w:t xml:space="preserve"> 2026</w:t>
            </w:r>
          </w:p>
          <w:p w14:paraId="09FF4FDC" w14:textId="77777777" w:rsidR="008926D3" w:rsidRPr="00064773" w:rsidRDefault="008926D3" w:rsidP="0051452B">
            <w:pPr>
              <w:ind w:left="3"/>
              <w:jc w:val="both"/>
              <w:rPr>
                <w:rFonts w:ascii="Verdana" w:eastAsia="Calibri" w:hAnsi="Verdana" w:cs="Arial"/>
                <w:b/>
                <w:bCs/>
                <w:color w:val="EE0000"/>
                <w:highlight w:val="lightGray"/>
                <w:lang w:val="es-ES" w:eastAsia="es-ES"/>
              </w:rPr>
            </w:pPr>
          </w:p>
        </w:tc>
      </w:tr>
      <w:tr w:rsidR="008926D3" w:rsidRPr="00E75507" w14:paraId="276D8E5E" w14:textId="77777777" w:rsidTr="0051452B">
        <w:trPr>
          <w:trHeight w:val="300"/>
        </w:trPr>
        <w:tc>
          <w:tcPr>
            <w:tcW w:w="2410" w:type="dxa"/>
          </w:tcPr>
          <w:p w14:paraId="095BE68D" w14:textId="77777777" w:rsidR="008926D3" w:rsidRPr="00E75507" w:rsidRDefault="008926D3" w:rsidP="0051452B">
            <w:pPr>
              <w:ind w:left="424" w:firstLine="142"/>
              <w:jc w:val="both"/>
              <w:rPr>
                <w:rFonts w:ascii="Verdana" w:eastAsia="Calibri" w:hAnsi="Verdana" w:cs="Arial"/>
                <w:highlight w:val="lightGray"/>
                <w:lang w:val="es-ES" w:eastAsia="es-ES_tradnl"/>
              </w:rPr>
            </w:pPr>
            <w:r w:rsidRPr="00E75507">
              <w:rPr>
                <w:rFonts w:ascii="Verdana" w:eastAsia="Calibri" w:hAnsi="Verdana" w:cs="Arial"/>
                <w:b/>
                <w:lang w:val="es-ES" w:eastAsia="es-ES_tradnl"/>
              </w:rPr>
              <w:t>Temas:</w:t>
            </w:r>
            <w:r w:rsidRPr="00E75507">
              <w:rPr>
                <w:rFonts w:ascii="Verdana" w:eastAsia="Calibri" w:hAnsi="Verdana" w:cs="Arial"/>
                <w:lang w:val="es-ES" w:eastAsia="es-ES_tradnl"/>
              </w:rPr>
              <w:t xml:space="preserve"> </w:t>
            </w:r>
            <w:r w:rsidRPr="00E75507">
              <w:rPr>
                <w:rFonts w:ascii="Verdana" w:eastAsia="Calibri" w:hAnsi="Verdana" w:cs="Arial"/>
                <w:highlight w:val="lightGray"/>
                <w:lang w:val="es-ES" w:eastAsia="es-ES_tradnl"/>
              </w:rPr>
              <w:t xml:space="preserve">                 </w:t>
            </w:r>
          </w:p>
        </w:tc>
        <w:tc>
          <w:tcPr>
            <w:tcW w:w="6100" w:type="dxa"/>
          </w:tcPr>
          <w:p w14:paraId="25A85BE2" w14:textId="77777777" w:rsidR="008926D3" w:rsidRPr="00492084" w:rsidRDefault="008926D3" w:rsidP="0051452B">
            <w:pPr>
              <w:jc w:val="both"/>
              <w:rPr>
                <w:rFonts w:ascii="Verdana" w:eastAsia="Calibri" w:hAnsi="Verdana" w:cs="Arial"/>
              </w:rPr>
            </w:pPr>
            <w:r w:rsidRPr="009756EB">
              <w:rPr>
                <w:rFonts w:ascii="Verdana" w:eastAsia="Calibri" w:hAnsi="Verdana" w:cs="Arial"/>
              </w:rPr>
              <w:t>CONTRATO DE PRESTACIÓN DE SERVICIOS – Concepto / CONTRATO DE PRESTACIÓN DE SERVICIOS – Características / CONTRATO DE PRESTACIÓN DE SERVICIOS – Ley 80 de 1993 - Autonomía e independencia / CONTRATO DE PRESTACIÓN DE SERVICIOS – Horario</w:t>
            </w:r>
          </w:p>
          <w:p w14:paraId="46D9AA78" w14:textId="77777777" w:rsidR="008926D3" w:rsidRPr="00492084" w:rsidRDefault="008926D3" w:rsidP="0051452B">
            <w:pPr>
              <w:jc w:val="both"/>
              <w:rPr>
                <w:rFonts w:ascii="Verdana" w:eastAsia="Calibri" w:hAnsi="Verdana" w:cs="Arial"/>
              </w:rPr>
            </w:pPr>
          </w:p>
        </w:tc>
      </w:tr>
      <w:tr w:rsidR="008926D3" w:rsidRPr="009A633A" w14:paraId="2F0B003C" w14:textId="77777777" w:rsidTr="0051452B">
        <w:trPr>
          <w:trHeight w:val="350"/>
        </w:trPr>
        <w:tc>
          <w:tcPr>
            <w:tcW w:w="2410" w:type="dxa"/>
          </w:tcPr>
          <w:p w14:paraId="30FB7EA5" w14:textId="77777777" w:rsidR="008926D3" w:rsidRPr="00E75507" w:rsidRDefault="008926D3" w:rsidP="0051452B">
            <w:pPr>
              <w:ind w:left="561"/>
              <w:jc w:val="both"/>
              <w:rPr>
                <w:rFonts w:ascii="Verdana" w:eastAsia="Calibri" w:hAnsi="Verdana" w:cs="Arial"/>
                <w:b/>
                <w:lang w:val="es-ES" w:eastAsia="es-ES_tradnl"/>
              </w:rPr>
            </w:pPr>
            <w:r w:rsidRPr="00E75507">
              <w:rPr>
                <w:rFonts w:ascii="Verdana" w:eastAsia="Calibri" w:hAnsi="Verdana" w:cs="Arial"/>
                <w:b/>
                <w:lang w:val="es-ES" w:eastAsia="es-ES_tradnl"/>
              </w:rPr>
              <w:t>Radicación:</w:t>
            </w:r>
            <w:r w:rsidRPr="00E75507">
              <w:rPr>
                <w:rFonts w:ascii="Verdana" w:eastAsia="Calibri" w:hAnsi="Verdana" w:cs="Arial"/>
                <w:lang w:val="es-ES" w:eastAsia="es-ES_tradnl"/>
              </w:rPr>
              <w:t xml:space="preserve">              </w:t>
            </w:r>
          </w:p>
        </w:tc>
        <w:tc>
          <w:tcPr>
            <w:tcW w:w="6100" w:type="dxa"/>
          </w:tcPr>
          <w:p w14:paraId="6018ADB7" w14:textId="6339D8F4" w:rsidR="009A633A" w:rsidRPr="009A633A" w:rsidRDefault="008926D3" w:rsidP="009A633A">
            <w:pPr>
              <w:ind w:left="3"/>
              <w:jc w:val="both"/>
              <w:rPr>
                <w:rFonts w:ascii="Verdana" w:hAnsi="Verdana"/>
                <w:lang w:val="es-ES"/>
              </w:rPr>
            </w:pPr>
            <w:r w:rsidRPr="009756EB">
              <w:rPr>
                <w:rFonts w:ascii="Verdana" w:eastAsia="Calibri" w:hAnsi="Verdana" w:cs="Arial"/>
                <w:lang w:val="es-ES" w:eastAsia="es-ES"/>
              </w:rPr>
              <w:t xml:space="preserve">Respuesta a consulta con radicado No. </w:t>
            </w:r>
            <w:r w:rsidR="009A633A">
              <w:rPr>
                <w:rFonts w:ascii="Verdana" w:hAnsi="Verdana" w:cs="Calibri"/>
                <w:color w:val="000000"/>
              </w:rPr>
              <w:t>1_2026_03_17_003677</w:t>
            </w:r>
          </w:p>
          <w:p w14:paraId="3B365942" w14:textId="5995E224" w:rsidR="008926D3" w:rsidRPr="00492084" w:rsidRDefault="008926D3" w:rsidP="0051452B">
            <w:pPr>
              <w:ind w:left="3"/>
              <w:jc w:val="both"/>
              <w:rPr>
                <w:rFonts w:ascii="Verdana" w:hAnsi="Verdana"/>
                <w:lang w:val="es-ES"/>
              </w:rPr>
            </w:pPr>
          </w:p>
        </w:tc>
      </w:tr>
    </w:tbl>
    <w:p w14:paraId="3D230B16" w14:textId="77777777" w:rsidR="008926D3" w:rsidRPr="00E75507" w:rsidRDefault="008926D3" w:rsidP="008926D3">
      <w:pPr>
        <w:spacing w:after="0" w:line="240" w:lineRule="auto"/>
        <w:jc w:val="both"/>
        <w:rPr>
          <w:rFonts w:ascii="Verdana" w:eastAsia="Calibri" w:hAnsi="Verdana" w:cs="Arial"/>
          <w:color w:val="EE0000"/>
          <w:highlight w:val="lightGray"/>
          <w:lang w:val="es-ES" w:eastAsia="es-ES"/>
        </w:rPr>
      </w:pPr>
    </w:p>
    <w:p w14:paraId="046D2F66" w14:textId="225C983A" w:rsidR="008926D3" w:rsidRPr="001900BC" w:rsidRDefault="008926D3" w:rsidP="008926D3">
      <w:pPr>
        <w:spacing w:after="0" w:line="276" w:lineRule="auto"/>
        <w:jc w:val="both"/>
        <w:rPr>
          <w:rFonts w:ascii="Verdana" w:eastAsia="Calibri" w:hAnsi="Verdana" w:cs="Arial"/>
          <w:lang w:val="es-ES" w:eastAsia="es-ES"/>
        </w:rPr>
      </w:pPr>
      <w:r w:rsidRPr="001900BC">
        <w:rPr>
          <w:rFonts w:ascii="Verdana" w:eastAsia="Calibri" w:hAnsi="Verdana" w:cs="Arial"/>
          <w:lang w:val="es-ES" w:eastAsia="es-ES"/>
        </w:rPr>
        <w:t>Estimad</w:t>
      </w:r>
      <w:r>
        <w:rPr>
          <w:rFonts w:ascii="Verdana" w:eastAsia="Calibri" w:hAnsi="Verdana" w:cs="Arial"/>
          <w:lang w:val="es-ES" w:eastAsia="es-ES"/>
        </w:rPr>
        <w:t>a</w:t>
      </w:r>
      <w:r w:rsidRPr="001900BC">
        <w:rPr>
          <w:rFonts w:ascii="Verdana" w:eastAsia="Calibri" w:hAnsi="Verdana" w:cs="Arial"/>
          <w:lang w:val="es-ES" w:eastAsia="es-ES"/>
        </w:rPr>
        <w:t xml:space="preserve"> </w:t>
      </w:r>
      <w:r>
        <w:rPr>
          <w:rFonts w:ascii="Verdana" w:eastAsia="Calibri" w:hAnsi="Verdana" w:cs="Arial"/>
          <w:lang w:val="es-ES" w:eastAsia="es-ES"/>
        </w:rPr>
        <w:t>s</w:t>
      </w:r>
      <w:r w:rsidRPr="001900BC">
        <w:rPr>
          <w:rFonts w:ascii="Verdana" w:eastAsia="Calibri" w:hAnsi="Verdana" w:cs="Arial"/>
          <w:lang w:val="es-ES" w:eastAsia="es-ES"/>
        </w:rPr>
        <w:t>eñor</w:t>
      </w:r>
      <w:r w:rsidR="00CB4368">
        <w:rPr>
          <w:rFonts w:ascii="Verdana" w:eastAsia="Calibri" w:hAnsi="Verdana" w:cs="Arial"/>
          <w:lang w:val="es-ES" w:eastAsia="es-ES"/>
        </w:rPr>
        <w:t xml:space="preserve"> Olarte</w:t>
      </w:r>
      <w:r w:rsidRPr="001900BC">
        <w:rPr>
          <w:rFonts w:ascii="Verdana" w:eastAsia="Calibri" w:hAnsi="Verdana" w:cs="Arial"/>
          <w:lang w:val="es-ES" w:eastAsia="es-ES"/>
        </w:rPr>
        <w:t>,</w:t>
      </w:r>
    </w:p>
    <w:p w14:paraId="6BC01ED0" w14:textId="77777777" w:rsidR="008926D3" w:rsidRPr="001900BC" w:rsidRDefault="008926D3" w:rsidP="008926D3">
      <w:pPr>
        <w:tabs>
          <w:tab w:val="left" w:pos="3768"/>
        </w:tabs>
        <w:spacing w:after="0" w:line="276" w:lineRule="auto"/>
        <w:jc w:val="both"/>
        <w:rPr>
          <w:rFonts w:ascii="Verdana" w:eastAsia="Calibri" w:hAnsi="Verdana" w:cs="Arial"/>
          <w:lang w:val="es-ES" w:eastAsia="es-ES"/>
        </w:rPr>
      </w:pPr>
      <w:r w:rsidRPr="001900BC">
        <w:rPr>
          <w:rFonts w:ascii="Verdana" w:eastAsia="Calibri" w:hAnsi="Verdana" w:cs="Arial"/>
          <w:lang w:val="es-ES" w:eastAsia="es-ES"/>
        </w:rPr>
        <w:tab/>
      </w:r>
    </w:p>
    <w:p w14:paraId="446B0BB2" w14:textId="3F97BA2F" w:rsidR="008926D3" w:rsidRPr="001900BC" w:rsidRDefault="008926D3" w:rsidP="008926D3">
      <w:pPr>
        <w:spacing w:after="0" w:line="276" w:lineRule="auto"/>
        <w:jc w:val="both"/>
        <w:rPr>
          <w:rFonts w:ascii="Verdana" w:eastAsia="Calibri" w:hAnsi="Verdana" w:cs="Arial"/>
          <w:lang w:val="es-ES" w:eastAsia="es-ES"/>
        </w:rPr>
      </w:pPr>
      <w:r w:rsidRPr="001900BC">
        <w:rPr>
          <w:rFonts w:ascii="Verdana" w:eastAsia="Calibri" w:hAnsi="Verdana" w:cs="Arial"/>
          <w:lang w:val="es-ES" w:eastAsia="es-ES"/>
        </w:rPr>
        <w:t>En ejercicio de la competencia otorgada por los artículos 3, numeral 5º, y 11, numeral 8º, del Decreto Ley 4170 de 2011,</w:t>
      </w:r>
      <w:r w:rsidRPr="001900BC">
        <w:rPr>
          <w:rFonts w:ascii="Verdana" w:eastAsia="Arial MT" w:hAnsi="Verdana" w:cs="Arial MT"/>
          <w:lang w:val="es-ES" w:eastAsia="es-ES"/>
        </w:rPr>
        <w:t xml:space="preserve"> </w:t>
      </w:r>
      <w:r w:rsidRPr="001900BC">
        <w:rPr>
          <w:rFonts w:ascii="Verdana" w:hAnsi="Verdana" w:cs="Arial"/>
          <w:lang w:val="es-ES"/>
        </w:rPr>
        <w:t xml:space="preserve">así como lo establecido en el artículo 4 de la Resolución </w:t>
      </w:r>
      <w:r>
        <w:rPr>
          <w:rFonts w:ascii="Verdana" w:hAnsi="Verdana" w:cs="Arial"/>
          <w:lang w:val="es-ES"/>
        </w:rPr>
        <w:t>469 de 2025</w:t>
      </w:r>
      <w:r w:rsidRPr="001900BC">
        <w:rPr>
          <w:rFonts w:ascii="Verdana" w:hAnsi="Verdana" w:cs="Arial"/>
          <w:lang w:val="es-ES"/>
        </w:rPr>
        <w:t xml:space="preserve"> expedida por esta Entidad, </w:t>
      </w:r>
      <w:r w:rsidRPr="001900BC">
        <w:rPr>
          <w:rFonts w:ascii="Verdana" w:eastAsia="Calibri" w:hAnsi="Verdana" w:cs="Arial"/>
          <w:lang w:val="es-ES" w:eastAsia="es-ES"/>
        </w:rPr>
        <w:t>la Agencia Nacional de Contratación Pública – Colombia Compra Eficiente– responde su solicitud de consulta de fecha</w:t>
      </w:r>
      <w:r>
        <w:rPr>
          <w:rFonts w:ascii="Verdana" w:eastAsia="Calibri" w:hAnsi="Verdana" w:cs="Arial"/>
          <w:lang w:val="es-ES" w:eastAsia="es-ES"/>
        </w:rPr>
        <w:t xml:space="preserve"> 28 de enero de 2026, remitida por el Departamento Administrativo de la Función Pública el </w:t>
      </w:r>
      <w:r w:rsidR="00BF3D98">
        <w:rPr>
          <w:rFonts w:ascii="Verdana" w:eastAsia="Calibri" w:hAnsi="Verdana" w:cs="Arial"/>
          <w:lang w:val="es-ES" w:eastAsia="es-ES"/>
        </w:rPr>
        <w:t>16</w:t>
      </w:r>
      <w:r w:rsidRPr="001900BC">
        <w:rPr>
          <w:rFonts w:ascii="Verdana" w:eastAsia="Calibri" w:hAnsi="Verdana" w:cs="Arial"/>
          <w:lang w:val="es-ES" w:eastAsia="es-ES"/>
        </w:rPr>
        <w:t xml:space="preserve"> de </w:t>
      </w:r>
      <w:r w:rsidR="00BF3D98">
        <w:rPr>
          <w:rFonts w:ascii="Verdana" w:eastAsia="Calibri" w:hAnsi="Verdana" w:cs="Arial"/>
          <w:lang w:val="es-ES" w:eastAsia="es-ES"/>
        </w:rPr>
        <w:t>marzo</w:t>
      </w:r>
      <w:r w:rsidRPr="001900BC">
        <w:rPr>
          <w:rFonts w:ascii="Verdana" w:eastAsia="Calibri" w:hAnsi="Verdana" w:cs="Arial"/>
          <w:lang w:val="es-ES" w:eastAsia="es-ES"/>
        </w:rPr>
        <w:t xml:space="preserve"> de 2026, en la cual manifiesta lo siguiente: </w:t>
      </w:r>
    </w:p>
    <w:p w14:paraId="59AC8880" w14:textId="77777777" w:rsidR="008926D3" w:rsidRPr="00797350" w:rsidRDefault="008926D3" w:rsidP="008926D3">
      <w:pPr>
        <w:tabs>
          <w:tab w:val="left" w:pos="142"/>
          <w:tab w:val="left" w:pos="284"/>
        </w:tabs>
        <w:spacing w:after="0" w:line="276" w:lineRule="auto"/>
        <w:jc w:val="both"/>
        <w:rPr>
          <w:rFonts w:ascii="Verdana" w:eastAsia="Century Gothic" w:hAnsi="Verdana" w:cs="Century Gothic"/>
          <w:b/>
          <w:bCs/>
          <w:color w:val="EE0000"/>
          <w:highlight w:val="lightGray"/>
          <w:lang w:val="es-ES"/>
        </w:rPr>
      </w:pPr>
    </w:p>
    <w:p w14:paraId="4AFD725D" w14:textId="415A4C7B" w:rsidR="008926D3" w:rsidRDefault="008926D3" w:rsidP="00E805D7">
      <w:pPr>
        <w:spacing w:after="0" w:line="240" w:lineRule="auto"/>
        <w:ind w:left="737" w:right="737"/>
        <w:contextualSpacing/>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00FA790E" w:rsidRPr="00FA790E">
        <w:t xml:space="preserve"> </w:t>
      </w:r>
      <w:r w:rsidR="00FA790E" w:rsidRPr="00766128">
        <w:rPr>
          <w:rFonts w:ascii="Verdana" w:eastAsia="Calibri" w:hAnsi="Verdana" w:cs="Arial"/>
          <w:i/>
          <w:iCs/>
          <w:color w:val="000000" w:themeColor="text1"/>
          <w:sz w:val="20"/>
          <w:szCs w:val="20"/>
        </w:rPr>
        <w:t>Si soy contratista de una entidad pública universitaria pueden exigirme cumplir con un horario y asistencia a las instalaciones de la entidad para el ejercicio de mis funciones aduciendo que se debe cumplir porque desarrollo actividades de funcionario publico”</w:t>
      </w:r>
    </w:p>
    <w:p w14:paraId="781927C8" w14:textId="77777777" w:rsidR="008926D3" w:rsidRPr="00EA395A" w:rsidRDefault="008926D3" w:rsidP="008926D3">
      <w:pPr>
        <w:spacing w:before="120" w:after="120" w:line="276" w:lineRule="auto"/>
        <w:ind w:left="709" w:right="709"/>
        <w:contextualSpacing/>
        <w:jc w:val="both"/>
        <w:rPr>
          <w:rFonts w:ascii="Verdana" w:eastAsia="Century Gothic" w:hAnsi="Verdana" w:cs="Century Gothic"/>
          <w:i/>
          <w:iCs/>
          <w:highlight w:val="lightGray"/>
          <w:lang w:val="es-ES"/>
        </w:rPr>
      </w:pPr>
    </w:p>
    <w:p w14:paraId="7818273A" w14:textId="77777777" w:rsidR="008926D3" w:rsidRPr="008A5559" w:rsidRDefault="008926D3" w:rsidP="008926D3">
      <w:pPr>
        <w:spacing w:after="120" w:line="276" w:lineRule="auto"/>
        <w:ind w:firstLine="708"/>
        <w:jc w:val="both"/>
        <w:rPr>
          <w:rFonts w:ascii="Verdana" w:eastAsia="Calibri" w:hAnsi="Verdana" w:cs="Arial"/>
          <w:lang w:val="es-ES" w:eastAsia="es-ES"/>
        </w:rPr>
      </w:pPr>
      <w:r w:rsidRPr="001900BC">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1900BC">
        <w:rPr>
          <w:rFonts w:ascii="Verdana" w:eastAsia="Calibri" w:hAnsi="Verdana"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w:t>
      </w:r>
      <w:r w:rsidRPr="008A5559">
        <w:rPr>
          <w:rFonts w:ascii="Verdana" w:eastAsia="Calibri" w:hAnsi="Verdana" w:cs="Arial"/>
          <w:lang w:val="es-ES" w:eastAsia="es-ES"/>
        </w:rPr>
        <w:t xml:space="preserve">resolución de controversias, ni a brindar asesorías sobre casos puntuales.  </w:t>
      </w:r>
      <w:r w:rsidRPr="008A5559">
        <w:rPr>
          <w:rFonts w:ascii="Verdana" w:hAnsi="Verdana"/>
          <w:lang w:val="es-ES"/>
        </w:rPr>
        <w:tab/>
      </w:r>
    </w:p>
    <w:p w14:paraId="51A5DAC6" w14:textId="77777777" w:rsidR="008926D3" w:rsidRPr="008A5559" w:rsidRDefault="008926D3" w:rsidP="008926D3">
      <w:pPr>
        <w:spacing w:after="0" w:line="276" w:lineRule="auto"/>
        <w:ind w:firstLine="709"/>
        <w:jc w:val="both"/>
        <w:rPr>
          <w:rFonts w:ascii="Verdana" w:eastAsia="Calibri" w:hAnsi="Verdana" w:cs="Arial"/>
          <w:lang w:val="es-ES" w:eastAsia="es-ES"/>
        </w:rPr>
      </w:pPr>
      <w:r w:rsidRPr="008A5559">
        <w:rPr>
          <w:rFonts w:ascii="Verdana" w:eastAsia="Calibri" w:hAnsi="Verdana" w:cs="Arial"/>
          <w:lang w:val="es-ES" w:eastAsia="es-ES"/>
        </w:rPr>
        <w:t>Conforme lo expuesto, en aras de satisfacer el derecho fundamental de petición</w:t>
      </w:r>
      <w:r>
        <w:rPr>
          <w:rFonts w:ascii="Verdana" w:eastAsia="Calibri" w:hAnsi="Verdana" w:cs="Arial"/>
          <w:lang w:val="es-ES" w:eastAsia="es-ES"/>
        </w:rPr>
        <w:t>,</w:t>
      </w:r>
      <w:r w:rsidRPr="008A5559">
        <w:rPr>
          <w:rFonts w:ascii="Verdana" w:eastAsia="Calibri" w:hAnsi="Verdana" w:cs="Arial"/>
          <w:lang w:val="es-ES"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señalando</w:t>
      </w:r>
      <w:r w:rsidRPr="008A5559">
        <w:rPr>
          <w:rFonts w:ascii="Verdana" w:eastAsia="Calibri" w:hAnsi="Verdana" w:cs="Arial"/>
          <w:lang w:val="es-ES" w:eastAsia="es-ES"/>
        </w:rPr>
        <w:t xml:space="preserve"> </w:t>
      </w:r>
      <w:r>
        <w:rPr>
          <w:rFonts w:ascii="Verdana" w:eastAsia="Calibri" w:hAnsi="Verdana" w:cs="Arial"/>
          <w:lang w:val="es-ES" w:eastAsia="es-ES"/>
        </w:rPr>
        <w:t>alg</w:t>
      </w:r>
      <w:r w:rsidRPr="008A5559">
        <w:rPr>
          <w:rFonts w:ascii="Verdana" w:eastAsia="Calibri" w:hAnsi="Verdana" w:cs="Arial"/>
          <w:lang w:val="es-ES" w:eastAsia="es-ES"/>
        </w:rPr>
        <w:t xml:space="preserve">unas consideraciones sobre las normas generales relacionadas con el problema jurídico de su consulta. </w:t>
      </w:r>
    </w:p>
    <w:p w14:paraId="62C6BDC3" w14:textId="77777777" w:rsidR="008926D3" w:rsidRPr="008A5559" w:rsidRDefault="008926D3" w:rsidP="008926D3">
      <w:pPr>
        <w:spacing w:after="0" w:line="276" w:lineRule="auto"/>
        <w:ind w:firstLine="709"/>
        <w:jc w:val="both"/>
        <w:rPr>
          <w:rFonts w:ascii="Verdana" w:eastAsia="Calibri" w:hAnsi="Verdana" w:cs="Arial"/>
          <w:lang w:val="es-ES" w:eastAsia="es-ES"/>
        </w:rPr>
      </w:pPr>
    </w:p>
    <w:p w14:paraId="7D6AC7E4" w14:textId="77777777" w:rsidR="008926D3" w:rsidRPr="008A5559" w:rsidRDefault="008926D3" w:rsidP="008926D3">
      <w:pPr>
        <w:tabs>
          <w:tab w:val="left" w:pos="142"/>
          <w:tab w:val="left" w:pos="284"/>
        </w:tabs>
        <w:spacing w:after="0" w:line="276" w:lineRule="auto"/>
        <w:jc w:val="both"/>
        <w:rPr>
          <w:rFonts w:ascii="Verdana" w:eastAsia="Century Gothic" w:hAnsi="Verdana" w:cs="Century Gothic"/>
          <w:b/>
          <w:lang w:val="es-ES"/>
        </w:rPr>
      </w:pPr>
      <w:r w:rsidRPr="008A5559">
        <w:rPr>
          <w:rFonts w:ascii="Verdana" w:eastAsia="Century Gothic" w:hAnsi="Verdana" w:cs="Century Gothic"/>
          <w:b/>
          <w:lang w:val="es-ES"/>
        </w:rPr>
        <w:t>1. Problema planteado:</w:t>
      </w:r>
    </w:p>
    <w:p w14:paraId="04835ECE" w14:textId="77777777" w:rsidR="008926D3" w:rsidRPr="00797350" w:rsidRDefault="008926D3" w:rsidP="008926D3">
      <w:pPr>
        <w:tabs>
          <w:tab w:val="left" w:pos="426"/>
        </w:tabs>
        <w:spacing w:after="0" w:line="276" w:lineRule="auto"/>
        <w:jc w:val="both"/>
        <w:rPr>
          <w:rFonts w:ascii="Verdana" w:eastAsia="Century Gothic" w:hAnsi="Verdana" w:cs="Century Gothic"/>
          <w:color w:val="ED7D31" w:themeColor="accent2"/>
          <w:highlight w:val="lightGray"/>
          <w:lang w:val="es-ES"/>
        </w:rPr>
      </w:pPr>
    </w:p>
    <w:p w14:paraId="3ED8CABF" w14:textId="25157AB8" w:rsidR="008926D3" w:rsidRPr="00797350" w:rsidRDefault="008926D3" w:rsidP="008926D3">
      <w:pPr>
        <w:spacing w:after="0" w:line="276" w:lineRule="auto"/>
        <w:jc w:val="both"/>
        <w:rPr>
          <w:rFonts w:ascii="Verdana" w:eastAsia="Century Gothic" w:hAnsi="Verdana" w:cs="Century Gothic"/>
          <w:highlight w:val="lightGray"/>
        </w:rPr>
      </w:pPr>
      <w:r w:rsidRPr="00842BE9">
        <w:rPr>
          <w:rFonts w:ascii="Verdana" w:eastAsia="Century Gothic" w:hAnsi="Verdana" w:cs="Century Gothic"/>
          <w:lang w:val="es-ES"/>
        </w:rPr>
        <w:t xml:space="preserve">De acuerdo con el contenido de su solicitud, esta Agencia resolverá el siguiente problema </w:t>
      </w:r>
      <w:r w:rsidRPr="00D324D1">
        <w:rPr>
          <w:rFonts w:ascii="Verdana" w:eastAsia="Century Gothic" w:hAnsi="Verdana" w:cs="Century Gothic"/>
          <w:lang w:val="es-ES"/>
        </w:rPr>
        <w:t>jurídico:</w:t>
      </w:r>
      <w:r w:rsidRPr="00D324D1">
        <w:rPr>
          <w:rFonts w:ascii="Verdana" w:eastAsia="Century Gothic" w:hAnsi="Verdana" w:cs="Century Gothic"/>
        </w:rPr>
        <w:t xml:space="preserve"> </w:t>
      </w:r>
      <w:r w:rsidR="00EA30E4" w:rsidRPr="00EA30E4">
        <w:rPr>
          <w:rFonts w:ascii="Verdana" w:eastAsia="Century Gothic" w:hAnsi="Verdana" w:cs="Century Gothic"/>
        </w:rPr>
        <w:t>¿Puede una entidad exigir a un contratista de prestación de servicios el cumplimiento de horario y asistencia obligatoria, sin desnaturalizar el contrato ni configurar una relación laboral encubierta?</w:t>
      </w:r>
    </w:p>
    <w:p w14:paraId="1DE6C6EC" w14:textId="77777777" w:rsidR="008926D3" w:rsidRPr="00797350" w:rsidRDefault="008926D3" w:rsidP="008926D3">
      <w:pPr>
        <w:spacing w:after="0" w:line="276" w:lineRule="auto"/>
        <w:jc w:val="both"/>
        <w:rPr>
          <w:rFonts w:ascii="Verdana" w:eastAsia="Century Gothic" w:hAnsi="Verdana" w:cs="Century Gothic"/>
          <w:color w:val="ED7D31" w:themeColor="accent2"/>
          <w:highlight w:val="lightGray"/>
        </w:rPr>
      </w:pPr>
    </w:p>
    <w:p w14:paraId="396A14CA" w14:textId="77777777" w:rsidR="008926D3" w:rsidRPr="00997404" w:rsidRDefault="008926D3" w:rsidP="008926D3">
      <w:pPr>
        <w:tabs>
          <w:tab w:val="left" w:pos="142"/>
          <w:tab w:val="left" w:pos="284"/>
        </w:tabs>
        <w:spacing w:after="0" w:line="276" w:lineRule="auto"/>
        <w:jc w:val="both"/>
        <w:rPr>
          <w:rFonts w:ascii="Verdana" w:eastAsia="Century Gothic" w:hAnsi="Verdana" w:cs="Century Gothic"/>
          <w:b/>
          <w:color w:val="ED7D31" w:themeColor="accent2"/>
          <w:lang w:val="es-ES"/>
        </w:rPr>
      </w:pPr>
      <w:r w:rsidRPr="00997404">
        <w:rPr>
          <w:rFonts w:ascii="Verdana" w:eastAsia="Century Gothic" w:hAnsi="Verdana" w:cs="Century Gothic"/>
          <w:b/>
          <w:lang w:val="es-ES"/>
        </w:rPr>
        <w:t>2. Respuesta:</w:t>
      </w:r>
    </w:p>
    <w:p w14:paraId="35AC670B" w14:textId="77777777" w:rsidR="008926D3" w:rsidRPr="00797350" w:rsidRDefault="008926D3" w:rsidP="008926D3">
      <w:pPr>
        <w:tabs>
          <w:tab w:val="left" w:pos="142"/>
          <w:tab w:val="left" w:pos="284"/>
        </w:tabs>
        <w:spacing w:after="0" w:line="276" w:lineRule="auto"/>
        <w:jc w:val="both"/>
        <w:rPr>
          <w:rFonts w:ascii="Verdana" w:eastAsia="Century Gothic" w:hAnsi="Verdana" w:cs="Century Gothic"/>
          <w:b/>
          <w:bCs/>
          <w:color w:val="ED7D31" w:themeColor="accent2"/>
          <w:highlight w:val="lightGray"/>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926D3" w:rsidRPr="00064773" w14:paraId="25553B1C" w14:textId="77777777" w:rsidTr="0051452B">
        <w:tc>
          <w:tcPr>
            <w:tcW w:w="8828" w:type="dxa"/>
          </w:tcPr>
          <w:p w14:paraId="31F9ECC9" w14:textId="77777777" w:rsidR="008926D3" w:rsidRPr="004C0B72" w:rsidRDefault="008926D3" w:rsidP="0051452B">
            <w:pPr>
              <w:spacing w:after="120" w:line="276" w:lineRule="auto"/>
              <w:jc w:val="both"/>
              <w:rPr>
                <w:rFonts w:ascii="Verdana" w:hAnsi="Verdana"/>
              </w:rPr>
            </w:pPr>
            <w:r w:rsidRPr="00064773">
              <w:rPr>
                <w:rFonts w:ascii="Verdana" w:eastAsia="Calibri" w:hAnsi="Verdana" w:cs="Arial"/>
              </w:rPr>
              <w:t xml:space="preserve">Para responder el problema jurídico planteado, es importante precisar que, el </w:t>
            </w:r>
            <w:r w:rsidRPr="00064773">
              <w:rPr>
                <w:rFonts w:ascii="Verdana" w:eastAsia="Times New Roman" w:hAnsi="Verdana" w:cs="Arial"/>
                <w:lang w:eastAsia="es-ES_tradnl"/>
              </w:rPr>
              <w:t>contrato de prestación de servicios es una tipología contractual regulada por el numeral 3 del artículo 32 de la Ley 80 de 1993</w:t>
            </w:r>
            <w:r w:rsidRPr="00064773">
              <w:rPr>
                <w:rFonts w:ascii="Verdana" w:hAnsi="Verdana" w:cs="Arial"/>
                <w:noProof/>
                <w:lang w:val="es-ES_tradnl"/>
              </w:rPr>
              <w:t xml:space="preserve">. Si bien se celebran para obtener la prestación personal de un servicio, se diferencian del contrato de trabajo en que el contratista de prestación de servicios debe mantener autonomía e independencia en la ejecución de la labor. Esto significa que no debe existir </w:t>
            </w:r>
            <w:r w:rsidRPr="00064773">
              <w:rPr>
                <w:rFonts w:ascii="Verdana" w:hAnsi="Verdana" w:cs="Arial"/>
                <w:i/>
                <w:noProof/>
                <w:lang w:val="es-ES_tradnl"/>
              </w:rPr>
              <w:t xml:space="preserve">subordinación </w:t>
            </w:r>
            <w:r w:rsidRPr="00064773">
              <w:rPr>
                <w:rFonts w:ascii="Verdana" w:hAnsi="Verdana" w:cs="Arial"/>
                <w:iCs/>
                <w:noProof/>
                <w:lang w:val="es-ES_tradnl"/>
              </w:rPr>
              <w:t>ni</w:t>
            </w:r>
            <w:r w:rsidRPr="00064773">
              <w:rPr>
                <w:rFonts w:ascii="Verdana" w:hAnsi="Verdana" w:cs="Arial"/>
                <w:i/>
                <w:noProof/>
                <w:lang w:val="es-ES_tradnl"/>
              </w:rPr>
              <w:t xml:space="preserve"> dependencia</w:t>
            </w:r>
            <w:r w:rsidRPr="00064773">
              <w:rPr>
                <w:rFonts w:ascii="Verdana" w:hAnsi="Verdana" w:cs="Arial"/>
                <w:iCs/>
                <w:noProof/>
                <w:lang w:val="es-ES_tradnl"/>
              </w:rPr>
              <w:t>,</w:t>
            </w:r>
            <w:r w:rsidRPr="00064773">
              <w:rPr>
                <w:rFonts w:ascii="Verdana" w:hAnsi="Verdana" w:cs="Arial"/>
                <w:noProof/>
                <w:lang w:val="es-ES_tradnl"/>
              </w:rPr>
              <w:t xml:space="preserve"> elementos constitutivos del vínculo laboral</w:t>
            </w:r>
            <w:r w:rsidRPr="004C0B72">
              <w:rPr>
                <w:rFonts w:ascii="Verdana" w:hAnsi="Verdana"/>
              </w:rPr>
              <w:t>.</w:t>
            </w:r>
          </w:p>
          <w:p w14:paraId="5BFDA20D" w14:textId="77777777" w:rsidR="008926D3" w:rsidRPr="00064773" w:rsidRDefault="008926D3" w:rsidP="0051452B">
            <w:pPr>
              <w:spacing w:after="120" w:line="276" w:lineRule="auto"/>
              <w:ind w:firstLine="709"/>
              <w:jc w:val="both"/>
              <w:rPr>
                <w:rFonts w:ascii="Verdana" w:hAnsi="Verdana" w:cs="Arial"/>
                <w:noProof/>
                <w:lang w:val="es-ES_tradnl"/>
              </w:rPr>
            </w:pPr>
            <w:r w:rsidRPr="00064773">
              <w:rPr>
                <w:rFonts w:ascii="Verdana" w:hAnsi="Verdana" w:cs="Arial"/>
                <w:noProof/>
              </w:rPr>
              <w:t xml:space="preserve">No obstante, </w:t>
            </w:r>
            <w:r w:rsidRPr="00064773">
              <w:rPr>
                <w:rFonts w:ascii="Verdana" w:hAnsi="Verdana" w:cs="Arial"/>
                <w:noProof/>
                <w:lang w:val="es-ES_tradnl"/>
              </w:rPr>
              <w:t xml:space="preserve">aunque el contrato de prestación de servicios se caracteriza por la autonomía e independencia del contratista y la ausencia de </w:t>
            </w:r>
            <w:r w:rsidRPr="00064773">
              <w:rPr>
                <w:rFonts w:ascii="Verdana" w:hAnsi="Verdana" w:cs="Arial"/>
                <w:noProof/>
                <w:lang w:val="es-ES_tradnl"/>
              </w:rPr>
              <w:lastRenderedPageBreak/>
              <w:t xml:space="preserve">subordinación laboral, ello no impide que la entidad establezca directrices orientadas a garantizar la correcta ejecución del objeto contractual. </w:t>
            </w:r>
          </w:p>
          <w:p w14:paraId="2C3EAE0E" w14:textId="77777777" w:rsidR="008926D3" w:rsidRPr="00064773" w:rsidRDefault="008926D3" w:rsidP="0051452B">
            <w:pPr>
              <w:spacing w:after="120" w:line="276" w:lineRule="auto"/>
              <w:ind w:firstLine="709"/>
              <w:jc w:val="both"/>
              <w:rPr>
                <w:rFonts w:ascii="Verdana" w:hAnsi="Verdana" w:cs="Arial"/>
                <w:noProof/>
              </w:rPr>
            </w:pPr>
            <w:r w:rsidRPr="00064773">
              <w:rPr>
                <w:rFonts w:ascii="Verdana" w:hAnsi="Verdana" w:cs="Arial"/>
                <w:noProof/>
                <w:lang w:val="es-ES_tradnl"/>
              </w:rPr>
              <w:t>La jurisprudencia, que será reseñado a lo largo de este concepto, ha señalado que la fijación de un horario, por sí sola, no configura una relación laboral, ni desnaturaliza el contrato de prestación de servicios, siempre que dicha medida responda a necesidades objetivas del servicio y no suponga un ejercicio permanente de subordinación ya que se configuraría un contrato realidad.</w:t>
            </w:r>
            <w:r w:rsidRPr="00064773">
              <w:rPr>
                <w:rFonts w:ascii="Verdana" w:hAnsi="Verdana" w:cs="Arial"/>
                <w:noProof/>
              </w:rPr>
              <w:t xml:space="preserve"> En ese sentido, la fijación de un horario, aunque puede constituir un inidicio de una relación laboral, no constituye por sí sola una prueba concluyente de la existencia de un contrato realidad. </w:t>
            </w:r>
          </w:p>
          <w:p w14:paraId="7BA8270C" w14:textId="77777777" w:rsidR="008926D3" w:rsidRPr="00064773" w:rsidRDefault="008926D3" w:rsidP="0051452B">
            <w:pPr>
              <w:spacing w:after="120" w:line="276" w:lineRule="auto"/>
              <w:ind w:firstLine="709"/>
              <w:jc w:val="both"/>
              <w:rPr>
                <w:rFonts w:ascii="Verdana" w:hAnsi="Verdana" w:cs="Arial"/>
                <w:noProof/>
              </w:rPr>
            </w:pPr>
            <w:r w:rsidRPr="00064773">
              <w:rPr>
                <w:rFonts w:ascii="Verdana" w:hAnsi="Verdana" w:cs="Arial"/>
                <w:noProof/>
              </w:rPr>
              <w:t>El Consejo de Estado ha sostenido, en múltiples sentencias, que la existencia de una jornada u horario puede ser necesaria para garantizar el cumplimiento eficiente del objeto contractual. Por lo tanto, la exigencia de un horario no desnaturaliza el contrato de prestación de servicios, siempre que este sea indispensable para la adecuada ejecución de las actividades pactadas.</w:t>
            </w:r>
          </w:p>
          <w:p w14:paraId="7CEF0100" w14:textId="77777777" w:rsidR="008926D3" w:rsidRPr="00064773" w:rsidRDefault="008926D3" w:rsidP="0051452B">
            <w:pPr>
              <w:spacing w:after="120" w:line="276" w:lineRule="auto"/>
              <w:ind w:firstLine="709"/>
              <w:jc w:val="both"/>
              <w:rPr>
                <w:rFonts w:ascii="Verdana" w:eastAsia="Century Gothic" w:hAnsi="Verdana" w:cs="Century Gothic"/>
                <w:bCs/>
                <w:lang w:val="es-ES_tradnl"/>
              </w:rPr>
            </w:pPr>
            <w:r w:rsidRPr="00064773">
              <w:rPr>
                <w:rFonts w:ascii="Verdana" w:hAnsi="Verdana" w:cs="Arial"/>
                <w:noProof/>
              </w:rPr>
              <w:t>En ese marco, los contratistas por prestación de servicios deben ajustarse, en el desarrollo de sus obligaciones contractuales, a las directrices establecidas por la entidad estatal contratante, así como a la forma en que se coordinan las distintas actividades asociadas al objeto contractual. Si se requiere la presencia del contratista en una jornada específica dentro de la entidad, dicha exigencia debe estar claramente estipulada en el contrato y debe estar debidamente justificada. En todo caso, más que imponer un horario, se trata de asegurar el cumplimiento de las tareas propias del objeto contractual, conforme a las necesidades  del servicio y de las funciones de la entidad.</w:t>
            </w:r>
          </w:p>
          <w:p w14:paraId="780650C3" w14:textId="77777777" w:rsidR="008926D3" w:rsidRPr="00064773" w:rsidRDefault="008926D3" w:rsidP="0051452B">
            <w:pPr>
              <w:spacing w:line="276" w:lineRule="auto"/>
              <w:ind w:firstLine="709"/>
              <w:jc w:val="both"/>
              <w:rPr>
                <w:rFonts w:ascii="Verdana" w:eastAsia="Calibri" w:hAnsi="Verdana" w:cs="Arial"/>
                <w:color w:val="ED7D31" w:themeColor="accent2"/>
                <w:highlight w:val="lightGray"/>
              </w:rPr>
            </w:pPr>
            <w:r w:rsidRPr="00064773">
              <w:rPr>
                <w:rFonts w:ascii="Verdana" w:eastAsia="Calibri" w:hAnsi="Verdana" w:cs="Arial"/>
                <w:bCs/>
              </w:rPr>
              <w:t xml:space="preserve">Al margen de la explicación precedente, debe advertirse que </w:t>
            </w:r>
            <w:r w:rsidRPr="00064773">
              <w:rPr>
                <w:rStyle w:val="s15"/>
                <w:rFonts w:ascii="Verdana" w:hAnsi="Verdana"/>
              </w:rPr>
              <w:t xml:space="preserve">el análisis requerido para resolver problemas específicos en torno a la gestión contractual debe ser realizado por quienes tengan interés en ello, de acuerdo con lo explicado </w:t>
            </w:r>
            <w:r w:rsidRPr="004C0B72">
              <w:rPr>
                <w:rStyle w:val="s15"/>
                <w:rFonts w:ascii="Verdana" w:hAnsi="Verdana"/>
              </w:rPr>
              <w:t>en el presente escrito</w:t>
            </w:r>
            <w:r w:rsidRPr="00064773">
              <w:rPr>
                <w:rStyle w:val="s15"/>
                <w:rFonts w:ascii="Verdana" w:hAnsi="Verdana"/>
              </w:rPr>
              <w:t>.</w:t>
            </w:r>
            <w:r w:rsidRPr="00064773">
              <w:rPr>
                <w:rStyle w:val="apple-converted-space"/>
                <w:rFonts w:ascii="Verdana" w:hAnsi="Verdana"/>
              </w:rPr>
              <w:t> </w:t>
            </w:r>
            <w:r w:rsidRPr="00064773">
              <w:rPr>
                <w:rStyle w:val="s15"/>
                <w:rFonts w:ascii="Verdana" w:hAnsi="Verdana"/>
              </w:rPr>
              <w:t>Por lo anterior, previo</w:t>
            </w:r>
            <w:r w:rsidRPr="00064773">
              <w:rPr>
                <w:rStyle w:val="apple-converted-space"/>
                <w:rFonts w:ascii="Verdana" w:hAnsi="Verdana"/>
              </w:rPr>
              <w:t> </w:t>
            </w:r>
            <w:r w:rsidRPr="00064773">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2552D26" w14:textId="77777777" w:rsidR="004032E4" w:rsidRDefault="004032E4" w:rsidP="006C0C2B">
      <w:pPr>
        <w:tabs>
          <w:tab w:val="left" w:pos="142"/>
          <w:tab w:val="left" w:pos="284"/>
        </w:tabs>
        <w:spacing w:after="0" w:line="276" w:lineRule="auto"/>
        <w:jc w:val="both"/>
        <w:rPr>
          <w:rFonts w:ascii="Verdana" w:eastAsia="Century Gothic" w:hAnsi="Verdana" w:cs="Century Gothic"/>
          <w:b/>
          <w:bCs/>
          <w:lang w:val="es-ES"/>
        </w:rPr>
      </w:pPr>
    </w:p>
    <w:p w14:paraId="56EDD865" w14:textId="77777777" w:rsidR="004255DD" w:rsidRDefault="004255DD" w:rsidP="006C0C2B">
      <w:pPr>
        <w:tabs>
          <w:tab w:val="left" w:pos="142"/>
          <w:tab w:val="left" w:pos="284"/>
        </w:tabs>
        <w:spacing w:after="0" w:line="276" w:lineRule="auto"/>
        <w:jc w:val="both"/>
        <w:rPr>
          <w:rFonts w:ascii="Verdana" w:eastAsia="Century Gothic" w:hAnsi="Verdana" w:cs="Century Gothic"/>
          <w:b/>
          <w:bCs/>
          <w:lang w:val="es-ES"/>
        </w:rPr>
      </w:pPr>
    </w:p>
    <w:p w14:paraId="20CCEA55" w14:textId="77777777" w:rsidR="004255DD" w:rsidRDefault="004255DD" w:rsidP="006C0C2B">
      <w:pPr>
        <w:tabs>
          <w:tab w:val="left" w:pos="142"/>
          <w:tab w:val="left" w:pos="284"/>
        </w:tabs>
        <w:spacing w:after="0" w:line="276" w:lineRule="auto"/>
        <w:jc w:val="both"/>
        <w:rPr>
          <w:rFonts w:ascii="Verdana" w:eastAsia="Century Gothic" w:hAnsi="Verdana" w:cs="Century Gothic"/>
          <w:b/>
          <w:bCs/>
          <w:lang w:val="es-ES"/>
        </w:rPr>
      </w:pPr>
    </w:p>
    <w:p w14:paraId="5E552869" w14:textId="77777777" w:rsidR="004255DD" w:rsidRDefault="004255DD" w:rsidP="006C0C2B">
      <w:pPr>
        <w:tabs>
          <w:tab w:val="left" w:pos="142"/>
          <w:tab w:val="left" w:pos="284"/>
        </w:tabs>
        <w:spacing w:after="0" w:line="276" w:lineRule="auto"/>
        <w:jc w:val="both"/>
        <w:rPr>
          <w:rFonts w:ascii="Verdana" w:eastAsia="Century Gothic" w:hAnsi="Verdana" w:cs="Century Gothic"/>
          <w:b/>
          <w:bCs/>
          <w:lang w:val="es-ES"/>
        </w:rPr>
      </w:pPr>
    </w:p>
    <w:p w14:paraId="7F1EE447" w14:textId="77777777" w:rsidR="004255DD" w:rsidRPr="008A5559" w:rsidRDefault="004255DD" w:rsidP="006C0C2B">
      <w:pPr>
        <w:tabs>
          <w:tab w:val="left" w:pos="142"/>
          <w:tab w:val="left" w:pos="284"/>
        </w:tabs>
        <w:spacing w:after="0" w:line="276" w:lineRule="auto"/>
        <w:jc w:val="both"/>
        <w:rPr>
          <w:rFonts w:ascii="Verdana" w:eastAsia="Century Gothic" w:hAnsi="Verdana" w:cs="Century Gothic"/>
          <w:b/>
          <w:bCs/>
          <w:lang w:val="es-ES"/>
        </w:rPr>
      </w:pPr>
    </w:p>
    <w:p w14:paraId="33C6F5B8" w14:textId="77777777" w:rsidR="008926D3" w:rsidRPr="008A5559" w:rsidRDefault="008926D3" w:rsidP="006C0C2B">
      <w:pPr>
        <w:tabs>
          <w:tab w:val="left" w:pos="142"/>
          <w:tab w:val="left" w:pos="284"/>
        </w:tabs>
        <w:spacing w:after="0" w:line="276" w:lineRule="auto"/>
        <w:jc w:val="both"/>
        <w:rPr>
          <w:rFonts w:ascii="Verdana" w:eastAsia="Century Gothic" w:hAnsi="Verdana" w:cs="Century Gothic"/>
          <w:b/>
          <w:lang w:val="es-ES"/>
        </w:rPr>
      </w:pPr>
      <w:r w:rsidRPr="008A5559">
        <w:rPr>
          <w:rFonts w:ascii="Verdana" w:eastAsia="Century Gothic" w:hAnsi="Verdana" w:cs="Century Gothic"/>
          <w:b/>
          <w:lang w:val="es-ES"/>
        </w:rPr>
        <w:t>3. Razones de la respuesta:</w:t>
      </w:r>
    </w:p>
    <w:p w14:paraId="72CD64FD" w14:textId="77777777" w:rsidR="008926D3" w:rsidRPr="008A5559" w:rsidRDefault="008926D3" w:rsidP="006C0C2B">
      <w:pPr>
        <w:spacing w:after="0" w:line="276" w:lineRule="auto"/>
        <w:jc w:val="both"/>
        <w:rPr>
          <w:rFonts w:ascii="Verdana" w:eastAsia="Calibri" w:hAnsi="Verdana" w:cs="Arial"/>
          <w:lang w:val="es-ES"/>
        </w:rPr>
      </w:pPr>
    </w:p>
    <w:p w14:paraId="4CA8333F" w14:textId="77777777" w:rsidR="008926D3" w:rsidRPr="008A5559" w:rsidRDefault="008926D3" w:rsidP="006C0C2B">
      <w:pPr>
        <w:spacing w:after="0" w:line="276" w:lineRule="auto"/>
        <w:jc w:val="both"/>
        <w:rPr>
          <w:rFonts w:ascii="Verdana" w:eastAsia="Calibri" w:hAnsi="Verdana" w:cs="Arial"/>
          <w:lang w:val="es-ES"/>
        </w:rPr>
      </w:pPr>
      <w:r w:rsidRPr="008A5559">
        <w:rPr>
          <w:rFonts w:ascii="Verdana" w:eastAsia="Calibri" w:hAnsi="Verdana" w:cs="Arial"/>
          <w:lang w:val="es-ES"/>
        </w:rPr>
        <w:t xml:space="preserve">Las respuestas anteriores se sustentan en las siguientes consideraciones: </w:t>
      </w:r>
    </w:p>
    <w:p w14:paraId="6BC2E31B" w14:textId="77777777" w:rsidR="008926D3" w:rsidRPr="00797350" w:rsidRDefault="008926D3" w:rsidP="006C0C2B">
      <w:pPr>
        <w:tabs>
          <w:tab w:val="left" w:pos="142"/>
          <w:tab w:val="left" w:pos="284"/>
        </w:tabs>
        <w:spacing w:after="0" w:line="276" w:lineRule="auto"/>
        <w:jc w:val="both"/>
        <w:rPr>
          <w:rFonts w:ascii="Verdana" w:eastAsia="Century Gothic" w:hAnsi="Verdana" w:cs="Century Gothic"/>
          <w:b/>
          <w:highlight w:val="lightGray"/>
          <w:lang w:val="es-ES"/>
        </w:rPr>
      </w:pPr>
    </w:p>
    <w:p w14:paraId="2E8F803D" w14:textId="578BD7BE" w:rsidR="008926D3" w:rsidRDefault="008926D3" w:rsidP="006C0C2B">
      <w:pPr>
        <w:spacing w:after="0" w:line="276" w:lineRule="auto"/>
        <w:jc w:val="both"/>
        <w:rPr>
          <w:rFonts w:ascii="Verdana" w:eastAsia="Calibri" w:hAnsi="Verdana" w:cs="Arial"/>
        </w:rPr>
      </w:pPr>
      <w:bookmarkStart w:id="1" w:name="_Hlk102983874"/>
      <w:bookmarkStart w:id="2" w:name="_Hlk102388095"/>
      <w:r w:rsidRPr="00666643">
        <w:rPr>
          <w:rFonts w:ascii="Verdana" w:hAnsi="Verdana" w:cs="Arial"/>
          <w:bCs/>
          <w:lang w:val="es-ES_tradnl" w:eastAsia="es-ES" w:bidi="es-ES"/>
        </w:rPr>
        <w:t>i</w:t>
      </w:r>
      <w:r>
        <w:rPr>
          <w:rFonts w:ascii="Verdana" w:hAnsi="Verdana" w:cs="Arial"/>
          <w:bCs/>
          <w:lang w:val="es-ES_tradnl" w:eastAsia="es-ES" w:bidi="es-ES"/>
        </w:rPr>
        <w:t>.</w:t>
      </w:r>
      <w:r w:rsidRPr="00121E43">
        <w:rPr>
          <w:rFonts w:ascii="Verdana" w:eastAsia="Calibri" w:hAnsi="Verdana" w:cs="Arial"/>
        </w:rPr>
        <w:t xml:space="preserve"> </w:t>
      </w:r>
      <w:r w:rsidRPr="006A4D62">
        <w:rPr>
          <w:rFonts w:ascii="Verdana" w:eastAsia="Calibri" w:hAnsi="Verdana" w:cs="Arial"/>
        </w:rPr>
        <w:t>El contrato de prestación de servicios es uno de los tipos contractuales consagrados en el Estatuto General de Contratación de la Administración Pública</w:t>
      </w:r>
      <w:r w:rsidR="006C0C2B">
        <w:rPr>
          <w:rFonts w:ascii="Verdana" w:eastAsia="Calibri" w:hAnsi="Verdana" w:cs="Arial"/>
        </w:rPr>
        <w:t xml:space="preserve"> – en adelante EGCAP -</w:t>
      </w:r>
      <w:r w:rsidRPr="006A4D62">
        <w:rPr>
          <w:rFonts w:ascii="Verdana" w:eastAsia="Calibri" w:hAnsi="Verdana" w:cs="Arial"/>
        </w:rPr>
        <w:t>, que pueden celebrar las entidades estatales. Se trata de un contrato típico, ya que se encuentra definido en la ley. Concretamente, el artículo 32, numeral 3º, de la Ley 80 de 1993, establece:</w:t>
      </w:r>
    </w:p>
    <w:p w14:paraId="523780B2" w14:textId="77777777" w:rsidR="008926D3" w:rsidRPr="006A4D62" w:rsidRDefault="008926D3" w:rsidP="006C0C2B">
      <w:pPr>
        <w:spacing w:after="0" w:line="276" w:lineRule="auto"/>
        <w:jc w:val="both"/>
        <w:rPr>
          <w:rFonts w:ascii="Verdana" w:eastAsia="Calibri" w:hAnsi="Verdana" w:cs="Arial"/>
        </w:rPr>
      </w:pPr>
    </w:p>
    <w:p w14:paraId="36511304" w14:textId="77777777" w:rsidR="008926D3" w:rsidRPr="006A4D62" w:rsidRDefault="008926D3" w:rsidP="008926D3">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5F535EF0" w14:textId="77777777" w:rsidR="008926D3" w:rsidRPr="006A4D62" w:rsidRDefault="008926D3" w:rsidP="008926D3">
      <w:pPr>
        <w:spacing w:after="0" w:line="240" w:lineRule="auto"/>
        <w:ind w:left="709" w:right="709"/>
        <w:jc w:val="both"/>
        <w:rPr>
          <w:rFonts w:ascii="Verdana" w:eastAsia="Calibri" w:hAnsi="Verdana" w:cs="Arial"/>
          <w:sz w:val="20"/>
          <w:szCs w:val="20"/>
        </w:rPr>
      </w:pPr>
    </w:p>
    <w:p w14:paraId="1C6DF8E7" w14:textId="77777777" w:rsidR="008926D3" w:rsidRPr="006A4D62" w:rsidRDefault="008926D3" w:rsidP="008926D3">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En ningún caso estos contratos generan relación laboral ni prestaciones sociales y se celebrarán por el término estrictamente indispensable.”</w:t>
      </w:r>
    </w:p>
    <w:p w14:paraId="41F275FB" w14:textId="77777777" w:rsidR="008926D3" w:rsidRPr="007E6742" w:rsidRDefault="008926D3" w:rsidP="006C0C2B">
      <w:pPr>
        <w:spacing w:after="0" w:line="276" w:lineRule="auto"/>
        <w:ind w:left="709" w:right="709"/>
        <w:jc w:val="both"/>
        <w:rPr>
          <w:rFonts w:ascii="Verdana" w:eastAsia="Calibri" w:hAnsi="Verdana" w:cs="Arial"/>
          <w:color w:val="ED7D31" w:themeColor="accent2"/>
          <w:sz w:val="20"/>
          <w:szCs w:val="20"/>
        </w:rPr>
      </w:pPr>
    </w:p>
    <w:p w14:paraId="0DA503A4" w14:textId="77777777" w:rsidR="008926D3" w:rsidRPr="00D2247B" w:rsidRDefault="008926D3" w:rsidP="006C0C2B">
      <w:pPr>
        <w:spacing w:after="0" w:line="276" w:lineRule="auto"/>
        <w:ind w:firstLine="709"/>
        <w:jc w:val="both"/>
        <w:rPr>
          <w:rFonts w:ascii="Verdana" w:eastAsia="Calibri" w:hAnsi="Verdana" w:cs="Arial"/>
        </w:rPr>
      </w:pPr>
      <w:r>
        <w:rPr>
          <w:rFonts w:ascii="Verdana" w:eastAsia="Calibri" w:hAnsi="Verdana" w:cs="Arial"/>
        </w:rPr>
        <w:t>L</w:t>
      </w:r>
      <w:r w:rsidRPr="00D2247B">
        <w:rPr>
          <w:rFonts w:ascii="Verdana" w:eastAsia="Calibri" w:hAnsi="Verdana" w:cs="Arial"/>
        </w:rPr>
        <w:t>a celebración de dicho contrato debe efectuarse mediante la modalidad de la contratación directa. Así lo prevé el artículo 2, numeral 4º, literal h) de la Ley 1150 de 2007, que dispone:</w:t>
      </w:r>
    </w:p>
    <w:p w14:paraId="0E895BCF" w14:textId="77777777" w:rsidR="008926D3" w:rsidRPr="00D2247B" w:rsidRDefault="008926D3" w:rsidP="006C0C2B">
      <w:pPr>
        <w:spacing w:after="0" w:line="276" w:lineRule="auto"/>
        <w:ind w:firstLine="709"/>
        <w:jc w:val="both"/>
        <w:rPr>
          <w:rFonts w:ascii="Verdana" w:eastAsia="Calibri" w:hAnsi="Verdana" w:cs="Arial"/>
        </w:rPr>
      </w:pPr>
    </w:p>
    <w:p w14:paraId="4693D4A3" w14:textId="77777777" w:rsidR="008926D3" w:rsidRPr="00D2247B" w:rsidRDefault="008926D3" w:rsidP="006C0C2B">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30515326" w14:textId="77777777" w:rsidR="008926D3" w:rsidRPr="00D2247B" w:rsidRDefault="008926D3" w:rsidP="006C0C2B">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Contratación directa. La modalidad de selección de contratación directa solamente procederá en los siguientes casos:</w:t>
      </w:r>
    </w:p>
    <w:p w14:paraId="3AEF9BCB" w14:textId="77777777" w:rsidR="008926D3" w:rsidRPr="00D2247B" w:rsidRDefault="008926D3" w:rsidP="006C0C2B">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15387D10" w14:textId="77777777" w:rsidR="008926D3" w:rsidRPr="00D2247B" w:rsidRDefault="008926D3" w:rsidP="006C0C2B">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h) Para la prestación de servicios profesionales y de apoyo a la gestión, o para la ejecución de trabajos artísticos que sólo puedan encomendarse a determinadas personas naturales;”</w:t>
      </w:r>
    </w:p>
    <w:p w14:paraId="332278C6" w14:textId="77777777" w:rsidR="008926D3" w:rsidRPr="004C0B72" w:rsidRDefault="008926D3" w:rsidP="006C0C2B">
      <w:pPr>
        <w:spacing w:after="0" w:line="276" w:lineRule="auto"/>
        <w:ind w:right="709"/>
        <w:jc w:val="both"/>
        <w:rPr>
          <w:rFonts w:ascii="Verdana" w:eastAsia="Calibri" w:hAnsi="Verdana" w:cs="Arial"/>
          <w:color w:val="ED7D31" w:themeColor="accent2"/>
        </w:rPr>
      </w:pPr>
    </w:p>
    <w:p w14:paraId="4C8012FB" w14:textId="77777777" w:rsidR="008926D3" w:rsidRPr="00D2247B" w:rsidRDefault="008926D3" w:rsidP="008926D3">
      <w:pPr>
        <w:spacing w:after="120" w:line="276" w:lineRule="auto"/>
        <w:ind w:firstLine="709"/>
        <w:jc w:val="both"/>
        <w:rPr>
          <w:rFonts w:ascii="Verdana" w:eastAsia="Calibri" w:hAnsi="Verdana" w:cs="Arial"/>
        </w:rPr>
      </w:pPr>
      <w:r w:rsidRPr="00D2247B">
        <w:rPr>
          <w:rFonts w:ascii="Verdana" w:eastAsia="Calibri" w:hAnsi="Verdana" w:cs="Arial"/>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6864F2DC" w14:textId="77777777" w:rsidR="008926D3" w:rsidRPr="00D2247B" w:rsidRDefault="008926D3" w:rsidP="008926D3">
      <w:pPr>
        <w:spacing w:after="120" w:line="276" w:lineRule="auto"/>
        <w:ind w:firstLine="709"/>
        <w:jc w:val="both"/>
        <w:rPr>
          <w:rFonts w:ascii="Verdana" w:eastAsia="Calibri" w:hAnsi="Verdana" w:cs="Arial"/>
        </w:rPr>
      </w:pPr>
      <w:r w:rsidRPr="00D2247B">
        <w:rPr>
          <w:rFonts w:ascii="Verdana" w:eastAsia="Calibri" w:hAnsi="Verdana" w:cs="Arial"/>
        </w:rPr>
        <w:lastRenderedPageBreak/>
        <w:t>a) Solo puede celebrarse para realizar “actividades relacionadas con la administración o funcionamiento de la entidad”, es decir, que hagan parte de su giro ordinario o quehacer cotidiano</w:t>
      </w:r>
      <w:r w:rsidRPr="008677DE">
        <w:rPr>
          <w:rStyle w:val="Refdenotaalpie"/>
          <w:rFonts w:ascii="Verdana" w:hAnsi="Verdana" w:cs="Arial"/>
          <w:noProof/>
          <w:lang w:val="es-ES_tradnl"/>
        </w:rPr>
        <w:footnoteReference w:id="1"/>
      </w:r>
      <w:r w:rsidRPr="00D2247B">
        <w:rPr>
          <w:rFonts w:ascii="Verdana" w:eastAsia="Calibri" w:hAnsi="Verdana" w:cs="Arial"/>
        </w:rPr>
        <w:t>.</w:t>
      </w:r>
    </w:p>
    <w:p w14:paraId="03C5CD4C" w14:textId="77777777" w:rsidR="008926D3" w:rsidRPr="00BE7986" w:rsidRDefault="008926D3" w:rsidP="008926D3">
      <w:pPr>
        <w:spacing w:after="120" w:line="276" w:lineRule="auto"/>
        <w:ind w:firstLine="709"/>
        <w:jc w:val="both"/>
        <w:rPr>
          <w:rFonts w:ascii="Verdana" w:eastAsia="Calibri" w:hAnsi="Verdana" w:cs="Arial"/>
        </w:rPr>
      </w:pPr>
      <w:r w:rsidRPr="00D2247B">
        <w:rPr>
          <w:rFonts w:ascii="Verdana" w:eastAsia="Calibri" w:hAnsi="Verdana" w:cs="Arial"/>
        </w:rPr>
        <w:t>b) Admite que se suscriba tanto con personas naturales, como con personas jurídicas. Sin embargo, cuando pretenda celebrarse con una persona natural, la entidad estatal debe justificar</w:t>
      </w:r>
      <w:r>
        <w:rPr>
          <w:rFonts w:ascii="Verdana" w:eastAsia="Calibri" w:hAnsi="Verdana" w:cs="Arial"/>
        </w:rPr>
        <w:t>,</w:t>
      </w:r>
      <w:r w:rsidRPr="00D2247B">
        <w:rPr>
          <w:rFonts w:ascii="Verdana" w:eastAsia="Calibri" w:hAnsi="Verdana" w:cs="Arial"/>
        </w:rPr>
        <w:t xml:space="preserve"> en los estudios previos</w:t>
      </w:r>
      <w:r>
        <w:rPr>
          <w:rFonts w:ascii="Verdana" w:eastAsia="Calibri" w:hAnsi="Verdana" w:cs="Arial"/>
        </w:rPr>
        <w:t>,</w:t>
      </w:r>
      <w:r w:rsidRPr="00D2247B">
        <w:rPr>
          <w:rFonts w:ascii="Verdana" w:eastAsia="Calibri" w:hAnsi="Verdana" w:cs="Arial"/>
        </w:rPr>
        <w:t xml:space="preserve"> que las actividades que buscan encomendarse a aquella “no puedan realizarse con personal de planta o requieran conocimientos especializados”. Esto puede suceder en varios eventos,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w:t>
      </w:r>
      <w:r w:rsidRPr="00BE7986">
        <w:rPr>
          <w:rFonts w:ascii="Verdana" w:eastAsia="Calibri" w:hAnsi="Verdana" w:cs="Arial"/>
        </w:rPr>
        <w:t>tema.</w:t>
      </w:r>
    </w:p>
    <w:p w14:paraId="56619B40" w14:textId="77777777" w:rsidR="008926D3" w:rsidRDefault="008926D3" w:rsidP="008926D3">
      <w:pPr>
        <w:spacing w:after="120" w:line="276" w:lineRule="auto"/>
        <w:ind w:firstLine="709"/>
        <w:jc w:val="both"/>
        <w:rPr>
          <w:rFonts w:ascii="Verdana" w:eastAsia="Calibri" w:hAnsi="Verdana" w:cs="Arial"/>
        </w:rPr>
      </w:pPr>
      <w:r w:rsidRPr="00BE7986">
        <w:rPr>
          <w:rFonts w:ascii="Verdana" w:eastAsia="Calibri" w:hAnsi="Verdana" w:cs="Arial"/>
        </w:rPr>
        <w:t>c) Si bien se celebran para obtener la prestación personal de un servicio, se diferencian del contrato de trabajo</w:t>
      </w:r>
      <w:r w:rsidRPr="00BE7986">
        <w:rPr>
          <w:rFonts w:ascii="Verdana" w:eastAsia="Calibri" w:hAnsi="Verdana" w:cs="Arial"/>
          <w:vertAlign w:val="superscript"/>
        </w:rPr>
        <w:footnoteReference w:id="2"/>
      </w:r>
      <w:r w:rsidRPr="00BE7986">
        <w:rPr>
          <w:rFonts w:ascii="Verdana" w:eastAsia="Calibri" w:hAnsi="Verdana" w:cs="Arial"/>
        </w:rPr>
        <w:t xml:space="preserve"> en que quien celebra el contrato de prestación de servicios profesionales debe mantener autonomía e independencia en la ejecución de la labor, lo que significa que no puede existir la </w:t>
      </w:r>
      <w:r w:rsidRPr="00BE7986">
        <w:rPr>
          <w:rFonts w:ascii="Verdana" w:eastAsia="Calibri" w:hAnsi="Verdana" w:cs="Arial"/>
          <w:i/>
        </w:rPr>
        <w:t>subordinación y dependencia</w:t>
      </w:r>
      <w:r w:rsidRPr="00BE7986">
        <w:rPr>
          <w:rFonts w:ascii="Verdana" w:eastAsia="Calibri" w:hAnsi="Verdana" w:cs="Arial"/>
          <w:iCs/>
        </w:rPr>
        <w:t>,</w:t>
      </w:r>
      <w:r w:rsidRPr="00BE7986">
        <w:rPr>
          <w:rFonts w:ascii="Verdana" w:eastAsia="Calibri" w:hAnsi="Verdana" w:cs="Arial"/>
        </w:rPr>
        <w:t xml:space="preserve"> que es uno de los elementos constitutivos del vínculo laboral. Por ello el artículo 32, numeral 3º, de la Ley 80 de 1993 establece que “En ningún caso estos contratos generan relación laboral ni prestaciones sociales”</w:t>
      </w:r>
      <w:r>
        <w:rPr>
          <w:rFonts w:ascii="Verdana" w:eastAsia="Calibri" w:hAnsi="Verdana" w:cs="Arial"/>
        </w:rPr>
        <w:t xml:space="preserve">. </w:t>
      </w:r>
    </w:p>
    <w:p w14:paraId="798DBA64" w14:textId="77777777" w:rsidR="008926D3" w:rsidRPr="00BE7986" w:rsidRDefault="008926D3" w:rsidP="008926D3">
      <w:pPr>
        <w:spacing w:after="120" w:line="276" w:lineRule="auto"/>
        <w:ind w:firstLine="709"/>
        <w:jc w:val="both"/>
        <w:rPr>
          <w:rFonts w:ascii="Verdana" w:eastAsia="Calibri" w:hAnsi="Verdana" w:cs="Arial"/>
        </w:rPr>
      </w:pPr>
      <w:r>
        <w:rPr>
          <w:rFonts w:ascii="Verdana" w:eastAsia="Calibri" w:hAnsi="Verdana" w:cs="Arial"/>
        </w:rPr>
        <w:t xml:space="preserve">Este </w:t>
      </w:r>
      <w:r w:rsidRPr="00BE7986">
        <w:rPr>
          <w:rFonts w:ascii="Verdana" w:eastAsia="Calibri" w:hAnsi="Verdana" w:cs="Arial"/>
        </w:rPr>
        <w:t xml:space="preserve">inciso que más que un enunciado que aluda al “ser” se refiere al “deber ser”, pues debe interpretarse en el sentido de que los contratos de prestación de servicios profesionales </w:t>
      </w:r>
      <w:r w:rsidRPr="00BE7986">
        <w:rPr>
          <w:rFonts w:ascii="Verdana" w:eastAsia="Calibri" w:hAnsi="Verdana" w:cs="Arial"/>
          <w:i/>
        </w:rPr>
        <w:t>no pueden</w:t>
      </w:r>
      <w:r w:rsidRPr="00BE7986">
        <w:rPr>
          <w:rFonts w:ascii="Verdana" w:eastAsia="Calibri" w:hAnsi="Verdana" w:cs="Arial"/>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w:t>
      </w:r>
      <w:r w:rsidRPr="00BE7986">
        <w:rPr>
          <w:rFonts w:ascii="Verdana" w:eastAsia="Calibri" w:hAnsi="Verdana" w:cs="Arial"/>
        </w:rPr>
        <w:lastRenderedPageBreak/>
        <w:t>debe cotizar por su cuenta y riesgo al Sistema de Seguridad Social Integral</w:t>
      </w:r>
      <w:r w:rsidRPr="00BE7986">
        <w:rPr>
          <w:rFonts w:ascii="Verdana" w:eastAsia="Calibri" w:hAnsi="Verdana" w:cs="Arial"/>
          <w:vertAlign w:val="superscript"/>
        </w:rPr>
        <w:footnoteReference w:id="3"/>
      </w:r>
      <w:r w:rsidRPr="00BE7986">
        <w:rPr>
          <w:rFonts w:ascii="Verdana" w:eastAsia="Calibri" w:hAnsi="Verdana" w:cs="Arial"/>
        </w:rPr>
        <w:t xml:space="preserve">. Pero es posible que, a pesar de este mandato deontológico, en la práctica surja la relación laboral, pues, como se sabe, el contrato de trabajo es un </w:t>
      </w:r>
      <w:r w:rsidRPr="00BE7986">
        <w:rPr>
          <w:rFonts w:ascii="Verdana" w:eastAsia="Calibri" w:hAnsi="Verdana" w:cs="Arial"/>
          <w:i/>
        </w:rPr>
        <w:t>contrato realidad</w:t>
      </w:r>
      <w:r w:rsidRPr="00BE7986">
        <w:rPr>
          <w:rFonts w:ascii="Verdana" w:eastAsia="Calibri" w:hAnsi="Verdana" w:cs="Arial"/>
        </w:rPr>
        <w:t xml:space="preserve">, ya que para su perfeccionamiento rige el principio de la prevalencia de la realidad sobre las formalidades. </w:t>
      </w:r>
    </w:p>
    <w:p w14:paraId="4D348DDB" w14:textId="77777777" w:rsidR="008926D3" w:rsidRDefault="008926D3" w:rsidP="008926D3">
      <w:pPr>
        <w:tabs>
          <w:tab w:val="left" w:pos="3276"/>
        </w:tabs>
        <w:spacing w:after="120" w:line="276" w:lineRule="auto"/>
        <w:ind w:firstLine="709"/>
        <w:jc w:val="both"/>
        <w:rPr>
          <w:rFonts w:ascii="Verdana" w:eastAsia="Calibri" w:hAnsi="Verdana" w:cs="Arial"/>
        </w:rPr>
      </w:pPr>
      <w:r w:rsidRPr="006741FA">
        <w:rPr>
          <w:rFonts w:ascii="Verdana" w:eastAsia="Calibri" w:hAnsi="Verdana" w:cs="Arial"/>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6741FA">
        <w:rPr>
          <w:rStyle w:val="Refdenotaalpie"/>
          <w:rFonts w:ascii="Verdana" w:eastAsia="Calibri" w:hAnsi="Verdana" w:cs="Arial"/>
        </w:rPr>
        <w:footnoteReference w:id="4"/>
      </w:r>
      <w:r w:rsidRPr="006741FA">
        <w:rPr>
          <w:rFonts w:ascii="Verdana" w:eastAsia="Calibri" w:hAnsi="Verdana" w:cs="Arial"/>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6741FA">
        <w:rPr>
          <w:rFonts w:ascii="Verdana" w:eastAsia="Calibri" w:hAnsi="Verdana" w:cs="Arial"/>
          <w:vertAlign w:val="superscript"/>
        </w:rPr>
        <w:footnoteReference w:id="5"/>
      </w:r>
      <w:r w:rsidRPr="006741FA">
        <w:rPr>
          <w:rFonts w:ascii="Verdana" w:eastAsia="Calibri" w:hAnsi="Verdana" w:cs="Arial"/>
        </w:rPr>
        <w:t>. De modo que, bajo la perspectiva indicada, se podría invocar la presunción de la existencia de una relación laboral; siendo contrario a uno de los aspectos más relevantes del contrato de prestación de servicio, la autonomía e independencia en la ejecución de este.</w:t>
      </w:r>
    </w:p>
    <w:p w14:paraId="7432EA64" w14:textId="77777777" w:rsidR="008926D3" w:rsidRPr="004C0B72" w:rsidRDefault="008926D3" w:rsidP="008926D3">
      <w:pPr>
        <w:spacing w:after="120" w:line="276" w:lineRule="auto"/>
        <w:ind w:firstLine="709"/>
        <w:jc w:val="both"/>
        <w:rPr>
          <w:rFonts w:ascii="Verdana" w:hAnsi="Verdana" w:cs="Arial"/>
          <w:noProof/>
          <w:lang w:val="es-ES_tradnl"/>
        </w:rPr>
      </w:pPr>
      <w:r w:rsidRPr="008677DE">
        <w:rPr>
          <w:rFonts w:ascii="Verdana" w:hAnsi="Verdana" w:cs="Arial"/>
          <w:noProof/>
          <w:lang w:val="es-ES_tradnl"/>
        </w:rPr>
        <w:lastRenderedPageBreak/>
        <w:t>Por su parte, el Consejo de Estado</w:t>
      </w:r>
      <w:r>
        <w:rPr>
          <w:rFonts w:ascii="Verdana" w:hAnsi="Verdana" w:cs="Arial"/>
          <w:noProof/>
          <w:lang w:val="es-ES_tradnl"/>
        </w:rPr>
        <w:t>,</w:t>
      </w:r>
      <w:r w:rsidRPr="008677DE">
        <w:rPr>
          <w:rFonts w:ascii="Verdana" w:hAnsi="Verdana" w:cs="Arial"/>
          <w:noProof/>
          <w:lang w:val="es-ES_tradnl"/>
        </w:rPr>
        <w:t xml:space="preserve"> en sentencia de unificación jurisprudencial del 9 de septiembre de 2021</w:t>
      </w:r>
      <w:r>
        <w:rPr>
          <w:rFonts w:ascii="Verdana" w:hAnsi="Verdana" w:cs="Arial"/>
          <w:noProof/>
          <w:lang w:val="es-ES_tradnl"/>
        </w:rPr>
        <w:t>,</w:t>
      </w:r>
      <w:r w:rsidRPr="008677DE">
        <w:rPr>
          <w:rFonts w:ascii="Verdana" w:hAnsi="Verdana" w:cs="Arial"/>
          <w:noProof/>
          <w:lang w:val="es-ES_tradnl"/>
        </w:rPr>
        <w:t xml:space="preserve">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t>efecto</w:t>
      </w:r>
      <w:r w:rsidRPr="008677DE">
        <w:rPr>
          <w:rFonts w:ascii="Verdana" w:hAnsi="Verdana"/>
          <w:vertAlign w:val="superscript"/>
          <w:lang w:val="es-ES_tradnl"/>
        </w:rPr>
        <w:footnoteReference w:id="6"/>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7"/>
      </w:r>
      <w:r w:rsidRPr="008677DE">
        <w:rPr>
          <w:rFonts w:ascii="Verdana" w:hAnsi="Verdana" w:cs="Arial"/>
          <w:noProof/>
          <w:lang w:val="es-ES_tradnl"/>
        </w:rPr>
        <w:t>.</w:t>
      </w:r>
    </w:p>
    <w:p w14:paraId="6056E461" w14:textId="77777777" w:rsidR="008926D3" w:rsidRPr="004C0B72" w:rsidRDefault="008926D3" w:rsidP="008926D3">
      <w:pPr>
        <w:spacing w:after="120" w:line="276" w:lineRule="auto"/>
        <w:ind w:firstLine="709"/>
        <w:jc w:val="both"/>
        <w:rPr>
          <w:rFonts w:ascii="Verdana" w:hAnsi="Verdana" w:cs="Arial"/>
        </w:rPr>
      </w:pPr>
      <w:r w:rsidRPr="00E4437B">
        <w:rPr>
          <w:rFonts w:ascii="Verdana" w:eastAsia="Calibri" w:hAnsi="Verdana" w:cs="Arial"/>
        </w:rPr>
        <w:t xml:space="preserve">d) Deben ser temporales. </w:t>
      </w:r>
      <w:r w:rsidRPr="008677DE">
        <w:rPr>
          <w:rFonts w:ascii="Verdana" w:hAnsi="Verdana" w:cs="Arial"/>
          <w:noProof/>
          <w:lang w:val="es-ES_tradnl"/>
        </w:rPr>
        <w:t xml:space="preserve">La sentencia de unificacion jurisprudencial del Consejo de Estado mencionada, frente a la duración del contrato de prestación de servicios señaló que solo puede celebrarse por un </w:t>
      </w:r>
      <w:r>
        <w:rPr>
          <w:rFonts w:ascii="Verdana" w:hAnsi="Verdana" w:cs="Arial"/>
          <w:noProof/>
          <w:lang w:val="es-ES_tradnl"/>
        </w:rPr>
        <w:t>“</w:t>
      </w:r>
      <w:r w:rsidRPr="008677DE">
        <w:rPr>
          <w:rFonts w:ascii="Verdana" w:hAnsi="Verdana" w:cs="Arial"/>
          <w:noProof/>
          <w:lang w:val="es-ES_tradnl"/>
        </w:rPr>
        <w:t>término estrictamente indispensable</w:t>
      </w:r>
      <w:r>
        <w:rPr>
          <w:rFonts w:ascii="Verdana" w:hAnsi="Verdana" w:cs="Arial"/>
          <w:noProof/>
          <w:lang w:val="es-ES_tradnl"/>
        </w:rPr>
        <w:t>”</w:t>
      </w:r>
      <w:r w:rsidRPr="008677DE">
        <w:rPr>
          <w:rFonts w:ascii="Verdana" w:hAnsi="Verdana" w:cs="Arial"/>
          <w:noProof/>
          <w:lang w:val="es-ES_tradnl"/>
        </w:rPr>
        <w:t xml:space="preserve">. En ese entendido, unificó el sentido y alcance del término estrictamente indispensable como </w:t>
      </w:r>
      <w:r>
        <w:rPr>
          <w:rFonts w:ascii="Verdana" w:hAnsi="Verdana" w:cs="Arial"/>
          <w:noProof/>
          <w:lang w:val="es-ES_tradnl"/>
        </w:rPr>
        <w:t>“</w:t>
      </w:r>
      <w:r w:rsidRPr="008677DE">
        <w:rPr>
          <w:rFonts w:ascii="Verdana" w:hAnsi="Verdana" w:cs="Arial"/>
          <w:noProof/>
          <w:lang w:val="es-ES_tradnl"/>
        </w:rPr>
        <w:t>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noProof/>
          <w:lang w:val="es-ES_tradnl"/>
        </w:rPr>
        <w:t>”</w:t>
      </w:r>
      <w:r w:rsidRPr="008677DE">
        <w:rPr>
          <w:rFonts w:ascii="Verdana" w:hAnsi="Verdana" w:cs="Arial"/>
          <w:noProof/>
          <w:lang w:val="es-ES_tradnl"/>
        </w:rPr>
        <w:t>.</w:t>
      </w:r>
      <w:r w:rsidRPr="008677DE">
        <w:rPr>
          <w:rFonts w:ascii="Verdana" w:hAnsi="Verdana" w:cs="Arial"/>
        </w:rPr>
        <w:t xml:space="preserve"> </w:t>
      </w:r>
    </w:p>
    <w:p w14:paraId="0084465E" w14:textId="77777777" w:rsidR="008926D3" w:rsidRPr="00E4437B" w:rsidRDefault="008926D3" w:rsidP="008926D3">
      <w:pPr>
        <w:spacing w:after="0" w:line="276" w:lineRule="auto"/>
        <w:ind w:firstLine="709"/>
        <w:jc w:val="both"/>
        <w:rPr>
          <w:rFonts w:ascii="Verdana" w:eastAsia="Calibri" w:hAnsi="Verdana" w:cs="Arial"/>
        </w:rPr>
      </w:pPr>
      <w:r>
        <w:rPr>
          <w:rFonts w:ascii="Verdana" w:eastAsia="Calibri" w:hAnsi="Verdana" w:cs="Arial"/>
        </w:rPr>
        <w:t>De igual manera,</w:t>
      </w:r>
      <w:r w:rsidRPr="00E4437B">
        <w:rPr>
          <w:rFonts w:ascii="Verdana" w:eastAsia="Calibri" w:hAnsi="Verdana" w:cs="Arial"/>
        </w:rPr>
        <w:t xml:space="preserve"> la Corte Constitucional</w:t>
      </w:r>
      <w:r>
        <w:rPr>
          <w:rFonts w:ascii="Verdana" w:eastAsia="Calibri" w:hAnsi="Verdana" w:cs="Arial"/>
        </w:rPr>
        <w:t>,</w:t>
      </w:r>
      <w:r w:rsidRPr="00E4437B">
        <w:rPr>
          <w:rFonts w:ascii="Verdana" w:eastAsia="Calibri" w:hAnsi="Verdana" w:cs="Arial"/>
        </w:rPr>
        <w:t xml:space="preserve"> en la </w:t>
      </w:r>
      <w:r>
        <w:rPr>
          <w:rFonts w:ascii="Verdana" w:eastAsia="Calibri" w:hAnsi="Verdana" w:cs="Arial"/>
        </w:rPr>
        <w:t xml:space="preserve">Sentencia C-154 de 1997 señaló </w:t>
      </w:r>
      <w:r w:rsidRPr="00E4437B">
        <w:rPr>
          <w:rFonts w:ascii="Verdana" w:eastAsia="Calibri" w:hAnsi="Verdana" w:cs="Arial"/>
        </w:rPr>
        <w:t>que:</w:t>
      </w:r>
    </w:p>
    <w:p w14:paraId="6D8C318D" w14:textId="77777777" w:rsidR="008926D3" w:rsidRPr="00E4437B" w:rsidRDefault="008926D3" w:rsidP="008926D3">
      <w:pPr>
        <w:spacing w:after="0" w:line="276" w:lineRule="auto"/>
        <w:ind w:firstLine="709"/>
        <w:jc w:val="both"/>
        <w:rPr>
          <w:rFonts w:ascii="Verdana" w:eastAsia="Calibri" w:hAnsi="Verdana" w:cs="Arial"/>
        </w:rPr>
      </w:pPr>
    </w:p>
    <w:p w14:paraId="3655F146" w14:textId="77777777" w:rsidR="008926D3" w:rsidRPr="004C0B72" w:rsidRDefault="008926D3" w:rsidP="008926D3">
      <w:pPr>
        <w:spacing w:after="0" w:line="240" w:lineRule="auto"/>
        <w:ind w:left="709" w:right="709"/>
        <w:jc w:val="both"/>
        <w:rPr>
          <w:rFonts w:ascii="Verdana" w:eastAsia="Calibri" w:hAnsi="Verdana" w:cs="Arial"/>
          <w:sz w:val="20"/>
          <w:szCs w:val="20"/>
        </w:rPr>
      </w:pPr>
      <w:r w:rsidRPr="0003707A">
        <w:rPr>
          <w:rFonts w:ascii="Verdana" w:eastAsia="Calibri" w:hAnsi="Verdana" w:cs="Arial"/>
          <w:sz w:val="20"/>
          <w:szCs w:val="20"/>
        </w:rPr>
        <w:t xml:space="preserve">“La vigencia del contrato es temporal y, por lo tanto, su duración debe ser por tiempo limitado y el indispensable para ejecutar el objeto contractual convenido. En el caso de que las actividades con ellos atendidas demanden </w:t>
      </w:r>
      <w:r w:rsidRPr="0003707A">
        <w:rPr>
          <w:rFonts w:ascii="Verdana" w:eastAsia="Calibri" w:hAnsi="Verdana" w:cs="Arial"/>
          <w:sz w:val="20"/>
          <w:szCs w:val="20"/>
        </w:rPr>
        <w:lastRenderedPageBreak/>
        <w:t>una permanencia mayor e indefinida, e</w:t>
      </w:r>
      <w:r w:rsidRPr="00DD61C7">
        <w:rPr>
          <w:rFonts w:ascii="Verdana" w:eastAsia="Calibri" w:hAnsi="Verdana" w:cs="Arial"/>
          <w:sz w:val="20"/>
          <w:szCs w:val="20"/>
        </w:rPr>
        <w:t>xcediendo su carácter excepcional y temporal para convertirse en ordinario y permanente, será necesario que la respectiva entidad adopte las medidas y provisiones pertinentes a fin de que se dé cabal cumplimiento a lo previsto en el artículo 122 de la Cart</w:t>
      </w:r>
      <w:r w:rsidRPr="00255E89">
        <w:rPr>
          <w:rFonts w:ascii="Verdana" w:eastAsia="Calibri" w:hAnsi="Verdana" w:cs="Arial"/>
          <w:sz w:val="20"/>
          <w:szCs w:val="20"/>
        </w:rPr>
        <w:t>a Política, según el cual se requiere que el empleo público quede contemplado en la respectiva planta y previstos sus emolumentos en el presupuesto correspondiente</w:t>
      </w:r>
      <w:r w:rsidRPr="000940A2">
        <w:rPr>
          <w:rFonts w:ascii="Verdana" w:eastAsia="Calibri" w:hAnsi="Verdana" w:cs="Arial"/>
          <w:sz w:val="20"/>
          <w:szCs w:val="20"/>
        </w:rPr>
        <w:t>”</w:t>
      </w:r>
      <w:r w:rsidRPr="004C0B72">
        <w:rPr>
          <w:rFonts w:ascii="Verdana" w:eastAsia="Calibri" w:hAnsi="Verdana" w:cs="Arial"/>
          <w:sz w:val="20"/>
          <w:szCs w:val="20"/>
          <w:vertAlign w:val="superscript"/>
        </w:rPr>
        <w:footnoteReference w:id="8"/>
      </w:r>
      <w:r w:rsidRPr="004C0B72">
        <w:rPr>
          <w:rFonts w:ascii="Verdana" w:eastAsia="Calibri" w:hAnsi="Verdana" w:cs="Arial"/>
          <w:sz w:val="20"/>
          <w:szCs w:val="20"/>
        </w:rPr>
        <w:t>.</w:t>
      </w:r>
    </w:p>
    <w:p w14:paraId="1A15E3F9" w14:textId="77777777" w:rsidR="008926D3" w:rsidRPr="00780417" w:rsidRDefault="008926D3" w:rsidP="008926D3">
      <w:pPr>
        <w:spacing w:after="0" w:line="276" w:lineRule="auto"/>
        <w:ind w:firstLine="709"/>
        <w:jc w:val="both"/>
        <w:rPr>
          <w:rFonts w:ascii="Verdana" w:eastAsia="Calibri" w:hAnsi="Verdana" w:cs="Arial"/>
        </w:rPr>
      </w:pPr>
    </w:p>
    <w:p w14:paraId="54D77D41" w14:textId="77777777" w:rsidR="008926D3" w:rsidRPr="009D6505" w:rsidRDefault="008926D3" w:rsidP="008926D3">
      <w:pPr>
        <w:tabs>
          <w:tab w:val="left" w:pos="3276"/>
        </w:tabs>
        <w:spacing w:after="120" w:line="276" w:lineRule="auto"/>
        <w:ind w:firstLine="709"/>
        <w:jc w:val="both"/>
        <w:rPr>
          <w:rFonts w:ascii="Verdana" w:eastAsia="Calibri" w:hAnsi="Verdana" w:cs="Arial"/>
          <w:lang w:val="es-ES_tradnl" w:eastAsia="es-ES_tradnl"/>
        </w:rPr>
      </w:pPr>
      <w:r w:rsidRPr="00780417">
        <w:rPr>
          <w:rFonts w:ascii="Verdana" w:eastAsia="Calibri" w:hAnsi="Verdana" w:cs="Arial"/>
          <w:lang w:eastAsia="es-ES"/>
        </w:rPr>
        <w:t>e</w:t>
      </w:r>
      <w:r w:rsidRPr="00780417">
        <w:rPr>
          <w:rFonts w:ascii="Verdana" w:eastAsia="Calibri" w:hAnsi="Verdana" w:cs="Arial"/>
          <w:lang w:val="es-ES" w:eastAsia="es-ES"/>
        </w:rPr>
        <w:t xml:space="preserve">) Los contratos de prestación de servicios constituyen un </w:t>
      </w:r>
      <w:r w:rsidRPr="00780417">
        <w:rPr>
          <w:rFonts w:ascii="Verdana" w:eastAsia="Calibri" w:hAnsi="Verdana" w:cs="Arial"/>
          <w:i/>
          <w:iCs/>
          <w:lang w:val="es-ES" w:eastAsia="es-ES"/>
        </w:rPr>
        <w:t>género</w:t>
      </w:r>
      <w:r w:rsidRPr="00780417">
        <w:rPr>
          <w:rFonts w:ascii="Verdana" w:eastAsia="Calibri" w:hAnsi="Verdana" w:cs="Arial"/>
          <w:lang w:val="es-ES" w:eastAsia="es-ES"/>
        </w:rPr>
        <w:t xml:space="preserve"> que incluye, como </w:t>
      </w:r>
      <w:r w:rsidRPr="00780417">
        <w:rPr>
          <w:rFonts w:ascii="Verdana" w:eastAsia="Calibri" w:hAnsi="Verdana" w:cs="Arial"/>
          <w:i/>
          <w:iCs/>
          <w:lang w:val="es-ES" w:eastAsia="es-ES"/>
        </w:rPr>
        <w:t>especies</w:t>
      </w:r>
      <w:r w:rsidRPr="00780417">
        <w:rPr>
          <w:rFonts w:ascii="Verdana" w:eastAsia="Calibri" w:hAnsi="Verdana" w:cs="Arial"/>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780417">
        <w:rPr>
          <w:rFonts w:ascii="Verdana" w:eastAsia="Calibri" w:hAnsi="Verdana" w:cs="Arial"/>
          <w:vertAlign w:val="superscript"/>
          <w:lang w:val="es-ES" w:eastAsia="es-ES"/>
        </w:rPr>
        <w:footnoteReference w:id="9"/>
      </w:r>
      <w:r w:rsidRPr="00780417">
        <w:rPr>
          <w:rFonts w:ascii="Verdana" w:eastAsia="Calibri" w:hAnsi="Verdana" w:cs="Arial"/>
          <w:lang w:val="es-ES" w:eastAsia="es-ES"/>
        </w:rPr>
        <w:t xml:space="preserve">. La diferencia entre el contrato de prestación de servicios </w:t>
      </w:r>
      <w:r w:rsidRPr="00780417">
        <w:rPr>
          <w:rFonts w:ascii="Verdana" w:eastAsia="Calibri" w:hAnsi="Verdana" w:cs="Arial"/>
          <w:i/>
          <w:iCs/>
          <w:lang w:val="es-ES" w:eastAsia="es-ES"/>
        </w:rPr>
        <w:t>profesionales</w:t>
      </w:r>
      <w:r w:rsidRPr="00780417">
        <w:rPr>
          <w:rFonts w:ascii="Verdana" w:eastAsia="Calibri" w:hAnsi="Verdana" w:cs="Arial"/>
          <w:lang w:val="es-ES" w:eastAsia="es-ES"/>
        </w:rPr>
        <w:t xml:space="preserve"> con las otras dos especies del género en el cual se ubican radica en su contenido intelectual intangible y, al mismo tiempo, en la formación profesional que se exige para desempeñar la labor</w:t>
      </w:r>
      <w:r w:rsidRPr="00780417">
        <w:rPr>
          <w:rFonts w:ascii="Verdana" w:eastAsia="Calibri" w:hAnsi="Verdana" w:cs="Arial"/>
          <w:vertAlign w:val="superscript"/>
          <w:lang w:val="es-ES" w:eastAsia="es-ES"/>
        </w:rPr>
        <w:footnoteReference w:id="10"/>
      </w:r>
      <w:r w:rsidRPr="00780417">
        <w:rPr>
          <w:rFonts w:ascii="Verdana" w:eastAsia="Calibri" w:hAnsi="Verdana" w:cs="Arial"/>
          <w:lang w:val="es-ES" w:eastAsia="es-ES"/>
        </w:rPr>
        <w:t>.</w:t>
      </w:r>
    </w:p>
    <w:p w14:paraId="69ED107C" w14:textId="77777777" w:rsidR="008926D3" w:rsidRDefault="008926D3" w:rsidP="008926D3">
      <w:pPr>
        <w:spacing w:after="120" w:line="276" w:lineRule="auto"/>
        <w:ind w:firstLine="709"/>
        <w:jc w:val="both"/>
        <w:rPr>
          <w:rFonts w:ascii="Verdana" w:eastAsia="Calibri" w:hAnsi="Verdana" w:cs="Arial"/>
        </w:rPr>
      </w:pPr>
      <w:r w:rsidRPr="009D6505">
        <w:rPr>
          <w:rFonts w:ascii="Verdana" w:eastAsia="Calibri" w:hAnsi="Verdana" w:cs="Arial"/>
        </w:rPr>
        <w:t>f) Su celebración debe realizarse a través de la modalidad de contratación directa, independientemente de la cuantía y del tipo de servicio profesional, siempre que este no ingrese dentro del objeto del contrato de consultoría</w:t>
      </w:r>
      <w:r>
        <w:rPr>
          <w:rFonts w:ascii="Verdana" w:eastAsia="Calibri" w:hAnsi="Verdana" w:cs="Arial"/>
        </w:rPr>
        <w:t>. Lo anterior, pues</w:t>
      </w:r>
      <w:r w:rsidRPr="009D6505">
        <w:rPr>
          <w:rFonts w:ascii="Verdana" w:eastAsia="Calibri" w:hAnsi="Verdana" w:cs="Arial"/>
        </w:rPr>
        <w:t xml:space="preserve">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D6505">
        <w:rPr>
          <w:rFonts w:ascii="Verdana" w:eastAsia="Calibri" w:hAnsi="Verdana" w:cs="Arial"/>
          <w:vertAlign w:val="superscript"/>
        </w:rPr>
        <w:footnoteReference w:id="11"/>
      </w:r>
      <w:r w:rsidRPr="009D6505">
        <w:rPr>
          <w:rFonts w:ascii="Verdana" w:eastAsia="Calibri" w:hAnsi="Verdana" w:cs="Arial"/>
        </w:rPr>
        <w:t xml:space="preserve">. Pero, tampoco puede suscribirse un contrato de </w:t>
      </w:r>
      <w:r w:rsidRPr="009D6505">
        <w:rPr>
          <w:rFonts w:ascii="Verdana" w:eastAsia="Calibri" w:hAnsi="Verdana" w:cs="Arial"/>
        </w:rPr>
        <w:lastRenderedPageBreak/>
        <w:t>prestación de servicios profesionales para que el contratista ejecute labores que se enmarcan en los otros contratos tipificados en el artículo 32 de la Ley 80 de 1993, como, por ejemplo, para que el contratista de prestación de servicios construya una obra.</w:t>
      </w:r>
    </w:p>
    <w:p w14:paraId="469E5823" w14:textId="77777777" w:rsidR="008926D3" w:rsidRPr="0050628A" w:rsidRDefault="008926D3" w:rsidP="008926D3">
      <w:pPr>
        <w:spacing w:after="0" w:line="276" w:lineRule="auto"/>
        <w:ind w:firstLine="709"/>
        <w:jc w:val="both"/>
        <w:rPr>
          <w:rFonts w:ascii="Verdana" w:eastAsia="Calibri" w:hAnsi="Verdana" w:cs="Arial"/>
        </w:rPr>
      </w:pPr>
      <w:r w:rsidRPr="0050628A">
        <w:rPr>
          <w:rFonts w:ascii="Verdana" w:eastAsia="Calibri" w:hAnsi="Verdana" w:cs="Arial"/>
        </w:rPr>
        <w:t>g) Para su celebración no se requiere la expedición del acto administrativo de justificación de la contratación directa</w:t>
      </w:r>
      <w:r w:rsidRPr="0050628A">
        <w:rPr>
          <w:rFonts w:ascii="Verdana" w:eastAsia="Calibri" w:hAnsi="Verdana" w:cs="Arial"/>
          <w:vertAlign w:val="superscript"/>
        </w:rPr>
        <w:footnoteReference w:id="12"/>
      </w:r>
      <w:r w:rsidRPr="0050628A">
        <w:rPr>
          <w:rFonts w:ascii="Verdana" w:eastAsia="Calibri" w:hAnsi="Verdana" w:cs="Arial"/>
        </w:rPr>
        <w:t xml:space="preserve">. </w:t>
      </w:r>
    </w:p>
    <w:p w14:paraId="43A8108E" w14:textId="77777777" w:rsidR="008926D3" w:rsidRPr="0050628A" w:rsidRDefault="008926D3" w:rsidP="008926D3">
      <w:pPr>
        <w:spacing w:before="120" w:after="120" w:line="276" w:lineRule="auto"/>
        <w:ind w:firstLine="709"/>
        <w:jc w:val="both"/>
        <w:rPr>
          <w:rFonts w:ascii="Verdana" w:eastAsia="Calibri" w:hAnsi="Verdana" w:cs="Arial"/>
        </w:rPr>
      </w:pPr>
      <w:r w:rsidRPr="0050628A">
        <w:rPr>
          <w:rFonts w:ascii="Verdana" w:eastAsia="Calibri" w:hAnsi="Verdana" w:cs="Arial"/>
        </w:rPr>
        <w:t xml:space="preserve">h) Admiten el pacto de cláusulas excepcionales. Es decir, en los contratos de prestación de servicios puede </w:t>
      </w:r>
      <w:r>
        <w:rPr>
          <w:rFonts w:ascii="Verdana" w:eastAsia="Calibri" w:hAnsi="Verdana" w:cs="Arial"/>
        </w:rPr>
        <w:t>pactar</w:t>
      </w:r>
      <w:r w:rsidRPr="0050628A">
        <w:rPr>
          <w:rFonts w:ascii="Verdana" w:eastAsia="Calibri" w:hAnsi="Verdana" w:cs="Arial"/>
        </w:rPr>
        <w:t>se la caducidad, así como la modificación, interpretación o terminación unilaterales, como</w:t>
      </w:r>
      <w:r>
        <w:rPr>
          <w:rFonts w:ascii="Verdana" w:eastAsia="Calibri" w:hAnsi="Verdana" w:cs="Arial"/>
        </w:rPr>
        <w:t xml:space="preserve"> acuerdos o</w:t>
      </w:r>
      <w:r w:rsidRPr="0050628A">
        <w:rPr>
          <w:rFonts w:ascii="Verdana" w:eastAsia="Calibri" w:hAnsi="Verdana" w:cs="Arial"/>
        </w:rPr>
        <w:t xml:space="preserve"> elementos accidentales</w:t>
      </w:r>
      <w:r>
        <w:rPr>
          <w:rFonts w:ascii="Verdana" w:eastAsia="Calibri" w:hAnsi="Verdana" w:cs="Arial"/>
        </w:rPr>
        <w:t>. O</w:t>
      </w:r>
      <w:r w:rsidRPr="0050628A">
        <w:rPr>
          <w:rFonts w:ascii="Verdana" w:eastAsia="Calibri" w:hAnsi="Verdana" w:cs="Arial"/>
        </w:rPr>
        <w:t xml:space="preserve"> sea que para que puedan ejercerse dichas exorbitancias han debido quedar incluidas expresamente en el contrato, ya que no se entienden pactadas por naturaleza. Así se infiere del artículo 14°, numeral 2º, de la Ley 80 de 1993</w:t>
      </w:r>
      <w:r w:rsidRPr="0050628A">
        <w:rPr>
          <w:rFonts w:ascii="Verdana" w:eastAsia="Calibri" w:hAnsi="Verdana" w:cs="Arial"/>
          <w:vertAlign w:val="superscript"/>
        </w:rPr>
        <w:footnoteReference w:id="13"/>
      </w:r>
      <w:r w:rsidRPr="0050628A">
        <w:rPr>
          <w:rFonts w:ascii="Verdana" w:eastAsia="Calibri" w:hAnsi="Verdana" w:cs="Arial"/>
        </w:rPr>
        <w:t>.</w:t>
      </w:r>
    </w:p>
    <w:p w14:paraId="218FE943" w14:textId="77777777" w:rsidR="008926D3" w:rsidRPr="007A6EE5" w:rsidRDefault="008926D3" w:rsidP="008926D3">
      <w:pPr>
        <w:spacing w:before="120" w:after="120" w:line="276" w:lineRule="auto"/>
        <w:ind w:firstLine="709"/>
        <w:jc w:val="both"/>
        <w:rPr>
          <w:rFonts w:ascii="Verdana" w:eastAsia="Calibri" w:hAnsi="Verdana" w:cs="Arial"/>
        </w:rPr>
      </w:pPr>
      <w:r w:rsidRPr="007A6EE5">
        <w:rPr>
          <w:rFonts w:ascii="Verdana" w:eastAsia="Calibri" w:hAnsi="Verdana" w:cs="Arial"/>
        </w:rPr>
        <w:t>i) En ellos no es obligatoria la liquidación, pues así lo estableció el artículo 217 del Decreto 019 de 2012, que modificó el artículo 60 de la Ley 80 de 1993</w:t>
      </w:r>
      <w:r w:rsidRPr="007A6EE5">
        <w:rPr>
          <w:rFonts w:ascii="Verdana" w:eastAsia="Calibri" w:hAnsi="Verdana" w:cs="Arial"/>
          <w:vertAlign w:val="superscript"/>
        </w:rPr>
        <w:footnoteReference w:id="14"/>
      </w:r>
      <w:r w:rsidRPr="007A6EE5">
        <w:rPr>
          <w:rFonts w:ascii="Verdana" w:eastAsia="Calibri" w:hAnsi="Verdana" w:cs="Arial"/>
        </w:rPr>
        <w:t xml:space="preserve">, </w:t>
      </w:r>
      <w:r w:rsidRPr="007A6EE5">
        <w:rPr>
          <w:rFonts w:ascii="Verdana" w:eastAsia="Calibri" w:hAnsi="Verdana" w:cs="Arial"/>
          <w:lang w:val="es-ES" w:eastAsia="es-ES"/>
        </w:rPr>
        <w:lastRenderedPageBreak/>
        <w:t>refiriéndose expresamente a los contratos de prestación de servicios profesionales y de apoyo a la gestión.</w:t>
      </w:r>
    </w:p>
    <w:p w14:paraId="28F4625E" w14:textId="77777777" w:rsidR="008926D3" w:rsidRPr="007A6EE5" w:rsidRDefault="008926D3" w:rsidP="008926D3">
      <w:pPr>
        <w:spacing w:after="120" w:line="276" w:lineRule="auto"/>
        <w:ind w:firstLine="709"/>
        <w:jc w:val="both"/>
        <w:rPr>
          <w:rFonts w:ascii="Verdana" w:eastAsia="Calibri" w:hAnsi="Verdana" w:cs="Arial"/>
        </w:rPr>
      </w:pPr>
      <w:r w:rsidRPr="007A6EE5">
        <w:rPr>
          <w:rFonts w:ascii="Verdana" w:eastAsia="Calibri" w:hAnsi="Verdana" w:cs="Arial"/>
        </w:rPr>
        <w:t>j) Para su celebración no se requiere inscripción en el Registro Único de Proponentes (RUP), según lo prevé el artículo 6 de la Ley 1150 de 2007</w:t>
      </w:r>
      <w:r w:rsidRPr="007A6EE5">
        <w:rPr>
          <w:rFonts w:ascii="Verdana" w:eastAsia="Calibri" w:hAnsi="Verdana" w:cs="Arial"/>
          <w:vertAlign w:val="superscript"/>
        </w:rPr>
        <w:footnoteReference w:id="15"/>
      </w:r>
      <w:r w:rsidRPr="007A6EE5">
        <w:rPr>
          <w:rFonts w:ascii="Verdana" w:eastAsia="Calibri" w:hAnsi="Verdana" w:cs="Arial"/>
        </w:rPr>
        <w:t>.</w:t>
      </w:r>
    </w:p>
    <w:p w14:paraId="426E7E60" w14:textId="77777777" w:rsidR="008926D3" w:rsidRPr="00361222" w:rsidRDefault="008926D3" w:rsidP="008926D3">
      <w:pPr>
        <w:spacing w:after="0" w:line="276" w:lineRule="auto"/>
        <w:ind w:firstLine="709"/>
        <w:jc w:val="both"/>
        <w:rPr>
          <w:rFonts w:ascii="Verdana" w:eastAsia="Calibri" w:hAnsi="Verdana" w:cs="Arial"/>
        </w:rPr>
      </w:pPr>
      <w:r w:rsidRPr="007A6EE5">
        <w:rPr>
          <w:rFonts w:ascii="Verdana" w:eastAsia="Calibri" w:hAnsi="Verdana" w:cs="Arial"/>
        </w:rPr>
        <w:t>k) En ellos no son necesarias las garantías</w:t>
      </w:r>
      <w:r w:rsidRPr="007A6EE5">
        <w:rPr>
          <w:rFonts w:ascii="Verdana" w:eastAsia="Calibri" w:hAnsi="Verdana" w:cs="Arial"/>
          <w:vertAlign w:val="superscript"/>
        </w:rPr>
        <w:footnoteReference w:id="16"/>
      </w:r>
      <w:r w:rsidRPr="007A6EE5">
        <w:rPr>
          <w:rFonts w:ascii="Verdana" w:eastAsia="Calibri" w:hAnsi="Verdana" w:cs="Arial"/>
        </w:rPr>
        <w:t>.</w:t>
      </w:r>
    </w:p>
    <w:p w14:paraId="23F2F4A1" w14:textId="77777777" w:rsidR="008926D3" w:rsidRDefault="008926D3" w:rsidP="008926D3">
      <w:pPr>
        <w:spacing w:after="0" w:line="276" w:lineRule="auto"/>
        <w:ind w:right="51"/>
        <w:jc w:val="both"/>
        <w:rPr>
          <w:rFonts w:ascii="Verdana" w:hAnsi="Verdana" w:cs="Arial"/>
        </w:rPr>
      </w:pPr>
    </w:p>
    <w:p w14:paraId="3A9F9077" w14:textId="0E2F8859" w:rsidR="008926D3" w:rsidRPr="00255E89" w:rsidRDefault="008926D3" w:rsidP="008926D3">
      <w:pPr>
        <w:spacing w:after="120" w:line="276" w:lineRule="auto"/>
        <w:jc w:val="both"/>
        <w:rPr>
          <w:rFonts w:ascii="Verdana" w:hAnsi="Verdana" w:cs="Arial"/>
        </w:rPr>
      </w:pPr>
      <w:r w:rsidRPr="00255E89">
        <w:rPr>
          <w:rFonts w:ascii="Verdana" w:hAnsi="Verdana" w:cs="Arial"/>
        </w:rPr>
        <w:t>ii) Ahora bien,</w:t>
      </w:r>
      <w:r w:rsidR="00B470E6">
        <w:rPr>
          <w:rFonts w:ascii="Verdana" w:hAnsi="Verdana" w:cs="Arial"/>
        </w:rPr>
        <w:t xml:space="preserve"> </w:t>
      </w:r>
      <w:r w:rsidRPr="00255E89">
        <w:rPr>
          <w:rFonts w:ascii="Verdana" w:hAnsi="Verdana" w:cs="Arial"/>
        </w:rPr>
        <w:t>es preciso señalar que la Corte Constitucional y el Consejo de Estado ha</w:t>
      </w:r>
      <w:r>
        <w:rPr>
          <w:rFonts w:ascii="Verdana" w:hAnsi="Verdana" w:cs="Arial"/>
        </w:rPr>
        <w:t>n</w:t>
      </w:r>
      <w:r w:rsidRPr="00255E89">
        <w:rPr>
          <w:rFonts w:ascii="Verdana" w:hAnsi="Verdana" w:cs="Arial"/>
        </w:rPr>
        <w:t xml:space="preserve"> expuesto que el principal elemento que distingue el contrato de prestación de servicios del contrato laboral es la existencia de subordinación o dependencia en la ejecución de la labor contratada. </w:t>
      </w:r>
    </w:p>
    <w:p w14:paraId="1676061E" w14:textId="77777777" w:rsidR="008926D3" w:rsidRPr="00255E89" w:rsidRDefault="008926D3" w:rsidP="008926D3">
      <w:pPr>
        <w:spacing w:after="120" w:line="276" w:lineRule="auto"/>
        <w:ind w:firstLine="708"/>
        <w:jc w:val="both"/>
        <w:rPr>
          <w:rFonts w:ascii="Verdana" w:hAnsi="Verdana" w:cs="Arial"/>
        </w:rPr>
      </w:pPr>
      <w:r w:rsidRPr="00255E89">
        <w:rPr>
          <w:rFonts w:ascii="Verdana" w:hAnsi="Verdana" w:cs="Arial"/>
        </w:rPr>
        <w:t xml:space="preserve">En ese sentido, si bien la fijación de un horario </w:t>
      </w:r>
      <w:r w:rsidRPr="000940A2">
        <w:rPr>
          <w:rFonts w:ascii="Verdana" w:hAnsi="Verdana" w:cs="Arial"/>
        </w:rPr>
        <w:t>puede constituir un indicio de la existencia de una relación laboral, por sí sola no resulta suficiente para concluir la existencia</w:t>
      </w:r>
      <w:r w:rsidRPr="00255E89">
        <w:rPr>
          <w:rFonts w:ascii="Verdana" w:hAnsi="Verdana" w:cs="Arial"/>
        </w:rPr>
        <w:t xml:space="preserve"> de un contrato realidad. Al respecto, el máximo tribunal de lo contencioso administrativo ha reiterado, en múltiples sentencias</w:t>
      </w:r>
      <w:r w:rsidRPr="00255E89">
        <w:rPr>
          <w:rStyle w:val="Refdenotaalpie"/>
          <w:rFonts w:ascii="Verdana" w:hAnsi="Verdana" w:cs="Arial"/>
        </w:rPr>
        <w:footnoteReference w:id="17"/>
      </w:r>
      <w:r w:rsidRPr="00255E89">
        <w:rPr>
          <w:rFonts w:ascii="Verdana" w:hAnsi="Verdana" w:cs="Arial"/>
        </w:rPr>
        <w:t>, que la exigencia de un horario o de una jornada puede ser necesaria o indispensable</w:t>
      </w:r>
      <w:r w:rsidRPr="000940A2">
        <w:rPr>
          <w:rFonts w:ascii="Verdana" w:hAnsi="Verdana" w:cs="Arial"/>
        </w:rPr>
        <w:t xml:space="preserve"> para garantizar el cumplimiento eficiente del objeto contractual. </w:t>
      </w:r>
      <w:r w:rsidRPr="00255E89">
        <w:rPr>
          <w:rFonts w:ascii="Verdana" w:hAnsi="Verdana" w:cs="Arial"/>
        </w:rPr>
        <w:t xml:space="preserve">Por lo tanto, la imposición de un horario no desnaturaliza el contrato de prestación de servicios, </w:t>
      </w:r>
      <w:r w:rsidRPr="00255E89">
        <w:rPr>
          <w:rFonts w:ascii="Verdana" w:hAnsi="Verdana" w:cs="Arial"/>
        </w:rPr>
        <w:lastRenderedPageBreak/>
        <w:t>siempre que dicha exigencia sea indispensable para la adecuada ejecución de las actividades encomendadas.</w:t>
      </w:r>
    </w:p>
    <w:p w14:paraId="48D55B0E" w14:textId="77777777" w:rsidR="008926D3" w:rsidRPr="004C0B72" w:rsidRDefault="008926D3" w:rsidP="008926D3">
      <w:pPr>
        <w:spacing w:after="120" w:line="276" w:lineRule="auto"/>
        <w:ind w:firstLine="708"/>
        <w:jc w:val="both"/>
        <w:rPr>
          <w:rFonts w:ascii="Verdana" w:eastAsia="Times New Roman" w:hAnsi="Verdana" w:cs="Times New Roman"/>
          <w:lang w:eastAsia="es-ES_tradnl"/>
        </w:rPr>
      </w:pPr>
      <w:r>
        <w:rPr>
          <w:rFonts w:ascii="Verdana" w:eastAsia="Times New Roman" w:hAnsi="Verdana" w:cs="Times New Roman"/>
          <w:lang w:eastAsia="es-ES_tradnl"/>
        </w:rPr>
        <w:t>Así mismo</w:t>
      </w:r>
      <w:r w:rsidRPr="004C0B72">
        <w:rPr>
          <w:rFonts w:ascii="Verdana" w:eastAsia="Times New Roman" w:hAnsi="Verdana" w:cs="Times New Roman"/>
          <w:lang w:eastAsia="es-ES_tradnl"/>
        </w:rPr>
        <w:t>, en materia de coordinación de actividades y cumplimiento de horario, el Consejo de Estado en expediente 1707-08 aclaró que “(…) la relación de coordinación de actividades entre contratante y contratista que implica que el segundo se somete a las condiciones necesarias para el desarrollo eficiente de la actividad encomendada, lo cual incluye el cumplimiento de un horario, o el hecho de recibir una serie de instrucciones de sus superiores, o tener que reportar informes sobre sus resultados, no significa necesariamente la configuración de un elemento de subordinación”</w:t>
      </w:r>
      <w:r w:rsidRPr="004C0B72">
        <w:rPr>
          <w:rStyle w:val="Refdenotaalpie"/>
          <w:rFonts w:ascii="Verdana" w:eastAsia="Times New Roman" w:hAnsi="Verdana" w:cs="Times New Roman"/>
          <w:lang w:eastAsia="es-ES_tradnl"/>
        </w:rPr>
        <w:footnoteReference w:id="18"/>
      </w:r>
      <w:r w:rsidRPr="004C0B72">
        <w:rPr>
          <w:rFonts w:ascii="Verdana" w:eastAsia="Times New Roman" w:hAnsi="Verdana" w:cs="Times New Roman"/>
          <w:lang w:eastAsia="es-ES_tradnl"/>
        </w:rPr>
        <w:t xml:space="preserve">. </w:t>
      </w:r>
    </w:p>
    <w:p w14:paraId="3C12FDBB" w14:textId="77777777" w:rsidR="008926D3" w:rsidRPr="00255E89" w:rsidRDefault="008926D3" w:rsidP="008926D3">
      <w:pPr>
        <w:autoSpaceDE w:val="0"/>
        <w:autoSpaceDN w:val="0"/>
        <w:adjustRightInd w:val="0"/>
        <w:spacing w:after="120" w:line="276" w:lineRule="auto"/>
        <w:ind w:firstLine="709"/>
        <w:jc w:val="both"/>
        <w:rPr>
          <w:rFonts w:ascii="Verdana" w:hAnsi="Verdana" w:cs="Arial"/>
        </w:rPr>
      </w:pPr>
      <w:r w:rsidRPr="00255E89">
        <w:rPr>
          <w:rFonts w:ascii="Verdana" w:hAnsi="Verdana" w:cs="Arial"/>
        </w:rPr>
        <w:t>En consecuencia, los contratistas de prestación de servicios deben someterse, en la ejecución de sus obligaciones contractuales, a las directrices que establezca la entidad contratante, a efectos de cumplir con el objeto contractual, así como a la forma en que se coordinan las distintas actividades. Ahora bien, de requerirse la presencia del contratista en la entidad estatal en determinada jornada, esa exigencia debe quedar contemplada en el contrato o en los documentos contractuales y debe estar justificada. En todo caso, más que imponer un horario, se trata de asegurar el cumplimiento de las tareas propias del objeto contractual, conforme a las necesidades y funciones de la entidad.</w:t>
      </w:r>
      <w:r w:rsidRPr="00255E89">
        <w:rPr>
          <w:rStyle w:val="Refdenotaalpie"/>
          <w:rFonts w:ascii="Verdana" w:hAnsi="Verdana" w:cs="Arial"/>
        </w:rPr>
        <w:footnoteReference w:id="19"/>
      </w:r>
    </w:p>
    <w:p w14:paraId="3F9CBA03" w14:textId="77777777" w:rsidR="008926D3" w:rsidRPr="00616544" w:rsidRDefault="008926D3" w:rsidP="008926D3">
      <w:pPr>
        <w:spacing w:after="0" w:line="276" w:lineRule="auto"/>
        <w:ind w:right="51"/>
        <w:jc w:val="both"/>
        <w:rPr>
          <w:rFonts w:ascii="Verdana" w:eastAsia="Calibri" w:hAnsi="Verdana" w:cs="Arial"/>
          <w:bCs/>
          <w:lang w:val="es-MX"/>
        </w:rPr>
      </w:pPr>
      <w:r w:rsidRPr="001E2573">
        <w:rPr>
          <w:rFonts w:ascii="Verdana" w:eastAsia="Calibri" w:hAnsi="Verdana" w:cs="Arial"/>
          <w:lang w:eastAsia="es-ES"/>
        </w:rPr>
        <w:tab/>
      </w:r>
      <w:r w:rsidRPr="001E2573">
        <w:rPr>
          <w:rFonts w:ascii="Verdana" w:eastAsia="Calibri" w:hAnsi="Verdana" w:cs="Arial"/>
          <w:bCs/>
        </w:rPr>
        <w:t xml:space="preserve">Al margen de la explicación precedente debe advertirse que </w:t>
      </w:r>
      <w:r w:rsidRPr="001E2573">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1E2573">
        <w:rPr>
          <w:rFonts w:ascii="Verdana" w:eastAsia="Calibri" w:hAnsi="Verdana" w:cs="Arial"/>
          <w:bCs/>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58C5BDE" w14:textId="77777777" w:rsidR="00F91A9B" w:rsidRPr="00B52E6D" w:rsidRDefault="00F91A9B" w:rsidP="008926D3">
      <w:pPr>
        <w:spacing w:after="0" w:line="276" w:lineRule="auto"/>
        <w:jc w:val="both"/>
        <w:rPr>
          <w:rFonts w:ascii="Verdana" w:eastAsia="Calibri" w:hAnsi="Verdana" w:cs="Arial"/>
          <w:bCs/>
          <w:highlight w:val="lightGray"/>
        </w:rPr>
      </w:pPr>
    </w:p>
    <w:bookmarkEnd w:id="1"/>
    <w:bookmarkEnd w:id="2"/>
    <w:p w14:paraId="55B2E1E0" w14:textId="77777777" w:rsidR="008926D3" w:rsidRDefault="008926D3" w:rsidP="008926D3">
      <w:pPr>
        <w:spacing w:after="0" w:line="276" w:lineRule="auto"/>
        <w:jc w:val="both"/>
        <w:rPr>
          <w:rFonts w:ascii="Verdana" w:eastAsia="Century Gothic" w:hAnsi="Verdana" w:cs="Century Gothic"/>
          <w:b/>
          <w:lang w:val="es-ES"/>
        </w:rPr>
      </w:pPr>
      <w:r w:rsidRPr="00B52E6D">
        <w:rPr>
          <w:rFonts w:ascii="Verdana" w:eastAsia="Century Gothic" w:hAnsi="Verdana" w:cs="Century Gothic"/>
          <w:b/>
          <w:lang w:val="es-ES"/>
        </w:rPr>
        <w:t>4. Referencias normativas, jurisprudenciales y otras fuentes:</w:t>
      </w:r>
    </w:p>
    <w:p w14:paraId="4A901F86" w14:textId="77777777" w:rsidR="008926D3" w:rsidRPr="00B52E6D" w:rsidRDefault="008926D3" w:rsidP="008926D3">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926D3" w:rsidRPr="00B52E6D" w14:paraId="463F3B92" w14:textId="77777777" w:rsidTr="0051452B">
        <w:trPr>
          <w:trHeight w:val="870"/>
        </w:trPr>
        <w:tc>
          <w:tcPr>
            <w:tcW w:w="8647" w:type="dxa"/>
          </w:tcPr>
          <w:p w14:paraId="161626A8" w14:textId="77777777" w:rsidR="008926D3" w:rsidRPr="006F76C5" w:rsidRDefault="008926D3" w:rsidP="008926D3">
            <w:pPr>
              <w:widowControl w:val="0"/>
              <w:numPr>
                <w:ilvl w:val="0"/>
                <w:numId w:val="16"/>
              </w:numPr>
              <w:autoSpaceDE w:val="0"/>
              <w:autoSpaceDN w:val="0"/>
              <w:spacing w:line="276" w:lineRule="auto"/>
              <w:jc w:val="both"/>
              <w:rPr>
                <w:rFonts w:ascii="Verdana" w:eastAsia="Calibri" w:hAnsi="Verdana" w:cs="Arial"/>
                <w:lang w:val="es-ES"/>
              </w:rPr>
            </w:pPr>
            <w:r w:rsidRPr="002230CC">
              <w:rPr>
                <w:rFonts w:ascii="Verdana" w:eastAsia="Calibri" w:hAnsi="Verdana" w:cs="Arial"/>
                <w:lang w:val="es-ES"/>
              </w:rPr>
              <w:lastRenderedPageBreak/>
              <w:t>Código Sustantivo del Trabajo. Artículo 22</w:t>
            </w:r>
            <w:r>
              <w:rPr>
                <w:rFonts w:ascii="Verdana" w:eastAsia="Calibri" w:hAnsi="Verdana" w:cs="Arial"/>
                <w:lang w:val="es-ES"/>
              </w:rPr>
              <w:t>.</w:t>
            </w:r>
          </w:p>
          <w:p w14:paraId="49B1ADCC" w14:textId="3DDF8B98" w:rsidR="008926D3" w:rsidRPr="000D0E66" w:rsidRDefault="008926D3" w:rsidP="000D0E66">
            <w:pPr>
              <w:widowControl w:val="0"/>
              <w:numPr>
                <w:ilvl w:val="0"/>
                <w:numId w:val="16"/>
              </w:numPr>
              <w:autoSpaceDE w:val="0"/>
              <w:autoSpaceDN w:val="0"/>
              <w:spacing w:line="276" w:lineRule="auto"/>
              <w:jc w:val="both"/>
              <w:rPr>
                <w:rFonts w:ascii="Verdana" w:eastAsia="Calibri" w:hAnsi="Verdana" w:cs="Arial"/>
                <w:lang w:val="es-ES"/>
              </w:rPr>
            </w:pPr>
            <w:r w:rsidRPr="00B52E6D">
              <w:rPr>
                <w:rFonts w:ascii="Verdana" w:eastAsia="Calibri" w:hAnsi="Verdana" w:cs="Arial"/>
                <w:lang w:val="es-ES"/>
              </w:rPr>
              <w:t>Ley 80 de 1993. Artículo 32</w:t>
            </w:r>
            <w:r>
              <w:rPr>
                <w:rFonts w:ascii="Verdana" w:eastAsia="Calibri" w:hAnsi="Verdana" w:cs="Arial"/>
                <w:lang w:val="es-ES"/>
              </w:rPr>
              <w:t>.</w:t>
            </w:r>
          </w:p>
          <w:p w14:paraId="07BF93B4" w14:textId="77777777" w:rsidR="008926D3" w:rsidRPr="00255E89" w:rsidRDefault="008926D3" w:rsidP="008926D3">
            <w:pPr>
              <w:widowControl w:val="0"/>
              <w:numPr>
                <w:ilvl w:val="0"/>
                <w:numId w:val="16"/>
              </w:numPr>
              <w:autoSpaceDE w:val="0"/>
              <w:autoSpaceDN w:val="0"/>
              <w:spacing w:line="276" w:lineRule="auto"/>
              <w:jc w:val="both"/>
              <w:rPr>
                <w:rFonts w:ascii="Verdana" w:eastAsia="Calibri" w:hAnsi="Verdana" w:cs="Arial"/>
                <w:lang w:val="es-ES"/>
              </w:rPr>
            </w:pPr>
            <w:r w:rsidRPr="006F76C5">
              <w:rPr>
                <w:rFonts w:ascii="Verdana" w:eastAsia="Calibri" w:hAnsi="Verdana" w:cs="Arial"/>
                <w:lang w:val="es-ES"/>
              </w:rPr>
              <w:t>Corte Constitucional. Sentencia C-154 de 1997. M.P. Hernando Herrera Vergara.</w:t>
            </w:r>
          </w:p>
          <w:p w14:paraId="5B9217D6" w14:textId="77777777" w:rsidR="008926D3" w:rsidRPr="00B52E6D" w:rsidRDefault="008926D3" w:rsidP="008926D3">
            <w:pPr>
              <w:widowControl w:val="0"/>
              <w:numPr>
                <w:ilvl w:val="0"/>
                <w:numId w:val="16"/>
              </w:numPr>
              <w:autoSpaceDE w:val="0"/>
              <w:autoSpaceDN w:val="0"/>
              <w:spacing w:line="276" w:lineRule="auto"/>
              <w:jc w:val="both"/>
              <w:rPr>
                <w:rFonts w:ascii="Verdana" w:eastAsia="Calibri" w:hAnsi="Verdana" w:cs="Arial"/>
                <w:lang w:val="es-ES"/>
              </w:rPr>
            </w:pPr>
            <w:r w:rsidRPr="00064773">
              <w:rPr>
                <w:rFonts w:ascii="Verdana" w:eastAsia="Calibri" w:hAnsi="Verdana" w:cs="Arial"/>
                <w:lang w:val="es-ES"/>
              </w:rPr>
              <w:t>Corte Constitucional. Sentencia C-614 de 2009. M.P. Jorge Ignacio Pretelt Chalju</w:t>
            </w:r>
            <w:r w:rsidRPr="00B52E6D">
              <w:rPr>
                <w:rFonts w:ascii="Verdana" w:eastAsia="Calibri" w:hAnsi="Verdana" w:cs="Arial"/>
                <w:lang w:val="es-ES"/>
              </w:rPr>
              <w:t>b.</w:t>
            </w:r>
          </w:p>
          <w:p w14:paraId="0EA95678" w14:textId="77777777" w:rsidR="008926D3" w:rsidRDefault="008926D3" w:rsidP="008926D3">
            <w:pPr>
              <w:widowControl w:val="0"/>
              <w:numPr>
                <w:ilvl w:val="0"/>
                <w:numId w:val="16"/>
              </w:numPr>
              <w:autoSpaceDE w:val="0"/>
              <w:autoSpaceDN w:val="0"/>
              <w:spacing w:line="276" w:lineRule="auto"/>
              <w:jc w:val="both"/>
              <w:rPr>
                <w:rFonts w:ascii="Verdana" w:eastAsia="Calibri" w:hAnsi="Verdana" w:cs="Arial"/>
                <w:lang w:val="es-ES"/>
              </w:rPr>
            </w:pPr>
            <w:r w:rsidRPr="00420F6B">
              <w:rPr>
                <w:rFonts w:ascii="Verdana" w:eastAsia="Calibri" w:hAnsi="Verdana" w:cs="Arial"/>
                <w:lang w:val="es-ES"/>
              </w:rPr>
              <w:t>Consejo de Estado, Sala Plena de lo Contencioso Administrativo, sentencia del 09 de febrero de 2012, expediente 1707-08, C.P Luis Rafael Vergara Quintero.</w:t>
            </w:r>
          </w:p>
          <w:p w14:paraId="1166F863" w14:textId="77777777" w:rsidR="008926D3" w:rsidRPr="00255E89" w:rsidRDefault="008926D3" w:rsidP="008926D3">
            <w:pPr>
              <w:widowControl w:val="0"/>
              <w:numPr>
                <w:ilvl w:val="0"/>
                <w:numId w:val="16"/>
              </w:numPr>
              <w:autoSpaceDE w:val="0"/>
              <w:autoSpaceDN w:val="0"/>
              <w:spacing w:line="276" w:lineRule="auto"/>
              <w:jc w:val="both"/>
              <w:rPr>
                <w:rFonts w:ascii="Verdana" w:eastAsia="Calibri" w:hAnsi="Verdana" w:cs="Arial"/>
                <w:lang w:val="es-ES"/>
              </w:rPr>
            </w:pPr>
            <w:r w:rsidRPr="006F76C5">
              <w:rPr>
                <w:rFonts w:ascii="Verdana" w:eastAsia="Calibri" w:hAnsi="Verdana" w:cs="Arial"/>
                <w:lang w:val="es-ES"/>
              </w:rPr>
              <w:t xml:space="preserve">Consejo de Estado. Sección Segunda. Subsección A. Rad. 19001-23-33-0002016-00182-01 (3990-2018). Sentencia de 9 de junio de 2022. C.P. Rafael Francisco Suarez Vargas. </w:t>
            </w:r>
          </w:p>
          <w:p w14:paraId="42A16F7F" w14:textId="092DD80E" w:rsidR="008926D3" w:rsidRPr="00AE3E25" w:rsidRDefault="008926D3" w:rsidP="003B24F8">
            <w:pPr>
              <w:widowControl w:val="0"/>
              <w:numPr>
                <w:ilvl w:val="0"/>
                <w:numId w:val="16"/>
              </w:numPr>
              <w:autoSpaceDE w:val="0"/>
              <w:autoSpaceDN w:val="0"/>
              <w:spacing w:line="276" w:lineRule="auto"/>
              <w:jc w:val="both"/>
              <w:rPr>
                <w:rFonts w:ascii="Verdana" w:eastAsia="Calibri" w:hAnsi="Verdana" w:cs="Arial"/>
                <w:lang w:val="es-ES"/>
              </w:rPr>
            </w:pPr>
            <w:r w:rsidRPr="00064773">
              <w:rPr>
                <w:rFonts w:ascii="Verdana" w:eastAsia="Calibri" w:hAnsi="Verdana" w:cs="Arial"/>
                <w:lang w:val="es-ES"/>
              </w:rPr>
              <w:t xml:space="preserve">Consejo de Estado. Sección Segunda. Subsección B. Rad. 50001-23-33-000-2014-0089-01. </w:t>
            </w:r>
            <w:r w:rsidRPr="00B52E6D">
              <w:rPr>
                <w:rFonts w:ascii="Verdana" w:eastAsia="Calibri" w:hAnsi="Verdana" w:cs="Arial"/>
                <w:lang w:val="es-ES"/>
              </w:rPr>
              <w:t>Sentencia de 9 de junio de 2022. C.P. César Palomino Cortés.</w:t>
            </w:r>
          </w:p>
        </w:tc>
      </w:tr>
    </w:tbl>
    <w:p w14:paraId="02DD211E" w14:textId="77777777" w:rsidR="008926D3" w:rsidRPr="00B52E6D" w:rsidRDefault="008926D3" w:rsidP="008926D3">
      <w:pPr>
        <w:widowControl w:val="0"/>
        <w:autoSpaceDE w:val="0"/>
        <w:autoSpaceDN w:val="0"/>
        <w:spacing w:after="0" w:line="276" w:lineRule="auto"/>
        <w:jc w:val="both"/>
        <w:rPr>
          <w:rFonts w:ascii="Verdana" w:hAnsi="Verdana" w:cs="Arial"/>
          <w:color w:val="ED7D31" w:themeColor="accent2"/>
          <w:highlight w:val="lightGray"/>
          <w:lang w:val="es-ES"/>
        </w:rPr>
      </w:pPr>
    </w:p>
    <w:p w14:paraId="784C1D8A" w14:textId="77777777" w:rsidR="008926D3" w:rsidRPr="00B52E6D" w:rsidRDefault="008926D3" w:rsidP="008926D3">
      <w:pPr>
        <w:tabs>
          <w:tab w:val="left" w:pos="142"/>
          <w:tab w:val="left" w:pos="284"/>
        </w:tabs>
        <w:spacing w:after="0" w:line="276" w:lineRule="auto"/>
        <w:jc w:val="both"/>
        <w:rPr>
          <w:rFonts w:ascii="Verdana" w:eastAsia="Century Gothic" w:hAnsi="Verdana" w:cs="Century Gothic"/>
          <w:b/>
          <w:color w:val="ED7D31" w:themeColor="accent2"/>
          <w:lang w:val="es-ES"/>
        </w:rPr>
      </w:pPr>
      <w:r w:rsidRPr="00B52E6D">
        <w:rPr>
          <w:rFonts w:ascii="Verdana" w:eastAsia="Century Gothic" w:hAnsi="Verdana" w:cs="Century Gothic"/>
          <w:b/>
          <w:lang w:val="es-ES"/>
        </w:rPr>
        <w:t>5. Doctrina de la Agencia Nacional de Contratación Pública:</w:t>
      </w:r>
    </w:p>
    <w:p w14:paraId="1B162655" w14:textId="77777777" w:rsidR="008926D3" w:rsidRPr="00255E89" w:rsidRDefault="008926D3" w:rsidP="008926D3">
      <w:pPr>
        <w:widowControl w:val="0"/>
        <w:autoSpaceDE w:val="0"/>
        <w:autoSpaceDN w:val="0"/>
        <w:spacing w:after="0" w:line="276" w:lineRule="auto"/>
        <w:jc w:val="both"/>
        <w:rPr>
          <w:rFonts w:ascii="Verdana" w:hAnsi="Verdana" w:cs="Arial"/>
          <w:color w:val="ED7D31" w:themeColor="accent2"/>
          <w:highlight w:val="lightGray"/>
          <w:lang w:val="es-ES"/>
        </w:rPr>
      </w:pPr>
    </w:p>
    <w:p w14:paraId="3BC94459" w14:textId="77777777" w:rsidR="008926D3" w:rsidRPr="00B52E6D" w:rsidRDefault="008926D3" w:rsidP="008926D3">
      <w:pPr>
        <w:spacing w:after="0" w:line="276" w:lineRule="auto"/>
        <w:jc w:val="both"/>
        <w:rPr>
          <w:rFonts w:ascii="Verdana" w:hAnsi="Verdana" w:cs="Arial"/>
          <w:color w:val="EE0000"/>
          <w:shd w:val="clear" w:color="auto" w:fill="FFFFFF"/>
          <w:lang w:val="es-ES"/>
        </w:rPr>
      </w:pPr>
      <w:r w:rsidRPr="00255E89">
        <w:rPr>
          <w:rFonts w:ascii="Verdana" w:eastAsia="Calibri" w:hAnsi="Verdana" w:cs="Arial"/>
          <w:lang w:val="es-ES"/>
        </w:rPr>
        <w:t xml:space="preserve">La Agencia Nacional de Contratación Pública – Colombia Compra Eficiente se ha referido </w:t>
      </w:r>
      <w:r w:rsidRPr="00064773">
        <w:rPr>
          <w:rFonts w:ascii="Verdana" w:hAnsi="Verdana" w:cs="Arial"/>
          <w:shd w:val="clear" w:color="auto" w:fill="FFFFFF"/>
          <w:lang w:val="es-ES"/>
        </w:rPr>
        <w:t xml:space="preserve">sobre </w:t>
      </w:r>
      <w:r w:rsidRPr="00B52E6D">
        <w:rPr>
          <w:rFonts w:ascii="Verdana" w:hAnsi="Verdana" w:cs="Arial"/>
          <w:shd w:val="clear" w:color="auto" w:fill="FFFFFF"/>
          <w:lang w:val="es-ES"/>
        </w:rPr>
        <w:t>los contratos de prestación de servicios, así como los requisitos para su celebración en los conceptos con radicado C-414 del 30 de junio de 2020,C-661 del 17 de noviembre de 2020 C−685 del 18 de diciembre de 2020, C-004 del 12 de febrero de 2021, C-106 del 7 de abril de 2021, C-181 del 07 de abril de 2022, C-214 del 22 de abril de 2022, C-491 de 01 de agosto de 2022, C-008 del 20 de febrero de 2023, C-009 del 20 de febrero de 2023, C-286 del 2023, C-351 del 30 de agosto de 2024, C-372 del 26 de Agosto 2024, C-904 del 9 de diciembre de 2024 , C-363 del 15 de abril de 2025, C-652 del 04 de julio de 2025 , C-706 del 15 de julio de 2025 y C-749 del 14 de agosto de 2025, entre otros</w:t>
      </w:r>
      <w:r w:rsidRPr="00B52E6D">
        <w:rPr>
          <w:rFonts w:ascii="Verdana" w:eastAsia="Aptos" w:hAnsi="Verdana" w:cs="Segoe UI"/>
          <w:kern w:val="2"/>
          <w14:ligatures w14:val="standardContextual"/>
        </w:rPr>
        <w:t>.</w:t>
      </w:r>
    </w:p>
    <w:p w14:paraId="334FF063" w14:textId="77777777" w:rsidR="008926D3" w:rsidRPr="00B52E6D" w:rsidRDefault="008926D3" w:rsidP="008926D3">
      <w:pPr>
        <w:spacing w:after="0" w:line="276" w:lineRule="auto"/>
        <w:jc w:val="both"/>
        <w:rPr>
          <w:rFonts w:ascii="Verdana" w:hAnsi="Verdana" w:cs="Arial"/>
          <w:shd w:val="clear" w:color="auto" w:fill="FFFFFF"/>
          <w:lang w:val="es-ES"/>
        </w:rPr>
      </w:pPr>
    </w:p>
    <w:p w14:paraId="1CC5C894" w14:textId="77777777" w:rsidR="008926D3" w:rsidRPr="00B52E6D" w:rsidRDefault="008926D3" w:rsidP="008926D3">
      <w:pPr>
        <w:spacing w:after="0" w:line="276" w:lineRule="auto"/>
        <w:jc w:val="both"/>
        <w:rPr>
          <w:rFonts w:ascii="Verdana" w:hAnsi="Verdana"/>
          <w:lang w:val="es-ES"/>
        </w:rPr>
      </w:pPr>
      <w:r w:rsidRPr="00B52E6D">
        <w:rPr>
          <w:rFonts w:ascii="Verdana" w:hAnsi="Verdana" w:cs="Arial"/>
          <w:shd w:val="clear" w:color="auto" w:fill="FFFFFF"/>
          <w:lang w:val="es-ES"/>
        </w:rPr>
        <w:t>Estos</w:t>
      </w:r>
      <w:r w:rsidRPr="00B52E6D">
        <w:rPr>
          <w:rFonts w:ascii="Verdana" w:hAnsi="Verdana"/>
          <w:lang w:val="es-ES"/>
        </w:rPr>
        <w:t xml:space="preserve"> y otros se encuentran disponibles para consulta en el Sistema de relatoría de la Agencia, al cual se puede acceder a través del siguiente enlace:</w:t>
      </w:r>
      <w:r w:rsidRPr="00B52E6D">
        <w:rPr>
          <w:rFonts w:ascii="Verdana" w:hAnsi="Verdana" w:cs="Arial"/>
          <w:shd w:val="clear" w:color="auto" w:fill="FFFFFF"/>
          <w:lang w:val="es-ES"/>
        </w:rPr>
        <w:t xml:space="preserve"> </w:t>
      </w:r>
      <w:hyperlink r:id="rId12" w:history="1">
        <w:r w:rsidRPr="00B52E6D">
          <w:rPr>
            <w:rStyle w:val="Hipervnculo"/>
            <w:rFonts w:ascii="Verdana" w:hAnsi="Verdana" w:cs="Arial"/>
            <w:shd w:val="clear" w:color="auto" w:fill="FFFFFF"/>
            <w:lang w:val="es-ES"/>
          </w:rPr>
          <w:t>https://relatoria.colombiacompra.gov.co/busqueda/conceptos</w:t>
        </w:r>
      </w:hyperlink>
    </w:p>
    <w:p w14:paraId="332F1320" w14:textId="77777777" w:rsidR="0053120A" w:rsidRPr="00144EB3" w:rsidRDefault="0053120A" w:rsidP="0053120A">
      <w:pPr>
        <w:spacing w:after="0" w:line="276"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xml:space="preserve">, una herramienta clave para fortalecer las capacidades de todos los compradores públicos, proveedores, servidores públicos v para generar </w:t>
      </w:r>
      <w:r w:rsidRPr="00144EB3">
        <w:rPr>
          <w:rFonts w:ascii="Verdana" w:eastAsia="Calibri" w:hAnsi="Verdana" w:cs="Arial"/>
        </w:rPr>
        <w:lastRenderedPageBreak/>
        <w:t>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2FFD76E3" w14:textId="77777777" w:rsidR="0053120A" w:rsidRDefault="0053120A" w:rsidP="0053120A">
      <w:pPr>
        <w:spacing w:after="0" w:line="276" w:lineRule="auto"/>
        <w:jc w:val="both"/>
        <w:rPr>
          <w:rFonts w:ascii="Verdana" w:eastAsia="Calibri" w:hAnsi="Verdana" w:cs="Arial"/>
        </w:rPr>
      </w:pPr>
    </w:p>
    <w:p w14:paraId="29C6A826" w14:textId="77777777" w:rsidR="0053120A" w:rsidRPr="00144EB3" w:rsidRDefault="0053120A" w:rsidP="0053120A">
      <w:pPr>
        <w:spacing w:after="0" w:line="276"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452D90CC" w14:textId="77777777" w:rsidR="0053120A" w:rsidRPr="00144EB3" w:rsidRDefault="0053120A" w:rsidP="0053120A">
      <w:pPr>
        <w:spacing w:after="0" w:line="276" w:lineRule="auto"/>
        <w:jc w:val="both"/>
        <w:rPr>
          <w:rFonts w:ascii="Verdana" w:eastAsia="Calibri" w:hAnsi="Verdana" w:cs="Arial"/>
        </w:rPr>
      </w:pPr>
    </w:p>
    <w:p w14:paraId="0018B788" w14:textId="77777777" w:rsidR="0053120A" w:rsidRPr="00144EB3" w:rsidRDefault="0053120A" w:rsidP="0053120A">
      <w:pPr>
        <w:spacing w:after="0" w:line="276"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4F459294" w14:textId="77777777" w:rsidR="0053120A" w:rsidRPr="00144EB3" w:rsidRDefault="0053120A" w:rsidP="0053120A">
      <w:pPr>
        <w:spacing w:after="0" w:line="276"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3B151E1F" w14:textId="77777777" w:rsidR="0053120A" w:rsidRPr="00144EB3" w:rsidRDefault="0053120A" w:rsidP="0053120A">
      <w:pPr>
        <w:spacing w:after="0" w:line="276" w:lineRule="auto"/>
        <w:jc w:val="both"/>
        <w:rPr>
          <w:rFonts w:ascii="Verdana" w:eastAsia="Calibri" w:hAnsi="Verdana" w:cs="Arial"/>
          <w:shd w:val="clear" w:color="auto" w:fill="FFFFFF"/>
        </w:rPr>
      </w:pPr>
    </w:p>
    <w:p w14:paraId="34315105" w14:textId="77777777" w:rsidR="0053120A" w:rsidRPr="00144EB3" w:rsidRDefault="0053120A" w:rsidP="0053120A">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62FE0AC6" w14:textId="77777777" w:rsidR="0053120A" w:rsidRPr="00144EB3" w:rsidRDefault="0053120A" w:rsidP="0053120A">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ColombiaCompraEficiente</w:t>
      </w:r>
    </w:p>
    <w:p w14:paraId="46F04597" w14:textId="77777777" w:rsidR="0053120A" w:rsidRPr="00144EB3" w:rsidRDefault="0053120A" w:rsidP="0053120A">
      <w:pPr>
        <w:spacing w:after="0" w:line="276"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0AAA8EC5" w14:textId="77777777" w:rsidR="0053120A" w:rsidRPr="00144EB3" w:rsidRDefault="0053120A" w:rsidP="0053120A">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4C33D808" w14:textId="77777777" w:rsidR="0053120A" w:rsidRPr="00144EB3" w:rsidRDefault="0053120A" w:rsidP="0053120A">
      <w:pPr>
        <w:widowControl w:val="0"/>
        <w:autoSpaceDE w:val="0"/>
        <w:autoSpaceDN w:val="0"/>
        <w:spacing w:after="0" w:line="276" w:lineRule="auto"/>
        <w:jc w:val="both"/>
        <w:rPr>
          <w:rFonts w:ascii="Verdana" w:eastAsia="Calibri" w:hAnsi="Verdana" w:cs="Arial"/>
          <w:lang w:val="es-ES"/>
        </w:rPr>
      </w:pPr>
    </w:p>
    <w:p w14:paraId="7BF39B25" w14:textId="77777777" w:rsidR="0053120A" w:rsidRPr="00144EB3" w:rsidRDefault="0053120A" w:rsidP="0053120A">
      <w:pPr>
        <w:widowControl w:val="0"/>
        <w:autoSpaceDE w:val="0"/>
        <w:autoSpaceDN w:val="0"/>
        <w:spacing w:after="0" w:line="276" w:lineRule="auto"/>
        <w:jc w:val="both"/>
        <w:rPr>
          <w:rFonts w:ascii="Verdana" w:eastAsia="Calibri" w:hAnsi="Verdana" w:cs="Arial"/>
          <w:lang w:val="es-ES"/>
        </w:rPr>
      </w:pPr>
      <w:r w:rsidRPr="00144EB3">
        <w:rPr>
          <w:rFonts w:ascii="Verdana" w:eastAsia="Calibri" w:hAnsi="Verdana" w:cs="Arial"/>
          <w:lang w:val="es-ES"/>
        </w:rPr>
        <w:t xml:space="preserve">Este concepto tiene el alcance previsto en el artículo 28 del Código de Procedimiento Administrativo y de lo Contencioso Administrativo y las expresiones aquí utilizadas con mayúscula inicial deben ser entendidas con el </w:t>
      </w:r>
      <w:r w:rsidRPr="00144EB3">
        <w:rPr>
          <w:rFonts w:ascii="Verdana" w:eastAsia="Calibri" w:hAnsi="Verdana" w:cs="Arial"/>
          <w:lang w:val="es-ES"/>
        </w:rPr>
        <w:lastRenderedPageBreak/>
        <w:t>significado que les otorga el artículo 2.2.1.1.1.3.1. del Decreto 1082 de 2015.</w:t>
      </w:r>
    </w:p>
    <w:p w14:paraId="4B93DE64" w14:textId="77777777" w:rsidR="0053120A" w:rsidRPr="00144EB3" w:rsidRDefault="0053120A" w:rsidP="0053120A">
      <w:pPr>
        <w:spacing w:after="0" w:line="276" w:lineRule="auto"/>
        <w:jc w:val="both"/>
        <w:rPr>
          <w:rFonts w:ascii="Verdana" w:eastAsia="Verdana" w:hAnsi="Verdana" w:cs="Verdana"/>
        </w:rPr>
      </w:pPr>
    </w:p>
    <w:p w14:paraId="02C7773A" w14:textId="77777777" w:rsidR="0053120A" w:rsidRPr="00144EB3" w:rsidRDefault="0053120A" w:rsidP="0053120A">
      <w:pPr>
        <w:spacing w:after="0" w:line="276"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393597D4" w14:textId="77777777" w:rsidR="0053120A" w:rsidRPr="00144EB3" w:rsidRDefault="0053120A" w:rsidP="0053120A">
      <w:pPr>
        <w:spacing w:after="0" w:line="276" w:lineRule="auto"/>
        <w:rPr>
          <w:rFonts w:ascii="Verdana" w:eastAsia="Verdana" w:hAnsi="Verdana" w:cs="Verdana"/>
        </w:rPr>
      </w:pPr>
    </w:p>
    <w:p w14:paraId="580E7CDA" w14:textId="77777777" w:rsidR="0053120A" w:rsidRPr="00144EB3" w:rsidRDefault="0053120A" w:rsidP="0053120A">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3ED8AA10" w14:textId="3EC65532" w:rsidR="0053120A" w:rsidRPr="00182F6A" w:rsidRDefault="0053120A" w:rsidP="0053120A">
      <w:pPr>
        <w:spacing w:after="120" w:line="276" w:lineRule="auto"/>
        <w:contextualSpacing/>
        <w:jc w:val="center"/>
        <w:rPr>
          <w:rFonts w:ascii="Verdana" w:eastAsia="Aptos" w:hAnsi="Verdana" w:cs="Arial"/>
          <w:shd w:val="clear" w:color="auto" w:fill="FFFFFF"/>
          <w:lang w:val="es-ES"/>
        </w:rPr>
      </w:pPr>
    </w:p>
    <w:p w14:paraId="77308629" w14:textId="77777777" w:rsidR="002E4341" w:rsidRDefault="002E4341" w:rsidP="002E4341">
      <w:pPr>
        <w:tabs>
          <w:tab w:val="left" w:pos="2610"/>
        </w:tabs>
        <w:spacing w:after="0" w:line="276" w:lineRule="auto"/>
        <w:jc w:val="center"/>
        <w:rPr>
          <w:rFonts w:ascii="Verdana" w:hAnsi="Verdana" w:cs="Arial"/>
          <w:lang w:val="es-ES" w:eastAsia="es-CO"/>
        </w:rPr>
      </w:pPr>
    </w:p>
    <w:p w14:paraId="05B2BC81" w14:textId="0A90FC6D" w:rsidR="0053120A" w:rsidRPr="008278B1" w:rsidRDefault="002E4341" w:rsidP="002E4341">
      <w:pPr>
        <w:tabs>
          <w:tab w:val="left" w:pos="2610"/>
        </w:tabs>
        <w:spacing w:after="0" w:line="276" w:lineRule="auto"/>
        <w:jc w:val="center"/>
        <w:rPr>
          <w:rFonts w:ascii="Verdana" w:hAnsi="Verdana" w:cs="Arial"/>
          <w:lang w:val="es-ES" w:eastAsia="es-CO"/>
        </w:rPr>
      </w:pPr>
      <w:r w:rsidRPr="002C3AD6">
        <w:rPr>
          <w:rFonts w:ascii="Century Gothic" w:hAnsi="Century Gothic"/>
          <w:noProof/>
        </w:rPr>
        <w:drawing>
          <wp:inline distT="0" distB="0" distL="0" distR="0" wp14:anchorId="7AAE3778" wp14:editId="42FF9C6A">
            <wp:extent cx="3190875" cy="1184491"/>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214607" cy="119330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3120A" w:rsidRPr="008278B1" w14:paraId="3A697676" w14:textId="77777777" w:rsidTr="0051452B">
        <w:trPr>
          <w:trHeight w:val="315"/>
        </w:trPr>
        <w:tc>
          <w:tcPr>
            <w:tcW w:w="893" w:type="dxa"/>
            <w:vAlign w:val="center"/>
            <w:hideMark/>
          </w:tcPr>
          <w:p w14:paraId="34F6534B" w14:textId="77777777" w:rsidR="0053120A" w:rsidRPr="008278B1" w:rsidRDefault="0053120A" w:rsidP="0051452B">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8E62116" w14:textId="77777777" w:rsidR="0053120A" w:rsidRPr="00860461" w:rsidRDefault="0053120A" w:rsidP="0051452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5F9035B6" w14:textId="77777777" w:rsidR="0053120A" w:rsidRPr="00860461" w:rsidRDefault="0053120A" w:rsidP="0051452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53120A" w:rsidRPr="00F84F36" w14:paraId="35D07C9F" w14:textId="77777777" w:rsidTr="0051452B">
        <w:trPr>
          <w:trHeight w:val="330"/>
        </w:trPr>
        <w:tc>
          <w:tcPr>
            <w:tcW w:w="893" w:type="dxa"/>
            <w:vAlign w:val="center"/>
            <w:hideMark/>
          </w:tcPr>
          <w:p w14:paraId="7AF2638E" w14:textId="77777777" w:rsidR="0053120A" w:rsidRPr="0025661F" w:rsidRDefault="0053120A" w:rsidP="0051452B">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FE244DC" w14:textId="77777777" w:rsidR="0053120A" w:rsidRPr="00D62D2E" w:rsidRDefault="0053120A" w:rsidP="0051452B">
            <w:pPr>
              <w:rPr>
                <w:rFonts w:ascii="Verdana" w:eastAsia="Times New Roman" w:hAnsi="Verdana" w:cs="Arial"/>
                <w:color w:val="000000" w:themeColor="text1"/>
                <w:sz w:val="16"/>
                <w:szCs w:val="16"/>
                <w:lang w:eastAsia="es-ES"/>
              </w:rPr>
            </w:pPr>
            <w:r w:rsidRPr="00D62D2E">
              <w:rPr>
                <w:rFonts w:ascii="Verdana" w:eastAsia="Times New Roman" w:hAnsi="Verdana" w:cs="Arial"/>
                <w:color w:val="000000" w:themeColor="text1"/>
                <w:sz w:val="16"/>
                <w:szCs w:val="16"/>
                <w:lang w:eastAsia="es-ES"/>
              </w:rPr>
              <w:t>Diana Lucia Saavedra</w:t>
            </w:r>
            <w:r>
              <w:rPr>
                <w:rFonts w:ascii="Verdana" w:eastAsia="Times New Roman" w:hAnsi="Verdana" w:cs="Arial"/>
                <w:color w:val="000000" w:themeColor="text1"/>
                <w:sz w:val="16"/>
                <w:szCs w:val="16"/>
                <w:lang w:eastAsia="es-ES"/>
              </w:rPr>
              <w:t xml:space="preserve"> Castañeda</w:t>
            </w:r>
          </w:p>
          <w:p w14:paraId="66787294" w14:textId="77777777" w:rsidR="0053120A" w:rsidRPr="0025661F" w:rsidRDefault="0053120A" w:rsidP="0051452B">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53120A" w:rsidRPr="00F84F36" w14:paraId="4472167C" w14:textId="77777777" w:rsidTr="0051452B">
        <w:trPr>
          <w:trHeight w:val="300"/>
        </w:trPr>
        <w:tc>
          <w:tcPr>
            <w:tcW w:w="893" w:type="dxa"/>
            <w:vAlign w:val="center"/>
          </w:tcPr>
          <w:p w14:paraId="1A49A5F9" w14:textId="77777777" w:rsidR="0053120A" w:rsidRPr="008278B1" w:rsidRDefault="0053120A" w:rsidP="0051452B">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70FC81" w14:textId="77777777" w:rsidR="0053120A" w:rsidRPr="008278B1" w:rsidRDefault="0053120A" w:rsidP="0051452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07939970" w14:textId="77777777" w:rsidR="0053120A" w:rsidRPr="008278B1" w:rsidRDefault="0053120A" w:rsidP="0051452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67D560BF" w14:textId="77777777" w:rsidR="0053120A" w:rsidRPr="008E53E8" w:rsidRDefault="0053120A" w:rsidP="0053120A">
      <w:pPr>
        <w:spacing w:after="0"/>
        <w:rPr>
          <w:rFonts w:ascii="Verdana" w:eastAsia="Verdana" w:hAnsi="Verdana" w:cs="Verdana"/>
          <w:lang w:val="es-ES"/>
        </w:rPr>
      </w:pPr>
      <w:r>
        <w:rPr>
          <w:noProof/>
        </w:rPr>
        <w:drawing>
          <wp:inline distT="0" distB="0" distL="0" distR="0" wp14:anchorId="6737F342" wp14:editId="687C1F1D">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bookmarkEnd w:id="0"/>
    <w:p w14:paraId="6AAC9B99" w14:textId="77777777" w:rsidR="008926D3" w:rsidRPr="00B52E6D" w:rsidRDefault="008926D3" w:rsidP="008926D3">
      <w:pPr>
        <w:spacing w:after="0" w:line="276" w:lineRule="auto"/>
        <w:jc w:val="both"/>
        <w:rPr>
          <w:rFonts w:ascii="Verdana" w:hAnsi="Verdana" w:cs="Arial"/>
          <w:shd w:val="clear" w:color="auto" w:fill="FFFFFF"/>
        </w:rPr>
      </w:pPr>
    </w:p>
    <w:sectPr w:rsidR="008926D3" w:rsidRPr="00B52E6D"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E26B0" w14:textId="77777777" w:rsidR="00886B94" w:rsidRDefault="00886B94" w:rsidP="004A1847">
      <w:pPr>
        <w:spacing w:after="0" w:line="240" w:lineRule="auto"/>
      </w:pPr>
      <w:r>
        <w:separator/>
      </w:r>
    </w:p>
  </w:endnote>
  <w:endnote w:type="continuationSeparator" w:id="0">
    <w:p w14:paraId="488744B1" w14:textId="77777777" w:rsidR="00886B94" w:rsidRDefault="00886B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rial Nova">
    <w:charset w:val="00"/>
    <w:family w:val="swiss"/>
    <w:pitch w:val="variable"/>
    <w:sig w:usb0="0000028F" w:usb1="00000002" w:usb2="00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9009F" w14:textId="77777777" w:rsidR="00886B94" w:rsidRDefault="00886B94" w:rsidP="004A1847">
      <w:pPr>
        <w:spacing w:after="0" w:line="240" w:lineRule="auto"/>
      </w:pPr>
      <w:r>
        <w:separator/>
      </w:r>
    </w:p>
  </w:footnote>
  <w:footnote w:type="continuationSeparator" w:id="0">
    <w:p w14:paraId="3B77444F" w14:textId="77777777" w:rsidR="00886B94" w:rsidRDefault="00886B94" w:rsidP="004A1847">
      <w:pPr>
        <w:spacing w:after="0" w:line="240" w:lineRule="auto"/>
      </w:pPr>
      <w:r>
        <w:continuationSeparator/>
      </w:r>
    </w:p>
  </w:footnote>
  <w:footnote w:id="1">
    <w:p w14:paraId="3E2A33A7" w14:textId="77777777" w:rsidR="008926D3" w:rsidRPr="00064773" w:rsidRDefault="008926D3" w:rsidP="008926D3">
      <w:pPr>
        <w:pStyle w:val="Textonotapie"/>
        <w:ind w:firstLine="709"/>
        <w:jc w:val="both"/>
        <w:rPr>
          <w:rFonts w:ascii="Verdana" w:hAnsi="Verdana" w:cs="Arial"/>
          <w:sz w:val="16"/>
          <w:szCs w:val="16"/>
        </w:rPr>
      </w:pPr>
      <w:r w:rsidRPr="00064773">
        <w:rPr>
          <w:rStyle w:val="Refdenotaalpie"/>
          <w:rFonts w:ascii="Verdana" w:hAnsi="Verdana" w:cs="Arial"/>
          <w:sz w:val="16"/>
          <w:szCs w:val="16"/>
        </w:rPr>
        <w:footnoteRef/>
      </w:r>
      <w:r w:rsidRPr="00064773">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740C5CDD" w14:textId="77777777" w:rsidR="008926D3" w:rsidRPr="00064773" w:rsidRDefault="008926D3" w:rsidP="008926D3">
      <w:pPr>
        <w:pStyle w:val="Textonotapie"/>
        <w:ind w:firstLine="709"/>
        <w:jc w:val="both"/>
        <w:rPr>
          <w:rFonts w:ascii="Verdana" w:hAnsi="Verdana" w:cs="Arial"/>
          <w:sz w:val="16"/>
          <w:szCs w:val="16"/>
          <w:lang w:val="es-ES_tradnl"/>
        </w:rPr>
      </w:pPr>
    </w:p>
  </w:footnote>
  <w:footnote w:id="2">
    <w:p w14:paraId="19538A44"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p w14:paraId="34EC0F79"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3">
    <w:p w14:paraId="5F1A5458"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022A770"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1C7E23A5"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El Gobierno nacional reglamentará el mecanismo para realizar la mensualización de que trata el presente artículo.</w:t>
      </w:r>
    </w:p>
    <w:p w14:paraId="2E2A2E02"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2333DDFE"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4">
    <w:p w14:paraId="17D815E5" w14:textId="77777777" w:rsidR="008926D3" w:rsidRPr="00064773" w:rsidRDefault="008926D3" w:rsidP="008926D3">
      <w:pPr>
        <w:pStyle w:val="Textonotapie"/>
        <w:ind w:firstLine="708"/>
        <w:rPr>
          <w:rFonts w:ascii="Verdana" w:hAnsi="Verdana" w:cs="Arial"/>
          <w:color w:val="000000"/>
          <w:sz w:val="16"/>
          <w:szCs w:val="16"/>
          <w:lang w:val="pt-BR"/>
        </w:rPr>
      </w:pPr>
      <w:r w:rsidRPr="00064773">
        <w:rPr>
          <w:rStyle w:val="Refdenotaalpie"/>
          <w:rFonts w:ascii="Verdana" w:hAnsi="Verdana"/>
          <w:sz w:val="16"/>
          <w:szCs w:val="16"/>
        </w:rPr>
        <w:footnoteRef/>
      </w:r>
      <w:r w:rsidRPr="00064773">
        <w:rPr>
          <w:rFonts w:ascii="Verdana" w:hAnsi="Verdana"/>
          <w:sz w:val="16"/>
          <w:szCs w:val="16"/>
          <w:lang w:val="pt-BR"/>
        </w:rPr>
        <w:t xml:space="preserve"> </w:t>
      </w:r>
      <w:r w:rsidRPr="00064773">
        <w:rPr>
          <w:rFonts w:ascii="Verdana" w:hAnsi="Verdana" w:cs="Arial"/>
          <w:color w:val="000000"/>
          <w:sz w:val="16"/>
          <w:szCs w:val="16"/>
          <w:lang w:val="pt-BR"/>
        </w:rPr>
        <w:t>Corte Constitucional. Sentencia C-154 de 1997. M.P. Hernando Herrera Vergara.</w:t>
      </w:r>
    </w:p>
    <w:p w14:paraId="57CCA3A5" w14:textId="77777777" w:rsidR="008926D3" w:rsidRPr="00064773" w:rsidRDefault="008926D3" w:rsidP="008926D3">
      <w:pPr>
        <w:pStyle w:val="Textonotapie"/>
        <w:ind w:firstLine="708"/>
        <w:rPr>
          <w:rFonts w:ascii="Verdana" w:hAnsi="Verdana"/>
          <w:sz w:val="16"/>
          <w:szCs w:val="16"/>
          <w:lang w:val="pt-BR"/>
        </w:rPr>
      </w:pPr>
    </w:p>
  </w:footnote>
  <w:footnote w:id="5">
    <w:p w14:paraId="60AEC648" w14:textId="77777777" w:rsidR="008926D3" w:rsidRPr="00064773" w:rsidRDefault="008926D3" w:rsidP="008926D3">
      <w:pPr>
        <w:spacing w:after="0" w:line="240" w:lineRule="auto"/>
        <w:ind w:firstLine="708"/>
        <w:jc w:val="both"/>
        <w:rPr>
          <w:rFonts w:ascii="Verdana" w:eastAsia="Arial Nova" w:hAnsi="Verdana" w:cs="Arial"/>
          <w:sz w:val="16"/>
          <w:szCs w:val="16"/>
          <w:lang w:val="pt-BR"/>
        </w:rPr>
      </w:pPr>
      <w:r w:rsidRPr="00064773">
        <w:rPr>
          <w:rStyle w:val="Refdenotaalpie"/>
          <w:rFonts w:ascii="Verdana" w:hAnsi="Verdana" w:cs="Arial"/>
          <w:sz w:val="16"/>
          <w:szCs w:val="16"/>
        </w:rPr>
        <w:footnoteRef/>
      </w:r>
      <w:r w:rsidRPr="00064773">
        <w:rPr>
          <w:rFonts w:ascii="Verdana" w:hAnsi="Verdana" w:cs="Arial"/>
          <w:sz w:val="16"/>
          <w:szCs w:val="16"/>
          <w:lang w:val="pt-BR"/>
        </w:rPr>
        <w:t xml:space="preserve"> </w:t>
      </w:r>
      <w:r w:rsidRPr="00064773">
        <w:rPr>
          <w:rFonts w:ascii="Verdana" w:eastAsia="Arial Nova" w:hAnsi="Verdana" w:cs="Arial"/>
          <w:sz w:val="16"/>
          <w:szCs w:val="16"/>
          <w:lang w:val="pt-BR"/>
        </w:rPr>
        <w:t>Corte Constitucional. Sentencia C-614 de 2009. M.P. Jorge Ignacio Pretelt Chaljub.</w:t>
      </w:r>
    </w:p>
    <w:p w14:paraId="2BF9B417" w14:textId="77777777" w:rsidR="008926D3" w:rsidRPr="00064773" w:rsidDel="00A37FEF" w:rsidRDefault="008926D3" w:rsidP="008926D3">
      <w:pPr>
        <w:spacing w:after="0" w:line="240" w:lineRule="auto"/>
        <w:ind w:firstLine="708"/>
        <w:jc w:val="both"/>
        <w:rPr>
          <w:rFonts w:ascii="Verdana" w:eastAsia="Arial Nova" w:hAnsi="Verdana" w:cs="Arial"/>
          <w:sz w:val="16"/>
          <w:szCs w:val="16"/>
          <w:lang w:val="pt-BR"/>
        </w:rPr>
      </w:pPr>
    </w:p>
  </w:footnote>
  <w:footnote w:id="6">
    <w:p w14:paraId="257E9A78" w14:textId="77777777" w:rsidR="008926D3" w:rsidRPr="00064773" w:rsidRDefault="008926D3" w:rsidP="008926D3">
      <w:pPr>
        <w:pStyle w:val="Textonotapie"/>
        <w:ind w:firstLine="709"/>
        <w:jc w:val="both"/>
        <w:rPr>
          <w:rFonts w:ascii="Verdana" w:hAnsi="Verdana" w:cs="Arial"/>
          <w:color w:val="000000" w:themeColor="text1"/>
          <w:sz w:val="16"/>
          <w:szCs w:val="16"/>
          <w:lang w:val="es-CO"/>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themeColor="text1"/>
          <w:sz w:val="16"/>
          <w:szCs w:val="16"/>
          <w:lang w:val="es-ES"/>
        </w:rPr>
        <w:t xml:space="preserve">Consejo de Estado. Sección Segunda. Sentencia de Unificación Jurisprudencial </w:t>
      </w:r>
      <w:r w:rsidRPr="00064773">
        <w:rPr>
          <w:rFonts w:ascii="Verdana" w:hAnsi="Verdana" w:cs="Arial"/>
          <w:color w:val="000000" w:themeColor="text1"/>
          <w:sz w:val="16"/>
          <w:szCs w:val="16"/>
          <w:lang w:val="es-CO"/>
        </w:rPr>
        <w:t>SUJ-025-CE-S2-2021.</w:t>
      </w:r>
      <w:r w:rsidRPr="00064773">
        <w:rPr>
          <w:rFonts w:ascii="Verdana" w:hAnsi="Verdana" w:cs="Arial"/>
          <w:color w:val="000000" w:themeColor="text1"/>
          <w:sz w:val="16"/>
          <w:szCs w:val="16"/>
          <w:lang w:val="es-ES"/>
        </w:rPr>
        <w:t xml:space="preserve"> Radicado (1317-2016). El numeral primero de la parte resolutiva de la sentencia señala lo siguiente:</w:t>
      </w:r>
      <w:r w:rsidRPr="00064773">
        <w:rPr>
          <w:rFonts w:ascii="Verdana" w:eastAsia="Times New Roman" w:hAnsi="Verdana" w:cs="Times New Roman"/>
          <w:sz w:val="16"/>
          <w:szCs w:val="16"/>
          <w:lang w:val="es-CO" w:eastAsia="es-ES_tradnl"/>
        </w:rPr>
        <w:t xml:space="preserve"> </w:t>
      </w:r>
      <w:r w:rsidRPr="00064773">
        <w:rPr>
          <w:rFonts w:ascii="Verdana" w:hAnsi="Verdana" w:cs="Arial"/>
          <w:noProof/>
          <w:sz w:val="16"/>
          <w:szCs w:val="16"/>
          <w:lang w:val="es-ES_tradnl"/>
        </w:rPr>
        <w:t>“</w:t>
      </w:r>
      <w:r w:rsidRPr="00064773">
        <w:rPr>
          <w:rFonts w:ascii="Verdana" w:hAnsi="Verdana" w:cs="Arial"/>
          <w:color w:val="000000" w:themeColor="text1"/>
          <w:sz w:val="16"/>
          <w:szCs w:val="16"/>
          <w:lang w:val="es-CO"/>
        </w:rPr>
        <w:t xml:space="preserve">Unificar la jurisprudencia de la Sección Segunda del Consejo de Estado, en el sentido de precisar las siguientes reglas en las relaciones laborales encubiertas o subyacentes: </w:t>
      </w:r>
    </w:p>
    <w:p w14:paraId="04F8A558" w14:textId="77777777" w:rsidR="008926D3" w:rsidRPr="00064773" w:rsidRDefault="008926D3" w:rsidP="008926D3">
      <w:pPr>
        <w:pStyle w:val="Textonotapie"/>
        <w:ind w:firstLine="709"/>
        <w:jc w:val="both"/>
        <w:rPr>
          <w:rFonts w:ascii="Verdana" w:hAnsi="Verdana" w:cs="Arial"/>
          <w:color w:val="000000" w:themeColor="text1"/>
          <w:sz w:val="16"/>
          <w:szCs w:val="16"/>
          <w:lang w:val="es-CO"/>
        </w:rPr>
      </w:pPr>
      <w:r w:rsidRPr="00064773">
        <w:rPr>
          <w:rFonts w:ascii="Verdana" w:hAnsi="Verdana" w:cs="Arial"/>
          <w:color w:val="000000" w:themeColor="text1"/>
          <w:sz w:val="16"/>
          <w:szCs w:val="16"/>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51EBD9D7" w14:textId="77777777" w:rsidR="008926D3" w:rsidRPr="00064773" w:rsidRDefault="008926D3" w:rsidP="008926D3">
      <w:pPr>
        <w:pStyle w:val="Textonotapie"/>
        <w:ind w:firstLine="709"/>
        <w:jc w:val="both"/>
        <w:rPr>
          <w:rFonts w:ascii="Verdana" w:hAnsi="Verdana" w:cs="Arial"/>
          <w:color w:val="000000" w:themeColor="text1"/>
          <w:sz w:val="16"/>
          <w:szCs w:val="16"/>
          <w:lang w:val="es-CO"/>
        </w:rPr>
      </w:pPr>
      <w:r w:rsidRPr="00064773">
        <w:rPr>
          <w:rFonts w:ascii="Verdana" w:hAnsi="Verdana" w:cs="Arial"/>
          <w:color w:val="000000" w:themeColor="text1"/>
          <w:sz w:val="16"/>
          <w:szCs w:val="16"/>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6010E1C6" w14:textId="77777777" w:rsidR="008926D3" w:rsidRPr="00064773" w:rsidRDefault="008926D3" w:rsidP="008926D3">
      <w:pPr>
        <w:pStyle w:val="Textonotapie"/>
        <w:ind w:firstLine="709"/>
        <w:jc w:val="both"/>
        <w:rPr>
          <w:rFonts w:ascii="Verdana" w:hAnsi="Verdana" w:cs="Arial"/>
          <w:sz w:val="16"/>
          <w:szCs w:val="16"/>
          <w:lang w:val="pt-BR"/>
        </w:rPr>
      </w:pPr>
      <w:r w:rsidRPr="00064773">
        <w:rPr>
          <w:rFonts w:ascii="Verdana" w:hAnsi="Verdana" w:cs="Arial"/>
          <w:color w:val="000000" w:themeColor="text1"/>
          <w:sz w:val="16"/>
          <w:szCs w:val="16"/>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064773">
        <w:rPr>
          <w:rFonts w:ascii="Verdana" w:hAnsi="Verdana" w:cs="Arial"/>
          <w:sz w:val="16"/>
          <w:szCs w:val="16"/>
          <w:lang w:val="pt-BR"/>
        </w:rPr>
        <w:t>”.</w:t>
      </w:r>
    </w:p>
    <w:p w14:paraId="02B24C83" w14:textId="77777777" w:rsidR="008926D3" w:rsidRPr="00064773" w:rsidRDefault="008926D3" w:rsidP="008926D3">
      <w:pPr>
        <w:pStyle w:val="Textonotapie"/>
        <w:ind w:firstLine="709"/>
        <w:jc w:val="both"/>
        <w:rPr>
          <w:rFonts w:ascii="Verdana" w:hAnsi="Verdana"/>
          <w:sz w:val="16"/>
          <w:szCs w:val="16"/>
          <w:lang w:val="es-CO"/>
        </w:rPr>
      </w:pPr>
    </w:p>
  </w:footnote>
  <w:footnote w:id="7">
    <w:p w14:paraId="0D2E006E" w14:textId="77777777" w:rsidR="008926D3" w:rsidRPr="00064773" w:rsidRDefault="008926D3" w:rsidP="008926D3">
      <w:pPr>
        <w:pStyle w:val="Textonotapie"/>
        <w:ind w:firstLine="709"/>
        <w:jc w:val="both"/>
        <w:rPr>
          <w:rFonts w:ascii="Verdana" w:hAnsi="Verdana" w:cs="Arial"/>
          <w:sz w:val="16"/>
          <w:szCs w:val="16"/>
        </w:rPr>
      </w:pPr>
      <w:r w:rsidRPr="00064773">
        <w:rPr>
          <w:rStyle w:val="Refdenotaalpie"/>
          <w:rFonts w:ascii="Verdana" w:hAnsi="Verdana" w:cs="Arial"/>
          <w:sz w:val="16"/>
          <w:szCs w:val="16"/>
        </w:rPr>
        <w:footnoteRef/>
      </w:r>
      <w:r w:rsidRPr="00064773">
        <w:rPr>
          <w:rFonts w:ascii="Verdana" w:hAnsi="Verdana" w:cs="Arial"/>
          <w:sz w:val="16"/>
          <w:szCs w:val="16"/>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064773">
        <w:rPr>
          <w:rFonts w:ascii="Verdana" w:hAnsi="Verdana" w:cs="Arial"/>
          <w:b/>
          <w:bCs/>
          <w:sz w:val="16"/>
          <w:szCs w:val="16"/>
        </w:rPr>
        <w:t>solo para efectos de la prescripción de derechos laborales</w:t>
      </w:r>
      <w:r w:rsidRPr="00064773">
        <w:rPr>
          <w:rFonts w:ascii="Verdana" w:hAnsi="Verdana" w:cs="Arial"/>
          <w:sz w:val="16"/>
          <w:szCs w:val="16"/>
        </w:rPr>
        <w:t>” (Énfasis dentro del texto).</w:t>
      </w:r>
    </w:p>
    <w:p w14:paraId="38D33057" w14:textId="77777777" w:rsidR="008926D3" w:rsidRPr="00064773" w:rsidRDefault="008926D3" w:rsidP="008926D3">
      <w:pPr>
        <w:pStyle w:val="Textonotapie"/>
        <w:ind w:firstLine="709"/>
        <w:jc w:val="both"/>
        <w:rPr>
          <w:rFonts w:ascii="Verdana" w:hAnsi="Verdana"/>
          <w:sz w:val="16"/>
          <w:szCs w:val="16"/>
        </w:rPr>
      </w:pPr>
    </w:p>
  </w:footnote>
  <w:footnote w:id="8">
    <w:p w14:paraId="18F242CE" w14:textId="77777777" w:rsidR="008926D3" w:rsidRPr="00064773" w:rsidRDefault="008926D3" w:rsidP="008926D3">
      <w:pPr>
        <w:pStyle w:val="Textonotapie"/>
        <w:ind w:firstLine="708"/>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Corte Constitucional. Sentencia C-154 de 1997. Magistrado Ponente: Hernando Herrera Vergara.</w:t>
      </w:r>
    </w:p>
    <w:p w14:paraId="20F98EC9" w14:textId="77777777" w:rsidR="008926D3" w:rsidRPr="00064773" w:rsidRDefault="008926D3" w:rsidP="008926D3">
      <w:pPr>
        <w:pStyle w:val="Textonotapie"/>
        <w:ind w:firstLine="708"/>
        <w:rPr>
          <w:rFonts w:ascii="Verdana" w:hAnsi="Verdana" w:cs="Arial"/>
          <w:color w:val="000000"/>
          <w:sz w:val="16"/>
          <w:szCs w:val="16"/>
          <w:lang w:val="es-ES"/>
        </w:rPr>
      </w:pPr>
    </w:p>
  </w:footnote>
  <w:footnote w:id="9">
    <w:p w14:paraId="20E78678"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cs="Arial"/>
          <w:color w:val="000000"/>
          <w:sz w:val="16"/>
          <w:szCs w:val="16"/>
        </w:rPr>
        <w:footnoteRef/>
      </w:r>
      <w:r w:rsidRPr="00064773">
        <w:rPr>
          <w:rFonts w:ascii="Verdana" w:hAnsi="Verdana" w:cs="Arial"/>
          <w:color w:val="000000"/>
          <w:sz w:val="16"/>
          <w:szCs w:val="16"/>
        </w:rPr>
        <w:t xml:space="preserve"> </w:t>
      </w:r>
      <w:r w:rsidRPr="00064773">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6D1E6E13" w14:textId="77777777" w:rsidR="008926D3" w:rsidRPr="00064773" w:rsidRDefault="008926D3" w:rsidP="008926D3">
      <w:pPr>
        <w:pStyle w:val="Textonotapie"/>
        <w:ind w:firstLine="709"/>
        <w:jc w:val="both"/>
        <w:rPr>
          <w:rFonts w:ascii="Verdana" w:hAnsi="Verdana" w:cs="Arial"/>
          <w:color w:val="000000" w:themeColor="text1"/>
          <w:sz w:val="16"/>
          <w:szCs w:val="16"/>
          <w:lang w:val="es-ES"/>
        </w:rPr>
      </w:pPr>
      <w:r w:rsidRPr="00064773">
        <w:rPr>
          <w:rFonts w:ascii="Verdana" w:hAnsi="Verdana" w:cs="Arial"/>
          <w:color w:val="000000"/>
          <w:sz w:val="16"/>
          <w:szCs w:val="16"/>
          <w:lang w:val="es-ES"/>
        </w:rPr>
        <w:t xml:space="preserve"> En este caso, no es necesario que la Entidad Estatal haya obtenido previamente varias ofertas, de lo cual el ordenador del gasto debe dejar constancia escrita. </w:t>
      </w:r>
      <w:r w:rsidRPr="00064773">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064773">
        <w:rPr>
          <w:rFonts w:ascii="Verdana" w:hAnsi="Verdana" w:cs="Arial"/>
          <w:color w:val="000000"/>
          <w:sz w:val="16"/>
          <w:szCs w:val="16"/>
          <w:lang w:val="es-ES"/>
        </w:rPr>
        <w:t xml:space="preserve"> </w:t>
      </w:r>
      <w:r w:rsidRPr="00064773">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p w14:paraId="4371CFDB"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10">
    <w:p w14:paraId="003FCF44"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cs="Arial"/>
          <w:color w:val="000000"/>
          <w:sz w:val="16"/>
          <w:szCs w:val="16"/>
        </w:rPr>
        <w:footnoteRef/>
      </w:r>
      <w:r w:rsidRPr="00064773">
        <w:rPr>
          <w:rFonts w:ascii="Verdana" w:hAnsi="Verdana" w:cs="Arial"/>
          <w:color w:val="000000"/>
          <w:sz w:val="16"/>
          <w:szCs w:val="16"/>
        </w:rPr>
        <w:t xml:space="preserve"> </w:t>
      </w:r>
      <w:r w:rsidRPr="00064773">
        <w:rPr>
          <w:rFonts w:ascii="Verdana" w:hAnsi="Verdana" w:cs="Arial"/>
          <w:color w:val="000000"/>
          <w:sz w:val="16"/>
          <w:szCs w:val="16"/>
          <w:lang w:val="es-ES"/>
        </w:rPr>
        <w:t>Consejo de Estado. Sección Tercera. Subsección C. Sentencia del 2 de diciembre de 2013. Exp. 41719. C.P. Jaime Orlando Santofimio Gamboa.</w:t>
      </w:r>
    </w:p>
    <w:p w14:paraId="2AFF1ADA" w14:textId="77777777" w:rsidR="008926D3" w:rsidRPr="00064773" w:rsidDel="00A37FEF" w:rsidRDefault="008926D3" w:rsidP="008926D3">
      <w:pPr>
        <w:pStyle w:val="Textonotapie"/>
        <w:ind w:firstLine="709"/>
        <w:jc w:val="both"/>
        <w:rPr>
          <w:rFonts w:ascii="Verdana" w:hAnsi="Verdana" w:cs="Arial"/>
          <w:color w:val="000000"/>
          <w:sz w:val="16"/>
          <w:szCs w:val="16"/>
          <w:lang w:val="es-ES"/>
        </w:rPr>
      </w:pPr>
    </w:p>
  </w:footnote>
  <w:footnote w:id="11">
    <w:p w14:paraId="17B5EB0D"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Ibid.-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9070905"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5DF1E09A"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23426158"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12">
    <w:p w14:paraId="449D27F0"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5C11FA27"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1. La causal que invoca para contratar directamente.</w:t>
      </w:r>
    </w:p>
    <w:p w14:paraId="38B68D73"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2. El objeto del contrato.</w:t>
      </w:r>
    </w:p>
    <w:p w14:paraId="4E5D421A"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3. El presupuesto para la contratación y las condiciones que exigirá al contratista.</w:t>
      </w:r>
    </w:p>
    <w:p w14:paraId="6ABDCAAA"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4. El lugar en el cual los interesados pueden consultar los estudios y documentos previos.</w:t>
      </w:r>
    </w:p>
    <w:p w14:paraId="0E14D931"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50DCE2D3"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13">
    <w:p w14:paraId="44F69111"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Esta norma expresa: “</w:t>
      </w:r>
      <w:r w:rsidRPr="00064773">
        <w:rPr>
          <w:rFonts w:ascii="Verdana" w:hAnsi="Verdana" w:cs="Arial"/>
          <w:color w:val="000000"/>
          <w:sz w:val="16"/>
          <w:szCs w:val="16"/>
        </w:rPr>
        <w:t>P</w:t>
      </w:r>
      <w:r w:rsidRPr="00064773">
        <w:rPr>
          <w:rFonts w:ascii="Verdana" w:hAnsi="Verdana" w:cs="Arial"/>
          <w:color w:val="000000"/>
          <w:sz w:val="16"/>
          <w:szCs w:val="16"/>
          <w:lang w:val="es-ES"/>
        </w:rPr>
        <w:t>ara el cumplimiento de los fines de la contratación, las entidades estatales al celebrar un contrato:</w:t>
      </w:r>
    </w:p>
    <w:p w14:paraId="42281FE7"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185CBBE2"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8A09436"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Las entidades estatales podrán pactar estas cláusulas en los contratos de suministro y de prestación de servicios.</w:t>
      </w:r>
    </w:p>
    <w:p w14:paraId="03629D8F"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7943246D"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14">
    <w:p w14:paraId="1FD9739E" w14:textId="77777777" w:rsidR="008926D3" w:rsidRPr="00064773" w:rsidRDefault="008926D3" w:rsidP="008926D3">
      <w:pPr>
        <w:pStyle w:val="Textonotapie"/>
        <w:ind w:firstLine="708"/>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74353E5A" w14:textId="77777777" w:rsidR="008926D3" w:rsidRPr="00064773" w:rsidRDefault="008926D3" w:rsidP="008926D3">
      <w:pPr>
        <w:pStyle w:val="Textonotapie"/>
        <w:ind w:firstLine="708"/>
        <w:rPr>
          <w:rFonts w:ascii="Verdana" w:hAnsi="Verdana" w:cs="Arial"/>
          <w:color w:val="000000"/>
          <w:sz w:val="16"/>
          <w:szCs w:val="16"/>
          <w:lang w:val="es-ES"/>
        </w:rPr>
      </w:pPr>
    </w:p>
  </w:footnote>
  <w:footnote w:id="15">
    <w:p w14:paraId="39A5E740" w14:textId="77777777" w:rsidR="008926D3" w:rsidRPr="00064773" w:rsidRDefault="008926D3" w:rsidP="008926D3">
      <w:pPr>
        <w:pStyle w:val="Textonotapie"/>
        <w:ind w:firstLine="709"/>
        <w:jc w:val="both"/>
        <w:rPr>
          <w:rFonts w:ascii="Verdana" w:hAnsi="Verdana" w:cs="Arial"/>
          <w:color w:val="000000"/>
          <w:sz w:val="16"/>
          <w:szCs w:val="16"/>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CA55319" w14:textId="77777777" w:rsidR="008926D3" w:rsidRPr="00064773" w:rsidRDefault="008926D3" w:rsidP="008926D3">
      <w:pPr>
        <w:pStyle w:val="Textonotapie"/>
        <w:ind w:firstLine="709"/>
        <w:jc w:val="both"/>
        <w:rPr>
          <w:rFonts w:ascii="Verdana" w:hAnsi="Verdana" w:cs="Arial"/>
          <w:color w:val="000000"/>
          <w:sz w:val="16"/>
          <w:szCs w:val="16"/>
        </w:rPr>
      </w:pPr>
      <w:r w:rsidRPr="00064773">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D71BF8C" w14:textId="77777777" w:rsidR="008926D3" w:rsidRPr="00064773" w:rsidRDefault="008926D3" w:rsidP="008926D3">
      <w:pPr>
        <w:pStyle w:val="Textonotapie"/>
        <w:ind w:firstLine="709"/>
        <w:jc w:val="both"/>
        <w:rPr>
          <w:rFonts w:ascii="Verdana" w:hAnsi="Verdana" w:cs="Arial"/>
          <w:color w:val="000000"/>
          <w:sz w:val="16"/>
          <w:szCs w:val="16"/>
        </w:rPr>
      </w:pPr>
      <w:r w:rsidRPr="00064773">
        <w:rPr>
          <w:rFonts w:ascii="Verdana" w:hAnsi="Verdana" w:cs="Arial"/>
          <w:color w:val="000000"/>
          <w:sz w:val="16"/>
          <w:szCs w:val="16"/>
        </w:rPr>
        <w:t>[…]”.</w:t>
      </w:r>
    </w:p>
    <w:p w14:paraId="6FCE330D" w14:textId="77777777" w:rsidR="008926D3" w:rsidRPr="00064773" w:rsidRDefault="008926D3" w:rsidP="008926D3">
      <w:pPr>
        <w:pStyle w:val="Textonotapie"/>
        <w:ind w:firstLine="709"/>
        <w:jc w:val="both"/>
        <w:rPr>
          <w:rFonts w:ascii="Verdana" w:hAnsi="Verdana" w:cs="Arial"/>
          <w:color w:val="000000"/>
          <w:sz w:val="16"/>
          <w:szCs w:val="16"/>
        </w:rPr>
      </w:pPr>
    </w:p>
  </w:footnote>
  <w:footnote w:id="16">
    <w:p w14:paraId="548967B7"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365CCA32"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17">
    <w:p w14:paraId="20C5BD87" w14:textId="77777777" w:rsidR="008926D3" w:rsidRPr="00064773" w:rsidRDefault="008926D3" w:rsidP="008926D3">
      <w:pPr>
        <w:pStyle w:val="Textonotapie"/>
        <w:ind w:firstLine="709"/>
        <w:jc w:val="both"/>
        <w:rPr>
          <w:rFonts w:ascii="Verdana" w:hAnsi="Verdana"/>
          <w:sz w:val="16"/>
          <w:szCs w:val="16"/>
          <w:lang w:val="es-CO"/>
        </w:rPr>
      </w:pPr>
      <w:r w:rsidRPr="00064773">
        <w:rPr>
          <w:rStyle w:val="Refdenotaalpie"/>
          <w:rFonts w:ascii="Verdana" w:hAnsi="Verdana"/>
          <w:sz w:val="16"/>
          <w:szCs w:val="16"/>
        </w:rPr>
        <w:footnoteRef/>
      </w:r>
      <w:r w:rsidRPr="00064773">
        <w:rPr>
          <w:rFonts w:ascii="Verdana" w:hAnsi="Verdana"/>
          <w:sz w:val="16"/>
          <w:szCs w:val="16"/>
        </w:rPr>
        <w:t xml:space="preserve"> Dentro de ellas se pueden referenciar: </w:t>
      </w:r>
      <w:r w:rsidRPr="00064773">
        <w:rPr>
          <w:rFonts w:ascii="Verdana" w:hAnsi="Verdana"/>
          <w:sz w:val="16"/>
          <w:szCs w:val="16"/>
          <w:lang w:val="es-CO"/>
        </w:rPr>
        <w:t>Consejo de Estado. Sección Segunda. Subsección A. Rad. 19001-23-33-0002016-00182-01 (3990-2018). Sentencia de 9 de junio de 2022. C.P. Rafael Francisco Suarez Vargas. Consejo de Estado. Sección Segunda. Subsección B. Rad. 50001-23-33-000-2014-0089-01. Sentencia de 9 de junio de 2022. C.P. César Palomino Cortés. Consejo de Estado. Sección Segunda. Subsección A. Rad. 27001-23-33-000-2017-00037-01 (3671-2019). Sentencia de 2 de junio de 2022. C.P. Gabriel Valbuena Hernández. Consejo de Estado. Sección Segunda. Subsección A. Rad. 25000-23-42-000-2013-05488 01 (2381-2018). Sentencia de 28 de abril de 2022. C.P. Gabriel Valbuena Hernández. Consejo de Estado. Sección Segunda. Subsección A. Rad. 05001 23 33 000 2012 00418 02 (0248-2017). Sentencia de 10 de febrero de 2022. C.P. Rafael Francisco Suarez Vargas.</w:t>
      </w:r>
    </w:p>
    <w:p w14:paraId="5D04A3F5" w14:textId="77777777" w:rsidR="008926D3" w:rsidRPr="00064773" w:rsidRDefault="008926D3" w:rsidP="008926D3">
      <w:pPr>
        <w:pStyle w:val="Textonotapie"/>
        <w:ind w:firstLine="709"/>
        <w:jc w:val="both"/>
        <w:rPr>
          <w:rFonts w:ascii="Verdana" w:hAnsi="Verdana"/>
          <w:sz w:val="16"/>
          <w:szCs w:val="16"/>
        </w:rPr>
      </w:pPr>
    </w:p>
  </w:footnote>
  <w:footnote w:id="18">
    <w:p w14:paraId="1612C586" w14:textId="77777777" w:rsidR="008926D3" w:rsidRPr="004C0B72" w:rsidRDefault="008926D3" w:rsidP="008926D3">
      <w:pPr>
        <w:spacing w:after="0" w:line="240" w:lineRule="auto"/>
        <w:ind w:firstLine="709"/>
        <w:jc w:val="both"/>
        <w:rPr>
          <w:rFonts w:ascii="Verdana" w:eastAsia="Times New Roman" w:hAnsi="Verdana" w:cs="Times New Roman"/>
          <w:sz w:val="16"/>
          <w:szCs w:val="16"/>
          <w:lang w:eastAsia="es-ES_tradnl"/>
        </w:rPr>
      </w:pPr>
      <w:r w:rsidRPr="004C0B72">
        <w:rPr>
          <w:rStyle w:val="Refdenotaalpie"/>
          <w:rFonts w:ascii="Verdana" w:hAnsi="Verdana"/>
          <w:sz w:val="16"/>
          <w:szCs w:val="16"/>
        </w:rPr>
        <w:footnoteRef/>
      </w:r>
      <w:r w:rsidRPr="004C0B72">
        <w:rPr>
          <w:rFonts w:ascii="Verdana" w:hAnsi="Verdana"/>
          <w:sz w:val="16"/>
          <w:szCs w:val="16"/>
        </w:rPr>
        <w:t xml:space="preserve"> </w:t>
      </w:r>
      <w:r w:rsidRPr="004C0B72">
        <w:rPr>
          <w:rFonts w:ascii="Verdana" w:eastAsia="Times New Roman" w:hAnsi="Verdana" w:cs="Times New Roman"/>
          <w:sz w:val="16"/>
          <w:szCs w:val="16"/>
          <w:lang w:eastAsia="es-ES_tradnl"/>
        </w:rPr>
        <w:t>Consejo de Estado, Sala Plena de lo Contencioso Administrativo, sentencia del 09 de febrero de 2012, expediente 1707-08, C.P Luis Rafael Vergara Quintero.</w:t>
      </w:r>
    </w:p>
  </w:footnote>
  <w:footnote w:id="19">
    <w:p w14:paraId="69305F26" w14:textId="77777777" w:rsidR="008926D3" w:rsidRPr="00064773" w:rsidRDefault="008926D3" w:rsidP="008926D3">
      <w:pPr>
        <w:pStyle w:val="Textonotapie"/>
        <w:ind w:firstLine="709"/>
        <w:jc w:val="both"/>
        <w:rPr>
          <w:rFonts w:ascii="Verdana" w:hAnsi="Verdana"/>
          <w:sz w:val="16"/>
          <w:szCs w:val="16"/>
          <w:lang w:val="es-CO"/>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sz w:val="16"/>
          <w:szCs w:val="16"/>
          <w:lang w:val="es-CO"/>
        </w:rPr>
        <w:t>Consejo de Estado, Sala Plena de lo Contencioso Administrativo, sentencia del 09 de febrero de 2012, expediente 1707-08, C.P Luis Rafael Vergara Quintero.</w:t>
      </w:r>
    </w:p>
    <w:p w14:paraId="7FBF1ADA" w14:textId="77777777" w:rsidR="008926D3" w:rsidRPr="00064773" w:rsidRDefault="008926D3" w:rsidP="008926D3">
      <w:pPr>
        <w:pStyle w:val="Textonotapie"/>
        <w:ind w:firstLine="709"/>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48786E6F" w14:textId="77777777" w:rsidR="008926D3" w:rsidRPr="00C925AC" w:rsidRDefault="008926D3"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3189266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5449"/>
    <w:rsid w:val="000A683E"/>
    <w:rsid w:val="000B19B9"/>
    <w:rsid w:val="000D0334"/>
    <w:rsid w:val="000D0E66"/>
    <w:rsid w:val="000D5DA7"/>
    <w:rsid w:val="000F6486"/>
    <w:rsid w:val="00116940"/>
    <w:rsid w:val="00125105"/>
    <w:rsid w:val="00127233"/>
    <w:rsid w:val="0015699B"/>
    <w:rsid w:val="001A0FBF"/>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341"/>
    <w:rsid w:val="002E4FD9"/>
    <w:rsid w:val="0030657A"/>
    <w:rsid w:val="00322A85"/>
    <w:rsid w:val="00324168"/>
    <w:rsid w:val="00330834"/>
    <w:rsid w:val="003448F4"/>
    <w:rsid w:val="003566EF"/>
    <w:rsid w:val="00374F5E"/>
    <w:rsid w:val="00377E3E"/>
    <w:rsid w:val="003A779E"/>
    <w:rsid w:val="003B24F8"/>
    <w:rsid w:val="003D0F4D"/>
    <w:rsid w:val="003D5B0D"/>
    <w:rsid w:val="003E0499"/>
    <w:rsid w:val="003E4F80"/>
    <w:rsid w:val="003E6439"/>
    <w:rsid w:val="003F3941"/>
    <w:rsid w:val="004032E4"/>
    <w:rsid w:val="00406575"/>
    <w:rsid w:val="00414C74"/>
    <w:rsid w:val="00421C10"/>
    <w:rsid w:val="00423681"/>
    <w:rsid w:val="004255DD"/>
    <w:rsid w:val="0042722E"/>
    <w:rsid w:val="004305CA"/>
    <w:rsid w:val="0044528D"/>
    <w:rsid w:val="004571EE"/>
    <w:rsid w:val="00466E39"/>
    <w:rsid w:val="004674A2"/>
    <w:rsid w:val="004A1847"/>
    <w:rsid w:val="004A2D70"/>
    <w:rsid w:val="004A305D"/>
    <w:rsid w:val="004F21C4"/>
    <w:rsid w:val="004F685F"/>
    <w:rsid w:val="0053120A"/>
    <w:rsid w:val="005566E8"/>
    <w:rsid w:val="00574867"/>
    <w:rsid w:val="00591460"/>
    <w:rsid w:val="005A65E0"/>
    <w:rsid w:val="005C3777"/>
    <w:rsid w:val="005C5CDC"/>
    <w:rsid w:val="005D476C"/>
    <w:rsid w:val="0060105E"/>
    <w:rsid w:val="006200BF"/>
    <w:rsid w:val="006219F8"/>
    <w:rsid w:val="006302F7"/>
    <w:rsid w:val="00646B9F"/>
    <w:rsid w:val="00665D70"/>
    <w:rsid w:val="006900D9"/>
    <w:rsid w:val="006C0C2B"/>
    <w:rsid w:val="006E0329"/>
    <w:rsid w:val="00706C16"/>
    <w:rsid w:val="007340C3"/>
    <w:rsid w:val="0075235A"/>
    <w:rsid w:val="00756841"/>
    <w:rsid w:val="007649AB"/>
    <w:rsid w:val="00766128"/>
    <w:rsid w:val="00771D0C"/>
    <w:rsid w:val="007833AC"/>
    <w:rsid w:val="00785AB0"/>
    <w:rsid w:val="007B268C"/>
    <w:rsid w:val="007B7171"/>
    <w:rsid w:val="007C0C0F"/>
    <w:rsid w:val="007C3DC2"/>
    <w:rsid w:val="007E5497"/>
    <w:rsid w:val="007F3BC4"/>
    <w:rsid w:val="00806F5F"/>
    <w:rsid w:val="00820278"/>
    <w:rsid w:val="00820514"/>
    <w:rsid w:val="008258C9"/>
    <w:rsid w:val="00844AE9"/>
    <w:rsid w:val="00867F95"/>
    <w:rsid w:val="008843B6"/>
    <w:rsid w:val="00886B94"/>
    <w:rsid w:val="00891928"/>
    <w:rsid w:val="008926D3"/>
    <w:rsid w:val="008A446D"/>
    <w:rsid w:val="008B25F1"/>
    <w:rsid w:val="008D180B"/>
    <w:rsid w:val="008F0EA7"/>
    <w:rsid w:val="00923EEF"/>
    <w:rsid w:val="009419F9"/>
    <w:rsid w:val="0095685E"/>
    <w:rsid w:val="00961B09"/>
    <w:rsid w:val="0096495D"/>
    <w:rsid w:val="00965334"/>
    <w:rsid w:val="0097093E"/>
    <w:rsid w:val="009A0DFA"/>
    <w:rsid w:val="009A1C6F"/>
    <w:rsid w:val="009A633A"/>
    <w:rsid w:val="009B2D26"/>
    <w:rsid w:val="009C71FA"/>
    <w:rsid w:val="009C72E7"/>
    <w:rsid w:val="009C7F7E"/>
    <w:rsid w:val="009D3058"/>
    <w:rsid w:val="009F3A13"/>
    <w:rsid w:val="00A122D3"/>
    <w:rsid w:val="00A14468"/>
    <w:rsid w:val="00A17F13"/>
    <w:rsid w:val="00A20739"/>
    <w:rsid w:val="00A23AF9"/>
    <w:rsid w:val="00A33C78"/>
    <w:rsid w:val="00A5452E"/>
    <w:rsid w:val="00AB0ADB"/>
    <w:rsid w:val="00AD2B88"/>
    <w:rsid w:val="00AE3E25"/>
    <w:rsid w:val="00AF311B"/>
    <w:rsid w:val="00B00C0E"/>
    <w:rsid w:val="00B01B1A"/>
    <w:rsid w:val="00B0381D"/>
    <w:rsid w:val="00B44A47"/>
    <w:rsid w:val="00B470E6"/>
    <w:rsid w:val="00B72CD3"/>
    <w:rsid w:val="00B72FFF"/>
    <w:rsid w:val="00BC3D36"/>
    <w:rsid w:val="00BD54A6"/>
    <w:rsid w:val="00BD7F72"/>
    <w:rsid w:val="00BE1D31"/>
    <w:rsid w:val="00BE39C4"/>
    <w:rsid w:val="00BF3D98"/>
    <w:rsid w:val="00BF7425"/>
    <w:rsid w:val="00C04FB3"/>
    <w:rsid w:val="00C11D8B"/>
    <w:rsid w:val="00C15139"/>
    <w:rsid w:val="00C330EB"/>
    <w:rsid w:val="00C50D69"/>
    <w:rsid w:val="00C5365C"/>
    <w:rsid w:val="00C56266"/>
    <w:rsid w:val="00C754BE"/>
    <w:rsid w:val="00C76B1C"/>
    <w:rsid w:val="00C83F10"/>
    <w:rsid w:val="00C925AC"/>
    <w:rsid w:val="00CB4368"/>
    <w:rsid w:val="00CB6357"/>
    <w:rsid w:val="00CC1B26"/>
    <w:rsid w:val="00CE7D61"/>
    <w:rsid w:val="00D361FD"/>
    <w:rsid w:val="00D423A2"/>
    <w:rsid w:val="00D44E26"/>
    <w:rsid w:val="00D520D8"/>
    <w:rsid w:val="00D63AC2"/>
    <w:rsid w:val="00D65890"/>
    <w:rsid w:val="00D7383B"/>
    <w:rsid w:val="00D7788A"/>
    <w:rsid w:val="00DA231B"/>
    <w:rsid w:val="00DC39FC"/>
    <w:rsid w:val="00DF5254"/>
    <w:rsid w:val="00E000B1"/>
    <w:rsid w:val="00E02524"/>
    <w:rsid w:val="00E16408"/>
    <w:rsid w:val="00E20894"/>
    <w:rsid w:val="00E245AB"/>
    <w:rsid w:val="00E2764C"/>
    <w:rsid w:val="00E27F2E"/>
    <w:rsid w:val="00E50AFE"/>
    <w:rsid w:val="00E75C92"/>
    <w:rsid w:val="00E771DC"/>
    <w:rsid w:val="00E805D7"/>
    <w:rsid w:val="00E83D55"/>
    <w:rsid w:val="00E8772A"/>
    <w:rsid w:val="00E90F6B"/>
    <w:rsid w:val="00E92C27"/>
    <w:rsid w:val="00EA0E3D"/>
    <w:rsid w:val="00EA30E4"/>
    <w:rsid w:val="00EA734A"/>
    <w:rsid w:val="00EC38A7"/>
    <w:rsid w:val="00EE1AA8"/>
    <w:rsid w:val="00EE698A"/>
    <w:rsid w:val="00F23FEA"/>
    <w:rsid w:val="00F31EDC"/>
    <w:rsid w:val="00F462B3"/>
    <w:rsid w:val="00F5664F"/>
    <w:rsid w:val="00F666C4"/>
    <w:rsid w:val="00F76AFC"/>
    <w:rsid w:val="00F91A9B"/>
    <w:rsid w:val="00FA47C0"/>
    <w:rsid w:val="00FA790E"/>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AB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926D3"/>
    <w:pPr>
      <w:spacing w:line="240" w:lineRule="exact"/>
    </w:pPr>
    <w:rPr>
      <w:vertAlign w:val="superscript"/>
    </w:rPr>
  </w:style>
  <w:style w:type="character" w:customStyle="1" w:styleId="s15">
    <w:name w:val="s15"/>
    <w:basedOn w:val="Fuentedeprrafopredeter"/>
    <w:rsid w:val="008926D3"/>
  </w:style>
  <w:style w:type="character" w:customStyle="1" w:styleId="apple-converted-space">
    <w:name w:val="apple-converted-space"/>
    <w:basedOn w:val="Fuentedeprrafopredeter"/>
    <w:rsid w:val="008926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98596584">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larteortizleidynatalia@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7f396a88abf4041777dc3b53343e19ba">
  <xsd:schema xmlns:xsd="http://www.w3.org/2001/XMLSchema" xmlns:xs="http://www.w3.org/2001/XMLSchema" xmlns:p="http://schemas.microsoft.com/office/2006/metadata/properties" xmlns:ns2="fb02ccb1-9bfe-43f1-9075-a12505bf7b0f" targetNamespace="http://schemas.microsoft.com/office/2006/metadata/properties" ma:root="true" ma:fieldsID="06f13dd87e57b5e4305f0f5ed234e613"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650A083-F134-41A1-B0E2-AFDC5B031F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28</TotalTime>
  <Pages>15</Pages>
  <Words>4165</Words>
  <Characters>22913</Characters>
  <Application>Microsoft Office Word</Application>
  <DocSecurity>0</DocSecurity>
  <Lines>190</Lines>
  <Paragraphs>54</Paragraphs>
  <ScaleCrop>false</ScaleCrop>
  <Company/>
  <LinksUpToDate>false</LinksUpToDate>
  <CharactersWithSpaces>27024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14</cp:revision>
  <cp:lastPrinted>2023-01-10T21:18:00Z</cp:lastPrinted>
  <dcterms:created xsi:type="dcterms:W3CDTF">2026-04-28T15:42:00Z</dcterms:created>
  <dcterms:modified xsi:type="dcterms:W3CDTF">2026-04-29T16:12:00Z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