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0DAC4" w14:textId="7628DC2A" w:rsidR="006022B6" w:rsidRDefault="006022B6" w:rsidP="006022B6">
      <w:pPr>
        <w:spacing w:line="276" w:lineRule="auto"/>
        <w:jc w:val="both"/>
        <w:rPr>
          <w:rFonts w:ascii="Verdana" w:eastAsia="Calibri" w:hAnsi="Verdana" w:cs="Arial"/>
          <w:b/>
          <w:bCs/>
          <w:lang w:val="es-ES" w:eastAsia="es-ES"/>
        </w:rPr>
      </w:pPr>
      <w:bookmarkStart w:id="0" w:name="_Hlk143780582"/>
      <w:r w:rsidRPr="006022B6">
        <w:rPr>
          <w:rFonts w:ascii="Verdana" w:eastAsia="Calibri" w:hAnsi="Verdana" w:cs="Arial"/>
          <w:b/>
          <w:bCs/>
          <w:lang w:val="es-ES" w:eastAsia="es-ES"/>
        </w:rPr>
        <w:t>LEY DE GARANTÍAS ELECTORALES ‒ Finalidad</w:t>
      </w:r>
    </w:p>
    <w:p w14:paraId="7B5DDA6F" w14:textId="2DAF66F0" w:rsidR="006022B6" w:rsidRPr="006022B6" w:rsidRDefault="006022B6" w:rsidP="006022B6">
      <w:pPr>
        <w:tabs>
          <w:tab w:val="left" w:pos="426"/>
        </w:tabs>
        <w:spacing w:after="120" w:line="240" w:lineRule="auto"/>
        <w:jc w:val="both"/>
        <w:rPr>
          <w:rFonts w:ascii="Verdana" w:eastAsia="Times New Roman" w:hAnsi="Verdana" w:cs="Arial"/>
          <w:sz w:val="20"/>
          <w:szCs w:val="20"/>
          <w:lang w:eastAsia="es-CO"/>
        </w:rPr>
      </w:pPr>
      <w:r w:rsidRPr="006022B6">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6022B6">
        <w:rPr>
          <w:rFonts w:ascii="Verdana" w:eastAsia="Calibri" w:hAnsi="Verdana" w:cs="Arial"/>
          <w:i/>
          <w:sz w:val="20"/>
          <w:szCs w:val="20"/>
        </w:rPr>
        <w:t xml:space="preserve">. </w:t>
      </w:r>
      <w:r w:rsidRPr="006022B6">
        <w:rPr>
          <w:rFonts w:ascii="Verdana" w:eastAsia="Calibri" w:hAnsi="Verdana" w:cs="Arial"/>
          <w:sz w:val="20"/>
          <w:szCs w:val="20"/>
        </w:rPr>
        <w:t>Por ejemplo, el artículo 127 de la Constitución Política establece una prohibición contractual a los servidores públicos y en cuanto a aspectos políticos consagra restricciones a ciertos empleados del Estado, incluso en época no electora</w:t>
      </w:r>
      <w:r w:rsidRPr="006022B6">
        <w:rPr>
          <w:rFonts w:ascii="Verdana" w:eastAsia="Calibri" w:hAnsi="Verdana" w:cs="Arial"/>
          <w:sz w:val="20"/>
          <w:szCs w:val="20"/>
        </w:rPr>
        <w:t>l.</w:t>
      </w:r>
    </w:p>
    <w:p w14:paraId="7E681E43" w14:textId="7A299E6A" w:rsidR="006022B6" w:rsidRPr="006022B6" w:rsidRDefault="006022B6" w:rsidP="006022B6">
      <w:pPr>
        <w:spacing w:line="240" w:lineRule="auto"/>
        <w:jc w:val="both"/>
        <w:rPr>
          <w:rFonts w:ascii="Verdana" w:eastAsia="Calibri" w:hAnsi="Verdana" w:cs="Arial"/>
          <w:b/>
          <w:bCs/>
          <w:sz w:val="20"/>
          <w:szCs w:val="20"/>
          <w:lang w:val="es-ES" w:eastAsia="es-ES"/>
        </w:rPr>
      </w:pPr>
      <w:r w:rsidRPr="006022B6">
        <w:rPr>
          <w:rFonts w:ascii="Verdana" w:eastAsia="Times New Roman" w:hAnsi="Verdana" w:cs="Arial"/>
          <w:sz w:val="20"/>
          <w:szCs w:val="20"/>
          <w:lang w:eastAsia="es-CO"/>
        </w:rPr>
        <w:t>En el mismo sentido</w:t>
      </w:r>
      <w:r w:rsidRPr="006022B6">
        <w:rPr>
          <w:rFonts w:ascii="Verdana" w:eastAsia="Times New Roman" w:hAnsi="Verdana" w:cs="Arial"/>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w:t>
      </w:r>
      <w:r w:rsidR="00457602">
        <w:rPr>
          <w:rFonts w:ascii="Verdana" w:eastAsia="Times New Roman" w:hAnsi="Verdana" w:cs="Arial"/>
          <w:sz w:val="20"/>
          <w:szCs w:val="20"/>
          <w:lang w:val="es-MX" w:eastAsia="es-CO"/>
        </w:rPr>
        <w:t>l.</w:t>
      </w:r>
      <w:r w:rsidRPr="006022B6">
        <w:rPr>
          <w:rFonts w:ascii="Verdana" w:eastAsia="Times New Roman" w:hAnsi="Verdana" w:cs="Arial"/>
          <w:sz w:val="20"/>
          <w:szCs w:val="20"/>
          <w:lang w:val="es-MX" w:eastAsia="es-CO"/>
        </w:rPr>
        <w:t xml:space="preserve"> En esta medida, introduce limitaciones para realizar nombramientos, postulaciones, contrataciones o cualquier otro tipo de actividad que implique destinación de recursos públicos bajo el devenir propio de las entidades estatales.</w:t>
      </w:r>
    </w:p>
    <w:p w14:paraId="1DF2A5BC" w14:textId="5FE67C84" w:rsidR="006022B6" w:rsidRDefault="006022B6" w:rsidP="006022B6">
      <w:pPr>
        <w:spacing w:line="276" w:lineRule="auto"/>
        <w:jc w:val="both"/>
        <w:rPr>
          <w:rFonts w:ascii="Verdana" w:eastAsia="Calibri" w:hAnsi="Verdana" w:cs="Arial"/>
          <w:b/>
          <w:bCs/>
          <w:lang w:val="es-ES" w:eastAsia="es-ES"/>
        </w:rPr>
      </w:pPr>
      <w:r w:rsidRPr="006022B6">
        <w:rPr>
          <w:rFonts w:ascii="Verdana" w:eastAsia="Calibri" w:hAnsi="Verdana" w:cs="Arial"/>
          <w:b/>
          <w:bCs/>
          <w:lang w:val="es-ES" w:eastAsia="es-ES"/>
        </w:rPr>
        <w:t xml:space="preserve">LEY DE GARANTÍAS ELECTORALES ‒ Tipos de restricciones ‒ Ámbito temporal – Celebración – Límite </w:t>
      </w:r>
    </w:p>
    <w:p w14:paraId="4B96507E" w14:textId="77777777" w:rsidR="004B5194" w:rsidRPr="004B5194" w:rsidRDefault="004B5194" w:rsidP="004B5194">
      <w:pPr>
        <w:spacing w:after="120" w:line="240" w:lineRule="auto"/>
        <w:jc w:val="both"/>
        <w:rPr>
          <w:rFonts w:ascii="Verdana" w:eastAsia="Century Gothic" w:hAnsi="Verdana" w:cs="Century Gothic"/>
          <w:bCs/>
          <w:sz w:val="20"/>
          <w:szCs w:val="20"/>
          <w:lang w:val="es-ES_tradnl"/>
        </w:rPr>
      </w:pPr>
      <w:r w:rsidRPr="004B5194">
        <w:rPr>
          <w:rFonts w:ascii="Verdana" w:eastAsia="Century Gothic" w:hAnsi="Verdana" w:cs="Century Gothic"/>
          <w:bCs/>
          <w:sz w:val="20"/>
          <w:szCs w:val="20"/>
          <w:lang w:val="es-ES_tradnl"/>
        </w:rPr>
        <w:t>Resulta pertinente señalar que la Ley 996 de 2005, conocida como Ley de Garantías Electorales, establece restricciones específicas en materia de contratación pública durante los períodos electorales, con el fin de garantizar la transparencia, la igualdad entre los candidatos y el adecuado uso de los recursos públicos.</w:t>
      </w:r>
    </w:p>
    <w:p w14:paraId="609AD5BA" w14:textId="77777777" w:rsidR="004B5194" w:rsidRPr="004B5194" w:rsidRDefault="004B5194" w:rsidP="004B5194">
      <w:pPr>
        <w:spacing w:after="120" w:line="240" w:lineRule="auto"/>
        <w:jc w:val="both"/>
        <w:rPr>
          <w:rFonts w:ascii="Verdana" w:eastAsia="Century Gothic" w:hAnsi="Verdana" w:cs="Century Gothic"/>
          <w:bCs/>
          <w:sz w:val="20"/>
          <w:szCs w:val="20"/>
          <w:lang w:val="es-ES_tradnl"/>
        </w:rPr>
      </w:pPr>
      <w:r w:rsidRPr="004B5194">
        <w:rPr>
          <w:rFonts w:ascii="Verdana" w:eastAsia="Century Gothic" w:hAnsi="Verdana" w:cs="Century Gothic"/>
          <w:bCs/>
          <w:sz w:val="20"/>
          <w:szCs w:val="20"/>
          <w:lang w:val="es-ES_tradnl"/>
        </w:rPr>
        <w:t>En este sentido, dichas restricciones se dirigen a dos (2) tipos de campañas electorales diferenciadas: (i) las presidenciales y (</w:t>
      </w:r>
      <w:proofErr w:type="spellStart"/>
      <w:r w:rsidRPr="004B5194">
        <w:rPr>
          <w:rFonts w:ascii="Verdana" w:eastAsia="Century Gothic" w:hAnsi="Verdana" w:cs="Century Gothic"/>
          <w:bCs/>
          <w:sz w:val="20"/>
          <w:szCs w:val="20"/>
          <w:lang w:val="es-ES_tradnl"/>
        </w:rPr>
        <w:t>ii</w:t>
      </w:r>
      <w:proofErr w:type="spellEnd"/>
      <w:r w:rsidRPr="004B5194">
        <w:rPr>
          <w:rFonts w:ascii="Verdana" w:eastAsia="Century Gothic" w:hAnsi="Verdana" w:cs="Century Gothic"/>
          <w:bCs/>
          <w:sz w:val="20"/>
          <w:szCs w:val="20"/>
          <w:lang w:val="es-ES_tradnl"/>
        </w:rPr>
        <w:t>) las que se adelanten para la elección de los demás cargos de elección popular, tanto a nivel nacional como territorial. En consecuencia, la ley contempla dos limitaciones principales, consagradas en los artículos 33 y 38, respectivamente.</w:t>
      </w:r>
    </w:p>
    <w:p w14:paraId="2F062640" w14:textId="77777777" w:rsidR="004B5194" w:rsidRDefault="004B5194" w:rsidP="004B5194">
      <w:pPr>
        <w:spacing w:after="120"/>
        <w:jc w:val="both"/>
        <w:rPr>
          <w:rFonts w:ascii="Verdana" w:eastAsia="Century Gothic" w:hAnsi="Verdana" w:cs="Century Gothic"/>
          <w:bCs/>
          <w:sz w:val="20"/>
          <w:szCs w:val="20"/>
          <w:lang w:val="es-ES_tradnl"/>
        </w:rPr>
      </w:pPr>
      <w:r w:rsidRPr="004B5194">
        <w:rPr>
          <w:rFonts w:ascii="Verdana" w:eastAsia="Century Gothic" w:hAnsi="Verdana" w:cs="Century Gothic"/>
          <w:bCs/>
          <w:sz w:val="20"/>
          <w:szCs w:val="20"/>
          <w:lang w:val="es-ES_tradnl"/>
        </w:rPr>
        <w:t>Por un lado, el artículo 33 de la Ley 996 de 2005 regula las restricciones aplicables a las elecciones presidenciales. Esta disposición establece que, durante los cuatro (4) meses anteriores a la elección presidencial y hasta la realización de la segunda vuelta, si fuere el caso, queda prohibida la contratación directa por parte de todos los entes del Estado.</w:t>
      </w:r>
    </w:p>
    <w:p w14:paraId="4C6F2DBB" w14:textId="2EECFCDC" w:rsidR="006022B6" w:rsidRDefault="006022B6" w:rsidP="006022B6">
      <w:pPr>
        <w:spacing w:line="276" w:lineRule="auto"/>
        <w:jc w:val="both"/>
        <w:rPr>
          <w:rFonts w:ascii="Verdana" w:eastAsia="Calibri" w:hAnsi="Verdana" w:cs="Arial"/>
          <w:b/>
          <w:bCs/>
          <w:lang w:val="es-ES" w:eastAsia="es-ES"/>
        </w:rPr>
      </w:pPr>
      <w:r w:rsidRPr="006022B6">
        <w:rPr>
          <w:rFonts w:ascii="Verdana" w:eastAsia="Calibri" w:hAnsi="Verdana" w:cs="Arial"/>
          <w:b/>
          <w:bCs/>
          <w:lang w:val="es-ES" w:eastAsia="es-ES"/>
        </w:rPr>
        <w:t>LEY DE GARANTÍAS ELECTORALES ‒ Contratación directa – Alcance</w:t>
      </w:r>
    </w:p>
    <w:p w14:paraId="20F6C4DB" w14:textId="25116244" w:rsidR="00145FF3" w:rsidRPr="00457602" w:rsidRDefault="00145FF3" w:rsidP="00457602">
      <w:pPr>
        <w:spacing w:after="120" w:line="240" w:lineRule="auto"/>
        <w:jc w:val="both"/>
        <w:rPr>
          <w:rFonts w:ascii="Verdana" w:eastAsia="Calibri" w:hAnsi="Verdana" w:cs="Arial"/>
          <w:sz w:val="20"/>
          <w:szCs w:val="20"/>
        </w:rPr>
      </w:pPr>
      <w:r w:rsidRPr="00457602">
        <w:rPr>
          <w:rFonts w:ascii="Verdana" w:eastAsia="Calibri" w:hAnsi="Verdana" w:cs="Arial"/>
          <w:i/>
          <w:iCs/>
          <w:sz w:val="20"/>
          <w:szCs w:val="20"/>
        </w:rPr>
        <w:t>Por un lado</w:t>
      </w:r>
      <w:r w:rsidRPr="00457602">
        <w:rPr>
          <w:rFonts w:ascii="Verdana" w:eastAsia="Calibri" w:hAnsi="Verdana" w:cs="Arial"/>
          <w:sz w:val="20"/>
          <w:szCs w:val="20"/>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5EAD821" w14:textId="7D79D0E2" w:rsidR="00145FF3" w:rsidRPr="00457602" w:rsidRDefault="00145FF3" w:rsidP="00457602">
      <w:pPr>
        <w:widowControl w:val="0"/>
        <w:autoSpaceDE w:val="0"/>
        <w:autoSpaceDN w:val="0"/>
        <w:spacing w:after="120" w:line="240" w:lineRule="auto"/>
        <w:ind w:right="113"/>
        <w:jc w:val="both"/>
        <w:rPr>
          <w:rFonts w:ascii="Verdana" w:eastAsia="Arial" w:hAnsi="Verdana" w:cs="Arial"/>
          <w:sz w:val="20"/>
          <w:szCs w:val="20"/>
          <w:lang w:val="es-ES" w:eastAsia="es-ES" w:bidi="es-ES"/>
        </w:rPr>
      </w:pPr>
      <w:r w:rsidRPr="00457602">
        <w:rPr>
          <w:rFonts w:ascii="Verdana" w:eastAsia="Calibri" w:hAnsi="Verdana" w:cs="Arial"/>
          <w:i/>
          <w:iCs/>
          <w:sz w:val="20"/>
          <w:szCs w:val="20"/>
        </w:rPr>
        <w:lastRenderedPageBreak/>
        <w:t>Por otro lado</w:t>
      </w:r>
      <w:r w:rsidRPr="00457602">
        <w:rPr>
          <w:rFonts w:ascii="Verdana" w:eastAsia="Calibri" w:hAnsi="Verdana" w:cs="Arial"/>
          <w:sz w:val="20"/>
          <w:szCs w:val="20"/>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57602">
        <w:rPr>
          <w:rFonts w:ascii="Verdana" w:eastAsia="Calibri" w:hAnsi="Verdana" w:cs="Arial"/>
          <w:sz w:val="20"/>
          <w:szCs w:val="20"/>
          <w:lang w:val="es-MX"/>
        </w:rPr>
        <w:t xml:space="preserve">celebrar </w:t>
      </w:r>
      <w:r w:rsidRPr="00457602">
        <w:rPr>
          <w:rFonts w:ascii="Verdana" w:eastAsia="Calibri" w:hAnsi="Verdana" w:cs="Arial"/>
          <w:i/>
          <w:iCs/>
          <w:sz w:val="20"/>
          <w:szCs w:val="20"/>
          <w:lang w:val="es-MX"/>
        </w:rPr>
        <w:t>convenios interadministrativos</w:t>
      </w:r>
      <w:r w:rsidRPr="00457602">
        <w:rPr>
          <w:rFonts w:ascii="Verdana" w:eastAsia="Calibri" w:hAnsi="Verdana" w:cs="Arial"/>
          <w:sz w:val="20"/>
          <w:szCs w:val="20"/>
          <w:lang w:val="es-MX"/>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457602">
        <w:rPr>
          <w:rFonts w:ascii="Verdana" w:eastAsia="Calibri" w:hAnsi="Verdana" w:cs="Arial"/>
          <w:sz w:val="20"/>
          <w:szCs w:val="20"/>
        </w:rPr>
        <w:t>”</w:t>
      </w:r>
      <w:r w:rsidR="00457602">
        <w:rPr>
          <w:rFonts w:ascii="Verdana" w:eastAsia="Calibri" w:hAnsi="Verdana" w:cs="Arial"/>
          <w:sz w:val="20"/>
          <w:szCs w:val="20"/>
          <w:vertAlign w:val="superscript"/>
        </w:rPr>
        <w:t>.</w:t>
      </w:r>
    </w:p>
    <w:p w14:paraId="352DBABB" w14:textId="4F8BDE6D" w:rsidR="006022B6" w:rsidRDefault="006022B6" w:rsidP="006022B6">
      <w:pPr>
        <w:spacing w:line="276" w:lineRule="auto"/>
        <w:jc w:val="both"/>
        <w:rPr>
          <w:rFonts w:ascii="Verdana" w:eastAsia="Calibri" w:hAnsi="Verdana" w:cs="Arial"/>
          <w:b/>
          <w:bCs/>
          <w:lang w:val="es-ES" w:eastAsia="es-ES"/>
        </w:rPr>
      </w:pPr>
      <w:r w:rsidRPr="006022B6">
        <w:rPr>
          <w:rFonts w:ascii="Verdana" w:eastAsia="Calibri" w:hAnsi="Verdana" w:cs="Arial"/>
          <w:b/>
          <w:bCs/>
          <w:lang w:val="es-ES" w:eastAsia="es-ES"/>
        </w:rPr>
        <w:t xml:space="preserve">LEY DE GARANTÍAS ELECTORALES ‒ Contratación Directa – Excepciones </w:t>
      </w:r>
    </w:p>
    <w:p w14:paraId="6F78CA3E" w14:textId="5924BE51" w:rsidR="007C40AC" w:rsidRPr="007C40AC" w:rsidRDefault="007C40AC" w:rsidP="007C40AC">
      <w:pPr>
        <w:spacing w:after="12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7C40AC">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7C40AC">
        <w:rPr>
          <w:rFonts w:ascii="Verdana" w:eastAsia="Arial" w:hAnsi="Verdana" w:cs="Arial"/>
          <w:i/>
          <w:sz w:val="20"/>
          <w:szCs w:val="20"/>
          <w:lang w:val="es-ES" w:eastAsia="es-ES" w:bidi="es-ES"/>
        </w:rPr>
        <w:t>En primer lugar</w:t>
      </w:r>
      <w:r w:rsidRPr="007C40AC">
        <w:rPr>
          <w:rFonts w:ascii="Verdana" w:eastAsia="Arial" w:hAnsi="Verdana" w:cs="Arial"/>
          <w:sz w:val="20"/>
          <w:szCs w:val="20"/>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C40AC">
        <w:rPr>
          <w:rFonts w:ascii="Verdana" w:eastAsia="Arial" w:hAnsi="Verdana" w:cs="Arial"/>
          <w:i/>
          <w:sz w:val="20"/>
          <w:szCs w:val="20"/>
          <w:lang w:val="es-ES" w:eastAsia="es-ES" w:bidi="es-ES"/>
        </w:rPr>
        <w:t>En segundo lugar</w:t>
      </w:r>
      <w:r w:rsidRPr="007C40AC">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7F3A53D" w14:textId="77777777" w:rsidR="007C40AC" w:rsidRPr="007C40AC" w:rsidRDefault="007C40AC" w:rsidP="003E2835">
      <w:pPr>
        <w:spacing w:after="120" w:line="240" w:lineRule="auto"/>
        <w:jc w:val="both"/>
        <w:rPr>
          <w:rFonts w:ascii="Verdana" w:eastAsia="Arial" w:hAnsi="Verdana" w:cs="Arial"/>
          <w:sz w:val="20"/>
          <w:szCs w:val="20"/>
          <w:lang w:val="es-ES" w:eastAsia="es-ES" w:bidi="es-ES"/>
        </w:rPr>
      </w:pPr>
      <w:r w:rsidRPr="007C40AC">
        <w:rPr>
          <w:rFonts w:ascii="Verdana" w:eastAsia="Arial" w:hAnsi="Verdana" w:cs="Arial"/>
          <w:sz w:val="20"/>
          <w:szCs w:val="20"/>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08DAAAC" w14:textId="7A9837D5" w:rsidR="006022B6" w:rsidRDefault="006022B6" w:rsidP="006022B6">
      <w:pPr>
        <w:spacing w:line="276" w:lineRule="auto"/>
        <w:jc w:val="both"/>
        <w:rPr>
          <w:rFonts w:ascii="Verdana" w:eastAsia="Calibri" w:hAnsi="Verdana" w:cs="Arial"/>
          <w:b/>
          <w:bCs/>
          <w:lang w:val="es-ES" w:eastAsia="es-ES"/>
        </w:rPr>
      </w:pPr>
      <w:r w:rsidRPr="006022B6">
        <w:rPr>
          <w:rFonts w:ascii="Verdana" w:eastAsia="Calibri" w:hAnsi="Verdana" w:cs="Arial"/>
          <w:b/>
          <w:bCs/>
          <w:lang w:val="es-ES" w:eastAsia="es-ES"/>
        </w:rPr>
        <w:t>LEY DE GARANTÍAS ELECTORALES – Convenios interadministrativos – Criterio orgánico</w:t>
      </w:r>
    </w:p>
    <w:p w14:paraId="1C2F4222" w14:textId="77777777" w:rsidR="003E09DB" w:rsidRPr="00944FF9" w:rsidRDefault="003E09DB" w:rsidP="00944FF9">
      <w:pPr>
        <w:spacing w:after="120" w:line="240" w:lineRule="auto"/>
        <w:jc w:val="both"/>
        <w:rPr>
          <w:rFonts w:ascii="Verdana" w:eastAsia="Arial" w:hAnsi="Verdana" w:cs="Arial"/>
          <w:sz w:val="20"/>
          <w:szCs w:val="20"/>
          <w:lang w:val="es-ES" w:eastAsia="es-ES" w:bidi="es-ES"/>
        </w:rPr>
      </w:pPr>
      <w:r w:rsidRPr="00944FF9">
        <w:rPr>
          <w:rFonts w:ascii="Verdana" w:eastAsia="Arial" w:hAnsi="Verdana" w:cs="Arial"/>
          <w:sz w:val="20"/>
          <w:szCs w:val="20"/>
          <w:lang w:val="es-ES" w:eastAsia="es-ES" w:bidi="es-ES"/>
        </w:rPr>
        <w:t xml:space="preserve">Ahora bien, respecto del alcance del parágrafo 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w:t>
      </w:r>
    </w:p>
    <w:p w14:paraId="5C08D9D5" w14:textId="3A31006E" w:rsidR="003E09DB" w:rsidRPr="00944FF9" w:rsidRDefault="003E09DB" w:rsidP="00944FF9">
      <w:pPr>
        <w:spacing w:after="120" w:line="240" w:lineRule="auto"/>
        <w:jc w:val="both"/>
        <w:rPr>
          <w:rFonts w:ascii="Verdana" w:eastAsia="Arial" w:hAnsi="Verdana" w:cs="Arial"/>
          <w:sz w:val="20"/>
          <w:szCs w:val="20"/>
          <w:lang w:val="es-ES" w:eastAsia="es-ES" w:bidi="es-ES"/>
        </w:rPr>
      </w:pPr>
      <w:r w:rsidRPr="00944FF9">
        <w:rPr>
          <w:rFonts w:ascii="Verdana" w:eastAsia="Arial" w:hAnsi="Verdana" w:cs="Arial"/>
          <w:sz w:val="20"/>
          <w:szCs w:val="20"/>
          <w:lang w:val="es-ES" w:eastAsia="es-ES" w:bidi="es-ES"/>
        </w:rPr>
        <w:t xml:space="preserve">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w:t>
      </w:r>
      <w:r w:rsidRPr="00944FF9">
        <w:rPr>
          <w:rFonts w:ascii="Verdana" w:eastAsia="Arial" w:hAnsi="Verdana" w:cs="Arial"/>
          <w:sz w:val="20"/>
          <w:szCs w:val="20"/>
          <w:lang w:val="es-ES" w:eastAsia="es-ES" w:bidi="es-ES"/>
        </w:rPr>
        <w:lastRenderedPageBreak/>
        <w:t>pueden ser celebrados entre entidades públicas, pues a éstas corresponde la realización de los fines y tareas que el legislador les ha asignad</w:t>
      </w:r>
      <w:r w:rsidR="00944FF9" w:rsidRPr="00944FF9">
        <w:rPr>
          <w:rFonts w:ascii="Verdana" w:eastAsia="Arial" w:hAnsi="Verdana" w:cs="Arial"/>
          <w:sz w:val="20"/>
          <w:szCs w:val="20"/>
          <w:lang w:val="es-ES" w:eastAsia="es-ES" w:bidi="es-ES"/>
        </w:rPr>
        <w:t>o.</w:t>
      </w:r>
    </w:p>
    <w:p w14:paraId="5A99A528" w14:textId="77777777" w:rsidR="003E09DB" w:rsidRPr="00944FF9" w:rsidRDefault="003E09DB" w:rsidP="00944FF9">
      <w:pPr>
        <w:spacing w:after="120" w:line="240" w:lineRule="auto"/>
        <w:jc w:val="both"/>
        <w:rPr>
          <w:rFonts w:ascii="Verdana" w:eastAsia="Arial" w:hAnsi="Verdana" w:cs="Arial"/>
          <w:sz w:val="20"/>
          <w:szCs w:val="20"/>
          <w:lang w:eastAsia="es-ES" w:bidi="es-ES"/>
        </w:rPr>
      </w:pPr>
      <w:r w:rsidRPr="00944FF9">
        <w:rPr>
          <w:rFonts w:ascii="Verdana" w:eastAsia="Arial" w:hAnsi="Verdana" w:cs="Arial"/>
          <w:sz w:val="20"/>
          <w:szCs w:val="20"/>
          <w:lang w:val="es-ES" w:eastAsia="es-ES" w:bidi="es-ES"/>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w:t>
      </w:r>
      <w:r w:rsidRPr="00944FF9">
        <w:rPr>
          <w:rFonts w:ascii="Verdana" w:eastAsia="Arial" w:hAnsi="Verdana" w:cs="Arial"/>
          <w:sz w:val="20"/>
          <w:szCs w:val="20"/>
          <w:lang w:eastAsia="es-ES" w:bidi="es-ES"/>
        </w:rPr>
        <w:t>régimen especial y no por ello dejará de ser un contrato o convenio interadministrativo.</w:t>
      </w:r>
    </w:p>
    <w:p w14:paraId="5361D522" w14:textId="34FFD95C" w:rsidR="003E09DB" w:rsidRPr="00944FF9" w:rsidRDefault="003E09DB" w:rsidP="00944FF9">
      <w:pPr>
        <w:spacing w:before="120" w:after="0" w:line="240" w:lineRule="auto"/>
        <w:jc w:val="both"/>
        <w:rPr>
          <w:rFonts w:ascii="Verdana" w:eastAsia="Arial" w:hAnsi="Verdana" w:cs="Arial"/>
          <w:sz w:val="20"/>
          <w:szCs w:val="20"/>
          <w:lang w:eastAsia="es-ES" w:bidi="es-ES"/>
        </w:rPr>
      </w:pPr>
      <w:r w:rsidRPr="00944FF9">
        <w:rPr>
          <w:rFonts w:ascii="Verdana" w:eastAsia="Arial" w:hAnsi="Verdana" w:cs="Arial"/>
          <w:sz w:val="20"/>
          <w:szCs w:val="20"/>
          <w:lang w:eastAsia="es-ES" w:bidi="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00944FF9" w:rsidRPr="00944FF9">
        <w:rPr>
          <w:rFonts w:ascii="Verdana" w:eastAsia="Arial" w:hAnsi="Verdana" w:cs="Arial"/>
          <w:sz w:val="20"/>
          <w:szCs w:val="20"/>
          <w:lang w:eastAsia="es-ES" w:bidi="es-ES"/>
        </w:rPr>
        <w:t>.</w:t>
      </w:r>
      <w:r w:rsidRPr="00944FF9">
        <w:rPr>
          <w:rFonts w:ascii="Verdana" w:eastAsia="Arial" w:hAnsi="Verdana" w:cs="Arial"/>
          <w:sz w:val="20"/>
          <w:szCs w:val="20"/>
          <w:lang w:eastAsia="es-ES" w:bidi="es-ES"/>
        </w:rPr>
        <w:t xml:space="preserve"> Nótese que, en este caso, lo que cambia es la modalidad de selección y no la naturaleza de contrato interadministrativo.</w:t>
      </w:r>
    </w:p>
    <w:p w14:paraId="6B3A5EE1" w14:textId="027D396A" w:rsidR="003E09DB" w:rsidRPr="00944FF9" w:rsidRDefault="003E09DB" w:rsidP="00944FF9">
      <w:pPr>
        <w:spacing w:before="120" w:after="0" w:line="240" w:lineRule="auto"/>
        <w:jc w:val="both"/>
        <w:rPr>
          <w:rFonts w:ascii="Verdana" w:eastAsia="Arial" w:hAnsi="Verdana" w:cs="Arial"/>
          <w:sz w:val="20"/>
          <w:szCs w:val="20"/>
          <w:lang w:eastAsia="es-ES" w:bidi="es-ES"/>
        </w:rPr>
      </w:pPr>
      <w:r w:rsidRPr="00944FF9">
        <w:rPr>
          <w:rFonts w:ascii="Verdana" w:eastAsia="Arial" w:hAnsi="Verdana" w:cs="Arial"/>
          <w:sz w:val="20"/>
          <w:szCs w:val="20"/>
          <w:lang w:eastAsia="es-ES" w:bidi="es-ES"/>
        </w:rPr>
        <w:t>Además, es necesario tener en cuenta que para que un contrato o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0167304" w14:textId="36615F31" w:rsidR="006022B6" w:rsidRDefault="006022B6" w:rsidP="00944FF9">
      <w:pPr>
        <w:spacing w:before="240" w:line="276" w:lineRule="auto"/>
        <w:jc w:val="both"/>
        <w:rPr>
          <w:rFonts w:ascii="Verdana" w:eastAsia="Calibri" w:hAnsi="Verdana" w:cs="Arial"/>
          <w:b/>
          <w:bCs/>
          <w:lang w:val="es-ES" w:eastAsia="es-ES"/>
        </w:rPr>
      </w:pPr>
      <w:r w:rsidRPr="006022B6">
        <w:rPr>
          <w:rFonts w:ascii="Verdana" w:eastAsia="Calibri" w:hAnsi="Verdana" w:cs="Arial"/>
          <w:b/>
          <w:bCs/>
          <w:lang w:val="es-ES" w:eastAsia="es-ES"/>
        </w:rPr>
        <w:t xml:space="preserve">LEY DE GARANTÍAS ELECTORALES - Convenios Interadministrativos – Circular Externa Única – Consejo de Estado – Nulidad - Suspensión </w:t>
      </w:r>
    </w:p>
    <w:p w14:paraId="21BAA3CD" w14:textId="3F1586FA" w:rsidR="00944FF9" w:rsidRPr="00944FF9" w:rsidRDefault="00944FF9" w:rsidP="00944FF9">
      <w:pPr>
        <w:spacing w:after="120" w:line="240" w:lineRule="auto"/>
        <w:jc w:val="both"/>
        <w:rPr>
          <w:rFonts w:ascii="Verdana" w:eastAsia="Arial" w:hAnsi="Verdana" w:cs="Arial"/>
          <w:sz w:val="20"/>
          <w:szCs w:val="20"/>
          <w:lang w:eastAsia="es-ES" w:bidi="es-ES"/>
        </w:rPr>
      </w:pPr>
      <w:r w:rsidRPr="00944FF9">
        <w:rPr>
          <w:rFonts w:ascii="Verdana" w:eastAsia="Arial" w:hAnsi="Verdana" w:cs="Arial"/>
          <w:sz w:val="20"/>
          <w:szCs w:val="20"/>
          <w:lang w:eastAsia="es-ES" w:bidi="es-ES"/>
        </w:rPr>
        <w:t xml:space="preserve">[…] </w:t>
      </w:r>
      <w:r w:rsidRPr="00944FF9">
        <w:rPr>
          <w:rFonts w:ascii="Verdana" w:eastAsia="Arial" w:hAnsi="Verdana" w:cs="Arial"/>
          <w:sz w:val="20"/>
          <w:szCs w:val="20"/>
          <w:lang w:eastAsia="es-ES" w:bidi="es-ES"/>
        </w:rPr>
        <w:t>mediante auto del 6 de noviembre de 2025, el Consejo de Estado, Subsección A de la Sección Tercera, decretó</w:t>
      </w:r>
      <w:r w:rsidRPr="00944FF9">
        <w:rPr>
          <w:rFonts w:ascii="Verdana" w:eastAsia="Arial" w:hAnsi="Verdana" w:cs="Arial"/>
          <w:b/>
          <w:bCs/>
          <w:sz w:val="20"/>
          <w:szCs w:val="20"/>
          <w:lang w:eastAsia="es-ES" w:bidi="es-ES"/>
        </w:rPr>
        <w:t xml:space="preserve"> </w:t>
      </w:r>
      <w:r w:rsidRPr="00944FF9">
        <w:rPr>
          <w:rFonts w:ascii="Verdana" w:eastAsia="Arial" w:hAnsi="Verdana" w:cs="Arial"/>
          <w:sz w:val="20"/>
          <w:szCs w:val="20"/>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w:t>
      </w:r>
      <w:r>
        <w:rPr>
          <w:rFonts w:ascii="Verdana" w:eastAsia="Arial" w:hAnsi="Verdana" w:cs="Arial"/>
          <w:sz w:val="20"/>
          <w:szCs w:val="20"/>
          <w:lang w:eastAsia="es-ES" w:bidi="es-ES"/>
        </w:rPr>
        <w:t xml:space="preserve">s. </w:t>
      </w:r>
      <w:r w:rsidRPr="00944FF9">
        <w:rPr>
          <w:rFonts w:ascii="Verdana" w:eastAsia="Arial" w:hAnsi="Verdana" w:cs="Arial"/>
          <w:sz w:val="20"/>
          <w:szCs w:val="20"/>
          <w:lang w:eastAsia="es-ES" w:bidi="es-ES"/>
        </w:rPr>
        <w:t xml:space="preserve">Para tales efectos, el alto tribunal resaltó la interpretación restrictiva de las normas que contienen prohibiciones, como la del parágrafo del artículo 38 de la Ley 996 de 2005, por manera que se excluye la analogía </w:t>
      </w:r>
      <w:proofErr w:type="spellStart"/>
      <w:r w:rsidRPr="00944FF9">
        <w:rPr>
          <w:rFonts w:ascii="Verdana" w:eastAsia="Arial" w:hAnsi="Verdana" w:cs="Arial"/>
          <w:sz w:val="20"/>
          <w:szCs w:val="20"/>
          <w:lang w:eastAsia="es-ES" w:bidi="es-ES"/>
        </w:rPr>
        <w:t>legis</w:t>
      </w:r>
      <w:proofErr w:type="spellEnd"/>
      <w:r w:rsidRPr="00944FF9">
        <w:rPr>
          <w:rFonts w:ascii="Verdana" w:eastAsia="Arial" w:hAnsi="Verdana" w:cs="Arial"/>
          <w:sz w:val="20"/>
          <w:szCs w:val="20"/>
          <w:lang w:eastAsia="es-ES" w:bidi="es-ES"/>
        </w:rPr>
        <w:t xml:space="preserve"> o iuris y la interpretación extensiva y reiteró los argumentos sobre la diferencia entre contratos y convenios interadministrativos. </w:t>
      </w:r>
    </w:p>
    <w:p w14:paraId="102AADBE" w14:textId="77777777" w:rsidR="00944FF9" w:rsidRPr="00944FF9" w:rsidRDefault="00944FF9" w:rsidP="00944FF9">
      <w:pPr>
        <w:spacing w:after="120" w:line="240" w:lineRule="auto"/>
        <w:jc w:val="both"/>
        <w:rPr>
          <w:rFonts w:ascii="Verdana" w:eastAsia="Times New Roman" w:hAnsi="Verdana" w:cs="Times New Roman"/>
          <w:sz w:val="20"/>
          <w:szCs w:val="20"/>
          <w:lang w:eastAsia="es-ES"/>
        </w:rPr>
      </w:pPr>
      <w:r w:rsidRPr="00944FF9">
        <w:rPr>
          <w:rFonts w:ascii="Verdana" w:eastAsia="Arial" w:hAnsi="Verdana" w:cs="Arial"/>
          <w:sz w:val="20"/>
          <w:szCs w:val="20"/>
          <w:lang w:eastAsia="es-ES" w:bidi="es-ES"/>
        </w:rPr>
        <w:t xml:space="preserve">Finalmente, mediante sentencia del 17 de octubre de 2025, emitida por la Sala de lo Contencioso Administrativo del Consejo de Estado, dentro del expediente </w:t>
      </w:r>
      <w:r w:rsidRPr="00944FF9">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0580353" w14:textId="35367DAD" w:rsidR="00944FF9" w:rsidRPr="00944FF9" w:rsidRDefault="00944FF9" w:rsidP="00944FF9">
      <w:pPr>
        <w:spacing w:after="120" w:line="240" w:lineRule="auto"/>
        <w:jc w:val="both"/>
        <w:rPr>
          <w:rFonts w:ascii="Verdana" w:eastAsia="Times New Roman" w:hAnsi="Verdana" w:cs="Times New Roman"/>
          <w:sz w:val="20"/>
          <w:szCs w:val="20"/>
          <w:lang w:eastAsia="es-ES"/>
        </w:rPr>
      </w:pPr>
      <w:r w:rsidRPr="00944FF9">
        <w:rPr>
          <w:rFonts w:ascii="Verdana" w:eastAsia="Times New Roman" w:hAnsi="Verdana" w:cs="Times New Roman"/>
          <w:sz w:val="20"/>
          <w:szCs w:val="20"/>
          <w:lang w:eastAsia="es-ES"/>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w:t>
      </w:r>
      <w:r w:rsidRPr="00944FF9">
        <w:rPr>
          <w:rFonts w:ascii="Verdana" w:eastAsia="Times New Roman" w:hAnsi="Verdana" w:cs="Times New Roman"/>
          <w:sz w:val="20"/>
          <w:szCs w:val="20"/>
          <w:lang w:eastAsia="es-ES"/>
        </w:rPr>
        <w:lastRenderedPageBreak/>
        <w:t>que establece prohibicione</w:t>
      </w:r>
      <w:r w:rsidR="003D6DA4">
        <w:rPr>
          <w:rFonts w:ascii="Verdana" w:eastAsia="Times New Roman" w:hAnsi="Verdana" w:cs="Times New Roman"/>
          <w:sz w:val="20"/>
          <w:szCs w:val="20"/>
          <w:lang w:eastAsia="es-ES"/>
        </w:rPr>
        <w:t>s.</w:t>
      </w:r>
      <w:r w:rsidRPr="00944FF9">
        <w:rPr>
          <w:rFonts w:ascii="Verdana" w:eastAsia="Times New Roman" w:hAnsi="Verdana" w:cs="Times New Roman"/>
          <w:sz w:val="20"/>
          <w:szCs w:val="20"/>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B8474EC" w14:textId="6DE6B149" w:rsidR="00944FF9" w:rsidRPr="00C278CC" w:rsidRDefault="00944FF9" w:rsidP="00944FF9">
      <w:pPr>
        <w:spacing w:after="120" w:line="240" w:lineRule="auto"/>
        <w:jc w:val="both"/>
        <w:rPr>
          <w:rFonts w:ascii="Verdana" w:eastAsia="Times New Roman" w:hAnsi="Verdana" w:cs="Arial"/>
          <w:lang w:eastAsia="es-CO"/>
        </w:rPr>
      </w:pPr>
      <w:r w:rsidRPr="00944FF9">
        <w:rPr>
          <w:rFonts w:ascii="Verdana" w:eastAsia="Times New Roman" w:hAnsi="Verdana" w:cs="Times New Roman"/>
          <w:sz w:val="20"/>
          <w:szCs w:val="20"/>
          <w:lang w:eastAsia="es-ES"/>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w:t>
      </w:r>
      <w:r>
        <w:rPr>
          <w:rFonts w:ascii="Verdana" w:eastAsia="Times New Roman" w:hAnsi="Verdana" w:cs="Times New Roman"/>
          <w:sz w:val="20"/>
          <w:szCs w:val="20"/>
          <w:lang w:eastAsia="es-ES"/>
        </w:rPr>
        <w:t>.</w:t>
      </w:r>
    </w:p>
    <w:p w14:paraId="7848F3B7" w14:textId="77777777" w:rsidR="00944FF9" w:rsidRPr="006022B6" w:rsidRDefault="00944FF9" w:rsidP="00944FF9">
      <w:pPr>
        <w:spacing w:before="240" w:line="276" w:lineRule="auto"/>
        <w:jc w:val="both"/>
        <w:rPr>
          <w:rFonts w:ascii="Verdana" w:eastAsia="Calibri" w:hAnsi="Verdana" w:cs="Arial"/>
          <w:b/>
          <w:bCs/>
          <w:lang w:val="es-ES" w:eastAsia="es-ES"/>
        </w:rPr>
      </w:pPr>
    </w:p>
    <w:p w14:paraId="432B6FA9" w14:textId="77777777" w:rsidR="006022B6" w:rsidRDefault="006022B6">
      <w:pPr>
        <w:rPr>
          <w:rFonts w:ascii="Verdana" w:eastAsia="Verdana" w:hAnsi="Verdana" w:cs="Verdana"/>
        </w:rPr>
      </w:pPr>
      <w:r>
        <w:rPr>
          <w:rFonts w:ascii="Verdana" w:eastAsia="Verdana" w:hAnsi="Verdana" w:cs="Verdana"/>
        </w:rPr>
        <w:br w:type="page"/>
      </w:r>
    </w:p>
    <w:p w14:paraId="1468C46D" w14:textId="4C786E47" w:rsidR="00C15139" w:rsidRPr="0024624F" w:rsidRDefault="00B95DFA" w:rsidP="30821638">
      <w:pPr>
        <w:spacing w:after="0"/>
        <w:rPr>
          <w:rFonts w:ascii="Verdana" w:eastAsia="Verdana" w:hAnsi="Verdana" w:cs="Verdana"/>
        </w:rPr>
      </w:pPr>
      <w:r w:rsidRPr="00B95DFA">
        <w:rPr>
          <w:rFonts w:ascii="Verdana" w:hAnsi="Verdana" w:cs="Times New Roman"/>
          <w:b/>
          <w:bCs/>
        </w:rPr>
        <w:lastRenderedPageBreak/>
        <w:drawing>
          <wp:anchor distT="0" distB="0" distL="114300" distR="114300" simplePos="0" relativeHeight="251658240" behindDoc="1" locked="0" layoutInCell="1" allowOverlap="1" wp14:anchorId="0240A9BC" wp14:editId="00BBBE12">
            <wp:simplePos x="0" y="0"/>
            <wp:positionH relativeFrom="column">
              <wp:posOffset>2939774</wp:posOffset>
            </wp:positionH>
            <wp:positionV relativeFrom="paragraph">
              <wp:posOffset>8855</wp:posOffset>
            </wp:positionV>
            <wp:extent cx="2740583" cy="750498"/>
            <wp:effectExtent l="0" t="0" r="3175" b="0"/>
            <wp:wrapNone/>
            <wp:docPr id="10301877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187775" name=""/>
                    <pic:cNvPicPr/>
                  </pic:nvPicPr>
                  <pic:blipFill>
                    <a:blip r:embed="rId10">
                      <a:extLst>
                        <a:ext uri="{28A0092B-C50C-407E-A947-70E740481C1C}">
                          <a14:useLocalDpi xmlns:a14="http://schemas.microsoft.com/office/drawing/2010/main" val="0"/>
                        </a:ext>
                      </a:extLst>
                    </a:blip>
                    <a:stretch>
                      <a:fillRect/>
                    </a:stretch>
                  </pic:blipFill>
                  <pic:spPr>
                    <a:xfrm>
                      <a:off x="0" y="0"/>
                      <a:ext cx="2743631" cy="751333"/>
                    </a:xfrm>
                    <a:prstGeom prst="rect">
                      <a:avLst/>
                    </a:prstGeom>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15 Abril 2026</w:t>
      </w:r>
      <w:r w:rsidR="00C15139">
        <w:tab/>
      </w:r>
      <w:r w:rsidR="00C15139">
        <w:br/>
      </w:r>
      <w:r w:rsidR="00C15139">
        <w:tab/>
      </w:r>
    </w:p>
    <w:p w14:paraId="12443EE0" w14:textId="77777777" w:rsidR="00C15139" w:rsidRPr="0024624F" w:rsidRDefault="00C15139" w:rsidP="30821638">
      <w:pPr>
        <w:spacing w:after="0"/>
        <w:rPr>
          <w:rFonts w:ascii="Verdana" w:eastAsia="Verdana" w:hAnsi="Verdana" w:cs="Verdana"/>
        </w:rPr>
      </w:pPr>
    </w:p>
    <w:p w14:paraId="52802A24" w14:textId="0DAF1CBC" w:rsidR="00883063" w:rsidRPr="005527E2" w:rsidRDefault="00883063" w:rsidP="005527E2">
      <w:pPr>
        <w:pStyle w:val="Sinespaciado"/>
        <w:rPr>
          <w:rFonts w:ascii="Verdana" w:hAnsi="Verdana"/>
          <w:lang w:eastAsia="es-ES"/>
        </w:rPr>
      </w:pPr>
      <w:r w:rsidRPr="005527E2">
        <w:rPr>
          <w:rFonts w:ascii="Verdana" w:hAnsi="Verdana"/>
          <w:lang w:eastAsia="es-ES"/>
        </w:rPr>
        <w:t>Señor</w:t>
      </w:r>
      <w:r w:rsidR="00B5515F" w:rsidRPr="005527E2">
        <w:rPr>
          <w:rFonts w:ascii="Verdana" w:hAnsi="Verdana"/>
          <w:lang w:eastAsia="es-ES"/>
        </w:rPr>
        <w:t>a</w:t>
      </w:r>
    </w:p>
    <w:p w14:paraId="19DD886A" w14:textId="55B75F85" w:rsidR="00883063" w:rsidRPr="005527E2" w:rsidRDefault="00B5515F" w:rsidP="005527E2">
      <w:pPr>
        <w:pStyle w:val="Sinespaciado"/>
        <w:rPr>
          <w:rFonts w:ascii="Verdana" w:hAnsi="Verdana"/>
          <w:b/>
          <w:bCs/>
          <w:lang w:eastAsia="es-ES"/>
        </w:rPr>
      </w:pPr>
      <w:r w:rsidRPr="005527E2">
        <w:rPr>
          <w:rFonts w:ascii="Verdana" w:hAnsi="Verdana" w:cs="Times New Roman"/>
          <w:b/>
          <w:bCs/>
        </w:rPr>
        <w:t xml:space="preserve">Paulina Cardona </w:t>
      </w:r>
      <w:r w:rsidR="005527E2" w:rsidRPr="005527E2">
        <w:rPr>
          <w:rFonts w:ascii="Verdana" w:hAnsi="Verdana" w:cs="Times New Roman"/>
          <w:b/>
          <w:bCs/>
        </w:rPr>
        <w:t>González</w:t>
      </w:r>
      <w:r w:rsidR="00883063" w:rsidRPr="005527E2">
        <w:rPr>
          <w:rFonts w:ascii="Verdana" w:hAnsi="Verdana" w:cs="Times New Roman"/>
          <w:b/>
          <w:bCs/>
        </w:rPr>
        <w:tab/>
      </w:r>
      <w:r w:rsidR="00883063" w:rsidRPr="005527E2">
        <w:rPr>
          <w:rFonts w:ascii="Verdana" w:hAnsi="Verdana" w:cs="Times New Roman"/>
          <w:b/>
          <w:bCs/>
        </w:rPr>
        <w:tab/>
      </w:r>
    </w:p>
    <w:p w14:paraId="5391AD3B" w14:textId="4A50C1E9" w:rsidR="005527E2" w:rsidRPr="005527E2" w:rsidRDefault="005527E2" w:rsidP="005527E2">
      <w:pPr>
        <w:pStyle w:val="Sinespaciado"/>
        <w:rPr>
          <w:rFonts w:ascii="Verdana" w:hAnsi="Verdana"/>
        </w:rPr>
      </w:pPr>
      <w:hyperlink r:id="rId11" w:history="1">
        <w:r w:rsidRPr="005527E2">
          <w:rPr>
            <w:rStyle w:val="Hipervnculo"/>
            <w:rFonts w:ascii="Verdana" w:hAnsi="Verdana"/>
          </w:rPr>
          <w:t>Paulinacardonagonzalez2014@gmail.com</w:t>
        </w:r>
      </w:hyperlink>
    </w:p>
    <w:p w14:paraId="06C2A175" w14:textId="15C8CDF3" w:rsidR="00883063" w:rsidRPr="005527E2" w:rsidRDefault="00B5515F" w:rsidP="005527E2">
      <w:pPr>
        <w:pStyle w:val="Sinespaciado"/>
        <w:rPr>
          <w:rFonts w:ascii="Verdana" w:hAnsi="Verdana"/>
        </w:rPr>
      </w:pPr>
      <w:r w:rsidRPr="005527E2">
        <w:rPr>
          <w:rFonts w:ascii="Verdana" w:hAnsi="Verdana"/>
        </w:rPr>
        <w:t>Ciudad</w:t>
      </w:r>
    </w:p>
    <w:p w14:paraId="73B8AC77" w14:textId="77777777" w:rsidR="00883063" w:rsidRPr="00892D76" w:rsidRDefault="00883063" w:rsidP="00883063">
      <w:pPr>
        <w:spacing w:after="0" w:line="276" w:lineRule="auto"/>
        <w:rPr>
          <w:rFonts w:ascii="Verdana" w:hAnsi="Verdana"/>
        </w:rPr>
      </w:pPr>
    </w:p>
    <w:p w14:paraId="0EBD3C75" w14:textId="5DB22A56" w:rsidR="00883063" w:rsidRPr="00C15DD4" w:rsidRDefault="00883063" w:rsidP="00883063">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w:t>
      </w:r>
      <w:r w:rsidR="008B3960" w:rsidRPr="008B3960">
        <w:rPr>
          <w:rFonts w:ascii="Verdana" w:eastAsia="Calibri" w:hAnsi="Verdana" w:cs="Arial"/>
          <w:b/>
          <w:bCs/>
          <w:lang w:eastAsia="es-ES"/>
        </w:rPr>
        <w:t>C-459</w:t>
      </w:r>
      <w:r w:rsidR="008B3960">
        <w:rPr>
          <w:rFonts w:ascii="Verdana" w:eastAsia="Calibri" w:hAnsi="Verdana" w:cs="Arial"/>
          <w:b/>
          <w:bCs/>
          <w:lang w:eastAsia="es-ES"/>
        </w:rPr>
        <w:t xml:space="preserve"> </w:t>
      </w:r>
      <w:r w:rsidRPr="00C15DD4">
        <w:rPr>
          <w:rFonts w:ascii="Verdana" w:eastAsia="Calibri" w:hAnsi="Verdana" w:cs="Arial"/>
          <w:b/>
          <w:bCs/>
          <w:lang w:eastAsia="es-ES"/>
        </w:rPr>
        <w:t>de 20</w:t>
      </w:r>
      <w:r>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83063" w:rsidRPr="00C15DD4" w14:paraId="65683447" w14:textId="77777777" w:rsidTr="001B0102">
        <w:trPr>
          <w:trHeight w:val="884"/>
        </w:trPr>
        <w:tc>
          <w:tcPr>
            <w:tcW w:w="2689" w:type="dxa"/>
          </w:tcPr>
          <w:p w14:paraId="0CC50549" w14:textId="77777777" w:rsidR="00883063" w:rsidRPr="008B3960" w:rsidRDefault="00883063" w:rsidP="001B0102">
            <w:pPr>
              <w:spacing w:line="276" w:lineRule="auto"/>
              <w:jc w:val="both"/>
              <w:rPr>
                <w:rFonts w:ascii="Verdana" w:eastAsia="Calibri" w:hAnsi="Verdana" w:cs="Arial"/>
                <w:color w:val="000000"/>
                <w:highlight w:val="yellow"/>
                <w:lang w:eastAsia="es-ES_tradnl"/>
              </w:rPr>
            </w:pPr>
            <w:r w:rsidRPr="00E52289">
              <w:rPr>
                <w:rFonts w:ascii="Verdana" w:eastAsia="Calibri" w:hAnsi="Verdana" w:cs="Arial"/>
                <w:b/>
                <w:color w:val="000000"/>
                <w:lang w:eastAsia="es-ES_tradnl"/>
              </w:rPr>
              <w:t>Temas:</w:t>
            </w:r>
            <w:r w:rsidRPr="00E52289">
              <w:rPr>
                <w:rFonts w:ascii="Verdana" w:eastAsia="Calibri" w:hAnsi="Verdana" w:cs="Arial"/>
                <w:color w:val="000000"/>
                <w:lang w:eastAsia="es-ES_tradnl"/>
              </w:rPr>
              <w:t xml:space="preserve">                   </w:t>
            </w:r>
          </w:p>
        </w:tc>
        <w:tc>
          <w:tcPr>
            <w:tcW w:w="6100" w:type="dxa"/>
          </w:tcPr>
          <w:p w14:paraId="3C46CFCF" w14:textId="6AC6D151" w:rsidR="00E52289" w:rsidRPr="00C278CC" w:rsidRDefault="00E52289" w:rsidP="00E52289">
            <w:pPr>
              <w:spacing w:line="276" w:lineRule="auto"/>
              <w:jc w:val="both"/>
              <w:rPr>
                <w:rFonts w:ascii="Verdana" w:eastAsia="Calibri" w:hAnsi="Verdana" w:cs="Arial"/>
                <w:lang w:val="es-ES" w:eastAsia="es-ES"/>
              </w:rPr>
            </w:pPr>
            <w:r w:rsidRPr="00C278CC">
              <w:rPr>
                <w:rFonts w:ascii="Verdana" w:eastAsia="Calibri" w:hAnsi="Verdana" w:cs="Arial"/>
                <w:lang w:val="es-ES" w:eastAsia="es-ES"/>
              </w:rPr>
              <w:t xml:space="preserve">LEY DE GARANTÍAS ELECTORALES ‒ Finalidad / LEY DE GARANTÍAS ELECTORALES ‒ Tipos de restricciones ‒ Ámbito temporal – Celebración – Límite / LEY DE GARANTÍAS ELECTORALES ‒ Contratación directa – Alcance / LEY DE GARANTÍAS ELECTORALES ‒ Contratación Directa – Excepciones / LEY DE GARANTÍAS ELECTORALES – Convenios interadministrativos – Criterio orgánico / LEY DE GARANTÍAS ELECTORALES - Convenios Interadministrativos – Circular Externa Única – Consejo de Estado – Nulidad - Suspensión </w:t>
            </w:r>
          </w:p>
          <w:p w14:paraId="2CCA3BE3" w14:textId="77777777" w:rsidR="00883063" w:rsidRPr="008B3960" w:rsidRDefault="00883063" w:rsidP="001B0102">
            <w:pPr>
              <w:jc w:val="both"/>
              <w:rPr>
                <w:rFonts w:ascii="Verdana" w:eastAsia="Calibri" w:hAnsi="Verdana" w:cs="Arial"/>
                <w:highlight w:val="yellow"/>
                <w:lang w:eastAsia="es-ES"/>
              </w:rPr>
            </w:pPr>
          </w:p>
        </w:tc>
      </w:tr>
      <w:tr w:rsidR="00883063" w:rsidRPr="00C15DD4" w14:paraId="5F550A66" w14:textId="77777777" w:rsidTr="001B0102">
        <w:tc>
          <w:tcPr>
            <w:tcW w:w="2689" w:type="dxa"/>
          </w:tcPr>
          <w:p w14:paraId="69AA6633" w14:textId="77777777" w:rsidR="00883063" w:rsidRPr="00C15DD4" w:rsidRDefault="00883063" w:rsidP="001B0102">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491FADA2" w14:textId="68BCCDC0" w:rsidR="00883063" w:rsidRPr="00C15DD4" w:rsidRDefault="00883063" w:rsidP="001B0102">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8B3960" w:rsidRPr="008B3960">
              <w:rPr>
                <w:rFonts w:ascii="Verdana" w:eastAsia="Calibri" w:hAnsi="Verdana" w:cs="Arial"/>
                <w:lang w:eastAsia="es-ES_tradnl"/>
              </w:rPr>
              <w:t>1_2026_03_19_003878</w:t>
            </w:r>
          </w:p>
        </w:tc>
      </w:tr>
    </w:tbl>
    <w:p w14:paraId="5C7CD022" w14:textId="6398EE50" w:rsidR="00883063" w:rsidRPr="00C15DD4" w:rsidRDefault="00883063" w:rsidP="00883063">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Estimad</w:t>
      </w:r>
      <w:r w:rsidR="008B3960">
        <w:rPr>
          <w:rFonts w:ascii="Verdana" w:eastAsia="Calibri" w:hAnsi="Verdana" w:cs="Arial"/>
          <w:lang w:eastAsia="es-ES"/>
        </w:rPr>
        <w:t>a</w:t>
      </w:r>
      <w:r w:rsidRPr="00C15DD4">
        <w:rPr>
          <w:rFonts w:ascii="Verdana" w:eastAsia="Calibri" w:hAnsi="Verdana" w:cs="Arial"/>
          <w:lang w:eastAsia="es-ES"/>
        </w:rPr>
        <w:t xml:space="preserve"> </w:t>
      </w:r>
      <w:r>
        <w:rPr>
          <w:rFonts w:ascii="Verdana" w:eastAsia="Calibri" w:hAnsi="Verdana" w:cs="Arial"/>
          <w:lang w:eastAsia="es-ES"/>
        </w:rPr>
        <w:t>señor</w:t>
      </w:r>
      <w:r w:rsidR="008B3960">
        <w:rPr>
          <w:rFonts w:ascii="Verdana" w:eastAsia="Calibri" w:hAnsi="Verdana" w:cs="Arial"/>
          <w:lang w:eastAsia="es-ES"/>
        </w:rPr>
        <w:t>a</w:t>
      </w:r>
      <w:r>
        <w:rPr>
          <w:rFonts w:ascii="Verdana" w:eastAsia="Calibri" w:hAnsi="Verdana" w:cs="Arial"/>
          <w:lang w:eastAsia="es-ES"/>
        </w:rPr>
        <w:t xml:space="preserve"> </w:t>
      </w:r>
      <w:r w:rsidRPr="00046A8A">
        <w:rPr>
          <w:rFonts w:ascii="Verdana" w:eastAsia="Calibri" w:hAnsi="Verdana" w:cs="Arial"/>
          <w:lang w:eastAsia="es-ES"/>
        </w:rPr>
        <w:t>C</w:t>
      </w:r>
      <w:r w:rsidR="008B3960">
        <w:rPr>
          <w:rFonts w:ascii="Verdana" w:eastAsia="Calibri" w:hAnsi="Verdana" w:cs="Arial"/>
          <w:lang w:eastAsia="es-ES"/>
        </w:rPr>
        <w:t>ardona</w:t>
      </w:r>
      <w:r>
        <w:rPr>
          <w:rFonts w:ascii="Verdana" w:eastAsia="Calibri" w:hAnsi="Verdana" w:cs="Arial"/>
          <w:lang w:eastAsia="es-ES"/>
        </w:rPr>
        <w:t>,</w:t>
      </w:r>
    </w:p>
    <w:p w14:paraId="3B498377" w14:textId="77777777" w:rsidR="00883063" w:rsidRPr="00C15DD4" w:rsidRDefault="00883063" w:rsidP="00883063">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0E454147" w14:textId="24E57180" w:rsidR="00883063" w:rsidRPr="00C15DD4" w:rsidRDefault="00883063" w:rsidP="00883063">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sidR="00762039">
        <w:rPr>
          <w:rFonts w:ascii="Verdana" w:eastAsia="Calibri" w:hAnsi="Verdana" w:cs="Arial"/>
          <w:color w:val="000000"/>
          <w:lang w:eastAsia="es-ES"/>
        </w:rPr>
        <w:t>19</w:t>
      </w:r>
      <w:r w:rsidRPr="00C15DD4">
        <w:rPr>
          <w:rFonts w:ascii="Verdana" w:eastAsia="Calibri" w:hAnsi="Verdana" w:cs="Arial"/>
          <w:color w:val="000000"/>
          <w:lang w:eastAsia="es-ES"/>
        </w:rPr>
        <w:t xml:space="preserve"> de </w:t>
      </w:r>
      <w:r w:rsidR="00762039">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11E5FA7E" w14:textId="77777777" w:rsidR="00883063" w:rsidRPr="00C15DD4" w:rsidRDefault="00883063" w:rsidP="00883063">
      <w:pPr>
        <w:spacing w:after="0" w:line="276" w:lineRule="auto"/>
        <w:jc w:val="both"/>
        <w:rPr>
          <w:rFonts w:ascii="Verdana" w:eastAsia="Calibri" w:hAnsi="Verdana" w:cs="Arial"/>
          <w:i/>
          <w:iCs/>
          <w:lang w:eastAsia="es-ES"/>
        </w:rPr>
      </w:pPr>
    </w:p>
    <w:p w14:paraId="3EC76201" w14:textId="60E8E166" w:rsidR="00883063" w:rsidRPr="00E32F02" w:rsidRDefault="00883063" w:rsidP="00883063">
      <w:pPr>
        <w:spacing w:after="0" w:line="276" w:lineRule="auto"/>
        <w:ind w:left="709" w:right="709"/>
        <w:jc w:val="both"/>
        <w:rPr>
          <w:rFonts w:ascii="Verdana" w:eastAsia="Arial" w:hAnsi="Verdana" w:cs="Arial"/>
          <w:i/>
          <w:iCs/>
          <w:color w:val="000000" w:themeColor="text1"/>
          <w:sz w:val="20"/>
          <w:szCs w:val="20"/>
        </w:rPr>
      </w:pPr>
      <w:r w:rsidRPr="00E32F02">
        <w:rPr>
          <w:rFonts w:ascii="Verdana" w:eastAsia="Arial" w:hAnsi="Verdana" w:cs="Arial"/>
          <w:i/>
          <w:iCs/>
          <w:color w:val="000000" w:themeColor="text1"/>
          <w:sz w:val="20"/>
          <w:szCs w:val="20"/>
        </w:rPr>
        <w:t>“</w:t>
      </w:r>
      <w:bookmarkEnd w:id="1"/>
      <w:r w:rsidR="0031211B" w:rsidRPr="0031211B">
        <w:rPr>
          <w:rFonts w:ascii="Verdana" w:eastAsia="Arial" w:hAnsi="Verdana" w:cs="Arial"/>
          <w:i/>
          <w:iCs/>
          <w:color w:val="000000" w:themeColor="text1"/>
          <w:sz w:val="20"/>
          <w:szCs w:val="20"/>
        </w:rPr>
        <w:t xml:space="preserve">Por favor indicar si </w:t>
      </w:r>
      <w:proofErr w:type="spellStart"/>
      <w:r w:rsidR="0031211B" w:rsidRPr="0031211B">
        <w:rPr>
          <w:rFonts w:ascii="Verdana" w:eastAsia="Arial" w:hAnsi="Verdana" w:cs="Arial"/>
          <w:i/>
          <w:iCs/>
          <w:color w:val="000000" w:themeColor="text1"/>
          <w:sz w:val="20"/>
          <w:szCs w:val="20"/>
        </w:rPr>
        <w:t>Si</w:t>
      </w:r>
      <w:proofErr w:type="spellEnd"/>
      <w:r w:rsidR="0031211B" w:rsidRPr="0031211B">
        <w:rPr>
          <w:rFonts w:ascii="Verdana" w:eastAsia="Arial" w:hAnsi="Verdana" w:cs="Arial"/>
          <w:i/>
          <w:iCs/>
          <w:color w:val="000000" w:themeColor="text1"/>
          <w:sz w:val="20"/>
          <w:szCs w:val="20"/>
        </w:rPr>
        <w:t xml:space="preserve"> con respecto a la decisión de declarar la suspensión de la expresión Contratos, dentro del marco de </w:t>
      </w:r>
      <w:proofErr w:type="spellStart"/>
      <w:r w:rsidR="0031211B" w:rsidRPr="0031211B">
        <w:rPr>
          <w:rFonts w:ascii="Verdana" w:eastAsia="Arial" w:hAnsi="Verdana" w:cs="Arial"/>
          <w:i/>
          <w:iCs/>
          <w:color w:val="000000" w:themeColor="text1"/>
          <w:sz w:val="20"/>
          <w:szCs w:val="20"/>
        </w:rPr>
        <w:t>ls</w:t>
      </w:r>
      <w:proofErr w:type="spellEnd"/>
      <w:r w:rsidR="0031211B" w:rsidRPr="0031211B">
        <w:rPr>
          <w:rFonts w:ascii="Verdana" w:eastAsia="Arial" w:hAnsi="Verdana" w:cs="Arial"/>
          <w:i/>
          <w:iCs/>
          <w:color w:val="000000" w:themeColor="text1"/>
          <w:sz w:val="20"/>
          <w:szCs w:val="20"/>
        </w:rPr>
        <w:t xml:space="preserve"> ley de </w:t>
      </w:r>
      <w:proofErr w:type="spellStart"/>
      <w:r w:rsidR="0031211B" w:rsidRPr="0031211B">
        <w:rPr>
          <w:rFonts w:ascii="Verdana" w:eastAsia="Arial" w:hAnsi="Verdana" w:cs="Arial"/>
          <w:i/>
          <w:iCs/>
          <w:color w:val="000000" w:themeColor="text1"/>
          <w:sz w:val="20"/>
          <w:szCs w:val="20"/>
        </w:rPr>
        <w:t>garantias</w:t>
      </w:r>
      <w:proofErr w:type="spellEnd"/>
      <w:r w:rsidR="0031211B" w:rsidRPr="0031211B">
        <w:rPr>
          <w:rFonts w:ascii="Verdana" w:eastAsia="Arial" w:hAnsi="Verdana" w:cs="Arial"/>
          <w:i/>
          <w:iCs/>
          <w:color w:val="000000" w:themeColor="text1"/>
          <w:sz w:val="20"/>
          <w:szCs w:val="20"/>
        </w:rPr>
        <w:t xml:space="preserve"> se pueden celebrar Contratos interadministrativos, diferentes a los convenios</w:t>
      </w:r>
      <w:r w:rsidR="0031211B">
        <w:rPr>
          <w:rFonts w:ascii="Verdana" w:eastAsia="Arial" w:hAnsi="Verdana" w:cs="Arial"/>
          <w:i/>
          <w:iCs/>
          <w:color w:val="000000" w:themeColor="text1"/>
          <w:sz w:val="20"/>
          <w:szCs w:val="20"/>
        </w:rPr>
        <w:t>”.</w:t>
      </w:r>
    </w:p>
    <w:p w14:paraId="02079CFB" w14:textId="77777777" w:rsidR="00883063" w:rsidRPr="00E32F02" w:rsidRDefault="00883063" w:rsidP="00883063">
      <w:pPr>
        <w:spacing w:after="0" w:line="276" w:lineRule="auto"/>
        <w:ind w:left="709" w:right="709"/>
        <w:jc w:val="both"/>
        <w:rPr>
          <w:rFonts w:ascii="Verdana" w:eastAsia="Arial" w:hAnsi="Verdana" w:cs="Arial"/>
          <w:i/>
          <w:iCs/>
          <w:color w:val="000000" w:themeColor="text1"/>
          <w:sz w:val="20"/>
          <w:szCs w:val="20"/>
        </w:rPr>
      </w:pPr>
    </w:p>
    <w:p w14:paraId="53AF8D32" w14:textId="77777777" w:rsidR="00883063" w:rsidRPr="00C15DD4" w:rsidRDefault="00883063" w:rsidP="00883063">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10C897FA" w14:textId="77777777" w:rsidR="00883063" w:rsidRPr="00C15DD4" w:rsidRDefault="00883063" w:rsidP="00883063">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7A7AF901" w14:textId="77777777" w:rsidR="00883063" w:rsidRPr="00C15DD4" w:rsidRDefault="00883063" w:rsidP="00883063">
      <w:pPr>
        <w:spacing w:after="0" w:line="276" w:lineRule="auto"/>
        <w:ind w:firstLine="709"/>
        <w:jc w:val="both"/>
        <w:rPr>
          <w:rFonts w:ascii="Verdana" w:eastAsia="Calibri" w:hAnsi="Verdana" w:cs="Arial"/>
          <w:color w:val="000000"/>
          <w:lang w:eastAsia="es-ES"/>
        </w:rPr>
      </w:pPr>
    </w:p>
    <w:p w14:paraId="5AAF9B7D" w14:textId="77777777" w:rsidR="00883063" w:rsidRPr="00B52ACA" w:rsidRDefault="00883063" w:rsidP="00883063">
      <w:pPr>
        <w:pStyle w:val="Prrafodelista"/>
        <w:numPr>
          <w:ilvl w:val="0"/>
          <w:numId w:val="16"/>
        </w:numPr>
        <w:rPr>
          <w:rFonts w:ascii="Verdana" w:hAnsi="Verdana"/>
          <w:b/>
          <w:bCs/>
        </w:rPr>
      </w:pPr>
      <w:r w:rsidRPr="00B52ACA">
        <w:rPr>
          <w:rFonts w:ascii="Verdana" w:hAnsi="Verdana"/>
          <w:b/>
          <w:bCs/>
        </w:rPr>
        <w:t>Problema planteado:</w:t>
      </w:r>
    </w:p>
    <w:p w14:paraId="1DECFBA1" w14:textId="4F7F5D68" w:rsidR="00883063" w:rsidRPr="004B140F" w:rsidRDefault="00883063" w:rsidP="00883063">
      <w:pPr>
        <w:spacing w:line="276" w:lineRule="auto"/>
        <w:jc w:val="both"/>
        <w:rPr>
          <w:rFonts w:ascii="Verdana" w:eastAsia="Calibri" w:hAnsi="Verdana" w:cs="Arial"/>
          <w:color w:val="7030A0"/>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090338" w:rsidRPr="00C278CC">
        <w:rPr>
          <w:rFonts w:ascii="Verdana" w:eastAsia="Century Gothic" w:hAnsi="Verdana" w:cs="Century Gothic"/>
        </w:rPr>
        <w:t>¿</w:t>
      </w:r>
      <w:r w:rsidR="00090338" w:rsidRPr="00C278CC">
        <w:rPr>
          <w:rFonts w:ascii="Verdana" w:eastAsia="Century Gothic" w:hAnsi="Verdana" w:cs="Century Gothic"/>
          <w:lang w:val="es-ES_tradnl"/>
        </w:rPr>
        <w:t xml:space="preserve">Resulta aplicable las restricciones establecidas en el artículo 38 de la </w:t>
      </w:r>
      <w:r w:rsidR="00090338" w:rsidRPr="00C278CC">
        <w:rPr>
          <w:rFonts w:ascii="Verdana" w:hAnsi="Verdana"/>
          <w:iCs/>
        </w:rPr>
        <w:t xml:space="preserve">Ley 996 de 2005 –Ley de Garantías Electorales- a la celebración de los </w:t>
      </w:r>
      <w:r w:rsidR="00090338" w:rsidRPr="00C278CC">
        <w:rPr>
          <w:rFonts w:ascii="Verdana" w:hAnsi="Verdana"/>
          <w:i/>
        </w:rPr>
        <w:t xml:space="preserve">contratos </w:t>
      </w:r>
      <w:r w:rsidR="00090338" w:rsidRPr="00C278CC">
        <w:rPr>
          <w:rFonts w:ascii="Verdana" w:eastAsia="Century Gothic" w:hAnsi="Verdana" w:cs="Century Gothic"/>
          <w:i/>
          <w:lang w:val="es-ES_tradnl"/>
        </w:rPr>
        <w:t>interadministrativos</w:t>
      </w:r>
      <w:r w:rsidR="00090338" w:rsidRPr="00C278CC">
        <w:rPr>
          <w:rFonts w:ascii="Verdana" w:eastAsia="Century Gothic" w:hAnsi="Verdana" w:cs="Century Gothic"/>
          <w:lang w:val="es-ES_tradnl"/>
        </w:rPr>
        <w:t>?</w:t>
      </w:r>
    </w:p>
    <w:p w14:paraId="277E1493" w14:textId="77777777" w:rsidR="00883063" w:rsidRPr="00B52ACA" w:rsidRDefault="00883063" w:rsidP="00883063">
      <w:pPr>
        <w:pStyle w:val="Prrafodelista"/>
        <w:numPr>
          <w:ilvl w:val="0"/>
          <w:numId w:val="16"/>
        </w:numPr>
        <w:tabs>
          <w:tab w:val="left" w:pos="142"/>
          <w:tab w:val="left" w:pos="284"/>
        </w:tabs>
        <w:spacing w:line="276" w:lineRule="auto"/>
        <w:jc w:val="both"/>
        <w:rPr>
          <w:rFonts w:ascii="Verdana" w:eastAsia="Century Gothic" w:hAnsi="Verdana" w:cs="Century Gothic"/>
          <w:b/>
          <w:bCs/>
        </w:rPr>
      </w:pPr>
      <w:r w:rsidRPr="00B52ACA">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83063" w:rsidRPr="00593A5F" w14:paraId="43E966AA" w14:textId="77777777" w:rsidTr="001B0102">
        <w:trPr>
          <w:jc w:val="center"/>
        </w:trPr>
        <w:tc>
          <w:tcPr>
            <w:tcW w:w="8828" w:type="dxa"/>
          </w:tcPr>
          <w:p w14:paraId="1B8FB386" w14:textId="77777777" w:rsidR="004C7D8F" w:rsidRPr="004C7D8F" w:rsidRDefault="004C7D8F" w:rsidP="004C7D8F">
            <w:pPr>
              <w:spacing w:after="120" w:line="276" w:lineRule="auto"/>
              <w:jc w:val="both"/>
              <w:rPr>
                <w:rFonts w:ascii="Verdana" w:eastAsia="Century Gothic" w:hAnsi="Verdana" w:cs="Century Gothic"/>
                <w:bCs/>
                <w:lang w:val="es-ES_tradnl"/>
              </w:rPr>
            </w:pPr>
            <w:bookmarkStart w:id="2" w:name="_Hlk171694685"/>
            <w:r w:rsidRPr="004C7D8F">
              <w:rPr>
                <w:rFonts w:ascii="Verdana" w:eastAsia="Century Gothic" w:hAnsi="Verdana" w:cs="Century Gothic"/>
                <w:bCs/>
                <w:lang w:val="es-ES_tradnl"/>
              </w:rPr>
              <w:t>Resulta pertinente señalar que la Ley 996 de 2005, conocida como Ley de Garantías Electorales, establece restricciones específicas en materia de contratación pública durante los períodos electorales, con el fin de garantizar la transparencia, la igualdad entre los candidatos y el adecuado uso de los recursos públicos.</w:t>
            </w:r>
          </w:p>
          <w:p w14:paraId="1BA32356"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En este sentido, dichas restricciones se dirigen a dos (2) tipos de campañas electorales diferenciadas: (i) las presidenciales y (</w:t>
            </w:r>
            <w:proofErr w:type="spellStart"/>
            <w:r w:rsidRPr="004C7D8F">
              <w:rPr>
                <w:rFonts w:ascii="Verdana" w:eastAsia="Century Gothic" w:hAnsi="Verdana" w:cs="Century Gothic"/>
                <w:bCs/>
                <w:lang w:val="es-ES_tradnl"/>
              </w:rPr>
              <w:t>ii</w:t>
            </w:r>
            <w:proofErr w:type="spellEnd"/>
            <w:r w:rsidRPr="004C7D8F">
              <w:rPr>
                <w:rFonts w:ascii="Verdana" w:eastAsia="Century Gothic" w:hAnsi="Verdana" w:cs="Century Gothic"/>
                <w:bCs/>
                <w:lang w:val="es-ES_tradnl"/>
              </w:rPr>
              <w:t xml:space="preserve">) las que se adelanten para la elección de los demás cargos de elección popular, tanto a nivel nacional </w:t>
            </w:r>
            <w:r w:rsidRPr="004C7D8F">
              <w:rPr>
                <w:rFonts w:ascii="Verdana" w:eastAsia="Century Gothic" w:hAnsi="Verdana" w:cs="Century Gothic"/>
                <w:bCs/>
                <w:lang w:val="es-ES_tradnl"/>
              </w:rPr>
              <w:lastRenderedPageBreak/>
              <w:t>como territorial. En consecuencia, la ley contempla dos limitaciones principales, consagradas en los artículos 33 y 38, respectivamente.</w:t>
            </w:r>
          </w:p>
          <w:p w14:paraId="0135170E"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Por un lado, el artículo 33 de la Ley 996 de 2005 regula las restricciones aplicables a las elecciones presidenciales. Esta disposición establece que, durante los cuatro (4) meses anteriores a la elección presidencial y hasta la realización de la segunda vuelta, si fuere el caso, queda prohibida la contratación directa por parte de todos los entes del Estado.</w:t>
            </w:r>
          </w:p>
          <w:p w14:paraId="6D412A55"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No obstante, el mismo artículo, en su parágrafo, consagra excepciones taxativas a esta prohibición general, permitiendo la contratación directa únicamente en casos específicos de especial relevancia para el interés general. Entre estas excepciones se encuentran: lo relacionado con la defensa y seguridad del Estado, los contratos de crédito público, la atención de emergencias educativas, sanitarias y desastres, así como la reconstrucción de infraestructura afectada por atentados, desastres naturales, fuerza mayor, y aquellos contratos que deban celebrar las entidades sanitarias y hospitalarias.</w:t>
            </w:r>
          </w:p>
          <w:p w14:paraId="7BDDC5D3"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Por otro lado, el parágrafo del artículo 38 de la Ley 996 de 2005 prevé una restricción aplicable a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aquellas en las que participen como miembros de sus juntas directivas, en o para reuniones de carácter proselitista”.</w:t>
            </w:r>
          </w:p>
          <w:p w14:paraId="11EEA4B8"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Para dar contestación al problema jurídico planteado, es necesario precisar que el parágrafo del artículo 38 de la Ley 996 de 2005 prohíbe a los alcaldes, gobernadores, secretarios, gerentes y directores de entidades del orden municipal, departamental o distrital celebrar convenios interadministrativos para la ejecución de recursos públicos. En este sentido, si una o ambas partes de la relación contractual corresponde a alguna de las entidades descritas en dicha disposición, no podrán celebrarse tales convenios durante la vigencia de la Ley de Garantías Electorales, toda vez que la norma se refiere de manera expresa a esta tipología contractual, sin extender sus efectos a otras.</w:t>
            </w:r>
          </w:p>
          <w:p w14:paraId="15CA4859"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lastRenderedPageBreak/>
              <w:t>Ahora bien, a la luz de lo expuesto por el Consejo de Estado en la sentencia de la Sección Tercera de la Sala de lo Contencioso Administrativo del 17 de octubre de 2025, así como en los autos del 4 de octubre de 2024 y 6 de noviembre de 2025, mediante los cuales se declaró la nulidad parcial y se decretó la suspensión provisional parcial del numeral 16.2 de la Circular Externa Única de 2022 expedida por la Agencia Nacional de Contratación Pública -Colombia Compra Eficiente-, y de apartes del inciso segundo y cuarto del numeral 16.2 de la Circular Externa Única, versión 3 del 27 de diciembre de 2023, no resultaría aplicable la prohibición del parágrafo del artículo 38 de la Ley de Garantías Electorales a los contratos interadministrativos.</w:t>
            </w:r>
          </w:p>
          <w:p w14:paraId="7CDA7964"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En ese sentido, conforme a lo señalado por el Consejo de Estado, cuando dos entidades públicas celebren un contrato interadministrativo, independientemente de su objeto, este podría suscribirse durante el período preelectoral. No obstante, aún se encuentra pendiente de decisión la demanda de nulidad simple identificada con el radicado número 11001-03-26-000-2025-00016-00, en la cual se cuestiona parcialmente el numeral 16.2 de la Circular Externa Única CCE-EICP-MA-06, versión 03 del 27 de diciembre de 2023.</w:t>
            </w:r>
          </w:p>
          <w:p w14:paraId="37384D38"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Por ende, respecto de la prohibición contenida en el parágrafo del artículo 38, es necesario verificar si la contratación es adelantada por alcaldes, gobernadores, secretarios, gerentes o directores de entidades del orden municipal, departamental o distrital, así como determinar si se trata de un convenio interadministrativo para la ejecución de recursos públicos. De ser así, operará la restricción prevista en dicha norma, lo que implica la prohibición de celebrar este tipo de convenios dentro de los cuatro meses anteriores a cualquier contienda electoral. En este aspecto, la restricción se refiere a partes cooperantes o colaboradoras, y no a contratantes o contratistas. Esta limitación se extiende a las elecciones presidenciales que se celebrarán el 31 de mayo de 2026, así como a una eventual segunda vuelta el 21 de junio de 2026.</w:t>
            </w:r>
          </w:p>
          <w:p w14:paraId="758614D7"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 xml:space="preserve">En cuanto a la celebración de contratos interadministrativos, esta se encuentra sujeta a las restricciones del artículo 33 cuando la contratación se realice de manera directa, es decir, mediante un procedimiento no competitivo. En todo caso, corresponde a cada entidad estatal examinar la naturaleza de las actividades que adelanta y justificar si estas se enmarcan en alguna de las </w:t>
            </w:r>
            <w:r w:rsidRPr="004C7D8F">
              <w:rPr>
                <w:rFonts w:ascii="Verdana" w:eastAsia="Century Gothic" w:hAnsi="Verdana" w:cs="Century Gothic"/>
                <w:bCs/>
                <w:lang w:val="es-ES_tradnl"/>
              </w:rPr>
              <w:lastRenderedPageBreak/>
              <w:t>excepciones previstas, de modo que pueda acudir a la contratación directa durante el período de prohibición. Asimismo, cada entidad debe determinar si el instrumento jurídico que pretende suscribir corresponde a un contrato o a un convenio interadministrativo para la ejecución de recursos públicos; en este último caso, resultará aplicable la prohibición contenida en el parágrafo del artículo 38, conforme a lo expuesto.</w:t>
            </w:r>
          </w:p>
          <w:p w14:paraId="60C889E5"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En particular, cada entidad estatal deberá realizar el análisis correspondiente para determinar si aplica alguna de las excepciones a la prohibición del artículo 33, de acuerdo con las circunstancias fácticas y jurídicas del caso concreto. Si la excepción resulta procedente, podrá llevarse a cabo la contratación directa, debidamente justificada. Por el contrario, si no se configura ninguna excepción, estará prohibida la celebración de contratos de manera directa, sin perjuicio de la aplicación de la restricción prevista en el parágrafo del artículo 38.</w:t>
            </w:r>
          </w:p>
          <w:p w14:paraId="3ED1C191" w14:textId="77777777" w:rsidR="004C7D8F" w:rsidRPr="004C7D8F" w:rsidRDefault="004C7D8F" w:rsidP="004C7D8F">
            <w:pPr>
              <w:spacing w:after="120" w:line="276" w:lineRule="auto"/>
              <w:jc w:val="both"/>
              <w:rPr>
                <w:rFonts w:ascii="Verdana" w:eastAsia="Century Gothic" w:hAnsi="Verdana" w:cs="Century Gothic"/>
                <w:bCs/>
                <w:lang w:val="es-ES_tradnl"/>
              </w:rPr>
            </w:pPr>
            <w:r w:rsidRPr="004C7D8F">
              <w:rPr>
                <w:rFonts w:ascii="Verdana" w:eastAsia="Century Gothic" w:hAnsi="Verdana" w:cs="Century Gothic"/>
                <w:bCs/>
                <w:lang w:val="es-ES_tradnl"/>
              </w:rPr>
              <w:t>Por lo tanto, en relación con la restricción del parágrafo del artículo 38 de la Ley 996 de 2005, cuando la entidad pública actúe como cooperante, no podrá celebrar convenios interadministrativos para la ejecución de recursos públicos durante la vigencia de dicha prohibición. No obstante, dado que operan de manera simultánea las restricciones del artículo 33 y del parágrafo del artículo 38, la celebración de contratación directa estará igualmente limitada, salvo que la entidad se encuentre dentro de las excepciones previstas en el artículo 33, caso en el cual ambas entidades intervinientes deberán enmarcar su actuación en dichas causales.</w:t>
            </w:r>
          </w:p>
          <w:p w14:paraId="27F382B0" w14:textId="46F83990" w:rsidR="00883063" w:rsidRPr="00C923A6" w:rsidRDefault="004C7D8F" w:rsidP="00A57111">
            <w:pPr>
              <w:spacing w:after="120" w:line="276" w:lineRule="auto"/>
              <w:jc w:val="both"/>
              <w:rPr>
                <w:rFonts w:ascii="Times New Roman" w:eastAsia="Times New Roman" w:hAnsi="Times New Roman" w:cs="Times New Roman"/>
              </w:rPr>
            </w:pPr>
            <w:r w:rsidRPr="004C7D8F">
              <w:rPr>
                <w:rFonts w:ascii="Verdana" w:eastAsia="Century Gothic" w:hAnsi="Verdana" w:cs="Century Gothic"/>
                <w:bCs/>
                <w:lang w:val="es-ES_tradnl"/>
              </w:rPr>
              <w:t>En todo caso, corresponde a cada entidad estatal examinar la naturaleza de las actividades que adelanta, justificar su encuadre en las excepciones aplicables y determinar la naturaleza jurídica del instrumento a suscribir, con el fin de establecer la procedencia de la contratación durante el período de restricción, conforme a lo señalado.</w:t>
            </w:r>
          </w:p>
        </w:tc>
      </w:tr>
    </w:tbl>
    <w:p w14:paraId="6C146198" w14:textId="77777777" w:rsidR="00883063" w:rsidRPr="00593A5F" w:rsidRDefault="00883063" w:rsidP="00883063">
      <w:pPr>
        <w:tabs>
          <w:tab w:val="left" w:pos="142"/>
          <w:tab w:val="left" w:pos="284"/>
        </w:tabs>
        <w:spacing w:after="0" w:line="276" w:lineRule="auto"/>
        <w:jc w:val="both"/>
        <w:rPr>
          <w:rFonts w:ascii="Verdana" w:eastAsia="Century Gothic" w:hAnsi="Verdana" w:cs="Century Gothic"/>
          <w:b/>
          <w:bCs/>
          <w:lang w:val="es-ES"/>
        </w:rPr>
      </w:pPr>
    </w:p>
    <w:bookmarkEnd w:id="2"/>
    <w:p w14:paraId="64F0FC41" w14:textId="77777777" w:rsidR="00883063" w:rsidRPr="00593A5F" w:rsidRDefault="00883063" w:rsidP="00883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BF36B54" w14:textId="77777777" w:rsidR="00883063" w:rsidRDefault="00883063" w:rsidP="00883063">
      <w:pPr>
        <w:tabs>
          <w:tab w:val="left" w:pos="426"/>
        </w:tabs>
        <w:spacing w:before="240" w:after="120" w:line="276" w:lineRule="auto"/>
        <w:ind w:firstLine="425"/>
        <w:jc w:val="both"/>
        <w:rPr>
          <w:rFonts w:ascii="Verdana" w:eastAsia="Calibri" w:hAnsi="Verdana" w:cs="Arial"/>
        </w:rPr>
      </w:pPr>
      <w:r w:rsidRPr="0010142F">
        <w:rPr>
          <w:rFonts w:ascii="Verdana" w:eastAsia="Calibri" w:hAnsi="Verdana" w:cs="Arial"/>
        </w:rPr>
        <w:t>Lo anterior se sustenta en las siguientes consideraciones:</w:t>
      </w:r>
    </w:p>
    <w:p w14:paraId="569DE061" w14:textId="77777777" w:rsidR="00630C2C" w:rsidRPr="00C278CC" w:rsidRDefault="00630C2C" w:rsidP="00630C2C">
      <w:pPr>
        <w:tabs>
          <w:tab w:val="left" w:pos="426"/>
        </w:tabs>
        <w:spacing w:after="120" w:line="276" w:lineRule="auto"/>
        <w:jc w:val="both"/>
        <w:rPr>
          <w:rFonts w:ascii="Verdana" w:eastAsia="Times New Roman" w:hAnsi="Verdana" w:cs="Arial"/>
          <w:lang w:eastAsia="es-CO"/>
        </w:rPr>
      </w:pPr>
      <w:r w:rsidRPr="00C278CC">
        <w:rPr>
          <w:rFonts w:ascii="Verdana" w:eastAsia="Calibri" w:hAnsi="Verdana" w:cs="Arial"/>
        </w:rPr>
        <w:t>El ordenamiento jurídico colombiano contempla previsiones claras para evitar la obtención de beneficios personales en asuntos propios de la administración pública</w:t>
      </w:r>
      <w:r w:rsidRPr="00C278CC">
        <w:rPr>
          <w:rFonts w:ascii="Verdana" w:eastAsia="Calibri" w:hAnsi="Verdana" w:cs="Arial"/>
          <w:i/>
        </w:rPr>
        <w:t xml:space="preserve">. </w:t>
      </w:r>
      <w:r w:rsidRPr="00C278CC">
        <w:rPr>
          <w:rFonts w:ascii="Verdana" w:eastAsia="Calibri" w:hAnsi="Verdana" w:cs="Arial"/>
        </w:rPr>
        <w:t xml:space="preserve">Por ejemplo, el artículo 127 de la Constitución Política establece una </w:t>
      </w:r>
      <w:r w:rsidRPr="00C278CC">
        <w:rPr>
          <w:rFonts w:ascii="Verdana" w:eastAsia="Calibri" w:hAnsi="Verdana" w:cs="Arial"/>
        </w:rPr>
        <w:lastRenderedPageBreak/>
        <w:t>prohibición contractual a los servidores públicos y en cuanto a aspectos políticos consagra restricciones a ciertos empleados del Estado, incluso en época no electoral</w:t>
      </w:r>
      <w:r w:rsidRPr="00C278CC">
        <w:rPr>
          <w:rFonts w:ascii="Verdana" w:eastAsia="Calibri" w:hAnsi="Verdana" w:cs="Arial"/>
          <w:vertAlign w:val="superscript"/>
        </w:rPr>
        <w:footnoteReference w:id="1"/>
      </w:r>
      <w:r w:rsidRPr="00C278CC">
        <w:rPr>
          <w:rFonts w:ascii="Verdana" w:eastAsia="Calibri" w:hAnsi="Verdana" w:cs="Arial"/>
        </w:rPr>
        <w:t xml:space="preserve">. </w:t>
      </w:r>
    </w:p>
    <w:p w14:paraId="01B5D909" w14:textId="77777777" w:rsidR="00630C2C" w:rsidRPr="00C278CC" w:rsidRDefault="00630C2C" w:rsidP="00630C2C">
      <w:pPr>
        <w:tabs>
          <w:tab w:val="left" w:pos="426"/>
        </w:tabs>
        <w:spacing w:after="120" w:line="276" w:lineRule="auto"/>
        <w:ind w:firstLine="709"/>
        <w:jc w:val="both"/>
        <w:rPr>
          <w:rFonts w:ascii="Verdana" w:eastAsia="Calibri" w:hAnsi="Verdana" w:cs="Arial"/>
          <w:lang w:val="es-ES_tradnl"/>
        </w:rPr>
      </w:pPr>
      <w:r w:rsidRPr="00C278CC">
        <w:rPr>
          <w:rFonts w:ascii="Verdana" w:eastAsia="Times New Roman" w:hAnsi="Verdana" w:cs="Arial"/>
          <w:lang w:eastAsia="es-CO"/>
        </w:rPr>
        <w:t>En el mismo sentido</w:t>
      </w:r>
      <w:r w:rsidRPr="00C278CC">
        <w:rPr>
          <w:rFonts w:ascii="Verdana" w:eastAsia="Times New Roman" w:hAnsi="Verdana" w:cs="Arial"/>
          <w:lang w:val="es-MX" w:eastAsia="es-CO"/>
        </w:rPr>
        <w:t xml:space="preserve">, </w:t>
      </w:r>
      <w:bookmarkStart w:id="3" w:name="_Hlk99576829"/>
      <w:r w:rsidRPr="00C278CC">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278CC">
        <w:rPr>
          <w:rFonts w:ascii="Verdana" w:eastAsia="Times New Roman" w:hAnsi="Verdana" w:cs="Arial"/>
          <w:vertAlign w:val="superscript"/>
          <w:lang w:val="es-MX" w:eastAsia="es-CO"/>
        </w:rPr>
        <w:footnoteReference w:id="2"/>
      </w:r>
      <w:r w:rsidRPr="00C278CC">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278CC">
        <w:rPr>
          <w:rFonts w:ascii="Verdana" w:eastAsia="Calibri" w:hAnsi="Verdana" w:cs="Arial"/>
          <w:lang w:val="es-ES_tradnl"/>
        </w:rPr>
        <w:t xml:space="preserve"> </w:t>
      </w:r>
      <w:bookmarkEnd w:id="3"/>
    </w:p>
    <w:p w14:paraId="0513AD8C" w14:textId="7582E849" w:rsidR="00630C2C" w:rsidRPr="004836A2" w:rsidRDefault="00630C2C" w:rsidP="004836A2">
      <w:pPr>
        <w:tabs>
          <w:tab w:val="left" w:pos="426"/>
        </w:tabs>
        <w:spacing w:line="276" w:lineRule="auto"/>
        <w:ind w:firstLine="709"/>
        <w:jc w:val="both"/>
        <w:rPr>
          <w:rFonts w:ascii="Verdana" w:eastAsia="Times New Roman" w:hAnsi="Verdana" w:cs="Arial"/>
          <w:lang w:val="es-MX" w:eastAsia="es-CO"/>
        </w:rPr>
      </w:pPr>
      <w:r w:rsidRPr="00C278CC">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EF58D67" w14:textId="77777777" w:rsidR="00630C2C" w:rsidRPr="00C278CC" w:rsidRDefault="00630C2C" w:rsidP="00630C2C">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ES" w:eastAsia="es-CO"/>
        </w:rPr>
        <w:t xml:space="preserve">“[…] </w:t>
      </w:r>
      <w:r w:rsidRPr="00C278C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D3E9571" w14:textId="77777777" w:rsidR="00630C2C" w:rsidRPr="00C278CC" w:rsidRDefault="00630C2C" w:rsidP="00630C2C">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 xml:space="preserve">[…] </w:t>
      </w:r>
    </w:p>
    <w:p w14:paraId="34F7CE8B" w14:textId="77777777" w:rsidR="00630C2C" w:rsidRPr="00C278CC" w:rsidRDefault="00630C2C" w:rsidP="00630C2C">
      <w:pPr>
        <w:spacing w:after="0" w:line="240" w:lineRule="auto"/>
        <w:ind w:left="709" w:right="709"/>
        <w:contextualSpacing/>
        <w:jc w:val="both"/>
        <w:rPr>
          <w:rFonts w:ascii="Verdana" w:eastAsia="Times New Roman" w:hAnsi="Verdana" w:cs="Arial"/>
          <w:sz w:val="12"/>
          <w:szCs w:val="12"/>
          <w:lang w:val="es-MX" w:eastAsia="es-CO"/>
        </w:rPr>
      </w:pPr>
    </w:p>
    <w:p w14:paraId="21BB70B5" w14:textId="77777777" w:rsidR="00630C2C" w:rsidRPr="00C278CC" w:rsidRDefault="00630C2C" w:rsidP="00630C2C">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278CC">
        <w:rPr>
          <w:rFonts w:ascii="Verdana" w:eastAsia="Calibri" w:hAnsi="Verdana" w:cs="Arial"/>
          <w:sz w:val="20"/>
          <w:szCs w:val="20"/>
          <w:vertAlign w:val="superscript"/>
          <w:lang w:val="es-MX"/>
        </w:rPr>
        <w:footnoteReference w:id="3"/>
      </w:r>
      <w:r w:rsidRPr="00C278CC">
        <w:rPr>
          <w:rFonts w:ascii="Verdana" w:eastAsia="Times New Roman" w:hAnsi="Verdana" w:cs="Arial"/>
          <w:sz w:val="20"/>
          <w:szCs w:val="20"/>
          <w:lang w:val="es-MX" w:eastAsia="es-CO"/>
        </w:rPr>
        <w:t>.</w:t>
      </w:r>
    </w:p>
    <w:p w14:paraId="2EDF8ACC" w14:textId="77777777" w:rsidR="00630C2C" w:rsidRPr="00C278CC" w:rsidRDefault="00630C2C" w:rsidP="00630C2C">
      <w:pPr>
        <w:spacing w:after="0" w:line="276" w:lineRule="auto"/>
        <w:ind w:left="709" w:right="709"/>
        <w:contextualSpacing/>
        <w:jc w:val="both"/>
        <w:rPr>
          <w:rFonts w:ascii="Verdana" w:eastAsia="Times New Roman" w:hAnsi="Verdana" w:cs="Arial"/>
          <w:lang w:val="es-MX" w:eastAsia="es-CO"/>
        </w:rPr>
      </w:pPr>
    </w:p>
    <w:p w14:paraId="50DC930B" w14:textId="77777777" w:rsidR="00630C2C" w:rsidRPr="00C278CC" w:rsidRDefault="00630C2C" w:rsidP="00630C2C">
      <w:pPr>
        <w:spacing w:after="120" w:line="276" w:lineRule="auto"/>
        <w:ind w:firstLine="709"/>
        <w:jc w:val="both"/>
        <w:rPr>
          <w:rFonts w:ascii="Verdana" w:eastAsia="Times New Roman" w:hAnsi="Verdana" w:cs="Arial"/>
          <w:lang w:val="es-MX" w:eastAsia="es-CO"/>
        </w:rPr>
      </w:pPr>
      <w:bookmarkStart w:id="4" w:name="_Hlk78818186"/>
      <w:r w:rsidRPr="00C278CC">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C278CC">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19CD883C" w14:textId="71BFF0C2" w:rsidR="00630C2C" w:rsidRPr="00C278CC" w:rsidRDefault="00630C2C" w:rsidP="00C270F5">
      <w:pPr>
        <w:spacing w:line="276" w:lineRule="auto"/>
        <w:ind w:firstLine="709"/>
        <w:jc w:val="both"/>
        <w:rPr>
          <w:rFonts w:ascii="Verdana" w:eastAsia="Times New Roman" w:hAnsi="Verdana" w:cs="Arial"/>
          <w:lang w:val="es-MX" w:eastAsia="es-CO"/>
        </w:rPr>
      </w:pPr>
      <w:r w:rsidRPr="00C278CC">
        <w:rPr>
          <w:rFonts w:ascii="Verdana" w:eastAsia="Times New Roman" w:hAnsi="Verdana" w:cs="Arial"/>
          <w:lang w:val="es-MX" w:eastAsia="es-CO"/>
        </w:rPr>
        <w:t>En efecto, la Sala de Consulta y Servicio Civil del Consejo de Estado, precisó lo siguiente:</w:t>
      </w:r>
    </w:p>
    <w:p w14:paraId="7CF02722" w14:textId="77777777" w:rsidR="00630C2C" w:rsidRPr="00C278CC" w:rsidRDefault="00630C2C" w:rsidP="00630C2C">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278CC">
        <w:rPr>
          <w:rFonts w:ascii="Verdana" w:eastAsia="Times New Roman" w:hAnsi="Verdana" w:cs="Arial"/>
          <w:sz w:val="20"/>
          <w:szCs w:val="20"/>
          <w:lang w:val="es-MX" w:eastAsia="es-CO"/>
        </w:rPr>
        <w:t>legis</w:t>
      </w:r>
      <w:proofErr w:type="spellEnd"/>
      <w:r w:rsidRPr="00C278CC">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41A2C2E" w14:textId="77777777" w:rsidR="00630C2C" w:rsidRPr="00C278CC" w:rsidRDefault="00630C2C" w:rsidP="00630C2C">
      <w:pPr>
        <w:spacing w:after="0" w:line="240" w:lineRule="auto"/>
        <w:ind w:right="709"/>
        <w:contextualSpacing/>
        <w:jc w:val="both"/>
        <w:rPr>
          <w:rFonts w:ascii="Verdana" w:eastAsia="Times New Roman" w:hAnsi="Verdana" w:cs="Arial"/>
          <w:sz w:val="12"/>
          <w:szCs w:val="12"/>
          <w:lang w:val="es-MX" w:eastAsia="es-CO"/>
        </w:rPr>
      </w:pPr>
    </w:p>
    <w:p w14:paraId="1B1D98AF" w14:textId="77777777" w:rsidR="00630C2C" w:rsidRPr="00C278CC" w:rsidRDefault="00630C2C" w:rsidP="00630C2C">
      <w:pPr>
        <w:spacing w:after="0" w:line="240" w:lineRule="auto"/>
        <w:ind w:left="709" w:right="709"/>
        <w:contextualSpacing/>
        <w:jc w:val="both"/>
        <w:rPr>
          <w:rFonts w:ascii="Verdana" w:eastAsia="Times New Roman" w:hAnsi="Verdana" w:cs="Arial"/>
          <w:sz w:val="20"/>
          <w:szCs w:val="20"/>
          <w:lang w:val="es-MX" w:eastAsia="es-CO"/>
        </w:rPr>
      </w:pPr>
      <w:r w:rsidRPr="00C278CC">
        <w:rPr>
          <w:rFonts w:ascii="Verdana" w:eastAsia="Times New Roman" w:hAnsi="Verdana" w:cs="Arial"/>
          <w:sz w:val="20"/>
          <w:szCs w:val="20"/>
          <w:lang w:val="es-MX" w:eastAsia="es-CO"/>
        </w:rPr>
        <w:t>La jurisprudencia de la Corte Constitucional</w:t>
      </w:r>
      <w:r w:rsidRPr="00C278CC">
        <w:rPr>
          <w:rFonts w:ascii="Verdana" w:eastAsia="Times New Roman" w:hAnsi="Verdana" w:cs="Arial"/>
          <w:sz w:val="20"/>
          <w:szCs w:val="20"/>
          <w:vertAlign w:val="superscript"/>
          <w:lang w:val="es-MX" w:eastAsia="es-CO"/>
        </w:rPr>
        <w:footnoteReference w:id="4"/>
      </w:r>
      <w:r w:rsidRPr="00C278CC">
        <w:rPr>
          <w:rFonts w:ascii="Verdana" w:eastAsia="Times New Roman" w:hAnsi="Verdana" w:cs="Arial"/>
          <w:sz w:val="20"/>
          <w:szCs w:val="20"/>
          <w:lang w:val="es-MX" w:eastAsia="es-CO"/>
        </w:rPr>
        <w:t> y del Consejo de Estado</w:t>
      </w:r>
      <w:r w:rsidRPr="00C278CC">
        <w:rPr>
          <w:rFonts w:ascii="Verdana" w:eastAsia="Times New Roman" w:hAnsi="Verdana" w:cs="Arial"/>
          <w:sz w:val="20"/>
          <w:szCs w:val="20"/>
          <w:vertAlign w:val="superscript"/>
          <w:lang w:val="es-MX" w:eastAsia="es-CO"/>
        </w:rPr>
        <w:footnoteReference w:id="5"/>
      </w:r>
      <w:r w:rsidRPr="00C278C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278CC">
        <w:rPr>
          <w:rFonts w:ascii="Verdana" w:eastAsia="Times New Roman" w:hAnsi="Verdana" w:cs="Arial"/>
          <w:sz w:val="20"/>
          <w:szCs w:val="20"/>
          <w:vertAlign w:val="superscript"/>
          <w:lang w:val="es-MX" w:eastAsia="es-CO"/>
        </w:rPr>
        <w:footnoteReference w:id="6"/>
      </w:r>
      <w:r w:rsidRPr="00C278CC">
        <w:rPr>
          <w:rFonts w:ascii="Verdana" w:eastAsia="Times New Roman" w:hAnsi="Verdana" w:cs="Arial"/>
          <w:sz w:val="20"/>
          <w:szCs w:val="20"/>
          <w:lang w:val="es-MX" w:eastAsia="es-CO"/>
        </w:rPr>
        <w:t>.</w:t>
      </w:r>
    </w:p>
    <w:p w14:paraId="59773F59" w14:textId="77777777" w:rsidR="00630C2C" w:rsidRPr="00C278CC" w:rsidRDefault="00630C2C" w:rsidP="00630C2C">
      <w:pPr>
        <w:spacing w:after="0" w:line="276" w:lineRule="auto"/>
        <w:ind w:right="709"/>
        <w:contextualSpacing/>
        <w:jc w:val="both"/>
        <w:rPr>
          <w:rFonts w:ascii="Verdana" w:eastAsia="Times New Roman" w:hAnsi="Verdana" w:cs="Arial"/>
          <w:sz w:val="21"/>
          <w:szCs w:val="21"/>
          <w:lang w:val="es-MX" w:eastAsia="es-CO"/>
        </w:rPr>
      </w:pPr>
    </w:p>
    <w:p w14:paraId="4EC62800" w14:textId="77777777" w:rsidR="00630C2C" w:rsidRPr="00C278CC" w:rsidRDefault="00630C2C" w:rsidP="00630C2C">
      <w:pPr>
        <w:spacing w:after="120" w:line="276" w:lineRule="auto"/>
        <w:jc w:val="both"/>
        <w:rPr>
          <w:rFonts w:ascii="Verdana" w:eastAsia="Arial" w:hAnsi="Verdana" w:cs="Arial"/>
          <w:lang w:val="es-ES" w:eastAsia="es-ES" w:bidi="es-ES"/>
        </w:rPr>
      </w:pPr>
      <w:r w:rsidRPr="00C278CC">
        <w:rPr>
          <w:rFonts w:ascii="Verdana" w:eastAsia="Times New Roman" w:hAnsi="Verdana" w:cs="Arial"/>
          <w:lang w:val="es-MX" w:eastAsia="es-CO"/>
        </w:rPr>
        <w:tab/>
        <w:t>De</w:t>
      </w:r>
      <w:r w:rsidRPr="00C278CC">
        <w:rPr>
          <w:rFonts w:ascii="Verdana" w:eastAsia="Arial" w:hAnsi="Verdana" w:cs="Arial"/>
          <w:lang w:val="es-ES" w:eastAsia="es-ES" w:bidi="es-ES"/>
        </w:rPr>
        <w:t xml:space="preserve"> conformidad con lo anterior, </w:t>
      </w:r>
      <w:bookmarkStart w:id="5" w:name="_Hlk77236098"/>
      <w:bookmarkStart w:id="6" w:name="_Hlk100679383"/>
      <w:r w:rsidRPr="00C278CC">
        <w:rPr>
          <w:rFonts w:ascii="Verdana" w:eastAsia="Arial" w:hAnsi="Verdana" w:cs="Arial"/>
          <w:lang w:val="es-ES" w:eastAsia="es-ES" w:bidi="es-ES"/>
        </w:rPr>
        <w:t xml:space="preserve">la Ley de Garantías Electorales fijó una serie de regulaciones y prohibiciones dirigidas a los servidores públicos. Con la </w:t>
      </w:r>
      <w:r w:rsidRPr="00C278CC">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22F96CB5" w14:textId="77777777" w:rsidR="00630C2C" w:rsidRPr="00C278CC" w:rsidRDefault="00630C2C" w:rsidP="00630C2C">
      <w:pPr>
        <w:spacing w:after="120" w:line="276" w:lineRule="auto"/>
        <w:ind w:firstLine="708"/>
        <w:jc w:val="both"/>
        <w:rPr>
          <w:rFonts w:ascii="Verdana" w:eastAsia="Calibri" w:hAnsi="Verdana" w:cs="Arial"/>
        </w:rPr>
      </w:pPr>
      <w:r w:rsidRPr="00C278CC">
        <w:rPr>
          <w:rFonts w:ascii="Verdana" w:eastAsia="Calibri" w:hAnsi="Verdana" w:cs="Arial"/>
          <w:i/>
          <w:iCs/>
        </w:rPr>
        <w:t>Por un lado</w:t>
      </w:r>
      <w:r w:rsidRPr="00C278CC">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278CC">
        <w:rPr>
          <w:rFonts w:ascii="Verdana" w:eastAsia="Calibri" w:hAnsi="Verdana" w:cs="Arial"/>
          <w:vertAlign w:val="superscript"/>
        </w:rPr>
        <w:footnoteReference w:id="7"/>
      </w:r>
      <w:r w:rsidRPr="00C278CC">
        <w:rPr>
          <w:rFonts w:ascii="Verdana" w:eastAsia="Calibri" w:hAnsi="Verdana" w:cs="Arial"/>
        </w:rPr>
        <w:t>.</w:t>
      </w:r>
    </w:p>
    <w:p w14:paraId="55CC1406" w14:textId="77777777" w:rsidR="00630C2C" w:rsidRPr="00C278CC" w:rsidRDefault="00630C2C" w:rsidP="00630C2C">
      <w:pPr>
        <w:widowControl w:val="0"/>
        <w:autoSpaceDE w:val="0"/>
        <w:autoSpaceDN w:val="0"/>
        <w:spacing w:after="120" w:line="276" w:lineRule="auto"/>
        <w:ind w:right="113" w:firstLine="709"/>
        <w:jc w:val="both"/>
        <w:rPr>
          <w:rFonts w:ascii="Verdana" w:eastAsia="Arial" w:hAnsi="Verdana" w:cs="Arial"/>
          <w:lang w:val="es-ES" w:eastAsia="es-ES" w:bidi="es-ES"/>
        </w:rPr>
      </w:pPr>
      <w:r w:rsidRPr="00C278CC">
        <w:rPr>
          <w:rFonts w:ascii="Verdana" w:eastAsia="Calibri" w:hAnsi="Verdana" w:cs="Arial"/>
          <w:i/>
          <w:iCs/>
        </w:rPr>
        <w:t>Por otro lado</w:t>
      </w:r>
      <w:r w:rsidRPr="00C278CC">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278CC">
        <w:rPr>
          <w:rFonts w:ascii="Verdana" w:eastAsia="Calibri" w:hAnsi="Verdana" w:cs="Arial"/>
          <w:lang w:val="es-MX"/>
        </w:rPr>
        <w:t xml:space="preserve">celebrar </w:t>
      </w:r>
      <w:r w:rsidRPr="00C278CC">
        <w:rPr>
          <w:rFonts w:ascii="Verdana" w:eastAsia="Calibri" w:hAnsi="Verdana" w:cs="Arial"/>
          <w:i/>
          <w:iCs/>
          <w:lang w:val="es-MX"/>
        </w:rPr>
        <w:t>convenios interadministrativos</w:t>
      </w:r>
      <w:r w:rsidRPr="00C278CC">
        <w:rPr>
          <w:rFonts w:ascii="Verdana" w:eastAsia="Calibri" w:hAnsi="Verdana" w:cs="Arial"/>
          <w:lang w:val="es-MX"/>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C278CC">
        <w:rPr>
          <w:rFonts w:ascii="Verdana" w:eastAsia="Calibri" w:hAnsi="Verdana" w:cs="Arial"/>
          <w:sz w:val="19"/>
          <w:szCs w:val="19"/>
        </w:rPr>
        <w:t>”</w:t>
      </w:r>
      <w:bookmarkEnd w:id="6"/>
      <w:r w:rsidRPr="00C278CC">
        <w:rPr>
          <w:rFonts w:ascii="Verdana" w:eastAsia="Calibri" w:hAnsi="Verdana" w:cs="Arial"/>
          <w:sz w:val="19"/>
          <w:szCs w:val="19"/>
          <w:vertAlign w:val="superscript"/>
        </w:rPr>
        <w:footnoteReference w:id="8"/>
      </w:r>
      <w:r w:rsidRPr="00C278CC">
        <w:rPr>
          <w:rFonts w:ascii="Verdana" w:eastAsia="Calibri" w:hAnsi="Verdana" w:cs="Arial"/>
          <w:lang w:val="es-MX"/>
        </w:rPr>
        <w:t>.</w:t>
      </w:r>
      <w:r w:rsidRPr="00C278CC">
        <w:rPr>
          <w:rFonts w:ascii="Verdana" w:eastAsia="Arial" w:hAnsi="Verdana" w:cs="Arial"/>
          <w:lang w:val="es-ES" w:eastAsia="es-ES" w:bidi="es-ES"/>
        </w:rPr>
        <w:t xml:space="preserve"> </w:t>
      </w:r>
    </w:p>
    <w:p w14:paraId="6FEA8A33" w14:textId="00F7C67C" w:rsidR="00630C2C" w:rsidRDefault="00630C2C" w:rsidP="00C270F5">
      <w:pPr>
        <w:widowControl w:val="0"/>
        <w:autoSpaceDE w:val="0"/>
        <w:autoSpaceDN w:val="0"/>
        <w:spacing w:before="240" w:line="276" w:lineRule="auto"/>
        <w:ind w:right="113" w:firstLine="708"/>
        <w:contextualSpacing/>
        <w:jc w:val="both"/>
        <w:rPr>
          <w:rFonts w:ascii="Verdana" w:eastAsia="Arial" w:hAnsi="Verdana" w:cs="Arial"/>
          <w:lang w:val="es-ES" w:eastAsia="es-ES" w:bidi="es-ES"/>
        </w:rPr>
      </w:pPr>
      <w:r w:rsidRPr="00C278CC">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considera que:</w:t>
      </w:r>
    </w:p>
    <w:p w14:paraId="0354A9FB" w14:textId="77777777" w:rsidR="0007332C" w:rsidRDefault="0007332C" w:rsidP="0007332C">
      <w:pPr>
        <w:widowControl w:val="0"/>
        <w:autoSpaceDE w:val="0"/>
        <w:autoSpaceDN w:val="0"/>
        <w:spacing w:before="240" w:line="240" w:lineRule="auto"/>
        <w:ind w:left="709" w:right="709"/>
        <w:contextualSpacing/>
        <w:jc w:val="both"/>
        <w:rPr>
          <w:rFonts w:ascii="Verdana" w:eastAsia="Arial" w:hAnsi="Verdana" w:cs="Arial"/>
          <w:lang w:val="es-ES" w:eastAsia="es-ES" w:bidi="es-ES"/>
        </w:rPr>
      </w:pPr>
    </w:p>
    <w:p w14:paraId="13C4ACBC" w14:textId="5AF1A505" w:rsidR="00630C2C" w:rsidRPr="00C278CC" w:rsidRDefault="00630C2C" w:rsidP="0007332C">
      <w:pPr>
        <w:widowControl w:val="0"/>
        <w:autoSpaceDE w:val="0"/>
        <w:autoSpaceDN w:val="0"/>
        <w:spacing w:before="240" w:line="240" w:lineRule="auto"/>
        <w:ind w:left="709" w:right="709"/>
        <w:contextualSpacing/>
        <w:jc w:val="both"/>
        <w:rPr>
          <w:rFonts w:ascii="Verdana" w:eastAsia="Arial" w:hAnsi="Verdana" w:cs="Arial"/>
          <w:sz w:val="20"/>
          <w:szCs w:val="20"/>
          <w:lang w:val="es-ES" w:eastAsia="es-ES" w:bidi="es-ES"/>
        </w:rPr>
      </w:pPr>
      <w:r w:rsidRPr="00C278C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C278CC">
        <w:rPr>
          <w:rFonts w:ascii="Verdana" w:eastAsia="Arial" w:hAnsi="Verdana" w:cs="Arial"/>
          <w:sz w:val="20"/>
          <w:szCs w:val="20"/>
          <w:lang w:val="es-ES" w:eastAsia="es-ES" w:bidi="es-ES"/>
        </w:rPr>
        <w:t>se integran parcialmente</w:t>
      </w:r>
      <w:bookmarkEnd w:id="9"/>
      <w:r w:rsidRPr="00C278C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278CC">
        <w:rPr>
          <w:rFonts w:ascii="Verdana" w:eastAsia="Arial" w:hAnsi="Verdana" w:cs="Arial"/>
          <w:sz w:val="20"/>
          <w:szCs w:val="20"/>
          <w:vertAlign w:val="superscript"/>
          <w:lang w:val="es-ES" w:eastAsia="es-ES" w:bidi="es-ES"/>
        </w:rPr>
        <w:footnoteReference w:id="9"/>
      </w:r>
      <w:r w:rsidRPr="00C278CC">
        <w:rPr>
          <w:rFonts w:ascii="Verdana" w:eastAsia="Arial" w:hAnsi="Verdana" w:cs="Arial"/>
          <w:sz w:val="20"/>
          <w:szCs w:val="20"/>
          <w:lang w:val="es-ES" w:eastAsia="es-ES" w:bidi="es-ES"/>
        </w:rPr>
        <w:t>.</w:t>
      </w:r>
    </w:p>
    <w:p w14:paraId="7B23527A" w14:textId="77777777" w:rsidR="00630C2C" w:rsidRPr="00C278CC" w:rsidRDefault="00630C2C" w:rsidP="00630C2C">
      <w:pPr>
        <w:widowControl w:val="0"/>
        <w:autoSpaceDE w:val="0"/>
        <w:autoSpaceDN w:val="0"/>
        <w:spacing w:after="0" w:line="276" w:lineRule="auto"/>
        <w:contextualSpacing/>
        <w:rPr>
          <w:rFonts w:ascii="Verdana" w:eastAsia="Arial" w:hAnsi="Verdana" w:cs="Arial"/>
          <w:lang w:val="es-ES" w:eastAsia="es-ES" w:bidi="es-ES"/>
        </w:rPr>
      </w:pPr>
    </w:p>
    <w:p w14:paraId="15201CA4" w14:textId="77777777" w:rsidR="00630C2C" w:rsidRPr="00C278CC" w:rsidRDefault="00630C2C" w:rsidP="00630C2C">
      <w:pPr>
        <w:spacing w:after="120" w:line="276" w:lineRule="auto"/>
        <w:ind w:firstLine="709"/>
        <w:jc w:val="both"/>
        <w:rPr>
          <w:rFonts w:ascii="Verdana" w:eastAsia="Arial" w:hAnsi="Verdana" w:cs="Arial"/>
          <w:lang w:val="es-ES" w:eastAsia="es-ES" w:bidi="es-ES"/>
        </w:rPr>
      </w:pPr>
      <w:r w:rsidRPr="00C278CC">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C278CC">
        <w:rPr>
          <w:rFonts w:ascii="Verdana" w:eastAsia="Arial" w:hAnsi="Verdana" w:cs="Arial"/>
          <w:lang w:val="es-ES" w:eastAsia="es-ES" w:bidi="es-ES"/>
        </w:rPr>
        <w:t xml:space="preserve">la Ley 996 de 2005 establece dos (2) tipos de restricciones en materia de contratación, las cuales coinciden parcialmente. </w:t>
      </w:r>
      <w:r w:rsidRPr="00C278CC">
        <w:rPr>
          <w:rFonts w:ascii="Verdana" w:eastAsia="Arial" w:hAnsi="Verdana" w:cs="Arial"/>
          <w:i/>
          <w:lang w:val="es-ES" w:eastAsia="es-ES" w:bidi="es-ES"/>
        </w:rPr>
        <w:t>En primer lugar</w:t>
      </w:r>
      <w:r w:rsidRPr="00C278CC">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278CC">
        <w:rPr>
          <w:rFonts w:ascii="Verdana" w:eastAsia="Arial" w:hAnsi="Verdana" w:cs="Arial"/>
          <w:i/>
          <w:lang w:val="es-ES" w:eastAsia="es-ES" w:bidi="es-ES"/>
        </w:rPr>
        <w:t>En segundo lugar</w:t>
      </w:r>
      <w:r w:rsidRPr="00C278CC">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0BF77F0C" w14:textId="77777777" w:rsidR="00630C2C" w:rsidRPr="00C278CC" w:rsidRDefault="00630C2C" w:rsidP="00630C2C">
      <w:pPr>
        <w:spacing w:after="120" w:line="276" w:lineRule="auto"/>
        <w:ind w:firstLine="709"/>
        <w:jc w:val="both"/>
        <w:rPr>
          <w:rFonts w:ascii="Verdana" w:eastAsia="Arial" w:hAnsi="Verdana" w:cs="Arial"/>
          <w:lang w:val="es-ES" w:eastAsia="es-ES" w:bidi="es-ES"/>
        </w:rPr>
      </w:pPr>
      <w:r w:rsidRPr="00C278CC">
        <w:rPr>
          <w:rFonts w:ascii="Verdana" w:eastAsia="Arial" w:hAnsi="Verdana" w:cs="Arial"/>
          <w:lang w:val="es-ES" w:eastAsia="es-ES" w:bidi="es-ES"/>
        </w:rPr>
        <w:lastRenderedPageBreak/>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3C9CBEBD" w14:textId="77777777" w:rsidR="00655F16" w:rsidRDefault="00630C2C" w:rsidP="0007332C">
      <w:pPr>
        <w:spacing w:after="120" w:line="276" w:lineRule="auto"/>
        <w:ind w:firstLine="709"/>
        <w:jc w:val="both"/>
        <w:rPr>
          <w:rFonts w:ascii="Verdana" w:eastAsia="Arial" w:hAnsi="Verdana" w:cs="Arial"/>
          <w:lang w:val="es-ES" w:eastAsia="es-ES" w:bidi="es-ES"/>
        </w:rPr>
      </w:pPr>
      <w:r w:rsidRPr="00C278CC">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70218B50" w14:textId="2B42CC1A" w:rsidR="00630C2C" w:rsidRPr="00C278CC" w:rsidRDefault="002D66C5" w:rsidP="0007332C">
      <w:pPr>
        <w:spacing w:after="120" w:line="276" w:lineRule="auto"/>
        <w:ind w:firstLine="709"/>
        <w:jc w:val="both"/>
        <w:rPr>
          <w:rFonts w:ascii="Verdana" w:hAnsi="Verdana" w:cs="Arial"/>
          <w:bCs/>
          <w:lang w:val="es-MX" w:eastAsia="es-CO"/>
        </w:rPr>
      </w:pPr>
      <w:r w:rsidRPr="002D66C5">
        <w:rPr>
          <w:rFonts w:ascii="Verdana" w:eastAsia="Arial" w:hAnsi="Verdana" w:cs="Arial"/>
          <w:lang w:eastAsia="es-ES" w:bidi="es-ES"/>
        </w:rPr>
        <w:t>En este contexto, y en lo que respecta al contenido y alcance de la restricción prevista en la Ley de Garantías Electorales</w:t>
      </w:r>
      <w:r w:rsidR="00572D37">
        <w:rPr>
          <w:rFonts w:ascii="Verdana" w:eastAsia="Arial" w:hAnsi="Verdana" w:cs="Arial"/>
          <w:lang w:eastAsia="es-ES" w:bidi="es-ES"/>
        </w:rPr>
        <w:t>, e</w:t>
      </w:r>
      <w:r w:rsidR="00630C2C" w:rsidRPr="00C278CC">
        <w:rPr>
          <w:rFonts w:ascii="Verdana" w:hAnsi="Verdana" w:cs="Arial"/>
          <w:bCs/>
          <w:lang w:val="es-MX" w:eastAsia="x-none"/>
        </w:rPr>
        <w:t xml:space="preserve">l ámbito material de la prohibición contenida en el artículo 33 de la Ley 996 de 2005 está delimitado por la expresión </w:t>
      </w:r>
      <w:r w:rsidR="00630C2C" w:rsidRPr="00C278CC">
        <w:rPr>
          <w:rFonts w:ascii="Verdana" w:eastAsia="Calibri" w:hAnsi="Verdana" w:cs="Arial"/>
          <w:bCs/>
          <w:sz w:val="20"/>
          <w:szCs w:val="20"/>
          <w:lang w:val="es-MX"/>
        </w:rPr>
        <w:t>“</w:t>
      </w:r>
      <w:r w:rsidR="00630C2C" w:rsidRPr="00C278CC">
        <w:rPr>
          <w:rFonts w:ascii="Verdana" w:hAnsi="Verdana" w:cs="Arial"/>
          <w:bCs/>
          <w:lang w:val="es-MX" w:eastAsia="x-none"/>
        </w:rPr>
        <w:t>queda prohibida la contratación directa</w:t>
      </w:r>
      <w:r w:rsidR="00630C2C" w:rsidRPr="00C278CC">
        <w:rPr>
          <w:rFonts w:ascii="Verdana" w:hAnsi="Verdana" w:cs="Arial"/>
          <w:sz w:val="20"/>
          <w:szCs w:val="20"/>
          <w:lang w:val="es-MX"/>
        </w:rPr>
        <w:t>”</w:t>
      </w:r>
      <w:r w:rsidR="00630C2C" w:rsidRPr="00C278CC">
        <w:rPr>
          <w:rFonts w:ascii="Verdana" w:hAnsi="Verdana" w:cs="Arial"/>
          <w:bCs/>
          <w:lang w:val="es-MX" w:eastAsia="x-none"/>
        </w:rPr>
        <w:t xml:space="preserve">. </w:t>
      </w:r>
      <w:r w:rsidR="00630C2C" w:rsidRPr="00C278CC">
        <w:rPr>
          <w:rFonts w:ascii="Verdana" w:hAnsi="Verdana" w:cs="Arial"/>
          <w:lang w:val="es-MX" w:eastAsia="es-CO"/>
        </w:rPr>
        <w:t xml:space="preserve"> A propósito de </w:t>
      </w:r>
      <w:r w:rsidR="00630C2C" w:rsidRPr="00C278CC">
        <w:rPr>
          <w:rFonts w:ascii="Verdana" w:hAnsi="Verdana" w:cs="Arial"/>
          <w:lang w:eastAsia="es-CO"/>
        </w:rPr>
        <w:t>esta restricción de la Ley de Garantías Electorales, la Sala de Consulta y Servicio Civil del Consejo de Estado ha considerado que:</w:t>
      </w:r>
    </w:p>
    <w:p w14:paraId="2B5D9213" w14:textId="77777777" w:rsidR="00630C2C" w:rsidRPr="00C278CC" w:rsidRDefault="00630C2C" w:rsidP="00630C2C">
      <w:pPr>
        <w:spacing w:after="0"/>
        <w:ind w:left="709" w:right="709"/>
        <w:jc w:val="both"/>
        <w:rPr>
          <w:rFonts w:ascii="Verdana" w:hAnsi="Verdana" w:cs="Arial"/>
          <w:sz w:val="20"/>
          <w:szCs w:val="20"/>
          <w:lang w:val="es-MX"/>
        </w:rPr>
      </w:pPr>
      <w:r w:rsidRPr="00C278CC">
        <w:rPr>
          <w:rFonts w:ascii="Verdana" w:hAnsi="Verdana" w:cs="Arial"/>
          <w:sz w:val="18"/>
          <w:szCs w:val="18"/>
          <w:lang w:val="es-MX"/>
        </w:rPr>
        <w:t>“</w:t>
      </w:r>
      <w:r w:rsidRPr="00C278CC">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278CC">
        <w:rPr>
          <w:rFonts w:ascii="Verdana" w:hAnsi="Verdana" w:cs="Arial"/>
          <w:sz w:val="20"/>
          <w:szCs w:val="20"/>
          <w:vertAlign w:val="superscript"/>
          <w:lang w:eastAsia="es-CO"/>
        </w:rPr>
        <w:footnoteReference w:id="10"/>
      </w:r>
      <w:r w:rsidRPr="00C278CC">
        <w:rPr>
          <w:rFonts w:ascii="Verdana" w:hAnsi="Verdana" w:cs="Arial"/>
          <w:sz w:val="20"/>
          <w:szCs w:val="20"/>
          <w:lang w:val="es-MX"/>
        </w:rPr>
        <w:t>.</w:t>
      </w:r>
    </w:p>
    <w:p w14:paraId="3FB99D32" w14:textId="77777777" w:rsidR="00630C2C" w:rsidRPr="00C278CC" w:rsidRDefault="00630C2C" w:rsidP="00630C2C">
      <w:pPr>
        <w:spacing w:after="0"/>
        <w:ind w:left="709" w:right="709"/>
        <w:jc w:val="both"/>
        <w:rPr>
          <w:rFonts w:ascii="Verdana" w:hAnsi="Verdana" w:cs="Arial"/>
          <w:sz w:val="20"/>
          <w:szCs w:val="20"/>
          <w:lang w:val="es-MX"/>
        </w:rPr>
      </w:pPr>
    </w:p>
    <w:p w14:paraId="2CF7E016" w14:textId="5BE8AE77" w:rsidR="00630C2C" w:rsidRPr="00572D37" w:rsidRDefault="00630C2C" w:rsidP="00572D37">
      <w:pPr>
        <w:ind w:left="709" w:right="709"/>
        <w:jc w:val="both"/>
        <w:rPr>
          <w:rFonts w:ascii="Verdana" w:hAnsi="Verdana" w:cs="Arial"/>
          <w:sz w:val="20"/>
          <w:szCs w:val="20"/>
          <w:lang w:val="es-MX"/>
        </w:rPr>
      </w:pPr>
      <w:r w:rsidRPr="00C278CC">
        <w:rPr>
          <w:rFonts w:ascii="Verdana" w:hAnsi="Verdana" w:cs="Arial"/>
          <w:sz w:val="20"/>
          <w:szCs w:val="20"/>
          <w:lang w:val="es-MX"/>
        </w:rPr>
        <w:lastRenderedPageBreak/>
        <w:t xml:space="preserve">Esta Sala ha entendido </w:t>
      </w:r>
      <w:proofErr w:type="gramStart"/>
      <w:r w:rsidRPr="00C278CC">
        <w:rPr>
          <w:rFonts w:ascii="Verdana" w:hAnsi="Verdana" w:cs="Arial"/>
          <w:sz w:val="20"/>
          <w:szCs w:val="20"/>
          <w:lang w:val="es-MX"/>
        </w:rPr>
        <w:t>que</w:t>
      </w:r>
      <w:proofErr w:type="gramEnd"/>
      <w:r w:rsidRPr="00C278CC">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278CC">
        <w:rPr>
          <w:rFonts w:ascii="Verdana" w:hAnsi="Verdana" w:cs="Arial"/>
          <w:sz w:val="20"/>
          <w:szCs w:val="20"/>
          <w:vertAlign w:val="superscript"/>
          <w:lang w:val="es-MX"/>
        </w:rPr>
        <w:footnoteReference w:id="11"/>
      </w:r>
      <w:r w:rsidRPr="00C278CC">
        <w:rPr>
          <w:rFonts w:ascii="Verdana" w:hAnsi="Verdana" w:cs="Arial"/>
          <w:sz w:val="20"/>
          <w:szCs w:val="20"/>
          <w:vertAlign w:val="superscript"/>
          <w:lang w:val="es-MX"/>
        </w:rPr>
        <w:t>.</w:t>
      </w:r>
      <w:r w:rsidRPr="00C278CC">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278CC">
        <w:rPr>
          <w:rFonts w:ascii="Verdana" w:hAnsi="Verdana" w:cs="Arial"/>
          <w:sz w:val="20"/>
          <w:szCs w:val="20"/>
          <w:vertAlign w:val="superscript"/>
          <w:lang w:eastAsia="es-CO"/>
        </w:rPr>
        <w:footnoteReference w:id="12"/>
      </w:r>
      <w:r w:rsidRPr="00C278CC">
        <w:rPr>
          <w:rFonts w:ascii="Verdana" w:hAnsi="Verdana" w:cs="Arial"/>
          <w:sz w:val="20"/>
          <w:szCs w:val="20"/>
          <w:lang w:val="es-MX"/>
        </w:rPr>
        <w:t>.</w:t>
      </w:r>
    </w:p>
    <w:p w14:paraId="3C5C75F2" w14:textId="77777777" w:rsidR="00630C2C" w:rsidRPr="00C278CC" w:rsidRDefault="00630C2C" w:rsidP="00630C2C">
      <w:pPr>
        <w:spacing w:after="120" w:line="276" w:lineRule="auto"/>
        <w:ind w:firstLine="708"/>
        <w:jc w:val="both"/>
        <w:rPr>
          <w:rFonts w:ascii="Verdana" w:hAnsi="Verdana" w:cs="Arial"/>
          <w:bCs/>
          <w:lang w:eastAsia="x-none"/>
        </w:rPr>
      </w:pPr>
      <w:r w:rsidRPr="00C278CC">
        <w:rPr>
          <w:rFonts w:ascii="Verdana" w:hAnsi="Verdana" w:cs="Arial"/>
          <w:lang w:eastAsia="x-none"/>
        </w:rPr>
        <w:t xml:space="preserve">De acuerdo con el citado concepto, la prohibición del artículo 33 de la Ley de Garantías Electorales se refiere a </w:t>
      </w:r>
      <w:r w:rsidRPr="00C278CC">
        <w:rPr>
          <w:rFonts w:ascii="Verdana" w:hAnsi="Verdana" w:cs="Arial"/>
          <w:sz w:val="19"/>
          <w:szCs w:val="19"/>
          <w:lang w:eastAsia="en-GB"/>
        </w:rPr>
        <w:t>“</w:t>
      </w:r>
      <w:r w:rsidRPr="00C278CC">
        <w:rPr>
          <w:rFonts w:ascii="Verdana" w:hAnsi="Verdana" w:cs="Arial"/>
          <w:lang w:eastAsia="x-none"/>
        </w:rPr>
        <w:t>cualquier sistema que no implique convocatoria pública y posibilidad de pluralidad de oferentes</w:t>
      </w:r>
      <w:r w:rsidRPr="00C278CC">
        <w:rPr>
          <w:rFonts w:ascii="Verdana" w:hAnsi="Verdana" w:cs="Arial"/>
          <w:lang w:eastAsia="en-GB"/>
        </w:rPr>
        <w:t>”</w:t>
      </w:r>
      <w:r w:rsidRPr="00C278CC">
        <w:rPr>
          <w:rFonts w:ascii="Verdana" w:hAnsi="Verdana" w:cs="Arial"/>
          <w:lang w:eastAsia="x-none"/>
        </w:rPr>
        <w:t>, por lo que excluye las demás modalidades de contratación previstas en la Ley 1150 de 2007, es decir, la licitación pública, la selección abreviada y el concurso de méritos u otras modalidades de selección abiertas y competitivas previstas en normas especiales. Esta posición es congruente con la expedición de la Ley 1150 de 2007 que, entre otras reformas, introdujo la selección abreviada, rediseñó el concurso de méritos</w:t>
      </w:r>
      <w:r w:rsidRPr="00C278CC">
        <w:rPr>
          <w:rFonts w:ascii="Verdana" w:hAnsi="Verdana" w:cs="Arial"/>
          <w:vertAlign w:val="superscript"/>
          <w:lang w:val="en-GB" w:eastAsia="x-none"/>
        </w:rPr>
        <w:footnoteReference w:id="13"/>
      </w:r>
      <w:r w:rsidRPr="00C278CC">
        <w:rPr>
          <w:rFonts w:ascii="Verdana" w:hAnsi="Verdana" w:cs="Arial"/>
          <w:lang w:eastAsia="x-none"/>
        </w:rPr>
        <w:t xml:space="preserve"> y sistematizó las causales de contratación directa</w:t>
      </w:r>
      <w:r w:rsidRPr="00C278CC">
        <w:rPr>
          <w:rFonts w:ascii="Verdana" w:hAnsi="Verdana" w:cs="Arial"/>
          <w:vertAlign w:val="superscript"/>
          <w:lang w:val="en-GB" w:eastAsia="x-none"/>
        </w:rPr>
        <w:footnoteReference w:id="14"/>
      </w:r>
      <w:r w:rsidRPr="00C278CC">
        <w:rPr>
          <w:rFonts w:ascii="Verdana" w:hAnsi="Verdana" w:cs="Arial"/>
          <w:lang w:eastAsia="x-none"/>
        </w:rPr>
        <w:t xml:space="preserve">. </w:t>
      </w:r>
    </w:p>
    <w:p w14:paraId="4225A978" w14:textId="77777777" w:rsidR="00630C2C" w:rsidRPr="00C278CC" w:rsidRDefault="00630C2C" w:rsidP="00630C2C">
      <w:pPr>
        <w:spacing w:after="120" w:line="276" w:lineRule="auto"/>
        <w:ind w:firstLine="708"/>
        <w:jc w:val="both"/>
        <w:rPr>
          <w:rFonts w:ascii="Verdana" w:hAnsi="Verdana" w:cs="Arial"/>
          <w:lang w:val="es-MX" w:eastAsia="x-none"/>
        </w:rPr>
      </w:pPr>
      <w:r w:rsidRPr="00C278CC">
        <w:rPr>
          <w:rFonts w:ascii="Verdana" w:hAnsi="Verdana" w:cs="Arial"/>
          <w:lang w:eastAsia="x-none"/>
        </w:rPr>
        <w:t xml:space="preserve">De esta forma, con fundamento en la evolución de la normativa sobre la contratación pública, se ha depurado la noción de </w:t>
      </w:r>
      <w:r w:rsidRPr="00C278CC">
        <w:rPr>
          <w:rFonts w:ascii="Verdana" w:hAnsi="Verdana" w:cs="Arial"/>
          <w:sz w:val="19"/>
          <w:szCs w:val="19"/>
          <w:lang w:eastAsia="en-GB"/>
        </w:rPr>
        <w:t>“</w:t>
      </w:r>
      <w:r w:rsidRPr="00C278CC">
        <w:rPr>
          <w:rFonts w:ascii="Verdana" w:hAnsi="Verdana" w:cs="Arial"/>
          <w:lang w:eastAsia="x-none"/>
        </w:rPr>
        <w:t>contratación directa</w:t>
      </w:r>
      <w:r w:rsidRPr="00C278CC">
        <w:rPr>
          <w:rFonts w:ascii="Verdana" w:hAnsi="Verdana" w:cs="Arial"/>
          <w:lang w:eastAsia="en-GB"/>
        </w:rPr>
        <w:t>”</w:t>
      </w:r>
      <w:r w:rsidRPr="00C278CC">
        <w:rPr>
          <w:rFonts w:ascii="Verdana"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278CC">
        <w:rPr>
          <w:rFonts w:ascii="Verdana" w:hAnsi="Verdana" w:cs="Arial"/>
          <w:vertAlign w:val="superscript"/>
          <w:lang w:val="en-GB" w:eastAsia="x-none"/>
        </w:rPr>
        <w:footnoteReference w:id="15"/>
      </w:r>
      <w:r w:rsidRPr="00C278CC">
        <w:rPr>
          <w:rFonts w:ascii="Verdana" w:hAnsi="Verdana" w:cs="Arial"/>
          <w:lang w:eastAsia="x-none"/>
        </w:rPr>
        <w:t>, han establecido sistemas de contratación que implican convocatoria pública y participación de varios oferentes</w:t>
      </w:r>
      <w:r w:rsidRPr="00C278CC">
        <w:rPr>
          <w:rFonts w:ascii="Verdana" w:hAnsi="Verdana" w:cs="Arial"/>
          <w:lang w:eastAsia="en-GB"/>
        </w:rPr>
        <w:t>”</w:t>
      </w:r>
      <w:r w:rsidRPr="00C278CC">
        <w:rPr>
          <w:rFonts w:ascii="Verdana" w:hAnsi="Verdana" w:cs="Arial"/>
          <w:lang w:eastAsia="x-none"/>
        </w:rPr>
        <w:t xml:space="preserve">. </w:t>
      </w:r>
    </w:p>
    <w:p w14:paraId="39E3314B" w14:textId="77777777" w:rsidR="00630C2C" w:rsidRPr="00C278CC" w:rsidRDefault="00630C2C" w:rsidP="00630C2C">
      <w:pPr>
        <w:spacing w:after="120" w:line="276" w:lineRule="auto"/>
        <w:ind w:firstLine="708"/>
        <w:jc w:val="both"/>
        <w:rPr>
          <w:rFonts w:ascii="Verdana" w:hAnsi="Verdana" w:cs="Arial"/>
          <w:bCs/>
          <w:lang w:val="es-MX" w:eastAsia="es-CO"/>
        </w:rPr>
      </w:pPr>
      <w:r w:rsidRPr="00C278CC">
        <w:rPr>
          <w:rFonts w:ascii="Verdana" w:hAnsi="Verdana" w:cs="Arial"/>
          <w:bCs/>
          <w:lang w:val="es-MX" w:eastAsia="x-none"/>
        </w:rPr>
        <w:lastRenderedPageBreak/>
        <w:t>E</w:t>
      </w:r>
      <w:r w:rsidRPr="00C278CC">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278CC">
        <w:rPr>
          <w:rFonts w:ascii="Verdana" w:hAnsi="Verdana" w:cs="Arial"/>
          <w:vertAlign w:val="superscript"/>
          <w:lang w:eastAsia="x-none"/>
        </w:rPr>
        <w:footnoteReference w:id="16"/>
      </w:r>
      <w:r w:rsidRPr="00C278CC">
        <w:rPr>
          <w:rFonts w:ascii="Verdana" w:hAnsi="Verdana" w:cs="Arial"/>
          <w:lang w:eastAsia="x-none"/>
        </w:rPr>
        <w:t xml:space="preserve">. </w:t>
      </w:r>
    </w:p>
    <w:p w14:paraId="5BE6D5C6" w14:textId="77777777" w:rsidR="00630C2C" w:rsidRPr="00C278CC" w:rsidRDefault="00630C2C" w:rsidP="00630C2C">
      <w:pPr>
        <w:spacing w:after="120" w:line="276" w:lineRule="auto"/>
        <w:ind w:firstLine="708"/>
        <w:jc w:val="both"/>
        <w:rPr>
          <w:rFonts w:ascii="Verdana" w:hAnsi="Verdana" w:cs="Arial"/>
          <w:bCs/>
          <w:lang w:val="es-MX" w:eastAsia="es-CO"/>
        </w:rPr>
      </w:pPr>
      <w:r w:rsidRPr="00C278CC">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1A3EA5E" w14:textId="77777777" w:rsidR="00630C2C" w:rsidRPr="00C278CC" w:rsidRDefault="00630C2C" w:rsidP="00630C2C">
      <w:pPr>
        <w:spacing w:after="120" w:line="276" w:lineRule="auto"/>
        <w:ind w:firstLine="708"/>
        <w:jc w:val="both"/>
        <w:rPr>
          <w:rFonts w:ascii="Verdana" w:hAnsi="Verdana" w:cs="Arial"/>
          <w:bCs/>
          <w:lang w:val="es-MX" w:eastAsia="x-none"/>
        </w:rPr>
      </w:pPr>
      <w:r w:rsidRPr="00C278CC">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278CC">
        <w:rPr>
          <w:rFonts w:ascii="Verdana" w:hAnsi="Verdana" w:cs="Arial"/>
          <w:vertAlign w:val="superscript"/>
          <w:lang w:eastAsia="x-none"/>
        </w:rPr>
        <w:footnoteReference w:id="17"/>
      </w:r>
      <w:r w:rsidRPr="00C278CC">
        <w:rPr>
          <w:rFonts w:ascii="Verdana" w:hAnsi="Verdana" w:cs="Arial"/>
          <w:bCs/>
          <w:lang w:val="es-MX" w:eastAsia="x-none"/>
        </w:rPr>
        <w:t>.</w:t>
      </w:r>
      <w:r w:rsidRPr="00C278CC">
        <w:rPr>
          <w:rFonts w:ascii="Verdana" w:hAnsi="Verdana" w:cs="Arial"/>
          <w:vertAlign w:val="superscript"/>
          <w:lang w:eastAsia="x-none"/>
        </w:rPr>
        <w:t xml:space="preserve"> </w:t>
      </w:r>
    </w:p>
    <w:p w14:paraId="4862DF08" w14:textId="77777777" w:rsidR="00630C2C" w:rsidRPr="00C278CC" w:rsidRDefault="00630C2C" w:rsidP="00630C2C">
      <w:pPr>
        <w:spacing w:after="120" w:line="276" w:lineRule="auto"/>
        <w:ind w:firstLine="708"/>
        <w:jc w:val="both"/>
        <w:rPr>
          <w:rFonts w:ascii="Verdana" w:hAnsi="Verdana" w:cs="Arial"/>
          <w:lang w:eastAsia="x-none"/>
        </w:rPr>
      </w:pPr>
      <w:r w:rsidRPr="00C278CC">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278CC">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B6BD6D3" w14:textId="1413094E" w:rsidR="00152262" w:rsidRDefault="00630C2C" w:rsidP="00630C2C">
      <w:pPr>
        <w:tabs>
          <w:tab w:val="left" w:pos="426"/>
        </w:tabs>
        <w:spacing w:before="240" w:after="120" w:line="276" w:lineRule="auto"/>
        <w:ind w:firstLine="425"/>
        <w:jc w:val="both"/>
        <w:rPr>
          <w:rFonts w:ascii="Verdana" w:hAnsi="Verdana" w:cs="Arial"/>
          <w:bCs/>
          <w:lang w:val="es-MX" w:eastAsia="es-CO"/>
        </w:rPr>
      </w:pPr>
      <w:bookmarkStart w:id="13" w:name="_Hlk77237094"/>
      <w:r w:rsidRPr="00C278CC">
        <w:rPr>
          <w:rFonts w:ascii="Verdana" w:hAnsi="Verdana" w:cs="Arial"/>
          <w:bCs/>
          <w:lang w:val="es-MX" w:eastAsia="es-CO"/>
        </w:rPr>
        <w:lastRenderedPageBreak/>
        <w:t xml:space="preserve">Como en otras oportunidades lo ha manifestado esta Agencia, las prórrogas, modificaciones o adiciones de los contratos suscritos antes de la </w:t>
      </w:r>
      <w:proofErr w:type="gramStart"/>
      <w:r w:rsidRPr="00C278CC">
        <w:rPr>
          <w:rFonts w:ascii="Verdana" w:hAnsi="Verdana" w:cs="Arial"/>
          <w:bCs/>
          <w:lang w:val="es-MX" w:eastAsia="es-CO"/>
        </w:rPr>
        <w:t>entrada en vigencia</w:t>
      </w:r>
      <w:proofErr w:type="gramEnd"/>
      <w:r w:rsidRPr="00C278CC">
        <w:rPr>
          <w:rFonts w:ascii="Verdana" w:hAnsi="Verdana" w:cs="Arial"/>
          <w:bCs/>
          <w:lang w:val="es-MX" w:eastAsia="es-CO"/>
        </w:rPr>
        <w:t xml:space="preserve"> de las prohibiciones anotadas, así como la cesión de </w:t>
      </w:r>
      <w:proofErr w:type="gramStart"/>
      <w:r w:rsidRPr="00C278CC">
        <w:rPr>
          <w:rFonts w:ascii="Verdana" w:hAnsi="Verdana" w:cs="Arial"/>
          <w:bCs/>
          <w:lang w:val="es-MX" w:eastAsia="es-CO"/>
        </w:rPr>
        <w:t>los mismos</w:t>
      </w:r>
      <w:proofErr w:type="gramEnd"/>
      <w:r w:rsidRPr="00C278CC">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3"/>
    </w:p>
    <w:p w14:paraId="266404C0" w14:textId="77777777" w:rsidR="005540DE" w:rsidRPr="00C278CC" w:rsidRDefault="005540DE" w:rsidP="00655F16">
      <w:pPr>
        <w:spacing w:after="120" w:line="276" w:lineRule="auto"/>
        <w:ind w:firstLine="709"/>
        <w:jc w:val="both"/>
        <w:rPr>
          <w:rFonts w:ascii="Verdana" w:hAnsi="Verdana" w:cs="Arial"/>
          <w:lang w:val="es-ES"/>
        </w:rPr>
      </w:pPr>
      <w:r w:rsidRPr="00C278CC">
        <w:rPr>
          <w:rFonts w:ascii="Verdana" w:hAnsi="Verdana" w:cs="Arial"/>
          <w:lang w:val="es-ES"/>
        </w:rPr>
        <w:t xml:space="preserve">Ahora bien, respecto del alcance del parágrafo </w:t>
      </w:r>
      <w:r w:rsidRPr="00C278CC">
        <w:rPr>
          <w:rFonts w:ascii="Verdana" w:hAnsi="Verdana" w:cs="Arial"/>
        </w:rPr>
        <w:t>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C278CC">
        <w:rPr>
          <w:rFonts w:ascii="Verdana" w:eastAsia="Times New Roman" w:hAnsi="Verdana" w:cs="Arial"/>
          <w:lang w:val="es-MX" w:eastAsia="x-none"/>
        </w:rPr>
        <w:t xml:space="preserve"> </w:t>
      </w:r>
    </w:p>
    <w:p w14:paraId="6616FD1C" w14:textId="77777777" w:rsidR="005540DE" w:rsidRPr="00C278CC" w:rsidRDefault="005540DE" w:rsidP="005540DE">
      <w:pPr>
        <w:spacing w:after="120" w:line="276" w:lineRule="auto"/>
        <w:ind w:firstLine="709"/>
        <w:jc w:val="both"/>
        <w:rPr>
          <w:rFonts w:ascii="Verdana" w:hAnsi="Verdana" w:cs="Arial"/>
          <w:lang w:eastAsia="es-ES"/>
        </w:rPr>
      </w:pPr>
      <w:r w:rsidRPr="00C278CC">
        <w:rPr>
          <w:rFonts w:ascii="Verdana" w:eastAsia="Times New Roman" w:hAnsi="Verdana" w:cs="Arial"/>
          <w:lang w:val="es-ES" w:eastAsia="es-ES"/>
        </w:rPr>
        <w:t xml:space="preserve">Para tales efectos, debe precisarse que </w:t>
      </w:r>
      <w:r w:rsidRPr="00C278CC">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278CC">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278CC">
        <w:rPr>
          <w:rFonts w:ascii="Verdana" w:hAnsi="Verdana" w:cs="Arial"/>
          <w:vertAlign w:val="superscript"/>
          <w:lang w:eastAsia="es-ES"/>
        </w:rPr>
        <w:footnoteReference w:id="18"/>
      </w:r>
      <w:r w:rsidRPr="00C278CC">
        <w:rPr>
          <w:rFonts w:ascii="Verdana" w:hAnsi="Verdana" w:cs="Arial"/>
          <w:lang w:eastAsia="es-ES"/>
        </w:rPr>
        <w:t>.</w:t>
      </w:r>
    </w:p>
    <w:p w14:paraId="1AF90054" w14:textId="77777777" w:rsidR="005540DE" w:rsidRPr="00C278CC" w:rsidRDefault="005540DE" w:rsidP="005540DE">
      <w:pPr>
        <w:spacing w:after="120" w:line="276" w:lineRule="auto"/>
        <w:ind w:firstLine="709"/>
        <w:jc w:val="both"/>
        <w:rPr>
          <w:rFonts w:ascii="Verdana" w:hAnsi="Verdana" w:cs="Arial"/>
          <w:color w:val="000000" w:themeColor="text1"/>
          <w:lang w:val="es-ES_tradnl"/>
        </w:rPr>
      </w:pPr>
      <w:r w:rsidRPr="00C278CC">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D8E523B" w14:textId="77777777" w:rsidR="005540DE" w:rsidRPr="00C278CC" w:rsidRDefault="005540DE" w:rsidP="005540DE">
      <w:pPr>
        <w:spacing w:before="120" w:after="0" w:line="276" w:lineRule="auto"/>
        <w:ind w:firstLine="708"/>
        <w:jc w:val="both"/>
        <w:rPr>
          <w:rFonts w:ascii="Verdana" w:hAnsi="Verdana" w:cs="Arial"/>
          <w:lang w:val="es-ES_tradnl"/>
        </w:rPr>
      </w:pPr>
      <w:r w:rsidRPr="00C278CC">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w:t>
      </w:r>
      <w:r w:rsidRPr="00C278CC">
        <w:rPr>
          <w:rFonts w:ascii="Verdana" w:hAnsi="Verdana" w:cs="Arial"/>
          <w:lang w:val="es-ES"/>
        </w:rPr>
        <w:lastRenderedPageBreak/>
        <w:t>oferentes</w:t>
      </w:r>
      <w:r w:rsidRPr="00C278CC">
        <w:rPr>
          <w:rFonts w:ascii="Verdana" w:hAnsi="Verdana" w:cs="Arial"/>
          <w:vertAlign w:val="superscript"/>
          <w:lang w:val="es-ES"/>
        </w:rPr>
        <w:footnoteReference w:id="19"/>
      </w:r>
      <w:r w:rsidRPr="00C278CC">
        <w:rPr>
          <w:rFonts w:ascii="Verdana" w:hAnsi="Verdana" w:cs="Arial"/>
          <w:lang w:val="es-ES"/>
        </w:rPr>
        <w:t>. Nótese que, en este caso, lo que cambia es la modalidad de selección y no la naturaleza de contrato interadministrativo.</w:t>
      </w:r>
    </w:p>
    <w:p w14:paraId="37F598B8" w14:textId="77777777" w:rsidR="005540DE" w:rsidRPr="00C278CC" w:rsidRDefault="005540DE" w:rsidP="005540DE">
      <w:pPr>
        <w:spacing w:before="120" w:after="0" w:line="276" w:lineRule="auto"/>
        <w:ind w:firstLine="708"/>
        <w:jc w:val="both"/>
        <w:rPr>
          <w:rFonts w:ascii="Verdana" w:hAnsi="Verdana" w:cs="Arial"/>
          <w:lang w:val="es-ES_tradnl"/>
        </w:rPr>
      </w:pPr>
      <w:r w:rsidRPr="00C278CC">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278CC">
        <w:rPr>
          <w:rFonts w:ascii="Verdana" w:hAnsi="Verdana" w:cs="Arial"/>
          <w:vertAlign w:val="superscript"/>
          <w:lang w:val="es-ES"/>
        </w:rPr>
        <w:footnoteReference w:id="20"/>
      </w:r>
      <w:r w:rsidRPr="00C278CC">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63F0AB46" w14:textId="77777777" w:rsidR="005540DE" w:rsidRPr="00C278CC" w:rsidRDefault="005540DE" w:rsidP="005540DE">
      <w:pPr>
        <w:spacing w:before="120" w:after="0" w:line="276" w:lineRule="auto"/>
        <w:ind w:firstLine="708"/>
        <w:jc w:val="both"/>
        <w:rPr>
          <w:rFonts w:ascii="Verdana" w:hAnsi="Verdana"/>
          <w:sz w:val="24"/>
          <w:szCs w:val="24"/>
          <w:lang w:eastAsia="es-CO"/>
        </w:rPr>
      </w:pPr>
      <w:r w:rsidRPr="00C278CC">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278CC">
        <w:rPr>
          <w:rFonts w:ascii="Verdana" w:hAnsi="Verdana" w:cs="Arial"/>
          <w:vertAlign w:val="superscript"/>
          <w:lang w:val="es-ES"/>
        </w:rPr>
        <w:footnoteReference w:id="21"/>
      </w:r>
      <w:r w:rsidRPr="00C278CC">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278CC">
        <w:rPr>
          <w:rFonts w:ascii="Verdana" w:hAnsi="Verdana"/>
          <w:sz w:val="24"/>
          <w:szCs w:val="24"/>
          <w:lang w:eastAsia="es-CO"/>
        </w:rPr>
        <w:t>.</w:t>
      </w:r>
    </w:p>
    <w:p w14:paraId="22E793DE" w14:textId="77777777" w:rsidR="005540DE" w:rsidRPr="00C278CC" w:rsidRDefault="005540DE" w:rsidP="005540DE">
      <w:pPr>
        <w:spacing w:before="120" w:after="0" w:line="276" w:lineRule="auto"/>
        <w:ind w:firstLine="708"/>
        <w:jc w:val="both"/>
        <w:rPr>
          <w:rFonts w:ascii="Verdana" w:eastAsia="Times New Roman" w:hAnsi="Verdana" w:cs="Arial"/>
          <w:lang w:val="es-MX" w:eastAsia="es-CO"/>
        </w:rPr>
      </w:pPr>
      <w:r w:rsidRPr="00C278CC">
        <w:rPr>
          <w:rFonts w:ascii="Verdana" w:eastAsia="Arial" w:hAnsi="Verdana" w:cs="Arial"/>
          <w:lang w:val="es-MX" w:eastAsia="es-ES" w:bidi="es-ES"/>
        </w:rPr>
        <w:t>De esta manera, se</w:t>
      </w:r>
      <w:r w:rsidRPr="00C278CC">
        <w:rPr>
          <w:rFonts w:ascii="Verdana" w:eastAsia="Times New Roman" w:hAnsi="Verdana" w:cs="Arial"/>
          <w:lang w:eastAsia="es-CO"/>
        </w:rPr>
        <w:t xml:space="preserve"> observa entonces que </w:t>
      </w:r>
      <w:r w:rsidRPr="00C278CC">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278CC">
        <w:rPr>
          <w:rFonts w:ascii="Verdana" w:eastAsia="Times New Roman" w:hAnsi="Verdana" w:cs="Arial"/>
          <w:i/>
          <w:iCs/>
          <w:lang w:val="es-MX" w:eastAsia="es-CO"/>
        </w:rPr>
        <w:t>convenios interadministrativos</w:t>
      </w:r>
      <w:r w:rsidRPr="00C278CC">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278CC">
        <w:rPr>
          <w:rFonts w:ascii="Verdana" w:eastAsia="Times New Roman" w:hAnsi="Verdana" w:cs="Arial"/>
          <w:i/>
          <w:lang w:val="es-MX" w:eastAsia="es-CO"/>
        </w:rPr>
        <w:t>ibidem</w:t>
      </w:r>
      <w:r w:rsidRPr="00C278CC">
        <w:rPr>
          <w:rFonts w:ascii="Verdana" w:eastAsia="Times New Roman" w:hAnsi="Verdana" w:cs="Arial"/>
          <w:lang w:val="es-MX" w:eastAsia="es-CO"/>
        </w:rPr>
        <w:t xml:space="preserve">, no podrá celebrar tales </w:t>
      </w:r>
      <w:r w:rsidRPr="00C278CC">
        <w:rPr>
          <w:rFonts w:ascii="Verdana" w:eastAsia="Times New Roman" w:hAnsi="Verdana" w:cs="Arial"/>
          <w:i/>
          <w:iCs/>
          <w:lang w:val="es-MX" w:eastAsia="es-CO"/>
        </w:rPr>
        <w:t>convenios</w:t>
      </w:r>
      <w:r w:rsidRPr="00C278CC">
        <w:rPr>
          <w:rFonts w:ascii="Verdana" w:eastAsia="Times New Roman" w:hAnsi="Verdana" w:cs="Arial"/>
          <w:lang w:val="es-MX" w:eastAsia="es-CO"/>
        </w:rPr>
        <w:t xml:space="preserve"> durante la aplicación de la Ley de Garantías Electorales, toda vez que la citada </w:t>
      </w:r>
      <w:r w:rsidRPr="00C278CC">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292073A8" w14:textId="77777777" w:rsidR="005540DE" w:rsidRPr="00C278CC" w:rsidRDefault="005540DE" w:rsidP="005540DE">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val="es-MX" w:eastAsia="es-CO"/>
        </w:rPr>
        <w:t xml:space="preserve">Respecto del alcance de esta prohibición la Circular Externa No. 006 de 2025 expedida por la Agencia Nacional de Contratación Pública – Colombia Compra </w:t>
      </w:r>
      <w:proofErr w:type="spellStart"/>
      <w:r w:rsidRPr="00C278CC">
        <w:rPr>
          <w:rFonts w:ascii="Verdana" w:eastAsia="Times New Roman" w:hAnsi="Verdana" w:cs="Arial"/>
          <w:lang w:val="es-MX" w:eastAsia="es-CO"/>
        </w:rPr>
        <w:t>Efciente</w:t>
      </w:r>
      <w:proofErr w:type="spellEnd"/>
      <w:r w:rsidRPr="00C278CC">
        <w:rPr>
          <w:rFonts w:ascii="Verdana" w:eastAsia="Times New Roman" w:hAnsi="Verdana" w:cs="Arial"/>
          <w:lang w:val="es-MX" w:eastAsia="es-CO"/>
        </w:rPr>
        <w:t xml:space="preserve">, en los literales </w:t>
      </w:r>
      <w:proofErr w:type="spellStart"/>
      <w:r w:rsidRPr="00C278CC">
        <w:rPr>
          <w:rFonts w:ascii="Verdana" w:eastAsia="Times New Roman" w:hAnsi="Verdana" w:cs="Arial"/>
          <w:lang w:val="es-MX" w:eastAsia="es-CO"/>
        </w:rPr>
        <w:t>ii</w:t>
      </w:r>
      <w:proofErr w:type="spellEnd"/>
      <w:r w:rsidRPr="00C278CC">
        <w:rPr>
          <w:rFonts w:ascii="Verdana" w:eastAsia="Times New Roman" w:hAnsi="Verdana" w:cs="Arial"/>
          <w:lang w:val="es-MX" w:eastAsia="es-CO"/>
        </w:rPr>
        <w:t xml:space="preserve">) y </w:t>
      </w:r>
      <w:proofErr w:type="spellStart"/>
      <w:r w:rsidRPr="00C278CC">
        <w:rPr>
          <w:rFonts w:ascii="Verdana" w:eastAsia="Times New Roman" w:hAnsi="Verdana" w:cs="Arial"/>
          <w:lang w:val="es-MX" w:eastAsia="es-CO"/>
        </w:rPr>
        <w:t>iv</w:t>
      </w:r>
      <w:proofErr w:type="spellEnd"/>
      <w:r w:rsidRPr="00C278CC">
        <w:rPr>
          <w:rFonts w:ascii="Verdana" w:eastAsia="Times New Roman" w:hAnsi="Verdana" w:cs="Arial"/>
          <w:lang w:val="es-MX" w:eastAsia="es-CO"/>
        </w:rPr>
        <w:t>) del numeral 2</w:t>
      </w:r>
      <w:r w:rsidRPr="00C278CC">
        <w:rPr>
          <w:rFonts w:ascii="Verdana" w:eastAsia="Times New Roman" w:hAnsi="Verdana" w:cs="Arial"/>
          <w:lang w:eastAsia="es-CO"/>
        </w:rPr>
        <w:t>,</w:t>
      </w:r>
      <w:r w:rsidRPr="00C278CC">
        <w:rPr>
          <w:rFonts w:ascii="Verdana" w:eastAsia="Times New Roman" w:hAnsi="Verdana" w:cs="Arial"/>
          <w:lang w:val="es-MX" w:eastAsia="es-CO"/>
        </w:rPr>
        <w:t xml:space="preserve"> indica que el </w:t>
      </w:r>
      <w:r w:rsidRPr="00C278CC">
        <w:rPr>
          <w:rFonts w:ascii="Verdana" w:eastAsia="Times New Roman" w:hAnsi="Verdana" w:cs="Arial"/>
          <w:lang w:eastAsia="es-CO"/>
        </w:rPr>
        <w:t xml:space="preserve">parágrafo del artículo 38 de la Ley 996 de 2005 cobija expresamente a los </w:t>
      </w:r>
      <w:r w:rsidRPr="00C278CC">
        <w:rPr>
          <w:rFonts w:ascii="Verdana" w:eastAsia="Times New Roman" w:hAnsi="Verdana" w:cs="Arial"/>
          <w:i/>
          <w:iCs/>
          <w:lang w:eastAsia="es-CO"/>
        </w:rPr>
        <w:t>convenios interadministrativos</w:t>
      </w:r>
      <w:r w:rsidRPr="00C278CC">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278CC">
        <w:rPr>
          <w:rFonts w:ascii="Verdana" w:eastAsia="Times New Roman" w:hAnsi="Verdana" w:cs="Arial"/>
          <w:i/>
          <w:iCs/>
          <w:lang w:eastAsia="es-CO"/>
        </w:rPr>
        <w:t>“aunque se configure alguno de los supuestos de excepción que señaló el inciso final del artículo 33</w:t>
      </w:r>
      <w:r w:rsidRPr="00C278CC">
        <w:rPr>
          <w:rFonts w:ascii="Verdana" w:eastAsia="Times New Roman" w:hAnsi="Verdana" w:cs="Arial"/>
          <w:lang w:eastAsia="es-CO"/>
        </w:rPr>
        <w:t xml:space="preserve">”. </w:t>
      </w:r>
    </w:p>
    <w:p w14:paraId="5D01BCDC" w14:textId="77777777" w:rsidR="005540DE" w:rsidRPr="00C278CC" w:rsidRDefault="005540DE" w:rsidP="005540DE">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De esta manera, conforme a lo dispuesto en la Circular referida, si se suscriben </w:t>
      </w:r>
      <w:r w:rsidRPr="00C278CC">
        <w:rPr>
          <w:rFonts w:ascii="Verdana" w:eastAsia="Times New Roman" w:hAnsi="Verdana" w:cs="Arial"/>
          <w:i/>
          <w:iCs/>
          <w:lang w:eastAsia="es-CO"/>
        </w:rPr>
        <w:t>convenios interadministrativos para la ejecución de recursos públicos</w:t>
      </w:r>
      <w:r w:rsidRPr="00C278CC">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278CC">
        <w:rPr>
          <w:rFonts w:ascii="Verdana" w:eastAsia="Times New Roman" w:hAnsi="Verdana" w:cs="Arial"/>
          <w:i/>
          <w:iCs/>
          <w:lang w:eastAsia="es-CO"/>
        </w:rPr>
        <w:t>ibidem</w:t>
      </w:r>
      <w:r w:rsidRPr="00C278CC">
        <w:rPr>
          <w:rFonts w:ascii="Verdana" w:eastAsia="Times New Roman" w:hAnsi="Verdana" w:cs="Arial"/>
          <w:lang w:eastAsia="es-CO"/>
        </w:rPr>
        <w:t>, independientemente de que se configure alguno de los supuestos de excepción que señaló el inciso final del artículo 33, es decir, que se trate de:</w:t>
      </w:r>
      <w:r w:rsidRPr="00C278CC">
        <w:rPr>
          <w:rFonts w:ascii="Verdana" w:hAnsi="Verdana" w:cs="Arial"/>
          <w:bCs/>
          <w:lang w:val="es-MX" w:eastAsia="x-none"/>
        </w:rPr>
        <w:t xml:space="preserve"> i) la defensa y seguridad del Estado; </w:t>
      </w:r>
      <w:proofErr w:type="spellStart"/>
      <w:r w:rsidRPr="00C278CC">
        <w:rPr>
          <w:rFonts w:ascii="Verdana" w:hAnsi="Verdana" w:cs="Arial"/>
          <w:bCs/>
          <w:lang w:val="es-MX" w:eastAsia="x-none"/>
        </w:rPr>
        <w:t>ii</w:t>
      </w:r>
      <w:proofErr w:type="spellEnd"/>
      <w:r w:rsidRPr="00C278CC">
        <w:rPr>
          <w:rFonts w:ascii="Verdana" w:hAnsi="Verdana" w:cs="Arial"/>
          <w:bCs/>
          <w:lang w:val="es-MX" w:eastAsia="x-none"/>
        </w:rPr>
        <w:t xml:space="preserve">) los contratos de crédito público; </w:t>
      </w:r>
      <w:proofErr w:type="spellStart"/>
      <w:r w:rsidRPr="00C278CC">
        <w:rPr>
          <w:rFonts w:ascii="Verdana" w:hAnsi="Verdana" w:cs="Arial"/>
          <w:bCs/>
          <w:lang w:val="es-MX" w:eastAsia="x-none"/>
        </w:rPr>
        <w:t>iii</w:t>
      </w:r>
      <w:proofErr w:type="spellEnd"/>
      <w:r w:rsidRPr="00C278CC">
        <w:rPr>
          <w:rFonts w:ascii="Verdana" w:hAnsi="Verdana" w:cs="Arial"/>
          <w:bCs/>
          <w:lang w:val="es-MX" w:eastAsia="x-none"/>
        </w:rPr>
        <w:t xml:space="preserve">) los requeridos para cubrir las emergencias educativas, sanitarias y desastres; </w:t>
      </w:r>
      <w:proofErr w:type="spellStart"/>
      <w:r w:rsidRPr="00C278CC">
        <w:rPr>
          <w:rFonts w:ascii="Verdana" w:hAnsi="Verdana" w:cs="Arial"/>
          <w:bCs/>
          <w:lang w:val="es-MX" w:eastAsia="x-none"/>
        </w:rPr>
        <w:t>iv</w:t>
      </w:r>
      <w:proofErr w:type="spellEnd"/>
      <w:r w:rsidRPr="00C278CC">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278CC">
        <w:rPr>
          <w:rFonts w:ascii="Verdana" w:hAnsi="Verdana" w:cs="Arial"/>
          <w:bCs/>
          <w:lang w:val="es-MX" w:eastAsia="es-CO"/>
        </w:rPr>
        <w:t xml:space="preserve"> </w:t>
      </w:r>
      <w:r w:rsidRPr="00C278CC">
        <w:rPr>
          <w:rFonts w:ascii="Verdana" w:eastAsia="Times New Roman" w:hAnsi="Verdana" w:cs="Arial"/>
          <w:lang w:eastAsia="es-CO"/>
        </w:rPr>
        <w:t xml:space="preserve">  </w:t>
      </w:r>
    </w:p>
    <w:p w14:paraId="26B7330B" w14:textId="77777777" w:rsidR="005540DE" w:rsidRPr="00C278CC" w:rsidRDefault="005540DE" w:rsidP="005540DE">
      <w:pPr>
        <w:spacing w:before="120" w:after="0" w:line="276" w:lineRule="auto"/>
        <w:ind w:firstLine="708"/>
        <w:jc w:val="both"/>
        <w:rPr>
          <w:rFonts w:ascii="Verdana" w:eastAsia="Times New Roman" w:hAnsi="Verdana" w:cs="Arial"/>
          <w:lang w:eastAsia="es-CO"/>
        </w:rPr>
      </w:pPr>
      <w:r w:rsidRPr="00C278CC">
        <w:rPr>
          <w:rFonts w:ascii="Verdana" w:eastAsia="Times New Roman" w:hAnsi="Verdana" w:cs="Arial"/>
          <w:lang w:eastAsia="es-CO"/>
        </w:rPr>
        <w:t xml:space="preserve">En este punto, teniendo en cuenta lo señalado en el contenido de su petición, vale la pena destacar </w:t>
      </w:r>
      <w:proofErr w:type="gramStart"/>
      <w:r w:rsidRPr="00C278CC">
        <w:rPr>
          <w:rFonts w:ascii="Verdana" w:eastAsia="Times New Roman" w:hAnsi="Verdana" w:cs="Arial"/>
          <w:lang w:eastAsia="es-CO"/>
        </w:rPr>
        <w:t>que</w:t>
      </w:r>
      <w:proofErr w:type="gramEnd"/>
      <w:r w:rsidRPr="00C278CC">
        <w:rPr>
          <w:rFonts w:ascii="Verdana" w:eastAsia="Times New Roman" w:hAnsi="Verdana" w:cs="Arial"/>
          <w:lang w:eastAsia="es-CO"/>
        </w:rPr>
        <w:t xml:space="preserve"> </w:t>
      </w:r>
      <w:r w:rsidRPr="00C278CC">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278CC">
        <w:rPr>
          <w:rFonts w:ascii="Verdana" w:hAnsi="Verdana" w:cs="Arial"/>
        </w:rPr>
        <w:t>numeral 16.2 de la Circular Externa Única de 2022 expedida por la Agencia Nacional de Contratación Pública – Colombia Compra Eficiente, concretamente, respecto de los siguientes apartes normativos</w:t>
      </w:r>
      <w:r w:rsidRPr="00C278CC">
        <w:rPr>
          <w:rFonts w:ascii="Verdana" w:hAnsi="Verdana" w:cs="Arial"/>
          <w:vertAlign w:val="superscript"/>
        </w:rPr>
        <w:footnoteReference w:id="22"/>
      </w:r>
      <w:r w:rsidRPr="00C278CC">
        <w:rPr>
          <w:rFonts w:ascii="Verdana" w:hAnsi="Verdana" w:cs="Arial"/>
        </w:rPr>
        <w:t xml:space="preserve">: </w:t>
      </w:r>
    </w:p>
    <w:p w14:paraId="5D2DEEC8" w14:textId="77777777" w:rsidR="005540DE" w:rsidRPr="00C278CC" w:rsidRDefault="005540DE" w:rsidP="005540DE">
      <w:pPr>
        <w:spacing w:after="0" w:line="276" w:lineRule="auto"/>
        <w:ind w:firstLine="709"/>
        <w:jc w:val="both"/>
        <w:rPr>
          <w:rFonts w:ascii="Verdana" w:hAnsi="Verdana" w:cs="Arial"/>
        </w:rPr>
      </w:pPr>
    </w:p>
    <w:p w14:paraId="462E5AED" w14:textId="77777777" w:rsidR="005540DE" w:rsidRPr="00C278CC" w:rsidRDefault="005540DE" w:rsidP="005540DE">
      <w:pPr>
        <w:spacing w:after="120" w:line="240" w:lineRule="auto"/>
        <w:ind w:left="709" w:right="709"/>
        <w:jc w:val="both"/>
        <w:rPr>
          <w:rFonts w:ascii="Verdana" w:hAnsi="Verdana" w:cs="Arial"/>
          <w:sz w:val="20"/>
          <w:szCs w:val="20"/>
        </w:rPr>
      </w:pPr>
      <w:r w:rsidRPr="00C278CC">
        <w:rPr>
          <w:rFonts w:ascii="Verdana" w:hAnsi="Verdana" w:cs="Arial"/>
          <w:sz w:val="20"/>
          <w:szCs w:val="20"/>
          <w:lang w:val="es-MX"/>
        </w:rPr>
        <w:lastRenderedPageBreak/>
        <w:t>“i)</w:t>
      </w:r>
      <w:r w:rsidRPr="00C278CC">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B6321FE" w14:textId="77777777" w:rsidR="005540DE" w:rsidRPr="00C278CC" w:rsidRDefault="005540DE" w:rsidP="005540DE">
      <w:pPr>
        <w:spacing w:after="0" w:line="240" w:lineRule="auto"/>
        <w:ind w:left="709" w:right="709"/>
        <w:jc w:val="both"/>
        <w:rPr>
          <w:rFonts w:ascii="Verdana" w:hAnsi="Verdana" w:cs="Arial"/>
          <w:sz w:val="20"/>
          <w:szCs w:val="20"/>
        </w:rPr>
      </w:pPr>
      <w:proofErr w:type="spellStart"/>
      <w:r w:rsidRPr="00C278CC">
        <w:rPr>
          <w:rFonts w:ascii="Verdana" w:hAnsi="Verdana" w:cs="Arial"/>
          <w:sz w:val="20"/>
          <w:szCs w:val="20"/>
        </w:rPr>
        <w:t>ii</w:t>
      </w:r>
      <w:proofErr w:type="spellEnd"/>
      <w:r w:rsidRPr="00C278CC">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51BFCB2" w14:textId="77777777" w:rsidR="005540DE" w:rsidRPr="00C278CC" w:rsidRDefault="005540DE" w:rsidP="005540DE">
      <w:pPr>
        <w:spacing w:after="0" w:line="276" w:lineRule="auto"/>
        <w:ind w:left="709" w:right="709"/>
        <w:jc w:val="both"/>
        <w:rPr>
          <w:rFonts w:ascii="Verdana" w:hAnsi="Verdana" w:cs="Arial"/>
        </w:rPr>
      </w:pPr>
    </w:p>
    <w:p w14:paraId="3DB9F009" w14:textId="77777777" w:rsidR="005540DE" w:rsidRPr="00C278CC" w:rsidRDefault="005540DE" w:rsidP="005540DE">
      <w:pPr>
        <w:spacing w:after="120" w:line="276" w:lineRule="auto"/>
        <w:ind w:firstLine="709"/>
        <w:jc w:val="both"/>
        <w:rPr>
          <w:rFonts w:ascii="Verdana" w:eastAsia="Arial" w:hAnsi="Verdana" w:cs="Arial"/>
          <w:i/>
          <w:iCs/>
          <w:lang w:eastAsia="es-ES" w:bidi="es-ES"/>
        </w:rPr>
      </w:pPr>
      <w:r w:rsidRPr="00C278CC">
        <w:rPr>
          <w:rFonts w:ascii="Verdana" w:eastAsia="Arial" w:hAnsi="Verdana" w:cs="Arial"/>
          <w:lang w:val="es-MX" w:eastAsia="es-ES" w:bidi="es-ES"/>
        </w:rPr>
        <w:t xml:space="preserve">De conformidad con los argumentos de dicha providencia, se parte de la distinción entre los conceptos </w:t>
      </w:r>
      <w:r w:rsidRPr="00C278CC">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278CC">
        <w:rPr>
          <w:rFonts w:ascii="Verdana" w:hAnsi="Verdana"/>
          <w:sz w:val="24"/>
          <w:szCs w:val="24"/>
          <w:lang w:eastAsia="es-CO"/>
        </w:rPr>
        <w:t xml:space="preserve"> </w:t>
      </w:r>
      <w:r w:rsidRPr="00C278CC">
        <w:rPr>
          <w:rFonts w:ascii="Verdana" w:eastAsia="Arial" w:hAnsi="Verdana" w:cs="Arial"/>
          <w:lang w:eastAsia="es-ES" w:bidi="es-ES"/>
        </w:rPr>
        <w:t xml:space="preserve">En este sentido, en relación con el parágrafo del artículo 38 de la Ley 996 de 2005 concluyó que </w:t>
      </w:r>
      <w:r w:rsidRPr="00C278CC">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278CC">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278CC">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278CC">
        <w:rPr>
          <w:rFonts w:ascii="Verdana" w:eastAsia="Arial" w:hAnsi="Verdana" w:cs="Arial"/>
          <w:lang w:eastAsia="es-ES" w:bidi="es-ES"/>
        </w:rPr>
        <w:t>”</w:t>
      </w:r>
      <w:r w:rsidRPr="00C278CC">
        <w:rPr>
          <w:rFonts w:ascii="Verdana" w:eastAsia="Arial" w:hAnsi="Verdana" w:cs="Arial"/>
          <w:i/>
          <w:iCs/>
          <w:lang w:eastAsia="es-ES" w:bidi="es-ES"/>
        </w:rPr>
        <w:t xml:space="preserve">. </w:t>
      </w:r>
    </w:p>
    <w:p w14:paraId="213A6C07" w14:textId="77777777" w:rsidR="005540DE" w:rsidRPr="00C278CC" w:rsidRDefault="005540DE" w:rsidP="005540DE">
      <w:pPr>
        <w:spacing w:after="120" w:line="276" w:lineRule="auto"/>
        <w:ind w:firstLine="709"/>
        <w:jc w:val="both"/>
        <w:rPr>
          <w:rFonts w:ascii="Verdana" w:eastAsia="Arial" w:hAnsi="Verdana" w:cs="Arial"/>
          <w:lang w:eastAsia="es-ES" w:bidi="es-ES"/>
        </w:rPr>
      </w:pPr>
      <w:r w:rsidRPr="00C278CC">
        <w:rPr>
          <w:rFonts w:ascii="Verdana" w:eastAsia="Arial" w:hAnsi="Verdana" w:cs="Arial"/>
          <w:lang w:eastAsia="es-ES" w:bidi="es-ES"/>
        </w:rPr>
        <w:t>De igual manera, mediante auto del 6 de noviembre de 2025, el Consejo de Estado, Subsección A de la Sección Tercera, decretó</w:t>
      </w:r>
      <w:r w:rsidRPr="00C278CC">
        <w:rPr>
          <w:rFonts w:ascii="Verdana" w:eastAsia="Arial" w:hAnsi="Verdana" w:cs="Arial"/>
          <w:b/>
          <w:bCs/>
          <w:lang w:eastAsia="es-ES" w:bidi="es-ES"/>
        </w:rPr>
        <w:t xml:space="preserve"> </w:t>
      </w:r>
      <w:r w:rsidRPr="00C278CC">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C278CC">
        <w:rPr>
          <w:rFonts w:ascii="Verdana" w:eastAsia="Arial" w:hAnsi="Verdana" w:cs="Arial"/>
          <w:lang w:eastAsia="es-ES" w:bidi="es-ES"/>
        </w:rPr>
        <w:lastRenderedPageBreak/>
        <w:t>Eficiente relacionados con los contratos interadministrativos</w:t>
      </w:r>
      <w:r w:rsidRPr="00C278CC">
        <w:rPr>
          <w:rFonts w:ascii="Verdana" w:eastAsia="Arial" w:hAnsi="Verdana" w:cs="Arial"/>
          <w:vertAlign w:val="superscript"/>
          <w:lang w:eastAsia="es-ES" w:bidi="es-ES"/>
        </w:rPr>
        <w:footnoteReference w:id="23"/>
      </w:r>
      <w:r w:rsidRPr="00C278CC">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278CC">
        <w:rPr>
          <w:rFonts w:ascii="Verdana" w:eastAsia="Arial" w:hAnsi="Verdana" w:cs="Arial"/>
          <w:lang w:eastAsia="es-ES" w:bidi="es-ES"/>
        </w:rPr>
        <w:t>legis</w:t>
      </w:r>
      <w:proofErr w:type="spellEnd"/>
      <w:r w:rsidRPr="00C278CC">
        <w:rPr>
          <w:rFonts w:ascii="Verdana" w:eastAsia="Arial" w:hAnsi="Verdana" w:cs="Arial"/>
          <w:lang w:eastAsia="es-ES" w:bidi="es-ES"/>
        </w:rPr>
        <w:t xml:space="preserve"> o iuris y la interpretación extensiva y reiteró los argumentos sobre la diferencia entre contratos y convenios interadministrativos. </w:t>
      </w:r>
    </w:p>
    <w:p w14:paraId="594F0B74" w14:textId="77777777" w:rsidR="005540DE" w:rsidRPr="00C278CC" w:rsidRDefault="005540DE" w:rsidP="005540DE">
      <w:pPr>
        <w:spacing w:after="120" w:line="276" w:lineRule="auto"/>
        <w:ind w:firstLine="709"/>
        <w:jc w:val="both"/>
        <w:rPr>
          <w:rFonts w:ascii="Verdana" w:eastAsia="Times New Roman" w:hAnsi="Verdana" w:cs="Times New Roman"/>
          <w:lang w:eastAsia="es-ES"/>
        </w:rPr>
      </w:pPr>
      <w:r w:rsidRPr="00C278CC">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278CC">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487742D9" w14:textId="77777777" w:rsidR="005540DE" w:rsidRPr="00C278CC" w:rsidRDefault="005540DE" w:rsidP="005540DE">
      <w:pPr>
        <w:spacing w:after="120" w:line="276" w:lineRule="auto"/>
        <w:ind w:firstLine="709"/>
        <w:jc w:val="both"/>
        <w:rPr>
          <w:rFonts w:ascii="Verdana" w:eastAsia="Times New Roman" w:hAnsi="Verdana" w:cs="Times New Roman"/>
          <w:lang w:eastAsia="es-ES"/>
        </w:rPr>
      </w:pPr>
      <w:r w:rsidRPr="00C278CC">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278CC">
        <w:rPr>
          <w:rFonts w:ascii="Verdana" w:eastAsia="Times New Roman" w:hAnsi="Verdana" w:cs="Times New Roman"/>
          <w:vertAlign w:val="superscript"/>
          <w:lang w:eastAsia="es-ES"/>
        </w:rPr>
        <w:footnoteReference w:id="24"/>
      </w:r>
      <w:r w:rsidRPr="00C278CC">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w:t>
      </w:r>
      <w:r w:rsidRPr="00C278CC">
        <w:rPr>
          <w:rFonts w:ascii="Verdana" w:eastAsia="Times New Roman" w:hAnsi="Verdana" w:cs="Times New Roman"/>
          <w:lang w:eastAsia="es-ES"/>
        </w:rPr>
        <w:lastRenderedPageBreak/>
        <w:t xml:space="preserve">implican obligaciones patrimoniales y contraprestación, los convenios se basan en cooperación sin ánimo económico. Por ello, la restricción legal no podía aplicarse extensivamente a los contratos. </w:t>
      </w:r>
    </w:p>
    <w:p w14:paraId="224C5347" w14:textId="77777777" w:rsidR="005540DE" w:rsidRPr="00C278CC" w:rsidRDefault="005540DE" w:rsidP="005540DE">
      <w:pPr>
        <w:spacing w:after="120" w:line="276" w:lineRule="auto"/>
        <w:ind w:firstLine="709"/>
        <w:jc w:val="both"/>
        <w:rPr>
          <w:rFonts w:ascii="Verdana" w:eastAsia="Times New Roman" w:hAnsi="Verdana" w:cs="Arial"/>
          <w:lang w:eastAsia="es-CO"/>
        </w:rPr>
      </w:pPr>
      <w:r w:rsidRPr="00C278CC">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278CC">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278CC">
        <w:rPr>
          <w:rFonts w:ascii="Verdana" w:eastAsia="Times New Roman" w:hAnsi="Verdana" w:cs="Arial"/>
          <w:i/>
          <w:iCs/>
          <w:lang w:eastAsia="es-CO"/>
        </w:rPr>
        <w:t>contratos interadministrativos</w:t>
      </w:r>
      <w:r w:rsidRPr="00C278CC">
        <w:rPr>
          <w:rFonts w:ascii="Verdana" w:eastAsia="Times New Roman" w:hAnsi="Verdana" w:cs="Arial"/>
          <w:lang w:eastAsia="es-CO"/>
        </w:rPr>
        <w:t>, esta prohibición solo aplicaría a los convenios interadministrativos que impliquen la ejecución de recursos públicos</w:t>
      </w:r>
      <w:r w:rsidRPr="00C278CC">
        <w:rPr>
          <w:rFonts w:ascii="Verdana" w:eastAsia="Times New Roman" w:hAnsi="Verdana" w:cs="Arial"/>
          <w:vertAlign w:val="superscript"/>
          <w:lang w:eastAsia="es-CO"/>
        </w:rPr>
        <w:footnoteReference w:id="25"/>
      </w:r>
      <w:r w:rsidRPr="00C278CC">
        <w:rPr>
          <w:rFonts w:ascii="Verdana" w:eastAsia="Times New Roman" w:hAnsi="Verdana" w:cs="Arial"/>
          <w:lang w:eastAsia="es-CO"/>
        </w:rPr>
        <w:t>.</w:t>
      </w:r>
    </w:p>
    <w:p w14:paraId="65239977" w14:textId="77777777" w:rsidR="005540DE" w:rsidRPr="00C278CC" w:rsidRDefault="005540DE" w:rsidP="005540DE">
      <w:pPr>
        <w:spacing w:after="120" w:line="276" w:lineRule="auto"/>
        <w:ind w:firstLine="708"/>
        <w:jc w:val="both"/>
        <w:rPr>
          <w:rFonts w:ascii="Verdana" w:eastAsia="Calibri" w:hAnsi="Verdana" w:cs="Arial"/>
          <w:bCs/>
          <w:color w:val="000000" w:themeColor="text1"/>
        </w:rPr>
      </w:pPr>
      <w:r w:rsidRPr="00C278CC">
        <w:rPr>
          <w:rFonts w:ascii="Verdana" w:eastAsia="Times New Roman" w:hAnsi="Verdana" w:cs="Arial"/>
          <w:lang w:eastAsia="es-CO" w:bidi="es-ES"/>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C278CC">
        <w:rPr>
          <w:rFonts w:ascii="Verdana" w:eastAsia="Times New Roman" w:hAnsi="Verdana" w:cs="Arial"/>
          <w:vertAlign w:val="superscript"/>
          <w:lang w:eastAsia="es-CO" w:bidi="es-ES"/>
        </w:rPr>
        <w:footnoteReference w:id="26"/>
      </w:r>
      <w:r w:rsidRPr="00C278CC">
        <w:rPr>
          <w:rFonts w:ascii="Verdana" w:eastAsia="Times New Roman" w:hAnsi="Verdana" w:cs="Arial"/>
          <w:lang w:eastAsia="es-CO" w:bidi="es-ES"/>
        </w:rPr>
        <w:t>.</w:t>
      </w:r>
    </w:p>
    <w:p w14:paraId="21C35FCC" w14:textId="77777777" w:rsidR="005540DE" w:rsidRPr="00C278CC" w:rsidRDefault="005540DE" w:rsidP="005540DE">
      <w:pPr>
        <w:spacing w:after="120" w:line="276" w:lineRule="auto"/>
        <w:jc w:val="both"/>
        <w:rPr>
          <w:rFonts w:ascii="Verdana" w:eastAsia="Times New Roman" w:hAnsi="Verdana" w:cs="Arial"/>
          <w:lang w:val="es-MX" w:eastAsia="es-CO"/>
        </w:rPr>
      </w:pPr>
      <w:r w:rsidRPr="00C278CC">
        <w:rPr>
          <w:rFonts w:ascii="Verdana" w:eastAsia="Times New Roman" w:hAnsi="Verdana" w:cs="Arial"/>
          <w:lang w:val="es-MX" w:eastAsia="x-none"/>
        </w:rPr>
        <w:tab/>
      </w:r>
      <w:r w:rsidRPr="00C278CC">
        <w:rPr>
          <w:rFonts w:ascii="Verdana" w:eastAsia="Arial" w:hAnsi="Verdana" w:cs="Arial"/>
          <w:lang w:val="es-MX" w:eastAsia="es-ES" w:bidi="es-ES"/>
        </w:rPr>
        <w:t>De esta manera, s</w:t>
      </w:r>
      <w:proofErr w:type="spellStart"/>
      <w:r w:rsidRPr="00C278CC">
        <w:rPr>
          <w:rFonts w:ascii="Verdana" w:eastAsia="Times New Roman" w:hAnsi="Verdana" w:cs="Arial"/>
          <w:lang w:eastAsia="es-CO"/>
        </w:rPr>
        <w:t>e</w:t>
      </w:r>
      <w:proofErr w:type="spellEnd"/>
      <w:r w:rsidRPr="00C278CC">
        <w:rPr>
          <w:rFonts w:ascii="Verdana" w:eastAsia="Times New Roman" w:hAnsi="Verdana" w:cs="Arial"/>
          <w:lang w:eastAsia="es-CO"/>
        </w:rPr>
        <w:t xml:space="preserve"> observa entonces que </w:t>
      </w:r>
      <w:r w:rsidRPr="00C278CC">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278CC">
        <w:rPr>
          <w:rFonts w:ascii="Verdana" w:eastAsia="Times New Roman" w:hAnsi="Verdana" w:cs="Arial"/>
          <w:i/>
          <w:iCs/>
          <w:lang w:val="es-MX" w:eastAsia="es-CO"/>
        </w:rPr>
        <w:t>convenios interadministrativos</w:t>
      </w:r>
      <w:r w:rsidRPr="00C278CC">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278CC">
        <w:rPr>
          <w:rFonts w:ascii="Verdana" w:eastAsia="Times New Roman" w:hAnsi="Verdana" w:cs="Arial"/>
          <w:i/>
          <w:lang w:val="es-MX" w:eastAsia="es-CO"/>
        </w:rPr>
        <w:t>ibidem</w:t>
      </w:r>
      <w:r w:rsidRPr="00C278CC">
        <w:rPr>
          <w:rFonts w:ascii="Verdana" w:eastAsia="Times New Roman" w:hAnsi="Verdana" w:cs="Arial"/>
          <w:lang w:val="es-MX" w:eastAsia="es-CO"/>
        </w:rPr>
        <w:t xml:space="preserve">, no podrá celebrar tales </w:t>
      </w:r>
      <w:r w:rsidRPr="00C278CC">
        <w:rPr>
          <w:rFonts w:ascii="Verdana" w:eastAsia="Times New Roman" w:hAnsi="Verdana" w:cs="Arial"/>
          <w:i/>
          <w:iCs/>
          <w:lang w:val="es-MX" w:eastAsia="es-CO"/>
        </w:rPr>
        <w:t>convenios</w:t>
      </w:r>
      <w:r w:rsidRPr="00C278CC">
        <w:rPr>
          <w:rFonts w:ascii="Verdana" w:eastAsia="Times New Roman" w:hAnsi="Verdana" w:cs="Arial"/>
          <w:lang w:val="es-MX" w:eastAsia="es-CO"/>
        </w:rPr>
        <w:t xml:space="preserve"> durante la aplicación de la Ley de Garantías Electorales, toda vez que la citada </w:t>
      </w:r>
      <w:r w:rsidRPr="00C278CC">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5F3EC85C" w14:textId="77777777" w:rsidR="005540DE" w:rsidRPr="00C278CC" w:rsidRDefault="005540DE" w:rsidP="00550DD6">
      <w:pPr>
        <w:spacing w:line="276" w:lineRule="auto"/>
        <w:ind w:firstLine="709"/>
        <w:jc w:val="both"/>
        <w:rPr>
          <w:rFonts w:ascii="Verdana" w:eastAsia="Arial" w:hAnsi="Verdana" w:cs="Arial"/>
          <w:lang w:val="es-ES" w:eastAsia="es-ES" w:bidi="es-ES"/>
        </w:rPr>
      </w:pPr>
      <w:r w:rsidRPr="00C278CC">
        <w:rPr>
          <w:rFonts w:ascii="Verdana" w:eastAsia="Times New Roman" w:hAnsi="Verdana" w:cs="Arial"/>
          <w:lang w:val="es-ES" w:eastAsia="es-CO" w:bidi="es-ES"/>
        </w:rPr>
        <w:t>En todo caso</w:t>
      </w:r>
      <w:r w:rsidRPr="00C278CC">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C278CC">
        <w:rPr>
          <w:rFonts w:ascii="Verdana" w:eastAsia="Arial" w:hAnsi="Verdana" w:cs="Arial"/>
          <w:vertAlign w:val="superscript"/>
          <w:lang w:val="es-ES" w:eastAsia="es-ES" w:bidi="es-ES"/>
        </w:rPr>
        <w:footnoteReference w:id="27"/>
      </w:r>
      <w:r w:rsidRPr="00C278CC">
        <w:rPr>
          <w:rFonts w:ascii="Verdana" w:eastAsia="Arial" w:hAnsi="Verdana" w:cs="Arial"/>
          <w:lang w:val="es-ES" w:eastAsia="es-ES" w:bidi="es-ES"/>
        </w:rPr>
        <w:t>.</w:t>
      </w:r>
    </w:p>
    <w:p w14:paraId="3397CA7B" w14:textId="77777777" w:rsidR="00550DD6" w:rsidRPr="00C278CC" w:rsidRDefault="00550DD6" w:rsidP="00550DD6">
      <w:pPr>
        <w:spacing w:after="120" w:line="276" w:lineRule="auto"/>
        <w:ind w:firstLine="709"/>
        <w:jc w:val="both"/>
        <w:rPr>
          <w:rFonts w:ascii="Verdana" w:eastAsia="Calibri" w:hAnsi="Verdana" w:cs="Arial"/>
          <w:bCs/>
          <w:color w:val="000000" w:themeColor="text1"/>
        </w:rPr>
      </w:pPr>
      <w:r w:rsidRPr="00C278C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3F96AA" w14:textId="77777777" w:rsidR="00550DD6" w:rsidRPr="00C278CC" w:rsidRDefault="00550DD6" w:rsidP="00550DD6">
      <w:pPr>
        <w:spacing w:after="0" w:line="276" w:lineRule="auto"/>
        <w:ind w:firstLine="708"/>
        <w:jc w:val="both"/>
        <w:rPr>
          <w:rFonts w:ascii="Verdana" w:eastAsia="Calibri" w:hAnsi="Verdana" w:cs="Arial"/>
          <w:bCs/>
          <w:color w:val="000000" w:themeColor="text1"/>
        </w:rPr>
      </w:pPr>
      <w:r w:rsidRPr="00C278C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B69A8FC" w14:textId="3712DC32" w:rsidR="00883063" w:rsidRPr="00EF658E" w:rsidRDefault="00883063" w:rsidP="00152262">
      <w:pPr>
        <w:tabs>
          <w:tab w:val="left" w:pos="426"/>
        </w:tabs>
        <w:spacing w:before="240" w:after="120" w:line="276" w:lineRule="auto"/>
        <w:jc w:val="both"/>
        <w:rPr>
          <w:rFonts w:ascii="Verdana" w:eastAsia="Century Gothic" w:hAnsi="Verdana" w:cs="Century Gothic"/>
          <w:b/>
          <w:bCs/>
        </w:rPr>
      </w:pPr>
      <w:r>
        <w:rPr>
          <w:rFonts w:ascii="Verdana" w:eastAsia="Calibri" w:hAnsi="Verdana" w:cs="Arial"/>
        </w:rPr>
        <w:tab/>
      </w: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83063" w:rsidRPr="002407CE" w14:paraId="1A1ADD9C" w14:textId="77777777" w:rsidTr="001B0102">
        <w:trPr>
          <w:trHeight w:val="870"/>
          <w:jc w:val="center"/>
        </w:trPr>
        <w:tc>
          <w:tcPr>
            <w:tcW w:w="8647" w:type="dxa"/>
          </w:tcPr>
          <w:p w14:paraId="54A15282" w14:textId="77777777" w:rsidR="00507A98" w:rsidRPr="00D866E6" w:rsidRDefault="00507A98" w:rsidP="00D866E6">
            <w:pPr>
              <w:pStyle w:val="Prrafodelista"/>
              <w:widowControl w:val="0"/>
              <w:numPr>
                <w:ilvl w:val="0"/>
                <w:numId w:val="17"/>
              </w:numPr>
              <w:autoSpaceDE w:val="0"/>
              <w:autoSpaceDN w:val="0"/>
              <w:spacing w:after="120"/>
              <w:jc w:val="both"/>
              <w:rPr>
                <w:rFonts w:ascii="Verdana" w:hAnsi="Verdana" w:cs="Arial"/>
                <w:lang w:val="es-CO"/>
              </w:rPr>
            </w:pPr>
            <w:r w:rsidRPr="00D866E6">
              <w:rPr>
                <w:rFonts w:ascii="Verdana" w:hAnsi="Verdana" w:cs="Arial"/>
                <w:lang w:val="es-CO"/>
              </w:rPr>
              <w:lastRenderedPageBreak/>
              <w:t>Constitución Política, artículo 127.</w:t>
            </w:r>
          </w:p>
          <w:p w14:paraId="4BE7177F" w14:textId="77777777" w:rsidR="00507A98" w:rsidRPr="00D866E6" w:rsidRDefault="00507A98" w:rsidP="00D866E6">
            <w:pPr>
              <w:pStyle w:val="Prrafodelista"/>
              <w:widowControl w:val="0"/>
              <w:numPr>
                <w:ilvl w:val="0"/>
                <w:numId w:val="17"/>
              </w:numPr>
              <w:autoSpaceDE w:val="0"/>
              <w:autoSpaceDN w:val="0"/>
              <w:spacing w:after="120"/>
              <w:jc w:val="both"/>
              <w:rPr>
                <w:rFonts w:ascii="Verdana" w:hAnsi="Verdana" w:cs="Arial"/>
                <w:lang w:val="es-CO"/>
              </w:rPr>
            </w:pPr>
            <w:r w:rsidRPr="00D866E6">
              <w:rPr>
                <w:rFonts w:ascii="Verdana" w:hAnsi="Verdana" w:cs="Arial"/>
                <w:lang w:val="es-CO"/>
              </w:rPr>
              <w:t>Código Civil, artículos 1055, 1443, 1495 y 1496.</w:t>
            </w:r>
          </w:p>
          <w:p w14:paraId="7B7D4DE8" w14:textId="77777777" w:rsidR="00507A98" w:rsidRPr="00D866E6" w:rsidRDefault="00507A98" w:rsidP="00D866E6">
            <w:pPr>
              <w:pStyle w:val="Prrafodelista"/>
              <w:widowControl w:val="0"/>
              <w:numPr>
                <w:ilvl w:val="0"/>
                <w:numId w:val="17"/>
              </w:numPr>
              <w:autoSpaceDE w:val="0"/>
              <w:autoSpaceDN w:val="0"/>
              <w:spacing w:after="120"/>
              <w:jc w:val="both"/>
              <w:rPr>
                <w:rFonts w:ascii="Verdana" w:hAnsi="Verdana" w:cs="Arial"/>
                <w:lang w:val="es-CO"/>
              </w:rPr>
            </w:pPr>
            <w:r w:rsidRPr="00D866E6">
              <w:rPr>
                <w:rFonts w:ascii="Verdana" w:hAnsi="Verdana" w:cs="Arial"/>
                <w:lang w:val="es-CO"/>
              </w:rPr>
              <w:t>Ley 996 de 2005, artículos 33 y 38.</w:t>
            </w:r>
          </w:p>
          <w:p w14:paraId="1122B745" w14:textId="77777777" w:rsidR="00507A98" w:rsidRPr="00D866E6" w:rsidRDefault="00507A98" w:rsidP="00507A98">
            <w:pPr>
              <w:pStyle w:val="Prrafodelista"/>
              <w:widowControl w:val="0"/>
              <w:numPr>
                <w:ilvl w:val="0"/>
                <w:numId w:val="17"/>
              </w:numPr>
              <w:autoSpaceDE w:val="0"/>
              <w:autoSpaceDN w:val="0"/>
              <w:spacing w:after="120"/>
              <w:jc w:val="both"/>
              <w:rPr>
                <w:rFonts w:ascii="Verdana" w:hAnsi="Verdana" w:cs="Arial"/>
                <w:lang w:val="es-CO"/>
              </w:rPr>
            </w:pPr>
            <w:r w:rsidRPr="00D866E6">
              <w:rPr>
                <w:rFonts w:ascii="Verdana" w:hAnsi="Verdana" w:cs="Arial"/>
                <w:lang w:val="es-CO"/>
              </w:rPr>
              <w:t>Ley 80 de 1993, artículo 2.</w:t>
            </w:r>
          </w:p>
          <w:p w14:paraId="7BDD7A73" w14:textId="77777777" w:rsidR="00507A98" w:rsidRPr="00D866E6" w:rsidRDefault="00507A98" w:rsidP="00507A98">
            <w:pPr>
              <w:pStyle w:val="Prrafodelista"/>
              <w:widowControl w:val="0"/>
              <w:numPr>
                <w:ilvl w:val="0"/>
                <w:numId w:val="17"/>
              </w:numPr>
              <w:autoSpaceDE w:val="0"/>
              <w:autoSpaceDN w:val="0"/>
              <w:spacing w:after="120"/>
              <w:jc w:val="both"/>
              <w:rPr>
                <w:rFonts w:ascii="Verdana" w:hAnsi="Verdana" w:cs="Arial"/>
                <w:lang w:val="es-CO"/>
              </w:rPr>
            </w:pPr>
            <w:r w:rsidRPr="00D866E6">
              <w:rPr>
                <w:rFonts w:ascii="Verdana" w:hAnsi="Verdana" w:cs="Arial"/>
                <w:lang w:val="es-CO"/>
              </w:rPr>
              <w:t>Ley 1150 de 2007, artículo 2.</w:t>
            </w:r>
          </w:p>
          <w:p w14:paraId="1CAC8BF5"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Corte Constitucional, Sentencia C- 1153 de 2005, M.P. Marco Gerardo Monroy Cabra</w:t>
            </w:r>
          </w:p>
          <w:p w14:paraId="2281F7CB"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Sala de Consulta y Servicio Civil. Concepto del 15 de noviembre de 2007. Expediente número 1863. Consejero Ponente: Luis Fernando Álvarez Jaramillo.</w:t>
            </w:r>
          </w:p>
          <w:p w14:paraId="6F0BECA7"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Sala de Consulta y Servicio Civil de fecha 24 de julio de 2013, radicado 2166, Consejero Ponente: Álvaro Namén Vargas. C</w:t>
            </w:r>
          </w:p>
          <w:p w14:paraId="3782AE91"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Sala de Consulta y Servicio Civil. Concepto del 17 de febrero de 2015. C.P. William Zambrano Cetina. Radicación No. 11001-03-06-000-2015-00164-00(2269).</w:t>
            </w:r>
          </w:p>
          <w:p w14:paraId="2B6FB9BC"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Sala de Consulta y Servicio Civil, Concepto de 8 de mayo de 2018. Radicación Número: 11001-03-06-000-2018-00095-00(2382). Consejero Ponente: Álvaro Namén Vargas.</w:t>
            </w:r>
          </w:p>
          <w:p w14:paraId="78351897"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 xml:space="preserve">Consejo de Estado, Sección Tercera. Auto del 4 de octubre de 2024. </w:t>
            </w:r>
            <w:proofErr w:type="spellStart"/>
            <w:r w:rsidRPr="009664AB">
              <w:rPr>
                <w:rFonts w:ascii="Verdana" w:hAnsi="Verdana" w:cs="Arial"/>
                <w:lang w:val="es-CO"/>
              </w:rPr>
              <w:t>Exp</w:t>
            </w:r>
            <w:proofErr w:type="spellEnd"/>
            <w:r w:rsidRPr="009664AB">
              <w:rPr>
                <w:rFonts w:ascii="Verdana" w:hAnsi="Verdana" w:cs="Arial"/>
                <w:lang w:val="es-CO"/>
              </w:rPr>
              <w:t>. 70.313. C.P: Fredy Ibarra Martínez</w:t>
            </w:r>
          </w:p>
          <w:p w14:paraId="27FD5B02" w14:textId="77777777" w:rsidR="009664AB" w:rsidRPr="009664AB" w:rsidRDefault="009664AB" w:rsidP="009664AB">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-Sección Tercera-. Sentencia del 21 de febrero de 2025. Radicación Número: 68.280. CP: José Roberto Sáchica Méndez.</w:t>
            </w:r>
          </w:p>
          <w:p w14:paraId="138B2B4E" w14:textId="7F6314E4" w:rsidR="009664AB" w:rsidRPr="00D866E6" w:rsidRDefault="009664AB" w:rsidP="00D866E6">
            <w:pPr>
              <w:pStyle w:val="Prrafodelista"/>
              <w:widowControl w:val="0"/>
              <w:numPr>
                <w:ilvl w:val="0"/>
                <w:numId w:val="17"/>
              </w:numPr>
              <w:autoSpaceDE w:val="0"/>
              <w:autoSpaceDN w:val="0"/>
              <w:spacing w:after="120"/>
              <w:jc w:val="both"/>
              <w:rPr>
                <w:rFonts w:ascii="Verdana" w:hAnsi="Verdana" w:cs="Arial"/>
                <w:lang w:val="es-CO"/>
              </w:rPr>
            </w:pPr>
            <w:r w:rsidRPr="009664AB">
              <w:rPr>
                <w:rFonts w:ascii="Verdana" w:hAnsi="Verdana" w:cs="Arial"/>
                <w:lang w:val="es-CO"/>
              </w:rPr>
              <w:t>Consejo de Estado. Sala de lo Contencioso Administrativo. Sección Tercera. Subsección B. 17 de octubre de 2025. Magistrado Ponente: Fredy Ibarra Martínez. </w:t>
            </w:r>
          </w:p>
          <w:p w14:paraId="5A20098A" w14:textId="4609113B" w:rsidR="00883063" w:rsidRPr="006560F5" w:rsidRDefault="00507A98" w:rsidP="00507A98">
            <w:pPr>
              <w:pStyle w:val="Prrafodelista"/>
              <w:numPr>
                <w:ilvl w:val="0"/>
                <w:numId w:val="17"/>
              </w:numPr>
              <w:jc w:val="both"/>
              <w:rPr>
                <w:rFonts w:ascii="Verdana" w:hAnsi="Verdana"/>
              </w:rPr>
            </w:pPr>
            <w:r w:rsidRPr="00C278CC">
              <w:rPr>
                <w:rFonts w:ascii="Verdana" w:hAnsi="Verdana" w:cs="Arial"/>
              </w:rPr>
              <w:t xml:space="preserve">Circular Externa No. 006 de 2025 </w:t>
            </w:r>
            <w:hyperlink r:id="rId12" w:history="1">
              <w:r w:rsidRPr="00C278CC">
                <w:rPr>
                  <w:rFonts w:ascii="Verdana" w:hAnsi="Verdana" w:cs="Arial"/>
                  <w:color w:val="0000FF"/>
                  <w:u w:val="single"/>
                </w:rPr>
                <w:t>https://www.colombiacompra.gov.co/archivos/circular/circular-externa-006-de-2025</w:t>
              </w:r>
            </w:hyperlink>
          </w:p>
        </w:tc>
      </w:tr>
    </w:tbl>
    <w:p w14:paraId="13B4616C" w14:textId="77777777" w:rsidR="00883063" w:rsidRPr="00593A5F" w:rsidRDefault="00883063" w:rsidP="00A35052">
      <w:pPr>
        <w:pStyle w:val="Prrafodelista"/>
        <w:numPr>
          <w:ilvl w:val="0"/>
          <w:numId w:val="16"/>
        </w:numPr>
        <w:tabs>
          <w:tab w:val="left" w:pos="142"/>
          <w:tab w:val="left" w:pos="284"/>
        </w:tabs>
        <w:spacing w:before="24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5D62482" w14:textId="58A47B5B" w:rsidR="00A35052" w:rsidRPr="00A35052" w:rsidRDefault="00A35052" w:rsidP="00A35052">
      <w:pPr>
        <w:widowControl w:val="0"/>
        <w:autoSpaceDE w:val="0"/>
        <w:autoSpaceDN w:val="0"/>
        <w:spacing w:line="276" w:lineRule="auto"/>
        <w:jc w:val="both"/>
        <w:rPr>
          <w:rStyle w:val="normaltextrun"/>
          <w:rFonts w:ascii="Verdana" w:hAnsi="Verdana" w:cs="Arial"/>
          <w:shd w:val="clear" w:color="auto" w:fill="FFFFFF"/>
        </w:rPr>
      </w:pPr>
      <w:r w:rsidRPr="00A35052">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w:t>
      </w:r>
      <w:r w:rsidRPr="00A35052">
        <w:rPr>
          <w:rFonts w:ascii="Verdana" w:hAnsi="Verdana" w:cs="Arial"/>
          <w:shd w:val="clear" w:color="auto" w:fill="FFFFFF"/>
        </w:rPr>
        <w:lastRenderedPageBreak/>
        <w:t>C-696 del 11 de julio de 2025, C-708 del 15 de julio de 2025, C-1186 del 17 de septiembre de 2025, C-1350 del 1˚ de octubre de 2025, C-1488 del 30 de octubre del 2025, C-001 del 21 de enero del 2026, C-026 del 23 de enero del 2026, C-042 del 30 de enero del 2026, C-050 del 16 de febrero del 2026, C-137 del 17 de febrero del 2026, C-176 del 18 de febrero del 2026, C-172 del 19 de febrero del 2026, C-279 del 27 de febrero del 2026</w:t>
      </w:r>
      <w:r>
        <w:rPr>
          <w:rFonts w:ascii="Verdana" w:hAnsi="Verdana" w:cs="Arial"/>
          <w:shd w:val="clear" w:color="auto" w:fill="FFFFFF"/>
        </w:rPr>
        <w:t xml:space="preserve">, </w:t>
      </w:r>
      <w:r w:rsidRPr="00A35052">
        <w:rPr>
          <w:rFonts w:ascii="Verdana" w:hAnsi="Verdana" w:cs="Arial"/>
          <w:shd w:val="clear" w:color="auto" w:fill="FFFFFF"/>
        </w:rPr>
        <w:t>C-322 del 04 de marzo del 2026</w:t>
      </w:r>
      <w:r>
        <w:rPr>
          <w:rFonts w:ascii="Verdana" w:hAnsi="Verdana" w:cs="Arial"/>
          <w:shd w:val="clear" w:color="auto" w:fill="FFFFFF"/>
        </w:rPr>
        <w:t xml:space="preserve">, </w:t>
      </w:r>
      <w:r w:rsidR="005D2089">
        <w:rPr>
          <w:rFonts w:ascii="Verdana" w:hAnsi="Verdana" w:cs="Arial"/>
          <w:shd w:val="clear" w:color="auto" w:fill="FFFFFF"/>
        </w:rPr>
        <w:t xml:space="preserve">C-221 de 26 de marzo de 2026 y </w:t>
      </w:r>
      <w:r w:rsidR="001C45F8">
        <w:rPr>
          <w:rFonts w:ascii="Verdana" w:hAnsi="Verdana" w:cs="Arial"/>
          <w:shd w:val="clear" w:color="auto" w:fill="FFFFFF"/>
        </w:rPr>
        <w:t>C-</w:t>
      </w:r>
      <w:r w:rsidR="005D2089">
        <w:rPr>
          <w:rFonts w:ascii="Verdana" w:hAnsi="Verdana" w:cs="Arial"/>
          <w:shd w:val="clear" w:color="auto" w:fill="FFFFFF"/>
        </w:rPr>
        <w:t xml:space="preserve">259 </w:t>
      </w:r>
      <w:r w:rsidR="001C45F8">
        <w:rPr>
          <w:rFonts w:ascii="Verdana" w:hAnsi="Verdana" w:cs="Arial"/>
          <w:shd w:val="clear" w:color="auto" w:fill="FFFFFF"/>
        </w:rPr>
        <w:t xml:space="preserve">de </w:t>
      </w:r>
      <w:r w:rsidR="00A17363">
        <w:rPr>
          <w:rFonts w:ascii="Verdana" w:hAnsi="Verdana" w:cs="Arial"/>
          <w:shd w:val="clear" w:color="auto" w:fill="FFFFFF"/>
        </w:rPr>
        <w:t>29 de marzo de 2026</w:t>
      </w:r>
      <w:r w:rsidR="001C45F8">
        <w:rPr>
          <w:rFonts w:ascii="Verdana" w:hAnsi="Verdana" w:cs="Arial"/>
          <w:shd w:val="clear" w:color="auto" w:fill="FFFFFF"/>
        </w:rPr>
        <w:t xml:space="preserve">. </w:t>
      </w:r>
      <w:r w:rsidRPr="00A35052">
        <w:rPr>
          <w:rFonts w:ascii="Verdana" w:hAnsi="Verdana" w:cs="Arial"/>
          <w:shd w:val="clear" w:color="auto" w:fill="FFFFFF"/>
        </w:rPr>
        <w:t>Estos y otros </w:t>
      </w:r>
      <w:r w:rsidRPr="00A35052">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A35052">
          <w:rPr>
            <w:rStyle w:val="Hipervnculo"/>
            <w:rFonts w:ascii="Verdana" w:hAnsi="Verdana" w:cs="Arial"/>
            <w:shd w:val="clear" w:color="auto" w:fill="FFFFFF"/>
          </w:rPr>
          <w:t>https://relatoria.colombiacompra.gov.co/busqueda/conceptos</w:t>
        </w:r>
      </w:hyperlink>
      <w:r w:rsidRPr="00A35052">
        <w:rPr>
          <w:rStyle w:val="normaltextrun"/>
          <w:rFonts w:ascii="Verdana" w:hAnsi="Verdana" w:cs="Arial"/>
          <w:shd w:val="clear" w:color="auto" w:fill="FFFFFF"/>
        </w:rPr>
        <w:t xml:space="preserve">. </w:t>
      </w:r>
      <w:r w:rsidRPr="00A35052">
        <w:rPr>
          <w:rStyle w:val="normaltextrun"/>
          <w:rFonts w:ascii="Verdana" w:hAnsi="Verdana" w:cs="Arial"/>
          <w:color w:val="FF0000"/>
          <w:shd w:val="clear" w:color="auto" w:fill="FFFFFF"/>
          <w:lang w:val="es-ES"/>
        </w:rPr>
        <w:t xml:space="preserve"> </w:t>
      </w:r>
    </w:p>
    <w:p w14:paraId="423E517A" w14:textId="77777777" w:rsidR="00883063" w:rsidRDefault="00883063" w:rsidP="00883063">
      <w:pPr>
        <w:spacing w:after="120" w:line="276" w:lineRule="auto"/>
        <w:jc w:val="both"/>
        <w:rPr>
          <w:rFonts w:ascii="Verdana" w:eastAsia="Calibri" w:hAnsi="Verdana" w:cs="Arial"/>
          <w:lang w:val="es-ES"/>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4" w:tgtFrame="_new" w:history="1">
        <w:r w:rsidRPr="00A655B7">
          <w:rPr>
            <w:rStyle w:val="Hipervnculo"/>
            <w:rFonts w:ascii="Verdana" w:hAnsi="Verdana"/>
          </w:rPr>
          <w:t>https://formacionvirtual.colombiacompra.gov.co/mod/page/view.php?id=3718</w:t>
        </w:r>
      </w:hyperlink>
    </w:p>
    <w:p w14:paraId="6BC898E6" w14:textId="77777777" w:rsidR="00883063" w:rsidRDefault="00883063" w:rsidP="00883063">
      <w:pPr>
        <w:spacing w:after="120" w:line="276" w:lineRule="auto"/>
        <w:jc w:val="both"/>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4A2375">
          <w:rPr>
            <w:rStyle w:val="Hipervnculo"/>
            <w:rFonts w:ascii="Verdana" w:hAnsi="Verdana"/>
          </w:rPr>
          <w:t>https://www.colombiacompra.gov.co/normativa-y-relatoria/documentos-tipo</w:t>
        </w:r>
      </w:hyperlink>
    </w:p>
    <w:p w14:paraId="099E98C2" w14:textId="77777777" w:rsidR="00883063" w:rsidRDefault="00883063" w:rsidP="00883063">
      <w:pPr>
        <w:spacing w:after="120" w:line="276" w:lineRule="auto"/>
        <w:jc w:val="both"/>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4A2375">
        <w:rPr>
          <w:rFonts w:ascii="Verdana" w:hAnsi="Verdana"/>
        </w:rPr>
        <w:lastRenderedPageBreak/>
        <w:t>implementación de los criterios ambientales y sociales incluidos en los documentos tipo: Consulta la guía aquí:</w:t>
      </w:r>
      <w:r w:rsidRPr="004A2375">
        <w:rPr>
          <w:rFonts w:ascii="Verdana" w:hAnsi="Verdana"/>
        </w:rPr>
        <w:br/>
      </w:r>
      <w:hyperlink r:id="rId16"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456FEDA" w14:textId="77777777" w:rsidR="00883063" w:rsidRPr="004A2375" w:rsidRDefault="00883063" w:rsidP="00883063">
      <w:pPr>
        <w:spacing w:after="12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87BC9C3" w14:textId="77777777" w:rsidR="00883063" w:rsidRPr="00AE2042" w:rsidRDefault="00883063" w:rsidP="008830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nacional gratuita o servicio a la ciudadanía: 01800 0520808</w:t>
      </w:r>
    </w:p>
    <w:p w14:paraId="7FF80C23" w14:textId="77777777" w:rsidR="00883063" w:rsidRPr="00AE2042" w:rsidRDefault="00883063" w:rsidP="008830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en Bogotá (Mesa de servicio): +57 601 7456788</w:t>
      </w:r>
    </w:p>
    <w:p w14:paraId="69F693CC" w14:textId="77777777" w:rsidR="00883063" w:rsidRPr="00AE2042" w:rsidRDefault="00883063" w:rsidP="00883063">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de servicio y atención al ciudadano: +57 601 7956600</w:t>
      </w:r>
    </w:p>
    <w:p w14:paraId="3390E754" w14:textId="77777777" w:rsidR="00883063" w:rsidRPr="00AE2042" w:rsidRDefault="00883063" w:rsidP="00883063">
      <w:pPr>
        <w:pStyle w:val="Prrafodelista"/>
        <w:numPr>
          <w:ilvl w:val="0"/>
          <w:numId w:val="15"/>
        </w:numPr>
        <w:spacing w:line="276" w:lineRule="auto"/>
        <w:contextualSpacing w:val="0"/>
        <w:jc w:val="both"/>
        <w:rPr>
          <w:rFonts w:ascii="Verdana" w:hAnsi="Verdana"/>
          <w:sz w:val="20"/>
          <w:szCs w:val="20"/>
          <w:lang w:val="es-CO"/>
        </w:rPr>
      </w:pPr>
      <w:r w:rsidRPr="00AE2042">
        <w:rPr>
          <w:rFonts w:ascii="Verdana" w:hAnsi="Verdana"/>
          <w:sz w:val="20"/>
          <w:szCs w:val="20"/>
          <w:lang w:val="es-CO"/>
        </w:rPr>
        <w:t xml:space="preserve">Página web: </w:t>
      </w:r>
      <w:hyperlink r:id="rId17" w:history="1">
        <w:r w:rsidRPr="00AE2042">
          <w:rPr>
            <w:rStyle w:val="Hipervnculo"/>
            <w:rFonts w:ascii="Verdana" w:hAnsi="Verdana"/>
            <w:sz w:val="20"/>
            <w:szCs w:val="20"/>
            <w:lang w:val="es-CO"/>
          </w:rPr>
          <w:t>www.colombiacompra.gov.co</w:t>
        </w:r>
      </w:hyperlink>
    </w:p>
    <w:p w14:paraId="590762C5" w14:textId="77777777" w:rsidR="00883063" w:rsidRDefault="00883063" w:rsidP="00883063">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0B6516EE" w14:textId="77777777" w:rsidR="00883063" w:rsidRPr="00AE2042" w:rsidRDefault="00883063" w:rsidP="00883063">
      <w:pPr>
        <w:spacing w:before="240" w:after="0" w:line="276" w:lineRule="auto"/>
        <w:jc w:val="both"/>
        <w:rPr>
          <w:rFonts w:ascii="Verdana" w:hAnsi="Verdana"/>
          <w:sz w:val="20"/>
          <w:szCs w:val="20"/>
        </w:rPr>
      </w:pPr>
      <w:r w:rsidRPr="00AE2042">
        <w:rPr>
          <w:rFonts w:ascii="Verdana" w:hAnsi="Verdana"/>
          <w:sz w:val="20"/>
          <w:szCs w:val="20"/>
        </w:rPr>
        <w:t xml:space="preserve">Twitter: </w:t>
      </w:r>
      <w:r w:rsidRPr="00AE2042">
        <w:rPr>
          <w:rStyle w:val="Hipervnculo"/>
          <w:rFonts w:ascii="Verdana" w:hAnsi="Verdana"/>
          <w:sz w:val="20"/>
          <w:szCs w:val="20"/>
        </w:rPr>
        <w:t>@colombiacompra</w:t>
      </w:r>
      <w:r w:rsidRPr="00AE2042">
        <w:rPr>
          <w:rFonts w:ascii="Verdana" w:hAnsi="Verdana"/>
          <w:sz w:val="20"/>
          <w:szCs w:val="20"/>
        </w:rPr>
        <w:t xml:space="preserve"> </w:t>
      </w:r>
    </w:p>
    <w:p w14:paraId="402D6980" w14:textId="77777777" w:rsidR="00883063" w:rsidRPr="00AE2042" w:rsidRDefault="00883063" w:rsidP="00883063">
      <w:pPr>
        <w:spacing w:after="0" w:line="276" w:lineRule="auto"/>
        <w:jc w:val="both"/>
        <w:rPr>
          <w:rFonts w:ascii="Verdana" w:hAnsi="Verdana"/>
          <w:sz w:val="20"/>
          <w:szCs w:val="20"/>
        </w:rPr>
      </w:pPr>
      <w:r w:rsidRPr="00AE2042">
        <w:rPr>
          <w:rFonts w:ascii="Verdana" w:hAnsi="Verdana"/>
          <w:sz w:val="20"/>
          <w:szCs w:val="20"/>
        </w:rPr>
        <w:t xml:space="preserve">Facebook: </w:t>
      </w:r>
      <w:proofErr w:type="spellStart"/>
      <w:r w:rsidRPr="00AE2042">
        <w:rPr>
          <w:rStyle w:val="Hipervnculo"/>
          <w:rFonts w:ascii="Verdana" w:hAnsi="Verdana"/>
          <w:sz w:val="20"/>
          <w:szCs w:val="20"/>
        </w:rPr>
        <w:t>ColombiaCompraEficiente</w:t>
      </w:r>
      <w:proofErr w:type="spellEnd"/>
    </w:p>
    <w:p w14:paraId="29352074" w14:textId="77777777" w:rsidR="00883063" w:rsidRPr="00AE2042" w:rsidRDefault="00883063" w:rsidP="00883063">
      <w:pPr>
        <w:spacing w:after="0" w:line="276" w:lineRule="auto"/>
        <w:jc w:val="both"/>
        <w:rPr>
          <w:rStyle w:val="Hipervnculo"/>
          <w:rFonts w:ascii="Verdana" w:hAnsi="Verdana"/>
          <w:sz w:val="20"/>
          <w:szCs w:val="20"/>
        </w:rPr>
      </w:pPr>
      <w:r w:rsidRPr="00AE2042">
        <w:rPr>
          <w:rFonts w:ascii="Verdana" w:hAnsi="Verdana"/>
          <w:sz w:val="20"/>
          <w:szCs w:val="20"/>
        </w:rPr>
        <w:t xml:space="preserve">LinkedIn: </w:t>
      </w:r>
      <w:r w:rsidRPr="00AE2042">
        <w:rPr>
          <w:rStyle w:val="Hipervnculo"/>
          <w:rFonts w:ascii="Verdana" w:hAnsi="Verdana"/>
          <w:sz w:val="20"/>
          <w:szCs w:val="20"/>
        </w:rPr>
        <w:t>Agencia Nacional de Contratación Pública - Colombia Compra Eficiente</w:t>
      </w:r>
    </w:p>
    <w:p w14:paraId="762ACA85" w14:textId="77777777" w:rsidR="00883063" w:rsidRPr="00AE2042" w:rsidRDefault="00883063" w:rsidP="00883063">
      <w:pPr>
        <w:spacing w:line="276" w:lineRule="auto"/>
        <w:jc w:val="both"/>
        <w:rPr>
          <w:rFonts w:ascii="Verdana" w:hAnsi="Verdana"/>
          <w:color w:val="0000FF"/>
          <w:sz w:val="20"/>
          <w:szCs w:val="20"/>
          <w:u w:val="single"/>
        </w:rPr>
      </w:pPr>
      <w:r w:rsidRPr="00AE2042">
        <w:rPr>
          <w:rFonts w:ascii="Verdana" w:hAnsi="Verdana"/>
          <w:sz w:val="20"/>
          <w:szCs w:val="20"/>
        </w:rPr>
        <w:t xml:space="preserve">Instagram: </w:t>
      </w:r>
      <w:r w:rsidRPr="00AE2042">
        <w:rPr>
          <w:rStyle w:val="Hipervnculo"/>
          <w:rFonts w:ascii="Verdana" w:hAnsi="Verdana"/>
          <w:sz w:val="20"/>
          <w:szCs w:val="20"/>
        </w:rPr>
        <w:t>@colombiacompraeficiente_cce</w:t>
      </w:r>
    </w:p>
    <w:p w14:paraId="62A83BFD" w14:textId="77777777" w:rsidR="00883063" w:rsidRPr="004A2375" w:rsidRDefault="00883063" w:rsidP="00883063">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B12337F" w14:textId="77777777" w:rsidR="00883063" w:rsidRPr="004A2375" w:rsidRDefault="00883063" w:rsidP="00883063">
      <w:pPr>
        <w:spacing w:after="0" w:line="276" w:lineRule="auto"/>
        <w:jc w:val="both"/>
        <w:rPr>
          <w:rFonts w:ascii="Verdana" w:eastAsia="Calibri" w:hAnsi="Verdana" w:cs="Times New Roman"/>
        </w:rPr>
      </w:pPr>
    </w:p>
    <w:p w14:paraId="344E8021" w14:textId="77777777" w:rsidR="00883063" w:rsidRDefault="00883063" w:rsidP="00883063">
      <w:pPr>
        <w:widowControl w:val="0"/>
        <w:autoSpaceDE w:val="0"/>
        <w:autoSpaceDN w:val="0"/>
        <w:spacing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64D88852" w14:textId="36E462FE" w:rsidR="00B5515F" w:rsidRPr="00B5515F" w:rsidRDefault="00B5515F" w:rsidP="00B5515F">
      <w:pPr>
        <w:spacing w:after="0" w:line="276" w:lineRule="auto"/>
        <w:jc w:val="center"/>
        <w:rPr>
          <w:rFonts w:ascii="Verdana" w:eastAsia="Times New Roman" w:hAnsi="Verdana" w:cs="Arial"/>
          <w:lang w:eastAsia="es-CO"/>
        </w:rPr>
      </w:pPr>
      <w:r w:rsidRPr="00B5515F">
        <w:rPr>
          <w:rFonts w:ascii="Verdana" w:eastAsia="Times New Roman" w:hAnsi="Verdana" w:cs="Arial"/>
          <w:noProof/>
          <w:lang w:eastAsia="es-CO"/>
        </w:rPr>
        <w:drawing>
          <wp:inline distT="0" distB="0" distL="0" distR="0" wp14:anchorId="1B6AA214" wp14:editId="4EE80A6A">
            <wp:extent cx="2990850" cy="1276350"/>
            <wp:effectExtent l="0" t="0" r="0" b="0"/>
            <wp:docPr id="26460834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0850" cy="1276350"/>
                    </a:xfrm>
                    <a:prstGeom prst="rect">
                      <a:avLst/>
                    </a:prstGeom>
                    <a:noFill/>
                    <a:ln>
                      <a:noFill/>
                    </a:ln>
                  </pic:spPr>
                </pic:pic>
              </a:graphicData>
            </a:graphic>
          </wp:inline>
        </w:drawing>
      </w:r>
    </w:p>
    <w:p w14:paraId="42964888" w14:textId="720AC0ED" w:rsidR="00883063" w:rsidRPr="0019190D" w:rsidRDefault="00883063" w:rsidP="00883063">
      <w:pPr>
        <w:spacing w:after="0" w:line="276" w:lineRule="auto"/>
        <w:jc w:val="center"/>
        <w:rPr>
          <w:rFonts w:ascii="Verdana" w:eastAsia="Times New Roman" w:hAnsi="Verdana" w:cs="Arial"/>
          <w:lang w:eastAsia="es-CO"/>
        </w:rPr>
      </w:pPr>
    </w:p>
    <w:p w14:paraId="1A695B61" w14:textId="77777777" w:rsidR="00883063" w:rsidRPr="00A46415" w:rsidRDefault="00883063" w:rsidP="00883063">
      <w:pPr>
        <w:spacing w:after="0" w:line="276" w:lineRule="auto"/>
        <w:jc w:val="center"/>
        <w:rPr>
          <w:rFonts w:ascii="Verdana" w:eastAsia="Times New Roman" w:hAnsi="Verdana" w:cs="Arial"/>
          <w:lang w:eastAsia="es-CO"/>
        </w:rPr>
      </w:pPr>
    </w:p>
    <w:p w14:paraId="56E36723" w14:textId="77777777" w:rsidR="00883063" w:rsidRPr="00C15DD4" w:rsidRDefault="00883063" w:rsidP="00883063">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83063" w:rsidRPr="00C15DD4" w14:paraId="77B28905" w14:textId="77777777" w:rsidTr="001B0102">
        <w:trPr>
          <w:trHeight w:val="315"/>
        </w:trPr>
        <w:tc>
          <w:tcPr>
            <w:tcW w:w="893" w:type="dxa"/>
            <w:vAlign w:val="center"/>
            <w:hideMark/>
          </w:tcPr>
          <w:p w14:paraId="6CF88DD1" w14:textId="77777777" w:rsidR="00883063" w:rsidRPr="00C15DD4" w:rsidRDefault="00883063"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6657E8B" w14:textId="77777777" w:rsidR="00883063" w:rsidRPr="00C15DD4" w:rsidRDefault="00883063" w:rsidP="001B010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4EB45876" w14:textId="77777777" w:rsidR="00883063" w:rsidRPr="00C15DD4" w:rsidRDefault="00883063" w:rsidP="001B0102">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883063" w:rsidRPr="00C15DD4" w14:paraId="61FC0151" w14:textId="77777777" w:rsidTr="001B0102">
        <w:trPr>
          <w:trHeight w:val="330"/>
        </w:trPr>
        <w:tc>
          <w:tcPr>
            <w:tcW w:w="893" w:type="dxa"/>
            <w:vAlign w:val="center"/>
            <w:hideMark/>
          </w:tcPr>
          <w:p w14:paraId="173F8313" w14:textId="77777777" w:rsidR="00883063" w:rsidRPr="00C15DD4" w:rsidRDefault="00883063"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A9425EC" w14:textId="77777777" w:rsidR="00883063" w:rsidRPr="00C15DD4" w:rsidRDefault="00883063" w:rsidP="001B0102">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Juan David Cardenas </w:t>
            </w:r>
          </w:p>
          <w:p w14:paraId="207FCD84" w14:textId="77777777" w:rsidR="00883063" w:rsidRPr="00C15DD4" w:rsidRDefault="00883063" w:rsidP="001B0102">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883063" w:rsidRPr="00C15DD4" w14:paraId="072FD1F9" w14:textId="77777777" w:rsidTr="001B0102">
        <w:trPr>
          <w:trHeight w:val="300"/>
        </w:trPr>
        <w:tc>
          <w:tcPr>
            <w:tcW w:w="893" w:type="dxa"/>
            <w:vAlign w:val="center"/>
            <w:hideMark/>
          </w:tcPr>
          <w:p w14:paraId="1BCB5B64" w14:textId="77777777" w:rsidR="00883063" w:rsidRPr="00C15DD4" w:rsidRDefault="00883063" w:rsidP="001B0102">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37DD26F" w14:textId="77777777" w:rsidR="00883063" w:rsidRPr="00C15DD4" w:rsidRDefault="00883063" w:rsidP="001B010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6CFED49F" w14:textId="77777777" w:rsidR="00883063" w:rsidRPr="00C15DD4" w:rsidRDefault="00883063" w:rsidP="001B0102">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r w:rsidR="00883063" w:rsidRPr="00C15DD4" w14:paraId="55D7C518" w14:textId="77777777" w:rsidTr="001B0102">
        <w:trPr>
          <w:trHeight w:val="300"/>
        </w:trPr>
        <w:tc>
          <w:tcPr>
            <w:tcW w:w="893" w:type="dxa"/>
            <w:vAlign w:val="center"/>
          </w:tcPr>
          <w:p w14:paraId="5096FAD3" w14:textId="77777777" w:rsidR="00883063" w:rsidRPr="00C15DD4" w:rsidRDefault="00883063" w:rsidP="001B0102">
            <w:pPr>
              <w:spacing w:line="276" w:lineRule="auto"/>
              <w:rPr>
                <w:rFonts w:ascii="Verdana" w:eastAsia="Times New Roman" w:hAnsi="Verdana" w:cs="Arial"/>
                <w:color w:val="000000"/>
                <w:sz w:val="16"/>
                <w:szCs w:val="16"/>
                <w:lang w:eastAsia="es-ES"/>
              </w:rPr>
            </w:pPr>
          </w:p>
        </w:tc>
        <w:tc>
          <w:tcPr>
            <w:tcW w:w="5628" w:type="dxa"/>
            <w:tcBorders>
              <w:top w:val="dotted" w:sz="4" w:space="0" w:color="7F7F7F"/>
              <w:left w:val="nil"/>
              <w:bottom w:val="dotted" w:sz="4" w:space="0" w:color="7F7F7F"/>
              <w:right w:val="nil"/>
            </w:tcBorders>
            <w:vAlign w:val="center"/>
          </w:tcPr>
          <w:p w14:paraId="4B21416D" w14:textId="77777777" w:rsidR="00883063" w:rsidRPr="00C15DD4" w:rsidRDefault="00883063" w:rsidP="001B0102">
            <w:pPr>
              <w:spacing w:line="276" w:lineRule="auto"/>
              <w:rPr>
                <w:rFonts w:ascii="Verdana" w:eastAsia="Times New Roman" w:hAnsi="Verdana" w:cs="Arial"/>
                <w:color w:val="000000"/>
                <w:sz w:val="16"/>
                <w:szCs w:val="16"/>
              </w:rPr>
            </w:pPr>
          </w:p>
        </w:tc>
      </w:tr>
    </w:tbl>
    <w:p w14:paraId="7C9026E2" w14:textId="3596B782" w:rsidR="002A0DD0" w:rsidRPr="00B5515F" w:rsidRDefault="002A0DD0" w:rsidP="00B5515F">
      <w:pPr>
        <w:spacing w:after="0" w:line="276" w:lineRule="auto"/>
        <w:jc w:val="both"/>
        <w:textAlignment w:val="baseline"/>
        <w:rPr>
          <w:rFonts w:ascii="Verdana" w:eastAsia="Verdana" w:hAnsi="Verdana" w:cs="Verdana"/>
          <w:lang w:eastAsia="es-CO"/>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DC02EA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58BF97D0" w:rsidR="00127233" w:rsidRPr="0015699B" w:rsidRDefault="00127233" w:rsidP="00883063">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11E8A" w14:textId="77777777" w:rsidR="00DF1B14" w:rsidRDefault="00DF1B14" w:rsidP="004A1847">
      <w:pPr>
        <w:spacing w:after="0" w:line="240" w:lineRule="auto"/>
      </w:pPr>
      <w:r>
        <w:separator/>
      </w:r>
    </w:p>
  </w:endnote>
  <w:endnote w:type="continuationSeparator" w:id="0">
    <w:p w14:paraId="2D5CB6FE" w14:textId="77777777" w:rsidR="00DF1B14" w:rsidRDefault="00DF1B1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9B711" w14:textId="77777777" w:rsidR="00DF1B14" w:rsidRDefault="00DF1B14" w:rsidP="004A1847">
      <w:pPr>
        <w:spacing w:after="0" w:line="240" w:lineRule="auto"/>
      </w:pPr>
      <w:r>
        <w:separator/>
      </w:r>
    </w:p>
  </w:footnote>
  <w:footnote w:type="continuationSeparator" w:id="0">
    <w:p w14:paraId="18E5E6B9" w14:textId="77777777" w:rsidR="00DF1B14" w:rsidRDefault="00DF1B14" w:rsidP="004A1847">
      <w:pPr>
        <w:spacing w:after="0" w:line="240" w:lineRule="auto"/>
      </w:pPr>
      <w:r>
        <w:continuationSeparator/>
      </w:r>
    </w:p>
  </w:footnote>
  <w:footnote w:id="1">
    <w:p w14:paraId="3958AF2E" w14:textId="77777777" w:rsidR="00630C2C" w:rsidRPr="00C270F5" w:rsidRDefault="00630C2C" w:rsidP="00630C2C">
      <w:pPr>
        <w:pStyle w:val="Textonotapie"/>
        <w:ind w:firstLine="709"/>
        <w:jc w:val="both"/>
        <w:rPr>
          <w:rFonts w:ascii="Verdana" w:hAnsi="Verdana" w:cs="Arial"/>
          <w:sz w:val="14"/>
          <w:szCs w:val="14"/>
        </w:rPr>
      </w:pPr>
      <w:r w:rsidRPr="00C270F5">
        <w:rPr>
          <w:rStyle w:val="Refdenotaalpie"/>
          <w:rFonts w:ascii="Verdana" w:hAnsi="Verdana" w:cs="Arial"/>
          <w:sz w:val="14"/>
          <w:szCs w:val="14"/>
        </w:rPr>
        <w:footnoteRef/>
      </w:r>
      <w:r w:rsidRPr="00C270F5">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A455A3F" w14:textId="77777777" w:rsidR="00630C2C" w:rsidRPr="00C270F5" w:rsidRDefault="00630C2C" w:rsidP="00630C2C">
      <w:pPr>
        <w:pStyle w:val="Textonotapie"/>
        <w:ind w:firstLine="709"/>
        <w:jc w:val="both"/>
        <w:rPr>
          <w:rFonts w:ascii="Verdana" w:hAnsi="Verdana" w:cs="Arial"/>
          <w:sz w:val="14"/>
          <w:szCs w:val="14"/>
        </w:rPr>
      </w:pPr>
      <w:r w:rsidRPr="00C270F5">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1A3D0E4" w14:textId="77777777" w:rsidR="00630C2C" w:rsidRPr="00C270F5" w:rsidRDefault="00630C2C" w:rsidP="00630C2C">
      <w:pPr>
        <w:pStyle w:val="Textonotapie"/>
        <w:ind w:firstLine="709"/>
        <w:jc w:val="both"/>
        <w:rPr>
          <w:rFonts w:ascii="Verdana" w:hAnsi="Verdana" w:cs="Arial"/>
          <w:sz w:val="14"/>
          <w:szCs w:val="14"/>
        </w:rPr>
      </w:pPr>
      <w:r w:rsidRPr="00C270F5">
        <w:rPr>
          <w:rStyle w:val="Refdenotaalpie"/>
          <w:rFonts w:ascii="Verdana" w:hAnsi="Verdana" w:cs="Arial"/>
          <w:sz w:val="14"/>
          <w:szCs w:val="14"/>
        </w:rPr>
        <w:footnoteRef/>
      </w:r>
      <w:r w:rsidRPr="00C270F5">
        <w:rPr>
          <w:rFonts w:ascii="Verdana" w:hAnsi="Verdana" w:cs="Arial"/>
          <w:sz w:val="14"/>
          <w:szCs w:val="14"/>
        </w:rPr>
        <w:t xml:space="preserve"> Gaceta del Congreso de la República No. 71 del 2005.</w:t>
      </w:r>
    </w:p>
  </w:footnote>
  <w:footnote w:id="3">
    <w:p w14:paraId="3491A8E6" w14:textId="77777777" w:rsidR="00630C2C" w:rsidRPr="002968AB" w:rsidRDefault="00630C2C" w:rsidP="00630C2C">
      <w:pPr>
        <w:pStyle w:val="Textonotapie"/>
        <w:ind w:firstLine="709"/>
        <w:jc w:val="both"/>
        <w:rPr>
          <w:rFonts w:ascii="Verdana" w:hAnsi="Verdana" w:cs="Arial"/>
          <w:sz w:val="16"/>
          <w:szCs w:val="16"/>
        </w:rPr>
      </w:pPr>
      <w:r w:rsidRPr="00C270F5">
        <w:rPr>
          <w:rStyle w:val="Refdenotaalpie"/>
          <w:rFonts w:ascii="Verdana" w:hAnsi="Verdana" w:cs="Arial"/>
          <w:sz w:val="14"/>
          <w:szCs w:val="14"/>
        </w:rPr>
        <w:footnoteRef/>
      </w:r>
      <w:r w:rsidRPr="00C270F5">
        <w:rPr>
          <w:rFonts w:ascii="Verdana" w:hAnsi="Verdana" w:cs="Arial"/>
          <w:sz w:val="14"/>
          <w:szCs w:val="14"/>
        </w:rPr>
        <w:t xml:space="preserve"> Corte Constitucional, Sentencia C- 1153 de 2005, M.P. Marco Gerardo Monroy Cabra.</w:t>
      </w:r>
    </w:p>
  </w:footnote>
  <w:footnote w:id="4">
    <w:p w14:paraId="530952F3" w14:textId="77777777" w:rsidR="00630C2C" w:rsidRPr="00C270F5" w:rsidRDefault="00630C2C" w:rsidP="00630C2C">
      <w:pPr>
        <w:pStyle w:val="Textonotapie"/>
        <w:ind w:firstLine="709"/>
        <w:jc w:val="both"/>
        <w:rPr>
          <w:rFonts w:ascii="Verdana" w:hAnsi="Verdana" w:cs="Arial"/>
          <w:sz w:val="14"/>
          <w:szCs w:val="14"/>
        </w:rPr>
      </w:pPr>
      <w:r w:rsidRPr="00C270F5">
        <w:rPr>
          <w:rStyle w:val="Refdenotaalpie"/>
          <w:rFonts w:ascii="Verdana" w:hAnsi="Verdana" w:cs="Arial"/>
          <w:sz w:val="14"/>
          <w:szCs w:val="14"/>
        </w:rPr>
        <w:footnoteRef/>
      </w:r>
      <w:r w:rsidRPr="00C270F5">
        <w:rPr>
          <w:rFonts w:ascii="Verdana" w:hAnsi="Verdana" w:cs="Arial"/>
          <w:sz w:val="14"/>
          <w:szCs w:val="14"/>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7C0147D" w14:textId="77777777" w:rsidR="00630C2C" w:rsidRPr="00C270F5" w:rsidRDefault="00630C2C" w:rsidP="00630C2C">
      <w:pPr>
        <w:pStyle w:val="Textonotapie"/>
        <w:ind w:firstLine="709"/>
        <w:jc w:val="both"/>
        <w:rPr>
          <w:rFonts w:ascii="Verdana" w:hAnsi="Verdana" w:cs="Arial"/>
          <w:sz w:val="14"/>
          <w:szCs w:val="14"/>
          <w:lang w:val="es-CO"/>
        </w:rPr>
      </w:pPr>
      <w:r w:rsidRPr="00C270F5">
        <w:rPr>
          <w:rStyle w:val="Refdenotaalpie"/>
          <w:rFonts w:ascii="Verdana" w:hAnsi="Verdana" w:cs="Arial"/>
          <w:sz w:val="14"/>
          <w:szCs w:val="14"/>
        </w:rPr>
        <w:footnoteRef/>
      </w:r>
      <w:r w:rsidRPr="00C270F5">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EDEBB95" w14:textId="77777777" w:rsidR="00630C2C" w:rsidRPr="002968AB" w:rsidRDefault="00630C2C" w:rsidP="00630C2C">
      <w:pPr>
        <w:pStyle w:val="Textonotapie"/>
        <w:ind w:firstLine="709"/>
        <w:jc w:val="both"/>
        <w:rPr>
          <w:rFonts w:ascii="Verdana" w:hAnsi="Verdana" w:cs="Arial"/>
          <w:sz w:val="16"/>
          <w:szCs w:val="16"/>
        </w:rPr>
      </w:pPr>
      <w:r w:rsidRPr="00C270F5">
        <w:rPr>
          <w:rStyle w:val="Refdenotaalpie"/>
          <w:rFonts w:ascii="Verdana" w:hAnsi="Verdana" w:cs="Arial"/>
          <w:sz w:val="14"/>
          <w:szCs w:val="14"/>
        </w:rPr>
        <w:footnoteRef/>
      </w:r>
      <w:r w:rsidRPr="00C270F5">
        <w:rPr>
          <w:rFonts w:ascii="Verdana" w:hAnsi="Verdana" w:cs="Arial"/>
          <w:sz w:val="14"/>
          <w:szCs w:val="14"/>
        </w:rPr>
        <w:t xml:space="preserve"> Consejo de Estado, Sala de Consulta y Servicio Civil de fecha 24 de julio de 2013, radicado 2166, Consejero Ponente: Álvaro Namén Vargas.</w:t>
      </w:r>
      <w:r w:rsidRPr="002968AB">
        <w:rPr>
          <w:rFonts w:ascii="Verdana" w:hAnsi="Verdana" w:cs="Arial"/>
          <w:sz w:val="16"/>
          <w:szCs w:val="16"/>
        </w:rPr>
        <w:t xml:space="preserve">  </w:t>
      </w:r>
    </w:p>
  </w:footnote>
  <w:footnote w:id="7">
    <w:p w14:paraId="11CEF123" w14:textId="77777777" w:rsidR="00630C2C" w:rsidRPr="00C270F5" w:rsidRDefault="00630C2C" w:rsidP="00630C2C">
      <w:pPr>
        <w:spacing w:after="0" w:line="240" w:lineRule="auto"/>
        <w:ind w:firstLine="709"/>
        <w:jc w:val="both"/>
        <w:rPr>
          <w:rFonts w:ascii="Verdana" w:eastAsia="Times New Roman" w:hAnsi="Verdana" w:cs="Arial"/>
          <w:sz w:val="14"/>
          <w:szCs w:val="14"/>
        </w:rPr>
      </w:pPr>
      <w:r w:rsidRPr="00C270F5">
        <w:rPr>
          <w:rStyle w:val="Refdenotaalpie"/>
          <w:rFonts w:ascii="Verdana" w:hAnsi="Verdana" w:cs="Arial"/>
          <w:sz w:val="14"/>
          <w:szCs w:val="14"/>
        </w:rPr>
        <w:footnoteRef/>
      </w:r>
      <w:r w:rsidRPr="00C270F5">
        <w:rPr>
          <w:rFonts w:ascii="Verdana" w:hAnsi="Verdana" w:cs="Arial"/>
          <w:sz w:val="14"/>
          <w:szCs w:val="14"/>
        </w:rPr>
        <w:t xml:space="preserve"> </w:t>
      </w:r>
      <w:bookmarkStart w:id="7" w:name="33"/>
      <w:r w:rsidRPr="00C270F5">
        <w:rPr>
          <w:rFonts w:ascii="Verdana" w:eastAsia="Calibri" w:hAnsi="Verdana" w:cs="Arial"/>
          <w:color w:val="000000"/>
          <w:sz w:val="14"/>
          <w:szCs w:val="14"/>
        </w:rPr>
        <w:t>“</w:t>
      </w:r>
      <w:r w:rsidRPr="00C270F5">
        <w:rPr>
          <w:rFonts w:ascii="Verdana" w:eastAsia="Times New Roman" w:hAnsi="Verdana" w:cs="Arial"/>
          <w:sz w:val="14"/>
          <w:szCs w:val="14"/>
        </w:rPr>
        <w:t>Artículo 33. Restricciones a la contratación pública.</w:t>
      </w:r>
      <w:bookmarkEnd w:id="7"/>
      <w:r w:rsidRPr="00C270F5">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4B05936C" w14:textId="77777777" w:rsidR="00630C2C" w:rsidRPr="00C270F5" w:rsidRDefault="00630C2C" w:rsidP="00630C2C">
      <w:pPr>
        <w:spacing w:after="0" w:line="240" w:lineRule="auto"/>
        <w:ind w:firstLine="709"/>
        <w:jc w:val="both"/>
        <w:rPr>
          <w:rFonts w:ascii="Verdana" w:eastAsia="Times New Roman" w:hAnsi="Verdana" w:cs="Arial"/>
          <w:sz w:val="14"/>
          <w:szCs w:val="14"/>
        </w:rPr>
      </w:pPr>
      <w:r w:rsidRPr="00C270F5">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270F5">
        <w:rPr>
          <w:rFonts w:ascii="Verdana" w:eastAsia="Calibri" w:hAnsi="Verdana" w:cs="Arial"/>
          <w:color w:val="000000"/>
          <w:sz w:val="14"/>
          <w:szCs w:val="14"/>
        </w:rPr>
        <w:t>”</w:t>
      </w:r>
      <w:r w:rsidRPr="00C270F5">
        <w:rPr>
          <w:rFonts w:ascii="Verdana" w:eastAsia="Times New Roman" w:hAnsi="Verdana" w:cs="Arial"/>
          <w:sz w:val="14"/>
          <w:szCs w:val="14"/>
        </w:rPr>
        <w:t>.</w:t>
      </w:r>
    </w:p>
  </w:footnote>
  <w:footnote w:id="8">
    <w:p w14:paraId="2FF5698E" w14:textId="77777777" w:rsidR="00630C2C" w:rsidRPr="00C270F5" w:rsidRDefault="00630C2C" w:rsidP="00630C2C">
      <w:pPr>
        <w:pStyle w:val="NormalWeb"/>
        <w:spacing w:before="0" w:beforeAutospacing="0" w:after="0" w:afterAutospacing="0"/>
        <w:ind w:firstLine="709"/>
        <w:jc w:val="both"/>
        <w:rPr>
          <w:rFonts w:ascii="Verdana" w:hAnsi="Verdana" w:cs="Arial"/>
          <w:sz w:val="14"/>
          <w:szCs w:val="14"/>
          <w:lang w:val="es-MX"/>
        </w:rPr>
      </w:pPr>
      <w:r w:rsidRPr="00C270F5">
        <w:rPr>
          <w:rStyle w:val="Refdenotaalpie"/>
          <w:rFonts w:ascii="Verdana" w:hAnsi="Verdana" w:cs="Arial"/>
          <w:sz w:val="14"/>
          <w:szCs w:val="14"/>
        </w:rPr>
        <w:footnoteRef/>
      </w:r>
      <w:r w:rsidRPr="00C270F5">
        <w:rPr>
          <w:rFonts w:ascii="Verdana" w:hAnsi="Verdana" w:cs="Arial"/>
          <w:sz w:val="14"/>
          <w:szCs w:val="14"/>
        </w:rPr>
        <w:t xml:space="preserve"> </w:t>
      </w:r>
      <w:bookmarkStart w:id="8" w:name="38"/>
      <w:r w:rsidRPr="00C270F5">
        <w:rPr>
          <w:rFonts w:ascii="Verdana" w:eastAsia="Calibri" w:hAnsi="Verdana" w:cs="Arial"/>
          <w:color w:val="000000"/>
          <w:sz w:val="14"/>
          <w:szCs w:val="14"/>
        </w:rPr>
        <w:t>“</w:t>
      </w:r>
      <w:r w:rsidRPr="00C270F5">
        <w:rPr>
          <w:rFonts w:ascii="Verdana" w:hAnsi="Verdana" w:cs="Arial"/>
          <w:sz w:val="14"/>
          <w:szCs w:val="14"/>
          <w:lang w:val="es-MX"/>
        </w:rPr>
        <w:t>Artículo 38. Prohibiciones para los servidores públicos. A los empleados del Estado les está prohibido:</w:t>
      </w:r>
      <w:bookmarkEnd w:id="8"/>
    </w:p>
    <w:p w14:paraId="74DF45D3" w14:textId="77777777" w:rsidR="00630C2C" w:rsidRPr="00C270F5" w:rsidRDefault="00630C2C" w:rsidP="00630C2C">
      <w:pPr>
        <w:pStyle w:val="NormalWeb"/>
        <w:spacing w:before="0" w:beforeAutospacing="0" w:after="0" w:afterAutospacing="0"/>
        <w:ind w:firstLine="709"/>
        <w:jc w:val="both"/>
        <w:rPr>
          <w:rFonts w:ascii="Verdana" w:hAnsi="Verdana" w:cs="Arial"/>
          <w:sz w:val="14"/>
          <w:szCs w:val="14"/>
          <w:lang w:val="es-MX"/>
        </w:rPr>
      </w:pPr>
      <w:r w:rsidRPr="00C270F5">
        <w:rPr>
          <w:rFonts w:ascii="Verdana" w:hAnsi="Verdana" w:cs="Arial"/>
          <w:sz w:val="14"/>
          <w:szCs w:val="14"/>
          <w:lang w:val="es-MX"/>
        </w:rPr>
        <w:t>[…]</w:t>
      </w:r>
    </w:p>
    <w:p w14:paraId="3486964E" w14:textId="77777777" w:rsidR="00630C2C" w:rsidRPr="002968AB" w:rsidRDefault="00630C2C" w:rsidP="00630C2C">
      <w:pPr>
        <w:pStyle w:val="NormalWeb"/>
        <w:spacing w:before="0" w:beforeAutospacing="0" w:after="0" w:afterAutospacing="0"/>
        <w:ind w:firstLine="709"/>
        <w:jc w:val="both"/>
        <w:rPr>
          <w:rFonts w:ascii="Verdana" w:hAnsi="Verdana" w:cs="Arial"/>
          <w:sz w:val="16"/>
          <w:szCs w:val="16"/>
          <w:lang w:val="es-MX"/>
        </w:rPr>
      </w:pPr>
      <w:r w:rsidRPr="00C270F5">
        <w:rPr>
          <w:rStyle w:val="baj"/>
          <w:rFonts w:ascii="Verdana" w:eastAsiaTheme="minorEastAsia" w:hAnsi="Verdana" w:cs="Arial"/>
          <w:sz w:val="14"/>
          <w:szCs w:val="14"/>
          <w:lang w:val="es-MX"/>
        </w:rPr>
        <w:t>Parágrafo.</w:t>
      </w:r>
      <w:r w:rsidRPr="00C270F5">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270F5">
        <w:rPr>
          <w:rFonts w:ascii="Verdana" w:eastAsia="Calibri" w:hAnsi="Verdana" w:cs="Arial"/>
          <w:color w:val="000000"/>
          <w:sz w:val="14"/>
          <w:szCs w:val="14"/>
        </w:rPr>
        <w:t>”</w:t>
      </w:r>
      <w:r w:rsidRPr="00C270F5">
        <w:rPr>
          <w:rFonts w:ascii="Verdana" w:hAnsi="Verdana" w:cs="Arial"/>
          <w:sz w:val="14"/>
          <w:szCs w:val="14"/>
          <w:lang w:val="es-MX"/>
        </w:rPr>
        <w:t>.</w:t>
      </w:r>
    </w:p>
  </w:footnote>
  <w:footnote w:id="9">
    <w:p w14:paraId="2A41027B" w14:textId="77777777" w:rsidR="00630C2C" w:rsidRPr="0007332C" w:rsidRDefault="00630C2C" w:rsidP="00630C2C">
      <w:pPr>
        <w:spacing w:after="0" w:line="240" w:lineRule="auto"/>
        <w:ind w:left="100" w:right="244" w:firstLine="709"/>
        <w:jc w:val="both"/>
        <w:rPr>
          <w:rFonts w:ascii="Verdana" w:hAnsi="Verdana" w:cs="Arial"/>
          <w:sz w:val="14"/>
          <w:szCs w:val="14"/>
          <w:lang w:val="es-ES"/>
        </w:rPr>
      </w:pPr>
      <w:r w:rsidRPr="0007332C">
        <w:rPr>
          <w:rStyle w:val="Refdenotaalpie"/>
          <w:rFonts w:ascii="Verdana" w:hAnsi="Verdana" w:cs="Arial"/>
          <w:sz w:val="14"/>
          <w:szCs w:val="14"/>
        </w:rPr>
        <w:footnoteRef/>
      </w:r>
      <w:r w:rsidRPr="0007332C">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1B0901DA" w14:textId="77777777" w:rsidR="00630C2C" w:rsidRPr="00572D37" w:rsidRDefault="00630C2C" w:rsidP="00630C2C">
      <w:pPr>
        <w:pStyle w:val="Textonotapie"/>
        <w:ind w:right="51" w:firstLine="709"/>
        <w:jc w:val="both"/>
        <w:rPr>
          <w:rFonts w:ascii="Verdana" w:hAnsi="Verdana" w:cs="Arial"/>
          <w:sz w:val="14"/>
          <w:szCs w:val="14"/>
        </w:rPr>
      </w:pPr>
      <w:r w:rsidRPr="00572D37">
        <w:rPr>
          <w:rStyle w:val="Refdenotaalpie"/>
          <w:rFonts w:ascii="Verdana" w:hAnsi="Verdana" w:cs="Arial"/>
          <w:sz w:val="14"/>
          <w:szCs w:val="14"/>
        </w:rPr>
        <w:footnoteRef/>
      </w:r>
      <w:r w:rsidRPr="00572D37">
        <w:rPr>
          <w:rFonts w:ascii="Verdana" w:hAnsi="Verdana" w:cs="Arial"/>
          <w:sz w:val="14"/>
          <w:szCs w:val="14"/>
        </w:rPr>
        <w:t xml:space="preserve"> “</w:t>
      </w:r>
      <w:r w:rsidRPr="00572D37">
        <w:rPr>
          <w:rFonts w:ascii="Verdana" w:hAnsi="Verdana" w:cs="Arial"/>
          <w:sz w:val="14"/>
          <w:szCs w:val="14"/>
          <w:lang w:val="es-ES"/>
        </w:rPr>
        <w:t xml:space="preserve">[25] </w:t>
      </w:r>
      <w:r w:rsidRPr="00572D37">
        <w:rPr>
          <w:rFonts w:ascii="Verdana" w:hAnsi="Verdana" w:cs="Arial"/>
          <w:sz w:val="14"/>
          <w:szCs w:val="14"/>
        </w:rPr>
        <w:t>Cfr. Consejo de Estado. Sección Tercera. Sentencia de 3 de diciembre de 2007. Radicados: 24.715, 25.206, 25.409, 24.524, 27.834, 25.410, 26.105, 28.244, 31.447 -acumulados-”.</w:t>
      </w:r>
    </w:p>
  </w:footnote>
  <w:footnote w:id="11">
    <w:p w14:paraId="4398C184" w14:textId="77777777" w:rsidR="00630C2C" w:rsidRPr="00572D37" w:rsidRDefault="00630C2C" w:rsidP="00630C2C">
      <w:pPr>
        <w:pStyle w:val="Textonotapie"/>
        <w:ind w:right="51" w:firstLine="709"/>
        <w:jc w:val="both"/>
        <w:rPr>
          <w:rFonts w:ascii="Verdana" w:hAnsi="Verdana" w:cs="Arial"/>
          <w:sz w:val="14"/>
          <w:szCs w:val="14"/>
        </w:rPr>
      </w:pPr>
      <w:r w:rsidRPr="00572D37">
        <w:rPr>
          <w:rStyle w:val="Refdenotaalpie"/>
          <w:rFonts w:ascii="Verdana" w:hAnsi="Verdana" w:cs="Arial"/>
          <w:sz w:val="14"/>
          <w:szCs w:val="14"/>
        </w:rPr>
        <w:footnoteRef/>
      </w:r>
      <w:r w:rsidRPr="00572D37">
        <w:rPr>
          <w:rFonts w:ascii="Verdana" w:hAnsi="Verdana" w:cs="Arial"/>
          <w:sz w:val="14"/>
          <w:szCs w:val="14"/>
        </w:rPr>
        <w:t xml:space="preserve"> “</w:t>
      </w:r>
      <w:r w:rsidRPr="00572D37">
        <w:rPr>
          <w:rFonts w:ascii="Verdana" w:hAnsi="Verdana" w:cs="Arial"/>
          <w:sz w:val="14"/>
          <w:szCs w:val="14"/>
          <w:lang w:val="es-ES"/>
        </w:rPr>
        <w:t xml:space="preserve">[26] </w:t>
      </w:r>
      <w:r w:rsidRPr="00572D37">
        <w:rPr>
          <w:rFonts w:ascii="Verdana" w:hAnsi="Verdana" w:cs="Arial"/>
          <w:sz w:val="14"/>
          <w:szCs w:val="14"/>
        </w:rPr>
        <w:t>Al respecto ver el concepto 1712 de 2 de febrero de 2006. Consejo de Estado Sala de Consulta y Servicio Civil”.</w:t>
      </w:r>
    </w:p>
  </w:footnote>
  <w:footnote w:id="12">
    <w:p w14:paraId="5644BD11" w14:textId="77777777" w:rsidR="00630C2C" w:rsidRPr="00572D37" w:rsidRDefault="00630C2C" w:rsidP="00630C2C">
      <w:pPr>
        <w:pStyle w:val="Textonotapie"/>
        <w:ind w:firstLine="709"/>
        <w:jc w:val="both"/>
        <w:rPr>
          <w:rFonts w:ascii="Verdana" w:hAnsi="Verdana" w:cs="Arial"/>
          <w:sz w:val="14"/>
          <w:szCs w:val="14"/>
        </w:rPr>
      </w:pPr>
      <w:r w:rsidRPr="00572D37">
        <w:rPr>
          <w:rStyle w:val="Refdenotaalpie"/>
          <w:rFonts w:ascii="Verdana" w:hAnsi="Verdana" w:cs="Arial"/>
          <w:sz w:val="14"/>
          <w:szCs w:val="14"/>
        </w:rPr>
        <w:footnoteRef/>
      </w:r>
      <w:r w:rsidRPr="00572D37">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26162665" w14:textId="77777777" w:rsidR="00630C2C" w:rsidRPr="00572D37" w:rsidRDefault="00630C2C" w:rsidP="00630C2C">
      <w:pPr>
        <w:pStyle w:val="Textonotapie"/>
        <w:ind w:firstLine="709"/>
        <w:jc w:val="both"/>
        <w:rPr>
          <w:rFonts w:ascii="Verdana" w:hAnsi="Verdana" w:cs="Arial"/>
          <w:sz w:val="14"/>
          <w:szCs w:val="14"/>
          <w:lang w:val="es-ES"/>
        </w:rPr>
      </w:pPr>
      <w:r w:rsidRPr="00572D37">
        <w:rPr>
          <w:rStyle w:val="Refdenotaalpie"/>
          <w:rFonts w:ascii="Verdana" w:hAnsi="Verdana" w:cs="Arial"/>
          <w:sz w:val="14"/>
          <w:szCs w:val="14"/>
        </w:rPr>
        <w:footnoteRef/>
      </w:r>
      <w:r w:rsidRPr="00572D37">
        <w:rPr>
          <w:rFonts w:ascii="Verdana" w:hAnsi="Verdana" w:cs="Arial"/>
          <w:sz w:val="14"/>
          <w:szCs w:val="14"/>
        </w:rPr>
        <w:t xml:space="preserve"> </w:t>
      </w:r>
      <w:r w:rsidRPr="00572D37">
        <w:rPr>
          <w:rFonts w:ascii="Verdana" w:hAnsi="Verdana" w:cs="Arial"/>
          <w:sz w:val="14"/>
          <w:szCs w:val="14"/>
          <w:lang w:val="es-ES"/>
        </w:rPr>
        <w:t xml:space="preserve">Artículo 2. </w:t>
      </w:r>
    </w:p>
  </w:footnote>
  <w:footnote w:id="14">
    <w:p w14:paraId="3ACBB5C7" w14:textId="77777777" w:rsidR="00630C2C" w:rsidRPr="002968AB" w:rsidRDefault="00630C2C" w:rsidP="00630C2C">
      <w:pPr>
        <w:pStyle w:val="Textonotapie"/>
        <w:ind w:firstLine="709"/>
        <w:jc w:val="both"/>
        <w:rPr>
          <w:rFonts w:ascii="Verdana" w:hAnsi="Verdana" w:cs="Arial"/>
          <w:sz w:val="16"/>
          <w:szCs w:val="16"/>
          <w:lang w:val="es-ES"/>
        </w:rPr>
      </w:pPr>
      <w:r w:rsidRPr="00572D37">
        <w:rPr>
          <w:rStyle w:val="Refdenotaalpie"/>
          <w:rFonts w:ascii="Verdana" w:hAnsi="Verdana" w:cs="Arial"/>
          <w:sz w:val="14"/>
          <w:szCs w:val="14"/>
        </w:rPr>
        <w:footnoteRef/>
      </w:r>
      <w:r w:rsidRPr="00572D37">
        <w:rPr>
          <w:rFonts w:ascii="Verdana" w:hAnsi="Verdana" w:cs="Arial"/>
          <w:sz w:val="14"/>
          <w:szCs w:val="14"/>
        </w:rPr>
        <w:t xml:space="preserve"> </w:t>
      </w:r>
      <w:r w:rsidRPr="00572D37">
        <w:rPr>
          <w:rFonts w:ascii="Verdana" w:hAnsi="Verdana" w:cs="Arial"/>
          <w:i/>
          <w:sz w:val="14"/>
          <w:szCs w:val="14"/>
          <w:lang w:val="es-ES"/>
        </w:rPr>
        <w:t>Ibidem</w:t>
      </w:r>
      <w:r w:rsidRPr="00572D37">
        <w:rPr>
          <w:rFonts w:ascii="Verdana" w:hAnsi="Verdana" w:cs="Arial"/>
          <w:sz w:val="14"/>
          <w:szCs w:val="14"/>
          <w:lang w:val="es-ES"/>
        </w:rPr>
        <w:t>.</w:t>
      </w:r>
    </w:p>
  </w:footnote>
  <w:footnote w:id="15">
    <w:p w14:paraId="340958E7" w14:textId="77777777" w:rsidR="00630C2C" w:rsidRPr="002968AB" w:rsidRDefault="00630C2C" w:rsidP="00630C2C">
      <w:pPr>
        <w:pStyle w:val="Textonotapie"/>
        <w:ind w:firstLine="709"/>
        <w:jc w:val="both"/>
        <w:rPr>
          <w:rFonts w:ascii="Verdana" w:hAnsi="Verdana" w:cs="Arial"/>
          <w:sz w:val="16"/>
          <w:szCs w:val="16"/>
          <w:lang w:val="es-ES"/>
        </w:rPr>
      </w:pPr>
      <w:r w:rsidRPr="002968AB">
        <w:rPr>
          <w:rStyle w:val="Refdenotaalpie"/>
          <w:rFonts w:ascii="Verdana" w:hAnsi="Verdana" w:cs="Arial"/>
          <w:sz w:val="16"/>
          <w:szCs w:val="16"/>
        </w:rPr>
        <w:footnoteRef/>
      </w:r>
      <w:r w:rsidRPr="002968AB">
        <w:rPr>
          <w:rStyle w:val="Refdenotaalpie"/>
          <w:rFonts w:ascii="Verdana" w:hAnsi="Verdana" w:cs="Arial"/>
          <w:sz w:val="16"/>
          <w:szCs w:val="16"/>
        </w:rPr>
        <w:t xml:space="preserve"> </w:t>
      </w:r>
      <w:r w:rsidRPr="00012199">
        <w:rPr>
          <w:rFonts w:ascii="Verdana" w:hAnsi="Verdana" w:cs="Arial"/>
          <w:sz w:val="14"/>
          <w:szCs w:val="14"/>
          <w:lang w:val="es-ES"/>
        </w:rPr>
        <w:t>“[…] A este respecto, cabe recordar que el artículo 860 del Código de Comercio regula la licitación en el derecho privado”.</w:t>
      </w:r>
      <w:r w:rsidRPr="002968AB">
        <w:rPr>
          <w:rFonts w:ascii="Verdana" w:hAnsi="Verdana" w:cs="Arial"/>
          <w:sz w:val="16"/>
          <w:szCs w:val="16"/>
          <w:lang w:val="es-ES"/>
        </w:rPr>
        <w:t xml:space="preserve"> </w:t>
      </w:r>
    </w:p>
  </w:footnote>
  <w:footnote w:id="16">
    <w:p w14:paraId="65A465F0" w14:textId="77777777" w:rsidR="00630C2C" w:rsidRPr="00655F16" w:rsidRDefault="00630C2C" w:rsidP="00630C2C">
      <w:pPr>
        <w:shd w:val="clear" w:color="auto" w:fill="FFFFFF"/>
        <w:spacing w:after="0" w:line="240" w:lineRule="auto"/>
        <w:ind w:firstLine="709"/>
        <w:jc w:val="both"/>
        <w:rPr>
          <w:rFonts w:ascii="Verdana" w:hAnsi="Verdana" w:cs="Arial"/>
          <w:sz w:val="14"/>
          <w:szCs w:val="14"/>
          <w:lang w:val="es-ES"/>
        </w:rPr>
      </w:pPr>
      <w:r w:rsidRPr="00655F16">
        <w:rPr>
          <w:rStyle w:val="Refdenotaalpie"/>
          <w:rFonts w:ascii="Verdana" w:hAnsi="Verdana" w:cs="Arial"/>
          <w:sz w:val="14"/>
          <w:szCs w:val="14"/>
        </w:rPr>
        <w:footnoteRef/>
      </w:r>
      <w:r w:rsidRPr="00655F16">
        <w:rPr>
          <w:rStyle w:val="Refdenotaalpie"/>
          <w:rFonts w:ascii="Verdana" w:hAnsi="Verdana" w:cs="Arial"/>
          <w:sz w:val="14"/>
          <w:szCs w:val="14"/>
        </w:rPr>
        <w:t xml:space="preserve"> </w:t>
      </w:r>
      <w:r w:rsidRPr="00655F16">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7">
    <w:p w14:paraId="6EE7A816" w14:textId="77777777" w:rsidR="00630C2C" w:rsidRPr="002968AB" w:rsidRDefault="00630C2C" w:rsidP="00630C2C">
      <w:pPr>
        <w:pStyle w:val="Textonotapie"/>
        <w:ind w:firstLine="709"/>
        <w:jc w:val="both"/>
        <w:rPr>
          <w:rFonts w:ascii="Verdana" w:hAnsi="Verdana" w:cs="Arial"/>
          <w:sz w:val="16"/>
          <w:szCs w:val="16"/>
        </w:rPr>
      </w:pPr>
      <w:r w:rsidRPr="00655F16">
        <w:rPr>
          <w:rStyle w:val="Refdenotaalpie"/>
          <w:rFonts w:ascii="Verdana" w:hAnsi="Verdana" w:cs="Arial"/>
          <w:sz w:val="14"/>
          <w:szCs w:val="14"/>
        </w:rPr>
        <w:footnoteRef/>
      </w:r>
      <w:r w:rsidRPr="00655F16">
        <w:rPr>
          <w:rFonts w:ascii="Verdana" w:hAnsi="Verdana" w:cs="Arial"/>
          <w:sz w:val="14"/>
          <w:szCs w:val="14"/>
        </w:rPr>
        <w:t xml:space="preserve"> Consejo de Estado. Sala de Consulta y Servicio Civil. Concepto del 08 de mayo de 2018. Exp. 2.382. C.P. Álvaro Namén Vargas.</w:t>
      </w:r>
    </w:p>
  </w:footnote>
  <w:footnote w:id="18">
    <w:p w14:paraId="0699548E" w14:textId="77777777" w:rsidR="005540DE" w:rsidRPr="00655F16" w:rsidRDefault="005540DE" w:rsidP="005540DE">
      <w:pPr>
        <w:pStyle w:val="Textonotapie"/>
        <w:ind w:firstLine="709"/>
        <w:jc w:val="both"/>
        <w:rPr>
          <w:rFonts w:ascii="Verdana" w:hAnsi="Verdana" w:cs="Arial"/>
          <w:sz w:val="14"/>
          <w:szCs w:val="14"/>
        </w:rPr>
      </w:pPr>
      <w:r w:rsidRPr="00655F16">
        <w:rPr>
          <w:rStyle w:val="Refdenotaalpie"/>
          <w:rFonts w:ascii="Verdana" w:hAnsi="Verdana"/>
          <w:sz w:val="14"/>
          <w:szCs w:val="14"/>
        </w:rPr>
        <w:footnoteRef/>
      </w:r>
      <w:r w:rsidRPr="00655F16">
        <w:rPr>
          <w:rFonts w:ascii="Verdana" w:hAnsi="Verdana"/>
          <w:sz w:val="14"/>
          <w:szCs w:val="14"/>
        </w:rPr>
        <w:t xml:space="preserve"> </w:t>
      </w:r>
      <w:r w:rsidRPr="00655F16">
        <w:rPr>
          <w:rFonts w:ascii="Verdana" w:hAnsi="Verdana" w:cs="Arial"/>
          <w:sz w:val="14"/>
          <w:szCs w:val="14"/>
        </w:rPr>
        <w:t>Consejo de Estado -Sección Tercera-. Sentencia del 21 de febrero de 2025. Radicación Número: 68.280. CP: José Roberto Sáchica Méndez.</w:t>
      </w:r>
    </w:p>
  </w:footnote>
  <w:footnote w:id="19">
    <w:p w14:paraId="434D8AFA" w14:textId="77777777" w:rsidR="005540DE" w:rsidRPr="00655F16" w:rsidRDefault="005540DE" w:rsidP="005540DE">
      <w:pPr>
        <w:pStyle w:val="Textonotapie"/>
        <w:ind w:firstLine="709"/>
        <w:jc w:val="both"/>
        <w:rPr>
          <w:rFonts w:ascii="Verdana" w:hAnsi="Verdana" w:cs="Arial"/>
          <w:sz w:val="14"/>
          <w:szCs w:val="14"/>
        </w:rPr>
      </w:pPr>
      <w:r w:rsidRPr="00655F16">
        <w:rPr>
          <w:rFonts w:ascii="Verdana" w:hAnsi="Verdana"/>
          <w:sz w:val="14"/>
          <w:szCs w:val="14"/>
          <w:vertAlign w:val="superscript"/>
        </w:rPr>
        <w:footnoteRef/>
      </w:r>
      <w:r w:rsidRPr="00655F16">
        <w:rPr>
          <w:rFonts w:ascii="Verdana" w:hAnsi="Verdana"/>
          <w:sz w:val="14"/>
          <w:szCs w:val="14"/>
          <w:vertAlign w:val="superscript"/>
        </w:rPr>
        <w:t xml:space="preserve"> </w:t>
      </w:r>
      <w:r w:rsidRPr="00655F16">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0">
    <w:p w14:paraId="10D965ED" w14:textId="77777777" w:rsidR="005540DE" w:rsidRPr="00655F16" w:rsidRDefault="005540DE" w:rsidP="005540DE">
      <w:pPr>
        <w:pStyle w:val="Textonotapie"/>
        <w:ind w:firstLine="709"/>
        <w:jc w:val="both"/>
        <w:rPr>
          <w:rFonts w:ascii="Verdana" w:hAnsi="Verdana" w:cs="Arial"/>
          <w:sz w:val="14"/>
          <w:szCs w:val="14"/>
        </w:rPr>
      </w:pPr>
      <w:r w:rsidRPr="00655F16">
        <w:rPr>
          <w:rFonts w:ascii="Verdana" w:hAnsi="Verdana"/>
          <w:sz w:val="14"/>
          <w:szCs w:val="14"/>
          <w:vertAlign w:val="superscript"/>
        </w:rPr>
        <w:footnoteRef/>
      </w:r>
      <w:r w:rsidRPr="00655F16">
        <w:rPr>
          <w:rFonts w:ascii="Verdana" w:hAnsi="Verdana" w:cs="Arial"/>
          <w:sz w:val="14"/>
          <w:szCs w:val="14"/>
          <w:vertAlign w:val="superscript"/>
        </w:rPr>
        <w:t xml:space="preserve"> </w:t>
      </w:r>
      <w:r w:rsidRPr="00655F16">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7F27E50C" w14:textId="77777777" w:rsidR="005540DE" w:rsidRPr="00655F16" w:rsidRDefault="005540DE" w:rsidP="005540DE">
      <w:pPr>
        <w:pStyle w:val="Textonotapie"/>
        <w:ind w:firstLine="709"/>
        <w:jc w:val="both"/>
        <w:rPr>
          <w:rFonts w:ascii="Verdana" w:hAnsi="Verdana" w:cs="Arial"/>
          <w:sz w:val="14"/>
          <w:szCs w:val="14"/>
        </w:rPr>
      </w:pPr>
      <w:r w:rsidRPr="00655F16">
        <w:rPr>
          <w:rFonts w:ascii="Verdana" w:hAnsi="Verdana" w:cs="Arial"/>
          <w:sz w:val="14"/>
          <w:szCs w:val="14"/>
        </w:rPr>
        <w:t>[…]”.</w:t>
      </w:r>
    </w:p>
  </w:footnote>
  <w:footnote w:id="21">
    <w:p w14:paraId="388B0727" w14:textId="77777777" w:rsidR="005540DE" w:rsidRPr="002968AB" w:rsidRDefault="005540DE" w:rsidP="005540DE">
      <w:pPr>
        <w:pStyle w:val="Textonotapie"/>
        <w:ind w:firstLine="709"/>
        <w:jc w:val="both"/>
        <w:rPr>
          <w:rFonts w:ascii="Verdana" w:hAnsi="Verdana" w:cs="Arial"/>
          <w:sz w:val="16"/>
          <w:szCs w:val="16"/>
        </w:rPr>
      </w:pPr>
      <w:r w:rsidRPr="00655F16">
        <w:rPr>
          <w:rFonts w:ascii="Verdana" w:hAnsi="Verdana"/>
          <w:sz w:val="14"/>
          <w:szCs w:val="14"/>
          <w:vertAlign w:val="superscript"/>
        </w:rPr>
        <w:footnoteRef/>
      </w:r>
      <w:r w:rsidRPr="00655F16">
        <w:rPr>
          <w:rFonts w:ascii="Verdana" w:hAnsi="Verdana" w:cs="Arial"/>
          <w:sz w:val="14"/>
          <w:szCs w:val="14"/>
          <w:vertAlign w:val="superscript"/>
        </w:rPr>
        <w:t xml:space="preserve"> </w:t>
      </w:r>
      <w:r w:rsidRPr="00655F16">
        <w:rPr>
          <w:rFonts w:ascii="Verdana" w:hAnsi="Verdana" w:cs="Arial"/>
          <w:sz w:val="14"/>
          <w:szCs w:val="14"/>
        </w:rPr>
        <w:t>Código Civil: “Artículo 27. Cuando el sentido de la ley sea claro, no se desatenderá su tenor a pretexto de consultar su espíritu”.</w:t>
      </w:r>
    </w:p>
  </w:footnote>
  <w:footnote w:id="22">
    <w:p w14:paraId="489E3E81" w14:textId="77777777" w:rsidR="005540DE" w:rsidRPr="00655F16" w:rsidRDefault="005540DE" w:rsidP="005540DE">
      <w:pPr>
        <w:pStyle w:val="Textonotapie"/>
        <w:ind w:firstLine="709"/>
        <w:jc w:val="both"/>
        <w:rPr>
          <w:rFonts w:ascii="Verdana" w:hAnsi="Verdana"/>
          <w:sz w:val="14"/>
          <w:szCs w:val="14"/>
          <w:lang w:val="es-CO"/>
        </w:rPr>
      </w:pPr>
      <w:r w:rsidRPr="00655F16">
        <w:rPr>
          <w:rStyle w:val="Refdenotaalpie"/>
          <w:rFonts w:ascii="Verdana" w:hAnsi="Verdana"/>
          <w:sz w:val="14"/>
          <w:szCs w:val="14"/>
        </w:rPr>
        <w:footnoteRef/>
      </w:r>
      <w:r w:rsidRPr="00655F16">
        <w:rPr>
          <w:rFonts w:ascii="Verdana" w:hAnsi="Verdana"/>
          <w:sz w:val="14"/>
          <w:szCs w:val="14"/>
          <w:lang w:val="es-CO"/>
        </w:rPr>
        <w:t xml:space="preserve"> Consejo de Estado, Sección Tercera. Auto del 4 de octubre de 2024. Exp. 70.313. C.P: Fredy Ibarra Martínez.</w:t>
      </w:r>
    </w:p>
  </w:footnote>
  <w:footnote w:id="23">
    <w:p w14:paraId="79D0C4CF" w14:textId="77777777" w:rsidR="005540DE" w:rsidRPr="00655F16" w:rsidRDefault="005540DE" w:rsidP="005540DE">
      <w:pPr>
        <w:pStyle w:val="Textonotapie"/>
        <w:ind w:firstLine="709"/>
        <w:jc w:val="both"/>
        <w:rPr>
          <w:rFonts w:ascii="Verdana" w:hAnsi="Verdana"/>
          <w:sz w:val="14"/>
          <w:szCs w:val="14"/>
          <w:lang w:val="es-CO"/>
        </w:rPr>
      </w:pPr>
      <w:r w:rsidRPr="002968AB">
        <w:rPr>
          <w:rStyle w:val="Refdenotaalpie"/>
          <w:rFonts w:ascii="Verdana" w:hAnsi="Verdana"/>
          <w:sz w:val="16"/>
          <w:szCs w:val="16"/>
        </w:rPr>
        <w:footnoteRef/>
      </w:r>
      <w:r w:rsidRPr="002968AB">
        <w:rPr>
          <w:rFonts w:ascii="Verdana" w:hAnsi="Verdana"/>
          <w:sz w:val="16"/>
          <w:szCs w:val="16"/>
        </w:rPr>
        <w:t xml:space="preserve"> </w:t>
      </w:r>
      <w:r w:rsidRPr="00655F16">
        <w:rPr>
          <w:rFonts w:ascii="Verdana" w:hAnsi="Verdana"/>
          <w:sz w:val="14"/>
          <w:szCs w:val="14"/>
        </w:rPr>
        <w:t>La parte resolutiva del auto dispone lo siguiente; “</w:t>
      </w:r>
      <w:r w:rsidRPr="00655F16">
        <w:rPr>
          <w:rFonts w:ascii="Verdana" w:hAnsi="Verdana"/>
          <w:b/>
          <w:sz w:val="14"/>
          <w:szCs w:val="14"/>
          <w:lang w:val="es-CO"/>
        </w:rPr>
        <w:t xml:space="preserve">PRIMERO: DECRETAR </w:t>
      </w:r>
      <w:r w:rsidRPr="00655F16">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655F16">
        <w:rPr>
          <w:rFonts w:ascii="Verdana" w:hAnsi="Verdana"/>
          <w:i/>
          <w:sz w:val="14"/>
          <w:szCs w:val="14"/>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655F16">
        <w:rPr>
          <w:rFonts w:ascii="Verdana" w:hAnsi="Verdana"/>
          <w:sz w:val="14"/>
          <w:szCs w:val="14"/>
          <w:lang w:val="es-CO"/>
        </w:rPr>
        <w:t xml:space="preserve">, por las razones expuestas en precedencia. </w:t>
      </w:r>
    </w:p>
    <w:p w14:paraId="591B3342" w14:textId="77777777" w:rsidR="005540DE" w:rsidRPr="00655F16" w:rsidRDefault="005540DE" w:rsidP="005540DE">
      <w:pPr>
        <w:pStyle w:val="Textonotapie"/>
        <w:ind w:firstLine="709"/>
        <w:jc w:val="both"/>
        <w:rPr>
          <w:rFonts w:ascii="Verdana" w:hAnsi="Verdana"/>
          <w:sz w:val="14"/>
          <w:szCs w:val="14"/>
          <w:lang w:val="es-CO"/>
        </w:rPr>
      </w:pPr>
      <w:r w:rsidRPr="00655F16">
        <w:rPr>
          <w:rFonts w:ascii="Verdana" w:hAnsi="Verdana"/>
          <w:b/>
          <w:sz w:val="14"/>
          <w:szCs w:val="14"/>
          <w:lang w:val="es-CO"/>
        </w:rPr>
        <w:t xml:space="preserve">SEGUNDO: DECRETAR </w:t>
      </w:r>
      <w:r w:rsidRPr="00655F16">
        <w:rPr>
          <w:rFonts w:ascii="Verdana" w:hAnsi="Verdana"/>
          <w:sz w:val="14"/>
          <w:szCs w:val="14"/>
          <w:lang w:val="es-CO"/>
        </w:rPr>
        <w:t>la suspensión provisional de la expresión “</w:t>
      </w:r>
      <w:r w:rsidRPr="00655F16">
        <w:rPr>
          <w:rFonts w:ascii="Verdana" w:hAnsi="Verdana"/>
          <w:i/>
          <w:sz w:val="14"/>
          <w:szCs w:val="14"/>
          <w:lang w:val="es-CO"/>
        </w:rPr>
        <w:t>contratos</w:t>
      </w:r>
      <w:r w:rsidRPr="00655F16">
        <w:rPr>
          <w:rFonts w:ascii="Verdana" w:hAnsi="Verdana"/>
          <w:sz w:val="14"/>
          <w:szCs w:val="14"/>
          <w:lang w:val="es-CO"/>
        </w:rPr>
        <w:t xml:space="preserve">” y del párrafo </w:t>
      </w:r>
      <w:r w:rsidRPr="00655F16">
        <w:rPr>
          <w:rFonts w:ascii="Verdana" w:hAnsi="Verdana"/>
          <w:i/>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655F16">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24">
    <w:p w14:paraId="038A40C6" w14:textId="77777777" w:rsidR="005540DE" w:rsidRPr="002968AB" w:rsidRDefault="005540DE" w:rsidP="005540DE">
      <w:pPr>
        <w:spacing w:after="0" w:line="240" w:lineRule="auto"/>
        <w:ind w:firstLine="709"/>
        <w:jc w:val="both"/>
        <w:rPr>
          <w:rFonts w:ascii="Verdana" w:eastAsia="Times New Roman" w:hAnsi="Verdana" w:cs="Times New Roman"/>
          <w:sz w:val="16"/>
          <w:szCs w:val="16"/>
          <w:lang w:eastAsia="es-ES"/>
        </w:rPr>
      </w:pPr>
      <w:r w:rsidRPr="00655F16">
        <w:rPr>
          <w:rStyle w:val="Refdenotaalpie"/>
          <w:rFonts w:ascii="Verdana" w:hAnsi="Verdana"/>
          <w:sz w:val="14"/>
          <w:szCs w:val="14"/>
        </w:rPr>
        <w:footnoteRef/>
      </w:r>
      <w:r w:rsidRPr="00655F16">
        <w:rPr>
          <w:rFonts w:ascii="Verdana" w:hAnsi="Verdana"/>
          <w:sz w:val="14"/>
          <w:szCs w:val="14"/>
        </w:rPr>
        <w:t xml:space="preserve"> </w:t>
      </w:r>
      <w:r w:rsidRPr="00655F16">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655F16">
        <w:rPr>
          <w:rFonts w:ascii="Verdana" w:hAnsi="Verdana"/>
          <w:sz w:val="14"/>
          <w:szCs w:val="14"/>
        </w:rPr>
        <w:t xml:space="preserve">La parte de la providencia señala: </w:t>
      </w:r>
      <w:r w:rsidRPr="00655F16">
        <w:rPr>
          <w:rFonts w:ascii="Verdana" w:eastAsia="Times New Roman" w:hAnsi="Verdana" w:cs="Times New Roman"/>
          <w:sz w:val="14"/>
          <w:szCs w:val="14"/>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w:t>
      </w:r>
      <w:r w:rsidRPr="002968AB">
        <w:rPr>
          <w:rFonts w:ascii="Verdana" w:eastAsia="Times New Roman" w:hAnsi="Verdana" w:cs="Times New Roman"/>
          <w:sz w:val="16"/>
          <w:szCs w:val="16"/>
          <w:lang w:eastAsia="es-ES"/>
        </w:rPr>
        <w:t xml:space="preserve"> </w:t>
      </w:r>
      <w:r w:rsidRPr="00655F16">
        <w:rPr>
          <w:rFonts w:ascii="Verdana" w:eastAsia="Times New Roman" w:hAnsi="Verdana" w:cs="Times New Roman"/>
          <w:sz w:val="14"/>
          <w:szCs w:val="14"/>
          <w:lang w:eastAsia="es-ES"/>
        </w:rPr>
        <w:t>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69E39E94" w14:textId="77777777" w:rsidR="005540DE" w:rsidRPr="00655F16" w:rsidRDefault="005540DE" w:rsidP="005540DE">
      <w:pPr>
        <w:pStyle w:val="Textonotapie"/>
        <w:ind w:firstLine="709"/>
        <w:jc w:val="both"/>
        <w:rPr>
          <w:rFonts w:ascii="Verdana" w:hAnsi="Verdana"/>
          <w:sz w:val="14"/>
          <w:szCs w:val="14"/>
          <w:lang w:val="es-CO"/>
        </w:rPr>
      </w:pPr>
      <w:r w:rsidRPr="00655F16">
        <w:rPr>
          <w:rStyle w:val="Refdenotaalpie"/>
          <w:rFonts w:ascii="Verdana" w:hAnsi="Verdana"/>
          <w:sz w:val="14"/>
          <w:szCs w:val="14"/>
        </w:rPr>
        <w:footnoteRef/>
      </w:r>
      <w:r w:rsidRPr="00655F16">
        <w:rPr>
          <w:rFonts w:ascii="Verdana" w:hAnsi="Verdana"/>
          <w:sz w:val="14"/>
          <w:szCs w:val="14"/>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6">
    <w:p w14:paraId="5C478BE0" w14:textId="77777777" w:rsidR="005540DE" w:rsidRPr="002968AB" w:rsidRDefault="005540DE" w:rsidP="005540DE">
      <w:pPr>
        <w:pStyle w:val="Textonotapie"/>
        <w:ind w:firstLine="709"/>
        <w:jc w:val="both"/>
        <w:rPr>
          <w:rFonts w:ascii="Verdana" w:hAnsi="Verdana" w:cs="Arial"/>
          <w:sz w:val="16"/>
          <w:szCs w:val="16"/>
        </w:rPr>
      </w:pPr>
      <w:r w:rsidRPr="00655F16">
        <w:rPr>
          <w:rStyle w:val="Refdenotaalpie"/>
          <w:rFonts w:ascii="Verdana" w:hAnsi="Verdana" w:cs="Arial"/>
          <w:sz w:val="14"/>
          <w:szCs w:val="14"/>
        </w:rPr>
        <w:footnoteRef/>
      </w:r>
      <w:r w:rsidRPr="00655F16">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 w:id="27">
    <w:p w14:paraId="3FCDF0BC" w14:textId="77777777" w:rsidR="005540DE" w:rsidRPr="00655F16" w:rsidRDefault="005540DE" w:rsidP="005540DE">
      <w:pPr>
        <w:pStyle w:val="Textonotapie"/>
        <w:ind w:firstLine="709"/>
        <w:jc w:val="both"/>
        <w:rPr>
          <w:rFonts w:ascii="Verdana" w:hAnsi="Verdana" w:cs="Arial"/>
          <w:sz w:val="14"/>
          <w:szCs w:val="14"/>
        </w:rPr>
      </w:pPr>
      <w:r w:rsidRPr="00655F16">
        <w:rPr>
          <w:rStyle w:val="Refdenotaalpie"/>
          <w:rFonts w:ascii="Verdana" w:hAnsi="Verdana" w:cs="Arial"/>
          <w:sz w:val="14"/>
          <w:szCs w:val="14"/>
        </w:rPr>
        <w:footnoteRef/>
      </w:r>
      <w:r w:rsidRPr="00655F16">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1067070113">
    <w:abstractNumId w:val="10"/>
  </w:num>
  <w:num w:numId="17" w16cid:durableId="1577283078">
    <w:abstractNumId w:val="2"/>
  </w:num>
  <w:num w:numId="18" w16cid:durableId="1956711204">
    <w:abstractNumId w:val="11"/>
  </w:num>
  <w:num w:numId="19" w16cid:durableId="2216477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199"/>
    <w:rsid w:val="00016F78"/>
    <w:rsid w:val="00046945"/>
    <w:rsid w:val="00061B2A"/>
    <w:rsid w:val="0007332C"/>
    <w:rsid w:val="000760CB"/>
    <w:rsid w:val="00082362"/>
    <w:rsid w:val="00090338"/>
    <w:rsid w:val="000A683E"/>
    <w:rsid w:val="000B19B9"/>
    <w:rsid w:val="000D0334"/>
    <w:rsid w:val="000D5DA7"/>
    <w:rsid w:val="000E5096"/>
    <w:rsid w:val="000F49C4"/>
    <w:rsid w:val="000F6486"/>
    <w:rsid w:val="00116940"/>
    <w:rsid w:val="00125105"/>
    <w:rsid w:val="00127233"/>
    <w:rsid w:val="00145FF3"/>
    <w:rsid w:val="00152262"/>
    <w:rsid w:val="0015699B"/>
    <w:rsid w:val="001A33BF"/>
    <w:rsid w:val="001C45F8"/>
    <w:rsid w:val="001E4177"/>
    <w:rsid w:val="001E6273"/>
    <w:rsid w:val="001F0B24"/>
    <w:rsid w:val="001F7DC6"/>
    <w:rsid w:val="0022400B"/>
    <w:rsid w:val="002421BB"/>
    <w:rsid w:val="0025796E"/>
    <w:rsid w:val="002707A2"/>
    <w:rsid w:val="002951A0"/>
    <w:rsid w:val="002962BC"/>
    <w:rsid w:val="002A093D"/>
    <w:rsid w:val="002A0DD0"/>
    <w:rsid w:val="002A49AC"/>
    <w:rsid w:val="002A64FD"/>
    <w:rsid w:val="002C6FEF"/>
    <w:rsid w:val="002C7A84"/>
    <w:rsid w:val="002D66C5"/>
    <w:rsid w:val="002E2BF8"/>
    <w:rsid w:val="002E4FD9"/>
    <w:rsid w:val="0030657A"/>
    <w:rsid w:val="0031211B"/>
    <w:rsid w:val="00322A85"/>
    <w:rsid w:val="00324168"/>
    <w:rsid w:val="00330834"/>
    <w:rsid w:val="003448F4"/>
    <w:rsid w:val="003708CE"/>
    <w:rsid w:val="00371E66"/>
    <w:rsid w:val="00374F5E"/>
    <w:rsid w:val="00377E3E"/>
    <w:rsid w:val="0039136E"/>
    <w:rsid w:val="003A779E"/>
    <w:rsid w:val="003D0F4D"/>
    <w:rsid w:val="003D0F65"/>
    <w:rsid w:val="003D5B0D"/>
    <w:rsid w:val="003D6DA4"/>
    <w:rsid w:val="003E0499"/>
    <w:rsid w:val="003E09DB"/>
    <w:rsid w:val="003E2835"/>
    <w:rsid w:val="003E4F80"/>
    <w:rsid w:val="003E6439"/>
    <w:rsid w:val="003F3941"/>
    <w:rsid w:val="00406575"/>
    <w:rsid w:val="00414C74"/>
    <w:rsid w:val="0042722E"/>
    <w:rsid w:val="0044528D"/>
    <w:rsid w:val="004478DC"/>
    <w:rsid w:val="00457602"/>
    <w:rsid w:val="00466E39"/>
    <w:rsid w:val="004836A2"/>
    <w:rsid w:val="004A1847"/>
    <w:rsid w:val="004A305D"/>
    <w:rsid w:val="004B5194"/>
    <w:rsid w:val="004C2FE3"/>
    <w:rsid w:val="004C7D8F"/>
    <w:rsid w:val="004F21C4"/>
    <w:rsid w:val="004F685F"/>
    <w:rsid w:val="00507A98"/>
    <w:rsid w:val="00550DD6"/>
    <w:rsid w:val="005527E2"/>
    <w:rsid w:val="005540DE"/>
    <w:rsid w:val="005566E8"/>
    <w:rsid w:val="00572D37"/>
    <w:rsid w:val="00574867"/>
    <w:rsid w:val="00591431"/>
    <w:rsid w:val="00591460"/>
    <w:rsid w:val="005A65E0"/>
    <w:rsid w:val="005C3777"/>
    <w:rsid w:val="005C5CDC"/>
    <w:rsid w:val="005D2089"/>
    <w:rsid w:val="005D476C"/>
    <w:rsid w:val="006022B6"/>
    <w:rsid w:val="00616BD3"/>
    <w:rsid w:val="006200BF"/>
    <w:rsid w:val="006219F8"/>
    <w:rsid w:val="006302F7"/>
    <w:rsid w:val="00630C2C"/>
    <w:rsid w:val="00634B6F"/>
    <w:rsid w:val="00646B9F"/>
    <w:rsid w:val="00655F16"/>
    <w:rsid w:val="00665D70"/>
    <w:rsid w:val="006900D9"/>
    <w:rsid w:val="006D2939"/>
    <w:rsid w:val="00706C16"/>
    <w:rsid w:val="00717B93"/>
    <w:rsid w:val="007340C3"/>
    <w:rsid w:val="0075235A"/>
    <w:rsid w:val="00756841"/>
    <w:rsid w:val="00762039"/>
    <w:rsid w:val="007649AB"/>
    <w:rsid w:val="00771D0C"/>
    <w:rsid w:val="007833AC"/>
    <w:rsid w:val="007B268C"/>
    <w:rsid w:val="007B7171"/>
    <w:rsid w:val="007C0C0F"/>
    <w:rsid w:val="007C3DC2"/>
    <w:rsid w:val="007C40AC"/>
    <w:rsid w:val="007E5497"/>
    <w:rsid w:val="00806F5F"/>
    <w:rsid w:val="00820278"/>
    <w:rsid w:val="008258C9"/>
    <w:rsid w:val="00844AE9"/>
    <w:rsid w:val="00867F95"/>
    <w:rsid w:val="00880040"/>
    <w:rsid w:val="00883063"/>
    <w:rsid w:val="008843B6"/>
    <w:rsid w:val="00891928"/>
    <w:rsid w:val="008A446D"/>
    <w:rsid w:val="008A612E"/>
    <w:rsid w:val="008B25F1"/>
    <w:rsid w:val="008B3960"/>
    <w:rsid w:val="008C118A"/>
    <w:rsid w:val="008D180B"/>
    <w:rsid w:val="008E7877"/>
    <w:rsid w:val="008F0EA7"/>
    <w:rsid w:val="00923EEF"/>
    <w:rsid w:val="009419F9"/>
    <w:rsid w:val="00944FF9"/>
    <w:rsid w:val="0095685E"/>
    <w:rsid w:val="00961B09"/>
    <w:rsid w:val="00965334"/>
    <w:rsid w:val="009664AB"/>
    <w:rsid w:val="0097093E"/>
    <w:rsid w:val="009A0DFA"/>
    <w:rsid w:val="009A1C6F"/>
    <w:rsid w:val="009B2D26"/>
    <w:rsid w:val="009C71FA"/>
    <w:rsid w:val="009C72E7"/>
    <w:rsid w:val="009C7F7E"/>
    <w:rsid w:val="009D3058"/>
    <w:rsid w:val="009F3A13"/>
    <w:rsid w:val="009F3A4B"/>
    <w:rsid w:val="00A122D3"/>
    <w:rsid w:val="00A14468"/>
    <w:rsid w:val="00A17363"/>
    <w:rsid w:val="00A17F13"/>
    <w:rsid w:val="00A20739"/>
    <w:rsid w:val="00A23AF9"/>
    <w:rsid w:val="00A33C78"/>
    <w:rsid w:val="00A35052"/>
    <w:rsid w:val="00A57111"/>
    <w:rsid w:val="00A70871"/>
    <w:rsid w:val="00A73DCD"/>
    <w:rsid w:val="00A86E82"/>
    <w:rsid w:val="00AA14E9"/>
    <w:rsid w:val="00AB0ADB"/>
    <w:rsid w:val="00AB749C"/>
    <w:rsid w:val="00AD2D39"/>
    <w:rsid w:val="00B00C0E"/>
    <w:rsid w:val="00B01B1A"/>
    <w:rsid w:val="00B0381D"/>
    <w:rsid w:val="00B352A3"/>
    <w:rsid w:val="00B44A47"/>
    <w:rsid w:val="00B5515F"/>
    <w:rsid w:val="00B72CD3"/>
    <w:rsid w:val="00B72FFF"/>
    <w:rsid w:val="00B95DFA"/>
    <w:rsid w:val="00BC3D36"/>
    <w:rsid w:val="00BC7588"/>
    <w:rsid w:val="00BD54A6"/>
    <w:rsid w:val="00BD7F72"/>
    <w:rsid w:val="00BF7425"/>
    <w:rsid w:val="00C04FB3"/>
    <w:rsid w:val="00C11D8B"/>
    <w:rsid w:val="00C131C6"/>
    <w:rsid w:val="00C15139"/>
    <w:rsid w:val="00C270F5"/>
    <w:rsid w:val="00C330EB"/>
    <w:rsid w:val="00C50D69"/>
    <w:rsid w:val="00C5365C"/>
    <w:rsid w:val="00C754BE"/>
    <w:rsid w:val="00C76B1C"/>
    <w:rsid w:val="00C923A6"/>
    <w:rsid w:val="00C925AC"/>
    <w:rsid w:val="00CA4823"/>
    <w:rsid w:val="00CB6357"/>
    <w:rsid w:val="00CC1B26"/>
    <w:rsid w:val="00D361FD"/>
    <w:rsid w:val="00D423A2"/>
    <w:rsid w:val="00D44E26"/>
    <w:rsid w:val="00D520D8"/>
    <w:rsid w:val="00D63AC2"/>
    <w:rsid w:val="00D7383B"/>
    <w:rsid w:val="00D7788A"/>
    <w:rsid w:val="00D866E6"/>
    <w:rsid w:val="00D87428"/>
    <w:rsid w:val="00DA231B"/>
    <w:rsid w:val="00DC39FC"/>
    <w:rsid w:val="00DF1B14"/>
    <w:rsid w:val="00DF5254"/>
    <w:rsid w:val="00DF6CAB"/>
    <w:rsid w:val="00E02524"/>
    <w:rsid w:val="00E16408"/>
    <w:rsid w:val="00E20894"/>
    <w:rsid w:val="00E21D05"/>
    <w:rsid w:val="00E245AB"/>
    <w:rsid w:val="00E2764C"/>
    <w:rsid w:val="00E27F2E"/>
    <w:rsid w:val="00E4790A"/>
    <w:rsid w:val="00E50AFE"/>
    <w:rsid w:val="00E51DFA"/>
    <w:rsid w:val="00E52289"/>
    <w:rsid w:val="00E54B37"/>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A73E7"/>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8306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83063"/>
    <w:rPr>
      <w:rFonts w:ascii="Geomanist Light" w:hAnsi="Geomanist Light"/>
      <w:lang w:val="es-ES"/>
    </w:rPr>
  </w:style>
  <w:style w:type="character" w:customStyle="1" w:styleId="s15">
    <w:name w:val="s15"/>
    <w:basedOn w:val="Fuentedeprrafopredeter"/>
    <w:rsid w:val="00883063"/>
  </w:style>
  <w:style w:type="character" w:customStyle="1" w:styleId="NormalWebCar">
    <w:name w:val="Normal (Web) Car"/>
    <w:link w:val="NormalWeb"/>
    <w:uiPriority w:val="99"/>
    <w:locked/>
    <w:rsid w:val="00883063"/>
    <w:rPr>
      <w:rFonts w:ascii="Times New Roman" w:eastAsia="Times New Roman" w:hAnsi="Times New Roman" w:cs="Times New Roman"/>
      <w:sz w:val="24"/>
      <w:szCs w:val="24"/>
      <w:lang w:eastAsia="es-CO"/>
    </w:rPr>
  </w:style>
  <w:style w:type="character" w:customStyle="1" w:styleId="baj">
    <w:name w:val="b_aj"/>
    <w:basedOn w:val="Fuentedeprrafopredeter"/>
    <w:rsid w:val="00883063"/>
  </w:style>
  <w:style w:type="paragraph" w:styleId="Sinespaciado">
    <w:name w:val="No Spacing"/>
    <w:uiPriority w:val="1"/>
    <w:qFormat/>
    <w:rsid w:val="005527E2"/>
    <w:pPr>
      <w:spacing w:after="0" w:line="240" w:lineRule="auto"/>
    </w:pPr>
  </w:style>
  <w:style w:type="paragraph" w:styleId="Textoindependiente">
    <w:name w:val="Body Text"/>
    <w:basedOn w:val="Normal"/>
    <w:link w:val="TextoindependienteCar"/>
    <w:uiPriority w:val="1"/>
    <w:qFormat/>
    <w:rsid w:val="00880040"/>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880040"/>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ulinacardonagonzalez2014@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23084D-1597-43B7-B1B4-6DE45B4AAFE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27</Pages>
  <Words>9082</Words>
  <Characters>50227</Characters>
  <Application>Microsoft Office Word</Application>
  <DocSecurity>0</DocSecurity>
  <Lines>913</Lines>
  <Paragraphs>181</Paragraphs>
  <ScaleCrop>false</ScaleCrop>
  <Company/>
  <LinksUpToDate>false</LinksUpToDate>
  <CharactersWithSpaces>59128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15</cp:revision>
  <cp:lastPrinted>2023-01-10T21:18:00Z</cp:lastPrinted>
  <dcterms:created xsi:type="dcterms:W3CDTF">2026-04-15T13:37:00Z</dcterms:created>
  <dcterms:modified xsi:type="dcterms:W3CDTF">2026-04-16T21:08:00Z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