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E1035" w14:textId="77777777" w:rsidR="00E43748" w:rsidRDefault="00E43748" w:rsidP="00E43748">
      <w:pPr>
        <w:spacing w:after="0" w:line="240" w:lineRule="auto"/>
        <w:rPr>
          <w:rFonts w:ascii="Verdana" w:eastAsia="Calibri" w:hAnsi="Verdana" w:cs="Arial"/>
          <w:b/>
          <w:bCs/>
          <w:lang w:val="es-ES" w:eastAsia="es-ES"/>
        </w:rPr>
      </w:pPr>
      <w:bookmarkStart w:id="0" w:name="_Hlk143780582"/>
    </w:p>
    <w:p w14:paraId="535EC98D" w14:textId="1E8E565A" w:rsidR="00166608" w:rsidRDefault="00166608" w:rsidP="00E43748">
      <w:pPr>
        <w:spacing w:after="0" w:line="240" w:lineRule="auto"/>
        <w:rPr>
          <w:rFonts w:ascii="Verdana" w:hAnsi="Verdana"/>
        </w:rPr>
      </w:pPr>
    </w:p>
    <w:p w14:paraId="69B66942" w14:textId="77777777" w:rsidR="00166608" w:rsidRPr="00166608" w:rsidRDefault="00166608" w:rsidP="00E43748">
      <w:pPr>
        <w:spacing w:after="0" w:line="240" w:lineRule="auto"/>
        <w:rPr>
          <w:rFonts w:ascii="Verdana" w:hAnsi="Verdana"/>
          <w:b/>
          <w:bCs/>
        </w:rPr>
      </w:pPr>
    </w:p>
    <w:p w14:paraId="17A137B7" w14:textId="59DB5E52" w:rsidR="00330F25" w:rsidRDefault="00166608" w:rsidP="00E43748">
      <w:pPr>
        <w:spacing w:after="0" w:line="240" w:lineRule="auto"/>
        <w:rPr>
          <w:rFonts w:ascii="Verdana" w:eastAsia="Calibri" w:hAnsi="Verdana" w:cs="Arial"/>
          <w:b/>
          <w:bCs/>
          <w:lang w:val="es-ES" w:eastAsia="es-ES"/>
        </w:rPr>
      </w:pPr>
      <w:r w:rsidRPr="00166608">
        <w:rPr>
          <w:rFonts w:ascii="Verdana" w:hAnsi="Verdana"/>
          <w:b/>
          <w:bCs/>
        </w:rPr>
        <w:t>C</w:t>
      </w:r>
      <w:r w:rsidR="002A4FFB" w:rsidRPr="00166608">
        <w:rPr>
          <w:rFonts w:ascii="Verdana" w:hAnsi="Verdana"/>
          <w:b/>
          <w:bCs/>
        </w:rPr>
        <w:t xml:space="preserve">ONCURSO DE </w:t>
      </w:r>
      <w:r w:rsidRPr="00166608">
        <w:rPr>
          <w:rFonts w:ascii="Verdana" w:hAnsi="Verdana"/>
          <w:b/>
          <w:bCs/>
        </w:rPr>
        <w:t>MÉRITOS</w:t>
      </w:r>
      <w:r>
        <w:rPr>
          <w:rFonts w:ascii="Verdana" w:hAnsi="Verdana"/>
          <w:b/>
          <w:bCs/>
        </w:rPr>
        <w:t xml:space="preserve"> </w:t>
      </w:r>
      <w:r w:rsidRPr="00DB7533">
        <w:rPr>
          <w:rFonts w:ascii="Verdana" w:eastAsia="Aptos" w:hAnsi="Verdana" w:cs="Arial"/>
          <w:b/>
          <w:bCs/>
          <w:lang w:val="es-MX" w:eastAsia="es-ES"/>
        </w:rPr>
        <w:t>‒</w:t>
      </w:r>
      <w:r w:rsidR="00851D20">
        <w:rPr>
          <w:rFonts w:ascii="Verdana" w:eastAsia="Aptos" w:hAnsi="Verdana" w:cs="Arial"/>
          <w:b/>
          <w:bCs/>
          <w:lang w:val="es-MX" w:eastAsia="es-ES"/>
        </w:rPr>
        <w:t xml:space="preserve"> Diferencias</w:t>
      </w:r>
    </w:p>
    <w:p w14:paraId="0931FED1" w14:textId="77777777" w:rsidR="00330F25" w:rsidRDefault="00330F25" w:rsidP="00E43748">
      <w:pPr>
        <w:spacing w:after="0" w:line="240" w:lineRule="auto"/>
        <w:rPr>
          <w:rFonts w:ascii="Verdana" w:eastAsia="Calibri" w:hAnsi="Verdana" w:cs="Arial"/>
          <w:b/>
          <w:bCs/>
          <w:lang w:val="es-ES" w:eastAsia="es-ES"/>
        </w:rPr>
      </w:pPr>
    </w:p>
    <w:p w14:paraId="2734B3E6" w14:textId="6FD31593" w:rsidR="00352C48" w:rsidRPr="00851D20" w:rsidRDefault="00352C48" w:rsidP="00851D20">
      <w:pPr>
        <w:spacing w:after="120" w:line="276" w:lineRule="auto"/>
        <w:jc w:val="both"/>
        <w:rPr>
          <w:rFonts w:ascii="Verdana" w:hAnsi="Verdana"/>
          <w:sz w:val="20"/>
          <w:szCs w:val="20"/>
        </w:rPr>
      </w:pPr>
      <w:r w:rsidRPr="00851D20">
        <w:rPr>
          <w:rFonts w:ascii="Verdana" w:eastAsia="Calibri" w:hAnsi="Verdana" w:cs="Arial"/>
          <w:sz w:val="20"/>
          <w:szCs w:val="20"/>
          <w:lang w:val="es-ES" w:eastAsia="es-ES" w:bidi="es-ES"/>
        </w:rPr>
        <w:t>Es</w:t>
      </w:r>
      <w:r w:rsidRPr="00851D20">
        <w:rPr>
          <w:rFonts w:ascii="Verdana" w:hAnsi="Verdana"/>
          <w:sz w:val="20"/>
          <w:szCs w:val="20"/>
        </w:rPr>
        <w:t xml:space="preserve"> importante partir de la noción de </w:t>
      </w:r>
      <w:r w:rsidRPr="00851D20">
        <w:rPr>
          <w:rStyle w:val="Fuerte"/>
          <w:rFonts w:ascii="Verdana" w:hAnsi="Verdana"/>
          <w:b w:val="0"/>
          <w:bCs w:val="0"/>
          <w:sz w:val="20"/>
          <w:szCs w:val="20"/>
        </w:rPr>
        <w:t>concurso de méritos</w:t>
      </w:r>
      <w:r w:rsidRPr="00851D20">
        <w:rPr>
          <w:rFonts w:ascii="Verdana" w:hAnsi="Verdana"/>
          <w:sz w:val="20"/>
          <w:szCs w:val="20"/>
        </w:rPr>
        <w:t xml:space="preserve"> en sus dos ámbitos de aplicación. En materia de contratación estatal, conforme a la Ley 80 de 1993, el concurso de méritos es una modalidad de selección objetiva prevista para la escogencia de consultores o el desarrollo de proyectos de carácter intelectual, en la cual la entidad estatal evalúa principalmente la idoneidad técnica, la experiencia específica y la capacidad profesional de los proponentes, prescindiendo del precio como factor determinante de adjudicación. Se trata, por tanto, de un procedimiento estructurado para garantizar la selección del oferente más calificado desde el punto de vista técnico, especialmente en actividades que implican un alto componente especializado. </w:t>
      </w:r>
    </w:p>
    <w:p w14:paraId="2BE653D3" w14:textId="65F2BF1D" w:rsidR="00352C48" w:rsidRPr="00851D20" w:rsidRDefault="00352C48" w:rsidP="00851D20">
      <w:pPr>
        <w:spacing w:after="120" w:line="276" w:lineRule="auto"/>
        <w:jc w:val="both"/>
        <w:rPr>
          <w:rFonts w:ascii="Verdana" w:hAnsi="Verdana"/>
          <w:sz w:val="20"/>
          <w:szCs w:val="20"/>
        </w:rPr>
      </w:pPr>
      <w:r w:rsidRPr="00851D20">
        <w:rPr>
          <w:rFonts w:ascii="Verdana" w:hAnsi="Verdana"/>
          <w:sz w:val="20"/>
          <w:szCs w:val="20"/>
        </w:rPr>
        <w:t xml:space="preserve">Por su parte, el concurso de </w:t>
      </w:r>
      <w:r w:rsidR="00851D20" w:rsidRPr="00851D20">
        <w:rPr>
          <w:rFonts w:ascii="Verdana" w:hAnsi="Verdana"/>
          <w:sz w:val="20"/>
          <w:szCs w:val="20"/>
        </w:rPr>
        <w:t>méritos</w:t>
      </w:r>
      <w:r w:rsidRPr="00851D20">
        <w:rPr>
          <w:rFonts w:ascii="Verdana" w:hAnsi="Verdana"/>
          <w:sz w:val="20"/>
          <w:szCs w:val="20"/>
        </w:rPr>
        <w:t xml:space="preserve"> se ubica en el ámbito de la función pública, es importante señalar que este tema corresponde principalmente a dicho ámbito, ya que la provisión de empleos de carrera hace parte de su competencia. En ese sentido, el concurso de méritos es un mecanismo propio de la función pública, a través del cual se garantiza que el acceso a los cargos se realice con base en el mérito y la igualdad.</w:t>
      </w:r>
    </w:p>
    <w:p w14:paraId="4D896125" w14:textId="77777777" w:rsidR="00330F25" w:rsidRPr="002A4FFB" w:rsidRDefault="00330F25" w:rsidP="00E43748">
      <w:pPr>
        <w:spacing w:after="0" w:line="240" w:lineRule="auto"/>
        <w:rPr>
          <w:rFonts w:ascii="Verdana" w:eastAsia="Calibri" w:hAnsi="Verdana" w:cs="Arial"/>
          <w:b/>
          <w:bCs/>
          <w:lang w:eastAsia="es-ES"/>
        </w:rPr>
      </w:pPr>
    </w:p>
    <w:p w14:paraId="58E0DE7C" w14:textId="77777777" w:rsidR="00330F25" w:rsidRDefault="00330F25" w:rsidP="007A1F23">
      <w:pPr>
        <w:spacing w:after="0" w:line="240" w:lineRule="auto"/>
        <w:jc w:val="both"/>
        <w:rPr>
          <w:rFonts w:ascii="Verdana" w:eastAsia="Calibri" w:hAnsi="Verdana" w:cs="Arial"/>
          <w:b/>
          <w:bCs/>
          <w:lang w:val="es-ES" w:eastAsia="es-ES"/>
        </w:rPr>
      </w:pPr>
    </w:p>
    <w:p w14:paraId="4B8E6E7D" w14:textId="51B24DF9" w:rsidR="007A1F23" w:rsidRPr="0082718C" w:rsidRDefault="00E43748" w:rsidP="00494E18">
      <w:pPr>
        <w:spacing w:after="0" w:line="240" w:lineRule="auto"/>
        <w:jc w:val="both"/>
        <w:rPr>
          <w:rFonts w:ascii="Verdana" w:eastAsia="Times New Roman" w:hAnsi="Verdana" w:cs="Arial"/>
          <w:b/>
          <w:bCs/>
          <w:color w:val="000000" w:themeColor="text1"/>
          <w:lang w:val="es-ES"/>
        </w:rPr>
      </w:pPr>
      <w:r w:rsidRPr="0082718C">
        <w:rPr>
          <w:rFonts w:ascii="Verdana" w:eastAsia="Aptos" w:hAnsi="Verdana" w:cs="Arial"/>
          <w:b/>
          <w:bCs/>
          <w:lang w:val="es-MX" w:eastAsia="es-ES"/>
        </w:rPr>
        <w:t>LEY DE GARANTÍAS ELECTORALES ‒</w:t>
      </w:r>
      <w:r w:rsidR="007D0608" w:rsidRPr="0082718C">
        <w:rPr>
          <w:rFonts w:ascii="Verdana" w:eastAsia="Aptos" w:hAnsi="Verdana" w:cs="Arial"/>
          <w:b/>
          <w:bCs/>
          <w:lang w:val="es-MX" w:eastAsia="es-ES"/>
        </w:rPr>
        <w:t>Finalidad</w:t>
      </w:r>
      <w:r w:rsidR="007D0608" w:rsidRPr="0082718C">
        <w:rPr>
          <w:rFonts w:ascii="Verdana" w:eastAsia="Aptos" w:hAnsi="Verdana" w:cs="Arial"/>
          <w:b/>
          <w:bCs/>
          <w:lang w:val="es-MX" w:eastAsia="es-ES"/>
        </w:rPr>
        <w:t>‒</w:t>
      </w:r>
      <w:r w:rsidR="007D0608" w:rsidRPr="0082718C">
        <w:rPr>
          <w:rFonts w:ascii="Verdana" w:eastAsia="Aptos" w:hAnsi="Verdana" w:cs="Arial"/>
          <w:b/>
          <w:bCs/>
          <w:lang w:val="es-MX" w:eastAsia="es-ES"/>
        </w:rPr>
        <w:t xml:space="preserve"> </w:t>
      </w:r>
      <w:r w:rsidR="007D0608" w:rsidRPr="0082718C">
        <w:rPr>
          <w:rFonts w:ascii="Verdana" w:eastAsia="Aptos" w:hAnsi="Verdana" w:cs="Arial"/>
          <w:b/>
          <w:bCs/>
          <w:lang w:eastAsia="es-ES"/>
        </w:rPr>
        <w:t xml:space="preserve">Tipo </w:t>
      </w:r>
      <w:r w:rsidR="000342B7" w:rsidRPr="0082718C">
        <w:rPr>
          <w:rFonts w:ascii="Verdana" w:eastAsia="Aptos" w:hAnsi="Verdana" w:cs="Arial"/>
          <w:b/>
          <w:bCs/>
          <w:lang w:eastAsia="es-ES"/>
        </w:rPr>
        <w:t>Restricciones</w:t>
      </w:r>
      <w:r w:rsidR="007A1F23" w:rsidRPr="0082718C">
        <w:rPr>
          <w:rFonts w:ascii="Verdana" w:eastAsia="Aptos" w:hAnsi="Verdana" w:cs="Arial"/>
          <w:b/>
          <w:bCs/>
          <w:lang w:eastAsia="es-ES"/>
        </w:rPr>
        <w:t xml:space="preserve"> </w:t>
      </w:r>
      <w:r w:rsidR="007A1F23" w:rsidRPr="0082718C">
        <w:rPr>
          <w:rFonts w:ascii="Verdana" w:eastAsia="Aptos" w:hAnsi="Verdana" w:cs="Arial"/>
          <w:b/>
          <w:bCs/>
          <w:lang w:eastAsia="es-ES"/>
        </w:rPr>
        <w:t xml:space="preserve">– </w:t>
      </w:r>
      <w:r w:rsidR="007A1F23" w:rsidRPr="0082718C">
        <w:rPr>
          <w:rFonts w:ascii="Verdana" w:eastAsia="Aptos" w:hAnsi="Verdana" w:cs="Arial"/>
          <w:b/>
          <w:bCs/>
          <w:lang w:eastAsia="es-ES"/>
        </w:rPr>
        <w:t>Ámbito Temporal</w:t>
      </w:r>
      <w:r w:rsidR="007A1F23" w:rsidRPr="0082718C">
        <w:rPr>
          <w:rFonts w:ascii="Verdana" w:eastAsia="Times New Roman" w:hAnsi="Verdana" w:cs="Arial"/>
          <w:b/>
          <w:bCs/>
          <w:color w:val="000000" w:themeColor="text1"/>
          <w:lang w:val="es-ES"/>
        </w:rPr>
        <w:t xml:space="preserve"> –</w:t>
      </w:r>
      <w:r w:rsidR="003626D5" w:rsidRPr="0082718C">
        <w:rPr>
          <w:rFonts w:ascii="Verdana" w:eastAsia="Times New Roman" w:hAnsi="Verdana" w:cs="Arial"/>
          <w:b/>
          <w:bCs/>
          <w:color w:val="000000" w:themeColor="text1"/>
          <w:lang w:val="es-ES"/>
        </w:rPr>
        <w:t>Celebración</w:t>
      </w:r>
      <w:r w:rsidR="00D1180D" w:rsidRPr="0082718C">
        <w:rPr>
          <w:rFonts w:ascii="Verdana" w:eastAsia="Aptos" w:hAnsi="Verdana" w:cs="Arial"/>
          <w:b/>
          <w:bCs/>
          <w:lang w:val="es-MX" w:eastAsia="es-ES"/>
        </w:rPr>
        <w:t>‒</w:t>
      </w:r>
      <w:r w:rsidR="00D1180D" w:rsidRPr="0082718C">
        <w:rPr>
          <w:rFonts w:ascii="Verdana" w:eastAsia="Aptos" w:hAnsi="Verdana" w:cs="Arial"/>
          <w:b/>
          <w:bCs/>
          <w:lang w:val="es-MX" w:eastAsia="es-ES"/>
        </w:rPr>
        <w:t>Limite</w:t>
      </w:r>
      <w:r w:rsidR="005E562B" w:rsidRPr="0082718C">
        <w:rPr>
          <w:rFonts w:ascii="Verdana" w:eastAsia="Calibri" w:hAnsi="Verdana" w:cs="Arial"/>
          <w:b/>
          <w:bCs/>
          <w:lang w:val="es-ES" w:eastAsia="es-ES"/>
        </w:rPr>
        <w:t xml:space="preserve"> </w:t>
      </w:r>
      <w:r w:rsidR="00D1180D" w:rsidRPr="0082718C">
        <w:rPr>
          <w:rFonts w:ascii="Verdana" w:eastAsia="Aptos" w:hAnsi="Verdana" w:cs="Arial"/>
          <w:b/>
          <w:bCs/>
          <w:lang w:val="es-MX" w:eastAsia="es-ES"/>
        </w:rPr>
        <w:t>‒LEY DE GARANTÍAS ELECTORALES</w:t>
      </w:r>
      <w:r w:rsidR="005E562B" w:rsidRPr="0082718C">
        <w:rPr>
          <w:rFonts w:ascii="Verdana" w:eastAsia="Times New Roman" w:hAnsi="Verdana" w:cs="Arial"/>
          <w:b/>
          <w:bCs/>
          <w:color w:val="000000" w:themeColor="text1"/>
          <w:lang w:val="es-ES"/>
        </w:rPr>
        <w:t>–</w:t>
      </w:r>
      <w:r w:rsidR="005E562B" w:rsidRPr="0082718C">
        <w:rPr>
          <w:rFonts w:ascii="Verdana" w:eastAsia="Times New Roman" w:hAnsi="Verdana" w:cs="Arial"/>
          <w:b/>
          <w:bCs/>
          <w:color w:val="000000" w:themeColor="text1"/>
          <w:lang w:val="es-ES"/>
        </w:rPr>
        <w:t xml:space="preserve">Prohibición </w:t>
      </w:r>
      <w:r w:rsidR="00294D3B" w:rsidRPr="0082718C">
        <w:rPr>
          <w:rFonts w:ascii="Verdana" w:eastAsia="Times New Roman" w:hAnsi="Verdana" w:cs="Arial"/>
          <w:b/>
          <w:bCs/>
          <w:color w:val="000000" w:themeColor="text1"/>
          <w:lang w:val="es-ES"/>
        </w:rPr>
        <w:t>–</w:t>
      </w:r>
      <w:r w:rsidR="003420D9" w:rsidRPr="0082718C">
        <w:rPr>
          <w:rFonts w:ascii="Verdana" w:eastAsia="Times New Roman" w:hAnsi="Verdana" w:cs="Arial"/>
          <w:b/>
          <w:bCs/>
          <w:color w:val="000000" w:themeColor="text1"/>
          <w:lang w:val="es-ES"/>
        </w:rPr>
        <w:t>Articulo 33</w:t>
      </w:r>
      <w:r w:rsidR="003420D9" w:rsidRPr="0082718C">
        <w:rPr>
          <w:rFonts w:ascii="Verdana" w:eastAsia="Times New Roman" w:hAnsi="Verdana" w:cs="Arial"/>
          <w:b/>
          <w:bCs/>
          <w:color w:val="000000" w:themeColor="text1"/>
          <w:lang w:val="es-ES"/>
        </w:rPr>
        <w:t>–</w:t>
      </w:r>
      <w:r w:rsidR="0082718C" w:rsidRPr="0082718C">
        <w:rPr>
          <w:rFonts w:ascii="Verdana" w:eastAsia="Times New Roman" w:hAnsi="Verdana" w:cs="Arial"/>
          <w:b/>
          <w:bCs/>
          <w:color w:val="000000" w:themeColor="text1"/>
          <w:lang w:val="es-ES"/>
        </w:rPr>
        <w:t>Contratación Directa</w:t>
      </w:r>
      <w:r w:rsidR="0082718C" w:rsidRPr="0082718C">
        <w:rPr>
          <w:rFonts w:ascii="Verdana" w:eastAsia="Times New Roman" w:hAnsi="Verdana" w:cs="Arial"/>
          <w:b/>
          <w:bCs/>
          <w:color w:val="000000" w:themeColor="text1"/>
          <w:lang w:val="es-ES"/>
        </w:rPr>
        <w:t>–</w:t>
      </w:r>
      <w:r w:rsidR="0082718C" w:rsidRPr="0082718C">
        <w:rPr>
          <w:rFonts w:ascii="Verdana" w:eastAsia="Aptos" w:hAnsi="Verdana" w:cs="Arial"/>
          <w:b/>
          <w:bCs/>
          <w:lang w:val="es-MX" w:eastAsia="es-ES"/>
        </w:rPr>
        <w:t xml:space="preserve"> </w:t>
      </w:r>
      <w:r w:rsidR="0082718C" w:rsidRPr="0082718C">
        <w:rPr>
          <w:rFonts w:ascii="Verdana" w:eastAsia="Aptos" w:hAnsi="Verdana" w:cs="Arial"/>
          <w:b/>
          <w:bCs/>
          <w:lang w:val="es-MX" w:eastAsia="es-ES"/>
        </w:rPr>
        <w:t>Alcance</w:t>
      </w:r>
    </w:p>
    <w:p w14:paraId="7F6F607B" w14:textId="77777777" w:rsidR="0082718C" w:rsidRPr="000342B7" w:rsidRDefault="0082718C" w:rsidP="0082718C">
      <w:pPr>
        <w:spacing w:after="0" w:line="240" w:lineRule="auto"/>
        <w:jc w:val="both"/>
        <w:rPr>
          <w:rFonts w:ascii="Verdana" w:eastAsia="Aptos" w:hAnsi="Verdana" w:cs="Arial"/>
          <w:b/>
          <w:bCs/>
          <w:lang w:eastAsia="es-ES"/>
        </w:rPr>
      </w:pPr>
    </w:p>
    <w:p w14:paraId="6785727E" w14:textId="6A895565" w:rsidR="003F293C" w:rsidRPr="007A1F23" w:rsidRDefault="00DD3B0F" w:rsidP="007A1F23">
      <w:pPr>
        <w:spacing w:after="120" w:line="276" w:lineRule="auto"/>
        <w:jc w:val="both"/>
        <w:rPr>
          <w:rFonts w:ascii="Verdana" w:eastAsia="Century Gothic" w:hAnsi="Verdana" w:cs="Century Gothic"/>
          <w:bCs/>
          <w:sz w:val="20"/>
          <w:szCs w:val="20"/>
          <w:lang w:val="es-ES_tradnl"/>
        </w:rPr>
      </w:pPr>
      <w:r w:rsidRPr="00DD3B0F">
        <w:rPr>
          <w:rFonts w:ascii="Verdana" w:eastAsia="Century Gothic" w:hAnsi="Verdana" w:cs="Century Gothic"/>
          <w:bCs/>
          <w:sz w:val="20"/>
          <w:szCs w:val="20"/>
          <w:lang w:val="es-ES_tradnl"/>
        </w:rPr>
        <w:t xml:space="preserve">La Ley 996 de 2005, conocida como “Ley de Garantías Electorales”, se suma al andamiaje constitucional y legal que busca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 En esta medida, introduce limitaciones para realizar nombramientos, postulaciones, contrataciones o cualquier otro tipo de actividad que implique destinación de recursos públicos bajo el devenir propio de las Entidades Estatales. </w:t>
      </w:r>
    </w:p>
    <w:p w14:paraId="05863008" w14:textId="77777777" w:rsidR="003F293C" w:rsidRPr="00DB716D" w:rsidRDefault="003F293C" w:rsidP="003F293C">
      <w:pPr>
        <w:spacing w:after="0"/>
        <w:jc w:val="both"/>
        <w:rPr>
          <w:rFonts w:ascii="Verdana" w:eastAsia="Aptos" w:hAnsi="Verdana" w:cs="Arial"/>
          <w:sz w:val="20"/>
          <w:szCs w:val="20"/>
          <w:lang w:eastAsia="es-ES"/>
        </w:rPr>
      </w:pPr>
      <w:r w:rsidRPr="00DB716D">
        <w:rPr>
          <w:rFonts w:ascii="Verdana" w:eastAsia="Aptos" w:hAnsi="Verdana" w:cs="Arial"/>
          <w:sz w:val="20"/>
          <w:szCs w:val="20"/>
          <w:lang w:eastAsia="es-ES"/>
        </w:rPr>
        <w:t>[…] 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w:t>
      </w:r>
    </w:p>
    <w:p w14:paraId="07ED57BC" w14:textId="77777777" w:rsidR="003F293C" w:rsidRPr="00DB716D" w:rsidRDefault="003F293C" w:rsidP="003F293C">
      <w:pPr>
        <w:spacing w:after="0"/>
        <w:jc w:val="both"/>
        <w:rPr>
          <w:rFonts w:ascii="Verdana" w:eastAsia="Aptos" w:hAnsi="Verdana" w:cs="Arial"/>
          <w:sz w:val="20"/>
          <w:szCs w:val="20"/>
          <w:lang w:eastAsia="es-ES"/>
        </w:rPr>
      </w:pPr>
    </w:p>
    <w:p w14:paraId="374B7CF2" w14:textId="77777777" w:rsidR="003F293C" w:rsidRDefault="003F293C" w:rsidP="003F293C">
      <w:pPr>
        <w:spacing w:after="0"/>
        <w:jc w:val="both"/>
        <w:rPr>
          <w:rFonts w:ascii="Verdana" w:eastAsia="Aptos" w:hAnsi="Verdana" w:cs="Arial"/>
          <w:sz w:val="20"/>
          <w:szCs w:val="20"/>
          <w:lang w:eastAsia="es-ES"/>
        </w:rPr>
      </w:pPr>
      <w:r w:rsidRPr="00DB716D">
        <w:rPr>
          <w:rFonts w:ascii="Verdana" w:eastAsia="Aptos" w:hAnsi="Verdana" w:cs="Arial"/>
          <w:sz w:val="20"/>
          <w:szCs w:val="20"/>
          <w:lang w:eastAsia="es-ES"/>
        </w:rPr>
        <w:t xml:space="preserve">Específicamente, las restricciones consagradas en la citada ley se dirigen a dos (2) tipos de campañas electorales claramente diferenciadas: las presidenciales y las demás que </w:t>
      </w:r>
      <w:r w:rsidRPr="00DB716D">
        <w:rPr>
          <w:rFonts w:ascii="Verdana" w:eastAsia="Aptos" w:hAnsi="Verdana" w:cs="Arial"/>
          <w:sz w:val="20"/>
          <w:szCs w:val="20"/>
          <w:lang w:eastAsia="es-ES"/>
        </w:rPr>
        <w:lastRenderedPageBreak/>
        <w:t>se adelanten para la elección de los demás cargos de elección popular, tanto a nivel nacional como a nivel territorial.</w:t>
      </w:r>
    </w:p>
    <w:p w14:paraId="66052BD9" w14:textId="77777777" w:rsidR="003F293C" w:rsidRDefault="003F293C" w:rsidP="003F293C">
      <w:pPr>
        <w:spacing w:after="0"/>
        <w:jc w:val="both"/>
        <w:rPr>
          <w:rFonts w:ascii="Verdana" w:eastAsia="Aptos" w:hAnsi="Verdana" w:cs="Arial"/>
          <w:sz w:val="20"/>
          <w:szCs w:val="20"/>
          <w:lang w:eastAsia="es-ES"/>
        </w:rPr>
      </w:pPr>
    </w:p>
    <w:p w14:paraId="6F701F29" w14:textId="77777777" w:rsidR="003F293C" w:rsidRDefault="003F293C" w:rsidP="003F293C">
      <w:pPr>
        <w:spacing w:after="0"/>
        <w:jc w:val="both"/>
        <w:rPr>
          <w:rFonts w:ascii="Verdana" w:eastAsia="Aptos" w:hAnsi="Verdana" w:cs="Arial"/>
          <w:sz w:val="20"/>
          <w:szCs w:val="20"/>
          <w:lang w:eastAsia="es-ES"/>
        </w:rPr>
      </w:pPr>
      <w:r w:rsidRPr="00DB716D">
        <w:rPr>
          <w:rFonts w:ascii="Verdana" w:eastAsia="Aptos" w:hAnsi="Verdana" w:cs="Arial"/>
          <w:sz w:val="20"/>
          <w:szCs w:val="20"/>
          <w:lang w:eastAsia="es-ES"/>
        </w:rPr>
        <w:t>Por un lado,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3B686759" w14:textId="77777777" w:rsidR="003F293C" w:rsidRPr="00DB716D" w:rsidRDefault="003F293C" w:rsidP="003F293C">
      <w:pPr>
        <w:spacing w:after="0"/>
        <w:jc w:val="both"/>
        <w:rPr>
          <w:rFonts w:ascii="Verdana" w:eastAsia="Aptos" w:hAnsi="Verdana" w:cs="Arial"/>
          <w:sz w:val="20"/>
          <w:szCs w:val="20"/>
          <w:lang w:eastAsia="es-ES"/>
        </w:rPr>
      </w:pPr>
    </w:p>
    <w:p w14:paraId="46C8A172" w14:textId="704F7C10" w:rsidR="00E43748" w:rsidRPr="00EC49A7" w:rsidRDefault="003F293C" w:rsidP="00EC49A7">
      <w:pPr>
        <w:spacing w:after="0"/>
        <w:jc w:val="both"/>
        <w:rPr>
          <w:rFonts w:ascii="Verdana" w:eastAsia="Aptos" w:hAnsi="Verdana" w:cs="Arial"/>
          <w:sz w:val="20"/>
          <w:szCs w:val="20"/>
          <w:lang w:eastAsia="es-ES"/>
        </w:rPr>
      </w:pPr>
      <w:r w:rsidRPr="00DB716D">
        <w:rPr>
          <w:rFonts w:ascii="Verdana" w:eastAsia="Aptos" w:hAnsi="Verdana" w:cs="Arial"/>
          <w:sz w:val="20"/>
          <w:szCs w:val="20"/>
          <w:lang w:eastAsia="es-ES"/>
        </w:rPr>
        <w:t xml:space="preserve">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w:t>
      </w:r>
      <w:r w:rsidR="000C635D">
        <w:rPr>
          <w:rFonts w:ascii="Verdana" w:eastAsia="Aptos" w:hAnsi="Verdana" w:cs="Arial"/>
          <w:sz w:val="20"/>
          <w:szCs w:val="20"/>
          <w:lang w:eastAsia="es-ES"/>
        </w:rPr>
        <w:t>prosélita.</w:t>
      </w:r>
    </w:p>
    <w:p w14:paraId="44EBE8D8" w14:textId="77777777" w:rsidR="00CC6662" w:rsidRDefault="00CC6662" w:rsidP="00E43748">
      <w:pPr>
        <w:spacing w:after="0"/>
        <w:rPr>
          <w:rFonts w:ascii="Verdana" w:eastAsia="Verdana" w:hAnsi="Verdana" w:cs="Verdana"/>
        </w:rPr>
      </w:pPr>
    </w:p>
    <w:p w14:paraId="1926A205" w14:textId="77777777" w:rsidR="00376E8D" w:rsidRDefault="00376E8D" w:rsidP="00376E8D">
      <w:pPr>
        <w:spacing w:after="0" w:line="240" w:lineRule="auto"/>
        <w:rPr>
          <w:rFonts w:ascii="Verdana" w:eastAsia="Calibri" w:hAnsi="Verdana" w:cs="Arial"/>
          <w:lang w:eastAsia="es-ES"/>
        </w:rPr>
      </w:pPr>
    </w:p>
    <w:p w14:paraId="2B2A9B04" w14:textId="75C953B4" w:rsidR="002A4FFB" w:rsidRPr="00494E18" w:rsidRDefault="00376E8D" w:rsidP="00494E18">
      <w:pPr>
        <w:spacing w:line="276" w:lineRule="auto"/>
        <w:jc w:val="both"/>
        <w:rPr>
          <w:rFonts w:ascii="Verdana" w:eastAsia="Calibri" w:hAnsi="Verdana" w:cs="Arial"/>
          <w:b/>
          <w:bCs/>
          <w:lang w:eastAsia="es-ES"/>
        </w:rPr>
      </w:pPr>
      <w:r w:rsidRPr="00494E18">
        <w:rPr>
          <w:rFonts w:ascii="Verdana" w:eastAsia="Calibri" w:hAnsi="Verdana" w:cs="Arial"/>
          <w:b/>
          <w:bCs/>
          <w:lang w:eastAsia="es-ES"/>
        </w:rPr>
        <w:t xml:space="preserve">  </w:t>
      </w:r>
      <w:r w:rsidR="00494E18" w:rsidRPr="00494E18">
        <w:rPr>
          <w:rFonts w:ascii="Verdana" w:eastAsia="Times New Roman" w:hAnsi="Verdana" w:cs="Arial"/>
          <w:b/>
          <w:bCs/>
          <w:color w:val="000000"/>
          <w:lang w:val="es-ES"/>
        </w:rPr>
        <w:t xml:space="preserve">LEY DE GARANTÍAS ELECTORALES – Excepciones – Destinatarios </w:t>
      </w:r>
    </w:p>
    <w:p w14:paraId="5ED17A18" w14:textId="77777777" w:rsidR="00494E18" w:rsidRPr="00494E18" w:rsidRDefault="00494E18" w:rsidP="00494E18">
      <w:pPr>
        <w:spacing w:after="120" w:line="276" w:lineRule="auto"/>
        <w:jc w:val="both"/>
        <w:rPr>
          <w:rFonts w:ascii="Verdana" w:eastAsia="Century Gothic" w:hAnsi="Verdana" w:cs="Century Gothic"/>
          <w:sz w:val="20"/>
          <w:szCs w:val="20"/>
          <w:lang w:val="es-ES"/>
        </w:rPr>
      </w:pPr>
      <w:r w:rsidRPr="00494E18">
        <w:rPr>
          <w:rFonts w:ascii="Verdana" w:eastAsia="Century Gothic" w:hAnsi="Verdana" w:cs="Century Gothic"/>
          <w:sz w:val="20"/>
          <w:szCs w:val="20"/>
          <w:lang w:val="es-ES"/>
        </w:rPr>
        <w:t>De conformidad con lo anterior, la Ley 996 de 2005 establece dos (2) tipos de restricciones en materia de contratación, las cuales coinciden parcialmente. En primer lugar,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En segundo lugar,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68D06CDE" w14:textId="77777777" w:rsidR="002A4FFB" w:rsidRPr="00494E18" w:rsidRDefault="002A4FFB" w:rsidP="00376E8D">
      <w:pPr>
        <w:spacing w:after="0" w:line="240" w:lineRule="auto"/>
        <w:rPr>
          <w:rFonts w:ascii="Verdana" w:eastAsia="Calibri" w:hAnsi="Verdana" w:cs="Arial"/>
          <w:lang w:val="es-ES" w:eastAsia="es-ES"/>
        </w:rPr>
      </w:pPr>
    </w:p>
    <w:p w14:paraId="179A86B3" w14:textId="77777777" w:rsidR="002A4FFB" w:rsidRDefault="002A4FFB" w:rsidP="00376E8D">
      <w:pPr>
        <w:spacing w:after="0" w:line="240" w:lineRule="auto"/>
        <w:rPr>
          <w:rFonts w:ascii="Verdana" w:eastAsia="Calibri" w:hAnsi="Verdana" w:cs="Arial"/>
          <w:lang w:eastAsia="es-ES"/>
        </w:rPr>
      </w:pPr>
    </w:p>
    <w:p w14:paraId="308EE546" w14:textId="77777777" w:rsidR="002A4FFB" w:rsidRDefault="002A4FFB" w:rsidP="00376E8D">
      <w:pPr>
        <w:spacing w:after="0" w:line="240" w:lineRule="auto"/>
        <w:rPr>
          <w:rFonts w:ascii="Verdana" w:eastAsia="Calibri" w:hAnsi="Verdana" w:cs="Arial"/>
          <w:lang w:eastAsia="es-ES"/>
        </w:rPr>
      </w:pPr>
    </w:p>
    <w:p w14:paraId="5F4F23D2" w14:textId="77777777" w:rsidR="002A4FFB" w:rsidRDefault="002A4FFB" w:rsidP="00376E8D">
      <w:pPr>
        <w:spacing w:after="0" w:line="240" w:lineRule="auto"/>
        <w:rPr>
          <w:rFonts w:ascii="Verdana" w:eastAsia="Calibri" w:hAnsi="Verdana" w:cs="Arial"/>
          <w:lang w:eastAsia="es-ES"/>
        </w:rPr>
      </w:pPr>
    </w:p>
    <w:p w14:paraId="6FBDECB9" w14:textId="77777777" w:rsidR="002A4FFB" w:rsidRDefault="002A4FFB" w:rsidP="00376E8D">
      <w:pPr>
        <w:spacing w:after="0" w:line="240" w:lineRule="auto"/>
        <w:rPr>
          <w:rFonts w:ascii="Verdana" w:eastAsia="Calibri" w:hAnsi="Verdana" w:cs="Arial"/>
          <w:lang w:eastAsia="es-ES"/>
        </w:rPr>
      </w:pPr>
    </w:p>
    <w:p w14:paraId="6106CF4A" w14:textId="77777777" w:rsidR="002A4FFB" w:rsidRDefault="002A4FFB" w:rsidP="00376E8D">
      <w:pPr>
        <w:spacing w:after="0" w:line="240" w:lineRule="auto"/>
        <w:rPr>
          <w:rFonts w:ascii="Verdana" w:eastAsia="Calibri" w:hAnsi="Verdana" w:cs="Arial"/>
          <w:lang w:eastAsia="es-ES"/>
        </w:rPr>
      </w:pPr>
    </w:p>
    <w:p w14:paraId="520D9F43" w14:textId="61324826" w:rsidR="00376E8D" w:rsidRDefault="00376E8D" w:rsidP="00376E8D">
      <w:pPr>
        <w:spacing w:after="0" w:line="240" w:lineRule="auto"/>
        <w:rPr>
          <w:rFonts w:ascii="Verdana" w:eastAsia="Calibri" w:hAnsi="Verdana" w:cs="Arial"/>
          <w:lang w:eastAsia="es-ES"/>
        </w:rPr>
      </w:pPr>
      <w:r>
        <w:rPr>
          <w:rFonts w:ascii="Verdana" w:eastAsia="Calibri" w:hAnsi="Verdana" w:cs="Arial"/>
          <w:lang w:eastAsia="es-ES"/>
        </w:rPr>
        <w:t xml:space="preserve">                                               </w:t>
      </w:r>
      <w:r w:rsidRPr="00CC6662">
        <w:rPr>
          <w:rFonts w:ascii="Verdana" w:eastAsia="Times New Roman" w:hAnsi="Verdana" w:cs="Times New Roman"/>
          <w:b/>
          <w:bCs/>
          <w:noProof/>
          <w:sz w:val="24"/>
          <w:szCs w:val="24"/>
          <w:lang w:eastAsia="es-CO"/>
        </w:rPr>
        <w:drawing>
          <wp:inline distT="0" distB="0" distL="0" distR="0" wp14:anchorId="723B4429" wp14:editId="5DCF217B">
            <wp:extent cx="2362200" cy="652959"/>
            <wp:effectExtent l="0" t="0" r="0" b="0"/>
            <wp:docPr id="895896179" name="Imagen 1">
              <a:extLst xmlns:a="http://schemas.openxmlformats.org/drawingml/2006/main">
                <a:ext uri="{FF2B5EF4-FFF2-40B4-BE49-F238E27FC236}">
                  <a16:creationId xmlns:a16="http://schemas.microsoft.com/office/drawing/2014/main" id="{EAD41144-FF64-4660-9A78-1304E187C0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7952" cy="676662"/>
                    </a:xfrm>
                    <a:prstGeom prst="rect">
                      <a:avLst/>
                    </a:prstGeom>
                    <a:noFill/>
                    <a:ln>
                      <a:noFill/>
                    </a:ln>
                  </pic:spPr>
                </pic:pic>
              </a:graphicData>
            </a:graphic>
          </wp:inline>
        </w:drawing>
      </w:r>
    </w:p>
    <w:p w14:paraId="67551A3C" w14:textId="3487C9E8" w:rsidR="00686D35" w:rsidRPr="00376E8D" w:rsidRDefault="00686D35" w:rsidP="00376E8D">
      <w:pPr>
        <w:spacing w:after="0" w:line="240" w:lineRule="auto"/>
        <w:rPr>
          <w:rFonts w:ascii="Verdana" w:eastAsia="Calibri" w:hAnsi="Verdana" w:cs="Arial"/>
          <w:lang w:eastAsia="es-ES"/>
        </w:rPr>
      </w:pPr>
      <w:r w:rsidRPr="00376E8D">
        <w:rPr>
          <w:rFonts w:ascii="Verdana" w:eastAsia="Calibri" w:hAnsi="Verdana" w:cs="Arial"/>
          <w:lang w:eastAsia="es-ES"/>
        </w:rPr>
        <w:t>Bogotá D.C., 28 Abril 2026</w:t>
      </w:r>
    </w:p>
    <w:p w14:paraId="694D4BDB" w14:textId="4FB36BF1" w:rsidR="00376E8D" w:rsidRDefault="00376E8D" w:rsidP="00E43748">
      <w:pPr>
        <w:spacing w:after="0" w:line="240" w:lineRule="auto"/>
        <w:rPr>
          <w:rFonts w:ascii="Verdana" w:eastAsia="Times New Roman" w:hAnsi="Verdana" w:cs="Times New Roman"/>
          <w:b/>
          <w:bCs/>
          <w:sz w:val="24"/>
          <w:szCs w:val="24"/>
          <w:lang w:eastAsia="es-CO"/>
        </w:rPr>
      </w:pPr>
      <w:r>
        <w:rPr>
          <w:rFonts w:ascii="Verdana" w:eastAsia="Times New Roman" w:hAnsi="Verdana" w:cs="Times New Roman"/>
          <w:b/>
          <w:bCs/>
          <w:sz w:val="24"/>
          <w:szCs w:val="24"/>
          <w:lang w:eastAsia="es-CO"/>
        </w:rPr>
        <w:t xml:space="preserve">                                                                     </w:t>
      </w:r>
    </w:p>
    <w:p w14:paraId="77E17D2B" w14:textId="4335FB57" w:rsidR="00376E8D" w:rsidRPr="00376E8D" w:rsidRDefault="00376E8D" w:rsidP="00E43748">
      <w:pPr>
        <w:spacing w:after="0" w:line="240" w:lineRule="auto"/>
        <w:rPr>
          <w:rFonts w:ascii="Verdana" w:eastAsia="Times New Roman" w:hAnsi="Verdana" w:cs="Times New Roman"/>
          <w:sz w:val="24"/>
          <w:szCs w:val="24"/>
          <w:lang w:eastAsia="es-CO"/>
        </w:rPr>
      </w:pPr>
      <w:r w:rsidRPr="00376E8D">
        <w:rPr>
          <w:rFonts w:ascii="Verdana" w:eastAsia="Times New Roman" w:hAnsi="Verdana" w:cs="Times New Roman"/>
          <w:sz w:val="24"/>
          <w:szCs w:val="24"/>
          <w:lang w:eastAsia="es-CO"/>
        </w:rPr>
        <w:t>Señora</w:t>
      </w:r>
    </w:p>
    <w:p w14:paraId="0DE71787" w14:textId="3A7FCF0A" w:rsidR="00E43748" w:rsidRPr="00305400" w:rsidRDefault="00E43748" w:rsidP="00E43748">
      <w:pPr>
        <w:spacing w:after="0" w:line="240" w:lineRule="auto"/>
        <w:rPr>
          <w:rFonts w:ascii="Verdana" w:eastAsia="Times New Roman" w:hAnsi="Verdana" w:cs="Times New Roman"/>
          <w:b/>
          <w:bCs/>
          <w:sz w:val="24"/>
          <w:szCs w:val="24"/>
          <w:lang w:eastAsia="es-CO"/>
        </w:rPr>
      </w:pPr>
      <w:r w:rsidRPr="00305400">
        <w:rPr>
          <w:rFonts w:ascii="Verdana" w:eastAsia="Times New Roman" w:hAnsi="Verdana" w:cs="Times New Roman"/>
          <w:b/>
          <w:bCs/>
          <w:sz w:val="24"/>
          <w:szCs w:val="24"/>
          <w:lang w:eastAsia="es-CO"/>
        </w:rPr>
        <w:t>Franci Yanuby Ramírez Reyes</w:t>
      </w:r>
      <w:r w:rsidR="00CC6662">
        <w:rPr>
          <w:rFonts w:ascii="Verdana" w:eastAsia="Times New Roman" w:hAnsi="Verdana" w:cs="Times New Roman"/>
          <w:b/>
          <w:bCs/>
          <w:sz w:val="24"/>
          <w:szCs w:val="24"/>
          <w:lang w:eastAsia="es-CO"/>
        </w:rPr>
        <w:t xml:space="preserve">               </w:t>
      </w:r>
      <w:r w:rsidR="00376E8D">
        <w:rPr>
          <w:rFonts w:ascii="Verdana" w:eastAsia="Times New Roman" w:hAnsi="Verdana" w:cs="Times New Roman"/>
          <w:b/>
          <w:bCs/>
          <w:sz w:val="24"/>
          <w:szCs w:val="24"/>
          <w:lang w:eastAsia="es-CO"/>
        </w:rPr>
        <w:t xml:space="preserve">     </w:t>
      </w:r>
      <w:r w:rsidRPr="00305400">
        <w:rPr>
          <w:rFonts w:ascii="Verdana" w:eastAsia="Times New Roman" w:hAnsi="Verdana" w:cs="Times New Roman"/>
          <w:b/>
          <w:bCs/>
          <w:sz w:val="24"/>
          <w:szCs w:val="24"/>
          <w:lang w:eastAsia="es-CO"/>
        </w:rPr>
        <w:t xml:space="preserve"> </w:t>
      </w:r>
    </w:p>
    <w:p w14:paraId="757E5A99" w14:textId="77777777" w:rsidR="00E43748" w:rsidRPr="00305400" w:rsidRDefault="00E43748" w:rsidP="00E43748">
      <w:pPr>
        <w:spacing w:after="0" w:line="240" w:lineRule="auto"/>
        <w:rPr>
          <w:rFonts w:ascii="Verdana" w:eastAsia="Times New Roman" w:hAnsi="Verdana" w:cs="Times New Roman"/>
          <w:sz w:val="24"/>
          <w:szCs w:val="24"/>
          <w:lang w:eastAsia="es-CO"/>
        </w:rPr>
      </w:pPr>
      <w:hyperlink r:id="rId11" w:history="1">
        <w:r w:rsidRPr="00305400">
          <w:rPr>
            <w:rStyle w:val="Hipervnculo"/>
            <w:rFonts w:ascii="Verdana" w:eastAsia="Times New Roman" w:hAnsi="Verdana" w:cs="Times New Roman"/>
            <w:color w:val="auto"/>
            <w:sz w:val="24"/>
            <w:szCs w:val="24"/>
            <w:u w:val="none"/>
            <w:lang w:eastAsia="es-CO"/>
          </w:rPr>
          <w:t>francyram.r@gmail.com</w:t>
        </w:r>
      </w:hyperlink>
    </w:p>
    <w:p w14:paraId="7C34C684" w14:textId="79DB2112" w:rsidR="00E43748" w:rsidRDefault="00E43748" w:rsidP="00686D35">
      <w:pPr>
        <w:spacing w:after="0" w:line="240" w:lineRule="auto"/>
        <w:rPr>
          <w:rFonts w:ascii="Verdana" w:eastAsia="Times New Roman" w:hAnsi="Verdana" w:cs="Times New Roman"/>
          <w:sz w:val="24"/>
          <w:szCs w:val="24"/>
          <w:lang w:eastAsia="es-CO"/>
        </w:rPr>
      </w:pPr>
      <w:r w:rsidRPr="00305400">
        <w:rPr>
          <w:rFonts w:ascii="Verdana" w:eastAsia="Times New Roman" w:hAnsi="Verdana" w:cs="Times New Roman"/>
          <w:sz w:val="24"/>
          <w:szCs w:val="24"/>
          <w:lang w:eastAsia="es-CO"/>
        </w:rPr>
        <w:t>Ciudad</w:t>
      </w:r>
    </w:p>
    <w:p w14:paraId="0FB0C12C" w14:textId="77777777" w:rsidR="00E43748" w:rsidRPr="006733BD" w:rsidRDefault="00E43748" w:rsidP="00E43748">
      <w:pPr>
        <w:spacing w:after="0" w:line="240" w:lineRule="auto"/>
        <w:rPr>
          <w:rFonts w:ascii="Verdana" w:eastAsia="Calibri" w:hAnsi="Verdana" w:cs="Arial"/>
          <w:b/>
          <w:bCs/>
          <w:color w:val="ED7D31" w:themeColor="accent2"/>
          <w:lang w:val="es-ES" w:eastAsia="es-ES"/>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E43748" w:rsidRPr="006733BD" w14:paraId="40E41205" w14:textId="77777777" w:rsidTr="000B0E77">
        <w:trPr>
          <w:trHeight w:val="300"/>
        </w:trPr>
        <w:tc>
          <w:tcPr>
            <w:tcW w:w="2410" w:type="dxa"/>
          </w:tcPr>
          <w:p w14:paraId="0AEF7B58" w14:textId="77777777" w:rsidR="00E43748" w:rsidRDefault="00E43748" w:rsidP="000B0E77">
            <w:pPr>
              <w:ind w:left="-142"/>
              <w:jc w:val="both"/>
              <w:rPr>
                <w:rFonts w:ascii="Verdana" w:eastAsia="Calibri" w:hAnsi="Verdana" w:cs="Arial"/>
                <w:b/>
                <w:bCs/>
                <w:lang w:val="es-ES" w:eastAsia="es-ES_tradnl"/>
              </w:rPr>
            </w:pPr>
          </w:p>
          <w:p w14:paraId="205BA7F3" w14:textId="77777777" w:rsidR="00E43748" w:rsidRPr="00A54BCB" w:rsidRDefault="00E43748" w:rsidP="000B0E77">
            <w:pPr>
              <w:ind w:left="-142"/>
              <w:jc w:val="both"/>
              <w:rPr>
                <w:rFonts w:ascii="Verdana" w:eastAsia="Calibri" w:hAnsi="Verdana" w:cs="Arial"/>
                <w:b/>
                <w:bCs/>
                <w:lang w:val="es-ES" w:eastAsia="es-ES_tradnl"/>
              </w:rPr>
            </w:pPr>
          </w:p>
        </w:tc>
        <w:tc>
          <w:tcPr>
            <w:tcW w:w="6100" w:type="dxa"/>
          </w:tcPr>
          <w:p w14:paraId="7746EBF7" w14:textId="77777777" w:rsidR="00E43748" w:rsidRPr="00A54BCB" w:rsidRDefault="00E43748" w:rsidP="000B0E77">
            <w:pPr>
              <w:ind w:left="3"/>
              <w:jc w:val="both"/>
              <w:rPr>
                <w:rFonts w:ascii="Verdana" w:eastAsia="Calibri" w:hAnsi="Verdana" w:cs="Arial"/>
                <w:b/>
                <w:bCs/>
                <w:lang w:val="es-ES" w:eastAsia="es-ES"/>
              </w:rPr>
            </w:pPr>
            <w:r w:rsidRPr="00A54BCB">
              <w:rPr>
                <w:rFonts w:ascii="Verdana" w:eastAsia="Calibri" w:hAnsi="Verdana" w:cs="Arial"/>
                <w:b/>
                <w:bCs/>
                <w:lang w:val="es-ES" w:eastAsia="es-ES"/>
              </w:rPr>
              <w:t>Concepto C-</w:t>
            </w:r>
            <w:r>
              <w:rPr>
                <w:rFonts w:ascii="Verdana" w:eastAsia="Calibri" w:hAnsi="Verdana" w:cs="Arial"/>
                <w:b/>
                <w:bCs/>
                <w:lang w:val="es-ES" w:eastAsia="es-ES"/>
              </w:rPr>
              <w:t xml:space="preserve">462 </w:t>
            </w:r>
            <w:r w:rsidRPr="00A54BCB">
              <w:rPr>
                <w:rFonts w:ascii="Verdana" w:eastAsia="Calibri" w:hAnsi="Verdana" w:cs="Arial"/>
                <w:b/>
                <w:bCs/>
                <w:lang w:val="es-ES" w:eastAsia="es-ES"/>
              </w:rPr>
              <w:t>de 202</w:t>
            </w:r>
            <w:r>
              <w:rPr>
                <w:rFonts w:ascii="Verdana" w:eastAsia="Calibri" w:hAnsi="Verdana" w:cs="Arial"/>
                <w:b/>
                <w:bCs/>
                <w:lang w:val="es-ES" w:eastAsia="es-ES"/>
              </w:rPr>
              <w:t>6</w:t>
            </w:r>
          </w:p>
          <w:p w14:paraId="76D76900" w14:textId="77777777" w:rsidR="00E43748" w:rsidRPr="00305400" w:rsidRDefault="00E43748" w:rsidP="000B0E77">
            <w:pPr>
              <w:ind w:left="3"/>
              <w:jc w:val="both"/>
              <w:rPr>
                <w:rFonts w:ascii="Verdana" w:eastAsia="Calibri" w:hAnsi="Verdana" w:cs="Arial"/>
                <w:b/>
                <w:bCs/>
                <w:lang w:eastAsia="es-ES"/>
              </w:rPr>
            </w:pPr>
          </w:p>
        </w:tc>
      </w:tr>
      <w:tr w:rsidR="00E43748" w:rsidRPr="00494E18" w14:paraId="199A8578" w14:textId="77777777" w:rsidTr="000B0E77">
        <w:trPr>
          <w:trHeight w:val="300"/>
        </w:trPr>
        <w:tc>
          <w:tcPr>
            <w:tcW w:w="2410" w:type="dxa"/>
          </w:tcPr>
          <w:p w14:paraId="08942EC0" w14:textId="77777777" w:rsidR="00E43748" w:rsidRPr="006733BD" w:rsidRDefault="00E43748" w:rsidP="000B0E77">
            <w:pPr>
              <w:ind w:left="424" w:firstLine="142"/>
              <w:jc w:val="both"/>
              <w:rPr>
                <w:rFonts w:ascii="Verdana" w:eastAsia="Calibri" w:hAnsi="Verdana" w:cs="Arial"/>
                <w:color w:val="ED7D31" w:themeColor="accent2"/>
                <w:lang w:val="es-ES" w:eastAsia="es-ES_tradnl"/>
              </w:rPr>
            </w:pPr>
            <w:r w:rsidRPr="00A54BCB">
              <w:rPr>
                <w:rFonts w:ascii="Verdana" w:eastAsia="Calibri" w:hAnsi="Verdana" w:cs="Arial"/>
                <w:b/>
                <w:lang w:val="es-ES" w:eastAsia="es-ES_tradnl"/>
              </w:rPr>
              <w:t>Temas:</w:t>
            </w:r>
            <w:r w:rsidRPr="006733BD">
              <w:rPr>
                <w:rFonts w:ascii="Verdana" w:eastAsia="Calibri" w:hAnsi="Verdana" w:cs="Arial"/>
                <w:color w:val="ED7D31" w:themeColor="accent2"/>
                <w:lang w:val="es-ES" w:eastAsia="es-ES_tradnl"/>
              </w:rPr>
              <w:t xml:space="preserve">                  </w:t>
            </w:r>
          </w:p>
        </w:tc>
        <w:tc>
          <w:tcPr>
            <w:tcW w:w="6100" w:type="dxa"/>
          </w:tcPr>
          <w:p w14:paraId="37D22290" w14:textId="77777777" w:rsidR="00E43748" w:rsidRPr="008D79BB" w:rsidRDefault="00E43748" w:rsidP="000B0E77">
            <w:pPr>
              <w:spacing w:line="276" w:lineRule="auto"/>
              <w:jc w:val="both"/>
              <w:rPr>
                <w:rFonts w:ascii="Verdana" w:eastAsia="Calibri" w:hAnsi="Verdana" w:cs="Arial"/>
                <w:lang w:eastAsia="es-ES"/>
              </w:rPr>
            </w:pPr>
            <w:r>
              <w:rPr>
                <w:rFonts w:ascii="Verdana" w:eastAsia="Aptos" w:hAnsi="Verdana" w:cs="Arial"/>
                <w:lang w:val="es-ES" w:eastAsia="es-ES"/>
              </w:rPr>
              <w:t xml:space="preserve">CONCURSO DE MERITOS -Diferencias- </w:t>
            </w:r>
            <w:r w:rsidRPr="00343E12">
              <w:rPr>
                <w:rFonts w:ascii="Verdana" w:eastAsia="Aptos" w:hAnsi="Verdana" w:cs="Arial"/>
                <w:lang w:val="es-MX" w:eastAsia="es-ES"/>
              </w:rPr>
              <w:t xml:space="preserve">LEY DE GARANTÍAS ELECTORALES ‒ Finalidad / ‒ Tipos de restricciones ‒ Ámbito temporal – Celebración - Límite / LEY DE GARANTÍAS ELECTORALES – Prohibición – Artículo 33 – Contratación directa – Alcance / LEY DE GARANTÍAS ELECTORALES – Excepciones / </w:t>
            </w:r>
            <w:r w:rsidRPr="00343E12">
              <w:rPr>
                <w:rFonts w:ascii="Verdana" w:eastAsia="Times New Roman" w:hAnsi="Verdana" w:cs="Arial"/>
                <w:color w:val="000000"/>
                <w:lang w:val="es-ES"/>
              </w:rPr>
              <w:t xml:space="preserve">LEY DE GARANTÍAS ELECTORALES – Excepciones – Destinatarios - </w:t>
            </w:r>
          </w:p>
          <w:p w14:paraId="1384CB9A" w14:textId="77777777" w:rsidR="00E43748" w:rsidRPr="00305400" w:rsidRDefault="00E43748" w:rsidP="000B0E77">
            <w:pPr>
              <w:tabs>
                <w:tab w:val="left" w:pos="3374"/>
              </w:tabs>
              <w:jc w:val="both"/>
              <w:rPr>
                <w:rFonts w:ascii="Verdana" w:eastAsia="Calibri" w:hAnsi="Verdana" w:cs="Arial"/>
                <w:lang w:eastAsia="es-ES"/>
              </w:rPr>
            </w:pPr>
          </w:p>
          <w:p w14:paraId="68838BE3" w14:textId="77777777" w:rsidR="00E43748" w:rsidRPr="008F679F" w:rsidRDefault="00E43748" w:rsidP="000B0E77">
            <w:pPr>
              <w:tabs>
                <w:tab w:val="left" w:pos="3374"/>
              </w:tabs>
              <w:jc w:val="both"/>
              <w:rPr>
                <w:rFonts w:ascii="Verdana" w:eastAsia="Calibri" w:hAnsi="Verdana" w:cs="Arial"/>
                <w:color w:val="ED7D31" w:themeColor="accent2"/>
                <w:lang w:val="es-ES"/>
              </w:rPr>
            </w:pPr>
          </w:p>
        </w:tc>
      </w:tr>
      <w:tr w:rsidR="00E43748" w:rsidRPr="00C5490E" w14:paraId="3CE9B411" w14:textId="77777777" w:rsidTr="000B0E77">
        <w:tc>
          <w:tcPr>
            <w:tcW w:w="2410" w:type="dxa"/>
          </w:tcPr>
          <w:p w14:paraId="57FF05B0" w14:textId="77777777" w:rsidR="00E43748" w:rsidRPr="006733BD" w:rsidRDefault="00E43748" w:rsidP="000B0E77">
            <w:pPr>
              <w:ind w:left="561"/>
              <w:jc w:val="both"/>
              <w:rPr>
                <w:rFonts w:ascii="Verdana" w:eastAsia="Calibri" w:hAnsi="Verdana" w:cs="Arial"/>
                <w:b/>
                <w:color w:val="ED7D31" w:themeColor="accent2"/>
                <w:lang w:val="es-ES" w:eastAsia="es-ES_tradnl"/>
              </w:rPr>
            </w:pPr>
            <w:r w:rsidRPr="00A54BCB">
              <w:rPr>
                <w:rFonts w:ascii="Verdana" w:eastAsia="Calibri" w:hAnsi="Verdana" w:cs="Arial"/>
                <w:b/>
                <w:lang w:val="es-ES" w:eastAsia="es-ES_tradnl"/>
              </w:rPr>
              <w:t>Radicación:</w:t>
            </w:r>
            <w:r w:rsidRPr="00A54BCB">
              <w:rPr>
                <w:rFonts w:ascii="Verdana" w:eastAsia="Calibri" w:hAnsi="Verdana" w:cs="Arial"/>
                <w:lang w:val="es-ES" w:eastAsia="es-ES_tradnl"/>
              </w:rPr>
              <w:t xml:space="preserve">   </w:t>
            </w:r>
            <w:r w:rsidRPr="006733BD">
              <w:rPr>
                <w:rFonts w:ascii="Verdana" w:eastAsia="Calibri" w:hAnsi="Verdana" w:cs="Arial"/>
                <w:color w:val="ED7D31" w:themeColor="accent2"/>
                <w:lang w:val="es-ES" w:eastAsia="es-ES_tradnl"/>
              </w:rPr>
              <w:t xml:space="preserve">           </w:t>
            </w:r>
          </w:p>
        </w:tc>
        <w:tc>
          <w:tcPr>
            <w:tcW w:w="6100" w:type="dxa"/>
          </w:tcPr>
          <w:p w14:paraId="6D8A1A82" w14:textId="77777777" w:rsidR="00E43748" w:rsidRPr="00305400" w:rsidRDefault="00E43748" w:rsidP="000B0E77">
            <w:pPr>
              <w:ind w:left="3"/>
              <w:jc w:val="both"/>
              <w:rPr>
                <w:rFonts w:ascii="Verdana" w:hAnsi="Verdana"/>
                <w:lang w:val="es-ES"/>
              </w:rPr>
            </w:pPr>
            <w:r w:rsidRPr="00C5490E">
              <w:rPr>
                <w:rFonts w:ascii="Verdana" w:eastAsia="Calibri" w:hAnsi="Verdana" w:cs="Arial"/>
                <w:lang w:val="es-ES" w:eastAsia="es-ES"/>
              </w:rPr>
              <w:t xml:space="preserve">Respuesta a consulta con radicado No. </w:t>
            </w:r>
            <w:r>
              <w:rPr>
                <w:rFonts w:ascii="Verdana" w:hAnsi="Verdana" w:cs="Calibri"/>
                <w:color w:val="000000"/>
              </w:rPr>
              <w:t>1_2026_03_20_003899</w:t>
            </w:r>
          </w:p>
          <w:p w14:paraId="6627EACE" w14:textId="77777777" w:rsidR="00E43748" w:rsidRPr="00972B2F" w:rsidRDefault="00E43748" w:rsidP="000B0E77">
            <w:pPr>
              <w:ind w:left="3"/>
              <w:jc w:val="both"/>
              <w:rPr>
                <w:rFonts w:ascii="Verdana" w:hAnsi="Verdana"/>
                <w:lang w:val="es-ES"/>
              </w:rPr>
            </w:pPr>
          </w:p>
          <w:p w14:paraId="2467CB29" w14:textId="77777777" w:rsidR="00E43748" w:rsidRPr="00C5490E" w:rsidRDefault="00E43748" w:rsidP="000B0E77">
            <w:pPr>
              <w:ind w:left="3"/>
              <w:jc w:val="both"/>
              <w:rPr>
                <w:rFonts w:ascii="Verdana" w:hAnsi="Verdana"/>
                <w:lang w:val="es-ES"/>
              </w:rPr>
            </w:pPr>
          </w:p>
        </w:tc>
      </w:tr>
    </w:tbl>
    <w:p w14:paraId="6CADD7A6" w14:textId="77777777" w:rsidR="00E43748" w:rsidRDefault="00E43748" w:rsidP="00E43748">
      <w:pPr>
        <w:spacing w:after="0" w:line="276" w:lineRule="auto"/>
        <w:jc w:val="both"/>
        <w:rPr>
          <w:rFonts w:ascii="Verdana" w:eastAsia="Calibri" w:hAnsi="Verdana" w:cs="Arial"/>
          <w:lang w:val="es-ES" w:eastAsia="es-ES"/>
        </w:rPr>
      </w:pPr>
    </w:p>
    <w:p w14:paraId="6436F596" w14:textId="5DCD3B9A" w:rsidR="00E43748" w:rsidRPr="00C5490E" w:rsidRDefault="00E43748" w:rsidP="00E43748">
      <w:pPr>
        <w:spacing w:after="0" w:line="276" w:lineRule="auto"/>
        <w:jc w:val="both"/>
        <w:rPr>
          <w:rFonts w:ascii="Verdana" w:eastAsia="Calibri" w:hAnsi="Verdana" w:cs="Arial"/>
          <w:lang w:val="es-ES" w:eastAsia="es-ES"/>
        </w:rPr>
      </w:pPr>
      <w:r w:rsidRPr="00C5490E">
        <w:rPr>
          <w:rFonts w:ascii="Verdana" w:eastAsia="Calibri" w:hAnsi="Verdana" w:cs="Arial"/>
          <w:lang w:val="es-ES" w:eastAsia="es-ES"/>
        </w:rPr>
        <w:t>Estimado Señor</w:t>
      </w:r>
      <w:r w:rsidR="004C08FC">
        <w:rPr>
          <w:rFonts w:ascii="Verdana" w:eastAsia="Calibri" w:hAnsi="Verdana" w:cs="Arial"/>
          <w:lang w:val="es-ES" w:eastAsia="es-ES"/>
        </w:rPr>
        <w:t>a</w:t>
      </w:r>
      <w:r w:rsidR="00C75BF8">
        <w:rPr>
          <w:rFonts w:ascii="Verdana" w:eastAsia="Calibri" w:hAnsi="Verdana" w:cs="Arial"/>
          <w:lang w:val="es-ES" w:eastAsia="es-ES"/>
        </w:rPr>
        <w:t xml:space="preserve"> </w:t>
      </w:r>
      <w:proofErr w:type="spellStart"/>
      <w:r w:rsidR="00C75BF8">
        <w:rPr>
          <w:rFonts w:ascii="Verdana" w:eastAsia="Calibri" w:hAnsi="Verdana" w:cs="Arial"/>
          <w:lang w:val="es-ES" w:eastAsia="es-ES"/>
        </w:rPr>
        <w:t>Ramirez</w:t>
      </w:r>
      <w:proofErr w:type="spellEnd"/>
      <w:r w:rsidRPr="00C5490E">
        <w:rPr>
          <w:rFonts w:ascii="Verdana" w:eastAsia="Calibri" w:hAnsi="Verdana" w:cs="Arial"/>
          <w:lang w:val="es-ES" w:eastAsia="es-ES"/>
        </w:rPr>
        <w:t>,</w:t>
      </w:r>
    </w:p>
    <w:p w14:paraId="2B78661E" w14:textId="77777777" w:rsidR="00E43748" w:rsidRPr="00C5490E" w:rsidRDefault="00E43748" w:rsidP="00E43748">
      <w:pPr>
        <w:tabs>
          <w:tab w:val="left" w:pos="3768"/>
        </w:tabs>
        <w:spacing w:after="0" w:line="276" w:lineRule="auto"/>
        <w:jc w:val="both"/>
        <w:rPr>
          <w:rFonts w:ascii="Verdana" w:eastAsia="Calibri" w:hAnsi="Verdana" w:cs="Arial"/>
          <w:lang w:val="es-ES" w:eastAsia="es-ES"/>
        </w:rPr>
      </w:pPr>
      <w:r w:rsidRPr="00C5490E">
        <w:rPr>
          <w:rFonts w:ascii="Verdana" w:eastAsia="Calibri" w:hAnsi="Verdana" w:cs="Arial"/>
          <w:lang w:val="es-ES" w:eastAsia="es-ES"/>
        </w:rPr>
        <w:tab/>
      </w:r>
    </w:p>
    <w:p w14:paraId="44F25295" w14:textId="77777777" w:rsidR="00E43748" w:rsidRDefault="00E43748" w:rsidP="00E43748">
      <w:pPr>
        <w:spacing w:after="0" w:line="276" w:lineRule="auto"/>
        <w:jc w:val="both"/>
        <w:rPr>
          <w:rFonts w:ascii="Verdana" w:eastAsia="Calibri" w:hAnsi="Verdana" w:cs="Arial"/>
          <w:lang w:val="es-ES" w:eastAsia="es-ES"/>
        </w:rPr>
      </w:pPr>
      <w:r w:rsidRPr="00852F26">
        <w:rPr>
          <w:rFonts w:ascii="Verdana" w:eastAsia="Calibri" w:hAnsi="Verdana" w:cs="Arial"/>
          <w:lang w:val="es-ES" w:eastAsia="es-ES"/>
        </w:rPr>
        <w:t xml:space="preserve">En ejercicio de la competencia otorgada por los artículos 3, numeral 5º, y 11, numeral 8º, del Decreto Ley 4170 de 2011, así como lo establecido por la Resolución 469 de 2025 expedida por esta Entidad, la Agencia Nacional de Contratación Pública – Colombia Compra Eficiente– responde su solicitud de consulta de fecha </w:t>
      </w:r>
      <w:r>
        <w:rPr>
          <w:rFonts w:ascii="Verdana" w:eastAsia="Calibri" w:hAnsi="Verdana" w:cs="Arial"/>
          <w:lang w:val="es-ES" w:eastAsia="es-ES"/>
        </w:rPr>
        <w:t>19</w:t>
      </w:r>
      <w:r w:rsidRPr="00852F26">
        <w:rPr>
          <w:rFonts w:ascii="Verdana" w:eastAsia="Calibri" w:hAnsi="Verdana" w:cs="Arial"/>
          <w:lang w:val="es-ES" w:eastAsia="es-ES"/>
        </w:rPr>
        <w:t xml:space="preserve"> de </w:t>
      </w:r>
      <w:r>
        <w:rPr>
          <w:rFonts w:ascii="Verdana" w:eastAsia="Calibri" w:hAnsi="Verdana" w:cs="Arial"/>
          <w:lang w:val="es-ES" w:eastAsia="es-ES"/>
        </w:rPr>
        <w:t xml:space="preserve">marzo </w:t>
      </w:r>
      <w:r w:rsidRPr="00852F26">
        <w:rPr>
          <w:rFonts w:ascii="Verdana" w:eastAsia="Calibri" w:hAnsi="Verdana" w:cs="Arial"/>
          <w:lang w:val="es-ES" w:eastAsia="es-ES"/>
        </w:rPr>
        <w:t>de 2026, en la cual manifiesta lo siguiente:</w:t>
      </w:r>
    </w:p>
    <w:p w14:paraId="1F56F51F" w14:textId="77777777" w:rsidR="00E43748" w:rsidRDefault="00E43748" w:rsidP="00E43748">
      <w:pPr>
        <w:spacing w:before="120" w:after="120"/>
        <w:ind w:right="709"/>
        <w:contextualSpacing/>
        <w:jc w:val="both"/>
        <w:rPr>
          <w:rFonts w:ascii="Verdana" w:eastAsia="Century Gothic" w:hAnsi="Verdana" w:cs="Century Gothic"/>
          <w:i/>
          <w:iCs/>
          <w:sz w:val="20"/>
          <w:szCs w:val="20"/>
        </w:rPr>
      </w:pPr>
    </w:p>
    <w:p w14:paraId="66067BAE" w14:textId="77777777" w:rsidR="00E43748" w:rsidRPr="00305400" w:rsidRDefault="00E43748" w:rsidP="00E43748">
      <w:pPr>
        <w:spacing w:after="0" w:line="240" w:lineRule="auto"/>
        <w:ind w:left="737" w:right="737"/>
        <w:contextualSpacing/>
        <w:jc w:val="both"/>
        <w:rPr>
          <w:rFonts w:ascii="Verdana" w:eastAsia="Century Gothic" w:hAnsi="Verdana" w:cs="Century Gothic"/>
          <w:i/>
          <w:iCs/>
          <w:sz w:val="20"/>
          <w:szCs w:val="20"/>
        </w:rPr>
      </w:pPr>
      <w:r>
        <w:rPr>
          <w:rFonts w:ascii="Verdana" w:eastAsia="Century Gothic" w:hAnsi="Verdana" w:cs="Century Gothic"/>
          <w:i/>
          <w:iCs/>
          <w:sz w:val="20"/>
          <w:szCs w:val="20"/>
        </w:rPr>
        <w:t>“</w:t>
      </w:r>
      <w:r w:rsidRPr="00305400">
        <w:rPr>
          <w:rFonts w:ascii="Verdana" w:eastAsia="Century Gothic" w:hAnsi="Verdana" w:cs="Century Gothic"/>
          <w:i/>
          <w:iCs/>
          <w:sz w:val="20"/>
          <w:szCs w:val="20"/>
        </w:rPr>
        <w:t>una institución educativa de educación superior (carreras técnicas y tecnologías) requiere adelantar un</w:t>
      </w:r>
      <w:r>
        <w:rPr>
          <w:rFonts w:ascii="Verdana" w:eastAsia="Century Gothic" w:hAnsi="Verdana" w:cs="Century Gothic"/>
          <w:i/>
          <w:iCs/>
          <w:sz w:val="20"/>
          <w:szCs w:val="20"/>
        </w:rPr>
        <w:t xml:space="preserve"> </w:t>
      </w:r>
      <w:r w:rsidRPr="00305400">
        <w:rPr>
          <w:rFonts w:ascii="Verdana" w:eastAsia="Century Gothic" w:hAnsi="Verdana" w:cs="Century Gothic"/>
          <w:i/>
          <w:iCs/>
          <w:sz w:val="20"/>
          <w:szCs w:val="20"/>
        </w:rPr>
        <w:t>concurso de méritos para proveer cargos (plazas docentes) para ello en años anteriores han contratado</w:t>
      </w:r>
    </w:p>
    <w:p w14:paraId="21C39EC0" w14:textId="77777777" w:rsidR="00E43748" w:rsidRDefault="00E43748" w:rsidP="00E43748">
      <w:pPr>
        <w:spacing w:after="0" w:line="240" w:lineRule="auto"/>
        <w:ind w:left="737" w:right="737"/>
        <w:contextualSpacing/>
        <w:jc w:val="both"/>
        <w:rPr>
          <w:rFonts w:ascii="Verdana" w:eastAsia="Century Gothic" w:hAnsi="Verdana" w:cs="Century Gothic"/>
          <w:i/>
          <w:iCs/>
          <w:sz w:val="20"/>
          <w:szCs w:val="20"/>
        </w:rPr>
      </w:pPr>
      <w:r w:rsidRPr="00305400">
        <w:rPr>
          <w:rFonts w:ascii="Verdana" w:eastAsia="Century Gothic" w:hAnsi="Verdana" w:cs="Century Gothic"/>
          <w:i/>
          <w:iCs/>
          <w:sz w:val="20"/>
          <w:szCs w:val="20"/>
        </w:rPr>
        <w:lastRenderedPageBreak/>
        <w:t>con una institución de similares características para el desarrollo del concurso de méritos.</w:t>
      </w:r>
    </w:p>
    <w:p w14:paraId="68ADEBBD" w14:textId="77777777" w:rsidR="00E43748" w:rsidRPr="00305400" w:rsidRDefault="00E43748" w:rsidP="00E43748">
      <w:pPr>
        <w:spacing w:after="0" w:line="240" w:lineRule="auto"/>
        <w:ind w:left="737" w:right="737"/>
        <w:contextualSpacing/>
        <w:jc w:val="both"/>
        <w:rPr>
          <w:rFonts w:ascii="Verdana" w:eastAsia="Century Gothic" w:hAnsi="Verdana" w:cs="Century Gothic"/>
          <w:i/>
          <w:iCs/>
          <w:sz w:val="20"/>
          <w:szCs w:val="20"/>
        </w:rPr>
      </w:pPr>
    </w:p>
    <w:p w14:paraId="73399024" w14:textId="77777777" w:rsidR="00E43748" w:rsidRDefault="00E43748" w:rsidP="00E43748">
      <w:pPr>
        <w:spacing w:after="0" w:line="240" w:lineRule="auto"/>
        <w:ind w:left="737" w:right="737"/>
        <w:contextualSpacing/>
        <w:jc w:val="both"/>
        <w:rPr>
          <w:rFonts w:ascii="Verdana" w:eastAsia="Century Gothic" w:hAnsi="Verdana" w:cs="Century Gothic"/>
          <w:i/>
          <w:iCs/>
          <w:sz w:val="20"/>
          <w:szCs w:val="20"/>
        </w:rPr>
      </w:pPr>
      <w:r w:rsidRPr="00305400">
        <w:rPr>
          <w:rFonts w:ascii="Verdana" w:eastAsia="Century Gothic" w:hAnsi="Verdana" w:cs="Century Gothic"/>
          <w:i/>
          <w:iCs/>
          <w:sz w:val="20"/>
          <w:szCs w:val="20"/>
        </w:rPr>
        <w:t xml:space="preserve">teniendo en </w:t>
      </w:r>
      <w:proofErr w:type="spellStart"/>
      <w:r w:rsidRPr="00305400">
        <w:rPr>
          <w:rFonts w:ascii="Verdana" w:eastAsia="Century Gothic" w:hAnsi="Verdana" w:cs="Century Gothic"/>
          <w:i/>
          <w:iCs/>
          <w:sz w:val="20"/>
          <w:szCs w:val="20"/>
        </w:rPr>
        <w:t>cuneta</w:t>
      </w:r>
      <w:proofErr w:type="spellEnd"/>
      <w:r w:rsidRPr="00305400">
        <w:rPr>
          <w:rFonts w:ascii="Verdana" w:eastAsia="Century Gothic" w:hAnsi="Verdana" w:cs="Century Gothic"/>
          <w:i/>
          <w:iCs/>
          <w:sz w:val="20"/>
          <w:szCs w:val="20"/>
        </w:rPr>
        <w:t xml:space="preserve"> lo anterior, se solicita informar si en ley de garantías es posible llevar a cabo </w:t>
      </w:r>
      <w:proofErr w:type="spellStart"/>
      <w:proofErr w:type="gramStart"/>
      <w:r w:rsidRPr="00305400">
        <w:rPr>
          <w:rFonts w:ascii="Verdana" w:eastAsia="Century Gothic" w:hAnsi="Verdana" w:cs="Century Gothic"/>
          <w:i/>
          <w:iCs/>
          <w:sz w:val="20"/>
          <w:szCs w:val="20"/>
        </w:rPr>
        <w:t>el</w:t>
      </w:r>
      <w:r>
        <w:rPr>
          <w:rFonts w:ascii="Verdana" w:eastAsia="Century Gothic" w:hAnsi="Verdana" w:cs="Century Gothic"/>
          <w:i/>
          <w:iCs/>
          <w:sz w:val="20"/>
          <w:szCs w:val="20"/>
        </w:rPr>
        <w:t>”</w:t>
      </w:r>
      <w:r w:rsidRPr="00305400">
        <w:rPr>
          <w:rFonts w:ascii="Verdana" w:eastAsia="Century Gothic" w:hAnsi="Verdana" w:cs="Century Gothic"/>
          <w:i/>
          <w:iCs/>
          <w:sz w:val="20"/>
          <w:szCs w:val="20"/>
        </w:rPr>
        <w:t>concurso</w:t>
      </w:r>
      <w:proofErr w:type="spellEnd"/>
      <w:proofErr w:type="gramEnd"/>
      <w:r w:rsidRPr="00305400">
        <w:rPr>
          <w:rFonts w:ascii="Verdana" w:eastAsia="Century Gothic" w:hAnsi="Verdana" w:cs="Century Gothic"/>
          <w:i/>
          <w:iCs/>
          <w:sz w:val="20"/>
          <w:szCs w:val="20"/>
        </w:rPr>
        <w:t xml:space="preserve"> de méritos?, </w:t>
      </w:r>
      <w:proofErr w:type="gramStart"/>
      <w:r w:rsidRPr="00305400">
        <w:rPr>
          <w:rFonts w:ascii="Verdana" w:eastAsia="Century Gothic" w:hAnsi="Verdana" w:cs="Century Gothic"/>
          <w:i/>
          <w:iCs/>
          <w:sz w:val="20"/>
          <w:szCs w:val="20"/>
        </w:rPr>
        <w:t>es posible contratar con la institución de similares características?</w:t>
      </w:r>
      <w:proofErr w:type="gramEnd"/>
      <w:r w:rsidRPr="00305400">
        <w:rPr>
          <w:rFonts w:ascii="Verdana" w:eastAsia="Century Gothic" w:hAnsi="Verdana" w:cs="Century Gothic"/>
          <w:i/>
          <w:iCs/>
          <w:sz w:val="20"/>
          <w:szCs w:val="20"/>
        </w:rPr>
        <w:t xml:space="preserve"> </w:t>
      </w:r>
      <w:proofErr w:type="gramStart"/>
      <w:r w:rsidRPr="00305400">
        <w:rPr>
          <w:rFonts w:ascii="Verdana" w:eastAsia="Century Gothic" w:hAnsi="Verdana" w:cs="Century Gothic"/>
          <w:i/>
          <w:iCs/>
          <w:sz w:val="20"/>
          <w:szCs w:val="20"/>
        </w:rPr>
        <w:t>se podría</w:t>
      </w:r>
      <w:r>
        <w:rPr>
          <w:rFonts w:ascii="Verdana" w:eastAsia="Century Gothic" w:hAnsi="Verdana" w:cs="Century Gothic"/>
          <w:i/>
          <w:iCs/>
          <w:sz w:val="20"/>
          <w:szCs w:val="20"/>
        </w:rPr>
        <w:t xml:space="preserve"> </w:t>
      </w:r>
      <w:r w:rsidRPr="00305400">
        <w:rPr>
          <w:rFonts w:ascii="Verdana" w:eastAsia="Century Gothic" w:hAnsi="Verdana" w:cs="Century Gothic"/>
          <w:i/>
          <w:iCs/>
          <w:sz w:val="20"/>
          <w:szCs w:val="20"/>
        </w:rPr>
        <w:t xml:space="preserve">contratar el desarrollo del concurso con una entidad </w:t>
      </w:r>
      <w:proofErr w:type="spellStart"/>
      <w:r w:rsidRPr="00305400">
        <w:rPr>
          <w:rFonts w:ascii="Verdana" w:eastAsia="Century Gothic" w:hAnsi="Verdana" w:cs="Century Gothic"/>
          <w:i/>
          <w:iCs/>
          <w:sz w:val="20"/>
          <w:szCs w:val="20"/>
        </w:rPr>
        <w:t>publica</w:t>
      </w:r>
      <w:proofErr w:type="spellEnd"/>
      <w:r w:rsidRPr="00305400">
        <w:rPr>
          <w:rFonts w:ascii="Verdana" w:eastAsia="Century Gothic" w:hAnsi="Verdana" w:cs="Century Gothic"/>
          <w:i/>
          <w:iCs/>
          <w:sz w:val="20"/>
          <w:szCs w:val="20"/>
        </w:rPr>
        <w:t xml:space="preserve"> o privada en ley de garantías?</w:t>
      </w:r>
      <w:proofErr w:type="gramEnd"/>
      <w:r w:rsidRPr="00305400">
        <w:rPr>
          <w:rFonts w:ascii="Verdana" w:eastAsia="Century Gothic" w:hAnsi="Verdana" w:cs="Century Gothic"/>
          <w:i/>
          <w:iCs/>
          <w:sz w:val="20"/>
          <w:szCs w:val="20"/>
        </w:rPr>
        <w:t xml:space="preserve"> </w:t>
      </w:r>
      <w:proofErr w:type="gramStart"/>
      <w:r w:rsidRPr="00305400">
        <w:rPr>
          <w:rFonts w:ascii="Verdana" w:eastAsia="Century Gothic" w:hAnsi="Verdana" w:cs="Century Gothic"/>
          <w:i/>
          <w:iCs/>
          <w:sz w:val="20"/>
          <w:szCs w:val="20"/>
        </w:rPr>
        <w:t>que otras</w:t>
      </w:r>
      <w:r>
        <w:rPr>
          <w:rFonts w:ascii="Verdana" w:eastAsia="Century Gothic" w:hAnsi="Verdana" w:cs="Century Gothic"/>
          <w:i/>
          <w:iCs/>
          <w:sz w:val="20"/>
          <w:szCs w:val="20"/>
        </w:rPr>
        <w:t xml:space="preserve"> </w:t>
      </w:r>
      <w:r w:rsidRPr="00305400">
        <w:rPr>
          <w:rFonts w:ascii="Verdana" w:eastAsia="Century Gothic" w:hAnsi="Verdana" w:cs="Century Gothic"/>
          <w:i/>
          <w:iCs/>
          <w:sz w:val="20"/>
          <w:szCs w:val="20"/>
        </w:rPr>
        <w:t>opciones podrían aplicar para el desarrollo del concurso durante ley de garantías?</w:t>
      </w:r>
      <w:proofErr w:type="gramEnd"/>
      <w:r>
        <w:rPr>
          <w:rFonts w:ascii="Verdana" w:eastAsia="Century Gothic" w:hAnsi="Verdana" w:cs="Century Gothic"/>
          <w:i/>
          <w:iCs/>
          <w:sz w:val="20"/>
          <w:szCs w:val="20"/>
        </w:rPr>
        <w:t>”</w:t>
      </w:r>
    </w:p>
    <w:p w14:paraId="025BB728" w14:textId="77777777" w:rsidR="00E43748" w:rsidRDefault="00E43748" w:rsidP="00E43748">
      <w:pPr>
        <w:spacing w:before="120" w:after="120"/>
        <w:ind w:right="709"/>
        <w:contextualSpacing/>
        <w:jc w:val="both"/>
        <w:rPr>
          <w:rFonts w:ascii="Verdana" w:eastAsia="Century Gothic" w:hAnsi="Verdana" w:cs="Century Gothic"/>
          <w:i/>
          <w:iCs/>
          <w:sz w:val="20"/>
          <w:szCs w:val="20"/>
        </w:rPr>
      </w:pPr>
    </w:p>
    <w:p w14:paraId="138E3999" w14:textId="77777777" w:rsidR="00E43748" w:rsidRPr="00305400" w:rsidRDefault="00E43748" w:rsidP="00E43748">
      <w:pPr>
        <w:spacing w:before="120" w:after="120"/>
        <w:ind w:right="709"/>
        <w:contextualSpacing/>
        <w:jc w:val="both"/>
        <w:rPr>
          <w:rFonts w:ascii="Verdana" w:eastAsia="Century Gothic" w:hAnsi="Verdana" w:cs="Century Gothic"/>
          <w:i/>
          <w:iCs/>
          <w:sz w:val="20"/>
          <w:szCs w:val="20"/>
        </w:rPr>
      </w:pPr>
    </w:p>
    <w:p w14:paraId="524461AC" w14:textId="77777777" w:rsidR="00E43748" w:rsidRPr="00CD496A" w:rsidRDefault="00E43748" w:rsidP="00E43748">
      <w:pPr>
        <w:spacing w:after="120" w:line="276" w:lineRule="auto"/>
        <w:ind w:firstLine="708"/>
        <w:jc w:val="both"/>
        <w:rPr>
          <w:rFonts w:ascii="Verdana" w:eastAsia="Calibri" w:hAnsi="Verdana" w:cs="Arial"/>
          <w:lang w:val="es-ES" w:eastAsia="es-ES"/>
        </w:rPr>
      </w:pPr>
      <w:r w:rsidRPr="00CD496A">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CD496A">
        <w:rPr>
          <w:rFonts w:ascii="Verdana" w:hAnsi="Verdana"/>
          <w:lang w:val="es-ES"/>
        </w:rPr>
        <w:tab/>
      </w:r>
    </w:p>
    <w:p w14:paraId="2463F215" w14:textId="77777777" w:rsidR="00E43748" w:rsidRPr="00CD496A" w:rsidRDefault="00E43748" w:rsidP="00E43748">
      <w:pPr>
        <w:spacing w:after="0" w:line="276" w:lineRule="auto"/>
        <w:ind w:firstLine="709"/>
        <w:jc w:val="both"/>
        <w:rPr>
          <w:rFonts w:ascii="Verdana" w:eastAsia="Calibri" w:hAnsi="Verdana" w:cs="Arial"/>
          <w:lang w:val="es-ES" w:eastAsia="es-ES"/>
        </w:rPr>
      </w:pPr>
      <w:r w:rsidRPr="00CD496A">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294AC701" w14:textId="77777777" w:rsidR="00E43748" w:rsidRPr="00CD496A" w:rsidRDefault="00E43748" w:rsidP="00E43748">
      <w:pPr>
        <w:spacing w:after="0" w:line="276" w:lineRule="auto"/>
        <w:ind w:firstLine="709"/>
        <w:jc w:val="both"/>
        <w:rPr>
          <w:rFonts w:ascii="Verdana" w:eastAsia="Calibri" w:hAnsi="Verdana" w:cs="Arial"/>
          <w:lang w:val="es-ES" w:eastAsia="es-ES"/>
        </w:rPr>
      </w:pPr>
    </w:p>
    <w:p w14:paraId="34C12DC2" w14:textId="77777777" w:rsidR="00E43748" w:rsidRDefault="00E43748" w:rsidP="00E43748">
      <w:pPr>
        <w:tabs>
          <w:tab w:val="left" w:pos="142"/>
          <w:tab w:val="left" w:pos="284"/>
        </w:tabs>
        <w:spacing w:after="0" w:line="276" w:lineRule="auto"/>
        <w:contextualSpacing/>
        <w:jc w:val="both"/>
        <w:rPr>
          <w:rFonts w:ascii="Verdana" w:eastAsia="Century Gothic" w:hAnsi="Verdana" w:cs="Century Gothic"/>
          <w:b/>
          <w:lang w:val="es-ES"/>
        </w:rPr>
      </w:pPr>
      <w:r w:rsidRPr="00CD496A">
        <w:rPr>
          <w:rFonts w:ascii="Verdana" w:eastAsia="Century Gothic" w:hAnsi="Verdana" w:cs="Century Gothic"/>
          <w:b/>
          <w:lang w:val="es-ES"/>
        </w:rPr>
        <w:t>1. Problema planteado:</w:t>
      </w:r>
    </w:p>
    <w:p w14:paraId="72052E63" w14:textId="77777777" w:rsidR="00E43748" w:rsidRPr="00305400" w:rsidRDefault="00E43748" w:rsidP="00E43748">
      <w:pPr>
        <w:tabs>
          <w:tab w:val="left" w:pos="142"/>
          <w:tab w:val="left" w:pos="284"/>
        </w:tabs>
        <w:spacing w:after="0" w:line="276" w:lineRule="auto"/>
        <w:contextualSpacing/>
        <w:jc w:val="both"/>
        <w:rPr>
          <w:rFonts w:ascii="Verdana" w:eastAsia="Century Gothic" w:hAnsi="Verdana" w:cs="Century Gothic"/>
          <w:b/>
          <w:lang w:val="es-ES"/>
        </w:rPr>
      </w:pPr>
    </w:p>
    <w:p w14:paraId="4BD16DAC" w14:textId="47CA09B5" w:rsidR="00E43748" w:rsidRDefault="00E43748" w:rsidP="00E43748">
      <w:pPr>
        <w:spacing w:after="0" w:line="276" w:lineRule="auto"/>
        <w:jc w:val="both"/>
        <w:rPr>
          <w:rFonts w:ascii="Verdana" w:eastAsia="Century Gothic" w:hAnsi="Verdana" w:cs="Century Gothic"/>
        </w:rPr>
      </w:pPr>
      <w:r w:rsidRPr="00CD496A">
        <w:rPr>
          <w:rFonts w:ascii="Verdana" w:eastAsia="Century Gothic" w:hAnsi="Verdana" w:cs="Century Gothic"/>
          <w:lang w:val="es-ES"/>
        </w:rPr>
        <w:t xml:space="preserve">De acuerdo con el contenido de su solicitud, esta Agencia resolverá </w:t>
      </w:r>
      <w:r>
        <w:rPr>
          <w:rFonts w:ascii="Verdana" w:eastAsia="Century Gothic" w:hAnsi="Verdana" w:cs="Century Gothic"/>
          <w:lang w:val="es-ES"/>
        </w:rPr>
        <w:t>el</w:t>
      </w:r>
      <w:r w:rsidRPr="00CD496A">
        <w:rPr>
          <w:rFonts w:ascii="Verdana" w:eastAsia="Century Gothic" w:hAnsi="Verdana" w:cs="Century Gothic"/>
          <w:lang w:val="es-ES"/>
        </w:rPr>
        <w:t xml:space="preserve"> siguiente problema jurídico</w:t>
      </w:r>
      <w:r w:rsidR="004F5CC6" w:rsidRPr="00CD496A">
        <w:rPr>
          <w:rFonts w:ascii="Verdana" w:eastAsia="Century Gothic" w:hAnsi="Verdana" w:cs="Century Gothic"/>
          <w:lang w:val="es-ES"/>
        </w:rPr>
        <w:t>:</w:t>
      </w:r>
      <w:r w:rsidR="004F5CC6" w:rsidRPr="00CD496A">
        <w:rPr>
          <w:rFonts w:ascii="Verdana" w:eastAsia="Century Gothic" w:hAnsi="Verdana" w:cs="Century Gothic"/>
        </w:rPr>
        <w:t xml:space="preserve"> </w:t>
      </w:r>
      <w:r w:rsidRPr="00305400">
        <w:rPr>
          <w:rFonts w:ascii="Verdana" w:eastAsia="Century Gothic" w:hAnsi="Verdana" w:cs="Century Gothic"/>
        </w:rPr>
        <w:t>¿Es jurídicamente viable que una institución de educación superior adelante un concurso de méritos para proveer cargos docentes durante la vigencia de la Ley 996 de 2005, sin vulnerar la prohibición de contratación directa prevista en el artículo 33 de dicha ley?</w:t>
      </w:r>
    </w:p>
    <w:p w14:paraId="3C6933EE" w14:textId="77777777" w:rsidR="00E43748" w:rsidRPr="006733BD" w:rsidRDefault="00E43748" w:rsidP="00E43748">
      <w:pPr>
        <w:spacing w:after="0" w:line="276" w:lineRule="auto"/>
        <w:jc w:val="both"/>
        <w:rPr>
          <w:rFonts w:ascii="Verdana" w:eastAsia="Century Gothic" w:hAnsi="Verdana" w:cs="Century Gothic"/>
          <w:color w:val="ED7D31" w:themeColor="accent2"/>
        </w:rPr>
      </w:pPr>
    </w:p>
    <w:p w14:paraId="2AFA0023" w14:textId="77777777" w:rsidR="00E43748" w:rsidRPr="006733BD" w:rsidRDefault="00E43748" w:rsidP="00E43748">
      <w:pPr>
        <w:tabs>
          <w:tab w:val="left" w:pos="142"/>
          <w:tab w:val="left" w:pos="284"/>
        </w:tabs>
        <w:spacing w:after="0" w:line="276" w:lineRule="auto"/>
        <w:jc w:val="both"/>
        <w:rPr>
          <w:rFonts w:ascii="Verdana" w:eastAsia="Century Gothic" w:hAnsi="Verdana" w:cs="Century Gothic"/>
          <w:b/>
          <w:color w:val="ED7D31" w:themeColor="accent2"/>
          <w:lang w:val="es-ES"/>
        </w:rPr>
      </w:pPr>
      <w:r w:rsidRPr="00CD496A">
        <w:rPr>
          <w:rFonts w:ascii="Verdana" w:eastAsia="Century Gothic" w:hAnsi="Verdana" w:cs="Century Gothic"/>
          <w:b/>
          <w:lang w:val="es-ES"/>
        </w:rPr>
        <w:t>2. Respuesta:</w:t>
      </w:r>
    </w:p>
    <w:p w14:paraId="53E40DEA" w14:textId="77777777" w:rsidR="00E43748" w:rsidRPr="00305400" w:rsidRDefault="00E43748" w:rsidP="00E43748">
      <w:pPr>
        <w:tabs>
          <w:tab w:val="left" w:pos="142"/>
          <w:tab w:val="left" w:pos="284"/>
        </w:tabs>
        <w:spacing w:after="0" w:line="276" w:lineRule="auto"/>
        <w:jc w:val="both"/>
        <w:rPr>
          <w:rFonts w:ascii="Verdana" w:eastAsia="Century Gothic" w:hAnsi="Verdana" w:cs="Century Gothic"/>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43748" w:rsidRPr="00305400" w14:paraId="0DA045A5" w14:textId="77777777" w:rsidTr="199BCBDB">
        <w:tc>
          <w:tcPr>
            <w:tcW w:w="8828" w:type="dxa"/>
          </w:tcPr>
          <w:p w14:paraId="6EF6A39F" w14:textId="77777777" w:rsidR="00E43748" w:rsidRPr="00305400" w:rsidRDefault="00E43748" w:rsidP="000B0E77">
            <w:pPr>
              <w:spacing w:after="120" w:line="276" w:lineRule="auto"/>
              <w:ind w:firstLine="709"/>
              <w:jc w:val="both"/>
              <w:rPr>
                <w:rFonts w:ascii="Verdana" w:hAnsi="Verdana"/>
              </w:rPr>
            </w:pPr>
            <w:r w:rsidRPr="00305400">
              <w:rPr>
                <w:rFonts w:ascii="Verdana" w:eastAsia="Calibri" w:hAnsi="Verdana" w:cs="Arial"/>
                <w:lang w:eastAsia="es-ES" w:bidi="es-ES"/>
              </w:rPr>
              <w:lastRenderedPageBreak/>
              <w:t xml:space="preserve">En atención a su consulta, </w:t>
            </w:r>
            <w:r>
              <w:rPr>
                <w:rFonts w:ascii="Verdana" w:eastAsia="Calibri" w:hAnsi="Verdana" w:cs="Arial"/>
                <w:lang w:eastAsia="es-ES" w:bidi="es-ES"/>
              </w:rPr>
              <w:t>e</w:t>
            </w:r>
            <w:r w:rsidRPr="00305400">
              <w:rPr>
                <w:rFonts w:ascii="Verdana" w:hAnsi="Verdana"/>
              </w:rPr>
              <w:t xml:space="preserve">s importante partir de la noción de </w:t>
            </w:r>
            <w:r w:rsidRPr="00305400">
              <w:rPr>
                <w:rStyle w:val="Fuerte"/>
                <w:rFonts w:ascii="Verdana" w:hAnsi="Verdana"/>
                <w:b w:val="0"/>
                <w:bCs w:val="0"/>
              </w:rPr>
              <w:t>concurso de méritos</w:t>
            </w:r>
            <w:r w:rsidRPr="00305400">
              <w:rPr>
                <w:rFonts w:ascii="Verdana" w:hAnsi="Verdana"/>
              </w:rPr>
              <w:t xml:space="preserve"> en sus dos ámbitos de aplicación. En materia de contratación estatal, conforme a la Ley 80 de 1993, el concurso de méritos es una modalidad de selección objetiva prevista para la escogencia de consultores o el desarrollo de proyectos de carácter intelectual, en la cual la entidad estatal evalúa principalmente la idoneidad técnica, la experiencia específica y la capacidad profesional de los proponentes, prescindiendo del precio como factor determinante de adjudicación. Se trata, por tanto, de un procedimiento estructurado para garantizar la selección del oferente más calificado desde el punto de vista técnico, especialmente en actividades que implican un alto componente especializado.</w:t>
            </w:r>
            <w:r>
              <w:rPr>
                <w:rFonts w:ascii="Verdana" w:hAnsi="Verdana"/>
              </w:rPr>
              <w:t xml:space="preserve"> </w:t>
            </w:r>
          </w:p>
          <w:p w14:paraId="06EFEDE5" w14:textId="1C19FAA1" w:rsidR="00E43748" w:rsidRPr="00305400" w:rsidRDefault="00E43748" w:rsidP="000B0E77">
            <w:pPr>
              <w:spacing w:after="120" w:line="276" w:lineRule="auto"/>
              <w:ind w:firstLine="709"/>
              <w:jc w:val="both"/>
              <w:rPr>
                <w:rFonts w:ascii="Verdana" w:hAnsi="Verdana"/>
              </w:rPr>
            </w:pPr>
            <w:r w:rsidRPr="199BCBDB">
              <w:rPr>
                <w:rFonts w:ascii="Verdana" w:hAnsi="Verdana"/>
              </w:rPr>
              <w:t xml:space="preserve">Por su parte, el concurso de </w:t>
            </w:r>
            <w:proofErr w:type="gramStart"/>
            <w:r w:rsidR="0049132E" w:rsidRPr="199BCBDB">
              <w:rPr>
                <w:rFonts w:ascii="Verdana" w:hAnsi="Verdana"/>
              </w:rPr>
              <w:t>méritos,</w:t>
            </w:r>
            <w:proofErr w:type="gramEnd"/>
            <w:r w:rsidR="0049132E">
              <w:rPr>
                <w:rFonts w:ascii="Verdana" w:hAnsi="Verdana"/>
              </w:rPr>
              <w:t xml:space="preserve"> </w:t>
            </w:r>
            <w:r w:rsidR="00F146C5" w:rsidRPr="00F146C5">
              <w:rPr>
                <w:rFonts w:ascii="Verdana" w:hAnsi="Verdana"/>
              </w:rPr>
              <w:t>se</w:t>
            </w:r>
            <w:r w:rsidR="003B6002">
              <w:rPr>
                <w:rFonts w:ascii="Verdana" w:hAnsi="Verdana"/>
              </w:rPr>
              <w:t xml:space="preserve"> ubica </w:t>
            </w:r>
            <w:r w:rsidR="00F146C5" w:rsidRPr="00F146C5">
              <w:rPr>
                <w:rFonts w:ascii="Verdana" w:hAnsi="Verdana"/>
              </w:rPr>
              <w:t>en el ámbito de la función pública, es importante señalar que este tema corresponde principalmente a dicho ámbito, ya que la provisión de empleos de carrera hace parte de su competencia. En ese sentido, el concurso de méritos es un mecanismo propio de la función pública, a través del cual se garantiza que el acceso a los cargos se realice con base en el mérito y la igualdad.</w:t>
            </w:r>
          </w:p>
          <w:p w14:paraId="3D8629A8" w14:textId="77777777" w:rsidR="00E43748" w:rsidRDefault="00E43748" w:rsidP="000B0E77">
            <w:pPr>
              <w:tabs>
                <w:tab w:val="left" w:pos="426"/>
              </w:tabs>
              <w:spacing w:before="120" w:line="276" w:lineRule="auto"/>
              <w:jc w:val="both"/>
              <w:rPr>
                <w:rFonts w:ascii="Verdana" w:hAnsi="Verdana" w:cs="Arial"/>
                <w:color w:val="000000" w:themeColor="text1"/>
              </w:rPr>
            </w:pPr>
            <w:r w:rsidRPr="00305400">
              <w:rPr>
                <w:rFonts w:ascii="Verdana" w:hAnsi="Verdana" w:cs="Arial"/>
                <w:color w:val="000000" w:themeColor="text1"/>
              </w:rPr>
              <w:t>Precisado lo anterior, frente a la Ley 996 de 2005 (Ley de Garantías Electorales), debe señalarse que la restricción principal en período preelectoral recae sobre la contratación directa, es decir, aquella que se realiza sin un proceso abierto y competitivo. En consecuencia, dicha prohibición no se extiende a las demás modalidades de selección previstas en la Ley 1150 de 2007, tales como la licitación pública, la selección abreviada, la mínima cuantía y el concurso de méritos en materia contractual. Por ello, durante este período las entidades estatales pueden continuar adelantando procesos de selección bajo estas modalidades.</w:t>
            </w:r>
          </w:p>
          <w:p w14:paraId="5EF8E619" w14:textId="77777777" w:rsidR="00E43748" w:rsidRPr="00305400" w:rsidRDefault="00E43748" w:rsidP="000B0E77">
            <w:pPr>
              <w:tabs>
                <w:tab w:val="left" w:pos="426"/>
              </w:tabs>
              <w:spacing w:before="120" w:line="276" w:lineRule="auto"/>
              <w:jc w:val="both"/>
              <w:rPr>
                <w:rFonts w:ascii="Verdana" w:eastAsia="Arial" w:hAnsi="Verdana" w:cs="Arial"/>
                <w:color w:val="000000" w:themeColor="text1"/>
              </w:rPr>
            </w:pPr>
          </w:p>
        </w:tc>
      </w:tr>
    </w:tbl>
    <w:p w14:paraId="589C8862" w14:textId="77777777" w:rsidR="00E43748" w:rsidRPr="00416686" w:rsidRDefault="00E43748" w:rsidP="00E43748">
      <w:pPr>
        <w:tabs>
          <w:tab w:val="left" w:pos="142"/>
          <w:tab w:val="left" w:pos="284"/>
        </w:tabs>
        <w:spacing w:after="0" w:line="276" w:lineRule="auto"/>
        <w:jc w:val="both"/>
        <w:rPr>
          <w:rFonts w:ascii="Verdana" w:eastAsia="Century Gothic" w:hAnsi="Verdana" w:cs="Century Gothic"/>
          <w:b/>
          <w:bCs/>
        </w:rPr>
      </w:pPr>
    </w:p>
    <w:p w14:paraId="0828EF59" w14:textId="77777777" w:rsidR="00E43748" w:rsidRDefault="00E43748" w:rsidP="00E43748">
      <w:pPr>
        <w:tabs>
          <w:tab w:val="left" w:pos="142"/>
          <w:tab w:val="left" w:pos="284"/>
        </w:tabs>
        <w:spacing w:after="0" w:line="276" w:lineRule="auto"/>
        <w:jc w:val="both"/>
        <w:rPr>
          <w:rFonts w:ascii="Verdana" w:eastAsia="Century Gothic" w:hAnsi="Verdana" w:cs="Century Gothic"/>
          <w:b/>
          <w:lang w:val="es-ES"/>
        </w:rPr>
      </w:pPr>
      <w:r w:rsidRPr="00CD496A">
        <w:rPr>
          <w:rFonts w:ascii="Verdana" w:eastAsia="Century Gothic" w:hAnsi="Verdana" w:cs="Century Gothic"/>
          <w:b/>
          <w:lang w:val="es-ES"/>
        </w:rPr>
        <w:t>3. Razones de la respuesta:</w:t>
      </w:r>
      <w:bookmarkStart w:id="1" w:name="_Hlk102983874"/>
      <w:bookmarkStart w:id="2" w:name="_Hlk102388095"/>
    </w:p>
    <w:p w14:paraId="2572D158" w14:textId="77777777" w:rsidR="00E43748" w:rsidRPr="00305400" w:rsidRDefault="00E43748" w:rsidP="00E43748">
      <w:pPr>
        <w:tabs>
          <w:tab w:val="left" w:pos="142"/>
          <w:tab w:val="left" w:pos="284"/>
        </w:tabs>
        <w:spacing w:after="0" w:line="276" w:lineRule="auto"/>
        <w:jc w:val="both"/>
        <w:rPr>
          <w:rFonts w:ascii="Verdana" w:eastAsia="Century Gothic" w:hAnsi="Verdana" w:cs="Century Gothic"/>
          <w:b/>
          <w:lang w:val="es-ES"/>
        </w:rPr>
      </w:pPr>
    </w:p>
    <w:p w14:paraId="40D5F6A8" w14:textId="77777777" w:rsidR="00E43748" w:rsidRDefault="00E43748" w:rsidP="00E43748">
      <w:pPr>
        <w:tabs>
          <w:tab w:val="left" w:pos="142"/>
          <w:tab w:val="left" w:pos="284"/>
        </w:tabs>
        <w:spacing w:after="0" w:line="276" w:lineRule="auto"/>
        <w:jc w:val="both"/>
        <w:rPr>
          <w:rFonts w:ascii="Verdana" w:eastAsia="Calibri" w:hAnsi="Verdana" w:cs="Arial"/>
        </w:rPr>
      </w:pPr>
      <w:r w:rsidRPr="00343E12">
        <w:rPr>
          <w:rFonts w:ascii="Verdana" w:eastAsia="Calibri" w:hAnsi="Verdana" w:cs="Arial"/>
        </w:rPr>
        <w:t xml:space="preserve">Lo anterior se sustenta en las siguientes consideraciones: </w:t>
      </w:r>
    </w:p>
    <w:p w14:paraId="6B647521" w14:textId="77777777" w:rsidR="00E43748" w:rsidRDefault="00E43748" w:rsidP="00E43748">
      <w:pPr>
        <w:tabs>
          <w:tab w:val="left" w:pos="142"/>
          <w:tab w:val="left" w:pos="284"/>
        </w:tabs>
        <w:spacing w:after="0" w:line="276" w:lineRule="auto"/>
        <w:jc w:val="both"/>
        <w:rPr>
          <w:rFonts w:ascii="Verdana" w:eastAsia="Calibri" w:hAnsi="Verdana" w:cs="Arial"/>
        </w:rPr>
      </w:pPr>
    </w:p>
    <w:p w14:paraId="07EE54A0"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Pr>
          <w:rFonts w:ascii="Verdana" w:eastAsia="Century Gothic" w:hAnsi="Verdana" w:cs="Century Gothic"/>
          <w:bCs/>
          <w:lang w:val="es-ES_tradnl"/>
        </w:rPr>
        <w:t xml:space="preserve">La </w:t>
      </w:r>
      <w:r w:rsidRPr="00C13395">
        <w:rPr>
          <w:rFonts w:ascii="Verdana" w:eastAsia="Century Gothic" w:hAnsi="Verdana" w:cs="Century Gothic"/>
          <w:bCs/>
          <w:lang w:val="es-ES_tradnl"/>
        </w:rPr>
        <w:t xml:space="preserve">Ley 996 de 2005, conocida como “Ley de Garantías Electorales”, se suma al andamiaje constitucional y legal que busca evitar la injerencia inadecuada de intereses particulares en el ejercicio de la función pública. Esta Ley tiene como propósito evitar cualquier tipo de arbitrariedad, de ventaja injustificada, de uso irregular de los recursos del Estado en las campañas o falta </w:t>
      </w:r>
      <w:r w:rsidRPr="00C13395">
        <w:rPr>
          <w:rFonts w:ascii="Verdana" w:eastAsia="Century Gothic" w:hAnsi="Verdana" w:cs="Century Gothic"/>
          <w:bCs/>
          <w:lang w:val="es-ES_tradnl"/>
        </w:rPr>
        <w:lastRenderedPageBreak/>
        <w:t xml:space="preserve">de garantías en la elección presidencial. En esta medida, introduce limitaciones para realizar nombramientos, postulaciones, contrataciones o cualquier otro tipo de actividad que implique destinación de recursos públicos bajo el devenir propio de las Entidades Estatales. </w:t>
      </w:r>
    </w:p>
    <w:p w14:paraId="5D312550" w14:textId="77777777" w:rsidR="00E43748" w:rsidRDefault="00E43748" w:rsidP="00E43748">
      <w:pPr>
        <w:spacing w:after="0" w:line="276" w:lineRule="auto"/>
        <w:ind w:firstLine="708"/>
        <w:jc w:val="both"/>
        <w:rPr>
          <w:rFonts w:ascii="Verdana" w:eastAsia="Century Gothic" w:hAnsi="Verdana" w:cs="Century Gothic"/>
          <w:bCs/>
          <w:lang w:val="es-ES_tradnl"/>
        </w:rPr>
      </w:pPr>
      <w:r w:rsidRPr="00C13395">
        <w:rPr>
          <w:rFonts w:ascii="Verdana" w:eastAsia="Century Gothic" w:hAnsi="Verdana" w:cs="Century Gothic"/>
          <w:bCs/>
          <w:lang w:val="es-ES_tradnl"/>
        </w:rPr>
        <w:t>En armonía con lo anterior, la Corte Constitucional ha abordado la definición de la Ley de Garantías Electorales. De esta manera, explica que tiene como propósito:</w:t>
      </w:r>
    </w:p>
    <w:p w14:paraId="417147D4" w14:textId="77777777" w:rsidR="00E43748" w:rsidRPr="00C13395" w:rsidRDefault="00E43748" w:rsidP="00E43748">
      <w:pPr>
        <w:spacing w:after="0" w:line="276" w:lineRule="auto"/>
        <w:ind w:firstLine="708"/>
        <w:jc w:val="both"/>
        <w:rPr>
          <w:rFonts w:ascii="Verdana" w:eastAsia="Century Gothic" w:hAnsi="Verdana" w:cs="Century Gothic"/>
          <w:bCs/>
          <w:lang w:val="es-ES_tradnl"/>
        </w:rPr>
      </w:pPr>
    </w:p>
    <w:p w14:paraId="31DD5AB8" w14:textId="77777777" w:rsidR="00E43748" w:rsidRPr="00C13395" w:rsidRDefault="00E43748" w:rsidP="00E43748">
      <w:pPr>
        <w:spacing w:after="0" w:line="240" w:lineRule="auto"/>
        <w:ind w:left="709" w:right="709"/>
        <w:jc w:val="both"/>
        <w:rPr>
          <w:rFonts w:ascii="Verdana" w:eastAsia="Century Gothic" w:hAnsi="Verdana" w:cs="Century Gothic"/>
          <w:bCs/>
          <w:sz w:val="20"/>
          <w:szCs w:val="20"/>
          <w:lang w:val="es-ES_tradnl"/>
        </w:rPr>
      </w:pPr>
      <w:r w:rsidRPr="00C13395">
        <w:rPr>
          <w:rFonts w:ascii="Verdana" w:eastAsia="Century Gothic" w:hAnsi="Verdana" w:cs="Century Gothic"/>
          <w:bCs/>
          <w:sz w:val="20"/>
          <w:szCs w:val="20"/>
          <w:lang w:val="es-ES_tradnl"/>
        </w:rPr>
        <w:t>“[…] la definición de reglas claras que permitan acceder a los canales de expresión democrática de manera efectiva e igualitaria. El objetivo de una ley de garantías es definir esas reglas.</w:t>
      </w:r>
    </w:p>
    <w:p w14:paraId="13EE225B" w14:textId="77777777" w:rsidR="00E43748" w:rsidRPr="00C13395" w:rsidRDefault="00E43748" w:rsidP="00E43748">
      <w:pPr>
        <w:spacing w:after="0" w:line="240" w:lineRule="auto"/>
        <w:ind w:left="709" w:right="709"/>
        <w:jc w:val="both"/>
        <w:rPr>
          <w:rFonts w:ascii="Verdana" w:eastAsia="Century Gothic" w:hAnsi="Verdana" w:cs="Century Gothic"/>
          <w:bCs/>
          <w:sz w:val="20"/>
          <w:szCs w:val="20"/>
          <w:lang w:val="es-ES_tradnl"/>
        </w:rPr>
      </w:pPr>
      <w:r w:rsidRPr="00C13395">
        <w:rPr>
          <w:rFonts w:ascii="Verdana" w:eastAsia="Century Gothic" w:hAnsi="Verdana" w:cs="Century Gothic"/>
          <w:bCs/>
          <w:sz w:val="20"/>
          <w:szCs w:val="20"/>
          <w:lang w:val="es-ES_tradnl"/>
        </w:rPr>
        <w:t xml:space="preserve">[…] </w:t>
      </w:r>
    </w:p>
    <w:p w14:paraId="31A8CAE9" w14:textId="77777777" w:rsidR="00E43748" w:rsidRDefault="00E43748" w:rsidP="00E43748">
      <w:pPr>
        <w:spacing w:after="0" w:line="240" w:lineRule="auto"/>
        <w:ind w:left="709" w:right="709"/>
        <w:jc w:val="both"/>
        <w:rPr>
          <w:rFonts w:ascii="Verdana" w:eastAsia="Century Gothic" w:hAnsi="Verdana" w:cs="Century Gothic"/>
          <w:bCs/>
          <w:sz w:val="20"/>
          <w:szCs w:val="20"/>
          <w:lang w:val="es-ES_tradnl"/>
        </w:rPr>
      </w:pPr>
      <w:r w:rsidRPr="00C13395">
        <w:rPr>
          <w:rFonts w:ascii="Verdana" w:eastAsia="Century Gothic" w:hAnsi="Verdana" w:cs="Century Gothic"/>
          <w:bCs/>
          <w:sz w:val="20"/>
          <w:szCs w:val="20"/>
          <w:lang w:val="es-ES_tradnl"/>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p>
    <w:p w14:paraId="337D1BEB" w14:textId="77777777" w:rsidR="00E43748" w:rsidRPr="00C13395" w:rsidRDefault="00E43748" w:rsidP="00E43748">
      <w:pPr>
        <w:spacing w:after="0" w:line="276" w:lineRule="auto"/>
        <w:ind w:left="709" w:right="709"/>
        <w:jc w:val="both"/>
        <w:rPr>
          <w:rFonts w:ascii="Verdana" w:eastAsia="Century Gothic" w:hAnsi="Verdana" w:cs="Century Gothic"/>
          <w:bCs/>
          <w:sz w:val="20"/>
          <w:szCs w:val="20"/>
          <w:lang w:val="es-ES_tradnl"/>
        </w:rPr>
      </w:pPr>
    </w:p>
    <w:p w14:paraId="61A4E6F4" w14:textId="77777777" w:rsidR="00E43748" w:rsidRDefault="00E43748" w:rsidP="00E43748">
      <w:pPr>
        <w:spacing w:after="0" w:line="276" w:lineRule="auto"/>
        <w:ind w:firstLine="708"/>
        <w:jc w:val="both"/>
        <w:rPr>
          <w:rFonts w:ascii="Verdana" w:eastAsia="Century Gothic" w:hAnsi="Verdana" w:cs="Century Gothic"/>
          <w:bCs/>
          <w:lang w:val="es-ES_tradnl"/>
        </w:rPr>
      </w:pPr>
      <w:r w:rsidRPr="00C13395">
        <w:rPr>
          <w:rFonts w:ascii="Verdana" w:eastAsia="Century Gothic" w:hAnsi="Verdana" w:cs="Century Gothic"/>
          <w:bCs/>
          <w:lang w:val="es-ES_tradnl"/>
        </w:rPr>
        <w:t>En este contexto, la Ley de Garantías Electorales establece el marco jurídico para el desarrollo de las elecciones, procurando condiciones de igualdad y transparencia para los aspirantes. Paralelamente, incluye restricciones en las actuaciones de los servidores públicos, evitando interferencias en la contienda electoral, así como la posible desviación de recursos públicos en aspiraciones electorales. Por ello, varias disposiciones de la Ley 996 de 2005, al contener normas prohibitivas, deben interpretarse restrictivamente. En efecto, la Sala de Consulta y Servicio Civil del Consejo de Estado, precisó:</w:t>
      </w:r>
    </w:p>
    <w:p w14:paraId="0E3CFDA7" w14:textId="77777777" w:rsidR="00E43748" w:rsidRPr="00C13395" w:rsidRDefault="00E43748" w:rsidP="00E43748">
      <w:pPr>
        <w:spacing w:after="0" w:line="276" w:lineRule="auto"/>
        <w:ind w:firstLine="708"/>
        <w:jc w:val="both"/>
        <w:rPr>
          <w:rFonts w:ascii="Verdana" w:eastAsia="Century Gothic" w:hAnsi="Verdana" w:cs="Century Gothic"/>
          <w:bCs/>
          <w:lang w:val="es-ES_tradnl"/>
        </w:rPr>
      </w:pPr>
    </w:p>
    <w:p w14:paraId="54DBAF6E" w14:textId="77777777" w:rsidR="00E43748" w:rsidRDefault="00E43748" w:rsidP="00E43748">
      <w:pPr>
        <w:spacing w:after="0" w:line="240" w:lineRule="auto"/>
        <w:ind w:left="709" w:right="709"/>
        <w:jc w:val="both"/>
        <w:rPr>
          <w:rFonts w:ascii="Verdana" w:eastAsia="Century Gothic" w:hAnsi="Verdana" w:cs="Century Gothic"/>
          <w:sz w:val="20"/>
          <w:szCs w:val="20"/>
          <w:lang w:val="es-ES"/>
        </w:rPr>
      </w:pPr>
      <w:r w:rsidRPr="122F1934">
        <w:rPr>
          <w:rFonts w:ascii="Verdana" w:eastAsia="Century Gothic" w:hAnsi="Verdana" w:cs="Century Gothic"/>
          <w:sz w:val="20"/>
          <w:szCs w:val="20"/>
          <w:lang w:val="es-ES"/>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122F1934">
        <w:rPr>
          <w:rFonts w:ascii="Verdana" w:eastAsia="Century Gothic" w:hAnsi="Verdana" w:cs="Century Gothic"/>
          <w:sz w:val="20"/>
          <w:szCs w:val="20"/>
          <w:lang w:val="es-ES"/>
        </w:rPr>
        <w:t>legis</w:t>
      </w:r>
      <w:proofErr w:type="spellEnd"/>
      <w:r w:rsidRPr="122F1934">
        <w:rPr>
          <w:rFonts w:ascii="Verdana" w:eastAsia="Century Gothic" w:hAnsi="Verdana" w:cs="Century Gothic"/>
          <w:sz w:val="20"/>
          <w:szCs w:val="20"/>
          <w:lang w:val="es-ES"/>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0AE5FEE8" w14:textId="77777777" w:rsidR="00E43748" w:rsidRPr="00C13395" w:rsidRDefault="00E43748" w:rsidP="00E43748">
      <w:pPr>
        <w:spacing w:after="0" w:line="240" w:lineRule="auto"/>
        <w:ind w:left="709" w:right="709"/>
        <w:jc w:val="both"/>
        <w:rPr>
          <w:rFonts w:ascii="Verdana" w:eastAsia="Century Gothic" w:hAnsi="Verdana" w:cs="Century Gothic"/>
          <w:sz w:val="20"/>
          <w:szCs w:val="20"/>
          <w:lang w:val="es-ES"/>
        </w:rPr>
      </w:pPr>
    </w:p>
    <w:p w14:paraId="3470CBFF" w14:textId="77777777" w:rsidR="00E43748" w:rsidRDefault="00E43748" w:rsidP="00E43748">
      <w:pPr>
        <w:spacing w:after="0" w:line="240" w:lineRule="auto"/>
        <w:ind w:left="709" w:right="709"/>
        <w:jc w:val="both"/>
        <w:rPr>
          <w:rFonts w:ascii="Verdana" w:eastAsia="Century Gothic" w:hAnsi="Verdana" w:cs="Century Gothic"/>
          <w:bCs/>
          <w:sz w:val="20"/>
          <w:szCs w:val="20"/>
          <w:lang w:val="es-ES_tradnl"/>
        </w:rPr>
      </w:pPr>
      <w:r w:rsidRPr="00C13395">
        <w:rPr>
          <w:rFonts w:ascii="Verdana" w:eastAsia="Century Gothic" w:hAnsi="Verdana" w:cs="Century Gothic"/>
          <w:bCs/>
          <w:sz w:val="20"/>
          <w:szCs w:val="20"/>
          <w:lang w:val="es-ES_tradnl"/>
        </w:rPr>
        <w:lastRenderedPageBreak/>
        <w:t>La jurisprudencia de la Corte Constitucional y del Consejo de Estado,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 .</w:t>
      </w:r>
    </w:p>
    <w:p w14:paraId="664EB493" w14:textId="77777777" w:rsidR="00E43748" w:rsidRPr="00C13395" w:rsidRDefault="00E43748" w:rsidP="00E43748">
      <w:pPr>
        <w:spacing w:after="0" w:line="276" w:lineRule="auto"/>
        <w:ind w:left="709" w:right="709"/>
        <w:jc w:val="both"/>
        <w:rPr>
          <w:rFonts w:ascii="Verdana" w:eastAsia="Century Gothic" w:hAnsi="Verdana" w:cs="Century Gothic"/>
          <w:bCs/>
          <w:sz w:val="20"/>
          <w:szCs w:val="20"/>
          <w:lang w:val="es-ES_tradnl"/>
        </w:rPr>
      </w:pPr>
    </w:p>
    <w:p w14:paraId="74725B6B" w14:textId="77777777" w:rsidR="00E43748" w:rsidRPr="00C13395" w:rsidRDefault="691B83F6" w:rsidP="20D4DEF6">
      <w:pPr>
        <w:spacing w:after="120" w:line="276" w:lineRule="auto"/>
        <w:ind w:firstLine="708"/>
        <w:jc w:val="both"/>
        <w:rPr>
          <w:rFonts w:ascii="Verdana" w:eastAsia="Century Gothic" w:hAnsi="Verdana" w:cs="Century Gothic"/>
          <w:lang w:val="es-ES"/>
        </w:rPr>
      </w:pPr>
      <w:r w:rsidRPr="20D4DEF6">
        <w:rPr>
          <w:rFonts w:ascii="Verdana" w:eastAsia="Century Gothic" w:hAnsi="Verdana" w:cs="Century Gothic"/>
          <w:lang w:val="es-ES"/>
        </w:rPr>
        <w:t xml:space="preserve">De conformidad con lo anterior, 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alteren las condiciones de igualdad entre los candidatos. </w:t>
      </w:r>
    </w:p>
    <w:p w14:paraId="622A06EA"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sidRPr="00C13395">
        <w:rPr>
          <w:rFonts w:ascii="Verdana" w:eastAsia="Century Gothic" w:hAnsi="Verdana" w:cs="Century Gothic"/>
          <w:bCs/>
          <w:lang w:val="es-ES_tradnl"/>
        </w:rPr>
        <w:t xml:space="preserve">Las restricciones </w:t>
      </w:r>
      <w:r>
        <w:rPr>
          <w:rFonts w:ascii="Verdana" w:eastAsia="Century Gothic" w:hAnsi="Verdana" w:cs="Century Gothic"/>
          <w:bCs/>
          <w:lang w:val="es-ES_tradnl"/>
        </w:rPr>
        <w:t xml:space="preserve">en materia de contratación estatal </w:t>
      </w:r>
      <w:r w:rsidRPr="00C13395">
        <w:rPr>
          <w:rFonts w:ascii="Verdana" w:eastAsia="Century Gothic" w:hAnsi="Verdana" w:cs="Century Gothic"/>
          <w:bCs/>
          <w:lang w:val="es-ES_tradnl"/>
        </w:rPr>
        <w:t>consagradas en la Ley de Garantías Electorales se dirigen a dos (2) tipos de campañas electorales diferenciadas: las presidenciales y las que se adelanten para la elección de los demás cargos de elección popular, tanto a nivel nacional como territorial.</w:t>
      </w:r>
    </w:p>
    <w:p w14:paraId="01582058"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Pr>
          <w:rFonts w:ascii="Verdana" w:eastAsia="Century Gothic" w:hAnsi="Verdana" w:cs="Century Gothic"/>
          <w:bCs/>
          <w:lang w:val="es-ES_tradnl"/>
        </w:rPr>
        <w:t>E</w:t>
      </w:r>
      <w:r w:rsidRPr="00C13395">
        <w:rPr>
          <w:rFonts w:ascii="Verdana" w:eastAsia="Century Gothic" w:hAnsi="Verdana" w:cs="Century Gothic"/>
          <w:bCs/>
          <w:lang w:val="es-ES_tradnl"/>
        </w:rPr>
        <w:t xml:space="preserve">l artículo 33 de la Ley 996 de 2005 prohíbe “(…) la contratación directa por parte de todos los entes del Estado” durante los cuatro (4) meses anteriores a las elecciones presidenciales, salvo “[…] lo referente a la </w:t>
      </w:r>
      <w:r w:rsidRPr="00294702">
        <w:rPr>
          <w:rFonts w:ascii="Verdana" w:eastAsia="Century Gothic" w:hAnsi="Verdana" w:cs="Century Gothic"/>
          <w:bCs/>
          <w:i/>
          <w:iCs/>
          <w:lang w:val="es-ES_tradnl"/>
        </w:rPr>
        <w:t>defensa y seguridad del Estado</w:t>
      </w:r>
      <w:r w:rsidRPr="00C13395">
        <w:rPr>
          <w:rFonts w:ascii="Verdana" w:eastAsia="Century Gothic" w:hAnsi="Verdana" w:cs="Century Gothic"/>
          <w:bCs/>
          <w:lang w:val="es-ES_tradnl"/>
        </w:rPr>
        <w:t>,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 .</w:t>
      </w:r>
    </w:p>
    <w:p w14:paraId="2CDD8193"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sidRPr="006D240B">
        <w:rPr>
          <w:rFonts w:ascii="Verdana" w:eastAsia="Century Gothic" w:hAnsi="Verdana" w:cs="Century Gothic"/>
          <w:bCs/>
          <w:lang w:val="es-ES_tradnl"/>
        </w:rPr>
        <w:t>Por otro lado, el parágrafo del artículo 38 de la Ley 996 de 2005 prevé una restricción, aplicable</w:t>
      </w:r>
      <w:r w:rsidRPr="00C13395">
        <w:rPr>
          <w:rFonts w:ascii="Verdana" w:eastAsia="Century Gothic" w:hAnsi="Verdana" w:cs="Century Gothic"/>
          <w:bCs/>
          <w:lang w:val="es-ES_tradnl"/>
        </w:rPr>
        <w:t xml:space="preserve"> respecto de cualquier tipo de contienda electoral,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 </w:t>
      </w:r>
    </w:p>
    <w:p w14:paraId="48C0A152" w14:textId="77777777" w:rsidR="00E43748" w:rsidRDefault="00E43748" w:rsidP="00E43748">
      <w:pPr>
        <w:spacing w:after="0" w:line="276" w:lineRule="auto"/>
        <w:ind w:firstLine="708"/>
        <w:jc w:val="both"/>
        <w:rPr>
          <w:rFonts w:ascii="Verdana" w:eastAsia="Century Gothic" w:hAnsi="Verdana" w:cs="Century Gothic"/>
          <w:bCs/>
          <w:lang w:val="es-ES_tradnl"/>
        </w:rPr>
      </w:pPr>
      <w:r w:rsidRPr="00C13395">
        <w:rPr>
          <w:rFonts w:ascii="Verdana" w:eastAsia="Century Gothic" w:hAnsi="Verdana" w:cs="Century Gothic"/>
          <w:bCs/>
          <w:lang w:val="es-ES_tradnl"/>
        </w:rPr>
        <w:lastRenderedPageBreak/>
        <w:t>La Sala de Consulta y Servicio Civil del Consejo de Estado ha aclarado la distinción en la aplicación de las prohibiciones de la Ley 996 de 2005, dependiendo del tipo de elección que se trate. Al respecto, considera:</w:t>
      </w:r>
    </w:p>
    <w:p w14:paraId="20F99F9E" w14:textId="77777777" w:rsidR="00E43748" w:rsidRPr="00C13395" w:rsidRDefault="00E43748" w:rsidP="00E43748">
      <w:pPr>
        <w:spacing w:after="0" w:line="276" w:lineRule="auto"/>
        <w:ind w:firstLine="708"/>
        <w:jc w:val="both"/>
        <w:rPr>
          <w:rFonts w:ascii="Verdana" w:eastAsia="Century Gothic" w:hAnsi="Verdana" w:cs="Century Gothic"/>
          <w:bCs/>
          <w:lang w:val="es-ES_tradnl"/>
        </w:rPr>
      </w:pPr>
    </w:p>
    <w:p w14:paraId="236D43DF" w14:textId="77777777" w:rsidR="00E43748" w:rsidRDefault="00E43748" w:rsidP="00E43748">
      <w:pPr>
        <w:spacing w:after="0" w:line="240" w:lineRule="auto"/>
        <w:ind w:left="709" w:right="709"/>
        <w:jc w:val="both"/>
        <w:rPr>
          <w:rFonts w:ascii="Verdana" w:eastAsia="Century Gothic" w:hAnsi="Verdana" w:cs="Century Gothic"/>
          <w:bCs/>
          <w:sz w:val="20"/>
          <w:szCs w:val="20"/>
          <w:lang w:val="es-ES_tradnl"/>
        </w:rPr>
      </w:pPr>
      <w:r w:rsidRPr="00C13395">
        <w:rPr>
          <w:rFonts w:ascii="Verdana" w:eastAsia="Century Gothic" w:hAnsi="Verdana" w:cs="Century Gothic"/>
          <w:bCs/>
          <w:sz w:val="20"/>
          <w:szCs w:val="20"/>
          <w:lang w:val="es-ES_tradnl"/>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 </w:t>
      </w:r>
    </w:p>
    <w:p w14:paraId="31D182D3" w14:textId="77777777" w:rsidR="00E43748" w:rsidRPr="00294702" w:rsidRDefault="00E43748" w:rsidP="00E43748">
      <w:pPr>
        <w:spacing w:after="0" w:line="276" w:lineRule="auto"/>
        <w:ind w:left="709" w:right="709"/>
        <w:jc w:val="both"/>
        <w:rPr>
          <w:rFonts w:ascii="Verdana" w:eastAsia="Century Gothic" w:hAnsi="Verdana" w:cs="Century Gothic"/>
          <w:bCs/>
          <w:lang w:val="es-ES_tradnl"/>
        </w:rPr>
      </w:pPr>
    </w:p>
    <w:p w14:paraId="4D94B710" w14:textId="77777777" w:rsidR="00E43748" w:rsidRPr="00C13395" w:rsidRDefault="00E43748" w:rsidP="00E43748">
      <w:pPr>
        <w:spacing w:after="120" w:line="276" w:lineRule="auto"/>
        <w:ind w:firstLine="709"/>
        <w:jc w:val="both"/>
        <w:rPr>
          <w:rFonts w:ascii="Verdana" w:eastAsia="Century Gothic" w:hAnsi="Verdana" w:cs="Century Gothic"/>
          <w:lang w:val="es-ES"/>
        </w:rPr>
      </w:pPr>
      <w:r w:rsidRPr="122F1934">
        <w:rPr>
          <w:rFonts w:ascii="Verdana" w:eastAsia="Century Gothic" w:hAnsi="Verdana" w:cs="Century Gothic"/>
          <w:lang w:val="es-ES"/>
        </w:rPr>
        <w:t>De conformidad con lo anterior, la Ley 996 de 2005 establece dos (2) tipos de restricciones en materia de contratación, las cuales coinciden parcialmente. En primer lugar,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En segundo lugar,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5D3FB58E" w14:textId="77777777" w:rsidR="00E43748" w:rsidRPr="00C13395" w:rsidRDefault="00E43748" w:rsidP="00E43748">
      <w:pPr>
        <w:spacing w:after="120" w:line="276" w:lineRule="auto"/>
        <w:ind w:firstLine="709"/>
        <w:jc w:val="both"/>
        <w:rPr>
          <w:rFonts w:ascii="Verdana" w:eastAsia="Century Gothic" w:hAnsi="Verdana" w:cs="Century Gothic"/>
          <w:lang w:val="es-ES"/>
        </w:rPr>
      </w:pPr>
      <w:r w:rsidRPr="122F1934">
        <w:rPr>
          <w:rFonts w:ascii="Verdana" w:eastAsia="Century Gothic" w:hAnsi="Verdana" w:cs="Century Gothic"/>
          <w:lang w:val="es-ES"/>
        </w:rPr>
        <w:t xml:space="preserve">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w:t>
      </w:r>
      <w:r w:rsidRPr="122F1934">
        <w:rPr>
          <w:rFonts w:ascii="Verdana" w:eastAsia="Century Gothic" w:hAnsi="Verdana" w:cs="Century Gothic"/>
          <w:lang w:val="es-ES"/>
        </w:rPr>
        <w:lastRenderedPageBreak/>
        <w:t>tratándose de elecciones en general, excluyendo las correspondientes al Presidente de la República, las autoridades allí mencionadas sólo deben aplicar las restricciones contenidas en el parágrafo del artículo 38.</w:t>
      </w:r>
    </w:p>
    <w:p w14:paraId="7024F322" w14:textId="77777777" w:rsidR="00E43748" w:rsidRDefault="00E43748" w:rsidP="00E43748">
      <w:pPr>
        <w:spacing w:after="0" w:line="276" w:lineRule="auto"/>
        <w:ind w:firstLine="708"/>
        <w:jc w:val="both"/>
        <w:rPr>
          <w:rFonts w:ascii="Verdana" w:eastAsia="Century Gothic" w:hAnsi="Verdana" w:cs="Century Gothic"/>
          <w:lang w:val="es-ES"/>
        </w:rPr>
      </w:pPr>
      <w:r w:rsidRPr="122F1934">
        <w:rPr>
          <w:rFonts w:ascii="Verdana" w:eastAsia="Century Gothic" w:hAnsi="Verdana" w:cs="Century Gothic"/>
          <w:lang w:val="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ejercido por un tiempo inferior a tres (3) meses durante el respectivo cuatrienio, en forma continua o discontinua, conforme al artículo 197 de la Constitución Política. </w:t>
      </w:r>
    </w:p>
    <w:p w14:paraId="5490446E" w14:textId="77777777" w:rsidR="00E43748" w:rsidRPr="00C13395" w:rsidRDefault="00E43748" w:rsidP="00E43748">
      <w:pPr>
        <w:spacing w:after="0" w:line="276" w:lineRule="auto"/>
        <w:ind w:firstLine="708"/>
        <w:jc w:val="both"/>
        <w:rPr>
          <w:rFonts w:ascii="Verdana" w:eastAsia="Century Gothic" w:hAnsi="Verdana" w:cs="Century Gothic"/>
          <w:lang w:val="es-ES"/>
        </w:rPr>
      </w:pPr>
    </w:p>
    <w:p w14:paraId="3D9E0B26" w14:textId="77777777" w:rsidR="00E43748" w:rsidRPr="00C13395" w:rsidRDefault="00E43748" w:rsidP="00E43748">
      <w:pPr>
        <w:spacing w:after="120" w:line="276" w:lineRule="auto"/>
        <w:jc w:val="both"/>
        <w:rPr>
          <w:rFonts w:ascii="Verdana" w:eastAsia="Century Gothic" w:hAnsi="Verdana" w:cs="Century Gothic"/>
          <w:lang w:val="es-ES"/>
        </w:rPr>
      </w:pPr>
      <w:proofErr w:type="spellStart"/>
      <w:r w:rsidRPr="122F1934">
        <w:rPr>
          <w:rFonts w:ascii="Verdana" w:eastAsia="Century Gothic" w:hAnsi="Verdana" w:cs="Century Gothic"/>
          <w:lang w:val="es-ES"/>
        </w:rPr>
        <w:t>ii</w:t>
      </w:r>
      <w:proofErr w:type="spellEnd"/>
      <w:r w:rsidRPr="122F1934">
        <w:rPr>
          <w:rFonts w:ascii="Verdana" w:eastAsia="Century Gothic" w:hAnsi="Verdana" w:cs="Century Gothic"/>
          <w:lang w:val="es-ES"/>
        </w:rPr>
        <w:t xml:space="preserve">) Para entender el momento de aplicación de estas restricciones, es preciso señalar que el vocablo “celebrar” es definido por el Diccionario Panhispánico del Español Jurídico como: “1. Gral. Otorgar o firmar un contrato. 2. </w:t>
      </w:r>
      <w:proofErr w:type="spellStart"/>
      <w:r w:rsidRPr="122F1934">
        <w:rPr>
          <w:rFonts w:ascii="Verdana" w:eastAsia="Century Gothic" w:hAnsi="Verdana" w:cs="Century Gothic"/>
          <w:lang w:val="es-ES"/>
        </w:rPr>
        <w:t>Proc</w:t>
      </w:r>
      <w:proofErr w:type="spellEnd"/>
      <w:r w:rsidRPr="122F1934">
        <w:rPr>
          <w:rFonts w:ascii="Verdana" w:eastAsia="Century Gothic" w:hAnsi="Verdana" w:cs="Century Gothic"/>
          <w:lang w:val="es-ES"/>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731E8CD0"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sidRPr="00C13395">
        <w:rPr>
          <w:rFonts w:ascii="Verdana" w:eastAsia="Century Gothic" w:hAnsi="Verdana" w:cs="Century Gothic"/>
          <w:bCs/>
          <w:lang w:val="es-ES_tradnl"/>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la existencia de los contratos estatales, es decir, la producción de efectos jurídicos en los términos del artículo 1501 ibidem,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w:t>
      </w:r>
      <w:r w:rsidRPr="00C13395">
        <w:rPr>
          <w:rFonts w:ascii="Verdana" w:eastAsia="Century Gothic" w:hAnsi="Verdana" w:cs="Century Gothic"/>
          <w:bCs/>
          <w:lang w:val="es-ES_tradnl"/>
        </w:rPr>
        <w:lastRenderedPageBreak/>
        <w:t xml:space="preserve">perfeccionan cuando se logre acuerdo sobre el objeto y la contraprestación y éste se eleve a escrito”. </w:t>
      </w:r>
    </w:p>
    <w:p w14:paraId="760D09DC"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sidRPr="00C13395">
        <w:rPr>
          <w:rFonts w:ascii="Verdana" w:eastAsia="Century Gothic" w:hAnsi="Verdana" w:cs="Century Gothic"/>
          <w:bCs/>
          <w:lang w:val="es-ES_tradnl"/>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6D403854" w14:textId="77777777" w:rsidR="00E43748" w:rsidRPr="00C13395" w:rsidRDefault="00E43748" w:rsidP="00E43748">
      <w:pPr>
        <w:spacing w:after="0" w:line="276" w:lineRule="auto"/>
        <w:ind w:firstLine="708"/>
        <w:jc w:val="both"/>
        <w:rPr>
          <w:rFonts w:ascii="Verdana" w:eastAsia="Century Gothic" w:hAnsi="Verdana" w:cs="Century Gothic"/>
          <w:lang w:val="es-ES"/>
        </w:rPr>
      </w:pPr>
      <w:r w:rsidRPr="122F1934">
        <w:rPr>
          <w:rFonts w:ascii="Verdana" w:eastAsia="Century Gothic" w:hAnsi="Verdana" w:cs="Century Gothic"/>
          <w:lang w:val="es-ES"/>
        </w:rPr>
        <w:t xml:space="preserve">Asimismo, como en otras oportunidades lo ha manifestado esta Agencia, las prórrogas, modificaciones o adiciones de los contratos suscritos antes de la </w:t>
      </w:r>
      <w:proofErr w:type="gramStart"/>
      <w:r w:rsidRPr="122F1934">
        <w:rPr>
          <w:rFonts w:ascii="Verdana" w:eastAsia="Century Gothic" w:hAnsi="Verdana" w:cs="Century Gothic"/>
          <w:lang w:val="es-ES"/>
        </w:rPr>
        <w:t>entrada en vigencia</w:t>
      </w:r>
      <w:proofErr w:type="gramEnd"/>
      <w:r w:rsidRPr="122F1934">
        <w:rPr>
          <w:rFonts w:ascii="Verdana" w:eastAsia="Century Gothic" w:hAnsi="Verdana" w:cs="Century Gothic"/>
          <w:lang w:val="es-ES"/>
        </w:rPr>
        <w:t xml:space="preserve"> de las prohibiciones anotadas, así como la cesión de </w:t>
      </w:r>
      <w:proofErr w:type="gramStart"/>
      <w:r w:rsidRPr="122F1934">
        <w:rPr>
          <w:rFonts w:ascii="Verdana" w:eastAsia="Century Gothic" w:hAnsi="Verdana" w:cs="Century Gothic"/>
          <w:lang w:val="es-ES"/>
        </w:rPr>
        <w:t>los mismos</w:t>
      </w:r>
      <w:proofErr w:type="gramEnd"/>
      <w:r w:rsidRPr="122F1934">
        <w:rPr>
          <w:rFonts w:ascii="Verdana" w:eastAsia="Century Gothic" w:hAnsi="Verdana" w:cs="Century Gothic"/>
          <w:lang w:val="es-ES"/>
        </w:rPr>
        <w:t xml:space="preserve">, pueden tener lugar en el período de aplicación de la Ley de Garantías Electorales, sin que ello haga nugatoria la restricción de la contratación directa y siempre que cumplan los principios de planeación, transparencia y responsabilidad. </w:t>
      </w:r>
    </w:p>
    <w:p w14:paraId="53BDCEA6" w14:textId="77777777" w:rsidR="00E43748" w:rsidRDefault="00E43748" w:rsidP="00E43748">
      <w:pPr>
        <w:spacing w:after="0" w:line="276" w:lineRule="auto"/>
        <w:jc w:val="both"/>
        <w:rPr>
          <w:rFonts w:ascii="Verdana" w:eastAsia="Century Gothic" w:hAnsi="Verdana" w:cs="Century Gothic"/>
          <w:bCs/>
          <w:lang w:val="es-ES_tradnl"/>
        </w:rPr>
      </w:pPr>
    </w:p>
    <w:p w14:paraId="33AD91F1" w14:textId="77777777" w:rsidR="00E43748" w:rsidRPr="00C13395" w:rsidRDefault="00E43748" w:rsidP="00E43748">
      <w:pPr>
        <w:spacing w:after="0" w:line="276" w:lineRule="auto"/>
        <w:jc w:val="both"/>
        <w:rPr>
          <w:rFonts w:ascii="Verdana" w:eastAsia="Century Gothic" w:hAnsi="Verdana" w:cs="Century Gothic"/>
          <w:lang w:val="es-ES"/>
        </w:rPr>
      </w:pPr>
      <w:proofErr w:type="spellStart"/>
      <w:r w:rsidRPr="61CFEC75">
        <w:rPr>
          <w:rFonts w:ascii="Verdana" w:eastAsia="Century Gothic" w:hAnsi="Verdana" w:cs="Century Gothic"/>
          <w:lang w:val="es-ES"/>
        </w:rPr>
        <w:t>iii</w:t>
      </w:r>
      <w:proofErr w:type="spellEnd"/>
      <w:r w:rsidRPr="61CFEC75">
        <w:rPr>
          <w:rFonts w:ascii="Verdana" w:eastAsia="Century Gothic" w:hAnsi="Verdana" w:cs="Century Gothic"/>
          <w:lang w:val="es-ES"/>
        </w:rPr>
        <w:t>) Teniendo en cuenta el contenido de su consulta, es imperioso analizar los dos tipos de restricciones. En primer lugar, el ámbito material de la prohibición contenida en el artículo 33 de la Ley 996 de 2005 está delimitado por la expresión “queda prohibida la contratación directa”. A propósito de esta restricción de la Ley de Garantías Electorales, la Sala de Consulta y Servicio Civil del Consejo de Estado ha considerado que:</w:t>
      </w:r>
    </w:p>
    <w:p w14:paraId="24C4AA03" w14:textId="77777777" w:rsidR="00E43748" w:rsidRPr="00C13395" w:rsidRDefault="00E43748" w:rsidP="00E43748">
      <w:pPr>
        <w:spacing w:after="0" w:line="276" w:lineRule="auto"/>
        <w:jc w:val="both"/>
        <w:rPr>
          <w:rFonts w:ascii="Verdana" w:eastAsia="Century Gothic" w:hAnsi="Verdana" w:cs="Century Gothic"/>
          <w:bCs/>
          <w:lang w:val="es-ES_tradnl"/>
        </w:rPr>
      </w:pPr>
    </w:p>
    <w:p w14:paraId="27BAF84D" w14:textId="77777777" w:rsidR="00E43748" w:rsidRPr="00C13395" w:rsidRDefault="00E43748" w:rsidP="00E43748">
      <w:pPr>
        <w:spacing w:after="0" w:line="240" w:lineRule="auto"/>
        <w:ind w:left="709" w:right="709"/>
        <w:jc w:val="both"/>
        <w:rPr>
          <w:rFonts w:ascii="Verdana" w:eastAsia="Century Gothic" w:hAnsi="Verdana" w:cs="Century Gothic"/>
          <w:bCs/>
          <w:sz w:val="20"/>
          <w:szCs w:val="20"/>
          <w:lang w:val="es-ES_tradnl"/>
        </w:rPr>
      </w:pPr>
      <w:r w:rsidRPr="00C13395">
        <w:rPr>
          <w:rFonts w:ascii="Verdana" w:eastAsia="Century Gothic" w:hAnsi="Verdana" w:cs="Century Gothic"/>
          <w:bCs/>
          <w:sz w:val="20"/>
          <w:szCs w:val="20"/>
          <w:lang w:val="es-ES_tradnl"/>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p>
    <w:p w14:paraId="4AD47930" w14:textId="77777777" w:rsidR="00E43748" w:rsidRPr="00C13395" w:rsidRDefault="00E43748" w:rsidP="00E43748">
      <w:pPr>
        <w:spacing w:after="0" w:line="240" w:lineRule="auto"/>
        <w:ind w:left="709" w:right="709"/>
        <w:jc w:val="both"/>
        <w:rPr>
          <w:rFonts w:ascii="Verdana" w:eastAsia="Century Gothic" w:hAnsi="Verdana" w:cs="Century Gothic"/>
          <w:bCs/>
          <w:sz w:val="20"/>
          <w:szCs w:val="20"/>
          <w:lang w:val="es-ES_tradnl"/>
        </w:rPr>
      </w:pPr>
    </w:p>
    <w:p w14:paraId="543A10C3" w14:textId="77777777" w:rsidR="00E43748" w:rsidRPr="00C13395" w:rsidRDefault="00E43748" w:rsidP="00E43748">
      <w:pPr>
        <w:spacing w:after="0" w:line="240" w:lineRule="auto"/>
        <w:ind w:left="709" w:right="709"/>
        <w:jc w:val="both"/>
        <w:rPr>
          <w:rFonts w:ascii="Verdana" w:eastAsia="Century Gothic" w:hAnsi="Verdana" w:cs="Century Gothic"/>
          <w:bCs/>
          <w:sz w:val="20"/>
          <w:szCs w:val="20"/>
          <w:lang w:val="es-ES_tradnl"/>
        </w:rPr>
      </w:pPr>
      <w:r w:rsidRPr="00C13395">
        <w:rPr>
          <w:rFonts w:ascii="Verdana" w:eastAsia="Century Gothic" w:hAnsi="Verdana" w:cs="Century Gothic"/>
          <w:bCs/>
          <w:sz w:val="20"/>
          <w:szCs w:val="20"/>
          <w:lang w:val="es-ES_tradnl"/>
        </w:rPr>
        <w:t xml:space="preserve">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 Por tanto, no son materia de la prohibición las demás modalidades de selección previstas en la ley 1150 de 2007, siendo estas, la licitación pública, el concurso de méritos y la selección abreviada, razón </w:t>
      </w:r>
      <w:r w:rsidRPr="00C13395">
        <w:rPr>
          <w:rFonts w:ascii="Verdana" w:eastAsia="Century Gothic" w:hAnsi="Verdana" w:cs="Century Gothic"/>
          <w:bCs/>
          <w:sz w:val="20"/>
          <w:szCs w:val="20"/>
          <w:lang w:val="es-ES_tradnl"/>
        </w:rPr>
        <w:lastRenderedPageBreak/>
        <w:t>por la cual en ese periodo preelectoral de que trata la disposición pueden las entidades públicas seguir contratando bajo estos sistemas</w:t>
      </w:r>
      <w:r>
        <w:rPr>
          <w:rFonts w:ascii="Verdana" w:eastAsia="Century Gothic" w:hAnsi="Verdana" w:cs="Century Gothic"/>
          <w:bCs/>
          <w:sz w:val="20"/>
          <w:szCs w:val="20"/>
          <w:lang w:val="es-ES_tradnl"/>
        </w:rPr>
        <w:t xml:space="preserve"> (…)</w:t>
      </w:r>
      <w:r w:rsidRPr="00C13395">
        <w:rPr>
          <w:rFonts w:ascii="Verdana" w:eastAsia="Century Gothic" w:hAnsi="Verdana" w:cs="Century Gothic"/>
          <w:bCs/>
          <w:sz w:val="20"/>
          <w:szCs w:val="20"/>
          <w:lang w:val="es-ES_tradnl"/>
        </w:rPr>
        <w:t>”.</w:t>
      </w:r>
    </w:p>
    <w:p w14:paraId="52A1D903" w14:textId="77777777" w:rsidR="00E43748" w:rsidRDefault="00E43748" w:rsidP="00E43748">
      <w:pPr>
        <w:spacing w:after="0" w:line="276" w:lineRule="auto"/>
        <w:ind w:firstLine="708"/>
        <w:jc w:val="both"/>
        <w:rPr>
          <w:rFonts w:ascii="Verdana" w:eastAsia="Century Gothic" w:hAnsi="Verdana" w:cs="Century Gothic"/>
          <w:bCs/>
          <w:lang w:val="es-ES_tradnl"/>
        </w:rPr>
      </w:pPr>
    </w:p>
    <w:p w14:paraId="260F2F91"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sidRPr="00305400">
        <w:rPr>
          <w:rFonts w:ascii="Verdana" w:eastAsia="Century Gothic" w:hAnsi="Verdana" w:cs="Century Gothic"/>
          <w:bCs/>
          <w:lang w:val="es-ES_tradnl"/>
        </w:rPr>
        <w:t>De</w:t>
      </w:r>
      <w:r w:rsidRPr="00C13395">
        <w:rPr>
          <w:rFonts w:ascii="Verdana" w:eastAsia="Century Gothic" w:hAnsi="Verdana" w:cs="Century Gothic"/>
          <w:bCs/>
          <w:lang w:val="es-ES_tradnl"/>
        </w:rPr>
        <w:t xml:space="preserve"> acuerdo con el citado concepto, la prohibición del artículo 33 de la Ley de Garantías Electorales se refiere a “cualquier sistema que no implique convocatoria pública y posibilidad de pluralidad de oferentes”, por lo que excluye las demás modalidades de contratación previstas en la Ley 1150 de 2007, es decir, la licitación pública, la selección abreviada, el concurso de méritos y la mínima cuantía u otros previstos en normas especiales. Esta posición es congruente con la expedición de la Ley 1150 de 2007 que, entre otras reformas, introdujo la selección abreviada, rediseñó el concurso de méritos y sistematizó las causales de contratación directa, además lo es con la posterior creación de la modalidad de mínima cuantía establecida actualmente en el numeral 5 del artículo 2 de la Ley 1150 de 2007, de acuerdo con las modificaciones realizadas por leyes posteriores.</w:t>
      </w:r>
    </w:p>
    <w:p w14:paraId="2FA0A199"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sidRPr="00C13395">
        <w:rPr>
          <w:rFonts w:ascii="Verdana" w:eastAsia="Century Gothic" w:hAnsi="Verdana" w:cs="Century Gothic"/>
          <w:bCs/>
          <w:lang w:val="es-ES_tradnl"/>
        </w:rPr>
        <w:t xml:space="preserve">De esta forma, con fundamento en la evolución de la normativa sobre la contratación pública, se ha depurado la noción de “contratación directa”, precisando el Consejo de Estado –en el concepto citado– que, “aun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 , han establecido sistemas de contratación que implican convocatoria pública y participación de varios oferentes”. </w:t>
      </w:r>
    </w:p>
    <w:p w14:paraId="40642ED8"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sidRPr="00C13395">
        <w:rPr>
          <w:rFonts w:ascii="Verdana" w:eastAsia="Century Gothic" w:hAnsi="Verdana" w:cs="Century Gothic"/>
          <w:bCs/>
          <w:lang w:val="es-ES_tradnl"/>
        </w:rPr>
        <w:t xml:space="preserve">En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se haga de manera pública, y que se permita la participación de una pluralidad de oferentes. </w:t>
      </w:r>
    </w:p>
    <w:p w14:paraId="5E65DA27" w14:textId="77777777" w:rsidR="00E43748" w:rsidRPr="00C13395" w:rsidRDefault="00E43748" w:rsidP="00E43748">
      <w:pPr>
        <w:spacing w:after="120" w:line="276" w:lineRule="auto"/>
        <w:ind w:firstLine="708"/>
        <w:jc w:val="both"/>
        <w:rPr>
          <w:rFonts w:ascii="Verdana" w:eastAsia="Century Gothic" w:hAnsi="Verdana" w:cs="Century Gothic"/>
          <w:lang w:val="es-ES"/>
        </w:rPr>
      </w:pPr>
      <w:r w:rsidRPr="122F1934">
        <w:rPr>
          <w:rFonts w:ascii="Verdana" w:eastAsia="Century Gothic" w:hAnsi="Verdana" w:cs="Century Gothic"/>
          <w:lang w:val="es-ES"/>
        </w:rPr>
        <w:t xml:space="preserve">Como se advierte de lo anterior, el Consejo de Estado realiza una interpretación amplia de la contratación directa, para efectos de aplicar las </w:t>
      </w:r>
      <w:r w:rsidRPr="122F1934">
        <w:rPr>
          <w:rFonts w:ascii="Verdana" w:eastAsia="Century Gothic" w:hAnsi="Verdana" w:cs="Century Gothic"/>
          <w:lang w:val="es-ES"/>
        </w:rPr>
        <w:lastRenderedPageBreak/>
        <w:t>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“contratación directa”.</w:t>
      </w:r>
    </w:p>
    <w:p w14:paraId="046EE12A" w14:textId="77777777" w:rsidR="00E43748" w:rsidRPr="00C13395" w:rsidRDefault="00E43748" w:rsidP="00E43748">
      <w:pPr>
        <w:spacing w:after="120" w:line="276" w:lineRule="auto"/>
        <w:ind w:firstLine="708"/>
        <w:jc w:val="both"/>
        <w:rPr>
          <w:rFonts w:ascii="Verdana" w:eastAsia="Century Gothic" w:hAnsi="Verdana" w:cs="Century Gothic"/>
          <w:bCs/>
          <w:lang w:val="es-ES_tradnl"/>
        </w:rPr>
      </w:pPr>
      <w:r w:rsidRPr="00C13395">
        <w:rPr>
          <w:rFonts w:ascii="Verdana" w:eastAsia="Century Gothic" w:hAnsi="Verdana" w:cs="Century Gothic"/>
          <w:bCs/>
          <w:lang w:val="es-ES_tradnl"/>
        </w:rPr>
        <w:t>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p>
    <w:p w14:paraId="2CC0B750" w14:textId="77777777" w:rsidR="00E43748" w:rsidRPr="00305400" w:rsidRDefault="00E43748" w:rsidP="00E43748">
      <w:pPr>
        <w:spacing w:after="120" w:line="276" w:lineRule="auto"/>
        <w:ind w:firstLine="708"/>
        <w:jc w:val="both"/>
        <w:rPr>
          <w:rFonts w:ascii="Verdana" w:eastAsia="Century Gothic" w:hAnsi="Verdana" w:cs="Century Gothic"/>
          <w:lang w:val="es-ES"/>
        </w:rPr>
      </w:pPr>
      <w:r w:rsidRPr="61CFEC75">
        <w:rPr>
          <w:rFonts w:ascii="Verdana" w:eastAsia="Century Gothic" w:hAnsi="Verdana" w:cs="Century Gothic"/>
          <w:lang w:val="es-ES"/>
        </w:rPr>
        <w:t xml:space="preserve">De lo anterior se desprende que la restricción aplica, sin perjuicio de las excepciones establecidas en la misma Ley, a las cuales se hará referencia más adelante, para celebrar cualquier contrato de forma directa, esto es, sin que exista un proceso abierto y competitivo.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 </w:t>
      </w:r>
    </w:p>
    <w:p w14:paraId="78455499" w14:textId="77777777" w:rsidR="00E43748" w:rsidRDefault="00E43748" w:rsidP="00E43748">
      <w:pPr>
        <w:spacing w:after="120" w:line="276" w:lineRule="auto"/>
        <w:ind w:firstLine="709"/>
        <w:jc w:val="both"/>
        <w:rPr>
          <w:rFonts w:ascii="Verdana" w:eastAsia="Aptos" w:hAnsi="Verdana" w:cs="Arial"/>
          <w:bCs/>
          <w:color w:val="000000"/>
        </w:rPr>
      </w:pPr>
      <w:bookmarkStart w:id="3" w:name="_Hlk215234154"/>
      <w:r w:rsidRPr="00343E12">
        <w:rPr>
          <w:rFonts w:ascii="Verdana" w:eastAsia="Aptos" w:hAnsi="Verdana" w:cs="Arial"/>
          <w:bCs/>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6CB57F0" w14:textId="77777777" w:rsidR="00E43748" w:rsidRDefault="00E43748" w:rsidP="00E43748">
      <w:pPr>
        <w:spacing w:after="120" w:line="276" w:lineRule="auto"/>
        <w:ind w:firstLine="708"/>
        <w:jc w:val="both"/>
        <w:rPr>
          <w:rFonts w:ascii="Verdana" w:eastAsia="Century Gothic" w:hAnsi="Verdana" w:cs="Century Gothic"/>
          <w:lang w:val="es-ES"/>
        </w:rPr>
      </w:pPr>
      <w:r>
        <w:rPr>
          <w:rFonts w:ascii="Verdana" w:eastAsia="Century Gothic" w:hAnsi="Verdana" w:cs="Century Gothic"/>
          <w:lang w:val="es-ES"/>
        </w:rPr>
        <w:t>Ahora bien</w:t>
      </w:r>
      <w:r w:rsidRPr="122F1934">
        <w:rPr>
          <w:rFonts w:ascii="Verdana" w:eastAsia="Century Gothic" w:hAnsi="Verdana" w:cs="Century Gothic"/>
          <w:lang w:val="es-ES"/>
        </w:rPr>
        <w:t>, las excepciones a la restricción prevista en la Ley de Garantías Electorales,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w:t>
      </w:r>
      <w:r w:rsidRPr="00294702">
        <w:rPr>
          <w:rFonts w:ascii="Verdana" w:eastAsia="Century Gothic" w:hAnsi="Verdana" w:cs="Century Gothic"/>
          <w:i/>
          <w:iCs/>
          <w:lang w:val="es-ES"/>
        </w:rPr>
        <w:t>) la defensa y seguridad del Estado;</w:t>
      </w:r>
      <w:r w:rsidRPr="122F1934">
        <w:rPr>
          <w:rFonts w:ascii="Verdana" w:eastAsia="Century Gothic" w:hAnsi="Verdana" w:cs="Century Gothic"/>
          <w:lang w:val="es-ES"/>
        </w:rPr>
        <w:t xml:space="preserve"> </w:t>
      </w:r>
      <w:proofErr w:type="spellStart"/>
      <w:r w:rsidRPr="122F1934">
        <w:rPr>
          <w:rFonts w:ascii="Verdana" w:eastAsia="Century Gothic" w:hAnsi="Verdana" w:cs="Century Gothic"/>
          <w:lang w:val="es-ES"/>
        </w:rPr>
        <w:t>ii</w:t>
      </w:r>
      <w:proofErr w:type="spellEnd"/>
      <w:r w:rsidRPr="122F1934">
        <w:rPr>
          <w:rFonts w:ascii="Verdana" w:eastAsia="Century Gothic" w:hAnsi="Verdana" w:cs="Century Gothic"/>
          <w:lang w:val="es-ES"/>
        </w:rPr>
        <w:t xml:space="preserve">) los contratos de crédito público; </w:t>
      </w:r>
      <w:proofErr w:type="spellStart"/>
      <w:r w:rsidRPr="122F1934">
        <w:rPr>
          <w:rFonts w:ascii="Verdana" w:eastAsia="Century Gothic" w:hAnsi="Verdana" w:cs="Century Gothic"/>
          <w:lang w:val="es-ES"/>
        </w:rPr>
        <w:t>iii</w:t>
      </w:r>
      <w:proofErr w:type="spellEnd"/>
      <w:r w:rsidRPr="122F1934">
        <w:rPr>
          <w:rFonts w:ascii="Verdana" w:eastAsia="Century Gothic" w:hAnsi="Verdana" w:cs="Century Gothic"/>
          <w:lang w:val="es-ES"/>
        </w:rPr>
        <w:t xml:space="preserve">) los </w:t>
      </w:r>
      <w:r w:rsidRPr="122F1934">
        <w:rPr>
          <w:rFonts w:ascii="Verdana" w:eastAsia="Century Gothic" w:hAnsi="Verdana" w:cs="Century Gothic"/>
          <w:lang w:val="es-ES"/>
        </w:rPr>
        <w:lastRenderedPageBreak/>
        <w:t xml:space="preserve">requeridos para cubrir las emergencias educativas, sanitarias y desastres; </w:t>
      </w:r>
      <w:proofErr w:type="spellStart"/>
      <w:r w:rsidRPr="122F1934">
        <w:rPr>
          <w:rFonts w:ascii="Verdana" w:eastAsia="Century Gothic" w:hAnsi="Verdana" w:cs="Century Gothic"/>
          <w:lang w:val="es-ES"/>
        </w:rPr>
        <w:t>iv</w:t>
      </w:r>
      <w:proofErr w:type="spellEnd"/>
      <w:r w:rsidRPr="122F1934">
        <w:rPr>
          <w:rFonts w:ascii="Verdana" w:eastAsia="Century Gothic" w:hAnsi="Verdana" w:cs="Century Gothic"/>
          <w:lang w:val="es-ES"/>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p>
    <w:p w14:paraId="4A8D9922" w14:textId="77777777" w:rsidR="0086547F" w:rsidRDefault="0086547F" w:rsidP="00EC49A7">
      <w:pPr>
        <w:spacing w:after="120" w:line="276" w:lineRule="auto"/>
        <w:jc w:val="both"/>
        <w:rPr>
          <w:rFonts w:ascii="Verdana" w:eastAsia="Century Gothic" w:hAnsi="Verdana" w:cs="Century Gothic"/>
          <w:lang w:val="es-ES"/>
        </w:rPr>
      </w:pPr>
    </w:p>
    <w:p w14:paraId="04AF70AF" w14:textId="21630A20" w:rsidR="0086547F" w:rsidRDefault="0086547F" w:rsidP="0086547F">
      <w:pPr>
        <w:spacing w:after="120" w:line="276" w:lineRule="auto"/>
        <w:ind w:firstLine="708"/>
        <w:jc w:val="both"/>
        <w:rPr>
          <w:rFonts w:ascii="Verdana" w:eastAsia="Century Gothic" w:hAnsi="Verdana" w:cs="Century Gothic"/>
          <w:lang w:val="es-ES"/>
        </w:rPr>
      </w:pPr>
      <w:r>
        <w:rPr>
          <w:rFonts w:ascii="Verdana" w:eastAsia="Century Gothic" w:hAnsi="Verdana" w:cs="Century Gothic"/>
          <w:lang w:val="es-ES"/>
        </w:rPr>
        <w:t>Conforme a las anteriores causales de excepción, e</w:t>
      </w:r>
      <w:r w:rsidRPr="122F1934">
        <w:rPr>
          <w:rFonts w:ascii="Verdana" w:eastAsia="Century Gothic" w:hAnsi="Verdana" w:cs="Century Gothic"/>
          <w:lang w:val="es-ES"/>
        </w:rPr>
        <w:t>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11F94A76" w14:textId="77777777" w:rsidR="00E43748" w:rsidRDefault="00E43748" w:rsidP="00E43748">
      <w:pPr>
        <w:spacing w:after="0" w:line="276" w:lineRule="auto"/>
        <w:ind w:firstLine="708"/>
        <w:jc w:val="both"/>
        <w:rPr>
          <w:rFonts w:ascii="Verdana" w:hAnsi="Verdana" w:cs="Arial"/>
          <w:color w:val="000000" w:themeColor="text1"/>
        </w:rPr>
      </w:pPr>
      <w:r w:rsidRPr="19B6A718">
        <w:rPr>
          <w:rFonts w:ascii="Verdana" w:hAnsi="Verdana" w:cs="Arial"/>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3AA5428" w14:textId="77777777" w:rsidR="00E43748" w:rsidRDefault="00E43748" w:rsidP="00E43748">
      <w:pPr>
        <w:spacing w:after="0" w:line="276" w:lineRule="auto"/>
        <w:ind w:firstLine="708"/>
        <w:jc w:val="both"/>
        <w:rPr>
          <w:rFonts w:ascii="Verdana" w:eastAsia="Times New Roman" w:hAnsi="Verdana" w:cs="Arial"/>
          <w:lang w:eastAsia="es-CO"/>
        </w:rPr>
      </w:pPr>
    </w:p>
    <w:p w14:paraId="586B3A5A" w14:textId="77777777" w:rsidR="00E43748" w:rsidRDefault="00E43748" w:rsidP="00E43748">
      <w:pPr>
        <w:spacing w:after="0" w:line="276" w:lineRule="auto"/>
        <w:ind w:firstLine="709"/>
        <w:jc w:val="both"/>
        <w:rPr>
          <w:rFonts w:ascii="Verdana" w:hAnsi="Verdana" w:cs="Arial"/>
          <w:color w:val="000000" w:themeColor="text1"/>
        </w:rPr>
      </w:pPr>
      <w:r w:rsidRPr="001450CA">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24AA74E6" w14:textId="77777777" w:rsidR="00E43748" w:rsidRPr="00305400" w:rsidRDefault="00E43748" w:rsidP="00E43748">
      <w:pPr>
        <w:spacing w:after="120" w:line="276" w:lineRule="auto"/>
        <w:ind w:firstLine="708"/>
        <w:jc w:val="both"/>
        <w:rPr>
          <w:rFonts w:ascii="Verdana" w:eastAsia="Century Gothic" w:hAnsi="Verdana" w:cs="Century Gothic"/>
        </w:rPr>
      </w:pPr>
    </w:p>
    <w:bookmarkEnd w:id="3"/>
    <w:p w14:paraId="3A536C1A" w14:textId="77777777" w:rsidR="00E43748" w:rsidRPr="00144EB3" w:rsidRDefault="00E43748" w:rsidP="00E43748">
      <w:pPr>
        <w:tabs>
          <w:tab w:val="left" w:pos="709"/>
        </w:tabs>
        <w:spacing w:after="0" w:line="276" w:lineRule="auto"/>
        <w:jc w:val="both"/>
        <w:rPr>
          <w:rFonts w:ascii="Verdana" w:eastAsia="Calibri" w:hAnsi="Verdana" w:cs="Arial"/>
          <w:bCs/>
        </w:rPr>
      </w:pPr>
    </w:p>
    <w:bookmarkEnd w:id="1"/>
    <w:bookmarkEnd w:id="2"/>
    <w:p w14:paraId="2D670567" w14:textId="77777777" w:rsidR="00E43748" w:rsidRDefault="00E43748" w:rsidP="00E43748">
      <w:pPr>
        <w:spacing w:after="0" w:line="276" w:lineRule="auto"/>
        <w:jc w:val="both"/>
        <w:rPr>
          <w:rFonts w:ascii="Verdana" w:eastAsia="Century Gothic" w:hAnsi="Verdana" w:cs="Century Gothic"/>
          <w:b/>
          <w:lang w:val="es-ES"/>
        </w:rPr>
      </w:pPr>
      <w:r>
        <w:rPr>
          <w:rFonts w:ascii="Verdana" w:eastAsia="Century Gothic" w:hAnsi="Verdana" w:cs="Century Gothic"/>
          <w:b/>
          <w:lang w:val="es-ES"/>
        </w:rPr>
        <w:t>IV</w:t>
      </w:r>
      <w:r w:rsidRPr="00144EB3">
        <w:rPr>
          <w:rFonts w:ascii="Verdana" w:eastAsia="Century Gothic" w:hAnsi="Verdana" w:cs="Century Gothic"/>
          <w:b/>
          <w:lang w:val="es-ES"/>
        </w:rPr>
        <w:t>. Referencias normativas, jurisprudenciales y otras fuentes:</w:t>
      </w:r>
    </w:p>
    <w:p w14:paraId="6446FFBB" w14:textId="77777777" w:rsidR="00E43748" w:rsidRPr="00144EB3" w:rsidRDefault="00E43748" w:rsidP="00E43748">
      <w:pPr>
        <w:spacing w:after="0" w:line="276" w:lineRule="auto"/>
        <w:jc w:val="both"/>
        <w:rPr>
          <w:rFonts w:ascii="Verdana" w:eastAsia="Century Gothic" w:hAnsi="Verdana" w:cs="Century Gothic"/>
          <w:b/>
          <w:color w:val="ED7D31" w:themeColor="accent2"/>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43748" w:rsidRPr="00144EB3" w14:paraId="223F55CC" w14:textId="77777777" w:rsidTr="000B0E77">
        <w:trPr>
          <w:trHeight w:val="870"/>
        </w:trPr>
        <w:tc>
          <w:tcPr>
            <w:tcW w:w="8647" w:type="dxa"/>
          </w:tcPr>
          <w:p w14:paraId="12CD956F" w14:textId="77777777" w:rsidR="00E43748" w:rsidRPr="00305400" w:rsidRDefault="00E43748" w:rsidP="00E43748">
            <w:pPr>
              <w:numPr>
                <w:ilvl w:val="0"/>
                <w:numId w:val="1"/>
              </w:numPr>
              <w:spacing w:before="100" w:beforeAutospacing="1" w:after="100" w:afterAutospacing="1"/>
              <w:rPr>
                <w:rFonts w:ascii="Verdana" w:eastAsia="Times New Roman" w:hAnsi="Verdana" w:cs="Times New Roman"/>
                <w:lang w:eastAsia="es-CO"/>
              </w:rPr>
            </w:pPr>
            <w:r w:rsidRPr="00305400">
              <w:rPr>
                <w:rFonts w:ascii="Verdana" w:eastAsia="Times New Roman" w:hAnsi="Verdana" w:cs="Times New Roman"/>
                <w:lang w:eastAsia="es-CO"/>
              </w:rPr>
              <w:t xml:space="preserve">Ley 80 de 1993. Artículos 13 y 32. </w:t>
            </w:r>
          </w:p>
          <w:p w14:paraId="73EA7766" w14:textId="77777777" w:rsidR="00E43748" w:rsidRPr="00305400" w:rsidRDefault="00E43748" w:rsidP="00E43748">
            <w:pPr>
              <w:numPr>
                <w:ilvl w:val="0"/>
                <w:numId w:val="1"/>
              </w:numPr>
              <w:spacing w:before="100" w:beforeAutospacing="1" w:after="100" w:afterAutospacing="1"/>
              <w:rPr>
                <w:rFonts w:ascii="Verdana" w:eastAsia="Times New Roman" w:hAnsi="Verdana" w:cs="Times New Roman"/>
                <w:lang w:eastAsia="es-CO"/>
              </w:rPr>
            </w:pPr>
            <w:r w:rsidRPr="00305400">
              <w:rPr>
                <w:rFonts w:ascii="Verdana" w:eastAsia="Times New Roman" w:hAnsi="Verdana" w:cs="Times New Roman"/>
                <w:lang w:eastAsia="es-CO"/>
              </w:rPr>
              <w:t xml:space="preserve">Ley 1150 de 2007. Artículo 2. </w:t>
            </w:r>
          </w:p>
          <w:p w14:paraId="04F3671D" w14:textId="77777777" w:rsidR="00E43748" w:rsidRPr="00144EB3" w:rsidRDefault="00E43748" w:rsidP="00E43748">
            <w:pPr>
              <w:numPr>
                <w:ilvl w:val="0"/>
                <w:numId w:val="7"/>
              </w:numPr>
              <w:spacing w:after="160"/>
              <w:jc w:val="both"/>
              <w:rPr>
                <w:rFonts w:ascii="Verdana" w:eastAsia="Calibri" w:hAnsi="Verdana" w:cs="Arial"/>
                <w:lang w:val="es-MX" w:bidi="es-ES"/>
              </w:rPr>
            </w:pPr>
            <w:r w:rsidRPr="00305400">
              <w:rPr>
                <w:rFonts w:ascii="Verdana" w:eastAsia="Times New Roman" w:hAnsi="Verdana" w:cs="Times New Roman"/>
                <w:lang w:eastAsia="es-CO"/>
              </w:rPr>
              <w:lastRenderedPageBreak/>
              <w:t>Ley 996</w:t>
            </w:r>
            <w:r w:rsidRPr="00144EB3">
              <w:rPr>
                <w:rFonts w:ascii="Verdana" w:eastAsia="Calibri" w:hAnsi="Verdana" w:cs="Arial"/>
                <w:lang w:val="es-MX"/>
              </w:rPr>
              <w:t xml:space="preserve"> Consejo de Estado. Sala de Consulta y del Servicio Civil. Concepto del 9 de octubre de 2014. </w:t>
            </w:r>
          </w:p>
          <w:p w14:paraId="08C77C1C" w14:textId="77777777" w:rsidR="00E43748" w:rsidRPr="00305400" w:rsidRDefault="00E43748" w:rsidP="00E43748">
            <w:pPr>
              <w:numPr>
                <w:ilvl w:val="0"/>
                <w:numId w:val="1"/>
              </w:numPr>
              <w:spacing w:before="100" w:beforeAutospacing="1" w:after="100" w:afterAutospacing="1"/>
              <w:rPr>
                <w:rFonts w:ascii="Verdana" w:eastAsia="Times New Roman" w:hAnsi="Verdana" w:cs="Times New Roman"/>
                <w:lang w:eastAsia="es-CO"/>
              </w:rPr>
            </w:pPr>
            <w:r w:rsidRPr="00144EB3">
              <w:rPr>
                <w:rFonts w:ascii="Verdana" w:eastAsia="Calibri" w:hAnsi="Verdana" w:cs="Arial"/>
              </w:rPr>
              <w:t xml:space="preserve">Consejo de Estado. Sala de lo Contencioso Administrativo. Sección Primera. Radicación número: 50001-23-31-000-2010-00548-01. 19 de septiembre de 2019. Consejera Ponente: Nubia </w:t>
            </w:r>
            <w:proofErr w:type="spellStart"/>
            <w:r w:rsidRPr="00144EB3">
              <w:rPr>
                <w:rFonts w:ascii="Verdana" w:eastAsia="Calibri" w:hAnsi="Verdana" w:cs="Arial"/>
              </w:rPr>
              <w:t>Margoth</w:t>
            </w:r>
            <w:proofErr w:type="spellEnd"/>
            <w:r w:rsidRPr="00144EB3">
              <w:rPr>
                <w:rFonts w:ascii="Verdana" w:eastAsia="Calibri" w:hAnsi="Verdana" w:cs="Arial"/>
              </w:rPr>
              <w:t xml:space="preserve"> Peña Garzón.</w:t>
            </w:r>
            <w:r w:rsidRPr="00305400">
              <w:rPr>
                <w:rFonts w:ascii="Verdana" w:eastAsia="Times New Roman" w:hAnsi="Verdana" w:cs="Times New Roman"/>
                <w:lang w:eastAsia="es-CO"/>
              </w:rPr>
              <w:t xml:space="preserve"> de 2005. Artículos 33 y 38. </w:t>
            </w:r>
          </w:p>
          <w:p w14:paraId="67F0F6F7" w14:textId="77777777" w:rsidR="00E43748" w:rsidRPr="00144EB3" w:rsidRDefault="00E43748" w:rsidP="000B0E77">
            <w:pPr>
              <w:spacing w:before="100" w:beforeAutospacing="1" w:after="100" w:afterAutospacing="1"/>
              <w:ind w:left="360"/>
              <w:rPr>
                <w:rFonts w:ascii="Verdana" w:eastAsia="Arial MT" w:hAnsi="Verdana" w:cs="Arial"/>
                <w:color w:val="ED7D31" w:themeColor="accent2"/>
                <w:lang w:eastAsia="es-ES" w:bidi="es-ES"/>
              </w:rPr>
            </w:pPr>
          </w:p>
        </w:tc>
      </w:tr>
    </w:tbl>
    <w:p w14:paraId="72CB3472" w14:textId="77777777" w:rsidR="00E43748" w:rsidRDefault="00E43748" w:rsidP="00E43748">
      <w:pPr>
        <w:widowControl w:val="0"/>
        <w:autoSpaceDE w:val="0"/>
        <w:autoSpaceDN w:val="0"/>
        <w:spacing w:after="0" w:line="276" w:lineRule="auto"/>
        <w:jc w:val="both"/>
        <w:rPr>
          <w:rFonts w:ascii="Verdana" w:hAnsi="Verdana" w:cs="Arial"/>
          <w:color w:val="ED7D31" w:themeColor="accent2"/>
          <w:lang w:val="es-ES"/>
        </w:rPr>
      </w:pPr>
    </w:p>
    <w:p w14:paraId="2A41734B" w14:textId="77777777" w:rsidR="00662DFA" w:rsidRDefault="00662DFA" w:rsidP="00E43748">
      <w:pPr>
        <w:widowControl w:val="0"/>
        <w:autoSpaceDE w:val="0"/>
        <w:autoSpaceDN w:val="0"/>
        <w:spacing w:after="0" w:line="276" w:lineRule="auto"/>
        <w:jc w:val="both"/>
        <w:rPr>
          <w:rFonts w:ascii="Verdana" w:hAnsi="Verdana" w:cs="Arial"/>
          <w:color w:val="ED7D31" w:themeColor="accent2"/>
          <w:lang w:val="es-ES"/>
        </w:rPr>
      </w:pPr>
    </w:p>
    <w:p w14:paraId="4F574843" w14:textId="77777777" w:rsidR="00662DFA" w:rsidRPr="00144EB3" w:rsidRDefault="00662DFA" w:rsidP="00E43748">
      <w:pPr>
        <w:widowControl w:val="0"/>
        <w:autoSpaceDE w:val="0"/>
        <w:autoSpaceDN w:val="0"/>
        <w:spacing w:after="0" w:line="276" w:lineRule="auto"/>
        <w:jc w:val="both"/>
        <w:rPr>
          <w:rFonts w:ascii="Verdana" w:hAnsi="Verdana" w:cs="Arial"/>
          <w:color w:val="ED7D31" w:themeColor="accent2"/>
          <w:lang w:val="es-ES"/>
        </w:rPr>
      </w:pPr>
    </w:p>
    <w:p w14:paraId="78A7E23C" w14:textId="77777777" w:rsidR="00E43748" w:rsidRPr="00144EB3" w:rsidRDefault="00E43748" w:rsidP="00E43748">
      <w:pPr>
        <w:spacing w:after="0" w:line="276" w:lineRule="auto"/>
        <w:jc w:val="both"/>
        <w:rPr>
          <w:rFonts w:ascii="Verdana" w:eastAsia="Aptos" w:hAnsi="Verdana" w:cs="Arial"/>
          <w:b/>
          <w:bCs/>
          <w:shd w:val="clear" w:color="auto" w:fill="FFFFFF"/>
        </w:rPr>
      </w:pPr>
    </w:p>
    <w:p w14:paraId="5B9F1C7E" w14:textId="4E2818A5" w:rsidR="00E43748" w:rsidRPr="00144EB3" w:rsidRDefault="00662DFA" w:rsidP="00E43748">
      <w:pPr>
        <w:spacing w:after="0" w:line="276" w:lineRule="auto"/>
        <w:jc w:val="both"/>
        <w:rPr>
          <w:rFonts w:ascii="Verdana" w:eastAsia="Aptos" w:hAnsi="Verdana" w:cs="Arial"/>
          <w:b/>
          <w:bCs/>
          <w:shd w:val="clear" w:color="auto" w:fill="FFFFFF"/>
        </w:rPr>
      </w:pPr>
      <w:r>
        <w:rPr>
          <w:rFonts w:ascii="Verdana" w:eastAsia="Aptos" w:hAnsi="Verdana" w:cs="Arial"/>
          <w:b/>
          <w:bCs/>
          <w:shd w:val="clear" w:color="auto" w:fill="FFFFFF"/>
        </w:rPr>
        <w:t>V</w:t>
      </w:r>
      <w:r w:rsidR="00E43748" w:rsidRPr="00144EB3">
        <w:rPr>
          <w:rFonts w:ascii="Verdana" w:eastAsia="Aptos" w:hAnsi="Verdana" w:cs="Arial"/>
          <w:b/>
          <w:bCs/>
          <w:shd w:val="clear" w:color="auto" w:fill="FFFFFF"/>
        </w:rPr>
        <w:t xml:space="preserve">. Doctrina de la Agencia Nacional de Contratación Pública: </w:t>
      </w:r>
    </w:p>
    <w:p w14:paraId="021501FE" w14:textId="77777777" w:rsidR="00E43748" w:rsidRPr="00144EB3" w:rsidRDefault="00E43748" w:rsidP="00E43748">
      <w:pPr>
        <w:spacing w:after="0" w:line="276" w:lineRule="auto"/>
        <w:jc w:val="both"/>
        <w:rPr>
          <w:rFonts w:ascii="Verdana" w:eastAsia="Aptos" w:hAnsi="Verdana" w:cs="Arial"/>
          <w:b/>
          <w:bCs/>
          <w:shd w:val="clear" w:color="auto" w:fill="FFFFFF"/>
        </w:rPr>
      </w:pPr>
    </w:p>
    <w:p w14:paraId="7AFA162E" w14:textId="77777777" w:rsidR="00E43748" w:rsidRDefault="00E43748" w:rsidP="00E43748">
      <w:pPr>
        <w:widowControl w:val="0"/>
        <w:autoSpaceDE w:val="0"/>
        <w:autoSpaceDN w:val="0"/>
        <w:spacing w:after="0" w:line="276" w:lineRule="auto"/>
        <w:jc w:val="both"/>
        <w:rPr>
          <w:rFonts w:ascii="Verdana" w:eastAsia="Aptos" w:hAnsi="Verdana" w:cs="Arial"/>
          <w:color w:val="FF0000"/>
          <w:shd w:val="clear" w:color="auto" w:fill="FFFFFF"/>
          <w:lang w:val="es-ES_tradnl"/>
        </w:rPr>
      </w:pPr>
      <w:r w:rsidRPr="00B41749">
        <w:rPr>
          <w:rFonts w:ascii="Verdana" w:eastAsia="Aptos" w:hAnsi="Verdana" w:cs="Arial"/>
          <w:shd w:val="clear" w:color="auto" w:fill="FFFFFF"/>
        </w:rPr>
        <w:t xml:space="preserve">Esta Subdirección se ha pronunciado sobre la finalidad y propósito de la Ley de Garantías Electorales en los Conceptos C-227 del 24 de mayo de 2021, C-396 del 13 de agosto de 2021, C-439 del 27 de agosto de 2021, C-481 del 9 de septiembre de 2021, C-528 del 27 de septiembre de 2021, C-550 del 5 de octubre de 2021, C-523 del 10 de octubre de 2021, C-606 del 28 de octubre de 2021, C-614 del 2 de noviembre de 2021, C-634 del 11 de noviembre de 2021, C-636 del 16 de noviembre de 2021, C-681 del 7 de diciembre de 2021, C-686 del 21 de diciembre de 2021, C-054 del 22 de marzo de 2022, C-179 del 8 de abril de 2022, C-161 del 17 de mayo de 2022, C- 180 del 21 de marzo de 2025, C-696 del 11 de julio de 2025, C-708 del 15 de julio de 2025, C-1186 del 17 de septiembre de 2025, C-1350 del 1˚ de octubre de 2025 y C-1430 del 12 de noviembre del 2025 y C-1492 de 21 de noviembre de 2025. </w:t>
      </w:r>
      <w:r w:rsidRPr="00B41749">
        <w:rPr>
          <w:rFonts w:ascii="Verdana" w:eastAsia="Aptos" w:hAnsi="Verdana" w:cs="Arial"/>
          <w:shd w:val="clear" w:color="auto" w:fill="FFFFFF"/>
          <w:lang w:val="es-ES_tradnl"/>
        </w:rPr>
        <w:t xml:space="preserve">Estos conceptos se encuentran disponibles para consulta en el Sistema de relatoría de la Agencia, al cual puede accederse a través del siguiente enlace: </w:t>
      </w:r>
      <w:hyperlink r:id="rId12" w:history="1">
        <w:r w:rsidRPr="00B41749">
          <w:rPr>
            <w:rFonts w:ascii="Verdana" w:eastAsia="Aptos" w:hAnsi="Verdana" w:cs="Arial"/>
            <w:color w:val="0000FF"/>
            <w:u w:val="single"/>
            <w:shd w:val="clear" w:color="auto" w:fill="FFFFFF"/>
            <w:lang w:val="es-ES_tradnl"/>
          </w:rPr>
          <w:t>https://relatoria.colombiacompra.gov.co/busqueda/conceptos</w:t>
        </w:r>
      </w:hyperlink>
      <w:r w:rsidRPr="00B41749">
        <w:rPr>
          <w:rFonts w:ascii="Verdana" w:eastAsia="Aptos" w:hAnsi="Verdana" w:cs="Arial"/>
          <w:shd w:val="clear" w:color="auto" w:fill="FFFFFF"/>
          <w:lang w:val="es-ES_tradnl"/>
        </w:rPr>
        <w:t xml:space="preserve">. </w:t>
      </w:r>
      <w:r w:rsidRPr="00B41749">
        <w:rPr>
          <w:rFonts w:ascii="Verdana" w:eastAsia="Aptos" w:hAnsi="Verdana" w:cs="Arial"/>
          <w:color w:val="FF0000"/>
          <w:shd w:val="clear" w:color="auto" w:fill="FFFFFF"/>
          <w:lang w:val="es-ES_tradnl"/>
        </w:rPr>
        <w:t xml:space="preserve"> </w:t>
      </w:r>
    </w:p>
    <w:p w14:paraId="6731E9A8" w14:textId="77777777" w:rsidR="00E43748" w:rsidRDefault="00E43748" w:rsidP="00E43748">
      <w:pPr>
        <w:widowControl w:val="0"/>
        <w:autoSpaceDE w:val="0"/>
        <w:autoSpaceDN w:val="0"/>
        <w:spacing w:after="0" w:line="276" w:lineRule="auto"/>
        <w:jc w:val="both"/>
        <w:rPr>
          <w:rFonts w:ascii="Verdana" w:eastAsia="Aptos" w:hAnsi="Verdana" w:cs="Arial"/>
          <w:color w:val="FF0000"/>
          <w:shd w:val="clear" w:color="auto" w:fill="FFFFFF"/>
          <w:lang w:val="es-ES_tradnl"/>
        </w:rPr>
      </w:pPr>
    </w:p>
    <w:p w14:paraId="00DDC80C" w14:textId="77777777" w:rsidR="00E43748" w:rsidRPr="00305400" w:rsidRDefault="00E43748" w:rsidP="00E43748">
      <w:pPr>
        <w:spacing w:after="0" w:line="276" w:lineRule="auto"/>
        <w:jc w:val="both"/>
        <w:rPr>
          <w:rFonts w:ascii="Verdana" w:hAnsi="Verdana" w:cs="Arial"/>
          <w:shd w:val="clear" w:color="auto" w:fill="FFFFFF"/>
          <w:lang w:val="es-ES_tradnl"/>
        </w:rPr>
      </w:pPr>
    </w:p>
    <w:p w14:paraId="57502B0E" w14:textId="77777777" w:rsidR="00E43748" w:rsidRPr="00144EB3" w:rsidRDefault="00E43748" w:rsidP="00E43748">
      <w:pPr>
        <w:spacing w:after="0" w:line="276" w:lineRule="auto"/>
        <w:jc w:val="both"/>
        <w:rPr>
          <w:rFonts w:ascii="Verdana" w:eastAsia="Calibri" w:hAnsi="Verdana" w:cs="Arial"/>
        </w:rPr>
      </w:pPr>
      <w:r w:rsidRPr="00144EB3">
        <w:rPr>
          <w:rFonts w:ascii="Verdana" w:eastAsia="Calibri" w:hAnsi="Verdana" w:cs="Arial"/>
        </w:rPr>
        <w:t xml:space="preserve">La sostenibilidad no es una opción, es una obligación. Por ello, la Agencia Nacional de Contratación Pública –Colombia Compra Eficiente– te invita a realizar el </w:t>
      </w:r>
      <w:r w:rsidRPr="00144EB3">
        <w:rPr>
          <w:rFonts w:ascii="Verdana" w:eastAsia="Calibri" w:hAnsi="Verdana" w:cs="Arial"/>
          <w:b/>
          <w:bCs/>
        </w:rPr>
        <w:t>Curso de Contratación Pública Sostenible y Socialmente Responsable</w:t>
      </w:r>
      <w:r w:rsidRPr="00144EB3">
        <w:rPr>
          <w:rFonts w:ascii="Verdana" w:eastAsia="Calibri" w:hAnsi="Verdana" w:cs="Arial"/>
        </w:rPr>
        <w:t xml:space="preserve">, una herramienta clave para fortalecer las capacidades de todos los compradores públicos, proveedores, servidores públicos v para generar mayor valor público. Accede al curso y aprende como implementar criterios </w:t>
      </w:r>
      <w:r w:rsidRPr="00144EB3">
        <w:rPr>
          <w:rFonts w:ascii="Verdana" w:eastAsia="Calibri" w:hAnsi="Verdana" w:cs="Arial"/>
        </w:rPr>
        <w:lastRenderedPageBreak/>
        <w:t>sociales y ambientales en las diferentes etapas del proceso de contratación:</w:t>
      </w:r>
      <w:r w:rsidRPr="00144EB3">
        <w:rPr>
          <w:rFonts w:ascii="Verdana" w:eastAsia="Calibri" w:hAnsi="Verdana" w:cs="Arial"/>
        </w:rPr>
        <w:br/>
      </w:r>
      <w:hyperlink r:id="rId13" w:tgtFrame="_new" w:history="1">
        <w:r w:rsidRPr="00144EB3">
          <w:rPr>
            <w:rFonts w:ascii="Verdana" w:eastAsia="Calibri" w:hAnsi="Verdana" w:cs="Arial"/>
            <w:color w:val="0000FF"/>
            <w:u w:val="single"/>
          </w:rPr>
          <w:t>https://formacionvirtual.colombiacompra.gov.co/mod/page/view.php?id=3718</w:t>
        </w:r>
      </w:hyperlink>
    </w:p>
    <w:p w14:paraId="3990A8DB" w14:textId="77777777" w:rsidR="00E43748" w:rsidRDefault="00E43748" w:rsidP="00E43748">
      <w:pPr>
        <w:spacing w:after="0" w:line="276" w:lineRule="auto"/>
        <w:jc w:val="both"/>
        <w:rPr>
          <w:rFonts w:ascii="Verdana" w:eastAsia="Calibri" w:hAnsi="Verdana" w:cs="Arial"/>
        </w:rPr>
      </w:pPr>
    </w:p>
    <w:p w14:paraId="7DAAA6A8" w14:textId="77777777" w:rsidR="00E43748" w:rsidRPr="00144EB3" w:rsidRDefault="00E43748" w:rsidP="00E43748">
      <w:pPr>
        <w:spacing w:after="0" w:line="276" w:lineRule="auto"/>
        <w:jc w:val="both"/>
        <w:rPr>
          <w:rFonts w:ascii="Verdana" w:eastAsia="Calibri" w:hAnsi="Verdana" w:cs="Arial"/>
        </w:rPr>
      </w:pPr>
      <w:r w:rsidRPr="00144EB3">
        <w:rPr>
          <w:rFonts w:ascii="Verdana" w:eastAsia="Calibri" w:hAnsi="Verdana" w:cs="Arial"/>
        </w:rPr>
        <w:t xml:space="preserve">De otro lado, te contamos que esta Agencia ha da un paso decisivo en la estandarización y modernización del </w:t>
      </w:r>
      <w:r w:rsidRPr="00144EB3">
        <w:rPr>
          <w:rFonts w:ascii="Verdana" w:eastAsia="Calibri" w:hAnsi="Verdana" w:cs="Arial"/>
          <w:b/>
          <w:bCs/>
        </w:rPr>
        <w:t>sector  social</w:t>
      </w:r>
      <w:r w:rsidRPr="00144EB3">
        <w:rPr>
          <w:rFonts w:ascii="Verdana" w:eastAsia="Calibri" w:hAnsi="Verdana" w:cs="Arial"/>
        </w:rPr>
        <w:t xml:space="preserve"> con la expedición de las </w:t>
      </w:r>
      <w:r w:rsidRPr="00144EB3">
        <w:rPr>
          <w:rFonts w:ascii="Verdana" w:eastAsia="Calibri" w:hAnsi="Verdana" w:cs="Arial"/>
          <w:b/>
          <w:bCs/>
        </w:rPr>
        <w:t>Resoluciones 539, 540, 541, 952 y 953 de 2025</w:t>
      </w:r>
      <w:r w:rsidRPr="00144EB3">
        <w:rPr>
          <w:rFonts w:ascii="Verdana" w:eastAsia="Calibri" w:hAnsi="Verdana" w:cs="Arial"/>
        </w:rPr>
        <w:t xml:space="preserve">, </w:t>
      </w:r>
      <w:r w:rsidRPr="00144EB3">
        <w:rPr>
          <w:rFonts w:ascii="Verdana" w:eastAsia="Calibri" w:hAnsi="Verdana" w:cs="Arial"/>
          <w:b/>
          <w:bCs/>
        </w:rPr>
        <w:t>mediante las cuales adoptó Documentos Tipo</w:t>
      </w:r>
      <w:r w:rsidRPr="00144EB3">
        <w:rPr>
          <w:rFonts w:ascii="Verdana" w:eastAsia="Calibri" w:hAnsi="Verdana" w:cs="Arial"/>
        </w:rPr>
        <w:t xml:space="preserve"> para las modalidades de selección de</w:t>
      </w:r>
      <w:r w:rsidRPr="00144EB3">
        <w:rPr>
          <w:rFonts w:ascii="Verdana" w:eastAsia="Calibri" w:hAnsi="Verdana" w:cs="Arial"/>
          <w:b/>
          <w:bCs/>
        </w:rPr>
        <w:t xml:space="preserve"> licitación pública (versión 2), selección abreviada de menor cuantía, mínima cuantía, consultoría e interventoría</w:t>
      </w:r>
      <w:r w:rsidRPr="00144EB3">
        <w:rPr>
          <w:rFonts w:ascii="Verdana" w:eastAsia="Calibri"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144EB3">
          <w:rPr>
            <w:rFonts w:ascii="Verdana" w:eastAsia="Calibri" w:hAnsi="Verdana" w:cs="Arial"/>
            <w:color w:val="0000FF"/>
            <w:u w:val="single"/>
          </w:rPr>
          <w:t>https://www.colombiacompra.gov.co/normativa-y-relatoria/documentos-tipo</w:t>
        </w:r>
      </w:hyperlink>
    </w:p>
    <w:p w14:paraId="16C877B7" w14:textId="77777777" w:rsidR="00E43748" w:rsidRPr="00144EB3" w:rsidRDefault="00E43748" w:rsidP="00E43748">
      <w:pPr>
        <w:spacing w:after="0" w:line="276" w:lineRule="auto"/>
        <w:jc w:val="both"/>
        <w:rPr>
          <w:rFonts w:ascii="Verdana" w:eastAsia="Calibri" w:hAnsi="Verdana" w:cs="Arial"/>
        </w:rPr>
      </w:pPr>
    </w:p>
    <w:p w14:paraId="23A5648D" w14:textId="77777777" w:rsidR="00E43748" w:rsidRPr="00144EB3" w:rsidRDefault="00E43748" w:rsidP="00E43748">
      <w:pPr>
        <w:spacing w:after="0" w:line="276" w:lineRule="auto"/>
        <w:jc w:val="both"/>
        <w:rPr>
          <w:rFonts w:ascii="Verdana" w:eastAsia="Calibri" w:hAnsi="Verdana" w:cs="Arial"/>
        </w:rPr>
      </w:pPr>
      <w:r w:rsidRPr="00144EB3">
        <w:rPr>
          <w:rFonts w:ascii="Verdana" w:eastAsia="Calibri" w:hAnsi="Verdana" w:cs="Arial"/>
        </w:rPr>
        <w:t xml:space="preserve">Si quieres conocer más sobre la aplicación de Documentos Tipo puedes consultar la última versión de la </w:t>
      </w:r>
      <w:r w:rsidRPr="00144EB3">
        <w:rPr>
          <w:rFonts w:ascii="Verdana" w:eastAsia="Calibri" w:hAnsi="Verdana" w:cs="Arial"/>
          <w:b/>
          <w:bCs/>
        </w:rPr>
        <w:t>Guía para la comprensión e implementación de los Documentos Tipo de obra pública de infraestructura de transporte</w:t>
      </w:r>
      <w:r w:rsidRPr="00144EB3">
        <w:rPr>
          <w:rFonts w:ascii="Verdana" w:eastAsia="Calibri" w:hAnsi="Verdana" w:cs="Ari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44EB3">
        <w:rPr>
          <w:rFonts w:ascii="Verdana" w:eastAsia="Calibri" w:hAnsi="Verdana" w:cs="Arial"/>
        </w:rPr>
        <w:br/>
      </w:r>
      <w:hyperlink r:id="rId15" w:tgtFrame="_new" w:history="1">
        <w:r w:rsidRPr="00144EB3">
          <w:rPr>
            <w:rFonts w:ascii="Verdana" w:eastAsia="Calibri" w:hAnsi="Verdana" w:cs="Arial"/>
            <w:color w:val="0000FF"/>
            <w:u w:val="single"/>
          </w:rPr>
          <w:t>https://www.colombiacompra.gov.co/archivos/manual/guia-para-la-comprension-e-implementacion-de-los-documentos-tipo-de-obra-publica-de-infraestructura-de-transporte-bajo-las-diferentes-modalidades-de-contratacion-vigentes</w:t>
        </w:r>
      </w:hyperlink>
    </w:p>
    <w:p w14:paraId="1B0F2A20" w14:textId="77777777" w:rsidR="00E43748" w:rsidRPr="00144EB3" w:rsidRDefault="00E43748" w:rsidP="00E43748">
      <w:pPr>
        <w:spacing w:after="0" w:line="276" w:lineRule="auto"/>
        <w:jc w:val="both"/>
        <w:rPr>
          <w:rFonts w:ascii="Verdana" w:eastAsia="Calibri" w:hAnsi="Verdana" w:cs="Arial"/>
        </w:rPr>
      </w:pPr>
      <w:r w:rsidRPr="00144EB3">
        <w:rPr>
          <w:rFonts w:ascii="Verdana" w:eastAsia="Calibri" w:hAnsi="Verdana" w:cs="Arial"/>
          <w:shd w:val="clear" w:color="auto" w:fill="FFFFFF"/>
        </w:rPr>
        <w:t xml:space="preserve">Por último, lo invitamos a seguirnos en las redes sociales en las cuales se difunde información institucional: </w:t>
      </w:r>
    </w:p>
    <w:p w14:paraId="2FCFCA3E" w14:textId="77777777" w:rsidR="00E43748" w:rsidRPr="00144EB3" w:rsidRDefault="00E43748" w:rsidP="00E43748">
      <w:pPr>
        <w:spacing w:after="0" w:line="276" w:lineRule="auto"/>
        <w:jc w:val="both"/>
        <w:rPr>
          <w:rFonts w:ascii="Verdana" w:eastAsia="Calibri" w:hAnsi="Verdana" w:cs="Arial"/>
          <w:shd w:val="clear" w:color="auto" w:fill="FFFFFF"/>
        </w:rPr>
      </w:pPr>
    </w:p>
    <w:p w14:paraId="518E8457" w14:textId="77777777" w:rsidR="00E43748" w:rsidRPr="00144EB3" w:rsidRDefault="00E43748" w:rsidP="00E43748">
      <w:pPr>
        <w:spacing w:after="0" w:line="276"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Twitter: </w:t>
      </w:r>
      <w:r w:rsidRPr="00144EB3">
        <w:rPr>
          <w:rFonts w:ascii="Verdana" w:eastAsia="Calibri" w:hAnsi="Verdana" w:cs="Arial"/>
          <w:color w:val="0000FF"/>
          <w:u w:val="single"/>
          <w:lang w:val="es-ES"/>
        </w:rPr>
        <w:t xml:space="preserve">@colombiacompra </w:t>
      </w:r>
    </w:p>
    <w:p w14:paraId="6377D2F2" w14:textId="77777777" w:rsidR="00E43748" w:rsidRPr="00144EB3" w:rsidRDefault="00E43748" w:rsidP="00E43748">
      <w:pPr>
        <w:spacing w:after="0" w:line="276" w:lineRule="auto"/>
        <w:jc w:val="both"/>
        <w:rPr>
          <w:rFonts w:ascii="Verdana" w:eastAsia="Calibri" w:hAnsi="Verdana" w:cs="Arial"/>
          <w:shd w:val="clear" w:color="auto" w:fill="FFFFFF"/>
        </w:rPr>
      </w:pPr>
      <w:r w:rsidRPr="00144EB3">
        <w:rPr>
          <w:rFonts w:ascii="Verdana" w:eastAsia="Calibri" w:hAnsi="Verdana" w:cs="Arial"/>
          <w:shd w:val="clear" w:color="auto" w:fill="FFFFFF"/>
        </w:rPr>
        <w:t>Facebook:</w:t>
      </w:r>
      <w:r w:rsidRPr="00144EB3">
        <w:rPr>
          <w:rFonts w:ascii="Verdana" w:eastAsia="Calibri" w:hAnsi="Verdana" w:cs="Arial"/>
          <w:color w:val="0000FF"/>
          <w:u w:val="single"/>
          <w:lang w:val="es-ES"/>
        </w:rPr>
        <w:t xml:space="preserve"> </w:t>
      </w:r>
      <w:proofErr w:type="spellStart"/>
      <w:r w:rsidRPr="00144EB3">
        <w:rPr>
          <w:rFonts w:ascii="Verdana" w:eastAsia="Calibri" w:hAnsi="Verdana" w:cs="Arial"/>
          <w:color w:val="0000FF"/>
          <w:u w:val="single"/>
          <w:lang w:val="es-ES"/>
        </w:rPr>
        <w:t>ColombiaCompraEficiente</w:t>
      </w:r>
      <w:proofErr w:type="spellEnd"/>
    </w:p>
    <w:p w14:paraId="06E489D9" w14:textId="77777777" w:rsidR="00E43748" w:rsidRPr="00144EB3" w:rsidRDefault="00E43748" w:rsidP="00E43748">
      <w:pPr>
        <w:spacing w:after="0" w:line="276" w:lineRule="auto"/>
        <w:jc w:val="both"/>
        <w:rPr>
          <w:rFonts w:ascii="Verdana" w:eastAsia="Calibri" w:hAnsi="Verdana" w:cs="Arial"/>
          <w:color w:val="0000FF"/>
          <w:shd w:val="clear" w:color="auto" w:fill="FFFFFF"/>
        </w:rPr>
      </w:pPr>
      <w:r w:rsidRPr="00144EB3">
        <w:rPr>
          <w:rFonts w:ascii="Verdana" w:eastAsia="Calibri" w:hAnsi="Verdana" w:cs="Arial"/>
          <w:shd w:val="clear" w:color="auto" w:fill="FFFFFF"/>
        </w:rPr>
        <w:t xml:space="preserve">LinkedIn: </w:t>
      </w:r>
      <w:r w:rsidRPr="00144EB3">
        <w:rPr>
          <w:rFonts w:ascii="Verdana" w:eastAsia="Calibri" w:hAnsi="Verdana" w:cs="Arial"/>
          <w:color w:val="0000FF"/>
          <w:u w:val="single"/>
          <w:lang w:val="es-ES"/>
        </w:rPr>
        <w:t>Agencia Nacional de Contratación Pública - Colombia Compra Eficiente</w:t>
      </w:r>
      <w:r w:rsidRPr="00144EB3">
        <w:rPr>
          <w:rFonts w:ascii="Verdana" w:eastAsia="Calibri" w:hAnsi="Verdana" w:cs="Arial"/>
          <w:color w:val="0000FF"/>
          <w:shd w:val="clear" w:color="auto" w:fill="FFFFFF"/>
        </w:rPr>
        <w:t xml:space="preserve"> </w:t>
      </w:r>
    </w:p>
    <w:p w14:paraId="08890DF2" w14:textId="77777777" w:rsidR="00E43748" w:rsidRPr="00144EB3" w:rsidRDefault="00E43748" w:rsidP="00E43748">
      <w:pPr>
        <w:spacing w:after="0" w:line="276"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Instagram: </w:t>
      </w:r>
      <w:r w:rsidRPr="00144EB3">
        <w:rPr>
          <w:rFonts w:ascii="Verdana" w:eastAsia="Calibri" w:hAnsi="Verdana" w:cs="Arial"/>
          <w:color w:val="0000FF"/>
          <w:u w:val="single"/>
          <w:lang w:val="es-ES"/>
        </w:rPr>
        <w:t>@colombiacompraeficiente_cce</w:t>
      </w:r>
    </w:p>
    <w:p w14:paraId="0CE8B4AA" w14:textId="77777777" w:rsidR="00E43748" w:rsidRPr="00144EB3" w:rsidRDefault="00E43748" w:rsidP="00E43748">
      <w:pPr>
        <w:widowControl w:val="0"/>
        <w:autoSpaceDE w:val="0"/>
        <w:autoSpaceDN w:val="0"/>
        <w:spacing w:after="0" w:line="276" w:lineRule="auto"/>
        <w:jc w:val="both"/>
        <w:rPr>
          <w:rFonts w:ascii="Verdana" w:eastAsia="Calibri" w:hAnsi="Verdana" w:cs="Arial"/>
          <w:lang w:val="es-ES"/>
        </w:rPr>
      </w:pPr>
    </w:p>
    <w:p w14:paraId="566796A1" w14:textId="77777777" w:rsidR="00E43748" w:rsidRPr="00144EB3" w:rsidRDefault="00E43748" w:rsidP="00E43748">
      <w:pPr>
        <w:widowControl w:val="0"/>
        <w:autoSpaceDE w:val="0"/>
        <w:autoSpaceDN w:val="0"/>
        <w:spacing w:after="0" w:line="276" w:lineRule="auto"/>
        <w:jc w:val="both"/>
        <w:rPr>
          <w:rFonts w:ascii="Verdana" w:eastAsia="Calibri" w:hAnsi="Verdana" w:cs="Arial"/>
          <w:lang w:val="es-ES"/>
        </w:rPr>
      </w:pPr>
      <w:r w:rsidRPr="00144EB3">
        <w:rPr>
          <w:rFonts w:ascii="Verdana" w:eastAsia="Calibri" w:hAnsi="Verdana" w:cs="Arial"/>
          <w:lang w:val="es-ES"/>
        </w:rPr>
        <w:t xml:space="preserve">Este concepto tiene el alcance previsto en el artículo 28 del Código de Procedimiento Administrativo y de lo Contencioso Administrativo y las expresiones aquí utilizadas con mayúscula inicial deben ser entendidas con el </w:t>
      </w:r>
      <w:r w:rsidRPr="00144EB3">
        <w:rPr>
          <w:rFonts w:ascii="Verdana" w:eastAsia="Calibri" w:hAnsi="Verdana" w:cs="Arial"/>
          <w:lang w:val="es-ES"/>
        </w:rPr>
        <w:lastRenderedPageBreak/>
        <w:t>significado que les otorga el artículo 2.2.1.1.1.3.1. del Decreto 1082 de 2015.</w:t>
      </w:r>
    </w:p>
    <w:p w14:paraId="5F0A7328" w14:textId="77777777" w:rsidR="00E43748" w:rsidRPr="00144EB3" w:rsidRDefault="00E43748" w:rsidP="00E43748">
      <w:pPr>
        <w:spacing w:after="0" w:line="276" w:lineRule="auto"/>
        <w:jc w:val="both"/>
        <w:rPr>
          <w:rFonts w:ascii="Verdana" w:eastAsia="Verdana" w:hAnsi="Verdana" w:cs="Verdana"/>
        </w:rPr>
      </w:pPr>
    </w:p>
    <w:p w14:paraId="2EF0A91D" w14:textId="77777777" w:rsidR="00E43748" w:rsidRPr="00144EB3" w:rsidRDefault="00E43748" w:rsidP="00E43748">
      <w:pPr>
        <w:spacing w:after="0" w:line="276" w:lineRule="auto"/>
        <w:rPr>
          <w:rFonts w:ascii="Verdana" w:eastAsia="Verdana" w:hAnsi="Verdana" w:cs="Verdana"/>
        </w:rPr>
      </w:pPr>
      <w:r w:rsidRPr="00144EB3">
        <w:rPr>
          <w:rFonts w:ascii="Verdana" w:eastAsia="Verdana" w:hAnsi="Verdana" w:cs="Verdana"/>
        </w:rPr>
        <w:t xml:space="preserve">Evalúa el servicio que ofrece la Agencia por el canal de atención de PQRSD en el siguiente enlace: </w:t>
      </w:r>
      <w:hyperlink r:id="rId16" w:history="1">
        <w:r w:rsidRPr="00144EB3">
          <w:rPr>
            <w:rFonts w:ascii="Verdana" w:eastAsia="Verdana" w:hAnsi="Verdana" w:cs="Verdana"/>
            <w:color w:val="0000FF"/>
            <w:u w:val="single"/>
          </w:rPr>
          <w:t>https://forms.office.com/r/pPHyWVs2SZ</w:t>
        </w:r>
      </w:hyperlink>
      <w:r w:rsidRPr="00144EB3">
        <w:rPr>
          <w:rFonts w:ascii="Verdana" w:eastAsia="Verdana" w:hAnsi="Verdana" w:cs="Verdana"/>
        </w:rPr>
        <w:t xml:space="preserve"> .¡Ayúdanos a mejorar porque el compromiso es de todos!</w:t>
      </w:r>
    </w:p>
    <w:p w14:paraId="6194805F" w14:textId="77777777" w:rsidR="00E43748" w:rsidRPr="00144EB3" w:rsidRDefault="00E43748" w:rsidP="00E43748">
      <w:pPr>
        <w:spacing w:after="0" w:line="276" w:lineRule="auto"/>
        <w:rPr>
          <w:rFonts w:ascii="Verdana" w:eastAsia="Verdana" w:hAnsi="Verdana" w:cs="Verdana"/>
        </w:rPr>
      </w:pPr>
    </w:p>
    <w:p w14:paraId="190D9741" w14:textId="77777777" w:rsidR="00E43748" w:rsidRPr="00144EB3" w:rsidRDefault="00E43748" w:rsidP="00E43748">
      <w:pPr>
        <w:spacing w:after="0" w:line="276" w:lineRule="auto"/>
        <w:jc w:val="both"/>
        <w:rPr>
          <w:rFonts w:ascii="Verdana" w:eastAsia="Verdana" w:hAnsi="Verdana" w:cs="Verdana"/>
          <w:lang w:val="es-MX"/>
        </w:rPr>
      </w:pPr>
      <w:r w:rsidRPr="00144EB3">
        <w:rPr>
          <w:rFonts w:ascii="Verdana" w:eastAsia="Verdana" w:hAnsi="Verdana" w:cs="Verdana"/>
          <w:lang w:val="es-MX"/>
        </w:rPr>
        <w:t xml:space="preserve">Cordialmente, </w:t>
      </w:r>
    </w:p>
    <w:p w14:paraId="39704AD1" w14:textId="24FE683C" w:rsidR="00E43748" w:rsidRPr="00182F6A" w:rsidRDefault="00E43748" w:rsidP="00E43748">
      <w:pPr>
        <w:spacing w:after="120" w:line="276" w:lineRule="auto"/>
        <w:contextualSpacing/>
        <w:jc w:val="both"/>
        <w:rPr>
          <w:rFonts w:ascii="Verdana" w:eastAsia="Aptos" w:hAnsi="Verdana" w:cs="Arial"/>
          <w:shd w:val="clear" w:color="auto" w:fill="FFFFFF"/>
          <w:lang w:val="es-ES"/>
        </w:rPr>
      </w:pPr>
    </w:p>
    <w:p w14:paraId="23F3023A" w14:textId="77777777" w:rsidR="00E43748" w:rsidRPr="00182F6A" w:rsidRDefault="00E43748" w:rsidP="00E43748">
      <w:pPr>
        <w:spacing w:after="120" w:line="276" w:lineRule="auto"/>
        <w:contextualSpacing/>
        <w:jc w:val="both"/>
        <w:rPr>
          <w:rFonts w:ascii="Verdana" w:eastAsia="Aptos" w:hAnsi="Verdana" w:cs="Arial"/>
          <w:shd w:val="clear" w:color="auto" w:fill="FFFFFF"/>
          <w:lang w:val="es-ES"/>
        </w:rPr>
      </w:pPr>
    </w:p>
    <w:p w14:paraId="3CA93DCB" w14:textId="77777777" w:rsidR="00E43748" w:rsidRPr="00182F6A" w:rsidRDefault="00E43748" w:rsidP="00E43748">
      <w:pPr>
        <w:spacing w:after="120" w:line="276" w:lineRule="auto"/>
        <w:contextualSpacing/>
        <w:jc w:val="both"/>
        <w:rPr>
          <w:rFonts w:ascii="Verdana" w:eastAsia="Aptos" w:hAnsi="Verdana" w:cs="Arial"/>
          <w:shd w:val="clear" w:color="auto" w:fill="FFFFFF"/>
          <w:lang w:val="es-ES"/>
        </w:rPr>
      </w:pPr>
    </w:p>
    <w:p w14:paraId="79516133" w14:textId="3A579C56" w:rsidR="00E43748" w:rsidRPr="001C50A2" w:rsidRDefault="001C50A2" w:rsidP="001C50A2">
      <w:pPr>
        <w:spacing w:after="120" w:line="276" w:lineRule="auto"/>
        <w:contextualSpacing/>
        <w:jc w:val="center"/>
        <w:rPr>
          <w:rFonts w:ascii="Verdana" w:eastAsia="Aptos" w:hAnsi="Verdana" w:cs="Arial"/>
          <w:shd w:val="clear" w:color="auto" w:fill="FFFFFF"/>
          <w:lang w:val="es-ES"/>
        </w:rPr>
      </w:pPr>
      <w:r w:rsidRPr="001C50A2">
        <w:rPr>
          <w:rFonts w:ascii="Verdana" w:hAnsi="Verdana"/>
          <w:noProof/>
        </w:rPr>
        <w:drawing>
          <wp:inline distT="0" distB="0" distL="0" distR="0" wp14:anchorId="69E9A3BF" wp14:editId="18864F04">
            <wp:extent cx="3139932" cy="1165581"/>
            <wp:effectExtent l="0" t="0" r="3810" b="0"/>
            <wp:docPr id="1780277293" name="Imagen 1" descr="Texto&#10;&#10;Descripción generada automáticamente">
              <a:extLst xmlns:a="http://schemas.openxmlformats.org/drawingml/2006/main">
                <a:ext uri="{FF2B5EF4-FFF2-40B4-BE49-F238E27FC236}">
                  <a16:creationId xmlns:a16="http://schemas.microsoft.com/office/drawing/2014/main" id="{31C621CC-7CEF-4A6E-BF14-3A4DB1A0F1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stretch>
                      <a:fillRect/>
                    </a:stretch>
                  </pic:blipFill>
                  <pic:spPr>
                    <a:xfrm>
                      <a:off x="0" y="0"/>
                      <a:ext cx="3170463" cy="1176914"/>
                    </a:xfrm>
                    <a:prstGeom prst="rect">
                      <a:avLst/>
                    </a:prstGeom>
                  </pic:spPr>
                </pic:pic>
              </a:graphicData>
            </a:graphic>
          </wp:inline>
        </w:drawing>
      </w:r>
    </w:p>
    <w:p w14:paraId="420AD8E3" w14:textId="77777777" w:rsidR="00E43748" w:rsidRPr="008278B1" w:rsidRDefault="00E43748" w:rsidP="00E43748">
      <w:pPr>
        <w:spacing w:after="0" w:line="276" w:lineRule="auto"/>
        <w:jc w:val="center"/>
        <w:rPr>
          <w:rFonts w:ascii="Verdana" w:hAnsi="Verdana" w:cs="Arial"/>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E43748" w:rsidRPr="008278B1" w14:paraId="7E11E019" w14:textId="77777777" w:rsidTr="000B0E77">
        <w:trPr>
          <w:trHeight w:val="315"/>
        </w:trPr>
        <w:tc>
          <w:tcPr>
            <w:tcW w:w="893" w:type="dxa"/>
            <w:vAlign w:val="center"/>
            <w:hideMark/>
          </w:tcPr>
          <w:p w14:paraId="352F63F1" w14:textId="77777777" w:rsidR="00E43748" w:rsidRPr="008278B1" w:rsidRDefault="00E43748" w:rsidP="000B0E77">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619E878" w14:textId="77777777" w:rsidR="00E43748" w:rsidRPr="00860461" w:rsidRDefault="00E43748" w:rsidP="000B0E77">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5AF82E37" w14:textId="77777777" w:rsidR="00E43748" w:rsidRPr="00860461" w:rsidRDefault="00E43748" w:rsidP="000B0E77">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E43748" w:rsidRPr="00F84F36" w14:paraId="37C6EEF6" w14:textId="77777777" w:rsidTr="000B0E77">
        <w:trPr>
          <w:trHeight w:val="330"/>
        </w:trPr>
        <w:tc>
          <w:tcPr>
            <w:tcW w:w="893" w:type="dxa"/>
            <w:vAlign w:val="center"/>
            <w:hideMark/>
          </w:tcPr>
          <w:p w14:paraId="0ECF2369" w14:textId="77777777" w:rsidR="00E43748" w:rsidRPr="0025661F" w:rsidRDefault="00E43748" w:rsidP="000B0E77">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B8E1E3B" w14:textId="77777777" w:rsidR="00E43748" w:rsidRPr="00D62D2E" w:rsidRDefault="00E43748" w:rsidP="000B0E77">
            <w:pPr>
              <w:rPr>
                <w:rFonts w:ascii="Verdana" w:eastAsia="Times New Roman" w:hAnsi="Verdana" w:cs="Arial"/>
                <w:color w:val="000000" w:themeColor="text1"/>
                <w:sz w:val="16"/>
                <w:szCs w:val="16"/>
                <w:lang w:eastAsia="es-ES"/>
              </w:rPr>
            </w:pPr>
            <w:r>
              <w:rPr>
                <w:rFonts w:ascii="Verdana" w:eastAsia="Times New Roman" w:hAnsi="Verdana" w:cs="Arial"/>
                <w:color w:val="000000" w:themeColor="text1"/>
                <w:sz w:val="16"/>
                <w:szCs w:val="16"/>
                <w:lang w:eastAsia="es-ES"/>
              </w:rPr>
              <w:t xml:space="preserve">Adriana Katherine López </w:t>
            </w:r>
            <w:proofErr w:type="spellStart"/>
            <w:r>
              <w:rPr>
                <w:rFonts w:ascii="Verdana" w:eastAsia="Times New Roman" w:hAnsi="Verdana" w:cs="Arial"/>
                <w:color w:val="000000" w:themeColor="text1"/>
                <w:sz w:val="16"/>
                <w:szCs w:val="16"/>
                <w:lang w:eastAsia="es-ES"/>
              </w:rPr>
              <w:t>Rodriguez</w:t>
            </w:r>
            <w:proofErr w:type="spellEnd"/>
          </w:p>
          <w:p w14:paraId="562A81EB" w14:textId="77777777" w:rsidR="00E43748" w:rsidRPr="0025661F" w:rsidRDefault="00E43748" w:rsidP="000B0E77">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sidRPr="00D62D2E">
              <w:rPr>
                <w:rFonts w:ascii="Verdana" w:hAnsi="Verdana" w:cs="Arial"/>
                <w:color w:val="000000" w:themeColor="text1"/>
                <w:sz w:val="16"/>
                <w:szCs w:val="16"/>
                <w:lang w:eastAsia="es-ES"/>
              </w:rPr>
              <w:t>Contratista de la Subdirección de Gestión Contractual</w:t>
            </w:r>
          </w:p>
        </w:tc>
      </w:tr>
      <w:tr w:rsidR="00E43748" w:rsidRPr="00F84F36" w14:paraId="679CEC79" w14:textId="77777777" w:rsidTr="000B0E77">
        <w:trPr>
          <w:trHeight w:val="300"/>
        </w:trPr>
        <w:tc>
          <w:tcPr>
            <w:tcW w:w="893" w:type="dxa"/>
            <w:vAlign w:val="center"/>
          </w:tcPr>
          <w:p w14:paraId="65CA1DFE" w14:textId="77777777" w:rsidR="00E43748" w:rsidRPr="008278B1" w:rsidRDefault="00E43748" w:rsidP="000B0E77">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5ED962F" w14:textId="77777777" w:rsidR="00E43748" w:rsidRPr="008278B1" w:rsidRDefault="00E43748" w:rsidP="000B0E77">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56A734AE" w14:textId="77777777" w:rsidR="00E43748" w:rsidRPr="008278B1" w:rsidRDefault="00E43748" w:rsidP="000B0E77">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0A28C211" w14:textId="182569D1" w:rsidR="00E43748" w:rsidRPr="008E53E8" w:rsidRDefault="00E43748" w:rsidP="00E43748">
      <w:pPr>
        <w:spacing w:after="0"/>
        <w:rPr>
          <w:rFonts w:ascii="Verdana" w:eastAsia="Verdana" w:hAnsi="Verdana" w:cs="Verdana"/>
          <w:lang w:val="es-ES"/>
        </w:rPr>
      </w:pPr>
    </w:p>
    <w:bookmarkEnd w:id="0"/>
    <w:p w14:paraId="12443EE0" w14:textId="77777777" w:rsidR="00C15139" w:rsidRPr="0024624F" w:rsidRDefault="00C15139" w:rsidP="30821638">
      <w:pPr>
        <w:spacing w:after="0"/>
        <w:rPr>
          <w:rFonts w:ascii="Verdana" w:eastAsia="Verdana" w:hAnsi="Verdana" w:cs="Verdana"/>
        </w:rPr>
      </w:pPr>
    </w:p>
    <w:sectPr w:rsidR="00C15139" w:rsidRPr="0024624F"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4BD3C" w14:textId="77777777" w:rsidR="008571DC" w:rsidRDefault="008571DC" w:rsidP="004A1847">
      <w:pPr>
        <w:spacing w:after="0" w:line="240" w:lineRule="auto"/>
      </w:pPr>
      <w:r>
        <w:separator/>
      </w:r>
    </w:p>
  </w:endnote>
  <w:endnote w:type="continuationSeparator" w:id="0">
    <w:p w14:paraId="366D50FE" w14:textId="77777777" w:rsidR="008571DC" w:rsidRDefault="008571DC"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04BDB" w14:textId="77777777" w:rsidR="008571DC" w:rsidRDefault="008571DC" w:rsidP="004A1847">
      <w:pPr>
        <w:spacing w:after="0" w:line="240" w:lineRule="auto"/>
      </w:pPr>
      <w:r>
        <w:separator/>
      </w:r>
    </w:p>
  </w:footnote>
  <w:footnote w:type="continuationSeparator" w:id="0">
    <w:p w14:paraId="4E48F569" w14:textId="77777777" w:rsidR="008571DC" w:rsidRDefault="008571DC"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a:extLst xmlns:a="http://schemas.openxmlformats.org/drawingml/2006/main">
              <a:ext uri="{FF2B5EF4-FFF2-40B4-BE49-F238E27FC236}">
                <a16:creationId xmlns:a16="http://schemas.microsoft.com/office/drawing/2014/main" id="{398B8E2C-6BDE-49A7-83A1-C1394384D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a:extLst xmlns:a="http://schemas.openxmlformats.org/drawingml/2006/main">
              <a:ext uri="{FF2B5EF4-FFF2-40B4-BE49-F238E27FC236}">
                <a16:creationId xmlns:a16="http://schemas.microsoft.com/office/drawing/2014/main" id="{9ED677B8-5604-46D0-B6CF-6B34702E19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4C8B43B5" w:rsidR="008A446D" w:rsidRPr="00C925AC" w:rsidRDefault="008A446D"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F1E15B0"/>
    <w:multiLevelType w:val="multilevel"/>
    <w:tmpl w:val="6CD4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8679D0"/>
    <w:multiLevelType w:val="hybridMultilevel"/>
    <w:tmpl w:val="81A8A056"/>
    <w:lvl w:ilvl="0" w:tplc="240A0001">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2744709">
    <w:abstractNumId w:val="2"/>
  </w:num>
  <w:num w:numId="2" w16cid:durableId="1317221377">
    <w:abstractNumId w:val="7"/>
  </w:num>
  <w:num w:numId="3" w16cid:durableId="1470781324">
    <w:abstractNumId w:val="0"/>
  </w:num>
  <w:num w:numId="4" w16cid:durableId="1471245386">
    <w:abstractNumId w:val="11"/>
  </w:num>
  <w:num w:numId="5" w16cid:durableId="1512908409">
    <w:abstractNumId w:val="3"/>
  </w:num>
  <w:num w:numId="6" w16cid:durableId="152644682">
    <w:abstractNumId w:val="12"/>
  </w:num>
  <w:num w:numId="7" w16cid:durableId="153255849">
    <w:abstractNumId w:val="9"/>
  </w:num>
  <w:num w:numId="8" w16cid:durableId="1946422806">
    <w:abstractNumId w:val="5"/>
  </w:num>
  <w:num w:numId="9" w16cid:durableId="19822139">
    <w:abstractNumId w:val="1"/>
  </w:num>
  <w:num w:numId="10" w16cid:durableId="2049721115">
    <w:abstractNumId w:val="1"/>
  </w:num>
  <w:num w:numId="11"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9172385">
    <w:abstractNumId w:val="8"/>
  </w:num>
  <w:num w:numId="13" w16cid:durableId="316692925">
    <w:abstractNumId w:val="13"/>
  </w:num>
  <w:num w:numId="14" w16cid:durableId="390349800">
    <w:abstractNumId w:val="10"/>
  </w:num>
  <w:num w:numId="15" w16cid:durableId="876742304">
    <w:abstractNumId w:val="4"/>
  </w:num>
  <w:num w:numId="16" w16cid:durableId="895897244">
    <w:abstractNumId w:val="14"/>
  </w:num>
  <w:num w:numId="17" w16cid:durableId="948779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2683"/>
    <w:rsid w:val="000342B7"/>
    <w:rsid w:val="00046945"/>
    <w:rsid w:val="0006068A"/>
    <w:rsid w:val="00061B2A"/>
    <w:rsid w:val="00067728"/>
    <w:rsid w:val="00082362"/>
    <w:rsid w:val="000A683E"/>
    <w:rsid w:val="000B0E77"/>
    <w:rsid w:val="000B19B9"/>
    <w:rsid w:val="000C635D"/>
    <w:rsid w:val="000D0334"/>
    <w:rsid w:val="000D5DA7"/>
    <w:rsid w:val="000F6486"/>
    <w:rsid w:val="001008B4"/>
    <w:rsid w:val="00116940"/>
    <w:rsid w:val="00125105"/>
    <w:rsid w:val="00127233"/>
    <w:rsid w:val="001551A1"/>
    <w:rsid w:val="0015699B"/>
    <w:rsid w:val="00166608"/>
    <w:rsid w:val="001A33BF"/>
    <w:rsid w:val="001C030E"/>
    <w:rsid w:val="001C32C2"/>
    <w:rsid w:val="001C50A2"/>
    <w:rsid w:val="001E4177"/>
    <w:rsid w:val="001F0B24"/>
    <w:rsid w:val="001F7DC6"/>
    <w:rsid w:val="0021753A"/>
    <w:rsid w:val="0022400B"/>
    <w:rsid w:val="002421BB"/>
    <w:rsid w:val="002445A8"/>
    <w:rsid w:val="0025796E"/>
    <w:rsid w:val="002707A2"/>
    <w:rsid w:val="00271DD3"/>
    <w:rsid w:val="002825E7"/>
    <w:rsid w:val="00294D3B"/>
    <w:rsid w:val="002951A0"/>
    <w:rsid w:val="002962BC"/>
    <w:rsid w:val="002A093D"/>
    <w:rsid w:val="002A0DD0"/>
    <w:rsid w:val="002A49AC"/>
    <w:rsid w:val="002A4FFB"/>
    <w:rsid w:val="002A64FD"/>
    <w:rsid w:val="002C7A84"/>
    <w:rsid w:val="002D19C4"/>
    <w:rsid w:val="002D7FA7"/>
    <w:rsid w:val="002E2BF8"/>
    <w:rsid w:val="002E4FD9"/>
    <w:rsid w:val="002F1B3E"/>
    <w:rsid w:val="0030657A"/>
    <w:rsid w:val="00322A85"/>
    <w:rsid w:val="00324168"/>
    <w:rsid w:val="00330834"/>
    <w:rsid w:val="00330F25"/>
    <w:rsid w:val="003420D9"/>
    <w:rsid w:val="003448F4"/>
    <w:rsid w:val="00352C48"/>
    <w:rsid w:val="003626D5"/>
    <w:rsid w:val="00374F5E"/>
    <w:rsid w:val="00376E8D"/>
    <w:rsid w:val="00377E3E"/>
    <w:rsid w:val="003A779E"/>
    <w:rsid w:val="003B6002"/>
    <w:rsid w:val="003B61EE"/>
    <w:rsid w:val="003D0F4D"/>
    <w:rsid w:val="003D5B0D"/>
    <w:rsid w:val="003E0499"/>
    <w:rsid w:val="003E4F80"/>
    <w:rsid w:val="003E6439"/>
    <w:rsid w:val="003E7780"/>
    <w:rsid w:val="003F293C"/>
    <w:rsid w:val="003F3941"/>
    <w:rsid w:val="00406575"/>
    <w:rsid w:val="00414C74"/>
    <w:rsid w:val="0042722E"/>
    <w:rsid w:val="0044528D"/>
    <w:rsid w:val="00446C8F"/>
    <w:rsid w:val="00446F7E"/>
    <w:rsid w:val="00466E39"/>
    <w:rsid w:val="00476DF6"/>
    <w:rsid w:val="0049132E"/>
    <w:rsid w:val="00494E18"/>
    <w:rsid w:val="004A1847"/>
    <w:rsid w:val="004A305D"/>
    <w:rsid w:val="004C08FC"/>
    <w:rsid w:val="004F21C4"/>
    <w:rsid w:val="004F5CC6"/>
    <w:rsid w:val="004F685F"/>
    <w:rsid w:val="00542013"/>
    <w:rsid w:val="005566E8"/>
    <w:rsid w:val="00574867"/>
    <w:rsid w:val="005820C2"/>
    <w:rsid w:val="00591460"/>
    <w:rsid w:val="005A65E0"/>
    <w:rsid w:val="005C3777"/>
    <w:rsid w:val="005C5CDC"/>
    <w:rsid w:val="005D476C"/>
    <w:rsid w:val="005E562B"/>
    <w:rsid w:val="005F3B62"/>
    <w:rsid w:val="006200BF"/>
    <w:rsid w:val="006219F8"/>
    <w:rsid w:val="006302F7"/>
    <w:rsid w:val="00646B9F"/>
    <w:rsid w:val="00662DFA"/>
    <w:rsid w:val="00665D70"/>
    <w:rsid w:val="00686D35"/>
    <w:rsid w:val="006900D9"/>
    <w:rsid w:val="006F405E"/>
    <w:rsid w:val="00706C16"/>
    <w:rsid w:val="007340C3"/>
    <w:rsid w:val="0074593B"/>
    <w:rsid w:val="0075235A"/>
    <w:rsid w:val="00756841"/>
    <w:rsid w:val="007649AB"/>
    <w:rsid w:val="00771D0C"/>
    <w:rsid w:val="007833AC"/>
    <w:rsid w:val="007A1F23"/>
    <w:rsid w:val="007B268C"/>
    <w:rsid w:val="007B7171"/>
    <w:rsid w:val="007C0759"/>
    <w:rsid w:val="007C0C0F"/>
    <w:rsid w:val="007C3DC2"/>
    <w:rsid w:val="007D0608"/>
    <w:rsid w:val="007D7E34"/>
    <w:rsid w:val="007E5497"/>
    <w:rsid w:val="008025A0"/>
    <w:rsid w:val="00806F5F"/>
    <w:rsid w:val="00820278"/>
    <w:rsid w:val="00820514"/>
    <w:rsid w:val="008258C9"/>
    <w:rsid w:val="0082718C"/>
    <w:rsid w:val="00844AE9"/>
    <w:rsid w:val="00851D20"/>
    <w:rsid w:val="008571DC"/>
    <w:rsid w:val="0086547F"/>
    <w:rsid w:val="00867F95"/>
    <w:rsid w:val="008843B6"/>
    <w:rsid w:val="00891928"/>
    <w:rsid w:val="008A446D"/>
    <w:rsid w:val="008B25F1"/>
    <w:rsid w:val="008D180B"/>
    <w:rsid w:val="008D190D"/>
    <w:rsid w:val="008D2706"/>
    <w:rsid w:val="008F0EA7"/>
    <w:rsid w:val="00923EEF"/>
    <w:rsid w:val="009419F9"/>
    <w:rsid w:val="0095685E"/>
    <w:rsid w:val="00961B09"/>
    <w:rsid w:val="00965334"/>
    <w:rsid w:val="00966678"/>
    <w:rsid w:val="0097093E"/>
    <w:rsid w:val="009A0DFA"/>
    <w:rsid w:val="009A1C6F"/>
    <w:rsid w:val="009B2D26"/>
    <w:rsid w:val="009C4E54"/>
    <w:rsid w:val="009C71FA"/>
    <w:rsid w:val="009C72E7"/>
    <w:rsid w:val="009C7F7E"/>
    <w:rsid w:val="009D3058"/>
    <w:rsid w:val="009E1596"/>
    <w:rsid w:val="009E670B"/>
    <w:rsid w:val="009F3A13"/>
    <w:rsid w:val="009F4000"/>
    <w:rsid w:val="00A122D3"/>
    <w:rsid w:val="00A12F6E"/>
    <w:rsid w:val="00A14468"/>
    <w:rsid w:val="00A17F13"/>
    <w:rsid w:val="00A20739"/>
    <w:rsid w:val="00A23AF9"/>
    <w:rsid w:val="00A33C78"/>
    <w:rsid w:val="00AB0ADB"/>
    <w:rsid w:val="00AF311B"/>
    <w:rsid w:val="00B00C0E"/>
    <w:rsid w:val="00B01B1A"/>
    <w:rsid w:val="00B0381D"/>
    <w:rsid w:val="00B03C01"/>
    <w:rsid w:val="00B408D4"/>
    <w:rsid w:val="00B44A47"/>
    <w:rsid w:val="00B72CD3"/>
    <w:rsid w:val="00B72FFF"/>
    <w:rsid w:val="00BB28E8"/>
    <w:rsid w:val="00BC3D36"/>
    <w:rsid w:val="00BD54A6"/>
    <w:rsid w:val="00BD7F72"/>
    <w:rsid w:val="00BF7425"/>
    <w:rsid w:val="00C04FB3"/>
    <w:rsid w:val="00C11D8B"/>
    <w:rsid w:val="00C15139"/>
    <w:rsid w:val="00C330EB"/>
    <w:rsid w:val="00C50D69"/>
    <w:rsid w:val="00C52AB7"/>
    <w:rsid w:val="00C5365C"/>
    <w:rsid w:val="00C754BE"/>
    <w:rsid w:val="00C75BF8"/>
    <w:rsid w:val="00C76B1C"/>
    <w:rsid w:val="00C925AC"/>
    <w:rsid w:val="00CB6357"/>
    <w:rsid w:val="00CC1B26"/>
    <w:rsid w:val="00CC6662"/>
    <w:rsid w:val="00CD62DD"/>
    <w:rsid w:val="00D1180D"/>
    <w:rsid w:val="00D361FD"/>
    <w:rsid w:val="00D423A2"/>
    <w:rsid w:val="00D44E26"/>
    <w:rsid w:val="00D520D8"/>
    <w:rsid w:val="00D63AC2"/>
    <w:rsid w:val="00D7383B"/>
    <w:rsid w:val="00D7788A"/>
    <w:rsid w:val="00DA231B"/>
    <w:rsid w:val="00DC39FC"/>
    <w:rsid w:val="00DD3B0F"/>
    <w:rsid w:val="00DF5254"/>
    <w:rsid w:val="00E02524"/>
    <w:rsid w:val="00E16408"/>
    <w:rsid w:val="00E20894"/>
    <w:rsid w:val="00E245AB"/>
    <w:rsid w:val="00E2764C"/>
    <w:rsid w:val="00E27F2E"/>
    <w:rsid w:val="00E376FA"/>
    <w:rsid w:val="00E43748"/>
    <w:rsid w:val="00E50AFE"/>
    <w:rsid w:val="00E675B4"/>
    <w:rsid w:val="00E75C92"/>
    <w:rsid w:val="00E771DC"/>
    <w:rsid w:val="00E8772A"/>
    <w:rsid w:val="00E90F6B"/>
    <w:rsid w:val="00E92C27"/>
    <w:rsid w:val="00EA0E3D"/>
    <w:rsid w:val="00EC38A7"/>
    <w:rsid w:val="00EC49A7"/>
    <w:rsid w:val="00EE1AA8"/>
    <w:rsid w:val="00F146C5"/>
    <w:rsid w:val="00F23FEA"/>
    <w:rsid w:val="00F31EDC"/>
    <w:rsid w:val="00F462B3"/>
    <w:rsid w:val="00F5664F"/>
    <w:rsid w:val="00F666C4"/>
    <w:rsid w:val="00F701F2"/>
    <w:rsid w:val="00F76AFC"/>
    <w:rsid w:val="00FA47C0"/>
    <w:rsid w:val="00FB5DD1"/>
    <w:rsid w:val="00FC2B5D"/>
    <w:rsid w:val="00FF1449"/>
    <w:rsid w:val="00FF7963"/>
    <w:rsid w:val="066CFC56"/>
    <w:rsid w:val="071B8F93"/>
    <w:rsid w:val="07C73DD1"/>
    <w:rsid w:val="09908A09"/>
    <w:rsid w:val="0EFE6349"/>
    <w:rsid w:val="0F68325B"/>
    <w:rsid w:val="0FF4CCA8"/>
    <w:rsid w:val="13CFC91B"/>
    <w:rsid w:val="199BCBDB"/>
    <w:rsid w:val="19A2EC2C"/>
    <w:rsid w:val="20D4DEF6"/>
    <w:rsid w:val="21779BE6"/>
    <w:rsid w:val="2859CA1B"/>
    <w:rsid w:val="2C4D2425"/>
    <w:rsid w:val="2EE1E026"/>
    <w:rsid w:val="30821638"/>
    <w:rsid w:val="32A4F9CF"/>
    <w:rsid w:val="33A1FF93"/>
    <w:rsid w:val="356CEDFD"/>
    <w:rsid w:val="37CFFC00"/>
    <w:rsid w:val="3C591AFD"/>
    <w:rsid w:val="42183F0A"/>
    <w:rsid w:val="545B112A"/>
    <w:rsid w:val="5BEB1497"/>
    <w:rsid w:val="691B83F6"/>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07BD"/>
  <w15:chartTrackingRefBased/>
  <w15:docId w15:val="{99CEE97A-3DA7-4294-8AE0-F2FE613A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1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styleId="Fuerte">
    <w:name w:val="Strong"/>
    <w:basedOn w:val="Fuentedeprrafopredeter"/>
    <w:uiPriority w:val="22"/>
    <w:qFormat/>
    <w:rsid w:val="00E43748"/>
    <w:rPr>
      <w:b/>
      <w:bCs/>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542013"/>
    <w:rPr>
      <w:b/>
      <w:bCs/>
    </w:rPr>
  </w:style>
  <w:style w:type="character" w:customStyle="1" w:styleId="AsuntodelcomentarioCar">
    <w:name w:val="Asunto del comentario Car"/>
    <w:basedOn w:val="TextocomentarioCar"/>
    <w:link w:val="Asuntodelcomentario"/>
    <w:uiPriority w:val="99"/>
    <w:semiHidden/>
    <w:rsid w:val="005420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forms.office.com/r/pPHyWVs2S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rancyram.r@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3C39C98F-7879-48CA-BAEE-8126B804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TotalTime>
  <Pages>16</Pages>
  <Words>5782</Words>
  <Characters>31805</Characters>
  <Application>Microsoft Office Word</Application>
  <DocSecurity>0</DocSecurity>
  <Lines>265</Lines>
  <Paragraphs>75</Paragraphs>
  <ScaleCrop>false</ScaleCrop>
  <Company/>
  <LinksUpToDate>false</LinksUpToDate>
  <CharactersWithSpaces>37512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2</cp:revision>
  <cp:lastPrinted>2023-01-10T21:18:00Z</cp:lastPrinted>
  <dcterms:created xsi:type="dcterms:W3CDTF">2026-08-25T14:08:00Z</dcterms:created>
  <dcterms:modified xsi:type="dcterms:W3CDTF">2026-08-25T14:08:00Z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