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E1087F" w14:textId="123DB67D" w:rsidR="00D83396" w:rsidRPr="00D83396" w:rsidRDefault="00D83396" w:rsidP="00D83396">
      <w:pPr>
        <w:tabs>
          <w:tab w:val="right" w:pos="8838"/>
        </w:tabs>
        <w:spacing w:after="0"/>
        <w:rPr>
          <w:rFonts w:ascii="Verdana" w:hAnsi="Verdana"/>
          <w:b/>
          <w:bCs/>
        </w:rPr>
      </w:pPr>
      <w:bookmarkStart w:id="0" w:name="_Hlk143780582"/>
      <w:r>
        <w:rPr>
          <w:rFonts w:ascii="Verdana" w:hAnsi="Verdana"/>
          <w:b/>
          <w:bCs/>
        </w:rPr>
        <w:t>P</w:t>
      </w:r>
      <w:r w:rsidRPr="00D83396">
        <w:rPr>
          <w:rFonts w:ascii="Verdana" w:hAnsi="Verdana"/>
          <w:b/>
          <w:bCs/>
        </w:rPr>
        <w:t>RINCIPIO DE PUBLICIDAD – Concepto – Fundamento constitucional</w:t>
      </w:r>
      <w:r w:rsidRPr="00D83396">
        <w:rPr>
          <w:rFonts w:ascii="Verdana" w:hAnsi="Verdana"/>
          <w:b/>
          <w:bCs/>
        </w:rPr>
        <w:tab/>
      </w:r>
    </w:p>
    <w:p w14:paraId="10B96271" w14:textId="77777777" w:rsidR="00D83396" w:rsidRPr="00D83396" w:rsidRDefault="00D83396" w:rsidP="00D83396">
      <w:pPr>
        <w:tabs>
          <w:tab w:val="right" w:pos="8838"/>
        </w:tabs>
        <w:spacing w:after="0"/>
        <w:jc w:val="both"/>
        <w:rPr>
          <w:rFonts w:ascii="Verdana" w:hAnsi="Verdana"/>
          <w:b/>
          <w:bCs/>
          <w:sz w:val="20"/>
          <w:szCs w:val="20"/>
        </w:rPr>
      </w:pPr>
    </w:p>
    <w:p w14:paraId="38D682A7" w14:textId="3EC042D9" w:rsidR="00D83396" w:rsidRPr="00D83396" w:rsidRDefault="00D83396" w:rsidP="00D83396">
      <w:pPr>
        <w:spacing w:before="120" w:line="276" w:lineRule="auto"/>
        <w:jc w:val="both"/>
        <w:textAlignment w:val="baseline"/>
        <w:rPr>
          <w:rFonts w:ascii="Verdana" w:eastAsia="Times New Roman" w:hAnsi="Verdana" w:cs="Arial"/>
          <w:sz w:val="20"/>
          <w:szCs w:val="20"/>
          <w:lang w:eastAsia="es-CO"/>
        </w:rPr>
      </w:pPr>
      <w:r>
        <w:rPr>
          <w:rFonts w:ascii="Verdana" w:eastAsia="Times New Roman" w:hAnsi="Verdana" w:cs="Arial"/>
          <w:sz w:val="20"/>
          <w:szCs w:val="20"/>
          <w:lang w:eastAsia="es-CO"/>
        </w:rPr>
        <w:t>E</w:t>
      </w:r>
      <w:r w:rsidRPr="00D83396">
        <w:rPr>
          <w:rFonts w:ascii="Verdana" w:eastAsia="Times New Roman" w:hAnsi="Verdana" w:cs="Arial"/>
          <w:sz w:val="20"/>
          <w:szCs w:val="20"/>
          <w:lang w:eastAsia="es-CO"/>
        </w:rPr>
        <w:t>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I y II– como un medio que “contará con la información oficial de la contratación realizada con dineros públicos, para lo cual establecerá los patrones a que haya lugar y se encargará de su difusión a través de canales electrónicos”.</w:t>
      </w:r>
    </w:p>
    <w:p w14:paraId="7AFAD4A1" w14:textId="185F054E" w:rsidR="00D83396" w:rsidRPr="00D83396" w:rsidRDefault="00D83396" w:rsidP="00D83396">
      <w:pPr>
        <w:tabs>
          <w:tab w:val="right" w:pos="8838"/>
        </w:tabs>
        <w:spacing w:after="0"/>
        <w:jc w:val="both"/>
        <w:rPr>
          <w:sz w:val="20"/>
          <w:szCs w:val="20"/>
        </w:rPr>
      </w:pPr>
      <w:r w:rsidRPr="00D83396">
        <w:rPr>
          <w:rFonts w:ascii="Verdana" w:eastAsia="Times New Roman" w:hAnsi="Verdana" w:cs="Arial"/>
          <w:sz w:val="20"/>
          <w:szCs w:val="20"/>
          <w:lang w:eastAsia="es-CO"/>
        </w:rPr>
        <w:t>En ese mismo sentido, la Ley 1712 de 2014</w:t>
      </w:r>
      <w:r w:rsidRPr="00D83396">
        <w:rPr>
          <w:rFonts w:ascii="Verdana" w:hAnsi="Verdana" w:cs="Arial"/>
          <w:sz w:val="20"/>
          <w:szCs w:val="20"/>
          <w:shd w:val="clear" w:color="auto" w:fill="FFFFFF"/>
          <w14:ligatures w14:val="standardContextual"/>
        </w:rPr>
        <w:t xml:space="preserve">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dispone que “toda información en posesión, bajo control o custodia de un sujeto obligado es pública y no podrá ser reservada o limitada sino por disposición constitucional o legal</w:t>
      </w:r>
    </w:p>
    <w:p w14:paraId="65A1B9D4" w14:textId="77777777" w:rsidR="00D83396" w:rsidRDefault="00D83396" w:rsidP="002E4885">
      <w:pPr>
        <w:spacing w:after="0"/>
        <w:jc w:val="both"/>
      </w:pPr>
    </w:p>
    <w:p w14:paraId="5354DF7F" w14:textId="77777777" w:rsidR="00D83396" w:rsidRPr="004316DD" w:rsidRDefault="00D83396" w:rsidP="002E4885">
      <w:pPr>
        <w:spacing w:after="0"/>
        <w:jc w:val="both"/>
        <w:rPr>
          <w:b/>
          <w:bCs/>
        </w:rPr>
      </w:pPr>
    </w:p>
    <w:p w14:paraId="785B83A8" w14:textId="22D779A8" w:rsidR="003C3FAB" w:rsidRDefault="000A75A1" w:rsidP="002E4885">
      <w:pPr>
        <w:jc w:val="both"/>
        <w:rPr>
          <w:rFonts w:ascii="Verdana" w:hAnsi="Verdana"/>
          <w:b/>
          <w:bCs/>
        </w:rPr>
      </w:pPr>
      <w:r w:rsidRPr="004316DD">
        <w:rPr>
          <w:rFonts w:ascii="Verdana" w:hAnsi="Verdana"/>
          <w:b/>
          <w:bCs/>
        </w:rPr>
        <w:t>PRINCIPIO DE PUBLICIDAD –</w:t>
      </w:r>
      <w:r w:rsidRPr="004316DD">
        <w:rPr>
          <w:rFonts w:ascii="Verdana" w:hAnsi="Verdana"/>
          <w:b/>
          <w:bCs/>
        </w:rPr>
        <w:t xml:space="preserve"> </w:t>
      </w:r>
      <w:r w:rsidR="004316DD" w:rsidRPr="004316DD">
        <w:rPr>
          <w:rFonts w:ascii="Verdana" w:hAnsi="Verdana"/>
          <w:b/>
          <w:bCs/>
        </w:rPr>
        <w:t>SECOP </w:t>
      </w:r>
      <w:r w:rsidR="004316DD" w:rsidRPr="004316DD">
        <w:rPr>
          <w:rFonts w:ascii="Verdana" w:hAnsi="Verdana" w:cs="Arial"/>
          <w:b/>
          <w:bCs/>
          <w:lang w:val="es-ES_tradnl"/>
          <w14:ligatures w14:val="standardContextual"/>
        </w:rPr>
        <w:t>II</w:t>
      </w:r>
      <w:r w:rsidR="004316DD" w:rsidRPr="004316DD">
        <w:rPr>
          <w:rFonts w:ascii="Verdana" w:hAnsi="Verdana" w:cs="Arial"/>
          <w:b/>
          <w:bCs/>
          <w:lang w:val="es-ES_tradnl"/>
          <w14:ligatures w14:val="standardContextual"/>
        </w:rPr>
        <w:t>-</w:t>
      </w:r>
      <w:r w:rsidR="004316DD">
        <w:rPr>
          <w:rFonts w:ascii="Verdana" w:hAnsi="Verdana" w:cs="Arial"/>
          <w:b/>
          <w:bCs/>
          <w:lang w:val="es-ES_tradnl"/>
          <w14:ligatures w14:val="standardContextual"/>
        </w:rPr>
        <w:t xml:space="preserve"> </w:t>
      </w:r>
      <w:r w:rsidR="004316DD" w:rsidRPr="004316DD">
        <w:rPr>
          <w:rFonts w:ascii="Verdana" w:hAnsi="Verdana" w:cs="Arial"/>
          <w:b/>
          <w:bCs/>
          <w:lang w:val="es-ES_tradnl"/>
          <w14:ligatures w14:val="standardContextual"/>
        </w:rPr>
        <w:t xml:space="preserve">Definición </w:t>
      </w:r>
      <w:r w:rsidR="004316DD" w:rsidRPr="004316DD">
        <w:rPr>
          <w:rFonts w:ascii="Verdana" w:hAnsi="Verdana"/>
          <w:b/>
          <w:bCs/>
        </w:rPr>
        <w:t>–</w:t>
      </w:r>
      <w:r w:rsidR="00894916">
        <w:rPr>
          <w:rFonts w:ascii="Verdana" w:hAnsi="Verdana"/>
          <w:b/>
          <w:bCs/>
        </w:rPr>
        <w:t xml:space="preserve"> </w:t>
      </w:r>
      <w:r w:rsidR="00894916" w:rsidRPr="00894916">
        <w:rPr>
          <w:rFonts w:ascii="Verdana" w:hAnsi="Verdana"/>
          <w:b/>
          <w:bCs/>
        </w:rPr>
        <w:t xml:space="preserve">Deber de </w:t>
      </w:r>
      <w:r w:rsidR="00894916">
        <w:rPr>
          <w:rFonts w:ascii="Verdana" w:hAnsi="Verdana"/>
          <w:b/>
          <w:bCs/>
        </w:rPr>
        <w:t>P</w:t>
      </w:r>
      <w:r w:rsidR="00894916" w:rsidRPr="00894916">
        <w:rPr>
          <w:rFonts w:ascii="Verdana" w:hAnsi="Verdana"/>
          <w:b/>
          <w:bCs/>
        </w:rPr>
        <w:t>ublicación</w:t>
      </w:r>
    </w:p>
    <w:p w14:paraId="38080048" w14:textId="61246EE8" w:rsidR="000A75A1" w:rsidRPr="003C3FAB" w:rsidRDefault="003C3FAB" w:rsidP="00166F01">
      <w:pPr>
        <w:tabs>
          <w:tab w:val="left" w:pos="1985"/>
        </w:tabs>
        <w:jc w:val="both"/>
        <w:rPr>
          <w:rFonts w:ascii="Verdana" w:hAnsi="Verdana"/>
          <w:b/>
          <w:bCs/>
          <w:sz w:val="20"/>
          <w:szCs w:val="20"/>
        </w:rPr>
      </w:pPr>
      <w:r w:rsidRPr="003C3FAB">
        <w:rPr>
          <w:rFonts w:ascii="Verdana" w:hAnsi="Verdana" w:cs="Arial"/>
          <w:sz w:val="20"/>
          <w:szCs w:val="20"/>
          <w:lang w:val="es-ES_tradnl"/>
          <w14:ligatures w14:val="standardContextual"/>
        </w:rPr>
        <w:t xml:space="preserve">El </w:t>
      </w:r>
      <w:r w:rsidR="000A75A1" w:rsidRPr="003C3FAB">
        <w:rPr>
          <w:rFonts w:ascii="Verdana" w:hAnsi="Verdana" w:cs="Arial"/>
          <w:sz w:val="20"/>
          <w:szCs w:val="20"/>
          <w:lang w:val="es-ES_tradnl"/>
          <w14:ligatures w14:val="standardContextual"/>
        </w:rPr>
        <w:t>SECOP II, es una plataforma</w:t>
      </w:r>
      <w:r w:rsidR="000A75A1" w:rsidRPr="003C3FAB">
        <w:rPr>
          <w:sz w:val="20"/>
          <w:szCs w:val="20"/>
          <w14:ligatures w14:val="standardContextual"/>
        </w:rPr>
        <w:t xml:space="preserve"> </w:t>
      </w:r>
      <w:r w:rsidR="000A75A1" w:rsidRPr="003C3FAB">
        <w:rPr>
          <w:rFonts w:ascii="Verdana" w:hAnsi="Verdana" w:cs="Arial"/>
          <w:sz w:val="20"/>
          <w:szCs w:val="20"/>
          <w:lang w:val="es-ES_tradnl"/>
          <w14:ligatures w14:val="standardContextual"/>
        </w:rPr>
        <w:t>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47737BDB" w14:textId="77777777" w:rsidR="00D83396" w:rsidRPr="003C3FAB" w:rsidRDefault="00D83396" w:rsidP="003C3FAB">
      <w:pPr>
        <w:spacing w:after="0"/>
        <w:jc w:val="both"/>
        <w:rPr>
          <w:sz w:val="20"/>
          <w:szCs w:val="20"/>
          <w:lang w:val="es-ES_tradnl"/>
        </w:rPr>
      </w:pPr>
    </w:p>
    <w:p w14:paraId="634D8430" w14:textId="77777777" w:rsidR="00D83396" w:rsidRPr="003C3FAB" w:rsidRDefault="00D83396" w:rsidP="003C3FAB">
      <w:pPr>
        <w:spacing w:after="0"/>
        <w:jc w:val="both"/>
        <w:rPr>
          <w:sz w:val="20"/>
          <w:szCs w:val="20"/>
        </w:rPr>
      </w:pPr>
    </w:p>
    <w:p w14:paraId="1E7C5CFA" w14:textId="77777777" w:rsidR="00D83396" w:rsidRPr="003C3FAB" w:rsidRDefault="00D83396" w:rsidP="003C3FAB">
      <w:pPr>
        <w:spacing w:after="0"/>
        <w:jc w:val="both"/>
        <w:rPr>
          <w:sz w:val="20"/>
          <w:szCs w:val="20"/>
        </w:rPr>
      </w:pPr>
    </w:p>
    <w:p w14:paraId="556ACD42" w14:textId="77777777" w:rsidR="00D83396" w:rsidRDefault="00D83396" w:rsidP="009D2FDA">
      <w:pPr>
        <w:spacing w:after="0"/>
      </w:pPr>
    </w:p>
    <w:p w14:paraId="3206A6B3" w14:textId="77777777" w:rsidR="00D83396" w:rsidRDefault="00D83396" w:rsidP="009D2FDA">
      <w:pPr>
        <w:spacing w:after="0"/>
      </w:pPr>
    </w:p>
    <w:p w14:paraId="614A2B6D" w14:textId="77777777" w:rsidR="00D83396" w:rsidRDefault="00D83396" w:rsidP="009D2FDA">
      <w:pPr>
        <w:spacing w:after="0"/>
      </w:pPr>
    </w:p>
    <w:p w14:paraId="08B1568E" w14:textId="77777777" w:rsidR="00D83396" w:rsidRDefault="00D83396" w:rsidP="009D2FDA">
      <w:pPr>
        <w:spacing w:after="0"/>
      </w:pPr>
    </w:p>
    <w:p w14:paraId="6B3BAE4B" w14:textId="77777777" w:rsidR="00D83396" w:rsidRDefault="00D83396" w:rsidP="009D2FDA">
      <w:pPr>
        <w:spacing w:after="0"/>
      </w:pPr>
    </w:p>
    <w:p w14:paraId="1C607627" w14:textId="77777777" w:rsidR="00D83396" w:rsidRDefault="00D83396" w:rsidP="009D2FDA">
      <w:pPr>
        <w:spacing w:after="0"/>
      </w:pPr>
    </w:p>
    <w:p w14:paraId="3AF429E4" w14:textId="77777777" w:rsidR="00D83396" w:rsidRDefault="00D83396" w:rsidP="009D2FDA">
      <w:pPr>
        <w:spacing w:after="0"/>
      </w:pPr>
    </w:p>
    <w:p w14:paraId="26FFF8EF" w14:textId="3BA16D8A" w:rsidR="009D2FDA" w:rsidRPr="009D2FDA" w:rsidRDefault="00C15139" w:rsidP="009D2FDA">
      <w:pPr>
        <w:spacing w:after="0"/>
        <w:rPr>
          <w:rFonts w:ascii="Verdana" w:hAnsi="Verdana"/>
        </w:rPr>
      </w:pPr>
      <w:r>
        <w:br/>
      </w:r>
    </w:p>
    <w:p w14:paraId="1468C46D" w14:textId="44FDA5D1" w:rsidR="00C15139" w:rsidRPr="009D2FDA" w:rsidRDefault="009D2FDA" w:rsidP="009D2FDA">
      <w:pPr>
        <w:spacing w:after="0"/>
        <w:rPr>
          <w:rFonts w:ascii="Verdana" w:eastAsia="Verdana" w:hAnsi="Verdana" w:cs="Verdana"/>
        </w:rPr>
      </w:pPr>
      <w:r w:rsidRPr="009D2FDA">
        <w:rPr>
          <w:rFonts w:ascii="Verdana" w:hAnsi="Verdana"/>
        </w:rPr>
        <w:lastRenderedPageBreak/>
        <w:t xml:space="preserve"> Bogotá D.C., 28 Abril 2026</w:t>
      </w:r>
      <w:r w:rsidR="00C15139" w:rsidRPr="009D2FDA">
        <w:rPr>
          <w:rFonts w:ascii="Verdana" w:hAnsi="Verdana"/>
        </w:rPr>
        <w:tab/>
      </w:r>
    </w:p>
    <w:p w14:paraId="5B3DB83D" w14:textId="0BC7C03A" w:rsidR="00BC0180" w:rsidRDefault="00BC0180" w:rsidP="00BC0180">
      <w:pPr>
        <w:spacing w:after="0" w:line="240" w:lineRule="auto"/>
        <w:rPr>
          <w:rFonts w:ascii="Verdana" w:eastAsia="Calibri" w:hAnsi="Verdana" w:cs="Arial"/>
          <w:lang w:val="es-ES" w:eastAsia="es-ES"/>
        </w:rPr>
      </w:pPr>
      <w:r w:rsidRPr="00801A0F">
        <w:rPr>
          <w:rFonts w:ascii="Verdana" w:eastAsia="Calibri" w:hAnsi="Verdana" w:cs="Arial"/>
          <w:lang w:val="es-ES" w:eastAsia="es-ES"/>
        </w:rPr>
        <w:t>Señor</w:t>
      </w:r>
      <w:r w:rsidR="0005668B">
        <w:rPr>
          <w:rFonts w:ascii="Verdana" w:eastAsia="Calibri" w:hAnsi="Verdana" w:cs="Arial"/>
          <w:lang w:val="es-ES" w:eastAsia="es-ES"/>
        </w:rPr>
        <w:t xml:space="preserve">                                                          </w:t>
      </w:r>
      <w:r w:rsidR="0005668B" w:rsidRPr="0005668B">
        <w:rPr>
          <w:rFonts w:ascii="Verdana" w:eastAsia="Calibri" w:hAnsi="Verdana" w:cs="Arial"/>
          <w:noProof/>
          <w:lang w:val="es-ES" w:eastAsia="es-ES"/>
        </w:rPr>
        <w:drawing>
          <wp:inline distT="0" distB="0" distL="0" distR="0" wp14:anchorId="0602940F" wp14:editId="184626A1">
            <wp:extent cx="2305050" cy="638466"/>
            <wp:effectExtent l="0" t="0" r="0" b="9525"/>
            <wp:docPr id="2467095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68523" cy="656047"/>
                    </a:xfrm>
                    <a:prstGeom prst="rect">
                      <a:avLst/>
                    </a:prstGeom>
                    <a:noFill/>
                    <a:ln>
                      <a:noFill/>
                    </a:ln>
                  </pic:spPr>
                </pic:pic>
              </a:graphicData>
            </a:graphic>
          </wp:inline>
        </w:drawing>
      </w:r>
    </w:p>
    <w:p w14:paraId="69D1F1D5" w14:textId="77777777" w:rsidR="00BC0180" w:rsidRDefault="00BC0180" w:rsidP="00BC0180">
      <w:pPr>
        <w:spacing w:after="0" w:line="240" w:lineRule="auto"/>
        <w:rPr>
          <w:rFonts w:ascii="Verdana" w:eastAsia="Calibri" w:hAnsi="Verdana" w:cs="Arial"/>
          <w:b/>
          <w:bCs/>
          <w:lang w:val="es-ES" w:eastAsia="es-ES"/>
        </w:rPr>
      </w:pPr>
      <w:r w:rsidRPr="00D175CA">
        <w:rPr>
          <w:rFonts w:ascii="Verdana" w:eastAsia="Calibri" w:hAnsi="Verdana" w:cs="Arial"/>
          <w:b/>
          <w:bCs/>
          <w:lang w:val="es-ES" w:eastAsia="es-ES"/>
        </w:rPr>
        <w:t>Pet</w:t>
      </w:r>
      <w:r>
        <w:rPr>
          <w:rFonts w:ascii="Verdana" w:eastAsia="Calibri" w:hAnsi="Verdana" w:cs="Arial"/>
          <w:b/>
          <w:bCs/>
          <w:lang w:val="es-ES" w:eastAsia="es-ES"/>
        </w:rPr>
        <w:t xml:space="preserve">icionario Anónimo </w:t>
      </w:r>
    </w:p>
    <w:p w14:paraId="36376FAA" w14:textId="7BC0FD86" w:rsidR="00BC0180" w:rsidRDefault="00BA758C" w:rsidP="00BC0180">
      <w:pPr>
        <w:spacing w:after="0" w:line="240" w:lineRule="auto"/>
        <w:rPr>
          <w:rFonts w:ascii="Verdana" w:eastAsia="Calibri" w:hAnsi="Verdana" w:cs="Arial"/>
          <w:lang w:val="es-ES" w:eastAsia="es-ES"/>
        </w:rPr>
      </w:pPr>
      <w:hyperlink r:id="rId11" w:history="1">
        <w:r w:rsidRPr="00F86646">
          <w:rPr>
            <w:rStyle w:val="Hipervnculo"/>
            <w:rFonts w:ascii="Verdana" w:eastAsia="Calibri" w:hAnsi="Verdana" w:cs="Arial"/>
            <w:lang w:val="es-ES" w:eastAsia="es-ES"/>
          </w:rPr>
          <w:t>juanpabloair22@gmail.com</w:t>
        </w:r>
      </w:hyperlink>
    </w:p>
    <w:p w14:paraId="644B9F56" w14:textId="18E5E6FC" w:rsidR="00BA758C" w:rsidRPr="001836C5" w:rsidRDefault="00BA758C" w:rsidP="00BC0180">
      <w:pPr>
        <w:spacing w:after="0" w:line="240" w:lineRule="auto"/>
        <w:rPr>
          <w:rFonts w:ascii="Verdana" w:eastAsia="Calibri" w:hAnsi="Verdana" w:cs="Arial"/>
          <w:lang w:val="es-ES" w:eastAsia="es-ES"/>
        </w:rPr>
      </w:pPr>
      <w:r>
        <w:rPr>
          <w:rFonts w:ascii="Verdana" w:eastAsia="Calibri" w:hAnsi="Verdana" w:cs="Arial"/>
          <w:lang w:val="es-ES" w:eastAsia="es-ES"/>
        </w:rPr>
        <w:t>Ciudad</w:t>
      </w:r>
    </w:p>
    <w:p w14:paraId="07C3AD32" w14:textId="77777777" w:rsidR="00BC0180" w:rsidRPr="002545B5" w:rsidRDefault="00BC0180" w:rsidP="00BC0180">
      <w:pPr>
        <w:spacing w:after="0" w:line="240" w:lineRule="auto"/>
        <w:rPr>
          <w:rFonts w:ascii="Verdana" w:eastAsia="Calibri" w:hAnsi="Verdana" w:cs="Arial"/>
          <w:lang w:val="es-ES" w:eastAsia="es-ES"/>
        </w:rPr>
      </w:pPr>
    </w:p>
    <w:p w14:paraId="78D801DF" w14:textId="77777777" w:rsidR="00BC0180" w:rsidRPr="00D175CA" w:rsidRDefault="00BC0180" w:rsidP="00BC0180">
      <w:pPr>
        <w:spacing w:after="0" w:line="240" w:lineRule="auto"/>
        <w:rPr>
          <w:rFonts w:ascii="Verdana" w:eastAsia="Calibri" w:hAnsi="Verdana" w:cs="Arial"/>
          <w:b/>
          <w:bCs/>
          <w:lang w:val="es-ES" w:eastAsia="es-ES"/>
        </w:rPr>
      </w:pPr>
    </w:p>
    <w:p w14:paraId="11CCB662" w14:textId="77777777" w:rsidR="00BC0180" w:rsidRPr="00D175CA" w:rsidRDefault="00BC0180" w:rsidP="00BC0180">
      <w:pPr>
        <w:spacing w:after="0" w:line="240" w:lineRule="auto"/>
        <w:rPr>
          <w:rFonts w:ascii="Verdana" w:eastAsia="Calibri" w:hAnsi="Verdana" w:cs="Arial"/>
          <w:b/>
          <w:bCs/>
          <w:color w:val="ED7D31" w:themeColor="accent2"/>
          <w:lang w:val="es-ES" w:eastAsia="es-ES"/>
        </w:rPr>
      </w:pPr>
    </w:p>
    <w:tbl>
      <w:tblPr>
        <w:tblStyle w:val="Tablaconcuadrcula"/>
        <w:tblW w:w="898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133"/>
        <w:gridCol w:w="5967"/>
        <w:gridCol w:w="470"/>
      </w:tblGrid>
      <w:tr w:rsidR="00BC0180" w:rsidRPr="006733BD" w14:paraId="3135FB0F" w14:textId="77777777" w:rsidTr="00070938">
        <w:trPr>
          <w:gridAfter w:val="1"/>
          <w:wAfter w:w="470" w:type="dxa"/>
          <w:trHeight w:val="300"/>
        </w:trPr>
        <w:tc>
          <w:tcPr>
            <w:tcW w:w="2410" w:type="dxa"/>
          </w:tcPr>
          <w:p w14:paraId="757D9681" w14:textId="77777777" w:rsidR="00BC0180" w:rsidRPr="00445FF1" w:rsidRDefault="00BC0180" w:rsidP="00CE0595">
            <w:pPr>
              <w:ind w:left="-142"/>
              <w:jc w:val="both"/>
              <w:rPr>
                <w:rFonts w:ascii="Verdana" w:eastAsia="Calibri" w:hAnsi="Verdana" w:cs="Arial"/>
                <w:b/>
                <w:bCs/>
                <w:lang w:val="es-ES" w:eastAsia="es-ES_tradnl"/>
              </w:rPr>
            </w:pPr>
          </w:p>
        </w:tc>
        <w:tc>
          <w:tcPr>
            <w:tcW w:w="6100" w:type="dxa"/>
            <w:gridSpan w:val="2"/>
          </w:tcPr>
          <w:p w14:paraId="6E03C8F3" w14:textId="77777777" w:rsidR="00BC0180" w:rsidRPr="00445FF1" w:rsidRDefault="00BC0180" w:rsidP="00CE0595">
            <w:pPr>
              <w:ind w:left="3"/>
              <w:jc w:val="both"/>
              <w:rPr>
                <w:rFonts w:ascii="Verdana" w:eastAsia="Calibri" w:hAnsi="Verdana" w:cs="Arial"/>
                <w:b/>
                <w:bCs/>
                <w:lang w:val="es-ES" w:eastAsia="es-ES"/>
              </w:rPr>
            </w:pPr>
            <w:r w:rsidRPr="00445FF1">
              <w:rPr>
                <w:rFonts w:ascii="Verdana" w:eastAsia="Calibri" w:hAnsi="Verdana" w:cs="Arial"/>
                <w:b/>
                <w:bCs/>
                <w:lang w:val="es-ES" w:eastAsia="es-ES"/>
              </w:rPr>
              <w:t>Concepto C-471 de 2026</w:t>
            </w:r>
          </w:p>
          <w:p w14:paraId="2240F64F" w14:textId="77777777" w:rsidR="00BC0180" w:rsidRPr="00445FF1" w:rsidRDefault="00BC0180" w:rsidP="00CE0595">
            <w:pPr>
              <w:ind w:left="3"/>
              <w:jc w:val="both"/>
              <w:rPr>
                <w:rFonts w:ascii="Verdana" w:eastAsia="Calibri" w:hAnsi="Verdana" w:cs="Arial"/>
                <w:b/>
                <w:bCs/>
                <w:lang w:val="es-ES" w:eastAsia="es-ES"/>
              </w:rPr>
            </w:pPr>
          </w:p>
        </w:tc>
      </w:tr>
      <w:tr w:rsidR="00BC0180" w:rsidRPr="006733BD" w14:paraId="5C1C25A8" w14:textId="77777777" w:rsidTr="00070938">
        <w:trPr>
          <w:gridAfter w:val="1"/>
          <w:wAfter w:w="470" w:type="dxa"/>
          <w:trHeight w:val="300"/>
        </w:trPr>
        <w:tc>
          <w:tcPr>
            <w:tcW w:w="2410" w:type="dxa"/>
          </w:tcPr>
          <w:p w14:paraId="7EED376D" w14:textId="77777777" w:rsidR="00BC0180" w:rsidRPr="006733BD" w:rsidRDefault="00BC0180" w:rsidP="00CE0595">
            <w:pPr>
              <w:ind w:left="424" w:firstLine="142"/>
              <w:jc w:val="both"/>
              <w:rPr>
                <w:rFonts w:ascii="Verdana" w:eastAsia="Calibri" w:hAnsi="Verdana" w:cs="Arial"/>
                <w:color w:val="ED7D31" w:themeColor="accent2"/>
                <w:lang w:val="es-ES" w:eastAsia="es-ES_tradnl"/>
              </w:rPr>
            </w:pPr>
            <w:r w:rsidRPr="00A54BCB">
              <w:rPr>
                <w:rFonts w:ascii="Verdana" w:eastAsia="Calibri" w:hAnsi="Verdana" w:cs="Arial"/>
                <w:b/>
                <w:lang w:val="es-ES" w:eastAsia="es-ES_tradnl"/>
              </w:rPr>
              <w:t>Temas:</w:t>
            </w:r>
            <w:r w:rsidRPr="006733BD">
              <w:rPr>
                <w:rFonts w:ascii="Verdana" w:eastAsia="Calibri" w:hAnsi="Verdana" w:cs="Arial"/>
                <w:color w:val="ED7D31" w:themeColor="accent2"/>
                <w:lang w:val="es-ES" w:eastAsia="es-ES_tradnl"/>
              </w:rPr>
              <w:t xml:space="preserve">                  </w:t>
            </w:r>
          </w:p>
        </w:tc>
        <w:tc>
          <w:tcPr>
            <w:tcW w:w="6100" w:type="dxa"/>
            <w:gridSpan w:val="2"/>
          </w:tcPr>
          <w:p w14:paraId="6D744DA7" w14:textId="77777777" w:rsidR="00BC0180" w:rsidRPr="00445FF1" w:rsidRDefault="00BC0180" w:rsidP="00CE0595">
            <w:pPr>
              <w:spacing w:after="160" w:line="259" w:lineRule="auto"/>
              <w:jc w:val="both"/>
              <w:rPr>
                <w:rFonts w:ascii="Verdana" w:hAnsi="Verdana" w:cs="Arial"/>
                <w:bCs/>
                <w:lang w:val="es-MX" w:eastAsia="es-ES" w:bidi="es-ES"/>
              </w:rPr>
            </w:pPr>
            <w:r w:rsidRPr="00445FF1">
              <w:rPr>
                <w:rFonts w:ascii="Verdana" w:eastAsia="Arial" w:hAnsi="Verdana" w:cs="Arial"/>
                <w:lang w:val="es-ES"/>
              </w:rPr>
              <w:t>PRINCIPIO DE PUBLICIDAD – Concepto -Constitucional</w:t>
            </w:r>
            <w:r w:rsidRPr="00445FF1">
              <w:rPr>
                <w:rFonts w:ascii="Verdana" w:hAnsi="Verdana" w:cs="Arial"/>
                <w:bCs/>
                <w:lang w:val="es-ES_tradnl" w:eastAsia="es-ES" w:bidi="es-ES"/>
              </w:rPr>
              <w:t xml:space="preserve"> / PRINCIPIO DE PUBLICIDAD – SECOP – Documentos del proceso – Deber de publicación /</w:t>
            </w:r>
            <w:r w:rsidRPr="00445FF1">
              <w:t xml:space="preserve"> </w:t>
            </w:r>
            <w:r w:rsidRPr="00445FF1">
              <w:rPr>
                <w:rFonts w:ascii="Verdana" w:hAnsi="Verdana" w:cs="Arial"/>
                <w:bCs/>
                <w:lang w:val="es-ES_tradnl" w:eastAsia="es-ES" w:bidi="es-ES"/>
              </w:rPr>
              <w:t>SECOP I – Publicidad</w:t>
            </w:r>
            <w:r>
              <w:rPr>
                <w:rFonts w:ascii="Verdana" w:hAnsi="Verdana" w:cs="Arial"/>
                <w:bCs/>
                <w:lang w:val="es-ES_tradnl" w:eastAsia="es-ES" w:bidi="es-ES"/>
              </w:rPr>
              <w:t>-</w:t>
            </w:r>
            <w:r w:rsidRPr="00056E4C">
              <w:rPr>
                <w:rFonts w:ascii="Verdana" w:eastAsia="Calibri" w:hAnsi="Verdana" w:cs="Arial"/>
                <w:lang w:val="es-ES" w:eastAsia="es-ES"/>
              </w:rPr>
              <w:t xml:space="preserve"> SECOP II – Expediente físico</w:t>
            </w:r>
          </w:p>
          <w:p w14:paraId="21D3DFA7" w14:textId="77777777" w:rsidR="00BC0180" w:rsidRDefault="00BC0180" w:rsidP="00CE0595">
            <w:pPr>
              <w:contextualSpacing/>
              <w:jc w:val="both"/>
              <w:rPr>
                <w:rFonts w:ascii="Verdana" w:hAnsi="Verdana" w:cs="Arial"/>
                <w:b/>
                <w:bCs/>
                <w:lang w:val="es-MX" w:eastAsia="es-ES_tradnl"/>
              </w:rPr>
            </w:pPr>
          </w:p>
          <w:p w14:paraId="5837D75E" w14:textId="77777777" w:rsidR="00BC0180" w:rsidRPr="00933DB9" w:rsidRDefault="00BC0180" w:rsidP="00CE0595">
            <w:pPr>
              <w:contextualSpacing/>
              <w:jc w:val="both"/>
              <w:rPr>
                <w:rFonts w:ascii="Verdana" w:eastAsia="Calibri" w:hAnsi="Verdana" w:cs="Arial"/>
                <w:b/>
                <w:bCs/>
                <w:color w:val="000000" w:themeColor="text1"/>
                <w:lang w:val="es-MX" w:eastAsia="es-ES"/>
              </w:rPr>
            </w:pPr>
          </w:p>
          <w:p w14:paraId="714E18D9" w14:textId="77777777" w:rsidR="00BC0180" w:rsidRPr="008F679F" w:rsidRDefault="00BC0180" w:rsidP="00CE0595">
            <w:pPr>
              <w:spacing w:line="276" w:lineRule="auto"/>
              <w:jc w:val="both"/>
              <w:rPr>
                <w:rFonts w:ascii="Verdana" w:eastAsia="Calibri" w:hAnsi="Verdana" w:cs="Arial"/>
                <w:color w:val="ED7D31" w:themeColor="accent2"/>
                <w:lang w:val="es-ES"/>
              </w:rPr>
            </w:pPr>
          </w:p>
        </w:tc>
      </w:tr>
      <w:tr w:rsidR="00BC0180" w:rsidRPr="00C5490E" w14:paraId="44F560D7" w14:textId="77777777" w:rsidTr="00070938">
        <w:tc>
          <w:tcPr>
            <w:tcW w:w="2543" w:type="dxa"/>
            <w:gridSpan w:val="2"/>
          </w:tcPr>
          <w:p w14:paraId="3EDD7C5E" w14:textId="77777777" w:rsidR="00BC0180" w:rsidRPr="006733BD" w:rsidRDefault="00BC0180" w:rsidP="00CE0595">
            <w:pPr>
              <w:ind w:left="561"/>
              <w:jc w:val="both"/>
              <w:rPr>
                <w:rFonts w:ascii="Verdana" w:eastAsia="Calibri" w:hAnsi="Verdana" w:cs="Arial"/>
                <w:b/>
                <w:color w:val="ED7D31" w:themeColor="accent2"/>
                <w:lang w:val="es-ES" w:eastAsia="es-ES_tradnl"/>
              </w:rPr>
            </w:pPr>
            <w:r w:rsidRPr="00A54BCB">
              <w:rPr>
                <w:rFonts w:ascii="Verdana" w:eastAsia="Calibri" w:hAnsi="Verdana" w:cs="Arial"/>
                <w:b/>
                <w:lang w:val="es-ES" w:eastAsia="es-ES_tradnl"/>
              </w:rPr>
              <w:t>Radicación:</w:t>
            </w:r>
            <w:r w:rsidRPr="00A54BCB">
              <w:rPr>
                <w:rFonts w:ascii="Verdana" w:eastAsia="Calibri" w:hAnsi="Verdana" w:cs="Arial"/>
                <w:lang w:val="es-ES" w:eastAsia="es-ES_tradnl"/>
              </w:rPr>
              <w:t xml:space="preserve">   </w:t>
            </w:r>
            <w:r w:rsidRPr="006733BD">
              <w:rPr>
                <w:rFonts w:ascii="Verdana" w:eastAsia="Calibri" w:hAnsi="Verdana" w:cs="Arial"/>
                <w:color w:val="ED7D31" w:themeColor="accent2"/>
                <w:lang w:val="es-ES" w:eastAsia="es-ES_tradnl"/>
              </w:rPr>
              <w:t xml:space="preserve">           </w:t>
            </w:r>
          </w:p>
        </w:tc>
        <w:tc>
          <w:tcPr>
            <w:tcW w:w="6437" w:type="dxa"/>
            <w:gridSpan w:val="2"/>
          </w:tcPr>
          <w:p w14:paraId="51F8EFEC" w14:textId="77777777" w:rsidR="00BC0180" w:rsidRPr="00AC5354" w:rsidRDefault="00BC0180" w:rsidP="00CE0595">
            <w:pPr>
              <w:ind w:left="3"/>
              <w:jc w:val="both"/>
              <w:rPr>
                <w:rFonts w:ascii="Verdana" w:hAnsi="Verdana"/>
                <w:lang w:val="es-ES"/>
              </w:rPr>
            </w:pPr>
            <w:r w:rsidRPr="00C5490E">
              <w:rPr>
                <w:rFonts w:ascii="Verdana" w:eastAsia="Calibri" w:hAnsi="Verdana" w:cs="Arial"/>
                <w:lang w:val="es-ES" w:eastAsia="es-ES"/>
              </w:rPr>
              <w:t xml:space="preserve">Respuesta a consulta con radicado No. </w:t>
            </w:r>
            <w:r>
              <w:rPr>
                <w:rFonts w:ascii="Verdana" w:hAnsi="Verdana" w:cs="Calibri"/>
                <w:color w:val="000000"/>
              </w:rPr>
              <w:t>1_2026_03_24_004030</w:t>
            </w:r>
          </w:p>
          <w:p w14:paraId="56191F67" w14:textId="77777777" w:rsidR="00BC0180" w:rsidRPr="009B0C5D" w:rsidRDefault="00BC0180" w:rsidP="00CE0595">
            <w:pPr>
              <w:ind w:left="3"/>
              <w:jc w:val="both"/>
              <w:rPr>
                <w:rFonts w:ascii="Verdana" w:hAnsi="Verdana"/>
                <w:lang w:val="es-ES"/>
              </w:rPr>
            </w:pPr>
          </w:p>
          <w:p w14:paraId="1CD69720" w14:textId="77777777" w:rsidR="00BC0180" w:rsidRPr="00E7030A" w:rsidRDefault="00BC0180" w:rsidP="00CE0595">
            <w:pPr>
              <w:jc w:val="both"/>
              <w:rPr>
                <w:rFonts w:ascii="Verdana" w:hAnsi="Verdana"/>
                <w:lang w:val="es-ES"/>
              </w:rPr>
            </w:pPr>
          </w:p>
          <w:p w14:paraId="6F705EE5" w14:textId="77777777" w:rsidR="00BC0180" w:rsidRPr="00C5490E" w:rsidRDefault="00BC0180" w:rsidP="00CE0595">
            <w:pPr>
              <w:ind w:left="3"/>
              <w:jc w:val="both"/>
              <w:rPr>
                <w:rFonts w:ascii="Verdana" w:hAnsi="Verdana"/>
                <w:lang w:val="es-ES"/>
              </w:rPr>
            </w:pPr>
          </w:p>
        </w:tc>
      </w:tr>
    </w:tbl>
    <w:p w14:paraId="1490F671" w14:textId="77777777" w:rsidR="00BC0180" w:rsidRPr="00C5490E" w:rsidRDefault="00BC0180" w:rsidP="00BC0180">
      <w:pPr>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Estimado Señor</w:t>
      </w:r>
      <w:r>
        <w:rPr>
          <w:rFonts w:ascii="Verdana" w:eastAsia="Calibri" w:hAnsi="Verdana" w:cs="Arial"/>
          <w:lang w:val="es-ES" w:eastAsia="es-ES"/>
        </w:rPr>
        <w:t>es</w:t>
      </w:r>
      <w:r w:rsidRPr="00C5490E">
        <w:rPr>
          <w:rFonts w:ascii="Verdana" w:eastAsia="Calibri" w:hAnsi="Verdana" w:cs="Arial"/>
          <w:lang w:val="es-ES" w:eastAsia="es-ES"/>
        </w:rPr>
        <w:t>,</w:t>
      </w:r>
    </w:p>
    <w:p w14:paraId="184B1AD4" w14:textId="77777777" w:rsidR="00BC0180" w:rsidRPr="00C5490E" w:rsidRDefault="00BC0180" w:rsidP="00BC0180">
      <w:pPr>
        <w:tabs>
          <w:tab w:val="left" w:pos="3768"/>
        </w:tabs>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ab/>
      </w:r>
    </w:p>
    <w:p w14:paraId="1450FF53" w14:textId="77777777" w:rsidR="00BC0180" w:rsidRPr="007C62E7" w:rsidRDefault="00BC0180" w:rsidP="00BC0180">
      <w:pPr>
        <w:spacing w:after="0" w:line="276" w:lineRule="auto"/>
        <w:jc w:val="both"/>
        <w:rPr>
          <w:rFonts w:ascii="Verdana" w:eastAsia="Calibri" w:hAnsi="Verdana" w:cs="Arial"/>
          <w:lang w:val="es-ES" w:eastAsia="es-ES"/>
        </w:rPr>
      </w:pPr>
      <w:r w:rsidRPr="00852F26">
        <w:rPr>
          <w:rFonts w:ascii="Verdana" w:eastAsia="Calibri" w:hAnsi="Verdana" w:cs="Arial"/>
          <w:lang w:val="es-ES"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w:t>
      </w:r>
      <w:r>
        <w:rPr>
          <w:rFonts w:ascii="Verdana" w:eastAsia="Calibri" w:hAnsi="Verdana" w:cs="Arial"/>
          <w:lang w:val="es-ES" w:eastAsia="es-ES"/>
        </w:rPr>
        <w:t xml:space="preserve">24 </w:t>
      </w:r>
      <w:r w:rsidRPr="00852F26">
        <w:rPr>
          <w:rFonts w:ascii="Verdana" w:eastAsia="Calibri" w:hAnsi="Verdana" w:cs="Arial"/>
          <w:lang w:val="es-ES" w:eastAsia="es-ES"/>
        </w:rPr>
        <w:t xml:space="preserve">de </w:t>
      </w:r>
      <w:r>
        <w:rPr>
          <w:rFonts w:ascii="Verdana" w:eastAsia="Calibri" w:hAnsi="Verdana" w:cs="Arial"/>
          <w:lang w:val="es-ES" w:eastAsia="es-ES"/>
        </w:rPr>
        <w:t>Marzo</w:t>
      </w:r>
      <w:r w:rsidRPr="00852F26">
        <w:rPr>
          <w:rFonts w:ascii="Verdana" w:eastAsia="Calibri" w:hAnsi="Verdana" w:cs="Arial"/>
          <w:lang w:val="es-ES" w:eastAsia="es-ES"/>
        </w:rPr>
        <w:t xml:space="preserve"> de 2026, en la cual manifiesta lo siguiente:</w:t>
      </w:r>
    </w:p>
    <w:p w14:paraId="025FD17F" w14:textId="77777777" w:rsidR="00BC0180" w:rsidRPr="00CE49C8" w:rsidRDefault="00BC0180" w:rsidP="00BC0180">
      <w:pPr>
        <w:spacing w:after="0" w:line="240" w:lineRule="auto"/>
        <w:ind w:leftChars="737" w:left="1621" w:right="737"/>
        <w:jc w:val="both"/>
        <w:rPr>
          <w:rFonts w:ascii="Verdana" w:eastAsia="Calibri" w:hAnsi="Verdana" w:cs="Arial"/>
          <w:i/>
          <w:iCs/>
          <w:sz w:val="20"/>
          <w:szCs w:val="20"/>
          <w:lang w:val="es-ES" w:eastAsia="es-ES"/>
        </w:rPr>
      </w:pPr>
    </w:p>
    <w:p w14:paraId="30F4AD69" w14:textId="77777777" w:rsidR="00BC0180" w:rsidRDefault="00BC0180" w:rsidP="00BC0180">
      <w:pPr>
        <w:spacing w:after="0" w:line="240" w:lineRule="auto"/>
        <w:ind w:right="709"/>
        <w:jc w:val="both"/>
        <w:rPr>
          <w:rFonts w:ascii="Verdana" w:eastAsia="Calibri" w:hAnsi="Verdana" w:cs="Arial"/>
          <w:i/>
          <w:iCs/>
          <w:sz w:val="20"/>
          <w:szCs w:val="20"/>
          <w:lang w:eastAsia="es-ES"/>
        </w:rPr>
      </w:pPr>
    </w:p>
    <w:p w14:paraId="35AD586F" w14:textId="77777777" w:rsidR="00BC0180" w:rsidRPr="00191A96" w:rsidRDefault="00BC0180" w:rsidP="00BC0180">
      <w:pPr>
        <w:spacing w:after="0" w:line="240" w:lineRule="auto"/>
        <w:ind w:left="709" w:right="709"/>
        <w:jc w:val="both"/>
        <w:rPr>
          <w:rFonts w:ascii="Verdana" w:hAnsi="Verdana" w:cs="Arial"/>
          <w:bCs/>
          <w:sz w:val="20"/>
          <w:lang w:eastAsia="es-ES" w:bidi="es-ES"/>
        </w:rPr>
      </w:pPr>
      <w:r w:rsidRPr="00A6716D">
        <w:rPr>
          <w:rFonts w:ascii="Verdana" w:eastAsia="Calibri" w:hAnsi="Verdana" w:cs="Arial"/>
          <w:i/>
          <w:iCs/>
          <w:sz w:val="20"/>
          <w:szCs w:val="20"/>
          <w:lang w:eastAsia="es-ES"/>
        </w:rPr>
        <w:t> </w:t>
      </w:r>
    </w:p>
    <w:p w14:paraId="56266926" w14:textId="77777777" w:rsidR="00BC0180" w:rsidRPr="00191A96" w:rsidRDefault="00BC0180" w:rsidP="00BC0180">
      <w:pPr>
        <w:spacing w:after="0" w:line="240" w:lineRule="auto"/>
        <w:ind w:left="709" w:right="709"/>
        <w:jc w:val="both"/>
        <w:rPr>
          <w:rFonts w:ascii="Verdana" w:hAnsi="Verdana" w:cs="Arial"/>
          <w:bCs/>
          <w:sz w:val="20"/>
          <w:lang w:eastAsia="es-ES" w:bidi="es-ES"/>
        </w:rPr>
      </w:pPr>
      <w:r w:rsidRPr="00191A96">
        <w:rPr>
          <w:rFonts w:ascii="Verdana" w:hAnsi="Verdana" w:cs="Arial"/>
          <w:bCs/>
          <w:sz w:val="20"/>
          <w:lang w:eastAsia="es-ES" w:bidi="es-ES"/>
        </w:rPr>
        <w:t>"1. ¿Existe una norma que obligue a tener la información contractual tanto en físico como en digital para procesos en SECOP I?:"</w:t>
      </w:r>
    </w:p>
    <w:p w14:paraId="2A5A5FBF" w14:textId="77777777" w:rsidR="00BC0180" w:rsidRDefault="00BC0180" w:rsidP="00D83396">
      <w:pPr>
        <w:spacing w:after="120" w:line="276" w:lineRule="auto"/>
        <w:ind w:right="737"/>
        <w:jc w:val="both"/>
        <w:rPr>
          <w:rFonts w:ascii="Verdana" w:eastAsia="Calibri" w:hAnsi="Verdana" w:cs="Arial"/>
          <w:sz w:val="20"/>
          <w:szCs w:val="20"/>
          <w:lang w:val="es-ES" w:eastAsia="es-ES"/>
        </w:rPr>
      </w:pPr>
    </w:p>
    <w:p w14:paraId="6817ECA3" w14:textId="77777777" w:rsidR="00BC0180" w:rsidRPr="003C262A" w:rsidRDefault="00BC0180" w:rsidP="00BC0180">
      <w:pPr>
        <w:spacing w:after="120" w:line="276" w:lineRule="auto"/>
        <w:ind w:leftChars="737" w:left="1621" w:right="737"/>
        <w:jc w:val="both"/>
        <w:rPr>
          <w:rFonts w:ascii="Verdana" w:eastAsia="Calibri" w:hAnsi="Verdana" w:cs="Arial"/>
          <w:sz w:val="20"/>
          <w:szCs w:val="20"/>
          <w:lang w:val="es-ES" w:eastAsia="es-ES"/>
        </w:rPr>
      </w:pPr>
    </w:p>
    <w:p w14:paraId="78DE29A4" w14:textId="77777777" w:rsidR="00BC0180" w:rsidRPr="00CD496A" w:rsidRDefault="00BC0180" w:rsidP="00BC0180">
      <w:pPr>
        <w:spacing w:after="120" w:line="276" w:lineRule="auto"/>
        <w:ind w:firstLine="708"/>
        <w:jc w:val="both"/>
        <w:rPr>
          <w:rFonts w:ascii="Verdana" w:eastAsia="Calibri" w:hAnsi="Verdana" w:cs="Arial"/>
          <w:lang w:val="es-ES" w:eastAsia="es-ES"/>
        </w:rPr>
      </w:pPr>
      <w:r w:rsidRPr="00CD496A">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496A">
        <w:rPr>
          <w:rFonts w:ascii="Verdana" w:hAnsi="Verdana"/>
          <w:lang w:val="es-ES"/>
        </w:rPr>
        <w:tab/>
      </w:r>
    </w:p>
    <w:p w14:paraId="7DF05F27" w14:textId="77777777" w:rsidR="00BC0180" w:rsidRPr="00CD496A" w:rsidRDefault="00BC0180" w:rsidP="00BC0180">
      <w:pPr>
        <w:spacing w:after="0" w:line="276" w:lineRule="auto"/>
        <w:ind w:firstLine="709"/>
        <w:jc w:val="both"/>
        <w:rPr>
          <w:rFonts w:ascii="Verdana" w:eastAsia="Calibri" w:hAnsi="Verdana" w:cs="Arial"/>
          <w:lang w:val="es-ES" w:eastAsia="es-ES"/>
        </w:rPr>
      </w:pPr>
      <w:r w:rsidRPr="00CD496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lang w:val="es-ES" w:eastAsia="es-ES"/>
        </w:rPr>
        <w:t>el</w:t>
      </w:r>
      <w:r w:rsidRPr="00CD496A">
        <w:rPr>
          <w:rFonts w:ascii="Verdana" w:eastAsia="Calibri" w:hAnsi="Verdana" w:cs="Arial"/>
          <w:lang w:val="es-ES" w:eastAsia="es-ES"/>
        </w:rPr>
        <w:t xml:space="preserve"> problema jurídico de su consulta. </w:t>
      </w:r>
    </w:p>
    <w:p w14:paraId="097F4EA3" w14:textId="77777777" w:rsidR="00BC0180" w:rsidRPr="00CD496A" w:rsidRDefault="00BC0180" w:rsidP="00BC0180">
      <w:pPr>
        <w:spacing w:after="0" w:line="276" w:lineRule="auto"/>
        <w:jc w:val="both"/>
        <w:rPr>
          <w:rFonts w:ascii="Verdana" w:eastAsia="Calibri" w:hAnsi="Verdana" w:cs="Arial"/>
          <w:lang w:val="es-ES" w:eastAsia="es-ES"/>
        </w:rPr>
      </w:pPr>
    </w:p>
    <w:p w14:paraId="73F8733E" w14:textId="77777777" w:rsidR="00BC0180" w:rsidRDefault="00BC0180" w:rsidP="00BC0180">
      <w:pPr>
        <w:tabs>
          <w:tab w:val="left" w:pos="142"/>
          <w:tab w:val="left" w:pos="284"/>
        </w:tabs>
        <w:spacing w:after="0" w:line="276" w:lineRule="auto"/>
        <w:contextualSpacing/>
        <w:jc w:val="both"/>
        <w:rPr>
          <w:rFonts w:ascii="Verdana" w:eastAsia="Century Gothic" w:hAnsi="Verdana" w:cs="Century Gothic"/>
          <w:b/>
          <w:lang w:val="es-ES"/>
        </w:rPr>
      </w:pPr>
      <w:r w:rsidRPr="00CD496A">
        <w:rPr>
          <w:rFonts w:ascii="Verdana" w:eastAsia="Century Gothic" w:hAnsi="Verdana" w:cs="Century Gothic"/>
          <w:b/>
          <w:lang w:val="es-ES"/>
        </w:rPr>
        <w:t>1. Problema</w:t>
      </w:r>
      <w:r>
        <w:rPr>
          <w:rFonts w:ascii="Verdana" w:eastAsia="Century Gothic" w:hAnsi="Verdana" w:cs="Century Gothic"/>
          <w:b/>
          <w:lang w:val="es-ES"/>
        </w:rPr>
        <w:t xml:space="preserve">s </w:t>
      </w:r>
      <w:r w:rsidRPr="00CD496A">
        <w:rPr>
          <w:rFonts w:ascii="Verdana" w:eastAsia="Century Gothic" w:hAnsi="Verdana" w:cs="Century Gothic"/>
          <w:b/>
          <w:lang w:val="es-ES"/>
        </w:rPr>
        <w:t>planteado</w:t>
      </w:r>
      <w:r>
        <w:rPr>
          <w:rFonts w:ascii="Verdana" w:eastAsia="Century Gothic" w:hAnsi="Verdana" w:cs="Century Gothic"/>
          <w:b/>
          <w:lang w:val="es-ES"/>
        </w:rPr>
        <w:t>s</w:t>
      </w:r>
      <w:r w:rsidRPr="00CD496A">
        <w:rPr>
          <w:rFonts w:ascii="Verdana" w:eastAsia="Century Gothic" w:hAnsi="Verdana" w:cs="Century Gothic"/>
          <w:b/>
          <w:lang w:val="es-ES"/>
        </w:rPr>
        <w:t>:</w:t>
      </w:r>
    </w:p>
    <w:p w14:paraId="1D69FBED" w14:textId="77777777" w:rsidR="00BC0180" w:rsidRPr="00884371" w:rsidRDefault="00BC0180" w:rsidP="00BC0180">
      <w:pPr>
        <w:tabs>
          <w:tab w:val="left" w:pos="142"/>
          <w:tab w:val="left" w:pos="284"/>
        </w:tabs>
        <w:spacing w:after="0" w:line="276" w:lineRule="auto"/>
        <w:contextualSpacing/>
        <w:jc w:val="both"/>
        <w:rPr>
          <w:rFonts w:ascii="Verdana" w:eastAsia="Century Gothic" w:hAnsi="Verdana" w:cs="Century Gothic"/>
          <w:b/>
          <w:lang w:val="es-ES"/>
        </w:rPr>
      </w:pPr>
    </w:p>
    <w:p w14:paraId="05F263E1" w14:textId="77777777" w:rsidR="00BC0180" w:rsidRDefault="00BC0180" w:rsidP="00BC0180">
      <w:pPr>
        <w:spacing w:after="0" w:line="276" w:lineRule="auto"/>
        <w:jc w:val="both"/>
        <w:rPr>
          <w:rFonts w:ascii="Verdana" w:eastAsia="Century Gothic" w:hAnsi="Verdana" w:cs="Century Gothic"/>
        </w:rPr>
      </w:pPr>
      <w:r>
        <w:rPr>
          <w:rFonts w:ascii="Verdana" w:eastAsia="Century Gothic" w:hAnsi="Verdana" w:cs="Century Gothic"/>
        </w:rPr>
        <w:t>De acuerdo con el contenido de su solicitud, esta Agencia resolverá el siguiente problema jurídicos: i)</w:t>
      </w:r>
      <w:r w:rsidRPr="004E5F4D">
        <w:rPr>
          <w:rFonts w:ascii="Verdana" w:eastAsia="Century Gothic" w:hAnsi="Verdana" w:cs="Century Gothic"/>
        </w:rPr>
        <w:t xml:space="preserve"> </w:t>
      </w:r>
      <w:r w:rsidRPr="00C51851">
        <w:rPr>
          <w:rFonts w:ascii="Verdana" w:eastAsia="Century Gothic" w:hAnsi="Verdana" w:cs="Century Gothic"/>
        </w:rPr>
        <w:t>¿Es obligatorio para las entidades estatales conservar en medio físico y digital la información contractual de los procesos en SECOP I?</w:t>
      </w:r>
    </w:p>
    <w:p w14:paraId="2CD12AC1" w14:textId="77777777" w:rsidR="00D83396" w:rsidRDefault="00D83396" w:rsidP="00BC0180">
      <w:pPr>
        <w:spacing w:after="0" w:line="276" w:lineRule="auto"/>
        <w:jc w:val="both"/>
        <w:rPr>
          <w:rFonts w:ascii="Verdana" w:eastAsia="Century Gothic" w:hAnsi="Verdana" w:cs="Century Gothic"/>
        </w:rPr>
      </w:pPr>
    </w:p>
    <w:p w14:paraId="1EACCF41" w14:textId="77777777" w:rsidR="00D83396" w:rsidRDefault="00D83396" w:rsidP="00BC0180">
      <w:pPr>
        <w:spacing w:after="0" w:line="276" w:lineRule="auto"/>
        <w:jc w:val="both"/>
        <w:rPr>
          <w:rFonts w:ascii="Verdana" w:eastAsia="Century Gothic" w:hAnsi="Verdana" w:cs="Century Gothic"/>
        </w:rPr>
      </w:pPr>
    </w:p>
    <w:p w14:paraId="65F43031" w14:textId="77777777" w:rsidR="00D83396" w:rsidRDefault="00D83396" w:rsidP="00BC0180">
      <w:pPr>
        <w:spacing w:after="0" w:line="276" w:lineRule="auto"/>
        <w:jc w:val="both"/>
        <w:rPr>
          <w:rFonts w:ascii="Verdana" w:eastAsia="Century Gothic" w:hAnsi="Verdana" w:cs="Century Gothic"/>
        </w:rPr>
      </w:pPr>
    </w:p>
    <w:p w14:paraId="1A1AE681" w14:textId="77777777" w:rsidR="00D83396" w:rsidRDefault="00D83396" w:rsidP="00BC0180">
      <w:pPr>
        <w:spacing w:after="0" w:line="276" w:lineRule="auto"/>
        <w:jc w:val="both"/>
        <w:rPr>
          <w:rFonts w:ascii="Verdana" w:eastAsia="Century Gothic" w:hAnsi="Verdana" w:cs="Century Gothic"/>
        </w:rPr>
      </w:pPr>
    </w:p>
    <w:p w14:paraId="5BA7B93A" w14:textId="63E9C441" w:rsidR="00BC0180" w:rsidRPr="006733BD" w:rsidRDefault="00BC0180" w:rsidP="00BC0180">
      <w:pPr>
        <w:spacing w:after="0" w:line="276" w:lineRule="auto"/>
        <w:jc w:val="both"/>
        <w:rPr>
          <w:rFonts w:ascii="Verdana" w:eastAsia="Century Gothic" w:hAnsi="Verdana" w:cs="Century Gothic"/>
          <w:b/>
          <w:color w:val="ED7D31" w:themeColor="accent2"/>
          <w:lang w:val="es-ES"/>
        </w:rPr>
      </w:pPr>
      <w:r w:rsidRPr="00CD496A">
        <w:rPr>
          <w:rFonts w:ascii="Verdana" w:eastAsia="Century Gothic" w:hAnsi="Verdana" w:cs="Century Gothic"/>
          <w:b/>
          <w:lang w:val="es-ES"/>
        </w:rPr>
        <w:t>2. Respuesta:</w:t>
      </w:r>
    </w:p>
    <w:p w14:paraId="4C79CD2C" w14:textId="77777777" w:rsidR="00BC0180" w:rsidRPr="006733BD" w:rsidRDefault="00BC0180" w:rsidP="00BC0180">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C0180" w:rsidRPr="006733BD" w14:paraId="10ED6BCD" w14:textId="77777777" w:rsidTr="00CE0595">
        <w:tc>
          <w:tcPr>
            <w:tcW w:w="8828" w:type="dxa"/>
          </w:tcPr>
          <w:p w14:paraId="77C0E86C" w14:textId="77777777" w:rsidR="00BC0180" w:rsidRPr="004A7137" w:rsidRDefault="00BC0180" w:rsidP="00CE0595">
            <w:pPr>
              <w:spacing w:before="120" w:line="276" w:lineRule="auto"/>
              <w:jc w:val="both"/>
              <w:textAlignment w:val="baseline"/>
              <w:rPr>
                <w:rFonts w:ascii="Verdana" w:eastAsia="Times New Roman" w:hAnsi="Verdana" w:cs="Arial"/>
                <w:lang w:eastAsia="es-CO"/>
              </w:rPr>
            </w:pPr>
            <w:r w:rsidRPr="0038037F">
              <w:rPr>
                <w:rFonts w:ascii="Verdana" w:eastAsia="Times New Roman" w:hAnsi="Verdana" w:cs="Arial"/>
                <w:lang w:val="es-ES" w:eastAsia="es-CO"/>
              </w:rPr>
              <w:t>C</w:t>
            </w:r>
            <w:r>
              <w:rPr>
                <w:rFonts w:ascii="Verdana" w:eastAsia="Times New Roman" w:hAnsi="Verdana" w:cs="Arial"/>
                <w:lang w:val="es-ES" w:eastAsia="es-CO"/>
              </w:rPr>
              <w:t xml:space="preserve">on </w:t>
            </w:r>
            <w:r w:rsidRPr="004A7137">
              <w:rPr>
                <w:rFonts w:ascii="Verdana" w:eastAsia="Times New Roman" w:hAnsi="Verdana" w:cs="Arial"/>
                <w:lang w:eastAsia="es-CO"/>
              </w:rPr>
              <w:t xml:space="preserve">el fin de atender el asunto bajo consulta, resulta a bien precisar que 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I y II– como un medio que “contará </w:t>
            </w:r>
            <w:r w:rsidRPr="004A7137">
              <w:rPr>
                <w:rFonts w:ascii="Verdana" w:eastAsia="Times New Roman" w:hAnsi="Verdana" w:cs="Arial"/>
                <w:lang w:eastAsia="es-CO"/>
              </w:rPr>
              <w:lastRenderedPageBreak/>
              <w:t>con la información oficial de la contratación realizada con dineros públicos, para lo cual establecerá los patrones a que haya lugar y se encargará de su difusión a través de canales electrónicos”.</w:t>
            </w:r>
          </w:p>
          <w:p w14:paraId="3EA17677" w14:textId="77777777" w:rsidR="00BC0180" w:rsidRPr="004A7137" w:rsidRDefault="00BC0180" w:rsidP="00CE0595">
            <w:pPr>
              <w:spacing w:before="120" w:line="276" w:lineRule="auto"/>
              <w:ind w:firstLine="703"/>
              <w:jc w:val="both"/>
              <w:textAlignment w:val="baseline"/>
              <w:rPr>
                <w:rFonts w:ascii="Verdana" w:hAnsi="Verdana" w:cs="Arial"/>
                <w:lang w:val="es-ES_tradnl"/>
                <w14:ligatures w14:val="standardContextual"/>
              </w:rPr>
            </w:pPr>
            <w:r w:rsidRPr="004A7137">
              <w:rPr>
                <w:rFonts w:ascii="Verdana" w:eastAsia="Times New Roman" w:hAnsi="Verdana" w:cs="Arial"/>
                <w:lang w:eastAsia="es-CO"/>
              </w:rPr>
              <w:t>En ese mismo sentido, la Ley 1712 de 2014</w:t>
            </w:r>
            <w:r w:rsidRPr="004A7137">
              <w:rPr>
                <w:rFonts w:ascii="Verdana" w:hAnsi="Verdana" w:cs="Arial"/>
                <w:shd w:val="clear" w:color="auto" w:fill="FFFFFF"/>
                <w14:ligatures w14:val="standardContextual"/>
              </w:rPr>
              <w:t xml:space="preserve">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dispone que “toda información en posesión, bajo control o custodia de un sujeto obligado es pública y no podrá ser reservada o limitada sino por disposición constitucional o legal”</w:t>
            </w:r>
            <w:r w:rsidRPr="0038037F">
              <w:rPr>
                <w:rFonts w:ascii="Verdana" w:hAnsi="Verdana" w:cs="Arial"/>
                <w:vertAlign w:val="superscript"/>
                <w:lang w:val="es-ES_tradnl"/>
                <w14:ligatures w14:val="standardContextual"/>
              </w:rPr>
              <w:t>.</w:t>
            </w:r>
          </w:p>
          <w:p w14:paraId="534A7731" w14:textId="77777777" w:rsidR="00BC0180" w:rsidRPr="004A7137" w:rsidRDefault="00BC0180" w:rsidP="00CE0595">
            <w:pPr>
              <w:spacing w:before="120" w:line="276" w:lineRule="auto"/>
              <w:ind w:firstLine="703"/>
              <w:jc w:val="both"/>
              <w:textAlignment w:val="baseline"/>
              <w:rPr>
                <w:rFonts w:ascii="Verdana" w:eastAsia="Calibri" w:hAnsi="Verdana" w:cs="Arial"/>
                <w:lang w:val="es-ES"/>
                <w14:ligatures w14:val="standardContextual"/>
              </w:rPr>
            </w:pPr>
            <w:r w:rsidRPr="004A7137">
              <w:rPr>
                <w:rFonts w:ascii="Verdana" w:hAnsi="Verdana" w:cs="Arial"/>
                <w:lang w:val="es-ES_tradnl"/>
                <w14:ligatures w14:val="standardContextual"/>
              </w:rPr>
              <w:t>El principio de transparencia en la información alude al deber de los sujetos de proporcionar y facilitar el acceso a la misma en los términos más amplios posibles, y a través de los medios y procedimientos legales. La referida ley establece en el literal e) de su artículo 9, que los sujetos obligados, que son todas las Entidades Estatales</w:t>
            </w:r>
            <w:r w:rsidRPr="0038037F">
              <w:rPr>
                <w:rFonts w:ascii="Verdana" w:hAnsi="Verdana" w:cs="Arial"/>
                <w:lang w:val="es-ES_tradnl"/>
                <w14:ligatures w14:val="standardContextual"/>
              </w:rPr>
              <w:t>,</w:t>
            </w:r>
            <w:r w:rsidRPr="004A7137">
              <w:rPr>
                <w:rFonts w:ascii="Verdana" w:hAnsi="Verdana" w:cs="Arial"/>
                <w:lang w:val="es-ES"/>
                <w14:ligatures w14:val="standardContextual"/>
              </w:rPr>
              <w:t xml:space="preserve"> deben publicar la información relativa a su contratación. Esta obligación fue </w:t>
            </w:r>
            <w:proofErr w:type="gramStart"/>
            <w:r w:rsidRPr="0038037F">
              <w:rPr>
                <w:rFonts w:ascii="Verdana" w:hAnsi="Verdana" w:cs="Arial"/>
                <w:lang w:val="es-ES"/>
                <w14:ligatures w14:val="standardContextual"/>
              </w:rPr>
              <w:t>desarrollado</w:t>
            </w:r>
            <w:proofErr w:type="gramEnd"/>
            <w:r w:rsidRPr="0038037F">
              <w:rPr>
                <w:rFonts w:ascii="Verdana" w:hAnsi="Verdana" w:cs="Arial"/>
                <w:lang w:val="es-ES"/>
                <w14:ligatures w14:val="standardContextual"/>
              </w:rPr>
              <w:t xml:space="preserve"> </w:t>
            </w:r>
            <w:r w:rsidRPr="004A7137">
              <w:rPr>
                <w:rFonts w:ascii="Verdana" w:hAnsi="Verdana" w:cs="Arial"/>
                <w:lang w:val="es-ES"/>
                <w14:ligatures w14:val="standardContextual"/>
              </w:rPr>
              <w:t>por el Decreto 1082 de 2015</w:t>
            </w:r>
            <w:r w:rsidRPr="004A7137">
              <w:rPr>
                <w:rFonts w:ascii="Verdana" w:eastAsia="Calibri" w:hAnsi="Verdana" w:cs="Arial"/>
                <w:lang w:val="es-ES"/>
                <w14:ligatures w14:val="standardContextual"/>
              </w:rPr>
              <w:t xml:space="preserve"> el cual dispuso que la publicación de la información contractual de los sujetos obligados, que contratan con cargo a recursos públicos, debe hacerse en el SECOP.</w:t>
            </w:r>
          </w:p>
          <w:p w14:paraId="6ACB62F9" w14:textId="77777777" w:rsidR="00BC0180" w:rsidRPr="004A7137" w:rsidRDefault="00BC0180" w:rsidP="00CE0595">
            <w:pPr>
              <w:spacing w:before="120" w:line="276" w:lineRule="auto"/>
              <w:ind w:firstLine="703"/>
              <w:jc w:val="both"/>
              <w:textAlignment w:val="baseline"/>
              <w:rPr>
                <w:rFonts w:ascii="Verdana" w:eastAsia="Times New Roman" w:hAnsi="Verdana" w:cs="Arial"/>
                <w:lang w:eastAsia="es-CO"/>
              </w:rPr>
            </w:pPr>
            <w:r w:rsidRPr="004A7137">
              <w:rPr>
                <w:rFonts w:ascii="Verdana" w:eastAsia="Calibri" w:hAnsi="Verdana" w:cs="Arial"/>
                <w:lang w:val="es-ES"/>
                <w14:ligatures w14:val="standardContextual"/>
              </w:rPr>
              <w:t xml:space="preserve">De igual forma, el literal g) del artículo 11 de la </w:t>
            </w:r>
            <w:r w:rsidRPr="004A7137">
              <w:rPr>
                <w:rFonts w:ascii="Verdana" w:eastAsia="Times New Roman" w:hAnsi="Verdana" w:cs="Arial"/>
                <w:lang w:eastAsia="es-CO"/>
              </w:rPr>
              <w:t>Ley 1712 de 2014 indica que todos los destinatarios de la ley de transparencia deben garantizar la publicidad de “sus procedimientos, lineamientos, políticas en materia de adquisiciones y compras, así como todos los datos de adjudicación y ejecución de contratos, incluidos concursos y licitaciones”, y que esta información también debe estar en el SECOP. En ese contexto, las Entidades Estatales, conforme con el artículo 2.2.1.1.1.7.1 del Decreto 1082 de 2015, tienen la obligación de publicar en el SECOP “[…] los Documentos del Proceso y los actos administrativos del Proceso de Contratación</w:t>
            </w:r>
            <w:r w:rsidRPr="0038037F">
              <w:rPr>
                <w:rFonts w:ascii="Verdana" w:eastAsia="Times New Roman" w:hAnsi="Verdana" w:cs="Arial"/>
                <w:lang w:eastAsia="es-CO"/>
              </w:rPr>
              <w:t>,</w:t>
            </w:r>
            <w:r w:rsidRPr="004A7137">
              <w:rPr>
                <w:rFonts w:ascii="Verdana" w:eastAsia="Times New Roman" w:hAnsi="Verdana" w:cs="Arial"/>
                <w:lang w:eastAsia="es-CO"/>
              </w:rPr>
              <w:t xml:space="preserve"> dentro de los tres (3) días siguientes a su expedición […]”.</w:t>
            </w:r>
          </w:p>
          <w:p w14:paraId="17A0D1F0" w14:textId="77777777" w:rsidR="00BC0180" w:rsidRPr="004A7137" w:rsidRDefault="00BC0180" w:rsidP="00CE0595">
            <w:pPr>
              <w:spacing w:before="120" w:line="276" w:lineRule="auto"/>
              <w:ind w:firstLine="703"/>
              <w:jc w:val="both"/>
              <w:textAlignment w:val="baseline"/>
              <w:rPr>
                <w:rFonts w:ascii="Verdana" w:eastAsia="Times New Roman" w:hAnsi="Verdana" w:cs="Arial"/>
                <w:lang w:eastAsia="es-CO"/>
              </w:rPr>
            </w:pPr>
            <w:r w:rsidRPr="004A7137">
              <w:rPr>
                <w:rFonts w:ascii="Verdana" w:eastAsia="Times New Roman" w:hAnsi="Verdana" w:cs="Arial"/>
                <w:lang w:eastAsia="es-CO"/>
              </w:rPr>
              <w:t>En ese orden, se precisa que con el propósito de garantizar el cumplimiento del mencionado deber de publicidad, se le asignó a la Agencia Nacional de Contratación Pública - Colombia Compra Eficiente, la función de administrar el SECOP</w:t>
            </w:r>
            <w:r w:rsidRPr="0038037F">
              <w:rPr>
                <w:rFonts w:ascii="Verdana" w:eastAsia="Calibri" w:hAnsi="Verdana"/>
                <w:vertAlign w:val="superscript"/>
                <w14:ligatures w14:val="standardContextual"/>
              </w:rPr>
              <w:t xml:space="preserve"> </w:t>
            </w:r>
            <w:r w:rsidRPr="004A7137">
              <w:rPr>
                <w:rFonts w:ascii="Verdana" w:eastAsia="Times New Roman" w:hAnsi="Verdana" w:cs="Arial"/>
                <w:lang w:eastAsia="es-CO"/>
              </w:rPr>
              <w:t xml:space="preserve">Dicha plataforma ha tenido dos versiones, esto es, el SECOP I y el SECOP II. La primera versión de la plataforma –SECOP I–, sólo funciona como medio de publicidad, es decir, no es transaccional, lo que </w:t>
            </w:r>
            <w:r w:rsidRPr="004A7137">
              <w:rPr>
                <w:rFonts w:ascii="Verdana" w:eastAsia="Times New Roman" w:hAnsi="Verdana" w:cs="Arial"/>
                <w:lang w:eastAsia="es-CO"/>
              </w:rPr>
              <w:lastRenderedPageBreak/>
              <w:t>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0FA291D2" w14:textId="77777777" w:rsidR="00BC0180" w:rsidRPr="004A7137" w:rsidRDefault="00BC0180" w:rsidP="00CE0595">
            <w:pPr>
              <w:spacing w:before="120" w:line="276" w:lineRule="auto"/>
              <w:ind w:firstLine="703"/>
              <w:jc w:val="both"/>
              <w:textAlignment w:val="baseline"/>
              <w:rPr>
                <w:rFonts w:ascii="Verdana" w:hAnsi="Verdana" w:cs="Arial"/>
                <w:lang w:val="es-ES_tradnl"/>
                <w14:ligatures w14:val="standardContextual"/>
              </w:rPr>
            </w:pPr>
            <w:r w:rsidRPr="004A7137">
              <w:rPr>
                <w:rFonts w:ascii="Verdana" w:hAnsi="Verdana" w:cs="Arial"/>
                <w:lang w:val="es-ES_tradnl"/>
                <w14:ligatures w14:val="standardContextual"/>
              </w:rPr>
              <w:t>Por su parte, el SECOP II, es una plataforma</w:t>
            </w:r>
            <w:r w:rsidRPr="004A7137">
              <w:rPr>
                <w14:ligatures w14:val="standardContextual"/>
              </w:rPr>
              <w:t xml:space="preserve"> </w:t>
            </w:r>
            <w:r w:rsidRPr="004A7137">
              <w:rPr>
                <w:rFonts w:ascii="Verdana" w:hAnsi="Verdana" w:cs="Arial"/>
                <w:lang w:val="es-ES_tradnl"/>
                <w14:ligatures w14:val="standardContextual"/>
              </w:rPr>
              <w:t>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6AC0F084" w14:textId="77777777" w:rsidR="00BC0180" w:rsidRPr="004A7137" w:rsidRDefault="00BC0180" w:rsidP="00CE0595">
            <w:pPr>
              <w:spacing w:before="120" w:line="276" w:lineRule="auto"/>
              <w:ind w:firstLine="703"/>
              <w:jc w:val="both"/>
              <w:textAlignment w:val="baseline"/>
              <w:rPr>
                <w:rFonts w:ascii="Verdana" w:hAnsi="Verdana" w:cs="Arial"/>
                <w:shd w:val="clear" w:color="auto" w:fill="FFFFFF"/>
                <w14:ligatures w14:val="standardContextual"/>
              </w:rPr>
            </w:pPr>
            <w:r w:rsidRPr="004A7137">
              <w:rPr>
                <w:rFonts w:ascii="Verdana" w:hAnsi="Verdana" w:cs="Arial"/>
                <w:lang w:val="es-ES_tradnl"/>
                <w14:ligatures w14:val="standardContextual"/>
              </w:rPr>
              <w:t xml:space="preserve">Sin embargo, resulta a bien aclarar que, pese a que los documentos que deben publicarse en el SECOP II, corresponden a los mismos que se publican en SECOP I, esto es, todos los expedidos con ocasión al desarrollo del proceso de contratación, salvo los expresamente excluidos, la naturaleza transaccional del SECOP II implica que los procesos contractuales no sólo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general los documentos físicos y luego se publican en la plataforma dentro del plazo de tres (3) días previsto en el artículo </w:t>
            </w:r>
            <w:r w:rsidRPr="004A7137">
              <w:rPr>
                <w:rFonts w:ascii="Verdana" w:hAnsi="Verdana" w:cs="Arial"/>
                <w:shd w:val="clear" w:color="auto" w:fill="FFFFFF"/>
                <w14:ligatures w14:val="standardContextual"/>
              </w:rPr>
              <w:t>2.2.1.1.1.7.1 del Decreto 1082 de 2015.</w:t>
            </w:r>
          </w:p>
          <w:p w14:paraId="06D7DFE2" w14:textId="77777777" w:rsidR="00BC0180" w:rsidRPr="0038037F" w:rsidRDefault="00BC0180" w:rsidP="00CE0595">
            <w:pPr>
              <w:spacing w:before="120" w:line="276" w:lineRule="auto"/>
              <w:ind w:firstLine="703"/>
              <w:jc w:val="both"/>
              <w:textAlignment w:val="baseline"/>
              <w:rPr>
                <w:rFonts w:ascii="Verdana" w:hAnsi="Verdana" w:cs="Arial"/>
                <w:lang w:val="es-ES_tradnl"/>
                <w14:ligatures w14:val="standardContextual"/>
              </w:rPr>
            </w:pPr>
            <w:r w:rsidRPr="0038037F">
              <w:rPr>
                <w:rFonts w:ascii="Verdana" w:hAnsi="Verdana" w:cs="Arial"/>
                <w:lang w:val="es-ES_tradnl"/>
                <w14:ligatures w14:val="standardContextual"/>
              </w:rPr>
              <w:t>Significando lo anterior, que el término de tres (3) días para publicar no opera en las actuaciones contractuales generadas y gestionadas de manera electrónica en el SECOP II, como quiera que tales documentos son creados o expedidos mediante la propia plataforma, razón por la que una vez estos se aprueban quedan inmediatamente publicados, sin que transcurra el referido término.</w:t>
            </w:r>
          </w:p>
          <w:p w14:paraId="22B4921B" w14:textId="77777777" w:rsidR="00BC0180" w:rsidRPr="0038037F" w:rsidRDefault="00BC0180" w:rsidP="00CE0595">
            <w:pPr>
              <w:spacing w:before="120" w:line="276" w:lineRule="auto"/>
              <w:ind w:firstLine="703"/>
              <w:jc w:val="both"/>
              <w:textAlignment w:val="baseline"/>
              <w:rPr>
                <w:rFonts w:ascii="Verdana" w:hAnsi="Verdana" w:cs="Arial"/>
                <w:lang w:val="es-ES_tradnl"/>
                <w14:ligatures w14:val="standardContextual"/>
              </w:rPr>
            </w:pPr>
            <w:r w:rsidRPr="0038037F">
              <w:rPr>
                <w:rFonts w:ascii="Verdana" w:hAnsi="Verdana" w:cs="Arial"/>
                <w:lang w:val="es-ES_tradnl"/>
                <w14:ligatures w14:val="standardContextual"/>
              </w:rPr>
              <w:t xml:space="preserve">La Circular Externa Única, recordó a todas las entidades del Estado el deber de publicar oportunamente su actividad contractual en el SECOP, sin </w:t>
            </w:r>
            <w:r w:rsidRPr="0038037F">
              <w:rPr>
                <w:rFonts w:ascii="Verdana" w:hAnsi="Verdana" w:cs="Arial"/>
                <w:lang w:val="es-ES_tradnl"/>
                <w14:ligatures w14:val="standardContextual"/>
              </w:rPr>
              <w:lastRenderedPageBreak/>
              <w:t>distinción de su régimen jurídico, naturaleza jurídica o la pertenencia a una u otra rama del poder público. Además, la Circular Externa Única, señaló que las Entidades que aún utilizan el SECOP I están obligadas a publicar en este sistema los Documentos del Proceso dentro de los tres (3) días siguientes a su expedición, por disposición del artículo 2.2.1.1.1.7.1 del decreto 1082 de 2015. La información registrada por las Entidades en el SECOP II y en la Tienda Virtual del Estado Colombiano está disponible en tiempo real, debido a que las actuaciones del Proceso de Contratación tienen lugar electrónicamente, a través de dichas plataformas transaccionales. Sin embargo, a pesar del carácter transaccional, que permite que el trámite de gran parte de las actuaciones de la gestión contractual se realice en línea y de forma concomitante a su publicidad, las Entidades pueden crear documentos en medio físico o electrónico por fuera de la plataforma para, posteriormente, ser incorporados en el módulo dispuesto para el efecto.</w:t>
            </w:r>
          </w:p>
          <w:p w14:paraId="0455E7B6" w14:textId="77777777" w:rsidR="00BC0180" w:rsidRDefault="00BC0180" w:rsidP="00CE0595">
            <w:pPr>
              <w:widowControl w:val="0"/>
              <w:autoSpaceDE w:val="0"/>
              <w:autoSpaceDN w:val="0"/>
              <w:spacing w:before="120" w:line="276" w:lineRule="auto"/>
              <w:jc w:val="both"/>
              <w:rPr>
                <w:rFonts w:ascii="Verdana" w:eastAsia="Arial MT" w:hAnsi="Verdana" w:cs="Arial"/>
                <w:lang w:eastAsia="es-ES" w:bidi="es-ES"/>
              </w:rPr>
            </w:pPr>
            <w:r w:rsidRPr="19B6A718">
              <w:rPr>
                <w:rFonts w:ascii="Verdana" w:hAnsi="Verdana"/>
              </w:rPr>
              <w:t xml:space="preserve">    </w:t>
            </w:r>
          </w:p>
          <w:p w14:paraId="6EA6D2AF" w14:textId="77777777" w:rsidR="00BC0180" w:rsidRPr="00BD33D7" w:rsidRDefault="00BC0180" w:rsidP="00CE0595">
            <w:pPr>
              <w:widowControl w:val="0"/>
              <w:autoSpaceDE w:val="0"/>
              <w:autoSpaceDN w:val="0"/>
              <w:spacing w:before="120" w:line="276" w:lineRule="auto"/>
              <w:jc w:val="both"/>
              <w:rPr>
                <w:rFonts w:ascii="Verdana" w:eastAsia="Arial" w:hAnsi="Verdana" w:cs="Arial"/>
                <w:lang w:val="es-ES"/>
              </w:rPr>
            </w:pPr>
          </w:p>
        </w:tc>
      </w:tr>
    </w:tbl>
    <w:p w14:paraId="7F4D646C" w14:textId="77777777" w:rsidR="00BC0180" w:rsidRDefault="00BC0180" w:rsidP="00BC0180">
      <w:pPr>
        <w:tabs>
          <w:tab w:val="left" w:pos="142"/>
          <w:tab w:val="left" w:pos="284"/>
        </w:tabs>
        <w:spacing w:after="0" w:line="276" w:lineRule="auto"/>
        <w:jc w:val="both"/>
        <w:rPr>
          <w:rFonts w:ascii="Verdana" w:eastAsia="Century Gothic" w:hAnsi="Verdana" w:cs="Century Gothic"/>
          <w:b/>
          <w:bCs/>
        </w:rPr>
      </w:pPr>
    </w:p>
    <w:p w14:paraId="571271FA" w14:textId="77777777" w:rsidR="00BC0180" w:rsidRPr="00416686" w:rsidRDefault="00BC0180" w:rsidP="00BC0180">
      <w:pPr>
        <w:tabs>
          <w:tab w:val="left" w:pos="142"/>
          <w:tab w:val="left" w:pos="284"/>
        </w:tabs>
        <w:spacing w:after="0" w:line="276" w:lineRule="auto"/>
        <w:jc w:val="both"/>
        <w:rPr>
          <w:rFonts w:ascii="Verdana" w:eastAsia="Century Gothic" w:hAnsi="Verdana" w:cs="Century Gothic"/>
          <w:b/>
          <w:bCs/>
        </w:rPr>
      </w:pPr>
    </w:p>
    <w:p w14:paraId="79AB6FA4" w14:textId="77777777" w:rsidR="00BC0180" w:rsidRPr="00B41D66" w:rsidRDefault="00BC0180" w:rsidP="00BC0180">
      <w:pPr>
        <w:tabs>
          <w:tab w:val="left" w:pos="142"/>
          <w:tab w:val="left" w:pos="284"/>
        </w:tabs>
        <w:spacing w:after="0" w:line="276" w:lineRule="auto"/>
        <w:jc w:val="both"/>
        <w:rPr>
          <w:rFonts w:ascii="Verdana" w:eastAsia="Century Gothic" w:hAnsi="Verdana" w:cs="Century Gothic"/>
          <w:b/>
          <w:lang w:val="es-ES"/>
        </w:rPr>
      </w:pPr>
      <w:r w:rsidRPr="00CD496A">
        <w:rPr>
          <w:rFonts w:ascii="Verdana" w:eastAsia="Century Gothic" w:hAnsi="Verdana" w:cs="Century Gothic"/>
          <w:b/>
          <w:lang w:val="es-ES"/>
        </w:rPr>
        <w:t>3. Razones de la respuesta:</w:t>
      </w:r>
    </w:p>
    <w:p w14:paraId="40E6CF07" w14:textId="77777777" w:rsidR="00BC0180" w:rsidRDefault="00BC0180" w:rsidP="00BC0180">
      <w:pPr>
        <w:tabs>
          <w:tab w:val="left" w:pos="142"/>
          <w:tab w:val="left" w:pos="284"/>
        </w:tabs>
        <w:spacing w:after="0" w:line="276" w:lineRule="auto"/>
        <w:jc w:val="both"/>
        <w:rPr>
          <w:rFonts w:ascii="Verdana" w:hAnsi="Verdana" w:cs="Arial"/>
          <w:color w:val="000000" w:themeColor="text1"/>
          <w:lang w:val="es-ES_tradnl"/>
        </w:rPr>
      </w:pPr>
    </w:p>
    <w:p w14:paraId="71A12179" w14:textId="77777777" w:rsidR="00BC0180" w:rsidRPr="00252171" w:rsidRDefault="00BC0180" w:rsidP="00BC0180">
      <w:pPr>
        <w:spacing w:after="0" w:line="276" w:lineRule="auto"/>
        <w:jc w:val="both"/>
        <w:rPr>
          <w:rFonts w:ascii="Verdana" w:eastAsia="Calibri" w:hAnsi="Verdana" w:cs="Arial"/>
          <w:lang w:val="es-ES"/>
        </w:rPr>
      </w:pPr>
      <w:r>
        <w:rPr>
          <w:rFonts w:ascii="Verdana" w:eastAsia="Calibri" w:hAnsi="Verdana" w:cs="Arial"/>
          <w:lang w:val="es-ES"/>
        </w:rPr>
        <w:t>Lo anterior se sustenta en las siguientes consideraciones:</w:t>
      </w:r>
      <w:r w:rsidRPr="005B7C42">
        <w:rPr>
          <w:rFonts w:ascii="Verdana" w:eastAsia="Calibri" w:hAnsi="Verdana" w:cs="Arial"/>
        </w:rPr>
        <w:t xml:space="preserve"> </w:t>
      </w:r>
    </w:p>
    <w:p w14:paraId="4D8E084E" w14:textId="77777777" w:rsidR="00BC0180" w:rsidRPr="00A72EEA" w:rsidRDefault="00BC0180" w:rsidP="00BC0180">
      <w:pPr>
        <w:spacing w:before="120" w:after="120" w:line="276" w:lineRule="auto"/>
        <w:jc w:val="both"/>
        <w:rPr>
          <w:rFonts w:ascii="Verdana" w:eastAsia="Times New Roman" w:hAnsi="Verdana" w:cs="Arial"/>
          <w:lang w:val="es-ES" w:eastAsia="es-ES"/>
          <w14:ligatures w14:val="standardContextual"/>
        </w:rPr>
      </w:pPr>
      <w:r w:rsidRPr="00A72EEA">
        <w:rPr>
          <w:rFonts w:ascii="Verdana" w:eastAsia="Times New Roman" w:hAnsi="Verdana" w:cs="Arial"/>
          <w:lang w:val="es-ES" w:eastAsia="es-ES"/>
          <w14:ligatures w14:val="standardContextual"/>
        </w:rPr>
        <w:t xml:space="preserve">i. Uno de los postulados más importantes de un Estado social y democrático de derecho es el principio de </w:t>
      </w:r>
      <w:r w:rsidRPr="00A72EEA">
        <w:rPr>
          <w:rFonts w:ascii="Verdana" w:eastAsia="Times New Roman" w:hAnsi="Verdana" w:cs="Arial"/>
          <w:i/>
          <w:iCs/>
          <w:lang w:val="es-ES" w:eastAsia="es-ES"/>
          <w14:ligatures w14:val="standardContextual"/>
        </w:rPr>
        <w:t>publicidad</w:t>
      </w:r>
      <w:r w:rsidRPr="00A72EEA">
        <w:rPr>
          <w:rFonts w:ascii="Verdana" w:eastAsia="Times New Roman" w:hAnsi="Verdana" w:cs="Arial"/>
          <w:lang w:val="es-ES" w:eastAsia="es-ES"/>
          <w14:ligatures w14:val="standardContextual"/>
        </w:rPr>
        <w:t>,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w:t>
      </w:r>
      <w:r w:rsidRPr="00A72EEA">
        <w:rPr>
          <w:rFonts w:ascii="Verdana" w:eastAsia="Times New Roman" w:hAnsi="Verdana" w:cs="Arial"/>
          <w:vertAlign w:val="superscript"/>
          <w:lang w:val="es-ES" w:eastAsia="es-ES"/>
          <w14:ligatures w14:val="standardContextual"/>
        </w:rPr>
        <w:footnoteReference w:id="1"/>
      </w:r>
      <w:r w:rsidRPr="00A72EEA">
        <w:rPr>
          <w:rFonts w:ascii="Verdana" w:eastAsia="Times New Roman" w:hAnsi="Verdana" w:cs="Arial"/>
          <w:lang w:val="es-ES" w:eastAsia="es-ES"/>
          <w14:ligatures w14:val="standardContextual"/>
        </w:rPr>
        <w:t xml:space="preserve">.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pregonan la publicidad de las actuaciones de los poderes públicos. </w:t>
      </w:r>
    </w:p>
    <w:p w14:paraId="5CE18129" w14:textId="77777777" w:rsidR="00BC0180" w:rsidRPr="00A72EEA" w:rsidRDefault="00BC0180" w:rsidP="00BC0180">
      <w:pPr>
        <w:spacing w:before="120" w:after="120" w:line="276" w:lineRule="auto"/>
        <w:ind w:firstLine="708"/>
        <w:jc w:val="both"/>
        <w:rPr>
          <w:rFonts w:ascii="Verdana" w:eastAsia="Times New Roman" w:hAnsi="Verdana" w:cs="Arial"/>
          <w:lang w:val="es-ES" w:eastAsia="es-ES"/>
          <w14:ligatures w14:val="standardContextual"/>
        </w:rPr>
      </w:pPr>
      <w:r w:rsidRPr="00A72EEA">
        <w:rPr>
          <w:rFonts w:ascii="Verdana" w:eastAsia="Times New Roman" w:hAnsi="Verdana" w:cs="Arial"/>
          <w:lang w:val="es-ES" w:eastAsia="es-ES"/>
          <w14:ligatures w14:val="standardContextual"/>
        </w:rPr>
        <w:lastRenderedPageBreak/>
        <w:t xml:space="preserve">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74, que consagra la garantía de acceso a los documentos públicos que no gocen de reserva –y esta, además, es excepcional, pues solo procede si existe causal constitucional o legal expresa–. </w:t>
      </w:r>
    </w:p>
    <w:p w14:paraId="5224E027" w14:textId="77777777" w:rsidR="00BC0180" w:rsidRPr="00A72EEA" w:rsidRDefault="00BC0180" w:rsidP="00BC0180">
      <w:pPr>
        <w:spacing w:before="120" w:after="120" w:line="276" w:lineRule="auto"/>
        <w:ind w:firstLine="709"/>
        <w:jc w:val="both"/>
        <w:rPr>
          <w:rFonts w:ascii="Verdana" w:eastAsia="Times New Roman" w:hAnsi="Verdana" w:cs="Arial"/>
          <w:lang w:val="es-ES_tradnl" w:eastAsia="es-ES_tradnl"/>
          <w14:ligatures w14:val="standardContextual"/>
        </w:rPr>
      </w:pPr>
      <w:r w:rsidRPr="00A72EEA">
        <w:rPr>
          <w:rFonts w:ascii="Verdana" w:eastAsia="Times New Roman" w:hAnsi="Verdana" w:cs="Arial"/>
          <w:lang w:val="es-ES_tradnl" w:eastAsia="es-ES_tradnl"/>
          <w14:ligatures w14:val="standardContextual"/>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r w:rsidRPr="00A72EEA">
        <w:rPr>
          <w:rFonts w:ascii="Verdana" w:eastAsia="Times New Roman" w:hAnsi="Verdana" w:cs="Arial"/>
          <w:vertAlign w:val="superscript"/>
          <w:lang w:val="es-ES_tradnl" w:eastAsia="es-ES_tradnl"/>
          <w14:ligatures w14:val="standardContextual"/>
        </w:rPr>
        <w:footnoteReference w:id="2"/>
      </w:r>
      <w:r w:rsidRPr="00A72EEA">
        <w:rPr>
          <w:rFonts w:ascii="Verdana" w:eastAsia="Times New Roman" w:hAnsi="Verdana" w:cs="Arial"/>
          <w:lang w:val="es-ES_tradnl" w:eastAsia="es-ES_tradnl"/>
          <w14:ligatures w14:val="standardContextual"/>
        </w:rPr>
        <w:t>.</w:t>
      </w:r>
    </w:p>
    <w:p w14:paraId="6BB82556" w14:textId="77777777" w:rsidR="00BC0180" w:rsidRPr="00A31873" w:rsidRDefault="00BC0180" w:rsidP="00BC0180">
      <w:pPr>
        <w:spacing w:before="120" w:after="120" w:line="276" w:lineRule="auto"/>
        <w:ind w:firstLine="709"/>
        <w:jc w:val="both"/>
        <w:rPr>
          <w:rFonts w:ascii="Verdana" w:eastAsia="Times New Roman" w:hAnsi="Verdana" w:cs="Arial"/>
          <w:lang w:val="es-ES" w:eastAsia="es-ES"/>
          <w14:ligatures w14:val="standardContextual"/>
        </w:rPr>
      </w:pPr>
      <w:r w:rsidRPr="3F033097">
        <w:rPr>
          <w:rFonts w:ascii="Verdana" w:eastAsia="Times New Roman" w:hAnsi="Verdana" w:cs="Arial"/>
          <w:lang w:val="es-ES" w:eastAsia="es-ES"/>
          <w14:ligatures w14:val="standardContextual"/>
        </w:rPr>
        <w:t>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3F033097">
        <w:rPr>
          <w:rFonts w:ascii="Verdana" w:eastAsia="Times New Roman" w:hAnsi="Verdana" w:cs="Arial"/>
          <w:vertAlign w:val="superscript"/>
          <w:lang w:val="es-ES" w:eastAsia="es-ES"/>
          <w14:ligatures w14:val="standardContextual"/>
        </w:rPr>
        <w:footnoteReference w:id="3"/>
      </w:r>
      <w:r w:rsidRPr="3F033097">
        <w:rPr>
          <w:rFonts w:ascii="Verdana" w:eastAsia="Times New Roman" w:hAnsi="Verdana" w:cs="Arial"/>
          <w:lang w:val="es-ES" w:eastAsia="es-ES"/>
          <w14:ligatures w14:val="standardContextual"/>
        </w:rPr>
        <w:t xml:space="preserve">. El principio de transparencia en la información alude al deber de los sujetos de proporcionar y </w:t>
      </w:r>
      <w:r w:rsidRPr="3F033097">
        <w:rPr>
          <w:rFonts w:ascii="Verdana" w:eastAsia="Times New Roman" w:hAnsi="Verdana" w:cs="Arial"/>
          <w:lang w:val="es-ES" w:eastAsia="es-ES"/>
          <w14:ligatures w14:val="standardContextual"/>
        </w:rPr>
        <w:lastRenderedPageBreak/>
        <w:t>facilitar el acceso a la misma en los términos más amplios posibles, y a través de los medios y procedimientos legales.</w:t>
      </w:r>
    </w:p>
    <w:p w14:paraId="127D4709" w14:textId="77777777" w:rsidR="00BC0180" w:rsidRPr="00A31873" w:rsidRDefault="00BC0180" w:rsidP="00BC0180">
      <w:pPr>
        <w:spacing w:before="120" w:after="120" w:line="276" w:lineRule="auto"/>
        <w:ind w:firstLine="709"/>
        <w:jc w:val="both"/>
        <w:rPr>
          <w:rFonts w:ascii="Verdana" w:eastAsia="Times New Roman" w:hAnsi="Verdana" w:cs="Arial"/>
          <w:lang w:val="es-ES_tradnl" w:eastAsia="es-ES_tradnl"/>
          <w14:ligatures w14:val="standardContextual"/>
        </w:rPr>
      </w:pPr>
      <w:r w:rsidRPr="00A31873">
        <w:rPr>
          <w:rFonts w:ascii="Verdana" w:eastAsia="Times New Roman" w:hAnsi="Verdana" w:cs="Arial"/>
          <w:lang w:val="es-ES_tradnl" w:eastAsia="es-ES_tradnl"/>
          <w14:ligatures w14:val="standardContextual"/>
        </w:rPr>
        <w:t xml:space="preserve"> La Ley Estatutaria citada establece, en el literal e) del artículo 9, que los sujetos obligados, que son todas las entidades públicas</w:t>
      </w:r>
      <w:r w:rsidRPr="00A31873">
        <w:rPr>
          <w:rFonts w:ascii="Verdana" w:eastAsia="Times New Roman" w:hAnsi="Verdana" w:cs="Arial"/>
          <w:vertAlign w:val="superscript"/>
          <w:lang w:val="es-ES_tradnl" w:eastAsia="es-ES_tradnl"/>
          <w14:ligatures w14:val="standardContextual"/>
        </w:rPr>
        <w:footnoteReference w:id="4"/>
      </w:r>
      <w:r w:rsidRPr="00A31873">
        <w:rPr>
          <w:rFonts w:ascii="Verdana" w:eastAsia="Times New Roman" w:hAnsi="Verdana" w:cs="Arial"/>
          <w:lang w:val="es-ES_tradnl" w:eastAsia="es-ES_tradnl"/>
          <w14:ligatures w14:val="standardContextual"/>
        </w:rPr>
        <w:t>, deben publicar la información relativa a su contratación. Esta obligación fue desarrollada por el Decreto Único Reglamentario 1081 de 2015</w:t>
      </w:r>
      <w:r w:rsidRPr="00A31873">
        <w:rPr>
          <w:rFonts w:ascii="Verdana" w:eastAsia="Times New Roman" w:hAnsi="Verdana" w:cs="Arial"/>
          <w:vertAlign w:val="superscript"/>
          <w:lang w:val="es-ES_tradnl" w:eastAsia="es-ES_tradnl"/>
          <w14:ligatures w14:val="standardContextual"/>
        </w:rPr>
        <w:footnoteReference w:id="5"/>
      </w:r>
      <w:r w:rsidRPr="00A31873">
        <w:rPr>
          <w:rFonts w:ascii="Verdana" w:eastAsia="Times New Roman" w:hAnsi="Verdana" w:cs="Arial"/>
          <w:lang w:val="es-ES_tradnl" w:eastAsia="es-ES_tradnl"/>
          <w14:ligatures w14:val="standardContextual"/>
        </w:rPr>
        <w:t>, el cual dispuso que la publicación de la información contractual de los sujetos obligados, que contratan con cargo a recursos públicos, debe hacerse en el SECOP.</w:t>
      </w:r>
    </w:p>
    <w:p w14:paraId="6B1AE23C" w14:textId="77777777" w:rsidR="00BC0180" w:rsidRPr="00A31873" w:rsidRDefault="00BC0180" w:rsidP="00BC0180">
      <w:pPr>
        <w:spacing w:before="120" w:after="120" w:line="276" w:lineRule="auto"/>
        <w:ind w:firstLine="709"/>
        <w:jc w:val="both"/>
        <w:rPr>
          <w:rFonts w:ascii="Verdana" w:eastAsia="Times New Roman" w:hAnsi="Verdana" w:cs="Arial"/>
          <w:lang w:val="es-ES_tradnl" w:eastAsia="es-ES_tradnl"/>
          <w14:ligatures w14:val="standardContextual"/>
        </w:rPr>
      </w:pPr>
      <w:r w:rsidRPr="00A31873">
        <w:rPr>
          <w:rFonts w:ascii="Verdana" w:eastAsia="Times New Roman" w:hAnsi="Verdana" w:cs="Arial"/>
          <w:lang w:val="es-ES_tradnl" w:eastAsia="es-ES_tradnl"/>
          <w14:ligatures w14:val="standardContextual"/>
        </w:rPr>
        <w:t xml:space="preserve">Asimismo, de acuerdo con el literal g) del artículo 11 de la Ley 1712 de 2014, todos los destinatarios de la Ley Estatutaria de Transparencia y Acceso a la Información Pública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0165F9F5" w14:textId="77777777" w:rsidR="00BC0180" w:rsidRDefault="00BC0180" w:rsidP="00BC0180">
      <w:pPr>
        <w:tabs>
          <w:tab w:val="left" w:pos="709"/>
        </w:tabs>
        <w:spacing w:before="120" w:after="120" w:line="276" w:lineRule="auto"/>
        <w:ind w:firstLine="709"/>
        <w:jc w:val="both"/>
        <w:rPr>
          <w:rFonts w:ascii="Verdana" w:hAnsi="Verdana" w:cs="Arial"/>
          <w:shd w:val="clear" w:color="auto" w:fill="FFFFFF"/>
        </w:rPr>
      </w:pPr>
      <w:r w:rsidRPr="00A31873">
        <w:rPr>
          <w:rFonts w:ascii="Verdana" w:hAnsi="Verdana" w:cs="Arial"/>
          <w:shd w:val="clear" w:color="auto" w:fill="FFFFFF"/>
        </w:rPr>
        <w:t>Con el propósito de garantizar el cumplimiento del mencionado deber de publicidad, se le asignó a la Agencia Nacional de Contratación Pública - Colombia Compra Eficiente, la función de administrar el SECOP</w:t>
      </w:r>
      <w:r w:rsidRPr="00A31873">
        <w:rPr>
          <w:rFonts w:ascii="Verdana" w:hAnsi="Verdana" w:cs="Arial"/>
          <w:shd w:val="clear" w:color="auto" w:fill="FFFFFF"/>
          <w:vertAlign w:val="superscript"/>
        </w:rPr>
        <w:footnoteReference w:id="6"/>
      </w:r>
      <w:r w:rsidRPr="00A31873">
        <w:rPr>
          <w:rFonts w:ascii="Verdana" w:hAnsi="Verdana" w:cs="Arial"/>
          <w:shd w:val="clear" w:color="auto" w:fill="FFFFFF"/>
        </w:rPr>
        <w:t xml:space="preserve">.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w:t>
      </w:r>
      <w:r w:rsidRPr="00A31873">
        <w:rPr>
          <w:rFonts w:ascii="Verdana" w:hAnsi="Verdana" w:cs="Arial"/>
          <w:shd w:val="clear" w:color="auto" w:fill="FFFFFF"/>
        </w:rPr>
        <w:lastRenderedPageBreak/>
        <w:t>actuaciones y los documentos se convierten en electrónicos para ser cargados a la plataforma, por quien tenga la función dentro de la entidad, de acuerdo con su organización interna.</w:t>
      </w:r>
    </w:p>
    <w:p w14:paraId="7A6F4675" w14:textId="08F0299B" w:rsidR="00BC0180" w:rsidRPr="00C56605" w:rsidRDefault="00BC0180" w:rsidP="00E91592">
      <w:pPr>
        <w:tabs>
          <w:tab w:val="left" w:pos="709"/>
        </w:tabs>
        <w:spacing w:before="120" w:after="120" w:line="276" w:lineRule="auto"/>
        <w:ind w:firstLine="709"/>
        <w:jc w:val="both"/>
        <w:rPr>
          <w:rFonts w:ascii="Verdana" w:hAnsi="Verdana" w:cs="Arial"/>
          <w:shd w:val="clear" w:color="auto" w:fill="FFFFFF"/>
        </w:rPr>
      </w:pPr>
      <w:r w:rsidRPr="00BF6A17">
        <w:rPr>
          <w:rFonts w:ascii="Verdana" w:hAnsi="Verdana" w:cs="Arial"/>
          <w:shd w:val="clear" w:color="auto" w:fill="FFFFFF"/>
        </w:rPr>
        <w:t>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19EEF18A" w14:textId="77777777" w:rsidR="00BC0180" w:rsidRDefault="00BC0180" w:rsidP="00BC0180">
      <w:pPr>
        <w:tabs>
          <w:tab w:val="left" w:pos="709"/>
        </w:tabs>
        <w:spacing w:before="120" w:after="120" w:line="276" w:lineRule="auto"/>
        <w:ind w:firstLine="709"/>
        <w:jc w:val="both"/>
        <w:rPr>
          <w:rFonts w:ascii="Verdana" w:hAnsi="Verdana" w:cs="Arial"/>
          <w:shd w:val="clear" w:color="auto" w:fill="FFFFFF"/>
        </w:rPr>
      </w:pPr>
      <w:r w:rsidRPr="00C56605">
        <w:rPr>
          <w:rFonts w:ascii="Verdana" w:hAnsi="Verdana" w:cs="Arial"/>
          <w:shd w:val="clear" w:color="auto" w:fill="FFFFFF"/>
        </w:rPr>
        <w:t xml:space="preserve">Sin embargo, pese a que los documentos que deben publicarse en el SECOP II corresponden a los mismos que deben publicarse en el SECOP I, esto es, todos los expedidos con ocasión el proceso de contratación con excepción de los expresamente excluidos, la naturaleza transaccional del SECOP II implica que los procesos contractuales no sólo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w:t>
      </w:r>
    </w:p>
    <w:p w14:paraId="7EB4F87F" w14:textId="77777777" w:rsidR="00BC0180" w:rsidRPr="00877AE3" w:rsidRDefault="00BC0180" w:rsidP="00BC0180">
      <w:pPr>
        <w:tabs>
          <w:tab w:val="left" w:pos="709"/>
        </w:tabs>
        <w:spacing w:before="120" w:after="120" w:line="276" w:lineRule="auto"/>
        <w:ind w:firstLine="709"/>
        <w:jc w:val="both"/>
        <w:rPr>
          <w:rFonts w:ascii="Verdana" w:hAnsi="Verdana" w:cs="Arial"/>
          <w:shd w:val="clear" w:color="auto" w:fill="FFFFFF"/>
        </w:rPr>
      </w:pPr>
      <w:r w:rsidRPr="00877AE3">
        <w:rPr>
          <w:rFonts w:ascii="Verdana" w:hAnsi="Verdana" w:cs="Arial"/>
          <w:shd w:val="clear" w:color="auto" w:fill="FFFFFF"/>
        </w:rPr>
        <w:t>Significando lo anterior, que el término de tres (3) días para publicar no opera en las actuaciones contractuales generadas y gestionadas de manera electrónica en el SECOP II, como quiera que tales documentos son creados o expedidos mediante la propia plataforma, razón por la que una vez estos se aprueban quedan inmediatamente publicados, sin que transcurra el referido término.</w:t>
      </w:r>
    </w:p>
    <w:p w14:paraId="7FAE1745" w14:textId="77777777" w:rsidR="00BC0180" w:rsidRPr="00BA4104" w:rsidRDefault="00BC0180" w:rsidP="00BC0180">
      <w:pPr>
        <w:spacing w:before="120" w:line="276" w:lineRule="auto"/>
        <w:ind w:firstLine="737"/>
        <w:jc w:val="both"/>
        <w:textAlignment w:val="baseline"/>
        <w:rPr>
          <w:rFonts w:ascii="Verdana" w:hAnsi="Verdana" w:cs="Arial"/>
          <w:lang w:val="es-ES_tradnl"/>
          <w14:ligatures w14:val="standardContextual"/>
        </w:rPr>
      </w:pPr>
      <w:r w:rsidRPr="0048265D">
        <w:rPr>
          <w:rFonts w:ascii="Verdana" w:eastAsia="Calibri" w:hAnsi="Verdana" w:cs="Arial"/>
          <w:lang w:val="es-ES"/>
        </w:rPr>
        <w:t xml:space="preserve">Por último, La Circular Externa Única, recordó a todas las entidades del Estado el deber de publicar oportunamente su actividad contractual en el SECOP, sin distinción de su régimen jurídico, naturaleza jurídica o la pertenencia a una u otra rama del poder público. Además, la Circular Externa Única, señaló que las Entidades que aún utilizan el SECOP I están obligadas a publicar en este sistema </w:t>
      </w:r>
      <w:r w:rsidRPr="0048265D">
        <w:rPr>
          <w:rFonts w:ascii="Verdana" w:eastAsia="Calibri" w:hAnsi="Verdana" w:cs="Arial"/>
          <w:lang w:val="es-ES"/>
        </w:rPr>
        <w:lastRenderedPageBreak/>
        <w:t>los Documentos del Proceso dentro de los tres (3) días siguientes a su expedición, por disposición del artículo 2.2.1.1.1.7.1 del decreto 1082 de 2015. La información registrada por las Entidades en el SECOP II y en la Tienda Virtual del Estado Colombiano está disponible en tiempo real, debido a que las actuaciones del Proceso de Contratación tienen lugar electrónicamente, a través de dichas plataformas transaccionales. Sin embargo, a pesar del carácter transaccional, que permite que el trámite de gran parte de las actuaciones de la gestión contractual se realice en línea y de forma concomitante a su publicidad, las Entidades pueden crear documentos en medio físico o electrónico por fuera</w:t>
      </w:r>
      <w:r w:rsidRPr="003D491E">
        <w:rPr>
          <w:rFonts w:ascii="Verdana" w:hAnsi="Verdana"/>
        </w:rPr>
        <w:t xml:space="preserve"> de la plataforma para, posteriormente, ser incorporados en el módulo dispuesto para el efecto.</w:t>
      </w:r>
    </w:p>
    <w:p w14:paraId="54BFAB13" w14:textId="77777777" w:rsidR="00BC0180" w:rsidRDefault="00BC0180" w:rsidP="00BC0180">
      <w:pPr>
        <w:spacing w:after="0" w:line="276" w:lineRule="auto"/>
        <w:jc w:val="both"/>
        <w:rPr>
          <w:rFonts w:ascii="Verdana" w:eastAsia="Calibri" w:hAnsi="Verdana" w:cs="Arial"/>
          <w:bCs/>
          <w:color w:val="000000" w:themeColor="text1"/>
          <w:lang w:val="es-ES"/>
        </w:rPr>
      </w:pPr>
    </w:p>
    <w:p w14:paraId="5812DF3A" w14:textId="77777777" w:rsidR="00BC0180" w:rsidRPr="009B2680" w:rsidRDefault="00BC0180" w:rsidP="00BC0180">
      <w:pPr>
        <w:spacing w:after="0" w:line="276" w:lineRule="auto"/>
        <w:jc w:val="both"/>
        <w:rPr>
          <w:rFonts w:ascii="Verdana" w:hAnsi="Verdana" w:cs="Arial"/>
          <w:color w:val="000000" w:themeColor="text1"/>
          <w:lang w:val="es-ES"/>
        </w:rPr>
      </w:pPr>
      <w:r w:rsidRPr="009B2680">
        <w:rPr>
          <w:rFonts w:ascii="Verdana" w:eastAsia="Calibri" w:hAnsi="Verdana" w:cs="Arial"/>
          <w:bCs/>
          <w:color w:val="000000" w:themeColor="text1"/>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70AA06A" w14:textId="77777777" w:rsidR="00BC0180" w:rsidRDefault="00BC0180" w:rsidP="00BC0180">
      <w:pPr>
        <w:widowControl w:val="0"/>
        <w:autoSpaceDE w:val="0"/>
        <w:autoSpaceDN w:val="0"/>
        <w:spacing w:after="0" w:line="276" w:lineRule="auto"/>
        <w:jc w:val="both"/>
        <w:rPr>
          <w:rFonts w:ascii="Verdana" w:eastAsia="Calibri" w:hAnsi="Verdana" w:cs="Arial"/>
          <w:lang w:val="es-ES_tradnl"/>
        </w:rPr>
      </w:pPr>
    </w:p>
    <w:p w14:paraId="1DB8F560" w14:textId="77777777" w:rsidR="00BC0180" w:rsidRPr="000C36EF" w:rsidRDefault="00BC0180" w:rsidP="00BC0180">
      <w:pPr>
        <w:widowControl w:val="0"/>
        <w:autoSpaceDE w:val="0"/>
        <w:autoSpaceDN w:val="0"/>
        <w:spacing w:after="0" w:line="276" w:lineRule="auto"/>
        <w:ind w:firstLine="709"/>
        <w:jc w:val="both"/>
        <w:rPr>
          <w:rFonts w:ascii="Verdana" w:eastAsia="Calibri" w:hAnsi="Verdana" w:cs="Arial"/>
          <w:sz w:val="21"/>
          <w:szCs w:val="21"/>
        </w:rPr>
      </w:pPr>
    </w:p>
    <w:p w14:paraId="5BAA28CF" w14:textId="77777777" w:rsidR="00BC0180" w:rsidRPr="000C36EF" w:rsidRDefault="00BC0180" w:rsidP="00BC0180">
      <w:pPr>
        <w:tabs>
          <w:tab w:val="left" w:pos="142"/>
          <w:tab w:val="left" w:pos="284"/>
        </w:tabs>
        <w:spacing w:after="0" w:line="276" w:lineRule="auto"/>
        <w:jc w:val="both"/>
        <w:rPr>
          <w:rFonts w:ascii="Verdana" w:eastAsia="Century Gothic" w:hAnsi="Verdana" w:cs="Century Gothic"/>
          <w:b/>
          <w:bCs/>
        </w:rPr>
      </w:pPr>
      <w:r w:rsidRPr="000C36EF">
        <w:rPr>
          <w:rFonts w:ascii="Verdana" w:eastAsia="Century Gothic" w:hAnsi="Verdana" w:cs="Century Gothic"/>
          <w:b/>
          <w:bCs/>
        </w:rPr>
        <w:t>4. Referencias normativas, jurisprudenciales y otras fuentes:</w:t>
      </w:r>
    </w:p>
    <w:p w14:paraId="29EC6B3C" w14:textId="77777777" w:rsidR="00BC0180" w:rsidRPr="000C36EF" w:rsidRDefault="00BC0180" w:rsidP="00BC0180">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C0180" w:rsidRPr="000C36EF" w14:paraId="71C7B0DE" w14:textId="77777777" w:rsidTr="00CE0595">
        <w:trPr>
          <w:trHeight w:val="870"/>
        </w:trPr>
        <w:tc>
          <w:tcPr>
            <w:tcW w:w="8647" w:type="dxa"/>
          </w:tcPr>
          <w:p w14:paraId="6DDAB50F" w14:textId="77777777" w:rsidR="00BC0180" w:rsidRPr="00A72EEA" w:rsidRDefault="00BC0180" w:rsidP="00BC0180">
            <w:pPr>
              <w:pStyle w:val="Prrafodelista"/>
              <w:widowControl w:val="0"/>
              <w:numPr>
                <w:ilvl w:val="0"/>
                <w:numId w:val="17"/>
              </w:numPr>
              <w:autoSpaceDE w:val="0"/>
              <w:autoSpaceDN w:val="0"/>
              <w:spacing w:after="160" w:line="276" w:lineRule="auto"/>
              <w:jc w:val="both"/>
              <w:rPr>
                <w:rFonts w:ascii="Verdana" w:hAnsi="Verdana" w:cs="Arial"/>
                <w:lang w:val="es-ES_tradnl"/>
              </w:rPr>
            </w:pPr>
            <w:r w:rsidRPr="002441FE">
              <w:rPr>
                <w:rFonts w:ascii="Verdana" w:hAnsi="Verdana" w:cs="Arial"/>
              </w:rPr>
              <w:t xml:space="preserve"> </w:t>
            </w:r>
            <w:r w:rsidRPr="00A72EEA">
              <w:rPr>
                <w:rFonts w:ascii="Verdana" w:hAnsi="Verdana" w:cs="Arial"/>
                <w:lang w:val="es-ES_tradnl"/>
              </w:rPr>
              <w:t>Constitución Política, artículos 74 y 209.</w:t>
            </w:r>
          </w:p>
          <w:p w14:paraId="7A60FF99" w14:textId="77777777" w:rsidR="00BC0180" w:rsidRPr="00A72EEA" w:rsidRDefault="00BC0180" w:rsidP="00BC0180">
            <w:pPr>
              <w:pStyle w:val="Prrafodelista"/>
              <w:widowControl w:val="0"/>
              <w:numPr>
                <w:ilvl w:val="0"/>
                <w:numId w:val="17"/>
              </w:numPr>
              <w:autoSpaceDE w:val="0"/>
              <w:autoSpaceDN w:val="0"/>
              <w:spacing w:after="160" w:line="276" w:lineRule="auto"/>
              <w:jc w:val="both"/>
              <w:rPr>
                <w:rFonts w:ascii="Verdana" w:hAnsi="Verdana" w:cs="Arial"/>
                <w:lang w:val="es-ES_tradnl"/>
              </w:rPr>
            </w:pPr>
            <w:r w:rsidRPr="00A72EEA">
              <w:rPr>
                <w:rFonts w:ascii="Verdana" w:hAnsi="Verdana" w:cs="Arial"/>
                <w:lang w:val="es-ES_tradnl"/>
              </w:rPr>
              <w:t>Ley 1150 de 2007, artículo 3.</w:t>
            </w:r>
          </w:p>
          <w:p w14:paraId="763A9A39" w14:textId="77777777" w:rsidR="00BC0180" w:rsidRPr="00A72EEA" w:rsidRDefault="00BC0180" w:rsidP="00BC0180">
            <w:pPr>
              <w:pStyle w:val="Prrafodelista"/>
              <w:widowControl w:val="0"/>
              <w:numPr>
                <w:ilvl w:val="0"/>
                <w:numId w:val="17"/>
              </w:numPr>
              <w:autoSpaceDE w:val="0"/>
              <w:autoSpaceDN w:val="0"/>
              <w:spacing w:after="160" w:line="276" w:lineRule="auto"/>
              <w:jc w:val="both"/>
              <w:rPr>
                <w:rFonts w:ascii="Verdana" w:hAnsi="Verdana" w:cs="Arial"/>
                <w:lang w:val="es-ES_tradnl"/>
              </w:rPr>
            </w:pPr>
            <w:r w:rsidRPr="00A72EEA">
              <w:rPr>
                <w:rFonts w:ascii="Verdana" w:hAnsi="Verdana" w:cs="Arial"/>
                <w:lang w:val="es-CO"/>
              </w:rPr>
              <w:t xml:space="preserve">Decreto Ley 4170 de 2011, artículo 3° numerales 2, 5 y 8. </w:t>
            </w:r>
          </w:p>
          <w:p w14:paraId="413B7079" w14:textId="77777777" w:rsidR="00BC0180" w:rsidRPr="00A72EEA" w:rsidRDefault="00BC0180" w:rsidP="00BC0180">
            <w:pPr>
              <w:pStyle w:val="Prrafodelista"/>
              <w:widowControl w:val="0"/>
              <w:numPr>
                <w:ilvl w:val="0"/>
                <w:numId w:val="17"/>
              </w:numPr>
              <w:autoSpaceDE w:val="0"/>
              <w:autoSpaceDN w:val="0"/>
              <w:spacing w:after="160" w:line="276" w:lineRule="auto"/>
              <w:jc w:val="both"/>
              <w:rPr>
                <w:rFonts w:ascii="Verdana" w:hAnsi="Verdana" w:cs="Arial"/>
                <w:lang w:val="es-ES_tradnl"/>
              </w:rPr>
            </w:pPr>
            <w:r w:rsidRPr="00A72EEA">
              <w:rPr>
                <w:rFonts w:ascii="Verdana" w:hAnsi="Verdana" w:cs="Arial"/>
                <w:lang w:val="es-ES_tradnl"/>
              </w:rPr>
              <w:t>Ley 1712 de 2014.</w:t>
            </w:r>
          </w:p>
          <w:p w14:paraId="20569DDD" w14:textId="77777777" w:rsidR="00BC0180" w:rsidRPr="00A72EEA" w:rsidRDefault="00BC0180" w:rsidP="00BC0180">
            <w:pPr>
              <w:pStyle w:val="Prrafodelista"/>
              <w:widowControl w:val="0"/>
              <w:numPr>
                <w:ilvl w:val="0"/>
                <w:numId w:val="17"/>
              </w:numPr>
              <w:autoSpaceDE w:val="0"/>
              <w:autoSpaceDN w:val="0"/>
              <w:spacing w:after="160" w:line="276" w:lineRule="auto"/>
              <w:jc w:val="both"/>
              <w:rPr>
                <w:rFonts w:ascii="Verdana" w:hAnsi="Verdana" w:cs="Arial"/>
                <w:lang w:val="es-ES_tradnl"/>
              </w:rPr>
            </w:pPr>
            <w:r w:rsidRPr="00A72EEA">
              <w:rPr>
                <w:rFonts w:ascii="Verdana" w:hAnsi="Verdana" w:cs="Arial"/>
                <w:lang w:val="es-ES_tradnl"/>
              </w:rPr>
              <w:t>Decreto 1082 de 2015, artículos 2.2.1.1.1.7.1, 2.2.1.1.1.3.1., 2.2.2.1.8.3., 2.2.2.1.5.11., 2.2.2.1.12.7.</w:t>
            </w:r>
          </w:p>
          <w:p w14:paraId="35F2DAD6" w14:textId="77777777" w:rsidR="00BC0180" w:rsidRPr="002441FE" w:rsidRDefault="00BC0180" w:rsidP="00BC0180">
            <w:pPr>
              <w:widowControl w:val="0"/>
              <w:numPr>
                <w:ilvl w:val="0"/>
                <w:numId w:val="16"/>
              </w:numPr>
              <w:autoSpaceDE w:val="0"/>
              <w:autoSpaceDN w:val="0"/>
              <w:spacing w:after="160" w:line="276" w:lineRule="auto"/>
              <w:jc w:val="both"/>
              <w:rPr>
                <w:rFonts w:ascii="Verdana" w:eastAsia="Calibri" w:hAnsi="Verdana" w:cs="Arial"/>
                <w:shd w:val="clear" w:color="auto" w:fill="FFFFFF"/>
              </w:rPr>
            </w:pPr>
            <w:r w:rsidRPr="00A72EEA">
              <w:rPr>
                <w:rFonts w:ascii="Verdana" w:hAnsi="Verdana" w:cs="Arial"/>
                <w:lang w:val="es-ES_tradnl"/>
              </w:rPr>
              <w:t>Circular Externa 03 de 2024 de la Agencia Nacional de Contratación Pública –Colombia Compra Eficiente</w:t>
            </w:r>
            <w:r>
              <w:rPr>
                <w:rFonts w:ascii="Verdana" w:hAnsi="Verdana" w:cs="Arial"/>
                <w:lang w:val="es-ES_tradnl"/>
              </w:rPr>
              <w:t>.</w:t>
            </w:r>
          </w:p>
          <w:p w14:paraId="40C21C62" w14:textId="77777777" w:rsidR="00BC0180" w:rsidRPr="00B509E9" w:rsidRDefault="00BC0180" w:rsidP="00CE0595">
            <w:pPr>
              <w:widowControl w:val="0"/>
              <w:tabs>
                <w:tab w:val="left" w:pos="8419"/>
              </w:tabs>
              <w:autoSpaceDE w:val="0"/>
              <w:autoSpaceDN w:val="0"/>
              <w:spacing w:line="276" w:lineRule="auto"/>
              <w:ind w:left="360"/>
              <w:jc w:val="both"/>
              <w:rPr>
                <w:rFonts w:ascii="Verdana" w:eastAsia="Calibri" w:hAnsi="Verdana" w:cs="Arial"/>
                <w:shd w:val="clear" w:color="auto" w:fill="FFFFFF"/>
              </w:rPr>
            </w:pPr>
          </w:p>
        </w:tc>
      </w:tr>
    </w:tbl>
    <w:p w14:paraId="14D9299D" w14:textId="77777777" w:rsidR="00BC0180" w:rsidRDefault="00BC0180" w:rsidP="00BC018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A1E3457" w14:textId="77777777" w:rsidR="00BC0180" w:rsidRDefault="00BC0180" w:rsidP="00BC018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0C36EF">
        <w:rPr>
          <w:rFonts w:ascii="Verdana" w:eastAsia="Century Gothic" w:hAnsi="Verdana" w:cs="Century Gothic"/>
          <w:b/>
          <w:bCs/>
        </w:rPr>
        <w:lastRenderedPageBreak/>
        <w:t>5. Doctrina de la Agencia Nacional de Contratación Pública:</w:t>
      </w:r>
    </w:p>
    <w:p w14:paraId="23CAD250" w14:textId="77777777" w:rsidR="00BC0180" w:rsidRPr="00A72EEA" w:rsidRDefault="00BC0180" w:rsidP="00BC0180">
      <w:pPr>
        <w:widowControl w:val="0"/>
        <w:autoSpaceDE w:val="0"/>
        <w:autoSpaceDN w:val="0"/>
        <w:spacing w:after="0" w:line="276" w:lineRule="auto"/>
        <w:jc w:val="both"/>
        <w:rPr>
          <w:rFonts w:ascii="Verdana" w:eastAsia="Calibri" w:hAnsi="Verdana" w:cs="Times New Roman"/>
        </w:rPr>
      </w:pPr>
      <w:r w:rsidRPr="00A72EEA">
        <w:rPr>
          <w:rFonts w:ascii="Verdana" w:hAnsi="Verdana" w:cs="Arial"/>
          <w:bCs/>
          <w:shd w:val="clear" w:color="auto" w:fill="FFFFFF"/>
        </w:rPr>
        <w:t xml:space="preserve">La Agencia Nacional de Contratación Pública – Colombia Compra Eficiente se pronunció sobre la publicidad y el SECOP I en los conceptos </w:t>
      </w:r>
      <w:r w:rsidRPr="00A72EEA">
        <w:rPr>
          <w:rFonts w:ascii="Verdana" w:hAnsi="Verdana" w:cs="Arial"/>
          <w:bCs/>
          <w:shd w:val="clear" w:color="auto" w:fill="FFFFFF"/>
          <w:lang w:val="es-ES_tradnl"/>
        </w:rPr>
        <w:t>CU-367 del 23 de julio de 2020, reiterado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C-804 del 12 de diciembre de 2024</w:t>
      </w:r>
      <w:r w:rsidRPr="00A72EEA">
        <w:rPr>
          <w:rFonts w:ascii="Verdana" w:hAnsi="Verdana" w:cs="Arial"/>
          <w:bCs/>
          <w:shd w:val="clear" w:color="auto" w:fill="FFFFFF"/>
        </w:rPr>
        <w:t>,</w:t>
      </w:r>
      <w:r w:rsidRPr="00A72EEA">
        <w:rPr>
          <w:rFonts w:ascii="Verdana" w:hAnsi="Verdana"/>
        </w:rPr>
        <w:t xml:space="preserve"> </w:t>
      </w:r>
      <w:r w:rsidRPr="00A72EEA">
        <w:rPr>
          <w:rFonts w:ascii="Verdana" w:hAnsi="Verdana" w:cs="Arial"/>
          <w:bCs/>
          <w:shd w:val="clear" w:color="auto" w:fill="FFFFFF"/>
        </w:rPr>
        <w:t xml:space="preserve">C- 185 del 24 de marzo de 2025, entre otros. </w:t>
      </w:r>
      <w:r w:rsidRPr="00A72EEA">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6F2FF56" w14:textId="77777777" w:rsidR="00BC0180" w:rsidRPr="00A72EEA" w:rsidRDefault="00BC0180" w:rsidP="00BC0180">
      <w:pPr>
        <w:spacing w:after="0" w:line="256" w:lineRule="auto"/>
        <w:jc w:val="both"/>
        <w:rPr>
          <w:rFonts w:ascii="Verdana" w:eastAsia="Calibri" w:hAnsi="Verdana" w:cs="Times New Roman"/>
        </w:rPr>
      </w:pPr>
      <w:hyperlink r:id="rId12" w:history="1">
        <w:r w:rsidRPr="00A72EEA">
          <w:rPr>
            <w:rFonts w:ascii="Verdana" w:eastAsia="Calibri" w:hAnsi="Verdana" w:cs="Times New Roman"/>
            <w:color w:val="0000FF"/>
            <w:u w:val="single"/>
            <w:lang w:val="es-ES"/>
          </w:rPr>
          <w:t>https://relatoria.colombiacompra.gov.co/busqueda/conceptos</w:t>
        </w:r>
      </w:hyperlink>
    </w:p>
    <w:p w14:paraId="233A4988" w14:textId="77777777" w:rsidR="00BC0180" w:rsidRPr="00290A82" w:rsidRDefault="00BC0180" w:rsidP="00BC0180">
      <w:pPr>
        <w:spacing w:after="0" w:line="276" w:lineRule="auto"/>
        <w:jc w:val="both"/>
        <w:rPr>
          <w:rFonts w:ascii="Verdana" w:eastAsia="Aptos" w:hAnsi="Verdana" w:cs="Arial"/>
          <w:b/>
          <w:bCs/>
          <w:shd w:val="clear" w:color="auto" w:fill="FFFFFF"/>
        </w:rPr>
      </w:pPr>
    </w:p>
    <w:p w14:paraId="0E239E3B" w14:textId="77777777" w:rsidR="00BC0180" w:rsidRPr="00144EB3" w:rsidRDefault="00BC0180" w:rsidP="00BC0180">
      <w:pPr>
        <w:spacing w:after="0" w:line="240"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44EB3">
        <w:rPr>
          <w:rFonts w:ascii="Verdana" w:eastAsia="Calibri" w:hAnsi="Verdana" w:cs="Arial"/>
        </w:rPr>
        <w:br/>
      </w:r>
      <w:hyperlink r:id="rId13" w:tgtFrame="_new" w:history="1">
        <w:r w:rsidRPr="00144EB3">
          <w:rPr>
            <w:rFonts w:ascii="Verdana" w:eastAsia="Calibri" w:hAnsi="Verdana" w:cs="Arial"/>
            <w:color w:val="0000FF"/>
            <w:u w:val="single"/>
          </w:rPr>
          <w:t>https://formacionvirtual.colombiacompra.gov.co/mod/page/view.php?id=3718</w:t>
        </w:r>
      </w:hyperlink>
    </w:p>
    <w:p w14:paraId="0779FD47" w14:textId="77777777" w:rsidR="00BC0180" w:rsidRDefault="00BC0180" w:rsidP="00BC0180">
      <w:pPr>
        <w:spacing w:after="0" w:line="240" w:lineRule="auto"/>
        <w:jc w:val="both"/>
        <w:rPr>
          <w:rFonts w:ascii="Verdana" w:eastAsia="Calibri" w:hAnsi="Verdana" w:cs="Arial"/>
        </w:rPr>
      </w:pPr>
    </w:p>
    <w:p w14:paraId="6DF636FA" w14:textId="77777777" w:rsidR="00BC0180" w:rsidRPr="00144EB3" w:rsidRDefault="00BC0180" w:rsidP="00BC0180">
      <w:pPr>
        <w:spacing w:after="0" w:line="240"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44EB3">
          <w:rPr>
            <w:rFonts w:ascii="Verdana" w:eastAsia="Calibri" w:hAnsi="Verdana" w:cs="Arial"/>
            <w:color w:val="0000FF"/>
            <w:u w:val="single"/>
          </w:rPr>
          <w:t>https://www.colombiacompra.gov.co/normativa-y-relatoria/documentos-tipo</w:t>
        </w:r>
      </w:hyperlink>
    </w:p>
    <w:p w14:paraId="19A7F8C7" w14:textId="77777777" w:rsidR="00BC0180" w:rsidRPr="00144EB3" w:rsidRDefault="00BC0180" w:rsidP="00BC0180">
      <w:pPr>
        <w:spacing w:after="0" w:line="240" w:lineRule="auto"/>
        <w:jc w:val="both"/>
        <w:rPr>
          <w:rFonts w:ascii="Verdana" w:eastAsia="Calibri" w:hAnsi="Verdana" w:cs="Arial"/>
        </w:rPr>
      </w:pPr>
    </w:p>
    <w:p w14:paraId="5BFFA9C1" w14:textId="77777777" w:rsidR="00BC0180" w:rsidRPr="00144EB3" w:rsidRDefault="00BC0180" w:rsidP="00BC0180">
      <w:pPr>
        <w:spacing w:after="0" w:line="240"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xml:space="preserve">. En </w:t>
      </w:r>
      <w:r w:rsidRPr="00144EB3">
        <w:rPr>
          <w:rFonts w:ascii="Verdana" w:eastAsia="Calibri" w:hAnsi="Verdana" w:cs="Arial"/>
        </w:rPr>
        <w:lastRenderedPageBreak/>
        <w:t>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15" w:tgtFrame="_new" w:history="1">
        <w:r w:rsidRPr="00144EB3">
          <w:rPr>
            <w:rFonts w:ascii="Verdana" w:eastAsia="Calibri" w:hAnsi="Verdana" w:cs="Arial"/>
            <w:color w:val="0000FF"/>
            <w:u w:val="single"/>
          </w:rPr>
          <w:t>https://www.colombiacompra.gov.co/archivos/manual/guia-para-la-comprension-e-implementacion-de-los-documentos-tipo-de-obra-publica-de-infraestructura-de-transporte-bajo-las-diferentes-modalidades-de-contratacion-vigentes</w:t>
        </w:r>
      </w:hyperlink>
    </w:p>
    <w:p w14:paraId="7A204B8B" w14:textId="77777777" w:rsidR="00BC0180" w:rsidRPr="00144EB3" w:rsidRDefault="00BC0180" w:rsidP="00BC0180">
      <w:pPr>
        <w:spacing w:after="0" w:line="240"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43FF0C0E" w14:textId="77777777" w:rsidR="00BC0180" w:rsidRPr="00144EB3" w:rsidRDefault="00BC0180" w:rsidP="00BC0180">
      <w:pPr>
        <w:spacing w:after="0" w:line="240" w:lineRule="auto"/>
        <w:jc w:val="both"/>
        <w:rPr>
          <w:rFonts w:ascii="Verdana" w:eastAsia="Calibri" w:hAnsi="Verdana" w:cs="Arial"/>
          <w:shd w:val="clear" w:color="auto" w:fill="FFFFFF"/>
        </w:rPr>
      </w:pPr>
    </w:p>
    <w:p w14:paraId="2A7E58F8" w14:textId="77777777" w:rsidR="00BC0180" w:rsidRPr="00144EB3" w:rsidRDefault="00BC0180" w:rsidP="00BC0180">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4C27DA70" w14:textId="77777777" w:rsidR="00BC0180" w:rsidRPr="00144EB3" w:rsidRDefault="00BC0180" w:rsidP="00BC0180">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w:t>
      </w:r>
      <w:proofErr w:type="spellStart"/>
      <w:r w:rsidRPr="00144EB3">
        <w:rPr>
          <w:rFonts w:ascii="Verdana" w:eastAsia="Calibri" w:hAnsi="Verdana" w:cs="Arial"/>
          <w:color w:val="0000FF"/>
          <w:u w:val="single"/>
          <w:lang w:val="es-ES"/>
        </w:rPr>
        <w:t>ColombiaCompraEficiente</w:t>
      </w:r>
      <w:proofErr w:type="spellEnd"/>
    </w:p>
    <w:p w14:paraId="2FF3EB4E" w14:textId="77777777" w:rsidR="00BC0180" w:rsidRPr="00144EB3" w:rsidRDefault="00BC0180" w:rsidP="00BC0180">
      <w:pPr>
        <w:spacing w:after="0" w:line="240"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3B96E966" w14:textId="77777777" w:rsidR="00BC0180" w:rsidRPr="00144EB3" w:rsidRDefault="00BC0180" w:rsidP="00BC0180">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2784D4A2" w14:textId="77777777" w:rsidR="00BC0180" w:rsidRPr="00144EB3" w:rsidRDefault="00BC0180" w:rsidP="00BC0180">
      <w:pPr>
        <w:widowControl w:val="0"/>
        <w:autoSpaceDE w:val="0"/>
        <w:autoSpaceDN w:val="0"/>
        <w:spacing w:after="0" w:line="240" w:lineRule="auto"/>
        <w:jc w:val="both"/>
        <w:rPr>
          <w:rFonts w:ascii="Verdana" w:eastAsia="Calibri" w:hAnsi="Verdana" w:cs="Arial"/>
          <w:lang w:val="es-ES"/>
        </w:rPr>
      </w:pPr>
    </w:p>
    <w:p w14:paraId="2DDE17E1" w14:textId="77777777" w:rsidR="00BC0180" w:rsidRPr="00144EB3" w:rsidRDefault="00BC0180" w:rsidP="00BC0180">
      <w:pPr>
        <w:widowControl w:val="0"/>
        <w:autoSpaceDE w:val="0"/>
        <w:autoSpaceDN w:val="0"/>
        <w:spacing w:after="0" w:line="240"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C46E217" w14:textId="77777777" w:rsidR="00BC0180" w:rsidRPr="00144EB3" w:rsidRDefault="00BC0180" w:rsidP="00BC0180">
      <w:pPr>
        <w:spacing w:after="0" w:line="240" w:lineRule="auto"/>
        <w:jc w:val="both"/>
        <w:rPr>
          <w:rFonts w:ascii="Verdana" w:eastAsia="Verdana" w:hAnsi="Verdana" w:cs="Verdana"/>
        </w:rPr>
      </w:pPr>
    </w:p>
    <w:p w14:paraId="065C4D8C" w14:textId="77777777" w:rsidR="00BC0180" w:rsidRPr="00144EB3" w:rsidRDefault="00BC0180" w:rsidP="00BC0180">
      <w:pPr>
        <w:spacing w:after="0" w:line="240"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16"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1E17A863" w14:textId="77777777" w:rsidR="00BC0180" w:rsidRPr="00144EB3" w:rsidRDefault="00BC0180" w:rsidP="00BC0180">
      <w:pPr>
        <w:spacing w:after="0" w:line="240" w:lineRule="auto"/>
        <w:rPr>
          <w:rFonts w:ascii="Verdana" w:eastAsia="Verdana" w:hAnsi="Verdana" w:cs="Verdana"/>
        </w:rPr>
      </w:pPr>
    </w:p>
    <w:p w14:paraId="38834D3A" w14:textId="1CF9A4CA" w:rsidR="00BC0180" w:rsidRPr="002E4885" w:rsidRDefault="00BC0180" w:rsidP="002E4885">
      <w:pPr>
        <w:spacing w:after="0" w:line="240" w:lineRule="auto"/>
        <w:jc w:val="both"/>
        <w:rPr>
          <w:rFonts w:ascii="Verdana" w:eastAsia="Verdana" w:hAnsi="Verdana" w:cs="Verdana"/>
          <w:lang w:val="es-MX"/>
        </w:rPr>
      </w:pPr>
      <w:r w:rsidRPr="00144EB3">
        <w:rPr>
          <w:rFonts w:ascii="Verdana" w:eastAsia="Verdana" w:hAnsi="Verdana" w:cs="Verdana"/>
          <w:lang w:val="es-MX"/>
        </w:rPr>
        <w:t>Cordialmente,</w:t>
      </w:r>
    </w:p>
    <w:p w14:paraId="2036700E" w14:textId="4C90F483" w:rsidR="00BC0180" w:rsidRPr="00182F6A" w:rsidRDefault="0088035A" w:rsidP="0088035A">
      <w:pPr>
        <w:spacing w:after="120" w:line="276" w:lineRule="auto"/>
        <w:contextualSpacing/>
        <w:jc w:val="center"/>
        <w:rPr>
          <w:rFonts w:ascii="Verdana" w:eastAsia="Aptos" w:hAnsi="Verdana" w:cs="Arial"/>
          <w:shd w:val="clear" w:color="auto" w:fill="FFFFFF"/>
          <w:lang w:val="es-ES"/>
        </w:rPr>
      </w:pPr>
      <w:r w:rsidRPr="002C3AD6">
        <w:rPr>
          <w:rFonts w:ascii="Century Gothic" w:hAnsi="Century Gothic"/>
          <w:noProof/>
        </w:rPr>
        <w:drawing>
          <wp:inline distT="0" distB="0" distL="0" distR="0" wp14:anchorId="70011131" wp14:editId="392455BC">
            <wp:extent cx="3448050" cy="1279957"/>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516320" cy="1305300"/>
                    </a:xfrm>
                    <a:prstGeom prst="rect">
                      <a:avLst/>
                    </a:prstGeom>
                  </pic:spPr>
                </pic:pic>
              </a:graphicData>
            </a:graphic>
          </wp:inline>
        </w:drawing>
      </w:r>
    </w:p>
    <w:p w14:paraId="30F886CA" w14:textId="77777777" w:rsidR="00BC0180" w:rsidRPr="008278B1" w:rsidRDefault="00BC0180" w:rsidP="002E4885">
      <w:pPr>
        <w:spacing w:after="0" w:line="276" w:lineRule="auto"/>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C0180" w:rsidRPr="008278B1" w14:paraId="67E55111" w14:textId="77777777" w:rsidTr="00CE0595">
        <w:trPr>
          <w:trHeight w:val="315"/>
        </w:trPr>
        <w:tc>
          <w:tcPr>
            <w:tcW w:w="893" w:type="dxa"/>
            <w:vAlign w:val="center"/>
            <w:hideMark/>
          </w:tcPr>
          <w:p w14:paraId="4957D16B" w14:textId="77777777" w:rsidR="00BC0180" w:rsidRPr="008278B1" w:rsidRDefault="00BC0180" w:rsidP="00CE0595">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909CE23" w14:textId="77777777" w:rsidR="00BC0180" w:rsidRPr="00860461" w:rsidRDefault="00BC0180" w:rsidP="00CE0595">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1835ED82" w14:textId="77777777" w:rsidR="00BC0180" w:rsidRPr="00860461" w:rsidRDefault="00BC0180" w:rsidP="00CE0595">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BC0180" w:rsidRPr="00F84F36" w14:paraId="1F666DC7" w14:textId="77777777" w:rsidTr="00CE0595">
        <w:trPr>
          <w:trHeight w:val="330"/>
        </w:trPr>
        <w:tc>
          <w:tcPr>
            <w:tcW w:w="893" w:type="dxa"/>
            <w:vAlign w:val="center"/>
            <w:hideMark/>
          </w:tcPr>
          <w:p w14:paraId="6363E5E5" w14:textId="77777777" w:rsidR="00BC0180" w:rsidRPr="0025661F" w:rsidRDefault="00BC0180" w:rsidP="00CE0595">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D7F9C26" w14:textId="77777777" w:rsidR="00276672" w:rsidRPr="00B37171" w:rsidRDefault="00276672" w:rsidP="00276672">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Adriana </w:t>
            </w:r>
            <w:proofErr w:type="spellStart"/>
            <w:r>
              <w:rPr>
                <w:rFonts w:ascii="Verdana" w:hAnsi="Verdana" w:cs="Segoe UI"/>
                <w:color w:val="000000" w:themeColor="text1"/>
                <w:sz w:val="16"/>
                <w:szCs w:val="16"/>
              </w:rPr>
              <w:t>Katerine</w:t>
            </w:r>
            <w:proofErr w:type="spellEnd"/>
            <w:r>
              <w:rPr>
                <w:rFonts w:ascii="Verdana" w:hAnsi="Verdana" w:cs="Segoe UI"/>
                <w:color w:val="000000" w:themeColor="text1"/>
                <w:sz w:val="16"/>
                <w:szCs w:val="16"/>
              </w:rPr>
              <w:t xml:space="preserve"> López </w:t>
            </w:r>
            <w:proofErr w:type="spellStart"/>
            <w:r>
              <w:rPr>
                <w:rFonts w:ascii="Verdana" w:hAnsi="Verdana" w:cs="Segoe UI"/>
                <w:color w:val="000000" w:themeColor="text1"/>
                <w:sz w:val="16"/>
                <w:szCs w:val="16"/>
              </w:rPr>
              <w:t>Rodriguez</w:t>
            </w:r>
            <w:proofErr w:type="spellEnd"/>
          </w:p>
          <w:p w14:paraId="234B6B77" w14:textId="73960A62" w:rsidR="00BC0180" w:rsidRPr="0025661F" w:rsidRDefault="00276672" w:rsidP="00276672">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BC0180" w:rsidRPr="00F84F36" w14:paraId="58ACF15B" w14:textId="77777777" w:rsidTr="00CE0595">
        <w:trPr>
          <w:trHeight w:val="300"/>
        </w:trPr>
        <w:tc>
          <w:tcPr>
            <w:tcW w:w="893" w:type="dxa"/>
            <w:vAlign w:val="center"/>
          </w:tcPr>
          <w:p w14:paraId="378E31F4" w14:textId="77777777" w:rsidR="00BC0180" w:rsidRPr="008278B1" w:rsidRDefault="00BC0180" w:rsidP="00CE0595">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51F1C21" w14:textId="77777777" w:rsidR="00BC0180" w:rsidRPr="008278B1" w:rsidRDefault="00BC0180" w:rsidP="00CE0595">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75870A8E" w14:textId="77777777" w:rsidR="00BC0180" w:rsidRPr="008278B1" w:rsidRDefault="00BC0180" w:rsidP="00CE0595">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7DB40EFD" w14:textId="7E4AFD1E" w:rsidR="00BC0180" w:rsidRPr="00FD3EC3" w:rsidRDefault="00BC0180" w:rsidP="00BC0180">
      <w:pPr>
        <w:spacing w:after="0"/>
        <w:rPr>
          <w:rFonts w:ascii="Verdana" w:eastAsia="Verdana" w:hAnsi="Verdana" w:cs="Verdana"/>
          <w:lang w:val="es-ES"/>
        </w:rPr>
      </w:pPr>
    </w:p>
    <w:bookmarkEnd w:id="0"/>
    <w:p w14:paraId="12443EE0" w14:textId="77777777" w:rsidR="00C15139" w:rsidRPr="0024624F" w:rsidRDefault="00C15139" w:rsidP="30821638">
      <w:pPr>
        <w:spacing w:after="0"/>
        <w:rPr>
          <w:rFonts w:ascii="Verdana" w:eastAsia="Verdana" w:hAnsi="Verdana" w:cs="Verdana"/>
        </w:rPr>
      </w:pPr>
    </w:p>
    <w:sectPr w:rsidR="00C15139" w:rsidRPr="0024624F"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96E132" w14:textId="77777777" w:rsidR="001B197C" w:rsidRDefault="001B197C" w:rsidP="004A1847">
      <w:pPr>
        <w:spacing w:after="0" w:line="240" w:lineRule="auto"/>
      </w:pPr>
      <w:r>
        <w:separator/>
      </w:r>
    </w:p>
  </w:endnote>
  <w:endnote w:type="continuationSeparator" w:id="0">
    <w:p w14:paraId="160CA777" w14:textId="77777777" w:rsidR="001B197C" w:rsidRDefault="001B197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3D18B6" w14:textId="77777777" w:rsidR="001B197C" w:rsidRDefault="001B197C" w:rsidP="004A1847">
      <w:pPr>
        <w:spacing w:after="0" w:line="240" w:lineRule="auto"/>
      </w:pPr>
      <w:r>
        <w:separator/>
      </w:r>
    </w:p>
  </w:footnote>
  <w:footnote w:type="continuationSeparator" w:id="0">
    <w:p w14:paraId="0494B88B" w14:textId="77777777" w:rsidR="001B197C" w:rsidRDefault="001B197C" w:rsidP="004A1847">
      <w:pPr>
        <w:spacing w:after="0" w:line="240" w:lineRule="auto"/>
      </w:pPr>
      <w:r>
        <w:continuationSeparator/>
      </w:r>
    </w:p>
  </w:footnote>
  <w:footnote w:id="1">
    <w:p w14:paraId="44AAD6DE" w14:textId="77777777" w:rsidR="00BC0180" w:rsidRPr="00A617AC" w:rsidRDefault="00BC0180" w:rsidP="00BC0180">
      <w:pPr>
        <w:pStyle w:val="Textonotapie"/>
        <w:ind w:firstLine="709"/>
        <w:jc w:val="both"/>
        <w:rPr>
          <w:rFonts w:ascii="Verdana" w:hAnsi="Verdana" w:cs="Arial"/>
          <w:sz w:val="16"/>
          <w:szCs w:val="16"/>
          <w:lang w:val="es-ES"/>
        </w:rPr>
      </w:pPr>
      <w:r w:rsidRPr="00A617AC">
        <w:rPr>
          <w:rStyle w:val="Refdenotaalpie"/>
          <w:rFonts w:ascii="Verdana" w:hAnsi="Verdana" w:cs="Arial"/>
          <w:sz w:val="16"/>
          <w:szCs w:val="16"/>
        </w:rPr>
        <w:footnoteRef/>
      </w:r>
      <w:r w:rsidRPr="00A617AC">
        <w:rPr>
          <w:rFonts w:ascii="Verdana" w:hAnsi="Verdana" w:cs="Arial"/>
          <w:sz w:val="16"/>
          <w:szCs w:val="16"/>
        </w:rPr>
        <w:t xml:space="preserve"> </w:t>
      </w:r>
      <w:r w:rsidRPr="00A617AC">
        <w:rPr>
          <w:rFonts w:ascii="Verdana" w:hAnsi="Verdana" w:cs="Arial"/>
          <w:sz w:val="16"/>
          <w:szCs w:val="16"/>
          <w:lang w:val="es-ES"/>
        </w:rPr>
        <w:t>BOBBIO, Norberto. Democracia y secreto. México: Fondo de Cultura Económica, 2013. p. 27.</w:t>
      </w:r>
    </w:p>
  </w:footnote>
  <w:footnote w:id="2">
    <w:p w14:paraId="6901E926" w14:textId="77777777" w:rsidR="00BC0180" w:rsidRPr="00A617AC" w:rsidRDefault="00BC0180" w:rsidP="00BC0180">
      <w:pPr>
        <w:pStyle w:val="Textonotapie"/>
        <w:ind w:firstLine="709"/>
        <w:jc w:val="both"/>
        <w:rPr>
          <w:rFonts w:ascii="Verdana" w:hAnsi="Verdana" w:cs="Arial"/>
          <w:color w:val="000000" w:themeColor="text1"/>
          <w:sz w:val="16"/>
          <w:szCs w:val="16"/>
        </w:rPr>
      </w:pPr>
      <w:r w:rsidRPr="00A617AC">
        <w:rPr>
          <w:rStyle w:val="Refdenotaalpie"/>
          <w:rFonts w:ascii="Verdana" w:hAnsi="Verdana" w:cs="Arial"/>
          <w:color w:val="000000" w:themeColor="text1"/>
          <w:sz w:val="16"/>
          <w:szCs w:val="16"/>
        </w:rPr>
        <w:footnoteRef/>
      </w:r>
      <w:r w:rsidRPr="00A617AC">
        <w:rPr>
          <w:rFonts w:ascii="Verdana" w:hAnsi="Verdana"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095A433B" w14:textId="77777777" w:rsidR="00BC0180" w:rsidRPr="00A617AC" w:rsidRDefault="00BC0180" w:rsidP="00BC0180">
      <w:pPr>
        <w:pStyle w:val="Textonotapie"/>
        <w:ind w:firstLine="709"/>
        <w:jc w:val="both"/>
        <w:rPr>
          <w:rFonts w:ascii="Verdana" w:hAnsi="Verdana" w:cs="Arial"/>
          <w:color w:val="000000" w:themeColor="text1"/>
          <w:sz w:val="16"/>
          <w:szCs w:val="16"/>
        </w:rPr>
      </w:pPr>
      <w:r w:rsidRPr="00A617AC">
        <w:rPr>
          <w:rFonts w:ascii="Verdana" w:hAnsi="Verdana" w:cs="Arial"/>
          <w:color w:val="000000" w:themeColor="text1"/>
          <w:sz w:val="16"/>
          <w:szCs w:val="16"/>
        </w:rPr>
        <w:t>Lo anterior, sin perjuicio de las publicaciones previstas en el numeral 3 del artículo 30 de la Ley 80 de 1993.</w:t>
      </w:r>
    </w:p>
    <w:p w14:paraId="66D1DB8A" w14:textId="77777777" w:rsidR="00BC0180" w:rsidRPr="00A617AC" w:rsidRDefault="00BC0180" w:rsidP="00BC0180">
      <w:pPr>
        <w:pStyle w:val="Textonotapie"/>
        <w:ind w:firstLine="709"/>
        <w:jc w:val="both"/>
        <w:rPr>
          <w:rFonts w:ascii="Verdana" w:hAnsi="Verdana" w:cs="Arial"/>
          <w:color w:val="000000" w:themeColor="text1"/>
          <w:sz w:val="16"/>
          <w:szCs w:val="16"/>
        </w:rPr>
      </w:pPr>
      <w:r w:rsidRPr="00A617AC">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w:t>
      </w:r>
      <w:proofErr w:type="spellStart"/>
      <w:r w:rsidRPr="00A617AC">
        <w:rPr>
          <w:rFonts w:ascii="Verdana" w:hAnsi="Verdana" w:cs="Arial"/>
          <w:color w:val="000000" w:themeColor="text1"/>
          <w:sz w:val="16"/>
          <w:szCs w:val="16"/>
        </w:rPr>
        <w:t>Secop</w:t>
      </w:r>
      <w:proofErr w:type="spellEnd"/>
      <w:r w:rsidRPr="00A617AC">
        <w:rPr>
          <w:rFonts w:ascii="Verdana" w:hAnsi="Verdana" w:cs="Arial"/>
          <w:color w:val="000000" w:themeColor="text1"/>
          <w:sz w:val="16"/>
          <w:szCs w:val="16"/>
        </w:rPr>
        <w:t xml:space="preserve">, el cual: </w:t>
      </w:r>
    </w:p>
    <w:p w14:paraId="1BE02450" w14:textId="77777777" w:rsidR="00BC0180" w:rsidRPr="00A617AC" w:rsidRDefault="00BC0180" w:rsidP="00BC0180">
      <w:pPr>
        <w:pStyle w:val="Textonotapie"/>
        <w:ind w:firstLine="709"/>
        <w:jc w:val="both"/>
        <w:rPr>
          <w:rFonts w:ascii="Verdana" w:hAnsi="Verdana" w:cs="Arial"/>
          <w:color w:val="000000" w:themeColor="text1"/>
          <w:sz w:val="16"/>
          <w:szCs w:val="16"/>
        </w:rPr>
      </w:pPr>
      <w:r w:rsidRPr="00A617AC">
        <w:rPr>
          <w:rFonts w:ascii="Verdana" w:hAnsi="Verdana" w:cs="Arial"/>
          <w:color w:val="000000" w:themeColor="text1"/>
          <w:sz w:val="16"/>
          <w:szCs w:val="16"/>
        </w:rPr>
        <w:t>[…]</w:t>
      </w:r>
    </w:p>
    <w:p w14:paraId="00DDC91D" w14:textId="77777777" w:rsidR="00BC0180" w:rsidRPr="00A617AC" w:rsidRDefault="00BC0180" w:rsidP="00BC0180">
      <w:pPr>
        <w:pStyle w:val="Textonotapie"/>
        <w:ind w:firstLine="709"/>
        <w:jc w:val="both"/>
        <w:rPr>
          <w:rFonts w:ascii="Verdana" w:hAnsi="Verdana" w:cs="Arial"/>
          <w:color w:val="000000" w:themeColor="text1"/>
          <w:sz w:val="16"/>
          <w:szCs w:val="16"/>
        </w:rPr>
      </w:pPr>
      <w:r w:rsidRPr="00A617AC">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p w14:paraId="57790BEA" w14:textId="77777777" w:rsidR="00BC0180" w:rsidRPr="00A617AC" w:rsidRDefault="00BC0180" w:rsidP="00BC0180">
      <w:pPr>
        <w:pStyle w:val="Textonotapie"/>
        <w:ind w:firstLine="709"/>
        <w:jc w:val="both"/>
        <w:rPr>
          <w:rFonts w:ascii="Verdana" w:hAnsi="Verdana" w:cs="Arial"/>
          <w:color w:val="000000" w:themeColor="text1"/>
          <w:sz w:val="16"/>
          <w:szCs w:val="16"/>
          <w:lang w:val="es-CO"/>
        </w:rPr>
      </w:pPr>
    </w:p>
  </w:footnote>
  <w:footnote w:id="3">
    <w:p w14:paraId="59CAFA8E" w14:textId="77777777" w:rsidR="00BC0180" w:rsidRPr="00A617AC" w:rsidRDefault="00BC0180" w:rsidP="00BC0180">
      <w:pPr>
        <w:pStyle w:val="Textonotapie"/>
        <w:ind w:firstLine="709"/>
        <w:jc w:val="both"/>
        <w:rPr>
          <w:rFonts w:ascii="Verdana" w:hAnsi="Verdana" w:cs="Arial"/>
          <w:color w:val="000000" w:themeColor="text1"/>
          <w:sz w:val="16"/>
          <w:szCs w:val="16"/>
        </w:rPr>
      </w:pPr>
      <w:r w:rsidRPr="00A617AC">
        <w:rPr>
          <w:rStyle w:val="Refdenotaalpie"/>
          <w:rFonts w:ascii="Verdana" w:hAnsi="Verdana" w:cs="Arial"/>
          <w:color w:val="000000" w:themeColor="text1"/>
          <w:sz w:val="16"/>
          <w:szCs w:val="16"/>
        </w:rPr>
        <w:footnoteRef/>
      </w:r>
      <w:r w:rsidRPr="00A617AC">
        <w:rPr>
          <w:rFonts w:ascii="Verdana" w:hAnsi="Verdana" w:cs="Arial"/>
          <w:color w:val="000000" w:themeColor="text1"/>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5AFB0A20" w14:textId="77777777" w:rsidR="00BC0180" w:rsidRPr="00A617AC" w:rsidRDefault="00BC0180" w:rsidP="00BC0180">
      <w:pPr>
        <w:pStyle w:val="Textonotapie"/>
        <w:ind w:firstLine="709"/>
        <w:jc w:val="both"/>
        <w:rPr>
          <w:rFonts w:ascii="Verdana" w:hAnsi="Verdana" w:cs="Arial"/>
          <w:color w:val="000000" w:themeColor="text1"/>
          <w:sz w:val="16"/>
          <w:szCs w:val="16"/>
          <w:lang w:val="es-CO"/>
        </w:rPr>
      </w:pPr>
    </w:p>
  </w:footnote>
  <w:footnote w:id="4">
    <w:p w14:paraId="6BC06715" w14:textId="77777777" w:rsidR="00BC0180" w:rsidRPr="00A617AC" w:rsidRDefault="00BC0180" w:rsidP="00BC0180">
      <w:pPr>
        <w:pStyle w:val="Textonotapie"/>
        <w:ind w:firstLine="709"/>
        <w:jc w:val="both"/>
        <w:rPr>
          <w:rFonts w:ascii="Verdana" w:hAnsi="Verdana" w:cs="Arial"/>
          <w:color w:val="000000" w:themeColor="text1"/>
          <w:sz w:val="16"/>
          <w:szCs w:val="16"/>
        </w:rPr>
      </w:pPr>
      <w:r w:rsidRPr="00A617AC">
        <w:rPr>
          <w:rStyle w:val="Refdenotaalpie"/>
          <w:rFonts w:ascii="Verdana" w:hAnsi="Verdana" w:cs="Arial"/>
          <w:color w:val="000000" w:themeColor="text1"/>
          <w:sz w:val="16"/>
          <w:szCs w:val="16"/>
        </w:rPr>
        <w:footnoteRef/>
      </w:r>
      <w:r w:rsidRPr="00A617AC">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14:paraId="4F3F7B54" w14:textId="77777777" w:rsidR="00BC0180" w:rsidRPr="00A617AC" w:rsidRDefault="00BC0180" w:rsidP="00BC0180">
      <w:pPr>
        <w:pStyle w:val="Textonotapie"/>
        <w:ind w:firstLine="709"/>
        <w:jc w:val="both"/>
        <w:rPr>
          <w:rFonts w:ascii="Verdana" w:hAnsi="Verdana" w:cs="Arial"/>
          <w:color w:val="000000" w:themeColor="text1"/>
          <w:sz w:val="16"/>
          <w:szCs w:val="16"/>
        </w:rPr>
      </w:pPr>
      <w:proofErr w:type="gramStart"/>
      <w:r w:rsidRPr="00A617AC">
        <w:rPr>
          <w:rFonts w:ascii="Verdana" w:hAnsi="Verdana" w:cs="Arial"/>
          <w:color w:val="000000" w:themeColor="text1"/>
          <w:sz w:val="16"/>
          <w:szCs w:val="16"/>
        </w:rPr>
        <w:t>»a</w:t>
      </w:r>
      <w:proofErr w:type="gramEnd"/>
      <w:r w:rsidRPr="00A617AC">
        <w:rPr>
          <w:rFonts w:ascii="Verdana" w:hAnsi="Verdana" w:cs="Arial"/>
          <w:color w:val="000000" w:themeColor="text1"/>
          <w:sz w:val="16"/>
          <w:szCs w:val="16"/>
        </w:rPr>
        <w:t>) Toda entidad pública, incluyendo las pertenecientes a todas las Ramas del Poder Público, en todos los niveles de la estructura estatal, central o descentralizada por servicios o territorialmente, en los órdenes nacional, departamental, municipal y distrital».</w:t>
      </w:r>
    </w:p>
    <w:p w14:paraId="516B122B" w14:textId="77777777" w:rsidR="00BC0180" w:rsidRPr="00A617AC" w:rsidRDefault="00BC0180" w:rsidP="00BC0180">
      <w:pPr>
        <w:pStyle w:val="Textonotapie"/>
        <w:ind w:firstLine="709"/>
        <w:jc w:val="both"/>
        <w:rPr>
          <w:rFonts w:ascii="Verdana" w:hAnsi="Verdana" w:cs="Arial"/>
          <w:color w:val="000000" w:themeColor="text1"/>
          <w:sz w:val="16"/>
          <w:szCs w:val="16"/>
          <w:lang w:val="es-CO"/>
        </w:rPr>
      </w:pPr>
    </w:p>
  </w:footnote>
  <w:footnote w:id="5">
    <w:p w14:paraId="13A4CE7F" w14:textId="77777777" w:rsidR="00BC0180" w:rsidRPr="00A617AC" w:rsidRDefault="00BC0180" w:rsidP="00BC0180">
      <w:pPr>
        <w:pStyle w:val="Textonotapie"/>
        <w:ind w:firstLine="709"/>
        <w:jc w:val="both"/>
        <w:rPr>
          <w:rFonts w:ascii="Verdana" w:hAnsi="Verdana" w:cs="Arial"/>
          <w:color w:val="000000" w:themeColor="text1"/>
          <w:sz w:val="16"/>
          <w:szCs w:val="16"/>
        </w:rPr>
      </w:pPr>
      <w:r w:rsidRPr="00A617AC">
        <w:rPr>
          <w:rFonts w:ascii="Verdana" w:eastAsia="Times New Roman" w:hAnsi="Verdana" w:cs="Arial"/>
          <w:color w:val="000000" w:themeColor="text1"/>
          <w:sz w:val="16"/>
          <w:szCs w:val="16"/>
          <w:vertAlign w:val="superscript"/>
          <w:lang w:val="es-ES" w:eastAsia="es-ES"/>
        </w:rPr>
        <w:footnoteRef/>
      </w:r>
      <w:r w:rsidRPr="00A617AC">
        <w:rPr>
          <w:rFonts w:ascii="Verdana" w:eastAsia="Times New Roman" w:hAnsi="Verdana" w:cs="Arial"/>
          <w:color w:val="000000" w:themeColor="text1"/>
          <w:sz w:val="16"/>
          <w:szCs w:val="16"/>
          <w:vertAlign w:val="superscript"/>
          <w:lang w:val="es-ES" w:eastAsia="es-ES"/>
        </w:rPr>
        <w:t xml:space="preserve"> </w:t>
      </w:r>
      <w:r w:rsidRPr="00A617AC">
        <w:rPr>
          <w:rFonts w:ascii="Verdana" w:eastAsia="Times New Roman" w:hAnsi="Verdana" w:cs="Arial"/>
          <w:color w:val="000000" w:themeColor="text1"/>
          <w:sz w:val="16"/>
          <w:szCs w:val="16"/>
          <w:lang w:val="es-ES" w:eastAsia="es-ES"/>
        </w:rPr>
        <w:t>«</w:t>
      </w:r>
      <w:r w:rsidRPr="00A617AC">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34928D91" w14:textId="77777777" w:rsidR="00BC0180" w:rsidRPr="00A617AC" w:rsidRDefault="00BC0180" w:rsidP="00BC0180">
      <w:pPr>
        <w:pStyle w:val="Textonotapie"/>
        <w:ind w:firstLine="709"/>
        <w:jc w:val="both"/>
        <w:rPr>
          <w:rFonts w:ascii="Verdana" w:eastAsia="Times New Roman" w:hAnsi="Verdana" w:cs="Arial"/>
          <w:color w:val="000000" w:themeColor="text1"/>
          <w:sz w:val="16"/>
          <w:szCs w:val="16"/>
          <w:lang w:val="es-ES" w:eastAsia="es-ES"/>
        </w:rPr>
      </w:pPr>
      <w:r w:rsidRPr="00A617AC">
        <w:rPr>
          <w:rFonts w:ascii="Verdana" w:hAnsi="Verdana" w:cs="Arial"/>
          <w:color w:val="000000" w:themeColor="text1"/>
          <w:sz w:val="16"/>
          <w:szCs w:val="16"/>
        </w:rPr>
        <w:t>[…].</w:t>
      </w:r>
    </w:p>
    <w:p w14:paraId="754DCCB0" w14:textId="77777777" w:rsidR="00BC0180" w:rsidRPr="00A617AC" w:rsidRDefault="00BC0180" w:rsidP="00BC0180">
      <w:pPr>
        <w:pStyle w:val="Textonotapie"/>
        <w:ind w:firstLine="709"/>
        <w:jc w:val="both"/>
        <w:rPr>
          <w:rFonts w:ascii="Verdana" w:eastAsia="Times New Roman" w:hAnsi="Verdana" w:cs="Arial"/>
          <w:color w:val="000000" w:themeColor="text1"/>
          <w:sz w:val="16"/>
          <w:szCs w:val="16"/>
          <w:lang w:val="es-ES" w:eastAsia="es-ES"/>
        </w:rPr>
      </w:pPr>
      <w:r w:rsidRPr="00A617AC">
        <w:rPr>
          <w:rFonts w:ascii="Verdana" w:eastAsia="Times New Roman"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44B2740C" w14:textId="77777777" w:rsidR="00BC0180" w:rsidRPr="00A617AC" w:rsidRDefault="00BC0180" w:rsidP="00BC0180">
      <w:pPr>
        <w:pStyle w:val="Textonotapie"/>
        <w:ind w:firstLine="709"/>
        <w:jc w:val="both"/>
        <w:rPr>
          <w:rFonts w:ascii="Verdana" w:eastAsia="Times New Roman" w:hAnsi="Verdana" w:cs="Arial"/>
          <w:color w:val="000000" w:themeColor="text1"/>
          <w:sz w:val="16"/>
          <w:szCs w:val="16"/>
          <w:lang w:val="es-ES" w:eastAsia="es-ES"/>
        </w:rPr>
      </w:pPr>
    </w:p>
  </w:footnote>
  <w:footnote w:id="6">
    <w:p w14:paraId="0D1AD0CC" w14:textId="77777777" w:rsidR="00BC0180" w:rsidRPr="00A617AC" w:rsidRDefault="00BC0180" w:rsidP="00BC0180">
      <w:pPr>
        <w:pStyle w:val="Textonotapie"/>
        <w:ind w:firstLine="708"/>
        <w:jc w:val="both"/>
        <w:rPr>
          <w:rFonts w:ascii="Verdana" w:hAnsi="Verdana" w:cs="Arial"/>
          <w:color w:val="000000"/>
          <w:sz w:val="16"/>
          <w:szCs w:val="16"/>
        </w:rPr>
      </w:pPr>
      <w:r w:rsidRPr="00A617AC">
        <w:rPr>
          <w:rStyle w:val="Refdenotaalpie"/>
          <w:rFonts w:ascii="Verdana" w:hAnsi="Verdana" w:cs="Arial"/>
          <w:color w:val="000000"/>
          <w:sz w:val="16"/>
          <w:szCs w:val="16"/>
        </w:rPr>
        <w:footnoteRef/>
      </w:r>
      <w:r w:rsidRPr="00A617AC">
        <w:rPr>
          <w:rFonts w:ascii="Verdana" w:hAnsi="Verdana" w:cs="Arial"/>
          <w:color w:val="000000"/>
          <w:sz w:val="16"/>
          <w:szCs w:val="16"/>
        </w:rPr>
        <w:t xml:space="preserve"> Decreto 4170 de 2011: “Artículo 3. Funciones: La Agencia Nacional de Contratación Pública –Colombia Compra Eficiente– ejercerá las siguientes funciones: [...]</w:t>
      </w:r>
    </w:p>
    <w:p w14:paraId="58C8CCD1" w14:textId="77777777" w:rsidR="00BC0180" w:rsidRPr="00A617AC" w:rsidRDefault="00BC0180" w:rsidP="00BC0180">
      <w:pPr>
        <w:pStyle w:val="Textonotapie"/>
        <w:ind w:firstLine="708"/>
        <w:jc w:val="both"/>
        <w:rPr>
          <w:rFonts w:ascii="Verdana" w:hAnsi="Verdana" w:cs="Arial"/>
          <w:color w:val="000000"/>
          <w:sz w:val="16"/>
          <w:szCs w:val="16"/>
        </w:rPr>
      </w:pPr>
      <w:r w:rsidRPr="00A617AC">
        <w:rPr>
          <w:rFonts w:ascii="Verdana" w:hAnsi="Verdana" w:cs="Arial"/>
          <w:color w:val="000000"/>
          <w:sz w:val="16"/>
          <w:szCs w:val="16"/>
        </w:rPr>
        <w:t>8.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4162E2D"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418679D0"/>
    <w:multiLevelType w:val="hybridMultilevel"/>
    <w:tmpl w:val="D3AAD896"/>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9"/>
  </w:num>
  <w:num w:numId="17" w16cid:durableId="6790895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668B"/>
    <w:rsid w:val="00061B2A"/>
    <w:rsid w:val="00070938"/>
    <w:rsid w:val="00082362"/>
    <w:rsid w:val="000A683E"/>
    <w:rsid w:val="000A75A1"/>
    <w:rsid w:val="000B19B9"/>
    <w:rsid w:val="000D0334"/>
    <w:rsid w:val="000D5DA7"/>
    <w:rsid w:val="000F6486"/>
    <w:rsid w:val="00116940"/>
    <w:rsid w:val="00125105"/>
    <w:rsid w:val="00127233"/>
    <w:rsid w:val="0015699B"/>
    <w:rsid w:val="00166F01"/>
    <w:rsid w:val="001A33BF"/>
    <w:rsid w:val="001B197C"/>
    <w:rsid w:val="001C78D3"/>
    <w:rsid w:val="001E4177"/>
    <w:rsid w:val="001F0B24"/>
    <w:rsid w:val="001F7DC6"/>
    <w:rsid w:val="0022400B"/>
    <w:rsid w:val="00240C69"/>
    <w:rsid w:val="002421BB"/>
    <w:rsid w:val="0025796E"/>
    <w:rsid w:val="002707A2"/>
    <w:rsid w:val="00276672"/>
    <w:rsid w:val="002951A0"/>
    <w:rsid w:val="002962BC"/>
    <w:rsid w:val="002A093D"/>
    <w:rsid w:val="002A0DD0"/>
    <w:rsid w:val="002A49AC"/>
    <w:rsid w:val="002A64FD"/>
    <w:rsid w:val="002C7A84"/>
    <w:rsid w:val="002E2BF8"/>
    <w:rsid w:val="002E4885"/>
    <w:rsid w:val="002E4FD9"/>
    <w:rsid w:val="0030657A"/>
    <w:rsid w:val="00322A85"/>
    <w:rsid w:val="00324168"/>
    <w:rsid w:val="00330834"/>
    <w:rsid w:val="0033226D"/>
    <w:rsid w:val="003448F4"/>
    <w:rsid w:val="00374F5E"/>
    <w:rsid w:val="00377E3E"/>
    <w:rsid w:val="003A779E"/>
    <w:rsid w:val="003C3FAB"/>
    <w:rsid w:val="003D0F4D"/>
    <w:rsid w:val="003D5B0D"/>
    <w:rsid w:val="003E0499"/>
    <w:rsid w:val="003E4F80"/>
    <w:rsid w:val="003E6439"/>
    <w:rsid w:val="003F3941"/>
    <w:rsid w:val="00406575"/>
    <w:rsid w:val="00414C74"/>
    <w:rsid w:val="0042722E"/>
    <w:rsid w:val="004316DD"/>
    <w:rsid w:val="0044528D"/>
    <w:rsid w:val="00466E39"/>
    <w:rsid w:val="004674A2"/>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00A8"/>
    <w:rsid w:val="00665D70"/>
    <w:rsid w:val="006900D9"/>
    <w:rsid w:val="00706C16"/>
    <w:rsid w:val="00712A95"/>
    <w:rsid w:val="007340C3"/>
    <w:rsid w:val="0075235A"/>
    <w:rsid w:val="00756841"/>
    <w:rsid w:val="007649AB"/>
    <w:rsid w:val="00771D0C"/>
    <w:rsid w:val="007833AC"/>
    <w:rsid w:val="007B268C"/>
    <w:rsid w:val="007B7171"/>
    <w:rsid w:val="007C0C0F"/>
    <w:rsid w:val="007C3DC2"/>
    <w:rsid w:val="007E5497"/>
    <w:rsid w:val="00806F5F"/>
    <w:rsid w:val="00820278"/>
    <w:rsid w:val="00820514"/>
    <w:rsid w:val="008258C9"/>
    <w:rsid w:val="00844AE9"/>
    <w:rsid w:val="00867F95"/>
    <w:rsid w:val="0088035A"/>
    <w:rsid w:val="008843B6"/>
    <w:rsid w:val="00891928"/>
    <w:rsid w:val="00894916"/>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2FDA"/>
    <w:rsid w:val="009D3058"/>
    <w:rsid w:val="009F3A13"/>
    <w:rsid w:val="00A122D3"/>
    <w:rsid w:val="00A14468"/>
    <w:rsid w:val="00A17F13"/>
    <w:rsid w:val="00A20739"/>
    <w:rsid w:val="00A23AF9"/>
    <w:rsid w:val="00A33C78"/>
    <w:rsid w:val="00A754BD"/>
    <w:rsid w:val="00AB0ADB"/>
    <w:rsid w:val="00AF311B"/>
    <w:rsid w:val="00B00C0E"/>
    <w:rsid w:val="00B01B1A"/>
    <w:rsid w:val="00B0381D"/>
    <w:rsid w:val="00B44A47"/>
    <w:rsid w:val="00B72CD3"/>
    <w:rsid w:val="00B72FFF"/>
    <w:rsid w:val="00BA758C"/>
    <w:rsid w:val="00BC0180"/>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E0595"/>
    <w:rsid w:val="00D361FD"/>
    <w:rsid w:val="00D423A2"/>
    <w:rsid w:val="00D44E26"/>
    <w:rsid w:val="00D520D8"/>
    <w:rsid w:val="00D63AC2"/>
    <w:rsid w:val="00D7383B"/>
    <w:rsid w:val="00D7788A"/>
    <w:rsid w:val="00D83396"/>
    <w:rsid w:val="00DA231B"/>
    <w:rsid w:val="00DC39FC"/>
    <w:rsid w:val="00DF5254"/>
    <w:rsid w:val="00E02524"/>
    <w:rsid w:val="00E13A7A"/>
    <w:rsid w:val="00E16408"/>
    <w:rsid w:val="00E20894"/>
    <w:rsid w:val="00E245AB"/>
    <w:rsid w:val="00E2764C"/>
    <w:rsid w:val="00E27F2E"/>
    <w:rsid w:val="00E50AFE"/>
    <w:rsid w:val="00E75C92"/>
    <w:rsid w:val="00E771DC"/>
    <w:rsid w:val="00E77FE1"/>
    <w:rsid w:val="00E8772A"/>
    <w:rsid w:val="00E90F6B"/>
    <w:rsid w:val="00E91592"/>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3F033097"/>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BD791CFD-A86A-443D-B38C-6C82D543D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75A1"/>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C0180"/>
    <w:rPr>
      <w:rFonts w:ascii="Geomanist Light" w:hAnsi="Geomanist Light"/>
      <w:lang w:val="es-ES"/>
    </w:rPr>
  </w:style>
  <w:style w:type="paragraph" w:customStyle="1" w:styleId="Appelnotedebasde">
    <w:name w:val="Appel note de bas de..."/>
    <w:basedOn w:val="Normal"/>
    <w:link w:val="Refdenotaalpie"/>
    <w:uiPriority w:val="99"/>
    <w:rsid w:val="00BC0180"/>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anpabloair22@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A474D476014E104C943ED5E0AA09077C" ma:contentTypeVersion="3" ma:contentTypeDescription="Crear nuevo documento." ma:contentTypeScope="" ma:versionID="7f396a88abf4041777dc3b53343e19ba">
  <xsd:schema xmlns:xsd="http://www.w3.org/2001/XMLSchema" xmlns:xs="http://www.w3.org/2001/XMLSchema" xmlns:p="http://schemas.microsoft.com/office/2006/metadata/properties" xmlns:ns2="fb02ccb1-9bfe-43f1-9075-a12505bf7b0f" targetNamespace="http://schemas.microsoft.com/office/2006/metadata/properties" ma:root="true" ma:fieldsID="06f13dd87e57b5e4305f0f5ed234e613" ns2:_="">
    <xsd:import namespace="fb02ccb1-9bfe-43f1-9075-a12505bf7b0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02ccb1-9bfe-43f1-9075-a12505bf7b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36BC1CE-5F37-46FC-A943-AF94638D7D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02ccb1-9bfe-43f1-9075-a12505bf7b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24</TotalTime>
  <Pages>13</Pages>
  <Words>3740</Words>
  <Characters>20574</Characters>
  <Application>Microsoft Office Word</Application>
  <DocSecurity>0</DocSecurity>
  <Lines>171</Lines>
  <Paragraphs>48</Paragraphs>
  <ScaleCrop>false</ScaleCrop>
  <Company/>
  <LinksUpToDate>false</LinksUpToDate>
  <CharactersWithSpaces>24266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Oscar David Mórelo Pedroza</cp:lastModifiedBy>
  <cp:revision>14</cp:revision>
  <cp:lastPrinted>2023-01-10T18:18:00Z</cp:lastPrinted>
  <dcterms:created xsi:type="dcterms:W3CDTF">2026-04-28T16:10:00Z</dcterms:created>
  <dcterms:modified xsi:type="dcterms:W3CDTF">2026-04-29T17:24:00Z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0x010100A474D476014E104C943ED5E0AA09077C</vt:lpwstr>
  </property>
  <property fmtid="{D5CDD505-2E9C-101B-9397-08002B2CF9AE}" pid="3" name="MediaServiceImageTags">
    <vt:lpwstr/>
  </property>
</Properties>
</file>