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0A933" w14:textId="298BBE3E" w:rsidR="00E244D3" w:rsidRPr="002622CF" w:rsidRDefault="00E244D3" w:rsidP="002622CF">
      <w:pPr>
        <w:spacing w:after="0"/>
        <w:rPr>
          <w:rFonts w:ascii="Verdana" w:eastAsia="Verdana" w:hAnsi="Verdana" w:cs="Verdana"/>
        </w:rPr>
      </w:pPr>
      <w:bookmarkStart w:id="0" w:name="_Hlk143780582"/>
      <w:r w:rsidRPr="00E244D3">
        <w:rPr>
          <w:rFonts w:ascii="Verdana" w:eastAsia="Calibri" w:hAnsi="Verdana" w:cs="Arial"/>
          <w:b/>
          <w:bCs/>
          <w:lang w:val="es-ES_tradnl" w:eastAsia="es-MX"/>
        </w:rPr>
        <w:t xml:space="preserve">DOCUMENTOS TIPO – Fundamento normativo – Obligatoriedad </w:t>
      </w:r>
    </w:p>
    <w:p w14:paraId="2D37D4C2" w14:textId="77777777" w:rsidR="00E244D3" w:rsidRPr="00E244D3" w:rsidRDefault="00E244D3" w:rsidP="00E244D3">
      <w:pPr>
        <w:spacing w:after="0" w:line="276" w:lineRule="auto"/>
        <w:jc w:val="both"/>
        <w:rPr>
          <w:rFonts w:ascii="Verdana" w:eastAsia="Calibri" w:hAnsi="Verdana" w:cs="Arial"/>
          <w:b/>
          <w:bCs/>
          <w:sz w:val="20"/>
          <w:szCs w:val="20"/>
          <w:lang w:val="es-ES_tradnl" w:eastAsia="es-MX"/>
        </w:rPr>
      </w:pPr>
    </w:p>
    <w:p w14:paraId="51E9D80A" w14:textId="77777777" w:rsidR="00E244D3" w:rsidRPr="00E244D3" w:rsidRDefault="00E244D3" w:rsidP="00E244D3">
      <w:pPr>
        <w:tabs>
          <w:tab w:val="left" w:pos="709"/>
        </w:tabs>
        <w:spacing w:after="0" w:line="240" w:lineRule="auto"/>
        <w:jc w:val="both"/>
        <w:rPr>
          <w:rFonts w:ascii="Verdana" w:eastAsia="Calibri" w:hAnsi="Verdana" w:cs="Arial"/>
          <w:sz w:val="20"/>
          <w:szCs w:val="20"/>
          <w:lang w:val="es-ES" w:eastAsia="es-MX"/>
        </w:rPr>
      </w:pPr>
      <w:r w:rsidRPr="00E244D3">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311CF01" w14:textId="77777777" w:rsidR="00E244D3" w:rsidRPr="00E244D3" w:rsidRDefault="00E244D3" w:rsidP="00E244D3">
      <w:pPr>
        <w:spacing w:after="0" w:line="276" w:lineRule="auto"/>
        <w:jc w:val="both"/>
        <w:rPr>
          <w:rFonts w:ascii="Verdana" w:eastAsia="Calibri" w:hAnsi="Verdana" w:cs="Arial"/>
          <w:b/>
          <w:bCs/>
          <w:lang w:val="es-ES_tradnl" w:eastAsia="es-MX"/>
        </w:rPr>
      </w:pPr>
    </w:p>
    <w:p w14:paraId="2D3F04E6" w14:textId="77777777" w:rsidR="00E244D3" w:rsidRPr="00E244D3" w:rsidRDefault="00E244D3" w:rsidP="00E244D3">
      <w:pPr>
        <w:widowControl w:val="0"/>
        <w:autoSpaceDE w:val="0"/>
        <w:autoSpaceDN w:val="0"/>
        <w:spacing w:after="0" w:line="276" w:lineRule="auto"/>
        <w:jc w:val="both"/>
        <w:rPr>
          <w:rFonts w:ascii="Verdana" w:eastAsia="Calibri" w:hAnsi="Verdana" w:cs="Times New Roman"/>
          <w:b/>
          <w:bCs/>
          <w:lang w:val="es-ES" w:eastAsia="es-MX"/>
        </w:rPr>
      </w:pPr>
      <w:r w:rsidRPr="00E244D3">
        <w:rPr>
          <w:rFonts w:ascii="Verdana" w:eastAsia="Calibri" w:hAnsi="Verdana" w:cs="Arial"/>
          <w:b/>
          <w:bCs/>
          <w:lang w:val="es-ES_tradnl" w:eastAsia="es-MX"/>
        </w:rPr>
        <w:t>SECTOR SOCIAL</w:t>
      </w:r>
      <w:r w:rsidRPr="00E244D3">
        <w:rPr>
          <w:rFonts w:ascii="Verdana" w:eastAsia="Calibri" w:hAnsi="Verdana" w:cs="Times New Roman"/>
          <w:lang w:val="es-ES" w:eastAsia="es-MX"/>
        </w:rPr>
        <w:t xml:space="preserve"> </w:t>
      </w:r>
      <w:r w:rsidRPr="00E244D3">
        <w:rPr>
          <w:rFonts w:ascii="Verdana" w:eastAsia="Calibri" w:hAnsi="Verdana" w:cs="Times New Roman"/>
          <w:b/>
          <w:bCs/>
          <w:lang w:val="es-ES" w:eastAsia="es-MX"/>
        </w:rPr>
        <w:t>– Documentos tipo – Vigentes</w:t>
      </w:r>
    </w:p>
    <w:p w14:paraId="65ABB37C" w14:textId="77777777" w:rsidR="00E244D3" w:rsidRPr="00E244D3" w:rsidRDefault="00E244D3" w:rsidP="00E244D3">
      <w:pPr>
        <w:widowControl w:val="0"/>
        <w:autoSpaceDE w:val="0"/>
        <w:autoSpaceDN w:val="0"/>
        <w:spacing w:after="0" w:line="276" w:lineRule="auto"/>
        <w:jc w:val="both"/>
        <w:rPr>
          <w:rFonts w:ascii="Verdana" w:eastAsia="Calibri" w:hAnsi="Verdana" w:cs="Times New Roman"/>
          <w:b/>
          <w:bCs/>
          <w:lang w:val="es-ES" w:eastAsia="es-MX"/>
        </w:rPr>
      </w:pPr>
    </w:p>
    <w:p w14:paraId="07118447"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b/>
          <w:bCs/>
          <w:sz w:val="20"/>
          <w:szCs w:val="20"/>
          <w:lang w:val="es-ES" w:eastAsia="es-MX"/>
        </w:rPr>
      </w:pPr>
      <w:r w:rsidRPr="00E244D3">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460C3E4E" w14:textId="77777777" w:rsidR="00E244D3" w:rsidRPr="00E244D3" w:rsidRDefault="00E244D3" w:rsidP="00E244D3">
      <w:pPr>
        <w:widowControl w:val="0"/>
        <w:autoSpaceDE w:val="0"/>
        <w:autoSpaceDN w:val="0"/>
        <w:spacing w:after="0" w:line="276" w:lineRule="auto"/>
        <w:jc w:val="both"/>
        <w:rPr>
          <w:rFonts w:ascii="Verdana" w:eastAsia="Calibri" w:hAnsi="Verdana" w:cs="Times New Roman"/>
          <w:lang w:val="es-ES" w:eastAsia="es-MX"/>
        </w:rPr>
      </w:pPr>
    </w:p>
    <w:p w14:paraId="5EBF1E1C" w14:textId="77777777" w:rsidR="00E244D3" w:rsidRPr="00E244D3" w:rsidRDefault="00E244D3" w:rsidP="00E244D3">
      <w:pPr>
        <w:spacing w:after="0" w:line="276" w:lineRule="auto"/>
        <w:jc w:val="both"/>
        <w:rPr>
          <w:rFonts w:ascii="Verdana" w:eastAsia="Calibri" w:hAnsi="Verdana" w:cs="Times New Roman"/>
          <w:sz w:val="20"/>
          <w:szCs w:val="20"/>
          <w:lang w:val="es-ES" w:eastAsia="es-MX"/>
        </w:rPr>
      </w:pPr>
      <w:r w:rsidRPr="00E244D3">
        <w:rPr>
          <w:rFonts w:ascii="Verdana" w:eastAsia="Calibri" w:hAnsi="Verdana" w:cs="Times New Roman"/>
          <w:b/>
          <w:bCs/>
          <w:lang w:val="es-ES" w:eastAsia="es-MX"/>
        </w:rPr>
        <w:t xml:space="preserve">DOCUMENTOS TIPO – Aplicación – Matriz de Experiencia </w:t>
      </w:r>
    </w:p>
    <w:p w14:paraId="64F307F7" w14:textId="77777777" w:rsidR="00E244D3" w:rsidRPr="00E244D3" w:rsidRDefault="00E244D3" w:rsidP="00E244D3">
      <w:pPr>
        <w:spacing w:after="0" w:line="240" w:lineRule="auto"/>
        <w:rPr>
          <w:rFonts w:ascii="Verdana" w:eastAsia="Geomanist Light" w:hAnsi="Verdana" w:cs="Arial"/>
          <w:lang w:val="es-MX" w:eastAsia="es-MX"/>
        </w:rPr>
      </w:pPr>
    </w:p>
    <w:p w14:paraId="5A8568DE"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sz w:val="20"/>
          <w:szCs w:val="20"/>
          <w:lang w:val="es-ES" w:eastAsia="es-MX"/>
        </w:rPr>
      </w:pPr>
      <w:r w:rsidRPr="00E244D3">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B14FA31"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sz w:val="20"/>
          <w:szCs w:val="20"/>
          <w:lang w:val="es-ES" w:eastAsia="es-MX"/>
        </w:rPr>
      </w:pPr>
    </w:p>
    <w:p w14:paraId="7ECF1911"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sz w:val="20"/>
          <w:szCs w:val="20"/>
          <w:lang w:val="es-ES" w:eastAsia="es-MX"/>
        </w:rPr>
      </w:pPr>
      <w:r w:rsidRPr="00E244D3">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A019743"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sz w:val="20"/>
          <w:szCs w:val="20"/>
          <w:lang w:val="es-ES" w:eastAsia="es-MX"/>
        </w:rPr>
      </w:pPr>
    </w:p>
    <w:p w14:paraId="5A14C95E"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b/>
          <w:bCs/>
          <w:lang w:val="es-ES" w:eastAsia="es-MX"/>
        </w:rPr>
      </w:pPr>
      <w:r w:rsidRPr="00E244D3">
        <w:rPr>
          <w:rFonts w:ascii="Verdana" w:eastAsia="Calibri" w:hAnsi="Verdana" w:cs="Times New Roman"/>
          <w:b/>
          <w:bCs/>
          <w:lang w:val="es-ES" w:eastAsia="es-MX"/>
        </w:rPr>
        <w:t>OBRAS INFRAESTRUCTURA RECREO DEPORTIVAS – Documentos tipo – Infraestructura social – Aplicación – Demolición – Escenario deportivo</w:t>
      </w:r>
    </w:p>
    <w:p w14:paraId="6A7E07CB"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b/>
          <w:bCs/>
          <w:lang w:val="es-ES" w:eastAsia="es-MX"/>
        </w:rPr>
      </w:pPr>
    </w:p>
    <w:p w14:paraId="7FFDDF1E"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r w:rsidRPr="00E244D3">
        <w:rPr>
          <w:rFonts w:ascii="Verdana" w:eastAsia="Calibri" w:hAnsi="Verdana" w:cs="Arial"/>
          <w:sz w:val="20"/>
          <w:szCs w:val="20"/>
          <w:lang w:val="es-MX" w:eastAsia="es-MX"/>
        </w:rPr>
        <w:t xml:space="preserve">Concretamente, su solicitud se dirige a determinar sí los documentos tipo del sector cultura, recreación y deporte adoptados por la Agencia Nacional de Contratación Pública – Colombia Compra Eficiente aplican para adelantar la “implosión de un escenario </w:t>
      </w:r>
      <w:r w:rsidRPr="00E244D3">
        <w:rPr>
          <w:rFonts w:ascii="Verdana" w:eastAsia="Calibri" w:hAnsi="Verdana" w:cs="Arial"/>
          <w:sz w:val="20"/>
          <w:szCs w:val="20"/>
          <w:lang w:val="es-MX" w:eastAsia="es-MX"/>
        </w:rPr>
        <w:lastRenderedPageBreak/>
        <w:t xml:space="preserve">deportivo”, actividad que según afirma implica la “(…) demolición controlada mediante técnicas especializadas”. Sobre el particular, la Agencia Nacional de Contratación Pública – Colombia Compra Eficiente le indica que, tal como señala en su solicitud, la implosión es un tipo de demolición, la cual, se define como el conjunto de actividades destinadas a derribar total o parcialmente una o varias edificaciones. </w:t>
      </w:r>
    </w:p>
    <w:p w14:paraId="49658313"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p>
    <w:p w14:paraId="56624F6F"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r w:rsidRPr="00E244D3">
        <w:rPr>
          <w:rFonts w:ascii="Verdana" w:eastAsia="Calibri" w:hAnsi="Verdana" w:cs="Arial"/>
          <w:sz w:val="20"/>
          <w:szCs w:val="20"/>
          <w:lang w:val="es-MX" w:eastAsia="es-MX"/>
        </w:rPr>
        <w:t>Considerando lo anterior, es preciso señalar que el objeto específico de implosión o demolición no se encuentra expresamente contemplado en la Matriz 1 – Experiencia del sector cultura, recreación y deporte, para obras de infraestructura recreodeportiva dentro de las actividades allí previstas. No obstante, dado que la implosión constituye una modalidad de demolición, esto es, un conjunto de actividades destinadas al derribo total o parcial de una edificación, su análisis debe realizarse en función de su relación con las actividades definidas, particularmente las de “Rehabilitación”, “Reposición”, “Intervención” y “Restitución”.</w:t>
      </w:r>
    </w:p>
    <w:p w14:paraId="148E45DF"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p>
    <w:p w14:paraId="311B28BF"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r w:rsidRPr="00E244D3">
        <w:rPr>
          <w:rFonts w:ascii="Verdana" w:eastAsia="Calibri" w:hAnsi="Verdana" w:cs="Arial"/>
          <w:sz w:val="20"/>
          <w:szCs w:val="20"/>
          <w:lang w:val="es-MX" w:eastAsia="es-MX"/>
        </w:rPr>
        <w:t>En ese sentido, corresponde a la entidad estatal que estructura y adelanta el proceso de selección determinar, con base en el análisis técnico y jurídico del objeto contractual, si la implosión se enmarca materialmente dentro de alguna de los proyectos previstos en la actividad 2.5 particularmente los de “Rehabilitación”, “Reposición”, “Intervención” y “Restitución” y, por tanto, si resulta procedente la aplicación de los documentos tipo del sector cultura, recreación y deporte. Esta decisión debe adoptarse atendiendo a la finalidad del proyecto, el alcance de las actividades a ejecutar y los principios de planeación y responsabilidad que rigen la contratación estatal.</w:t>
      </w:r>
    </w:p>
    <w:p w14:paraId="79F6EBB8"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p>
    <w:p w14:paraId="10BDE4DD" w14:textId="77777777" w:rsidR="00E244D3" w:rsidRPr="002622CF" w:rsidRDefault="00E244D3" w:rsidP="00E244D3">
      <w:pPr>
        <w:snapToGrid w:val="0"/>
        <w:spacing w:after="0" w:line="240" w:lineRule="auto"/>
        <w:jc w:val="both"/>
        <w:rPr>
          <w:rFonts w:ascii="Verdana" w:eastAsia="Calibri" w:hAnsi="Verdana" w:cs="Arial"/>
          <w:b/>
          <w:color w:val="000000"/>
          <w:kern w:val="2"/>
          <w:lang w:eastAsia="es-ES_tradnl"/>
          <w14:ligatures w14:val="standardContextual"/>
        </w:rPr>
      </w:pPr>
      <w:r w:rsidRPr="002622CF">
        <w:rPr>
          <w:rFonts w:ascii="Verdana" w:eastAsia="Calibri" w:hAnsi="Verdana" w:cs="Arial"/>
          <w:b/>
          <w:color w:val="000000"/>
          <w:kern w:val="2"/>
          <w:lang w:eastAsia="es-ES_tradnl"/>
          <w14:ligatures w14:val="standardContextual"/>
        </w:rPr>
        <w:t>DOCUMENTOS TIPO – Criterio de buenas prácticas</w:t>
      </w:r>
    </w:p>
    <w:p w14:paraId="60019EDE"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eastAsia="es-MX"/>
        </w:rPr>
      </w:pPr>
    </w:p>
    <w:p w14:paraId="39388769"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r w:rsidRPr="00E244D3">
        <w:rPr>
          <w:rFonts w:ascii="Verdana" w:eastAsia="Times New Roman" w:hAnsi="Verdana" w:cs="Arial"/>
          <w:kern w:val="2"/>
          <w:sz w:val="20"/>
          <w:szCs w:val="20"/>
          <w:shd w:val="clear" w:color="auto" w:fill="FFFFFF"/>
          <w:lang w:val="es-ES_tradnl" w:eastAsia="es-ES"/>
          <w14:ligatures w14:val="standardContextual"/>
        </w:rPr>
        <w:t>(…) s</w:t>
      </w:r>
      <w:r w:rsidRPr="00E244D3">
        <w:rPr>
          <w:rFonts w:ascii="Verdana" w:eastAsia="Times New Roman" w:hAnsi="Verdana" w:cs="Arial"/>
          <w:kern w:val="2"/>
          <w:sz w:val="20"/>
          <w:szCs w:val="20"/>
          <w:shd w:val="clear" w:color="auto" w:fill="FFFFFF"/>
          <w:lang w:val="es-ES" w:eastAsia="es-ES"/>
          <w14:ligatures w14:val="standardContextual"/>
        </w:rPr>
        <w:t xml:space="preserve">i la Entidad determina que no está obligada a aplicar de manera forzosa los documentos tipo para desarrollar los procesos de contratación —ya sea porque, normativamente, no le resultan aplicables o porque el proceso que se pretende adelantar no se enmarca dentro de las modalidades de selección y tipos de obra estandarizados en las respectivas matrices de experiencia—, en tales escenarios dichos documentos carecen de fuerza obligatoria y </w:t>
      </w:r>
      <w:r w:rsidRPr="00E244D3">
        <w:rPr>
          <w:rFonts w:ascii="Verdana" w:eastAsia="Calibri" w:hAnsi="Verdana" w:cs="Arial"/>
          <w:sz w:val="20"/>
          <w:szCs w:val="20"/>
          <w:lang w:val="es-MX" w:eastAsia="es-MX"/>
        </w:rPr>
        <w:t>en consecuencia no deberá aplicar lo establecido en el literal M del documento base de los documentos tipo de licitación d eobra pública de infraestructura social – versión 2, que señala las consideraciones para “Obras, bienes o servicios adicionales a la obra pública de Infraestructura Social.”</w:t>
      </w:r>
    </w:p>
    <w:p w14:paraId="48AF9C0A"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p>
    <w:p w14:paraId="1401FDC2"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MX" w:eastAsia="es-MX"/>
        </w:rPr>
      </w:pPr>
      <w:r w:rsidRPr="00E244D3">
        <w:rPr>
          <w:rFonts w:ascii="Verdana" w:eastAsia="Times New Roman" w:hAnsi="Verdana" w:cs="Arial"/>
          <w:kern w:val="2"/>
          <w:sz w:val="20"/>
          <w:szCs w:val="20"/>
          <w:shd w:val="clear" w:color="auto" w:fill="FFFFFF"/>
          <w:lang w:val="es-ES_tradnl" w:eastAsia="es-ES_tradnl"/>
          <w14:ligatures w14:val="standardContextual"/>
        </w:rPr>
        <w:t>En consecuencia, la Entidad deberá estructurar sus procesos atendiendo la normativa vigente en materia de compras y contratación pública. Sin embargo, las entidades pueden observar los documentos tipo de forma facultativa, como una estrategia para adoptar e incorporar políticas de buenas prácticas contractuales, realizando, en caso de que sea necesario, las adaptaciones que consideren pertinentes.</w:t>
      </w:r>
    </w:p>
    <w:p w14:paraId="2B70B1F3" w14:textId="77777777" w:rsidR="00E244D3" w:rsidRPr="00E244D3" w:rsidRDefault="00E244D3" w:rsidP="00E244D3">
      <w:pPr>
        <w:widowControl w:val="0"/>
        <w:autoSpaceDE w:val="0"/>
        <w:autoSpaceDN w:val="0"/>
        <w:spacing w:after="0" w:line="240" w:lineRule="auto"/>
        <w:jc w:val="both"/>
        <w:rPr>
          <w:rFonts w:ascii="Verdana" w:eastAsia="Calibri" w:hAnsi="Verdana" w:cs="Arial"/>
          <w:sz w:val="20"/>
          <w:szCs w:val="20"/>
          <w:lang w:val="es-ES_tradnl" w:eastAsia="es-MX"/>
        </w:rPr>
      </w:pPr>
    </w:p>
    <w:p w14:paraId="1D679324"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b/>
          <w:bCs/>
          <w:lang w:val="es-ES" w:eastAsia="es-MX"/>
        </w:rPr>
      </w:pPr>
    </w:p>
    <w:p w14:paraId="29849A15" w14:textId="77777777" w:rsidR="00E244D3" w:rsidRPr="00E244D3" w:rsidRDefault="00E244D3" w:rsidP="00E244D3">
      <w:pPr>
        <w:widowControl w:val="0"/>
        <w:autoSpaceDE w:val="0"/>
        <w:autoSpaceDN w:val="0"/>
        <w:spacing w:after="0" w:line="240" w:lineRule="auto"/>
        <w:jc w:val="both"/>
        <w:rPr>
          <w:rFonts w:ascii="Verdana" w:eastAsia="Calibri" w:hAnsi="Verdana" w:cs="Times New Roman"/>
          <w:sz w:val="20"/>
          <w:szCs w:val="20"/>
          <w:lang w:val="es-ES" w:eastAsia="es-MX"/>
        </w:rPr>
      </w:pPr>
    </w:p>
    <w:p w14:paraId="3EECB39F" w14:textId="77777777" w:rsidR="00E244D3" w:rsidRPr="00E244D3" w:rsidRDefault="00E244D3" w:rsidP="00E244D3">
      <w:pPr>
        <w:spacing w:after="0" w:line="240" w:lineRule="auto"/>
        <w:jc w:val="both"/>
        <w:rPr>
          <w:rFonts w:ascii="Arial" w:eastAsia="Calibri" w:hAnsi="Arial" w:cs="Arial"/>
          <w:b/>
          <w:bCs/>
          <w:color w:val="000000"/>
          <w:sz w:val="24"/>
          <w:szCs w:val="24"/>
          <w:lang w:eastAsia="es-MX"/>
        </w:rPr>
      </w:pPr>
    </w:p>
    <w:p w14:paraId="19B3B581" w14:textId="77777777" w:rsidR="00E244D3" w:rsidRPr="00E244D3" w:rsidRDefault="00E244D3" w:rsidP="00E244D3">
      <w:pPr>
        <w:spacing w:after="0" w:line="240" w:lineRule="auto"/>
        <w:jc w:val="both"/>
        <w:rPr>
          <w:rFonts w:ascii="Arial" w:eastAsia="Calibri" w:hAnsi="Arial" w:cs="Arial"/>
          <w:b/>
          <w:bCs/>
          <w:color w:val="000000"/>
          <w:sz w:val="24"/>
          <w:szCs w:val="24"/>
          <w:lang w:eastAsia="es-MX"/>
        </w:rPr>
      </w:pPr>
    </w:p>
    <w:p w14:paraId="1E46C811" w14:textId="1376CF66" w:rsidR="00E244D3" w:rsidRDefault="00E244D3" w:rsidP="00E244D3">
      <w:pPr>
        <w:spacing w:after="0" w:line="240" w:lineRule="auto"/>
        <w:rPr>
          <w:rFonts w:ascii="Verdana" w:eastAsia="Aptos" w:hAnsi="Verdana" w:cs="Times New Roman"/>
          <w:sz w:val="24"/>
          <w:szCs w:val="24"/>
          <w:lang w:eastAsia="es-MX"/>
        </w:rPr>
      </w:pPr>
      <w:r w:rsidRPr="00E244D3">
        <w:rPr>
          <w:rFonts w:ascii="Verdana" w:eastAsia="Aptos" w:hAnsi="Verdana" w:cs="Times New Roman"/>
          <w:sz w:val="24"/>
          <w:szCs w:val="24"/>
          <w:lang w:eastAsia="es-MX"/>
        </w:rPr>
        <w:t xml:space="preserve">Bogotá D.C., </w:t>
      </w:r>
      <w:r w:rsidR="001A328C">
        <w:rPr>
          <w:rFonts w:ascii="Verdana" w:eastAsia="Aptos" w:hAnsi="Verdana" w:cs="Times New Roman"/>
          <w:sz w:val="24"/>
          <w:szCs w:val="24"/>
          <w:lang w:eastAsia="es-MX"/>
        </w:rPr>
        <w:t>23 de abril de 2026</w:t>
      </w:r>
    </w:p>
    <w:p w14:paraId="6F0C67D2" w14:textId="1649E961" w:rsidR="00762469" w:rsidRPr="001A328C" w:rsidRDefault="00762469" w:rsidP="00E244D3">
      <w:pPr>
        <w:spacing w:after="0" w:line="240" w:lineRule="auto"/>
        <w:rPr>
          <w:rFonts w:ascii="Verdana" w:eastAsia="Aptos" w:hAnsi="Verdana" w:cs="Times New Roman"/>
          <w:sz w:val="24"/>
          <w:szCs w:val="24"/>
          <w:lang w:eastAsia="es-MX"/>
        </w:rPr>
      </w:pPr>
    </w:p>
    <w:p w14:paraId="44BCD7A8" w14:textId="77777777" w:rsidR="00762469" w:rsidRDefault="00762469" w:rsidP="00E244D3">
      <w:pPr>
        <w:spacing w:after="0" w:line="240" w:lineRule="auto"/>
        <w:rPr>
          <w:rFonts w:ascii="Verdana" w:eastAsia="Calibri" w:hAnsi="Verdana" w:cs="Arial"/>
          <w:lang w:val="es-ES" w:eastAsia="es-ES"/>
        </w:rPr>
      </w:pPr>
    </w:p>
    <w:p w14:paraId="0166FF11" w14:textId="0A9F8E08" w:rsidR="00C54A39" w:rsidRDefault="00C54A39" w:rsidP="00E244D3">
      <w:pPr>
        <w:spacing w:after="0" w:line="240" w:lineRule="auto"/>
        <w:rPr>
          <w:rFonts w:ascii="Verdana" w:eastAsia="Calibri" w:hAnsi="Verdana" w:cs="Arial"/>
          <w:lang w:val="es-ES" w:eastAsia="es-ES"/>
        </w:rPr>
      </w:pPr>
    </w:p>
    <w:p w14:paraId="35DDA632" w14:textId="634472E5" w:rsidR="00C54A39" w:rsidRDefault="00C54A39" w:rsidP="00E244D3">
      <w:pPr>
        <w:spacing w:after="0" w:line="240" w:lineRule="auto"/>
        <w:rPr>
          <w:rFonts w:ascii="Verdana" w:eastAsia="Calibri" w:hAnsi="Verdana" w:cs="Arial"/>
          <w:lang w:val="es-ES" w:eastAsia="es-ES"/>
        </w:rPr>
      </w:pPr>
    </w:p>
    <w:p w14:paraId="3F7801A3" w14:textId="2C8AECE1" w:rsidR="00C54A39" w:rsidRPr="00E244D3" w:rsidRDefault="002622CF" w:rsidP="00E244D3">
      <w:pPr>
        <w:spacing w:after="0" w:line="240" w:lineRule="auto"/>
        <w:rPr>
          <w:rFonts w:ascii="Verdana" w:eastAsia="Calibri" w:hAnsi="Verdana" w:cs="Arial"/>
          <w:lang w:val="es-ES" w:eastAsia="es-ES"/>
        </w:rPr>
      </w:pPr>
      <w:r w:rsidRPr="001A328C">
        <w:rPr>
          <w:rFonts w:ascii="Verdana" w:eastAsia="Aptos" w:hAnsi="Verdana" w:cs="Times New Roman"/>
          <w:noProof/>
          <w:sz w:val="24"/>
          <w:szCs w:val="24"/>
          <w:lang w:eastAsia="es-MX"/>
        </w:rPr>
        <w:drawing>
          <wp:anchor distT="0" distB="0" distL="114300" distR="114300" simplePos="0" relativeHeight="251658240" behindDoc="0" locked="0" layoutInCell="1" allowOverlap="1" wp14:anchorId="42FB2BCA" wp14:editId="586066F4">
            <wp:simplePos x="0" y="0"/>
            <wp:positionH relativeFrom="margin">
              <wp:align>right</wp:align>
            </wp:positionH>
            <wp:positionV relativeFrom="paragraph">
              <wp:posOffset>3810</wp:posOffset>
            </wp:positionV>
            <wp:extent cx="2811780" cy="945515"/>
            <wp:effectExtent l="0" t="0" r="7620" b="6985"/>
            <wp:wrapSquare wrapText="bothSides"/>
            <wp:docPr id="18434113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1139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11780" cy="945515"/>
                    </a:xfrm>
                    <a:prstGeom prst="rect">
                      <a:avLst/>
                    </a:prstGeom>
                  </pic:spPr>
                </pic:pic>
              </a:graphicData>
            </a:graphic>
            <wp14:sizeRelH relativeFrom="page">
              <wp14:pctWidth>0</wp14:pctWidth>
            </wp14:sizeRelH>
            <wp14:sizeRelV relativeFrom="page">
              <wp14:pctHeight>0</wp14:pctHeight>
            </wp14:sizeRelV>
          </wp:anchor>
        </w:drawing>
      </w:r>
    </w:p>
    <w:p w14:paraId="7649D50A" w14:textId="77777777" w:rsidR="00E244D3" w:rsidRPr="00E244D3" w:rsidRDefault="00E244D3" w:rsidP="00E244D3">
      <w:pPr>
        <w:spacing w:after="0" w:line="240" w:lineRule="auto"/>
        <w:rPr>
          <w:rFonts w:ascii="Verdana" w:eastAsia="Calibri" w:hAnsi="Verdana" w:cs="Arial"/>
          <w:lang w:val="es-ES" w:eastAsia="es-ES"/>
        </w:rPr>
      </w:pPr>
      <w:r w:rsidRPr="00E244D3">
        <w:rPr>
          <w:rFonts w:ascii="Verdana" w:eastAsia="Calibri" w:hAnsi="Verdana" w:cs="Arial"/>
          <w:lang w:val="es-ES" w:eastAsia="es-ES"/>
        </w:rPr>
        <w:t>Señor</w:t>
      </w:r>
    </w:p>
    <w:p w14:paraId="097ECEDB" w14:textId="77777777" w:rsidR="00E244D3" w:rsidRPr="00E244D3" w:rsidRDefault="00E244D3" w:rsidP="00E244D3">
      <w:pPr>
        <w:spacing w:after="0" w:line="240" w:lineRule="auto"/>
        <w:rPr>
          <w:rFonts w:ascii="Verdana" w:eastAsia="Aptos" w:hAnsi="Verdana" w:cs="Times New Roman"/>
          <w:b/>
          <w:bCs/>
          <w:lang w:eastAsia="es-MX"/>
        </w:rPr>
      </w:pPr>
      <w:r w:rsidRPr="00E244D3">
        <w:rPr>
          <w:rFonts w:ascii="Verdana" w:eastAsia="Aptos" w:hAnsi="Verdana" w:cs="Times New Roman"/>
          <w:b/>
          <w:bCs/>
          <w:lang w:eastAsia="es-MX"/>
        </w:rPr>
        <w:t>Juan Camilo Muñoz Losada</w:t>
      </w:r>
    </w:p>
    <w:p w14:paraId="60D26287" w14:textId="77777777" w:rsidR="00E244D3" w:rsidRPr="00E244D3" w:rsidRDefault="00E244D3" w:rsidP="00E244D3">
      <w:pPr>
        <w:spacing w:after="0" w:line="240" w:lineRule="auto"/>
        <w:rPr>
          <w:rFonts w:ascii="Verdana" w:eastAsia="Aptos" w:hAnsi="Verdana" w:cs="Times New Roman"/>
          <w:lang w:eastAsia="es-MX"/>
        </w:rPr>
      </w:pPr>
      <w:r w:rsidRPr="00E244D3">
        <w:rPr>
          <w:rFonts w:ascii="Verdana" w:eastAsia="Aptos" w:hAnsi="Verdana" w:cs="Times New Roman"/>
          <w:lang w:eastAsia="es-MX"/>
        </w:rPr>
        <w:t>Secretario de Deporte y Recreación</w:t>
      </w:r>
    </w:p>
    <w:p w14:paraId="021AAD03" w14:textId="77777777" w:rsidR="00E244D3" w:rsidRPr="00E244D3" w:rsidRDefault="00E244D3" w:rsidP="00E244D3">
      <w:pPr>
        <w:spacing w:after="0" w:line="240" w:lineRule="auto"/>
        <w:rPr>
          <w:rFonts w:ascii="Verdana" w:eastAsia="Aptos" w:hAnsi="Verdana" w:cs="Times New Roman"/>
          <w:lang w:eastAsia="es-MX"/>
        </w:rPr>
      </w:pPr>
      <w:r w:rsidRPr="00E244D3">
        <w:rPr>
          <w:rFonts w:ascii="Verdana" w:eastAsia="Aptos" w:hAnsi="Verdana" w:cs="Times New Roman"/>
          <w:lang w:eastAsia="es-MX"/>
        </w:rPr>
        <w:t>Alcaldía de Neiva</w:t>
      </w:r>
    </w:p>
    <w:p w14:paraId="546C0901" w14:textId="77777777" w:rsidR="00E244D3" w:rsidRPr="00E244D3" w:rsidRDefault="00E244D3" w:rsidP="00E244D3">
      <w:pPr>
        <w:spacing w:after="0" w:line="240" w:lineRule="auto"/>
        <w:rPr>
          <w:rFonts w:ascii="Verdana" w:eastAsia="Aptos" w:hAnsi="Verdana" w:cs="Times New Roman"/>
          <w:lang w:eastAsia="es-MX"/>
        </w:rPr>
      </w:pPr>
      <w:r w:rsidRPr="00E244D3">
        <w:rPr>
          <w:rFonts w:ascii="Verdana" w:eastAsia="Aptos" w:hAnsi="Verdana" w:cs="Times New Roman"/>
          <w:lang w:eastAsia="es-MX"/>
        </w:rPr>
        <w:t>Neiva, Huila</w:t>
      </w:r>
    </w:p>
    <w:p w14:paraId="4FA25F0E" w14:textId="77777777" w:rsidR="00E244D3" w:rsidRDefault="00E244D3" w:rsidP="00E244D3">
      <w:pPr>
        <w:spacing w:after="0" w:line="240" w:lineRule="auto"/>
        <w:rPr>
          <w:rFonts w:ascii="Verdana" w:eastAsia="Calibri" w:hAnsi="Verdana" w:cs="Arial"/>
          <w:lang w:eastAsia="es-ES_tradnl"/>
        </w:rPr>
      </w:pPr>
    </w:p>
    <w:p w14:paraId="70957FB7" w14:textId="77777777" w:rsidR="00596BF4" w:rsidRPr="00E244D3" w:rsidRDefault="00596BF4" w:rsidP="00E244D3">
      <w:pPr>
        <w:spacing w:after="0" w:line="240" w:lineRule="auto"/>
        <w:rPr>
          <w:rFonts w:ascii="Verdana" w:eastAsia="Calibri" w:hAnsi="Verdana" w:cs="Arial"/>
          <w:lang w:eastAsia="es-ES_tradnl"/>
        </w:rPr>
      </w:pPr>
    </w:p>
    <w:p w14:paraId="232577F3" w14:textId="77777777" w:rsidR="00E244D3" w:rsidRPr="00E244D3" w:rsidRDefault="00E244D3" w:rsidP="00E244D3">
      <w:pPr>
        <w:spacing w:after="0" w:line="240" w:lineRule="auto"/>
        <w:rPr>
          <w:rFonts w:ascii="Verdana" w:eastAsia="Calibri" w:hAnsi="Verdana" w:cs="Arial"/>
          <w:b/>
          <w:bCs/>
          <w:lang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244D3" w:rsidRPr="00E244D3" w14:paraId="0372A727" w14:textId="77777777" w:rsidTr="00C80FF3">
        <w:trPr>
          <w:trHeight w:val="229"/>
        </w:trPr>
        <w:tc>
          <w:tcPr>
            <w:tcW w:w="2268" w:type="dxa"/>
          </w:tcPr>
          <w:p w14:paraId="6F777346" w14:textId="77777777" w:rsidR="00E244D3" w:rsidRPr="00E244D3" w:rsidRDefault="00E244D3" w:rsidP="00E244D3">
            <w:pPr>
              <w:jc w:val="both"/>
              <w:rPr>
                <w:rFonts w:ascii="Verdana" w:eastAsia="Calibri" w:hAnsi="Verdana" w:cs="Arial"/>
                <w:b/>
                <w:bCs/>
                <w:lang w:val="es-ES_tradnl" w:eastAsia="es-ES_tradnl"/>
              </w:rPr>
            </w:pPr>
          </w:p>
        </w:tc>
        <w:tc>
          <w:tcPr>
            <w:tcW w:w="6100" w:type="dxa"/>
          </w:tcPr>
          <w:p w14:paraId="548E4801" w14:textId="77777777" w:rsidR="00E244D3" w:rsidRPr="00E244D3" w:rsidRDefault="00E244D3" w:rsidP="00E244D3">
            <w:pPr>
              <w:jc w:val="both"/>
              <w:rPr>
                <w:rFonts w:ascii="Verdana" w:eastAsia="Calibri" w:hAnsi="Verdana" w:cs="Arial"/>
                <w:b/>
                <w:bCs/>
                <w:lang w:val="es-ES" w:eastAsia="es-ES"/>
              </w:rPr>
            </w:pPr>
            <w:r w:rsidRPr="00E244D3">
              <w:rPr>
                <w:rFonts w:ascii="Verdana" w:eastAsia="Calibri" w:hAnsi="Verdana" w:cs="Arial"/>
                <w:b/>
                <w:bCs/>
                <w:lang w:val="es-ES" w:eastAsia="es-ES"/>
              </w:rPr>
              <w:t xml:space="preserve">Concepto </w:t>
            </w:r>
            <w:bookmarkStart w:id="1" w:name="OLE_LINK1"/>
            <w:r w:rsidRPr="00E244D3">
              <w:rPr>
                <w:rFonts w:ascii="Verdana" w:eastAsia="Calibri" w:hAnsi="Verdana" w:cs="Arial"/>
                <w:b/>
                <w:bCs/>
                <w:lang w:val="es-ES" w:eastAsia="es-ES"/>
              </w:rPr>
              <w:t>C-475 de 2026</w:t>
            </w:r>
            <w:bookmarkEnd w:id="1"/>
          </w:p>
          <w:p w14:paraId="79BACF84" w14:textId="77777777" w:rsidR="00E244D3" w:rsidRDefault="00E244D3" w:rsidP="00E244D3">
            <w:pPr>
              <w:jc w:val="both"/>
              <w:rPr>
                <w:rFonts w:ascii="Verdana" w:eastAsia="Calibri" w:hAnsi="Verdana" w:cs="Arial"/>
                <w:b/>
                <w:bCs/>
                <w:lang w:val="es-ES" w:eastAsia="es-ES"/>
              </w:rPr>
            </w:pPr>
          </w:p>
          <w:p w14:paraId="716D26B3" w14:textId="77777777" w:rsidR="00596BF4" w:rsidRPr="00E244D3" w:rsidRDefault="00596BF4" w:rsidP="00E244D3">
            <w:pPr>
              <w:jc w:val="both"/>
              <w:rPr>
                <w:rFonts w:ascii="Verdana" w:eastAsia="Calibri" w:hAnsi="Verdana" w:cs="Arial"/>
                <w:b/>
                <w:bCs/>
                <w:lang w:val="es-ES" w:eastAsia="es-ES"/>
              </w:rPr>
            </w:pPr>
          </w:p>
        </w:tc>
      </w:tr>
      <w:tr w:rsidR="00E244D3" w:rsidRPr="00E244D3" w14:paraId="684B2304" w14:textId="77777777" w:rsidTr="00C80FF3">
        <w:trPr>
          <w:trHeight w:val="884"/>
        </w:trPr>
        <w:tc>
          <w:tcPr>
            <w:tcW w:w="2268" w:type="dxa"/>
          </w:tcPr>
          <w:p w14:paraId="60833BE3" w14:textId="77777777" w:rsidR="00E244D3" w:rsidRPr="00E244D3" w:rsidRDefault="00E244D3" w:rsidP="00E244D3">
            <w:pPr>
              <w:jc w:val="both"/>
              <w:rPr>
                <w:rFonts w:ascii="Verdana" w:eastAsia="Calibri" w:hAnsi="Verdana" w:cs="Arial"/>
                <w:lang w:val="es-ES_tradnl" w:eastAsia="es-ES_tradnl"/>
              </w:rPr>
            </w:pPr>
            <w:r w:rsidRPr="00E244D3">
              <w:rPr>
                <w:rFonts w:ascii="Verdana" w:eastAsia="Calibri" w:hAnsi="Verdana" w:cs="Arial"/>
                <w:b/>
                <w:lang w:val="es-ES_tradnl" w:eastAsia="es-ES_tradnl"/>
              </w:rPr>
              <w:t>Temas:</w:t>
            </w:r>
            <w:r w:rsidRPr="00E244D3">
              <w:rPr>
                <w:rFonts w:ascii="Verdana" w:eastAsia="Calibri" w:hAnsi="Verdana" w:cs="Arial"/>
                <w:lang w:val="es-ES_tradnl" w:eastAsia="es-ES_tradnl"/>
              </w:rPr>
              <w:t xml:space="preserve">                   </w:t>
            </w:r>
          </w:p>
        </w:tc>
        <w:tc>
          <w:tcPr>
            <w:tcW w:w="6100" w:type="dxa"/>
          </w:tcPr>
          <w:p w14:paraId="259D6090" w14:textId="77777777" w:rsidR="00E244D3" w:rsidRPr="00E244D3" w:rsidRDefault="00E244D3" w:rsidP="00E244D3">
            <w:pPr>
              <w:snapToGrid w:val="0"/>
              <w:jc w:val="both"/>
              <w:rPr>
                <w:rFonts w:ascii="Arial" w:eastAsia="Calibri" w:hAnsi="Arial" w:cs="Arial"/>
                <w:color w:val="000000"/>
                <w:lang w:eastAsia="es-ES_tradnl"/>
              </w:rPr>
            </w:pPr>
            <w:r w:rsidRPr="00E244D3">
              <w:rPr>
                <w:rFonts w:ascii="Verdana" w:eastAsia="Calibri" w:hAnsi="Verdana" w:cs="Arial"/>
                <w:lang w:val="es-ES_tradnl" w:eastAsia="es-MX"/>
              </w:rPr>
              <w:t>DOCUMENTOS TIPO – Fundamento normativo – Obligatoriedad / SECTOR SOCIAL</w:t>
            </w:r>
            <w:r w:rsidRPr="00E244D3">
              <w:rPr>
                <w:rFonts w:ascii="Verdana" w:eastAsia="Calibri" w:hAnsi="Verdana" w:cs="Times New Roman"/>
                <w:lang w:val="es-ES" w:eastAsia="es-MX"/>
              </w:rPr>
              <w:t xml:space="preserve"> – Documentos tipo – Vigentes / DOCUMENTOS TIPO – Aplicación – Matriz de Experiencia </w:t>
            </w:r>
            <w:r w:rsidRPr="00E244D3">
              <w:rPr>
                <w:rFonts w:ascii="Verdana" w:eastAsia="Calibri" w:hAnsi="Verdana" w:cs="Times New Roman"/>
                <w:sz w:val="20"/>
                <w:szCs w:val="20"/>
                <w:lang w:val="es-ES" w:eastAsia="es-MX"/>
              </w:rPr>
              <w:t xml:space="preserve">/ </w:t>
            </w:r>
            <w:r w:rsidRPr="00E244D3">
              <w:rPr>
                <w:rFonts w:ascii="Verdana" w:eastAsia="Calibri" w:hAnsi="Verdana" w:cs="Times New Roman"/>
                <w:lang w:val="es-ES" w:eastAsia="es-MX"/>
              </w:rPr>
              <w:t xml:space="preserve">OBRAS INFRAESTRUCTURA RECREO DEPORTIVAS – Documentos tipo – Infraestructura social – Aplicación – Demolición – Escenario deportivo / </w:t>
            </w:r>
            <w:r w:rsidRPr="00E244D3">
              <w:rPr>
                <w:rFonts w:ascii="Arial" w:eastAsia="Calibri" w:hAnsi="Arial" w:cs="Arial"/>
                <w:color w:val="000000"/>
                <w:lang w:eastAsia="es-ES_tradnl"/>
              </w:rPr>
              <w:t>DOCUMENTOS TIPO – Criterio de buenas prácticas</w:t>
            </w:r>
          </w:p>
          <w:p w14:paraId="218E39C6" w14:textId="77777777" w:rsidR="00E244D3" w:rsidRPr="00E244D3" w:rsidRDefault="00E244D3" w:rsidP="00E244D3">
            <w:pPr>
              <w:jc w:val="both"/>
              <w:rPr>
                <w:rFonts w:ascii="Verdana" w:eastAsia="Calibri" w:hAnsi="Verdana" w:cs="Arial"/>
                <w:bCs/>
                <w:lang w:eastAsia="es-ES"/>
              </w:rPr>
            </w:pPr>
          </w:p>
        </w:tc>
      </w:tr>
      <w:tr w:rsidR="00E244D3" w:rsidRPr="00E244D3" w14:paraId="3C6EF92C" w14:textId="77777777" w:rsidTr="00C80FF3">
        <w:tc>
          <w:tcPr>
            <w:tcW w:w="2268" w:type="dxa"/>
          </w:tcPr>
          <w:p w14:paraId="258B323D" w14:textId="77777777" w:rsidR="00E244D3" w:rsidRPr="00E244D3" w:rsidRDefault="00E244D3" w:rsidP="00E244D3">
            <w:pPr>
              <w:jc w:val="both"/>
              <w:rPr>
                <w:rFonts w:ascii="Verdana" w:eastAsia="Calibri" w:hAnsi="Verdana" w:cs="Arial"/>
                <w:b/>
                <w:lang w:val="es-ES_tradnl" w:eastAsia="es-ES_tradnl"/>
              </w:rPr>
            </w:pPr>
            <w:r w:rsidRPr="00E244D3">
              <w:rPr>
                <w:rFonts w:ascii="Verdana" w:eastAsia="Calibri" w:hAnsi="Verdana" w:cs="Arial"/>
                <w:b/>
                <w:lang w:val="es-ES_tradnl" w:eastAsia="es-ES_tradnl"/>
              </w:rPr>
              <w:t>Radicación:</w:t>
            </w:r>
            <w:r w:rsidRPr="00E244D3">
              <w:rPr>
                <w:rFonts w:ascii="Verdana" w:eastAsia="Calibri" w:hAnsi="Verdana" w:cs="Arial"/>
                <w:lang w:val="es-ES_tradnl" w:eastAsia="es-ES_tradnl"/>
              </w:rPr>
              <w:t xml:space="preserve">               </w:t>
            </w:r>
          </w:p>
        </w:tc>
        <w:tc>
          <w:tcPr>
            <w:tcW w:w="6100" w:type="dxa"/>
          </w:tcPr>
          <w:p w14:paraId="68130335" w14:textId="77777777" w:rsidR="00E244D3" w:rsidRPr="00E244D3" w:rsidRDefault="00E244D3" w:rsidP="00E244D3">
            <w:pPr>
              <w:ind w:left="3" w:hanging="3"/>
              <w:jc w:val="both"/>
              <w:rPr>
                <w:rFonts w:ascii="Verdana" w:eastAsia="Calibri" w:hAnsi="Verdana" w:cs="Arial"/>
                <w:lang w:val="es-ES_tradnl" w:eastAsia="es-ES_tradnl"/>
              </w:rPr>
            </w:pPr>
            <w:r w:rsidRPr="00E244D3">
              <w:rPr>
                <w:rFonts w:ascii="Verdana" w:eastAsia="Calibri" w:hAnsi="Verdana" w:cs="Arial"/>
                <w:lang w:val="es-ES_tradnl" w:eastAsia="es-ES_tradnl"/>
              </w:rPr>
              <w:t>Respuesta a consulta con radicado No. 1_2026_03_25_004055</w:t>
            </w:r>
          </w:p>
        </w:tc>
      </w:tr>
    </w:tbl>
    <w:p w14:paraId="0859DC90" w14:textId="77777777" w:rsidR="00E244D3" w:rsidRPr="00E244D3" w:rsidRDefault="00E244D3" w:rsidP="00E244D3">
      <w:pPr>
        <w:spacing w:after="0" w:line="240" w:lineRule="auto"/>
        <w:jc w:val="both"/>
        <w:rPr>
          <w:rFonts w:ascii="Verdana" w:eastAsia="Calibri" w:hAnsi="Verdana" w:cs="Arial"/>
          <w:lang w:val="es-ES_tradnl" w:eastAsia="es-ES_tradnl"/>
        </w:rPr>
      </w:pPr>
    </w:p>
    <w:p w14:paraId="7A6F300A" w14:textId="77777777" w:rsidR="00E244D3" w:rsidRPr="00E244D3" w:rsidRDefault="00E244D3" w:rsidP="00E244D3">
      <w:pPr>
        <w:spacing w:after="0" w:line="276" w:lineRule="auto"/>
        <w:jc w:val="both"/>
        <w:rPr>
          <w:rFonts w:ascii="Verdana" w:eastAsia="Calibri" w:hAnsi="Verdana" w:cs="Arial"/>
          <w:lang w:val="es-ES" w:eastAsia="es-ES"/>
        </w:rPr>
      </w:pPr>
      <w:r w:rsidRPr="00E244D3">
        <w:rPr>
          <w:rFonts w:ascii="Verdana" w:eastAsia="Calibri" w:hAnsi="Verdana" w:cs="Arial"/>
          <w:lang w:val="es-ES" w:eastAsia="es-ES"/>
        </w:rPr>
        <w:t xml:space="preserve">Estimado señor </w:t>
      </w:r>
      <w:r w:rsidRPr="00E244D3">
        <w:rPr>
          <w:rFonts w:ascii="Verdana" w:eastAsia="Aptos" w:hAnsi="Verdana" w:cs="Times New Roman"/>
          <w:lang w:eastAsia="es-MX"/>
        </w:rPr>
        <w:t>Muñoz Losada</w:t>
      </w:r>
      <w:r w:rsidRPr="00E244D3">
        <w:rPr>
          <w:rFonts w:ascii="Verdana" w:eastAsia="Calibri" w:hAnsi="Verdana" w:cs="Arial"/>
          <w:lang w:val="es-ES" w:eastAsia="es-ES"/>
        </w:rPr>
        <w:t xml:space="preserve">: </w:t>
      </w:r>
    </w:p>
    <w:p w14:paraId="1692E486" w14:textId="77777777" w:rsidR="00E244D3" w:rsidRPr="00E244D3" w:rsidRDefault="00E244D3" w:rsidP="00E244D3">
      <w:pPr>
        <w:tabs>
          <w:tab w:val="left" w:pos="3768"/>
        </w:tabs>
        <w:spacing w:after="0" w:line="276" w:lineRule="auto"/>
        <w:jc w:val="both"/>
        <w:rPr>
          <w:rFonts w:ascii="Verdana" w:eastAsia="Calibri" w:hAnsi="Verdana" w:cs="Arial"/>
          <w:lang w:val="es-ES" w:eastAsia="es-ES"/>
        </w:rPr>
      </w:pPr>
      <w:r w:rsidRPr="00E244D3">
        <w:rPr>
          <w:rFonts w:ascii="Verdana" w:eastAsia="Calibri" w:hAnsi="Verdana" w:cs="Arial"/>
          <w:lang w:val="es-ES" w:eastAsia="es-ES"/>
        </w:rPr>
        <w:tab/>
      </w:r>
    </w:p>
    <w:p w14:paraId="1C55A9F2" w14:textId="77777777" w:rsidR="00E244D3" w:rsidRPr="00E244D3" w:rsidRDefault="00E244D3" w:rsidP="00E244D3">
      <w:pPr>
        <w:spacing w:after="0" w:line="276" w:lineRule="auto"/>
        <w:jc w:val="both"/>
        <w:rPr>
          <w:rFonts w:ascii="Verdana" w:eastAsia="Calibri" w:hAnsi="Verdana" w:cs="Arial"/>
          <w:lang w:val="es-ES" w:eastAsia="es-ES"/>
        </w:rPr>
      </w:pPr>
      <w:r w:rsidRPr="00E244D3">
        <w:rPr>
          <w:rFonts w:ascii="Verdana" w:eastAsia="Calibri" w:hAnsi="Verdana" w:cs="Arial"/>
          <w:lang w:val="es-ES" w:eastAsia="es-ES"/>
        </w:rPr>
        <w:t>En ejercicio de la competencia otorgada por los artículos 3, numeral 5º, y 11, numeral 8º, del Decreto Ley 4170 de 2011,</w:t>
      </w:r>
      <w:r w:rsidRPr="00E244D3">
        <w:rPr>
          <w:rFonts w:ascii="Verdana" w:eastAsia="Arial MT" w:hAnsi="Verdana" w:cs="Arial MT"/>
          <w:lang w:val="es-ES" w:eastAsia="es-ES"/>
        </w:rPr>
        <w:t xml:space="preserve"> </w:t>
      </w:r>
      <w:r w:rsidRPr="00E244D3">
        <w:rPr>
          <w:rFonts w:ascii="Verdana" w:eastAsia="Calibri" w:hAnsi="Verdana" w:cs="Arial"/>
          <w:lang w:eastAsia="es-MX"/>
        </w:rPr>
        <w:t xml:space="preserve">así como lo establecido por la </w:t>
      </w:r>
      <w:r w:rsidRPr="00E244D3">
        <w:rPr>
          <w:rFonts w:ascii="Verdana" w:eastAsia="Aptos" w:hAnsi="Verdana" w:cs="Arial"/>
          <w:bCs/>
          <w:lang w:eastAsia="es-ES" w:bidi="es-ES"/>
        </w:rPr>
        <w:t>Resolución 469 de 2025 expedida por esta Entidad</w:t>
      </w:r>
      <w:r w:rsidRPr="00E244D3">
        <w:rPr>
          <w:rFonts w:ascii="Verdana" w:eastAsia="Calibri" w:hAnsi="Verdana" w:cs="Arial"/>
          <w:lang w:eastAsia="es-MX"/>
        </w:rPr>
        <w:t xml:space="preserve">, </w:t>
      </w:r>
      <w:r w:rsidRPr="00E244D3">
        <w:rPr>
          <w:rFonts w:ascii="Verdana" w:eastAsia="Calibri" w:hAnsi="Verdana" w:cs="Arial"/>
          <w:lang w:val="es-ES" w:eastAsia="es-ES"/>
        </w:rPr>
        <w:t xml:space="preserve">la Agencia Nacional de Contratación Pública – Colombia Compra Eficiente– responde su solicitud de consulta del 25 de marzo de 2026, en la cual manifiesta lo siguiente: </w:t>
      </w:r>
    </w:p>
    <w:p w14:paraId="1D656469" w14:textId="77777777" w:rsidR="00E244D3" w:rsidRPr="00E244D3" w:rsidRDefault="00E244D3" w:rsidP="00E244D3">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55C9CC29"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Century Gothic" w:hAnsi="Verdana" w:cs="Arial"/>
          <w:sz w:val="20"/>
          <w:szCs w:val="20"/>
          <w:lang w:val="es-ES" w:eastAsia="es-MX"/>
        </w:rPr>
        <w:t>“</w:t>
      </w:r>
      <w:r w:rsidRPr="00E244D3">
        <w:rPr>
          <w:rFonts w:ascii="Verdana" w:eastAsia="Aptos" w:hAnsi="Verdana" w:cs="Times New Roman"/>
          <w:kern w:val="2"/>
          <w:sz w:val="20"/>
          <w:szCs w:val="20"/>
          <w14:ligatures w14:val="standardContextual"/>
        </w:rPr>
        <w:t xml:space="preserve">En ejercicio de las funciones a cargo de esta entidad y en el marco de los principios que rigen la contratación estatal, especialmente los de planeación, transparencia y selección objetiva, nos permitimos elevar la </w:t>
      </w:r>
      <w:r w:rsidRPr="00E244D3">
        <w:rPr>
          <w:rFonts w:ascii="Verdana" w:eastAsia="Aptos" w:hAnsi="Verdana" w:cs="Times New Roman"/>
          <w:kern w:val="2"/>
          <w:sz w:val="20"/>
          <w:szCs w:val="20"/>
          <w14:ligatures w14:val="standardContextual"/>
        </w:rPr>
        <w:lastRenderedPageBreak/>
        <w:t xml:space="preserve">siguiente consulta relacionada con la aplicación de los Documentos Tipo adoptados para el sector de infraestructura social – deporte. </w:t>
      </w:r>
    </w:p>
    <w:p w14:paraId="39AA2DB1"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La entidad se encuentra en la etapa de estructuración de un proceso contractual cuyo objeto consiste exclusivamente en la ejecución de la implosión de un escenario deportivo, entendida como una actividad de demolición controlada mediante técnicas especializadas. </w:t>
      </w:r>
    </w:p>
    <w:p w14:paraId="50A7AF40"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Al revisar los Documentos Tipo aplicables al sector deporte, en particular la matriz de experiencia, se evidencia que no se encuentra contemplada, ni como actividad principal ni como actividad secundaria, la implosión o demolición controlada de estructuras, lo cual genera una dificultad para establecer requisitos habilitantes acordes con la naturaleza técnica del objeto a contratar, aun cuando este corresponde a una actividad propia de obra especializada. </w:t>
      </w:r>
    </w:p>
    <w:p w14:paraId="4BFAFCD2"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En ese sentido, respetuosamente solicitamos se sirvan conceptuar sobre los siguientes aspectos: </w:t>
      </w:r>
    </w:p>
    <w:p w14:paraId="76C1E492"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1. ¿Es procedente ajustar o modificar los criterios establecidos en la matriz de experiencia de los Documentos Tipo, cuando no existe correspondencia directa entre las actividades allí previstas y el objeto contractual específico, como ocurre en el caso de la implosión de un escenario deportivo? </w:t>
      </w:r>
    </w:p>
    <w:p w14:paraId="076A9E8B"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2. Si bien el artículo 4 de la Resolución 539 de 2025 permite la inclusión de experiencia adicional para actividades no previstas en la matriz, dicha disposición parte de la existencia de una obra principal enmarcada dentro de los Documentos Tipo, lo cual no ocurre en el presente caso, donde la actividad de implosión constituye el objeto exclusivo del contrato. En consecuencia: </w:t>
      </w:r>
    </w:p>
    <w:p w14:paraId="2050E462"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2.1 Es posible aplicar dicha disposición sin desnaturalizar el esquema de experiencia previsto? </w:t>
      </w:r>
    </w:p>
    <w:p w14:paraId="5A564BAE"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kern w:val="2"/>
          <w:sz w:val="20"/>
          <w:szCs w:val="20"/>
          <w14:ligatures w14:val="standardContextual"/>
        </w:rPr>
        <w:t xml:space="preserve">2.2 Debo mantener el esquema de la experiencia general establecido en la matriz y para la experiencia especifica la entidad tiene la libertad de establecer la exigencia acorde al objeto contractual? </w:t>
      </w:r>
    </w:p>
    <w:p w14:paraId="3BA24860" w14:textId="77777777" w:rsidR="00E244D3" w:rsidRPr="00E244D3" w:rsidRDefault="00E244D3" w:rsidP="00E244D3">
      <w:pPr>
        <w:spacing w:after="0" w:line="240" w:lineRule="auto"/>
        <w:ind w:left="709" w:right="709"/>
        <w:jc w:val="both"/>
        <w:rPr>
          <w:rFonts w:ascii="Verdana" w:eastAsia="Times New Roman" w:hAnsi="Verdana" w:cs="Times New Roman"/>
          <w:sz w:val="20"/>
          <w:szCs w:val="20"/>
          <w:lang w:eastAsia="es-MX"/>
        </w:rPr>
      </w:pPr>
      <w:r w:rsidRPr="00E244D3">
        <w:rPr>
          <w:rFonts w:ascii="Verdana" w:eastAsia="Aptos" w:hAnsi="Verdana" w:cs="Times New Roman"/>
          <w:kern w:val="2"/>
          <w:sz w:val="20"/>
          <w:szCs w:val="20"/>
          <w14:ligatures w14:val="standardContextual"/>
        </w:rPr>
        <w:t>3. En caso de no ser viable la modificación, ¿resulta jurídicamente procedente inaplicar los Documentos Tipo para el caso concreto, considerando que la actividad a contratar (implosión o demolición controlada) no se encuentra prevista dentro de la matriz de experiencia, ni como actividad principal ni secundaria?</w:t>
      </w:r>
      <w:r w:rsidRPr="00E244D3">
        <w:rPr>
          <w:rFonts w:ascii="Verdana" w:eastAsia="Times New Roman" w:hAnsi="Verdana" w:cs="Times New Roman"/>
          <w:sz w:val="20"/>
          <w:szCs w:val="20"/>
          <w:lang w:eastAsia="es-MX"/>
        </w:rPr>
        <w:t xml:space="preserve">”. </w:t>
      </w:r>
    </w:p>
    <w:p w14:paraId="5BBF4F82" w14:textId="77777777" w:rsidR="00E244D3" w:rsidRPr="00E244D3" w:rsidRDefault="00E244D3" w:rsidP="00E244D3">
      <w:pPr>
        <w:spacing w:after="0" w:line="240" w:lineRule="auto"/>
        <w:ind w:left="709" w:right="709"/>
        <w:jc w:val="both"/>
        <w:rPr>
          <w:rFonts w:ascii="Arial" w:eastAsia="Aptos" w:hAnsi="Arial" w:cs="Arial"/>
          <w:sz w:val="21"/>
          <w:szCs w:val="21"/>
          <w:lang w:eastAsia="es-MX"/>
        </w:rPr>
      </w:pPr>
    </w:p>
    <w:p w14:paraId="555A16C0" w14:textId="77777777" w:rsidR="00E244D3" w:rsidRPr="00E244D3" w:rsidRDefault="00E244D3" w:rsidP="00E244D3">
      <w:pPr>
        <w:spacing w:after="120" w:line="276" w:lineRule="auto"/>
        <w:ind w:firstLine="709"/>
        <w:jc w:val="both"/>
        <w:rPr>
          <w:rFonts w:ascii="Verdana" w:eastAsia="Calibri" w:hAnsi="Verdana" w:cs="Arial"/>
          <w:color w:val="000000"/>
          <w:lang w:val="es-ES" w:eastAsia="es-ES"/>
        </w:rPr>
      </w:pPr>
      <w:r w:rsidRPr="00E244D3">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w:t>
      </w:r>
      <w:r w:rsidRPr="00E244D3">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244D3">
        <w:rPr>
          <w:rFonts w:ascii="Verdana" w:eastAsia="Calibri" w:hAnsi="Verdana" w:cs="Arial"/>
          <w:color w:val="000000"/>
          <w:lang w:val="es-ES_tradnl" w:eastAsia="es-ES_tradnl"/>
        </w:rPr>
        <w:tab/>
      </w:r>
    </w:p>
    <w:p w14:paraId="7C27AC7F" w14:textId="77777777" w:rsidR="00E244D3" w:rsidRPr="00E244D3" w:rsidRDefault="00E244D3" w:rsidP="00E244D3">
      <w:pPr>
        <w:spacing w:after="0" w:line="276" w:lineRule="auto"/>
        <w:ind w:firstLine="709"/>
        <w:jc w:val="both"/>
        <w:rPr>
          <w:rFonts w:ascii="Verdana" w:eastAsia="Calibri" w:hAnsi="Verdana" w:cs="Arial"/>
          <w:color w:val="000000"/>
          <w:lang w:val="es-ES" w:eastAsia="es-ES"/>
        </w:rPr>
      </w:pPr>
      <w:r w:rsidRPr="00E244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244D3">
        <w:rPr>
          <w:rFonts w:ascii="Verdana" w:eastAsia="Calibri" w:hAnsi="Verdana" w:cs="Arial"/>
          <w:color w:val="7030A0"/>
          <w:lang w:val="es-ES" w:eastAsia="es-ES"/>
        </w:rPr>
        <w:t xml:space="preserve"> </w:t>
      </w:r>
      <w:r w:rsidRPr="00E244D3">
        <w:rPr>
          <w:rFonts w:ascii="Verdana" w:eastAsia="Calibri" w:hAnsi="Verdana" w:cs="Arial"/>
          <w:color w:val="000000"/>
          <w:lang w:val="es-ES" w:eastAsia="es-ES"/>
        </w:rPr>
        <w:t>problema</w:t>
      </w:r>
      <w:r w:rsidRPr="00E244D3">
        <w:rPr>
          <w:rFonts w:ascii="Verdana" w:eastAsia="Calibri" w:hAnsi="Verdana" w:cs="Arial"/>
          <w:color w:val="7030A0"/>
          <w:lang w:val="es-ES" w:eastAsia="es-ES"/>
        </w:rPr>
        <w:t xml:space="preserve"> </w:t>
      </w:r>
      <w:r w:rsidRPr="00E244D3">
        <w:rPr>
          <w:rFonts w:ascii="Verdana" w:eastAsia="Calibri" w:hAnsi="Verdana" w:cs="Arial"/>
          <w:color w:val="000000"/>
          <w:lang w:val="es-ES" w:eastAsia="es-ES"/>
        </w:rPr>
        <w:t>jurídico</w:t>
      </w:r>
      <w:r w:rsidRPr="00E244D3">
        <w:rPr>
          <w:rFonts w:ascii="Verdana" w:eastAsia="Calibri" w:hAnsi="Verdana" w:cs="Arial"/>
          <w:color w:val="7030A0"/>
          <w:lang w:val="es-ES" w:eastAsia="es-ES"/>
        </w:rPr>
        <w:t xml:space="preserve"> </w:t>
      </w:r>
      <w:r w:rsidRPr="00E244D3">
        <w:rPr>
          <w:rFonts w:ascii="Verdana" w:eastAsia="Calibri" w:hAnsi="Verdana" w:cs="Arial"/>
          <w:color w:val="000000"/>
          <w:lang w:val="es-ES" w:eastAsia="es-ES"/>
        </w:rPr>
        <w:t xml:space="preserve">de su consulta. </w:t>
      </w:r>
    </w:p>
    <w:p w14:paraId="191181CB" w14:textId="77777777" w:rsidR="00E244D3" w:rsidRPr="00E244D3" w:rsidRDefault="00E244D3" w:rsidP="00E244D3">
      <w:pPr>
        <w:spacing w:after="0" w:line="276" w:lineRule="auto"/>
        <w:jc w:val="both"/>
        <w:rPr>
          <w:rFonts w:ascii="Verdana" w:eastAsia="Calibri" w:hAnsi="Verdana" w:cs="Arial"/>
          <w:lang w:val="es-ES" w:eastAsia="es-ES"/>
        </w:rPr>
      </w:pPr>
    </w:p>
    <w:p w14:paraId="4FAD13C0" w14:textId="77777777" w:rsidR="00E244D3" w:rsidRPr="00E244D3" w:rsidRDefault="00E244D3" w:rsidP="00E244D3">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244D3">
        <w:rPr>
          <w:rFonts w:ascii="Verdana" w:eastAsia="Century Gothic" w:hAnsi="Verdana" w:cs="Century Gothic"/>
          <w:b/>
          <w:bCs/>
          <w:lang w:eastAsia="es-MX"/>
        </w:rPr>
        <w:t>Problema planteado:</w:t>
      </w:r>
    </w:p>
    <w:p w14:paraId="3DDB7FC5" w14:textId="77777777" w:rsidR="00E244D3" w:rsidRPr="00E244D3" w:rsidRDefault="00E244D3" w:rsidP="00E244D3">
      <w:pPr>
        <w:tabs>
          <w:tab w:val="left" w:pos="426"/>
        </w:tabs>
        <w:spacing w:after="0" w:line="276" w:lineRule="auto"/>
        <w:jc w:val="both"/>
        <w:rPr>
          <w:rFonts w:ascii="Verdana" w:eastAsia="Century Gothic" w:hAnsi="Verdana" w:cs="Century Gothic"/>
          <w:lang w:val="es-ES" w:eastAsia="es-MX"/>
        </w:rPr>
      </w:pPr>
    </w:p>
    <w:p w14:paraId="28C18C4C" w14:textId="77777777" w:rsidR="00E244D3" w:rsidRPr="00E244D3" w:rsidRDefault="00E244D3" w:rsidP="00E244D3">
      <w:pPr>
        <w:spacing w:after="0" w:line="276" w:lineRule="auto"/>
        <w:jc w:val="both"/>
        <w:rPr>
          <w:rFonts w:ascii="Verdana" w:eastAsia="Calibri" w:hAnsi="Verdana" w:cs="Arial"/>
          <w:bCs/>
          <w:lang w:val="es-ES_tradnl" w:eastAsia="es-ES_tradnl"/>
        </w:rPr>
      </w:pPr>
      <w:r w:rsidRPr="00E244D3">
        <w:rPr>
          <w:rFonts w:ascii="Verdana" w:eastAsia="Century Gothic" w:hAnsi="Verdana" w:cs="Century Gothic"/>
          <w:lang w:eastAsia="es-MX"/>
        </w:rPr>
        <w:t xml:space="preserve">De acuerdo con el contenido de su solicitud, en relación con los documentos tipo del sector cultura, recreación y deporte, esta Agencia resolverá los siguientes problemas jurídicos: i) </w:t>
      </w:r>
      <w:r w:rsidRPr="00E244D3">
        <w:rPr>
          <w:rFonts w:ascii="Verdana" w:eastAsia="Calibri" w:hAnsi="Verdana" w:cs="Arial"/>
          <w:bCs/>
          <w:lang w:val="es-ES_tradnl" w:eastAsia="es-ES_tradnl"/>
        </w:rPr>
        <w:t xml:space="preserve">¿Aplican los documentos tipo señalados para realizar la “implosión de un escenario deportivo”? y </w:t>
      </w:r>
      <w:proofErr w:type="spellStart"/>
      <w:r w:rsidRPr="00E244D3">
        <w:rPr>
          <w:rFonts w:ascii="Verdana" w:eastAsia="Calibri" w:hAnsi="Verdana" w:cs="Arial"/>
          <w:bCs/>
          <w:lang w:val="es-ES_tradnl" w:eastAsia="es-ES_tradnl"/>
        </w:rPr>
        <w:t>ii</w:t>
      </w:r>
      <w:proofErr w:type="spellEnd"/>
      <w:r w:rsidRPr="00E244D3">
        <w:rPr>
          <w:rFonts w:ascii="Verdana" w:eastAsia="Calibri" w:hAnsi="Verdana" w:cs="Arial"/>
          <w:bCs/>
          <w:lang w:val="es-ES_tradnl" w:eastAsia="es-ES_tradnl"/>
        </w:rPr>
        <w:t>) Sí la “implosión de un escenario deportivo, no debe realizarse con los documentos tipo ¿Qué recomendaciones imparte la Agencia para adelantar este proceso?</w:t>
      </w:r>
    </w:p>
    <w:p w14:paraId="24301062" w14:textId="77777777" w:rsidR="00E244D3" w:rsidRPr="00E244D3" w:rsidRDefault="00E244D3" w:rsidP="00E244D3">
      <w:pPr>
        <w:spacing w:after="0" w:line="276" w:lineRule="auto"/>
        <w:jc w:val="both"/>
        <w:rPr>
          <w:rFonts w:ascii="Verdana" w:eastAsia="Century Gothic" w:hAnsi="Verdana" w:cs="Century Gothic"/>
          <w:lang w:val="es-ES_tradnl" w:eastAsia="es-MX"/>
        </w:rPr>
      </w:pPr>
    </w:p>
    <w:p w14:paraId="62F15219" w14:textId="77777777" w:rsidR="00E244D3" w:rsidRPr="00E244D3" w:rsidRDefault="00E244D3" w:rsidP="00E244D3">
      <w:pPr>
        <w:tabs>
          <w:tab w:val="left" w:pos="142"/>
          <w:tab w:val="left" w:pos="284"/>
        </w:tabs>
        <w:spacing w:after="0" w:line="276" w:lineRule="auto"/>
        <w:contextualSpacing/>
        <w:jc w:val="both"/>
        <w:rPr>
          <w:rFonts w:ascii="Verdana" w:eastAsia="Century Gothic" w:hAnsi="Verdana" w:cs="Century Gothic"/>
          <w:b/>
          <w:bCs/>
          <w:lang w:val="es-ES" w:eastAsia="es-MX"/>
        </w:rPr>
      </w:pPr>
      <w:r w:rsidRPr="00E244D3">
        <w:rPr>
          <w:rFonts w:ascii="Verdana" w:eastAsia="Century Gothic" w:hAnsi="Verdana" w:cs="Century Gothic"/>
          <w:b/>
          <w:bCs/>
          <w:lang w:val="es-ES" w:eastAsia="es-MX"/>
        </w:rPr>
        <w:t>2. Respuestas:</w:t>
      </w:r>
    </w:p>
    <w:p w14:paraId="5EE76265" w14:textId="77777777" w:rsidR="00E244D3" w:rsidRPr="00E244D3" w:rsidRDefault="00E244D3" w:rsidP="00E244D3">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44D3" w:rsidRPr="00E244D3" w14:paraId="07FADA89" w14:textId="77777777" w:rsidTr="00C80FF3">
        <w:trPr>
          <w:trHeight w:val="40"/>
        </w:trPr>
        <w:tc>
          <w:tcPr>
            <w:tcW w:w="8828" w:type="dxa"/>
            <w:tcBorders>
              <w:top w:val="dotted" w:sz="4" w:space="0" w:color="auto"/>
              <w:left w:val="dotted" w:sz="4" w:space="0" w:color="auto"/>
              <w:bottom w:val="dotted" w:sz="4" w:space="0" w:color="auto"/>
              <w:right w:val="dotted" w:sz="4" w:space="0" w:color="auto"/>
            </w:tcBorders>
          </w:tcPr>
          <w:p w14:paraId="6DB6AA4F" w14:textId="77777777" w:rsidR="00E244D3" w:rsidRPr="00E244D3" w:rsidRDefault="00E244D3" w:rsidP="00E244D3">
            <w:pPr>
              <w:spacing w:line="276" w:lineRule="auto"/>
              <w:jc w:val="both"/>
              <w:rPr>
                <w:rFonts w:ascii="Verdana" w:eastAsia="Times New Roman" w:hAnsi="Verdana" w:cs="Times New Roman"/>
                <w:color w:val="000000"/>
                <w:lang w:eastAsia="es-CO"/>
              </w:rPr>
            </w:pPr>
            <w:r w:rsidRPr="00E244D3">
              <w:rPr>
                <w:rFonts w:ascii="Verdana" w:eastAsia="Aptos" w:hAnsi="Verdana" w:cs="Times New Roman"/>
                <w:lang w:eastAsia="es-MX"/>
              </w:rPr>
              <w:t>i)</w:t>
            </w:r>
            <w:r w:rsidRPr="00E244D3">
              <w:rPr>
                <w:rFonts w:ascii="Verdana" w:eastAsia="Times New Roman" w:hAnsi="Verdana" w:cs="Times New Roman"/>
                <w:color w:val="000000"/>
                <w:lang w:eastAsia="es-CO"/>
              </w:rPr>
              <w:t xml:space="preserve"> </w:t>
            </w:r>
            <w:r w:rsidRPr="00E244D3">
              <w:rPr>
                <w:rFonts w:ascii="Verdana" w:eastAsia="Calibri" w:hAnsi="Verdana" w:cs="Times New Roman"/>
                <w:lang w:eastAsia="es-MX"/>
              </w:rPr>
              <w:t>Para efectos de su solicitud en la que indaga sobre sí se deben utilizar los documentos tipo del sector cultura, recreación y deporte para realizar la “implosión de un escenario deportivo”, le informamos que, en el capítulo 2. “</w:t>
            </w:r>
            <w:r w:rsidRPr="00E244D3">
              <w:rPr>
                <w:rFonts w:ascii="Verdana" w:eastAsia="Times New Roman" w:hAnsi="Verdana" w:cs="Times New Roman"/>
                <w:color w:val="000000"/>
                <w:lang w:eastAsia="es-CO"/>
              </w:rPr>
              <w:t>Obras de infraestructura recreo deportivas” de la Matriz 1 – Experiencia sector cultura, recreación y deporte, se incluye la actividad 2.5, en la cual eventualmente puede enmarcarse el objeto referido.</w:t>
            </w:r>
          </w:p>
          <w:p w14:paraId="13B08EF0" w14:textId="77777777" w:rsidR="00E244D3" w:rsidRPr="00E244D3" w:rsidRDefault="00E244D3" w:rsidP="00E244D3">
            <w:pPr>
              <w:jc w:val="both"/>
              <w:rPr>
                <w:rFonts w:ascii="Verdana" w:eastAsia="Times New Roman" w:hAnsi="Verdana" w:cs="Times New Roman"/>
                <w:color w:val="000000"/>
                <w:lang w:eastAsia="es-CO"/>
              </w:rPr>
            </w:pPr>
            <w:r w:rsidRPr="00E244D3">
              <w:rPr>
                <w:rFonts w:ascii="Verdana" w:eastAsia="Times New Roman" w:hAnsi="Verdana" w:cs="Times New Roman"/>
                <w:color w:val="000000"/>
                <w:lang w:eastAsia="es-CO"/>
              </w:rPr>
              <w:t xml:space="preserve"> </w:t>
            </w:r>
          </w:p>
          <w:p w14:paraId="776858C9" w14:textId="77777777" w:rsidR="00E244D3" w:rsidRPr="00E244D3" w:rsidRDefault="00E244D3" w:rsidP="00E244D3">
            <w:pPr>
              <w:ind w:left="709" w:right="709"/>
              <w:jc w:val="both"/>
              <w:rPr>
                <w:rFonts w:ascii="Verdana" w:eastAsia="Aptos" w:hAnsi="Verdana" w:cs="Aptos"/>
                <w:sz w:val="21"/>
                <w:szCs w:val="21"/>
              </w:rPr>
            </w:pPr>
            <w:r w:rsidRPr="00E244D3">
              <w:rPr>
                <w:rFonts w:ascii="Verdana" w:eastAsia="Aptos" w:hAnsi="Verdana" w:cs="Aptos"/>
                <w:sz w:val="21"/>
                <w:szCs w:val="21"/>
              </w:rPr>
              <w:t xml:space="preserve">“2.5. PROYECTOS DE CONSTRUCCIÓN Y/O AMPLIACIÓN Y/O RECONSTRUCCIÓN Y/O OPTIMIZACIÓN Y/O MEJORAMIENTO Y/O </w:t>
            </w:r>
            <w:r w:rsidRPr="00E244D3">
              <w:rPr>
                <w:rFonts w:ascii="Verdana" w:eastAsia="Aptos" w:hAnsi="Verdana" w:cs="Aptos"/>
                <w:b/>
                <w:bCs/>
                <w:color w:val="000000"/>
                <w:sz w:val="21"/>
                <w:szCs w:val="21"/>
                <w:u w:val="single"/>
              </w:rPr>
              <w:t>REHABILITACIÓN</w:t>
            </w:r>
            <w:r w:rsidRPr="00E244D3">
              <w:rPr>
                <w:rFonts w:ascii="Verdana" w:eastAsia="Aptos" w:hAnsi="Verdana" w:cs="Aptos"/>
                <w:b/>
                <w:bCs/>
                <w:color w:val="000000"/>
                <w:sz w:val="21"/>
                <w:szCs w:val="21"/>
              </w:rPr>
              <w:t xml:space="preserve"> Y/O </w:t>
            </w:r>
            <w:r w:rsidRPr="00E244D3">
              <w:rPr>
                <w:rFonts w:ascii="Verdana" w:eastAsia="Aptos" w:hAnsi="Verdana" w:cs="Aptos"/>
                <w:b/>
                <w:bCs/>
                <w:color w:val="000000"/>
                <w:sz w:val="21"/>
                <w:szCs w:val="21"/>
                <w:u w:val="single"/>
              </w:rPr>
              <w:t>REPOSICIÓN</w:t>
            </w:r>
            <w:r w:rsidRPr="00E244D3">
              <w:rPr>
                <w:rFonts w:ascii="Verdana" w:eastAsia="Aptos" w:hAnsi="Verdana" w:cs="Aptos"/>
                <w:color w:val="000000"/>
                <w:sz w:val="21"/>
                <w:szCs w:val="21"/>
              </w:rPr>
              <w:t xml:space="preserve"> </w:t>
            </w:r>
            <w:r w:rsidRPr="00E244D3">
              <w:rPr>
                <w:rFonts w:ascii="Verdana" w:eastAsia="Aptos" w:hAnsi="Verdana" w:cs="Aptos"/>
                <w:sz w:val="21"/>
                <w:szCs w:val="21"/>
              </w:rPr>
              <w:t xml:space="preserve">Y/O </w:t>
            </w:r>
            <w:r w:rsidRPr="00E244D3">
              <w:rPr>
                <w:rFonts w:ascii="Verdana" w:eastAsia="Aptos" w:hAnsi="Verdana" w:cs="Aptos"/>
                <w:b/>
                <w:bCs/>
                <w:sz w:val="21"/>
                <w:szCs w:val="21"/>
                <w:u w:val="single"/>
              </w:rPr>
              <w:t>INTERVENCIÓN</w:t>
            </w:r>
            <w:r w:rsidRPr="00E244D3">
              <w:rPr>
                <w:rFonts w:ascii="Verdana" w:eastAsia="Aptos" w:hAnsi="Verdana" w:cs="Aptos"/>
                <w:sz w:val="21"/>
                <w:szCs w:val="21"/>
              </w:rPr>
              <w:t xml:space="preserve"> Y/O INSTALACIÓN Y/O AMPLIACIÓN Y/O MANTENIMIENTO Y/O </w:t>
            </w:r>
            <w:r w:rsidRPr="00E244D3">
              <w:rPr>
                <w:rFonts w:ascii="Verdana" w:eastAsia="Aptos" w:hAnsi="Verdana" w:cs="Aptos"/>
                <w:sz w:val="21"/>
                <w:szCs w:val="21"/>
              </w:rPr>
              <w:lastRenderedPageBreak/>
              <w:t xml:space="preserve">CONSERVACIÓN Y/O OPERACIÓN Y/O ADECUACIÓN Y/O MODIFICACIÓN Y/O RESTAURACIÓN Y/O REMODELACIÓN Y/O TERMINACIÓN Y/O REPARACIÓN Y/O  </w:t>
            </w:r>
            <w:r w:rsidRPr="00E244D3">
              <w:rPr>
                <w:rFonts w:ascii="Verdana" w:eastAsia="Aptos" w:hAnsi="Verdana" w:cs="Aptos"/>
                <w:b/>
                <w:bCs/>
                <w:color w:val="000000"/>
                <w:sz w:val="21"/>
                <w:szCs w:val="21"/>
                <w:u w:val="single"/>
              </w:rPr>
              <w:t>RESTITUCIÓN</w:t>
            </w:r>
            <w:r w:rsidRPr="00E244D3">
              <w:rPr>
                <w:rFonts w:ascii="Verdana" w:eastAsia="Aptos" w:hAnsi="Verdana" w:cs="Aptos"/>
                <w:b/>
                <w:bCs/>
                <w:color w:val="EE0000"/>
                <w:sz w:val="21"/>
                <w:szCs w:val="21"/>
              </w:rPr>
              <w:t xml:space="preserve"> </w:t>
            </w:r>
            <w:r w:rsidRPr="00E244D3">
              <w:rPr>
                <w:rFonts w:ascii="Verdana" w:eastAsia="Aptos" w:hAnsi="Verdana" w:cs="Aptos"/>
                <w:sz w:val="21"/>
                <w:szCs w:val="21"/>
              </w:rPr>
              <w:t xml:space="preserve">Y/O REFORZAMIENTO ESTRUCTURAL Y/O ACTUALIZACIÓN SÍSMICA Y/O REPOTENCIACIÓN ESTRUCTURAL DE CANCHAS DEPORTIVAS Y/O ESCENARIOS Y/O COMPLEJOS Y/O ESPACIOS E INSTALACIONES RECREO DEPORTIVAS”. (énfasis fuera del texto original). </w:t>
            </w:r>
          </w:p>
          <w:p w14:paraId="792321C9" w14:textId="77777777" w:rsidR="00E244D3" w:rsidRPr="00E244D3" w:rsidRDefault="00E244D3" w:rsidP="00E244D3">
            <w:pPr>
              <w:ind w:left="709" w:right="709"/>
              <w:jc w:val="both"/>
              <w:rPr>
                <w:rFonts w:ascii="Verdana" w:eastAsia="Aptos" w:hAnsi="Verdana" w:cs="Aptos"/>
                <w:sz w:val="21"/>
                <w:szCs w:val="21"/>
              </w:rPr>
            </w:pPr>
          </w:p>
          <w:p w14:paraId="53D40525"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Times New Roman"/>
                <w:lang w:val="es-ES" w:eastAsia="es-MX"/>
              </w:rPr>
            </w:pPr>
            <w:r w:rsidRPr="00E244D3">
              <w:rPr>
                <w:rFonts w:ascii="Verdana" w:eastAsia="Aptos" w:hAnsi="Verdana" w:cs="Aptos"/>
              </w:rPr>
              <w:t xml:space="preserve">Como se aprecia, la actividad referida recae sobre proyectos de </w:t>
            </w:r>
            <w:r w:rsidRPr="00E244D3">
              <w:rPr>
                <w:rFonts w:ascii="Verdana" w:eastAsia="Aptos" w:hAnsi="Verdana" w:cs="Aptos"/>
                <w:color w:val="000000"/>
              </w:rPr>
              <w:t xml:space="preserve">construcción, ampliación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w:t>
            </w:r>
            <w:r w:rsidRPr="00E244D3">
              <w:rPr>
                <w:rFonts w:ascii="Verdana" w:eastAsia="Calibri" w:hAnsi="Verdana" w:cs="Times New Roman"/>
                <w:lang w:val="es-ES" w:eastAsia="es-MX"/>
              </w:rPr>
              <w:t xml:space="preserve">repotenciación estructural que se desarrollen sobre: canchas deportiva y/o </w:t>
            </w:r>
            <w:proofErr w:type="spellStart"/>
            <w:r w:rsidRPr="00E244D3">
              <w:rPr>
                <w:rFonts w:ascii="Verdana" w:eastAsia="Calibri" w:hAnsi="Verdana" w:cs="Times New Roman"/>
                <w:lang w:val="es-ES" w:eastAsia="es-MX"/>
              </w:rPr>
              <w:t>ii</w:t>
            </w:r>
            <w:proofErr w:type="spellEnd"/>
            <w:r w:rsidRPr="00E244D3">
              <w:rPr>
                <w:rFonts w:ascii="Verdana" w:eastAsia="Calibri" w:hAnsi="Verdana" w:cs="Times New Roman"/>
                <w:lang w:val="es-ES" w:eastAsia="es-MX"/>
              </w:rPr>
              <w:t xml:space="preserve">) complejos y/o espacios e instalaciones recreo deportivas. </w:t>
            </w:r>
          </w:p>
          <w:p w14:paraId="07D6304A"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Times New Roman"/>
                <w:lang w:val="es-ES" w:eastAsia="es-MX"/>
              </w:rPr>
            </w:pPr>
            <w:r w:rsidRPr="00E244D3">
              <w:rPr>
                <w:rFonts w:ascii="Verdana" w:eastAsia="Calibri" w:hAnsi="Verdana" w:cs="Times New Roman"/>
                <w:lang w:val="es-ES" w:eastAsia="es-MX"/>
              </w:rPr>
              <w:t>Ahora bien, para comprender el alcance de los proyectos contenidos en la actividad 2.5, se debe tener en cuenta las definiciones</w:t>
            </w:r>
            <w:r w:rsidRPr="00E244D3">
              <w:rPr>
                <w:rFonts w:ascii="Verdana" w:eastAsia="Calibri" w:hAnsi="Verdana" w:cs="Arial"/>
                <w:lang w:val="es-ES_tradnl" w:eastAsia="es-MX"/>
              </w:rPr>
              <w:t xml:space="preserve"> del “Anexo – Glosario” de los documentos tipo indicados. Esto, en razón a que el numeral 1.10 del documento base dispone que “</w:t>
            </w:r>
            <w:r w:rsidRPr="00E244D3">
              <w:rPr>
                <w:rFonts w:ascii="Verdana" w:eastAsia="Calibri" w:hAnsi="Verdana" w:cs="Arial"/>
                <w:lang w:val="es-MX" w:eastAsia="es-MX"/>
              </w:rPr>
              <w:t xml:space="preserve">[p]ara los fines de este Pliego de Condiciones, a menos que expresamente se estipule de otra manera, los términos deben entenderse de acuerdo con la definición contenida en el artículo 2.2.1.1.1.3.1 del Decreto 1082 de 2015, el glosario aplicable a la obra pública de infraestructura </w:t>
            </w:r>
            <w:r w:rsidRPr="00E244D3">
              <w:rPr>
                <w:rFonts w:ascii="Verdana" w:eastAsia="Calibri" w:hAnsi="Verdana" w:cs="Times New Roman"/>
                <w:lang w:val="es-ES" w:eastAsia="es-MX"/>
              </w:rPr>
              <w:t>social y demás normas, decretos reglamentarios y legislación aplicable en la materia”.</w:t>
            </w:r>
          </w:p>
          <w:p w14:paraId="3F07442D"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Arial"/>
                <w:lang w:val="es-MX" w:eastAsia="es-MX"/>
              </w:rPr>
            </w:pPr>
            <w:r w:rsidRPr="00E244D3">
              <w:rPr>
                <w:rFonts w:ascii="Verdana" w:eastAsia="Calibri" w:hAnsi="Verdana" w:cs="Times New Roman"/>
                <w:lang w:val="es-ES" w:eastAsia="es-MX"/>
              </w:rPr>
              <w:t>De esta forma, de acuerdo con el Anexo 5 —Glosario de los documentos tipo de licitación de obra</w:t>
            </w:r>
            <w:r w:rsidRPr="00E244D3">
              <w:rPr>
                <w:rFonts w:ascii="Verdana" w:eastAsia="Calibri" w:hAnsi="Verdana" w:cs="Arial"/>
                <w:lang w:val="es-MX" w:eastAsia="es-MX"/>
              </w:rPr>
              <w:t xml:space="preserve"> pública de infraestructura social – versión 2, los numerales 2.179, 2.185, 2.116 y 2.187 establecen, respectivamente, las definiciones de “Rehabilitación”, “Reposición”, “Intervención” y “Restitución”. Lo anterior resulta relevante para comprender el alcance de estas actividades y determinar si el objeto del proceso que la entidad pretende adelantar —la “implosión de un escenario deportivo”— puede enmarcarse en alguna de ellas.</w:t>
            </w:r>
          </w:p>
          <w:p w14:paraId="14CF3C28"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Arial"/>
                <w:lang w:val="es-MX" w:eastAsia="es-MX"/>
              </w:rPr>
            </w:pPr>
            <w:r w:rsidRPr="00E244D3">
              <w:rPr>
                <w:rFonts w:ascii="Verdana" w:eastAsia="Aptos" w:hAnsi="Verdana" w:cs="Times New Roman"/>
                <w:lang w:val="es-MX" w:eastAsia="es-MX"/>
              </w:rPr>
              <w:t>El alcance de las actividades señaladas, pueden precisarse atendiendo a su finalidad, tipo de actuación y nivel de transformación de la infraestructura, de esta forma: i) la Rehabilitación –actividad 2.179–, s</w:t>
            </w:r>
            <w:r w:rsidRPr="00E244D3">
              <w:rPr>
                <w:rFonts w:ascii="Verdana" w:eastAsia="Aptos" w:hAnsi="Verdana" w:cs="Times New Roman"/>
              </w:rPr>
              <w:t xml:space="preserve">u alcance consiste en la intervención de una infraestructura cuya condición de operación ha sufrido </w:t>
            </w:r>
            <w:r w:rsidRPr="00E244D3">
              <w:rPr>
                <w:rFonts w:ascii="Verdana" w:eastAsia="Aptos" w:hAnsi="Verdana" w:cs="Times New Roman"/>
              </w:rPr>
              <w:lastRenderedPageBreak/>
              <w:t xml:space="preserve">deterioro, de manera que su nivel de servicio es inferior al previsto originalmente. Tiene como finalidad devolverla a su estado inicial para el cual fue diseñada y construida, con el propósito de extender su vida útil y mejorar su rendimiento y/o durabilidad; </w:t>
            </w:r>
            <w:proofErr w:type="spellStart"/>
            <w:r w:rsidRPr="00E244D3">
              <w:rPr>
                <w:rFonts w:ascii="Verdana" w:eastAsia="Aptos" w:hAnsi="Verdana" w:cs="Times New Roman"/>
              </w:rPr>
              <w:t>ii</w:t>
            </w:r>
            <w:proofErr w:type="spellEnd"/>
            <w:r w:rsidRPr="00E244D3">
              <w:rPr>
                <w:rFonts w:ascii="Verdana" w:eastAsia="Aptos" w:hAnsi="Verdana" w:cs="Times New Roman"/>
              </w:rPr>
              <w:t>) Reposición –actividad 2.185– su alcance comprende</w:t>
            </w:r>
            <w:r w:rsidRPr="00E244D3">
              <w:rPr>
                <w:rFonts w:ascii="Verdana" w:eastAsia="Aptos" w:hAnsi="Verdana" w:cs="Times New Roman"/>
                <w:b/>
                <w:bCs/>
              </w:rPr>
              <w:t xml:space="preserve"> </w:t>
            </w:r>
            <w:r w:rsidRPr="00E244D3">
              <w:rPr>
                <w:rFonts w:ascii="Verdana" w:eastAsia="Aptos" w:hAnsi="Verdana" w:cs="Times New Roman"/>
              </w:rPr>
              <w:t>actividades para reemplazar o renovar elementos, componentes o sistemas de una edificación que ya no son aptos para cumplir su función, ya sea por agotamiento de su vida útil, ineficiencia operativa o rezago tecnológico. Se orienta a atender situaciones de daño o deterioro significativo,</w:t>
            </w:r>
            <w:r w:rsidRPr="00E244D3">
              <w:rPr>
                <w:rFonts w:ascii="Verdana" w:eastAsia="Aptos" w:hAnsi="Verdana" w:cs="Times New Roman"/>
                <w:b/>
                <w:bCs/>
              </w:rPr>
              <w:t xml:space="preserve"> </w:t>
            </w:r>
            <w:r w:rsidRPr="00E244D3">
              <w:rPr>
                <w:rFonts w:ascii="Verdana" w:eastAsia="Aptos" w:hAnsi="Verdana" w:cs="Times New Roman"/>
              </w:rPr>
              <w:t xml:space="preserve">con el fin de mantener la habitabilidad, funcionalidad y seguridad del inmueble; </w:t>
            </w:r>
            <w:proofErr w:type="spellStart"/>
            <w:r w:rsidRPr="00E244D3">
              <w:rPr>
                <w:rFonts w:ascii="Verdana" w:eastAsia="Aptos" w:hAnsi="Verdana" w:cs="Times New Roman"/>
              </w:rPr>
              <w:t>iii</w:t>
            </w:r>
            <w:proofErr w:type="spellEnd"/>
            <w:r w:rsidRPr="00E244D3">
              <w:rPr>
                <w:rFonts w:ascii="Verdana" w:eastAsia="Aptos" w:hAnsi="Verdana" w:cs="Times New Roman"/>
              </w:rPr>
              <w:t xml:space="preserve">) Intervención –actividad 2.116– su alcance abarca cualquier acción o modificación realizada en una edificación existente con el propósito de alterar su estado actual. Esto incluye actuaciones dirigidas a mejorar su eficiencia o funcionalidad, adicionar o eliminar características, realizar reparaciones, actualizar instalaciones, mejorar su capacidad o reducir costos operativos, entre otros propósitos; y </w:t>
            </w:r>
            <w:proofErr w:type="spellStart"/>
            <w:r w:rsidRPr="00E244D3">
              <w:rPr>
                <w:rFonts w:ascii="Verdana" w:eastAsia="Aptos" w:hAnsi="Verdana" w:cs="Times New Roman"/>
              </w:rPr>
              <w:t>iv</w:t>
            </w:r>
            <w:proofErr w:type="spellEnd"/>
            <w:r w:rsidRPr="00E244D3">
              <w:rPr>
                <w:rFonts w:ascii="Verdana" w:eastAsia="Aptos" w:hAnsi="Verdana" w:cs="Times New Roman"/>
              </w:rPr>
              <w:t xml:space="preserve">) restitución –actividad 2.187– su alcance se refiere a </w:t>
            </w:r>
            <w:r w:rsidRPr="00E244D3">
              <w:rPr>
                <w:rFonts w:ascii="Verdana" w:eastAsia="Calibri" w:hAnsi="Verdana" w:cs="Arial"/>
                <w:lang w:val="es-MX" w:eastAsia="es-MX"/>
              </w:rPr>
              <w:t>acciones encaminadas a recuperar, devolver o restablecer una edificación o parte de ella a su estado original o anterior.</w:t>
            </w:r>
          </w:p>
          <w:p w14:paraId="6D437AC8"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t xml:space="preserve">Concretamente, su solicitud se dirige a determinar sí los documentos tipo del sector cultura, recreación y deporte adoptados por la Agencia Nacional de Contratación Pública – Colombia Compra Eficiente aplican para adelantar la “implosión de un escenario deportivo”, actividad que según afirma implica la “(…) demolición controlada mediante técnicas especializadas”. Sobre el particular, la Agencia Nacional de Contratación Pública – Colombia Compra Eficiente le indica que, tal como señala en su solicitud, la implosión es un tipo de demolición, la cual, se define como el conjunto de actividades destinadas a derribar total o parcialmente una o varias edificaciones. </w:t>
            </w:r>
          </w:p>
          <w:p w14:paraId="50CA49F5"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t>Considerando lo anterior, es preciso señalar que el objeto específico de implosión o demolición no se encuentra expresamente contemplado en la Matriz 1 – Experiencia del sector cultura, recreación y deporte, para obras de infraestructura recreodeportiva dentro de las actividades allí previstas. No obstante, dado que la implosión constituye una modalidad de demolición, esto es, un conjunto de actividades destinadas al derribo total o parcial de una edificación, su análisis debe realizarse en función de su relación con las actividades definidas, particularmente las de “Rehabilitación”, “Reposición”, “Intervención” y “Restitución”.</w:t>
            </w:r>
          </w:p>
          <w:p w14:paraId="7B842D38"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lastRenderedPageBreak/>
              <w:t>En ese sentido, corresponde a la entidad estatal que estructura y adelanta el proceso de selección determinar, con base en el análisis técnico y jurídico del objeto contractual, si la implosión se enmarca materialmente dentro de alguna de los proyectos previstos en la actividad 2.5 particularmente los de “Rehabilitación”, “Reposición”, “Intervención” y “Restitución” y, por tanto, si resulta procedente la aplicación de los documentos tipo del sector cultura, recreación y deporte. Esta decisión debe adoptarse atendiendo a la finalidad del proyecto, el alcance de las actividades a ejecutar y los principios de planeación y responsabilidad que rigen la contratación estatal.</w:t>
            </w:r>
          </w:p>
          <w:p w14:paraId="18C7A8CB" w14:textId="77777777" w:rsidR="00E244D3" w:rsidRPr="00E244D3" w:rsidRDefault="00E244D3" w:rsidP="00E244D3">
            <w:pPr>
              <w:widowControl w:val="0"/>
              <w:autoSpaceDE w:val="0"/>
              <w:autoSpaceDN w:val="0"/>
              <w:spacing w:after="120" w:line="276" w:lineRule="auto"/>
              <w:jc w:val="both"/>
              <w:rPr>
                <w:rFonts w:ascii="Verdana" w:eastAsia="Times New Roman" w:hAnsi="Verdana" w:cs="Arial"/>
                <w:shd w:val="clear" w:color="auto" w:fill="FFFFFF"/>
                <w:lang w:val="es-ES_tradnl" w:eastAsia="es-ES_tradnl"/>
              </w:rPr>
            </w:pPr>
            <w:r w:rsidRPr="00E244D3">
              <w:rPr>
                <w:rFonts w:ascii="Verdana" w:eastAsia="Calibri" w:hAnsi="Verdana" w:cs="Arial"/>
                <w:lang w:val="es-MX" w:eastAsia="es-MX"/>
              </w:rPr>
              <w:t xml:space="preserve">ii) Tal como se señaló en el punto uno (i) de este concepto, </w:t>
            </w:r>
            <w:r w:rsidRPr="00E244D3">
              <w:rPr>
                <w:rFonts w:ascii="Verdana" w:eastAsia="Times New Roman" w:hAnsi="Verdana" w:cs="Arial"/>
                <w:shd w:val="clear" w:color="auto" w:fill="FFFFFF"/>
                <w:lang w:val="es-ES_tradnl" w:eastAsia="es-ES_tradnl"/>
              </w:rPr>
              <w:t xml:space="preserve">la entidad que adelanta el proceso de selección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Lo anterior sin que pueda apartarse de su aplicación cuando materialmente el objeto a contratar corresponde con alguna actividad de contemplada en dicha matriz. </w:t>
            </w:r>
          </w:p>
          <w:p w14:paraId="3EA3395B"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Times New Roman" w:hAnsi="Verdana" w:cs="Arial"/>
                <w:shd w:val="clear" w:color="auto" w:fill="FFFFFF"/>
                <w:lang w:val="es-ES_tradnl" w:eastAsia="es-ES_tradnl"/>
              </w:rPr>
              <w:t xml:space="preserve">No obstante, </w:t>
            </w:r>
            <w:r w:rsidRPr="00E244D3">
              <w:rPr>
                <w:rFonts w:ascii="Verdana" w:eastAsia="Times New Roman" w:hAnsi="Verdana" w:cs="Arial"/>
                <w:shd w:val="clear" w:color="auto" w:fill="FFFFFF"/>
                <w:lang w:val="es-ES_tradnl" w:eastAsia="es-ES"/>
              </w:rPr>
              <w:t>s</w:t>
            </w:r>
            <w:r w:rsidRPr="00E244D3">
              <w:rPr>
                <w:rFonts w:ascii="Verdana" w:eastAsia="Times New Roman" w:hAnsi="Verdana" w:cs="Arial"/>
                <w:shd w:val="clear" w:color="auto" w:fill="FFFFFF"/>
                <w:lang w:val="es-ES" w:eastAsia="es-ES"/>
              </w:rPr>
              <w:t xml:space="preserve">i la Entidad determina que no está obligada a aplicar de manera forzosa los documentos tipo para desarrollar los procesos de contratación —ya sea porque, normativamente, no le resultan aplicables o porque el proceso que se pretende adelantar no se enmarca dentro de las modalidades de selección y tipos de obra estandarizados en las respectivas matrices de experiencia—, en tales escenarios dichos documentos carecen de fuerza obligatoria y </w:t>
            </w:r>
            <w:r w:rsidRPr="00E244D3">
              <w:rPr>
                <w:rFonts w:ascii="Verdana" w:eastAsia="Calibri" w:hAnsi="Verdana" w:cs="Arial"/>
                <w:lang w:val="es-MX" w:eastAsia="es-MX"/>
              </w:rPr>
              <w:t>en consecuencia no deberá aplicar lo establecido en el literal M del documento base de los documentos tipo de licitación d eobra pública de infraestructura social – versión 2, que señala las consideraciones para “Obras, bienes o servicios adicionales a la obra pública de Infraestructura Social.”</w:t>
            </w:r>
          </w:p>
          <w:p w14:paraId="16DC2816" w14:textId="77777777" w:rsidR="00E244D3" w:rsidRPr="00E244D3" w:rsidRDefault="00E244D3" w:rsidP="00E244D3">
            <w:pPr>
              <w:widowControl w:val="0"/>
              <w:autoSpaceDE w:val="0"/>
              <w:autoSpaceDN w:val="0"/>
              <w:spacing w:after="120" w:line="276" w:lineRule="auto"/>
              <w:ind w:firstLine="708"/>
              <w:jc w:val="both"/>
              <w:rPr>
                <w:rFonts w:ascii="Verdana" w:eastAsia="Times New Roman" w:hAnsi="Verdana" w:cs="Arial"/>
                <w:shd w:val="clear" w:color="auto" w:fill="FFFFFF"/>
                <w:lang w:val="es-ES_tradnl" w:eastAsia="es-ES_tradnl"/>
              </w:rPr>
            </w:pPr>
            <w:r w:rsidRPr="00E244D3">
              <w:rPr>
                <w:rFonts w:ascii="Verdana" w:eastAsia="Times New Roman" w:hAnsi="Verdana" w:cs="Arial"/>
                <w:shd w:val="clear" w:color="auto" w:fill="FFFFFF"/>
                <w:lang w:val="es-ES_tradnl" w:eastAsia="es-ES_tradnl"/>
              </w:rPr>
              <w:t>En consecuencia, la Entidad deberá estructurar sus procesos atendiendo la normativa vigente en materia de compras y contratación pública. Sin embargo, las entidades pueden observar los documentos tipo de forma facultativa, como una estrategia para adoptar e incorporar políticas de buenas prácticas contractuales, realizando, en caso de que sea necesario, las adaptaciones que consideren pertinentes.</w:t>
            </w:r>
          </w:p>
          <w:p w14:paraId="16FA872C" w14:textId="77777777" w:rsidR="00E244D3" w:rsidRPr="00E244D3" w:rsidRDefault="00E244D3" w:rsidP="00E244D3">
            <w:pPr>
              <w:widowControl w:val="0"/>
              <w:autoSpaceDE w:val="0"/>
              <w:autoSpaceDN w:val="0"/>
              <w:spacing w:after="120" w:line="276" w:lineRule="auto"/>
              <w:ind w:firstLine="708"/>
              <w:jc w:val="both"/>
              <w:rPr>
                <w:rFonts w:ascii="Verdana" w:eastAsia="Times New Roman" w:hAnsi="Verdana" w:cs="Arial"/>
                <w:shd w:val="clear" w:color="auto" w:fill="FFFFFF"/>
                <w:lang w:val="es-ES_tradnl" w:eastAsia="es-ES_tradnl"/>
              </w:rPr>
            </w:pPr>
            <w:r w:rsidRPr="00E244D3">
              <w:rPr>
                <w:rFonts w:ascii="Verdana" w:eastAsia="Times New Roman" w:hAnsi="Verdana" w:cs="Arial"/>
                <w:shd w:val="clear" w:color="auto" w:fill="FFFFFF"/>
                <w:lang w:val="es-ES_tradnl" w:eastAsia="es-ES_tradnl"/>
              </w:rPr>
              <w:t xml:space="preserve">Lo anterior, sin perjuicio de precisar que, de conformidad con las </w:t>
            </w:r>
            <w:r w:rsidRPr="00E244D3">
              <w:rPr>
                <w:rFonts w:ascii="Verdana" w:eastAsia="Times New Roman" w:hAnsi="Verdana" w:cs="Arial"/>
                <w:shd w:val="clear" w:color="auto" w:fill="FFFFFF"/>
                <w:lang w:val="es-ES_tradnl" w:eastAsia="es-ES_tradnl"/>
              </w:rPr>
              <w:lastRenderedPageBreak/>
              <w:t>competencias asignadas en el Decreto 4170 de 2011, la Agencia Nacional de Contratación Pública – Colombia Compra Eficiente no tiene facultades para intervenir en la gestión contractual específica de las entidades estatales. En ese sentido, esta Agencia no está habilitada para impartir instrucciones particulares ni recomendaciones sobre la forma en que cada entidad debe adelantar sus procesos de selección, ni para definir los requisitos habilitantes o de experiencia que deban exigirse en cada caso concreto.</w:t>
            </w:r>
          </w:p>
          <w:p w14:paraId="242058C9" w14:textId="77777777" w:rsidR="00E244D3" w:rsidRPr="00E244D3" w:rsidRDefault="00E244D3" w:rsidP="00E244D3">
            <w:pPr>
              <w:widowControl w:val="0"/>
              <w:autoSpaceDE w:val="0"/>
              <w:autoSpaceDN w:val="0"/>
              <w:spacing w:line="276" w:lineRule="auto"/>
              <w:ind w:firstLine="708"/>
              <w:jc w:val="both"/>
              <w:rPr>
                <w:rFonts w:ascii="Verdana" w:eastAsia="Times New Roman" w:hAnsi="Verdana" w:cs="Arial"/>
                <w:shd w:val="clear" w:color="auto" w:fill="FFFFFF"/>
                <w:lang w:val="es-ES_tradnl" w:eastAsia="es-ES_tradnl"/>
              </w:rPr>
            </w:pPr>
            <w:r w:rsidRPr="00E244D3">
              <w:rPr>
                <w:rFonts w:ascii="Verdana" w:eastAsia="Times New Roman" w:hAnsi="Verdana" w:cs="Arial"/>
                <w:shd w:val="clear" w:color="auto" w:fill="FFFFFF"/>
                <w:lang w:val="es-ES_tradnl" w:eastAsia="es-ES_tradnl"/>
              </w:rPr>
              <w:t>En consecuencia, corresponde a cada entidad estatal, en ejercicio de su autonomía administrativa y bajo su responsabilidad, definir el contenido de sus procesos contractuales, garantizando en todo caso la observancia de los principios de planeación, transparencia, selección objetiva y responsabilidad, así como el cumplimiento de la normativa legal y reglamentaria vigente aplicable al caso concreto.</w:t>
            </w:r>
          </w:p>
        </w:tc>
      </w:tr>
    </w:tbl>
    <w:p w14:paraId="3D9E6022" w14:textId="77777777" w:rsidR="00E244D3" w:rsidRPr="00E244D3" w:rsidRDefault="00E244D3" w:rsidP="00E244D3">
      <w:pPr>
        <w:tabs>
          <w:tab w:val="left" w:pos="142"/>
          <w:tab w:val="left" w:pos="284"/>
        </w:tabs>
        <w:spacing w:after="0" w:line="276" w:lineRule="auto"/>
        <w:jc w:val="both"/>
        <w:rPr>
          <w:rFonts w:ascii="Verdana" w:eastAsia="Century Gothic" w:hAnsi="Verdana" w:cs="Century Gothic"/>
          <w:b/>
          <w:bCs/>
          <w:lang w:val="es-ES" w:eastAsia="es-MX"/>
        </w:rPr>
      </w:pPr>
    </w:p>
    <w:p w14:paraId="7FDAD230" w14:textId="77777777" w:rsidR="00E244D3" w:rsidRPr="00E244D3" w:rsidRDefault="00E244D3" w:rsidP="00E244D3">
      <w:pPr>
        <w:tabs>
          <w:tab w:val="left" w:pos="142"/>
          <w:tab w:val="left" w:pos="284"/>
        </w:tabs>
        <w:spacing w:after="0" w:line="276" w:lineRule="auto"/>
        <w:jc w:val="both"/>
        <w:rPr>
          <w:rFonts w:ascii="Verdana" w:eastAsia="Century Gothic" w:hAnsi="Verdana" w:cs="Century Gothic"/>
          <w:b/>
          <w:bCs/>
          <w:lang w:val="es-ES" w:eastAsia="es-MX"/>
        </w:rPr>
      </w:pPr>
      <w:r w:rsidRPr="00E244D3">
        <w:rPr>
          <w:rFonts w:ascii="Verdana" w:eastAsia="Century Gothic" w:hAnsi="Verdana" w:cs="Century Gothic"/>
          <w:b/>
          <w:bCs/>
          <w:lang w:val="es-ES" w:eastAsia="es-MX"/>
        </w:rPr>
        <w:t>3. Razones de la respuesta:</w:t>
      </w:r>
    </w:p>
    <w:p w14:paraId="08BE737A" w14:textId="77777777" w:rsidR="00E244D3" w:rsidRPr="00E244D3" w:rsidRDefault="00E244D3" w:rsidP="00E244D3">
      <w:pPr>
        <w:spacing w:after="0" w:line="276" w:lineRule="auto"/>
        <w:jc w:val="both"/>
        <w:rPr>
          <w:rFonts w:ascii="Verdana" w:eastAsia="Calibri" w:hAnsi="Verdana" w:cs="Arial"/>
          <w:lang w:val="es-ES" w:eastAsia="es-MX"/>
        </w:rPr>
      </w:pPr>
    </w:p>
    <w:p w14:paraId="0D60C25A" w14:textId="77777777" w:rsidR="00E244D3" w:rsidRPr="00E244D3" w:rsidRDefault="00E244D3" w:rsidP="00E244D3">
      <w:pPr>
        <w:spacing w:after="0" w:line="276" w:lineRule="auto"/>
        <w:jc w:val="both"/>
        <w:rPr>
          <w:rFonts w:ascii="Verdana" w:eastAsia="Calibri" w:hAnsi="Verdana" w:cs="Arial"/>
          <w:lang w:val="es-ES" w:eastAsia="es-MX"/>
        </w:rPr>
      </w:pPr>
      <w:r w:rsidRPr="00E244D3">
        <w:rPr>
          <w:rFonts w:ascii="Verdana" w:eastAsia="Calibri" w:hAnsi="Verdana" w:cs="Arial"/>
          <w:lang w:val="es-ES" w:eastAsia="es-MX"/>
        </w:rPr>
        <w:t xml:space="preserve">Lo anterior se sustenta en las siguientes consideraciones: </w:t>
      </w:r>
    </w:p>
    <w:p w14:paraId="540C9E8E" w14:textId="77777777" w:rsidR="00E244D3" w:rsidRPr="00E244D3" w:rsidRDefault="00E244D3" w:rsidP="00E244D3">
      <w:pPr>
        <w:spacing w:after="0" w:line="276" w:lineRule="auto"/>
        <w:jc w:val="both"/>
        <w:rPr>
          <w:rFonts w:ascii="Verdana" w:eastAsia="Calibri" w:hAnsi="Verdana" w:cs="Arial"/>
          <w:lang w:val="es-ES" w:eastAsia="es-MX"/>
        </w:rPr>
      </w:pPr>
    </w:p>
    <w:p w14:paraId="032B9FB5" w14:textId="77777777" w:rsidR="00E244D3" w:rsidRPr="00E244D3" w:rsidRDefault="00E244D3" w:rsidP="00E244D3">
      <w:pPr>
        <w:spacing w:after="120" w:line="276" w:lineRule="auto"/>
        <w:jc w:val="both"/>
        <w:rPr>
          <w:rFonts w:ascii="Verdana" w:eastAsia="Aptos" w:hAnsi="Verdana" w:cs="Arial"/>
          <w:lang w:eastAsia="es-MX"/>
        </w:rPr>
      </w:pPr>
      <w:r w:rsidRPr="00E244D3">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B9A885E" w14:textId="77777777" w:rsidR="00E244D3" w:rsidRPr="00E244D3" w:rsidRDefault="00E244D3" w:rsidP="00E244D3">
      <w:pPr>
        <w:spacing w:after="120" w:line="276" w:lineRule="auto"/>
        <w:ind w:firstLine="708"/>
        <w:jc w:val="both"/>
        <w:rPr>
          <w:rFonts w:ascii="Verdana" w:eastAsia="Aptos" w:hAnsi="Verdana" w:cs="Arial"/>
          <w:lang w:eastAsia="es-MX"/>
        </w:rPr>
      </w:pPr>
      <w:r w:rsidRPr="00E244D3">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26E5F09"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r w:rsidRPr="00E244D3">
        <w:rPr>
          <w:rFonts w:ascii="Verdana" w:eastAsia="Aptos" w:hAnsi="Verdana" w:cs="Arial"/>
          <w:lang w:eastAsia="es-MX"/>
        </w:rPr>
        <w:lastRenderedPageBreak/>
        <w:t xml:space="preserve">En el sector social, </w:t>
      </w:r>
      <w:r w:rsidRPr="00E244D3">
        <w:rPr>
          <w:rFonts w:ascii="Verdana" w:eastAsia="Calibri" w:hAnsi="Verdana" w:cs="Arial"/>
          <w:lang w:val="es-MX" w:eastAsia="es-MX"/>
        </w:rPr>
        <w:t xml:space="preserve">la Agencia Nacional de Contratación Pública – Colombia Compra </w:t>
      </w:r>
      <w:r w:rsidRPr="00E244D3">
        <w:rPr>
          <w:rFonts w:ascii="Verdana" w:eastAsia="Calibri" w:hAnsi="Verdana" w:cs="Arial"/>
          <w:lang w:eastAsia="es-MX"/>
        </w:rPr>
        <w:t xml:space="preserve">Eficiente </w:t>
      </w:r>
      <w:r w:rsidRPr="00E244D3">
        <w:rPr>
          <w:rFonts w:ascii="Verdana" w:eastAsia="Times New Roman" w:hAnsi="Verdana" w:cs="Times New Roman"/>
          <w:color w:val="000000"/>
          <w:lang w:eastAsia="es-CO"/>
        </w:rPr>
        <w:t>en el segundo semestre del año 2025 adoptó las siguientes Resoluciones para contratar obra pública y concurso de méritos:</w:t>
      </w:r>
    </w:p>
    <w:p w14:paraId="4F40A16E"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r w:rsidRPr="00E244D3">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D7DC589"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r w:rsidRPr="00E244D3">
        <w:rPr>
          <w:rFonts w:ascii="Verdana" w:eastAsia="Times New Roman" w:hAnsi="Verdana" w:cs="Times New Roman"/>
          <w:color w:val="000000"/>
          <w:lang w:eastAsia="es-CO"/>
        </w:rPr>
        <w:t xml:space="preserve"> </w:t>
      </w:r>
      <w:proofErr w:type="spellStart"/>
      <w:r w:rsidRPr="00E244D3">
        <w:rPr>
          <w:rFonts w:ascii="Verdana" w:eastAsia="Times New Roman" w:hAnsi="Verdana" w:cs="Times New Roman"/>
          <w:color w:val="000000"/>
          <w:lang w:eastAsia="es-CO"/>
        </w:rPr>
        <w:t>ii</w:t>
      </w:r>
      <w:proofErr w:type="spellEnd"/>
      <w:r w:rsidRPr="00E244D3">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D100B09"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proofErr w:type="spellStart"/>
      <w:r w:rsidRPr="00E244D3">
        <w:rPr>
          <w:rFonts w:ascii="Verdana" w:eastAsia="Times New Roman" w:hAnsi="Verdana" w:cs="Times New Roman"/>
          <w:color w:val="000000"/>
          <w:lang w:eastAsia="es-CO"/>
        </w:rPr>
        <w:t>iii</w:t>
      </w:r>
      <w:proofErr w:type="spellEnd"/>
      <w:r w:rsidRPr="00E244D3">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B843242"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proofErr w:type="spellStart"/>
      <w:r w:rsidRPr="00E244D3">
        <w:rPr>
          <w:rFonts w:ascii="Verdana" w:eastAsia="Times New Roman" w:hAnsi="Verdana" w:cs="Times New Roman"/>
          <w:color w:val="000000"/>
          <w:lang w:eastAsia="es-CO"/>
        </w:rPr>
        <w:t>iv</w:t>
      </w:r>
      <w:proofErr w:type="spellEnd"/>
      <w:r w:rsidRPr="00E244D3">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2988ED96" w14:textId="77777777" w:rsidR="00E244D3" w:rsidRPr="00E244D3" w:rsidRDefault="00E244D3" w:rsidP="00E244D3">
      <w:pPr>
        <w:spacing w:after="120" w:line="276" w:lineRule="auto"/>
        <w:ind w:firstLine="708"/>
        <w:jc w:val="both"/>
        <w:rPr>
          <w:rFonts w:ascii="Verdana" w:eastAsia="Times New Roman" w:hAnsi="Verdana" w:cs="Times New Roman"/>
          <w:color w:val="000000"/>
          <w:lang w:eastAsia="es-CO"/>
        </w:rPr>
      </w:pPr>
      <w:r w:rsidRPr="00E244D3">
        <w:rPr>
          <w:rFonts w:ascii="Verdana" w:eastAsia="Times New Roman" w:hAnsi="Verdana" w:cs="Times New Roman"/>
          <w:color w:val="000000"/>
          <w:lang w:eastAsia="es-CO"/>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w:t>
      </w:r>
      <w:r w:rsidRPr="00E244D3">
        <w:rPr>
          <w:rFonts w:ascii="Verdana" w:eastAsia="Times New Roman" w:hAnsi="Verdana" w:cs="Times New Roman"/>
          <w:color w:val="000000"/>
          <w:lang w:eastAsia="es-CO"/>
        </w:rPr>
        <w:lastRenderedPageBreak/>
        <w:t>relacionados con el sector educación, salud, cultura, recreación y deporte, institucional y vivienda y se deroga la Resolución 798 del 29 de diciembre de 2023".</w:t>
      </w:r>
      <w:r w:rsidRPr="00E244D3">
        <w:rPr>
          <w:rFonts w:ascii="Verdana" w:eastAsia="Aptos" w:hAnsi="Verdana" w:cs="Times New Roman"/>
          <w:lang w:eastAsia="es-MX"/>
        </w:rPr>
        <w:t xml:space="preserve"> </w:t>
      </w:r>
    </w:p>
    <w:p w14:paraId="050F64A5" w14:textId="77777777" w:rsidR="00E244D3" w:rsidRPr="00E244D3" w:rsidRDefault="00E244D3" w:rsidP="00E244D3">
      <w:pPr>
        <w:spacing w:after="120" w:line="276" w:lineRule="auto"/>
        <w:ind w:firstLine="708"/>
        <w:jc w:val="both"/>
        <w:textAlignment w:val="baseline"/>
        <w:rPr>
          <w:rFonts w:ascii="Verdana" w:eastAsia="Calibri" w:hAnsi="Verdana" w:cs="Arial"/>
          <w:lang w:eastAsia="es-MX"/>
        </w:rPr>
      </w:pPr>
      <w:r w:rsidRPr="00E244D3">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E244D3">
        <w:rPr>
          <w:rFonts w:ascii="Verdana" w:eastAsia="Calibri" w:hAnsi="Verdana" w:cs="Arial"/>
          <w:vertAlign w:val="superscript"/>
          <w:lang w:eastAsia="es-MX"/>
        </w:rPr>
        <w:footnoteReference w:id="2"/>
      </w:r>
      <w:r w:rsidRPr="00E244D3">
        <w:rPr>
          <w:rFonts w:ascii="Verdana" w:eastAsia="Calibri" w:hAnsi="Verdana" w:cs="Arial"/>
          <w:lang w:eastAsia="es-MX"/>
        </w:rPr>
        <w:t>.</w:t>
      </w:r>
    </w:p>
    <w:p w14:paraId="3A94B68E"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Times New Roman"/>
          <w:lang w:val="es-ES" w:eastAsia="es-MX"/>
        </w:rPr>
      </w:pPr>
      <w:r w:rsidRPr="00E244D3">
        <w:rPr>
          <w:rFonts w:ascii="Verdana" w:eastAsia="Calibri" w:hAnsi="Verdana" w:cs="Times New Roman"/>
          <w:lang w:val="es-ES" w:eastAsia="es-MX"/>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E244D3">
        <w:rPr>
          <w:rFonts w:ascii="Verdana" w:eastAsia="Calibri" w:hAnsi="Verdana" w:cs="Times New Roman"/>
          <w:shd w:val="clear" w:color="auto" w:fill="E8E8E8"/>
          <w:lang w:val="es-ES" w:eastAsia="es-MX"/>
        </w:rPr>
        <w:t>–[texto]–,</w:t>
      </w:r>
      <w:r w:rsidRPr="00E244D3">
        <w:rPr>
          <w:rFonts w:ascii="Verdana" w:eastAsia="Calibri" w:hAnsi="Verdana" w:cs="Times New Roman"/>
          <w:lang w:val="es-ES" w:eastAsia="es-MX"/>
        </w:rPr>
        <w:t xml:space="preserve"> para lo cual deberán observarse las </w:t>
      </w:r>
      <w:r w:rsidRPr="00E244D3">
        <w:rPr>
          <w:rFonts w:ascii="Verdana" w:eastAsia="Calibri" w:hAnsi="Verdana" w:cs="Times New Roman"/>
          <w:lang w:val="es-ES" w:eastAsia="es-MX"/>
        </w:rPr>
        <w:lastRenderedPageBreak/>
        <w:t>instrucciones contenidas en los mismos para su diligenciamiento.</w:t>
      </w:r>
    </w:p>
    <w:p w14:paraId="762C2A4B"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Times New Roman"/>
          <w:lang w:val="es-ES" w:eastAsia="es-MX"/>
        </w:rPr>
      </w:pPr>
      <w:r w:rsidRPr="00E244D3">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75F6EBE"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Times New Roman"/>
          <w:lang w:val="es-ES" w:eastAsia="es-MX"/>
        </w:rPr>
      </w:pPr>
      <w:r w:rsidRPr="00E244D3">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3282D4A"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Times New Roman"/>
          <w:lang w:val="es-ES" w:eastAsia="es-MX"/>
        </w:rPr>
      </w:pPr>
      <w:r w:rsidRPr="00E244D3">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75E478C"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Times New Roman"/>
          <w:lang w:val="es-ES" w:eastAsia="es-MX"/>
        </w:rPr>
      </w:pPr>
      <w:r w:rsidRPr="00E244D3">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6EBB3A0" w14:textId="77777777" w:rsidR="00E244D3" w:rsidRPr="00E244D3" w:rsidRDefault="00E244D3" w:rsidP="00E244D3">
      <w:pPr>
        <w:widowControl w:val="0"/>
        <w:autoSpaceDE w:val="0"/>
        <w:autoSpaceDN w:val="0"/>
        <w:spacing w:after="0" w:line="276" w:lineRule="auto"/>
        <w:ind w:firstLine="709"/>
        <w:jc w:val="both"/>
        <w:rPr>
          <w:rFonts w:ascii="Verdana" w:eastAsia="Calibri" w:hAnsi="Verdana" w:cs="Times New Roman"/>
          <w:lang w:val="es-ES" w:eastAsia="es-MX"/>
        </w:rPr>
      </w:pPr>
      <w:r w:rsidRPr="00E244D3">
        <w:rPr>
          <w:rFonts w:ascii="Verdana" w:eastAsia="Calibri" w:hAnsi="Verdana" w:cs="Times New Roman"/>
          <w:lang w:val="es-ES" w:eastAsia="es-MX"/>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w:t>
      </w:r>
      <w:r w:rsidRPr="00E244D3">
        <w:rPr>
          <w:rFonts w:ascii="Verdana" w:eastAsia="Calibri" w:hAnsi="Verdana" w:cs="Times New Roman"/>
          <w:lang w:val="es-ES" w:eastAsia="es-MX"/>
        </w:rPr>
        <w:lastRenderedPageBreak/>
        <w:t>de los tipos actividades concretas señaladas en cada una de las matrices de experiencia, se tendrán que aplicar estos documentos tipo para los mencionados sectores −según corresponda−, mientras que en el caso contrario no será forzosa su aplicación.</w:t>
      </w:r>
    </w:p>
    <w:p w14:paraId="4B570560" w14:textId="77777777" w:rsidR="00E244D3" w:rsidRPr="00E244D3" w:rsidRDefault="00E244D3" w:rsidP="00E244D3">
      <w:pPr>
        <w:widowControl w:val="0"/>
        <w:autoSpaceDE w:val="0"/>
        <w:autoSpaceDN w:val="0"/>
        <w:spacing w:after="0" w:line="276" w:lineRule="auto"/>
        <w:ind w:firstLine="708"/>
        <w:jc w:val="both"/>
        <w:rPr>
          <w:rFonts w:ascii="Verdana" w:eastAsia="Calibri" w:hAnsi="Verdana" w:cs="Times New Roman"/>
          <w:lang w:val="es-ES" w:eastAsia="es-MX"/>
        </w:rPr>
      </w:pPr>
    </w:p>
    <w:p w14:paraId="6475FE47" w14:textId="77777777" w:rsidR="00E244D3" w:rsidRPr="00E244D3" w:rsidRDefault="00E244D3" w:rsidP="00E244D3">
      <w:pPr>
        <w:spacing w:after="0" w:line="276" w:lineRule="auto"/>
        <w:jc w:val="both"/>
        <w:rPr>
          <w:rFonts w:ascii="Verdana" w:eastAsia="Times New Roman" w:hAnsi="Verdana" w:cs="Times New Roman"/>
          <w:color w:val="000000"/>
          <w:lang w:eastAsia="es-CO"/>
        </w:rPr>
      </w:pPr>
      <w:proofErr w:type="spellStart"/>
      <w:r w:rsidRPr="00E244D3">
        <w:rPr>
          <w:rFonts w:ascii="Verdana" w:eastAsia="Calibri" w:hAnsi="Verdana" w:cs="Times New Roman"/>
          <w:lang w:val="es-ES" w:eastAsia="es-MX"/>
        </w:rPr>
        <w:t>ii</w:t>
      </w:r>
      <w:proofErr w:type="spellEnd"/>
      <w:r w:rsidRPr="00E244D3">
        <w:rPr>
          <w:rFonts w:ascii="Verdana" w:eastAsia="Calibri" w:hAnsi="Verdana" w:cs="Times New Roman"/>
          <w:lang w:val="es-ES" w:eastAsia="es-MX"/>
        </w:rPr>
        <w:t xml:space="preserve">. </w:t>
      </w:r>
      <w:r w:rsidRPr="00E244D3">
        <w:rPr>
          <w:rFonts w:ascii="Verdana" w:eastAsia="Times New Roman" w:hAnsi="Verdana" w:cs="Times New Roman"/>
          <w:color w:val="000000"/>
          <w:lang w:eastAsia="es-CO"/>
        </w:rPr>
        <w:t xml:space="preserve">En los documentos tipo complementarios del sector cultura, recreación y deporte, en la modalidad de licitación pública, selección abreviada de menor cuantía y mínima cuantía, en la Matriz 1 se encuentran los siguientes tipos de infraestructura: 1. Obras de infraestructura cultural, 2. Obras de infraestructura recreo deportivas, 3. Obras en infraestructura del sector cultura, recreación y deporte, 4. Obras en bibliotecas públicas, y </w:t>
      </w:r>
      <w:r w:rsidRPr="00E244D3">
        <w:rPr>
          <w:rFonts w:ascii="Verdana" w:eastAsia="Times New Roman" w:hAnsi="Verdana" w:cs="Arial"/>
          <w:lang w:eastAsia="es-MX"/>
        </w:rPr>
        <w:t>5.</w:t>
      </w:r>
      <w:r w:rsidRPr="00E244D3">
        <w:rPr>
          <w:rFonts w:ascii="Verdana" w:eastAsia="Times New Roman" w:hAnsi="Verdana" w:cs="Arial"/>
          <w:b/>
          <w:bCs/>
          <w:lang w:eastAsia="es-MX"/>
        </w:rPr>
        <w:t xml:space="preserve"> </w:t>
      </w:r>
      <w:r w:rsidRPr="00E244D3">
        <w:rPr>
          <w:rFonts w:ascii="Verdana" w:eastAsia="Times New Roman" w:hAnsi="Verdana" w:cs="Arial"/>
          <w:lang w:eastAsia="es-MX"/>
        </w:rPr>
        <w:t>obras para atención, prevención o mitigación de emergencias diferentes a contratación directa para el sector cultura, recreación y deporte.</w:t>
      </w:r>
      <w:r w:rsidRPr="00E244D3">
        <w:rPr>
          <w:rFonts w:ascii="Arial" w:eastAsia="Times New Roman" w:hAnsi="Arial" w:cs="Arial"/>
          <w:sz w:val="24"/>
          <w:szCs w:val="24"/>
          <w:lang w:eastAsia="es-MX"/>
        </w:rPr>
        <w:t xml:space="preserve"> </w:t>
      </w:r>
      <w:r w:rsidRPr="00E244D3">
        <w:rPr>
          <w:rFonts w:ascii="Verdana" w:eastAsia="Calibri" w:hAnsi="Verdana" w:cs="Times New Roman"/>
          <w:lang w:eastAsia="es-MX"/>
        </w:rPr>
        <w:t>Para efectos de su solicitud en la que indaga sobre sí se deben utilizar los documentos tipo del sector cultura, recreación y deporte para realizar la “implosión de un escenario deportivo”, le informamos que, en el capítulo 2. “</w:t>
      </w:r>
      <w:r w:rsidRPr="00E244D3">
        <w:rPr>
          <w:rFonts w:ascii="Verdana" w:eastAsia="Times New Roman" w:hAnsi="Verdana" w:cs="Times New Roman"/>
          <w:color w:val="000000"/>
          <w:lang w:eastAsia="es-CO"/>
        </w:rPr>
        <w:t>Obras de infraestructura recreo deportivas” de la Matriz 1 – Experiencia sector cultura, recreación y deporte, se incluye la actividad 2.5, en la cual eventualmente puede enmarcarse el objeto referido:</w:t>
      </w:r>
    </w:p>
    <w:p w14:paraId="1DA8D1CC" w14:textId="77777777" w:rsidR="00E244D3" w:rsidRPr="00E244D3" w:rsidRDefault="00E244D3" w:rsidP="00E244D3">
      <w:pPr>
        <w:spacing w:after="0" w:line="240" w:lineRule="auto"/>
        <w:jc w:val="both"/>
        <w:rPr>
          <w:rFonts w:ascii="Verdana" w:eastAsia="Times New Roman" w:hAnsi="Verdana" w:cs="Times New Roman"/>
          <w:color w:val="000000"/>
          <w:lang w:eastAsia="es-CO"/>
        </w:rPr>
      </w:pPr>
      <w:r w:rsidRPr="00E244D3">
        <w:rPr>
          <w:rFonts w:ascii="Verdana" w:eastAsia="Times New Roman" w:hAnsi="Verdana" w:cs="Times New Roman"/>
          <w:color w:val="000000"/>
          <w:lang w:eastAsia="es-CO"/>
        </w:rPr>
        <w:t xml:space="preserve"> </w:t>
      </w:r>
    </w:p>
    <w:p w14:paraId="70853714" w14:textId="77777777" w:rsidR="00E244D3" w:rsidRPr="00E244D3" w:rsidRDefault="00E244D3" w:rsidP="00E244D3">
      <w:pPr>
        <w:spacing w:after="0" w:line="240" w:lineRule="auto"/>
        <w:ind w:left="709" w:right="709"/>
        <w:jc w:val="both"/>
        <w:rPr>
          <w:rFonts w:ascii="Verdana" w:eastAsia="Aptos" w:hAnsi="Verdana" w:cs="Aptos"/>
          <w:kern w:val="2"/>
          <w:sz w:val="21"/>
          <w:szCs w:val="21"/>
          <w14:ligatures w14:val="standardContextual"/>
        </w:rPr>
      </w:pPr>
      <w:r w:rsidRPr="00E244D3">
        <w:rPr>
          <w:rFonts w:ascii="Verdana" w:eastAsia="Aptos" w:hAnsi="Verdana" w:cs="Aptos"/>
          <w:kern w:val="2"/>
          <w:sz w:val="21"/>
          <w:szCs w:val="21"/>
          <w14:ligatures w14:val="standardContextual"/>
        </w:rPr>
        <w:t xml:space="preserve">“2.5. PROYECTOS DE CONSTRUCCIÓN Y/O AMPLIACIÓN Y/O RECONSTRUCCIÓN Y/O OPTIMIZACIÓN Y/O MEJORAMIENTO Y/O </w:t>
      </w:r>
      <w:r w:rsidRPr="00E244D3">
        <w:rPr>
          <w:rFonts w:ascii="Verdana" w:eastAsia="Aptos" w:hAnsi="Verdana" w:cs="Aptos"/>
          <w:b/>
          <w:bCs/>
          <w:color w:val="000000"/>
          <w:kern w:val="2"/>
          <w:sz w:val="21"/>
          <w:szCs w:val="21"/>
          <w:u w:val="single"/>
          <w14:ligatures w14:val="standardContextual"/>
        </w:rPr>
        <w:t>REHABILITACIÓN</w:t>
      </w:r>
      <w:r w:rsidRPr="00E244D3">
        <w:rPr>
          <w:rFonts w:ascii="Verdana" w:eastAsia="Aptos" w:hAnsi="Verdana" w:cs="Aptos"/>
          <w:b/>
          <w:bCs/>
          <w:color w:val="000000"/>
          <w:kern w:val="2"/>
          <w:sz w:val="21"/>
          <w:szCs w:val="21"/>
          <w14:ligatures w14:val="standardContextual"/>
        </w:rPr>
        <w:t xml:space="preserve"> Y/O </w:t>
      </w:r>
      <w:r w:rsidRPr="00E244D3">
        <w:rPr>
          <w:rFonts w:ascii="Verdana" w:eastAsia="Aptos" w:hAnsi="Verdana" w:cs="Aptos"/>
          <w:b/>
          <w:bCs/>
          <w:color w:val="000000"/>
          <w:kern w:val="2"/>
          <w:sz w:val="21"/>
          <w:szCs w:val="21"/>
          <w:u w:val="single"/>
          <w14:ligatures w14:val="standardContextual"/>
        </w:rPr>
        <w:t>REPOSICIÓN</w:t>
      </w:r>
      <w:r w:rsidRPr="00E244D3">
        <w:rPr>
          <w:rFonts w:ascii="Verdana" w:eastAsia="Aptos" w:hAnsi="Verdana" w:cs="Aptos"/>
          <w:color w:val="000000"/>
          <w:kern w:val="2"/>
          <w:sz w:val="21"/>
          <w:szCs w:val="21"/>
          <w14:ligatures w14:val="standardContextual"/>
        </w:rPr>
        <w:t xml:space="preserve"> </w:t>
      </w:r>
      <w:r w:rsidRPr="00E244D3">
        <w:rPr>
          <w:rFonts w:ascii="Verdana" w:eastAsia="Aptos" w:hAnsi="Verdana" w:cs="Aptos"/>
          <w:kern w:val="2"/>
          <w:sz w:val="21"/>
          <w:szCs w:val="21"/>
          <w14:ligatures w14:val="standardContextual"/>
        </w:rPr>
        <w:t xml:space="preserve">Y/O </w:t>
      </w:r>
      <w:r w:rsidRPr="00E244D3">
        <w:rPr>
          <w:rFonts w:ascii="Verdana" w:eastAsia="Aptos" w:hAnsi="Verdana" w:cs="Aptos"/>
          <w:b/>
          <w:bCs/>
          <w:kern w:val="2"/>
          <w:sz w:val="21"/>
          <w:szCs w:val="21"/>
          <w:u w:val="single"/>
          <w14:ligatures w14:val="standardContextual"/>
        </w:rPr>
        <w:t>INTERVENCIÓN</w:t>
      </w:r>
      <w:r w:rsidRPr="00E244D3">
        <w:rPr>
          <w:rFonts w:ascii="Verdana" w:eastAsia="Aptos" w:hAnsi="Verdana" w:cs="Aptos"/>
          <w:kern w:val="2"/>
          <w:sz w:val="21"/>
          <w:szCs w:val="21"/>
          <w14:ligatures w14:val="standardContextual"/>
        </w:rPr>
        <w:t xml:space="preserve"> Y/O INSTALACIÓN Y/O AMPLIACIÓN Y/O MANTENIMIENTO Y/O CONSERVACIÓN Y/O OPERACIÓN Y/O ADECUACIÓN Y/O MODIFICACIÓN Y/O RESTAURACIÓN Y/O REMODELACIÓN Y/O TERMINACIÓN Y/O REPARACIÓN Y/O  </w:t>
      </w:r>
      <w:r w:rsidRPr="00E244D3">
        <w:rPr>
          <w:rFonts w:ascii="Verdana" w:eastAsia="Aptos" w:hAnsi="Verdana" w:cs="Aptos"/>
          <w:b/>
          <w:bCs/>
          <w:color w:val="000000"/>
          <w:kern w:val="2"/>
          <w:sz w:val="21"/>
          <w:szCs w:val="21"/>
          <w:u w:val="single"/>
          <w14:ligatures w14:val="standardContextual"/>
        </w:rPr>
        <w:t>RESTITUCIÓN</w:t>
      </w:r>
      <w:r w:rsidRPr="00E244D3">
        <w:rPr>
          <w:rFonts w:ascii="Verdana" w:eastAsia="Aptos" w:hAnsi="Verdana" w:cs="Aptos"/>
          <w:b/>
          <w:bCs/>
          <w:color w:val="EE0000"/>
          <w:kern w:val="2"/>
          <w:sz w:val="21"/>
          <w:szCs w:val="21"/>
          <w14:ligatures w14:val="standardContextual"/>
        </w:rPr>
        <w:t xml:space="preserve"> </w:t>
      </w:r>
      <w:r w:rsidRPr="00E244D3">
        <w:rPr>
          <w:rFonts w:ascii="Verdana" w:eastAsia="Aptos" w:hAnsi="Verdana" w:cs="Aptos"/>
          <w:kern w:val="2"/>
          <w:sz w:val="21"/>
          <w:szCs w:val="21"/>
          <w14:ligatures w14:val="standardContextual"/>
        </w:rPr>
        <w:t xml:space="preserve">Y/O REFORZAMIENTO ESTRUCTURAL Y/O ACTUALIZACIÓN SÍSMICA Y/O REPOTENCIACIÓN ESTRUCTURAL DE CANCHAS DEPORTIVAS Y/O ESCENARIOS Y/O COMPLEJOS Y/O ESPACIOS E INSTALACIONES RECREO DEPORTIVAS”. (énfasis fuera del texto original). </w:t>
      </w:r>
    </w:p>
    <w:p w14:paraId="419EEE68" w14:textId="77777777" w:rsidR="00E244D3" w:rsidRPr="00E244D3" w:rsidRDefault="00E244D3" w:rsidP="00E244D3">
      <w:pPr>
        <w:spacing w:after="0" w:line="240" w:lineRule="auto"/>
        <w:ind w:left="709" w:right="709"/>
        <w:jc w:val="both"/>
        <w:rPr>
          <w:rFonts w:ascii="Verdana" w:eastAsia="Aptos" w:hAnsi="Verdana" w:cs="Aptos"/>
          <w:kern w:val="2"/>
          <w:sz w:val="21"/>
          <w:szCs w:val="21"/>
          <w14:ligatures w14:val="standardContextual"/>
        </w:rPr>
      </w:pPr>
    </w:p>
    <w:p w14:paraId="092CD417"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Times New Roman"/>
          <w:lang w:val="es-ES" w:eastAsia="es-MX"/>
        </w:rPr>
      </w:pPr>
      <w:r w:rsidRPr="00E244D3">
        <w:rPr>
          <w:rFonts w:ascii="Verdana" w:eastAsia="Aptos" w:hAnsi="Verdana" w:cs="Aptos"/>
          <w:kern w:val="2"/>
          <w14:ligatures w14:val="standardContextual"/>
        </w:rPr>
        <w:t xml:space="preserve">Como se aprecia, la actividad referida recae sobre proyectos de </w:t>
      </w:r>
      <w:r w:rsidRPr="00E244D3">
        <w:rPr>
          <w:rFonts w:ascii="Verdana" w:eastAsia="Aptos" w:hAnsi="Verdana" w:cs="Aptos"/>
          <w:color w:val="000000"/>
          <w:kern w:val="2"/>
          <w14:ligatures w14:val="standardContextual"/>
        </w:rPr>
        <w:t xml:space="preserve">construcción, ampliación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w:t>
      </w:r>
      <w:r w:rsidRPr="00E244D3">
        <w:rPr>
          <w:rFonts w:ascii="Verdana" w:eastAsia="Calibri" w:hAnsi="Verdana" w:cs="Times New Roman"/>
          <w:lang w:val="es-ES" w:eastAsia="es-MX"/>
        </w:rPr>
        <w:t xml:space="preserve">repotenciación estructural que se desarrollen sobre: canchas deportiva y/o </w:t>
      </w:r>
      <w:proofErr w:type="spellStart"/>
      <w:r w:rsidRPr="00E244D3">
        <w:rPr>
          <w:rFonts w:ascii="Verdana" w:eastAsia="Calibri" w:hAnsi="Verdana" w:cs="Times New Roman"/>
          <w:lang w:val="es-ES" w:eastAsia="es-MX"/>
        </w:rPr>
        <w:t>ii</w:t>
      </w:r>
      <w:proofErr w:type="spellEnd"/>
      <w:r w:rsidRPr="00E244D3">
        <w:rPr>
          <w:rFonts w:ascii="Verdana" w:eastAsia="Calibri" w:hAnsi="Verdana" w:cs="Times New Roman"/>
          <w:lang w:val="es-ES" w:eastAsia="es-MX"/>
        </w:rPr>
        <w:t xml:space="preserve">) </w:t>
      </w:r>
      <w:r w:rsidRPr="00E244D3">
        <w:rPr>
          <w:rFonts w:ascii="Verdana" w:eastAsia="Calibri" w:hAnsi="Verdana" w:cs="Times New Roman"/>
          <w:lang w:val="es-ES" w:eastAsia="es-MX"/>
        </w:rPr>
        <w:lastRenderedPageBreak/>
        <w:t xml:space="preserve">complejos y/o espacios e instalaciones recreo deportivas. </w:t>
      </w:r>
    </w:p>
    <w:p w14:paraId="17D134B3" w14:textId="77777777" w:rsidR="00E244D3" w:rsidRPr="00E244D3" w:rsidRDefault="00E244D3" w:rsidP="00E244D3">
      <w:pPr>
        <w:widowControl w:val="0"/>
        <w:autoSpaceDE w:val="0"/>
        <w:autoSpaceDN w:val="0"/>
        <w:spacing w:after="120" w:line="276" w:lineRule="auto"/>
        <w:ind w:firstLine="709"/>
        <w:jc w:val="both"/>
        <w:rPr>
          <w:rFonts w:ascii="Verdana" w:eastAsia="Calibri" w:hAnsi="Verdana" w:cs="Times New Roman"/>
          <w:lang w:val="es-ES" w:eastAsia="es-MX"/>
        </w:rPr>
      </w:pPr>
      <w:r w:rsidRPr="00E244D3">
        <w:rPr>
          <w:rFonts w:ascii="Verdana" w:eastAsia="Calibri" w:hAnsi="Verdana" w:cs="Times New Roman"/>
          <w:lang w:val="es-ES" w:eastAsia="es-MX"/>
        </w:rPr>
        <w:t>Ahora bien, para comprender el alcance de los proyectos contenidos en la actividad 2.5, se debe tener en cuenta las definiciones</w:t>
      </w:r>
      <w:r w:rsidRPr="00E244D3">
        <w:rPr>
          <w:rFonts w:ascii="Verdana" w:eastAsia="Calibri" w:hAnsi="Verdana" w:cs="Arial"/>
          <w:lang w:val="es-ES_tradnl" w:eastAsia="es-MX"/>
        </w:rPr>
        <w:t xml:space="preserve"> del “Anexo – Glosario” de los documentos tipo indicados. Esto, en razón a que el numeral 1.10 del documento base dispone que “</w:t>
      </w:r>
      <w:r w:rsidRPr="00E244D3">
        <w:rPr>
          <w:rFonts w:ascii="Verdana" w:eastAsia="Calibri" w:hAnsi="Verdana" w:cs="Arial"/>
          <w:lang w:val="es-MX" w:eastAsia="es-MX"/>
        </w:rPr>
        <w:t xml:space="preserve">[p]ara los fines de este Pliego de Condiciones, a menos que expresamente se estipule de otra manera, los términos deben entenderse de acuerdo con la definición contenida en el artículo 2.2.1.1.1.3.1 del Decreto 1082 de 2015, el glosario aplicable a la obra pública de infraestructura </w:t>
      </w:r>
      <w:r w:rsidRPr="00E244D3">
        <w:rPr>
          <w:rFonts w:ascii="Verdana" w:eastAsia="Calibri" w:hAnsi="Verdana" w:cs="Times New Roman"/>
          <w:lang w:val="es-ES" w:eastAsia="es-MX"/>
        </w:rPr>
        <w:t>social y demás normas, decretos reglamentarios y legislación aplicable en la materia”.</w:t>
      </w:r>
    </w:p>
    <w:p w14:paraId="4FDF6F4C" w14:textId="77777777" w:rsidR="00E244D3" w:rsidRPr="00E244D3" w:rsidRDefault="00E244D3" w:rsidP="00E244D3">
      <w:pPr>
        <w:widowControl w:val="0"/>
        <w:autoSpaceDE w:val="0"/>
        <w:autoSpaceDN w:val="0"/>
        <w:spacing w:after="0" w:line="276" w:lineRule="auto"/>
        <w:ind w:firstLine="709"/>
        <w:jc w:val="both"/>
        <w:rPr>
          <w:rFonts w:ascii="Verdana" w:eastAsia="Calibri" w:hAnsi="Verdana" w:cs="Arial"/>
          <w:lang w:val="es-MX" w:eastAsia="es-MX"/>
        </w:rPr>
      </w:pPr>
      <w:r w:rsidRPr="00E244D3">
        <w:rPr>
          <w:rFonts w:ascii="Verdana" w:eastAsia="Calibri" w:hAnsi="Verdana" w:cs="Times New Roman"/>
          <w:lang w:val="es-ES" w:eastAsia="es-MX"/>
        </w:rPr>
        <w:t>De esta forma, de acuerdo con el Anexo 5 —Glosario de los documentos tipo de licitación de obra</w:t>
      </w:r>
      <w:r w:rsidRPr="00E244D3">
        <w:rPr>
          <w:rFonts w:ascii="Verdana" w:eastAsia="Calibri" w:hAnsi="Verdana" w:cs="Arial"/>
          <w:lang w:val="es-MX" w:eastAsia="es-MX"/>
        </w:rPr>
        <w:t xml:space="preserve"> pública de infraestructura social – versión 2, los numerales 2.179, 2.185, 2.116 y 2.187 establecen, respectivamente, las definiciones de “Rehabilitación”, “Reposición”, “Intervención” y “Restitución”. Lo anterior resulta relevante para comprender el alcance de estas actividades y determinar si el objeto del proceso que la entidad pretende adelantar —la “implosión de un escenario deportivo”— puede enmarcarse en alguna de ellas. Así, en dichos numerales se dispone lo siguiente:</w:t>
      </w:r>
    </w:p>
    <w:p w14:paraId="49BDA042" w14:textId="77777777" w:rsidR="00E244D3" w:rsidRPr="00E244D3" w:rsidRDefault="00E244D3" w:rsidP="00E244D3">
      <w:pPr>
        <w:spacing w:after="0" w:line="276" w:lineRule="auto"/>
        <w:ind w:firstLine="708"/>
        <w:jc w:val="both"/>
        <w:rPr>
          <w:rFonts w:ascii="Verdana" w:eastAsia="Calibri" w:hAnsi="Verdana" w:cs="Arial"/>
          <w:lang w:val="es-ES_tradnl" w:eastAsia="es-MX"/>
        </w:rPr>
      </w:pPr>
    </w:p>
    <w:p w14:paraId="0AB9E22A"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b/>
          <w:bCs/>
          <w:kern w:val="2"/>
          <w:sz w:val="20"/>
          <w:szCs w:val="20"/>
          <w14:ligatures w14:val="standardContextual"/>
        </w:rPr>
        <w:t>“2.179.Rehabilitación:</w:t>
      </w:r>
      <w:r w:rsidRPr="00E244D3">
        <w:rPr>
          <w:rFonts w:ascii="Verdana" w:eastAsia="Aptos" w:hAnsi="Verdana" w:cs="Times New Roman"/>
          <w:kern w:val="2"/>
          <w:sz w:val="20"/>
          <w:szCs w:val="20"/>
          <w14:ligatures w14:val="standardContextual"/>
        </w:rPr>
        <w:t xml:space="preserve"> Intervención de una infraestructura, cuya condición de operación ha sufrido deterioro y por tanto su nivel de servicio es inferior al nivel para el cual fue diseñado y construido, su objetivo es, devolverla al estado inicial para la cual fue construida, para extender su vida útil y mejorar el rendimiento y/o la durabilidad de estas.</w:t>
      </w:r>
    </w:p>
    <w:p w14:paraId="18262519"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b/>
          <w:bCs/>
          <w:kern w:val="2"/>
          <w:sz w:val="20"/>
          <w:szCs w:val="20"/>
          <w14:ligatures w14:val="standardContextual"/>
        </w:rPr>
        <w:t>2.185.Reposición.</w:t>
      </w:r>
      <w:r w:rsidRPr="00E244D3">
        <w:rPr>
          <w:rFonts w:ascii="Verdana" w:eastAsia="Aptos" w:hAnsi="Verdana" w:cs="Times New Roman"/>
          <w:kern w:val="2"/>
          <w:sz w:val="20"/>
          <w:szCs w:val="20"/>
          <w14:ligatures w14:val="standardContextual"/>
        </w:rPr>
        <w:t xml:space="preserve"> Actividades para reemplazar, renovar elementos, componentes o sistemas de una edificación, que por sus condiciones ya no es apta para cumplir a cabalidad con su función, bien porque agotó su vida útil o porque no es eficiente en su operación y las condiciones de tecnología evidencian que el activo no es eficiente, al llegar al final de su vida útil al presentar daño o deterioro significativo, para mantener la habitabilidad, funcionalidad y seguridad del inmueble.</w:t>
      </w:r>
    </w:p>
    <w:p w14:paraId="0A6A00A2" w14:textId="77777777" w:rsidR="00E244D3" w:rsidRPr="00E244D3" w:rsidRDefault="00E244D3" w:rsidP="00E244D3">
      <w:pPr>
        <w:spacing w:after="12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b/>
          <w:bCs/>
          <w:kern w:val="2"/>
          <w:sz w:val="20"/>
          <w:szCs w:val="20"/>
          <w14:ligatures w14:val="standardContextual"/>
        </w:rPr>
        <w:t>2.116.Intervención;</w:t>
      </w:r>
      <w:r w:rsidRPr="00E244D3">
        <w:rPr>
          <w:rFonts w:ascii="Verdana" w:eastAsia="Aptos" w:hAnsi="Verdana" w:cs="Times New Roman"/>
          <w:kern w:val="2"/>
          <w:sz w:val="20"/>
          <w:szCs w:val="20"/>
          <w14:ligatures w14:val="standardContextual"/>
        </w:rPr>
        <w:t xml:space="preserve"> Cualquier acción o modificación realizada en una edificación existente con el propósito de alterar su estado actual, ya sea para mejorar su eficiencia, funcionalidad, adición o eliminación de características, realizar reparaciones, actualizar sus instalaciones, mejorar su capacidad, reducir costos operativos, entre otros propósitos.</w:t>
      </w:r>
    </w:p>
    <w:p w14:paraId="1FA70472" w14:textId="77777777" w:rsidR="00E244D3" w:rsidRPr="00E244D3" w:rsidRDefault="00E244D3" w:rsidP="00E244D3">
      <w:pPr>
        <w:spacing w:after="0" w:line="240" w:lineRule="auto"/>
        <w:ind w:left="709" w:right="709"/>
        <w:jc w:val="both"/>
        <w:rPr>
          <w:rFonts w:ascii="Verdana" w:eastAsia="Aptos" w:hAnsi="Verdana" w:cs="Times New Roman"/>
          <w:kern w:val="2"/>
          <w:sz w:val="20"/>
          <w:szCs w:val="20"/>
          <w14:ligatures w14:val="standardContextual"/>
        </w:rPr>
      </w:pPr>
      <w:r w:rsidRPr="00E244D3">
        <w:rPr>
          <w:rFonts w:ascii="Verdana" w:eastAsia="Aptos" w:hAnsi="Verdana" w:cs="Times New Roman"/>
          <w:b/>
          <w:bCs/>
          <w:kern w:val="2"/>
          <w:sz w:val="20"/>
          <w:szCs w:val="20"/>
          <w14:ligatures w14:val="standardContextual"/>
        </w:rPr>
        <w:lastRenderedPageBreak/>
        <w:t xml:space="preserve">2.187.Restitución: </w:t>
      </w:r>
      <w:r w:rsidRPr="00E244D3">
        <w:rPr>
          <w:rFonts w:ascii="Verdana" w:eastAsia="Aptos" w:hAnsi="Verdana" w:cs="Times New Roman"/>
          <w:kern w:val="2"/>
          <w:sz w:val="20"/>
          <w:szCs w:val="20"/>
          <w14:ligatures w14:val="standardContextual"/>
        </w:rPr>
        <w:t xml:space="preserve">Acciones encaminadas a recuperar, devolver o restablecer una edificación o una parte de ella a su estado original o anterior”. </w:t>
      </w:r>
    </w:p>
    <w:p w14:paraId="656248BA" w14:textId="77777777" w:rsidR="00E244D3" w:rsidRPr="00E244D3" w:rsidRDefault="00E244D3" w:rsidP="00E244D3">
      <w:pPr>
        <w:spacing w:after="0" w:line="240" w:lineRule="auto"/>
        <w:ind w:right="709"/>
        <w:jc w:val="both"/>
        <w:rPr>
          <w:rFonts w:ascii="Verdana" w:eastAsia="Aptos" w:hAnsi="Verdana" w:cs="Times New Roman"/>
          <w:b/>
          <w:bCs/>
          <w:kern w:val="2"/>
          <w:sz w:val="20"/>
          <w:szCs w:val="20"/>
          <w14:ligatures w14:val="standardContextual"/>
        </w:rPr>
      </w:pPr>
    </w:p>
    <w:p w14:paraId="068CF412"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Aptos" w:hAnsi="Verdana" w:cs="Times New Roman"/>
          <w:kern w:val="2"/>
          <w:lang w:val="es-MX" w:eastAsia="es-MX"/>
          <w14:ligatures w14:val="standardContextual"/>
        </w:rPr>
        <w:t>El alcance de las actividades señaladas, pueden precisarse atendiendo a su finalidad, tipo de actuación y nivel de transformación de la infraestructura, de esta forma: i) la Rehabilitación –actividad 2.179–, s</w:t>
      </w:r>
      <w:r w:rsidRPr="00E244D3">
        <w:rPr>
          <w:rFonts w:ascii="Verdana" w:eastAsia="Aptos" w:hAnsi="Verdana" w:cs="Times New Roman"/>
          <w:kern w:val="2"/>
          <w14:ligatures w14:val="standardContextual"/>
        </w:rPr>
        <w:t xml:space="preserve">u alcance consiste en la intervención de una infraestructura cuya condición de operación ha sufrido deterioro, de manera que su nivel de servicio es inferior al previsto originalmente. Tiene como finalidad devolverla a su estado inicial para el cual fue diseñada y construida, con el propósito de extender su vida útil y mejorar su rendimiento y/o durabilidad; </w:t>
      </w:r>
      <w:proofErr w:type="spellStart"/>
      <w:r w:rsidRPr="00E244D3">
        <w:rPr>
          <w:rFonts w:ascii="Verdana" w:eastAsia="Aptos" w:hAnsi="Verdana" w:cs="Times New Roman"/>
          <w:kern w:val="2"/>
          <w14:ligatures w14:val="standardContextual"/>
        </w:rPr>
        <w:t>ii</w:t>
      </w:r>
      <w:proofErr w:type="spellEnd"/>
      <w:r w:rsidRPr="00E244D3">
        <w:rPr>
          <w:rFonts w:ascii="Verdana" w:eastAsia="Aptos" w:hAnsi="Verdana" w:cs="Times New Roman"/>
          <w:kern w:val="2"/>
          <w14:ligatures w14:val="standardContextual"/>
        </w:rPr>
        <w:t>) Reposición –actividad 2.185– su alcance comprende</w:t>
      </w:r>
      <w:r w:rsidRPr="00E244D3">
        <w:rPr>
          <w:rFonts w:ascii="Verdana" w:eastAsia="Aptos" w:hAnsi="Verdana" w:cs="Times New Roman"/>
          <w:b/>
          <w:bCs/>
          <w:kern w:val="2"/>
          <w14:ligatures w14:val="standardContextual"/>
        </w:rPr>
        <w:t xml:space="preserve"> </w:t>
      </w:r>
      <w:r w:rsidRPr="00E244D3">
        <w:rPr>
          <w:rFonts w:ascii="Verdana" w:eastAsia="Aptos" w:hAnsi="Verdana" w:cs="Times New Roman"/>
          <w:kern w:val="2"/>
          <w14:ligatures w14:val="standardContextual"/>
        </w:rPr>
        <w:t>actividades para reemplazar o renovar elementos, componentes o sistemas de una edificación que ya no son aptos para cumplir su función, ya sea por agotamiento de su vida útil, ineficiencia operativa o rezago tecnológico. Se orienta a atender situaciones de daño o deterioro significativo,</w:t>
      </w:r>
      <w:r w:rsidRPr="00E244D3">
        <w:rPr>
          <w:rFonts w:ascii="Verdana" w:eastAsia="Aptos" w:hAnsi="Verdana" w:cs="Times New Roman"/>
          <w:b/>
          <w:bCs/>
          <w:kern w:val="2"/>
          <w14:ligatures w14:val="standardContextual"/>
        </w:rPr>
        <w:t xml:space="preserve"> </w:t>
      </w:r>
      <w:r w:rsidRPr="00E244D3">
        <w:rPr>
          <w:rFonts w:ascii="Verdana" w:eastAsia="Aptos" w:hAnsi="Verdana" w:cs="Times New Roman"/>
          <w:kern w:val="2"/>
          <w14:ligatures w14:val="standardContextual"/>
        </w:rPr>
        <w:t xml:space="preserve">con el fin de mantener la habitabilidad, funcionalidad y seguridad del inmueble; </w:t>
      </w:r>
      <w:proofErr w:type="spellStart"/>
      <w:r w:rsidRPr="00E244D3">
        <w:rPr>
          <w:rFonts w:ascii="Verdana" w:eastAsia="Aptos" w:hAnsi="Verdana" w:cs="Times New Roman"/>
          <w:kern w:val="2"/>
          <w14:ligatures w14:val="standardContextual"/>
        </w:rPr>
        <w:t>iii</w:t>
      </w:r>
      <w:proofErr w:type="spellEnd"/>
      <w:r w:rsidRPr="00E244D3">
        <w:rPr>
          <w:rFonts w:ascii="Verdana" w:eastAsia="Aptos" w:hAnsi="Verdana" w:cs="Times New Roman"/>
          <w:kern w:val="2"/>
          <w14:ligatures w14:val="standardContextual"/>
        </w:rPr>
        <w:t xml:space="preserve">) Intervención –actividad 2.116– su alcance abarca cualquier acción o modificación realizada en una edificación existente con el propósito de alterar su estado actual. Esto incluye actuaciones dirigidas a mejorar su eficiencia o funcionalidad, adicionar o eliminar características, realizar reparaciones, actualizar instalaciones, mejorar su capacidad o reducir costos operativos, entre otros propósitos; y </w:t>
      </w:r>
      <w:proofErr w:type="spellStart"/>
      <w:r w:rsidRPr="00E244D3">
        <w:rPr>
          <w:rFonts w:ascii="Verdana" w:eastAsia="Aptos" w:hAnsi="Verdana" w:cs="Times New Roman"/>
          <w:kern w:val="2"/>
          <w14:ligatures w14:val="standardContextual"/>
        </w:rPr>
        <w:t>iv</w:t>
      </w:r>
      <w:proofErr w:type="spellEnd"/>
      <w:r w:rsidRPr="00E244D3">
        <w:rPr>
          <w:rFonts w:ascii="Verdana" w:eastAsia="Aptos" w:hAnsi="Verdana" w:cs="Times New Roman"/>
          <w:kern w:val="2"/>
          <w14:ligatures w14:val="standardContextual"/>
        </w:rPr>
        <w:t xml:space="preserve">) restitución –actividad 2.187– su alcance se refiere a </w:t>
      </w:r>
      <w:r w:rsidRPr="00E244D3">
        <w:rPr>
          <w:rFonts w:ascii="Verdana" w:eastAsia="Calibri" w:hAnsi="Verdana" w:cs="Arial"/>
          <w:lang w:val="es-MX" w:eastAsia="es-MX"/>
        </w:rPr>
        <w:t>acciones encaminadas a recuperar, devolver o restablecer una edificación o parte de ella a su estado original o anterior.</w:t>
      </w:r>
    </w:p>
    <w:p w14:paraId="687C0A9D"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t xml:space="preserve">Concretamente, su solicitud se dirige a determinar sí los documentos tipo del sector cultura, recreación y deporte adoptados por la Agencia Nacional de Contratación Pública – Colombia Compra Eficiente aplican para adelantar la “implosión de un escenario deportivo”, actividad que según afirma implica la “(…) demolición controlada mediante técnicas especializadas”. Sobre el particular, la Agencia Nacional de Contratación Pública – Colombia Compra Eficiente le indica que, tal como señala en su solicitud, la implosión es un tipo de demolición, la cual, se define como el conjunto de actividades destinadas a derribar total o parcialmente una o varias edificaciones. </w:t>
      </w:r>
    </w:p>
    <w:p w14:paraId="79B00C16"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t xml:space="preserve">Considerando lo anterior, es preciso señalar que el objeto específico de implosión o demolición no se encuentra expresamente contemplado en la Matriz </w:t>
      </w:r>
      <w:r w:rsidRPr="00E244D3">
        <w:rPr>
          <w:rFonts w:ascii="Verdana" w:eastAsia="Calibri" w:hAnsi="Verdana" w:cs="Arial"/>
          <w:lang w:val="es-MX" w:eastAsia="es-MX"/>
        </w:rPr>
        <w:lastRenderedPageBreak/>
        <w:t>1 – Experiencia del sector cultura, recreación y deporte, para obras de infraestructura recreodeportiva dentro de las actividades allí previstas. No obstante, dado que la implosión constituye una modalidad de demolición, esto es, un conjunto de actividades destinadas al derribo total o parcial de una edificación, su análisis debe realizarse en función de su relación con las actividades definidas, particularmente las de “Rehabilitación”, “Reposición”, “Intervención” y “Restitución”.</w:t>
      </w:r>
    </w:p>
    <w:p w14:paraId="71CCAD23"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Calibri" w:hAnsi="Verdana" w:cs="Arial"/>
          <w:lang w:val="es-MX" w:eastAsia="es-MX"/>
        </w:rPr>
        <w:t>En ese sentido, corresponde a la entidad estatal que estructura y adelanta el proceso de selección determinar, con base en el análisis técnico y jurídico del objeto contractual, si la implosión se enmarca materialmente dentro de alguna de los proyectos previstos en la actividad 2.5 particularmente los de “Rehabilitación”, “Reposición”, “Intervención” y “Restitución” y, por tanto, si resulta procedente la aplicación de los documentos tipo del sector cultura, recreación y deporte. Esta decisión debe adoptarse atendiendo a la finalidad del proyecto, el alcance de las actividades a ejecutar y los principios de planeación y responsabilidad que rigen la contratación estatal.</w:t>
      </w:r>
    </w:p>
    <w:p w14:paraId="541B0F60" w14:textId="77777777" w:rsidR="00E244D3" w:rsidRPr="00E244D3" w:rsidRDefault="00E244D3" w:rsidP="00E244D3">
      <w:pPr>
        <w:widowControl w:val="0"/>
        <w:autoSpaceDE w:val="0"/>
        <w:autoSpaceDN w:val="0"/>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E244D3">
        <w:rPr>
          <w:rFonts w:ascii="Verdana" w:eastAsia="Calibri" w:hAnsi="Verdana" w:cs="Arial"/>
          <w:lang w:val="es-MX" w:eastAsia="es-MX"/>
        </w:rPr>
        <w:t xml:space="preserve">Ahora bien, tal como se señaló en el punto uno (i) de este concepto, </w:t>
      </w:r>
      <w:r w:rsidRPr="00E244D3">
        <w:rPr>
          <w:rFonts w:ascii="Verdana" w:eastAsia="Times New Roman" w:hAnsi="Verdana" w:cs="Arial"/>
          <w:kern w:val="2"/>
          <w:shd w:val="clear" w:color="auto" w:fill="FFFFFF"/>
          <w:lang w:val="es-ES_tradnl" w:eastAsia="es-ES_tradnl"/>
          <w14:ligatures w14:val="standardContextual"/>
        </w:rPr>
        <w:t xml:space="preserve">la entidad que adelanta el proceso de selección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Lo anterior sin que pueda apartarse de su aplicación cuando materialmente el objeto a contratar corresponde con alguna actividad de contemplada en dicha matriz. </w:t>
      </w:r>
    </w:p>
    <w:p w14:paraId="2D29B2DD" w14:textId="77777777" w:rsidR="00E244D3" w:rsidRPr="00E244D3" w:rsidRDefault="00E244D3" w:rsidP="00E244D3">
      <w:pPr>
        <w:widowControl w:val="0"/>
        <w:autoSpaceDE w:val="0"/>
        <w:autoSpaceDN w:val="0"/>
        <w:spacing w:after="120" w:line="276" w:lineRule="auto"/>
        <w:ind w:firstLine="708"/>
        <w:jc w:val="both"/>
        <w:rPr>
          <w:rFonts w:ascii="Verdana" w:eastAsia="Calibri" w:hAnsi="Verdana" w:cs="Arial"/>
          <w:lang w:val="es-MX" w:eastAsia="es-MX"/>
        </w:rPr>
      </w:pPr>
      <w:r w:rsidRPr="00E244D3">
        <w:rPr>
          <w:rFonts w:ascii="Verdana" w:eastAsia="Times New Roman" w:hAnsi="Verdana" w:cs="Arial"/>
          <w:kern w:val="2"/>
          <w:shd w:val="clear" w:color="auto" w:fill="FFFFFF"/>
          <w:lang w:val="es-ES_tradnl" w:eastAsia="es-ES_tradnl"/>
          <w14:ligatures w14:val="standardContextual"/>
        </w:rPr>
        <w:t xml:space="preserve">No obstante, </w:t>
      </w:r>
      <w:r w:rsidRPr="00E244D3">
        <w:rPr>
          <w:rFonts w:ascii="Verdana" w:eastAsia="Times New Roman" w:hAnsi="Verdana" w:cs="Arial"/>
          <w:kern w:val="2"/>
          <w:shd w:val="clear" w:color="auto" w:fill="FFFFFF"/>
          <w:lang w:val="es-ES_tradnl" w:eastAsia="es-ES"/>
          <w14:ligatures w14:val="standardContextual"/>
        </w:rPr>
        <w:t>s</w:t>
      </w:r>
      <w:r w:rsidRPr="00E244D3">
        <w:rPr>
          <w:rFonts w:ascii="Verdana" w:eastAsia="Times New Roman" w:hAnsi="Verdana" w:cs="Arial"/>
          <w:kern w:val="2"/>
          <w:shd w:val="clear" w:color="auto" w:fill="FFFFFF"/>
          <w:lang w:val="es-ES" w:eastAsia="es-ES"/>
          <w14:ligatures w14:val="standardContextual"/>
        </w:rPr>
        <w:t xml:space="preserve">i la Entidad determina que no está obligada a aplicar de manera forzosa los documentos tipo para desarrollar los procesos de contratación —ya sea porque, normativamente, no le resultan aplicables o porque el proceso que se pretende adelantar no se enmarca dentro de las modalidades de selección y tipos de obra estandarizados en las respectivas matrices de experiencia—, en tales escenarios dichos documentos carecen de fuerza obligatoria y </w:t>
      </w:r>
      <w:r w:rsidRPr="00E244D3">
        <w:rPr>
          <w:rFonts w:ascii="Verdana" w:eastAsia="Calibri" w:hAnsi="Verdana" w:cs="Arial"/>
          <w:lang w:val="es-MX" w:eastAsia="es-MX"/>
        </w:rPr>
        <w:t>en consecuencia no deberá aplicar lo establecido en el literal M del documento base de los documentos tipo de licitación d eobra pública de infraestructura social – versión 2, que señala las consideraciones para “Obras, bienes o servicios adicionales a la obra pública de Infraestructura Social.”</w:t>
      </w:r>
    </w:p>
    <w:p w14:paraId="33BF8BB9" w14:textId="77777777" w:rsidR="00E244D3" w:rsidRPr="00E244D3" w:rsidRDefault="00E244D3" w:rsidP="00E244D3">
      <w:pPr>
        <w:widowControl w:val="0"/>
        <w:autoSpaceDE w:val="0"/>
        <w:autoSpaceDN w:val="0"/>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E244D3">
        <w:rPr>
          <w:rFonts w:ascii="Verdana" w:eastAsia="Times New Roman" w:hAnsi="Verdana" w:cs="Arial"/>
          <w:kern w:val="2"/>
          <w:shd w:val="clear" w:color="auto" w:fill="FFFFFF"/>
          <w:lang w:val="es-ES_tradnl" w:eastAsia="es-ES_tradnl"/>
          <w14:ligatures w14:val="standardContextual"/>
        </w:rPr>
        <w:t xml:space="preserve">En consecuencia, la Entidad deberá estructurar sus procesos atendiendo </w:t>
      </w:r>
      <w:r w:rsidRPr="00E244D3">
        <w:rPr>
          <w:rFonts w:ascii="Verdana" w:eastAsia="Times New Roman" w:hAnsi="Verdana" w:cs="Arial"/>
          <w:kern w:val="2"/>
          <w:shd w:val="clear" w:color="auto" w:fill="FFFFFF"/>
          <w:lang w:val="es-ES_tradnl" w:eastAsia="es-ES_tradnl"/>
          <w14:ligatures w14:val="standardContextual"/>
        </w:rPr>
        <w:lastRenderedPageBreak/>
        <w:t>la normativa vigente en materia de compras y contratación pública. Sin embargo, las entidades pueden observar los documentos tipo de forma facultativa, como una estrategia para adoptar e incorporar políticas de buenas prácticas contractuales, realizando, en caso de que sea necesario, las adaptaciones que consideren pertinentes.</w:t>
      </w:r>
    </w:p>
    <w:p w14:paraId="565FFDF7" w14:textId="77777777" w:rsidR="00E244D3" w:rsidRPr="00E244D3" w:rsidRDefault="00E244D3" w:rsidP="00E244D3">
      <w:pPr>
        <w:widowControl w:val="0"/>
        <w:autoSpaceDE w:val="0"/>
        <w:autoSpaceDN w:val="0"/>
        <w:spacing w:after="12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E244D3">
        <w:rPr>
          <w:rFonts w:ascii="Verdana" w:eastAsia="Times New Roman" w:hAnsi="Verdana" w:cs="Arial"/>
          <w:kern w:val="2"/>
          <w:shd w:val="clear" w:color="auto" w:fill="FFFFFF"/>
          <w:lang w:val="es-ES_tradnl" w:eastAsia="es-ES_tradnl"/>
          <w14:ligatures w14:val="standardContextual"/>
        </w:rPr>
        <w:t>Lo anterior, sin perjuicio de precisar que, de conformidad con las competencias asignadas en el Decreto 4170 de 2011, la Agencia Nacional de Contratación Pública – Colombia Compra Eficiente no tiene facultades para intervenir en la gestión contractual específica de las entidades estatales. En ese sentido, esta Agencia no está habilitada para impartir instrucciones particulares ni recomendaciones sobre la forma en que cada entidad debe adelantar sus procesos de selección, ni para definir los requisitos habilitantes o de experiencia que deban exigirse en cada caso concreto.</w:t>
      </w:r>
    </w:p>
    <w:p w14:paraId="3B9ECAB1" w14:textId="77777777" w:rsidR="00E244D3" w:rsidRPr="00E244D3" w:rsidRDefault="00E244D3" w:rsidP="00E244D3">
      <w:pPr>
        <w:widowControl w:val="0"/>
        <w:autoSpaceDE w:val="0"/>
        <w:autoSpaceDN w:val="0"/>
        <w:spacing w:after="0" w:line="276" w:lineRule="auto"/>
        <w:ind w:firstLine="708"/>
        <w:jc w:val="both"/>
        <w:rPr>
          <w:rFonts w:ascii="Verdana" w:eastAsia="Times New Roman" w:hAnsi="Verdana" w:cs="Arial"/>
          <w:kern w:val="2"/>
          <w:shd w:val="clear" w:color="auto" w:fill="FFFFFF"/>
          <w:lang w:val="es-ES_tradnl" w:eastAsia="es-ES_tradnl"/>
          <w14:ligatures w14:val="standardContextual"/>
        </w:rPr>
      </w:pPr>
      <w:r w:rsidRPr="00E244D3">
        <w:rPr>
          <w:rFonts w:ascii="Verdana" w:eastAsia="Times New Roman" w:hAnsi="Verdana" w:cs="Arial"/>
          <w:kern w:val="2"/>
          <w:shd w:val="clear" w:color="auto" w:fill="FFFFFF"/>
          <w:lang w:val="es-ES_tradnl" w:eastAsia="es-ES_tradnl"/>
          <w14:ligatures w14:val="standardContextual"/>
        </w:rPr>
        <w:t>En consecuencia, corresponde a cada entidad estatal, en ejercicio de su autonomía administrativa y bajo su responsabilidad, definir el contenido de sus procesos contractuales, garantizando en todo caso la observancia de los principios de planeación, transparencia, selección objetiva y responsabilidad, así como el cumplimiento de la normativa legal y reglamentaria vigente aplicable al caso concreto.</w:t>
      </w:r>
    </w:p>
    <w:p w14:paraId="55D2B999" w14:textId="77777777" w:rsidR="00E244D3" w:rsidRPr="00E244D3" w:rsidRDefault="00E244D3" w:rsidP="00E244D3">
      <w:pPr>
        <w:widowControl w:val="0"/>
        <w:autoSpaceDE w:val="0"/>
        <w:autoSpaceDN w:val="0"/>
        <w:spacing w:after="0" w:line="276" w:lineRule="auto"/>
        <w:ind w:firstLine="708"/>
        <w:jc w:val="both"/>
        <w:rPr>
          <w:rFonts w:ascii="Verdana" w:eastAsia="Times New Roman" w:hAnsi="Verdana" w:cs="Arial"/>
          <w:kern w:val="2"/>
          <w:shd w:val="clear" w:color="auto" w:fill="FFFFFF"/>
          <w:lang w:val="es-ES_tradnl" w:eastAsia="es-ES_tradnl"/>
          <w14:ligatures w14:val="standardContextual"/>
        </w:rPr>
      </w:pPr>
    </w:p>
    <w:p w14:paraId="1026FF7F" w14:textId="77777777" w:rsidR="00E244D3" w:rsidRPr="00E244D3" w:rsidRDefault="00E244D3" w:rsidP="00E244D3">
      <w:pPr>
        <w:spacing w:after="120" w:line="276" w:lineRule="auto"/>
        <w:jc w:val="both"/>
        <w:rPr>
          <w:rFonts w:ascii="Verdana" w:eastAsia="Aptos" w:hAnsi="Verdana" w:cs="Times New Roman"/>
          <w:lang w:eastAsia="es-MX"/>
        </w:rPr>
      </w:pPr>
      <w:proofErr w:type="spellStart"/>
      <w:r w:rsidRPr="00E244D3">
        <w:rPr>
          <w:rFonts w:ascii="Verdana" w:eastAsia="Calibri" w:hAnsi="Verdana" w:cs="Arial"/>
          <w:lang w:eastAsia="es-MX"/>
        </w:rPr>
        <w:t>iii</w:t>
      </w:r>
      <w:proofErr w:type="spellEnd"/>
      <w:r w:rsidRPr="00E244D3">
        <w:rPr>
          <w:rFonts w:ascii="Verdana" w:eastAsia="Calibri" w:hAnsi="Verdana" w:cs="Arial"/>
          <w:lang w:eastAsia="es-MX"/>
        </w:rPr>
        <w:t xml:space="preserve">. </w:t>
      </w:r>
      <w:r w:rsidRPr="00E244D3">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24679B" w14:textId="77777777" w:rsidR="00E244D3" w:rsidRPr="00E244D3" w:rsidRDefault="00E244D3" w:rsidP="00E244D3">
      <w:pPr>
        <w:spacing w:after="120" w:line="276" w:lineRule="auto"/>
        <w:ind w:firstLine="708"/>
        <w:jc w:val="both"/>
        <w:rPr>
          <w:rFonts w:ascii="Verdana" w:eastAsia="Calibri" w:hAnsi="Verdana" w:cs="Arial"/>
          <w:bCs/>
          <w:color w:val="000000"/>
          <w:lang w:eastAsia="es-MX"/>
        </w:rPr>
      </w:pPr>
      <w:r w:rsidRPr="00E244D3">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E244D3">
        <w:rPr>
          <w:rFonts w:ascii="Verdana" w:eastAsia="Calibri" w:hAnsi="Verdana" w:cs="Arial"/>
          <w:bCs/>
          <w:color w:val="000000"/>
          <w:lang w:eastAsia="es-MX"/>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6A76F30" w14:textId="77777777" w:rsidR="00E244D3" w:rsidRPr="00E244D3" w:rsidRDefault="00E244D3" w:rsidP="00E244D3">
      <w:pPr>
        <w:tabs>
          <w:tab w:val="left" w:pos="142"/>
          <w:tab w:val="left" w:pos="284"/>
        </w:tabs>
        <w:spacing w:after="0" w:line="276" w:lineRule="auto"/>
        <w:jc w:val="both"/>
        <w:rPr>
          <w:rFonts w:ascii="Verdana" w:eastAsia="Century Gothic" w:hAnsi="Verdana" w:cs="Century Gothic"/>
          <w:b/>
          <w:bCs/>
          <w:lang w:val="es-ES_tradnl" w:eastAsia="es-MX"/>
        </w:rPr>
      </w:pPr>
      <w:r w:rsidRPr="00E244D3">
        <w:rPr>
          <w:rFonts w:ascii="Verdana" w:eastAsia="Century Gothic" w:hAnsi="Verdana" w:cs="Century Gothic"/>
          <w:b/>
          <w:bCs/>
          <w:lang w:val="es-ES_tradnl" w:eastAsia="es-MX"/>
        </w:rPr>
        <w:t>4. Referencias normativas, jurisprudenciales y otras fuentes:</w:t>
      </w:r>
    </w:p>
    <w:p w14:paraId="40616206" w14:textId="77777777" w:rsidR="00E244D3" w:rsidRPr="00E244D3" w:rsidRDefault="00E244D3" w:rsidP="00E244D3">
      <w:pPr>
        <w:spacing w:after="0"/>
        <w:ind w:left="-15840"/>
        <w:jc w:val="both"/>
        <w:rPr>
          <w:rFonts w:ascii="Verdana" w:eastAsia="Calibri" w:hAnsi="Verdana" w:cs="Arial"/>
          <w:b/>
          <w:bCs/>
          <w:lang w:eastAsia="es-MX"/>
        </w:rPr>
      </w:pPr>
      <w:r w:rsidRPr="00E244D3">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244D3" w:rsidRPr="00E244D3" w14:paraId="263DDBF3" w14:textId="77777777" w:rsidTr="00C80FF3">
        <w:trPr>
          <w:trHeight w:val="870"/>
        </w:trPr>
        <w:tc>
          <w:tcPr>
            <w:tcW w:w="8647" w:type="dxa"/>
            <w:tcBorders>
              <w:top w:val="dotted" w:sz="4" w:space="0" w:color="auto"/>
              <w:left w:val="dotted" w:sz="4" w:space="0" w:color="auto"/>
              <w:bottom w:val="dotted" w:sz="4" w:space="0" w:color="auto"/>
              <w:right w:val="dotted" w:sz="4" w:space="0" w:color="auto"/>
            </w:tcBorders>
          </w:tcPr>
          <w:p w14:paraId="72FA54FF" w14:textId="77777777" w:rsidR="00E244D3" w:rsidRPr="00E244D3" w:rsidRDefault="00E244D3" w:rsidP="00E244D3">
            <w:pPr>
              <w:contextualSpacing/>
              <w:jc w:val="both"/>
              <w:rPr>
                <w:rFonts w:ascii="Verdana" w:eastAsia="Calibri" w:hAnsi="Verdana" w:cs="Arial"/>
                <w:bCs/>
                <w:lang w:eastAsia="es-MX"/>
              </w:rPr>
            </w:pPr>
          </w:p>
          <w:p w14:paraId="089BAC28" w14:textId="77777777" w:rsidR="00E244D3" w:rsidRPr="00E244D3" w:rsidRDefault="00E244D3" w:rsidP="00E244D3">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E244D3">
              <w:rPr>
                <w:rFonts w:ascii="Verdana" w:eastAsia="Calibri" w:hAnsi="Verdana" w:cs="Arial"/>
                <w:lang w:val="es-ES_tradnl" w:eastAsia="es-MX"/>
              </w:rPr>
              <w:t xml:space="preserve">Ley 2022 de 2020, artículo 1. </w:t>
            </w:r>
          </w:p>
          <w:p w14:paraId="57283533" w14:textId="77777777" w:rsidR="00E244D3" w:rsidRPr="00E244D3" w:rsidRDefault="00E244D3" w:rsidP="00E244D3">
            <w:pPr>
              <w:widowControl w:val="0"/>
              <w:numPr>
                <w:ilvl w:val="0"/>
                <w:numId w:val="16"/>
              </w:numPr>
              <w:autoSpaceDE w:val="0"/>
              <w:autoSpaceDN w:val="0"/>
              <w:spacing w:line="276" w:lineRule="auto"/>
              <w:jc w:val="both"/>
              <w:rPr>
                <w:rFonts w:ascii="Verdana" w:eastAsia="Calibri" w:hAnsi="Verdana" w:cs="Arial"/>
                <w:lang w:eastAsia="es-MX"/>
              </w:rPr>
            </w:pPr>
            <w:r w:rsidRPr="00E244D3">
              <w:rPr>
                <w:rFonts w:ascii="Verdana" w:eastAsia="Calibri" w:hAnsi="Verdana" w:cs="Arial"/>
                <w:lang w:eastAsia="es-MX"/>
              </w:rPr>
              <w:t>Ley 1150 de 2007, artículo 2.</w:t>
            </w:r>
          </w:p>
          <w:p w14:paraId="3C8DC7FC" w14:textId="77777777" w:rsidR="00E244D3" w:rsidRPr="00E244D3" w:rsidRDefault="00E244D3" w:rsidP="00E244D3">
            <w:pPr>
              <w:widowControl w:val="0"/>
              <w:numPr>
                <w:ilvl w:val="0"/>
                <w:numId w:val="16"/>
              </w:numPr>
              <w:autoSpaceDE w:val="0"/>
              <w:autoSpaceDN w:val="0"/>
              <w:spacing w:line="276" w:lineRule="auto"/>
              <w:contextualSpacing/>
              <w:jc w:val="both"/>
              <w:rPr>
                <w:rFonts w:ascii="Verdana" w:eastAsia="Calibri" w:hAnsi="Verdana" w:cs="Arial"/>
                <w:lang w:eastAsia="es-MX"/>
              </w:rPr>
            </w:pPr>
            <w:r w:rsidRPr="00E244D3">
              <w:rPr>
                <w:rFonts w:ascii="Verdana" w:eastAsia="Calibri" w:hAnsi="Verdana" w:cs="Arial"/>
                <w:lang w:val="es-ES_tradnl" w:eastAsia="es-MX"/>
              </w:rPr>
              <w:t xml:space="preserve">Documentos Tipo. Disponibles en: </w:t>
            </w:r>
            <w:hyperlink r:id="rId11" w:history="1">
              <w:r w:rsidRPr="00E244D3">
                <w:rPr>
                  <w:rFonts w:ascii="Verdana" w:eastAsia="Calibri" w:hAnsi="Verdana" w:cs="Arial"/>
                  <w:color w:val="0000FF"/>
                  <w:u w:val="single"/>
                  <w:lang w:val="es-ES_tradnl" w:eastAsia="es-MX"/>
                </w:rPr>
                <w:t>https://www.colombiacompra.gov.co/documentos-tipo/documentos-tipo</w:t>
              </w:r>
            </w:hyperlink>
            <w:r w:rsidRPr="00E244D3">
              <w:rPr>
                <w:rFonts w:ascii="Verdana" w:eastAsia="Calibri" w:hAnsi="Verdana" w:cs="Arial"/>
                <w:lang w:val="es-ES_tradnl" w:eastAsia="es-MX"/>
              </w:rPr>
              <w:t>.</w:t>
            </w:r>
          </w:p>
        </w:tc>
      </w:tr>
    </w:tbl>
    <w:p w14:paraId="2E2BC51B" w14:textId="77777777" w:rsidR="00E244D3" w:rsidRPr="00E244D3" w:rsidRDefault="00E244D3" w:rsidP="00E244D3">
      <w:pPr>
        <w:tabs>
          <w:tab w:val="left" w:pos="142"/>
          <w:tab w:val="left" w:pos="284"/>
        </w:tabs>
        <w:spacing w:after="0" w:line="276" w:lineRule="auto"/>
        <w:jc w:val="both"/>
        <w:rPr>
          <w:rFonts w:ascii="Verdana" w:eastAsia="Calibri" w:hAnsi="Verdana" w:cs="Arial"/>
          <w:lang w:eastAsia="es-MX"/>
        </w:rPr>
      </w:pPr>
    </w:p>
    <w:p w14:paraId="60356FC1" w14:textId="77777777" w:rsidR="00E244D3" w:rsidRPr="00E244D3" w:rsidRDefault="00E244D3" w:rsidP="00E244D3">
      <w:pPr>
        <w:tabs>
          <w:tab w:val="left" w:pos="142"/>
          <w:tab w:val="left" w:pos="284"/>
        </w:tabs>
        <w:spacing w:after="0" w:line="276" w:lineRule="auto"/>
        <w:jc w:val="both"/>
        <w:rPr>
          <w:rFonts w:ascii="Verdana" w:eastAsia="Century Gothic" w:hAnsi="Verdana" w:cs="Century Gothic"/>
          <w:b/>
          <w:bCs/>
          <w:lang w:val="es-ES" w:eastAsia="es-MX"/>
        </w:rPr>
      </w:pPr>
      <w:r w:rsidRPr="00E244D3">
        <w:rPr>
          <w:rFonts w:ascii="Verdana" w:eastAsia="Calibri" w:hAnsi="Verdana" w:cs="Arial"/>
          <w:b/>
          <w:bCs/>
          <w:lang w:eastAsia="es-MX"/>
        </w:rPr>
        <w:t>5</w:t>
      </w:r>
      <w:r w:rsidRPr="00E244D3">
        <w:rPr>
          <w:rFonts w:ascii="Verdana" w:eastAsia="Calibri" w:hAnsi="Verdana" w:cs="Arial"/>
          <w:lang w:eastAsia="es-MX"/>
        </w:rPr>
        <w:t>.</w:t>
      </w:r>
      <w:r w:rsidRPr="00E244D3">
        <w:rPr>
          <w:rFonts w:ascii="Verdana" w:eastAsia="Century Gothic" w:hAnsi="Verdana" w:cs="Century Gothic"/>
          <w:b/>
          <w:bCs/>
          <w:lang w:val="es-ES" w:eastAsia="es-MX"/>
        </w:rPr>
        <w:t>Doctrina de la Agencia Nacional de Contratación Pública:</w:t>
      </w:r>
    </w:p>
    <w:p w14:paraId="7D0D1BDF" w14:textId="77777777" w:rsidR="00E244D3" w:rsidRPr="00E244D3" w:rsidRDefault="00E244D3" w:rsidP="00E244D3">
      <w:pPr>
        <w:widowControl w:val="0"/>
        <w:autoSpaceDE w:val="0"/>
        <w:autoSpaceDN w:val="0"/>
        <w:spacing w:after="0" w:line="276" w:lineRule="auto"/>
        <w:jc w:val="both"/>
        <w:rPr>
          <w:rFonts w:ascii="Verdana" w:eastAsia="Calibri" w:hAnsi="Verdana" w:cs="Arial"/>
          <w:lang w:eastAsia="es-MX"/>
        </w:rPr>
      </w:pPr>
    </w:p>
    <w:p w14:paraId="7AF33544" w14:textId="77777777" w:rsidR="00E244D3" w:rsidRPr="00E244D3" w:rsidRDefault="00E244D3" w:rsidP="00E244D3">
      <w:pPr>
        <w:spacing w:after="0" w:line="276" w:lineRule="auto"/>
        <w:jc w:val="both"/>
        <w:rPr>
          <w:rFonts w:ascii="Verdana" w:eastAsia="Calibri" w:hAnsi="Verdana" w:cs="Arial"/>
          <w:shd w:val="clear" w:color="auto" w:fill="FFFFFF"/>
          <w:lang w:val="es-ES" w:eastAsia="es-MX"/>
        </w:rPr>
      </w:pPr>
      <w:r w:rsidRPr="00E244D3">
        <w:rPr>
          <w:rFonts w:ascii="Verdana" w:eastAsia="Calibri" w:hAnsi="Verdana" w:cs="Arial"/>
          <w:shd w:val="clear" w:color="auto" w:fill="FFFFFF"/>
          <w:lang w:val="es-ES" w:eastAsia="es-MX"/>
        </w:rPr>
        <w:t>La Agencia Nacional de Contratación Pública – Colombia Compra Eficiente se pronunció</w:t>
      </w:r>
      <w:r w:rsidRPr="00E244D3">
        <w:rPr>
          <w:rFonts w:ascii="Verdana" w:eastAsia="Calibri" w:hAnsi="Verdana" w:cs="Times New Roman"/>
          <w:lang w:eastAsia="es-MX"/>
        </w:rPr>
        <w:t xml:space="preserve"> </w:t>
      </w:r>
      <w:r w:rsidRPr="00E244D3">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E244D3">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5F4F6A43" w14:textId="77777777" w:rsidR="00E244D3" w:rsidRPr="00E244D3" w:rsidRDefault="00E244D3" w:rsidP="00E244D3">
      <w:pPr>
        <w:spacing w:after="0" w:line="240" w:lineRule="auto"/>
        <w:jc w:val="both"/>
        <w:rPr>
          <w:rFonts w:ascii="Verdana" w:eastAsia="Calibri" w:hAnsi="Verdana" w:cs="Arial"/>
          <w:color w:val="000000"/>
          <w:shd w:val="clear" w:color="auto" w:fill="FFFFFF"/>
          <w:lang w:eastAsia="es-MX"/>
        </w:rPr>
      </w:pPr>
    </w:p>
    <w:p w14:paraId="04AC7039" w14:textId="77777777" w:rsidR="00E244D3" w:rsidRPr="00E244D3" w:rsidRDefault="00E244D3" w:rsidP="00E244D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244D3">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244D3">
          <w:rPr>
            <w:rFonts w:ascii="Verdana" w:eastAsia="Calibri" w:hAnsi="Verdana" w:cs="Arial"/>
            <w:color w:val="0000FF"/>
            <w:u w:val="single"/>
            <w:shd w:val="clear" w:color="auto" w:fill="FFFFFF"/>
            <w:lang w:eastAsia="es-MX"/>
          </w:rPr>
          <w:t>https://relatoria.colombiacompra.gov.co/</w:t>
        </w:r>
      </w:hyperlink>
      <w:r w:rsidRPr="00E244D3">
        <w:rPr>
          <w:rFonts w:ascii="Verdana" w:eastAsia="Calibri" w:hAnsi="Verdana" w:cs="Arial"/>
          <w:color w:val="0000FF"/>
          <w:u w:val="single"/>
          <w:shd w:val="clear" w:color="auto" w:fill="FFFFFF"/>
          <w:lang w:eastAsia="es-MX"/>
        </w:rPr>
        <w:t> .</w:t>
      </w:r>
    </w:p>
    <w:p w14:paraId="6659F30D" w14:textId="77777777" w:rsidR="00E244D3" w:rsidRPr="00E244D3" w:rsidRDefault="00E244D3" w:rsidP="00E244D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23CE2A58" w14:textId="77777777" w:rsidR="00E244D3" w:rsidRPr="00E244D3" w:rsidRDefault="00E244D3" w:rsidP="00E244D3">
      <w:pPr>
        <w:spacing w:after="0" w:line="276" w:lineRule="auto"/>
        <w:jc w:val="both"/>
        <w:rPr>
          <w:rFonts w:ascii="Verdana" w:eastAsia="Aptos" w:hAnsi="Verdana" w:cs="Arial"/>
          <w:lang w:eastAsia="es-MX"/>
        </w:rPr>
      </w:pPr>
      <w:r w:rsidRPr="00E244D3">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E244D3">
        <w:rPr>
          <w:rFonts w:ascii="Verdana" w:eastAsia="Aptos" w:hAnsi="Verdana" w:cs="Arial"/>
          <w:b/>
          <w:bCs/>
          <w:lang w:eastAsia="es-MX"/>
        </w:rPr>
        <w:t>Curso de Contratación Pública Sostenible y Socialmente Responsable</w:t>
      </w:r>
      <w:r w:rsidRPr="00E244D3">
        <w:rPr>
          <w:rFonts w:ascii="Verdana" w:eastAsia="Aptos" w:hAnsi="Verdana" w:cs="Arial"/>
          <w:lang w:eastAsia="es-MX"/>
        </w:rPr>
        <w:t xml:space="preserve">, una herramienta clave para fortalecer las capacidades de todos </w:t>
      </w:r>
      <w:r w:rsidRPr="00E244D3">
        <w:rPr>
          <w:rFonts w:ascii="Verdana" w:eastAsia="Aptos" w:hAnsi="Verdana" w:cs="Arial"/>
          <w:lang w:eastAsia="es-MX"/>
        </w:rPr>
        <w:lastRenderedPageBreak/>
        <w:t>los compradores públicos, proveedores, servidores públicos y para generar mayor valor público. Accede al curso y aprende como implementar criterios sociales y ambientales en las diferentes etapas del proceso de contratación:</w:t>
      </w:r>
      <w:r w:rsidRPr="00E244D3">
        <w:rPr>
          <w:rFonts w:ascii="Verdana" w:eastAsia="Aptos" w:hAnsi="Verdana" w:cs="Arial"/>
          <w:lang w:eastAsia="es-MX"/>
        </w:rPr>
        <w:br/>
      </w:r>
      <w:hyperlink r:id="rId13" w:tgtFrame="_new" w:history="1">
        <w:r w:rsidRPr="00E244D3">
          <w:rPr>
            <w:rFonts w:ascii="Verdana" w:eastAsia="Aptos" w:hAnsi="Verdana" w:cs="Arial"/>
            <w:color w:val="0000FF"/>
            <w:u w:val="single"/>
            <w:lang w:eastAsia="es-MX"/>
          </w:rPr>
          <w:t>https://formacionvirtual.colombiacompra.gov.co/mod/page/view.php?id=3718</w:t>
        </w:r>
      </w:hyperlink>
    </w:p>
    <w:p w14:paraId="373B25AC" w14:textId="77777777" w:rsidR="00E244D3" w:rsidRPr="00E244D3" w:rsidRDefault="00E244D3" w:rsidP="00E244D3">
      <w:pPr>
        <w:spacing w:after="0" w:line="276" w:lineRule="auto"/>
        <w:jc w:val="both"/>
        <w:rPr>
          <w:rFonts w:ascii="Verdana" w:eastAsia="Aptos" w:hAnsi="Verdana" w:cs="Arial"/>
          <w:lang w:eastAsia="es-MX"/>
        </w:rPr>
      </w:pPr>
      <w:r w:rsidRPr="00E244D3">
        <w:rPr>
          <w:rFonts w:ascii="Verdana" w:eastAsia="Aptos" w:hAnsi="Verdana" w:cs="Arial"/>
          <w:lang w:eastAsia="es-MX"/>
        </w:rPr>
        <w:t xml:space="preserve">De otro lado, te contamos que esta Agencia ha da un paso decisivo en la estandarización y modernización del </w:t>
      </w:r>
      <w:r w:rsidRPr="00E244D3">
        <w:rPr>
          <w:rFonts w:ascii="Verdana" w:eastAsia="Aptos" w:hAnsi="Verdana" w:cs="Arial"/>
          <w:b/>
          <w:bCs/>
          <w:lang w:eastAsia="es-MX"/>
        </w:rPr>
        <w:t>sector  social</w:t>
      </w:r>
      <w:r w:rsidRPr="00E244D3">
        <w:rPr>
          <w:rFonts w:ascii="Verdana" w:eastAsia="Aptos" w:hAnsi="Verdana" w:cs="Arial"/>
          <w:lang w:eastAsia="es-MX"/>
        </w:rPr>
        <w:t xml:space="preserve"> con la expedición de las </w:t>
      </w:r>
      <w:r w:rsidRPr="00E244D3">
        <w:rPr>
          <w:rFonts w:ascii="Verdana" w:eastAsia="Aptos" w:hAnsi="Verdana" w:cs="Arial"/>
          <w:b/>
          <w:bCs/>
          <w:lang w:eastAsia="es-MX"/>
        </w:rPr>
        <w:t>Resoluciones 539, 540, 541, 952 y 953 de 2025</w:t>
      </w:r>
      <w:r w:rsidRPr="00E244D3">
        <w:rPr>
          <w:rFonts w:ascii="Verdana" w:eastAsia="Aptos" w:hAnsi="Verdana" w:cs="Arial"/>
          <w:lang w:eastAsia="es-MX"/>
        </w:rPr>
        <w:t xml:space="preserve">, </w:t>
      </w:r>
      <w:r w:rsidRPr="00E244D3">
        <w:rPr>
          <w:rFonts w:ascii="Verdana" w:eastAsia="Aptos" w:hAnsi="Verdana" w:cs="Arial"/>
          <w:b/>
          <w:bCs/>
          <w:lang w:eastAsia="es-MX"/>
        </w:rPr>
        <w:t>mediante las cuales adoptó Documentos Tipo</w:t>
      </w:r>
      <w:r w:rsidRPr="00E244D3">
        <w:rPr>
          <w:rFonts w:ascii="Verdana" w:eastAsia="Aptos" w:hAnsi="Verdana" w:cs="Arial"/>
          <w:lang w:eastAsia="es-MX"/>
        </w:rPr>
        <w:t xml:space="preserve"> para las modalidades de selección de</w:t>
      </w:r>
      <w:r w:rsidRPr="00E244D3">
        <w:rPr>
          <w:rFonts w:ascii="Verdana" w:eastAsia="Aptos" w:hAnsi="Verdana" w:cs="Arial"/>
          <w:b/>
          <w:bCs/>
          <w:lang w:eastAsia="es-MX"/>
        </w:rPr>
        <w:t xml:space="preserve"> licitación pública (versión 2), selección abreviada de menor cuantía, mínima cuantía, consultoría e interventoría</w:t>
      </w:r>
      <w:r w:rsidRPr="00E244D3">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244D3">
          <w:rPr>
            <w:rFonts w:ascii="Verdana" w:eastAsia="Aptos" w:hAnsi="Verdana" w:cs="Arial"/>
            <w:color w:val="0000FF"/>
            <w:u w:val="single"/>
            <w:lang w:eastAsia="es-MX"/>
          </w:rPr>
          <w:t>https://www.colombiacompra.gov.co/normativa-y-relatoria/documentos-tipo</w:t>
        </w:r>
      </w:hyperlink>
    </w:p>
    <w:p w14:paraId="7320F7B2" w14:textId="77777777" w:rsidR="00E244D3" w:rsidRPr="00E244D3" w:rsidRDefault="00E244D3" w:rsidP="00E244D3">
      <w:pPr>
        <w:spacing w:after="0" w:line="276" w:lineRule="auto"/>
        <w:jc w:val="both"/>
        <w:rPr>
          <w:rFonts w:ascii="Verdana" w:eastAsia="Aptos" w:hAnsi="Verdana" w:cs="Arial"/>
          <w:lang w:eastAsia="es-MX"/>
        </w:rPr>
      </w:pPr>
    </w:p>
    <w:p w14:paraId="52CB5B0E" w14:textId="77777777" w:rsidR="00E244D3" w:rsidRPr="00E244D3" w:rsidRDefault="00E244D3" w:rsidP="00E244D3">
      <w:pPr>
        <w:spacing w:after="0" w:line="276" w:lineRule="auto"/>
        <w:jc w:val="both"/>
        <w:rPr>
          <w:rFonts w:ascii="Verdana" w:eastAsia="Aptos" w:hAnsi="Verdana" w:cs="Arial"/>
          <w:lang w:eastAsia="es-MX"/>
        </w:rPr>
      </w:pPr>
      <w:r w:rsidRPr="00E244D3">
        <w:rPr>
          <w:rFonts w:ascii="Verdana" w:eastAsia="Aptos" w:hAnsi="Verdana" w:cs="Arial"/>
          <w:lang w:eastAsia="es-MX"/>
        </w:rPr>
        <w:t xml:space="preserve">Si quieres conocer más sobre la aplicación de Documentos Tipo puedes consultar la última versión de la </w:t>
      </w:r>
      <w:r w:rsidRPr="00E244D3">
        <w:rPr>
          <w:rFonts w:ascii="Verdana" w:eastAsia="Aptos" w:hAnsi="Verdana" w:cs="Arial"/>
          <w:b/>
          <w:bCs/>
          <w:lang w:eastAsia="es-MX"/>
        </w:rPr>
        <w:t>Guía para la comprensión e implementación de los Documentos Tipo de obra pública de infraestructura de transporte</w:t>
      </w:r>
      <w:r w:rsidRPr="00E244D3">
        <w:rPr>
          <w:rFonts w:ascii="Verdana" w:eastAsia="Aptos"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244D3">
        <w:rPr>
          <w:rFonts w:ascii="Verdana" w:eastAsia="Aptos" w:hAnsi="Verdana" w:cs="Arial"/>
          <w:lang w:eastAsia="es-MX"/>
        </w:rPr>
        <w:br/>
      </w:r>
      <w:hyperlink r:id="rId15" w:tgtFrame="_new" w:history="1">
        <w:r w:rsidRPr="00E244D3">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E70F76F" w14:textId="77777777" w:rsidR="00E244D3" w:rsidRPr="00E244D3" w:rsidRDefault="00E244D3" w:rsidP="00E244D3">
      <w:pPr>
        <w:spacing w:after="0"/>
        <w:jc w:val="both"/>
        <w:rPr>
          <w:rFonts w:ascii="Verdana" w:eastAsia="Aptos" w:hAnsi="Verdana" w:cs="Times New Roman"/>
          <w:color w:val="212121"/>
          <w:lang w:eastAsia="es-MX"/>
        </w:rPr>
      </w:pPr>
    </w:p>
    <w:p w14:paraId="2ED144E0" w14:textId="77777777" w:rsidR="00E244D3" w:rsidRPr="00E244D3" w:rsidRDefault="00E244D3" w:rsidP="00E244D3">
      <w:pPr>
        <w:spacing w:after="0" w:line="240" w:lineRule="auto"/>
        <w:jc w:val="both"/>
        <w:rPr>
          <w:rFonts w:ascii="Verdana" w:eastAsia="Calibri" w:hAnsi="Verdana" w:cs="Times New Roman"/>
          <w:lang w:eastAsia="es-MX"/>
        </w:rPr>
      </w:pPr>
      <w:r w:rsidRPr="00E244D3">
        <w:rPr>
          <w:rFonts w:ascii="Verdana" w:eastAsia="Aptos" w:hAnsi="Verdana" w:cs="Times New Roman"/>
          <w:lang w:eastAsia="es-MX"/>
        </w:rPr>
        <w:t xml:space="preserve">Por último, lo invitamos a seguirnos en las redes sociales en las cuales se difunde información institucional: </w:t>
      </w:r>
    </w:p>
    <w:p w14:paraId="2D4C2044" w14:textId="77777777" w:rsidR="00E244D3" w:rsidRPr="00E244D3" w:rsidRDefault="00E244D3" w:rsidP="00E244D3">
      <w:pPr>
        <w:spacing w:after="0" w:line="240" w:lineRule="auto"/>
        <w:jc w:val="both"/>
        <w:rPr>
          <w:rFonts w:ascii="Verdana" w:eastAsia="Aptos" w:hAnsi="Verdana" w:cs="Times New Roman"/>
          <w:lang w:eastAsia="es-MX"/>
        </w:rPr>
      </w:pPr>
    </w:p>
    <w:p w14:paraId="5C7E90D7" w14:textId="77777777" w:rsidR="00E244D3" w:rsidRPr="00E244D3" w:rsidRDefault="00E244D3" w:rsidP="00E244D3">
      <w:pPr>
        <w:spacing w:after="0" w:line="240" w:lineRule="auto"/>
        <w:jc w:val="both"/>
        <w:rPr>
          <w:rFonts w:ascii="Verdana" w:eastAsia="Aptos" w:hAnsi="Verdana" w:cs="Times New Roman"/>
          <w:lang w:eastAsia="es-MX"/>
        </w:rPr>
      </w:pPr>
      <w:r w:rsidRPr="00E244D3">
        <w:rPr>
          <w:rFonts w:ascii="Verdana" w:eastAsia="Aptos" w:hAnsi="Verdana" w:cs="Times New Roman"/>
          <w:lang w:eastAsia="es-MX"/>
        </w:rPr>
        <w:t xml:space="preserve">Twitter: </w:t>
      </w:r>
      <w:r w:rsidRPr="00E244D3">
        <w:rPr>
          <w:rFonts w:ascii="Verdana" w:eastAsia="Calibri" w:hAnsi="Verdana" w:cs="Times New Roman"/>
          <w:color w:val="156082"/>
          <w:u w:val="single"/>
          <w:lang w:eastAsia="es-MX"/>
        </w:rPr>
        <w:t>@colombiacompra</w:t>
      </w:r>
      <w:r w:rsidRPr="00E244D3">
        <w:rPr>
          <w:rFonts w:ascii="Verdana" w:eastAsia="Calibri" w:hAnsi="Verdana" w:cs="Times New Roman"/>
          <w:color w:val="156082"/>
          <w:lang w:eastAsia="es-MX"/>
        </w:rPr>
        <w:t xml:space="preserve"> </w:t>
      </w:r>
    </w:p>
    <w:p w14:paraId="7E877486" w14:textId="77777777" w:rsidR="00E244D3" w:rsidRPr="00E244D3" w:rsidRDefault="00E244D3" w:rsidP="00E244D3">
      <w:pPr>
        <w:spacing w:after="0" w:line="240" w:lineRule="auto"/>
        <w:jc w:val="both"/>
        <w:rPr>
          <w:rFonts w:ascii="Verdana" w:eastAsia="Aptos" w:hAnsi="Verdana" w:cs="Times New Roman"/>
          <w:lang w:eastAsia="es-MX"/>
        </w:rPr>
      </w:pPr>
      <w:r w:rsidRPr="00E244D3">
        <w:rPr>
          <w:rFonts w:ascii="Verdana" w:eastAsia="Aptos" w:hAnsi="Verdana" w:cs="Times New Roman"/>
          <w:lang w:eastAsia="es-MX"/>
        </w:rPr>
        <w:t xml:space="preserve">Facebook: </w:t>
      </w:r>
      <w:proofErr w:type="spellStart"/>
      <w:r w:rsidRPr="00E244D3">
        <w:rPr>
          <w:rFonts w:ascii="Verdana" w:eastAsia="Calibri" w:hAnsi="Verdana" w:cs="Times New Roman"/>
          <w:color w:val="156082"/>
          <w:u w:val="single"/>
          <w:lang w:eastAsia="es-MX"/>
        </w:rPr>
        <w:t>ColombiaCompraEficiente</w:t>
      </w:r>
      <w:proofErr w:type="spellEnd"/>
    </w:p>
    <w:p w14:paraId="2D8E3284" w14:textId="77777777" w:rsidR="00E244D3" w:rsidRPr="00E244D3" w:rsidRDefault="00E244D3" w:rsidP="00E244D3">
      <w:pPr>
        <w:spacing w:after="0" w:line="240" w:lineRule="auto"/>
        <w:jc w:val="both"/>
        <w:rPr>
          <w:rFonts w:ascii="Verdana" w:eastAsia="Aptos" w:hAnsi="Verdana" w:cs="Times New Roman"/>
          <w:lang w:eastAsia="es-MX"/>
        </w:rPr>
      </w:pPr>
      <w:r w:rsidRPr="00E244D3">
        <w:rPr>
          <w:rFonts w:ascii="Verdana" w:eastAsia="Aptos" w:hAnsi="Verdana" w:cs="Times New Roman"/>
          <w:lang w:eastAsia="es-MX"/>
        </w:rPr>
        <w:t xml:space="preserve">LinkedIn: </w:t>
      </w:r>
      <w:r w:rsidRPr="00E244D3">
        <w:rPr>
          <w:rFonts w:ascii="Verdana" w:eastAsia="Calibri" w:hAnsi="Verdana" w:cs="Times New Roman"/>
          <w:color w:val="156082"/>
          <w:u w:val="single"/>
          <w:lang w:eastAsia="es-MX"/>
        </w:rPr>
        <w:t>Agencia Nacional de Contratación Pública - Colombia Compra Eficiente</w:t>
      </w:r>
      <w:r w:rsidRPr="00E244D3">
        <w:rPr>
          <w:rFonts w:ascii="Verdana" w:eastAsia="Calibri" w:hAnsi="Verdana" w:cs="Times New Roman"/>
          <w:color w:val="156082"/>
          <w:lang w:eastAsia="es-MX"/>
        </w:rPr>
        <w:t xml:space="preserve"> </w:t>
      </w:r>
      <w:r w:rsidRPr="00E244D3">
        <w:rPr>
          <w:rFonts w:ascii="Verdana" w:eastAsia="Aptos" w:hAnsi="Verdana" w:cs="Times New Roman"/>
          <w:lang w:eastAsia="es-MX"/>
        </w:rPr>
        <w:t xml:space="preserve">Instagram: </w:t>
      </w:r>
      <w:r w:rsidRPr="00E244D3">
        <w:rPr>
          <w:rFonts w:ascii="Verdana" w:eastAsia="Calibri" w:hAnsi="Verdana" w:cs="Times New Roman"/>
          <w:color w:val="156082"/>
          <w:u w:val="single"/>
          <w:lang w:eastAsia="es-MX"/>
        </w:rPr>
        <w:t>@colombiacompraeficiente_cce</w:t>
      </w:r>
    </w:p>
    <w:p w14:paraId="4334B2C4" w14:textId="77777777" w:rsidR="00E244D3" w:rsidRPr="00E244D3" w:rsidRDefault="00E244D3" w:rsidP="00E244D3">
      <w:pPr>
        <w:spacing w:after="0" w:line="276" w:lineRule="auto"/>
        <w:jc w:val="both"/>
        <w:rPr>
          <w:rFonts w:ascii="Verdana" w:eastAsia="Aptos" w:hAnsi="Verdana" w:cs="Times New Roman"/>
          <w:lang w:eastAsia="es-MX"/>
        </w:rPr>
      </w:pPr>
    </w:p>
    <w:p w14:paraId="57BAE79D" w14:textId="77777777" w:rsidR="00E244D3" w:rsidRPr="00E244D3" w:rsidRDefault="00E244D3" w:rsidP="00E244D3">
      <w:pPr>
        <w:spacing w:after="0" w:line="276" w:lineRule="auto"/>
        <w:jc w:val="both"/>
        <w:rPr>
          <w:rFonts w:ascii="Verdana" w:eastAsia="Calibri" w:hAnsi="Verdana" w:cs="Times New Roman"/>
          <w:bCs/>
          <w:lang w:val="es-ES_tradnl" w:eastAsia="es-MX"/>
        </w:rPr>
      </w:pPr>
      <w:r w:rsidRPr="00E244D3">
        <w:rPr>
          <w:rFonts w:ascii="Verdana" w:eastAsia="Calibri" w:hAnsi="Verdana" w:cs="Times New Roman"/>
          <w:lang w:val="es-ES_tradnl" w:eastAsia="es-MX"/>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85446C8" w14:textId="77777777" w:rsidR="00E244D3" w:rsidRPr="00E244D3" w:rsidRDefault="00E244D3" w:rsidP="00E244D3">
      <w:pPr>
        <w:spacing w:after="0" w:line="276" w:lineRule="auto"/>
        <w:jc w:val="both"/>
        <w:rPr>
          <w:rFonts w:ascii="Verdana" w:eastAsia="Calibri" w:hAnsi="Verdana" w:cs="Times New Roman"/>
          <w:lang w:eastAsia="es-MX"/>
        </w:rPr>
      </w:pPr>
    </w:p>
    <w:p w14:paraId="142C2AD8" w14:textId="77777777" w:rsidR="00E244D3" w:rsidRPr="00E244D3" w:rsidRDefault="00E244D3" w:rsidP="00E244D3">
      <w:pPr>
        <w:spacing w:after="0" w:line="276" w:lineRule="auto"/>
        <w:jc w:val="both"/>
        <w:rPr>
          <w:rFonts w:ascii="Verdana" w:eastAsia="Calibri" w:hAnsi="Verdana" w:cs="Times New Roman"/>
          <w:lang w:eastAsia="es-MX"/>
        </w:rPr>
      </w:pPr>
      <w:r w:rsidRPr="00E244D3">
        <w:rPr>
          <w:rFonts w:ascii="Verdana" w:eastAsia="Calibri" w:hAnsi="Verdana" w:cs="Times New Roman"/>
          <w:lang w:eastAsia="es-MX"/>
        </w:rPr>
        <w:t>Atentamente,</w:t>
      </w:r>
    </w:p>
    <w:p w14:paraId="7D745F2E" w14:textId="1EAF2485" w:rsidR="00E244D3" w:rsidRPr="00E244D3" w:rsidRDefault="00C54A39" w:rsidP="00E244D3">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4018D796" wp14:editId="14136418">
            <wp:extent cx="1839700" cy="789794"/>
            <wp:effectExtent l="0" t="0" r="190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1863609" cy="800058"/>
                    </a:xfrm>
                    <a:prstGeom prst="rect">
                      <a:avLst/>
                    </a:prstGeom>
                  </pic:spPr>
                </pic:pic>
              </a:graphicData>
            </a:graphic>
          </wp:inline>
        </w:drawing>
      </w:r>
    </w:p>
    <w:p w14:paraId="7474692F" w14:textId="77777777" w:rsidR="00E244D3" w:rsidRPr="00E244D3" w:rsidRDefault="00E244D3" w:rsidP="00E244D3">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244D3" w:rsidRPr="00E244D3" w14:paraId="0692C241" w14:textId="77777777" w:rsidTr="00C80FF3">
        <w:trPr>
          <w:trHeight w:val="323"/>
        </w:trPr>
        <w:tc>
          <w:tcPr>
            <w:tcW w:w="1041" w:type="dxa"/>
            <w:vAlign w:val="center"/>
            <w:hideMark/>
          </w:tcPr>
          <w:p w14:paraId="30F42B7B" w14:textId="77777777" w:rsidR="00E244D3" w:rsidRPr="00E244D3" w:rsidRDefault="00E244D3" w:rsidP="00E244D3">
            <w:pPr>
              <w:rPr>
                <w:rFonts w:ascii="Verdana" w:eastAsia="Calibri" w:hAnsi="Verdana" w:cs="Arial"/>
                <w:sz w:val="16"/>
                <w:szCs w:val="16"/>
                <w:lang w:val="es-ES_tradnl" w:eastAsia="es-ES"/>
              </w:rPr>
            </w:pPr>
            <w:r w:rsidRPr="00E244D3">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2234EDD2" w14:textId="77777777" w:rsidR="00E244D3" w:rsidRPr="00E244D3" w:rsidRDefault="00E244D3" w:rsidP="00E244D3">
            <w:pPr>
              <w:rPr>
                <w:rFonts w:ascii="Verdana" w:eastAsia="Arial" w:hAnsi="Verdana" w:cs="Arial"/>
                <w:sz w:val="16"/>
                <w:szCs w:val="16"/>
                <w:lang w:val="es-ES" w:eastAsia="es-MX"/>
              </w:rPr>
            </w:pPr>
            <w:r w:rsidRPr="00E244D3">
              <w:rPr>
                <w:rFonts w:ascii="Verdana" w:eastAsia="Arial" w:hAnsi="Verdana" w:cs="Arial"/>
                <w:sz w:val="16"/>
                <w:szCs w:val="16"/>
                <w:lang w:val="es-ES" w:eastAsia="es-MX"/>
              </w:rPr>
              <w:t xml:space="preserve">Carlos Mario Castrillón Endo </w:t>
            </w:r>
          </w:p>
          <w:p w14:paraId="6394467C" w14:textId="77777777" w:rsidR="00E244D3" w:rsidRPr="00E244D3" w:rsidRDefault="00E244D3" w:rsidP="00E244D3">
            <w:pPr>
              <w:rPr>
                <w:rFonts w:ascii="Verdana" w:eastAsia="Arial" w:hAnsi="Verdana" w:cs="Arial"/>
                <w:sz w:val="16"/>
                <w:szCs w:val="16"/>
                <w:lang w:val="es-ES_tradnl" w:eastAsia="es-MX"/>
              </w:rPr>
            </w:pPr>
            <w:r w:rsidRPr="00E244D3">
              <w:rPr>
                <w:rFonts w:ascii="Verdana" w:eastAsia="Arial" w:hAnsi="Verdana" w:cs="Arial"/>
                <w:sz w:val="16"/>
                <w:szCs w:val="16"/>
                <w:lang w:val="es-ES_tradnl" w:eastAsia="es-MX"/>
              </w:rPr>
              <w:t>Contratista de la Subdirección de Gestión Contractual</w:t>
            </w:r>
          </w:p>
          <w:p w14:paraId="4A6101E6" w14:textId="77777777" w:rsidR="00E244D3" w:rsidRPr="00E244D3" w:rsidRDefault="00E244D3" w:rsidP="00E244D3">
            <w:pPr>
              <w:rPr>
                <w:rFonts w:ascii="Verdana" w:eastAsia="Arial" w:hAnsi="Verdana" w:cs="Arial"/>
                <w:sz w:val="16"/>
                <w:szCs w:val="16"/>
                <w:lang w:val="es-ES_tradnl" w:eastAsia="es-MX"/>
              </w:rPr>
            </w:pPr>
          </w:p>
        </w:tc>
      </w:tr>
      <w:tr w:rsidR="00E244D3" w:rsidRPr="00E244D3" w14:paraId="7CCC0909" w14:textId="77777777" w:rsidTr="00C80FF3">
        <w:trPr>
          <w:trHeight w:val="338"/>
        </w:trPr>
        <w:tc>
          <w:tcPr>
            <w:tcW w:w="1041" w:type="dxa"/>
            <w:vAlign w:val="center"/>
            <w:hideMark/>
          </w:tcPr>
          <w:p w14:paraId="4732E817" w14:textId="77777777" w:rsidR="00E244D3" w:rsidRPr="00E244D3" w:rsidRDefault="00E244D3" w:rsidP="00E244D3">
            <w:pPr>
              <w:rPr>
                <w:rFonts w:ascii="Verdana" w:eastAsia="Calibri" w:hAnsi="Verdana" w:cs="Arial"/>
                <w:sz w:val="16"/>
                <w:szCs w:val="16"/>
                <w:lang w:val="es-ES_tradnl" w:eastAsia="es-ES"/>
              </w:rPr>
            </w:pPr>
            <w:r w:rsidRPr="00E244D3">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06FEA834" w14:textId="77777777" w:rsidR="00E244D3" w:rsidRPr="00E244D3" w:rsidRDefault="00E244D3" w:rsidP="00E244D3">
            <w:pPr>
              <w:rPr>
                <w:rFonts w:ascii="Verdana" w:eastAsia="Arial" w:hAnsi="Verdana" w:cs="Arial"/>
                <w:sz w:val="16"/>
                <w:szCs w:val="16"/>
                <w:lang w:val="es-ES" w:eastAsia="es-MX"/>
              </w:rPr>
            </w:pPr>
            <w:r w:rsidRPr="00E244D3">
              <w:rPr>
                <w:rFonts w:ascii="Verdana" w:eastAsia="Arial" w:hAnsi="Verdana" w:cs="Arial"/>
                <w:sz w:val="16"/>
                <w:szCs w:val="16"/>
                <w:lang w:val="es-ES" w:eastAsia="es-MX"/>
              </w:rPr>
              <w:t xml:space="preserve">Lida Milena </w:t>
            </w:r>
            <w:proofErr w:type="spellStart"/>
            <w:r w:rsidRPr="00E244D3">
              <w:rPr>
                <w:rFonts w:ascii="Verdana" w:eastAsia="Arial" w:hAnsi="Verdana" w:cs="Arial"/>
                <w:sz w:val="16"/>
                <w:szCs w:val="16"/>
                <w:lang w:val="es-ES" w:eastAsia="es-MX"/>
              </w:rPr>
              <w:t>Guanumen</w:t>
            </w:r>
            <w:proofErr w:type="spellEnd"/>
            <w:r w:rsidRPr="00E244D3">
              <w:rPr>
                <w:rFonts w:ascii="Verdana" w:eastAsia="Arial" w:hAnsi="Verdana" w:cs="Arial"/>
                <w:sz w:val="16"/>
                <w:szCs w:val="16"/>
                <w:lang w:val="es-ES" w:eastAsia="es-MX"/>
              </w:rPr>
              <w:t xml:space="preserve"> Pacheco</w:t>
            </w:r>
          </w:p>
          <w:p w14:paraId="7287914E" w14:textId="77777777" w:rsidR="00E244D3" w:rsidRPr="00E244D3" w:rsidRDefault="00E244D3" w:rsidP="00E244D3">
            <w:pPr>
              <w:rPr>
                <w:rFonts w:ascii="Verdana" w:eastAsia="Arial" w:hAnsi="Verdana" w:cs="Arial"/>
                <w:sz w:val="16"/>
                <w:szCs w:val="16"/>
                <w:lang w:val="es-ES" w:eastAsia="es-MX"/>
              </w:rPr>
            </w:pPr>
            <w:r w:rsidRPr="00E244D3">
              <w:rPr>
                <w:rFonts w:ascii="Verdana" w:eastAsia="Arial" w:hAnsi="Verdana" w:cs="Arial"/>
                <w:sz w:val="16"/>
                <w:szCs w:val="16"/>
                <w:lang w:val="es-ES_tradnl" w:eastAsia="es-MX"/>
              </w:rPr>
              <w:t>Contratista de la Subdirección de Gestión Contractual</w:t>
            </w:r>
          </w:p>
          <w:p w14:paraId="55DE42F0" w14:textId="77777777" w:rsidR="00E244D3" w:rsidRPr="00E244D3" w:rsidRDefault="00E244D3" w:rsidP="00E244D3">
            <w:pPr>
              <w:rPr>
                <w:rFonts w:ascii="Verdana" w:eastAsia="Arial" w:hAnsi="Verdana" w:cs="Arial"/>
                <w:sz w:val="16"/>
                <w:szCs w:val="16"/>
                <w:lang w:val="es-ES" w:eastAsia="es-MX"/>
              </w:rPr>
            </w:pPr>
            <w:r w:rsidRPr="00E244D3">
              <w:rPr>
                <w:rFonts w:ascii="Verdana" w:eastAsia="Arial" w:hAnsi="Verdana" w:cs="Arial"/>
                <w:sz w:val="16"/>
                <w:szCs w:val="16"/>
                <w:lang w:val="es-ES" w:eastAsia="es-MX"/>
              </w:rPr>
              <w:t xml:space="preserve">Juan David Cárdenas Cabeza </w:t>
            </w:r>
          </w:p>
          <w:p w14:paraId="4ABAD6B7" w14:textId="77777777" w:rsidR="00E244D3" w:rsidRPr="00E244D3" w:rsidRDefault="00E244D3" w:rsidP="00E244D3">
            <w:pPr>
              <w:rPr>
                <w:rFonts w:ascii="Verdana" w:eastAsia="Arial" w:hAnsi="Verdana" w:cs="Arial"/>
                <w:sz w:val="16"/>
                <w:szCs w:val="16"/>
                <w:lang w:val="es-ES_tradnl" w:eastAsia="es-MX"/>
              </w:rPr>
            </w:pPr>
            <w:r w:rsidRPr="00E244D3">
              <w:rPr>
                <w:rFonts w:ascii="Verdana" w:eastAsia="Arial" w:hAnsi="Verdana" w:cs="Arial"/>
                <w:sz w:val="16"/>
                <w:szCs w:val="16"/>
                <w:lang w:val="es-ES_tradnl" w:eastAsia="es-MX"/>
              </w:rPr>
              <w:t>Gestor T1-15 de la Subdirección de Gestión Contractual</w:t>
            </w:r>
          </w:p>
        </w:tc>
      </w:tr>
      <w:tr w:rsidR="00E244D3" w:rsidRPr="00E244D3" w14:paraId="0BBC3DC9" w14:textId="77777777" w:rsidTr="00C80FF3">
        <w:trPr>
          <w:trHeight w:val="308"/>
        </w:trPr>
        <w:tc>
          <w:tcPr>
            <w:tcW w:w="1041" w:type="dxa"/>
            <w:vAlign w:val="center"/>
          </w:tcPr>
          <w:p w14:paraId="3A83A750" w14:textId="77777777" w:rsidR="00E244D3" w:rsidRPr="00E244D3" w:rsidRDefault="00E244D3" w:rsidP="00E244D3">
            <w:pPr>
              <w:rPr>
                <w:rFonts w:ascii="Verdana" w:eastAsia="Calibri" w:hAnsi="Verdana" w:cs="Arial"/>
                <w:sz w:val="16"/>
                <w:szCs w:val="16"/>
                <w:lang w:val="es-ES_tradnl" w:eastAsia="es-ES"/>
              </w:rPr>
            </w:pPr>
            <w:r w:rsidRPr="00E244D3">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7B68A71" w14:textId="77777777" w:rsidR="00E244D3" w:rsidRPr="00E244D3" w:rsidRDefault="00E244D3" w:rsidP="00E244D3">
            <w:pPr>
              <w:rPr>
                <w:rFonts w:ascii="Verdana" w:eastAsia="Calibri" w:hAnsi="Verdana" w:cs="Arial"/>
                <w:sz w:val="16"/>
                <w:szCs w:val="16"/>
                <w:lang w:val="es-ES" w:eastAsia="es-ES"/>
              </w:rPr>
            </w:pPr>
            <w:r w:rsidRPr="00E244D3">
              <w:rPr>
                <w:rFonts w:ascii="Verdana" w:eastAsia="Calibri" w:hAnsi="Verdana" w:cs="Arial"/>
                <w:sz w:val="16"/>
                <w:szCs w:val="16"/>
                <w:lang w:val="es-ES" w:eastAsia="es-ES"/>
              </w:rPr>
              <w:t>Carolina Quintero Gacharná</w:t>
            </w:r>
          </w:p>
          <w:p w14:paraId="60E9FDD8" w14:textId="77777777" w:rsidR="00E244D3" w:rsidRPr="00E244D3" w:rsidRDefault="00E244D3" w:rsidP="00E244D3">
            <w:pPr>
              <w:rPr>
                <w:rFonts w:ascii="Verdana" w:eastAsia="Calibri" w:hAnsi="Verdana" w:cs="Arial"/>
                <w:sz w:val="16"/>
                <w:szCs w:val="16"/>
                <w:lang w:val="es-ES_tradnl" w:eastAsia="es-ES"/>
              </w:rPr>
            </w:pPr>
            <w:r w:rsidRPr="00E244D3">
              <w:rPr>
                <w:rFonts w:ascii="Verdana" w:eastAsia="Calibri" w:hAnsi="Verdana" w:cs="Arial"/>
                <w:sz w:val="16"/>
                <w:szCs w:val="16"/>
                <w:lang w:val="es-ES_tradnl" w:eastAsia="es-ES"/>
              </w:rPr>
              <w:t>Subdirectora de Gestión Contractual ANCP – CCE</w:t>
            </w:r>
          </w:p>
        </w:tc>
      </w:tr>
    </w:tbl>
    <w:p w14:paraId="7C9026E2" w14:textId="4F3DE5CE" w:rsidR="002A0DD0" w:rsidRPr="00E02524" w:rsidRDefault="002A0DD0" w:rsidP="00E244D3">
      <w:pPr>
        <w:spacing w:after="0" w:line="240" w:lineRule="auto"/>
        <w:textAlignment w:val="baseline"/>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22F8C9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7E02D45" w:rsidR="00127233" w:rsidRPr="0015699B" w:rsidRDefault="00127233" w:rsidP="001B6786">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CCADF" w14:textId="77777777" w:rsidR="00B502FF" w:rsidRDefault="00B502FF" w:rsidP="004A1847">
      <w:pPr>
        <w:spacing w:after="0" w:line="240" w:lineRule="auto"/>
      </w:pPr>
      <w:r>
        <w:separator/>
      </w:r>
    </w:p>
  </w:endnote>
  <w:endnote w:type="continuationSeparator" w:id="0">
    <w:p w14:paraId="11A25AF7" w14:textId="77777777" w:rsidR="00B502FF" w:rsidRDefault="00B502FF" w:rsidP="004A1847">
      <w:pPr>
        <w:spacing w:after="0" w:line="240" w:lineRule="auto"/>
      </w:pPr>
      <w:r>
        <w:continuationSeparator/>
      </w:r>
    </w:p>
  </w:endnote>
  <w:endnote w:type="continuationNotice" w:id="1">
    <w:p w14:paraId="36EE56CD" w14:textId="77777777" w:rsidR="00B502FF" w:rsidRDefault="00B502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72B8A" w14:textId="77777777" w:rsidR="00C54A39" w:rsidRDefault="00C54A39">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6246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762469">
      <w:rPr>
        <w:rFonts w:ascii="Verdana" w:eastAsia="Verdana" w:hAnsi="Verdana" w:cs="Verdana"/>
        <w:b/>
        <w:color w:val="000000" w:themeColor="text1"/>
        <w:sz w:val="18"/>
        <w:szCs w:val="18"/>
        <w:lang w:val="pt-BR" w:eastAsia="es-CO"/>
      </w:rPr>
      <w:t xml:space="preserve">Código: </w:t>
    </w:r>
    <w:r w:rsidRPr="00762469">
      <w:rPr>
        <w:rFonts w:ascii="Verdana" w:eastAsia="Verdana" w:hAnsi="Verdana" w:cs="Verdana"/>
        <w:color w:val="000000" w:themeColor="text1"/>
        <w:sz w:val="18"/>
        <w:szCs w:val="18"/>
        <w:lang w:val="pt-BR" w:eastAsia="es-CO"/>
      </w:rPr>
      <w:t xml:space="preserve">CCE-REC-FM-17 </w:t>
    </w:r>
    <w:r w:rsidRPr="00762469">
      <w:rPr>
        <w:rFonts w:ascii="Verdana" w:eastAsia="Verdana" w:hAnsi="Verdana" w:cs="Verdana"/>
        <w:b/>
        <w:color w:val="000000" w:themeColor="text1"/>
        <w:sz w:val="18"/>
        <w:szCs w:val="18"/>
        <w:lang w:val="pt-BR" w:eastAsia="es-CO"/>
      </w:rPr>
      <w:t xml:space="preserve">V: </w:t>
    </w:r>
    <w:r w:rsidRPr="00762469">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8D625" w14:textId="77777777" w:rsidR="00B502FF" w:rsidRDefault="00B502FF" w:rsidP="004A1847">
      <w:pPr>
        <w:spacing w:after="0" w:line="240" w:lineRule="auto"/>
      </w:pPr>
      <w:r>
        <w:separator/>
      </w:r>
    </w:p>
  </w:footnote>
  <w:footnote w:type="continuationSeparator" w:id="0">
    <w:p w14:paraId="52B9AF43" w14:textId="77777777" w:rsidR="00B502FF" w:rsidRDefault="00B502FF" w:rsidP="004A1847">
      <w:pPr>
        <w:spacing w:after="0" w:line="240" w:lineRule="auto"/>
      </w:pPr>
      <w:r>
        <w:continuationSeparator/>
      </w:r>
    </w:p>
  </w:footnote>
  <w:footnote w:type="continuationNotice" w:id="1">
    <w:p w14:paraId="74BDFFEC" w14:textId="77777777" w:rsidR="00B502FF" w:rsidRDefault="00B502FF">
      <w:pPr>
        <w:spacing w:after="0" w:line="240" w:lineRule="auto"/>
      </w:pPr>
    </w:p>
  </w:footnote>
  <w:footnote w:id="2">
    <w:p w14:paraId="5AD27A48" w14:textId="77777777" w:rsidR="00E244D3" w:rsidRPr="0013318B" w:rsidRDefault="00E244D3" w:rsidP="00E244D3">
      <w:pPr>
        <w:pStyle w:val="Textonotapie"/>
        <w:ind w:firstLine="708"/>
        <w:jc w:val="both"/>
        <w:rPr>
          <w:rFonts w:ascii="Verdana" w:hAnsi="Verdana"/>
          <w:sz w:val="18"/>
          <w:szCs w:val="18"/>
        </w:rPr>
      </w:pPr>
      <w:r w:rsidRPr="00E244D3">
        <w:rPr>
          <w:rStyle w:val="Refdenotaalpie"/>
          <w:rFonts w:ascii="Verdana" w:eastAsia="Times New Roman" w:hAnsi="Verdana"/>
          <w:sz w:val="18"/>
          <w:szCs w:val="18"/>
        </w:rPr>
        <w:footnoteRef/>
      </w:r>
      <w:r w:rsidRPr="0013318B">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7AA04E8" w14:textId="77777777" w:rsidR="00E244D3" w:rsidRPr="0013318B" w:rsidRDefault="00E244D3" w:rsidP="00E244D3">
      <w:pPr>
        <w:pStyle w:val="Textonotapie"/>
        <w:ind w:firstLine="708"/>
        <w:jc w:val="both"/>
        <w:rPr>
          <w:rFonts w:ascii="Verdana" w:hAnsi="Verdana"/>
          <w:sz w:val="18"/>
          <w:szCs w:val="18"/>
        </w:rPr>
      </w:pPr>
    </w:p>
    <w:p w14:paraId="308B0F93" w14:textId="77777777" w:rsidR="00E244D3" w:rsidRPr="0013318B" w:rsidRDefault="00E244D3" w:rsidP="00E244D3">
      <w:pPr>
        <w:pStyle w:val="Textonotapie"/>
        <w:ind w:firstLine="708"/>
        <w:jc w:val="both"/>
        <w:rPr>
          <w:rFonts w:ascii="Verdana" w:hAnsi="Verdana"/>
          <w:sz w:val="18"/>
          <w:szCs w:val="18"/>
        </w:rPr>
      </w:pPr>
      <w:r w:rsidRPr="0013318B">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1E14554" w14:textId="77777777" w:rsidR="00E244D3" w:rsidRPr="0013318B" w:rsidRDefault="00E244D3" w:rsidP="00E244D3">
      <w:pPr>
        <w:pStyle w:val="Textonotapie"/>
        <w:ind w:firstLine="708"/>
        <w:jc w:val="both"/>
        <w:rPr>
          <w:rFonts w:ascii="Verdana" w:hAnsi="Verdana"/>
          <w:sz w:val="18"/>
          <w:szCs w:val="18"/>
        </w:rPr>
      </w:pPr>
    </w:p>
    <w:p w14:paraId="1A2D99EF" w14:textId="77777777" w:rsidR="00E244D3" w:rsidRPr="0013318B" w:rsidRDefault="00E244D3" w:rsidP="00E244D3">
      <w:pPr>
        <w:pStyle w:val="Textonotapie"/>
        <w:ind w:firstLine="708"/>
        <w:jc w:val="both"/>
        <w:rPr>
          <w:rFonts w:ascii="Verdana" w:hAnsi="Verdana"/>
          <w:sz w:val="18"/>
          <w:szCs w:val="18"/>
        </w:rPr>
      </w:pPr>
      <w:r w:rsidRPr="0013318B">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277274F" w14:textId="77777777" w:rsidR="00E244D3" w:rsidRPr="0013318B" w:rsidRDefault="00E244D3" w:rsidP="00E244D3">
      <w:pPr>
        <w:pStyle w:val="Textonotapie"/>
        <w:ind w:firstLine="708"/>
        <w:jc w:val="both"/>
        <w:rPr>
          <w:rFonts w:ascii="Verdana" w:hAnsi="Verdana"/>
          <w:sz w:val="18"/>
          <w:szCs w:val="18"/>
        </w:rPr>
      </w:pPr>
    </w:p>
    <w:p w14:paraId="102BF877" w14:textId="77777777" w:rsidR="00E244D3" w:rsidRPr="0013318B" w:rsidRDefault="00E244D3" w:rsidP="00E244D3">
      <w:pPr>
        <w:pStyle w:val="Textonotapie"/>
        <w:ind w:firstLine="708"/>
        <w:jc w:val="both"/>
        <w:rPr>
          <w:rFonts w:ascii="Verdana" w:hAnsi="Verdana"/>
          <w:sz w:val="18"/>
          <w:szCs w:val="18"/>
        </w:rPr>
      </w:pPr>
      <w:r w:rsidRPr="0013318B">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01E79CE4" w14:textId="77777777" w:rsidR="00E244D3" w:rsidRPr="0013318B" w:rsidRDefault="00E244D3" w:rsidP="00E244D3">
      <w:pPr>
        <w:pStyle w:val="Textonotapie"/>
        <w:ind w:firstLine="708"/>
        <w:jc w:val="both"/>
        <w:rPr>
          <w:rFonts w:ascii="Verdana" w:hAnsi="Verdana"/>
          <w:sz w:val="18"/>
          <w:szCs w:val="18"/>
        </w:rPr>
      </w:pPr>
    </w:p>
    <w:p w14:paraId="2D7A7806" w14:textId="77777777" w:rsidR="00E244D3" w:rsidRPr="0013318B" w:rsidRDefault="00E244D3" w:rsidP="00E244D3">
      <w:pPr>
        <w:pStyle w:val="Textonotapie"/>
        <w:ind w:firstLine="708"/>
        <w:jc w:val="both"/>
        <w:rPr>
          <w:rFonts w:ascii="Verdana" w:hAnsi="Verdana"/>
          <w:sz w:val="18"/>
          <w:szCs w:val="18"/>
        </w:rPr>
      </w:pPr>
      <w:r w:rsidRPr="0013318B">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88700460">
    <w:abstractNumId w:val="9"/>
  </w:num>
  <w:num w:numId="17" w16cid:durableId="1207447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2D9"/>
    <w:rsid w:val="00082362"/>
    <w:rsid w:val="000A683E"/>
    <w:rsid w:val="000B19B9"/>
    <w:rsid w:val="000D0334"/>
    <w:rsid w:val="000D5DA7"/>
    <w:rsid w:val="000F6486"/>
    <w:rsid w:val="00116940"/>
    <w:rsid w:val="00125105"/>
    <w:rsid w:val="00127233"/>
    <w:rsid w:val="0015699B"/>
    <w:rsid w:val="001A0AA0"/>
    <w:rsid w:val="001A328C"/>
    <w:rsid w:val="001A33BF"/>
    <w:rsid w:val="001B6786"/>
    <w:rsid w:val="001E4177"/>
    <w:rsid w:val="001F0B24"/>
    <w:rsid w:val="001F7DC6"/>
    <w:rsid w:val="0021450E"/>
    <w:rsid w:val="0022400B"/>
    <w:rsid w:val="002421BB"/>
    <w:rsid w:val="0025796E"/>
    <w:rsid w:val="002622CF"/>
    <w:rsid w:val="002707A2"/>
    <w:rsid w:val="002951A0"/>
    <w:rsid w:val="002962BC"/>
    <w:rsid w:val="002A093D"/>
    <w:rsid w:val="002A0DD0"/>
    <w:rsid w:val="002A49AC"/>
    <w:rsid w:val="002A64FD"/>
    <w:rsid w:val="002B6300"/>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6AD1"/>
    <w:rsid w:val="004F21C4"/>
    <w:rsid w:val="004F685F"/>
    <w:rsid w:val="005560EB"/>
    <w:rsid w:val="005566E8"/>
    <w:rsid w:val="00574867"/>
    <w:rsid w:val="00591460"/>
    <w:rsid w:val="00596BF4"/>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2469"/>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57EE0"/>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53E6"/>
    <w:rsid w:val="00AB0ADB"/>
    <w:rsid w:val="00B00C0E"/>
    <w:rsid w:val="00B01B1A"/>
    <w:rsid w:val="00B0381D"/>
    <w:rsid w:val="00B44A47"/>
    <w:rsid w:val="00B502FF"/>
    <w:rsid w:val="00B72CD3"/>
    <w:rsid w:val="00B72FFF"/>
    <w:rsid w:val="00BC3D36"/>
    <w:rsid w:val="00BD54A6"/>
    <w:rsid w:val="00BD7F72"/>
    <w:rsid w:val="00BE013C"/>
    <w:rsid w:val="00BF7425"/>
    <w:rsid w:val="00C04FB3"/>
    <w:rsid w:val="00C11D8B"/>
    <w:rsid w:val="00C15139"/>
    <w:rsid w:val="00C330EB"/>
    <w:rsid w:val="00C50D69"/>
    <w:rsid w:val="00C5365C"/>
    <w:rsid w:val="00C54A39"/>
    <w:rsid w:val="00C754BE"/>
    <w:rsid w:val="00C76B1C"/>
    <w:rsid w:val="00C925AC"/>
    <w:rsid w:val="00C97E3A"/>
    <w:rsid w:val="00CB6357"/>
    <w:rsid w:val="00CC1B26"/>
    <w:rsid w:val="00CD0CFE"/>
    <w:rsid w:val="00D361FD"/>
    <w:rsid w:val="00D423A2"/>
    <w:rsid w:val="00D44E26"/>
    <w:rsid w:val="00D520D8"/>
    <w:rsid w:val="00D63AC2"/>
    <w:rsid w:val="00D7383B"/>
    <w:rsid w:val="00D7788A"/>
    <w:rsid w:val="00D9488E"/>
    <w:rsid w:val="00DA231B"/>
    <w:rsid w:val="00DC39FC"/>
    <w:rsid w:val="00DF5254"/>
    <w:rsid w:val="00E02524"/>
    <w:rsid w:val="00E16408"/>
    <w:rsid w:val="00E20894"/>
    <w:rsid w:val="00E244D3"/>
    <w:rsid w:val="00E245AB"/>
    <w:rsid w:val="00E2764C"/>
    <w:rsid w:val="00E27F2E"/>
    <w:rsid w:val="00E302D9"/>
    <w:rsid w:val="00E50AFE"/>
    <w:rsid w:val="00E75C92"/>
    <w:rsid w:val="00E771DC"/>
    <w:rsid w:val="00E8772A"/>
    <w:rsid w:val="00E90F6B"/>
    <w:rsid w:val="00E92C27"/>
    <w:rsid w:val="00EA0E3D"/>
    <w:rsid w:val="00EA1196"/>
    <w:rsid w:val="00EC38A7"/>
    <w:rsid w:val="00EE039F"/>
    <w:rsid w:val="00EE1AA8"/>
    <w:rsid w:val="00F23FEA"/>
    <w:rsid w:val="00F31EDC"/>
    <w:rsid w:val="00F400E2"/>
    <w:rsid w:val="00F428E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0CC6FE"/>
    <w:rsid w:val="2859CA1B"/>
    <w:rsid w:val="2C4D2425"/>
    <w:rsid w:val="2EE1E026"/>
    <w:rsid w:val="30821638"/>
    <w:rsid w:val="32A4F9CF"/>
    <w:rsid w:val="33A1FF93"/>
    <w:rsid w:val="356CEDFD"/>
    <w:rsid w:val="3C591AFD"/>
    <w:rsid w:val="42183F0A"/>
    <w:rsid w:val="545B112A"/>
    <w:rsid w:val="5BEB1497"/>
    <w:rsid w:val="5DBCDCA0"/>
    <w:rsid w:val="69614A15"/>
    <w:rsid w:val="718B04C8"/>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E244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244D3"/>
    <w:pPr>
      <w:spacing w:after="0"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27757AF-9B8B-46DD-A6D4-80C6AB20A7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20</Pages>
  <Words>6969</Words>
  <Characters>38335</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2026-04-23T18:25:00Z</dcterms:created>
  <dcterms:modified xsi:type="dcterms:W3CDTF">2026-04-24T19:23:00Z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