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65CFF" w14:textId="77777777" w:rsidR="00184353" w:rsidRPr="00C55BDE" w:rsidRDefault="00184353" w:rsidP="00184353">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460A8BC3" w14:textId="77777777" w:rsidR="00184353" w:rsidRPr="00C55BDE" w:rsidRDefault="00184353" w:rsidP="00184353">
      <w:pPr>
        <w:snapToGrid w:val="0"/>
        <w:contextualSpacing/>
        <w:jc w:val="both"/>
        <w:rPr>
          <w:rFonts w:ascii="Verdana" w:hAnsi="Verdana" w:cs="Arial"/>
          <w:b/>
          <w:bCs/>
          <w:lang w:val="es-ES" w:eastAsia="es-ES"/>
        </w:rPr>
      </w:pPr>
    </w:p>
    <w:p w14:paraId="1DA08B9D" w14:textId="77777777" w:rsidR="00184353" w:rsidRPr="00C55BDE" w:rsidRDefault="00184353" w:rsidP="00184353">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3318BC5C" w14:textId="77777777" w:rsidR="00184353" w:rsidRPr="00C55BDE" w:rsidRDefault="00184353" w:rsidP="00184353">
      <w:pPr>
        <w:snapToGrid w:val="0"/>
        <w:contextualSpacing/>
        <w:jc w:val="both"/>
        <w:rPr>
          <w:rFonts w:ascii="Verdana" w:hAnsi="Verdana" w:cs="Arial"/>
          <w:b/>
          <w:bCs/>
          <w:lang w:val="es-ES" w:eastAsia="es-ES"/>
        </w:rPr>
      </w:pPr>
    </w:p>
    <w:p w14:paraId="56FEE359" w14:textId="77777777" w:rsidR="00184353" w:rsidRPr="00C55BDE" w:rsidRDefault="00184353" w:rsidP="00184353">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Pr>
          <w:rFonts w:ascii="Verdana" w:hAnsi="Verdana" w:cs="Arial"/>
          <w:b/>
          <w:bCs/>
          <w:lang w:val="es-ES" w:eastAsia="es-ES"/>
        </w:rPr>
        <w:t xml:space="preserve"> </w:t>
      </w:r>
      <w:r w:rsidRPr="00C43584">
        <w:rPr>
          <w:rFonts w:ascii="Verdana" w:hAnsi="Verdana" w:cs="Arial"/>
          <w:b/>
          <w:bCs/>
          <w:lang w:val="es-ES" w:eastAsia="es-ES"/>
        </w:rPr>
        <w:t>‒ Celebración</w:t>
      </w:r>
    </w:p>
    <w:p w14:paraId="0B64A394" w14:textId="77777777" w:rsidR="00184353" w:rsidRPr="00C55BDE" w:rsidRDefault="00184353" w:rsidP="00184353">
      <w:pPr>
        <w:snapToGrid w:val="0"/>
        <w:spacing w:after="0" w:line="240" w:lineRule="auto"/>
        <w:contextualSpacing/>
        <w:jc w:val="both"/>
        <w:rPr>
          <w:rFonts w:ascii="Verdana" w:hAnsi="Verdana" w:cs="Arial"/>
          <w:sz w:val="20"/>
          <w:szCs w:val="20"/>
          <w:lang w:val="es-ES" w:eastAsia="es-ES"/>
        </w:rPr>
      </w:pPr>
    </w:p>
    <w:p w14:paraId="2EE41ADD" w14:textId="77777777" w:rsidR="00184353" w:rsidRPr="00C55BDE" w:rsidRDefault="00184353" w:rsidP="00184353">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FE76FAA" w14:textId="77777777" w:rsidR="00184353" w:rsidRPr="00C55BDE" w:rsidRDefault="00184353" w:rsidP="00184353">
      <w:pPr>
        <w:snapToGrid w:val="0"/>
        <w:spacing w:after="0" w:line="240" w:lineRule="auto"/>
        <w:contextualSpacing/>
        <w:jc w:val="both"/>
        <w:rPr>
          <w:rFonts w:ascii="Verdana" w:hAnsi="Verdana" w:cs="Arial"/>
          <w:sz w:val="20"/>
          <w:szCs w:val="20"/>
          <w:lang w:val="es-ES"/>
        </w:rPr>
      </w:pPr>
    </w:p>
    <w:p w14:paraId="6CB3D5B9" w14:textId="77777777" w:rsidR="00184353" w:rsidRPr="00C55BDE" w:rsidRDefault="00184353" w:rsidP="00184353">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2C73A79C" w14:textId="77777777" w:rsidR="00782E3F" w:rsidRDefault="00782E3F" w:rsidP="00601CFC">
      <w:pPr>
        <w:jc w:val="both"/>
        <w:rPr>
          <w:rFonts w:ascii="Verdana" w:eastAsia="Calibri" w:hAnsi="Verdana" w:cs="Arial"/>
          <w:lang w:val="es-MX"/>
        </w:rPr>
      </w:pPr>
    </w:p>
    <w:p w14:paraId="6BF1CD75" w14:textId="4EFC80EC" w:rsidR="00782E3F" w:rsidRPr="00782E3F" w:rsidRDefault="00782E3F" w:rsidP="00782E3F">
      <w:pPr>
        <w:spacing w:after="0"/>
        <w:jc w:val="both"/>
        <w:rPr>
          <w:rFonts w:ascii="Verdana" w:eastAsia="Calibri" w:hAnsi="Verdana" w:cs="Arial"/>
          <w:b/>
          <w:bCs/>
          <w:lang w:val="es-ES" w:eastAsia="es-ES"/>
        </w:rPr>
      </w:pPr>
      <w:r w:rsidRPr="00782E3F">
        <w:rPr>
          <w:rFonts w:ascii="Verdana" w:hAnsi="Verdana" w:cs="Arial"/>
          <w:b/>
          <w:bCs/>
          <w:lang w:val="es-ES" w:eastAsia="es-ES"/>
        </w:rPr>
        <w:t>LEY DE GARANTÍAS ELECTORALES</w:t>
      </w:r>
      <w:r w:rsidRPr="00782E3F">
        <w:rPr>
          <w:rFonts w:ascii="Verdana" w:eastAsia="Aptos" w:hAnsi="Verdana" w:cs="Arial"/>
          <w:b/>
          <w:bCs/>
          <w:color w:val="000000" w:themeColor="text1"/>
          <w:lang w:val="es-MX" w:eastAsia="es-ES"/>
        </w:rPr>
        <w:t xml:space="preserve"> </w:t>
      </w:r>
      <w:r w:rsidRPr="00782E3F">
        <w:rPr>
          <w:rFonts w:ascii="Verdana" w:hAnsi="Verdana" w:cs="Arial"/>
          <w:b/>
          <w:bCs/>
          <w:lang w:val="es-ES" w:eastAsia="es-ES"/>
        </w:rPr>
        <w:t xml:space="preserve">‒ </w:t>
      </w:r>
      <w:r w:rsidRPr="00782E3F">
        <w:rPr>
          <w:rFonts w:ascii="Verdana" w:eastAsia="Aptos" w:hAnsi="Verdana" w:cs="Arial"/>
          <w:b/>
          <w:bCs/>
          <w:color w:val="000000" w:themeColor="text1"/>
          <w:lang w:val="es-MX" w:eastAsia="es-ES"/>
        </w:rPr>
        <w:t>Artículo 33 – Contratación directa – Alcance</w:t>
      </w:r>
    </w:p>
    <w:p w14:paraId="3663F947" w14:textId="77777777" w:rsidR="00782E3F" w:rsidRDefault="00782E3F" w:rsidP="00782E3F">
      <w:pPr>
        <w:spacing w:after="0"/>
        <w:jc w:val="both"/>
        <w:rPr>
          <w:rFonts w:ascii="Verdana" w:eastAsia="Calibri" w:hAnsi="Verdana" w:cs="Arial"/>
          <w:b/>
          <w:bCs/>
          <w:lang w:val="es-ES" w:eastAsia="es-ES"/>
        </w:rPr>
      </w:pPr>
    </w:p>
    <w:p w14:paraId="345EED17" w14:textId="77777777" w:rsidR="00782E3F" w:rsidRPr="00C43584" w:rsidRDefault="00782E3F" w:rsidP="00782E3F">
      <w:pPr>
        <w:spacing w:after="0" w:line="240" w:lineRule="auto"/>
        <w:jc w:val="both"/>
        <w:rPr>
          <w:rFonts w:ascii="Verdana" w:eastAsia="Times New Roman" w:hAnsi="Verdana" w:cs="Arial"/>
          <w:bCs/>
          <w:sz w:val="20"/>
          <w:szCs w:val="20"/>
          <w:lang w:eastAsia="x-none"/>
        </w:rPr>
      </w:pPr>
      <w:r>
        <w:rPr>
          <w:rFonts w:ascii="Verdana" w:eastAsia="Times New Roman" w:hAnsi="Verdana" w:cs="Arial"/>
          <w:sz w:val="20"/>
          <w:szCs w:val="20"/>
          <w:lang w:eastAsia="x-none"/>
        </w:rPr>
        <w:t>L</w:t>
      </w:r>
      <w:r w:rsidRPr="00C43584">
        <w:rPr>
          <w:rFonts w:ascii="Verdana" w:eastAsia="Times New Roman" w:hAnsi="Verdana" w:cs="Arial"/>
          <w:sz w:val="20"/>
          <w:szCs w:val="20"/>
          <w:lang w:eastAsia="x-none"/>
        </w:rPr>
        <w:t xml:space="preserve">a prohibición del artículo 33 de la Ley de Garantías Electorales se refiere a </w:t>
      </w:r>
      <w:r w:rsidRPr="00C43584">
        <w:rPr>
          <w:rFonts w:ascii="Verdana" w:eastAsia="Times New Roman" w:hAnsi="Verdana" w:cs="Arial"/>
          <w:sz w:val="20"/>
          <w:szCs w:val="20"/>
          <w:lang w:eastAsia="en-GB"/>
        </w:rPr>
        <w:t>“</w:t>
      </w:r>
      <w:r w:rsidRPr="00C43584">
        <w:rPr>
          <w:rFonts w:ascii="Verdana" w:eastAsia="Times New Roman" w:hAnsi="Verdana" w:cs="Arial"/>
          <w:sz w:val="20"/>
          <w:szCs w:val="20"/>
          <w:lang w:eastAsia="x-none"/>
        </w:rPr>
        <w:t>cualquier sistema que no implique convocatoria pública y posibilidad de pluralidad de oferentes</w:t>
      </w:r>
      <w:r w:rsidRPr="00C43584">
        <w:rPr>
          <w:rFonts w:ascii="Verdana" w:eastAsia="Times New Roman" w:hAnsi="Verdana" w:cs="Arial"/>
          <w:sz w:val="20"/>
          <w:szCs w:val="20"/>
          <w:lang w:eastAsia="en-GB"/>
        </w:rPr>
        <w:t>”</w:t>
      </w:r>
      <w:r w:rsidRPr="00C43584">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C43584">
        <w:rPr>
          <w:rFonts w:ascii="Verdana" w:eastAsia="Times New Roman" w:hAnsi="Verdana" w:cs="Arial"/>
          <w:sz w:val="20"/>
          <w:szCs w:val="20"/>
          <w:lang w:val="es-ES_tradnl" w:eastAsia="x-none"/>
        </w:rPr>
        <w:t xml:space="preserve">y la mínima cuantía </w:t>
      </w:r>
      <w:r w:rsidRPr="00C43584">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C43584">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38BA4C18" w14:textId="77777777" w:rsidR="00782E3F" w:rsidRPr="00C43584" w:rsidRDefault="00782E3F" w:rsidP="00782E3F">
      <w:pPr>
        <w:spacing w:after="0" w:line="240" w:lineRule="auto"/>
        <w:jc w:val="both"/>
        <w:rPr>
          <w:rFonts w:ascii="Verdana" w:eastAsia="Arial" w:hAnsi="Verdana" w:cs="Arial"/>
          <w:sz w:val="20"/>
          <w:szCs w:val="20"/>
          <w:lang w:val="es-MX" w:eastAsia="es-ES" w:bidi="es-ES"/>
        </w:rPr>
      </w:pPr>
      <w:r w:rsidRPr="00C43584">
        <w:rPr>
          <w:rFonts w:ascii="Verdana" w:eastAsia="Arial" w:hAnsi="Verdana" w:cs="Arial"/>
          <w:sz w:val="20"/>
          <w:szCs w:val="20"/>
          <w:lang w:val="es-MX" w:eastAsia="es-ES" w:bidi="es-ES"/>
        </w:rPr>
        <w:t>[…]</w:t>
      </w:r>
    </w:p>
    <w:p w14:paraId="5E060C29" w14:textId="77777777" w:rsidR="00782E3F" w:rsidRPr="00C43584" w:rsidRDefault="00782E3F" w:rsidP="00782E3F">
      <w:pPr>
        <w:spacing w:after="0" w:line="240" w:lineRule="auto"/>
        <w:jc w:val="both"/>
        <w:rPr>
          <w:rFonts w:ascii="Verdana" w:hAnsi="Verdana" w:cs="Arial"/>
          <w:b/>
          <w:bCs/>
          <w:sz w:val="20"/>
          <w:szCs w:val="20"/>
          <w:lang w:val="es-MX" w:eastAsia="es-ES_tradnl"/>
        </w:rPr>
      </w:pPr>
    </w:p>
    <w:p w14:paraId="290D59C3" w14:textId="0B708F23" w:rsidR="00782E3F" w:rsidRPr="00C43584" w:rsidRDefault="00782E3F" w:rsidP="00782E3F">
      <w:pPr>
        <w:spacing w:after="0" w:line="240" w:lineRule="auto"/>
        <w:jc w:val="both"/>
        <w:rPr>
          <w:rFonts w:ascii="Verdana" w:eastAsia="Times New Roman" w:hAnsi="Verdana" w:cs="Arial"/>
          <w:bCs/>
          <w:sz w:val="20"/>
          <w:szCs w:val="20"/>
          <w:lang w:val="es-MX" w:eastAsia="x-none"/>
        </w:rPr>
      </w:pPr>
      <w:r w:rsidRPr="00C43584">
        <w:rPr>
          <w:rFonts w:ascii="Verdana" w:eastAsia="Times New Roman" w:hAnsi="Verdana" w:cs="Arial"/>
          <w:bCs/>
          <w:sz w:val="20"/>
          <w:szCs w:val="20"/>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C43584">
        <w:rPr>
          <w:rFonts w:ascii="Verdana" w:eastAsia="Calibri" w:hAnsi="Verdana" w:cs="Arial"/>
          <w:sz w:val="20"/>
          <w:szCs w:val="20"/>
          <w:lang w:val="es-MX"/>
        </w:rPr>
        <w:t xml:space="preserve"> </w:t>
      </w:r>
      <w:r w:rsidRPr="00C43584">
        <w:rPr>
          <w:rFonts w:ascii="Verdana" w:eastAsia="Times New Roman" w:hAnsi="Verdana" w:cs="Arial"/>
          <w:bCs/>
          <w:sz w:val="20"/>
          <w:szCs w:val="20"/>
          <w:lang w:val="es-MX" w:eastAsia="x-none"/>
        </w:rPr>
        <w:t>En efecto, tal como lo ha sostenido el Consejo de Estado, el vocablo “todos” utilizado por el legislador comprende</w:t>
      </w:r>
      <w:r w:rsidRPr="00C43584">
        <w:rPr>
          <w:rFonts w:ascii="Verdana" w:eastAsia="Calibri" w:hAnsi="Verdana" w:cs="Arial"/>
          <w:sz w:val="20"/>
          <w:szCs w:val="20"/>
          <w:lang w:val="es-MX"/>
        </w:rPr>
        <w:t xml:space="preserve"> </w:t>
      </w:r>
      <w:r w:rsidRPr="00C43584">
        <w:rPr>
          <w:rFonts w:ascii="Verdana" w:eastAsia="Times New Roman" w:hAnsi="Verdana" w:cs="Arial"/>
          <w:bCs/>
          <w:sz w:val="20"/>
          <w:szCs w:val="20"/>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000226D0">
        <w:rPr>
          <w:rFonts w:ascii="Verdana" w:eastAsia="Times New Roman" w:hAnsi="Verdana" w:cs="Arial"/>
          <w:bCs/>
          <w:sz w:val="20"/>
          <w:szCs w:val="20"/>
          <w:lang w:val="es-MX" w:eastAsia="x-none"/>
        </w:rPr>
        <w:t>.</w:t>
      </w:r>
    </w:p>
    <w:p w14:paraId="61DCCA6F" w14:textId="77777777" w:rsidR="000226D0" w:rsidRDefault="000226D0" w:rsidP="00601CFC">
      <w:pPr>
        <w:jc w:val="both"/>
        <w:rPr>
          <w:rFonts w:ascii="Verdana" w:eastAsia="Calibri" w:hAnsi="Verdana" w:cs="Arial"/>
          <w:lang w:val="es-MX"/>
        </w:rPr>
      </w:pPr>
    </w:p>
    <w:p w14:paraId="668A9671" w14:textId="6DBA4863" w:rsidR="000226D0" w:rsidRPr="000226D0" w:rsidRDefault="000226D0" w:rsidP="00601CFC">
      <w:pPr>
        <w:jc w:val="both"/>
        <w:rPr>
          <w:rFonts w:ascii="Verdana" w:eastAsia="Calibri" w:hAnsi="Verdana" w:cs="Arial"/>
          <w:b/>
          <w:bCs/>
          <w:lang w:val="es-MX"/>
        </w:rPr>
      </w:pPr>
      <w:r w:rsidRPr="000226D0">
        <w:rPr>
          <w:rFonts w:ascii="Verdana" w:hAnsi="Verdana" w:cs="Arial"/>
          <w:b/>
          <w:bCs/>
          <w:lang w:val="es-ES" w:eastAsia="es-ES"/>
        </w:rPr>
        <w:t>LEY DE GARANTÍAS ELECTORALES</w:t>
      </w:r>
      <w:r w:rsidRPr="000226D0">
        <w:rPr>
          <w:rFonts w:ascii="Verdana" w:eastAsia="Aptos" w:hAnsi="Verdana" w:cs="Arial"/>
          <w:b/>
          <w:bCs/>
          <w:color w:val="000000" w:themeColor="text1"/>
          <w:lang w:val="es-MX" w:eastAsia="es-ES"/>
        </w:rPr>
        <w:t xml:space="preserve"> </w:t>
      </w:r>
      <w:r w:rsidRPr="000226D0">
        <w:rPr>
          <w:rFonts w:ascii="Verdana" w:hAnsi="Verdana" w:cs="Arial"/>
          <w:b/>
          <w:bCs/>
          <w:lang w:val="es-ES" w:eastAsia="es-ES"/>
        </w:rPr>
        <w:t xml:space="preserve">‒ </w:t>
      </w:r>
      <w:r w:rsidRPr="000226D0">
        <w:rPr>
          <w:rFonts w:ascii="Verdana" w:eastAsia="Aptos" w:hAnsi="Verdana" w:cs="Arial"/>
          <w:b/>
          <w:bCs/>
          <w:color w:val="000000" w:themeColor="text1"/>
          <w:lang w:val="es-MX" w:eastAsia="es-ES"/>
        </w:rPr>
        <w:t xml:space="preserve">Artículo 38 – Parágrafo - Convenios Interadministrativos </w:t>
      </w:r>
      <w:r w:rsidRPr="000226D0">
        <w:rPr>
          <w:rFonts w:ascii="Verdana" w:hAnsi="Verdana" w:cs="Arial"/>
          <w:b/>
          <w:bCs/>
          <w:lang w:val="es-MX"/>
        </w:rPr>
        <w:t xml:space="preserve">– Ejecución de recursos públicos  </w:t>
      </w:r>
    </w:p>
    <w:p w14:paraId="794566E8" w14:textId="77777777" w:rsidR="000226D0" w:rsidRPr="000226D0" w:rsidRDefault="000226D0" w:rsidP="000226D0">
      <w:pPr>
        <w:spacing w:after="120" w:line="276" w:lineRule="auto"/>
        <w:jc w:val="both"/>
        <w:rPr>
          <w:rFonts w:ascii="Verdana" w:eastAsia="Century Gothic" w:hAnsi="Verdana" w:cs="Century Gothic"/>
          <w:bCs/>
          <w:sz w:val="20"/>
          <w:szCs w:val="20"/>
          <w:lang w:val="es-ES_tradnl"/>
        </w:rPr>
      </w:pPr>
      <w:r w:rsidRPr="000226D0">
        <w:rPr>
          <w:rFonts w:ascii="Verdana" w:eastAsia="Century Gothic" w:hAnsi="Verdana" w:cs="Century Gothic"/>
          <w:bCs/>
          <w:sz w:val="20"/>
          <w:szCs w:val="20"/>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67F22FBC" w14:textId="44DCF1CF" w:rsidR="00540F11" w:rsidRDefault="00550BB4" w:rsidP="00601CFC">
      <w:pPr>
        <w:jc w:val="both"/>
        <w:rPr>
          <w:rFonts w:ascii="Verdana" w:eastAsia="Calibri" w:hAnsi="Verdana" w:cs="Arial"/>
          <w:lang w:val="es-MX"/>
        </w:rPr>
      </w:pPr>
      <w:r>
        <w:rPr>
          <w:rFonts w:ascii="Verdana" w:eastAsia="Calibri" w:hAnsi="Verdana" w:cs="Arial"/>
          <w:lang w:val="es-MX"/>
        </w:rPr>
        <w:br w:type="page"/>
      </w:r>
    </w:p>
    <w:p w14:paraId="683B4542" w14:textId="77777777" w:rsidR="000226D0" w:rsidRDefault="000226D0" w:rsidP="00601CFC">
      <w:pPr>
        <w:jc w:val="both"/>
        <w:rPr>
          <w:rFonts w:ascii="Verdana" w:eastAsia="Calibri" w:hAnsi="Verdana" w:cs="Arial"/>
          <w:lang w:val="es-MX"/>
        </w:rPr>
      </w:pPr>
    </w:p>
    <w:p w14:paraId="7B7D7619" w14:textId="7307F658" w:rsidR="00601CFC" w:rsidRPr="00540F11" w:rsidRDefault="00540F11" w:rsidP="00540F11">
      <w:pPr>
        <w:jc w:val="both"/>
        <w:rPr>
          <w:rFonts w:ascii="Verdana" w:eastAsia="Calibri" w:hAnsi="Verdana" w:cs="Arial"/>
          <w:lang w:val="es-ES"/>
        </w:rPr>
      </w:pPr>
      <w:r w:rsidRPr="00540F11">
        <w:rPr>
          <w:rFonts w:ascii="Verdana" w:eastAsia="Calibri" w:hAnsi="Verdana" w:cs="Arial"/>
        </w:rPr>
        <w:t xml:space="preserve">Bogotá D.C., 24 de </w:t>
      </w:r>
      <w:r w:rsidR="005F5BB7" w:rsidRPr="00540F11">
        <w:rPr>
          <w:rFonts w:ascii="Verdana" w:eastAsia="Calibri" w:hAnsi="Verdana" w:cs="Arial"/>
        </w:rPr>
        <w:t>abril</w:t>
      </w:r>
      <w:r w:rsidRPr="00540F11">
        <w:rPr>
          <w:rFonts w:ascii="Verdana" w:eastAsia="Calibri" w:hAnsi="Verdana" w:cs="Arial"/>
        </w:rPr>
        <w:t xml:space="preserve"> de 2026</w:t>
      </w:r>
      <w:r>
        <w:rPr>
          <w:rFonts w:ascii="Verdana" w:eastAsia="Calibri" w:hAnsi="Verdana" w:cs="Arial"/>
        </w:rPr>
        <w:t xml:space="preserve"> </w:t>
      </w:r>
      <w:r w:rsidRPr="00540F11">
        <w:rPr>
          <w:rFonts w:ascii="Verdana" w:eastAsia="Calibri" w:hAnsi="Verdana" w:cs="Arial"/>
          <w:noProof/>
          <w:lang w:eastAsia="es-ES"/>
        </w:rPr>
        <w:drawing>
          <wp:anchor distT="0" distB="0" distL="114300" distR="114300" simplePos="0" relativeHeight="251658240" behindDoc="1" locked="0" layoutInCell="1" allowOverlap="1" wp14:anchorId="4DE02A82" wp14:editId="0184435A">
            <wp:simplePos x="0" y="0"/>
            <wp:positionH relativeFrom="column">
              <wp:posOffset>3395101</wp:posOffset>
            </wp:positionH>
            <wp:positionV relativeFrom="paragraph">
              <wp:posOffset>165735</wp:posOffset>
            </wp:positionV>
            <wp:extent cx="2581275" cy="723900"/>
            <wp:effectExtent l="0" t="0" r="9525" b="0"/>
            <wp:wrapTight wrapText="bothSides">
              <wp:wrapPolygon edited="0">
                <wp:start x="0" y="0"/>
                <wp:lineTo x="0" y="21032"/>
                <wp:lineTo x="21520" y="21032"/>
                <wp:lineTo x="21520" y="0"/>
                <wp:lineTo x="0" y="0"/>
              </wp:wrapPolygon>
            </wp:wrapTight>
            <wp:docPr id="7786602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660299" name=""/>
                    <pic:cNvPicPr/>
                  </pic:nvPicPr>
                  <pic:blipFill>
                    <a:blip r:embed="rId10">
                      <a:extLst>
                        <a:ext uri="{28A0092B-C50C-407E-A947-70E740481C1C}">
                          <a14:useLocalDpi xmlns:a14="http://schemas.microsoft.com/office/drawing/2010/main" val="0"/>
                        </a:ext>
                      </a:extLst>
                    </a:blip>
                    <a:stretch>
                      <a:fillRect/>
                    </a:stretch>
                  </pic:blipFill>
                  <pic:spPr>
                    <a:xfrm>
                      <a:off x="0" y="0"/>
                      <a:ext cx="2581275" cy="723900"/>
                    </a:xfrm>
                    <a:prstGeom prst="rect">
                      <a:avLst/>
                    </a:prstGeom>
                  </pic:spPr>
                </pic:pic>
              </a:graphicData>
            </a:graphic>
          </wp:anchor>
        </w:drawing>
      </w:r>
    </w:p>
    <w:p w14:paraId="67832441" w14:textId="479C894E" w:rsidR="00540F11" w:rsidRDefault="00540F11" w:rsidP="00601CFC">
      <w:pPr>
        <w:spacing w:after="0" w:line="240" w:lineRule="auto"/>
        <w:jc w:val="both"/>
        <w:rPr>
          <w:rFonts w:ascii="Verdana" w:eastAsia="Calibri" w:hAnsi="Verdana" w:cs="Arial"/>
          <w:lang w:eastAsia="es-ES"/>
        </w:rPr>
      </w:pPr>
    </w:p>
    <w:p w14:paraId="42399C70" w14:textId="77777777" w:rsidR="00540F11" w:rsidRDefault="00540F11" w:rsidP="00601CFC">
      <w:pPr>
        <w:spacing w:after="0" w:line="240" w:lineRule="auto"/>
        <w:jc w:val="both"/>
        <w:rPr>
          <w:rFonts w:ascii="Verdana" w:eastAsia="Calibri" w:hAnsi="Verdana" w:cs="Arial"/>
          <w:lang w:eastAsia="es-ES"/>
        </w:rPr>
      </w:pPr>
    </w:p>
    <w:p w14:paraId="17289079" w14:textId="77777777" w:rsidR="00601CFC" w:rsidRPr="00F829E8" w:rsidRDefault="00601CFC" w:rsidP="00601CFC">
      <w:pPr>
        <w:spacing w:after="0" w:line="240" w:lineRule="auto"/>
        <w:jc w:val="both"/>
        <w:rPr>
          <w:rFonts w:ascii="Verdana" w:eastAsia="Calibri" w:hAnsi="Verdana" w:cs="Arial"/>
          <w:lang w:eastAsia="es-ES"/>
        </w:rPr>
      </w:pPr>
      <w:r w:rsidRPr="00F829E8">
        <w:rPr>
          <w:rFonts w:ascii="Verdana" w:eastAsia="Calibri" w:hAnsi="Verdana" w:cs="Arial"/>
          <w:lang w:eastAsia="es-ES"/>
        </w:rPr>
        <w:t>Señor</w:t>
      </w:r>
    </w:p>
    <w:p w14:paraId="0A3B414F" w14:textId="77777777" w:rsidR="00601CFC" w:rsidRPr="007506B1" w:rsidRDefault="00601CFC" w:rsidP="00601CFC">
      <w:pPr>
        <w:spacing w:after="0" w:line="240" w:lineRule="auto"/>
        <w:jc w:val="both"/>
        <w:rPr>
          <w:rFonts w:ascii="Verdana" w:eastAsia="Calibri" w:hAnsi="Verdana" w:cs="Arial"/>
          <w:b/>
          <w:bCs/>
          <w:lang w:val="en-US" w:eastAsia="es-ES"/>
        </w:rPr>
      </w:pPr>
      <w:r w:rsidRPr="007506B1">
        <w:rPr>
          <w:rFonts w:ascii="Verdana" w:eastAsia="Calibri" w:hAnsi="Verdana" w:cs="Arial"/>
          <w:b/>
          <w:bCs/>
          <w:lang w:val="en-US" w:eastAsia="es-ES"/>
        </w:rPr>
        <w:t>Victor Edwart Cubillos</w:t>
      </w:r>
    </w:p>
    <w:p w14:paraId="1E4534E4" w14:textId="77777777" w:rsidR="00601CFC" w:rsidRPr="007506B1" w:rsidRDefault="00601CFC" w:rsidP="00601CFC">
      <w:pPr>
        <w:spacing w:after="0" w:line="240" w:lineRule="auto"/>
        <w:jc w:val="both"/>
        <w:rPr>
          <w:rFonts w:ascii="Verdana" w:eastAsia="Calibri" w:hAnsi="Verdana" w:cs="Arial"/>
          <w:b/>
          <w:bCs/>
          <w:lang w:val="en-US" w:eastAsia="es-ES"/>
        </w:rPr>
      </w:pPr>
      <w:hyperlink r:id="rId11" w:history="1">
        <w:r w:rsidRPr="007506B1">
          <w:rPr>
            <w:rStyle w:val="Hyperlink"/>
            <w:rFonts w:ascii="Verdana" w:eastAsia="Calibri" w:hAnsi="Verdana" w:cs="Arial"/>
            <w:b/>
            <w:bCs/>
            <w:lang w:val="en-US" w:eastAsia="es-ES"/>
          </w:rPr>
          <w:t>victoredwart@gmail.com</w:t>
        </w:r>
      </w:hyperlink>
    </w:p>
    <w:p w14:paraId="600AC35A" w14:textId="77777777" w:rsidR="00601CFC" w:rsidRPr="007506B1" w:rsidRDefault="00601CFC" w:rsidP="00601CFC">
      <w:pPr>
        <w:spacing w:after="0" w:line="240" w:lineRule="auto"/>
        <w:jc w:val="both"/>
        <w:rPr>
          <w:rFonts w:ascii="Verdana" w:eastAsia="Calibri" w:hAnsi="Verdana" w:cs="Arial"/>
          <w:lang w:val="en-US" w:eastAsia="es-ES"/>
        </w:rPr>
      </w:pPr>
      <w:r w:rsidRPr="007506B1">
        <w:rPr>
          <w:rFonts w:ascii="Verdana" w:eastAsia="Calibri" w:hAnsi="Verdana" w:cs="Arial"/>
          <w:lang w:val="en-US" w:eastAsia="es-ES"/>
        </w:rPr>
        <w:t xml:space="preserve">Ciudad </w:t>
      </w:r>
    </w:p>
    <w:p w14:paraId="17F53A33" w14:textId="77777777" w:rsidR="00601CFC" w:rsidRDefault="00601CFC" w:rsidP="00601CFC">
      <w:pPr>
        <w:spacing w:after="0" w:line="240" w:lineRule="auto"/>
        <w:jc w:val="both"/>
        <w:rPr>
          <w:rFonts w:ascii="Verdana" w:eastAsia="Calibri" w:hAnsi="Verdana" w:cs="Arial"/>
          <w:b/>
          <w:bCs/>
          <w:lang w:val="en-US" w:eastAsia="es-ES"/>
        </w:rPr>
      </w:pPr>
    </w:p>
    <w:p w14:paraId="35C67C96" w14:textId="77777777" w:rsidR="00601CFC" w:rsidRPr="007506B1" w:rsidRDefault="00601CFC" w:rsidP="00601CFC">
      <w:pPr>
        <w:spacing w:after="0" w:line="240" w:lineRule="auto"/>
        <w:jc w:val="both"/>
        <w:rPr>
          <w:rFonts w:ascii="Verdana" w:eastAsia="Calibri" w:hAnsi="Verdana" w:cs="Arial"/>
          <w:b/>
          <w:bCs/>
          <w:lang w:val="en-US" w:eastAsia="es-ES"/>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01CFC" w:rsidRPr="00807AF1" w14:paraId="2067E407" w14:textId="77777777" w:rsidTr="00436F07">
        <w:trPr>
          <w:trHeight w:val="151"/>
        </w:trPr>
        <w:tc>
          <w:tcPr>
            <w:tcW w:w="2689" w:type="dxa"/>
          </w:tcPr>
          <w:p w14:paraId="1AA659F7" w14:textId="77777777" w:rsidR="00601CFC" w:rsidRPr="007506B1" w:rsidRDefault="00601CFC" w:rsidP="00436F07">
            <w:pPr>
              <w:jc w:val="both"/>
              <w:rPr>
                <w:rFonts w:ascii="Verdana" w:eastAsia="Calibri" w:hAnsi="Verdana" w:cs="Arial"/>
                <w:b/>
                <w:bCs/>
                <w:lang w:val="en-US"/>
              </w:rPr>
            </w:pPr>
          </w:p>
        </w:tc>
        <w:tc>
          <w:tcPr>
            <w:tcW w:w="6100" w:type="dxa"/>
          </w:tcPr>
          <w:p w14:paraId="7AD6198A" w14:textId="77777777" w:rsidR="00601CFC" w:rsidRPr="00ED6465" w:rsidRDefault="00601CFC" w:rsidP="00436F07">
            <w:pPr>
              <w:jc w:val="both"/>
              <w:rPr>
                <w:rFonts w:ascii="Verdana" w:eastAsia="Calibri" w:hAnsi="Verdana" w:cs="Arial"/>
                <w:b/>
                <w:lang w:val="es-ES" w:eastAsia="es-ES"/>
              </w:rPr>
            </w:pPr>
            <w:r w:rsidRPr="00ED6465">
              <w:rPr>
                <w:rFonts w:ascii="Verdana" w:eastAsia="Calibri" w:hAnsi="Verdana" w:cs="Arial"/>
                <w:b/>
                <w:lang w:val="es-ES" w:eastAsia="es-ES"/>
              </w:rPr>
              <w:t>Concepto C-</w:t>
            </w:r>
            <w:r>
              <w:rPr>
                <w:rFonts w:ascii="Verdana" w:eastAsia="Calibri" w:hAnsi="Verdana" w:cs="Arial"/>
                <w:b/>
                <w:lang w:val="es-ES" w:eastAsia="es-ES"/>
              </w:rPr>
              <w:t>494</w:t>
            </w:r>
            <w:r w:rsidRPr="00ED6465">
              <w:rPr>
                <w:rFonts w:ascii="Verdana" w:eastAsia="Calibri" w:hAnsi="Verdana" w:cs="Arial"/>
                <w:b/>
                <w:lang w:val="es-ES" w:eastAsia="es-ES"/>
              </w:rPr>
              <w:t xml:space="preserve"> de 2026</w:t>
            </w:r>
          </w:p>
          <w:p w14:paraId="029EC7E9" w14:textId="77777777" w:rsidR="00601CFC" w:rsidRPr="00ED6465" w:rsidRDefault="00601CFC" w:rsidP="00436F07">
            <w:pPr>
              <w:jc w:val="both"/>
              <w:rPr>
                <w:rFonts w:ascii="Verdana" w:eastAsia="Calibri" w:hAnsi="Verdana" w:cs="Arial"/>
                <w:b/>
                <w:lang w:val="es-ES" w:eastAsia="es-ES"/>
              </w:rPr>
            </w:pPr>
          </w:p>
        </w:tc>
      </w:tr>
      <w:tr w:rsidR="00601CFC" w:rsidRPr="00807AF1" w14:paraId="620F2BB6" w14:textId="77777777" w:rsidTr="00436F07">
        <w:trPr>
          <w:trHeight w:val="884"/>
        </w:trPr>
        <w:tc>
          <w:tcPr>
            <w:tcW w:w="2689" w:type="dxa"/>
          </w:tcPr>
          <w:p w14:paraId="4CA3A4BB" w14:textId="77777777" w:rsidR="00601CFC" w:rsidRPr="00ED6465" w:rsidRDefault="00601CFC" w:rsidP="00436F07">
            <w:pPr>
              <w:jc w:val="both"/>
              <w:rPr>
                <w:rFonts w:ascii="Verdana" w:eastAsia="Calibri" w:hAnsi="Verdana" w:cs="Arial"/>
                <w:lang w:val="es-ES_tradnl"/>
              </w:rPr>
            </w:pPr>
            <w:r w:rsidRPr="00ED6465">
              <w:rPr>
                <w:rFonts w:ascii="Verdana" w:eastAsia="Calibri" w:hAnsi="Verdana" w:cs="Arial"/>
                <w:b/>
                <w:lang w:val="es-ES_tradnl"/>
              </w:rPr>
              <w:t>Temas:</w:t>
            </w:r>
            <w:r w:rsidRPr="00ED6465">
              <w:rPr>
                <w:rFonts w:ascii="Verdana" w:eastAsia="Calibri" w:hAnsi="Verdana" w:cs="Arial"/>
                <w:lang w:val="es-ES_tradnl"/>
              </w:rPr>
              <w:t xml:space="preserve">                   </w:t>
            </w:r>
          </w:p>
        </w:tc>
        <w:tc>
          <w:tcPr>
            <w:tcW w:w="6100" w:type="dxa"/>
          </w:tcPr>
          <w:p w14:paraId="3CF36FA7" w14:textId="77777777" w:rsidR="00601CFC" w:rsidRPr="00ED6465" w:rsidRDefault="00601CFC" w:rsidP="00436F07">
            <w:pPr>
              <w:jc w:val="both"/>
              <w:rPr>
                <w:rFonts w:ascii="Verdana" w:eastAsia="Calibri" w:hAnsi="Verdana" w:cs="Arial"/>
                <w:lang w:val="es-ES" w:eastAsia="es-ES"/>
              </w:rPr>
            </w:pPr>
            <w:r w:rsidRPr="00ED6465">
              <w:rPr>
                <w:rFonts w:ascii="Verdana" w:hAnsi="Verdana" w:cs="Arial"/>
                <w:lang w:val="es-ES" w:eastAsia="es-ES"/>
              </w:rPr>
              <w:t>LEY DE GARANTÍAS ELECTORALES – Finalidad / LEY DE GARANTÍAS ELECTORALES ‒ Tipos de elección - Restricciones ‒ Contratación /</w:t>
            </w:r>
            <w:r w:rsidRPr="00ED6465">
              <w:rPr>
                <w:rFonts w:ascii="Verdana" w:eastAsia="Aptos" w:hAnsi="Verdana" w:cs="Arial"/>
                <w:color w:val="000000" w:themeColor="text1"/>
                <w:lang w:val="es-MX" w:eastAsia="es-ES"/>
              </w:rPr>
              <w:t xml:space="preserve"> </w:t>
            </w:r>
            <w:r w:rsidRPr="00ED6465">
              <w:rPr>
                <w:rFonts w:ascii="Verdana" w:hAnsi="Verdana" w:cs="Arial"/>
                <w:lang w:val="es-ES" w:eastAsia="es-ES"/>
              </w:rPr>
              <w:t>LEY DE GARANTÍAS ELECTORALES</w:t>
            </w:r>
            <w:r w:rsidRPr="00ED6465">
              <w:rPr>
                <w:rFonts w:ascii="Verdana" w:eastAsia="Aptos" w:hAnsi="Verdana" w:cs="Arial"/>
                <w:color w:val="000000" w:themeColor="text1"/>
                <w:lang w:val="es-MX" w:eastAsia="es-ES"/>
              </w:rPr>
              <w:t xml:space="preserve"> </w:t>
            </w:r>
            <w:r w:rsidRPr="00ED6465">
              <w:rPr>
                <w:rFonts w:ascii="Verdana" w:hAnsi="Verdana" w:cs="Arial"/>
                <w:lang w:val="es-ES" w:eastAsia="es-ES"/>
              </w:rPr>
              <w:t xml:space="preserve">‒ </w:t>
            </w:r>
            <w:r w:rsidRPr="00ED6465">
              <w:rPr>
                <w:rFonts w:ascii="Verdana" w:eastAsia="Aptos" w:hAnsi="Verdana" w:cs="Arial"/>
                <w:color w:val="000000" w:themeColor="text1"/>
                <w:lang w:val="es-MX" w:eastAsia="es-ES"/>
              </w:rPr>
              <w:t xml:space="preserve">Artículo 33 – Contratación directa – Alcance / </w:t>
            </w:r>
            <w:r w:rsidRPr="00ED6465">
              <w:rPr>
                <w:rFonts w:ascii="Verdana" w:hAnsi="Verdana" w:cs="Arial"/>
                <w:lang w:val="es-ES" w:eastAsia="es-ES"/>
              </w:rPr>
              <w:t>LEY DE GARANTÍAS ELECTORALES</w:t>
            </w:r>
            <w:r w:rsidRPr="00ED6465">
              <w:rPr>
                <w:rFonts w:ascii="Verdana" w:eastAsia="Aptos" w:hAnsi="Verdana" w:cs="Arial"/>
                <w:color w:val="000000" w:themeColor="text1"/>
                <w:lang w:val="es-MX" w:eastAsia="es-ES"/>
              </w:rPr>
              <w:t xml:space="preserve"> </w:t>
            </w:r>
            <w:r w:rsidRPr="00ED6465">
              <w:rPr>
                <w:rFonts w:ascii="Verdana" w:hAnsi="Verdana" w:cs="Arial"/>
                <w:lang w:val="es-ES" w:eastAsia="es-ES"/>
              </w:rPr>
              <w:t xml:space="preserve">‒ </w:t>
            </w:r>
            <w:r w:rsidRPr="00ED6465">
              <w:rPr>
                <w:rFonts w:ascii="Verdana" w:eastAsia="Aptos" w:hAnsi="Verdana" w:cs="Arial"/>
                <w:color w:val="000000" w:themeColor="text1"/>
                <w:lang w:val="es-MX" w:eastAsia="es-ES"/>
              </w:rPr>
              <w:t xml:space="preserve">Artículo 38 – Parágrafo - Convenios Interadministrativos </w:t>
            </w:r>
            <w:r w:rsidRPr="00ED6465">
              <w:rPr>
                <w:rFonts w:ascii="Verdana" w:hAnsi="Verdana" w:cs="Arial"/>
                <w:lang w:val="es-MX"/>
              </w:rPr>
              <w:t xml:space="preserve">– Ejecución de recursos públicos  </w:t>
            </w:r>
          </w:p>
        </w:tc>
      </w:tr>
    </w:tbl>
    <w:p w14:paraId="7B0CE158" w14:textId="77777777" w:rsidR="00601CFC" w:rsidRPr="00ED6465" w:rsidRDefault="00601CFC" w:rsidP="00601CFC">
      <w:pPr>
        <w:rPr>
          <w:rFonts w:ascii="Verdana" w:eastAsia="Calibri" w:hAnsi="Verdana" w:cs="Arial"/>
          <w:b/>
          <w:bCs/>
          <w:lang w:val="es-ES_tradnl"/>
        </w:rPr>
      </w:pPr>
    </w:p>
    <w:tbl>
      <w:tblPr>
        <w:tblStyle w:val="TableGrid"/>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01CFC" w:rsidRPr="00807AF1" w14:paraId="7C620B53" w14:textId="77777777" w:rsidTr="00436F07">
        <w:tc>
          <w:tcPr>
            <w:tcW w:w="2689" w:type="dxa"/>
          </w:tcPr>
          <w:p w14:paraId="382DF351" w14:textId="77777777" w:rsidR="00601CFC" w:rsidRPr="00ED6465" w:rsidRDefault="00601CFC" w:rsidP="00436F07">
            <w:pPr>
              <w:jc w:val="both"/>
              <w:rPr>
                <w:rFonts w:ascii="Verdana" w:eastAsia="Calibri" w:hAnsi="Verdana" w:cs="Arial"/>
                <w:b/>
                <w:lang w:val="es-ES_tradnl"/>
              </w:rPr>
            </w:pPr>
            <w:r w:rsidRPr="00ED6465">
              <w:rPr>
                <w:rFonts w:ascii="Verdana" w:eastAsia="Calibri" w:hAnsi="Verdana" w:cs="Arial"/>
                <w:b/>
                <w:lang w:val="es-ES_tradnl"/>
              </w:rPr>
              <w:t>Radicación:</w:t>
            </w:r>
            <w:r w:rsidRPr="00ED6465">
              <w:rPr>
                <w:rFonts w:ascii="Verdana" w:eastAsia="Calibri" w:hAnsi="Verdana" w:cs="Arial"/>
                <w:lang w:val="es-ES_tradnl"/>
              </w:rPr>
              <w:t xml:space="preserve">               </w:t>
            </w:r>
          </w:p>
        </w:tc>
        <w:tc>
          <w:tcPr>
            <w:tcW w:w="6100" w:type="dxa"/>
          </w:tcPr>
          <w:p w14:paraId="55DC3820" w14:textId="77777777" w:rsidR="00601CFC" w:rsidRPr="00ED6465" w:rsidRDefault="00601CFC" w:rsidP="00436F07">
            <w:pPr>
              <w:jc w:val="both"/>
              <w:rPr>
                <w:rFonts w:ascii="Verdana" w:eastAsia="Calibri" w:hAnsi="Verdana" w:cs="Arial"/>
                <w:lang w:val="es-ES_tradnl"/>
              </w:rPr>
            </w:pPr>
            <w:r w:rsidRPr="00ED6465">
              <w:rPr>
                <w:rFonts w:ascii="Verdana" w:eastAsia="Calibri" w:hAnsi="Verdana" w:cs="Arial"/>
                <w:lang w:val="es-ES_tradnl"/>
              </w:rPr>
              <w:t xml:space="preserve">Respuesta a consulta con radicado No. </w:t>
            </w:r>
            <w:r w:rsidRPr="007C01AF">
              <w:rPr>
                <w:rFonts w:ascii="Verdana" w:eastAsia="Calibri" w:hAnsi="Verdana" w:cs="Arial"/>
              </w:rPr>
              <w:t>1_2026_03_25_004151</w:t>
            </w:r>
            <w:r>
              <w:rPr>
                <w:rFonts w:ascii="Verdana" w:eastAsia="Calibri" w:hAnsi="Verdana" w:cs="Arial"/>
              </w:rPr>
              <w:t xml:space="preserve"> </w:t>
            </w:r>
          </w:p>
        </w:tc>
      </w:tr>
    </w:tbl>
    <w:p w14:paraId="585957FA" w14:textId="77777777" w:rsidR="00601CFC" w:rsidRPr="00ED6465" w:rsidRDefault="00601CFC" w:rsidP="00601CFC">
      <w:pPr>
        <w:jc w:val="both"/>
        <w:rPr>
          <w:rFonts w:ascii="Verdana" w:eastAsia="Calibri" w:hAnsi="Verdana" w:cs="Arial"/>
          <w:lang w:val="es-ES_tradnl"/>
        </w:rPr>
      </w:pPr>
    </w:p>
    <w:p w14:paraId="7690F027" w14:textId="77777777" w:rsidR="00601CFC" w:rsidRPr="00ED6465" w:rsidRDefault="00601CFC" w:rsidP="00601CFC">
      <w:pPr>
        <w:spacing w:line="276" w:lineRule="auto"/>
        <w:jc w:val="both"/>
        <w:rPr>
          <w:rFonts w:ascii="Verdana" w:eastAsia="Calibri" w:hAnsi="Verdana" w:cs="Arial"/>
          <w:lang w:val="es-ES" w:eastAsia="es-ES"/>
        </w:rPr>
      </w:pPr>
      <w:r w:rsidRPr="00ED6465">
        <w:rPr>
          <w:rFonts w:ascii="Verdana" w:eastAsia="Calibri" w:hAnsi="Verdana" w:cs="Arial"/>
          <w:lang w:val="es-ES" w:eastAsia="es-ES"/>
        </w:rPr>
        <w:t>Estimad</w:t>
      </w:r>
      <w:r>
        <w:rPr>
          <w:rFonts w:ascii="Verdana" w:eastAsia="Calibri" w:hAnsi="Verdana" w:cs="Arial"/>
          <w:lang w:val="es-ES" w:eastAsia="es-ES"/>
        </w:rPr>
        <w:t>o</w:t>
      </w:r>
      <w:r w:rsidRPr="00ED6465">
        <w:rPr>
          <w:rFonts w:ascii="Verdana" w:eastAsia="Calibri" w:hAnsi="Verdana" w:cs="Arial"/>
          <w:lang w:val="es-ES" w:eastAsia="es-ES"/>
        </w:rPr>
        <w:t xml:space="preserve"> Señor</w:t>
      </w:r>
      <w:r>
        <w:rPr>
          <w:rFonts w:ascii="Verdana" w:eastAsia="Calibri" w:hAnsi="Verdana" w:cs="Arial"/>
          <w:lang w:val="es-ES" w:eastAsia="es-ES"/>
        </w:rPr>
        <w:t xml:space="preserve"> Cubillos</w:t>
      </w:r>
      <w:r w:rsidRPr="00ED6465">
        <w:rPr>
          <w:rFonts w:ascii="Verdana" w:eastAsia="Calibri" w:hAnsi="Verdana" w:cs="Arial"/>
          <w:lang w:val="es-ES" w:eastAsia="es-ES"/>
        </w:rPr>
        <w:t xml:space="preserve">: </w:t>
      </w:r>
    </w:p>
    <w:p w14:paraId="3159FC4F" w14:textId="77777777" w:rsidR="00601CFC" w:rsidRPr="00ED6465" w:rsidRDefault="00601CFC" w:rsidP="00601CFC">
      <w:pPr>
        <w:spacing w:line="276" w:lineRule="auto"/>
        <w:jc w:val="both"/>
        <w:rPr>
          <w:rFonts w:ascii="Verdana" w:eastAsia="Calibri" w:hAnsi="Verdana" w:cs="Arial"/>
          <w:lang w:val="es-ES" w:eastAsia="es-ES"/>
        </w:rPr>
      </w:pPr>
      <w:r w:rsidRPr="00ED6465">
        <w:rPr>
          <w:rFonts w:ascii="Verdana" w:eastAsia="Calibri" w:hAnsi="Verdana" w:cs="Arial"/>
          <w:lang w:val="es-ES" w:eastAsia="es-ES"/>
        </w:rPr>
        <w:t>En ejercicio de la competencia otorgada por los artículos 3, numeral 5º, y 11, numeral 8º, del Decreto Ley 4170 de 2011,</w:t>
      </w:r>
      <w:r w:rsidRPr="00ED6465">
        <w:rPr>
          <w:rFonts w:ascii="Verdana" w:eastAsia="Arial MT" w:hAnsi="Verdana" w:cs="Arial MT"/>
          <w:lang w:val="es-ES" w:eastAsia="es-ES"/>
        </w:rPr>
        <w:t xml:space="preserve"> </w:t>
      </w:r>
      <w:r w:rsidRPr="00ED6465">
        <w:rPr>
          <w:rFonts w:ascii="Verdana" w:eastAsia="Aptos" w:hAnsi="Verdana" w:cs="Arial"/>
        </w:rPr>
        <w:t xml:space="preserve">así como lo establecido en el artículo 4 de la Resolución 1707 de 2018 expedida por esta Entidad, </w:t>
      </w:r>
      <w:r w:rsidRPr="00ED6465">
        <w:rPr>
          <w:rFonts w:ascii="Verdana" w:eastAsia="Calibri" w:hAnsi="Verdana" w:cs="Arial"/>
          <w:lang w:val="es-ES" w:eastAsia="es-ES"/>
        </w:rPr>
        <w:t xml:space="preserve">la Agencia Nacional de Contratación Pública – Colombia Compra Eficiente– responde su petición del </w:t>
      </w:r>
      <w:r>
        <w:rPr>
          <w:rFonts w:ascii="Verdana" w:eastAsia="Calibri" w:hAnsi="Verdana" w:cs="Arial"/>
          <w:lang w:val="es-ES" w:eastAsia="es-ES"/>
        </w:rPr>
        <w:t>25</w:t>
      </w:r>
      <w:r w:rsidRPr="00ED6465">
        <w:rPr>
          <w:rFonts w:ascii="Verdana" w:eastAsia="Calibri" w:hAnsi="Verdana" w:cs="Arial"/>
          <w:lang w:val="es-ES" w:eastAsia="es-ES"/>
        </w:rPr>
        <w:t xml:space="preserve"> de marzo de 2026, en la que realiza la siguiente consulta: </w:t>
      </w:r>
    </w:p>
    <w:p w14:paraId="64312B27" w14:textId="77777777" w:rsidR="00601CFC" w:rsidRPr="00480DE0" w:rsidRDefault="00601CFC" w:rsidP="00601CFC">
      <w:pPr>
        <w:ind w:left="709" w:right="709"/>
        <w:jc w:val="both"/>
        <w:rPr>
          <w:rFonts w:ascii="Verdana" w:eastAsia="Calibri" w:hAnsi="Verdana" w:cs="Arial"/>
          <w:sz w:val="20"/>
          <w:szCs w:val="20"/>
          <w:lang w:val="es-MX"/>
        </w:rPr>
      </w:pPr>
      <w:r w:rsidRPr="00480DE0">
        <w:rPr>
          <w:rFonts w:ascii="Verdana" w:eastAsia="Calibri" w:hAnsi="Verdana" w:cs="Arial"/>
          <w:sz w:val="20"/>
          <w:szCs w:val="20"/>
          <w:lang w:val="es-MX"/>
        </w:rPr>
        <w:t>“</w:t>
      </w:r>
      <w:r w:rsidRPr="002F3946">
        <w:rPr>
          <w:rFonts w:ascii="Verdana" w:eastAsia="Calibri" w:hAnsi="Verdana" w:cs="Arial"/>
          <w:sz w:val="20"/>
          <w:szCs w:val="20"/>
          <w:lang w:val="es-MX"/>
        </w:rPr>
        <w:t>Una entidad publica del orden nacional puede celebrar un convenio con una instuittucion de educacion superior para la vinculacion de practicantes laborales en vigerncia de la ley de garantias. Es de aclarar, que la celebracion del convenio es a costo cero y la vinculación de los practicantes no genera remuneración alguna por parte de la entidad pública.</w:t>
      </w:r>
      <w:r>
        <w:rPr>
          <w:rFonts w:ascii="Verdana" w:eastAsia="Calibri" w:hAnsi="Verdana" w:cs="Arial"/>
          <w:sz w:val="20"/>
          <w:szCs w:val="20"/>
          <w:lang w:val="es-MX"/>
        </w:rPr>
        <w:t>”</w:t>
      </w:r>
      <w:r w:rsidRPr="00480DE0">
        <w:rPr>
          <w:rFonts w:ascii="Verdana" w:eastAsia="Calibri" w:hAnsi="Verdana" w:cs="Arial"/>
          <w:sz w:val="20"/>
          <w:szCs w:val="20"/>
          <w:lang w:val="es-MX"/>
        </w:rPr>
        <w:t xml:space="preserve">[sic] </w:t>
      </w:r>
    </w:p>
    <w:p w14:paraId="4D5169CF" w14:textId="77777777" w:rsidR="00601CFC" w:rsidRPr="00ED6465" w:rsidRDefault="00601CFC" w:rsidP="00601CFC">
      <w:pPr>
        <w:spacing w:line="276" w:lineRule="auto"/>
        <w:jc w:val="both"/>
        <w:rPr>
          <w:rFonts w:ascii="Verdana" w:eastAsia="Calibri" w:hAnsi="Verdana" w:cs="Arial"/>
          <w:lang w:val="es-ES" w:eastAsia="es-ES"/>
        </w:rPr>
      </w:pPr>
    </w:p>
    <w:p w14:paraId="47550097" w14:textId="77777777" w:rsidR="00601CFC" w:rsidRPr="00ED6465" w:rsidRDefault="00601CFC" w:rsidP="00601CFC">
      <w:pPr>
        <w:spacing w:after="120" w:line="276" w:lineRule="auto"/>
        <w:jc w:val="both"/>
        <w:rPr>
          <w:rFonts w:ascii="Verdana" w:eastAsia="Calibri" w:hAnsi="Verdana" w:cs="Arial"/>
          <w:lang w:val="es-ES_tradnl"/>
        </w:rPr>
      </w:pPr>
      <w:r w:rsidRPr="00ED6465">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3048B41" w14:textId="77777777" w:rsidR="00601CFC" w:rsidRPr="00ED6465" w:rsidRDefault="00601CFC" w:rsidP="00601CFC">
      <w:pPr>
        <w:spacing w:line="276" w:lineRule="auto"/>
        <w:ind w:firstLine="709"/>
        <w:jc w:val="both"/>
        <w:rPr>
          <w:rFonts w:ascii="Verdana" w:eastAsia="Calibri" w:hAnsi="Verdana" w:cs="Arial"/>
          <w:lang w:val="es-ES" w:eastAsia="es-ES"/>
        </w:rPr>
      </w:pPr>
      <w:r w:rsidRPr="00ED6465">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005F13C2" w14:textId="77777777" w:rsidR="00601CFC" w:rsidRPr="00E2395A" w:rsidRDefault="00601CFC" w:rsidP="00601CFC">
      <w:pPr>
        <w:widowControl w:val="0"/>
        <w:autoSpaceDE w:val="0"/>
        <w:autoSpaceDN w:val="0"/>
        <w:spacing w:before="1" w:line="276" w:lineRule="auto"/>
        <w:ind w:left="360" w:hanging="360"/>
        <w:jc w:val="both"/>
        <w:outlineLvl w:val="0"/>
        <w:rPr>
          <w:rFonts w:ascii="Verdana" w:eastAsia="Arial" w:hAnsi="Verdana" w:cs="Arial"/>
          <w:b/>
          <w:bCs/>
          <w:lang w:val="es-ES"/>
        </w:rPr>
      </w:pPr>
      <w:r w:rsidRPr="00ED6465">
        <w:rPr>
          <w:rFonts w:ascii="Verdana" w:eastAsia="Arial" w:hAnsi="Verdana" w:cs="Arial"/>
          <w:b/>
          <w:bCs/>
          <w:lang w:val="es-ES"/>
        </w:rPr>
        <w:t>1. Problema planteado:</w:t>
      </w:r>
    </w:p>
    <w:p w14:paraId="5A85B678" w14:textId="77777777" w:rsidR="00601CFC" w:rsidRPr="002F3946" w:rsidRDefault="00601CFC" w:rsidP="00601CFC">
      <w:pPr>
        <w:spacing w:line="276" w:lineRule="auto"/>
        <w:jc w:val="both"/>
        <w:rPr>
          <w:rFonts w:ascii="Verdana" w:eastAsia="Century Gothic" w:hAnsi="Verdana" w:cs="Century Gothic"/>
        </w:rPr>
      </w:pPr>
      <w:r w:rsidRPr="00ED6465">
        <w:rPr>
          <w:rFonts w:ascii="Verdana" w:eastAsia="Century Gothic" w:hAnsi="Verdana" w:cs="Century Gothic"/>
        </w:rPr>
        <w:t xml:space="preserve">De acuerdo con el contenido de su solicitud, le informamos que la misma se resolverá desde el siguiente </w:t>
      </w:r>
      <w:bookmarkStart w:id="1" w:name="_Hlk171070029"/>
      <w:r w:rsidRPr="00ED6465">
        <w:rPr>
          <w:rFonts w:ascii="Verdana" w:eastAsia="Century Gothic" w:hAnsi="Verdana" w:cs="Century Gothic"/>
        </w:rPr>
        <w:t xml:space="preserve">interrogante: </w:t>
      </w:r>
      <w:r>
        <w:rPr>
          <w:rFonts w:ascii="Verdana" w:eastAsia="Century Gothic" w:hAnsi="Verdana" w:cs="Century Gothic"/>
        </w:rPr>
        <w:t>i)</w:t>
      </w:r>
      <w:r w:rsidRPr="00396E72">
        <w:rPr>
          <w:rFonts w:ascii="Verdana" w:eastAsia="Century Gothic" w:hAnsi="Verdana" w:cs="Century Gothic"/>
        </w:rPr>
        <w:t>¿Puede una entidad pública celebrar, en vigencia de la Ley de Garantías, un convenio a costo cero con una institución de educación superior para vincular practicantes, o dicha actuación está prohibida por las restricciones a la contratación estatal?</w:t>
      </w:r>
      <w:r>
        <w:rPr>
          <w:rFonts w:ascii="Verdana" w:eastAsia="Century Gothic" w:hAnsi="Verdana" w:cs="Century Gothic"/>
        </w:rPr>
        <w:t xml:space="preserve"> </w:t>
      </w:r>
    </w:p>
    <w:bookmarkEnd w:id="1"/>
    <w:p w14:paraId="56B5EDE3" w14:textId="77777777" w:rsidR="00601CFC" w:rsidRPr="002F3946" w:rsidRDefault="00601CFC" w:rsidP="00601CFC">
      <w:pPr>
        <w:widowControl w:val="0"/>
        <w:autoSpaceDE w:val="0"/>
        <w:autoSpaceDN w:val="0"/>
        <w:spacing w:before="1" w:line="276" w:lineRule="auto"/>
        <w:jc w:val="both"/>
        <w:outlineLvl w:val="0"/>
        <w:rPr>
          <w:rFonts w:ascii="Verdana" w:eastAsia="Arial" w:hAnsi="Verdana" w:cs="Arial"/>
          <w:b/>
          <w:bCs/>
          <w:lang w:val="es-ES"/>
        </w:rPr>
      </w:pPr>
      <w:r w:rsidRPr="00ED6465">
        <w:rPr>
          <w:rFonts w:ascii="Verdana" w:eastAsia="Arial" w:hAnsi="Verdana" w:cs="Arial"/>
          <w:b/>
          <w:bCs/>
          <w:lang w:val="es-ES"/>
        </w:rPr>
        <w:t>2. Respuesta:</w:t>
      </w: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01CFC" w:rsidRPr="00696A07" w14:paraId="1C02DBD4" w14:textId="77777777" w:rsidTr="00436F07">
        <w:tc>
          <w:tcPr>
            <w:tcW w:w="8828" w:type="dxa"/>
          </w:tcPr>
          <w:p w14:paraId="1C7412F4" w14:textId="77777777" w:rsidR="00601CFC" w:rsidRPr="0004791A" w:rsidRDefault="00601CFC" w:rsidP="00436F07">
            <w:pPr>
              <w:spacing w:after="120" w:line="276" w:lineRule="auto"/>
              <w:jc w:val="both"/>
              <w:rPr>
                <w:rFonts w:ascii="Verdana" w:hAnsi="Verdana" w:cs="Arial"/>
                <w:bCs/>
                <w:lang w:eastAsia="x-none"/>
              </w:rPr>
            </w:pPr>
            <w:bookmarkStart w:id="2" w:name="_Hlk171067516"/>
            <w:r w:rsidRPr="0004791A">
              <w:rPr>
                <w:rFonts w:ascii="Verdana" w:hAnsi="Verdana" w:cs="Arial"/>
                <w:bCs/>
                <w:lang w:eastAsia="x-none"/>
              </w:rPr>
              <w:t>De manera preliminar, con el fin de dar respuesta al problema jurídico planteado, debe precisarse que las restricciones contractuales de la Ley de Garantías Electorales –Ley 996 de 2005– se estructuran en torno a dos (2) regímenes diferenciados según el tipo de contienda electoral:</w:t>
            </w:r>
          </w:p>
          <w:p w14:paraId="2C07ED4A" w14:textId="77777777" w:rsidR="00601CFC" w:rsidRPr="0004791A" w:rsidRDefault="00601CFC" w:rsidP="00436F07">
            <w:pPr>
              <w:spacing w:after="120" w:line="276" w:lineRule="auto"/>
              <w:ind w:firstLine="709"/>
              <w:jc w:val="both"/>
              <w:rPr>
                <w:rFonts w:ascii="Verdana" w:hAnsi="Verdana" w:cs="Arial"/>
                <w:bCs/>
                <w:lang w:eastAsia="x-none"/>
              </w:rPr>
            </w:pPr>
            <w:r w:rsidRPr="0004791A">
              <w:rPr>
                <w:rFonts w:ascii="Verdana" w:hAnsi="Verdana" w:cs="Arial"/>
                <w:bCs/>
                <w:lang w:eastAsia="x-none"/>
              </w:rPr>
              <w:t>i) El previsto en el artículo 33, aplicable exclusivamente a las elecciones presidenciales, en virtud del cual se prohíbe la contratación directa dentro de los cuatro (4) meses anteriores a la celebración de los comicios, salvo las excepciones legales. Esta restricción se extiende hasta la realización de la segunda vuelta, si a ello hubiere lugar, conforme al artículo 190 de la Constitución Política.</w:t>
            </w:r>
          </w:p>
          <w:p w14:paraId="4726F0C5" w14:textId="77777777" w:rsidR="00601CFC" w:rsidRPr="0004791A" w:rsidRDefault="00601CFC" w:rsidP="00436F07">
            <w:pPr>
              <w:spacing w:after="120" w:line="276" w:lineRule="auto"/>
              <w:ind w:firstLine="709"/>
              <w:jc w:val="both"/>
              <w:rPr>
                <w:rFonts w:ascii="Verdana" w:hAnsi="Verdana" w:cs="Arial"/>
                <w:bCs/>
                <w:lang w:eastAsia="x-none"/>
              </w:rPr>
            </w:pPr>
            <w:r w:rsidRPr="0004791A">
              <w:rPr>
                <w:rFonts w:ascii="Verdana" w:hAnsi="Verdana" w:cs="Arial"/>
                <w:bCs/>
                <w:lang w:eastAsia="x-none"/>
              </w:rPr>
              <w:t>ii) El contenido en el parágrafo del artículo 38, aplicable a cualquier tipo de contienda electoral, que prohíbe la celebración de convenios interadministrativos que impliquen la ejecución de recursos públicos dentro de los cuatro (4) meses anteriores a la respectiva jornada electoral.</w:t>
            </w:r>
          </w:p>
          <w:p w14:paraId="3BEF9AF2" w14:textId="77777777" w:rsidR="00601CFC" w:rsidRPr="0004791A" w:rsidRDefault="00601CFC" w:rsidP="00436F07">
            <w:pPr>
              <w:spacing w:after="120" w:line="276" w:lineRule="auto"/>
              <w:ind w:firstLine="709"/>
              <w:jc w:val="both"/>
              <w:rPr>
                <w:rFonts w:ascii="Verdana" w:hAnsi="Verdana" w:cs="Arial"/>
                <w:bCs/>
                <w:lang w:eastAsia="x-none"/>
              </w:rPr>
            </w:pPr>
            <w:r w:rsidRPr="0004791A">
              <w:rPr>
                <w:rFonts w:ascii="Verdana" w:hAnsi="Verdana" w:cs="Arial"/>
                <w:bCs/>
                <w:lang w:eastAsia="x-none"/>
              </w:rPr>
              <w:t>Ambas restricciones no son excluyentes. En consecuencia, durante el periodo preelectoral de elecciones presidenciales, resultan aplicables de manera concurrente las restricciones del artículo 33 con sus excepciones, así como las del parágrafo del artículo 38, a todos los entes del Estado. En cambio, en elecciones distintas a las presidenciales, únicamente resulta aplicable la restricción del artículo 38 en los términos allí previstos.</w:t>
            </w:r>
          </w:p>
          <w:p w14:paraId="1EBFA0B2" w14:textId="6ECA3721" w:rsidR="00601CFC" w:rsidRDefault="00601CFC" w:rsidP="00A56B79">
            <w:pPr>
              <w:spacing w:after="120" w:line="276" w:lineRule="auto"/>
              <w:ind w:firstLine="709"/>
              <w:jc w:val="both"/>
              <w:rPr>
                <w:rFonts w:ascii="Verdana" w:hAnsi="Verdana" w:cs="Arial"/>
              </w:rPr>
            </w:pPr>
            <w:r w:rsidRPr="2304157B">
              <w:rPr>
                <w:rFonts w:ascii="Verdana" w:hAnsi="Verdana" w:cs="Arial"/>
              </w:rPr>
              <w:t>De lo anterior se desprende que el artículo 33 de la Ley 996 de 2005 prohíbe la contratación directa entendida como aquella modalidad en la que no existe convocatoria pública ni pluralidad de oferentes. En este sentido, los convenios de cooperación académica para vinculación de practicantes, incluso si son a costo cero, no pueden celebrarse de forma directa durante el periodo de restricción, pues ello implicaría sujeción a la prohibición legal, salvo que se estructuren bajo procedimientos competitivos o se encuentren dentro de las excepciones previstas en la ley.</w:t>
            </w:r>
          </w:p>
          <w:p w14:paraId="388487EF" w14:textId="77777777" w:rsidR="00601CFC" w:rsidRDefault="00601CFC" w:rsidP="00436F07">
            <w:pPr>
              <w:spacing w:after="120" w:line="276" w:lineRule="auto"/>
              <w:ind w:firstLine="709"/>
              <w:jc w:val="both"/>
              <w:rPr>
                <w:rFonts w:ascii="Verdana" w:hAnsi="Verdana" w:cs="Arial"/>
              </w:rPr>
            </w:pPr>
            <w:r w:rsidRPr="2304157B">
              <w:rPr>
                <w:rFonts w:ascii="Verdana" w:hAnsi="Verdana" w:cs="Arial"/>
              </w:rPr>
              <w:t xml:space="preserve">El ámbito de aplicación de la restricción prevista en el parágrafo del artículo 38 de la Ley 996 de 2005 comprende a los convenios interadministrativos en los que exista ejecución de recursos públicos, sin importar de que estos sean en dinero o en especie, ya que la norma no distingue. 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 Por ello, en el Concepto 2201913000006634 del 6 de septiembre de 2019, la Agencia sostuvo que la ejecución de recursos no se agota en el “[…] el dinero que integra el ciclo presupuestal de la entidad […]”, pues “[…] también los bienes muebles, inmuebles y personal hacen parte del concepto de ‘recursos públicos’”. </w:t>
            </w:r>
          </w:p>
          <w:p w14:paraId="4F5FA94D" w14:textId="77777777" w:rsidR="00601CFC" w:rsidRDefault="00601CFC" w:rsidP="00436F07">
            <w:pPr>
              <w:spacing w:after="120" w:line="276" w:lineRule="auto"/>
              <w:ind w:firstLine="709"/>
              <w:jc w:val="both"/>
            </w:pPr>
            <w:r w:rsidRPr="2304157B">
              <w:rPr>
                <w:rFonts w:ascii="Verdana" w:hAnsi="Verdana" w:cs="Arial"/>
              </w:rPr>
              <w:t>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w:t>
            </w:r>
          </w:p>
          <w:p w14:paraId="23EEC1C5" w14:textId="77777777" w:rsidR="00601CFC" w:rsidRPr="0004791A" w:rsidRDefault="00601CFC" w:rsidP="00436F07">
            <w:pPr>
              <w:spacing w:after="120" w:line="276" w:lineRule="auto"/>
              <w:ind w:firstLine="709"/>
              <w:jc w:val="both"/>
              <w:rPr>
                <w:rFonts w:ascii="Verdana" w:hAnsi="Verdana" w:cs="Arial"/>
                <w:bCs/>
                <w:lang w:eastAsia="x-none"/>
              </w:rPr>
            </w:pPr>
            <w:r w:rsidRPr="0004791A">
              <w:rPr>
                <w:rFonts w:ascii="Verdana" w:hAnsi="Verdana" w:cs="Arial"/>
                <w:bCs/>
                <w:lang w:eastAsia="x-none"/>
              </w:rPr>
              <w:t>Ahora bien, frente a los convenios entre entidades públicas o con instituciones de educación superior, debe precisarse que, aunque el artículo 38 se refiere específicamente a convenios interadministrativos con ejecución de recursos públicos, la interpretación sistemática del artículo 33 ha sido consistente en señalar que durante el periodo preelectoral presidencial se encuentran restringidos todos los convenios celebrados bajo modalidad de contratación directa, independientemente de su carácter gratuito o de la ausencia de erogación presupuestal.</w:t>
            </w:r>
          </w:p>
          <w:p w14:paraId="198C7165" w14:textId="77777777" w:rsidR="00601CFC" w:rsidRPr="0004791A" w:rsidRDefault="00601CFC" w:rsidP="00436F07">
            <w:pPr>
              <w:spacing w:after="120" w:line="276" w:lineRule="auto"/>
              <w:ind w:firstLine="709"/>
              <w:jc w:val="both"/>
              <w:rPr>
                <w:rFonts w:ascii="Verdana" w:hAnsi="Verdana" w:cs="Arial"/>
                <w:bCs/>
                <w:lang w:eastAsia="x-none"/>
              </w:rPr>
            </w:pPr>
            <w:r w:rsidRPr="0004791A">
              <w:rPr>
                <w:rFonts w:ascii="Verdana" w:hAnsi="Verdana" w:cs="Arial"/>
                <w:bCs/>
                <w:lang w:eastAsia="x-none"/>
              </w:rPr>
              <w:t>En ese sentido, todos los entes del Estado, sin distinción de su régimen jurídico o naturaleza, están sujetos a la restricción del artículo 33, lo que implica que no pueden celebrar convenios bajo esquemas directos durante el periodo de prohibición, salvo que se configure alguna de las excepciones legales.</w:t>
            </w:r>
          </w:p>
          <w:p w14:paraId="3BE6E677" w14:textId="77777777" w:rsidR="00601CFC" w:rsidRPr="0004791A" w:rsidRDefault="00601CFC" w:rsidP="00436F07">
            <w:pPr>
              <w:spacing w:after="120" w:line="276" w:lineRule="auto"/>
              <w:ind w:firstLine="709"/>
              <w:jc w:val="both"/>
              <w:rPr>
                <w:rFonts w:ascii="Verdana" w:hAnsi="Verdana" w:cs="Arial"/>
                <w:bCs/>
                <w:lang w:eastAsia="x-none"/>
              </w:rPr>
            </w:pPr>
            <w:r w:rsidRPr="0004791A">
              <w:rPr>
                <w:rFonts w:ascii="Verdana" w:hAnsi="Verdana" w:cs="Arial"/>
                <w:bCs/>
                <w:lang w:eastAsia="x-none"/>
              </w:rPr>
              <w:t>La restricción para las elecciones presidenciales de 2026 operaría desde el 31 de enero de 2026, teniendo en cuenta que la jornada electoral está prevista para el 31 de mayo de 2026, conforme a la Registraduría Nacional del Estado Civil. En caso de segunda vuelta, la restricción se extendería hasta el 21 de junio de 2026.</w:t>
            </w:r>
          </w:p>
          <w:p w14:paraId="2424349B" w14:textId="77777777" w:rsidR="00601CFC" w:rsidRPr="004B2FB3" w:rsidRDefault="00601CFC" w:rsidP="00436F07">
            <w:pPr>
              <w:spacing w:after="120" w:line="276" w:lineRule="auto"/>
              <w:ind w:firstLine="709"/>
              <w:jc w:val="both"/>
              <w:rPr>
                <w:rFonts w:ascii="Verdana" w:hAnsi="Verdana" w:cs="Arial"/>
                <w:bCs/>
                <w:lang w:eastAsia="x-none"/>
              </w:rPr>
            </w:pPr>
            <w:r w:rsidRPr="0004791A">
              <w:rPr>
                <w:rFonts w:ascii="Verdana" w:hAnsi="Verdana" w:cs="Arial"/>
                <w:bCs/>
                <w:lang w:eastAsia="x-none"/>
              </w:rPr>
              <w:t>Bajo este contexto, corresponde a cada entidad estatal analizar en cada caso concreto si el contrato o convenio que pretende celebrar, así como la modalidad de selección aplicable, se enmarca dentro de las restricciones señaladas.</w:t>
            </w:r>
          </w:p>
        </w:tc>
      </w:tr>
      <w:bookmarkEnd w:id="2"/>
    </w:tbl>
    <w:p w14:paraId="34B80C5D" w14:textId="77777777" w:rsidR="00601CFC" w:rsidRPr="00ED6465" w:rsidRDefault="00601CFC" w:rsidP="00601CFC">
      <w:pPr>
        <w:widowControl w:val="0"/>
        <w:autoSpaceDE w:val="0"/>
        <w:autoSpaceDN w:val="0"/>
        <w:spacing w:before="1" w:line="276" w:lineRule="auto"/>
        <w:ind w:left="360" w:hanging="360"/>
        <w:outlineLvl w:val="0"/>
        <w:rPr>
          <w:rFonts w:ascii="Verdana" w:eastAsia="Arial" w:hAnsi="Verdana" w:cs="Arial"/>
          <w:b/>
        </w:rPr>
      </w:pPr>
    </w:p>
    <w:p w14:paraId="13BF160B" w14:textId="77777777" w:rsidR="00601CFC" w:rsidRDefault="00601CFC" w:rsidP="00601CFC">
      <w:pPr>
        <w:widowControl w:val="0"/>
        <w:autoSpaceDE w:val="0"/>
        <w:autoSpaceDN w:val="0"/>
        <w:spacing w:before="1" w:line="276" w:lineRule="auto"/>
        <w:ind w:left="360" w:hanging="360"/>
        <w:outlineLvl w:val="0"/>
        <w:rPr>
          <w:rFonts w:ascii="Verdana" w:eastAsia="Arial" w:hAnsi="Verdana" w:cs="Arial"/>
          <w:b/>
          <w:bCs/>
          <w:lang w:val="es-ES"/>
        </w:rPr>
      </w:pPr>
      <w:r w:rsidRPr="00ED6465">
        <w:rPr>
          <w:rFonts w:ascii="Verdana" w:eastAsia="Arial" w:hAnsi="Verdana" w:cs="Arial"/>
          <w:b/>
          <w:bCs/>
          <w:lang w:val="es-ES"/>
        </w:rPr>
        <w:t>3. Razones de la respuesta</w:t>
      </w:r>
    </w:p>
    <w:p w14:paraId="24BD57B3" w14:textId="77777777" w:rsidR="00601CFC" w:rsidRPr="00495629" w:rsidRDefault="00601CFC" w:rsidP="00601CFC">
      <w:pPr>
        <w:widowControl w:val="0"/>
        <w:autoSpaceDE w:val="0"/>
        <w:autoSpaceDN w:val="0"/>
        <w:spacing w:before="1" w:line="276" w:lineRule="auto"/>
        <w:ind w:left="360" w:hanging="360"/>
        <w:outlineLvl w:val="0"/>
        <w:rPr>
          <w:rFonts w:ascii="Verdana" w:eastAsia="Arial" w:hAnsi="Verdana" w:cs="Arial"/>
          <w:b/>
          <w:bCs/>
          <w:lang w:val="es-ES"/>
        </w:rPr>
      </w:pPr>
    </w:p>
    <w:p w14:paraId="0EDA2E3F" w14:textId="77777777" w:rsidR="00601CFC" w:rsidRDefault="00601CFC" w:rsidP="00601CFC">
      <w:pPr>
        <w:spacing w:line="276" w:lineRule="auto"/>
        <w:jc w:val="both"/>
        <w:rPr>
          <w:rFonts w:ascii="Verdana" w:eastAsia="Calibri" w:hAnsi="Verdana" w:cs="Arial"/>
          <w:lang w:val="es-ES"/>
        </w:rPr>
      </w:pPr>
      <w:r w:rsidRPr="00ED6465">
        <w:rPr>
          <w:rFonts w:ascii="Verdana" w:eastAsia="Calibri" w:hAnsi="Verdana" w:cs="Arial"/>
          <w:lang w:val="es-ES"/>
        </w:rPr>
        <w:t xml:space="preserve">Las respuestas anteriores se sustentan en las siguientes consideraciones: </w:t>
      </w:r>
    </w:p>
    <w:p w14:paraId="632CCD8C" w14:textId="77777777" w:rsidR="00601CFC" w:rsidRPr="00ED6465" w:rsidRDefault="00601CFC" w:rsidP="00601CFC">
      <w:pPr>
        <w:spacing w:line="276" w:lineRule="auto"/>
        <w:jc w:val="both"/>
        <w:rPr>
          <w:rFonts w:ascii="Verdana" w:eastAsia="Calibri" w:hAnsi="Verdana" w:cs="Arial"/>
          <w:lang w:val="es-ES"/>
        </w:rPr>
      </w:pPr>
    </w:p>
    <w:p w14:paraId="48D66992" w14:textId="77777777" w:rsidR="00601CFC" w:rsidRPr="00ED6465" w:rsidRDefault="00601CFC" w:rsidP="00601CFC">
      <w:pPr>
        <w:spacing w:after="120" w:line="276" w:lineRule="auto"/>
        <w:jc w:val="both"/>
        <w:rPr>
          <w:rFonts w:ascii="Verdana" w:eastAsia="Century Gothic" w:hAnsi="Verdana" w:cs="Century Gothic"/>
          <w:bCs/>
          <w:lang w:val="es-ES_tradnl"/>
        </w:rPr>
      </w:pPr>
      <w:bookmarkStart w:id="3" w:name="_Hlk209416551"/>
      <w:r w:rsidRPr="00ED6465">
        <w:rPr>
          <w:rFonts w:ascii="Verdana" w:eastAsia="Aptos" w:hAnsi="Verdana" w:cs="Arial"/>
          <w:bCs/>
          <w:lang w:val="es-ES_tradnl" w:eastAsia="es-ES" w:bidi="es-ES"/>
        </w:rPr>
        <w:t xml:space="preserve">i) </w:t>
      </w:r>
      <w:r w:rsidRPr="00ED646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649CED97"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735394BE" w14:textId="77777777" w:rsidR="00601CFC" w:rsidRPr="00ED6465" w:rsidRDefault="00601CFC" w:rsidP="00601CFC">
      <w:pPr>
        <w:spacing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687E2386" w14:textId="77777777" w:rsidR="00601CFC" w:rsidRPr="00ED6465" w:rsidRDefault="00601CFC" w:rsidP="00601CFC">
      <w:pPr>
        <w:spacing w:line="276" w:lineRule="auto"/>
        <w:ind w:firstLine="708"/>
        <w:jc w:val="both"/>
        <w:rPr>
          <w:rFonts w:ascii="Verdana" w:eastAsia="Century Gothic" w:hAnsi="Verdana" w:cs="Century Gothic"/>
          <w:bCs/>
          <w:lang w:val="es-ES_tradnl"/>
        </w:rPr>
      </w:pPr>
    </w:p>
    <w:p w14:paraId="4A25B81A" w14:textId="77777777" w:rsidR="00601CFC" w:rsidRPr="00480DE0" w:rsidRDefault="00601CFC" w:rsidP="00601CFC">
      <w:pPr>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241490EB" w14:textId="77777777" w:rsidR="00601CFC" w:rsidRPr="00480DE0" w:rsidRDefault="00601CFC" w:rsidP="00601CFC">
      <w:pPr>
        <w:ind w:left="709" w:right="709"/>
        <w:jc w:val="both"/>
        <w:rPr>
          <w:rFonts w:ascii="Verdana" w:eastAsia="Century Gothic" w:hAnsi="Verdana" w:cs="Century Gothic"/>
          <w:bCs/>
          <w:sz w:val="20"/>
          <w:szCs w:val="20"/>
          <w:lang w:val="es-ES_tradnl"/>
        </w:rPr>
      </w:pPr>
    </w:p>
    <w:p w14:paraId="4408482F" w14:textId="77777777" w:rsidR="00601CFC" w:rsidRPr="00480DE0" w:rsidRDefault="00601CFC" w:rsidP="00601CFC">
      <w:pPr>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 xml:space="preserve">[…] </w:t>
      </w:r>
    </w:p>
    <w:p w14:paraId="0CC6117D" w14:textId="77777777" w:rsidR="00601CFC" w:rsidRPr="00480DE0" w:rsidRDefault="00601CFC" w:rsidP="00601CFC">
      <w:pPr>
        <w:ind w:left="709" w:right="709"/>
        <w:jc w:val="both"/>
        <w:rPr>
          <w:rFonts w:ascii="Verdana" w:eastAsia="Century Gothic" w:hAnsi="Verdana" w:cs="Century Gothic"/>
          <w:bCs/>
          <w:sz w:val="20"/>
          <w:szCs w:val="20"/>
          <w:lang w:val="es-ES_tradnl"/>
        </w:rPr>
      </w:pPr>
    </w:p>
    <w:p w14:paraId="259996CB" w14:textId="77777777" w:rsidR="00601CFC" w:rsidRPr="00480DE0" w:rsidRDefault="00601CFC" w:rsidP="00601CFC">
      <w:pPr>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103AADEF" w14:textId="77777777" w:rsidR="00601CFC" w:rsidRPr="00ED6465" w:rsidRDefault="00601CFC" w:rsidP="00601CFC">
      <w:pPr>
        <w:spacing w:line="276" w:lineRule="auto"/>
        <w:ind w:left="709" w:right="709"/>
        <w:jc w:val="both"/>
        <w:rPr>
          <w:rFonts w:ascii="Verdana" w:eastAsia="Century Gothic" w:hAnsi="Verdana" w:cs="Century Gothic"/>
          <w:bCs/>
          <w:lang w:val="es-ES_tradnl"/>
        </w:rPr>
      </w:pPr>
    </w:p>
    <w:p w14:paraId="362F688A"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w:t>
      </w:r>
    </w:p>
    <w:p w14:paraId="53CA513F" w14:textId="77777777" w:rsidR="00601CFC" w:rsidRPr="00ED6465" w:rsidRDefault="00601CFC" w:rsidP="00601CFC">
      <w:pPr>
        <w:spacing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En efecto, la Sala de Consulta y Servicio Civil del Consejo de Estado, precisó:</w:t>
      </w:r>
    </w:p>
    <w:p w14:paraId="139BB2EF" w14:textId="77777777" w:rsidR="00601CFC" w:rsidRPr="00ED6465" w:rsidRDefault="00601CFC" w:rsidP="00601CFC">
      <w:pPr>
        <w:spacing w:line="276" w:lineRule="auto"/>
        <w:ind w:firstLine="708"/>
        <w:jc w:val="both"/>
        <w:rPr>
          <w:rFonts w:ascii="Verdana" w:eastAsia="Century Gothic" w:hAnsi="Verdana" w:cs="Century Gothic"/>
          <w:bCs/>
          <w:lang w:val="es-ES_tradnl"/>
        </w:rPr>
      </w:pPr>
    </w:p>
    <w:p w14:paraId="572C3485" w14:textId="77777777" w:rsidR="00601CFC" w:rsidRPr="00480DE0" w:rsidRDefault="00601CFC" w:rsidP="00601CFC">
      <w:pPr>
        <w:ind w:left="709" w:right="709"/>
        <w:jc w:val="both"/>
        <w:rPr>
          <w:rFonts w:ascii="Verdana" w:eastAsia="Century Gothic" w:hAnsi="Verdana" w:cs="Century Gothic"/>
          <w:sz w:val="20"/>
          <w:szCs w:val="20"/>
          <w:lang w:val="es-ES"/>
        </w:rPr>
      </w:pPr>
      <w:r w:rsidRPr="00480DE0">
        <w:rPr>
          <w:rFonts w:ascii="Verdana" w:eastAsia="Century Gothic" w:hAnsi="Verdana" w:cs="Century Gothic"/>
          <w:sz w:val="20"/>
          <w:szCs w:val="20"/>
          <w:lang w:val="es-ES"/>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5E7A6E9" w14:textId="77777777" w:rsidR="00601CFC" w:rsidRPr="00480DE0" w:rsidRDefault="00601CFC" w:rsidP="00601CFC">
      <w:pPr>
        <w:ind w:left="709" w:right="709"/>
        <w:jc w:val="both"/>
        <w:rPr>
          <w:rFonts w:ascii="Verdana" w:eastAsia="Century Gothic" w:hAnsi="Verdana" w:cs="Century Gothic"/>
          <w:sz w:val="20"/>
          <w:szCs w:val="20"/>
          <w:lang w:val="es-ES"/>
        </w:rPr>
      </w:pPr>
    </w:p>
    <w:p w14:paraId="32FB1542" w14:textId="77777777" w:rsidR="00601CFC" w:rsidRPr="00480DE0" w:rsidRDefault="00601CFC" w:rsidP="00601CFC">
      <w:pPr>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656B4BEF" w14:textId="77777777" w:rsidR="00601CFC" w:rsidRPr="00ED6465" w:rsidRDefault="00601CFC" w:rsidP="00601CFC">
      <w:pPr>
        <w:spacing w:line="276" w:lineRule="auto"/>
        <w:ind w:left="709" w:right="709"/>
        <w:jc w:val="both"/>
        <w:rPr>
          <w:rFonts w:ascii="Verdana" w:eastAsia="Century Gothic" w:hAnsi="Verdana" w:cs="Century Gothic"/>
          <w:bCs/>
          <w:lang w:val="es-ES_tradnl"/>
        </w:rPr>
      </w:pPr>
    </w:p>
    <w:p w14:paraId="604CEA30" w14:textId="77777777" w:rsidR="00601CFC" w:rsidRPr="00ED6465" w:rsidRDefault="00601CFC" w:rsidP="00601CFC">
      <w:pPr>
        <w:spacing w:line="276" w:lineRule="auto"/>
        <w:ind w:firstLine="709"/>
        <w:jc w:val="both"/>
        <w:rPr>
          <w:rFonts w:ascii="Verdana" w:eastAsia="Arial" w:hAnsi="Verdana" w:cs="Arial"/>
          <w:lang w:val="es-ES" w:eastAsia="es-ES" w:bidi="es-ES"/>
        </w:rPr>
      </w:pPr>
      <w:r w:rsidRPr="00ED646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Así las cosas,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ED6465">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01C10F87" w14:textId="77777777" w:rsidR="00601CFC" w:rsidRPr="00ED6465" w:rsidRDefault="00601CFC" w:rsidP="00601CFC">
      <w:pPr>
        <w:spacing w:line="276" w:lineRule="auto"/>
        <w:jc w:val="both"/>
        <w:rPr>
          <w:rFonts w:ascii="Verdana" w:eastAsia="Century Gothic" w:hAnsi="Verdana" w:cs="Century Gothic"/>
          <w:bCs/>
          <w:lang w:val="es-ES_tradnl"/>
        </w:rPr>
      </w:pPr>
    </w:p>
    <w:p w14:paraId="667D6A95" w14:textId="77777777" w:rsidR="00601CFC" w:rsidRPr="00ED6465" w:rsidRDefault="00601CFC" w:rsidP="00601CFC">
      <w:pPr>
        <w:spacing w:after="120" w:line="276" w:lineRule="auto"/>
        <w:jc w:val="both"/>
        <w:rPr>
          <w:rFonts w:ascii="Verdana" w:eastAsia="Century Gothic" w:hAnsi="Verdana" w:cs="Century Gothic"/>
          <w:lang w:val="es-ES"/>
        </w:rPr>
      </w:pPr>
      <w:r w:rsidRPr="00ED6465">
        <w:rPr>
          <w:rFonts w:ascii="Verdana" w:eastAsia="Century Gothic" w:hAnsi="Verdana" w:cs="Century Gothic"/>
          <w:lang w:val="es-ES"/>
        </w:rPr>
        <w:t>ii)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746ECD57"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Por un lado, el artículo 33 de la Ley 996 de 2005 prohíbe “[…] la contratación directa por parte de todos los entes del Estado” durante los cuatro (4) meses anteriores a las elecciones presidenciales, salvo “[…] lo referente a la </w:t>
      </w:r>
      <w:r w:rsidRPr="00ED6465">
        <w:rPr>
          <w:rFonts w:ascii="Verdana" w:eastAsia="Century Gothic" w:hAnsi="Verdana" w:cs="Century Gothic"/>
          <w:bCs/>
          <w:i/>
          <w:iCs/>
          <w:lang w:val="es-ES_tradnl"/>
        </w:rPr>
        <w:t>defensa y seguridad del Estado</w:t>
      </w:r>
      <w:r w:rsidRPr="00ED646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59C87312"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79F36C1A" w14:textId="77777777" w:rsidR="00601CFC" w:rsidRPr="00ED6465" w:rsidRDefault="00601CFC" w:rsidP="00601CFC">
      <w:pPr>
        <w:spacing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0A87173C" w14:textId="77777777" w:rsidR="00601CFC" w:rsidRPr="00ED6465" w:rsidRDefault="00601CFC" w:rsidP="00601CFC">
      <w:pPr>
        <w:spacing w:line="276" w:lineRule="auto"/>
        <w:ind w:firstLine="708"/>
        <w:jc w:val="both"/>
        <w:rPr>
          <w:rFonts w:ascii="Verdana" w:eastAsia="Century Gothic" w:hAnsi="Verdana" w:cs="Century Gothic"/>
          <w:bCs/>
          <w:lang w:val="es-ES_tradnl"/>
        </w:rPr>
      </w:pPr>
    </w:p>
    <w:p w14:paraId="7B9320F3" w14:textId="77777777" w:rsidR="00601CFC" w:rsidRPr="00480DE0" w:rsidRDefault="00601CFC" w:rsidP="00601CFC">
      <w:pPr>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56640768" w14:textId="77777777" w:rsidR="00601CFC" w:rsidRPr="00ED6465" w:rsidRDefault="00601CFC" w:rsidP="00601CFC">
      <w:pPr>
        <w:spacing w:line="276" w:lineRule="auto"/>
        <w:ind w:left="709" w:right="709"/>
        <w:jc w:val="both"/>
        <w:rPr>
          <w:rFonts w:ascii="Verdana" w:eastAsia="Century Gothic" w:hAnsi="Verdana" w:cs="Century Gothic"/>
          <w:bCs/>
          <w:lang w:val="es-ES_tradnl"/>
        </w:rPr>
      </w:pPr>
    </w:p>
    <w:p w14:paraId="567D07CE" w14:textId="77777777" w:rsidR="00601CFC" w:rsidRPr="00ED6465" w:rsidRDefault="00601CFC" w:rsidP="00601CFC">
      <w:pPr>
        <w:spacing w:after="120" w:line="276" w:lineRule="auto"/>
        <w:ind w:firstLine="709"/>
        <w:jc w:val="both"/>
        <w:rPr>
          <w:rFonts w:ascii="Verdana" w:eastAsia="Century Gothic" w:hAnsi="Verdana" w:cs="Century Gothic"/>
          <w:lang w:val="es-ES"/>
        </w:rPr>
      </w:pPr>
      <w:r w:rsidRPr="00ED6465">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5A160AD" w14:textId="77777777" w:rsidR="00601CFC" w:rsidRPr="00ED6465" w:rsidRDefault="00601CFC" w:rsidP="00601CFC">
      <w:pPr>
        <w:spacing w:after="120" w:line="276" w:lineRule="auto"/>
        <w:ind w:firstLine="709"/>
        <w:jc w:val="both"/>
        <w:rPr>
          <w:rFonts w:ascii="Verdana" w:eastAsia="Century Gothic" w:hAnsi="Verdana" w:cs="Century Gothic"/>
          <w:lang w:val="es-ES"/>
        </w:rPr>
      </w:pPr>
      <w:r w:rsidRPr="00ED6465">
        <w:rPr>
          <w:rFonts w:ascii="Verdana" w:eastAsia="Century Gothic" w:hAnsi="Verdana" w:cs="Century Gothic"/>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6B068378" w14:textId="77777777" w:rsidR="00601CFC" w:rsidRPr="00ED6465" w:rsidRDefault="00601CFC" w:rsidP="00601CFC">
      <w:pPr>
        <w:spacing w:line="276" w:lineRule="auto"/>
        <w:ind w:firstLine="709"/>
        <w:jc w:val="both"/>
        <w:rPr>
          <w:rFonts w:ascii="Verdana" w:eastAsia="Century Gothic" w:hAnsi="Verdana" w:cs="Century Gothic"/>
          <w:lang w:val="es-ES"/>
        </w:rPr>
      </w:pPr>
      <w:r w:rsidRPr="00ED6465">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73EE7C64" w14:textId="77777777" w:rsidR="00601CFC" w:rsidRPr="00ED6465" w:rsidRDefault="00601CFC" w:rsidP="00601CFC">
      <w:pPr>
        <w:spacing w:line="276" w:lineRule="auto"/>
        <w:ind w:firstLine="709"/>
        <w:jc w:val="both"/>
        <w:rPr>
          <w:rFonts w:ascii="Verdana" w:eastAsia="Century Gothic" w:hAnsi="Verdana" w:cs="Century Gothic"/>
          <w:lang w:val="es-ES"/>
        </w:rPr>
      </w:pPr>
    </w:p>
    <w:p w14:paraId="1F26F474" w14:textId="77777777" w:rsidR="00601CFC" w:rsidRPr="00ED6465" w:rsidRDefault="00601CFC" w:rsidP="00601CFC">
      <w:pPr>
        <w:spacing w:after="120" w:line="276" w:lineRule="auto"/>
        <w:jc w:val="both"/>
        <w:rPr>
          <w:rFonts w:ascii="Verdana" w:eastAsia="Century Gothic" w:hAnsi="Verdana" w:cs="Century Gothic"/>
          <w:lang w:val="es-ES"/>
        </w:rPr>
      </w:pPr>
      <w:r w:rsidRPr="00ED6465">
        <w:rPr>
          <w:rFonts w:ascii="Verdana" w:eastAsia="Century Gothic" w:hAnsi="Verdana" w:cs="Century Gothic"/>
          <w:lang w:val="es-ES"/>
        </w:rPr>
        <w:t xml:space="preserve">iii) Para entender el momento de aplicación de estas restricciones, es preciso señalar que el vocablo “celebrar” es definido por el Diccionario Panhispánico del Español Jurídico como: “1. Gral. Otorgar o firmar un contrato. 2. Proc. Realizar los actos procesales propios de un juicio o vista”. Dentro de las dos definiciones, la que se acerca a la expresión “celebrar” en el contexto de la Ley de Garantías Electorales es la primera, esto es, al perfeccionamiento del contrato. </w:t>
      </w:r>
    </w:p>
    <w:p w14:paraId="347CBDD0" w14:textId="77777777" w:rsidR="00601CFC"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w:t>
      </w:r>
    </w:p>
    <w:p w14:paraId="308AACD4"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31519CE"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B8BD70A" w14:textId="77777777" w:rsidR="00601CFC" w:rsidRPr="00ED6465" w:rsidRDefault="00601CFC" w:rsidP="00601CFC">
      <w:pPr>
        <w:spacing w:line="276" w:lineRule="auto"/>
        <w:ind w:firstLine="709"/>
        <w:jc w:val="both"/>
        <w:rPr>
          <w:rFonts w:ascii="Verdana" w:eastAsia="Century Gothic" w:hAnsi="Verdana" w:cs="Century Gothic"/>
          <w:bCs/>
          <w:lang w:val="es-ES_tradnl"/>
        </w:rPr>
      </w:pPr>
      <w:r w:rsidRPr="00ED6465">
        <w:rPr>
          <w:rFonts w:ascii="Verdana" w:eastAsia="Century Gothic" w:hAnsi="Verdana" w:cs="Century Gothic"/>
          <w:lang w:val="es-ES"/>
        </w:rPr>
        <w:t xml:space="preserve">Asimismo, 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w:t>
      </w:r>
      <w:r w:rsidRPr="00ED6465">
        <w:rPr>
          <w:rFonts w:ascii="Verdana" w:eastAsia="Century Gothic" w:hAnsi="Verdana" w:cs="Century Gothic"/>
          <w:bCs/>
          <w:lang w:val="es-ES_tradnl"/>
        </w:rPr>
        <w:t xml:space="preserve">responsabilidad. </w:t>
      </w:r>
    </w:p>
    <w:p w14:paraId="6EC5875A" w14:textId="77777777" w:rsidR="00601CFC" w:rsidRPr="00ED6465" w:rsidRDefault="00601CFC" w:rsidP="00601CFC">
      <w:pPr>
        <w:spacing w:line="276" w:lineRule="auto"/>
        <w:ind w:firstLine="709"/>
        <w:jc w:val="both"/>
        <w:rPr>
          <w:rFonts w:ascii="Verdana" w:eastAsia="Century Gothic" w:hAnsi="Verdana" w:cs="Century Gothic"/>
          <w:bCs/>
          <w:lang w:val="es-ES_tradnl"/>
        </w:rPr>
      </w:pPr>
    </w:p>
    <w:p w14:paraId="2AE6771E" w14:textId="77777777" w:rsidR="00601CFC" w:rsidRPr="00ED6465" w:rsidRDefault="00601CFC" w:rsidP="00601CFC">
      <w:pPr>
        <w:spacing w:line="276" w:lineRule="auto"/>
        <w:jc w:val="both"/>
        <w:rPr>
          <w:rFonts w:ascii="Verdana" w:eastAsia="Century Gothic" w:hAnsi="Verdana" w:cs="Century Gothic"/>
          <w:lang w:val="es-ES"/>
        </w:rPr>
      </w:pPr>
      <w:r w:rsidRPr="00ED6465">
        <w:rPr>
          <w:rFonts w:ascii="Verdana" w:eastAsia="Century Gothic" w:hAnsi="Verdana" w:cs="Century Gothic"/>
          <w:bCs/>
          <w:lang w:val="es-ES_tradnl"/>
        </w:rPr>
        <w:t xml:space="preserve">iv) </w:t>
      </w:r>
      <w:r w:rsidRPr="00ED6465">
        <w:rPr>
          <w:rFonts w:ascii="Verdana" w:eastAsia="Calibri" w:hAnsi="Verdana" w:cs="Arial"/>
          <w:lang w:val="es-ES" w:eastAsia="es-ES" w:bidi="es-ES"/>
        </w:rPr>
        <w:t xml:space="preserve">Para responder al problema jurídico planteado es necesario precisar el alcance de la prohibición </w:t>
      </w:r>
      <w:r w:rsidRPr="00ED6465">
        <w:rPr>
          <w:rFonts w:ascii="Verdana" w:eastAsia="Arial" w:hAnsi="Verdana" w:cs="Arial"/>
          <w:lang w:val="es-ES" w:eastAsia="es-ES" w:bidi="es-ES"/>
        </w:rPr>
        <w:t>establecida en e</w:t>
      </w:r>
      <w:r w:rsidRPr="00ED6465">
        <w:rPr>
          <w:rFonts w:ascii="Verdana" w:eastAsia="Calibri" w:hAnsi="Verdana" w:cs="Arial"/>
          <w:lang w:val="es-ES"/>
        </w:rPr>
        <w:t xml:space="preserve">l </w:t>
      </w:r>
      <w:r w:rsidRPr="00ED6465">
        <w:rPr>
          <w:rFonts w:ascii="Verdana" w:hAnsi="Verdana" w:cs="Arial"/>
          <w:lang w:val="es-ES"/>
        </w:rPr>
        <w:t xml:space="preserve">artículo 33 de la Ley 996 de 2005. </w:t>
      </w:r>
      <w:r w:rsidRPr="00ED6465">
        <w:rPr>
          <w:rFonts w:ascii="Verdana" w:eastAsia="Century Gothic" w:hAnsi="Verdana" w:cs="Century Gothic"/>
          <w:bCs/>
          <w:lang w:val="es-ES_tradnl"/>
        </w:rPr>
        <w:t>E</w:t>
      </w:r>
      <w:r w:rsidRPr="00ED6465">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66747145" w14:textId="77777777" w:rsidR="00601CFC" w:rsidRPr="00ED6465" w:rsidRDefault="00601CFC" w:rsidP="00601CFC">
      <w:pPr>
        <w:spacing w:line="276" w:lineRule="auto"/>
        <w:jc w:val="both"/>
        <w:rPr>
          <w:rFonts w:ascii="Verdana" w:eastAsia="Century Gothic" w:hAnsi="Verdana" w:cs="Century Gothic"/>
          <w:bCs/>
          <w:lang w:val="es-ES_tradnl"/>
        </w:rPr>
      </w:pPr>
    </w:p>
    <w:p w14:paraId="1C2A46D3" w14:textId="77777777" w:rsidR="00601CFC" w:rsidRPr="00480DE0" w:rsidRDefault="00601CFC" w:rsidP="00601CFC">
      <w:pPr>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1CEBCF91" w14:textId="77777777" w:rsidR="00601CFC" w:rsidRPr="00480DE0" w:rsidRDefault="00601CFC" w:rsidP="00601CFC">
      <w:pPr>
        <w:ind w:left="709" w:right="709"/>
        <w:jc w:val="both"/>
        <w:rPr>
          <w:rFonts w:ascii="Verdana" w:eastAsia="Century Gothic" w:hAnsi="Verdana" w:cs="Century Gothic"/>
          <w:bCs/>
          <w:sz w:val="20"/>
          <w:szCs w:val="20"/>
          <w:lang w:val="es-ES_tradnl"/>
        </w:rPr>
      </w:pPr>
    </w:p>
    <w:p w14:paraId="1D86A905" w14:textId="77777777" w:rsidR="00601CFC" w:rsidRPr="00480DE0" w:rsidRDefault="00601CFC" w:rsidP="00601CFC">
      <w:pPr>
        <w:ind w:left="709" w:right="709"/>
        <w:jc w:val="both"/>
        <w:rPr>
          <w:rFonts w:ascii="Verdana" w:eastAsia="Century Gothic" w:hAnsi="Verdana" w:cs="Century Gothic"/>
          <w:bCs/>
          <w:sz w:val="20"/>
          <w:szCs w:val="20"/>
          <w:lang w:val="es-ES_tradnl"/>
        </w:rPr>
      </w:pPr>
      <w:r w:rsidRPr="00480DE0">
        <w:rPr>
          <w:rFonts w:ascii="Verdana" w:eastAsia="Century Gothic" w:hAnsi="Verdana" w:cs="Century Gothic"/>
          <w:bCs/>
          <w:sz w:val="20"/>
          <w:szCs w:val="20"/>
          <w:lang w:val="es-ES_tradnl"/>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entury Gothic" w:hAnsi="Verdana" w:cs="Century Gothic"/>
          <w:bCs/>
          <w:sz w:val="20"/>
          <w:szCs w:val="20"/>
          <w:lang w:val="es-ES_tradnl"/>
        </w:rPr>
        <w:t>]</w:t>
      </w:r>
      <w:r w:rsidRPr="00480DE0">
        <w:rPr>
          <w:rFonts w:ascii="Verdana" w:eastAsia="Century Gothic" w:hAnsi="Verdana" w:cs="Century Gothic"/>
          <w:bCs/>
          <w:sz w:val="20"/>
          <w:szCs w:val="20"/>
          <w:lang w:val="es-ES_tradnl"/>
        </w:rPr>
        <w:t>…</w:t>
      </w:r>
      <w:r>
        <w:rPr>
          <w:rFonts w:ascii="Verdana" w:eastAsia="Century Gothic" w:hAnsi="Verdana" w:cs="Century Gothic"/>
          <w:bCs/>
          <w:sz w:val="20"/>
          <w:szCs w:val="20"/>
          <w:lang w:val="es-ES_tradnl"/>
        </w:rPr>
        <w:t>]</w:t>
      </w:r>
      <w:r w:rsidRPr="00480DE0">
        <w:rPr>
          <w:rFonts w:ascii="Verdana" w:eastAsia="Century Gothic" w:hAnsi="Verdana" w:cs="Century Gothic"/>
          <w:bCs/>
          <w:sz w:val="20"/>
          <w:szCs w:val="20"/>
          <w:lang w:val="es-ES_tradnl"/>
        </w:rPr>
        <w:t>”.</w:t>
      </w:r>
    </w:p>
    <w:p w14:paraId="520EF943" w14:textId="77777777" w:rsidR="00601CFC" w:rsidRPr="00ED6465" w:rsidRDefault="00601CFC" w:rsidP="00601CFC">
      <w:pPr>
        <w:spacing w:line="276" w:lineRule="auto"/>
        <w:ind w:firstLine="708"/>
        <w:jc w:val="both"/>
        <w:rPr>
          <w:rFonts w:ascii="Verdana" w:eastAsia="Century Gothic" w:hAnsi="Verdana" w:cs="Century Gothic"/>
          <w:bCs/>
          <w:lang w:val="es-ES_tradnl"/>
        </w:rPr>
      </w:pPr>
    </w:p>
    <w:p w14:paraId="237D4E04" w14:textId="77777777" w:rsidR="00601CFC" w:rsidRPr="00ED6465" w:rsidRDefault="00601CFC" w:rsidP="00601CFC">
      <w:pPr>
        <w:spacing w:after="120" w:line="276" w:lineRule="auto"/>
        <w:ind w:firstLine="708"/>
        <w:jc w:val="both"/>
        <w:rPr>
          <w:rFonts w:ascii="Verdana" w:eastAsia="Century Gothic" w:hAnsi="Verdana" w:cs="Century Gothic"/>
          <w:lang w:val="es-ES"/>
        </w:rPr>
      </w:pPr>
      <w:r w:rsidRPr="00ED6465">
        <w:rPr>
          <w:rFonts w:ascii="Verdana" w:eastAsia="Century Gothic" w:hAnsi="Verdana" w:cs="Century Gothic"/>
          <w:lang w:val="es-ES"/>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1926BEA8"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 </w:t>
      </w:r>
    </w:p>
    <w:p w14:paraId="7E6CE647"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En efecto, vale la pena mencionar que, en algunos sistemas de contratación, utilizados por </w:t>
      </w:r>
      <w:r>
        <w:rPr>
          <w:rFonts w:ascii="Verdana" w:eastAsia="Century Gothic" w:hAnsi="Verdana" w:cs="Century Gothic"/>
          <w:bCs/>
          <w:lang w:val="es-ES_tradnl"/>
        </w:rPr>
        <w:t>E</w:t>
      </w:r>
      <w:r w:rsidRPr="00ED6465">
        <w:rPr>
          <w:rFonts w:ascii="Verdana" w:eastAsia="Century Gothic" w:hAnsi="Verdana" w:cs="Century Gothic"/>
          <w:bCs/>
          <w:lang w:val="es-ES_tradnl"/>
        </w:rPr>
        <w:t xml:space="preserve">ntidades </w:t>
      </w:r>
      <w:r>
        <w:rPr>
          <w:rFonts w:ascii="Verdana" w:eastAsia="Century Gothic" w:hAnsi="Verdana" w:cs="Century Gothic"/>
          <w:bCs/>
          <w:lang w:val="es-ES_tradnl"/>
        </w:rPr>
        <w:t>P</w:t>
      </w:r>
      <w:r w:rsidRPr="00ED6465">
        <w:rPr>
          <w:rFonts w:ascii="Verdana" w:eastAsia="Century Gothic" w:hAnsi="Verdana" w:cs="Century Gothic"/>
          <w:bCs/>
          <w:lang w:val="es-ES_tradnl"/>
        </w:rPr>
        <w:t xml:space="preserve">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32CB3B4A" w14:textId="77777777" w:rsidR="00601CFC" w:rsidRPr="00ED6465" w:rsidRDefault="00601CFC" w:rsidP="00601CFC">
      <w:pPr>
        <w:spacing w:after="120" w:line="276" w:lineRule="auto"/>
        <w:ind w:firstLine="708"/>
        <w:jc w:val="both"/>
        <w:rPr>
          <w:rFonts w:ascii="Verdana" w:eastAsia="Century Gothic" w:hAnsi="Verdana" w:cs="Century Gothic"/>
          <w:lang w:val="es-ES"/>
        </w:rPr>
      </w:pPr>
      <w:r w:rsidRPr="00ED6465">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9AE4559" w14:textId="77777777" w:rsidR="00601CFC" w:rsidRPr="00ED6465" w:rsidRDefault="00601CFC" w:rsidP="00601CFC">
      <w:pPr>
        <w:spacing w:after="120" w:line="276" w:lineRule="auto"/>
        <w:ind w:firstLine="708"/>
        <w:jc w:val="both"/>
        <w:rPr>
          <w:rFonts w:ascii="Verdana" w:eastAsia="Century Gothic" w:hAnsi="Verdana" w:cs="Century Gothic"/>
          <w:bCs/>
          <w:lang w:val="es-ES_tradnl"/>
        </w:rPr>
      </w:pPr>
      <w:r w:rsidRPr="00ED6465">
        <w:rPr>
          <w:rFonts w:ascii="Verdana" w:eastAsia="Century Gothic" w:hAnsi="Verdana" w:cs="Century Gothic"/>
          <w:bCs/>
          <w:lang w:val="es-ES_tradnl"/>
        </w:rPr>
        <w:t xml:space="preserve">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w:t>
      </w:r>
      <w:r>
        <w:rPr>
          <w:rFonts w:ascii="Verdana" w:eastAsia="Century Gothic" w:hAnsi="Verdana" w:cs="Century Gothic"/>
          <w:bCs/>
          <w:lang w:val="es-ES_tradnl"/>
        </w:rPr>
        <w:t>E</w:t>
      </w:r>
      <w:r w:rsidRPr="00ED6465">
        <w:rPr>
          <w:rFonts w:ascii="Verdana" w:eastAsia="Century Gothic" w:hAnsi="Verdana" w:cs="Century Gothic"/>
          <w:bCs/>
          <w:lang w:val="es-ES_tradnl"/>
        </w:rPr>
        <w:t xml:space="preserve">ntidades </w:t>
      </w:r>
      <w:r>
        <w:rPr>
          <w:rFonts w:ascii="Verdana" w:eastAsia="Century Gothic" w:hAnsi="Verdana" w:cs="Century Gothic"/>
          <w:bCs/>
          <w:lang w:val="es-ES_tradnl"/>
        </w:rPr>
        <w:t>E</w:t>
      </w:r>
      <w:r w:rsidRPr="00ED6465">
        <w:rPr>
          <w:rFonts w:ascii="Verdana" w:eastAsia="Century Gothic" w:hAnsi="Verdana" w:cs="Century Gothic"/>
          <w:bCs/>
          <w:lang w:val="es-ES_tradnl"/>
        </w:rPr>
        <w:t>statales que no incluya la convocatoria pública en alguna de sus etapas, ni permita la participación de una pluralidad de oferentes.</w:t>
      </w:r>
    </w:p>
    <w:p w14:paraId="6DA73B66" w14:textId="77777777" w:rsidR="00601CFC" w:rsidRPr="00ED6465" w:rsidRDefault="00601CFC" w:rsidP="00601CFC">
      <w:pPr>
        <w:spacing w:after="120" w:line="276" w:lineRule="auto"/>
        <w:ind w:firstLine="709"/>
        <w:jc w:val="both"/>
        <w:rPr>
          <w:rFonts w:ascii="Verdana" w:eastAsia="Century Gothic" w:hAnsi="Verdana" w:cs="Century Gothic"/>
          <w:lang w:val="es-ES"/>
        </w:rPr>
      </w:pPr>
      <w:r w:rsidRPr="00ED646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w:t>
      </w:r>
      <w:r>
        <w:rPr>
          <w:rFonts w:ascii="Verdana" w:eastAsia="Century Gothic" w:hAnsi="Verdana" w:cs="Century Gothic"/>
          <w:lang w:val="es-ES"/>
        </w:rPr>
        <w:t>De esta manera, si los convenios de cooperación académica, a los que se refiere en su consulta, se celebran de forma directa, no podrán perfeccionarse en vigencia de las restricciones de la Ley de Garantías Electorales. Contrario sensu, podrán</w:t>
      </w:r>
      <w:r w:rsidRPr="00B47E56">
        <w:rPr>
          <w:rFonts w:ascii="Verdana" w:eastAsia="Century Gothic" w:hAnsi="Verdana" w:cs="Century Gothic"/>
          <w:lang w:val="es-ES"/>
        </w:rPr>
        <w:t xml:space="preserve"> contrat</w:t>
      </w:r>
      <w:r>
        <w:rPr>
          <w:rFonts w:ascii="Verdana" w:eastAsia="Century Gothic" w:hAnsi="Verdana" w:cs="Century Gothic"/>
          <w:lang w:val="es-ES"/>
        </w:rPr>
        <w:t xml:space="preserve">arse </w:t>
      </w:r>
      <w:r w:rsidRPr="00B47E56">
        <w:rPr>
          <w:rFonts w:ascii="Verdana" w:eastAsia="Century Gothic" w:hAnsi="Verdana" w:cs="Century Gothic"/>
          <w:lang w:val="es-ES"/>
        </w:rPr>
        <w:t>bajo sistemas</w:t>
      </w:r>
      <w:r>
        <w:rPr>
          <w:rFonts w:ascii="Verdana" w:eastAsia="Century Gothic" w:hAnsi="Verdana" w:cs="Century Gothic"/>
          <w:lang w:val="es-ES"/>
        </w:rPr>
        <w:t xml:space="preserve"> abiertos y competitivos, como las</w:t>
      </w:r>
      <w:r w:rsidRPr="00ED6465">
        <w:rPr>
          <w:rFonts w:ascii="Verdana" w:eastAsia="Century Gothic" w:hAnsi="Verdana" w:cs="Century Gothic"/>
          <w:lang w:val="es-ES"/>
        </w:rPr>
        <w:t xml:space="preserve"> demás modalidades de selección previstas en la Ley 1150 de 2007, es decir, la licitación pública, el concurso de méritos, la selección abreviada y la mínima cuantía</w:t>
      </w:r>
      <w:r>
        <w:rPr>
          <w:rFonts w:ascii="Verdana" w:eastAsia="Century Gothic" w:hAnsi="Verdana" w:cs="Century Gothic"/>
          <w:lang w:val="es-ES"/>
        </w:rPr>
        <w:t>.</w:t>
      </w:r>
      <w:r w:rsidRPr="00ED6465">
        <w:rPr>
          <w:rFonts w:ascii="Verdana" w:eastAsia="Century Gothic" w:hAnsi="Verdana" w:cs="Century Gothic"/>
          <w:lang w:val="es-ES"/>
        </w:rPr>
        <w:t xml:space="preserve"> </w:t>
      </w:r>
    </w:p>
    <w:p w14:paraId="439EB09D" w14:textId="77777777" w:rsidR="00601CFC" w:rsidRPr="00ED6465" w:rsidRDefault="00601CFC" w:rsidP="00601CFC">
      <w:pPr>
        <w:spacing w:after="120" w:line="276" w:lineRule="auto"/>
        <w:ind w:firstLine="709"/>
        <w:jc w:val="both"/>
        <w:rPr>
          <w:rFonts w:ascii="Verdana" w:hAnsi="Verdana" w:cs="Arial"/>
          <w:bCs/>
          <w:lang w:val="es-ES" w:eastAsia="es-CO" w:bidi="es-ES"/>
        </w:rPr>
      </w:pPr>
      <w:r w:rsidRPr="00ED6465">
        <w:rPr>
          <w:rFonts w:ascii="Verdana" w:hAnsi="Verdana" w:cs="Arial"/>
          <w:bCs/>
          <w:lang w:val="es-ES" w:eastAsia="es-CO" w:bidi="es-ES"/>
        </w:rPr>
        <w:t xml:space="preserve">Ahora bien, las </w:t>
      </w:r>
      <w:r>
        <w:rPr>
          <w:rFonts w:ascii="Verdana" w:hAnsi="Verdana" w:cs="Arial"/>
          <w:bCs/>
          <w:lang w:val="es-ES" w:eastAsia="es-CO" w:bidi="es-ES"/>
        </w:rPr>
        <w:t>E</w:t>
      </w:r>
      <w:r w:rsidRPr="00ED6465">
        <w:rPr>
          <w:rFonts w:ascii="Verdana" w:hAnsi="Verdana" w:cs="Arial"/>
          <w:bCs/>
          <w:lang w:val="es-ES" w:eastAsia="es-CO" w:bidi="es-ES"/>
        </w:rPr>
        <w:t xml:space="preserve">ntidades </w:t>
      </w:r>
      <w:r>
        <w:rPr>
          <w:rFonts w:ascii="Verdana" w:hAnsi="Verdana" w:cs="Arial"/>
          <w:bCs/>
          <w:lang w:val="es-ES" w:eastAsia="es-CO" w:bidi="es-ES"/>
        </w:rPr>
        <w:t>P</w:t>
      </w:r>
      <w:r w:rsidRPr="00ED6465">
        <w:rPr>
          <w:rFonts w:ascii="Verdana" w:hAnsi="Verdana" w:cs="Arial"/>
          <w:bCs/>
          <w:lang w:val="es-ES" w:eastAsia="es-CO" w:bidi="es-ES"/>
        </w:rPr>
        <w:t xml:space="preserve">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39EA5AEA" w14:textId="77777777" w:rsidR="00601CFC" w:rsidRPr="00ED6465" w:rsidRDefault="00601CFC" w:rsidP="00601CFC">
      <w:pPr>
        <w:spacing w:after="120" w:line="276" w:lineRule="auto"/>
        <w:ind w:firstLine="709"/>
        <w:jc w:val="both"/>
        <w:rPr>
          <w:rFonts w:ascii="Verdana" w:hAnsi="Verdana" w:cs="Arial"/>
          <w:bCs/>
          <w:lang w:eastAsia="x-none"/>
        </w:rPr>
      </w:pPr>
      <w:r w:rsidRPr="00ED6465">
        <w:rPr>
          <w:rFonts w:ascii="Verdana" w:hAnsi="Verdana" w:cs="Arial"/>
          <w:bCs/>
          <w:lang w:val="es-ES" w:eastAsia="es-CO" w:bidi="es-ES"/>
        </w:rPr>
        <w:t xml:space="preserve">En todo caso, </w:t>
      </w:r>
      <w:r w:rsidRPr="00ED6465">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6EAEA1B7" w14:textId="77777777" w:rsidR="00601CFC" w:rsidRPr="00ED6465" w:rsidRDefault="00601CFC" w:rsidP="00601CFC">
      <w:pPr>
        <w:spacing w:after="120" w:line="276" w:lineRule="auto"/>
        <w:ind w:firstLine="709"/>
        <w:jc w:val="both"/>
        <w:rPr>
          <w:rFonts w:ascii="Verdana" w:hAnsi="Verdana" w:cs="Arial"/>
          <w:bCs/>
          <w:lang w:val="es-MX" w:eastAsia="x-none"/>
        </w:rPr>
      </w:pPr>
      <w:r w:rsidRPr="00ED6465">
        <w:rPr>
          <w:rFonts w:ascii="Verdana" w:hAnsi="Verdana" w:cs="Arial"/>
          <w:bCs/>
          <w:lang w:val="es-MX" w:eastAsia="x-none"/>
        </w:rPr>
        <w:t xml:space="preserve">En esta labor es importante tener en cuenta, como lo anotó la Corte Constitucional, en Sentencia C-1153 de noviembre 11 de 2005 </w:t>
      </w:r>
      <w:bookmarkStart w:id="4" w:name="_Hlk74309042"/>
      <w:r w:rsidRPr="00ED6465">
        <w:rPr>
          <w:rFonts w:ascii="Verdana" w:hAnsi="Verdana" w:cs="Arial"/>
          <w:bCs/>
          <w:lang w:val="es-MX" w:eastAsia="x-none"/>
        </w:rPr>
        <w:t>que “</w:t>
      </w:r>
      <w:bookmarkEnd w:id="4"/>
      <w:r w:rsidRPr="00ED6465">
        <w:rPr>
          <w:rFonts w:ascii="Verdana" w:hAnsi="Verdana" w:cs="Arial"/>
          <w:bCs/>
          <w:lang w:val="es-MX" w:eastAsia="x-none"/>
        </w:rPr>
        <w:t xml:space="preserve">si bien la limitación garantiza la igualdad de condiciones, también es necesario que tal limitación que pretende la igualdad </w:t>
      </w:r>
      <w:bookmarkStart w:id="5" w:name="_Hlk75768308"/>
      <w:r w:rsidRPr="00ED6465">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ED6465">
        <w:rPr>
          <w:rFonts w:ascii="Verdana" w:hAnsi="Verdana" w:cs="Arial"/>
          <w:vertAlign w:val="superscript"/>
          <w:lang w:val="es-MX"/>
        </w:rPr>
        <w:footnoteReference w:id="1"/>
      </w:r>
      <w:r w:rsidRPr="00ED6465">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5"/>
    </w:p>
    <w:p w14:paraId="3C7EDA19" w14:textId="77777777" w:rsidR="00601CFC" w:rsidRPr="00ED6465" w:rsidRDefault="00601CFC" w:rsidP="00601CFC">
      <w:pPr>
        <w:shd w:val="clear" w:color="auto" w:fill="FFFFFF" w:themeFill="background1"/>
        <w:spacing w:after="120" w:line="276" w:lineRule="auto"/>
        <w:ind w:firstLine="709"/>
        <w:jc w:val="both"/>
        <w:rPr>
          <w:rFonts w:ascii="Verdana" w:hAnsi="Verdana" w:cs="Arial"/>
          <w:lang w:val="es-ES" w:eastAsia="es-CO"/>
        </w:rPr>
      </w:pPr>
      <w:r w:rsidRPr="00ED6465">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ED6465">
        <w:rPr>
          <w:rStyle w:val="FootnoteReference"/>
          <w:rFonts w:ascii="Verdana" w:hAnsi="Verdana" w:cs="Arial"/>
          <w:lang w:val="es-ES" w:eastAsia="es-CO"/>
        </w:rPr>
        <w:footnoteReference w:id="2"/>
      </w:r>
      <w:r w:rsidRPr="00ED6465">
        <w:rPr>
          <w:rFonts w:ascii="Verdana" w:hAnsi="Verdana" w:cs="Arial"/>
          <w:lang w:val="es-ES" w:eastAsia="es-CO"/>
        </w:rPr>
        <w:t xml:space="preserve">. </w:t>
      </w:r>
    </w:p>
    <w:p w14:paraId="6981CB38" w14:textId="77777777" w:rsidR="00601CFC" w:rsidRDefault="00601CFC" w:rsidP="00601CFC">
      <w:pPr>
        <w:spacing w:after="120" w:line="276" w:lineRule="auto"/>
        <w:ind w:firstLine="708"/>
        <w:jc w:val="both"/>
        <w:rPr>
          <w:rFonts w:ascii="Verdana" w:hAnsi="Verdana" w:cs="Arial"/>
          <w:bCs/>
          <w:lang w:val="es-MX" w:eastAsia="x-none"/>
        </w:rPr>
      </w:pPr>
      <w:r w:rsidRPr="00ED6465">
        <w:rPr>
          <w:rFonts w:ascii="Verdana"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ED6465">
        <w:rPr>
          <w:rFonts w:ascii="Verdana" w:eastAsia="Calibri" w:hAnsi="Verdana" w:cs="Arial"/>
          <w:lang w:val="es-MX"/>
        </w:rPr>
        <w:t xml:space="preserve"> </w:t>
      </w:r>
      <w:r w:rsidRPr="00ED6465">
        <w:rPr>
          <w:rFonts w:ascii="Verdana" w:hAnsi="Verdana" w:cs="Arial"/>
          <w:bCs/>
          <w:lang w:val="es-MX" w:eastAsia="x-none"/>
        </w:rPr>
        <w:t>En efecto, tal como lo ha sostenido el Consejo de Estado, el vocablo “todos” utilizado por el legislador comprende</w:t>
      </w:r>
      <w:r w:rsidRPr="00ED6465">
        <w:rPr>
          <w:rFonts w:ascii="Verdana" w:eastAsia="Calibri" w:hAnsi="Verdana" w:cs="Arial"/>
          <w:lang w:val="es-MX"/>
        </w:rPr>
        <w:t xml:space="preserve"> </w:t>
      </w:r>
      <w:r w:rsidRPr="00ED6465">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35E10E4" w14:textId="77777777" w:rsidR="00601CFC" w:rsidRPr="00ED6465" w:rsidRDefault="00601CFC" w:rsidP="00601CFC">
      <w:pPr>
        <w:spacing w:line="276" w:lineRule="auto"/>
        <w:ind w:firstLine="708"/>
        <w:jc w:val="both"/>
        <w:rPr>
          <w:rFonts w:ascii="Verdana" w:hAnsi="Verdana" w:cs="Arial"/>
          <w:bCs/>
          <w:lang w:val="es-MX" w:eastAsia="x-none"/>
        </w:rPr>
      </w:pPr>
      <w:r w:rsidRPr="00ED6465">
        <w:rPr>
          <w:rFonts w:ascii="Verdana" w:hAnsi="Verdana" w:cs="Arial"/>
          <w:bCs/>
          <w:lang w:val="es-ES_tradnl" w:eastAsia="x-none"/>
        </w:rPr>
        <w:t xml:space="preserve">La Sala de Consulta y Servicio Civil del Consejo de Estado, en Concepto 1727 de fecha 20 de febrero de 2006, consideró que: </w:t>
      </w:r>
    </w:p>
    <w:p w14:paraId="3ABAC3BC" w14:textId="77777777" w:rsidR="00601CFC" w:rsidRPr="00ED6465" w:rsidRDefault="00601CFC" w:rsidP="00601CFC">
      <w:pPr>
        <w:spacing w:line="276" w:lineRule="auto"/>
        <w:jc w:val="both"/>
        <w:rPr>
          <w:rFonts w:ascii="Verdana" w:hAnsi="Verdana" w:cs="Arial"/>
          <w:bCs/>
          <w:lang w:val="es-MX" w:eastAsia="x-none"/>
        </w:rPr>
      </w:pPr>
    </w:p>
    <w:p w14:paraId="29F3D306" w14:textId="77777777" w:rsidR="00601CFC" w:rsidRPr="00ED6465" w:rsidRDefault="00601CFC" w:rsidP="00601CFC">
      <w:pPr>
        <w:ind w:left="708" w:right="709"/>
        <w:jc w:val="both"/>
        <w:rPr>
          <w:rFonts w:ascii="Verdana" w:hAnsi="Verdana" w:cs="Arial"/>
          <w:bCs/>
          <w:sz w:val="20"/>
          <w:szCs w:val="20"/>
          <w:lang w:val="es-MX" w:eastAsia="es-CO"/>
        </w:rPr>
      </w:pPr>
      <w:r w:rsidRPr="00ED6465">
        <w:rPr>
          <w:rFonts w:ascii="Verdana"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ED6465">
        <w:rPr>
          <w:rFonts w:ascii="Verdana" w:hAnsi="Verdana" w:cs="Arial"/>
          <w:bCs/>
          <w:sz w:val="20"/>
          <w:szCs w:val="20"/>
          <w:vertAlign w:val="superscript"/>
          <w:lang w:val="es-MX" w:eastAsia="x-none"/>
        </w:rPr>
        <w:footnoteReference w:id="3"/>
      </w:r>
      <w:r w:rsidRPr="00ED6465">
        <w:rPr>
          <w:rFonts w:ascii="Verdana" w:hAnsi="Verdana" w:cs="Arial"/>
          <w:bCs/>
          <w:sz w:val="20"/>
          <w:szCs w:val="20"/>
          <w:lang w:val="es-MX" w:eastAsia="x-none"/>
        </w:rPr>
        <w:t>.</w:t>
      </w:r>
      <w:r w:rsidRPr="00ED6465">
        <w:rPr>
          <w:rFonts w:ascii="Verdana" w:hAnsi="Verdana" w:cs="Arial"/>
          <w:bCs/>
          <w:sz w:val="20"/>
          <w:szCs w:val="20"/>
          <w:lang w:val="es-MX" w:eastAsia="es-CO"/>
        </w:rPr>
        <w:t xml:space="preserve"> </w:t>
      </w:r>
    </w:p>
    <w:p w14:paraId="09F34AD9" w14:textId="77777777" w:rsidR="00601CFC" w:rsidRPr="00ED6465" w:rsidRDefault="00601CFC" w:rsidP="00601CFC">
      <w:pPr>
        <w:spacing w:line="276" w:lineRule="auto"/>
        <w:ind w:firstLine="708"/>
        <w:jc w:val="both"/>
        <w:rPr>
          <w:rFonts w:ascii="Verdana" w:hAnsi="Verdana" w:cs="Arial"/>
          <w:bCs/>
          <w:lang w:val="es-MX" w:eastAsia="es-CO"/>
        </w:rPr>
      </w:pPr>
    </w:p>
    <w:p w14:paraId="558B2D1D" w14:textId="77777777" w:rsidR="00601CFC" w:rsidRDefault="00601CFC" w:rsidP="00601CFC">
      <w:pPr>
        <w:spacing w:after="120" w:line="276" w:lineRule="auto"/>
        <w:ind w:firstLine="708"/>
        <w:jc w:val="both"/>
        <w:rPr>
          <w:rFonts w:ascii="Verdana" w:eastAsia="Calibri" w:hAnsi="Verdana" w:cs="Arial"/>
          <w:lang w:val="es-MX"/>
        </w:rPr>
      </w:pPr>
      <w:r w:rsidRPr="00ED6465">
        <w:rPr>
          <w:rFonts w:ascii="Verdana" w:hAnsi="Verdana" w:cs="Arial"/>
          <w:bCs/>
          <w:lang w:val="es-MX" w:eastAsia="x-none"/>
        </w:rPr>
        <w:t>De igual forma, en Concepto con radicado 1738 del 6 de abril de 2006, esa misma Corporación manifestó que</w:t>
      </w:r>
      <w:r>
        <w:rPr>
          <w:rFonts w:ascii="Verdana" w:hAnsi="Verdana" w:cs="Arial"/>
          <w:bCs/>
          <w:lang w:val="es-MX" w:eastAsia="x-none"/>
        </w:rPr>
        <w:t>:</w:t>
      </w:r>
      <w:r w:rsidRPr="00ED6465">
        <w:rPr>
          <w:rFonts w:ascii="Verdana" w:hAnsi="Verdana" w:cs="Arial"/>
          <w:bCs/>
          <w:lang w:val="es-MX" w:eastAsia="x-none"/>
        </w:rPr>
        <w:t xml:space="preserv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ED6465">
        <w:rPr>
          <w:rFonts w:ascii="Verdana" w:eastAsia="Calibri" w:hAnsi="Verdana" w:cs="Arial"/>
          <w:vertAlign w:val="superscript"/>
          <w:lang w:val="es-MX"/>
        </w:rPr>
        <w:footnoteReference w:id="4"/>
      </w:r>
      <w:r w:rsidRPr="00ED6465">
        <w:rPr>
          <w:rFonts w:ascii="Verdana" w:hAnsi="Verdana" w:cs="Arial"/>
          <w:bCs/>
          <w:lang w:val="es-MX" w:eastAsia="x-none"/>
        </w:rPr>
        <w:t>.</w:t>
      </w:r>
      <w:r w:rsidRPr="00ED6465">
        <w:rPr>
          <w:rFonts w:ascii="Verdana" w:eastAsia="Calibri" w:hAnsi="Verdana" w:cs="Arial"/>
          <w:lang w:val="es-MX"/>
        </w:rPr>
        <w:t xml:space="preserve"> </w:t>
      </w:r>
    </w:p>
    <w:p w14:paraId="574E99E9" w14:textId="77777777" w:rsidR="00601CFC" w:rsidRPr="00ED6465" w:rsidRDefault="00601CFC" w:rsidP="00601CFC">
      <w:pPr>
        <w:spacing w:line="276" w:lineRule="auto"/>
        <w:ind w:firstLine="708"/>
        <w:jc w:val="both"/>
        <w:rPr>
          <w:rFonts w:ascii="Verdana" w:eastAsia="Calibri" w:hAnsi="Verdana" w:cs="Arial"/>
          <w:lang w:val="es-MX"/>
        </w:rPr>
      </w:pPr>
      <w:r w:rsidRPr="00ED6465">
        <w:rPr>
          <w:rFonts w:ascii="Verdana" w:eastAsia="Calibri" w:hAnsi="Verdana" w:cs="Arial"/>
          <w:lang w:val="es-MX"/>
        </w:rPr>
        <w:t>Además, la Sala de Consulta y Servicio Civil del Consejo de Estado realizó la siguiente distinción, retomando el pronunciamiento de la misma sala del 20 de febrero de 2006, citado anteriormente:</w:t>
      </w:r>
    </w:p>
    <w:p w14:paraId="7D735A74" w14:textId="77777777" w:rsidR="00601CFC" w:rsidRPr="00ED6465" w:rsidRDefault="00601CFC" w:rsidP="00601CFC">
      <w:pPr>
        <w:spacing w:line="276" w:lineRule="auto"/>
        <w:jc w:val="both"/>
        <w:rPr>
          <w:rFonts w:ascii="Verdana" w:eastAsia="Calibri" w:hAnsi="Verdana" w:cs="Arial"/>
          <w:lang w:val="es-MX"/>
        </w:rPr>
      </w:pPr>
    </w:p>
    <w:p w14:paraId="4D621A09" w14:textId="77777777" w:rsidR="00601CFC" w:rsidRPr="00807AF1" w:rsidRDefault="00601CFC" w:rsidP="00601CFC">
      <w:pPr>
        <w:ind w:left="708" w:right="709"/>
        <w:jc w:val="both"/>
        <w:rPr>
          <w:rFonts w:ascii="Verdana" w:eastAsia="Calibri" w:hAnsi="Verdana" w:cs="Arial"/>
          <w:sz w:val="20"/>
          <w:szCs w:val="20"/>
          <w:lang w:val="es-MX"/>
        </w:rPr>
      </w:pPr>
      <w:r w:rsidRPr="007B6C3C">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w:t>
      </w:r>
      <w:r w:rsidRPr="00762A00">
        <w:rPr>
          <w:rFonts w:ascii="Verdana" w:eastAsia="Calibri" w:hAnsi="Verdana" w:cs="Arial"/>
          <w:sz w:val="20"/>
          <w:szCs w:val="20"/>
          <w:lang w:val="es-MX"/>
        </w:rPr>
        <w:t>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w:t>
      </w:r>
      <w:r w:rsidRPr="00807AF1">
        <w:rPr>
          <w:rFonts w:ascii="Verdana" w:eastAsia="Calibri" w:hAnsi="Verdana" w:cs="Arial"/>
          <w:sz w:val="20"/>
          <w:szCs w:val="20"/>
          <w:lang w:val="es-MX"/>
        </w:rPr>
        <w:t>u cargo a nuevas personas, ni dejar de renovar los contratos existentes, pues significaría la parálisis de una actividad propia de la administración, que incluso podría desconocer los derechos fundamentales.</w:t>
      </w:r>
    </w:p>
    <w:p w14:paraId="478DBBE3" w14:textId="77777777" w:rsidR="00601CFC" w:rsidRPr="00807AF1" w:rsidRDefault="00601CFC" w:rsidP="00601CFC">
      <w:pPr>
        <w:ind w:left="708" w:right="709"/>
        <w:jc w:val="both"/>
        <w:rPr>
          <w:rFonts w:ascii="Verdana" w:eastAsia="Calibri" w:hAnsi="Verdana" w:cs="Arial"/>
          <w:sz w:val="20"/>
          <w:szCs w:val="20"/>
          <w:lang w:val="es-MX"/>
        </w:rPr>
      </w:pPr>
    </w:p>
    <w:p w14:paraId="236DCD88" w14:textId="77777777" w:rsidR="00601CFC" w:rsidRPr="00762A00" w:rsidRDefault="00601CFC" w:rsidP="00601CFC">
      <w:pPr>
        <w:ind w:left="708" w:right="709"/>
        <w:jc w:val="both"/>
        <w:rPr>
          <w:rFonts w:ascii="Verdana" w:eastAsia="Calibri" w:hAnsi="Verdana" w:cs="Arial"/>
          <w:sz w:val="20"/>
          <w:szCs w:val="20"/>
          <w:lang w:val="es-MX"/>
        </w:rPr>
      </w:pPr>
      <w:r w:rsidRPr="007B6C3C">
        <w:rPr>
          <w:rFonts w:ascii="Verdana"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7B6C3C">
        <w:rPr>
          <w:rFonts w:ascii="Verdana" w:eastAsia="Calibri" w:hAnsi="Verdana" w:cs="Arial"/>
          <w:sz w:val="20"/>
          <w:szCs w:val="20"/>
          <w:vertAlign w:val="superscript"/>
          <w:lang w:val="es-MX"/>
        </w:rPr>
        <w:footnoteReference w:id="5"/>
      </w:r>
      <w:r w:rsidRPr="007B6C3C">
        <w:rPr>
          <w:rFonts w:ascii="Verdana" w:hAnsi="Verdana" w:cs="Arial"/>
          <w:bCs/>
          <w:sz w:val="20"/>
          <w:szCs w:val="20"/>
          <w:lang w:val="es-MX" w:eastAsia="x-none"/>
        </w:rPr>
        <w:t>.</w:t>
      </w:r>
    </w:p>
    <w:p w14:paraId="46729A9F" w14:textId="77777777" w:rsidR="00601CFC" w:rsidRPr="00ED6465" w:rsidRDefault="00601CFC" w:rsidP="00601CFC">
      <w:pPr>
        <w:spacing w:line="276" w:lineRule="auto"/>
        <w:jc w:val="both"/>
        <w:rPr>
          <w:rFonts w:ascii="Verdana" w:eastAsia="Calibri" w:hAnsi="Verdana" w:cs="Arial"/>
          <w:lang w:val="es-MX"/>
        </w:rPr>
      </w:pPr>
    </w:p>
    <w:p w14:paraId="35A292CA" w14:textId="77777777" w:rsidR="00601CFC" w:rsidRPr="00ED6465" w:rsidRDefault="00601CFC" w:rsidP="00601CFC">
      <w:pPr>
        <w:spacing w:after="120" w:line="276" w:lineRule="auto"/>
        <w:ind w:firstLine="709"/>
        <w:jc w:val="both"/>
        <w:rPr>
          <w:rFonts w:ascii="Verdana" w:hAnsi="Verdana" w:cs="Arial"/>
          <w:lang w:eastAsia="es-CO"/>
        </w:rPr>
      </w:pPr>
      <w:r w:rsidRPr="00ED6465">
        <w:rPr>
          <w:rFonts w:ascii="Verdana" w:eastAsia="Calibri" w:hAnsi="Verdana" w:cs="Arial"/>
          <w:lang w:val="es-MX"/>
        </w:rPr>
        <w:t>De acuerdo con estos pronunciamientos de la Sala de Consulta y Servicio Civil del Consejo de Estado, la prohibición de la contratación directa también aplica frente a las entidades exceptuadas de la aplicación del E</w:t>
      </w:r>
      <w:r>
        <w:rPr>
          <w:rFonts w:ascii="Verdana" w:eastAsia="Calibri" w:hAnsi="Verdana" w:cs="Arial"/>
          <w:lang w:val="es-MX"/>
        </w:rPr>
        <w:t xml:space="preserve">statuto </w:t>
      </w:r>
      <w:r w:rsidRPr="00ED6465">
        <w:rPr>
          <w:rFonts w:ascii="Verdana" w:eastAsia="Calibri" w:hAnsi="Verdana" w:cs="Arial"/>
          <w:lang w:val="es-MX"/>
        </w:rPr>
        <w:t>G</w:t>
      </w:r>
      <w:r>
        <w:rPr>
          <w:rFonts w:ascii="Verdana" w:eastAsia="Calibri" w:hAnsi="Verdana" w:cs="Arial"/>
          <w:lang w:val="es-MX"/>
        </w:rPr>
        <w:t xml:space="preserve">eneral de </w:t>
      </w:r>
      <w:r w:rsidRPr="00ED6465">
        <w:rPr>
          <w:rFonts w:ascii="Verdana" w:eastAsia="Calibri" w:hAnsi="Verdana" w:cs="Arial"/>
          <w:lang w:val="es-MX"/>
        </w:rPr>
        <w:t>C</w:t>
      </w:r>
      <w:r>
        <w:rPr>
          <w:rFonts w:ascii="Verdana" w:eastAsia="Calibri" w:hAnsi="Verdana" w:cs="Arial"/>
          <w:lang w:val="es-MX"/>
        </w:rPr>
        <w:t xml:space="preserve">ontratación de la </w:t>
      </w:r>
      <w:r w:rsidRPr="00ED6465">
        <w:rPr>
          <w:rFonts w:ascii="Verdana" w:eastAsia="Calibri" w:hAnsi="Verdana" w:cs="Arial"/>
          <w:lang w:val="es-MX"/>
        </w:rPr>
        <w:t>A</w:t>
      </w:r>
      <w:r>
        <w:rPr>
          <w:rFonts w:ascii="Verdana" w:eastAsia="Calibri" w:hAnsi="Verdana" w:cs="Arial"/>
          <w:lang w:val="es-MX"/>
        </w:rPr>
        <w:t xml:space="preserve">dministración </w:t>
      </w:r>
      <w:r w:rsidRPr="00ED6465">
        <w:rPr>
          <w:rFonts w:ascii="Verdana" w:eastAsia="Calibri" w:hAnsi="Verdana" w:cs="Arial"/>
          <w:lang w:val="es-MX"/>
        </w:rPr>
        <w:t>P</w:t>
      </w:r>
      <w:r>
        <w:rPr>
          <w:rFonts w:ascii="Verdana" w:eastAsia="Calibri" w:hAnsi="Verdana" w:cs="Arial"/>
          <w:lang w:val="es-MX"/>
        </w:rPr>
        <w:t>ública</w:t>
      </w:r>
      <w:r w:rsidRPr="00ED6465">
        <w:rPr>
          <w:rFonts w:ascii="Verdana" w:eastAsia="Calibri" w:hAnsi="Verdana" w:cs="Arial"/>
          <w:lang w:val="es-MX"/>
        </w:rPr>
        <w:t xml:space="preserve"> y que se rigen en materia contractual por el derecho privado. Sin embargo, señaló que algunas de estas entidades, como sucede con las empresas de servicios públicos domiciliarios, los </w:t>
      </w:r>
      <w:r w:rsidRPr="00ED6465">
        <w:rPr>
          <w:rFonts w:ascii="Verdana" w:hAnsi="Verdana" w:cs="Arial"/>
          <w:bCs/>
          <w:lang w:val="es-MX" w:eastAsia="x-none"/>
        </w:rPr>
        <w:t>establecimientos de crédito, las sociedades de servicios financieros y las entidades aseguradoras</w:t>
      </w:r>
      <w:r w:rsidRPr="00ED6465">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ED6465">
        <w:rPr>
          <w:rFonts w:ascii="Verdana" w:eastAsia="Calibri" w:hAnsi="Verdana" w:cs="Arial"/>
          <w:vertAlign w:val="superscript"/>
          <w:lang w:val="es-MX"/>
        </w:rPr>
        <w:footnoteReference w:id="6"/>
      </w:r>
      <w:r w:rsidRPr="00ED6465">
        <w:rPr>
          <w:rFonts w:ascii="Verdana" w:eastAsia="Calibri" w:hAnsi="Verdana" w:cs="Arial"/>
          <w:lang w:val="es-MX"/>
        </w:rPr>
        <w:t>.</w:t>
      </w:r>
      <w:r w:rsidRPr="00ED6465">
        <w:rPr>
          <w:rFonts w:ascii="Verdana" w:hAnsi="Verdana" w:cs="Arial"/>
          <w:lang w:eastAsia="es-CO"/>
        </w:rPr>
        <w:t xml:space="preserve"> </w:t>
      </w:r>
    </w:p>
    <w:p w14:paraId="38E61EBC" w14:textId="77777777" w:rsidR="00601CFC" w:rsidRDefault="00601CFC" w:rsidP="00601CFC">
      <w:pPr>
        <w:spacing w:after="0" w:line="276" w:lineRule="auto"/>
        <w:ind w:firstLine="709"/>
        <w:jc w:val="both"/>
        <w:rPr>
          <w:rFonts w:ascii="Verdana" w:hAnsi="Verdana" w:cs="Arial"/>
          <w:bCs/>
          <w:lang w:val="es-MX" w:eastAsia="x-none"/>
        </w:rPr>
      </w:pPr>
      <w:r w:rsidRPr="00ED6465">
        <w:rPr>
          <w:rFonts w:ascii="Verdana" w:hAnsi="Verdana" w:cs="Arial"/>
          <w:lang w:eastAsia="es-CO"/>
        </w:rPr>
        <w:t>Sin perjuicio de estos pronunciamientos de la Sala de Consulta y Servicio Civil</w:t>
      </w:r>
      <w:r w:rsidRPr="00ED6465">
        <w:rPr>
          <w:rFonts w:ascii="Verdana" w:eastAsia="Calibri" w:hAnsi="Verdana" w:cs="Arial"/>
          <w:lang w:val="es-MX"/>
        </w:rPr>
        <w:t xml:space="preserve">, como la ha señalado esa misma Corporación, la restricción prevista en la Ley 996 de 2005 </w:t>
      </w:r>
      <w:r w:rsidRPr="00ED6465">
        <w:rPr>
          <w:rFonts w:ascii="Verdana" w:hAnsi="Verdana" w:cs="Arial"/>
          <w:bCs/>
          <w:lang w:val="es-MX" w:eastAsia="x-none"/>
        </w:rPr>
        <w:t xml:space="preserve">cobija a cualquier </w:t>
      </w:r>
      <w:r>
        <w:rPr>
          <w:rFonts w:ascii="Verdana" w:hAnsi="Verdana" w:cs="Arial"/>
          <w:bCs/>
          <w:lang w:val="es-MX" w:eastAsia="x-none"/>
        </w:rPr>
        <w:t>E</w:t>
      </w:r>
      <w:r w:rsidRPr="00ED6465">
        <w:rPr>
          <w:rFonts w:ascii="Verdana" w:hAnsi="Verdana" w:cs="Arial"/>
          <w:bCs/>
          <w:lang w:val="es-MX" w:eastAsia="x-none"/>
        </w:rPr>
        <w:t xml:space="preserve">ntidad </w:t>
      </w:r>
      <w:r>
        <w:rPr>
          <w:rFonts w:ascii="Verdana" w:hAnsi="Verdana" w:cs="Arial"/>
          <w:bCs/>
          <w:lang w:val="es-MX" w:eastAsia="x-none"/>
        </w:rPr>
        <w:t>P</w:t>
      </w:r>
      <w:r w:rsidRPr="00ED6465">
        <w:rPr>
          <w:rFonts w:ascii="Verdana" w:hAnsi="Verdana" w:cs="Arial"/>
          <w:bCs/>
          <w:lang w:val="es-MX" w:eastAsia="x-none"/>
        </w:rPr>
        <w:t>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6F35D37B" w14:textId="77777777" w:rsidR="00601CFC" w:rsidRPr="00ED6465" w:rsidRDefault="00601CFC" w:rsidP="00601CFC">
      <w:pPr>
        <w:spacing w:after="0" w:line="276" w:lineRule="auto"/>
        <w:ind w:firstLine="709"/>
        <w:jc w:val="both"/>
        <w:rPr>
          <w:rFonts w:ascii="Verdana" w:hAnsi="Verdana" w:cs="Arial"/>
          <w:bCs/>
          <w:lang w:val="es-MX" w:eastAsia="x-none"/>
        </w:rPr>
      </w:pPr>
    </w:p>
    <w:p w14:paraId="7EFF16EE" w14:textId="77777777" w:rsidR="00601CFC" w:rsidRPr="00ED6465" w:rsidRDefault="00601CFC" w:rsidP="00601CFC">
      <w:pPr>
        <w:spacing w:after="120" w:line="276" w:lineRule="auto"/>
        <w:jc w:val="both"/>
        <w:rPr>
          <w:rFonts w:ascii="Verdana" w:hAnsi="Verdana" w:cs="Arial"/>
          <w:lang w:val="es-ES"/>
        </w:rPr>
      </w:pPr>
      <w:r w:rsidRPr="00ED6465">
        <w:rPr>
          <w:rFonts w:ascii="Verdana" w:eastAsia="Calibri" w:hAnsi="Verdana" w:cs="Arial"/>
        </w:rPr>
        <w:t xml:space="preserve">v. </w:t>
      </w:r>
      <w:r w:rsidRPr="00ED6465">
        <w:rPr>
          <w:rFonts w:ascii="Verdana" w:hAnsi="Verdana" w:cs="Arial"/>
          <w:lang w:val="es-ES"/>
        </w:rPr>
        <w:t xml:space="preserve">Respecto del alcance del parágrafo </w:t>
      </w:r>
      <w:r w:rsidRPr="00ED6465">
        <w:rPr>
          <w:rFonts w:ascii="Verdana" w:hAnsi="Verdana" w:cs="Arial"/>
        </w:rPr>
        <w:t>del artículo 38 de la Ley 996 de 2005, esta prohibición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ED6465">
        <w:rPr>
          <w:rFonts w:ascii="Verdana" w:hAnsi="Verdana" w:cs="Arial"/>
          <w:lang w:val="es-MX" w:eastAsia="x-none"/>
        </w:rPr>
        <w:t xml:space="preserve"> </w:t>
      </w:r>
    </w:p>
    <w:p w14:paraId="1B1FB567" w14:textId="77777777" w:rsidR="00601CFC" w:rsidRPr="00ED6465" w:rsidRDefault="00601CFC" w:rsidP="00601CFC">
      <w:pPr>
        <w:spacing w:after="120" w:line="276" w:lineRule="auto"/>
        <w:ind w:firstLine="709"/>
        <w:jc w:val="both"/>
        <w:rPr>
          <w:rFonts w:ascii="Verdana" w:hAnsi="Verdana" w:cs="Arial"/>
          <w:lang w:eastAsia="es-ES"/>
        </w:rPr>
      </w:pPr>
      <w:r w:rsidRPr="00ED6465">
        <w:rPr>
          <w:rFonts w:ascii="Verdana" w:hAnsi="Verdana" w:cs="Arial"/>
          <w:lang w:val="es-ES" w:eastAsia="es-ES"/>
        </w:rPr>
        <w:t xml:space="preserve">Para tales efectos, debe precisarse que </w:t>
      </w:r>
      <w:r w:rsidRPr="00ED6465">
        <w:rPr>
          <w:rFonts w:ascii="Verdana" w:hAnsi="Verdana" w:cs="Arial"/>
          <w:color w:val="000000" w:themeColor="text1"/>
          <w:lang w:val="es-ES" w:eastAsia="es-CO"/>
        </w:rPr>
        <w:t xml:space="preserve">los contratos o convenios interadministrativos están determinados por un criterio orgánico, pues es necesario que los extremos de la relación contractual sean </w:t>
      </w:r>
      <w:r>
        <w:rPr>
          <w:rFonts w:ascii="Verdana" w:hAnsi="Verdana" w:cs="Arial"/>
          <w:color w:val="000000" w:themeColor="text1"/>
          <w:lang w:val="es-ES" w:eastAsia="es-CO"/>
        </w:rPr>
        <w:t>E</w:t>
      </w:r>
      <w:r w:rsidRPr="00ED6465">
        <w:rPr>
          <w:rFonts w:ascii="Verdana" w:hAnsi="Verdana" w:cs="Arial"/>
          <w:color w:val="000000" w:themeColor="text1"/>
          <w:lang w:val="es-ES" w:eastAsia="es-CO"/>
        </w:rPr>
        <w:t xml:space="preserve">ntidades </w:t>
      </w:r>
      <w:r>
        <w:rPr>
          <w:rFonts w:ascii="Verdana" w:hAnsi="Verdana" w:cs="Arial"/>
          <w:color w:val="000000" w:themeColor="text1"/>
          <w:lang w:val="es-ES" w:eastAsia="es-CO"/>
        </w:rPr>
        <w:t>P</w:t>
      </w:r>
      <w:r w:rsidRPr="00ED6465">
        <w:rPr>
          <w:rFonts w:ascii="Verdana" w:hAnsi="Verdana" w:cs="Arial"/>
          <w:color w:val="000000" w:themeColor="text1"/>
          <w:lang w:val="es-ES" w:eastAsia="es-CO"/>
        </w:rPr>
        <w:t xml:space="preserve">úblicas, </w:t>
      </w:r>
      <w:r w:rsidRPr="00ED6465">
        <w:rPr>
          <w:rFonts w:ascii="Verdana" w:hAnsi="Verdana" w:cs="Arial"/>
          <w:lang w:eastAsia="es-ES"/>
        </w:rPr>
        <w:t xml:space="preserve">independientemente de las normas que regulan la relación contractual. En este sentido, los convenios interadministrativos solo pueden ser celebrados entre </w:t>
      </w:r>
      <w:r>
        <w:rPr>
          <w:rFonts w:ascii="Verdana" w:hAnsi="Verdana" w:cs="Arial"/>
          <w:lang w:eastAsia="es-ES"/>
        </w:rPr>
        <w:t>E</w:t>
      </w:r>
      <w:r w:rsidRPr="00ED6465">
        <w:rPr>
          <w:rFonts w:ascii="Verdana" w:hAnsi="Verdana" w:cs="Arial"/>
          <w:lang w:eastAsia="es-ES"/>
        </w:rPr>
        <w:t xml:space="preserve">ntidades </w:t>
      </w:r>
      <w:r>
        <w:rPr>
          <w:rFonts w:ascii="Verdana" w:hAnsi="Verdana" w:cs="Arial"/>
          <w:lang w:eastAsia="es-ES"/>
        </w:rPr>
        <w:t>P</w:t>
      </w:r>
      <w:r w:rsidRPr="00ED6465">
        <w:rPr>
          <w:rFonts w:ascii="Verdana" w:hAnsi="Verdana" w:cs="Arial"/>
          <w:lang w:eastAsia="es-ES"/>
        </w:rPr>
        <w:t>úblicas, pues a éstas corresponde la realización de los fines y tareas que el legislador les ha asignado</w:t>
      </w:r>
      <w:r w:rsidRPr="00ED6465">
        <w:rPr>
          <w:rFonts w:ascii="Verdana" w:hAnsi="Verdana" w:cs="Arial"/>
          <w:vertAlign w:val="superscript"/>
          <w:lang w:eastAsia="es-ES"/>
        </w:rPr>
        <w:footnoteReference w:id="7"/>
      </w:r>
      <w:r w:rsidRPr="00ED6465">
        <w:rPr>
          <w:rFonts w:ascii="Verdana" w:hAnsi="Verdana" w:cs="Arial"/>
          <w:lang w:eastAsia="es-ES"/>
        </w:rPr>
        <w:t>.</w:t>
      </w:r>
    </w:p>
    <w:p w14:paraId="2A7EFD85" w14:textId="77777777" w:rsidR="00601CFC" w:rsidRPr="00ED6465" w:rsidRDefault="00601CFC" w:rsidP="00601CFC">
      <w:pPr>
        <w:spacing w:after="120" w:line="276" w:lineRule="auto"/>
        <w:ind w:firstLine="708"/>
        <w:jc w:val="both"/>
        <w:rPr>
          <w:rFonts w:ascii="Verdana" w:hAnsi="Verdana" w:cs="Arial"/>
          <w:lang w:val="es-MX" w:eastAsia="es-CO"/>
        </w:rPr>
      </w:pPr>
      <w:r w:rsidRPr="00ED6465">
        <w:rPr>
          <w:rFonts w:ascii="Verdana" w:eastAsia="Arial" w:hAnsi="Verdana" w:cs="Arial"/>
          <w:lang w:val="es-MX" w:eastAsia="es-ES" w:bidi="es-ES"/>
        </w:rPr>
        <w:t>De esta manera, se</w:t>
      </w:r>
      <w:r w:rsidRPr="00ED6465">
        <w:rPr>
          <w:rFonts w:ascii="Verdana" w:hAnsi="Verdana" w:cs="Arial"/>
          <w:lang w:eastAsia="es-CO"/>
        </w:rPr>
        <w:t xml:space="preserve"> observa entonces que </w:t>
      </w:r>
      <w:r w:rsidRPr="00ED6465">
        <w:rPr>
          <w:rFonts w:ascii="Verdana"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D6465">
        <w:rPr>
          <w:rFonts w:ascii="Verdana" w:hAnsi="Verdana" w:cs="Arial"/>
          <w:i/>
          <w:iCs/>
          <w:lang w:val="es-MX" w:eastAsia="es-CO"/>
        </w:rPr>
        <w:t>convenios interadministrativos</w:t>
      </w:r>
      <w:r w:rsidRPr="00ED6465">
        <w:rPr>
          <w:rFonts w:ascii="Verdana" w:hAnsi="Verdana" w:cs="Arial"/>
          <w:lang w:val="es-MX" w:eastAsia="es-CO"/>
        </w:rPr>
        <w:t xml:space="preserve"> para la ejecución de recursos públicos. En este sentido, si una o ambas partes de la relación contractual es una entidad de aquellas descritas en el parágrafo </w:t>
      </w:r>
      <w:r w:rsidRPr="00ED6465">
        <w:rPr>
          <w:rFonts w:ascii="Verdana" w:hAnsi="Verdana" w:cs="Arial"/>
          <w:i/>
          <w:lang w:val="es-MX" w:eastAsia="es-CO"/>
        </w:rPr>
        <w:t>ibidem</w:t>
      </w:r>
      <w:r w:rsidRPr="00ED6465">
        <w:rPr>
          <w:rFonts w:ascii="Verdana" w:hAnsi="Verdana" w:cs="Arial"/>
          <w:lang w:val="es-MX" w:eastAsia="es-CO"/>
        </w:rPr>
        <w:t xml:space="preserve">, no podrá celebrar tales </w:t>
      </w:r>
      <w:r w:rsidRPr="00ED6465">
        <w:rPr>
          <w:rFonts w:ascii="Verdana" w:hAnsi="Verdana" w:cs="Arial"/>
          <w:i/>
          <w:iCs/>
          <w:lang w:val="es-MX" w:eastAsia="es-CO"/>
        </w:rPr>
        <w:t>convenios</w:t>
      </w:r>
      <w:r w:rsidRPr="00ED6465">
        <w:rPr>
          <w:rFonts w:ascii="Verdana"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64D0ADA2" w14:textId="77777777" w:rsidR="00601CFC" w:rsidRDefault="00601CFC" w:rsidP="00601CFC">
      <w:pPr>
        <w:spacing w:after="120" w:line="276" w:lineRule="auto"/>
        <w:ind w:firstLine="708"/>
        <w:jc w:val="both"/>
        <w:rPr>
          <w:rFonts w:ascii="Verdana" w:hAnsi="Verdana" w:cs="Arial"/>
          <w:lang w:eastAsia="es-CO"/>
        </w:rPr>
      </w:pPr>
      <w:r w:rsidRPr="00ED6465">
        <w:rPr>
          <w:rFonts w:ascii="Verdana" w:hAnsi="Verdana" w:cs="Arial"/>
          <w:lang w:val="es-MX" w:eastAsia="es-CO"/>
        </w:rPr>
        <w:t>Respecto del alcance de esta prohibición</w:t>
      </w:r>
      <w:r>
        <w:rPr>
          <w:rFonts w:ascii="Verdana" w:hAnsi="Verdana" w:cs="Arial"/>
          <w:lang w:val="es-MX" w:eastAsia="es-CO"/>
        </w:rPr>
        <w:t>,</w:t>
      </w:r>
      <w:r w:rsidRPr="00ED6465">
        <w:rPr>
          <w:rFonts w:ascii="Verdana" w:hAnsi="Verdana" w:cs="Arial"/>
          <w:lang w:val="es-MX" w:eastAsia="es-CO"/>
        </w:rPr>
        <w:t xml:space="preserve"> la Circular Externa No. 006 de 2025 expedida por la A</w:t>
      </w:r>
      <w:r>
        <w:rPr>
          <w:rFonts w:ascii="Verdana" w:hAnsi="Verdana" w:cs="Arial"/>
          <w:lang w:val="es-MX" w:eastAsia="es-CO"/>
        </w:rPr>
        <w:t xml:space="preserve">gencia </w:t>
      </w:r>
      <w:r w:rsidRPr="00ED6465">
        <w:rPr>
          <w:rFonts w:ascii="Verdana" w:hAnsi="Verdana" w:cs="Arial"/>
          <w:lang w:val="es-MX" w:eastAsia="es-CO"/>
        </w:rPr>
        <w:t>N</w:t>
      </w:r>
      <w:r>
        <w:rPr>
          <w:rFonts w:ascii="Verdana" w:hAnsi="Verdana" w:cs="Arial"/>
          <w:lang w:val="es-MX" w:eastAsia="es-CO"/>
        </w:rPr>
        <w:t xml:space="preserve">acional de </w:t>
      </w:r>
      <w:r w:rsidRPr="00ED6465">
        <w:rPr>
          <w:rFonts w:ascii="Verdana" w:hAnsi="Verdana" w:cs="Arial"/>
          <w:lang w:val="es-MX" w:eastAsia="es-CO"/>
        </w:rPr>
        <w:t>C</w:t>
      </w:r>
      <w:r>
        <w:rPr>
          <w:rFonts w:ascii="Verdana" w:hAnsi="Verdana" w:cs="Arial"/>
          <w:lang w:val="es-MX" w:eastAsia="es-CO"/>
        </w:rPr>
        <w:t xml:space="preserve">ontratación </w:t>
      </w:r>
      <w:r w:rsidRPr="00ED6465">
        <w:rPr>
          <w:rFonts w:ascii="Verdana" w:hAnsi="Verdana" w:cs="Arial"/>
          <w:lang w:val="es-MX" w:eastAsia="es-CO"/>
        </w:rPr>
        <w:t>P</w:t>
      </w:r>
      <w:r>
        <w:rPr>
          <w:rFonts w:ascii="Verdana" w:hAnsi="Verdana" w:cs="Arial"/>
          <w:lang w:val="es-MX" w:eastAsia="es-CO"/>
        </w:rPr>
        <w:t xml:space="preserve">ública – </w:t>
      </w:r>
      <w:r w:rsidRPr="00ED6465">
        <w:rPr>
          <w:rFonts w:ascii="Verdana" w:hAnsi="Verdana" w:cs="Arial"/>
          <w:lang w:val="es-MX" w:eastAsia="es-CO"/>
        </w:rPr>
        <w:t>C</w:t>
      </w:r>
      <w:r>
        <w:rPr>
          <w:rFonts w:ascii="Verdana" w:hAnsi="Verdana" w:cs="Arial"/>
          <w:lang w:val="es-MX" w:eastAsia="es-CO"/>
        </w:rPr>
        <w:t xml:space="preserve">olombia </w:t>
      </w:r>
      <w:r w:rsidRPr="00ED6465">
        <w:rPr>
          <w:rFonts w:ascii="Verdana" w:hAnsi="Verdana" w:cs="Arial"/>
          <w:lang w:val="es-MX" w:eastAsia="es-CO"/>
        </w:rPr>
        <w:t>C</w:t>
      </w:r>
      <w:r>
        <w:rPr>
          <w:rFonts w:ascii="Verdana" w:hAnsi="Verdana" w:cs="Arial"/>
          <w:lang w:val="es-MX" w:eastAsia="es-CO"/>
        </w:rPr>
        <w:t xml:space="preserve">ompra </w:t>
      </w:r>
      <w:r w:rsidRPr="00ED6465">
        <w:rPr>
          <w:rFonts w:ascii="Verdana" w:hAnsi="Verdana" w:cs="Arial"/>
          <w:lang w:val="es-MX" w:eastAsia="es-CO"/>
        </w:rPr>
        <w:t>E</w:t>
      </w:r>
      <w:r>
        <w:rPr>
          <w:rFonts w:ascii="Verdana" w:hAnsi="Verdana" w:cs="Arial"/>
          <w:lang w:val="es-MX" w:eastAsia="es-CO"/>
        </w:rPr>
        <w:t>ficiente</w:t>
      </w:r>
      <w:r w:rsidRPr="00ED6465">
        <w:rPr>
          <w:rFonts w:ascii="Verdana" w:hAnsi="Verdana" w:cs="Arial"/>
          <w:lang w:val="es-MX" w:eastAsia="es-CO"/>
        </w:rPr>
        <w:t>, en los literales ii) y iv) del numeral 2</w:t>
      </w:r>
      <w:r w:rsidRPr="00ED6465">
        <w:rPr>
          <w:rFonts w:ascii="Verdana" w:hAnsi="Verdana" w:cs="Arial"/>
          <w:lang w:eastAsia="es-CO"/>
        </w:rPr>
        <w:t>,</w:t>
      </w:r>
      <w:r w:rsidRPr="00ED6465">
        <w:rPr>
          <w:rFonts w:ascii="Verdana" w:hAnsi="Verdana" w:cs="Arial"/>
          <w:lang w:val="es-MX" w:eastAsia="es-CO"/>
        </w:rPr>
        <w:t xml:space="preserve"> indica que el </w:t>
      </w:r>
      <w:r w:rsidRPr="00ED6465">
        <w:rPr>
          <w:rFonts w:ascii="Verdana" w:hAnsi="Verdana" w:cs="Arial"/>
          <w:lang w:eastAsia="es-CO"/>
        </w:rPr>
        <w:t xml:space="preserve">parágrafo del artículo 38 de la Ley 996 de 2005 cobija expresamente a los </w:t>
      </w:r>
      <w:r w:rsidRPr="00ED6465">
        <w:rPr>
          <w:rFonts w:ascii="Verdana" w:hAnsi="Verdana" w:cs="Arial"/>
          <w:i/>
          <w:iCs/>
          <w:lang w:eastAsia="es-CO"/>
        </w:rPr>
        <w:t>convenios interadministrativos</w:t>
      </w:r>
      <w:r w:rsidRPr="00ED6465">
        <w:rPr>
          <w:rFonts w:ascii="Verdana" w:hAnsi="Verdana" w:cs="Arial"/>
          <w:lang w:eastAsia="es-CO"/>
        </w:rPr>
        <w:t xml:space="preserve"> en los que se contemple la ejecución de recursos públicos. Esto significa que la prohibición no resulta aplicable a convenios interadministrativos a título gratuito, los cuales pueden celebrarse válidamente durante la vigencia de la mencionada restricción. </w:t>
      </w:r>
    </w:p>
    <w:p w14:paraId="34A20348" w14:textId="77777777" w:rsidR="00601CFC" w:rsidRPr="00ED6465" w:rsidRDefault="00601CFC" w:rsidP="00601CFC">
      <w:pPr>
        <w:spacing w:after="0" w:line="276" w:lineRule="auto"/>
        <w:ind w:firstLine="708"/>
        <w:jc w:val="both"/>
        <w:rPr>
          <w:rFonts w:ascii="Verdana" w:hAnsi="Verdana" w:cs="Arial"/>
          <w:lang w:eastAsia="es-CO"/>
        </w:rPr>
      </w:pPr>
      <w:r w:rsidRPr="00ED6465">
        <w:rPr>
          <w:rFonts w:ascii="Verdana" w:hAnsi="Verdana" w:cs="Arial"/>
          <w:lang w:eastAsia="es-CO"/>
        </w:rPr>
        <w:t xml:space="preserve">Además, precisa que el parágrafo referido no estableció ningún supuesto que exceptúe la aplicación de esta prohibición, por lo que la restricción referida a la celebración de convenios interadministrativos aplicará a los sujetos allí señalados, </w:t>
      </w:r>
      <w:r w:rsidRPr="00ED6465">
        <w:rPr>
          <w:rFonts w:ascii="Verdana" w:hAnsi="Verdana" w:cs="Arial"/>
          <w:i/>
          <w:iCs/>
          <w:lang w:eastAsia="es-CO"/>
        </w:rPr>
        <w:t>“aunque se configure alguno de los supuestos de excepción que señaló el inciso final del artículo 33</w:t>
      </w:r>
      <w:r w:rsidRPr="00ED6465">
        <w:rPr>
          <w:rFonts w:ascii="Verdana" w:hAnsi="Verdana" w:cs="Arial"/>
          <w:lang w:eastAsia="es-CO"/>
        </w:rPr>
        <w:t xml:space="preserve">”. </w:t>
      </w:r>
    </w:p>
    <w:p w14:paraId="4664BC6B" w14:textId="77777777" w:rsidR="00601CFC" w:rsidRDefault="00601CFC" w:rsidP="00601CFC">
      <w:pPr>
        <w:spacing w:after="0" w:line="276" w:lineRule="auto"/>
        <w:jc w:val="both"/>
        <w:rPr>
          <w:rFonts w:ascii="Verdana" w:hAnsi="Verdana" w:cs="Arial"/>
          <w:bCs/>
          <w:lang w:val="es-MX" w:eastAsia="x-none"/>
        </w:rPr>
      </w:pPr>
    </w:p>
    <w:p w14:paraId="219D37DB" w14:textId="77777777" w:rsidR="00601CFC" w:rsidRPr="00ED6465" w:rsidRDefault="00601CFC" w:rsidP="00601CFC">
      <w:pPr>
        <w:spacing w:after="120" w:line="276" w:lineRule="auto"/>
        <w:jc w:val="both"/>
        <w:rPr>
          <w:rFonts w:ascii="Verdana" w:hAnsi="Verdana" w:cs="Arial"/>
          <w:bCs/>
          <w:lang w:val="es-MX" w:eastAsia="x-none"/>
        </w:rPr>
      </w:pPr>
      <w:r>
        <w:rPr>
          <w:rFonts w:ascii="Verdana" w:hAnsi="Verdana" w:cs="Arial"/>
          <w:bCs/>
          <w:lang w:val="es-MX" w:eastAsia="x-none"/>
        </w:rPr>
        <w:t>vi. Ahora bien, en relación con el problema juridico planteado</w:t>
      </w:r>
      <w:r w:rsidRPr="00ED6465">
        <w:rPr>
          <w:rFonts w:ascii="Verdana" w:hAnsi="Verdana" w:cs="Arial"/>
          <w:bCs/>
          <w:lang w:val="es-MX" w:eastAsia="x-none"/>
        </w:rPr>
        <w:t>,</w:t>
      </w:r>
      <w:r>
        <w:rPr>
          <w:rFonts w:ascii="Verdana" w:hAnsi="Verdana" w:cs="Arial"/>
          <w:bCs/>
          <w:lang w:val="es-MX" w:eastAsia="x-none"/>
        </w:rPr>
        <w:t xml:space="preserve"> debe precisarse que, aunque se ha sostenido</w:t>
      </w:r>
      <w:r w:rsidRPr="00ED6465">
        <w:rPr>
          <w:rFonts w:ascii="Verdana" w:hAnsi="Verdana" w:cs="Arial"/>
          <w:bCs/>
          <w:lang w:val="es-MX" w:eastAsia="x-none"/>
        </w:rPr>
        <w:t xml:space="preserve"> que el artículo 38</w:t>
      </w:r>
      <w:r>
        <w:rPr>
          <w:rFonts w:ascii="Verdana" w:hAnsi="Verdana" w:cs="Arial"/>
          <w:bCs/>
          <w:lang w:val="es-MX" w:eastAsia="x-none"/>
        </w:rPr>
        <w:t xml:space="preserve"> de la Ley 996 de 2005</w:t>
      </w:r>
      <w:r w:rsidRPr="00ED6465">
        <w:rPr>
          <w:rFonts w:ascii="Verdana" w:hAnsi="Verdana" w:cs="Arial"/>
          <w:bCs/>
          <w:lang w:val="es-MX" w:eastAsia="x-none"/>
        </w:rPr>
        <w:t xml:space="preserve"> </w:t>
      </w:r>
      <w:r>
        <w:rPr>
          <w:rFonts w:ascii="Verdana" w:hAnsi="Verdana" w:cs="Arial"/>
          <w:bCs/>
          <w:lang w:val="es-MX" w:eastAsia="x-none"/>
        </w:rPr>
        <w:t>únicamente</w:t>
      </w:r>
      <w:r w:rsidRPr="00ED6465">
        <w:rPr>
          <w:rFonts w:ascii="Verdana" w:hAnsi="Verdana" w:cs="Arial"/>
          <w:bCs/>
          <w:lang w:val="es-MX" w:eastAsia="x-none"/>
        </w:rPr>
        <w:t xml:space="preserve"> proh</w:t>
      </w:r>
      <w:r>
        <w:rPr>
          <w:rFonts w:ascii="Verdana" w:hAnsi="Verdana" w:cs="Arial"/>
          <w:bCs/>
          <w:lang w:val="es-MX" w:eastAsia="x-none"/>
        </w:rPr>
        <w:t>í</w:t>
      </w:r>
      <w:r w:rsidRPr="00ED6465">
        <w:rPr>
          <w:rFonts w:ascii="Verdana" w:hAnsi="Verdana" w:cs="Arial"/>
          <w:bCs/>
          <w:lang w:val="es-MX" w:eastAsia="x-none"/>
        </w:rPr>
        <w:t>be</w:t>
      </w:r>
      <w:r>
        <w:rPr>
          <w:rFonts w:ascii="Verdana" w:hAnsi="Verdana" w:cs="Arial"/>
          <w:bCs/>
          <w:lang w:val="es-MX" w:eastAsia="x-none"/>
        </w:rPr>
        <w:t xml:space="preserve"> a los </w:t>
      </w:r>
      <w:r w:rsidRPr="00ED6465">
        <w:rPr>
          <w:rFonts w:ascii="Verdana" w:hAnsi="Verdana" w:cs="Arial"/>
          <w:bCs/>
          <w:lang w:val="es-MX" w:eastAsia="x-none"/>
        </w:rPr>
        <w:t xml:space="preserve">Alcaldes, Gobernadores, Secretarios, Gerentes y Directores de las entidades del orden municipal, departamental o distrital </w:t>
      </w:r>
      <w:r>
        <w:rPr>
          <w:rFonts w:ascii="Verdana" w:hAnsi="Verdana" w:cs="Arial"/>
          <w:bCs/>
          <w:lang w:val="es-MX" w:eastAsia="x-none"/>
        </w:rPr>
        <w:t>celebrar</w:t>
      </w:r>
      <w:r w:rsidRPr="00ED6465">
        <w:rPr>
          <w:rFonts w:ascii="Verdana" w:hAnsi="Verdana" w:cs="Arial"/>
          <w:bCs/>
          <w:lang w:val="es-MX" w:eastAsia="x-none"/>
        </w:rPr>
        <w:t xml:space="preserve"> convenios interadministrativos que impliquen la ejecución de recursos públicos – lo cual excluiría, en principio, aquellos que no generan erogación presupuestal –, lo cierto es que la interpretación del artículo 33 de la misma ley, tanto en la jurisprudencia del Consejo de Estado como en la doctrina oficial de la Agencia Nacional de Contratación Pública - Colombia Compra Eficiente, ha sido consistente en</w:t>
      </w:r>
      <w:r>
        <w:rPr>
          <w:rFonts w:ascii="Verdana" w:hAnsi="Verdana" w:cs="Arial"/>
          <w:bCs/>
          <w:lang w:val="es-MX" w:eastAsia="x-none"/>
        </w:rPr>
        <w:t xml:space="preserve"> señalar que,</w:t>
      </w:r>
      <w:r w:rsidRPr="00ED6465">
        <w:rPr>
          <w:rFonts w:ascii="Verdana" w:hAnsi="Verdana" w:cs="Arial"/>
          <w:bCs/>
          <w:lang w:val="es-MX" w:eastAsia="x-none"/>
        </w:rPr>
        <w:t xml:space="preserve"> durante los cuatro (4) meses previos a las elecciones presidenciales, las entidades estatales tienen restringida la posibilidad de celebrar contratos bajo la modalidad de contratación directa, lo que incluye los convenios interadministrativos</w:t>
      </w:r>
      <w:r>
        <w:rPr>
          <w:rFonts w:ascii="Verdana" w:hAnsi="Verdana" w:cs="Arial"/>
          <w:bCs/>
          <w:lang w:val="es-MX" w:eastAsia="x-none"/>
        </w:rPr>
        <w:t>, así como los demás convenios distintos a los interadministrativos,</w:t>
      </w:r>
      <w:r w:rsidRPr="00ED6465">
        <w:rPr>
          <w:rFonts w:ascii="Verdana" w:hAnsi="Verdana" w:cs="Arial"/>
          <w:bCs/>
          <w:lang w:val="es-MX" w:eastAsia="x-none"/>
        </w:rPr>
        <w:t xml:space="preserve"> que no se celebren de forma competitiva. Esta prohibición busca garantizar la transparencia y evitar que la contratación pública se convierta en un instrumento de influencia política en tiempos electorales.</w:t>
      </w:r>
    </w:p>
    <w:p w14:paraId="27747E03" w14:textId="77777777" w:rsidR="00601CFC" w:rsidRDefault="00601CFC" w:rsidP="00601CFC">
      <w:pPr>
        <w:spacing w:after="120" w:line="276" w:lineRule="auto"/>
        <w:ind w:firstLine="709"/>
        <w:jc w:val="both"/>
        <w:rPr>
          <w:rFonts w:ascii="Verdana" w:hAnsi="Verdana" w:cs="Arial"/>
          <w:bCs/>
          <w:lang w:val="es-MX" w:eastAsia="x-none" w:bidi="es-ES"/>
        </w:rPr>
      </w:pPr>
      <w:r w:rsidRPr="00ED6465">
        <w:rPr>
          <w:rFonts w:ascii="Verdana" w:hAnsi="Verdana" w:cs="Arial"/>
          <w:bCs/>
          <w:lang w:val="es-MX" w:eastAsia="x-none"/>
        </w:rPr>
        <w:t xml:space="preserve">En este sentido, todos los entes del Estado, independiente del </w:t>
      </w:r>
      <w:r>
        <w:rPr>
          <w:rFonts w:ascii="Verdana" w:hAnsi="Verdana" w:cs="Arial"/>
          <w:bCs/>
          <w:lang w:val="es-MX" w:eastAsia="x-none"/>
        </w:rPr>
        <w:t xml:space="preserve">orden al que pertenezcan o el </w:t>
      </w:r>
      <w:r w:rsidRPr="00ED6465">
        <w:rPr>
          <w:rFonts w:ascii="Verdana" w:hAnsi="Verdana" w:cs="Arial"/>
          <w:bCs/>
          <w:lang w:val="es-MX" w:eastAsia="x-none"/>
        </w:rPr>
        <w:t xml:space="preserve">régimen jurídico aplicable, están sujetos a la restricción del artículo 33 de la Ley 996 de 2005, es decir, no podrán adelantar </w:t>
      </w:r>
      <w:r>
        <w:rPr>
          <w:rFonts w:ascii="Verdana" w:hAnsi="Verdana" w:cs="Arial"/>
          <w:bCs/>
          <w:lang w:val="es-MX" w:eastAsia="x-none"/>
        </w:rPr>
        <w:t xml:space="preserve">convenios – independientemente su tipologia – bajos un </w:t>
      </w:r>
      <w:r w:rsidRPr="00ED6465">
        <w:rPr>
          <w:rFonts w:ascii="Verdana" w:hAnsi="Verdana" w:cs="Arial"/>
          <w:bCs/>
          <w:lang w:val="es-MX" w:eastAsia="x-none"/>
        </w:rPr>
        <w:t xml:space="preserve">sistema que implique contratación directa respecto de </w:t>
      </w:r>
      <w:r w:rsidRPr="00ED6465">
        <w:rPr>
          <w:rFonts w:ascii="Verdana" w:hAnsi="Verdana" w:cs="Arial"/>
          <w:bCs/>
          <w:lang w:val="es-MX" w:eastAsia="x-none" w:bidi="es-ES"/>
        </w:rPr>
        <w:t xml:space="preserve">las elecciones presidenciales, dentro de los cuatro (4) meses anteriores a la celebración de los comicios, salvo las excepciones dispuestas en esta. </w:t>
      </w:r>
    </w:p>
    <w:p w14:paraId="3B130E6F" w14:textId="77777777" w:rsidR="00601CFC" w:rsidRDefault="00601CFC" w:rsidP="00601CFC">
      <w:pPr>
        <w:spacing w:after="0" w:line="276" w:lineRule="auto"/>
        <w:ind w:firstLine="709"/>
        <w:jc w:val="both"/>
        <w:rPr>
          <w:rFonts w:ascii="Verdana" w:hAnsi="Verdana" w:cs="Arial"/>
          <w:bCs/>
          <w:lang w:val="es-MX" w:eastAsia="x-none" w:bidi="es-ES"/>
        </w:rPr>
      </w:pPr>
      <w:r w:rsidRPr="00ED6465">
        <w:rPr>
          <w:rFonts w:ascii="Verdana"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r>
        <w:rPr>
          <w:rFonts w:ascii="Verdana" w:hAnsi="Verdana" w:cs="Arial"/>
          <w:bCs/>
          <w:lang w:val="es-MX" w:eastAsia="x-none" w:bidi="es-ES"/>
        </w:rPr>
        <w:t xml:space="preserve"> </w:t>
      </w:r>
      <w:r w:rsidRPr="00ED6465">
        <w:rPr>
          <w:rFonts w:ascii="Verdana"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que, de acuerdo con lo expuesto, se celebraría el 21 de junio de 2026.</w:t>
      </w:r>
    </w:p>
    <w:p w14:paraId="651D8DE4" w14:textId="77777777" w:rsidR="00601CFC" w:rsidRPr="00DD3610" w:rsidRDefault="00601CFC" w:rsidP="00601CFC">
      <w:pPr>
        <w:spacing w:after="0" w:line="276" w:lineRule="auto"/>
        <w:ind w:firstLine="709"/>
        <w:jc w:val="both"/>
        <w:rPr>
          <w:rFonts w:ascii="Verdana" w:hAnsi="Verdana" w:cs="Arial"/>
          <w:bCs/>
          <w:lang w:val="es-MX" w:eastAsia="x-none" w:bidi="es-ES"/>
        </w:rPr>
      </w:pPr>
    </w:p>
    <w:p w14:paraId="39D94E4D" w14:textId="77777777" w:rsidR="00601CFC" w:rsidRPr="00ED6465" w:rsidRDefault="00601CFC" w:rsidP="00601CFC">
      <w:pPr>
        <w:spacing w:after="0" w:line="276" w:lineRule="auto"/>
        <w:jc w:val="both"/>
        <w:rPr>
          <w:rFonts w:ascii="Verdana" w:hAnsi="Verdana" w:cs="Arial"/>
          <w:bCs/>
          <w:lang w:eastAsia="es-CO"/>
        </w:rPr>
      </w:pPr>
      <w:r>
        <w:rPr>
          <w:rFonts w:ascii="Verdana" w:eastAsia="Arial" w:hAnsi="Verdana" w:cs="Arial"/>
          <w:color w:val="000000"/>
        </w:rPr>
        <w:t xml:space="preserve">vii. </w:t>
      </w:r>
      <w:r w:rsidRPr="00ED6465">
        <w:rPr>
          <w:rFonts w:ascii="Verdana" w:eastAsia="Arial" w:hAnsi="Verdana" w:cs="Arial"/>
          <w:color w:val="000000"/>
        </w:rPr>
        <w:t xml:space="preserve">Finalmente, es importante advertir que </w:t>
      </w:r>
      <w:r w:rsidRPr="00ED6465">
        <w:rPr>
          <w:rFonts w:ascii="Verdana" w:hAnsi="Verdana" w:cs="Arial"/>
        </w:rPr>
        <w:t xml:space="preserve">compete a cada Entidad Estatal que considera celebrar un contrato específico definir si este se enmarca en alguna de las prohibiciones de la Ley de Garantías Electorales. </w:t>
      </w:r>
      <w:r w:rsidRPr="00ED6465">
        <w:rPr>
          <w:rFonts w:ascii="Verdana"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bookmarkEnd w:id="3"/>
    </w:p>
    <w:p w14:paraId="609DBE15" w14:textId="77777777" w:rsidR="00601CFC" w:rsidRPr="00ED6465" w:rsidRDefault="00601CFC" w:rsidP="00601CFC">
      <w:pPr>
        <w:spacing w:line="276" w:lineRule="auto"/>
        <w:jc w:val="both"/>
        <w:rPr>
          <w:rFonts w:ascii="Verdana" w:eastAsia="Calibri" w:hAnsi="Verdana" w:cs="Arial"/>
        </w:rPr>
      </w:pPr>
    </w:p>
    <w:p w14:paraId="1E920ADD" w14:textId="77777777" w:rsidR="00601CFC" w:rsidRPr="00ED6465" w:rsidRDefault="00601CFC" w:rsidP="00601CFC">
      <w:pPr>
        <w:widowControl w:val="0"/>
        <w:autoSpaceDE w:val="0"/>
        <w:autoSpaceDN w:val="0"/>
        <w:spacing w:line="276" w:lineRule="auto"/>
        <w:outlineLvl w:val="0"/>
        <w:rPr>
          <w:rFonts w:ascii="Verdana" w:eastAsia="Arial" w:hAnsi="Verdana" w:cs="Arial"/>
          <w:b/>
          <w:bCs/>
          <w:lang w:val="es-ES"/>
        </w:rPr>
      </w:pPr>
      <w:r w:rsidRPr="00ED6465">
        <w:rPr>
          <w:rFonts w:ascii="Verdana" w:eastAsia="Arial" w:hAnsi="Verdana" w:cs="Arial"/>
          <w:b/>
          <w:bCs/>
          <w:lang w:val="es-ES"/>
        </w:rPr>
        <w:t>4.Referencias normativas, jurisprudenciales y otras fuentes:</w:t>
      </w:r>
    </w:p>
    <w:p w14:paraId="63B794F4" w14:textId="77777777" w:rsidR="00601CFC" w:rsidRPr="00ED6465" w:rsidRDefault="00601CFC" w:rsidP="00601CFC">
      <w:pPr>
        <w:widowControl w:val="0"/>
        <w:autoSpaceDE w:val="0"/>
        <w:autoSpaceDN w:val="0"/>
        <w:spacing w:line="276" w:lineRule="auto"/>
        <w:jc w:val="both"/>
        <w:rPr>
          <w:rFonts w:ascii="Verdana" w:eastAsia="Aptos"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01CFC" w:rsidRPr="00480DE0" w14:paraId="4CC67B74" w14:textId="77777777" w:rsidTr="00436F07">
        <w:trPr>
          <w:trHeight w:val="870"/>
        </w:trPr>
        <w:tc>
          <w:tcPr>
            <w:tcW w:w="8647" w:type="dxa"/>
          </w:tcPr>
          <w:p w14:paraId="14DA3839"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Constitución Política. Artículo 127.</w:t>
            </w:r>
          </w:p>
          <w:p w14:paraId="12ABA58C" w14:textId="77777777" w:rsidR="00601CFC" w:rsidRPr="00480DE0" w:rsidRDefault="00601CFC" w:rsidP="00601CFC">
            <w:pPr>
              <w:numPr>
                <w:ilvl w:val="0"/>
                <w:numId w:val="2"/>
              </w:numPr>
              <w:spacing w:line="276" w:lineRule="auto"/>
              <w:contextualSpacing/>
              <w:jc w:val="both"/>
              <w:rPr>
                <w:rFonts w:ascii="Verdana" w:eastAsia="Calibri" w:hAnsi="Verdana" w:cs="Arial"/>
              </w:rPr>
            </w:pPr>
            <w:r w:rsidRPr="00480DE0">
              <w:rPr>
                <w:rFonts w:ascii="Verdana" w:eastAsia="Calibri" w:hAnsi="Verdana" w:cs="Arial"/>
              </w:rPr>
              <w:t>Ley 80 de 1993. Artículos 30 y 32.</w:t>
            </w:r>
          </w:p>
          <w:p w14:paraId="5DFAA03C"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bCs/>
                <w:lang w:eastAsia="es-ES" w:bidi="es-ES"/>
              </w:rPr>
              <w:t>Ley 996 de 2005. Artículos 33 y 38</w:t>
            </w:r>
            <w:r>
              <w:rPr>
                <w:rFonts w:ascii="Verdana" w:eastAsia="Arial MT" w:hAnsi="Verdana" w:cs="Arial"/>
                <w:bCs/>
                <w:lang w:eastAsia="es-ES" w:bidi="es-ES"/>
              </w:rPr>
              <w:t xml:space="preserve"> – parágrafo</w:t>
            </w:r>
            <w:r w:rsidRPr="00480DE0">
              <w:rPr>
                <w:rFonts w:ascii="Verdana" w:eastAsia="Arial MT" w:hAnsi="Verdana" w:cs="Arial"/>
                <w:bCs/>
                <w:lang w:eastAsia="es-ES" w:bidi="es-ES"/>
              </w:rPr>
              <w:t>.</w:t>
            </w:r>
          </w:p>
          <w:p w14:paraId="72E1F65C"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hAnsi="Verdana"/>
                <w:lang w:eastAsia="es-MX"/>
              </w:rPr>
              <w:t>Ley 1150 de 2007. A</w:t>
            </w:r>
            <w:r w:rsidRPr="00480DE0">
              <w:rPr>
                <w:rFonts w:ascii="Verdana" w:eastAsia="Arial MT" w:hAnsi="Verdana" w:cs="Arial"/>
                <w:lang w:eastAsia="es-ES" w:bidi="es-ES"/>
              </w:rPr>
              <w:t xml:space="preserve">rtículos 2, numeral 4. </w:t>
            </w:r>
          </w:p>
          <w:p w14:paraId="61B51C15" w14:textId="77777777" w:rsidR="00601CFC" w:rsidRPr="00550BB4"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Decreto 1082 de 2015. Artículo 2.2.1.2.1.4.4.</w:t>
            </w:r>
          </w:p>
          <w:p w14:paraId="7C034AC9"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w:hAnsi="Verdana" w:cs="Arial"/>
                <w:bCs/>
                <w:color w:val="000000"/>
              </w:rPr>
              <w:t xml:space="preserve">Resolución 04 del 12 de enero de 2018. </w:t>
            </w:r>
          </w:p>
          <w:p w14:paraId="2558F636"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60EA2C63"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12B5C9B4"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6307BBE8"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02 de septiembre de 2013. Rad. 11001-03-06-000-2013-00412-00 (2168). C.P. Álvaro Namén Vargas.</w:t>
            </w:r>
          </w:p>
          <w:p w14:paraId="3AC091FE"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08 de mayo de 2018. Exp. 2.382. C.P. Álvaro Namén Vargas.</w:t>
            </w:r>
          </w:p>
          <w:p w14:paraId="08AD8788"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 20 de febrero de 2006. Radicación Número: 11001-03-06-000-2006-00026-00(1727). C.P: Enrique José Arboleda Perdomo.</w:t>
            </w:r>
          </w:p>
          <w:p w14:paraId="0435201C"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051D9264"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lo Contencioso Administrativo. Sección Tercera. Auto del 4 de octubre de 2024. Exp. 70.313. C.P: Fredy Ibarra Martínez.</w:t>
            </w:r>
          </w:p>
          <w:p w14:paraId="5A85ACFD" w14:textId="77777777" w:rsidR="00601CFC" w:rsidRPr="00480DE0" w:rsidRDefault="00601CFC" w:rsidP="00601CFC">
            <w:pPr>
              <w:widowControl w:val="0"/>
              <w:numPr>
                <w:ilvl w:val="0"/>
                <w:numId w:val="2"/>
              </w:numPr>
              <w:autoSpaceDE w:val="0"/>
              <w:autoSpaceDN w:val="0"/>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Consejo de Estado. Sala de Consulta y Servicio Civil. Concepto del 12 de junio de 2018. Radicación Interna: 11001-03-06-000-2018-0043-00. (2371). Consejero Ponente: Oscar Darío Amaya Navas.</w:t>
            </w:r>
          </w:p>
          <w:p w14:paraId="554A5B9F" w14:textId="77777777" w:rsidR="00601CFC" w:rsidRPr="00480DE0" w:rsidRDefault="00601CFC" w:rsidP="00601CFC">
            <w:pPr>
              <w:numPr>
                <w:ilvl w:val="0"/>
                <w:numId w:val="2"/>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Corte Constitucional. Sentencia C-1153 de 2005 M.P. Marco Gerardo Monroy Cabra.</w:t>
            </w:r>
          </w:p>
          <w:p w14:paraId="20A9CA51" w14:textId="77777777" w:rsidR="00601CFC" w:rsidRPr="00480DE0" w:rsidRDefault="00601CFC" w:rsidP="00601CFC">
            <w:pPr>
              <w:numPr>
                <w:ilvl w:val="0"/>
                <w:numId w:val="2"/>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C-233 de 4 de abril de 2002. M.P: Álvaro Tafur Galvis. </w:t>
            </w:r>
          </w:p>
          <w:p w14:paraId="2CC339F4" w14:textId="77777777" w:rsidR="00601CFC" w:rsidRPr="00480DE0" w:rsidRDefault="00601CFC" w:rsidP="00601CFC">
            <w:pPr>
              <w:numPr>
                <w:ilvl w:val="0"/>
                <w:numId w:val="2"/>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C-551 de 9 de julio de 2003. M.P: Eduardo Montealegre Lynett. </w:t>
            </w:r>
          </w:p>
          <w:p w14:paraId="589305C7" w14:textId="77777777" w:rsidR="00601CFC" w:rsidRPr="00480DE0" w:rsidRDefault="00601CFC" w:rsidP="00601CFC">
            <w:pPr>
              <w:numPr>
                <w:ilvl w:val="0"/>
                <w:numId w:val="2"/>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C-652 de 5 de agosto de 2003. M.P: Jaime Córdoba Triviño. </w:t>
            </w:r>
          </w:p>
          <w:p w14:paraId="1B518FB7" w14:textId="77777777" w:rsidR="00601CFC" w:rsidRPr="00480DE0" w:rsidRDefault="00601CFC" w:rsidP="00601CFC">
            <w:pPr>
              <w:numPr>
                <w:ilvl w:val="0"/>
                <w:numId w:val="2"/>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 xml:space="preserve">Corte Constitucional. Sentencia C-353 de 20 de mayo de 2009. M.P: Jorge Iván Palacio Palacio. </w:t>
            </w:r>
          </w:p>
          <w:p w14:paraId="230332F4" w14:textId="77777777" w:rsidR="00601CFC" w:rsidRPr="00480DE0" w:rsidRDefault="00601CFC" w:rsidP="00601CFC">
            <w:pPr>
              <w:numPr>
                <w:ilvl w:val="0"/>
                <w:numId w:val="2"/>
              </w:numPr>
              <w:spacing w:line="276" w:lineRule="auto"/>
              <w:contextualSpacing/>
              <w:jc w:val="both"/>
              <w:rPr>
                <w:rFonts w:ascii="Verdana" w:eastAsia="Arial MT" w:hAnsi="Verdana" w:cs="Arial"/>
                <w:lang w:eastAsia="es-ES" w:bidi="es-ES"/>
              </w:rPr>
            </w:pPr>
            <w:r w:rsidRPr="00480DE0">
              <w:rPr>
                <w:rFonts w:ascii="Verdana" w:eastAsia="Arial MT" w:hAnsi="Verdana" w:cs="Arial"/>
                <w:lang w:eastAsia="es-ES" w:bidi="es-ES"/>
              </w:rPr>
              <w:t>Corte Constitucional. Sentencia C-541 de 30 de junio de 2010, M.P: Gabriel Eduardo Mendoza Martelo.</w:t>
            </w:r>
          </w:p>
        </w:tc>
      </w:tr>
    </w:tbl>
    <w:p w14:paraId="757AEF8C" w14:textId="77777777" w:rsidR="00601CFC" w:rsidRPr="00ED6465" w:rsidRDefault="00601CFC" w:rsidP="00601CFC">
      <w:pPr>
        <w:widowControl w:val="0"/>
        <w:autoSpaceDE w:val="0"/>
        <w:autoSpaceDN w:val="0"/>
        <w:spacing w:line="276" w:lineRule="auto"/>
        <w:jc w:val="both"/>
        <w:rPr>
          <w:rFonts w:ascii="Verdana" w:eastAsia="Aptos" w:hAnsi="Verdana" w:cs="Arial"/>
        </w:rPr>
      </w:pPr>
    </w:p>
    <w:p w14:paraId="0844C8F8" w14:textId="77777777" w:rsidR="00601CFC" w:rsidRPr="00ED6465" w:rsidRDefault="00601CFC" w:rsidP="00601CFC">
      <w:pPr>
        <w:widowControl w:val="0"/>
        <w:autoSpaceDE w:val="0"/>
        <w:autoSpaceDN w:val="0"/>
        <w:spacing w:line="276" w:lineRule="auto"/>
        <w:outlineLvl w:val="0"/>
        <w:rPr>
          <w:rFonts w:ascii="Verdana" w:eastAsia="Arial" w:hAnsi="Verdana" w:cs="Arial"/>
          <w:b/>
          <w:bCs/>
          <w:lang w:val="es-ES"/>
        </w:rPr>
      </w:pPr>
      <w:r w:rsidRPr="00ED6465">
        <w:rPr>
          <w:rFonts w:ascii="Verdana" w:eastAsia="Arial" w:hAnsi="Verdana" w:cs="Arial"/>
          <w:b/>
          <w:bCs/>
          <w:lang w:val="es-ES"/>
        </w:rPr>
        <w:t>5. Doctrina de la Agencia Nacional de Contratación Pública:</w:t>
      </w:r>
    </w:p>
    <w:p w14:paraId="51DE965A" w14:textId="77777777" w:rsidR="00601CFC" w:rsidRPr="00ED6465" w:rsidRDefault="00601CFC" w:rsidP="00601CFC">
      <w:pPr>
        <w:widowControl w:val="0"/>
        <w:autoSpaceDE w:val="0"/>
        <w:autoSpaceDN w:val="0"/>
        <w:spacing w:line="276" w:lineRule="auto"/>
        <w:jc w:val="both"/>
        <w:rPr>
          <w:rFonts w:ascii="Verdana" w:eastAsia="Aptos" w:hAnsi="Verdana" w:cs="Arial"/>
        </w:rPr>
      </w:pPr>
    </w:p>
    <w:p w14:paraId="633AE6BD" w14:textId="77777777" w:rsidR="00601CFC" w:rsidRPr="00ED6465" w:rsidRDefault="00601CFC" w:rsidP="00601CFC">
      <w:pPr>
        <w:widowControl w:val="0"/>
        <w:autoSpaceDE w:val="0"/>
        <w:autoSpaceDN w:val="0"/>
        <w:spacing w:line="276" w:lineRule="auto"/>
        <w:jc w:val="both"/>
        <w:rPr>
          <w:rFonts w:ascii="Verdana" w:eastAsia="Aptos" w:hAnsi="Verdana" w:cs="Arial"/>
          <w:shd w:val="clear" w:color="auto" w:fill="FFFFFF"/>
          <w:lang w:val="es-ES"/>
        </w:rPr>
      </w:pPr>
      <w:r w:rsidRPr="00ED6465">
        <w:rPr>
          <w:rFonts w:ascii="Verdana" w:eastAsia="Calibri" w:hAnsi="Verdana" w:cs="Arial"/>
          <w:bCs/>
          <w:shd w:val="clear" w:color="auto" w:fill="FFFFFF"/>
        </w:rPr>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w:t>
      </w:r>
      <w:r w:rsidRPr="00ED6465">
        <w:rPr>
          <w:rFonts w:ascii="Verdana" w:eastAsia="Calibri" w:hAnsi="Verdana" w:cs="Arial"/>
          <w:bCs/>
          <w:shd w:val="clear" w:color="auto" w:fill="FFFFFF"/>
          <w:lang w:val="es-ES"/>
        </w:rPr>
        <w:t xml:space="preserve">En tal sentido, recoge los conceptos expuestos, sin perjuicio de otras consideraciones. </w:t>
      </w:r>
      <w:r w:rsidRPr="00ED6465">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ED6465">
          <w:rPr>
            <w:rFonts w:ascii="Verdana" w:eastAsia="Aptos" w:hAnsi="Verdana" w:cs="Arial"/>
            <w:color w:val="0000FF"/>
            <w:u w:val="single"/>
            <w:shd w:val="clear" w:color="auto" w:fill="FFFFFF"/>
            <w:lang w:val="es-ES"/>
          </w:rPr>
          <w:t>https://relatoria.colombiacompra.gov.co/</w:t>
        </w:r>
      </w:hyperlink>
      <w:r w:rsidRPr="00ED6465">
        <w:rPr>
          <w:rFonts w:ascii="Verdana" w:eastAsia="Aptos" w:hAnsi="Verdana" w:cs="Arial"/>
          <w:shd w:val="clear" w:color="auto" w:fill="FFFFFF"/>
          <w:lang w:val="es-ES"/>
        </w:rPr>
        <w:t xml:space="preserve">. </w:t>
      </w:r>
    </w:p>
    <w:p w14:paraId="65B2DE03" w14:textId="77777777" w:rsidR="00601CFC" w:rsidRDefault="00601CFC" w:rsidP="00601CFC">
      <w:pPr>
        <w:spacing w:line="276" w:lineRule="auto"/>
        <w:jc w:val="both"/>
        <w:rPr>
          <w:rFonts w:ascii="Verdana" w:eastAsia="Aptos" w:hAnsi="Verdana"/>
        </w:rPr>
      </w:pPr>
    </w:p>
    <w:p w14:paraId="19FC14E0" w14:textId="77777777" w:rsidR="00601CFC" w:rsidRPr="00ED6465" w:rsidRDefault="00601CFC" w:rsidP="00601CFC">
      <w:pPr>
        <w:spacing w:after="0" w:line="276" w:lineRule="auto"/>
        <w:jc w:val="both"/>
        <w:rPr>
          <w:rFonts w:ascii="Verdana" w:eastAsia="Aptos" w:hAnsi="Verdana"/>
        </w:rPr>
      </w:pPr>
      <w:r w:rsidRPr="00ED6465">
        <w:rPr>
          <w:rFonts w:ascii="Verdana" w:eastAsia="Aptos" w:hAnsi="Verdana"/>
        </w:rPr>
        <w:t xml:space="preserve">La sostenibilidad no es una opción, es una obligación. Por ello, la Agencia Nacional de Contratación Pública –Colombia Compra Eficiente– te invita a realizar el </w:t>
      </w:r>
      <w:r w:rsidRPr="00ED6465">
        <w:rPr>
          <w:rFonts w:ascii="Verdana" w:eastAsia="Aptos" w:hAnsi="Verdana"/>
          <w:b/>
          <w:bCs/>
        </w:rPr>
        <w:t>Curso de Contratación Pública Sostenible y Socialmente Responsable</w:t>
      </w:r>
      <w:r w:rsidRPr="00ED6465">
        <w:rPr>
          <w:rFonts w:ascii="Verdana" w:eastAsia="Aptos"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ED6465">
        <w:rPr>
          <w:rFonts w:ascii="Verdana" w:eastAsia="Aptos" w:hAnsi="Verdana"/>
        </w:rPr>
        <w:br/>
      </w:r>
      <w:hyperlink r:id="rId13" w:tgtFrame="_new" w:history="1">
        <w:r w:rsidRPr="00ED6465">
          <w:rPr>
            <w:rFonts w:ascii="Verdana" w:eastAsia="Aptos" w:hAnsi="Verdana"/>
            <w:color w:val="0000FF"/>
            <w:u w:val="single"/>
          </w:rPr>
          <w:t>https://formacionvirtual.colombiacompra.gov.co/mod/page/view.php?id=3718</w:t>
        </w:r>
      </w:hyperlink>
    </w:p>
    <w:p w14:paraId="76B98B8C" w14:textId="77777777" w:rsidR="00601CFC" w:rsidRDefault="00601CFC" w:rsidP="00601CFC">
      <w:pPr>
        <w:spacing w:line="276" w:lineRule="auto"/>
        <w:jc w:val="both"/>
        <w:rPr>
          <w:rFonts w:ascii="Verdana" w:eastAsia="Aptos" w:hAnsi="Verdana"/>
        </w:rPr>
      </w:pPr>
    </w:p>
    <w:p w14:paraId="472B6036" w14:textId="77777777" w:rsidR="00601CFC" w:rsidRPr="00ED6465" w:rsidRDefault="00601CFC" w:rsidP="00601CFC">
      <w:pPr>
        <w:spacing w:line="276" w:lineRule="auto"/>
        <w:jc w:val="both"/>
        <w:rPr>
          <w:rFonts w:ascii="Verdana" w:eastAsia="Aptos" w:hAnsi="Verdana"/>
        </w:rPr>
      </w:pPr>
      <w:r w:rsidRPr="00ED6465">
        <w:rPr>
          <w:rFonts w:ascii="Verdana" w:eastAsia="Aptos" w:hAnsi="Verdana"/>
        </w:rPr>
        <w:t xml:space="preserve">De otro lado, te contamos que esta Agencia ha da un paso decisivo en la estandarización y modernización del </w:t>
      </w:r>
      <w:r w:rsidRPr="00ED6465">
        <w:rPr>
          <w:rFonts w:ascii="Verdana" w:eastAsia="Aptos" w:hAnsi="Verdana"/>
          <w:b/>
          <w:bCs/>
        </w:rPr>
        <w:t>sector  social</w:t>
      </w:r>
      <w:r w:rsidRPr="00ED6465">
        <w:rPr>
          <w:rFonts w:ascii="Verdana" w:eastAsia="Aptos" w:hAnsi="Verdana"/>
        </w:rPr>
        <w:t xml:space="preserve"> con la expedición de las </w:t>
      </w:r>
      <w:r w:rsidRPr="00ED6465">
        <w:rPr>
          <w:rFonts w:ascii="Verdana" w:eastAsia="Aptos" w:hAnsi="Verdana"/>
          <w:b/>
          <w:bCs/>
        </w:rPr>
        <w:t>Resoluciones 539, 540, 541, 952 y 953 de 2025</w:t>
      </w:r>
      <w:r w:rsidRPr="00ED6465">
        <w:rPr>
          <w:rFonts w:ascii="Verdana" w:eastAsia="Aptos" w:hAnsi="Verdana"/>
        </w:rPr>
        <w:t xml:space="preserve">, </w:t>
      </w:r>
      <w:r w:rsidRPr="00ED6465">
        <w:rPr>
          <w:rFonts w:ascii="Verdana" w:eastAsia="Aptos" w:hAnsi="Verdana"/>
          <w:b/>
          <w:bCs/>
        </w:rPr>
        <w:t>mediante las cuales adoptó Documentos Tipo</w:t>
      </w:r>
      <w:r w:rsidRPr="00ED6465">
        <w:rPr>
          <w:rFonts w:ascii="Verdana" w:eastAsia="Aptos" w:hAnsi="Verdana"/>
        </w:rPr>
        <w:t xml:space="preserve"> para las modalidades de selección de</w:t>
      </w:r>
      <w:r w:rsidRPr="00ED6465">
        <w:rPr>
          <w:rFonts w:ascii="Verdana" w:eastAsia="Aptos" w:hAnsi="Verdana"/>
          <w:b/>
          <w:bCs/>
        </w:rPr>
        <w:t xml:space="preserve"> licitación pública (versión 2), selección abreviada de menor cuantía, mínima cuantía, consultoría e interventoría</w:t>
      </w:r>
      <w:r w:rsidRPr="00ED6465">
        <w:rPr>
          <w:rFonts w:ascii="Verdana" w:eastAsia="Aptos"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D6465">
          <w:rPr>
            <w:rFonts w:ascii="Verdana" w:eastAsia="Aptos" w:hAnsi="Verdana"/>
            <w:color w:val="0000FF"/>
            <w:u w:val="single"/>
          </w:rPr>
          <w:t>https://www.colombiacompra.gov.co/normativa-y-relatoria/documentos-tipo</w:t>
        </w:r>
      </w:hyperlink>
    </w:p>
    <w:p w14:paraId="6616D640" w14:textId="77777777" w:rsidR="00601CFC" w:rsidRDefault="00601CFC" w:rsidP="00601CFC">
      <w:pPr>
        <w:spacing w:line="276" w:lineRule="auto"/>
        <w:jc w:val="both"/>
        <w:rPr>
          <w:rFonts w:ascii="Verdana" w:eastAsia="Aptos" w:hAnsi="Verdana"/>
        </w:rPr>
      </w:pPr>
    </w:p>
    <w:p w14:paraId="15263EE7" w14:textId="77777777" w:rsidR="00601CFC" w:rsidRPr="00ED6465" w:rsidRDefault="00601CFC" w:rsidP="00601CFC">
      <w:pPr>
        <w:spacing w:line="276" w:lineRule="auto"/>
        <w:jc w:val="both"/>
        <w:rPr>
          <w:rFonts w:ascii="Verdana" w:eastAsia="Aptos" w:hAnsi="Verdana"/>
        </w:rPr>
      </w:pPr>
      <w:r w:rsidRPr="00ED6465">
        <w:rPr>
          <w:rFonts w:ascii="Verdana" w:eastAsia="Aptos" w:hAnsi="Verdana"/>
        </w:rPr>
        <w:t xml:space="preserve">Si quieres conocer más sobre la aplicación de Documentos Tipo puedes consultar la última versión de la </w:t>
      </w:r>
      <w:r w:rsidRPr="00ED6465">
        <w:rPr>
          <w:rFonts w:ascii="Verdana" w:eastAsia="Aptos" w:hAnsi="Verdana"/>
          <w:b/>
          <w:bCs/>
        </w:rPr>
        <w:t>Guía para la comprensión e implementación de los Documentos Tipo de obra pública de infraestructura de transporte</w:t>
      </w:r>
      <w:r w:rsidRPr="00ED6465">
        <w:rPr>
          <w:rFonts w:ascii="Verdana" w:eastAsia="Aptos"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D6465">
        <w:rPr>
          <w:rFonts w:ascii="Verdana" w:eastAsia="Aptos" w:hAnsi="Verdana"/>
        </w:rPr>
        <w:br/>
      </w:r>
      <w:hyperlink r:id="rId15" w:tgtFrame="_new" w:history="1">
        <w:r w:rsidRPr="00ED6465">
          <w:rPr>
            <w:rFonts w:ascii="Verdana" w:eastAsia="Aptos" w:hAnsi="Verdana"/>
            <w:color w:val="0000FF"/>
            <w:u w:val="single"/>
          </w:rPr>
          <w:t>https://www.colombiacompra.gov.co/archivos/manual/guia-para-la-comprension-e-implementacion-de-los-documentos-tipo-de-obra-publica-de-infraestructura-de-transporte-bajo-las-diferentes-modalidades-de-contratacion-vigentes</w:t>
        </w:r>
      </w:hyperlink>
    </w:p>
    <w:p w14:paraId="7747DBBD" w14:textId="77777777" w:rsidR="00601CFC" w:rsidRPr="00ED6465" w:rsidRDefault="00601CFC" w:rsidP="00601CFC">
      <w:pPr>
        <w:widowControl w:val="0"/>
        <w:autoSpaceDE w:val="0"/>
        <w:autoSpaceDN w:val="0"/>
        <w:spacing w:line="276" w:lineRule="auto"/>
        <w:jc w:val="both"/>
        <w:rPr>
          <w:rFonts w:ascii="Verdana" w:eastAsia="Aptos" w:hAnsi="Verdana" w:cs="Arial"/>
          <w:shd w:val="clear" w:color="auto" w:fill="FFFFFF"/>
          <w:lang w:val="es-ES"/>
        </w:rPr>
      </w:pPr>
    </w:p>
    <w:p w14:paraId="1AC5C7DD" w14:textId="77777777" w:rsidR="00601CFC" w:rsidRPr="00ED6465" w:rsidRDefault="00601CFC" w:rsidP="00601CFC">
      <w:pPr>
        <w:spacing w:line="276" w:lineRule="auto"/>
        <w:jc w:val="both"/>
        <w:rPr>
          <w:rFonts w:ascii="Verdana" w:eastAsia="Aptos" w:hAnsi="Verdana"/>
        </w:rPr>
      </w:pPr>
      <w:r w:rsidRPr="00ED6465">
        <w:rPr>
          <w:rFonts w:ascii="Verdana" w:eastAsia="Aptos" w:hAnsi="Verdana"/>
        </w:rPr>
        <w:t xml:space="preserve">Por último, lo invitamos a seguirnos en las redes sociales en las cuales se difunde información institucional: </w:t>
      </w:r>
    </w:p>
    <w:p w14:paraId="309139D6" w14:textId="77777777" w:rsidR="00601CFC" w:rsidRPr="008E4F36" w:rsidRDefault="00601CFC" w:rsidP="00601CFC">
      <w:pPr>
        <w:spacing w:after="0" w:line="276" w:lineRule="auto"/>
        <w:jc w:val="both"/>
        <w:rPr>
          <w:rFonts w:ascii="Verdana" w:hAnsi="Verdana"/>
        </w:rPr>
      </w:pPr>
      <w:r w:rsidRPr="008E4F36">
        <w:rPr>
          <w:rFonts w:ascii="Verdana" w:hAnsi="Verdana"/>
        </w:rPr>
        <w:t xml:space="preserve">Twitter: </w:t>
      </w:r>
      <w:r w:rsidRPr="008E4F36">
        <w:rPr>
          <w:rStyle w:val="Hyperlink"/>
          <w:rFonts w:ascii="Verdana" w:hAnsi="Verdana"/>
        </w:rPr>
        <w:t>@colombiacompra</w:t>
      </w:r>
      <w:r w:rsidRPr="008E4F36">
        <w:rPr>
          <w:rFonts w:ascii="Verdana" w:hAnsi="Verdana"/>
        </w:rPr>
        <w:t xml:space="preserve"> </w:t>
      </w:r>
    </w:p>
    <w:p w14:paraId="4E648455" w14:textId="77777777" w:rsidR="00601CFC" w:rsidRPr="008E4F36" w:rsidRDefault="00601CFC" w:rsidP="00601CFC">
      <w:pPr>
        <w:spacing w:after="0" w:line="276" w:lineRule="auto"/>
        <w:jc w:val="both"/>
        <w:rPr>
          <w:rFonts w:ascii="Verdana" w:hAnsi="Verdana"/>
        </w:rPr>
      </w:pPr>
      <w:r w:rsidRPr="008E4F36">
        <w:rPr>
          <w:rFonts w:ascii="Verdana" w:hAnsi="Verdana"/>
        </w:rPr>
        <w:t xml:space="preserve">Facebook: </w:t>
      </w:r>
      <w:r w:rsidRPr="008E4F36">
        <w:rPr>
          <w:rStyle w:val="Hyperlink"/>
          <w:rFonts w:ascii="Verdana" w:hAnsi="Verdana"/>
        </w:rPr>
        <w:t>ColombiaCompraEficiente</w:t>
      </w:r>
    </w:p>
    <w:p w14:paraId="01359690" w14:textId="77777777" w:rsidR="00601CFC" w:rsidRPr="008E4F36" w:rsidRDefault="00601CFC" w:rsidP="00601CFC">
      <w:pPr>
        <w:spacing w:after="0" w:line="276" w:lineRule="auto"/>
        <w:jc w:val="both"/>
        <w:rPr>
          <w:rFonts w:ascii="Verdana" w:hAnsi="Verdana"/>
        </w:rPr>
      </w:pPr>
      <w:r w:rsidRPr="008E4F36">
        <w:rPr>
          <w:rFonts w:ascii="Verdana" w:hAnsi="Verdana"/>
        </w:rPr>
        <w:t xml:space="preserve">LinkedIn: </w:t>
      </w:r>
      <w:r w:rsidRPr="008E4F36">
        <w:rPr>
          <w:rStyle w:val="Hyperlink"/>
          <w:rFonts w:ascii="Verdana" w:hAnsi="Verdana"/>
        </w:rPr>
        <w:t>Agencia Nacional de Contratación Pública - Colombia Compra Eficiente</w:t>
      </w:r>
      <w:r w:rsidRPr="008E4F36">
        <w:rPr>
          <w:rFonts w:ascii="Verdana" w:hAnsi="Verdana"/>
        </w:rPr>
        <w:t xml:space="preserve"> Instagram: </w:t>
      </w:r>
      <w:r w:rsidRPr="008E4F36">
        <w:rPr>
          <w:rStyle w:val="Hyperlink"/>
          <w:rFonts w:ascii="Verdana" w:hAnsi="Verdana"/>
        </w:rPr>
        <w:t>@colombiacompraeficiente_cce</w:t>
      </w:r>
    </w:p>
    <w:p w14:paraId="7FDDB214" w14:textId="77777777" w:rsidR="00601CFC" w:rsidRPr="00ED6465" w:rsidRDefault="00601CFC" w:rsidP="00601CFC">
      <w:pPr>
        <w:widowControl w:val="0"/>
        <w:autoSpaceDE w:val="0"/>
        <w:autoSpaceDN w:val="0"/>
        <w:spacing w:line="276" w:lineRule="auto"/>
        <w:jc w:val="both"/>
        <w:rPr>
          <w:rFonts w:ascii="Verdana" w:eastAsia="Aptos" w:hAnsi="Verdana" w:cs="Arial"/>
        </w:rPr>
      </w:pPr>
    </w:p>
    <w:p w14:paraId="7705AA11" w14:textId="77777777" w:rsidR="00601CFC" w:rsidRPr="00ED6465" w:rsidRDefault="00601CFC" w:rsidP="00601CFC">
      <w:pPr>
        <w:widowControl w:val="0"/>
        <w:autoSpaceDE w:val="0"/>
        <w:autoSpaceDN w:val="0"/>
        <w:spacing w:line="276" w:lineRule="auto"/>
        <w:jc w:val="both"/>
        <w:rPr>
          <w:rFonts w:ascii="Verdana" w:eastAsia="Aptos" w:hAnsi="Verdana" w:cs="Arial"/>
          <w:lang w:val="es-ES_tradnl"/>
        </w:rPr>
      </w:pPr>
      <w:r w:rsidRPr="00ED6465">
        <w:rPr>
          <w:rFonts w:ascii="Verdana" w:eastAsia="Aptos" w:hAnsi="Verdana" w:cs="Arial"/>
        </w:rPr>
        <w:t xml:space="preserve">Este concepto tiene el alcance previsto en el artículo 28 del Código de Procedimiento Administrativo y de lo Contencioso Administrativo </w:t>
      </w:r>
      <w:r w:rsidRPr="00ED6465">
        <w:rPr>
          <w:rFonts w:ascii="Verdana" w:eastAsia="Aptos" w:hAnsi="Verdana" w:cs="Arial"/>
          <w:lang w:val="es-ES_tradnl"/>
        </w:rPr>
        <w:t>y las expresiones aquí utilizadas con mayúscula inicial deben ser entendidas con el significado que les otorga el artículo 2.2.1.1.1.3.1. del Decreto 1082 de 2015.</w:t>
      </w:r>
    </w:p>
    <w:p w14:paraId="2F5A3CD9" w14:textId="77777777" w:rsidR="00601CFC" w:rsidRPr="00ED6465" w:rsidRDefault="00601CFC" w:rsidP="00601CFC">
      <w:pPr>
        <w:widowControl w:val="0"/>
        <w:autoSpaceDE w:val="0"/>
        <w:autoSpaceDN w:val="0"/>
        <w:spacing w:line="276" w:lineRule="auto"/>
        <w:jc w:val="both"/>
        <w:rPr>
          <w:rFonts w:ascii="Verdana" w:eastAsia="Aptos" w:hAnsi="Verdana" w:cs="Arial"/>
        </w:rPr>
      </w:pPr>
    </w:p>
    <w:p w14:paraId="33DD0F40" w14:textId="77777777" w:rsidR="00601CFC" w:rsidRPr="00ED6465" w:rsidRDefault="00601CFC" w:rsidP="00601CFC">
      <w:pPr>
        <w:spacing w:line="276" w:lineRule="auto"/>
        <w:rPr>
          <w:rFonts w:ascii="Verdana" w:eastAsia="Aptos" w:hAnsi="Verdana" w:cs="Arial"/>
          <w:lang w:eastAsia="es-CO"/>
        </w:rPr>
      </w:pPr>
      <w:r w:rsidRPr="00ED6465">
        <w:rPr>
          <w:rFonts w:ascii="Verdana" w:hAnsi="Verdana" w:cs="Arial"/>
          <w:lang w:eastAsia="es-CO"/>
        </w:rPr>
        <w:t>Atentamente,</w:t>
      </w:r>
      <w:r w:rsidRPr="00ED6465">
        <w:rPr>
          <w:rFonts w:ascii="Verdana" w:eastAsia="Aptos" w:hAnsi="Verdana" w:cs="Arial"/>
          <w:lang w:eastAsia="es-CO"/>
        </w:rPr>
        <w:t xml:space="preserve"> </w:t>
      </w:r>
    </w:p>
    <w:p w14:paraId="429EC97D" w14:textId="480487D1" w:rsidR="00601CFC" w:rsidRPr="00480DE0" w:rsidRDefault="005F5BB7" w:rsidP="00601CFC">
      <w:pPr>
        <w:spacing w:line="276" w:lineRule="auto"/>
        <w:jc w:val="center"/>
        <w:rPr>
          <w:rFonts w:ascii="Verdana" w:eastAsia="Aptos" w:hAnsi="Verdana" w:cs="Arial"/>
          <w:lang w:val="es-ES_tradnl" w:eastAsia="es-CO"/>
        </w:rPr>
      </w:pPr>
      <w:r>
        <w:rPr>
          <w:rFonts w:ascii="Century Gothic" w:hAnsi="Century Gothic"/>
          <w:noProof/>
        </w:rPr>
        <w:drawing>
          <wp:inline distT="0" distB="0" distL="0" distR="0" wp14:anchorId="70DB34AA" wp14:editId="24805280">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601CFC" w:rsidRPr="00480DE0" w14:paraId="77271E7B" w14:textId="77777777" w:rsidTr="00436F07">
        <w:trPr>
          <w:trHeight w:val="286"/>
        </w:trPr>
        <w:tc>
          <w:tcPr>
            <w:tcW w:w="901" w:type="dxa"/>
            <w:vAlign w:val="center"/>
            <w:hideMark/>
          </w:tcPr>
          <w:p w14:paraId="60A4A5F0" w14:textId="77777777" w:rsidR="00601CFC" w:rsidRPr="00480DE0" w:rsidRDefault="00601CFC" w:rsidP="00436F07">
            <w:pPr>
              <w:rPr>
                <w:rFonts w:ascii="Verdana" w:eastAsia="Aptos" w:hAnsi="Verdana" w:cs="Arial"/>
                <w:sz w:val="14"/>
                <w:szCs w:val="14"/>
                <w:lang w:eastAsia="es-ES"/>
              </w:rPr>
            </w:pPr>
            <w:r w:rsidRPr="00480DE0">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277EC6C0" w14:textId="77777777" w:rsidR="00601CFC" w:rsidRPr="00480DE0" w:rsidRDefault="00601CFC" w:rsidP="00436F07">
            <w:pPr>
              <w:rPr>
                <w:rFonts w:ascii="Verdana" w:eastAsia="Aptos" w:hAnsi="Verdana" w:cs="Arial"/>
                <w:sz w:val="14"/>
                <w:szCs w:val="14"/>
                <w:lang w:eastAsia="es-ES"/>
              </w:rPr>
            </w:pPr>
            <w:r>
              <w:rPr>
                <w:rFonts w:ascii="Verdana" w:eastAsia="Aptos" w:hAnsi="Verdana" w:cs="Arial"/>
                <w:sz w:val="14"/>
                <w:szCs w:val="14"/>
                <w:lang w:eastAsia="es-ES"/>
              </w:rPr>
              <w:t>Andreina Cerpa Muñoz</w:t>
            </w:r>
          </w:p>
          <w:p w14:paraId="459B7011" w14:textId="77777777" w:rsidR="00601CFC" w:rsidRPr="00480DE0" w:rsidRDefault="00601CFC" w:rsidP="00436F07">
            <w:pPr>
              <w:rPr>
                <w:rFonts w:ascii="Verdana" w:eastAsia="Aptos" w:hAnsi="Verdana" w:cs="Arial"/>
                <w:sz w:val="14"/>
                <w:szCs w:val="14"/>
                <w:lang w:eastAsia="es-ES"/>
              </w:rPr>
            </w:pPr>
            <w:r w:rsidRPr="00480DE0">
              <w:rPr>
                <w:rFonts w:ascii="Verdana" w:eastAsia="Aptos" w:hAnsi="Verdana" w:cs="Arial"/>
                <w:sz w:val="14"/>
                <w:szCs w:val="14"/>
                <w:lang w:eastAsia="es-ES"/>
              </w:rPr>
              <w:t>Analista T2–0</w:t>
            </w:r>
            <w:r>
              <w:rPr>
                <w:rFonts w:ascii="Verdana" w:eastAsia="Aptos" w:hAnsi="Verdana" w:cs="Arial"/>
                <w:sz w:val="14"/>
                <w:szCs w:val="14"/>
                <w:lang w:eastAsia="es-ES"/>
              </w:rPr>
              <w:t>2</w:t>
            </w:r>
            <w:r w:rsidRPr="00480DE0">
              <w:rPr>
                <w:rFonts w:ascii="Verdana" w:eastAsia="Aptos" w:hAnsi="Verdana" w:cs="Arial"/>
                <w:sz w:val="14"/>
                <w:szCs w:val="14"/>
                <w:lang w:eastAsia="es-ES"/>
              </w:rPr>
              <w:t xml:space="preserve"> de la Subdirección de Gestión Contractual</w:t>
            </w:r>
          </w:p>
        </w:tc>
      </w:tr>
      <w:tr w:rsidR="00601CFC" w:rsidRPr="00480DE0" w14:paraId="1EDE5EB4" w14:textId="77777777" w:rsidTr="00436F07">
        <w:trPr>
          <w:trHeight w:val="299"/>
        </w:trPr>
        <w:tc>
          <w:tcPr>
            <w:tcW w:w="901" w:type="dxa"/>
            <w:vAlign w:val="center"/>
          </w:tcPr>
          <w:p w14:paraId="32C93A83" w14:textId="77777777" w:rsidR="00601CFC" w:rsidRPr="00480DE0" w:rsidRDefault="00601CFC" w:rsidP="00436F07">
            <w:pPr>
              <w:rPr>
                <w:rFonts w:ascii="Verdana" w:eastAsia="Aptos" w:hAnsi="Verdana" w:cs="Arial"/>
                <w:sz w:val="14"/>
                <w:szCs w:val="14"/>
                <w:lang w:eastAsia="es-ES"/>
              </w:rPr>
            </w:pPr>
            <w:r w:rsidRPr="00480DE0">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6CD687BB" w14:textId="77777777" w:rsidR="00601CFC" w:rsidRPr="00480DE0" w:rsidRDefault="00601CFC" w:rsidP="00436F07">
            <w:pPr>
              <w:rPr>
                <w:rFonts w:ascii="Verdana" w:eastAsia="Aptos" w:hAnsi="Verdana" w:cs="Arial"/>
                <w:sz w:val="14"/>
                <w:szCs w:val="14"/>
                <w:lang w:eastAsia="es-ES"/>
              </w:rPr>
            </w:pPr>
            <w:r>
              <w:rPr>
                <w:rFonts w:ascii="Verdana" w:eastAsia="Aptos" w:hAnsi="Verdana" w:cs="Arial"/>
                <w:sz w:val="14"/>
                <w:szCs w:val="14"/>
                <w:lang w:eastAsia="es-ES"/>
              </w:rPr>
              <w:t xml:space="preserve">Adriana Katherine López Rodríguez </w:t>
            </w:r>
          </w:p>
          <w:p w14:paraId="7D221075" w14:textId="77777777" w:rsidR="00601CFC" w:rsidRPr="00480DE0" w:rsidRDefault="00601CFC" w:rsidP="00436F07">
            <w:pPr>
              <w:rPr>
                <w:rFonts w:ascii="Verdana" w:eastAsia="Aptos" w:hAnsi="Verdana" w:cs="Arial"/>
                <w:sz w:val="14"/>
                <w:szCs w:val="14"/>
                <w:lang w:eastAsia="es-ES"/>
              </w:rPr>
            </w:pPr>
            <w:r w:rsidRPr="00480DE0">
              <w:rPr>
                <w:rFonts w:ascii="Verdana" w:eastAsia="Aptos" w:hAnsi="Verdana" w:cs="Arial"/>
                <w:sz w:val="14"/>
                <w:szCs w:val="14"/>
                <w:lang w:eastAsia="es-ES"/>
              </w:rPr>
              <w:t>Contratista de la Subdirección de Gestión Contractual</w:t>
            </w:r>
          </w:p>
        </w:tc>
      </w:tr>
      <w:tr w:rsidR="00601CFC" w:rsidRPr="00480DE0" w14:paraId="483B2B31" w14:textId="77777777" w:rsidTr="00436F07">
        <w:trPr>
          <w:trHeight w:val="272"/>
        </w:trPr>
        <w:tc>
          <w:tcPr>
            <w:tcW w:w="901" w:type="dxa"/>
            <w:vAlign w:val="center"/>
            <w:hideMark/>
          </w:tcPr>
          <w:p w14:paraId="53E3DF27" w14:textId="77777777" w:rsidR="00601CFC" w:rsidRPr="00480DE0" w:rsidRDefault="00601CFC" w:rsidP="00436F07">
            <w:pPr>
              <w:rPr>
                <w:rFonts w:ascii="Verdana" w:eastAsia="Aptos" w:hAnsi="Verdana" w:cs="Arial"/>
                <w:sz w:val="14"/>
                <w:szCs w:val="14"/>
                <w:lang w:eastAsia="es-ES"/>
              </w:rPr>
            </w:pPr>
            <w:r w:rsidRPr="00480DE0">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67F4CB1C" w14:textId="77777777" w:rsidR="00601CFC" w:rsidRPr="00480DE0" w:rsidRDefault="00601CFC" w:rsidP="00436F07">
            <w:pPr>
              <w:rPr>
                <w:rFonts w:ascii="Verdana" w:eastAsia="Aptos" w:hAnsi="Verdana" w:cs="Arial"/>
                <w:sz w:val="14"/>
                <w:szCs w:val="14"/>
                <w:lang w:eastAsia="es-ES"/>
              </w:rPr>
            </w:pPr>
            <w:r w:rsidRPr="00480DE0">
              <w:rPr>
                <w:rFonts w:ascii="Verdana" w:eastAsia="Aptos" w:hAnsi="Verdana" w:cs="Arial"/>
                <w:sz w:val="14"/>
                <w:szCs w:val="14"/>
                <w:lang w:eastAsia="es-ES"/>
              </w:rPr>
              <w:t>Carolina Quintero Gacharná</w:t>
            </w:r>
          </w:p>
          <w:p w14:paraId="3520D940" w14:textId="77777777" w:rsidR="00601CFC" w:rsidRPr="00480DE0" w:rsidRDefault="00601CFC" w:rsidP="00436F07">
            <w:pPr>
              <w:rPr>
                <w:rFonts w:ascii="Verdana" w:eastAsia="Aptos" w:hAnsi="Verdana" w:cs="Arial"/>
                <w:sz w:val="14"/>
                <w:szCs w:val="14"/>
                <w:lang w:eastAsia="es-ES"/>
              </w:rPr>
            </w:pPr>
            <w:r w:rsidRPr="00480DE0">
              <w:rPr>
                <w:rFonts w:ascii="Verdana" w:eastAsia="Aptos" w:hAnsi="Verdana" w:cs="Arial"/>
                <w:sz w:val="14"/>
                <w:szCs w:val="14"/>
                <w:lang w:eastAsia="es-ES"/>
              </w:rPr>
              <w:t>Subdirectora de Gestión Contractual ANCP – CCE</w:t>
            </w:r>
          </w:p>
        </w:tc>
      </w:tr>
    </w:tbl>
    <w:p w14:paraId="20F4C075" w14:textId="77777777" w:rsidR="00601CFC" w:rsidRPr="00480DE0" w:rsidRDefault="00601CFC" w:rsidP="00601CFC">
      <w:pPr>
        <w:jc w:val="both"/>
        <w:rPr>
          <w:rFonts w:ascii="Aptos" w:eastAsia="Aptos" w:hAnsi="Aptos"/>
        </w:rPr>
      </w:pPr>
    </w:p>
    <w:p w14:paraId="6888112F" w14:textId="77777777" w:rsidR="00601CFC" w:rsidRPr="000E2B93" w:rsidRDefault="00601CFC" w:rsidP="00601CFC">
      <w:pPr>
        <w:jc w:val="both"/>
        <w:textAlignment w:val="baseline"/>
        <w:rPr>
          <w:rFonts w:ascii="Verdana" w:eastAsia="Verdana" w:hAnsi="Verdana" w:cs="Verdana"/>
          <w:lang w:eastAsia="es-CO"/>
        </w:rPr>
      </w:pPr>
    </w:p>
    <w:p w14:paraId="47081942" w14:textId="77777777" w:rsidR="00601CFC" w:rsidRPr="000E2B93" w:rsidRDefault="00601CFC" w:rsidP="00601CFC">
      <w:pPr>
        <w:textAlignment w:val="baseline"/>
        <w:rPr>
          <w:rFonts w:ascii="Verdana" w:eastAsia="Verdana" w:hAnsi="Verdana" w:cs="Verdana"/>
          <w:lang w:eastAsia="es-CO"/>
        </w:rPr>
      </w:pPr>
      <w:r w:rsidRPr="30821638">
        <w:rPr>
          <w:rFonts w:ascii="Verdana" w:eastAsia="Verdana" w:hAnsi="Verdana" w:cs="Verdana"/>
          <w:lang w:eastAsia="es-CO"/>
        </w:rPr>
        <w:t> </w:t>
      </w:r>
    </w:p>
    <w:p w14:paraId="5BAA1710" w14:textId="20F90044" w:rsidR="00550BB4" w:rsidRPr="00601CFC" w:rsidRDefault="00601CFC" w:rsidP="00601CFC">
      <w:pPr>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550BB4" w:rsidRPr="00601CFC" w:rsidSect="008B4D6E">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25D13" w14:textId="77777777" w:rsidR="001748B3" w:rsidRDefault="001748B3" w:rsidP="008B4D6E">
      <w:pPr>
        <w:spacing w:after="0" w:line="240" w:lineRule="auto"/>
      </w:pPr>
      <w:r>
        <w:separator/>
      </w:r>
    </w:p>
  </w:endnote>
  <w:endnote w:type="continuationSeparator" w:id="0">
    <w:p w14:paraId="7CB4DC9C" w14:textId="77777777" w:rsidR="001748B3" w:rsidRDefault="001748B3" w:rsidP="008B4D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ptos Display">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5AEE3" w14:textId="77777777" w:rsidR="008B4D6E" w:rsidRDefault="008B4D6E" w:rsidP="00436F07">
    <w:pPr>
      <w:spacing w:after="0"/>
      <w:rPr>
        <w:rFonts w:ascii="Verdana" w:hAnsi="Verdana"/>
        <w:b/>
        <w:bCs/>
        <w:sz w:val="20"/>
        <w:szCs w:val="20"/>
      </w:rPr>
    </w:pPr>
  </w:p>
  <w:p w14:paraId="34831CC6" w14:textId="77777777" w:rsidR="008B4D6E" w:rsidRPr="00174B77" w:rsidRDefault="008B4D6E" w:rsidP="00436F07">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4F39765" w14:textId="77777777" w:rsidR="008B4D6E" w:rsidRDefault="008B4D6E" w:rsidP="00436F07">
    <w:pPr>
      <w:spacing w:after="0"/>
      <w:jc w:val="both"/>
      <w:rPr>
        <w:rFonts w:ascii="Verdana" w:hAnsi="Verdana"/>
        <w:sz w:val="18"/>
        <w:szCs w:val="18"/>
      </w:rPr>
    </w:pPr>
    <w:r w:rsidRPr="00E41027">
      <w:rPr>
        <w:rFonts w:ascii="Verdana" w:hAnsi="Verdana"/>
        <w:sz w:val="18"/>
        <w:szCs w:val="18"/>
      </w:rPr>
      <w:t>Dirección: Carrera 7 # 26 – 20 - Bogotá, Colombia</w:t>
    </w:r>
  </w:p>
  <w:p w14:paraId="3003D1C3" w14:textId="77777777" w:rsidR="008B4D6E" w:rsidRPr="00E41027" w:rsidRDefault="008B4D6E" w:rsidP="00436F07">
    <w:pPr>
      <w:spacing w:after="0"/>
      <w:jc w:val="both"/>
      <w:rPr>
        <w:rFonts w:ascii="Verdana" w:hAnsi="Verdana"/>
        <w:sz w:val="18"/>
        <w:szCs w:val="18"/>
      </w:rPr>
    </w:pPr>
    <w:r w:rsidRPr="00E41027">
      <w:rPr>
        <w:rFonts w:ascii="Verdana" w:hAnsi="Verdana"/>
        <w:sz w:val="18"/>
        <w:szCs w:val="18"/>
      </w:rPr>
      <w:t>Mesa de servicio: (+57) 601 7456788</w:t>
    </w:r>
  </w:p>
  <w:p w14:paraId="1D92F80A" w14:textId="77777777" w:rsidR="008B4D6E" w:rsidRDefault="008B4D6E" w:rsidP="00436F07">
    <w:pPr>
      <w:pStyle w:val="Foote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A425513" w14:textId="77777777" w:rsidR="008B4D6E" w:rsidRPr="007D04B2" w:rsidRDefault="008B4D6E" w:rsidP="00436F07">
    <w:pPr>
      <w:pStyle w:val="Footer"/>
    </w:pPr>
  </w:p>
  <w:p w14:paraId="4DC691A5" w14:textId="77777777" w:rsidR="008B4D6E" w:rsidRPr="000849D5" w:rsidRDefault="008B4D6E" w:rsidP="00436F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AF879" w14:textId="77777777" w:rsidR="001748B3" w:rsidRDefault="001748B3" w:rsidP="008B4D6E">
      <w:pPr>
        <w:spacing w:after="0" w:line="240" w:lineRule="auto"/>
      </w:pPr>
      <w:r>
        <w:separator/>
      </w:r>
    </w:p>
  </w:footnote>
  <w:footnote w:type="continuationSeparator" w:id="0">
    <w:p w14:paraId="05FBDFFF" w14:textId="77777777" w:rsidR="001748B3" w:rsidRDefault="001748B3" w:rsidP="008B4D6E">
      <w:pPr>
        <w:spacing w:after="0" w:line="240" w:lineRule="auto"/>
      </w:pPr>
      <w:r>
        <w:continuationSeparator/>
      </w:r>
    </w:p>
  </w:footnote>
  <w:footnote w:id="1">
    <w:p w14:paraId="128BD46B" w14:textId="77777777" w:rsidR="00601CFC" w:rsidRPr="00ED6465" w:rsidRDefault="00601CFC" w:rsidP="00601CFC">
      <w:pPr>
        <w:pStyle w:val="FootnoteText"/>
        <w:ind w:firstLine="709"/>
        <w:jc w:val="both"/>
        <w:rPr>
          <w:rFonts w:ascii="Verdana" w:hAnsi="Verdana" w:cs="Arial"/>
          <w:sz w:val="16"/>
          <w:szCs w:val="16"/>
        </w:rPr>
      </w:pPr>
      <w:r w:rsidRPr="00ED6465">
        <w:rPr>
          <w:rStyle w:val="FootnoteReference"/>
          <w:rFonts w:ascii="Verdana" w:hAnsi="Verdana" w:cs="Arial"/>
          <w:sz w:val="16"/>
          <w:szCs w:val="16"/>
        </w:rPr>
        <w:footnoteRef/>
      </w:r>
      <w:r w:rsidRPr="00ED646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960C944" w14:textId="77777777" w:rsidR="00601CFC" w:rsidRPr="00ED6465" w:rsidRDefault="00601CFC" w:rsidP="00601CFC">
      <w:pPr>
        <w:pStyle w:val="FootnoteText"/>
        <w:ind w:firstLine="709"/>
        <w:jc w:val="both"/>
        <w:rPr>
          <w:rFonts w:ascii="Verdana" w:hAnsi="Verdana" w:cs="Arial"/>
          <w:sz w:val="16"/>
          <w:szCs w:val="16"/>
        </w:rPr>
      </w:pPr>
    </w:p>
  </w:footnote>
  <w:footnote w:id="2">
    <w:p w14:paraId="3115F89E" w14:textId="77777777" w:rsidR="00601CFC" w:rsidRDefault="00601CFC" w:rsidP="00601CFC">
      <w:pPr>
        <w:pStyle w:val="FootnoteText"/>
        <w:ind w:firstLine="709"/>
        <w:jc w:val="both"/>
        <w:rPr>
          <w:rFonts w:ascii="Verdana" w:hAnsi="Verdana" w:cs="Arial"/>
          <w:sz w:val="16"/>
          <w:szCs w:val="16"/>
        </w:rPr>
      </w:pPr>
      <w:r w:rsidRPr="00ED6465">
        <w:rPr>
          <w:rStyle w:val="FootnoteReference"/>
          <w:rFonts w:ascii="Verdana" w:hAnsi="Verdana" w:cs="Arial"/>
          <w:sz w:val="16"/>
          <w:szCs w:val="16"/>
        </w:rPr>
        <w:footnoteRef/>
      </w:r>
      <w:r w:rsidRPr="00ED6465">
        <w:rPr>
          <w:rFonts w:ascii="Verdana" w:hAnsi="Verdana" w:cs="Arial"/>
          <w:sz w:val="16"/>
          <w:szCs w:val="16"/>
        </w:rPr>
        <w:t xml:space="preserve"> Corte Constitucional. Sentencia C-1153 de 2005 M.P. Marco Gerardo Monroy Cabra. </w:t>
      </w:r>
    </w:p>
    <w:p w14:paraId="32EF80BE" w14:textId="77777777" w:rsidR="00601CFC" w:rsidRPr="00ED6465" w:rsidRDefault="00601CFC" w:rsidP="00601CFC">
      <w:pPr>
        <w:pStyle w:val="FootnoteText"/>
        <w:ind w:firstLine="709"/>
        <w:jc w:val="both"/>
        <w:rPr>
          <w:rFonts w:ascii="Verdana" w:hAnsi="Verdana" w:cs="Arial"/>
          <w:sz w:val="16"/>
          <w:szCs w:val="16"/>
        </w:rPr>
      </w:pPr>
    </w:p>
  </w:footnote>
  <w:footnote w:id="3">
    <w:p w14:paraId="292ACD78" w14:textId="77777777" w:rsidR="00601CFC" w:rsidRDefault="00601CFC" w:rsidP="00601CFC">
      <w:pPr>
        <w:ind w:firstLine="709"/>
        <w:jc w:val="both"/>
        <w:rPr>
          <w:rFonts w:ascii="Verdana" w:hAnsi="Verdana" w:cs="Arial"/>
          <w:sz w:val="16"/>
          <w:szCs w:val="16"/>
        </w:rPr>
      </w:pPr>
      <w:r w:rsidRPr="00C312F9">
        <w:rPr>
          <w:rStyle w:val="FootnoteReference"/>
          <w:rFonts w:ascii="Verdana" w:hAnsi="Verdana" w:cs="Arial"/>
          <w:sz w:val="16"/>
          <w:szCs w:val="16"/>
        </w:rPr>
        <w:footnoteRef/>
      </w:r>
      <w:r w:rsidRPr="00C312F9">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6A194344" w14:textId="77777777" w:rsidR="00601CFC" w:rsidRPr="00C312F9" w:rsidRDefault="00601CFC" w:rsidP="00601CFC">
      <w:pPr>
        <w:ind w:firstLine="709"/>
        <w:jc w:val="both"/>
        <w:rPr>
          <w:rFonts w:ascii="Verdana" w:hAnsi="Verdana" w:cs="Arial"/>
          <w:sz w:val="16"/>
          <w:szCs w:val="16"/>
        </w:rPr>
      </w:pPr>
    </w:p>
  </w:footnote>
  <w:footnote w:id="4">
    <w:p w14:paraId="66367D43" w14:textId="77777777" w:rsidR="00601CFC" w:rsidRDefault="00601CFC" w:rsidP="00601CFC">
      <w:pPr>
        <w:pStyle w:val="FootnoteText"/>
        <w:ind w:right="51" w:firstLine="709"/>
        <w:jc w:val="both"/>
        <w:rPr>
          <w:rFonts w:ascii="Verdana" w:eastAsia="Times New Roman" w:hAnsi="Verdana" w:cs="Arial"/>
          <w:bCs/>
          <w:sz w:val="16"/>
          <w:szCs w:val="16"/>
          <w:lang w:eastAsia="x-none"/>
        </w:rPr>
      </w:pPr>
      <w:r w:rsidRPr="00C312F9">
        <w:rPr>
          <w:rStyle w:val="FootnoteReference"/>
          <w:rFonts w:ascii="Verdana" w:hAnsi="Verdana" w:cs="Arial"/>
          <w:sz w:val="16"/>
          <w:szCs w:val="16"/>
        </w:rPr>
        <w:footnoteRef/>
      </w:r>
      <w:r w:rsidRPr="00C312F9">
        <w:rPr>
          <w:rFonts w:ascii="Verdana" w:hAnsi="Verdana" w:cs="Arial"/>
          <w:sz w:val="16"/>
          <w:szCs w:val="16"/>
        </w:rPr>
        <w:t xml:space="preserve"> Consejo de Estado. Sala de Consulta y Servicio Civil. Concepto de 6 de abril de 2006.C.P. Enrique José Arboleda Perdomo. </w:t>
      </w:r>
      <w:r w:rsidRPr="00C312F9">
        <w:rPr>
          <w:rFonts w:ascii="Verdana" w:hAnsi="Verdana" w:cs="Arial"/>
          <w:sz w:val="16"/>
          <w:szCs w:val="16"/>
          <w:lang w:val="es-CO"/>
        </w:rPr>
        <w:t>Rad. 1738</w:t>
      </w:r>
      <w:r w:rsidRPr="00C312F9">
        <w:rPr>
          <w:rFonts w:ascii="Verdana" w:eastAsia="Times New Roman" w:hAnsi="Verdana" w:cs="Arial"/>
          <w:bCs/>
          <w:sz w:val="16"/>
          <w:szCs w:val="16"/>
          <w:lang w:eastAsia="x-none"/>
        </w:rPr>
        <w:t xml:space="preserve"> “</w:t>
      </w:r>
      <w:r w:rsidRPr="00C312F9">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C312F9">
        <w:rPr>
          <w:rFonts w:ascii="Verdana" w:eastAsia="Times New Roman" w:hAnsi="Verdana" w:cs="Arial"/>
          <w:bCs/>
          <w:sz w:val="16"/>
          <w:szCs w:val="16"/>
          <w:lang w:eastAsia="x-none"/>
        </w:rPr>
        <w:t>”.</w:t>
      </w:r>
    </w:p>
    <w:p w14:paraId="53707351" w14:textId="77777777" w:rsidR="00601CFC" w:rsidRPr="00C312F9" w:rsidRDefault="00601CFC" w:rsidP="00601CFC">
      <w:pPr>
        <w:pStyle w:val="FootnoteText"/>
        <w:ind w:right="51" w:firstLine="709"/>
        <w:jc w:val="both"/>
        <w:rPr>
          <w:rFonts w:ascii="Verdana" w:eastAsia="Times New Roman" w:hAnsi="Verdana" w:cs="Arial"/>
          <w:bCs/>
          <w:sz w:val="16"/>
          <w:szCs w:val="16"/>
          <w:lang w:eastAsia="x-none"/>
        </w:rPr>
      </w:pPr>
    </w:p>
  </w:footnote>
  <w:footnote w:id="5">
    <w:p w14:paraId="1C04CD8F" w14:textId="77777777" w:rsidR="00601CFC" w:rsidRDefault="00601CFC" w:rsidP="00601CFC">
      <w:pPr>
        <w:ind w:firstLine="709"/>
        <w:jc w:val="both"/>
        <w:rPr>
          <w:rFonts w:ascii="Verdana" w:hAnsi="Verdana" w:cs="Arial"/>
          <w:sz w:val="16"/>
          <w:szCs w:val="16"/>
        </w:rPr>
      </w:pPr>
      <w:r w:rsidRPr="00C312F9">
        <w:rPr>
          <w:rStyle w:val="FootnoteReference"/>
          <w:rFonts w:ascii="Verdana" w:hAnsi="Verdana" w:cs="Arial"/>
          <w:sz w:val="16"/>
          <w:szCs w:val="16"/>
        </w:rPr>
        <w:footnoteRef/>
      </w:r>
      <w:r w:rsidRPr="00C312F9">
        <w:rPr>
          <w:rFonts w:ascii="Verdana" w:hAnsi="Verdana" w:cs="Arial"/>
          <w:sz w:val="16"/>
          <w:szCs w:val="16"/>
        </w:rPr>
        <w:t xml:space="preserve"> Consejo de Estado. Sala de Consulta y Servicio Civil. Concepto de 6 de abril de 2006. C.P. Enrique José Arboleda Perdomo. Rad. 1738. </w:t>
      </w:r>
    </w:p>
    <w:p w14:paraId="7F4EA656" w14:textId="77777777" w:rsidR="00601CFC" w:rsidRPr="00C312F9" w:rsidRDefault="00601CFC" w:rsidP="00601CFC">
      <w:pPr>
        <w:ind w:firstLine="709"/>
        <w:jc w:val="both"/>
        <w:rPr>
          <w:rFonts w:ascii="Verdana" w:hAnsi="Verdana" w:cs="Arial"/>
          <w:sz w:val="16"/>
          <w:szCs w:val="16"/>
        </w:rPr>
      </w:pPr>
    </w:p>
  </w:footnote>
  <w:footnote w:id="6">
    <w:p w14:paraId="075024B6" w14:textId="77777777" w:rsidR="00601CFC" w:rsidRDefault="00601CFC" w:rsidP="00601CFC">
      <w:pPr>
        <w:pStyle w:val="FootnoteText"/>
        <w:ind w:right="51" w:firstLine="709"/>
        <w:jc w:val="both"/>
        <w:rPr>
          <w:rFonts w:ascii="Verdana" w:hAnsi="Verdana" w:cs="Arial"/>
          <w:sz w:val="16"/>
          <w:szCs w:val="16"/>
        </w:rPr>
      </w:pPr>
      <w:r w:rsidRPr="00C312F9">
        <w:rPr>
          <w:rStyle w:val="FootnoteReference"/>
          <w:rFonts w:ascii="Verdana" w:hAnsi="Verdana" w:cs="Arial"/>
          <w:sz w:val="16"/>
          <w:szCs w:val="16"/>
        </w:rPr>
        <w:footnoteRef/>
      </w:r>
      <w:r w:rsidRPr="00C312F9">
        <w:rPr>
          <w:rFonts w:ascii="Verdana" w:hAnsi="Verdana" w:cs="Arial"/>
          <w:sz w:val="16"/>
          <w:szCs w:val="16"/>
        </w:rPr>
        <w:t xml:space="preserve"> Consejo de Estado. Sala de Consulta y Servicio Civil, ídem.</w:t>
      </w:r>
    </w:p>
    <w:p w14:paraId="289D0A26" w14:textId="77777777" w:rsidR="00601CFC" w:rsidRPr="00C312F9" w:rsidRDefault="00601CFC" w:rsidP="00601CFC">
      <w:pPr>
        <w:pStyle w:val="FootnoteText"/>
        <w:ind w:right="51" w:firstLine="709"/>
        <w:jc w:val="both"/>
        <w:rPr>
          <w:rFonts w:ascii="Verdana" w:hAnsi="Verdana" w:cs="Arial"/>
          <w:sz w:val="16"/>
          <w:szCs w:val="16"/>
        </w:rPr>
      </w:pPr>
    </w:p>
  </w:footnote>
  <w:footnote w:id="7">
    <w:p w14:paraId="2B9B17D7" w14:textId="77777777" w:rsidR="00601CFC" w:rsidRDefault="00601CFC" w:rsidP="00601CFC">
      <w:pPr>
        <w:pStyle w:val="FootnoteText"/>
        <w:ind w:firstLine="709"/>
        <w:jc w:val="both"/>
        <w:rPr>
          <w:rFonts w:ascii="Verdana" w:hAnsi="Verdana" w:cs="Arial"/>
          <w:sz w:val="16"/>
          <w:szCs w:val="16"/>
        </w:rPr>
      </w:pPr>
      <w:r w:rsidRPr="00C312F9">
        <w:rPr>
          <w:rStyle w:val="FootnoteReference"/>
          <w:rFonts w:ascii="Verdana" w:hAnsi="Verdana"/>
          <w:sz w:val="16"/>
          <w:szCs w:val="16"/>
        </w:rPr>
        <w:footnoteRef/>
      </w:r>
      <w:r w:rsidRPr="00C312F9">
        <w:rPr>
          <w:rFonts w:ascii="Verdana" w:hAnsi="Verdana"/>
          <w:sz w:val="16"/>
          <w:szCs w:val="16"/>
        </w:rPr>
        <w:t xml:space="preserve"> </w:t>
      </w:r>
      <w:r w:rsidRPr="00C312F9">
        <w:rPr>
          <w:rFonts w:ascii="Verdana" w:hAnsi="Verdana" w:cs="Arial"/>
          <w:sz w:val="16"/>
          <w:szCs w:val="16"/>
        </w:rPr>
        <w:t>Consejo de Estado -Sección Tercera-. Sentencia del 21 de febrero de 2025. Radicación Número: 68.280. CP: José Roberto Sáchica Méndez.</w:t>
      </w:r>
    </w:p>
    <w:p w14:paraId="77EE6A3E" w14:textId="77777777" w:rsidR="00601CFC" w:rsidRPr="00C312F9" w:rsidRDefault="00601CFC" w:rsidP="00601CFC">
      <w:pPr>
        <w:pStyle w:val="FootnoteText"/>
        <w:ind w:firstLine="709"/>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0E655" w14:textId="77777777" w:rsidR="008B4D6E" w:rsidRDefault="008B4D6E" w:rsidP="00436F07">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4DB98771" wp14:editId="618DDFA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1AC9EF33" wp14:editId="4FEA2FB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01140AA" w14:textId="77777777" w:rsidR="008B4D6E" w:rsidRDefault="008B4D6E" w:rsidP="00436F07">
    <w:pPr>
      <w:pStyle w:val="Header"/>
    </w:pPr>
  </w:p>
  <w:p w14:paraId="60EAA846" w14:textId="77777777" w:rsidR="008B4D6E" w:rsidRDefault="008B4D6E" w:rsidP="00436F07">
    <w:pPr>
      <w:pStyle w:val="Header"/>
    </w:pPr>
  </w:p>
  <w:p w14:paraId="254682A3" w14:textId="77777777" w:rsidR="008B4D6E" w:rsidRPr="00515FB5" w:rsidRDefault="008B4D6E" w:rsidP="00436F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5" w15:restartNumberingAfterBreak="0">
    <w:nsid w:val="6F363AF7"/>
    <w:multiLevelType w:val="multilevel"/>
    <w:tmpl w:val="AD16C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1274352">
    <w:abstractNumId w:val="0"/>
  </w:num>
  <w:num w:numId="2" w16cid:durableId="679089576">
    <w:abstractNumId w:val="2"/>
  </w:num>
  <w:num w:numId="3" w16cid:durableId="390349800">
    <w:abstractNumId w:val="4"/>
  </w:num>
  <w:num w:numId="4" w16cid:durableId="1200557552">
    <w:abstractNumId w:val="5"/>
  </w:num>
  <w:num w:numId="5" w16cid:durableId="129062122">
    <w:abstractNumId w:val="3"/>
  </w:num>
  <w:num w:numId="6" w16cid:durableId="13584315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D6E"/>
    <w:rsid w:val="000226D0"/>
    <w:rsid w:val="0002403E"/>
    <w:rsid w:val="0004791A"/>
    <w:rsid w:val="00053EB3"/>
    <w:rsid w:val="00096733"/>
    <w:rsid w:val="00096CC2"/>
    <w:rsid w:val="000D5EB2"/>
    <w:rsid w:val="000F5A42"/>
    <w:rsid w:val="001748B3"/>
    <w:rsid w:val="00184353"/>
    <w:rsid w:val="00234866"/>
    <w:rsid w:val="00277198"/>
    <w:rsid w:val="002E56F7"/>
    <w:rsid w:val="002F3946"/>
    <w:rsid w:val="00360197"/>
    <w:rsid w:val="00396E72"/>
    <w:rsid w:val="003A0635"/>
    <w:rsid w:val="00420ECD"/>
    <w:rsid w:val="00427AE6"/>
    <w:rsid w:val="00436F07"/>
    <w:rsid w:val="00470614"/>
    <w:rsid w:val="00495629"/>
    <w:rsid w:val="004B2FB3"/>
    <w:rsid w:val="004C51E7"/>
    <w:rsid w:val="004D088D"/>
    <w:rsid w:val="00540F11"/>
    <w:rsid w:val="00542954"/>
    <w:rsid w:val="00550BB4"/>
    <w:rsid w:val="00562028"/>
    <w:rsid w:val="005F5BB7"/>
    <w:rsid w:val="00601CFC"/>
    <w:rsid w:val="006C0BD6"/>
    <w:rsid w:val="006C760F"/>
    <w:rsid w:val="006E312C"/>
    <w:rsid w:val="006E4F10"/>
    <w:rsid w:val="006F07DD"/>
    <w:rsid w:val="0072198A"/>
    <w:rsid w:val="00747585"/>
    <w:rsid w:val="007506B1"/>
    <w:rsid w:val="00782E3F"/>
    <w:rsid w:val="007C01AF"/>
    <w:rsid w:val="007F73FB"/>
    <w:rsid w:val="00824F73"/>
    <w:rsid w:val="008B4D6E"/>
    <w:rsid w:val="0095267B"/>
    <w:rsid w:val="00A12218"/>
    <w:rsid w:val="00A32923"/>
    <w:rsid w:val="00A56B79"/>
    <w:rsid w:val="00A90678"/>
    <w:rsid w:val="00AA689C"/>
    <w:rsid w:val="00AA6E17"/>
    <w:rsid w:val="00AB1774"/>
    <w:rsid w:val="00B932C1"/>
    <w:rsid w:val="00BE05F9"/>
    <w:rsid w:val="00BE583F"/>
    <w:rsid w:val="00BF0405"/>
    <w:rsid w:val="00BF56A0"/>
    <w:rsid w:val="00C52C4A"/>
    <w:rsid w:val="00C94890"/>
    <w:rsid w:val="00CC201D"/>
    <w:rsid w:val="00D75E7D"/>
    <w:rsid w:val="00DD3610"/>
    <w:rsid w:val="00DD6E3B"/>
    <w:rsid w:val="00E2395A"/>
    <w:rsid w:val="00E44F7A"/>
    <w:rsid w:val="00E63167"/>
    <w:rsid w:val="00E74B48"/>
    <w:rsid w:val="00EC4EC0"/>
    <w:rsid w:val="00EE51E9"/>
    <w:rsid w:val="00EF15F2"/>
    <w:rsid w:val="00F249B9"/>
    <w:rsid w:val="00F8230B"/>
    <w:rsid w:val="00F829E8"/>
    <w:rsid w:val="00FE68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F94F8"/>
  <w15:chartTrackingRefBased/>
  <w15:docId w15:val="{78371ED3-89B9-4F33-AEFA-2B7CB2857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6D0"/>
    <w:rPr>
      <w:kern w:val="0"/>
      <w14:ligatures w14:val="none"/>
    </w:rPr>
  </w:style>
  <w:style w:type="paragraph" w:styleId="Heading1">
    <w:name w:val="heading 1"/>
    <w:basedOn w:val="Normal"/>
    <w:next w:val="Normal"/>
    <w:link w:val="Heading1Char"/>
    <w:uiPriority w:val="9"/>
    <w:qFormat/>
    <w:rsid w:val="008B4D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4D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4D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4D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4D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4D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4D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4D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4D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D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4D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4D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4D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4D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4D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4D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4D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4D6E"/>
    <w:rPr>
      <w:rFonts w:eastAsiaTheme="majorEastAsia" w:cstheme="majorBidi"/>
      <w:color w:val="272727" w:themeColor="text1" w:themeTint="D8"/>
    </w:rPr>
  </w:style>
  <w:style w:type="paragraph" w:styleId="Title">
    <w:name w:val="Title"/>
    <w:basedOn w:val="Normal"/>
    <w:next w:val="Normal"/>
    <w:link w:val="TitleChar"/>
    <w:uiPriority w:val="10"/>
    <w:qFormat/>
    <w:rsid w:val="008B4D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4D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4D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4D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4D6E"/>
    <w:pPr>
      <w:spacing w:before="160"/>
      <w:jc w:val="center"/>
    </w:pPr>
    <w:rPr>
      <w:i/>
      <w:iCs/>
      <w:color w:val="404040" w:themeColor="text1" w:themeTint="BF"/>
    </w:rPr>
  </w:style>
  <w:style w:type="character" w:customStyle="1" w:styleId="QuoteChar">
    <w:name w:val="Quote Char"/>
    <w:basedOn w:val="DefaultParagraphFont"/>
    <w:link w:val="Quote"/>
    <w:uiPriority w:val="29"/>
    <w:rsid w:val="008B4D6E"/>
    <w:rPr>
      <w:i/>
      <w:iCs/>
      <w:color w:val="404040" w:themeColor="text1" w:themeTint="BF"/>
    </w:r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1"/>
    <w:qFormat/>
    <w:rsid w:val="008B4D6E"/>
    <w:pPr>
      <w:ind w:left="720"/>
      <w:contextualSpacing/>
    </w:pPr>
  </w:style>
  <w:style w:type="character" w:styleId="IntenseEmphasis">
    <w:name w:val="Intense Emphasis"/>
    <w:basedOn w:val="DefaultParagraphFont"/>
    <w:uiPriority w:val="21"/>
    <w:qFormat/>
    <w:rsid w:val="008B4D6E"/>
    <w:rPr>
      <w:i/>
      <w:iCs/>
      <w:color w:val="0F4761" w:themeColor="accent1" w:themeShade="BF"/>
    </w:rPr>
  </w:style>
  <w:style w:type="paragraph" w:styleId="IntenseQuote">
    <w:name w:val="Intense Quote"/>
    <w:basedOn w:val="Normal"/>
    <w:next w:val="Normal"/>
    <w:link w:val="IntenseQuoteChar"/>
    <w:uiPriority w:val="30"/>
    <w:qFormat/>
    <w:rsid w:val="008B4D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4D6E"/>
    <w:rPr>
      <w:i/>
      <w:iCs/>
      <w:color w:val="0F4761" w:themeColor="accent1" w:themeShade="BF"/>
    </w:rPr>
  </w:style>
  <w:style w:type="character" w:styleId="IntenseReference">
    <w:name w:val="Intense Reference"/>
    <w:basedOn w:val="DefaultParagraphFont"/>
    <w:uiPriority w:val="32"/>
    <w:qFormat/>
    <w:rsid w:val="008B4D6E"/>
    <w:rPr>
      <w:b/>
      <w:bCs/>
      <w:smallCaps/>
      <w:color w:val="0F4761" w:themeColor="accent1" w:themeShade="BF"/>
      <w:spacing w:val="5"/>
    </w:rPr>
  </w:style>
  <w:style w:type="paragraph" w:styleId="Header">
    <w:name w:val="header"/>
    <w:basedOn w:val="Normal"/>
    <w:link w:val="HeaderChar"/>
    <w:uiPriority w:val="99"/>
    <w:unhideWhenUsed/>
    <w:rsid w:val="008B4D6E"/>
    <w:pPr>
      <w:tabs>
        <w:tab w:val="center" w:pos="4419"/>
        <w:tab w:val="right" w:pos="8838"/>
      </w:tabs>
      <w:spacing w:after="0" w:line="240" w:lineRule="auto"/>
    </w:pPr>
  </w:style>
  <w:style w:type="character" w:customStyle="1" w:styleId="HeaderChar">
    <w:name w:val="Header Char"/>
    <w:basedOn w:val="DefaultParagraphFont"/>
    <w:link w:val="Header"/>
    <w:uiPriority w:val="99"/>
    <w:rsid w:val="008B4D6E"/>
    <w:rPr>
      <w:kern w:val="0"/>
      <w14:ligatures w14:val="none"/>
    </w:rPr>
  </w:style>
  <w:style w:type="paragraph" w:styleId="Footer">
    <w:name w:val="footer"/>
    <w:basedOn w:val="Normal"/>
    <w:link w:val="FooterChar"/>
    <w:uiPriority w:val="99"/>
    <w:unhideWhenUsed/>
    <w:rsid w:val="008B4D6E"/>
    <w:pPr>
      <w:tabs>
        <w:tab w:val="center" w:pos="4419"/>
        <w:tab w:val="right" w:pos="8838"/>
      </w:tabs>
      <w:spacing w:after="0" w:line="240" w:lineRule="auto"/>
    </w:pPr>
  </w:style>
  <w:style w:type="character" w:customStyle="1" w:styleId="FooterChar">
    <w:name w:val="Footer Char"/>
    <w:basedOn w:val="DefaultParagraphFont"/>
    <w:link w:val="Footer"/>
    <w:uiPriority w:val="99"/>
    <w:rsid w:val="008B4D6E"/>
    <w:rPr>
      <w:kern w:val="0"/>
      <w14:ligatures w14:val="none"/>
    </w:rPr>
  </w:style>
  <w:style w:type="table" w:styleId="TableGrid">
    <w:name w:val="Table Grid"/>
    <w:basedOn w:val="TableNormal"/>
    <w:uiPriority w:val="39"/>
    <w:qFormat/>
    <w:rsid w:val="008B4D6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4D6E"/>
    <w:rPr>
      <w:color w:val="467886" w:themeColor="hyperlink"/>
      <w:u w:val="single"/>
    </w:rPr>
  </w:style>
  <w:style w:type="character" w:customStyle="1" w:styleId="normaltextrun">
    <w:name w:val="normaltextrun"/>
    <w:basedOn w:val="DefaultParagraphFont"/>
    <w:rsid w:val="008B4D6E"/>
  </w:style>
  <w:style w:type="character" w:customStyle="1" w:styleId="eop">
    <w:name w:val="eop"/>
    <w:basedOn w:val="DefaultParagraphFont"/>
    <w:rsid w:val="008B4D6E"/>
  </w:style>
  <w:style w:type="paragraph" w:customStyle="1" w:styleId="paragraph">
    <w:name w:val="paragraph"/>
    <w:basedOn w:val="Normal"/>
    <w:rsid w:val="008B4D6E"/>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1"/>
    <w:qFormat/>
    <w:locked/>
    <w:rsid w:val="008B4D6E"/>
  </w:style>
  <w:style w:type="paragraph" w:styleId="NormalWeb">
    <w:name w:val="Normal (Web)"/>
    <w:basedOn w:val="Normal"/>
    <w:link w:val="NormalWebChar"/>
    <w:uiPriority w:val="99"/>
    <w:unhideWhenUsed/>
    <w:rsid w:val="008B4D6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har">
    <w:name w:val="Normal (Web) Char"/>
    <w:link w:val="NormalWeb"/>
    <w:uiPriority w:val="99"/>
    <w:locked/>
    <w:rsid w:val="008B4D6E"/>
    <w:rPr>
      <w:rFonts w:ascii="Times New Roman" w:eastAsia="Times New Roman" w:hAnsi="Times New Roman" w:cs="Times New Roman"/>
      <w:kern w:val="0"/>
      <w:sz w:val="24"/>
      <w:szCs w:val="24"/>
      <w:lang w:eastAsia="es-CO"/>
      <w14:ligatures w14:val="none"/>
    </w:rPr>
  </w:style>
  <w:style w:type="character" w:styleId="UnresolvedMention">
    <w:name w:val="Unresolved Mention"/>
    <w:basedOn w:val="DefaultParagraphFont"/>
    <w:uiPriority w:val="99"/>
    <w:semiHidden/>
    <w:unhideWhenUsed/>
    <w:rsid w:val="008B4D6E"/>
    <w:rPr>
      <w:color w:val="605E5C"/>
      <w:shd w:val="clear" w:color="auto" w:fill="E1DFDD"/>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qFormat/>
    <w:locked/>
    <w:rsid w:val="008B4D6E"/>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nhideWhenUsed/>
    <w:qFormat/>
    <w:rsid w:val="008B4D6E"/>
    <w:pPr>
      <w:spacing w:after="0" w:line="240" w:lineRule="auto"/>
    </w:pPr>
    <w:rPr>
      <w:kern w:val="2"/>
      <w:sz w:val="20"/>
      <w:szCs w:val="20"/>
      <w:lang w:val="es-MX"/>
      <w14:ligatures w14:val="standardContextual"/>
    </w:rPr>
  </w:style>
  <w:style w:type="character" w:customStyle="1" w:styleId="TextonotapieCar1">
    <w:name w:val="Texto nota pie Car1"/>
    <w:basedOn w:val="DefaultParagraphFont"/>
    <w:uiPriority w:val="99"/>
    <w:semiHidden/>
    <w:rsid w:val="008B4D6E"/>
    <w:rPr>
      <w:kern w:val="0"/>
      <w:sz w:val="20"/>
      <w:szCs w:val="20"/>
      <w14:ligatures w14:val="none"/>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nhideWhenUsed/>
    <w:qFormat/>
    <w:rsid w:val="008B4D6E"/>
    <w:rPr>
      <w:vertAlign w:val="superscript"/>
    </w:rPr>
  </w:style>
  <w:style w:type="paragraph" w:customStyle="1" w:styleId="Appelnotedebasde">
    <w:name w:val="Appel note de bas de..."/>
    <w:basedOn w:val="Normal"/>
    <w:link w:val="FootnoteReference"/>
    <w:rsid w:val="008B4D6E"/>
    <w:pPr>
      <w:spacing w:line="240" w:lineRule="exact"/>
    </w:pPr>
    <w:rPr>
      <w:kern w:val="2"/>
      <w:vertAlign w:val="superscript"/>
      <w14:ligatures w14:val="standardContextual"/>
    </w:rPr>
  </w:style>
  <w:style w:type="character" w:customStyle="1" w:styleId="baj">
    <w:name w:val="b_aj"/>
    <w:basedOn w:val="DefaultParagraphFont"/>
    <w:rsid w:val="008B4D6E"/>
  </w:style>
  <w:style w:type="table" w:customStyle="1" w:styleId="Tablaconcuadrcula11">
    <w:name w:val="Tabla con cuadrícula11"/>
    <w:basedOn w:val="TableNormal"/>
    <w:next w:val="TableGrid"/>
    <w:uiPriority w:val="59"/>
    <w:qFormat/>
    <w:rsid w:val="00BF56A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F56A0"/>
    <w:rPr>
      <w:sz w:val="16"/>
      <w:szCs w:val="16"/>
    </w:rPr>
  </w:style>
  <w:style w:type="paragraph" w:styleId="CommentText">
    <w:name w:val="annotation text"/>
    <w:basedOn w:val="Normal"/>
    <w:link w:val="CommentTextChar"/>
    <w:uiPriority w:val="99"/>
    <w:semiHidden/>
    <w:unhideWhenUsed/>
    <w:rsid w:val="00BF56A0"/>
    <w:pPr>
      <w:spacing w:line="240" w:lineRule="auto"/>
    </w:pPr>
    <w:rPr>
      <w:sz w:val="20"/>
      <w:szCs w:val="20"/>
    </w:rPr>
  </w:style>
  <w:style w:type="character" w:customStyle="1" w:styleId="CommentTextChar">
    <w:name w:val="Comment Text Char"/>
    <w:basedOn w:val="DefaultParagraphFont"/>
    <w:link w:val="CommentText"/>
    <w:uiPriority w:val="99"/>
    <w:semiHidden/>
    <w:rsid w:val="00BF56A0"/>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ictoredwart@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949EB01-94EC-42D4-AAA4-3816309B2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7AB042-F161-4FCE-84FB-C1EF588C290A}">
  <ds:schemaRefs>
    <ds:schemaRef ds:uri="http://schemas.microsoft.com/sharepoint/v3/contenttype/forms"/>
  </ds:schemaRefs>
</ds:datastoreItem>
</file>

<file path=customXml/itemProps3.xml><?xml version="1.0" encoding="utf-8"?>
<ds:datastoreItem xmlns:ds="http://schemas.openxmlformats.org/officeDocument/2006/customXml" ds:itemID="{23BE9C45-5153-495D-B7C2-8B9107781B9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157</TotalTime>
  <Pages>1</Pages>
  <Words>8021</Words>
  <Characters>45724</Characters>
  <Application>Microsoft Office Word</Application>
  <DocSecurity>4</DocSecurity>
  <Lines>381</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52</cp:revision>
  <dcterms:created xsi:type="dcterms:W3CDTF">2026-04-21T00:04:00Z</dcterms:created>
  <dcterms:modified xsi:type="dcterms:W3CDTF">2026-04-27T14:26:00Z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