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B8A7A9" w14:textId="77777777" w:rsidR="00083F91" w:rsidRPr="00AA6E72" w:rsidRDefault="00083F91" w:rsidP="00083F91">
      <w:pPr>
        <w:spacing w:after="0" w:line="240" w:lineRule="auto"/>
        <w:jc w:val="both"/>
        <w:rPr>
          <w:rFonts w:ascii="Verdana" w:eastAsia="Calibri" w:hAnsi="Verdana" w:cs="Arial"/>
          <w:b/>
          <w:color w:val="000000"/>
          <w:lang w:val="es-ES"/>
        </w:rPr>
      </w:pPr>
      <w:bookmarkStart w:id="0" w:name="_Hlk143780582"/>
      <w:r w:rsidRPr="00AA6E72">
        <w:rPr>
          <w:rFonts w:ascii="Verdana" w:eastAsia="Calibri" w:hAnsi="Verdana" w:cs="Arial"/>
          <w:b/>
          <w:color w:val="000000"/>
          <w:lang w:val="es-ES"/>
        </w:rPr>
        <w:t>LEY DE GARANTÍAS ELECTORALES – Finalidad – Ley 996 de 2005 – Comicios aplicables</w:t>
      </w:r>
    </w:p>
    <w:p w14:paraId="1F04C7C0" w14:textId="77777777" w:rsidR="00083F91" w:rsidRPr="00AA6E72" w:rsidRDefault="00083F91" w:rsidP="00083F91">
      <w:pPr>
        <w:spacing w:after="0" w:line="240" w:lineRule="auto"/>
        <w:jc w:val="both"/>
        <w:rPr>
          <w:rFonts w:ascii="Verdana" w:eastAsia="Calibri" w:hAnsi="Verdana" w:cs="Arial"/>
          <w:bCs/>
          <w:color w:val="000000"/>
          <w:sz w:val="20"/>
          <w:szCs w:val="20"/>
          <w:lang w:val="es-ES"/>
        </w:rPr>
      </w:pPr>
    </w:p>
    <w:p w14:paraId="156FE3EC" w14:textId="77777777" w:rsidR="00083F91" w:rsidRPr="00AA6E72" w:rsidRDefault="00083F91" w:rsidP="00083F91">
      <w:pPr>
        <w:spacing w:after="0" w:line="240" w:lineRule="auto"/>
        <w:jc w:val="both"/>
        <w:rPr>
          <w:rFonts w:ascii="Verdana" w:eastAsia="Calibri" w:hAnsi="Verdana" w:cs="Arial"/>
          <w:color w:val="000000"/>
          <w:sz w:val="20"/>
          <w:szCs w:val="20"/>
          <w:lang w:val="es-ES_tradnl" w:eastAsia="es-ES_tradnl"/>
        </w:rPr>
      </w:pPr>
      <w:r w:rsidRPr="00AA6E72">
        <w:rPr>
          <w:rFonts w:ascii="Verdana" w:eastAsia="Calibri" w:hAnsi="Verdana" w:cs="Arial"/>
          <w:color w:val="000000"/>
          <w:sz w:val="20"/>
          <w:szCs w:val="20"/>
          <w:lang w:val="es-ES_tradnl" w:eastAsia="es-ES_tradnl"/>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0087A00B" w14:textId="77777777" w:rsidR="00083F91" w:rsidRPr="00AA6E72" w:rsidRDefault="00083F91" w:rsidP="00083F91">
      <w:pPr>
        <w:spacing w:after="0" w:line="240" w:lineRule="auto"/>
        <w:jc w:val="both"/>
        <w:rPr>
          <w:rFonts w:ascii="Verdana" w:eastAsia="Calibri" w:hAnsi="Verdana" w:cs="Arial"/>
          <w:color w:val="000000"/>
          <w:sz w:val="20"/>
          <w:szCs w:val="20"/>
          <w:lang w:val="es-ES_tradnl" w:eastAsia="es-ES_tradnl"/>
        </w:rPr>
      </w:pPr>
      <w:r w:rsidRPr="00AA6E72">
        <w:rPr>
          <w:rFonts w:ascii="Verdana" w:eastAsia="Calibri" w:hAnsi="Verdana" w:cs="Arial"/>
          <w:color w:val="000000"/>
          <w:sz w:val="20"/>
          <w:szCs w:val="20"/>
          <w:lang w:val="es-ES_tradnl" w:eastAsia="es-ES_tradnl"/>
        </w:rPr>
        <w:t>[…]</w:t>
      </w:r>
    </w:p>
    <w:p w14:paraId="6E136829" w14:textId="77777777" w:rsidR="00083F91" w:rsidRPr="00AA6E72" w:rsidRDefault="00083F91" w:rsidP="00083F91">
      <w:pPr>
        <w:spacing w:after="0" w:line="240" w:lineRule="auto"/>
        <w:jc w:val="both"/>
        <w:rPr>
          <w:rFonts w:ascii="Verdana" w:eastAsia="Calibri" w:hAnsi="Verdana" w:cs="Arial"/>
          <w:color w:val="000000"/>
          <w:sz w:val="20"/>
          <w:szCs w:val="20"/>
          <w:lang w:val="es-ES"/>
        </w:rPr>
      </w:pPr>
      <w:r w:rsidRPr="00AA6E72">
        <w:rPr>
          <w:rFonts w:ascii="Verdana" w:eastAsia="Calibri" w:hAnsi="Verdana" w:cs="Arial"/>
          <w:color w:val="000000"/>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98FE680" w14:textId="77777777" w:rsidR="00083F91" w:rsidRPr="00AA6E72" w:rsidRDefault="00083F91" w:rsidP="00083F91">
      <w:pPr>
        <w:spacing w:after="0" w:line="240" w:lineRule="auto"/>
        <w:rPr>
          <w:rFonts w:ascii="Verdana" w:eastAsia="Geomanist Light" w:hAnsi="Verdana" w:cs="Arial"/>
          <w:color w:val="000000"/>
          <w:sz w:val="20"/>
          <w:szCs w:val="20"/>
          <w:lang w:val="es-ES_tradnl"/>
        </w:rPr>
      </w:pPr>
    </w:p>
    <w:p w14:paraId="208AC0C0" w14:textId="77777777" w:rsidR="00083F91" w:rsidRPr="00AA6E72" w:rsidRDefault="00083F91" w:rsidP="00083F91">
      <w:pPr>
        <w:spacing w:after="0" w:line="240" w:lineRule="auto"/>
        <w:jc w:val="both"/>
        <w:rPr>
          <w:rFonts w:ascii="Verdana" w:eastAsia="Aptos" w:hAnsi="Verdana" w:cs="Arial"/>
          <w:b/>
          <w:bCs/>
        </w:rPr>
      </w:pPr>
      <w:r w:rsidRPr="00AA6E72">
        <w:rPr>
          <w:rFonts w:ascii="Verdana" w:eastAsia="Aptos" w:hAnsi="Verdana" w:cs="Arial"/>
          <w:b/>
          <w:bCs/>
        </w:rPr>
        <w:t>LEY DE GARANTÍAS ELECTORALES – Restricciones – Elecciones presidenciales – Destinatarios – Excepciones</w:t>
      </w:r>
    </w:p>
    <w:p w14:paraId="06115028" w14:textId="77777777" w:rsidR="00083F91" w:rsidRPr="00AA6E72" w:rsidRDefault="00083F91" w:rsidP="00083F91">
      <w:pPr>
        <w:spacing w:after="0" w:line="240" w:lineRule="auto"/>
        <w:jc w:val="both"/>
        <w:rPr>
          <w:rFonts w:ascii="Verdana" w:eastAsia="Aptos" w:hAnsi="Verdana" w:cs="Arial"/>
          <w:sz w:val="20"/>
          <w:szCs w:val="20"/>
        </w:rPr>
      </w:pPr>
    </w:p>
    <w:p w14:paraId="613CD02B" w14:textId="77777777" w:rsidR="00083F91" w:rsidRPr="00AA6E72" w:rsidRDefault="00083F91" w:rsidP="00083F91">
      <w:pPr>
        <w:spacing w:after="0" w:line="240" w:lineRule="auto"/>
        <w:jc w:val="both"/>
        <w:rPr>
          <w:rFonts w:ascii="Verdana" w:eastAsia="Aptos" w:hAnsi="Verdana" w:cs="Arial"/>
          <w:sz w:val="20"/>
          <w:szCs w:val="20"/>
        </w:rPr>
      </w:pPr>
      <w:r w:rsidRPr="00AA6E72">
        <w:rPr>
          <w:rFonts w:ascii="Verdana" w:eastAsia="Aptos" w:hAnsi="Verdana" w:cs="Arial"/>
          <w:sz w:val="20"/>
          <w:szCs w:val="20"/>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750ADFF4" w14:textId="77777777" w:rsidR="00083F91" w:rsidRPr="00AA6E72" w:rsidRDefault="00083F91" w:rsidP="00083F91">
      <w:pPr>
        <w:spacing w:after="0" w:line="240" w:lineRule="auto"/>
        <w:jc w:val="both"/>
        <w:rPr>
          <w:rFonts w:ascii="Verdana" w:eastAsia="Aptos" w:hAnsi="Verdana" w:cs="Arial"/>
          <w:sz w:val="20"/>
          <w:szCs w:val="20"/>
        </w:rPr>
      </w:pPr>
      <w:r w:rsidRPr="00AA6E72">
        <w:rPr>
          <w:rFonts w:ascii="Verdana" w:eastAsia="Aptos" w:hAnsi="Verdana" w:cs="Arial"/>
          <w:sz w:val="20"/>
          <w:szCs w:val="20"/>
        </w:rPr>
        <w:t>[…]</w:t>
      </w:r>
    </w:p>
    <w:p w14:paraId="3D3E87C8" w14:textId="77777777" w:rsidR="00083F91" w:rsidRPr="00AA6E72" w:rsidRDefault="00083F91" w:rsidP="00083F91">
      <w:pPr>
        <w:spacing w:after="0" w:line="240" w:lineRule="auto"/>
        <w:jc w:val="both"/>
        <w:rPr>
          <w:rFonts w:ascii="Verdana" w:eastAsia="Aptos" w:hAnsi="Verdana" w:cs="Arial"/>
          <w:sz w:val="20"/>
          <w:szCs w:val="20"/>
        </w:rPr>
      </w:pPr>
      <w:r w:rsidRPr="00AA6E72">
        <w:rPr>
          <w:rFonts w:ascii="Verdana" w:eastAsia="Aptos" w:hAnsi="Verdana" w:cs="Arial"/>
          <w:sz w:val="20"/>
          <w:szCs w:val="20"/>
        </w:rPr>
        <w:t>En conclusión, todos los entes del Estado, independiente del régimen jurídico de contratación aplicable, están sujetos a la restricción del artículo 33 ibidem, es decir, no podrán adelantar procesos que impliquen contratación directa respecto de las elecciones presidenciales, dentro de los cuatro (4) meses anteriores a la celebración de los comicios, salvo las excepciones dispuestas en esta. En efecto, los entes del Estado independientemente de su régimen especial no podrán celebrar contratos de forma directa desde el 31 de enero de 2026, teniendo en cuenta que la Resolución 02580 del 5 de marzo de 2025, emitida por la Registraduría Nacional del Estado Civil dispuso que las elecciones presidenciales se celebrarán el 31 de mayo de 2026.</w:t>
      </w:r>
    </w:p>
    <w:p w14:paraId="22EBCC1D" w14:textId="77777777" w:rsidR="00083F91" w:rsidRPr="00AA6E72" w:rsidRDefault="00083F91" w:rsidP="00083F91">
      <w:pPr>
        <w:spacing w:after="0" w:line="240" w:lineRule="auto"/>
        <w:jc w:val="both"/>
        <w:rPr>
          <w:rFonts w:ascii="Verdana" w:eastAsia="Aptos" w:hAnsi="Verdana" w:cs="Arial"/>
          <w:sz w:val="20"/>
          <w:szCs w:val="20"/>
        </w:rPr>
      </w:pPr>
    </w:p>
    <w:p w14:paraId="4B0240D0" w14:textId="77777777" w:rsidR="00083F91" w:rsidRPr="00AA6E72" w:rsidRDefault="00083F91" w:rsidP="00083F91">
      <w:pPr>
        <w:spacing w:after="0" w:line="240" w:lineRule="auto"/>
        <w:jc w:val="both"/>
        <w:rPr>
          <w:rFonts w:ascii="Verdana" w:eastAsia="Aptos" w:hAnsi="Verdana" w:cs="Arial"/>
          <w:b/>
          <w:bCs/>
        </w:rPr>
      </w:pPr>
      <w:r w:rsidRPr="00AA6E72">
        <w:rPr>
          <w:rFonts w:ascii="Verdana" w:eastAsia="Aptos" w:hAnsi="Verdana" w:cs="Arial"/>
          <w:b/>
          <w:bCs/>
        </w:rPr>
        <w:lastRenderedPageBreak/>
        <w:t>LEY DE GARANTÍAS ELECTORALES – Restricciones – Otros comicios - Destinatarios</w:t>
      </w:r>
    </w:p>
    <w:p w14:paraId="307D41F5" w14:textId="77777777" w:rsidR="00083F91" w:rsidRPr="00AA6E72" w:rsidRDefault="00083F91" w:rsidP="00083F91">
      <w:pPr>
        <w:spacing w:after="0" w:line="240" w:lineRule="auto"/>
        <w:jc w:val="both"/>
        <w:rPr>
          <w:rFonts w:ascii="Verdana" w:eastAsia="Aptos" w:hAnsi="Verdana" w:cs="Arial"/>
          <w:sz w:val="20"/>
          <w:szCs w:val="20"/>
        </w:rPr>
      </w:pPr>
    </w:p>
    <w:p w14:paraId="5058180A" w14:textId="77777777" w:rsidR="00083F91" w:rsidRPr="00AA6E72" w:rsidRDefault="00083F91" w:rsidP="00083F91">
      <w:pPr>
        <w:spacing w:after="0" w:line="240" w:lineRule="auto"/>
        <w:jc w:val="both"/>
        <w:rPr>
          <w:rFonts w:ascii="Verdana" w:eastAsia="Aptos" w:hAnsi="Verdana" w:cs="Arial"/>
          <w:sz w:val="20"/>
          <w:szCs w:val="20"/>
        </w:rPr>
      </w:pPr>
      <w:r w:rsidRPr="00AA6E72">
        <w:rPr>
          <w:rFonts w:ascii="Verdana" w:eastAsia="Aptos" w:hAnsi="Verdana" w:cs="Arial"/>
          <w:sz w:val="20"/>
          <w:szCs w:val="20"/>
        </w:rPr>
        <w:t>[…] respecto de los demás comicios, se tiene que a estos le son aplicables las prohibiciones dispuestas en el parágrafo del artículo 38 de la Ley 996 de 2005, disposición que prevé una restricción aplicable respecto de cualquier tipo de contienda electoral, que impide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5E9F0EC6" w14:textId="77777777" w:rsidR="00083F91" w:rsidRPr="00AA6E72" w:rsidRDefault="00083F91" w:rsidP="00083F91">
      <w:pPr>
        <w:spacing w:after="0" w:line="276" w:lineRule="auto"/>
        <w:jc w:val="both"/>
        <w:rPr>
          <w:rFonts w:ascii="Verdana" w:eastAsia="Aptos" w:hAnsi="Verdana" w:cs="Arial"/>
        </w:rPr>
      </w:pPr>
    </w:p>
    <w:p w14:paraId="1706A54A" w14:textId="77777777" w:rsidR="00083F91" w:rsidRPr="00AA6E72" w:rsidRDefault="00083F91" w:rsidP="00083F91">
      <w:pPr>
        <w:spacing w:after="0" w:line="240" w:lineRule="auto"/>
        <w:rPr>
          <w:rFonts w:ascii="Verdana" w:eastAsia="Aptos" w:hAnsi="Verdana" w:cs="Times New Roman"/>
          <w:sz w:val="20"/>
          <w:szCs w:val="20"/>
        </w:rPr>
      </w:pPr>
    </w:p>
    <w:p w14:paraId="74FFB5D0" w14:textId="77777777" w:rsidR="00083F91" w:rsidRPr="00AA6E72" w:rsidRDefault="00083F91" w:rsidP="00083F91">
      <w:pPr>
        <w:spacing w:after="0" w:line="240" w:lineRule="auto"/>
        <w:rPr>
          <w:rFonts w:ascii="Verdana" w:eastAsia="Aptos" w:hAnsi="Verdana" w:cs="Times New Roman"/>
          <w:sz w:val="20"/>
          <w:szCs w:val="20"/>
        </w:rPr>
      </w:pPr>
    </w:p>
    <w:p w14:paraId="10EED3AB" w14:textId="77777777" w:rsidR="00083F91" w:rsidRPr="00AA6E72" w:rsidRDefault="00083F91" w:rsidP="00083F91">
      <w:pPr>
        <w:spacing w:after="0" w:line="240" w:lineRule="auto"/>
        <w:rPr>
          <w:rFonts w:ascii="Verdana" w:eastAsia="Aptos" w:hAnsi="Verdana" w:cs="Times New Roman"/>
          <w:sz w:val="20"/>
          <w:szCs w:val="20"/>
        </w:rPr>
      </w:pPr>
    </w:p>
    <w:p w14:paraId="353AF833" w14:textId="77777777" w:rsidR="00083F91" w:rsidRPr="00AA6E72" w:rsidRDefault="00083F91" w:rsidP="00083F91">
      <w:pPr>
        <w:spacing w:after="0" w:line="240" w:lineRule="auto"/>
        <w:rPr>
          <w:rFonts w:ascii="Verdana" w:eastAsia="Aptos" w:hAnsi="Verdana" w:cs="Times New Roman"/>
          <w:sz w:val="20"/>
          <w:szCs w:val="20"/>
        </w:rPr>
      </w:pPr>
    </w:p>
    <w:p w14:paraId="32509565" w14:textId="77777777" w:rsidR="00083F91" w:rsidRPr="00AA6E72" w:rsidRDefault="00083F91" w:rsidP="00083F91">
      <w:pPr>
        <w:spacing w:after="0" w:line="240" w:lineRule="auto"/>
        <w:rPr>
          <w:rFonts w:ascii="Verdana" w:eastAsia="Aptos" w:hAnsi="Verdana" w:cs="Times New Roman"/>
          <w:sz w:val="20"/>
          <w:szCs w:val="20"/>
        </w:rPr>
      </w:pPr>
    </w:p>
    <w:p w14:paraId="58800780" w14:textId="77777777" w:rsidR="00083F91" w:rsidRPr="00AA6E72" w:rsidRDefault="00083F91" w:rsidP="00083F91">
      <w:pPr>
        <w:spacing w:after="0" w:line="240" w:lineRule="auto"/>
        <w:rPr>
          <w:rFonts w:ascii="Verdana" w:eastAsia="Aptos" w:hAnsi="Verdana" w:cs="Times New Roman"/>
          <w:sz w:val="20"/>
          <w:szCs w:val="20"/>
        </w:rPr>
      </w:pPr>
    </w:p>
    <w:p w14:paraId="42ACA21A" w14:textId="77777777" w:rsidR="00083F91" w:rsidRPr="00AA6E72" w:rsidRDefault="00083F91" w:rsidP="00083F91">
      <w:pPr>
        <w:spacing w:after="0" w:line="240" w:lineRule="auto"/>
        <w:rPr>
          <w:rFonts w:ascii="Verdana" w:eastAsia="Aptos" w:hAnsi="Verdana" w:cs="Times New Roman"/>
          <w:sz w:val="20"/>
          <w:szCs w:val="20"/>
        </w:rPr>
      </w:pPr>
    </w:p>
    <w:p w14:paraId="73D388CC" w14:textId="77777777" w:rsidR="00083F91" w:rsidRPr="00AA6E72" w:rsidRDefault="00083F91" w:rsidP="00083F91">
      <w:pPr>
        <w:spacing w:after="0" w:line="240" w:lineRule="auto"/>
        <w:rPr>
          <w:rFonts w:ascii="Verdana" w:eastAsia="Aptos" w:hAnsi="Verdana" w:cs="Times New Roman"/>
          <w:sz w:val="20"/>
          <w:szCs w:val="20"/>
        </w:rPr>
      </w:pPr>
    </w:p>
    <w:p w14:paraId="1533F3A5" w14:textId="77777777" w:rsidR="00083F91" w:rsidRPr="00AA6E72" w:rsidRDefault="00083F91" w:rsidP="00083F91">
      <w:pPr>
        <w:spacing w:after="0" w:line="240" w:lineRule="auto"/>
        <w:rPr>
          <w:rFonts w:ascii="Verdana" w:eastAsia="Aptos" w:hAnsi="Verdana" w:cs="Times New Roman"/>
          <w:sz w:val="20"/>
          <w:szCs w:val="20"/>
        </w:rPr>
      </w:pPr>
    </w:p>
    <w:p w14:paraId="0516CC66" w14:textId="77777777" w:rsidR="00083F91" w:rsidRPr="00AA6E72" w:rsidRDefault="00083F91" w:rsidP="00083F91">
      <w:pPr>
        <w:spacing w:after="0" w:line="240" w:lineRule="auto"/>
        <w:rPr>
          <w:rFonts w:ascii="Verdana" w:eastAsia="Aptos" w:hAnsi="Verdana" w:cs="Times New Roman"/>
          <w:sz w:val="20"/>
          <w:szCs w:val="20"/>
        </w:rPr>
      </w:pPr>
    </w:p>
    <w:p w14:paraId="56AC1528" w14:textId="77777777" w:rsidR="00083F91" w:rsidRPr="00AA6E72" w:rsidRDefault="00083F91" w:rsidP="00083F91">
      <w:pPr>
        <w:spacing w:after="0" w:line="240" w:lineRule="auto"/>
        <w:rPr>
          <w:rFonts w:ascii="Verdana" w:eastAsia="Aptos" w:hAnsi="Verdana" w:cs="Times New Roman"/>
          <w:sz w:val="20"/>
          <w:szCs w:val="20"/>
        </w:rPr>
      </w:pPr>
    </w:p>
    <w:p w14:paraId="22B490E6" w14:textId="77777777" w:rsidR="00083F91" w:rsidRPr="00AA6E72" w:rsidRDefault="00083F91" w:rsidP="00083F91">
      <w:pPr>
        <w:spacing w:after="0" w:line="240" w:lineRule="auto"/>
        <w:rPr>
          <w:rFonts w:ascii="Verdana" w:eastAsia="Aptos" w:hAnsi="Verdana" w:cs="Times New Roman"/>
          <w:sz w:val="20"/>
          <w:szCs w:val="20"/>
        </w:rPr>
      </w:pPr>
    </w:p>
    <w:p w14:paraId="04279A94" w14:textId="77777777" w:rsidR="00083F91" w:rsidRPr="00AA6E72" w:rsidRDefault="00083F91" w:rsidP="00083F91">
      <w:pPr>
        <w:spacing w:after="0" w:line="240" w:lineRule="auto"/>
        <w:rPr>
          <w:rFonts w:ascii="Verdana" w:eastAsia="Aptos" w:hAnsi="Verdana" w:cs="Times New Roman"/>
          <w:sz w:val="20"/>
          <w:szCs w:val="20"/>
        </w:rPr>
      </w:pPr>
    </w:p>
    <w:p w14:paraId="7E61DD21" w14:textId="77777777" w:rsidR="00083F91" w:rsidRPr="00AA6E72" w:rsidRDefault="00083F91" w:rsidP="00083F91">
      <w:pPr>
        <w:spacing w:after="0" w:line="240" w:lineRule="auto"/>
        <w:rPr>
          <w:rFonts w:ascii="Verdana" w:eastAsia="Aptos" w:hAnsi="Verdana" w:cs="Times New Roman"/>
          <w:sz w:val="20"/>
          <w:szCs w:val="20"/>
        </w:rPr>
      </w:pPr>
    </w:p>
    <w:p w14:paraId="0B6D3221" w14:textId="77777777" w:rsidR="00083F91" w:rsidRPr="00AA6E72" w:rsidRDefault="00083F91" w:rsidP="00083F91">
      <w:pPr>
        <w:spacing w:after="0" w:line="240" w:lineRule="auto"/>
        <w:rPr>
          <w:rFonts w:ascii="Verdana" w:eastAsia="Aptos" w:hAnsi="Verdana" w:cs="Times New Roman"/>
          <w:sz w:val="20"/>
          <w:szCs w:val="20"/>
        </w:rPr>
      </w:pPr>
    </w:p>
    <w:p w14:paraId="7728C845" w14:textId="77777777" w:rsidR="00083F91" w:rsidRPr="00AA6E72" w:rsidRDefault="00083F91" w:rsidP="00083F91">
      <w:pPr>
        <w:spacing w:after="0" w:line="240" w:lineRule="auto"/>
        <w:rPr>
          <w:rFonts w:ascii="Verdana" w:eastAsia="Aptos" w:hAnsi="Verdana" w:cs="Times New Roman"/>
          <w:sz w:val="20"/>
          <w:szCs w:val="20"/>
        </w:rPr>
      </w:pPr>
    </w:p>
    <w:p w14:paraId="7297E651" w14:textId="77777777" w:rsidR="00083F91" w:rsidRPr="00AA6E72" w:rsidRDefault="00083F91" w:rsidP="00083F91">
      <w:pPr>
        <w:spacing w:after="0" w:line="240" w:lineRule="auto"/>
        <w:rPr>
          <w:rFonts w:ascii="Verdana" w:eastAsia="Aptos" w:hAnsi="Verdana" w:cs="Times New Roman"/>
          <w:sz w:val="20"/>
          <w:szCs w:val="20"/>
        </w:rPr>
      </w:pPr>
    </w:p>
    <w:p w14:paraId="486B96F4" w14:textId="77777777" w:rsidR="00083F91" w:rsidRPr="00AA6E72" w:rsidRDefault="00083F91" w:rsidP="00083F91">
      <w:pPr>
        <w:spacing w:after="0" w:line="240" w:lineRule="auto"/>
        <w:rPr>
          <w:rFonts w:ascii="Verdana" w:eastAsia="Aptos" w:hAnsi="Verdana" w:cs="Times New Roman"/>
          <w:sz w:val="20"/>
          <w:szCs w:val="20"/>
        </w:rPr>
      </w:pPr>
    </w:p>
    <w:p w14:paraId="628AED46" w14:textId="77777777" w:rsidR="00083F91" w:rsidRPr="00AA6E72" w:rsidRDefault="00083F91" w:rsidP="00083F91">
      <w:pPr>
        <w:spacing w:after="0" w:line="240" w:lineRule="auto"/>
        <w:rPr>
          <w:rFonts w:ascii="Verdana" w:eastAsia="Aptos" w:hAnsi="Verdana" w:cs="Times New Roman"/>
          <w:sz w:val="20"/>
          <w:szCs w:val="20"/>
        </w:rPr>
      </w:pPr>
    </w:p>
    <w:p w14:paraId="06BD8015" w14:textId="77777777" w:rsidR="00083F91" w:rsidRPr="00AA6E72" w:rsidRDefault="00083F91" w:rsidP="00083F91">
      <w:pPr>
        <w:spacing w:after="0" w:line="240" w:lineRule="auto"/>
        <w:rPr>
          <w:rFonts w:ascii="Verdana" w:eastAsia="Aptos" w:hAnsi="Verdana" w:cs="Times New Roman"/>
          <w:sz w:val="20"/>
          <w:szCs w:val="20"/>
        </w:rPr>
      </w:pPr>
    </w:p>
    <w:p w14:paraId="2EE75D74" w14:textId="77777777" w:rsidR="00083F91" w:rsidRPr="00AA6E72" w:rsidRDefault="00083F91" w:rsidP="00083F91">
      <w:pPr>
        <w:spacing w:after="0" w:line="240" w:lineRule="auto"/>
        <w:rPr>
          <w:rFonts w:ascii="Verdana" w:eastAsia="Aptos" w:hAnsi="Verdana" w:cs="Times New Roman"/>
          <w:sz w:val="20"/>
          <w:szCs w:val="20"/>
        </w:rPr>
      </w:pPr>
    </w:p>
    <w:p w14:paraId="7CF8EAFA" w14:textId="77777777" w:rsidR="00083F91" w:rsidRPr="00AA6E72" w:rsidRDefault="00083F91" w:rsidP="00083F91">
      <w:pPr>
        <w:spacing w:after="0" w:line="240" w:lineRule="auto"/>
        <w:rPr>
          <w:rFonts w:ascii="Verdana" w:eastAsia="Aptos" w:hAnsi="Verdana" w:cs="Times New Roman"/>
          <w:sz w:val="20"/>
          <w:szCs w:val="20"/>
        </w:rPr>
      </w:pPr>
    </w:p>
    <w:p w14:paraId="745B6FBB" w14:textId="77777777" w:rsidR="00083F91" w:rsidRPr="00AA6E72" w:rsidRDefault="00083F91" w:rsidP="00083F91">
      <w:pPr>
        <w:spacing w:after="0" w:line="240" w:lineRule="auto"/>
        <w:rPr>
          <w:rFonts w:ascii="Verdana" w:eastAsia="Aptos" w:hAnsi="Verdana" w:cs="Times New Roman"/>
          <w:sz w:val="20"/>
          <w:szCs w:val="20"/>
        </w:rPr>
      </w:pPr>
    </w:p>
    <w:p w14:paraId="72DA3CF6" w14:textId="77777777" w:rsidR="00083F91" w:rsidRPr="00AA6E72" w:rsidRDefault="00083F91" w:rsidP="00083F91">
      <w:pPr>
        <w:spacing w:after="0" w:line="240" w:lineRule="auto"/>
        <w:rPr>
          <w:rFonts w:ascii="Verdana" w:eastAsia="Aptos" w:hAnsi="Verdana" w:cs="Times New Roman"/>
          <w:sz w:val="20"/>
          <w:szCs w:val="20"/>
        </w:rPr>
      </w:pPr>
    </w:p>
    <w:p w14:paraId="39619617" w14:textId="77777777" w:rsidR="00083F91" w:rsidRPr="00AA6E72" w:rsidRDefault="00083F91" w:rsidP="00083F91">
      <w:pPr>
        <w:spacing w:after="0" w:line="240" w:lineRule="auto"/>
        <w:rPr>
          <w:rFonts w:ascii="Verdana" w:eastAsia="Aptos" w:hAnsi="Verdana" w:cs="Times New Roman"/>
          <w:sz w:val="20"/>
          <w:szCs w:val="20"/>
        </w:rPr>
      </w:pPr>
    </w:p>
    <w:p w14:paraId="6FC7B968" w14:textId="77777777" w:rsidR="00083F91" w:rsidRPr="00AA6E72" w:rsidRDefault="00083F91" w:rsidP="00083F91">
      <w:pPr>
        <w:spacing w:after="0" w:line="240" w:lineRule="auto"/>
        <w:rPr>
          <w:rFonts w:ascii="Verdana" w:eastAsia="Aptos" w:hAnsi="Verdana" w:cs="Times New Roman"/>
          <w:sz w:val="20"/>
          <w:szCs w:val="20"/>
        </w:rPr>
      </w:pPr>
    </w:p>
    <w:p w14:paraId="5C20CECE" w14:textId="77777777" w:rsidR="00083F91" w:rsidRPr="00AA6E72" w:rsidRDefault="00083F91" w:rsidP="00083F91">
      <w:pPr>
        <w:spacing w:after="0" w:line="240" w:lineRule="auto"/>
        <w:rPr>
          <w:rFonts w:ascii="Verdana" w:eastAsia="Aptos" w:hAnsi="Verdana" w:cs="Times New Roman"/>
          <w:sz w:val="20"/>
          <w:szCs w:val="20"/>
        </w:rPr>
      </w:pPr>
    </w:p>
    <w:p w14:paraId="71AA90C5" w14:textId="77777777" w:rsidR="00083F91" w:rsidRPr="00AA6E72" w:rsidRDefault="00083F91" w:rsidP="00083F91">
      <w:pPr>
        <w:spacing w:after="0" w:line="240" w:lineRule="auto"/>
        <w:rPr>
          <w:rFonts w:ascii="Verdana" w:eastAsia="Aptos" w:hAnsi="Verdana" w:cs="Times New Roman"/>
          <w:sz w:val="20"/>
          <w:szCs w:val="20"/>
        </w:rPr>
      </w:pPr>
    </w:p>
    <w:p w14:paraId="3780D0E6" w14:textId="77777777" w:rsidR="00083F91" w:rsidRPr="00AA6E72" w:rsidRDefault="00083F91" w:rsidP="00083F91">
      <w:pPr>
        <w:spacing w:after="0" w:line="240" w:lineRule="auto"/>
        <w:rPr>
          <w:rFonts w:ascii="Verdana" w:eastAsia="Aptos" w:hAnsi="Verdana" w:cs="Times New Roman"/>
          <w:sz w:val="20"/>
          <w:szCs w:val="20"/>
        </w:rPr>
      </w:pPr>
    </w:p>
    <w:p w14:paraId="63DAE0CB" w14:textId="77777777" w:rsidR="00083F91" w:rsidRPr="00AA6E72" w:rsidRDefault="00083F91" w:rsidP="00083F91">
      <w:pPr>
        <w:spacing w:after="0" w:line="240" w:lineRule="auto"/>
        <w:rPr>
          <w:rFonts w:ascii="Verdana" w:eastAsia="Aptos" w:hAnsi="Verdana" w:cs="Times New Roman"/>
          <w:sz w:val="20"/>
          <w:szCs w:val="20"/>
        </w:rPr>
      </w:pPr>
    </w:p>
    <w:p w14:paraId="5EEEB265" w14:textId="77777777" w:rsidR="00083F91" w:rsidRPr="00AA6E72" w:rsidRDefault="00083F91" w:rsidP="00083F91">
      <w:pPr>
        <w:spacing w:after="0" w:line="240" w:lineRule="auto"/>
        <w:rPr>
          <w:rFonts w:ascii="Verdana" w:eastAsia="Aptos" w:hAnsi="Verdana" w:cs="Times New Roman"/>
          <w:sz w:val="20"/>
          <w:szCs w:val="20"/>
        </w:rPr>
      </w:pPr>
    </w:p>
    <w:p w14:paraId="063EC70E" w14:textId="77777777" w:rsidR="00083F91" w:rsidRPr="00AA6E72" w:rsidRDefault="00083F91" w:rsidP="00083F91">
      <w:pPr>
        <w:spacing w:after="0" w:line="240" w:lineRule="auto"/>
        <w:rPr>
          <w:rFonts w:ascii="Verdana" w:eastAsia="Aptos" w:hAnsi="Verdana" w:cs="Times New Roman"/>
          <w:sz w:val="20"/>
          <w:szCs w:val="20"/>
        </w:rPr>
      </w:pPr>
    </w:p>
    <w:p w14:paraId="316708F4" w14:textId="033FBDFB" w:rsidR="00083F91" w:rsidRPr="00AA6E72" w:rsidRDefault="00083F91" w:rsidP="00083F91">
      <w:pPr>
        <w:spacing w:after="0" w:line="240" w:lineRule="auto"/>
        <w:jc w:val="both"/>
        <w:rPr>
          <w:rFonts w:ascii="Verdana" w:eastAsia="Calibri" w:hAnsi="Verdana" w:cs="Arial"/>
          <w:lang w:val="es-ES"/>
        </w:rPr>
      </w:pPr>
      <w:r w:rsidRPr="00AA6E72">
        <w:rPr>
          <w:rFonts w:ascii="Verdana" w:eastAsia="Geomanist Light" w:hAnsi="Verdana" w:cs="Arial"/>
          <w:lang w:val="es-MX"/>
        </w:rPr>
        <w:lastRenderedPageBreak/>
        <w:t>Bogotá D.C., </w:t>
      </w:r>
      <w:r w:rsidR="00F138DA">
        <w:rPr>
          <w:rFonts w:ascii="Verdana" w:eastAsia="Geomanist Light" w:hAnsi="Verdana" w:cs="Arial"/>
          <w:lang w:val="es-MX"/>
        </w:rPr>
        <w:t>23 de abril de 2026</w:t>
      </w:r>
    </w:p>
    <w:p w14:paraId="58CF3A34" w14:textId="77777777" w:rsidR="00083F91" w:rsidRPr="00AA6E72" w:rsidRDefault="00083F91" w:rsidP="00083F91">
      <w:pPr>
        <w:spacing w:after="0" w:line="240" w:lineRule="auto"/>
        <w:jc w:val="both"/>
        <w:rPr>
          <w:rFonts w:ascii="Verdana" w:eastAsia="Calibri" w:hAnsi="Verdana" w:cs="Arial"/>
          <w:lang w:val="es-ES"/>
        </w:rPr>
      </w:pPr>
    </w:p>
    <w:p w14:paraId="20F8B442" w14:textId="35A87CBE" w:rsidR="00083F91" w:rsidRPr="00AA6E72" w:rsidRDefault="003B1E80" w:rsidP="00083F91">
      <w:pPr>
        <w:spacing w:after="0" w:line="240" w:lineRule="auto"/>
        <w:jc w:val="right"/>
        <w:rPr>
          <w:rFonts w:ascii="Verdana" w:eastAsia="Calibri" w:hAnsi="Verdana" w:cs="Arial"/>
          <w:lang w:val="es-ES"/>
        </w:rPr>
      </w:pPr>
      <w:r w:rsidRPr="003B1E80">
        <w:rPr>
          <w:rFonts w:ascii="Verdana" w:eastAsia="Calibri" w:hAnsi="Verdana" w:cs="Arial"/>
          <w:lang w:val="es-ES"/>
        </w:rPr>
        <w:drawing>
          <wp:inline distT="0" distB="0" distL="0" distR="0" wp14:anchorId="1BC66529" wp14:editId="51EE6B1F">
            <wp:extent cx="2366088" cy="647700"/>
            <wp:effectExtent l="0" t="0" r="0" b="0"/>
            <wp:docPr id="1842742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742046" name=""/>
                    <pic:cNvPicPr/>
                  </pic:nvPicPr>
                  <pic:blipFill>
                    <a:blip r:embed="rId10"/>
                    <a:stretch>
                      <a:fillRect/>
                    </a:stretch>
                  </pic:blipFill>
                  <pic:spPr>
                    <a:xfrm>
                      <a:off x="0" y="0"/>
                      <a:ext cx="2367114" cy="647981"/>
                    </a:xfrm>
                    <a:prstGeom prst="rect">
                      <a:avLst/>
                    </a:prstGeom>
                  </pic:spPr>
                </pic:pic>
              </a:graphicData>
            </a:graphic>
          </wp:inline>
        </w:drawing>
      </w:r>
    </w:p>
    <w:p w14:paraId="002819E1" w14:textId="77777777" w:rsidR="00083F91" w:rsidRPr="00AA6E72" w:rsidRDefault="00083F91" w:rsidP="00083F91">
      <w:pPr>
        <w:spacing w:after="0" w:line="240" w:lineRule="auto"/>
        <w:jc w:val="both"/>
        <w:rPr>
          <w:rFonts w:ascii="Verdana" w:eastAsia="Calibri" w:hAnsi="Verdana" w:cs="Arial"/>
          <w:lang w:val="es-ES" w:eastAsia="es-ES"/>
        </w:rPr>
      </w:pPr>
      <w:r w:rsidRPr="00AA6E72">
        <w:rPr>
          <w:rFonts w:ascii="Verdana" w:eastAsia="Calibri" w:hAnsi="Verdana" w:cs="Arial"/>
          <w:lang w:val="es-ES" w:eastAsia="es-ES"/>
        </w:rPr>
        <w:t>Señor</w:t>
      </w:r>
    </w:p>
    <w:p w14:paraId="1D756E4F" w14:textId="77777777" w:rsidR="00083F91" w:rsidRPr="00AA6E72" w:rsidRDefault="00083F91" w:rsidP="00083F91">
      <w:pPr>
        <w:spacing w:after="0" w:line="240" w:lineRule="auto"/>
        <w:rPr>
          <w:rFonts w:ascii="Verdana" w:eastAsia="Calibri" w:hAnsi="Verdana" w:cs="Arial"/>
          <w:b/>
          <w:lang w:val="es-ES" w:eastAsia="es-ES"/>
        </w:rPr>
      </w:pPr>
      <w:r w:rsidRPr="00AA6E72">
        <w:rPr>
          <w:rFonts w:ascii="Verdana" w:eastAsia="Calibri" w:hAnsi="Verdana" w:cs="Arial"/>
          <w:b/>
          <w:lang w:val="es-ES" w:eastAsia="es-ES"/>
        </w:rPr>
        <w:t>Pablo Certuche</w:t>
      </w:r>
    </w:p>
    <w:p w14:paraId="3D158E90" w14:textId="77777777" w:rsidR="00083F91" w:rsidRPr="00AA6E72" w:rsidRDefault="00083F91" w:rsidP="00083F91">
      <w:pPr>
        <w:spacing w:after="0" w:line="240" w:lineRule="auto"/>
        <w:rPr>
          <w:rFonts w:ascii="Verdana" w:eastAsia="Aptos" w:hAnsi="Verdana" w:cs="Arial"/>
        </w:rPr>
      </w:pPr>
      <w:hyperlink r:id="rId11" w:history="1">
        <w:r w:rsidRPr="00AA6E72">
          <w:rPr>
            <w:rFonts w:ascii="Verdana" w:eastAsia="Aptos" w:hAnsi="Verdana" w:cs="Arial"/>
            <w:color w:val="0000FF"/>
            <w:u w:val="single"/>
          </w:rPr>
          <w:t>pcobrasyproyectosas@gmail.com</w:t>
        </w:r>
      </w:hyperlink>
      <w:r w:rsidRPr="00AA6E72">
        <w:rPr>
          <w:rFonts w:ascii="Verdana" w:eastAsia="Aptos" w:hAnsi="Verdana" w:cs="Arial"/>
        </w:rPr>
        <w:t xml:space="preserve"> </w:t>
      </w:r>
    </w:p>
    <w:p w14:paraId="7F0B0592" w14:textId="77777777" w:rsidR="00083F91" w:rsidRPr="00AA6E72" w:rsidRDefault="00083F91" w:rsidP="00083F91">
      <w:pPr>
        <w:spacing w:after="0" w:line="240" w:lineRule="auto"/>
        <w:rPr>
          <w:rFonts w:ascii="Verdana" w:eastAsia="Calibri" w:hAnsi="Verdana" w:cs="Arial"/>
          <w:b/>
          <w:bCs/>
          <w:lang w:val="es-ES" w:eastAsia="es-ES"/>
        </w:rPr>
      </w:pPr>
      <w:r w:rsidRPr="00AA6E72">
        <w:rPr>
          <w:rFonts w:ascii="Verdana" w:eastAsia="Calibri" w:hAnsi="Verdana" w:cs="Arial"/>
          <w:lang w:val="es-ES" w:eastAsia="es-ES"/>
        </w:rPr>
        <w:t>Ciudad</w:t>
      </w:r>
    </w:p>
    <w:p w14:paraId="64E1BB61" w14:textId="77777777" w:rsidR="00083F91" w:rsidRPr="00AA6E72" w:rsidRDefault="00083F91" w:rsidP="00083F9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83F91" w:rsidRPr="00AA6E72" w14:paraId="2E00B89D" w14:textId="77777777" w:rsidTr="006E2BF8">
        <w:trPr>
          <w:trHeight w:val="308"/>
        </w:trPr>
        <w:tc>
          <w:tcPr>
            <w:tcW w:w="2689" w:type="dxa"/>
          </w:tcPr>
          <w:p w14:paraId="42DE767E" w14:textId="77777777" w:rsidR="00083F91" w:rsidRPr="00AA6E72" w:rsidRDefault="00083F91" w:rsidP="006E2BF8">
            <w:pPr>
              <w:jc w:val="both"/>
              <w:rPr>
                <w:rFonts w:ascii="Verdana" w:eastAsia="Calibri" w:hAnsi="Verdana" w:cs="Arial"/>
                <w:b/>
                <w:bCs/>
                <w:lang w:val="es-ES_tradnl" w:eastAsia="es-ES_tradnl"/>
              </w:rPr>
            </w:pPr>
          </w:p>
        </w:tc>
        <w:tc>
          <w:tcPr>
            <w:tcW w:w="6100" w:type="dxa"/>
          </w:tcPr>
          <w:p w14:paraId="6B749C15" w14:textId="77777777" w:rsidR="00083F91" w:rsidRPr="00AA6E72" w:rsidRDefault="00083F91" w:rsidP="006E2BF8">
            <w:pPr>
              <w:jc w:val="both"/>
              <w:rPr>
                <w:rFonts w:ascii="Verdana" w:eastAsia="Calibri" w:hAnsi="Verdana" w:cs="Arial"/>
                <w:b/>
                <w:bCs/>
                <w:lang w:val="es-ES" w:eastAsia="es-ES"/>
              </w:rPr>
            </w:pPr>
            <w:r w:rsidRPr="00AA6E72">
              <w:rPr>
                <w:rFonts w:ascii="Verdana" w:eastAsia="Calibri" w:hAnsi="Verdana" w:cs="Arial"/>
                <w:b/>
                <w:bCs/>
                <w:lang w:val="es-ES" w:eastAsia="es-ES"/>
              </w:rPr>
              <w:t>Concepto C-511 de 2026</w:t>
            </w:r>
          </w:p>
          <w:p w14:paraId="7394C970" w14:textId="77777777" w:rsidR="00083F91" w:rsidRPr="00AA6E72" w:rsidRDefault="00083F91" w:rsidP="006E2BF8">
            <w:pPr>
              <w:jc w:val="both"/>
              <w:rPr>
                <w:rFonts w:ascii="Verdana" w:eastAsia="Calibri" w:hAnsi="Verdana" w:cs="Arial"/>
                <w:b/>
                <w:bCs/>
                <w:lang w:val="es-ES" w:eastAsia="es-ES"/>
              </w:rPr>
            </w:pPr>
          </w:p>
        </w:tc>
      </w:tr>
      <w:tr w:rsidR="00083F91" w:rsidRPr="00AA6E72" w14:paraId="0594D183" w14:textId="77777777" w:rsidTr="006E2BF8">
        <w:trPr>
          <w:trHeight w:val="884"/>
        </w:trPr>
        <w:tc>
          <w:tcPr>
            <w:tcW w:w="2689" w:type="dxa"/>
          </w:tcPr>
          <w:p w14:paraId="6CB71A4D" w14:textId="77777777" w:rsidR="00083F91" w:rsidRPr="00AA6E72" w:rsidRDefault="00083F91" w:rsidP="006E2BF8">
            <w:pPr>
              <w:jc w:val="both"/>
              <w:rPr>
                <w:rFonts w:ascii="Verdana" w:eastAsia="Calibri" w:hAnsi="Verdana" w:cs="Arial"/>
                <w:lang w:val="es-ES_tradnl" w:eastAsia="es-ES_tradnl"/>
              </w:rPr>
            </w:pPr>
            <w:r w:rsidRPr="00AA6E72">
              <w:rPr>
                <w:rFonts w:ascii="Verdana" w:eastAsia="Calibri" w:hAnsi="Verdana" w:cs="Arial"/>
                <w:b/>
                <w:lang w:val="es-ES_tradnl" w:eastAsia="es-ES_tradnl"/>
              </w:rPr>
              <w:t>Temas:</w:t>
            </w:r>
            <w:r w:rsidRPr="00AA6E72">
              <w:rPr>
                <w:rFonts w:ascii="Verdana" w:eastAsia="Calibri" w:hAnsi="Verdana" w:cs="Arial"/>
                <w:lang w:val="es-ES_tradnl" w:eastAsia="es-ES_tradnl"/>
              </w:rPr>
              <w:t xml:space="preserve">                   </w:t>
            </w:r>
          </w:p>
        </w:tc>
        <w:tc>
          <w:tcPr>
            <w:tcW w:w="6100" w:type="dxa"/>
          </w:tcPr>
          <w:p w14:paraId="4778EFD0" w14:textId="77777777" w:rsidR="00083F91" w:rsidRPr="00AA6E72" w:rsidRDefault="00083F91" w:rsidP="006E2BF8">
            <w:pPr>
              <w:spacing w:line="276" w:lineRule="auto"/>
              <w:jc w:val="both"/>
              <w:rPr>
                <w:rFonts w:ascii="Verdana" w:eastAsia="Calibri" w:hAnsi="Verdana" w:cs="Arial"/>
                <w:lang w:val="es-ES" w:eastAsia="es-ES"/>
              </w:rPr>
            </w:pPr>
            <w:r w:rsidRPr="00AA6E72">
              <w:rPr>
                <w:rFonts w:ascii="Verdana" w:eastAsia="Calibri" w:hAnsi="Verdana" w:cs="Arial"/>
                <w:lang w:val="es-ES" w:eastAsia="es-ES"/>
              </w:rPr>
              <w:t>LEY DE GARANTÍAS ELECTORALES – Finalidad – Ley 996 de 2005 – Comicios aplicables / LEY DE GARANTÍAS ELECTORALES – Restricciones – Elecciones presidenciales – Destinatarios – Excepciones / LEY DE GARANTÍAS ELECTORALES – Restricciones – Otros comicios – Destinatarios</w:t>
            </w:r>
          </w:p>
        </w:tc>
      </w:tr>
    </w:tbl>
    <w:p w14:paraId="393644FD" w14:textId="77777777" w:rsidR="00083F91" w:rsidRPr="00AA6E72" w:rsidRDefault="00083F91" w:rsidP="00083F91">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83F91" w:rsidRPr="00AA6E72" w14:paraId="187D05D8" w14:textId="77777777" w:rsidTr="006E2BF8">
        <w:tc>
          <w:tcPr>
            <w:tcW w:w="2689" w:type="dxa"/>
          </w:tcPr>
          <w:p w14:paraId="720172CD" w14:textId="77777777" w:rsidR="00083F91" w:rsidRPr="00AA6E72" w:rsidRDefault="00083F91" w:rsidP="006E2BF8">
            <w:pPr>
              <w:jc w:val="both"/>
              <w:rPr>
                <w:rFonts w:ascii="Verdana" w:eastAsia="Calibri" w:hAnsi="Verdana" w:cs="Arial"/>
                <w:b/>
                <w:lang w:val="es-ES_tradnl" w:eastAsia="es-ES_tradnl"/>
              </w:rPr>
            </w:pPr>
            <w:r w:rsidRPr="00AA6E72">
              <w:rPr>
                <w:rFonts w:ascii="Verdana" w:eastAsia="Calibri" w:hAnsi="Verdana" w:cs="Arial"/>
                <w:b/>
                <w:lang w:val="es-ES_tradnl" w:eastAsia="es-ES_tradnl"/>
              </w:rPr>
              <w:t>Radicación:</w:t>
            </w:r>
            <w:r w:rsidRPr="00AA6E72">
              <w:rPr>
                <w:rFonts w:ascii="Verdana" w:eastAsia="Calibri" w:hAnsi="Verdana" w:cs="Arial"/>
                <w:lang w:val="es-ES_tradnl" w:eastAsia="es-ES_tradnl"/>
              </w:rPr>
              <w:t xml:space="preserve">               </w:t>
            </w:r>
          </w:p>
        </w:tc>
        <w:tc>
          <w:tcPr>
            <w:tcW w:w="6100" w:type="dxa"/>
          </w:tcPr>
          <w:p w14:paraId="3C9E1AF5" w14:textId="77777777" w:rsidR="00083F91" w:rsidRPr="00AA6E72" w:rsidRDefault="00083F91" w:rsidP="006E2BF8">
            <w:pPr>
              <w:jc w:val="both"/>
              <w:rPr>
                <w:rFonts w:ascii="Verdana" w:eastAsia="Calibri" w:hAnsi="Verdana" w:cs="Arial"/>
                <w:lang w:val="es-ES_tradnl" w:eastAsia="es-ES_tradnl"/>
              </w:rPr>
            </w:pPr>
            <w:r w:rsidRPr="00AA6E72">
              <w:rPr>
                <w:rFonts w:ascii="Verdana" w:eastAsia="Calibri" w:hAnsi="Verdana" w:cs="Arial"/>
                <w:lang w:val="es-ES_tradnl" w:eastAsia="es-ES_tradnl"/>
              </w:rPr>
              <w:t>Respuesta a consulta con radicado No. 1_2026_03_27_004280</w:t>
            </w:r>
          </w:p>
        </w:tc>
      </w:tr>
    </w:tbl>
    <w:p w14:paraId="0F55E4F9" w14:textId="77777777" w:rsidR="00083F91" w:rsidRPr="00AA6E72" w:rsidRDefault="00083F91" w:rsidP="00083F91">
      <w:pPr>
        <w:spacing w:after="0" w:line="240" w:lineRule="auto"/>
        <w:jc w:val="both"/>
        <w:rPr>
          <w:rFonts w:ascii="Verdana" w:eastAsia="Calibri" w:hAnsi="Verdana" w:cs="Arial"/>
          <w:lang w:val="es-ES_tradnl" w:eastAsia="es-ES_tradnl"/>
        </w:rPr>
      </w:pPr>
    </w:p>
    <w:p w14:paraId="6D3DCC17" w14:textId="77777777" w:rsidR="00083F91" w:rsidRPr="00AA6E72" w:rsidRDefault="00083F91" w:rsidP="00083F91">
      <w:pPr>
        <w:spacing w:after="0" w:line="240" w:lineRule="auto"/>
        <w:jc w:val="both"/>
        <w:rPr>
          <w:rFonts w:ascii="Verdana" w:eastAsia="Calibri" w:hAnsi="Verdana" w:cs="Arial"/>
          <w:lang w:val="es-ES_tradnl" w:eastAsia="es-ES_tradnl"/>
        </w:rPr>
      </w:pPr>
    </w:p>
    <w:p w14:paraId="76CB91ED" w14:textId="77777777" w:rsidR="00083F91" w:rsidRPr="00AA6E72" w:rsidRDefault="00083F91" w:rsidP="00083F91">
      <w:pPr>
        <w:spacing w:after="0" w:line="276" w:lineRule="auto"/>
        <w:jc w:val="both"/>
        <w:rPr>
          <w:rFonts w:ascii="Verdana" w:eastAsia="Calibri" w:hAnsi="Verdana" w:cs="Arial"/>
          <w:lang w:val="es-ES" w:eastAsia="es-ES"/>
        </w:rPr>
      </w:pPr>
      <w:r w:rsidRPr="00AA6E72">
        <w:rPr>
          <w:rFonts w:ascii="Verdana" w:eastAsia="Calibri" w:hAnsi="Verdana" w:cs="Arial"/>
          <w:lang w:val="es-ES" w:eastAsia="es-ES"/>
        </w:rPr>
        <w:t xml:space="preserve">Estimando Señor Certuche: </w:t>
      </w:r>
    </w:p>
    <w:p w14:paraId="7AAA2FCC" w14:textId="77777777" w:rsidR="00083F91" w:rsidRPr="00AA6E72" w:rsidRDefault="00083F91" w:rsidP="00083F91">
      <w:pPr>
        <w:tabs>
          <w:tab w:val="left" w:pos="3768"/>
        </w:tabs>
        <w:spacing w:after="0" w:line="276" w:lineRule="auto"/>
        <w:jc w:val="both"/>
        <w:rPr>
          <w:rFonts w:ascii="Verdana" w:eastAsia="Calibri" w:hAnsi="Verdana" w:cs="Arial"/>
          <w:lang w:val="es-ES" w:eastAsia="es-ES"/>
        </w:rPr>
      </w:pPr>
    </w:p>
    <w:p w14:paraId="6DF8AB4E" w14:textId="77777777" w:rsidR="00083F91" w:rsidRPr="00AA6E72" w:rsidRDefault="00083F91" w:rsidP="00083F91">
      <w:pPr>
        <w:spacing w:after="0" w:line="276" w:lineRule="auto"/>
        <w:jc w:val="both"/>
        <w:rPr>
          <w:rFonts w:ascii="Verdana" w:eastAsia="Calibri" w:hAnsi="Verdana" w:cs="Arial"/>
          <w:lang w:val="es-ES" w:eastAsia="es-ES"/>
        </w:rPr>
      </w:pPr>
      <w:r w:rsidRPr="00AA6E72">
        <w:rPr>
          <w:rFonts w:ascii="Verdana" w:eastAsia="Calibri" w:hAnsi="Verdana" w:cs="Arial"/>
          <w:lang w:val="es-ES" w:eastAsia="es-ES"/>
        </w:rPr>
        <w:t>En ejercicio de la competencia otorgada por los artículos 3, numeral 5º, y 11, numeral 8º, del Decreto Ley 4170 de 2011,</w:t>
      </w:r>
      <w:r w:rsidRPr="00AA6E72">
        <w:rPr>
          <w:rFonts w:ascii="Verdana" w:eastAsia="Arial MT" w:hAnsi="Verdana" w:cs="Arial MT"/>
          <w:lang w:val="es-ES" w:eastAsia="es-ES"/>
        </w:rPr>
        <w:t xml:space="preserve"> </w:t>
      </w:r>
      <w:r w:rsidRPr="00AA6E72">
        <w:rPr>
          <w:rFonts w:ascii="Verdana" w:eastAsia="Aptos" w:hAnsi="Verdana" w:cs="Arial"/>
        </w:rPr>
        <w:t xml:space="preserve">así como lo establecido en el artículo 4 de la Resolución 1707 de 2018 expedida por esta Entidad, </w:t>
      </w:r>
      <w:r w:rsidRPr="00AA6E72">
        <w:rPr>
          <w:rFonts w:ascii="Verdana" w:eastAsia="Calibri" w:hAnsi="Verdana" w:cs="Arial"/>
          <w:lang w:val="es-ES" w:eastAsia="es-ES"/>
        </w:rPr>
        <w:t xml:space="preserve">la Agencia Nacional de Contratación Pública – Colombia Compra Eficiente– responde su petición del 26 de marzo de 2026, la cual fue remitida de manera parcial por la Agencia de Renovación del Territorio mediante </w:t>
      </w:r>
      <w:r>
        <w:rPr>
          <w:rFonts w:ascii="Verdana" w:eastAsia="Calibri" w:hAnsi="Verdana" w:cs="Arial"/>
          <w:lang w:val="es-ES" w:eastAsia="es-ES"/>
        </w:rPr>
        <w:t>oficio</w:t>
      </w:r>
      <w:r w:rsidRPr="00AA6E72">
        <w:rPr>
          <w:rFonts w:ascii="Verdana" w:eastAsia="Calibri" w:hAnsi="Verdana" w:cs="Arial"/>
          <w:lang w:val="es-ES" w:eastAsia="es-ES"/>
        </w:rPr>
        <w:t xml:space="preserve"> con Radicado No. 20263300046851 del mismo mes y año. Usted realiza los siguientes interrogantes: </w:t>
      </w:r>
    </w:p>
    <w:p w14:paraId="77D0B576" w14:textId="77777777" w:rsidR="00083F91" w:rsidRPr="00AA6E72" w:rsidRDefault="00083F91" w:rsidP="00083F91">
      <w:pPr>
        <w:spacing w:after="0" w:line="276" w:lineRule="auto"/>
        <w:jc w:val="both"/>
        <w:rPr>
          <w:rFonts w:ascii="Verdana" w:eastAsia="Calibri" w:hAnsi="Verdana" w:cs="Arial"/>
          <w:lang w:val="es-ES" w:eastAsia="es-ES"/>
        </w:rPr>
      </w:pPr>
    </w:p>
    <w:p w14:paraId="1CCE5FE3" w14:textId="77777777" w:rsidR="00083F91" w:rsidRPr="00AA6E72" w:rsidRDefault="00083F91" w:rsidP="00083F91">
      <w:pPr>
        <w:spacing w:after="0" w:line="240" w:lineRule="auto"/>
        <w:ind w:left="709" w:right="709"/>
        <w:jc w:val="both"/>
        <w:rPr>
          <w:rFonts w:ascii="Verdana" w:eastAsia="Calibri" w:hAnsi="Verdana" w:cs="Arial"/>
          <w:b/>
          <w:bCs/>
          <w:i/>
          <w:iCs/>
          <w:sz w:val="20"/>
          <w:szCs w:val="20"/>
          <w:lang w:val="es-MX"/>
        </w:rPr>
      </w:pPr>
      <w:r w:rsidRPr="00AA6E72">
        <w:rPr>
          <w:rFonts w:ascii="Verdana" w:eastAsia="Calibri" w:hAnsi="Verdana" w:cs="Arial"/>
          <w:sz w:val="20"/>
          <w:szCs w:val="20"/>
          <w:lang w:val="es-MX"/>
        </w:rPr>
        <w:t>“</w:t>
      </w:r>
      <w:r w:rsidRPr="00AA6E72">
        <w:rPr>
          <w:rFonts w:ascii="Verdana" w:eastAsia="Calibri" w:hAnsi="Verdana" w:cs="Arial"/>
          <w:b/>
          <w:bCs/>
          <w:sz w:val="20"/>
          <w:szCs w:val="20"/>
          <w:lang w:val="es-MX"/>
        </w:rPr>
        <w:t xml:space="preserve">2. </w:t>
      </w:r>
      <w:r w:rsidRPr="00AA6E72">
        <w:rPr>
          <w:rFonts w:ascii="Verdana" w:eastAsia="Calibri" w:hAnsi="Verdana" w:cs="Arial"/>
          <w:b/>
          <w:bCs/>
          <w:i/>
          <w:iCs/>
          <w:sz w:val="20"/>
          <w:szCs w:val="20"/>
          <w:lang w:val="es-MX"/>
        </w:rPr>
        <w:t xml:space="preserve">Si el contribuyente líder o responsable de la coordinación del proyecto no es EPM, ¿la sola participación de EPM como uno de los aportantes obliga a que la selección de la fiduciaria de la fiducia única deba realizarse mediante licitación pública, o puede EPM adherir o vincularse al esquema fiduciario liderado por el </w:t>
      </w:r>
      <w:r w:rsidRPr="00AA6E72">
        <w:rPr>
          <w:rFonts w:ascii="Verdana" w:eastAsia="Calibri" w:hAnsi="Verdana" w:cs="Arial"/>
          <w:b/>
          <w:bCs/>
          <w:i/>
          <w:iCs/>
          <w:sz w:val="20"/>
          <w:szCs w:val="20"/>
          <w:lang w:val="es-MX"/>
        </w:rPr>
        <w:lastRenderedPageBreak/>
        <w:t>contribuyente coordinador, sin que ello implique adelantar un proceso propio de selección de la fiduciaria?</w:t>
      </w:r>
    </w:p>
    <w:p w14:paraId="34415039" w14:textId="77777777" w:rsidR="00083F91" w:rsidRPr="00AA6E72" w:rsidRDefault="00083F91" w:rsidP="00083F91">
      <w:pPr>
        <w:spacing w:after="0" w:line="240" w:lineRule="auto"/>
        <w:ind w:left="709" w:right="709"/>
        <w:jc w:val="both"/>
        <w:rPr>
          <w:rFonts w:ascii="Verdana" w:eastAsia="Calibri" w:hAnsi="Verdana" w:cs="Arial"/>
          <w:b/>
          <w:bCs/>
          <w:i/>
          <w:iCs/>
          <w:sz w:val="20"/>
          <w:szCs w:val="20"/>
          <w:lang w:val="es-MX"/>
        </w:rPr>
      </w:pPr>
    </w:p>
    <w:p w14:paraId="48AF5C7E" w14:textId="77777777" w:rsidR="00083F91" w:rsidRPr="00AA6E72" w:rsidRDefault="00083F91" w:rsidP="00083F91">
      <w:pPr>
        <w:spacing w:after="0" w:line="240" w:lineRule="auto"/>
        <w:ind w:left="709" w:right="709"/>
        <w:jc w:val="both"/>
        <w:rPr>
          <w:rFonts w:ascii="Verdana" w:eastAsia="Calibri" w:hAnsi="Verdana" w:cs="Arial"/>
          <w:b/>
          <w:bCs/>
          <w:i/>
          <w:iCs/>
          <w:sz w:val="20"/>
          <w:szCs w:val="20"/>
          <w:lang w:val="es-MX"/>
        </w:rPr>
      </w:pPr>
      <w:r w:rsidRPr="00AA6E72">
        <w:rPr>
          <w:rFonts w:ascii="Verdana" w:eastAsia="Calibri" w:hAnsi="Verdana" w:cs="Arial"/>
          <w:b/>
          <w:bCs/>
          <w:i/>
          <w:iCs/>
          <w:sz w:val="20"/>
          <w:szCs w:val="20"/>
          <w:lang w:val="es-MX"/>
        </w:rPr>
        <w:t>4. En vigencia de las restricciones previstas por la Ley 996 de 2005, ¿la limitación aplicable a entidades con régimen especial como EPM recae exclusivamente sobre la contratación directa, de manera que, si llegare a requerirse un proceso de selección por parte de dicha entidad, bastaría un procedimiento competitivo con publicidad y pluralidad de oferentes bajo su régimen propio, sin que ello signifique necesariamente acudir a una licitación pública en sentido estricto del Estatuto General de Contratación?</w:t>
      </w:r>
    </w:p>
    <w:p w14:paraId="0A7C3A0C" w14:textId="77777777" w:rsidR="00083F91" w:rsidRPr="00AA6E72" w:rsidRDefault="00083F91" w:rsidP="00083F91">
      <w:pPr>
        <w:spacing w:after="0" w:line="240" w:lineRule="auto"/>
        <w:ind w:left="709" w:right="709"/>
        <w:jc w:val="both"/>
        <w:rPr>
          <w:rFonts w:ascii="Verdana" w:eastAsia="Calibri" w:hAnsi="Verdana" w:cs="Arial"/>
          <w:b/>
          <w:bCs/>
          <w:i/>
          <w:iCs/>
          <w:sz w:val="20"/>
          <w:szCs w:val="20"/>
          <w:lang w:val="es-MX"/>
        </w:rPr>
      </w:pPr>
    </w:p>
    <w:p w14:paraId="5ACBA3E4" w14:textId="77777777" w:rsidR="00083F91" w:rsidRPr="00AA6E72" w:rsidRDefault="00083F91" w:rsidP="00083F91">
      <w:pPr>
        <w:spacing w:after="0" w:line="240" w:lineRule="auto"/>
        <w:ind w:left="709" w:right="709"/>
        <w:jc w:val="both"/>
        <w:rPr>
          <w:rFonts w:ascii="Verdana" w:eastAsia="Calibri" w:hAnsi="Verdana" w:cs="Arial"/>
          <w:sz w:val="20"/>
          <w:szCs w:val="20"/>
          <w:lang w:val="es-MX"/>
        </w:rPr>
      </w:pPr>
      <w:r w:rsidRPr="00AA6E72">
        <w:rPr>
          <w:rFonts w:ascii="Verdana" w:eastAsia="Calibri" w:hAnsi="Verdana" w:cs="Arial"/>
          <w:b/>
          <w:bCs/>
          <w:i/>
          <w:iCs/>
          <w:sz w:val="20"/>
          <w:szCs w:val="20"/>
          <w:lang w:val="es-MX"/>
        </w:rPr>
        <w:t>5. En criterio de la ART, ¿resulta jurídicamente viable y operativamente compatible con el mecanismo que, existiendo varios contribuyentes y una sola fiducia, el contribuyente líder sea quien conduzca el proceso fiduciario y que los demás aportantes, incluidos aquellos con régimen especial, consignen sus recursos en la fiducia así definida, en los términos de la coordinación acordada entre ellos?</w:t>
      </w:r>
      <w:r>
        <w:rPr>
          <w:rFonts w:ascii="Verdana" w:eastAsia="Calibri" w:hAnsi="Verdana" w:cs="Arial"/>
          <w:i/>
          <w:iCs/>
          <w:sz w:val="20"/>
          <w:szCs w:val="20"/>
          <w:lang w:val="es-MX"/>
        </w:rPr>
        <w:t xml:space="preserve">” </w:t>
      </w:r>
      <w:r>
        <w:rPr>
          <w:rFonts w:ascii="Verdana" w:eastAsia="Calibri" w:hAnsi="Verdana" w:cs="Arial"/>
          <w:sz w:val="20"/>
          <w:szCs w:val="20"/>
          <w:lang w:val="es-MX"/>
        </w:rPr>
        <w:t>[sic] [Énfasis propio]</w:t>
      </w:r>
    </w:p>
    <w:p w14:paraId="515B513F" w14:textId="77777777" w:rsidR="00083F91" w:rsidRPr="00AA6E72" w:rsidRDefault="00083F91" w:rsidP="00083F91">
      <w:pPr>
        <w:spacing w:after="0" w:line="276" w:lineRule="auto"/>
        <w:jc w:val="both"/>
        <w:rPr>
          <w:rFonts w:ascii="Verdana" w:eastAsia="Calibri" w:hAnsi="Verdana" w:cs="Arial"/>
          <w:lang w:val="es-ES" w:eastAsia="es-ES"/>
        </w:rPr>
      </w:pPr>
    </w:p>
    <w:p w14:paraId="3748BB8C" w14:textId="77777777" w:rsidR="00083F91" w:rsidRPr="00AA6E72" w:rsidRDefault="00083F91" w:rsidP="00083F91">
      <w:pPr>
        <w:spacing w:after="120" w:line="276" w:lineRule="auto"/>
        <w:jc w:val="both"/>
        <w:rPr>
          <w:rFonts w:ascii="Verdana" w:eastAsia="Calibri" w:hAnsi="Verdana" w:cs="Arial"/>
          <w:szCs w:val="24"/>
          <w:lang w:val="es-ES_tradnl" w:eastAsia="es-ES_tradnl"/>
        </w:rPr>
      </w:pPr>
      <w:r w:rsidRPr="00AA6E7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C4FC5A5" w14:textId="77777777" w:rsidR="00083F91" w:rsidRPr="00AA6E72" w:rsidRDefault="00083F91" w:rsidP="00083F91">
      <w:pPr>
        <w:spacing w:after="0" w:line="276" w:lineRule="auto"/>
        <w:ind w:firstLine="709"/>
        <w:jc w:val="both"/>
        <w:rPr>
          <w:rFonts w:ascii="Verdana" w:eastAsia="Calibri" w:hAnsi="Verdana" w:cs="Arial"/>
          <w:lang w:val="es-ES" w:eastAsia="es-ES"/>
        </w:rPr>
      </w:pPr>
      <w:r w:rsidRPr="00AA6E72">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Por lo que, sólo nos manifestaremos sobre su pregunta No. 4.</w:t>
      </w:r>
    </w:p>
    <w:p w14:paraId="1B5E3857" w14:textId="77777777" w:rsidR="00083F91" w:rsidRPr="00AA6E72" w:rsidRDefault="00083F91" w:rsidP="00083F91">
      <w:pPr>
        <w:spacing w:after="0" w:line="276" w:lineRule="auto"/>
        <w:ind w:firstLine="709"/>
        <w:jc w:val="both"/>
        <w:rPr>
          <w:rFonts w:ascii="Verdana" w:eastAsia="Calibri" w:hAnsi="Verdana" w:cs="Arial"/>
          <w:lang w:val="es-ES" w:eastAsia="es-ES"/>
        </w:rPr>
      </w:pPr>
    </w:p>
    <w:p w14:paraId="08A41C94" w14:textId="77777777" w:rsidR="00083F91" w:rsidRPr="00AA6E72" w:rsidRDefault="00083F91" w:rsidP="00083F91">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AA6E72">
        <w:rPr>
          <w:rFonts w:ascii="Verdana" w:eastAsia="Arial" w:hAnsi="Verdana" w:cs="Arial"/>
          <w:b/>
          <w:bCs/>
          <w:lang w:val="es-ES"/>
        </w:rPr>
        <w:t>1. Problema planteado:</w:t>
      </w:r>
    </w:p>
    <w:p w14:paraId="1AE90B5F" w14:textId="77777777" w:rsidR="00083F91" w:rsidRPr="00AA6E72" w:rsidRDefault="00083F91" w:rsidP="00083F91">
      <w:pPr>
        <w:tabs>
          <w:tab w:val="left" w:pos="426"/>
        </w:tabs>
        <w:spacing w:after="0" w:line="276" w:lineRule="auto"/>
        <w:jc w:val="both"/>
        <w:rPr>
          <w:rFonts w:ascii="Verdana" w:eastAsia="Century Gothic" w:hAnsi="Verdana" w:cs="Century Gothic"/>
          <w:lang w:val="es-ES"/>
        </w:rPr>
      </w:pPr>
    </w:p>
    <w:p w14:paraId="7965F86D" w14:textId="77777777" w:rsidR="00083F91" w:rsidRPr="00AA6E72" w:rsidRDefault="00083F91" w:rsidP="00083F91">
      <w:pPr>
        <w:spacing w:after="0"/>
        <w:jc w:val="both"/>
        <w:rPr>
          <w:rFonts w:ascii="Verdana" w:eastAsia="Aptos" w:hAnsi="Verdana" w:cs="Arial"/>
        </w:rPr>
      </w:pPr>
      <w:r w:rsidRPr="00AA6E72">
        <w:rPr>
          <w:rFonts w:ascii="Verdana" w:eastAsia="Century Gothic" w:hAnsi="Verdana" w:cs="Century Gothic"/>
        </w:rPr>
        <w:t xml:space="preserve">De acuerdo con el contenido de su solicitud, le informamos que la misma se resolverá desde el siguiente </w:t>
      </w:r>
      <w:bookmarkStart w:id="1" w:name="_Hlk171070029"/>
      <w:r w:rsidRPr="00AA6E72">
        <w:rPr>
          <w:rFonts w:ascii="Verdana" w:eastAsia="Century Gothic" w:hAnsi="Verdana" w:cs="Century Gothic"/>
        </w:rPr>
        <w:t xml:space="preserve">interrogante: </w:t>
      </w:r>
      <w:r w:rsidRPr="00AA6E72">
        <w:rPr>
          <w:rFonts w:ascii="Verdana" w:eastAsia="Aptos" w:hAnsi="Verdana" w:cs="Arial"/>
        </w:rPr>
        <w:t>¿Las Entidades Estatales con régimen especial de contratación pueden contratar de manera directa en vigencia de la Ley de Garantías Electorales –Ley 996 de 2005 –?</w:t>
      </w:r>
    </w:p>
    <w:p w14:paraId="57F86149" w14:textId="77777777" w:rsidR="00083F91" w:rsidRPr="00AA6E72" w:rsidRDefault="00083F91" w:rsidP="00083F91">
      <w:pPr>
        <w:spacing w:after="0"/>
        <w:jc w:val="both"/>
        <w:rPr>
          <w:rFonts w:ascii="Verdana" w:eastAsia="Aptos" w:hAnsi="Verdana" w:cs="Arial"/>
        </w:rPr>
      </w:pPr>
    </w:p>
    <w:bookmarkEnd w:id="1"/>
    <w:p w14:paraId="6EB918BD" w14:textId="77777777" w:rsidR="00083F91" w:rsidRPr="00AA6E72" w:rsidRDefault="00083F91" w:rsidP="00083F91">
      <w:pPr>
        <w:widowControl w:val="0"/>
        <w:autoSpaceDE w:val="0"/>
        <w:autoSpaceDN w:val="0"/>
        <w:spacing w:before="1" w:after="0" w:line="240" w:lineRule="auto"/>
        <w:jc w:val="both"/>
        <w:outlineLvl w:val="0"/>
        <w:rPr>
          <w:rFonts w:ascii="Verdana" w:eastAsia="Arial" w:hAnsi="Verdana" w:cs="Arial"/>
          <w:b/>
          <w:bCs/>
          <w:lang w:val="es-ES"/>
        </w:rPr>
      </w:pPr>
      <w:r w:rsidRPr="00AA6E72">
        <w:rPr>
          <w:rFonts w:ascii="Verdana" w:eastAsia="Arial" w:hAnsi="Verdana" w:cs="Arial"/>
          <w:b/>
          <w:bCs/>
          <w:lang w:val="es-ES"/>
        </w:rPr>
        <w:t>2. Respuesta:</w:t>
      </w:r>
    </w:p>
    <w:p w14:paraId="4DF70817" w14:textId="77777777" w:rsidR="00083F91" w:rsidRPr="00AA6E72" w:rsidRDefault="00083F91" w:rsidP="00083F91">
      <w:pPr>
        <w:spacing w:after="0"/>
        <w:rPr>
          <w:rFonts w:ascii="Verdana" w:eastAsia="Aptos" w:hAnsi="Verdana" w:cs="Times New Roman"/>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83F91" w:rsidRPr="00AA6E72" w14:paraId="0CBE32AD" w14:textId="77777777" w:rsidTr="006E2BF8">
        <w:tc>
          <w:tcPr>
            <w:tcW w:w="8828" w:type="dxa"/>
          </w:tcPr>
          <w:p w14:paraId="18FE36E5" w14:textId="77777777" w:rsidR="00083F91" w:rsidRPr="00AA6E72" w:rsidRDefault="00083F91" w:rsidP="006E2BF8">
            <w:pPr>
              <w:spacing w:after="120" w:line="276" w:lineRule="auto"/>
              <w:jc w:val="both"/>
              <w:rPr>
                <w:rFonts w:ascii="Verdana" w:eastAsia="Arial" w:hAnsi="Verdana" w:cs="Arial"/>
                <w:lang w:eastAsia="es-ES" w:bidi="es-ES"/>
              </w:rPr>
            </w:pPr>
            <w:bookmarkStart w:id="2" w:name="_Hlk171067516"/>
            <w:r w:rsidRPr="00AA6E72">
              <w:rPr>
                <w:rFonts w:ascii="Verdana" w:eastAsia="Arial" w:hAnsi="Verdana" w:cs="Arial"/>
                <w:lang w:eastAsia="es-ES" w:bidi="es-ES"/>
              </w:rPr>
              <w:t xml:space="preserve">De manera preliminar, debe precisarse que las restricciones contractuales de la Ley de Garantías Electorales –Ley 996 de 2005– se dirigen a dos (2) tipos de campañas electorales diferenciadas: i) la del artículo 33 que aplica solo respecto de las elecciones presidenciales, en virtud de la cual queda proscrita la contratación directa dentro de los cuatro (4) meses anteriores a la celebración de los comicios, salvo las excepciones aplicables.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roofErr w:type="spellStart"/>
            <w:r w:rsidRPr="00AA6E72">
              <w:rPr>
                <w:rFonts w:ascii="Verdana" w:eastAsia="Arial" w:hAnsi="Verdana" w:cs="Arial"/>
                <w:lang w:eastAsia="es-ES" w:bidi="es-ES"/>
              </w:rPr>
              <w:t>ii</w:t>
            </w:r>
            <w:proofErr w:type="spellEnd"/>
            <w:r w:rsidRPr="00AA6E72">
              <w:rPr>
                <w:rFonts w:ascii="Verdana" w:eastAsia="Arial" w:hAnsi="Verdana" w:cs="Arial"/>
                <w:lang w:eastAsia="es-ES" w:bidi="es-ES"/>
              </w:rPr>
              <w:t>) también se encuentra la prohibición del parágrafo del artículo 38 de la referida ley,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6B8CAF2E" w14:textId="77777777" w:rsidR="00083F91" w:rsidRPr="00AA6E72" w:rsidRDefault="00083F91" w:rsidP="006E2BF8">
            <w:pPr>
              <w:spacing w:after="120" w:line="276" w:lineRule="auto"/>
              <w:ind w:firstLine="709"/>
              <w:jc w:val="both"/>
              <w:rPr>
                <w:rFonts w:ascii="Verdana" w:eastAsia="Arial" w:hAnsi="Verdana" w:cs="Arial"/>
                <w:lang w:eastAsia="es-ES" w:bidi="es-ES"/>
              </w:rPr>
            </w:pPr>
            <w:r w:rsidRPr="00AA6E72">
              <w:rPr>
                <w:rFonts w:ascii="Verdana" w:eastAsia="Arial" w:hAnsi="Verdana" w:cs="Arial"/>
                <w:lang w:eastAsia="es-ES" w:bidi="es-ES"/>
              </w:rPr>
              <w:t xml:space="preserve">Ambas restricciones no son excluyentes, lo que permite concluir que, en el período preelectoral para elección de </w:t>
            </w:r>
            <w:proofErr w:type="gramStart"/>
            <w:r w:rsidRPr="00AA6E72">
              <w:rPr>
                <w:rFonts w:ascii="Verdana" w:eastAsia="Arial" w:hAnsi="Verdana" w:cs="Arial"/>
                <w:lang w:eastAsia="es-ES" w:bidi="es-ES"/>
              </w:rPr>
              <w:t>Presidente</w:t>
            </w:r>
            <w:proofErr w:type="gramEnd"/>
            <w:r w:rsidRPr="00AA6E72">
              <w:rPr>
                <w:rFonts w:ascii="Verdana" w:eastAsia="Arial" w:hAnsi="Verdana" w:cs="Arial"/>
                <w:lang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AA6E72">
              <w:rPr>
                <w:rFonts w:ascii="Verdana" w:eastAsia="Arial" w:hAnsi="Verdana" w:cs="Arial"/>
                <w:lang w:eastAsia="es-ES" w:bidi="es-ES"/>
              </w:rPr>
              <w:t>Presidente</w:t>
            </w:r>
            <w:proofErr w:type="gramEnd"/>
            <w:r w:rsidRPr="00AA6E72">
              <w:rPr>
                <w:rFonts w:ascii="Verdana" w:eastAsia="Arial" w:hAnsi="Verdana" w:cs="Arial"/>
                <w:lang w:eastAsia="es-ES" w:bidi="es-ES"/>
              </w:rPr>
              <w:t xml:space="preserve"> de la República, las autoridades allí mencionadas sólo deben aplicar las restricciones contenidas en el parágrafo del artículo 38.</w:t>
            </w:r>
          </w:p>
          <w:p w14:paraId="0F295633" w14:textId="77777777" w:rsidR="00083F91" w:rsidRPr="00AA6E72" w:rsidRDefault="00083F91" w:rsidP="006E2BF8">
            <w:pPr>
              <w:spacing w:after="120" w:line="276" w:lineRule="auto"/>
              <w:ind w:firstLine="709"/>
              <w:jc w:val="both"/>
              <w:rPr>
                <w:rFonts w:ascii="Verdana" w:eastAsia="Times New Roman" w:hAnsi="Verdana" w:cs="Arial"/>
              </w:rPr>
            </w:pPr>
            <w:r w:rsidRPr="00AA6E72">
              <w:rPr>
                <w:rFonts w:ascii="Verdana" w:eastAsia="Arial" w:hAnsi="Verdana" w:cs="Arial"/>
                <w:lang w:eastAsia="es-ES" w:bidi="es-ES"/>
              </w:rPr>
              <w:t xml:space="preserve">Ahora bien, </w:t>
            </w:r>
            <w:r w:rsidRPr="00AA6E72">
              <w:rPr>
                <w:rFonts w:ascii="Verdana" w:eastAsia="Calibri" w:hAnsi="Verdana" w:cs="Arial"/>
                <w:lang w:eastAsia="es-ES" w:bidi="es-ES"/>
              </w:rPr>
              <w:t xml:space="preserve">es necesario precisar el alcance de la prohibición </w:t>
            </w:r>
            <w:r w:rsidRPr="00AA6E72">
              <w:rPr>
                <w:rFonts w:ascii="Verdana" w:eastAsia="Arial" w:hAnsi="Verdana" w:cs="Arial"/>
                <w:lang w:eastAsia="es-ES" w:bidi="es-ES"/>
              </w:rPr>
              <w:t>establecida en e</w:t>
            </w:r>
            <w:r w:rsidRPr="00AA6E72">
              <w:rPr>
                <w:rFonts w:ascii="Verdana" w:eastAsia="Calibri" w:hAnsi="Verdana" w:cs="Arial"/>
              </w:rPr>
              <w:t xml:space="preserve">l </w:t>
            </w:r>
            <w:r w:rsidRPr="00AA6E72">
              <w:rPr>
                <w:rFonts w:ascii="Verdana" w:eastAsia="Times New Roman" w:hAnsi="Verdana" w:cs="Arial"/>
              </w:rPr>
              <w:t xml:space="preserve">artículo 33 de la Ley 996 de 2005. Esta restricción </w:t>
            </w:r>
            <w:r w:rsidRPr="00AA6E72">
              <w:rPr>
                <w:rFonts w:ascii="Verdana" w:eastAsia="Times New Roman" w:hAnsi="Verdana" w:cs="Arial"/>
                <w:bCs/>
                <w:lang w:eastAsia="es-CO"/>
              </w:rPr>
              <w:t>no solo aplica frente a las entidades sometidas al Estatuto general de Contratación de la Administración Pública</w:t>
            </w:r>
            <w:r w:rsidRPr="00AA6E72">
              <w:rPr>
                <w:rFonts w:ascii="Verdana" w:eastAsia="Times New Roman" w:hAnsi="Verdana" w:cs="Arial"/>
                <w:bCs/>
                <w:i/>
                <w:iCs/>
                <w:lang w:eastAsia="es-CO"/>
              </w:rPr>
              <w:t xml:space="preserve">, sino también frente a las entidades que tengan un </w:t>
            </w:r>
            <w:r w:rsidRPr="00AA6E72">
              <w:rPr>
                <w:rFonts w:ascii="Verdana" w:eastAsia="Times New Roman" w:hAnsi="Verdana" w:cs="Arial"/>
                <w:bCs/>
                <w:i/>
                <w:iCs/>
                <w:lang w:eastAsia="es-CO"/>
              </w:rPr>
              <w:lastRenderedPageBreak/>
              <w:t>régimen especial de contratación</w:t>
            </w:r>
            <w:r w:rsidRPr="00AA6E72">
              <w:rPr>
                <w:rFonts w:ascii="Verdana" w:eastAsia="Times New Roman" w:hAnsi="Verdana" w:cs="Arial"/>
                <w:bCs/>
                <w:lang w:eastAsia="es-CO"/>
              </w:rPr>
              <w:t xml:space="preserve">. No obstante, también se observa que luego de la expedición de Ley 1150 de 2007, el Consejo de Estado comenzó a delimitar con mayor precisión el término de “contratación directa”. </w:t>
            </w:r>
            <w:r w:rsidRPr="00AA6E72">
              <w:rPr>
                <w:rFonts w:ascii="Verdana" w:eastAsia="Times New Roman" w:hAnsi="Verdana" w:cs="Arial"/>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3FDC97F4" w14:textId="77777777" w:rsidR="00083F91" w:rsidRPr="00AA6E72" w:rsidRDefault="00083F91" w:rsidP="006E2BF8">
            <w:pPr>
              <w:spacing w:after="120" w:line="276" w:lineRule="auto"/>
              <w:ind w:firstLine="709"/>
              <w:jc w:val="both"/>
              <w:rPr>
                <w:rFonts w:ascii="Verdana" w:eastAsia="Arial" w:hAnsi="Verdana" w:cs="Arial"/>
                <w:bCs/>
                <w:color w:val="000000"/>
              </w:rPr>
            </w:pPr>
            <w:r w:rsidRPr="00AA6E72">
              <w:rPr>
                <w:rFonts w:ascii="Verdana" w:eastAsia="Arial" w:hAnsi="Verdana" w:cs="Arial"/>
                <w:bCs/>
                <w:color w:val="000000"/>
              </w:rPr>
              <w:t>Conforme con lo expuesto, las Entidades Estatales que requieran adelantar procesos durante el periodo de vigencia de la Ley de Garantías Electorales deberán analizar, si el objeto a contratar se encausa o no en las restricciones contractuales previamente expuestas.</w:t>
            </w:r>
            <w:r w:rsidRPr="00AA6E72">
              <w:rPr>
                <w:rFonts w:ascii="Aptos" w:eastAsia="Aptos" w:hAnsi="Aptos" w:cs="Arial"/>
              </w:rPr>
              <w:t xml:space="preserve"> </w:t>
            </w:r>
            <w:r w:rsidRPr="00AA6E72">
              <w:rPr>
                <w:rFonts w:ascii="Verdana" w:eastAsia="Arial" w:hAnsi="Verdana" w:cs="Arial"/>
                <w:bCs/>
                <w:color w:val="000000"/>
              </w:rPr>
              <w:t>Lo anterior, en razón a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bookmarkEnd w:id="2"/>
    </w:tbl>
    <w:p w14:paraId="77AAD1D0" w14:textId="77777777" w:rsidR="00083F91" w:rsidRPr="00AA6E72" w:rsidRDefault="00083F91" w:rsidP="00083F91">
      <w:pPr>
        <w:spacing w:after="0"/>
        <w:jc w:val="both"/>
        <w:rPr>
          <w:rFonts w:ascii="Verdana" w:eastAsia="Aptos" w:hAnsi="Verdana" w:cs="Times New Roman"/>
        </w:rPr>
      </w:pPr>
    </w:p>
    <w:p w14:paraId="6F4016E4" w14:textId="77777777" w:rsidR="00083F91" w:rsidRPr="00AA6E72" w:rsidRDefault="00083F91" w:rsidP="00083F91">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AA6E72">
        <w:rPr>
          <w:rFonts w:ascii="Verdana" w:eastAsia="Arial" w:hAnsi="Verdana" w:cs="Arial"/>
          <w:b/>
          <w:bCs/>
          <w:lang w:val="es-ES"/>
        </w:rPr>
        <w:t>3. Razones de la respuesta</w:t>
      </w:r>
    </w:p>
    <w:p w14:paraId="08BB0C43" w14:textId="77777777" w:rsidR="00083F91" w:rsidRPr="00AA6E72" w:rsidRDefault="00083F91" w:rsidP="00083F91">
      <w:pPr>
        <w:spacing w:after="0" w:line="276" w:lineRule="auto"/>
        <w:jc w:val="both"/>
        <w:rPr>
          <w:rFonts w:ascii="Verdana" w:eastAsia="Calibri" w:hAnsi="Verdana" w:cs="Arial"/>
          <w:lang w:val="es-ES"/>
        </w:rPr>
      </w:pPr>
    </w:p>
    <w:p w14:paraId="0AD21B51" w14:textId="77777777" w:rsidR="00083F91" w:rsidRPr="00AA6E72" w:rsidRDefault="00083F91" w:rsidP="00083F91">
      <w:pPr>
        <w:spacing w:after="0" w:line="276" w:lineRule="auto"/>
        <w:jc w:val="both"/>
        <w:rPr>
          <w:rFonts w:ascii="Verdana" w:eastAsia="Calibri" w:hAnsi="Verdana" w:cs="Arial"/>
          <w:lang w:val="es-ES"/>
        </w:rPr>
      </w:pPr>
      <w:r w:rsidRPr="00AA6E72">
        <w:rPr>
          <w:rFonts w:ascii="Verdana" w:eastAsia="Calibri" w:hAnsi="Verdana" w:cs="Arial"/>
          <w:lang w:val="es-ES"/>
        </w:rPr>
        <w:t xml:space="preserve">Las respuestas anteriores se sustentan en las siguientes consideraciones: </w:t>
      </w:r>
    </w:p>
    <w:p w14:paraId="396EB603" w14:textId="77777777" w:rsidR="00083F91" w:rsidRPr="00AA6E72" w:rsidRDefault="00083F91" w:rsidP="00083F91">
      <w:pPr>
        <w:spacing w:after="0" w:line="276" w:lineRule="auto"/>
        <w:jc w:val="both"/>
        <w:rPr>
          <w:rFonts w:ascii="Verdana" w:eastAsia="Calibri" w:hAnsi="Verdana" w:cs="Arial"/>
          <w:lang w:val="es-ES"/>
        </w:rPr>
      </w:pPr>
    </w:p>
    <w:p w14:paraId="674964C8" w14:textId="77777777" w:rsidR="00083F91" w:rsidRPr="00AA6E72" w:rsidRDefault="00083F91" w:rsidP="00083F91">
      <w:pPr>
        <w:spacing w:after="120" w:line="276" w:lineRule="auto"/>
        <w:jc w:val="both"/>
        <w:rPr>
          <w:rFonts w:ascii="Verdana" w:eastAsia="Century Gothic" w:hAnsi="Verdana" w:cs="Century Gothic"/>
          <w:bCs/>
          <w:lang w:val="es-ES_tradnl"/>
        </w:rPr>
      </w:pPr>
      <w:bookmarkStart w:id="3" w:name="_Hlk209416551"/>
      <w:r w:rsidRPr="00AA6E72">
        <w:rPr>
          <w:rFonts w:ascii="Verdana" w:eastAsia="Aptos" w:hAnsi="Verdana" w:cs="Arial"/>
          <w:bCs/>
          <w:lang w:val="es-ES_tradnl" w:eastAsia="es-ES" w:bidi="es-ES"/>
        </w:rPr>
        <w:t xml:space="preserve">i) </w:t>
      </w:r>
      <w:r w:rsidRPr="00AA6E72">
        <w:rPr>
          <w:rFonts w:ascii="Verdana" w:eastAsia="Century Gothic" w:hAnsi="Verdana" w:cs="Century Gothic"/>
          <w:bCs/>
          <w:lang w:val="es-ES_tradnl"/>
        </w:rPr>
        <w:t xml:space="preserve">El ordenamiento jurídico colombiano contempla diferentes medidas para evitar la obtención de beneficios personales en asuntos propios de la administración pública. Por ejemplo, el artículo 127 de la Constitución Política establece una prohibición contractual a los servidores públicos y, en cuanto a aspectos políticos, señala restricciones a ciertos empleados del Estado, incluso en época no electoral. </w:t>
      </w:r>
    </w:p>
    <w:p w14:paraId="05AC48BE"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w:t>
      </w:r>
      <w:r w:rsidRPr="00AA6E72">
        <w:rPr>
          <w:rFonts w:ascii="Verdana" w:eastAsia="Century Gothic" w:hAnsi="Verdana" w:cs="Century Gothic"/>
          <w:bCs/>
          <w:lang w:val="es-ES_tradnl"/>
        </w:rPr>
        <w:lastRenderedPageBreak/>
        <w:t xml:space="preserve">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 </w:t>
      </w:r>
    </w:p>
    <w:p w14:paraId="3D6F4CB5"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En armonía con lo anterior, la Corte Constitucional ha abordado la definición de la Ley de Garantías Electorales. De esta manera, explica que tiene como propósito:</w:t>
      </w:r>
    </w:p>
    <w:p w14:paraId="71DE919E"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p>
    <w:p w14:paraId="028560C0"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t>“[…] la definición de reglas claras que permitan acceder a los canales de expresión democrática de manera efectiva e igualitaria. El objetivo de una ley de garantías es definir esas reglas.</w:t>
      </w:r>
    </w:p>
    <w:p w14:paraId="51DD4D16"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p>
    <w:p w14:paraId="31E32CB2"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t xml:space="preserve">[…] </w:t>
      </w:r>
    </w:p>
    <w:p w14:paraId="73368220"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p>
    <w:p w14:paraId="0D2B012F"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p>
    <w:p w14:paraId="45D92FC8" w14:textId="77777777" w:rsidR="00083F91" w:rsidRPr="00AA6E72" w:rsidRDefault="00083F91" w:rsidP="00083F91">
      <w:pPr>
        <w:spacing w:after="0" w:line="276" w:lineRule="auto"/>
        <w:ind w:left="709" w:right="709"/>
        <w:jc w:val="both"/>
        <w:rPr>
          <w:rFonts w:ascii="Verdana" w:eastAsia="Century Gothic" w:hAnsi="Verdana" w:cs="Century Gothic"/>
          <w:bCs/>
          <w:lang w:val="es-ES_tradnl"/>
        </w:rPr>
      </w:pPr>
    </w:p>
    <w:p w14:paraId="380ADEFA"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418F610"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p>
    <w:p w14:paraId="1CA4841A" w14:textId="77777777" w:rsidR="00083F91" w:rsidRPr="00AA6E72" w:rsidRDefault="00083F91" w:rsidP="00083F91">
      <w:pPr>
        <w:spacing w:after="0" w:line="240" w:lineRule="auto"/>
        <w:ind w:left="709" w:right="709"/>
        <w:jc w:val="both"/>
        <w:rPr>
          <w:rFonts w:ascii="Verdana" w:eastAsia="Century Gothic" w:hAnsi="Verdana" w:cs="Century Gothic"/>
          <w:sz w:val="20"/>
          <w:szCs w:val="20"/>
          <w:lang w:val="es-ES"/>
        </w:rPr>
      </w:pPr>
      <w:r w:rsidRPr="00AA6E72">
        <w:rPr>
          <w:rFonts w:ascii="Verdana" w:eastAsia="Century Gothic" w:hAnsi="Verdana" w:cs="Century Gothic"/>
          <w:sz w:val="20"/>
          <w:szCs w:val="20"/>
          <w:lang w:val="es-ES"/>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AA6E72">
        <w:rPr>
          <w:rFonts w:ascii="Verdana" w:eastAsia="Century Gothic" w:hAnsi="Verdana" w:cs="Century Gothic"/>
          <w:sz w:val="20"/>
          <w:szCs w:val="20"/>
          <w:lang w:val="es-ES"/>
        </w:rPr>
        <w:t>legis</w:t>
      </w:r>
      <w:proofErr w:type="spellEnd"/>
      <w:r w:rsidRPr="00AA6E72">
        <w:rPr>
          <w:rFonts w:ascii="Verdana" w:eastAsia="Century Gothic" w:hAnsi="Verdana" w:cs="Century Gothic"/>
          <w:sz w:val="20"/>
          <w:szCs w:val="20"/>
          <w:lang w:val="es-ES"/>
        </w:rPr>
        <w:t xml:space="preserve"> o iuris y la interpretación extensiva. Las normas legales de contenido </w:t>
      </w:r>
      <w:r w:rsidRPr="00AA6E72">
        <w:rPr>
          <w:rFonts w:ascii="Verdana" w:eastAsia="Century Gothic" w:hAnsi="Verdana" w:cs="Century Gothic"/>
          <w:sz w:val="20"/>
          <w:szCs w:val="20"/>
          <w:lang w:val="es-ES"/>
        </w:rPr>
        <w:lastRenderedPageBreak/>
        <w:t>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E6CAD70" w14:textId="77777777" w:rsidR="00083F91" w:rsidRPr="00AA6E72" w:rsidRDefault="00083F91" w:rsidP="00083F91">
      <w:pPr>
        <w:spacing w:after="0" w:line="240" w:lineRule="auto"/>
        <w:ind w:left="709" w:right="709"/>
        <w:jc w:val="both"/>
        <w:rPr>
          <w:rFonts w:ascii="Verdana" w:eastAsia="Century Gothic" w:hAnsi="Verdana" w:cs="Century Gothic"/>
          <w:sz w:val="20"/>
          <w:szCs w:val="20"/>
          <w:lang w:val="es-ES"/>
        </w:rPr>
      </w:pPr>
    </w:p>
    <w:p w14:paraId="5A469347"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t>La jurisprudencia de la Corte Constitucional y del Consejo de Estado,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 .</w:t>
      </w:r>
    </w:p>
    <w:p w14:paraId="608CF2B8" w14:textId="77777777" w:rsidR="00083F91" w:rsidRPr="00AA6E72" w:rsidRDefault="00083F91" w:rsidP="00083F91">
      <w:pPr>
        <w:spacing w:after="0" w:line="276" w:lineRule="auto"/>
        <w:ind w:left="709" w:right="709"/>
        <w:jc w:val="both"/>
        <w:rPr>
          <w:rFonts w:ascii="Verdana" w:eastAsia="Century Gothic" w:hAnsi="Verdana" w:cs="Century Gothic"/>
          <w:bCs/>
          <w:sz w:val="20"/>
          <w:szCs w:val="20"/>
          <w:lang w:val="es-ES_tradnl"/>
        </w:rPr>
      </w:pPr>
    </w:p>
    <w:p w14:paraId="1A485436" w14:textId="77777777" w:rsidR="00083F91" w:rsidRPr="00AA6E72" w:rsidRDefault="00083F91" w:rsidP="00083F91">
      <w:pPr>
        <w:spacing w:after="0" w:line="276" w:lineRule="auto"/>
        <w:ind w:firstLine="709"/>
        <w:jc w:val="both"/>
        <w:rPr>
          <w:rFonts w:ascii="Verdana" w:eastAsia="Arial" w:hAnsi="Verdana" w:cs="Arial"/>
          <w:lang w:val="es-ES" w:eastAsia="es-ES" w:bidi="es-ES"/>
        </w:rPr>
      </w:pPr>
      <w:r w:rsidRPr="00AA6E72">
        <w:rPr>
          <w:rFonts w:ascii="Verdana" w:eastAsia="Century Gothic" w:hAnsi="Verdana" w:cs="Century Gothic"/>
          <w:bCs/>
          <w:lang w:val="es-ES_tradnl"/>
        </w:rPr>
        <w:t xml:space="preserve">De conformidad con lo anterior, la Ley de Garantías Electorales estableció una serie de regulaciones y prohibiciones dirigidas a los servidores públicos. Así las cosas,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r w:rsidRPr="00AA6E72">
        <w:rPr>
          <w:rFonts w:ascii="Verdana" w:eastAsia="Arial" w:hAnsi="Verdana" w:cs="Arial"/>
          <w:lang w:val="es-ES" w:eastAsia="es-ES" w:bidi="es-ES"/>
        </w:rPr>
        <w:t xml:space="preserve">Teniendo en cuenta el contenido de la consulta y de conformidad con las competencias que le asisten a esta Agencia, a continuación, se realizará el análisis de las prohibiciones dirigidas a la contratación estatal.  </w:t>
      </w:r>
    </w:p>
    <w:p w14:paraId="63D36D83" w14:textId="77777777" w:rsidR="00083F91" w:rsidRPr="00AA6E72" w:rsidRDefault="00083F91" w:rsidP="00083F91">
      <w:pPr>
        <w:spacing w:after="0" w:line="276" w:lineRule="auto"/>
        <w:jc w:val="both"/>
        <w:rPr>
          <w:rFonts w:ascii="Verdana" w:eastAsia="Century Gothic" w:hAnsi="Verdana" w:cs="Century Gothic"/>
          <w:bCs/>
          <w:lang w:val="es-ES_tradnl"/>
        </w:rPr>
      </w:pPr>
    </w:p>
    <w:p w14:paraId="411D28E2" w14:textId="77777777" w:rsidR="00083F91" w:rsidRPr="00AA6E72" w:rsidRDefault="00083F91" w:rsidP="00083F91">
      <w:pPr>
        <w:spacing w:after="120" w:line="276" w:lineRule="auto"/>
        <w:jc w:val="both"/>
        <w:rPr>
          <w:rFonts w:ascii="Verdana" w:eastAsia="Century Gothic" w:hAnsi="Verdana" w:cs="Century Gothic"/>
          <w:lang w:val="es-ES"/>
        </w:rPr>
      </w:pPr>
      <w:proofErr w:type="spellStart"/>
      <w:r w:rsidRPr="00AA6E72">
        <w:rPr>
          <w:rFonts w:ascii="Verdana" w:eastAsia="Century Gothic" w:hAnsi="Verdana" w:cs="Century Gothic"/>
          <w:lang w:val="es-ES"/>
        </w:rPr>
        <w:t>ii</w:t>
      </w:r>
      <w:proofErr w:type="spellEnd"/>
      <w:r w:rsidRPr="00AA6E72">
        <w:rPr>
          <w:rFonts w:ascii="Verdana" w:eastAsia="Century Gothic" w:hAnsi="Verdana" w:cs="Century Gothic"/>
          <w:lang w:val="es-ES"/>
        </w:rPr>
        <w:t>) Las restricciones en materia de contratación estatal consagradas en la Ley de Garantías Electorales se dirigen a dos (2) tipos de campañas electorales diferenciadas: las presidenciales y las que se adelanten para la elección de los demás cargos de elección popular, tanto a nivel nacional como territorial.</w:t>
      </w:r>
    </w:p>
    <w:p w14:paraId="16B64E54"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Por un lado, el artículo 33 de la Ley 996 de 2005 prohíbe “[…] la contratación directa por parte de todos los entes del Estado” durante los cuatro (4) meses anteriores a las elecciones presidenciales, salvo “[…] lo referente a la </w:t>
      </w:r>
      <w:r w:rsidRPr="00AA6E72">
        <w:rPr>
          <w:rFonts w:ascii="Verdana" w:eastAsia="Century Gothic" w:hAnsi="Verdana" w:cs="Century Gothic"/>
          <w:bCs/>
          <w:i/>
          <w:iCs/>
          <w:lang w:val="es-ES_tradnl"/>
        </w:rPr>
        <w:t>defensa y seguridad del Estado</w:t>
      </w:r>
      <w:r w:rsidRPr="00AA6E72">
        <w:rPr>
          <w:rFonts w:ascii="Verdana" w:eastAsia="Century Gothic" w:hAnsi="Verdana" w:cs="Century Gothic"/>
          <w:bCs/>
          <w:lang w:val="es-ES_tradnl"/>
        </w:rPr>
        <w:t xml:space="preserve">,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AA6E72">
        <w:rPr>
          <w:rFonts w:ascii="Verdana" w:eastAsia="Century Gothic" w:hAnsi="Verdana" w:cs="Century Gothic"/>
          <w:bCs/>
          <w:lang w:val="es-ES_tradnl"/>
        </w:rPr>
        <w:lastRenderedPageBreak/>
        <w:t>acciones terroristas, desastres naturales o casos de fuerza mayor, y los que deban realizar las entidades sanitarias y hospitalarias” .</w:t>
      </w:r>
    </w:p>
    <w:p w14:paraId="6AE7B964"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56C0191A"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La Sala de Consulta y Servicio Civil del Consejo de Estado ha aclarado la distinción en la aplicación de las prohibiciones de la Ley 996 de 2005, dependiendo del tipo de elección que se trate. Al respecto, considera:</w:t>
      </w:r>
    </w:p>
    <w:p w14:paraId="228FEA51"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p>
    <w:p w14:paraId="061CE02C"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 </w:t>
      </w:r>
    </w:p>
    <w:p w14:paraId="1CD0BB0C" w14:textId="77777777" w:rsidR="00083F91" w:rsidRPr="00AA6E72" w:rsidRDefault="00083F91" w:rsidP="00083F91">
      <w:pPr>
        <w:spacing w:after="0" w:line="276" w:lineRule="auto"/>
        <w:ind w:left="709" w:right="709"/>
        <w:jc w:val="both"/>
        <w:rPr>
          <w:rFonts w:ascii="Verdana" w:eastAsia="Century Gothic" w:hAnsi="Verdana" w:cs="Century Gothic"/>
          <w:bCs/>
          <w:lang w:val="es-ES_tradnl"/>
        </w:rPr>
      </w:pPr>
    </w:p>
    <w:p w14:paraId="0EA484A5" w14:textId="77777777" w:rsidR="00083F91" w:rsidRPr="00AA6E72" w:rsidRDefault="00083F91" w:rsidP="00083F91">
      <w:pPr>
        <w:spacing w:after="120" w:line="276" w:lineRule="auto"/>
        <w:ind w:firstLine="709"/>
        <w:jc w:val="both"/>
        <w:rPr>
          <w:rFonts w:ascii="Verdana" w:eastAsia="Century Gothic" w:hAnsi="Verdana" w:cs="Century Gothic"/>
          <w:lang w:val="es-ES"/>
        </w:rPr>
      </w:pPr>
      <w:r w:rsidRPr="00AA6E72">
        <w:rPr>
          <w:rFonts w:ascii="Verdana" w:eastAsia="Century Gothic" w:hAnsi="Verdana" w:cs="Century Gothic"/>
          <w:lang w:val="es-ES"/>
        </w:rPr>
        <w:t xml:space="preserve">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w:t>
      </w:r>
      <w:r w:rsidRPr="00AA6E72">
        <w:rPr>
          <w:rFonts w:ascii="Verdana" w:eastAsia="Century Gothic" w:hAnsi="Verdana" w:cs="Century Gothic"/>
          <w:lang w:val="es-ES"/>
        </w:rPr>
        <w:lastRenderedPageBreak/>
        <w:t>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588153C7" w14:textId="77777777" w:rsidR="00083F91" w:rsidRPr="00AA6E72" w:rsidRDefault="00083F91" w:rsidP="00083F91">
      <w:pPr>
        <w:spacing w:after="120" w:line="276" w:lineRule="auto"/>
        <w:ind w:firstLine="709"/>
        <w:jc w:val="both"/>
        <w:rPr>
          <w:rFonts w:ascii="Verdana" w:eastAsia="Century Gothic" w:hAnsi="Verdana" w:cs="Century Gothic"/>
          <w:lang w:val="es-ES"/>
        </w:rPr>
      </w:pPr>
      <w:r w:rsidRPr="00AA6E72">
        <w:rPr>
          <w:rFonts w:ascii="Verdana" w:eastAsia="Century Gothic" w:hAnsi="Verdana" w:cs="Century Gothic"/>
          <w:lang w:val="es-ES"/>
        </w:rPr>
        <w:t xml:space="preserve">Ambas restricciones no son excluyentes, lo que permite concluir que, en el período preelectoral para elección de </w:t>
      </w:r>
      <w:proofErr w:type="gramStart"/>
      <w:r w:rsidRPr="00AA6E72">
        <w:rPr>
          <w:rFonts w:ascii="Verdana" w:eastAsia="Century Gothic" w:hAnsi="Verdana" w:cs="Century Gothic"/>
          <w:lang w:val="es-ES"/>
        </w:rPr>
        <w:t>Presidente</w:t>
      </w:r>
      <w:proofErr w:type="gramEnd"/>
      <w:r w:rsidRPr="00AA6E72">
        <w:rPr>
          <w:rFonts w:ascii="Verdana" w:eastAsia="Century Gothic" w:hAnsi="Verdana" w:cs="Century Gothic"/>
          <w:lang w:val="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AA6E72">
        <w:rPr>
          <w:rFonts w:ascii="Verdana" w:eastAsia="Century Gothic" w:hAnsi="Verdana" w:cs="Century Gothic"/>
          <w:lang w:val="es-ES"/>
        </w:rPr>
        <w:t>Presidente</w:t>
      </w:r>
      <w:proofErr w:type="gramEnd"/>
      <w:r w:rsidRPr="00AA6E72">
        <w:rPr>
          <w:rFonts w:ascii="Verdana" w:eastAsia="Century Gothic" w:hAnsi="Verdana" w:cs="Century Gothic"/>
          <w:lang w:val="es-ES"/>
        </w:rPr>
        <w:t xml:space="preserve"> de la República, las autoridades allí mencionadas sólo deben aplicar las restricciones contenidas en el parágrafo del artículo 38.</w:t>
      </w:r>
    </w:p>
    <w:p w14:paraId="7477EF14" w14:textId="77777777" w:rsidR="00083F91" w:rsidRPr="00AA6E72" w:rsidRDefault="00083F91" w:rsidP="00083F91">
      <w:pPr>
        <w:spacing w:after="0" w:line="276" w:lineRule="auto"/>
        <w:ind w:firstLine="709"/>
        <w:jc w:val="both"/>
        <w:rPr>
          <w:rFonts w:ascii="Verdana" w:eastAsia="Century Gothic" w:hAnsi="Verdana" w:cs="Century Gothic"/>
          <w:lang w:val="es-ES"/>
        </w:rPr>
      </w:pPr>
      <w:r w:rsidRPr="00AA6E72">
        <w:rPr>
          <w:rFonts w:ascii="Verdana" w:eastAsia="Century Gothic" w:hAnsi="Verdana" w:cs="Century Gothic"/>
          <w:lang w:val="es-ES"/>
        </w:rPr>
        <w:t xml:space="preserve">La Corte Constitucional, en la Sentencia C-1153 del 11 de noviembre de 2005, señaló que, para que la garantía sea plena, era necesario que la prohibición se aplicara para el </w:t>
      </w:r>
      <w:proofErr w:type="gramStart"/>
      <w:r w:rsidRPr="00AA6E72">
        <w:rPr>
          <w:rFonts w:ascii="Verdana" w:eastAsia="Century Gothic" w:hAnsi="Verdana" w:cs="Century Gothic"/>
          <w:lang w:val="es-ES"/>
        </w:rPr>
        <w:t>Presidente</w:t>
      </w:r>
      <w:proofErr w:type="gramEnd"/>
      <w:r w:rsidRPr="00AA6E72">
        <w:rPr>
          <w:rFonts w:ascii="Verdana" w:eastAsia="Century Gothic" w:hAnsi="Verdana" w:cs="Century Gothic"/>
          <w:lang w:val="es-ES"/>
        </w:rPr>
        <w:t xml:space="preserve"> o el </w:t>
      </w:r>
      <w:proofErr w:type="gramStart"/>
      <w:r w:rsidRPr="00AA6E72">
        <w:rPr>
          <w:rFonts w:ascii="Verdana" w:eastAsia="Century Gothic" w:hAnsi="Verdana" w:cs="Century Gothic"/>
          <w:lang w:val="es-ES"/>
        </w:rPr>
        <w:t>Vicepresidente</w:t>
      </w:r>
      <w:proofErr w:type="gramEnd"/>
      <w:r w:rsidRPr="00AA6E72">
        <w:rPr>
          <w:rFonts w:ascii="Verdana" w:eastAsia="Century Gothic" w:hAnsi="Verdana" w:cs="Century Gothic"/>
          <w:lang w:val="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AA6E72">
        <w:rPr>
          <w:rFonts w:ascii="Verdana" w:eastAsia="Century Gothic" w:hAnsi="Verdana" w:cs="Century Gothic"/>
          <w:lang w:val="es-ES"/>
        </w:rPr>
        <w:t>Presidente</w:t>
      </w:r>
      <w:proofErr w:type="gramEnd"/>
      <w:r w:rsidRPr="00AA6E72">
        <w:rPr>
          <w:rFonts w:ascii="Verdana" w:eastAsia="Century Gothic" w:hAnsi="Verdana" w:cs="Century Gothic"/>
          <w:lang w:val="es-ES"/>
        </w:rPr>
        <w:t xml:space="preserve"> y el </w:t>
      </w:r>
      <w:proofErr w:type="gramStart"/>
      <w:r w:rsidRPr="00AA6E72">
        <w:rPr>
          <w:rFonts w:ascii="Verdana" w:eastAsia="Century Gothic" w:hAnsi="Verdana" w:cs="Century Gothic"/>
          <w:lang w:val="es-ES"/>
        </w:rPr>
        <w:t>Vicepresidente</w:t>
      </w:r>
      <w:proofErr w:type="gramEnd"/>
      <w:r w:rsidRPr="00AA6E72">
        <w:rPr>
          <w:rFonts w:ascii="Verdana" w:eastAsia="Century Gothic" w:hAnsi="Verdana" w:cs="Century Gothic"/>
          <w:lang w:val="es-ES"/>
        </w:rPr>
        <w:t xml:space="preserve"> de la República, ha perdido vigencia ante la prohibición de la reelección presidencial, restablecida por el Acto Legislativo 2 de 2015. Esto excepto para el </w:t>
      </w:r>
      <w:proofErr w:type="gramStart"/>
      <w:r w:rsidRPr="00AA6E72">
        <w:rPr>
          <w:rFonts w:ascii="Verdana" w:eastAsia="Century Gothic" w:hAnsi="Verdana" w:cs="Century Gothic"/>
          <w:lang w:val="es-ES"/>
        </w:rPr>
        <w:t>Vicepresidente</w:t>
      </w:r>
      <w:proofErr w:type="gramEnd"/>
      <w:r w:rsidRPr="00AA6E72">
        <w:rPr>
          <w:rFonts w:ascii="Verdana" w:eastAsia="Century Gothic" w:hAnsi="Verdana" w:cs="Century Gothic"/>
          <w:lang w:val="es-ES"/>
        </w:rPr>
        <w:t xml:space="preserve"> que no haya ejercido la presidencia o que la haya ejercido por un tiempo inferior a tres (3) meses durante el respectivo cuatrienio, en forma continua o discontinua, conforme al artículo 197 de la Constitución Política. </w:t>
      </w:r>
    </w:p>
    <w:p w14:paraId="381BC0C9" w14:textId="77777777" w:rsidR="00083F91" w:rsidRPr="00AA6E72" w:rsidRDefault="00083F91" w:rsidP="00083F91">
      <w:pPr>
        <w:spacing w:after="0" w:line="276" w:lineRule="auto"/>
        <w:ind w:firstLine="709"/>
        <w:jc w:val="both"/>
        <w:rPr>
          <w:rFonts w:ascii="Verdana" w:eastAsia="Century Gothic" w:hAnsi="Verdana" w:cs="Century Gothic"/>
          <w:lang w:val="es-ES"/>
        </w:rPr>
      </w:pPr>
    </w:p>
    <w:p w14:paraId="1BBFB5DD" w14:textId="77777777" w:rsidR="00083F91" w:rsidRPr="00AA6E72" w:rsidRDefault="00083F91" w:rsidP="00083F91">
      <w:pPr>
        <w:spacing w:after="120" w:line="276" w:lineRule="auto"/>
        <w:jc w:val="both"/>
        <w:rPr>
          <w:rFonts w:ascii="Verdana" w:eastAsia="Century Gothic" w:hAnsi="Verdana" w:cs="Century Gothic"/>
          <w:lang w:val="es-ES"/>
        </w:rPr>
      </w:pPr>
      <w:proofErr w:type="spellStart"/>
      <w:r w:rsidRPr="00AA6E72">
        <w:rPr>
          <w:rFonts w:ascii="Verdana" w:eastAsia="Century Gothic" w:hAnsi="Verdana" w:cs="Century Gothic"/>
          <w:lang w:val="es-ES"/>
        </w:rPr>
        <w:t>iii</w:t>
      </w:r>
      <w:proofErr w:type="spellEnd"/>
      <w:r w:rsidRPr="00AA6E72">
        <w:rPr>
          <w:rFonts w:ascii="Verdana" w:eastAsia="Century Gothic" w:hAnsi="Verdana" w:cs="Century Gothic"/>
          <w:lang w:val="es-ES"/>
        </w:rPr>
        <w:t xml:space="preserve">) Para entender el momento de aplicación de estas restricciones, es preciso señalar que el vocablo “celebrar” es definido por el Diccionario Panhispánico del Español Jurídico como: “1. Gral. Otorgar o firmar un contrato. 2. </w:t>
      </w:r>
      <w:proofErr w:type="spellStart"/>
      <w:r w:rsidRPr="00AA6E72">
        <w:rPr>
          <w:rFonts w:ascii="Verdana" w:eastAsia="Century Gothic" w:hAnsi="Verdana" w:cs="Century Gothic"/>
          <w:lang w:val="es-ES"/>
        </w:rPr>
        <w:t>Proc</w:t>
      </w:r>
      <w:proofErr w:type="spellEnd"/>
      <w:r w:rsidRPr="00AA6E72">
        <w:rPr>
          <w:rFonts w:ascii="Verdana" w:eastAsia="Century Gothic" w:hAnsi="Verdana" w:cs="Century Gothic"/>
          <w:lang w:val="es-ES"/>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24B0A6C5"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lastRenderedPageBreak/>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27FA91FC"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52BF2FC9" w14:textId="77777777" w:rsidR="00083F91" w:rsidRPr="00AA6E72" w:rsidRDefault="00083F91" w:rsidP="00083F91">
      <w:pPr>
        <w:spacing w:after="0" w:line="276" w:lineRule="auto"/>
        <w:ind w:firstLine="709"/>
        <w:jc w:val="both"/>
        <w:rPr>
          <w:rFonts w:ascii="Verdana" w:eastAsia="Century Gothic" w:hAnsi="Verdana" w:cs="Century Gothic"/>
          <w:bCs/>
          <w:lang w:val="es-ES_tradnl"/>
        </w:rPr>
      </w:pPr>
      <w:r w:rsidRPr="00AA6E72">
        <w:rPr>
          <w:rFonts w:ascii="Verdana" w:eastAsia="Century Gothic" w:hAnsi="Verdana" w:cs="Century Gothic"/>
          <w:lang w:val="es-ES"/>
        </w:rPr>
        <w:t xml:space="preserve">Asimismo, como en otras oportunidades lo ha manifestado esta Agencia, las prórrogas, modificaciones o adiciones de los contratos suscritos antes de la </w:t>
      </w:r>
      <w:proofErr w:type="gramStart"/>
      <w:r w:rsidRPr="00AA6E72">
        <w:rPr>
          <w:rFonts w:ascii="Verdana" w:eastAsia="Century Gothic" w:hAnsi="Verdana" w:cs="Century Gothic"/>
          <w:lang w:val="es-ES"/>
        </w:rPr>
        <w:t>entrada en vigencia</w:t>
      </w:r>
      <w:proofErr w:type="gramEnd"/>
      <w:r w:rsidRPr="00AA6E72">
        <w:rPr>
          <w:rFonts w:ascii="Verdana" w:eastAsia="Century Gothic" w:hAnsi="Verdana" w:cs="Century Gothic"/>
          <w:lang w:val="es-ES"/>
        </w:rPr>
        <w:t xml:space="preserve"> de las prohibiciones anotadas, así como la cesión de los mismos, pueden tener lugar en el período de aplicación de la Ley de Garantías Electorales, sin que ello haga nugatoria la restricción de la contratación directa y siempre que cumplan los principios de planeación, transparencia y </w:t>
      </w:r>
      <w:r w:rsidRPr="00AA6E72">
        <w:rPr>
          <w:rFonts w:ascii="Verdana" w:eastAsia="Century Gothic" w:hAnsi="Verdana" w:cs="Century Gothic"/>
          <w:bCs/>
          <w:lang w:val="es-ES_tradnl"/>
        </w:rPr>
        <w:t xml:space="preserve">responsabilidad. </w:t>
      </w:r>
    </w:p>
    <w:p w14:paraId="0B99178D" w14:textId="77777777" w:rsidR="00083F91" w:rsidRPr="00AA6E72" w:rsidRDefault="00083F91" w:rsidP="00083F91">
      <w:pPr>
        <w:spacing w:after="0" w:line="276" w:lineRule="auto"/>
        <w:ind w:firstLine="709"/>
        <w:jc w:val="both"/>
        <w:rPr>
          <w:rFonts w:ascii="Verdana" w:eastAsia="Century Gothic" w:hAnsi="Verdana" w:cs="Century Gothic"/>
          <w:bCs/>
          <w:lang w:val="es-ES_tradnl"/>
        </w:rPr>
      </w:pPr>
    </w:p>
    <w:p w14:paraId="0B29346C" w14:textId="77777777" w:rsidR="00083F91" w:rsidRPr="00AA6E72" w:rsidRDefault="00083F91" w:rsidP="00083F91">
      <w:pPr>
        <w:spacing w:after="0" w:line="276" w:lineRule="auto"/>
        <w:jc w:val="both"/>
        <w:rPr>
          <w:rFonts w:ascii="Verdana" w:eastAsia="Century Gothic" w:hAnsi="Verdana" w:cs="Century Gothic"/>
          <w:lang w:val="es-ES"/>
        </w:rPr>
      </w:pPr>
      <w:proofErr w:type="spellStart"/>
      <w:r w:rsidRPr="00AA6E72">
        <w:rPr>
          <w:rFonts w:ascii="Verdana" w:eastAsia="Century Gothic" w:hAnsi="Verdana" w:cs="Century Gothic"/>
          <w:bCs/>
          <w:lang w:val="es-ES_tradnl"/>
        </w:rPr>
        <w:t>iv</w:t>
      </w:r>
      <w:proofErr w:type="spellEnd"/>
      <w:r w:rsidRPr="00AA6E72">
        <w:rPr>
          <w:rFonts w:ascii="Verdana" w:eastAsia="Century Gothic" w:hAnsi="Verdana" w:cs="Century Gothic"/>
          <w:bCs/>
          <w:lang w:val="es-ES_tradnl"/>
        </w:rPr>
        <w:t xml:space="preserve">) </w:t>
      </w:r>
      <w:r w:rsidRPr="00AA6E72">
        <w:rPr>
          <w:rFonts w:ascii="Verdana" w:eastAsia="Calibri" w:hAnsi="Verdana" w:cs="Arial"/>
          <w:lang w:val="es-ES" w:eastAsia="es-ES" w:bidi="es-ES"/>
        </w:rPr>
        <w:t xml:space="preserve">Para responder al problema jurídico planteado es necesario precisar el alcance de la prohibición </w:t>
      </w:r>
      <w:r w:rsidRPr="00AA6E72">
        <w:rPr>
          <w:rFonts w:ascii="Verdana" w:eastAsia="Arial" w:hAnsi="Verdana" w:cs="Arial"/>
          <w:lang w:val="es-ES" w:eastAsia="es-ES" w:bidi="es-ES"/>
        </w:rPr>
        <w:t>establecida en e</w:t>
      </w:r>
      <w:r w:rsidRPr="00AA6E72">
        <w:rPr>
          <w:rFonts w:ascii="Verdana" w:eastAsia="Calibri" w:hAnsi="Verdana" w:cs="Arial"/>
          <w:lang w:val="es-ES"/>
        </w:rPr>
        <w:t xml:space="preserve">l </w:t>
      </w:r>
      <w:r w:rsidRPr="00AA6E72">
        <w:rPr>
          <w:rFonts w:ascii="Verdana" w:eastAsia="Times New Roman" w:hAnsi="Verdana" w:cs="Arial"/>
          <w:lang w:val="es-ES"/>
        </w:rPr>
        <w:t xml:space="preserve">artículo 33 de la Ley 996 de 2005. </w:t>
      </w:r>
      <w:r w:rsidRPr="00AA6E72">
        <w:rPr>
          <w:rFonts w:ascii="Verdana" w:eastAsia="Century Gothic" w:hAnsi="Verdana" w:cs="Century Gothic"/>
          <w:bCs/>
          <w:lang w:val="es-ES_tradnl"/>
        </w:rPr>
        <w:t>E</w:t>
      </w:r>
      <w:r w:rsidRPr="00AA6E72">
        <w:rPr>
          <w:rFonts w:ascii="Verdana" w:eastAsia="Century Gothic" w:hAnsi="Verdana" w:cs="Century Gothic"/>
          <w:lang w:val="es-ES"/>
        </w:rPr>
        <w:t>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p>
    <w:p w14:paraId="46CCCF8D" w14:textId="77777777" w:rsidR="00083F91" w:rsidRPr="00AA6E72" w:rsidRDefault="00083F91" w:rsidP="00083F91">
      <w:pPr>
        <w:spacing w:after="0" w:line="276" w:lineRule="auto"/>
        <w:jc w:val="both"/>
        <w:rPr>
          <w:rFonts w:ascii="Verdana" w:eastAsia="Century Gothic" w:hAnsi="Verdana" w:cs="Century Gothic"/>
          <w:bCs/>
          <w:lang w:val="es-ES_tradnl"/>
        </w:rPr>
      </w:pPr>
    </w:p>
    <w:p w14:paraId="3A433687"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r w:rsidRPr="00AA6E72">
        <w:rPr>
          <w:rFonts w:ascii="Verdana" w:eastAsia="Century Gothic" w:hAnsi="Verdana" w:cs="Century Gothic"/>
          <w:bCs/>
          <w:sz w:val="20"/>
          <w:szCs w:val="20"/>
          <w:lang w:val="es-ES_tradnl"/>
        </w:rPr>
        <w:lastRenderedPageBreak/>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p>
    <w:p w14:paraId="3F8FBEDF" w14:textId="77777777" w:rsidR="00083F91" w:rsidRPr="00AA6E72" w:rsidRDefault="00083F91" w:rsidP="00083F91">
      <w:pPr>
        <w:spacing w:after="0" w:line="240" w:lineRule="auto"/>
        <w:ind w:left="709" w:right="709"/>
        <w:jc w:val="both"/>
        <w:rPr>
          <w:rFonts w:ascii="Verdana" w:eastAsia="Century Gothic" w:hAnsi="Verdana" w:cs="Century Gothic"/>
          <w:bCs/>
          <w:sz w:val="20"/>
          <w:szCs w:val="20"/>
          <w:lang w:val="es-ES_tradnl"/>
        </w:rPr>
      </w:pPr>
    </w:p>
    <w:p w14:paraId="089A4516" w14:textId="77777777" w:rsidR="00083F91" w:rsidRPr="00AA6E72" w:rsidRDefault="00083F91" w:rsidP="00083F91">
      <w:pPr>
        <w:spacing w:after="0" w:line="240" w:lineRule="auto"/>
        <w:ind w:left="709" w:right="709"/>
        <w:jc w:val="both"/>
        <w:rPr>
          <w:rFonts w:ascii="Verdana" w:eastAsia="Century Gothic" w:hAnsi="Verdana" w:cs="Century Gothic"/>
          <w:sz w:val="20"/>
          <w:szCs w:val="20"/>
          <w:lang w:val="es-ES"/>
        </w:rPr>
      </w:pPr>
      <w:r w:rsidRPr="00AA6E72">
        <w:rPr>
          <w:rFonts w:ascii="Verdana" w:eastAsia="Century Gothic" w:hAnsi="Verdana" w:cs="Century Gothic"/>
          <w:sz w:val="20"/>
          <w:szCs w:val="20"/>
          <w:lang w:val="es-ES"/>
        </w:rPr>
        <w:t xml:space="preserve">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w:t>
      </w:r>
      <w:proofErr w:type="gramStart"/>
      <w:r w:rsidRPr="00AA6E72">
        <w:rPr>
          <w:rFonts w:ascii="Verdana" w:eastAsia="Century Gothic" w:hAnsi="Verdana" w:cs="Century Gothic"/>
          <w:sz w:val="20"/>
          <w:szCs w:val="20"/>
          <w:lang w:val="es-ES"/>
        </w:rPr>
        <w:t>sistemas ]</w:t>
      </w:r>
      <w:proofErr w:type="gramEnd"/>
      <w:r w:rsidRPr="00AA6E72">
        <w:rPr>
          <w:rFonts w:ascii="Verdana" w:eastAsia="Century Gothic" w:hAnsi="Verdana" w:cs="Century Gothic"/>
          <w:sz w:val="20"/>
          <w:szCs w:val="20"/>
          <w:lang w:val="es-ES"/>
        </w:rPr>
        <w:t>…]”.</w:t>
      </w:r>
    </w:p>
    <w:p w14:paraId="215908D4" w14:textId="77777777" w:rsidR="00083F91" w:rsidRPr="00AA6E72" w:rsidRDefault="00083F91" w:rsidP="00083F91">
      <w:pPr>
        <w:spacing w:after="0" w:line="276" w:lineRule="auto"/>
        <w:ind w:firstLine="708"/>
        <w:jc w:val="both"/>
        <w:rPr>
          <w:rFonts w:ascii="Verdana" w:eastAsia="Century Gothic" w:hAnsi="Verdana" w:cs="Century Gothic"/>
          <w:bCs/>
          <w:lang w:val="es-ES_tradnl"/>
        </w:rPr>
      </w:pPr>
    </w:p>
    <w:p w14:paraId="6FB46A74" w14:textId="77777777" w:rsidR="00083F91" w:rsidRPr="00AA6E72" w:rsidRDefault="00083F91" w:rsidP="00083F91">
      <w:pPr>
        <w:spacing w:after="120" w:line="276" w:lineRule="auto"/>
        <w:ind w:firstLine="708"/>
        <w:jc w:val="both"/>
        <w:rPr>
          <w:rFonts w:ascii="Verdana" w:eastAsia="Century Gothic" w:hAnsi="Verdana" w:cs="Century Gothic"/>
          <w:lang w:val="es-ES"/>
        </w:rPr>
      </w:pPr>
      <w:r w:rsidRPr="00AA6E72">
        <w:rPr>
          <w:rFonts w:ascii="Verdana" w:eastAsia="Century Gothic" w:hAnsi="Verdana" w:cs="Century Gothic"/>
          <w:lang w:val="es-ES"/>
        </w:rPr>
        <w:t>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el concurso de méritos y la mínima cuantía 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7764E23E"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AA6E72">
        <w:rPr>
          <w:rFonts w:ascii="Verdana" w:eastAsia="Century Gothic" w:hAnsi="Verdana" w:cs="Century Gothic"/>
          <w:bCs/>
          <w:lang w:val="es-ES_tradnl"/>
        </w:rPr>
        <w:lastRenderedPageBreak/>
        <w:t xml:space="preserve">especiales e, incluso, en el derecho privado , han establecido sistemas de contratación que implican convocatoria pública y participación de varios oferentes”. </w:t>
      </w:r>
    </w:p>
    <w:p w14:paraId="74485955"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 </w:t>
      </w:r>
    </w:p>
    <w:p w14:paraId="169818FA" w14:textId="77777777" w:rsidR="00083F91" w:rsidRPr="00AA6E72" w:rsidRDefault="00083F91" w:rsidP="00083F91">
      <w:pPr>
        <w:spacing w:after="120" w:line="276" w:lineRule="auto"/>
        <w:ind w:firstLine="708"/>
        <w:jc w:val="both"/>
        <w:rPr>
          <w:rFonts w:ascii="Verdana" w:eastAsia="Century Gothic" w:hAnsi="Verdana" w:cs="Century Gothic"/>
          <w:lang w:val="es-ES"/>
        </w:rPr>
      </w:pPr>
      <w:r w:rsidRPr="00AA6E72">
        <w:rPr>
          <w:rFonts w:ascii="Verdana" w:eastAsia="Century Gothic" w:hAnsi="Verdana" w:cs="Century Gothic"/>
          <w:lang w:val="es-ES"/>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6402F57A" w14:textId="77777777" w:rsidR="00083F91" w:rsidRPr="00AA6E72" w:rsidRDefault="00083F91" w:rsidP="00083F91">
      <w:pPr>
        <w:spacing w:after="120" w:line="276" w:lineRule="auto"/>
        <w:ind w:firstLine="708"/>
        <w:jc w:val="both"/>
        <w:rPr>
          <w:rFonts w:ascii="Verdana" w:eastAsia="Century Gothic" w:hAnsi="Verdana" w:cs="Century Gothic"/>
          <w:bCs/>
          <w:lang w:val="es-ES_tradnl"/>
        </w:rPr>
      </w:pPr>
      <w:r w:rsidRPr="00AA6E72">
        <w:rPr>
          <w:rFonts w:ascii="Verdana" w:eastAsia="Century Gothic" w:hAnsi="Verdana" w:cs="Century Gothic"/>
          <w:bCs/>
          <w:lang w:val="es-ES_tradnl"/>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60902E2C" w14:textId="77777777" w:rsidR="00083F91" w:rsidRPr="00AA6E72" w:rsidRDefault="00083F91" w:rsidP="00083F91">
      <w:pPr>
        <w:spacing w:after="0" w:line="276" w:lineRule="auto"/>
        <w:ind w:firstLine="709"/>
        <w:jc w:val="both"/>
        <w:rPr>
          <w:rFonts w:ascii="Verdana" w:eastAsia="Century Gothic" w:hAnsi="Verdana" w:cs="Century Gothic"/>
          <w:lang w:val="es-ES"/>
        </w:rPr>
      </w:pPr>
      <w:r w:rsidRPr="00AA6E72">
        <w:rPr>
          <w:rFonts w:ascii="Verdana" w:eastAsia="Century Gothic" w:hAnsi="Verdana" w:cs="Century Gothic"/>
          <w:lang w:val="es-ES"/>
        </w:rPr>
        <w:t xml:space="preserve">De lo anterior se desprende que la restricción aplica, sin perjuicio de las excepciones establecidas en la misma Ley, a las cuales se hará referencia más adelante, para celebrar cualquier contrato de forma directa,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 </w:t>
      </w:r>
    </w:p>
    <w:bookmarkEnd w:id="3"/>
    <w:p w14:paraId="16483A8F" w14:textId="77777777" w:rsidR="00083F91" w:rsidRPr="00AA6E72" w:rsidRDefault="00083F91" w:rsidP="00083F91">
      <w:pPr>
        <w:spacing w:before="120" w:after="0" w:line="276" w:lineRule="auto"/>
        <w:ind w:firstLine="709"/>
        <w:jc w:val="both"/>
        <w:rPr>
          <w:rFonts w:ascii="Verdana" w:eastAsia="Arial" w:hAnsi="Verdana" w:cs="Arial"/>
          <w:color w:val="000000"/>
        </w:rPr>
      </w:pPr>
      <w:r w:rsidRPr="00AA6E72">
        <w:rPr>
          <w:rFonts w:ascii="Verdana" w:eastAsia="Arial" w:hAnsi="Verdana" w:cs="Arial"/>
          <w:color w:val="000000"/>
        </w:rPr>
        <w:lastRenderedPageBreak/>
        <w:t>Finalmente, debe advertirse que el análisis requerido para resolver problemas específicos en torno a la aplicación de las restricciones contractuales contenidas en la Ley 996 de 2005,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6BFB3AFE" w14:textId="77777777" w:rsidR="00083F91" w:rsidRPr="00AA6E72" w:rsidRDefault="00083F91" w:rsidP="00083F91">
      <w:pPr>
        <w:spacing w:after="0" w:line="276" w:lineRule="auto"/>
        <w:ind w:firstLine="709"/>
        <w:jc w:val="both"/>
        <w:rPr>
          <w:rFonts w:ascii="Verdana" w:eastAsia="Arial" w:hAnsi="Verdana" w:cs="Arial"/>
          <w:color w:val="000000"/>
        </w:rPr>
      </w:pPr>
      <w:r w:rsidRPr="00AA6E72">
        <w:rPr>
          <w:rFonts w:ascii="Verdana" w:eastAsia="Arial" w:hAnsi="Verdana" w:cs="Arial"/>
          <w:color w:val="000000"/>
        </w:rPr>
        <w:t>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0130136" w14:textId="77777777" w:rsidR="00083F91" w:rsidRPr="00AA6E72" w:rsidRDefault="00083F91" w:rsidP="00083F91">
      <w:pPr>
        <w:spacing w:after="0" w:line="276" w:lineRule="auto"/>
        <w:ind w:firstLine="709"/>
        <w:jc w:val="both"/>
        <w:rPr>
          <w:rFonts w:ascii="Verdana" w:eastAsia="Arial" w:hAnsi="Verdana" w:cs="Arial"/>
          <w:color w:val="000000"/>
        </w:rPr>
      </w:pPr>
    </w:p>
    <w:p w14:paraId="14222D7E" w14:textId="77777777" w:rsidR="00083F91" w:rsidRPr="00AA6E72" w:rsidRDefault="00083F91" w:rsidP="00083F91">
      <w:pPr>
        <w:widowControl w:val="0"/>
        <w:autoSpaceDE w:val="0"/>
        <w:autoSpaceDN w:val="0"/>
        <w:spacing w:before="1" w:after="0" w:line="240" w:lineRule="auto"/>
        <w:outlineLvl w:val="0"/>
        <w:rPr>
          <w:rFonts w:ascii="Verdana" w:eastAsia="Arial" w:hAnsi="Verdana" w:cs="Arial"/>
          <w:b/>
          <w:bCs/>
          <w:lang w:val="es-ES"/>
        </w:rPr>
      </w:pPr>
      <w:r w:rsidRPr="00AA6E72">
        <w:rPr>
          <w:rFonts w:ascii="Verdana" w:eastAsia="Arial" w:hAnsi="Verdana" w:cs="Arial"/>
          <w:b/>
          <w:bCs/>
          <w:lang w:val="es-ES"/>
        </w:rPr>
        <w:t>4.Referencias normativas, jurisprudenciales y otras fuentes:</w:t>
      </w:r>
    </w:p>
    <w:p w14:paraId="7E37E913" w14:textId="77777777" w:rsidR="00083F91" w:rsidRPr="00AA6E72" w:rsidRDefault="00083F91" w:rsidP="00083F91">
      <w:pPr>
        <w:widowControl w:val="0"/>
        <w:autoSpaceDE w:val="0"/>
        <w:autoSpaceDN w:val="0"/>
        <w:spacing w:after="0" w:line="276" w:lineRule="auto"/>
        <w:jc w:val="both"/>
        <w:rPr>
          <w:rFonts w:ascii="Verdana" w:eastAsia="Aptos" w:hAnsi="Verdana" w:cs="Arial"/>
        </w:rPr>
      </w:pPr>
    </w:p>
    <w:tbl>
      <w:tblPr>
        <w:tblStyle w:val="Tablaconcuadrcula"/>
        <w:tblW w:w="7991"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991"/>
      </w:tblGrid>
      <w:tr w:rsidR="00083F91" w:rsidRPr="00AA6E72" w14:paraId="39C5EE61" w14:textId="77777777" w:rsidTr="006E2BF8">
        <w:trPr>
          <w:trHeight w:val="1256"/>
        </w:trPr>
        <w:tc>
          <w:tcPr>
            <w:tcW w:w="7991" w:type="dxa"/>
          </w:tcPr>
          <w:p w14:paraId="41F587D8" w14:textId="77777777" w:rsidR="00083F91" w:rsidRPr="00AA6E72" w:rsidRDefault="00083F91" w:rsidP="00083F91">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AA6E72">
              <w:rPr>
                <w:rFonts w:ascii="Verdana" w:eastAsia="Calibri" w:hAnsi="Verdana" w:cs="Arial"/>
                <w:lang w:val="es-ES"/>
              </w:rPr>
              <w:t>Constitución Política. Artículo 127.</w:t>
            </w:r>
          </w:p>
          <w:p w14:paraId="036952BF" w14:textId="77777777" w:rsidR="00083F91" w:rsidRPr="00AA6E72" w:rsidRDefault="00083F91" w:rsidP="00083F91">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AA6E72">
              <w:rPr>
                <w:rFonts w:ascii="Verdana" w:eastAsia="Calibri" w:hAnsi="Verdana" w:cs="Arial"/>
                <w:lang w:val="es-ES"/>
              </w:rPr>
              <w:t>Ley 996 de 2005. Artículos 33 y 38.</w:t>
            </w:r>
          </w:p>
          <w:p w14:paraId="7A9824BA" w14:textId="77777777" w:rsidR="00083F91" w:rsidRPr="00AA6E72" w:rsidRDefault="00083F91" w:rsidP="00083F91">
            <w:pPr>
              <w:widowControl w:val="0"/>
              <w:numPr>
                <w:ilvl w:val="0"/>
                <w:numId w:val="1"/>
              </w:numPr>
              <w:autoSpaceDE w:val="0"/>
              <w:autoSpaceDN w:val="0"/>
              <w:spacing w:after="120" w:line="276" w:lineRule="auto"/>
              <w:contextualSpacing/>
              <w:jc w:val="both"/>
              <w:rPr>
                <w:rFonts w:ascii="Verdana" w:eastAsia="Calibri" w:hAnsi="Verdana" w:cs="Arial"/>
                <w:lang w:val="es-ES"/>
              </w:rPr>
            </w:pPr>
            <w:r w:rsidRPr="00AA6E72">
              <w:rPr>
                <w:rFonts w:ascii="Verdana" w:eastAsia="Calibri" w:hAnsi="Verdana" w:cs="Arial"/>
                <w:lang w:val="es-ES"/>
              </w:rPr>
              <w:t xml:space="preserve">Ley 1150 de 2007. Artículo 2, numeral 4. </w:t>
            </w:r>
          </w:p>
        </w:tc>
      </w:tr>
    </w:tbl>
    <w:p w14:paraId="7956CDFC" w14:textId="77777777" w:rsidR="00083F91" w:rsidRPr="00AA6E72" w:rsidRDefault="00083F91" w:rsidP="00083F91">
      <w:pPr>
        <w:widowControl w:val="0"/>
        <w:autoSpaceDE w:val="0"/>
        <w:autoSpaceDN w:val="0"/>
        <w:spacing w:after="0" w:line="276" w:lineRule="auto"/>
        <w:jc w:val="both"/>
        <w:rPr>
          <w:rFonts w:ascii="Verdana" w:eastAsia="Aptos" w:hAnsi="Verdana" w:cs="Arial"/>
        </w:rPr>
      </w:pPr>
    </w:p>
    <w:p w14:paraId="12293915" w14:textId="77777777" w:rsidR="00083F91" w:rsidRPr="00AA6E72" w:rsidRDefault="00083F91" w:rsidP="00083F91">
      <w:pPr>
        <w:widowControl w:val="0"/>
        <w:autoSpaceDE w:val="0"/>
        <w:autoSpaceDN w:val="0"/>
        <w:spacing w:before="1" w:after="0" w:line="276" w:lineRule="auto"/>
        <w:outlineLvl w:val="0"/>
        <w:rPr>
          <w:rFonts w:ascii="Verdana" w:eastAsia="Arial" w:hAnsi="Verdana" w:cs="Arial"/>
          <w:b/>
          <w:bCs/>
          <w:lang w:val="es-ES"/>
        </w:rPr>
      </w:pPr>
      <w:r w:rsidRPr="00AA6E72">
        <w:rPr>
          <w:rFonts w:ascii="Verdana" w:eastAsia="Arial" w:hAnsi="Verdana" w:cs="Arial"/>
          <w:b/>
          <w:bCs/>
          <w:lang w:val="es-ES"/>
        </w:rPr>
        <w:t>5. Doctrina de la Agencia Nacional de Contratación Pública:</w:t>
      </w:r>
    </w:p>
    <w:p w14:paraId="527F89E8" w14:textId="77777777" w:rsidR="00083F91" w:rsidRPr="00AA6E72" w:rsidRDefault="00083F91" w:rsidP="00083F91">
      <w:pPr>
        <w:widowControl w:val="0"/>
        <w:autoSpaceDE w:val="0"/>
        <w:autoSpaceDN w:val="0"/>
        <w:spacing w:after="0" w:line="276" w:lineRule="auto"/>
        <w:jc w:val="both"/>
        <w:rPr>
          <w:rFonts w:ascii="Verdana" w:eastAsia="Aptos" w:hAnsi="Verdana" w:cs="Arial"/>
        </w:rPr>
      </w:pPr>
    </w:p>
    <w:p w14:paraId="01DA7ABA" w14:textId="77777777" w:rsidR="00083F91" w:rsidRPr="00AA6E72" w:rsidRDefault="00083F91" w:rsidP="00083F91">
      <w:pPr>
        <w:widowControl w:val="0"/>
        <w:autoSpaceDE w:val="0"/>
        <w:autoSpaceDN w:val="0"/>
        <w:spacing w:after="0" w:line="276" w:lineRule="auto"/>
        <w:jc w:val="both"/>
        <w:rPr>
          <w:rFonts w:ascii="Verdana" w:eastAsia="Aptos" w:hAnsi="Verdana" w:cs="Arial"/>
          <w:shd w:val="clear" w:color="auto" w:fill="FFFFFF"/>
          <w:lang w:val="es-ES"/>
        </w:rPr>
      </w:pPr>
      <w:r w:rsidRPr="00AA6E72">
        <w:rPr>
          <w:rFonts w:ascii="Verdana" w:eastAsia="Calibri" w:hAnsi="Verdana" w:cs="Arial"/>
          <w:bCs/>
          <w:shd w:val="clear" w:color="auto" w:fill="FFFFFF"/>
        </w:rPr>
        <w:t xml:space="preserve">La Agencia Nacional de Contratación Pública – Colombia Compra Eficiente estudió la finalidad y propósito de la Ley de Garantías Electorales -Ley 996 de 2005-, en los conceptos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w:t>
      </w:r>
      <w:r w:rsidRPr="00AA6E72">
        <w:rPr>
          <w:rFonts w:ascii="Verdana" w:eastAsia="Calibri" w:hAnsi="Verdana" w:cs="Arial"/>
          <w:bCs/>
          <w:shd w:val="clear" w:color="auto" w:fill="FFFFFF"/>
        </w:rPr>
        <w:lastRenderedPageBreak/>
        <w:t xml:space="preserve">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C-1512 del 27 de octubre de 2025, C-1488 del 30 de octubre de 2025, C-1596 del 6 de noviembre de 2025, entre otros. </w:t>
      </w:r>
      <w:r w:rsidRPr="00AA6E72">
        <w:rPr>
          <w:rFonts w:ascii="Verdana" w:eastAsia="Calibri" w:hAnsi="Verdana" w:cs="Arial"/>
          <w:bCs/>
          <w:shd w:val="clear" w:color="auto" w:fill="FFFFFF"/>
          <w:lang w:val="es-ES"/>
        </w:rPr>
        <w:t xml:space="preserve">En tal sentido, recoge los conceptos expuestos, sin perjuicio de otras consideraciones. </w:t>
      </w:r>
      <w:r w:rsidRPr="00AA6E72">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AA6E72">
          <w:rPr>
            <w:rFonts w:ascii="Verdana" w:eastAsia="Aptos" w:hAnsi="Verdana" w:cs="Arial"/>
            <w:color w:val="0000FF"/>
            <w:u w:val="single"/>
            <w:shd w:val="clear" w:color="auto" w:fill="FFFFFF"/>
            <w:lang w:val="es-ES"/>
          </w:rPr>
          <w:t>https://relatoria.colombiacompra.gov.co/</w:t>
        </w:r>
      </w:hyperlink>
      <w:r w:rsidRPr="00AA6E72">
        <w:rPr>
          <w:rFonts w:ascii="Verdana" w:eastAsia="Aptos" w:hAnsi="Verdana" w:cs="Arial"/>
          <w:shd w:val="clear" w:color="auto" w:fill="FFFFFF"/>
          <w:lang w:val="es-ES"/>
        </w:rPr>
        <w:t xml:space="preserve">. </w:t>
      </w:r>
    </w:p>
    <w:p w14:paraId="35A2E532" w14:textId="77777777" w:rsidR="00083F91" w:rsidRPr="00AA6E72" w:rsidRDefault="00083F91" w:rsidP="00083F91">
      <w:pPr>
        <w:spacing w:before="120" w:after="120" w:line="276" w:lineRule="auto"/>
        <w:ind w:firstLine="709"/>
        <w:jc w:val="both"/>
        <w:rPr>
          <w:rFonts w:ascii="Verdana" w:eastAsia="Aptos" w:hAnsi="Verdana" w:cs="Times New Roman"/>
        </w:rPr>
      </w:pPr>
      <w:r w:rsidRPr="00AA6E72">
        <w:rPr>
          <w:rFonts w:ascii="Verdana" w:eastAsia="Aptos" w:hAnsi="Verdana" w:cs="Times New Roman"/>
        </w:rPr>
        <w:t xml:space="preserve">La sostenibilidad no es una opción, es una obligación. Por ello, la Agencia Nacional de Contratación Pública –Colombia Compra Eficiente– te invita a realizar el </w:t>
      </w:r>
      <w:r w:rsidRPr="00AA6E72">
        <w:rPr>
          <w:rFonts w:ascii="Verdana" w:eastAsia="Aptos" w:hAnsi="Verdana" w:cs="Times New Roman"/>
          <w:b/>
          <w:bCs/>
        </w:rPr>
        <w:t>Curso de Contratación Pública Sostenible y Socialmente Responsable</w:t>
      </w:r>
      <w:r w:rsidRPr="00AA6E72">
        <w:rPr>
          <w:rFonts w:ascii="Verdana" w:eastAsia="Aptos"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A6E72">
        <w:rPr>
          <w:rFonts w:ascii="Verdana" w:eastAsia="Aptos" w:hAnsi="Verdana" w:cs="Times New Roman"/>
        </w:rPr>
        <w:br/>
      </w:r>
      <w:hyperlink r:id="rId13" w:tgtFrame="_new" w:history="1">
        <w:r w:rsidRPr="00AA6E72">
          <w:rPr>
            <w:rFonts w:ascii="Verdana" w:eastAsia="Aptos" w:hAnsi="Verdana" w:cs="Times New Roman"/>
            <w:color w:val="0000FF"/>
            <w:u w:val="single"/>
          </w:rPr>
          <w:t>https://formacionvirtual.colombiacompra.gov.co/mod/page/view.php?id=3718</w:t>
        </w:r>
      </w:hyperlink>
    </w:p>
    <w:p w14:paraId="453F8EC6" w14:textId="77777777" w:rsidR="00083F91" w:rsidRPr="00AA6E72" w:rsidRDefault="00083F91" w:rsidP="00083F91">
      <w:pPr>
        <w:spacing w:line="276" w:lineRule="auto"/>
        <w:ind w:firstLine="708"/>
        <w:jc w:val="both"/>
        <w:rPr>
          <w:rFonts w:ascii="Verdana" w:eastAsia="Aptos" w:hAnsi="Verdana" w:cs="Times New Roman"/>
        </w:rPr>
      </w:pPr>
      <w:r w:rsidRPr="00AA6E72">
        <w:rPr>
          <w:rFonts w:ascii="Verdana" w:eastAsia="Aptos" w:hAnsi="Verdana" w:cs="Times New Roman"/>
        </w:rPr>
        <w:t xml:space="preserve">De otro lado, te contamos que esta Agencia ha da un paso decisivo en la estandarización y modernización del </w:t>
      </w:r>
      <w:r w:rsidRPr="00AA6E72">
        <w:rPr>
          <w:rFonts w:ascii="Verdana" w:eastAsia="Aptos" w:hAnsi="Verdana" w:cs="Times New Roman"/>
          <w:b/>
          <w:bCs/>
        </w:rPr>
        <w:t>sector  social</w:t>
      </w:r>
      <w:r w:rsidRPr="00AA6E72">
        <w:rPr>
          <w:rFonts w:ascii="Verdana" w:eastAsia="Aptos" w:hAnsi="Verdana" w:cs="Times New Roman"/>
        </w:rPr>
        <w:t xml:space="preserve"> con la expedición de las </w:t>
      </w:r>
      <w:r w:rsidRPr="00AA6E72">
        <w:rPr>
          <w:rFonts w:ascii="Verdana" w:eastAsia="Aptos" w:hAnsi="Verdana" w:cs="Times New Roman"/>
          <w:b/>
          <w:bCs/>
        </w:rPr>
        <w:t>Resoluciones 539, 540, 541, 952 y 953 de 2025</w:t>
      </w:r>
      <w:r w:rsidRPr="00AA6E72">
        <w:rPr>
          <w:rFonts w:ascii="Verdana" w:eastAsia="Aptos" w:hAnsi="Verdana" w:cs="Times New Roman"/>
        </w:rPr>
        <w:t xml:space="preserve">, </w:t>
      </w:r>
      <w:r w:rsidRPr="00AA6E72">
        <w:rPr>
          <w:rFonts w:ascii="Verdana" w:eastAsia="Aptos" w:hAnsi="Verdana" w:cs="Times New Roman"/>
          <w:b/>
          <w:bCs/>
        </w:rPr>
        <w:t>mediante las cuales adoptó Documentos Tipo</w:t>
      </w:r>
      <w:r w:rsidRPr="00AA6E72">
        <w:rPr>
          <w:rFonts w:ascii="Verdana" w:eastAsia="Aptos" w:hAnsi="Verdana" w:cs="Times New Roman"/>
        </w:rPr>
        <w:t xml:space="preserve"> para las modalidades de selección de</w:t>
      </w:r>
      <w:r w:rsidRPr="00AA6E72">
        <w:rPr>
          <w:rFonts w:ascii="Verdana" w:eastAsia="Aptos" w:hAnsi="Verdana" w:cs="Times New Roman"/>
          <w:b/>
          <w:bCs/>
        </w:rPr>
        <w:t xml:space="preserve"> licitación pública (versión 2), selección abreviada de menor cuantía, mínima cuantía, consultoría e interventoría</w:t>
      </w:r>
      <w:r w:rsidRPr="00AA6E72">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A6E72">
          <w:rPr>
            <w:rFonts w:ascii="Verdana" w:eastAsia="Aptos" w:hAnsi="Verdana" w:cs="Times New Roman"/>
            <w:color w:val="0000FF"/>
            <w:u w:val="single"/>
          </w:rPr>
          <w:t>https://www.colombiacompra.gov.co/normativa-y-relatoria/documentos-tipo</w:t>
        </w:r>
      </w:hyperlink>
    </w:p>
    <w:p w14:paraId="32552A15" w14:textId="77777777" w:rsidR="00083F91" w:rsidRPr="00AA6E72" w:rsidRDefault="00083F91" w:rsidP="00083F91">
      <w:pPr>
        <w:spacing w:after="0" w:line="276" w:lineRule="auto"/>
        <w:ind w:firstLine="708"/>
        <w:jc w:val="both"/>
        <w:rPr>
          <w:rFonts w:ascii="Verdana" w:eastAsia="Aptos" w:hAnsi="Verdana" w:cs="Times New Roman"/>
        </w:rPr>
      </w:pPr>
      <w:r w:rsidRPr="00AA6E72">
        <w:rPr>
          <w:rFonts w:ascii="Verdana" w:eastAsia="Aptos" w:hAnsi="Verdana" w:cs="Times New Roman"/>
        </w:rPr>
        <w:t xml:space="preserve">Si quieres conocer más sobre la aplicación de Documentos Tipo puedes consultar la última versión de la </w:t>
      </w:r>
      <w:r w:rsidRPr="00AA6E72">
        <w:rPr>
          <w:rFonts w:ascii="Verdana" w:eastAsia="Aptos" w:hAnsi="Verdana" w:cs="Times New Roman"/>
          <w:b/>
          <w:bCs/>
        </w:rPr>
        <w:t xml:space="preserve">Guía para la comprensión e implementación de los Documentos Tipo de obra pública de </w:t>
      </w:r>
      <w:r w:rsidRPr="00AA6E72">
        <w:rPr>
          <w:rFonts w:ascii="Verdana" w:eastAsia="Aptos" w:hAnsi="Verdana" w:cs="Times New Roman"/>
          <w:b/>
          <w:bCs/>
        </w:rPr>
        <w:lastRenderedPageBreak/>
        <w:t>infraestructura de transporte</w:t>
      </w:r>
      <w:r w:rsidRPr="00AA6E72">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A6E72">
        <w:rPr>
          <w:rFonts w:ascii="Verdana" w:eastAsia="Aptos" w:hAnsi="Verdana" w:cs="Times New Roman"/>
        </w:rPr>
        <w:br/>
      </w:r>
      <w:hyperlink r:id="rId15" w:tgtFrame="_new" w:history="1">
        <w:r w:rsidRPr="00AA6E72">
          <w:rPr>
            <w:rFonts w:ascii="Verdana" w:eastAsia="Aptos"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083C2D8A" w14:textId="77777777" w:rsidR="00083F91" w:rsidRPr="00AA6E72" w:rsidRDefault="00083F91" w:rsidP="00083F91">
      <w:pPr>
        <w:spacing w:before="120" w:after="0" w:line="276" w:lineRule="auto"/>
        <w:ind w:firstLine="708"/>
        <w:jc w:val="both"/>
        <w:rPr>
          <w:rFonts w:ascii="Verdana" w:eastAsia="Aptos" w:hAnsi="Verdana" w:cs="Times New Roman"/>
        </w:rPr>
      </w:pPr>
      <w:r w:rsidRPr="00AA6E72">
        <w:rPr>
          <w:rFonts w:ascii="Verdana" w:eastAsia="Aptos" w:hAnsi="Verdana" w:cs="Times New Roman"/>
        </w:rPr>
        <w:t xml:space="preserve">Por último, lo invitamos a seguirnos en las redes sociales en las cuales se difunde información institucional: </w:t>
      </w:r>
    </w:p>
    <w:p w14:paraId="07ABCCAC" w14:textId="77777777" w:rsidR="00083F91" w:rsidRPr="00AA6E72" w:rsidRDefault="00083F91" w:rsidP="00083F91">
      <w:pPr>
        <w:spacing w:after="0" w:line="276" w:lineRule="auto"/>
        <w:jc w:val="both"/>
        <w:rPr>
          <w:rFonts w:ascii="Verdana" w:eastAsia="Aptos" w:hAnsi="Verdana" w:cs="Times New Roman"/>
        </w:rPr>
      </w:pPr>
    </w:p>
    <w:p w14:paraId="64D7852D" w14:textId="77777777" w:rsidR="00083F91" w:rsidRPr="00AA6E72" w:rsidRDefault="00083F91" w:rsidP="00083F91">
      <w:pPr>
        <w:spacing w:after="0" w:line="276" w:lineRule="auto"/>
        <w:jc w:val="both"/>
        <w:rPr>
          <w:rFonts w:ascii="Verdana" w:eastAsia="Aptos" w:hAnsi="Verdana" w:cs="Times New Roman"/>
        </w:rPr>
      </w:pPr>
      <w:r w:rsidRPr="00AA6E72">
        <w:rPr>
          <w:rFonts w:ascii="Verdana" w:eastAsia="Aptos" w:hAnsi="Verdana" w:cs="Times New Roman"/>
        </w:rPr>
        <w:t xml:space="preserve">Twitter: </w:t>
      </w:r>
      <w:r w:rsidRPr="00AA6E72">
        <w:rPr>
          <w:rFonts w:ascii="Verdana" w:eastAsia="Aptos" w:hAnsi="Verdana" w:cs="Arial"/>
          <w:color w:val="0000FF"/>
          <w:u w:val="single"/>
          <w:shd w:val="clear" w:color="auto" w:fill="FFFFFF"/>
          <w:lang w:val="es-ES"/>
        </w:rPr>
        <w:t>@colombiacompra</w:t>
      </w:r>
      <w:r w:rsidRPr="00AA6E72">
        <w:rPr>
          <w:rFonts w:ascii="Verdana" w:eastAsia="Aptos" w:hAnsi="Verdana" w:cs="Times New Roman"/>
          <w:color w:val="156082"/>
        </w:rPr>
        <w:t xml:space="preserve"> </w:t>
      </w:r>
    </w:p>
    <w:p w14:paraId="3B1CED02" w14:textId="77777777" w:rsidR="00083F91" w:rsidRPr="00AA6E72" w:rsidRDefault="00083F91" w:rsidP="00083F91">
      <w:pPr>
        <w:spacing w:after="0" w:line="276" w:lineRule="auto"/>
        <w:jc w:val="both"/>
        <w:rPr>
          <w:rFonts w:ascii="Verdana" w:eastAsia="Aptos" w:hAnsi="Verdana" w:cs="Times New Roman"/>
        </w:rPr>
      </w:pPr>
      <w:r w:rsidRPr="00AA6E72">
        <w:rPr>
          <w:rFonts w:ascii="Verdana" w:eastAsia="Aptos" w:hAnsi="Verdana" w:cs="Times New Roman"/>
        </w:rPr>
        <w:t xml:space="preserve">Facebook: </w:t>
      </w:r>
      <w:proofErr w:type="spellStart"/>
      <w:r w:rsidRPr="00AA6E72">
        <w:rPr>
          <w:rFonts w:ascii="Verdana" w:eastAsia="Aptos" w:hAnsi="Verdana" w:cs="Arial"/>
          <w:color w:val="0000FF"/>
          <w:u w:val="single"/>
          <w:shd w:val="clear" w:color="auto" w:fill="FFFFFF"/>
          <w:lang w:val="es-ES"/>
        </w:rPr>
        <w:t>ColombiaCompraEficiente</w:t>
      </w:r>
      <w:proofErr w:type="spellEnd"/>
    </w:p>
    <w:p w14:paraId="5FBD4183" w14:textId="77777777" w:rsidR="00083F91" w:rsidRPr="00AA6E72" w:rsidRDefault="00083F91" w:rsidP="00083F91">
      <w:pPr>
        <w:spacing w:after="0" w:line="276" w:lineRule="auto"/>
        <w:jc w:val="both"/>
        <w:rPr>
          <w:rFonts w:ascii="Verdana" w:eastAsia="Aptos" w:hAnsi="Verdana" w:cs="Times New Roman"/>
        </w:rPr>
      </w:pPr>
      <w:r w:rsidRPr="00AA6E72">
        <w:rPr>
          <w:rFonts w:ascii="Verdana" w:eastAsia="Aptos" w:hAnsi="Verdana" w:cs="Times New Roman"/>
        </w:rPr>
        <w:t xml:space="preserve">LinkedIn: </w:t>
      </w:r>
      <w:r w:rsidRPr="00AA6E72">
        <w:rPr>
          <w:rFonts w:ascii="Verdana" w:eastAsia="Aptos" w:hAnsi="Verdana" w:cs="Arial"/>
          <w:color w:val="0000FF"/>
          <w:u w:val="single"/>
          <w:shd w:val="clear" w:color="auto" w:fill="FFFFFF"/>
          <w:lang w:val="es-ES"/>
        </w:rPr>
        <w:t>Agencia Nacional de Contratación Pública - Colombia Compra Eficiente</w:t>
      </w:r>
      <w:r w:rsidRPr="00AA6E72">
        <w:rPr>
          <w:rFonts w:ascii="Verdana" w:eastAsia="Aptos" w:hAnsi="Verdana" w:cs="Times New Roman"/>
          <w:color w:val="156082"/>
        </w:rPr>
        <w:t xml:space="preserve"> </w:t>
      </w:r>
      <w:r w:rsidRPr="00AA6E72">
        <w:rPr>
          <w:rFonts w:ascii="Verdana" w:eastAsia="Aptos" w:hAnsi="Verdana" w:cs="Times New Roman"/>
        </w:rPr>
        <w:t xml:space="preserve">Instagram: </w:t>
      </w:r>
      <w:r w:rsidRPr="00AA6E72">
        <w:rPr>
          <w:rFonts w:ascii="Verdana" w:eastAsia="Aptos" w:hAnsi="Verdana" w:cs="Arial"/>
          <w:color w:val="0000FF"/>
          <w:u w:val="single"/>
          <w:shd w:val="clear" w:color="auto" w:fill="FFFFFF"/>
          <w:lang w:val="es-ES"/>
        </w:rPr>
        <w:t>@colombiacompraeficiente_cce</w:t>
      </w:r>
    </w:p>
    <w:p w14:paraId="7A872BFB" w14:textId="77777777" w:rsidR="00083F91" w:rsidRPr="00AA6E72" w:rsidRDefault="00083F91" w:rsidP="00083F91">
      <w:pPr>
        <w:widowControl w:val="0"/>
        <w:autoSpaceDE w:val="0"/>
        <w:autoSpaceDN w:val="0"/>
        <w:spacing w:after="0" w:line="276" w:lineRule="auto"/>
        <w:jc w:val="both"/>
        <w:rPr>
          <w:rFonts w:ascii="Verdana" w:eastAsia="Aptos" w:hAnsi="Verdana" w:cs="Arial"/>
        </w:rPr>
      </w:pPr>
    </w:p>
    <w:p w14:paraId="2EAF43E1" w14:textId="77777777" w:rsidR="00083F91" w:rsidRPr="00AA6E72" w:rsidRDefault="00083F91" w:rsidP="00083F91">
      <w:pPr>
        <w:widowControl w:val="0"/>
        <w:autoSpaceDE w:val="0"/>
        <w:autoSpaceDN w:val="0"/>
        <w:spacing w:after="0" w:line="276" w:lineRule="auto"/>
        <w:jc w:val="both"/>
        <w:rPr>
          <w:rFonts w:ascii="Verdana" w:eastAsia="Aptos" w:hAnsi="Verdana" w:cs="Arial"/>
          <w:lang w:val="es-ES_tradnl"/>
        </w:rPr>
      </w:pPr>
      <w:r w:rsidRPr="00AA6E72">
        <w:rPr>
          <w:rFonts w:ascii="Verdana" w:eastAsia="Aptos" w:hAnsi="Verdana" w:cs="Arial"/>
        </w:rPr>
        <w:t xml:space="preserve">Este concepto tiene el alcance previsto en el artículo 28 del Código de Procedimiento Administrativo y de lo Contencioso Administrativo </w:t>
      </w:r>
      <w:r w:rsidRPr="00AA6E72">
        <w:rPr>
          <w:rFonts w:ascii="Verdana" w:eastAsia="Aptos" w:hAnsi="Verdana" w:cs="Arial"/>
          <w:lang w:val="es-ES_tradnl"/>
        </w:rPr>
        <w:t>y las expresiones aquí utilizadas con mayúscula inicial deben ser entendidas con el significado que les otorga el artículo 2.2.1.1.1.3.1. del Decreto 1082 de 2015.</w:t>
      </w:r>
    </w:p>
    <w:p w14:paraId="14CBE6C8" w14:textId="77777777" w:rsidR="00083F91" w:rsidRPr="00AA6E72" w:rsidRDefault="00083F91" w:rsidP="00083F91">
      <w:pPr>
        <w:widowControl w:val="0"/>
        <w:autoSpaceDE w:val="0"/>
        <w:autoSpaceDN w:val="0"/>
        <w:spacing w:after="0" w:line="276" w:lineRule="auto"/>
        <w:jc w:val="both"/>
        <w:rPr>
          <w:rFonts w:ascii="Verdana" w:eastAsia="Aptos" w:hAnsi="Verdana" w:cs="Arial"/>
        </w:rPr>
      </w:pPr>
    </w:p>
    <w:p w14:paraId="6D614A8A" w14:textId="77777777" w:rsidR="00083F91" w:rsidRPr="00AA6E72" w:rsidRDefault="00083F91" w:rsidP="00083F91">
      <w:pPr>
        <w:spacing w:after="0" w:line="276" w:lineRule="auto"/>
        <w:rPr>
          <w:rFonts w:ascii="Verdana" w:eastAsia="Aptos" w:hAnsi="Verdana" w:cs="Arial"/>
          <w:lang w:eastAsia="es-CO"/>
        </w:rPr>
      </w:pPr>
      <w:r w:rsidRPr="00AA6E72">
        <w:rPr>
          <w:rFonts w:ascii="Verdana" w:eastAsia="Times New Roman" w:hAnsi="Verdana" w:cs="Arial"/>
          <w:lang w:eastAsia="es-CO"/>
        </w:rPr>
        <w:t>Atentamente,</w:t>
      </w:r>
      <w:r w:rsidRPr="00AA6E72">
        <w:rPr>
          <w:rFonts w:ascii="Verdana" w:eastAsia="Aptos" w:hAnsi="Verdana" w:cs="Arial"/>
          <w:lang w:eastAsia="es-CO"/>
        </w:rPr>
        <w:t xml:space="preserve"> </w:t>
      </w:r>
    </w:p>
    <w:p w14:paraId="5EB0E1B3" w14:textId="77777777" w:rsidR="00083F91" w:rsidRPr="00AA6E72" w:rsidRDefault="00083F91" w:rsidP="00083F91">
      <w:pPr>
        <w:spacing w:after="0" w:line="276" w:lineRule="auto"/>
        <w:jc w:val="center"/>
        <w:rPr>
          <w:rFonts w:ascii="Verdana" w:eastAsia="Aptos" w:hAnsi="Verdana" w:cs="Arial"/>
          <w:lang w:val="es-ES_tradnl" w:eastAsia="es-CO"/>
        </w:rPr>
      </w:pPr>
    </w:p>
    <w:p w14:paraId="42CF6A8A" w14:textId="5A3E2491" w:rsidR="00083F91" w:rsidRPr="00AA6E72" w:rsidRDefault="00F138DA" w:rsidP="00083F91">
      <w:pPr>
        <w:spacing w:after="0" w:line="276" w:lineRule="auto"/>
        <w:jc w:val="center"/>
        <w:rPr>
          <w:rFonts w:ascii="Verdana" w:eastAsia="Aptos" w:hAnsi="Verdana" w:cs="Arial"/>
          <w:lang w:val="es-ES_tradnl" w:eastAsia="es-CO"/>
        </w:rPr>
      </w:pPr>
      <w:r w:rsidRPr="004D5C25">
        <w:rPr>
          <w:rFonts w:ascii="Century Gothic" w:hAnsi="Century Gothic"/>
          <w:noProof/>
        </w:rPr>
        <w:drawing>
          <wp:inline distT="0" distB="0" distL="0" distR="0" wp14:anchorId="1D0DB8ED" wp14:editId="327C254E">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083F91" w:rsidRPr="00AA6E72" w14:paraId="55A9A143" w14:textId="77777777" w:rsidTr="006E2BF8">
        <w:trPr>
          <w:trHeight w:val="286"/>
        </w:trPr>
        <w:tc>
          <w:tcPr>
            <w:tcW w:w="901" w:type="dxa"/>
            <w:vAlign w:val="center"/>
            <w:hideMark/>
          </w:tcPr>
          <w:p w14:paraId="2A371A28"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lastRenderedPageBreak/>
              <w:t>Elaboró:</w:t>
            </w:r>
          </w:p>
        </w:tc>
        <w:tc>
          <w:tcPr>
            <w:tcW w:w="4344" w:type="dxa"/>
            <w:tcBorders>
              <w:top w:val="nil"/>
              <w:left w:val="nil"/>
              <w:bottom w:val="dotted" w:sz="4" w:space="0" w:color="7F7F7F"/>
              <w:right w:val="nil"/>
            </w:tcBorders>
            <w:vAlign w:val="center"/>
            <w:hideMark/>
          </w:tcPr>
          <w:p w14:paraId="1EF34B32"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Nasly Yeana Mosquera Rivas</w:t>
            </w:r>
          </w:p>
          <w:p w14:paraId="76988EC2"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Analista T2–06 de la Subdirección de Gestión Contractual</w:t>
            </w:r>
          </w:p>
        </w:tc>
      </w:tr>
      <w:tr w:rsidR="00083F91" w:rsidRPr="00AA6E72" w14:paraId="7F41BD4B" w14:textId="77777777" w:rsidTr="006E2BF8">
        <w:trPr>
          <w:trHeight w:val="299"/>
        </w:trPr>
        <w:tc>
          <w:tcPr>
            <w:tcW w:w="901" w:type="dxa"/>
            <w:vAlign w:val="center"/>
          </w:tcPr>
          <w:p w14:paraId="679C59AF"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74298050"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Juan David Cárdenas Cabeza</w:t>
            </w:r>
          </w:p>
          <w:p w14:paraId="772C72EC"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Contratista de la Subdirección de Gestión Contractual</w:t>
            </w:r>
          </w:p>
        </w:tc>
      </w:tr>
      <w:tr w:rsidR="00083F91" w:rsidRPr="00AA6E72" w14:paraId="36D55D56" w14:textId="77777777" w:rsidTr="006E2BF8">
        <w:trPr>
          <w:trHeight w:val="272"/>
        </w:trPr>
        <w:tc>
          <w:tcPr>
            <w:tcW w:w="901" w:type="dxa"/>
            <w:vAlign w:val="center"/>
            <w:hideMark/>
          </w:tcPr>
          <w:p w14:paraId="1807E64D"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021ADBC9"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Carolina Quintero Gacharná</w:t>
            </w:r>
          </w:p>
          <w:p w14:paraId="5B6E7041" w14:textId="77777777" w:rsidR="00083F91" w:rsidRPr="00AA6E72" w:rsidRDefault="00083F91" w:rsidP="006E2BF8">
            <w:pPr>
              <w:rPr>
                <w:rFonts w:ascii="Verdana" w:eastAsia="Aptos" w:hAnsi="Verdana" w:cs="Arial"/>
                <w:sz w:val="14"/>
                <w:szCs w:val="14"/>
                <w:lang w:eastAsia="es-ES"/>
              </w:rPr>
            </w:pPr>
            <w:r w:rsidRPr="00AA6E72">
              <w:rPr>
                <w:rFonts w:ascii="Verdana" w:eastAsia="Aptos" w:hAnsi="Verdana" w:cs="Arial"/>
                <w:sz w:val="14"/>
                <w:szCs w:val="14"/>
                <w:lang w:eastAsia="es-ES"/>
              </w:rPr>
              <w:t>Subdirectora de Gestión Contractual ANCP – CCE</w:t>
            </w:r>
          </w:p>
        </w:tc>
      </w:tr>
    </w:tbl>
    <w:p w14:paraId="326A700E" w14:textId="77777777" w:rsidR="00083F91" w:rsidRPr="00AA6E72" w:rsidRDefault="00083F91" w:rsidP="00083F91">
      <w:pPr>
        <w:spacing w:after="0" w:line="240" w:lineRule="auto"/>
        <w:rPr>
          <w:rFonts w:ascii="Verdana" w:eastAsia="Times New Roman" w:hAnsi="Verdana" w:cs="Arial"/>
          <w:sz w:val="24"/>
          <w:szCs w:val="24"/>
          <w:lang w:eastAsia="es-ES"/>
        </w:rPr>
      </w:pPr>
    </w:p>
    <w:p w14:paraId="38598B53" w14:textId="77777777" w:rsidR="00083F91" w:rsidRPr="00AA6E72" w:rsidRDefault="00083F91" w:rsidP="00083F91">
      <w:pPr>
        <w:rPr>
          <w:rFonts w:ascii="Verdana" w:eastAsia="Aptos" w:hAnsi="Verdana" w:cs="Times New Roman"/>
        </w:rPr>
      </w:pPr>
    </w:p>
    <w:p w14:paraId="5E42B881" w14:textId="77777777" w:rsidR="00083F91" w:rsidRPr="00AA6E72" w:rsidRDefault="00083F91" w:rsidP="00083F91">
      <w:pPr>
        <w:rPr>
          <w:rFonts w:ascii="Verdana" w:eastAsia="Aptos" w:hAnsi="Verdana" w:cs="Arial"/>
        </w:rPr>
      </w:pPr>
    </w:p>
    <w:p w14:paraId="40AD2666" w14:textId="5156E93F" w:rsidR="00083F91" w:rsidRPr="000E2B93" w:rsidRDefault="00083F91" w:rsidP="00083F91">
      <w:pPr>
        <w:spacing w:after="0" w:line="240" w:lineRule="auto"/>
        <w:textAlignment w:val="baseline"/>
        <w:rPr>
          <w:rFonts w:ascii="Verdana" w:eastAsia="Verdana" w:hAnsi="Verdana" w:cs="Verdana"/>
          <w:lang w:eastAsia="es-CO"/>
        </w:rPr>
      </w:pPr>
      <w:r w:rsidRPr="00AA6E72">
        <w:rPr>
          <w:rFonts w:ascii="Verdana" w:eastAsia="Verdana" w:hAnsi="Verdana" w:cs="Verdana"/>
          <w:lang w:eastAsia="es-CO"/>
        </w:rPr>
        <w:t> </w:t>
      </w:r>
      <w:r w:rsidRPr="30821638">
        <w:rPr>
          <w:rFonts w:ascii="Verdana" w:eastAsia="Verdana" w:hAnsi="Verdana" w:cs="Verdana"/>
          <w:lang w:eastAsia="es-CO"/>
        </w:rPr>
        <w:t> </w:t>
      </w:r>
    </w:p>
    <w:bookmarkEnd w:id="0"/>
    <w:p w14:paraId="4DA6E25B" w14:textId="77777777" w:rsidR="00083F91" w:rsidRPr="0015699B" w:rsidRDefault="00083F91" w:rsidP="00083F91">
      <w:pPr>
        <w:spacing w:after="0" w:line="240" w:lineRule="auto"/>
        <w:jc w:val="both"/>
        <w:textAlignment w:val="baseline"/>
        <w:rPr>
          <w:rFonts w:ascii="Verdana" w:eastAsia="Verdana" w:hAnsi="Verdana" w:cs="Verdana"/>
          <w:lang w:eastAsia="es-CO"/>
        </w:rPr>
      </w:pPr>
    </w:p>
    <w:p w14:paraId="500A27EF" w14:textId="77777777" w:rsidR="008E5C2E" w:rsidRDefault="008E5C2E"/>
    <w:sectPr w:rsidR="008E5C2E" w:rsidSect="00083F91">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932D02" w14:textId="77777777" w:rsidR="00B2796F" w:rsidRDefault="00B2796F">
      <w:pPr>
        <w:spacing w:after="0" w:line="240" w:lineRule="auto"/>
      </w:pPr>
      <w:r>
        <w:separator/>
      </w:r>
    </w:p>
  </w:endnote>
  <w:endnote w:type="continuationSeparator" w:id="0">
    <w:p w14:paraId="74F3F8CD" w14:textId="77777777" w:rsidR="00B2796F" w:rsidRDefault="00B279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4271C" w14:textId="77777777" w:rsidR="00083F91" w:rsidRDefault="00083F91">
    <w:pPr>
      <w:pStyle w:val="Piedepgina"/>
    </w:pPr>
  </w:p>
  <w:p w14:paraId="3E2D1EE2" w14:textId="77777777" w:rsidR="00083F91" w:rsidRPr="00174B77" w:rsidRDefault="00083F9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6406A967" w14:textId="77777777" w:rsidR="00083F91" w:rsidRDefault="00083F9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6E9DC46F" w14:textId="77777777" w:rsidR="00083F91" w:rsidRPr="00E41027" w:rsidRDefault="00083F9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3585C55E" w14:textId="77777777" w:rsidR="00083F91" w:rsidRDefault="00083F9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AA6E72">
      <w:rPr>
        <w:rFonts w:ascii="Verdana" w:eastAsia="Verdana" w:hAnsi="Verdana" w:cs="Verdana"/>
        <w:b/>
        <w:bCs/>
        <w:color w:val="000000"/>
        <w:sz w:val="18"/>
        <w:szCs w:val="18"/>
        <w:lang w:eastAsia="es-CO"/>
      </w:rPr>
      <w:t xml:space="preserve">Código: </w:t>
    </w:r>
    <w:r w:rsidRPr="00AA6E72">
      <w:rPr>
        <w:rFonts w:ascii="Verdana" w:eastAsia="Verdana" w:hAnsi="Verdana" w:cs="Verdana"/>
        <w:color w:val="000000"/>
        <w:sz w:val="18"/>
        <w:szCs w:val="18"/>
        <w:lang w:eastAsia="es-CO"/>
      </w:rPr>
      <w:t xml:space="preserve">CCE-REC-FM-17 </w:t>
    </w:r>
    <w:r w:rsidRPr="00AA6E72">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A90E2" w14:textId="77777777" w:rsidR="00B2796F" w:rsidRDefault="00B2796F">
      <w:pPr>
        <w:spacing w:after="0" w:line="240" w:lineRule="auto"/>
      </w:pPr>
      <w:r>
        <w:separator/>
      </w:r>
    </w:p>
  </w:footnote>
  <w:footnote w:type="continuationSeparator" w:id="0">
    <w:p w14:paraId="1291D053" w14:textId="77777777" w:rsidR="00B2796F" w:rsidRDefault="00B279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87128" w14:textId="77777777" w:rsidR="00083F91" w:rsidRDefault="00083F91"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DE026F4" wp14:editId="6B4306BA">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565EE3B" wp14:editId="32710D3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21A00A5" w14:textId="77777777" w:rsidR="00083F91" w:rsidRDefault="00083F91">
    <w:pPr>
      <w:pStyle w:val="Encabezado"/>
    </w:pPr>
  </w:p>
  <w:p w14:paraId="7A97901B" w14:textId="77777777" w:rsidR="00083F91" w:rsidRPr="004A305D" w:rsidRDefault="00083F91" w:rsidP="00B01B1A">
    <w:pPr>
      <w:spacing w:after="0" w:line="120" w:lineRule="auto"/>
      <w:rPr>
        <w:rFonts w:ascii="Century Gothic" w:eastAsia="Geo" w:hAnsi="Century Gothic" w:cs="Geo"/>
        <w:sz w:val="16"/>
        <w:szCs w:val="16"/>
        <w:lang w:eastAsia="es-CO"/>
      </w:rPr>
    </w:pPr>
  </w:p>
  <w:p w14:paraId="238057AB" w14:textId="77777777" w:rsidR="00083F91" w:rsidRDefault="00083F91" w:rsidP="00844AE9">
    <w:pPr>
      <w:spacing w:after="0" w:line="240" w:lineRule="auto"/>
      <w:rPr>
        <w:rFonts w:ascii="Verdana" w:hAnsi="Verdana"/>
        <w:sz w:val="24"/>
        <w:szCs w:val="24"/>
      </w:rPr>
    </w:pPr>
  </w:p>
  <w:p w14:paraId="0DAFF857" w14:textId="77777777" w:rsidR="00083F91" w:rsidRPr="00C925AC" w:rsidRDefault="00083F91" w:rsidP="00844AE9">
    <w:pPr>
      <w:spacing w:after="0" w:line="240" w:lineRule="auto"/>
      <w:rPr>
        <w:rFonts w:ascii="Verdana" w:hAnsi="Verdana"/>
        <w:sz w:val="24"/>
        <w:szCs w:val="24"/>
      </w:rPr>
    </w:pPr>
  </w:p>
  <w:p w14:paraId="32D6E471" w14:textId="77777777" w:rsidR="00083F91" w:rsidRPr="00C925AC" w:rsidRDefault="00083F91"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F91"/>
    <w:rsid w:val="00081473"/>
    <w:rsid w:val="00083F91"/>
    <w:rsid w:val="001A2817"/>
    <w:rsid w:val="003B1E80"/>
    <w:rsid w:val="005727E1"/>
    <w:rsid w:val="005818E2"/>
    <w:rsid w:val="00846BE0"/>
    <w:rsid w:val="008E5C2E"/>
    <w:rsid w:val="008F3942"/>
    <w:rsid w:val="00B2796F"/>
    <w:rsid w:val="00BF68BA"/>
    <w:rsid w:val="00CC175F"/>
    <w:rsid w:val="00F138DA"/>
    <w:rsid w:val="00FB3966"/>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91E0A"/>
  <w15:chartTrackingRefBased/>
  <w15:docId w15:val="{A2C9D668-E701-42F4-B661-A5174273B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F91"/>
    <w:rPr>
      <w:kern w:val="0"/>
      <w14:ligatures w14:val="none"/>
    </w:rPr>
  </w:style>
  <w:style w:type="paragraph" w:styleId="Ttulo1">
    <w:name w:val="heading 1"/>
    <w:basedOn w:val="Normal"/>
    <w:next w:val="Normal"/>
    <w:link w:val="Ttulo1Car"/>
    <w:uiPriority w:val="9"/>
    <w:qFormat/>
    <w:rsid w:val="00083F9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83F9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83F9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83F9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83F9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83F9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83F9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83F9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83F9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83F9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83F9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83F9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83F9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83F9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83F9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83F9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83F9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83F91"/>
    <w:rPr>
      <w:rFonts w:eastAsiaTheme="majorEastAsia" w:cstheme="majorBidi"/>
      <w:color w:val="272727" w:themeColor="text1" w:themeTint="D8"/>
    </w:rPr>
  </w:style>
  <w:style w:type="paragraph" w:styleId="Ttulo">
    <w:name w:val="Title"/>
    <w:basedOn w:val="Normal"/>
    <w:next w:val="Normal"/>
    <w:link w:val="TtuloCar"/>
    <w:uiPriority w:val="10"/>
    <w:qFormat/>
    <w:rsid w:val="00083F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83F9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83F9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83F9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83F91"/>
    <w:pPr>
      <w:spacing w:before="160"/>
      <w:jc w:val="center"/>
    </w:pPr>
    <w:rPr>
      <w:i/>
      <w:iCs/>
      <w:color w:val="404040" w:themeColor="text1" w:themeTint="BF"/>
    </w:rPr>
  </w:style>
  <w:style w:type="character" w:customStyle="1" w:styleId="CitaCar">
    <w:name w:val="Cita Car"/>
    <w:basedOn w:val="Fuentedeprrafopredeter"/>
    <w:link w:val="Cita"/>
    <w:uiPriority w:val="29"/>
    <w:rsid w:val="00083F91"/>
    <w:rPr>
      <w:i/>
      <w:iCs/>
      <w:color w:val="404040" w:themeColor="text1" w:themeTint="BF"/>
    </w:rPr>
  </w:style>
  <w:style w:type="paragraph" w:styleId="Prrafodelista">
    <w:name w:val="List Paragraph"/>
    <w:basedOn w:val="Normal"/>
    <w:uiPriority w:val="34"/>
    <w:qFormat/>
    <w:rsid w:val="00083F91"/>
    <w:pPr>
      <w:ind w:left="720"/>
      <w:contextualSpacing/>
    </w:pPr>
  </w:style>
  <w:style w:type="character" w:styleId="nfasisintenso">
    <w:name w:val="Intense Emphasis"/>
    <w:basedOn w:val="Fuentedeprrafopredeter"/>
    <w:uiPriority w:val="21"/>
    <w:qFormat/>
    <w:rsid w:val="00083F91"/>
    <w:rPr>
      <w:i/>
      <w:iCs/>
      <w:color w:val="0F4761" w:themeColor="accent1" w:themeShade="BF"/>
    </w:rPr>
  </w:style>
  <w:style w:type="paragraph" w:styleId="Citadestacada">
    <w:name w:val="Intense Quote"/>
    <w:basedOn w:val="Normal"/>
    <w:next w:val="Normal"/>
    <w:link w:val="CitadestacadaCar"/>
    <w:uiPriority w:val="30"/>
    <w:qFormat/>
    <w:rsid w:val="00083F9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83F91"/>
    <w:rPr>
      <w:i/>
      <w:iCs/>
      <w:color w:val="0F4761" w:themeColor="accent1" w:themeShade="BF"/>
    </w:rPr>
  </w:style>
  <w:style w:type="character" w:styleId="Referenciaintensa">
    <w:name w:val="Intense Reference"/>
    <w:basedOn w:val="Fuentedeprrafopredeter"/>
    <w:uiPriority w:val="32"/>
    <w:qFormat/>
    <w:rsid w:val="00083F91"/>
    <w:rPr>
      <w:b/>
      <w:bCs/>
      <w:smallCaps/>
      <w:color w:val="0F4761" w:themeColor="accent1" w:themeShade="BF"/>
      <w:spacing w:val="5"/>
    </w:rPr>
  </w:style>
  <w:style w:type="paragraph" w:styleId="Encabezado">
    <w:name w:val="header"/>
    <w:basedOn w:val="Normal"/>
    <w:link w:val="EncabezadoCar"/>
    <w:uiPriority w:val="99"/>
    <w:unhideWhenUsed/>
    <w:rsid w:val="00083F9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83F91"/>
    <w:rPr>
      <w:kern w:val="0"/>
      <w14:ligatures w14:val="none"/>
    </w:rPr>
  </w:style>
  <w:style w:type="paragraph" w:styleId="Piedepgina">
    <w:name w:val="footer"/>
    <w:basedOn w:val="Normal"/>
    <w:link w:val="PiedepginaCar"/>
    <w:uiPriority w:val="99"/>
    <w:unhideWhenUsed/>
    <w:rsid w:val="00083F9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3F91"/>
    <w:rPr>
      <w:kern w:val="0"/>
      <w14:ligatures w14:val="none"/>
    </w:rPr>
  </w:style>
  <w:style w:type="table" w:styleId="Tablaconcuadrcula">
    <w:name w:val="Table Grid"/>
    <w:basedOn w:val="Tablanormal"/>
    <w:uiPriority w:val="39"/>
    <w:qFormat/>
    <w:rsid w:val="00083F9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59"/>
    <w:qFormat/>
    <w:rsid w:val="00083F9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cobrasyproyectosas@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32D2647-47E9-4E24-A0B5-A241A1C603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AD7B98-026A-4883-BE9A-BBFA07899620}">
  <ds:schemaRefs>
    <ds:schemaRef ds:uri="http://schemas.microsoft.com/sharepoint/v3/contenttype/forms"/>
  </ds:schemaRefs>
</ds:datastoreItem>
</file>

<file path=customXml/itemProps3.xml><?xml version="1.0" encoding="utf-8"?>
<ds:datastoreItem xmlns:ds="http://schemas.openxmlformats.org/officeDocument/2006/customXml" ds:itemID="{8C037665-125A-4D70-B1E8-B3A5C441DFF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17</Pages>
  <Words>5717</Words>
  <Characters>31445</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7</cp:revision>
  <dcterms:created xsi:type="dcterms:W3CDTF">2026-04-24T12:47:00Z</dcterms:created>
  <dcterms:modified xsi:type="dcterms:W3CDTF">2026-04-24T12:57:00Z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