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727C7" w14:textId="77777777" w:rsidR="00706381" w:rsidRPr="00760536" w:rsidRDefault="00706381" w:rsidP="00706381">
      <w:pPr>
        <w:spacing w:after="0" w:line="240" w:lineRule="auto"/>
        <w:jc w:val="both"/>
        <w:rPr>
          <w:rFonts w:ascii="Verdana" w:hAnsi="Verdana" w:cs="Arial"/>
          <w:bCs/>
          <w:sz w:val="20"/>
          <w:szCs w:val="20"/>
        </w:rPr>
      </w:pPr>
    </w:p>
    <w:p w14:paraId="429DE392" w14:textId="77777777" w:rsidR="00706381" w:rsidRPr="00760536" w:rsidRDefault="00706381" w:rsidP="00706381">
      <w:pPr>
        <w:spacing w:after="0" w:line="240" w:lineRule="auto"/>
        <w:jc w:val="both"/>
        <w:rPr>
          <w:rFonts w:ascii="Verdana" w:hAnsi="Verdana" w:cs="Arial"/>
          <w:b/>
        </w:rPr>
      </w:pPr>
      <w:r w:rsidRPr="00AE2EA2">
        <w:rPr>
          <w:rFonts w:ascii="Verdana" w:hAnsi="Verdana" w:cs="Arial"/>
          <w:b/>
        </w:rPr>
        <w:t>COMITÉS ESTRUCTURADORES, ASESORES O DE CONTRATACIÓN</w:t>
      </w:r>
      <w:r w:rsidRPr="00760536">
        <w:rPr>
          <w:rFonts w:ascii="Verdana" w:hAnsi="Verdana" w:cs="Arial"/>
          <w:b/>
        </w:rPr>
        <w:t xml:space="preserve"> – </w:t>
      </w:r>
      <w:r>
        <w:rPr>
          <w:rFonts w:ascii="Verdana" w:hAnsi="Verdana" w:cs="Arial"/>
          <w:b/>
        </w:rPr>
        <w:t>Fundamento normativo – Integración</w:t>
      </w:r>
      <w:r w:rsidRPr="00760536">
        <w:rPr>
          <w:rFonts w:ascii="Verdana" w:hAnsi="Verdana" w:cs="Arial"/>
          <w:b/>
        </w:rPr>
        <w:t xml:space="preserve"> </w:t>
      </w:r>
    </w:p>
    <w:p w14:paraId="3E302FA1" w14:textId="77777777" w:rsidR="00706381" w:rsidRPr="00760536" w:rsidRDefault="00706381" w:rsidP="00706381">
      <w:pPr>
        <w:spacing w:after="0" w:line="240" w:lineRule="auto"/>
        <w:jc w:val="both"/>
        <w:rPr>
          <w:rFonts w:ascii="Verdana" w:hAnsi="Verdana" w:cs="Arial"/>
          <w:b/>
          <w:sz w:val="20"/>
          <w:szCs w:val="20"/>
        </w:rPr>
      </w:pPr>
    </w:p>
    <w:p w14:paraId="59A01A4A" w14:textId="77777777" w:rsidR="00706381" w:rsidRDefault="00706381" w:rsidP="00706381">
      <w:pPr>
        <w:spacing w:after="0" w:line="240" w:lineRule="auto"/>
        <w:jc w:val="both"/>
        <w:textAlignment w:val="baseline"/>
        <w:rPr>
          <w:rFonts w:ascii="Verdana" w:hAnsi="Verdana" w:cs="Arial"/>
          <w:sz w:val="20"/>
          <w:szCs w:val="20"/>
          <w:lang w:val="es-ES" w:eastAsia="es-CO"/>
        </w:rPr>
      </w:pPr>
      <w:r>
        <w:rPr>
          <w:rFonts w:ascii="Verdana" w:hAnsi="Verdana" w:cs="Arial"/>
          <w:sz w:val="20"/>
          <w:szCs w:val="20"/>
          <w:lang w:val="es-MX" w:eastAsia="es-CO"/>
        </w:rPr>
        <w:t>D</w:t>
      </w:r>
      <w:r w:rsidRPr="00F30BBA">
        <w:rPr>
          <w:rFonts w:ascii="Verdana" w:hAnsi="Verdana" w:cs="Arial"/>
          <w:sz w:val="20"/>
          <w:szCs w:val="20"/>
          <w:lang w:val="es-MX" w:eastAsia="es-CO"/>
        </w:rPr>
        <w:t xml:space="preserve">e acuerdo con </w:t>
      </w:r>
      <w:r w:rsidRPr="00F30BBA">
        <w:rPr>
          <w:rFonts w:ascii="Verdana" w:hAnsi="Verdana" w:cs="Arial"/>
          <w:sz w:val="20"/>
          <w:szCs w:val="20"/>
          <w:lang w:val="es-ES" w:eastAsia="es-CO"/>
        </w:rPr>
        <w:t>el artículo 25.9 de la Ley 80 de 1993, son los jefes o 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p>
    <w:p w14:paraId="6E1D6AD0" w14:textId="77777777" w:rsidR="00706381" w:rsidRPr="00F30BBA" w:rsidRDefault="00706381" w:rsidP="00706381">
      <w:pPr>
        <w:spacing w:after="0" w:line="240" w:lineRule="auto"/>
        <w:jc w:val="both"/>
        <w:textAlignment w:val="baseline"/>
        <w:rPr>
          <w:rFonts w:ascii="Verdana" w:hAnsi="Verdana" w:cs="Arial"/>
          <w:sz w:val="20"/>
          <w:szCs w:val="20"/>
          <w:lang w:val="es-ES" w:eastAsia="es-CO"/>
        </w:rPr>
      </w:pPr>
    </w:p>
    <w:p w14:paraId="799796E9" w14:textId="77777777" w:rsidR="00706381" w:rsidRPr="002C0402" w:rsidRDefault="00706381" w:rsidP="00706381">
      <w:pPr>
        <w:spacing w:after="0" w:line="240" w:lineRule="auto"/>
        <w:jc w:val="both"/>
        <w:textAlignment w:val="baseline"/>
        <w:rPr>
          <w:rFonts w:ascii="Verdana" w:hAnsi="Verdana" w:cs="Arial"/>
          <w:bCs/>
          <w:sz w:val="20"/>
          <w:szCs w:val="20"/>
          <w:lang w:val="es-ES_tradnl" w:eastAsia="es-CO"/>
        </w:rPr>
      </w:pPr>
      <w:r w:rsidRPr="00F30BBA">
        <w:rPr>
          <w:rFonts w:ascii="Verdana" w:hAnsi="Verdana" w:cs="Arial"/>
          <w:sz w:val="20"/>
          <w:szCs w:val="20"/>
          <w:lang w:val="es-ES" w:eastAsia="es-CO"/>
        </w:rPr>
        <w:t>En este contexto</w:t>
      </w:r>
      <w:r w:rsidRPr="00F30BBA">
        <w:rPr>
          <w:rFonts w:ascii="Verdana" w:hAnsi="Verdana" w:cs="Arial"/>
          <w:sz w:val="20"/>
          <w:szCs w:val="20"/>
          <w:lang w:eastAsia="es-CO"/>
        </w:rPr>
        <w:t>, la existencia, alcance y funciones de las unidades asesoras o comités de contratación dependen exclusivamente de lo que dispongan los actos administrativos internos de creación, conformación o delegación, expedidos por el jefe o representante legal de cada entidad, en ejercicio de las competencias que el ordenamiento jurídico les confiere.</w:t>
      </w:r>
      <w:r w:rsidRPr="00F30BBA">
        <w:rPr>
          <w:rFonts w:ascii="Verdana" w:hAnsi="Verdana" w:cs="Arial"/>
          <w:sz w:val="20"/>
          <w:szCs w:val="20"/>
          <w:lang w:val="es-ES" w:eastAsia="es-CO"/>
        </w:rPr>
        <w:t xml:space="preserve"> </w:t>
      </w:r>
      <w:r w:rsidRPr="00F30BBA">
        <w:rPr>
          <w:rFonts w:ascii="Verdana" w:hAnsi="Verdana" w:cs="Arial"/>
          <w:sz w:val="20"/>
          <w:szCs w:val="20"/>
          <w:lang w:eastAsia="es-CO"/>
        </w:rPr>
        <w:t xml:space="preserve">Por tanto, para determinar con precisión las funciones, límites y efectos de las recomendaciones emitidas por comités </w:t>
      </w:r>
      <w:r w:rsidRPr="00F30BBA">
        <w:rPr>
          <w:rFonts w:ascii="Verdana" w:hAnsi="Verdana" w:cs="Arial"/>
          <w:sz w:val="20"/>
          <w:szCs w:val="20"/>
          <w:lang w:val="es-ES" w:eastAsia="es-CO"/>
        </w:rPr>
        <w:t>estructuradores, asesores o de contratación</w:t>
      </w:r>
      <w:r w:rsidRPr="00F30BBA">
        <w:rPr>
          <w:rFonts w:ascii="Verdana" w:hAnsi="Verdana" w:cs="Arial"/>
          <w:sz w:val="20"/>
          <w:szCs w:val="20"/>
          <w:lang w:eastAsia="es-CO"/>
        </w:rPr>
        <w:t>, resulta indispensable consultar el Manual de Contratación y demás normas internas vigentes en la entidad, pues es allí donde se establecen de manera expresa sus competencias, procedimientos y el rol que juegan dentro del proceso contractual.</w:t>
      </w:r>
    </w:p>
    <w:p w14:paraId="47855152" w14:textId="77777777" w:rsidR="00706381" w:rsidRPr="00760536" w:rsidRDefault="00706381" w:rsidP="00706381">
      <w:pPr>
        <w:spacing w:after="0" w:line="240" w:lineRule="auto"/>
        <w:jc w:val="both"/>
        <w:textAlignment w:val="baseline"/>
        <w:rPr>
          <w:rFonts w:ascii="Verdana" w:hAnsi="Verdana" w:cs="Arial"/>
          <w:sz w:val="20"/>
          <w:szCs w:val="20"/>
          <w:lang w:val="es-ES" w:eastAsia="es-CO"/>
        </w:rPr>
      </w:pPr>
    </w:p>
    <w:p w14:paraId="608D872F" w14:textId="77777777" w:rsidR="00706381" w:rsidRPr="00760536" w:rsidRDefault="00706381" w:rsidP="00706381">
      <w:pPr>
        <w:spacing w:after="0" w:line="240" w:lineRule="auto"/>
        <w:jc w:val="both"/>
        <w:rPr>
          <w:rFonts w:ascii="Verdana" w:hAnsi="Verdana" w:cs="Arial"/>
          <w:b/>
          <w:lang w:val="es-ES"/>
        </w:rPr>
      </w:pPr>
      <w:r>
        <w:rPr>
          <w:rFonts w:ascii="Verdana" w:hAnsi="Verdana" w:cs="Arial"/>
          <w:b/>
          <w:lang w:val="es-ES"/>
        </w:rPr>
        <w:t>COMITÉ EVALUADOR</w:t>
      </w:r>
      <w:r w:rsidRPr="00760536">
        <w:rPr>
          <w:rFonts w:ascii="Verdana" w:hAnsi="Verdana" w:cs="Arial"/>
          <w:b/>
          <w:lang w:val="es-ES"/>
        </w:rPr>
        <w:t xml:space="preserve"> – </w:t>
      </w:r>
      <w:r>
        <w:rPr>
          <w:rFonts w:ascii="Verdana" w:hAnsi="Verdana" w:cs="Arial"/>
          <w:b/>
          <w:lang w:val="es-ES"/>
        </w:rPr>
        <w:t>Conformación</w:t>
      </w:r>
      <w:r w:rsidRPr="00760536">
        <w:rPr>
          <w:rFonts w:ascii="Verdana" w:hAnsi="Verdana" w:cs="Arial"/>
          <w:b/>
          <w:lang w:val="es-ES"/>
        </w:rPr>
        <w:t xml:space="preserve"> </w:t>
      </w:r>
      <w:r>
        <w:rPr>
          <w:rFonts w:ascii="Verdana" w:hAnsi="Verdana" w:cs="Arial"/>
          <w:b/>
          <w:lang w:val="es-ES"/>
        </w:rPr>
        <w:t>– Servidores públicos – P</w:t>
      </w:r>
      <w:r w:rsidRPr="00AE2EA2">
        <w:rPr>
          <w:rFonts w:ascii="Verdana" w:hAnsi="Verdana" w:cs="Arial"/>
          <w:b/>
          <w:lang w:val="es-ES"/>
        </w:rPr>
        <w:t>articulares contratados para el efecto</w:t>
      </w:r>
    </w:p>
    <w:p w14:paraId="30881275" w14:textId="77777777" w:rsidR="00706381" w:rsidRPr="00760536" w:rsidRDefault="00706381" w:rsidP="00706381">
      <w:pPr>
        <w:spacing w:after="0" w:line="240" w:lineRule="auto"/>
        <w:jc w:val="both"/>
        <w:rPr>
          <w:rFonts w:ascii="Verdana" w:hAnsi="Verdana" w:cs="Arial"/>
          <w:b/>
          <w:sz w:val="20"/>
          <w:szCs w:val="20"/>
          <w:lang w:val="es-ES"/>
        </w:rPr>
      </w:pPr>
    </w:p>
    <w:p w14:paraId="6F38DA0F" w14:textId="77777777" w:rsidR="00706381" w:rsidRPr="00AE2EA2" w:rsidRDefault="00706381" w:rsidP="00706381">
      <w:pPr>
        <w:spacing w:after="0" w:line="240" w:lineRule="auto"/>
        <w:jc w:val="both"/>
        <w:textAlignment w:val="baseline"/>
        <w:rPr>
          <w:rFonts w:ascii="Verdana" w:hAnsi="Verdana" w:cs="Arial"/>
          <w:bCs/>
          <w:sz w:val="20"/>
          <w:szCs w:val="20"/>
          <w:lang w:val="es-ES_tradnl" w:eastAsia="es-CO"/>
        </w:rPr>
      </w:pPr>
      <w:r>
        <w:rPr>
          <w:rFonts w:ascii="Verdana" w:hAnsi="Verdana" w:cs="Arial"/>
          <w:bCs/>
          <w:sz w:val="20"/>
          <w:szCs w:val="20"/>
          <w:lang w:val="es-ES_tradnl" w:eastAsia="es-CO"/>
        </w:rPr>
        <w:t>E</w:t>
      </w:r>
      <w:r w:rsidRPr="00AE2EA2">
        <w:rPr>
          <w:rFonts w:ascii="Verdana" w:hAnsi="Verdana" w:cs="Arial"/>
          <w:bCs/>
          <w:sz w:val="20"/>
          <w:szCs w:val="20"/>
          <w:lang w:val="es-ES_tradnl" w:eastAsia="es-CO"/>
        </w:rPr>
        <w:t xml:space="preserve">l artículo 2.2.1.1.2.2.3 del Decreto 1082 de 2015 establece que </w:t>
      </w:r>
      <w:r>
        <w:rPr>
          <w:rFonts w:ascii="Verdana" w:hAnsi="Verdana" w:cs="Arial"/>
          <w:bCs/>
          <w:sz w:val="20"/>
          <w:szCs w:val="20"/>
          <w:lang w:val="es-ES_tradnl" w:eastAsia="es-CO"/>
        </w:rPr>
        <w:t>“</w:t>
      </w:r>
      <w:r w:rsidRPr="00AE2EA2">
        <w:rPr>
          <w:rFonts w:ascii="Verdana" w:hAnsi="Verdana" w:cs="Arial"/>
          <w:bCs/>
          <w:sz w:val="20"/>
          <w:szCs w:val="20"/>
          <w:lang w:val="es-ES_tradnl" w:eastAsia="es-CO"/>
        </w:rPr>
        <w:t>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w:t>
      </w:r>
      <w:r>
        <w:rPr>
          <w:rFonts w:ascii="Verdana" w:hAnsi="Verdana" w:cs="Arial"/>
          <w:bCs/>
          <w:sz w:val="20"/>
          <w:szCs w:val="20"/>
          <w:lang w:val="es-ES_tradnl" w:eastAsia="es-CO"/>
        </w:rPr>
        <w:t>”</w:t>
      </w:r>
      <w:r w:rsidRPr="00AE2EA2">
        <w:rPr>
          <w:rFonts w:ascii="Verdana" w:hAnsi="Verdana" w:cs="Arial"/>
          <w:bCs/>
          <w:sz w:val="20"/>
          <w:szCs w:val="20"/>
          <w:lang w:val="es-ES_tradnl" w:eastAsia="es-CO"/>
        </w:rPr>
        <w:t>.</w:t>
      </w:r>
      <w:r>
        <w:rPr>
          <w:rFonts w:ascii="Verdana" w:hAnsi="Verdana" w:cs="Arial"/>
          <w:bCs/>
          <w:sz w:val="20"/>
          <w:szCs w:val="20"/>
          <w:lang w:val="es-ES_tradnl" w:eastAsia="es-CO"/>
        </w:rPr>
        <w:t xml:space="preserve"> </w:t>
      </w:r>
      <w:r w:rsidRPr="00AE2EA2">
        <w:rPr>
          <w:rFonts w:ascii="Verdana" w:hAnsi="Verdana" w:cs="Arial"/>
          <w:bCs/>
          <w:sz w:val="20"/>
          <w:szCs w:val="20"/>
          <w:lang w:val="es-ES_tradnl" w:eastAsia="es-CO"/>
        </w:rPr>
        <w:t xml:space="preserve">Como puede apreciarse, la norma mencionada permite que las entidades estatales sometidas al Estatuto General de Contratación de la Administración Pública puedan constituir un comité evaluador de ofertas y de manifestaciones de interés que podrá estar conformado bien por servidores públicos o particulares contratados para tal finalidad o por una combinación de unos y otros. Asimismo, la norma prescribe que tal figura podrá ser utilizada en los siguientes procesos de selección: i) licitación pública, </w:t>
      </w:r>
      <w:proofErr w:type="spellStart"/>
      <w:r w:rsidRPr="00AE2EA2">
        <w:rPr>
          <w:rFonts w:ascii="Verdana" w:hAnsi="Verdana" w:cs="Arial"/>
          <w:bCs/>
          <w:sz w:val="20"/>
          <w:szCs w:val="20"/>
          <w:lang w:val="es-ES_tradnl" w:eastAsia="es-CO"/>
        </w:rPr>
        <w:t>ii</w:t>
      </w:r>
      <w:proofErr w:type="spellEnd"/>
      <w:r w:rsidRPr="00AE2EA2">
        <w:rPr>
          <w:rFonts w:ascii="Verdana" w:hAnsi="Verdana" w:cs="Arial"/>
          <w:bCs/>
          <w:sz w:val="20"/>
          <w:szCs w:val="20"/>
          <w:lang w:val="es-ES_tradnl" w:eastAsia="es-CO"/>
        </w:rPr>
        <w:t xml:space="preserve">) selección abreviada y </w:t>
      </w:r>
      <w:proofErr w:type="spellStart"/>
      <w:r w:rsidRPr="00AE2EA2">
        <w:rPr>
          <w:rFonts w:ascii="Verdana" w:hAnsi="Verdana" w:cs="Arial"/>
          <w:bCs/>
          <w:sz w:val="20"/>
          <w:szCs w:val="20"/>
          <w:lang w:val="es-ES_tradnl" w:eastAsia="es-CO"/>
        </w:rPr>
        <w:t>iii</w:t>
      </w:r>
      <w:proofErr w:type="spellEnd"/>
      <w:r w:rsidRPr="00AE2EA2">
        <w:rPr>
          <w:rFonts w:ascii="Verdana" w:hAnsi="Verdana" w:cs="Arial"/>
          <w:bCs/>
          <w:sz w:val="20"/>
          <w:szCs w:val="20"/>
          <w:lang w:val="es-ES_tradnl" w:eastAsia="es-CO"/>
        </w:rPr>
        <w:t xml:space="preserve">) concurso de méritos. En cuanto al proceso de selección por mínima cuantía, el inciso tercero del mismo artículo señala que la evaluación de las ofertas </w:t>
      </w:r>
      <w:r>
        <w:rPr>
          <w:rFonts w:ascii="Verdana" w:hAnsi="Verdana" w:cs="Arial"/>
          <w:bCs/>
          <w:sz w:val="20"/>
          <w:szCs w:val="20"/>
          <w:lang w:val="es-ES_tradnl" w:eastAsia="es-CO"/>
        </w:rPr>
        <w:t>“</w:t>
      </w:r>
      <w:r w:rsidRPr="00AE2EA2">
        <w:rPr>
          <w:rFonts w:ascii="Verdana" w:hAnsi="Verdana" w:cs="Arial"/>
          <w:bCs/>
          <w:sz w:val="20"/>
          <w:szCs w:val="20"/>
          <w:lang w:val="es-ES_tradnl" w:eastAsia="es-CO"/>
        </w:rPr>
        <w:t>[…] será adelantada por quien sea designado por el ordenador del gasto sin que se requiera un comité plural</w:t>
      </w:r>
      <w:r>
        <w:rPr>
          <w:rFonts w:ascii="Verdana" w:hAnsi="Verdana" w:cs="Arial"/>
          <w:bCs/>
          <w:sz w:val="20"/>
          <w:szCs w:val="20"/>
          <w:lang w:val="es-ES_tradnl" w:eastAsia="es-CO"/>
        </w:rPr>
        <w:t>”</w:t>
      </w:r>
      <w:r w:rsidRPr="00AE2EA2">
        <w:rPr>
          <w:rFonts w:ascii="Verdana" w:hAnsi="Verdana" w:cs="Arial"/>
          <w:bCs/>
          <w:sz w:val="20"/>
          <w:szCs w:val="20"/>
          <w:lang w:val="es-ES_tradnl" w:eastAsia="es-CO"/>
        </w:rPr>
        <w:t xml:space="preserve"> De esta última parte de la disposición, así como de las expresiones en plural que se emplean en el primer inciso, se infiere, además, el carácter colectivo y asesor del comité.  </w:t>
      </w:r>
    </w:p>
    <w:p w14:paraId="73125D31" w14:textId="77777777" w:rsidR="00706381" w:rsidRDefault="00706381" w:rsidP="00706381">
      <w:pPr>
        <w:spacing w:after="0" w:line="240" w:lineRule="auto"/>
        <w:jc w:val="both"/>
        <w:textAlignment w:val="baseline"/>
        <w:rPr>
          <w:rFonts w:ascii="Verdana" w:hAnsi="Verdana" w:cs="Arial"/>
          <w:bCs/>
          <w:sz w:val="20"/>
          <w:szCs w:val="20"/>
          <w:lang w:val="es-ES_tradnl" w:eastAsia="es-CO"/>
        </w:rPr>
      </w:pPr>
    </w:p>
    <w:p w14:paraId="228E28A6" w14:textId="77777777" w:rsidR="00706381" w:rsidRDefault="00706381" w:rsidP="00706381">
      <w:pPr>
        <w:spacing w:after="0" w:line="240" w:lineRule="auto"/>
        <w:jc w:val="both"/>
        <w:textAlignment w:val="baseline"/>
        <w:rPr>
          <w:rFonts w:ascii="Verdana" w:hAnsi="Verdana" w:cs="Arial"/>
          <w:bCs/>
          <w:sz w:val="20"/>
          <w:szCs w:val="20"/>
          <w:lang w:val="es-ES_tradnl" w:eastAsia="es-CO"/>
        </w:rPr>
      </w:pPr>
      <w:r w:rsidRPr="00AE2EA2">
        <w:rPr>
          <w:rFonts w:ascii="Verdana" w:hAnsi="Verdana" w:cs="Arial"/>
          <w:bCs/>
          <w:sz w:val="20"/>
          <w:szCs w:val="20"/>
          <w:lang w:val="es-ES_tradnl" w:eastAsia="es-CO"/>
        </w:rPr>
        <w:lastRenderedPageBreak/>
        <w:t xml:space="preserve">En relación con la designación del comité evaluador, valga aclarar, primero, que la norma establece una facultad en cabeza de las entidades públicas, lo cual se denota con el uso de la forma verbal indicativa </w:t>
      </w:r>
      <w:r>
        <w:rPr>
          <w:rFonts w:ascii="Verdana" w:hAnsi="Verdana" w:cs="Arial"/>
          <w:bCs/>
          <w:sz w:val="20"/>
          <w:szCs w:val="20"/>
          <w:lang w:val="es-ES_tradnl" w:eastAsia="es-CO"/>
        </w:rPr>
        <w:t>“</w:t>
      </w:r>
      <w:r w:rsidRPr="00AE2EA2">
        <w:rPr>
          <w:rFonts w:ascii="Verdana" w:hAnsi="Verdana" w:cs="Arial"/>
          <w:bCs/>
          <w:sz w:val="20"/>
          <w:szCs w:val="20"/>
          <w:lang w:val="es-ES_tradnl" w:eastAsia="es-CO"/>
        </w:rPr>
        <w:t>puede</w:t>
      </w:r>
      <w:r>
        <w:rPr>
          <w:rFonts w:ascii="Verdana" w:hAnsi="Verdana" w:cs="Arial"/>
          <w:bCs/>
          <w:sz w:val="20"/>
          <w:szCs w:val="20"/>
          <w:lang w:val="es-ES_tradnl" w:eastAsia="es-CO"/>
        </w:rPr>
        <w:t>”</w:t>
      </w:r>
      <w:r w:rsidRPr="00AE2EA2">
        <w:rPr>
          <w:rFonts w:ascii="Verdana" w:hAnsi="Verdana" w:cs="Arial"/>
          <w:bCs/>
          <w:sz w:val="20"/>
          <w:szCs w:val="20"/>
          <w:lang w:val="es-ES_tradnl" w:eastAsia="es-CO"/>
        </w:rPr>
        <w:t>. Esto indica que no es una obligación de estas conformar dicho organismo y que, por el contrario, existe una prerrogativa en cabeza de la entidad, quien deberá definir la conformación o no del comité, atendiendo a criterios como su propia organización y funciones, la naturaleza y complejidad de los contratos a celebrar, etc.</w:t>
      </w:r>
    </w:p>
    <w:p w14:paraId="42BA27EB" w14:textId="77777777" w:rsidR="00706381" w:rsidRPr="00AE2EA2" w:rsidRDefault="00706381" w:rsidP="00706381">
      <w:pPr>
        <w:spacing w:after="0" w:line="240" w:lineRule="auto"/>
        <w:jc w:val="both"/>
        <w:textAlignment w:val="baseline"/>
        <w:rPr>
          <w:rFonts w:ascii="Verdana" w:hAnsi="Verdana" w:cs="Arial"/>
          <w:bCs/>
          <w:sz w:val="20"/>
          <w:szCs w:val="20"/>
          <w:lang w:val="es-ES_tradnl" w:eastAsia="es-CO"/>
        </w:rPr>
      </w:pPr>
    </w:p>
    <w:p w14:paraId="7A9A4460" w14:textId="77777777" w:rsidR="00706381" w:rsidRPr="002C0402" w:rsidRDefault="00706381" w:rsidP="00706381">
      <w:pPr>
        <w:spacing w:after="0" w:line="240" w:lineRule="auto"/>
        <w:jc w:val="both"/>
        <w:textAlignment w:val="baseline"/>
        <w:rPr>
          <w:rFonts w:ascii="Verdana" w:hAnsi="Verdana" w:cs="Arial"/>
          <w:bCs/>
          <w:sz w:val="20"/>
          <w:szCs w:val="20"/>
          <w:lang w:val="es-ES_tradnl" w:eastAsia="es-CO"/>
        </w:rPr>
      </w:pPr>
      <w:r w:rsidRPr="00AE2EA2">
        <w:rPr>
          <w:rFonts w:ascii="Verdana" w:hAnsi="Verdana" w:cs="Arial"/>
          <w:bCs/>
          <w:sz w:val="20"/>
          <w:szCs w:val="20"/>
          <w:lang w:val="es-ES_tradnl" w:eastAsia="es-CO"/>
        </w:rPr>
        <w:t>Lo segundo tiene que ver con los alcances de dicha facultad, frente a lo cual se advierte que la propia norma reglamentaria deja buen espacio para que la entidad determine ciertos elementos en relación con el comité de evaluación que decida constituir. Así, aspectos como el número de miembros, las calidades o profesiones de cada uno, la determinación de los procesos de selección en los cuales se conformará el comité de evaluación, o la determinación de factores como la cuantía u objeto contractual para la misma finalidad, entre otras, son cuestiones que, en la medida que la norma guarda silencio, corresponderá a cada entidad establecerlos para cada proceso de selección o en sus manuales internos de contratación y demás normas internas vigentes en la entidad.</w:t>
      </w:r>
      <w:r w:rsidRPr="002C0402">
        <w:rPr>
          <w:rFonts w:ascii="Verdana" w:hAnsi="Verdana" w:cs="Arial"/>
          <w:bCs/>
          <w:sz w:val="20"/>
          <w:szCs w:val="20"/>
          <w:lang w:val="es-ES_tradnl" w:eastAsia="es-CO"/>
        </w:rPr>
        <w:t xml:space="preserve">  </w:t>
      </w:r>
    </w:p>
    <w:p w14:paraId="0B3E0732" w14:textId="77777777" w:rsidR="00706381" w:rsidRDefault="00706381" w:rsidP="00706381">
      <w:pPr>
        <w:spacing w:after="0" w:line="240" w:lineRule="auto"/>
        <w:rPr>
          <w:rFonts w:ascii="Verdana" w:eastAsia="Calibri" w:hAnsi="Verdana" w:cs="Arial"/>
          <w:b/>
          <w:color w:val="000000" w:themeColor="text1"/>
          <w:lang w:val="es-ES"/>
        </w:rPr>
      </w:pPr>
    </w:p>
    <w:p w14:paraId="65A6C76D" w14:textId="77777777" w:rsidR="00706381" w:rsidRDefault="00706381" w:rsidP="00706381">
      <w:pPr>
        <w:spacing w:after="0" w:line="240" w:lineRule="auto"/>
        <w:rPr>
          <w:rFonts w:ascii="Verdana" w:eastAsia="Calibri" w:hAnsi="Verdana" w:cs="Arial"/>
          <w:b/>
          <w:color w:val="000000" w:themeColor="text1"/>
          <w:lang w:val="es-ES"/>
        </w:rPr>
      </w:pPr>
    </w:p>
    <w:p w14:paraId="4A3D9EA0" w14:textId="77777777" w:rsidR="00706381" w:rsidRDefault="00706381" w:rsidP="00706381">
      <w:pPr>
        <w:spacing w:after="0" w:line="240" w:lineRule="auto"/>
        <w:rPr>
          <w:rFonts w:ascii="Verdana" w:eastAsia="Calibri" w:hAnsi="Verdana" w:cs="Arial"/>
          <w:b/>
          <w:color w:val="000000" w:themeColor="text1"/>
          <w:lang w:val="es-ES"/>
        </w:rPr>
      </w:pPr>
    </w:p>
    <w:p w14:paraId="38FB4DE5" w14:textId="77777777" w:rsidR="00706381" w:rsidRDefault="00706381" w:rsidP="00706381">
      <w:pPr>
        <w:spacing w:after="0" w:line="240" w:lineRule="auto"/>
        <w:rPr>
          <w:rFonts w:ascii="Verdana" w:eastAsia="Calibri" w:hAnsi="Verdana" w:cs="Arial"/>
          <w:b/>
          <w:color w:val="000000" w:themeColor="text1"/>
          <w:lang w:val="es-ES"/>
        </w:rPr>
      </w:pPr>
    </w:p>
    <w:p w14:paraId="1BE82801" w14:textId="77777777" w:rsidR="00706381" w:rsidRDefault="00706381" w:rsidP="00706381">
      <w:pPr>
        <w:spacing w:after="0" w:line="240" w:lineRule="auto"/>
        <w:rPr>
          <w:rFonts w:ascii="Verdana" w:eastAsia="Calibri" w:hAnsi="Verdana" w:cs="Arial"/>
          <w:b/>
          <w:color w:val="000000" w:themeColor="text1"/>
          <w:lang w:val="es-ES"/>
        </w:rPr>
      </w:pPr>
    </w:p>
    <w:p w14:paraId="345371BA" w14:textId="77777777" w:rsidR="00706381" w:rsidRDefault="00706381" w:rsidP="00706381">
      <w:pPr>
        <w:spacing w:after="0" w:line="240" w:lineRule="auto"/>
        <w:rPr>
          <w:rFonts w:ascii="Verdana" w:eastAsia="Calibri" w:hAnsi="Verdana" w:cs="Arial"/>
          <w:b/>
          <w:color w:val="000000" w:themeColor="text1"/>
          <w:lang w:val="es-ES"/>
        </w:rPr>
      </w:pPr>
    </w:p>
    <w:p w14:paraId="003EAB5D" w14:textId="77777777" w:rsidR="00706381" w:rsidRDefault="00706381" w:rsidP="00706381">
      <w:pPr>
        <w:spacing w:after="0" w:line="240" w:lineRule="auto"/>
        <w:rPr>
          <w:rFonts w:ascii="Verdana" w:eastAsia="Calibri" w:hAnsi="Verdana" w:cs="Arial"/>
          <w:b/>
          <w:color w:val="000000" w:themeColor="text1"/>
          <w:lang w:val="es-ES"/>
        </w:rPr>
      </w:pPr>
    </w:p>
    <w:p w14:paraId="7F40CA80" w14:textId="77777777" w:rsidR="00706381" w:rsidRDefault="00706381" w:rsidP="00706381">
      <w:pPr>
        <w:spacing w:after="0" w:line="240" w:lineRule="auto"/>
        <w:rPr>
          <w:rFonts w:ascii="Verdana" w:eastAsia="Calibri" w:hAnsi="Verdana" w:cs="Arial"/>
          <w:b/>
          <w:color w:val="000000" w:themeColor="text1"/>
          <w:lang w:val="es-ES"/>
        </w:rPr>
      </w:pPr>
    </w:p>
    <w:p w14:paraId="73A587C9" w14:textId="77777777" w:rsidR="00706381" w:rsidRDefault="00706381" w:rsidP="00706381">
      <w:pPr>
        <w:spacing w:after="0" w:line="240" w:lineRule="auto"/>
        <w:rPr>
          <w:rFonts w:ascii="Verdana" w:eastAsia="Calibri" w:hAnsi="Verdana" w:cs="Arial"/>
          <w:b/>
          <w:color w:val="000000" w:themeColor="text1"/>
          <w:lang w:val="es-ES"/>
        </w:rPr>
      </w:pPr>
    </w:p>
    <w:p w14:paraId="305718D7" w14:textId="77777777" w:rsidR="00706381" w:rsidRDefault="00706381" w:rsidP="00706381">
      <w:pPr>
        <w:spacing w:after="0" w:line="240" w:lineRule="auto"/>
        <w:rPr>
          <w:rFonts w:ascii="Verdana" w:eastAsia="Calibri" w:hAnsi="Verdana" w:cs="Arial"/>
          <w:b/>
          <w:color w:val="000000" w:themeColor="text1"/>
          <w:lang w:val="es-ES"/>
        </w:rPr>
      </w:pPr>
    </w:p>
    <w:p w14:paraId="1860BC76" w14:textId="77777777" w:rsidR="00706381" w:rsidRDefault="00706381" w:rsidP="00706381">
      <w:pPr>
        <w:spacing w:after="0" w:line="240" w:lineRule="auto"/>
        <w:rPr>
          <w:rFonts w:ascii="Verdana" w:eastAsia="Calibri" w:hAnsi="Verdana" w:cs="Arial"/>
          <w:b/>
          <w:color w:val="000000" w:themeColor="text1"/>
          <w:lang w:val="es-ES"/>
        </w:rPr>
      </w:pPr>
    </w:p>
    <w:p w14:paraId="522AB1DD" w14:textId="77777777" w:rsidR="00706381" w:rsidRDefault="00706381" w:rsidP="00706381">
      <w:pPr>
        <w:spacing w:after="0" w:line="240" w:lineRule="auto"/>
        <w:rPr>
          <w:rFonts w:ascii="Verdana" w:eastAsia="Calibri" w:hAnsi="Verdana" w:cs="Arial"/>
          <w:b/>
          <w:color w:val="000000" w:themeColor="text1"/>
          <w:lang w:val="es-ES"/>
        </w:rPr>
      </w:pPr>
    </w:p>
    <w:p w14:paraId="4AF65190" w14:textId="77777777" w:rsidR="00706381" w:rsidRDefault="00706381" w:rsidP="00706381">
      <w:pPr>
        <w:spacing w:after="0" w:line="240" w:lineRule="auto"/>
        <w:rPr>
          <w:rFonts w:ascii="Verdana" w:eastAsia="Calibri" w:hAnsi="Verdana" w:cs="Arial"/>
          <w:b/>
          <w:color w:val="000000" w:themeColor="text1"/>
          <w:lang w:val="es-ES"/>
        </w:rPr>
      </w:pPr>
    </w:p>
    <w:p w14:paraId="66A3D8D4" w14:textId="77777777" w:rsidR="00706381" w:rsidRDefault="00706381" w:rsidP="00706381">
      <w:pPr>
        <w:spacing w:after="0" w:line="240" w:lineRule="auto"/>
        <w:rPr>
          <w:rFonts w:ascii="Verdana" w:eastAsia="Calibri" w:hAnsi="Verdana" w:cs="Arial"/>
          <w:b/>
          <w:color w:val="000000" w:themeColor="text1"/>
          <w:lang w:val="es-ES"/>
        </w:rPr>
      </w:pPr>
    </w:p>
    <w:p w14:paraId="36C21CDA" w14:textId="77777777" w:rsidR="00706381" w:rsidRDefault="00706381" w:rsidP="00706381">
      <w:pPr>
        <w:spacing w:after="0" w:line="240" w:lineRule="auto"/>
        <w:rPr>
          <w:rFonts w:ascii="Verdana" w:eastAsia="Calibri" w:hAnsi="Verdana" w:cs="Arial"/>
          <w:b/>
          <w:color w:val="000000" w:themeColor="text1"/>
          <w:lang w:val="es-ES"/>
        </w:rPr>
      </w:pPr>
    </w:p>
    <w:p w14:paraId="4FD996E2" w14:textId="77777777" w:rsidR="00706381" w:rsidRDefault="00706381" w:rsidP="00706381">
      <w:pPr>
        <w:spacing w:after="0" w:line="240" w:lineRule="auto"/>
        <w:rPr>
          <w:rFonts w:ascii="Verdana" w:eastAsia="Calibri" w:hAnsi="Verdana" w:cs="Arial"/>
          <w:b/>
          <w:color w:val="000000" w:themeColor="text1"/>
          <w:lang w:val="es-ES"/>
        </w:rPr>
      </w:pPr>
    </w:p>
    <w:p w14:paraId="697E4513" w14:textId="77777777" w:rsidR="00706381" w:rsidRDefault="00706381" w:rsidP="00706381">
      <w:pPr>
        <w:spacing w:after="0" w:line="240" w:lineRule="auto"/>
        <w:rPr>
          <w:rFonts w:ascii="Verdana" w:eastAsia="Calibri" w:hAnsi="Verdana" w:cs="Arial"/>
          <w:b/>
          <w:color w:val="000000" w:themeColor="text1"/>
          <w:lang w:val="es-ES"/>
        </w:rPr>
      </w:pPr>
    </w:p>
    <w:p w14:paraId="2C2CD61A" w14:textId="77777777" w:rsidR="00706381" w:rsidRDefault="00706381" w:rsidP="00706381">
      <w:pPr>
        <w:spacing w:after="0" w:line="240" w:lineRule="auto"/>
        <w:rPr>
          <w:rFonts w:ascii="Verdana" w:eastAsia="Calibri" w:hAnsi="Verdana" w:cs="Arial"/>
          <w:b/>
          <w:color w:val="000000" w:themeColor="text1"/>
          <w:lang w:val="es-ES"/>
        </w:rPr>
      </w:pPr>
    </w:p>
    <w:p w14:paraId="4F1E6203" w14:textId="77777777" w:rsidR="00706381" w:rsidRDefault="00706381" w:rsidP="00706381">
      <w:pPr>
        <w:spacing w:after="0" w:line="240" w:lineRule="auto"/>
        <w:rPr>
          <w:rFonts w:ascii="Verdana" w:eastAsia="Calibri" w:hAnsi="Verdana" w:cs="Arial"/>
          <w:b/>
          <w:color w:val="000000" w:themeColor="text1"/>
          <w:lang w:val="es-ES"/>
        </w:rPr>
      </w:pPr>
    </w:p>
    <w:p w14:paraId="5BA2DA44" w14:textId="77777777" w:rsidR="00706381" w:rsidRDefault="00706381" w:rsidP="00706381">
      <w:pPr>
        <w:spacing w:after="0" w:line="240" w:lineRule="auto"/>
        <w:rPr>
          <w:rFonts w:ascii="Verdana" w:eastAsia="Calibri" w:hAnsi="Verdana" w:cs="Arial"/>
          <w:b/>
          <w:color w:val="000000" w:themeColor="text1"/>
          <w:lang w:val="es-ES"/>
        </w:rPr>
      </w:pPr>
    </w:p>
    <w:p w14:paraId="119C3FFE" w14:textId="77777777" w:rsidR="00706381" w:rsidRDefault="00706381" w:rsidP="00706381">
      <w:pPr>
        <w:spacing w:after="0" w:line="240" w:lineRule="auto"/>
        <w:rPr>
          <w:rFonts w:ascii="Verdana" w:eastAsia="Calibri" w:hAnsi="Verdana" w:cs="Arial"/>
          <w:b/>
          <w:color w:val="000000" w:themeColor="text1"/>
          <w:lang w:val="es-ES"/>
        </w:rPr>
      </w:pPr>
    </w:p>
    <w:p w14:paraId="324FAC38" w14:textId="77777777" w:rsidR="00706381" w:rsidRDefault="00706381" w:rsidP="00706381">
      <w:pPr>
        <w:spacing w:after="0" w:line="240" w:lineRule="auto"/>
        <w:rPr>
          <w:rFonts w:ascii="Verdana" w:eastAsia="Calibri" w:hAnsi="Verdana" w:cs="Arial"/>
          <w:b/>
          <w:color w:val="000000" w:themeColor="text1"/>
          <w:lang w:val="es-ES"/>
        </w:rPr>
      </w:pPr>
    </w:p>
    <w:p w14:paraId="358EBBFB" w14:textId="77777777" w:rsidR="00706381" w:rsidRDefault="00706381" w:rsidP="00706381">
      <w:pPr>
        <w:spacing w:after="0" w:line="240" w:lineRule="auto"/>
        <w:rPr>
          <w:rFonts w:ascii="Verdana" w:eastAsia="Calibri" w:hAnsi="Verdana" w:cs="Arial"/>
          <w:b/>
          <w:color w:val="000000" w:themeColor="text1"/>
          <w:lang w:val="es-ES"/>
        </w:rPr>
      </w:pPr>
    </w:p>
    <w:p w14:paraId="3FCE6BA4" w14:textId="77777777" w:rsidR="00706381" w:rsidRDefault="00706381" w:rsidP="00706381">
      <w:pPr>
        <w:spacing w:after="0" w:line="240" w:lineRule="auto"/>
        <w:rPr>
          <w:rFonts w:ascii="Verdana" w:eastAsia="Calibri" w:hAnsi="Verdana" w:cs="Arial"/>
          <w:b/>
          <w:color w:val="000000" w:themeColor="text1"/>
          <w:lang w:val="es-ES"/>
        </w:rPr>
      </w:pPr>
    </w:p>
    <w:p w14:paraId="5891ED52" w14:textId="77777777" w:rsidR="00706381" w:rsidRDefault="00706381" w:rsidP="00A07EA2">
      <w:pPr>
        <w:spacing w:after="0" w:line="240" w:lineRule="auto"/>
        <w:rPr>
          <w:rFonts w:ascii="Verdana" w:eastAsia="Calibri" w:hAnsi="Verdana" w:cs="Arial"/>
          <w:b/>
          <w:color w:val="000000" w:themeColor="text1"/>
          <w:lang w:val="es-ES"/>
        </w:rPr>
      </w:pPr>
    </w:p>
    <w:p w14:paraId="62B4E087" w14:textId="215E4B1D" w:rsidR="00A07EA2" w:rsidRPr="00593A5F" w:rsidRDefault="00A07EA2" w:rsidP="00A07EA2">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4375D1">
        <w:rPr>
          <w:rFonts w:ascii="Verdana" w:hAnsi="Verdana" w:cs="Verdana"/>
          <w:color w:val="000000"/>
          <w:lang w:val="es-MX"/>
        </w:rPr>
        <w:t>22 de Abril de 2026</w:t>
      </w:r>
    </w:p>
    <w:p w14:paraId="50168105" w14:textId="77777777" w:rsidR="00A07EA2" w:rsidRDefault="00A07EA2" w:rsidP="00A07EA2">
      <w:pPr>
        <w:spacing w:after="0" w:line="240" w:lineRule="auto"/>
        <w:jc w:val="both"/>
        <w:rPr>
          <w:rFonts w:ascii="Verdana" w:eastAsia="Calibri" w:hAnsi="Verdana" w:cs="Arial"/>
          <w:color w:val="000000"/>
          <w:lang w:val="es-ES"/>
        </w:rPr>
      </w:pPr>
    </w:p>
    <w:p w14:paraId="41206DE1" w14:textId="60C6291C" w:rsidR="00717764" w:rsidRDefault="00717764" w:rsidP="00717764">
      <w:pPr>
        <w:spacing w:after="0" w:line="240" w:lineRule="auto"/>
        <w:jc w:val="right"/>
        <w:rPr>
          <w:rFonts w:ascii="Verdana" w:eastAsia="Calibri" w:hAnsi="Verdana" w:cs="Arial"/>
          <w:color w:val="000000"/>
          <w:lang w:val="es-ES"/>
        </w:rPr>
      </w:pPr>
    </w:p>
    <w:p w14:paraId="0A607ED4" w14:textId="2D23F762" w:rsidR="00A07EA2" w:rsidRPr="00593A5F" w:rsidRDefault="009F39C4" w:rsidP="00A07EA2">
      <w:pPr>
        <w:spacing w:after="0" w:line="240" w:lineRule="auto"/>
        <w:jc w:val="both"/>
        <w:rPr>
          <w:rFonts w:ascii="Verdana" w:eastAsia="Calibri" w:hAnsi="Verdana" w:cs="Arial"/>
          <w:color w:val="000000"/>
          <w:lang w:val="es-ES"/>
        </w:rPr>
      </w:pPr>
      <w:r w:rsidRPr="00717764">
        <w:rPr>
          <w:rFonts w:ascii="Verdana" w:eastAsia="Calibri" w:hAnsi="Verdana" w:cs="Arial"/>
          <w:noProof/>
          <w:color w:val="000000"/>
          <w:lang w:val="es-ES"/>
        </w:rPr>
        <w:drawing>
          <wp:anchor distT="0" distB="0" distL="114300" distR="114300" simplePos="0" relativeHeight="251658240" behindDoc="0" locked="0" layoutInCell="1" allowOverlap="1" wp14:anchorId="71CE877E" wp14:editId="6989351C">
            <wp:simplePos x="0" y="0"/>
            <wp:positionH relativeFrom="margin">
              <wp:align>right</wp:align>
            </wp:positionH>
            <wp:positionV relativeFrom="paragraph">
              <wp:posOffset>8890</wp:posOffset>
            </wp:positionV>
            <wp:extent cx="2606040" cy="826770"/>
            <wp:effectExtent l="0" t="0" r="3810" b="0"/>
            <wp:wrapSquare wrapText="bothSides"/>
            <wp:docPr id="2983345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334546" name=""/>
                    <pic:cNvPicPr/>
                  </pic:nvPicPr>
                  <pic:blipFill>
                    <a:blip r:embed="rId10">
                      <a:extLst>
                        <a:ext uri="{28A0092B-C50C-407E-A947-70E740481C1C}">
                          <a14:useLocalDpi xmlns:a14="http://schemas.microsoft.com/office/drawing/2010/main" val="0"/>
                        </a:ext>
                      </a:extLst>
                    </a:blip>
                    <a:stretch>
                      <a:fillRect/>
                    </a:stretch>
                  </pic:blipFill>
                  <pic:spPr>
                    <a:xfrm>
                      <a:off x="0" y="0"/>
                      <a:ext cx="2606040" cy="826770"/>
                    </a:xfrm>
                    <a:prstGeom prst="rect">
                      <a:avLst/>
                    </a:prstGeom>
                  </pic:spPr>
                </pic:pic>
              </a:graphicData>
            </a:graphic>
            <wp14:sizeRelH relativeFrom="margin">
              <wp14:pctWidth>0</wp14:pctWidth>
            </wp14:sizeRelH>
            <wp14:sizeRelV relativeFrom="margin">
              <wp14:pctHeight>0</wp14:pctHeight>
            </wp14:sizeRelV>
          </wp:anchor>
        </w:drawing>
      </w:r>
    </w:p>
    <w:p w14:paraId="32EE2E9C" w14:textId="77777777" w:rsidR="00A07EA2" w:rsidRPr="00B96799" w:rsidRDefault="00A07EA2" w:rsidP="00A07EA2">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767ED4DC" w14:textId="77777777" w:rsidR="00A07EA2" w:rsidRDefault="00A07EA2" w:rsidP="00A07EA2">
      <w:pPr>
        <w:spacing w:after="0" w:line="240" w:lineRule="auto"/>
        <w:rPr>
          <w:rFonts w:ascii="Verdana" w:eastAsia="Calibri" w:hAnsi="Verdana" w:cs="Arial"/>
          <w:b/>
          <w:lang w:val="es-ES_tradnl" w:eastAsia="es-ES_tradnl"/>
        </w:rPr>
      </w:pPr>
      <w:r w:rsidRPr="008D7C4E">
        <w:rPr>
          <w:rFonts w:ascii="Verdana" w:eastAsia="Calibri" w:hAnsi="Verdana" w:cs="Arial"/>
          <w:b/>
          <w:lang w:val="es-ES_tradnl" w:eastAsia="es-ES_tradnl"/>
        </w:rPr>
        <w:t>Ang</w:t>
      </w:r>
      <w:r>
        <w:rPr>
          <w:rFonts w:ascii="Verdana" w:eastAsia="Calibri" w:hAnsi="Verdana" w:cs="Arial"/>
          <w:b/>
          <w:lang w:val="es-ES_tradnl" w:eastAsia="es-ES_tradnl"/>
        </w:rPr>
        <w:t>é</w:t>
      </w:r>
      <w:r w:rsidRPr="008D7C4E">
        <w:rPr>
          <w:rFonts w:ascii="Verdana" w:eastAsia="Calibri" w:hAnsi="Verdana" w:cs="Arial"/>
          <w:b/>
          <w:lang w:val="es-ES_tradnl" w:eastAsia="es-ES_tradnl"/>
        </w:rPr>
        <w:t>lica Lorena Jiménez Sánchez</w:t>
      </w:r>
      <w:r w:rsidRPr="008777D5">
        <w:rPr>
          <w:rFonts w:ascii="Verdana" w:eastAsia="Calibri" w:hAnsi="Verdana" w:cs="Arial"/>
          <w:b/>
          <w:lang w:val="es-ES_tradnl" w:eastAsia="es-ES_tradnl"/>
        </w:rPr>
        <w:t xml:space="preserve"> </w:t>
      </w:r>
    </w:p>
    <w:p w14:paraId="7AB8F2FB" w14:textId="77777777" w:rsidR="00A07EA2" w:rsidRPr="008D7C4E" w:rsidRDefault="00A07EA2" w:rsidP="00A07EA2">
      <w:pPr>
        <w:spacing w:after="0" w:line="240" w:lineRule="auto"/>
        <w:rPr>
          <w:rFonts w:ascii="Verdana" w:eastAsia="Calibri" w:hAnsi="Verdana" w:cs="Arial"/>
          <w:lang w:val="es-ES" w:eastAsia="es-ES"/>
        </w:rPr>
      </w:pPr>
      <w:hyperlink r:id="rId11" w:history="1">
        <w:r w:rsidRPr="00893641">
          <w:rPr>
            <w:rStyle w:val="Hipervnculo"/>
            <w:rFonts w:ascii="Verdana" w:hAnsi="Verdana"/>
          </w:rPr>
          <w:t>angelicaj24@gmail.com</w:t>
        </w:r>
      </w:hyperlink>
      <w:r>
        <w:rPr>
          <w:rFonts w:ascii="Verdana" w:hAnsi="Verdana"/>
        </w:rPr>
        <w:t xml:space="preserve"> </w:t>
      </w:r>
      <w:r w:rsidRPr="008D7C4E">
        <w:rPr>
          <w:rFonts w:ascii="Verdana" w:hAnsi="Verdana"/>
        </w:rPr>
        <w:t xml:space="preserve">                    </w:t>
      </w:r>
      <w:r w:rsidRPr="008D7C4E">
        <w:rPr>
          <w:rFonts w:ascii="Verdana" w:eastAsia="Calibri" w:hAnsi="Verdana" w:cs="Arial"/>
          <w:lang w:val="es-ES" w:eastAsia="es-ES"/>
        </w:rPr>
        <w:t xml:space="preserve">    </w:t>
      </w:r>
    </w:p>
    <w:p w14:paraId="244E7927" w14:textId="77777777" w:rsidR="00A07EA2" w:rsidRDefault="00A07EA2" w:rsidP="00A07EA2">
      <w:pPr>
        <w:spacing w:after="0" w:line="240" w:lineRule="auto"/>
        <w:rPr>
          <w:rFonts w:ascii="Verdana" w:eastAsia="Calibri" w:hAnsi="Verdana" w:cs="Arial"/>
          <w:lang w:val="es-ES" w:eastAsia="es-ES"/>
        </w:rPr>
      </w:pPr>
      <w:r w:rsidRPr="008D7C4E">
        <w:rPr>
          <w:rFonts w:ascii="Verdana" w:eastAsia="Calibri" w:hAnsi="Verdana" w:cs="Arial"/>
          <w:lang w:val="es-ES" w:eastAsia="es-ES"/>
        </w:rPr>
        <w:t>Bogotá D.C.</w:t>
      </w:r>
      <w:r>
        <w:rPr>
          <w:rFonts w:ascii="Verdana" w:eastAsia="Calibri" w:hAnsi="Verdana" w:cs="Arial"/>
          <w:lang w:val="es-ES" w:eastAsia="es-ES"/>
        </w:rPr>
        <w:t xml:space="preserve"> </w:t>
      </w:r>
    </w:p>
    <w:p w14:paraId="718A8B48" w14:textId="77777777" w:rsidR="00A07EA2" w:rsidRPr="00593A5F" w:rsidRDefault="00A07EA2" w:rsidP="00A07EA2">
      <w:pPr>
        <w:spacing w:after="0" w:line="240" w:lineRule="auto"/>
        <w:rPr>
          <w:rFonts w:ascii="Verdana" w:eastAsia="Calibri" w:hAnsi="Verdana" w:cs="Arial"/>
          <w:b/>
          <w:bCs/>
          <w:color w:val="000000"/>
          <w:lang w:val="es-ES_tradnl" w:eastAsia="es-ES_tradnl"/>
        </w:rPr>
      </w:pPr>
    </w:p>
    <w:p w14:paraId="6B0E393F" w14:textId="77777777" w:rsidR="00A07EA2" w:rsidRPr="00593A5F" w:rsidRDefault="00A07EA2" w:rsidP="00A07EA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07EA2" w:rsidRPr="00593A5F" w14:paraId="18840EAD" w14:textId="77777777" w:rsidTr="00D637B0">
        <w:trPr>
          <w:trHeight w:val="884"/>
        </w:trPr>
        <w:tc>
          <w:tcPr>
            <w:tcW w:w="2689" w:type="dxa"/>
          </w:tcPr>
          <w:p w14:paraId="1BB71BE7" w14:textId="77777777" w:rsidR="00A07EA2" w:rsidRPr="00C00976" w:rsidRDefault="00A07EA2" w:rsidP="00D637B0">
            <w:pPr>
              <w:jc w:val="both"/>
              <w:rPr>
                <w:rFonts w:ascii="Verdana" w:eastAsia="Calibri" w:hAnsi="Verdana" w:cs="Arial"/>
                <w:b/>
                <w:bCs/>
                <w:color w:val="7030A0"/>
                <w:lang w:val="es-ES_tradnl" w:eastAsia="es-ES_tradnl"/>
              </w:rPr>
            </w:pPr>
          </w:p>
        </w:tc>
        <w:tc>
          <w:tcPr>
            <w:tcW w:w="6100" w:type="dxa"/>
          </w:tcPr>
          <w:p w14:paraId="5AB623B0" w14:textId="77777777" w:rsidR="00A07EA2" w:rsidRPr="00C00976" w:rsidRDefault="00A07EA2" w:rsidP="00D637B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530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A07EA2" w:rsidRPr="00593A5F" w14:paraId="32FB9E65" w14:textId="77777777" w:rsidTr="00D637B0">
        <w:trPr>
          <w:trHeight w:val="884"/>
        </w:trPr>
        <w:tc>
          <w:tcPr>
            <w:tcW w:w="2689" w:type="dxa"/>
          </w:tcPr>
          <w:p w14:paraId="1D33C05E" w14:textId="77777777" w:rsidR="00A07EA2" w:rsidRPr="00593A5F" w:rsidRDefault="00A07EA2" w:rsidP="00D637B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5678E7E" w14:textId="77777777" w:rsidR="00A07EA2" w:rsidRPr="00A11406" w:rsidRDefault="00A07EA2" w:rsidP="00D637B0">
            <w:pPr>
              <w:spacing w:line="276" w:lineRule="auto"/>
              <w:jc w:val="both"/>
              <w:rPr>
                <w:rFonts w:ascii="Verdana" w:eastAsia="Calibri" w:hAnsi="Verdana" w:cs="Arial"/>
                <w:lang w:val="es-ES" w:eastAsia="es-ES"/>
              </w:rPr>
            </w:pPr>
            <w:r w:rsidRPr="005674D8">
              <w:rPr>
                <w:rFonts w:ascii="Verdana" w:eastAsia="Calibri" w:hAnsi="Verdana" w:cs="Arial"/>
                <w:lang w:val="es-ES" w:eastAsia="es-ES"/>
              </w:rPr>
              <w:t>COMITÉS ESTRUCTURADORES, ASESORES O DE CONTRATACIÓN – Fundamento normativo – Integración</w:t>
            </w:r>
            <w:r>
              <w:rPr>
                <w:rFonts w:ascii="Verdana" w:eastAsia="Calibri" w:hAnsi="Verdana" w:cs="Arial"/>
                <w:lang w:val="es-ES" w:eastAsia="es-ES"/>
              </w:rPr>
              <w:t xml:space="preserve"> / </w:t>
            </w:r>
            <w:r w:rsidRPr="005674D8">
              <w:rPr>
                <w:rFonts w:ascii="Verdana" w:eastAsia="Calibri" w:hAnsi="Verdana" w:cs="Arial"/>
                <w:lang w:val="es-ES" w:eastAsia="es-ES"/>
              </w:rPr>
              <w:t>COMITÉ EVALUADOR – Conformación – Servidores públicos – Particulares contratados para el efecto</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0D26864" w14:textId="77777777" w:rsidR="00A07EA2" w:rsidRPr="00593A5F" w:rsidRDefault="00A07EA2" w:rsidP="00D637B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A07EA2" w:rsidRPr="008E6AD9" w14:paraId="53FEDB0C" w14:textId="77777777" w:rsidTr="00D637B0">
        <w:tc>
          <w:tcPr>
            <w:tcW w:w="2689" w:type="dxa"/>
          </w:tcPr>
          <w:p w14:paraId="79F848E7" w14:textId="77777777" w:rsidR="00A07EA2" w:rsidRPr="008E6AD9" w:rsidRDefault="00A07EA2" w:rsidP="00D637B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511B94F" w14:textId="77777777" w:rsidR="00A07EA2" w:rsidRPr="00B92340" w:rsidRDefault="00A07EA2" w:rsidP="00D637B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9794F">
              <w:rPr>
                <w:rFonts w:ascii="Verdana" w:eastAsia="Calibri" w:hAnsi="Verdana" w:cs="Arial"/>
                <w:lang w:val="es-ES_tradnl" w:eastAsia="es-ES_tradnl"/>
              </w:rPr>
              <w:t>1_2026_03_30_004421</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32642E8" w14:textId="77777777" w:rsidR="00A07EA2" w:rsidRPr="00593A5F" w:rsidRDefault="00A07EA2" w:rsidP="00A07EA2">
      <w:pPr>
        <w:spacing w:after="0" w:line="240" w:lineRule="auto"/>
        <w:jc w:val="both"/>
        <w:rPr>
          <w:rFonts w:ascii="Verdana" w:eastAsia="Calibri" w:hAnsi="Verdana" w:cs="Arial"/>
          <w:color w:val="000000"/>
          <w:lang w:val="es-ES_tradnl" w:eastAsia="es-ES_tradnl"/>
        </w:rPr>
      </w:pPr>
    </w:p>
    <w:p w14:paraId="1DE1BF89" w14:textId="77777777" w:rsidR="00A07EA2" w:rsidRPr="00593A5F" w:rsidRDefault="00A07EA2" w:rsidP="00A07EA2">
      <w:pPr>
        <w:spacing w:after="0" w:line="240" w:lineRule="auto"/>
        <w:jc w:val="both"/>
        <w:rPr>
          <w:rFonts w:ascii="Verdana" w:eastAsia="Calibri" w:hAnsi="Verdana" w:cs="Arial"/>
          <w:color w:val="000000"/>
          <w:lang w:val="es-ES_tradnl" w:eastAsia="es-ES_tradnl"/>
        </w:rPr>
      </w:pPr>
    </w:p>
    <w:p w14:paraId="787DAAFB" w14:textId="77777777" w:rsidR="00A07EA2" w:rsidRPr="008E6AD9" w:rsidRDefault="00A07EA2" w:rsidP="00A07EA2">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8D7C4E">
        <w:rPr>
          <w:rFonts w:ascii="Verdana" w:eastAsia="Calibri" w:hAnsi="Verdana" w:cs="Arial"/>
          <w:lang w:val="es-ES" w:eastAsia="es-ES"/>
        </w:rPr>
        <w:t>Jiménez Sánchez</w:t>
      </w:r>
      <w:r w:rsidRPr="008E6AD9">
        <w:rPr>
          <w:rFonts w:ascii="Verdana" w:eastAsia="Calibri" w:hAnsi="Verdana" w:cs="Arial"/>
          <w:lang w:val="es-ES" w:eastAsia="es-ES"/>
        </w:rPr>
        <w:t xml:space="preserve">: </w:t>
      </w:r>
    </w:p>
    <w:p w14:paraId="08155294" w14:textId="77777777" w:rsidR="00A07EA2" w:rsidRDefault="00A07EA2" w:rsidP="00A07EA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50DA0C1" w14:textId="77777777" w:rsidR="00A07EA2" w:rsidRPr="00593A5F" w:rsidRDefault="00A07EA2" w:rsidP="00A07EA2">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30 de marzo de 2026, donde manifiesta lo siguiente</w:t>
      </w:r>
      <w:r w:rsidRPr="008E6AD9">
        <w:rPr>
          <w:rFonts w:ascii="Verdana" w:eastAsia="Calibri" w:hAnsi="Verdana" w:cs="Arial"/>
          <w:lang w:val="es-ES" w:eastAsia="es-ES"/>
        </w:rPr>
        <w:t xml:space="preserve">: </w:t>
      </w:r>
    </w:p>
    <w:p w14:paraId="66DCCD4D" w14:textId="77777777" w:rsidR="00A07EA2" w:rsidRPr="00272A7B" w:rsidRDefault="00A07EA2" w:rsidP="00A07EA2">
      <w:pPr>
        <w:pStyle w:val="Prrafodelista"/>
        <w:tabs>
          <w:tab w:val="left" w:pos="142"/>
          <w:tab w:val="left" w:pos="284"/>
        </w:tabs>
        <w:spacing w:after="0" w:line="276" w:lineRule="auto"/>
        <w:ind w:left="0"/>
        <w:jc w:val="both"/>
        <w:rPr>
          <w:rFonts w:ascii="Verdana" w:eastAsia="Century Gothic" w:hAnsi="Verdana" w:cs="Century Gothic"/>
          <w:b/>
          <w:bCs/>
        </w:rPr>
      </w:pPr>
    </w:p>
    <w:p w14:paraId="3FBCDDDC" w14:textId="77777777" w:rsidR="00A07EA2" w:rsidRPr="00CF0ED2" w:rsidRDefault="00A07EA2" w:rsidP="00A07EA2">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CF0ED2">
        <w:rPr>
          <w:rFonts w:ascii="Verdana" w:eastAsia="Century Gothic" w:hAnsi="Verdana" w:cs="Century Gothic"/>
          <w:sz w:val="20"/>
          <w:szCs w:val="20"/>
          <w:lang w:val="es-ES"/>
        </w:rPr>
        <w:t>De manera atenta, y en ejercicio del derecho de petición en modalidad de consulta, me permito solicitar concepto jurídico y orientación respecto de la posibilidad de que una persona vinculada mediante contrato de prestación de servicios profesionales o de apoyo a la gestión participe como miembro de comités de contratación con voz y voto dentro de una entidad estatal sometida al Estatuto General de Contratación de la Administración Pública.</w:t>
      </w:r>
    </w:p>
    <w:p w14:paraId="4B98276C" w14:textId="77777777" w:rsidR="00A07EA2" w:rsidRPr="00CF0ED2" w:rsidRDefault="00A07EA2" w:rsidP="00A07EA2">
      <w:pPr>
        <w:spacing w:after="120" w:line="240" w:lineRule="auto"/>
        <w:ind w:left="709" w:right="709"/>
        <w:jc w:val="both"/>
        <w:rPr>
          <w:rFonts w:ascii="Verdana" w:eastAsia="Century Gothic" w:hAnsi="Verdana" w:cs="Century Gothic"/>
          <w:sz w:val="20"/>
          <w:szCs w:val="20"/>
          <w:lang w:val="es-ES"/>
        </w:rPr>
      </w:pPr>
      <w:r w:rsidRPr="00CF0ED2">
        <w:rPr>
          <w:rFonts w:ascii="Verdana" w:eastAsia="Century Gothic" w:hAnsi="Verdana" w:cs="Century Gothic"/>
          <w:sz w:val="20"/>
          <w:szCs w:val="20"/>
          <w:lang w:val="es-ES"/>
        </w:rPr>
        <w:lastRenderedPageBreak/>
        <w:t>La inquietud surge específicamente frente a los siguientes escenarios: Participación de contratistas como miembros del comité estructurador, comité evaluador, comité asesor o comité de contratación.</w:t>
      </w:r>
    </w:p>
    <w:p w14:paraId="272D46A8" w14:textId="77777777" w:rsidR="00A07EA2" w:rsidRPr="008E6AD9" w:rsidRDefault="00A07EA2" w:rsidP="00A07EA2">
      <w:pPr>
        <w:spacing w:after="0" w:line="240" w:lineRule="auto"/>
        <w:ind w:left="709" w:right="709"/>
        <w:jc w:val="both"/>
        <w:rPr>
          <w:rFonts w:ascii="Verdana" w:eastAsia="Century Gothic" w:hAnsi="Verdana" w:cs="Century Gothic"/>
          <w:b/>
          <w:bCs/>
        </w:rPr>
      </w:pPr>
      <w:r w:rsidRPr="00CF0ED2">
        <w:rPr>
          <w:rFonts w:ascii="Verdana" w:eastAsia="Century Gothic" w:hAnsi="Verdana" w:cs="Century Gothic"/>
          <w:sz w:val="20"/>
          <w:szCs w:val="20"/>
          <w:lang w:val="es-ES"/>
        </w:rPr>
        <w:t xml:space="preserve">Sobre el particular, de manera respetuosa solicito se precise: Si jurídicamente es procedente que un contratista integre cualquiera de los comités antes señalados. Si esa participación procede únicamente cuando el contratista haya sido vinculado de manera expresa </w:t>
      </w:r>
      <w:r>
        <w:rPr>
          <w:rFonts w:ascii="Verdana" w:eastAsia="Century Gothic" w:hAnsi="Verdana" w:cs="Century Gothic"/>
          <w:sz w:val="20"/>
          <w:szCs w:val="20"/>
          <w:lang w:val="es-ES"/>
        </w:rPr>
        <w:t>‘</w:t>
      </w:r>
      <w:r w:rsidRPr="00CF0ED2">
        <w:rPr>
          <w:rFonts w:ascii="Verdana" w:eastAsia="Century Gothic" w:hAnsi="Verdana" w:cs="Century Gothic"/>
          <w:sz w:val="20"/>
          <w:szCs w:val="20"/>
          <w:lang w:val="es-ES"/>
        </w:rPr>
        <w:t>para el efecto</w:t>
      </w:r>
      <w:r>
        <w:rPr>
          <w:rFonts w:ascii="Verdana" w:eastAsia="Century Gothic" w:hAnsi="Verdana" w:cs="Century Gothic"/>
          <w:sz w:val="20"/>
          <w:szCs w:val="20"/>
          <w:lang w:val="es-ES"/>
        </w:rPr>
        <w:t>’</w:t>
      </w:r>
      <w:r w:rsidRPr="00CF0ED2">
        <w:rPr>
          <w:rFonts w:ascii="Verdana" w:eastAsia="Century Gothic" w:hAnsi="Verdana" w:cs="Century Gothic"/>
          <w:sz w:val="20"/>
          <w:szCs w:val="20"/>
          <w:lang w:val="es-ES"/>
        </w:rPr>
        <w:t>, o si basta con que su objeto contractual guarde relación</w:t>
      </w:r>
      <w:r>
        <w:rPr>
          <w:rFonts w:ascii="Verdana" w:eastAsia="Century Gothic" w:hAnsi="Verdana" w:cs="Century Gothic"/>
          <w:sz w:val="20"/>
          <w:szCs w:val="20"/>
          <w:lang w:val="es-ES"/>
        </w:rPr>
        <w:t>”.</w:t>
      </w:r>
    </w:p>
    <w:p w14:paraId="0EFC6E81" w14:textId="77777777" w:rsidR="00A07EA2" w:rsidRDefault="00A07EA2" w:rsidP="00A07EA2">
      <w:pPr>
        <w:spacing w:after="0" w:line="276" w:lineRule="auto"/>
        <w:ind w:firstLine="709"/>
        <w:jc w:val="both"/>
        <w:rPr>
          <w:rFonts w:ascii="Verdana" w:eastAsia="Calibri" w:hAnsi="Verdana" w:cs="Arial"/>
          <w:color w:val="000000"/>
          <w:lang w:val="es-ES" w:eastAsia="es-ES"/>
        </w:rPr>
      </w:pPr>
    </w:p>
    <w:p w14:paraId="05280BAE" w14:textId="77777777" w:rsidR="00A07EA2" w:rsidRPr="00A652FF" w:rsidRDefault="00A07EA2" w:rsidP="00A07EA2">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C54CA41" w14:textId="77777777" w:rsidR="00A07EA2" w:rsidRDefault="00A07EA2" w:rsidP="00A07EA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BE01AB9" w14:textId="77777777" w:rsidR="00A07EA2" w:rsidRPr="00593A5F" w:rsidRDefault="00A07EA2" w:rsidP="00A07EA2">
      <w:pPr>
        <w:spacing w:after="0" w:line="276" w:lineRule="auto"/>
        <w:ind w:firstLine="709"/>
        <w:jc w:val="both"/>
        <w:rPr>
          <w:rFonts w:ascii="Verdana" w:eastAsia="Calibri" w:hAnsi="Verdana" w:cs="Arial"/>
          <w:color w:val="000000"/>
          <w:lang w:val="es-ES" w:eastAsia="es-ES"/>
        </w:rPr>
      </w:pPr>
    </w:p>
    <w:p w14:paraId="2F6DEF78" w14:textId="77777777" w:rsidR="00A07EA2" w:rsidRPr="00593A5F" w:rsidRDefault="00A07EA2" w:rsidP="00A07EA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7889447" w14:textId="77777777" w:rsidR="00A07EA2" w:rsidRPr="00593A5F" w:rsidRDefault="00A07EA2" w:rsidP="00A07EA2">
      <w:pPr>
        <w:tabs>
          <w:tab w:val="left" w:pos="426"/>
        </w:tabs>
        <w:spacing w:after="0" w:line="276" w:lineRule="auto"/>
        <w:jc w:val="both"/>
        <w:rPr>
          <w:rFonts w:ascii="Verdana" w:eastAsia="Century Gothic" w:hAnsi="Verdana" w:cs="Century Gothic"/>
          <w:lang w:val="es-ES"/>
        </w:rPr>
      </w:pPr>
    </w:p>
    <w:p w14:paraId="3DAD3EC9" w14:textId="77777777" w:rsidR="00A07EA2" w:rsidRPr="00593A5F" w:rsidRDefault="00A07EA2" w:rsidP="00A07EA2">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05665C">
        <w:rPr>
          <w:rFonts w:ascii="Verdana" w:eastAsia="Century Gothic" w:hAnsi="Verdana" w:cs="Century Gothic"/>
        </w:rPr>
        <w:t>¿cuál el fundamento normativo de los comités asesores en materia de contratación, y qué actos determina</w:t>
      </w:r>
      <w:r>
        <w:rPr>
          <w:rFonts w:ascii="Verdana" w:eastAsia="Century Gothic" w:hAnsi="Verdana" w:cs="Century Gothic"/>
        </w:rPr>
        <w:t>n</w:t>
      </w:r>
      <w:r w:rsidRPr="0005665C">
        <w:rPr>
          <w:rFonts w:ascii="Verdana" w:eastAsia="Century Gothic" w:hAnsi="Verdana" w:cs="Century Gothic"/>
        </w:rPr>
        <w:t xml:space="preserve"> la calidad de sus miembros?</w:t>
      </w:r>
      <w:r>
        <w:rPr>
          <w:rFonts w:ascii="Verdana" w:eastAsia="Century Gothic" w:hAnsi="Verdana" w:cs="Century Gothic"/>
        </w:rPr>
        <w:t xml:space="preserve"> </w:t>
      </w:r>
    </w:p>
    <w:p w14:paraId="3A4E7A70" w14:textId="77777777" w:rsidR="00A07EA2" w:rsidRPr="004B140F" w:rsidRDefault="00A07EA2" w:rsidP="00A07EA2">
      <w:pPr>
        <w:spacing w:after="0" w:line="276" w:lineRule="auto"/>
        <w:jc w:val="both"/>
        <w:rPr>
          <w:rFonts w:ascii="Verdana" w:eastAsia="Calibri" w:hAnsi="Verdana" w:cs="Arial"/>
          <w:color w:val="7030A0"/>
        </w:rPr>
      </w:pPr>
    </w:p>
    <w:p w14:paraId="6FBBF739" w14:textId="77777777" w:rsidR="00A07EA2" w:rsidRPr="00593A5F" w:rsidRDefault="00A07EA2" w:rsidP="00A07E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9082C10" w14:textId="77777777" w:rsidR="00A07EA2" w:rsidRPr="00593A5F" w:rsidRDefault="00A07EA2" w:rsidP="00A07EA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07EA2" w:rsidRPr="00593A5F" w14:paraId="38E99EFE" w14:textId="77777777" w:rsidTr="00D637B0">
        <w:trPr>
          <w:jc w:val="center"/>
        </w:trPr>
        <w:tc>
          <w:tcPr>
            <w:tcW w:w="8828" w:type="dxa"/>
          </w:tcPr>
          <w:p w14:paraId="698F19EE" w14:textId="77777777" w:rsidR="00A07EA2" w:rsidRDefault="00A07EA2" w:rsidP="00D637B0">
            <w:pPr>
              <w:spacing w:after="120" w:line="276" w:lineRule="auto"/>
              <w:jc w:val="both"/>
              <w:rPr>
                <w:rFonts w:ascii="Verdana" w:eastAsia="Calibri" w:hAnsi="Verdana" w:cs="Arial"/>
                <w:lang w:val="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de acuerdo con </w:t>
            </w:r>
            <w:r w:rsidRPr="22ADE540">
              <w:rPr>
                <w:rFonts w:ascii="Verdana" w:eastAsia="Calibri" w:hAnsi="Verdana" w:cs="Arial"/>
                <w:lang w:val="es-ES"/>
              </w:rPr>
              <w:t>el artículo 25</w:t>
            </w:r>
            <w:r>
              <w:rPr>
                <w:rFonts w:ascii="Verdana" w:eastAsia="Calibri" w:hAnsi="Verdana" w:cs="Arial"/>
                <w:lang w:val="es-ES"/>
              </w:rPr>
              <w:t>.9</w:t>
            </w:r>
            <w:r w:rsidRPr="22ADE540">
              <w:rPr>
                <w:rFonts w:ascii="Verdana" w:eastAsia="Calibri" w:hAnsi="Verdana" w:cs="Arial"/>
                <w:lang w:val="es-ES"/>
              </w:rPr>
              <w:t xml:space="preserve"> de la Ley 80 de 1993</w:t>
            </w:r>
            <w:r>
              <w:rPr>
                <w:rFonts w:ascii="Verdana" w:eastAsia="Calibri" w:hAnsi="Verdana" w:cs="Arial"/>
                <w:lang w:val="es-ES"/>
              </w:rPr>
              <w:t xml:space="preserve">, </w:t>
            </w:r>
            <w:r w:rsidRPr="6FA9027C">
              <w:rPr>
                <w:rFonts w:ascii="Verdana" w:eastAsia="Calibri" w:hAnsi="Verdana" w:cs="Arial"/>
                <w:lang w:val="es-ES"/>
              </w:rPr>
              <w:t xml:space="preserve">son los jefes o </w:t>
            </w:r>
            <w:r w:rsidRPr="6FA9027C">
              <w:rPr>
                <w:rFonts w:ascii="Verdana" w:eastAsia="Calibri" w:hAnsi="Verdana" w:cs="Arial"/>
                <w:lang w:val="es-ES"/>
              </w:rPr>
              <w:lastRenderedPageBreak/>
              <w:t>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p>
          <w:p w14:paraId="31E2C18A" w14:textId="77777777" w:rsidR="00A07EA2" w:rsidRDefault="00A07EA2" w:rsidP="00D637B0">
            <w:pPr>
              <w:tabs>
                <w:tab w:val="left" w:pos="426"/>
              </w:tabs>
              <w:spacing w:after="120" w:line="276" w:lineRule="auto"/>
              <w:ind w:firstLine="737"/>
              <w:jc w:val="both"/>
              <w:rPr>
                <w:rFonts w:ascii="Verdana" w:eastAsia="Calibri" w:hAnsi="Verdana" w:cs="Arial"/>
                <w:bCs/>
                <w:color w:val="000000" w:themeColor="text1"/>
                <w:lang w:val="es-ES_tradnl"/>
              </w:rPr>
            </w:pPr>
            <w:r>
              <w:rPr>
                <w:rFonts w:ascii="Verdana" w:eastAsia="Times New Roman" w:hAnsi="Verdana" w:cs="Arial"/>
                <w:color w:val="000000" w:themeColor="text1"/>
                <w:lang w:val="es-ES" w:eastAsia="es-CO"/>
              </w:rPr>
              <w:t>En este contexto</w:t>
            </w:r>
            <w:r w:rsidRPr="002E3EA0">
              <w:rPr>
                <w:rFonts w:ascii="Verdana" w:eastAsia="Times New Roman" w:hAnsi="Verdana" w:cs="Arial"/>
                <w:color w:val="000000" w:themeColor="text1"/>
                <w:lang w:eastAsia="es-CO"/>
              </w:rPr>
              <w:t>, la existencia, alcance y funciones de las unidades asesoras o comités de contratación dependen exclusivamente de lo que dispongan los actos administrativos internos de creación, conformación o delegación, expedidos por el jefe o representante legal de cada entidad, en ejercicio de las competencias que el ordenamiento jurídico les confiere.</w:t>
            </w:r>
            <w:r>
              <w:rPr>
                <w:rFonts w:ascii="Verdana" w:eastAsia="Calibri" w:hAnsi="Verdana" w:cs="Arial"/>
                <w:lang w:val="es-ES"/>
              </w:rPr>
              <w:t xml:space="preserve"> </w:t>
            </w:r>
            <w:r>
              <w:rPr>
                <w:rFonts w:ascii="Verdana" w:eastAsia="Times New Roman" w:hAnsi="Verdana" w:cs="Arial"/>
                <w:color w:val="000000" w:themeColor="text1"/>
                <w:lang w:eastAsia="es-CO"/>
              </w:rPr>
              <w:t>Por tanto</w:t>
            </w:r>
            <w:r w:rsidRPr="002E3EA0">
              <w:rPr>
                <w:rFonts w:ascii="Verdana" w:eastAsia="Times New Roman" w:hAnsi="Verdana" w:cs="Arial"/>
                <w:color w:val="000000" w:themeColor="text1"/>
                <w:lang w:eastAsia="es-CO"/>
              </w:rPr>
              <w:t xml:space="preserve">, para determinar con precisión las funciones, límites y efectos de las recomendaciones emitidas por </w:t>
            </w:r>
            <w:r>
              <w:rPr>
                <w:rFonts w:ascii="Verdana" w:eastAsia="Times New Roman" w:hAnsi="Verdana" w:cs="Arial"/>
                <w:color w:val="000000" w:themeColor="text1"/>
                <w:lang w:eastAsia="es-CO"/>
              </w:rPr>
              <w:t xml:space="preserve">comités </w:t>
            </w:r>
            <w:r>
              <w:rPr>
                <w:rFonts w:ascii="Verdana" w:eastAsia="Calibri" w:hAnsi="Verdana" w:cs="Arial"/>
                <w:lang w:val="es-ES"/>
              </w:rPr>
              <w:t>estructuradores, asesores o de contratación</w:t>
            </w:r>
            <w:r w:rsidRPr="002E3EA0">
              <w:rPr>
                <w:rFonts w:ascii="Verdana" w:eastAsia="Times New Roman" w:hAnsi="Verdana" w:cs="Arial"/>
                <w:color w:val="000000" w:themeColor="text1"/>
                <w:lang w:eastAsia="es-CO"/>
              </w:rPr>
              <w:t xml:space="preserve">, resulta indispensable consultar el Manual de Contratación y demás normas internas vigentes </w:t>
            </w:r>
            <w:r>
              <w:rPr>
                <w:rFonts w:ascii="Verdana" w:eastAsia="Times New Roman" w:hAnsi="Verdana" w:cs="Arial"/>
                <w:color w:val="000000" w:themeColor="text1"/>
                <w:lang w:eastAsia="es-CO"/>
              </w:rPr>
              <w:t>en</w:t>
            </w:r>
            <w:r w:rsidRPr="002E3EA0">
              <w:rPr>
                <w:rFonts w:ascii="Verdana" w:eastAsia="Times New Roman" w:hAnsi="Verdana" w:cs="Arial"/>
                <w:color w:val="000000" w:themeColor="text1"/>
                <w:lang w:eastAsia="es-CO"/>
              </w:rPr>
              <w:t xml:space="preserve"> la entidad, pues es allí donde se establecen de manera expresa sus competencias, procedimientos y</w:t>
            </w:r>
            <w:r>
              <w:rPr>
                <w:rFonts w:ascii="Verdana" w:eastAsia="Times New Roman" w:hAnsi="Verdana" w:cs="Arial"/>
                <w:color w:val="000000" w:themeColor="text1"/>
                <w:lang w:eastAsia="es-CO"/>
              </w:rPr>
              <w:t xml:space="preserve"> el</w:t>
            </w:r>
            <w:r w:rsidRPr="002E3EA0">
              <w:rPr>
                <w:rFonts w:ascii="Verdana" w:eastAsia="Times New Roman" w:hAnsi="Verdana" w:cs="Arial"/>
                <w:color w:val="000000" w:themeColor="text1"/>
                <w:lang w:eastAsia="es-CO"/>
              </w:rPr>
              <w:t xml:space="preserve"> rol que juega</w:t>
            </w:r>
            <w:r>
              <w:rPr>
                <w:rFonts w:ascii="Verdana" w:eastAsia="Times New Roman" w:hAnsi="Verdana" w:cs="Arial"/>
                <w:color w:val="000000" w:themeColor="text1"/>
                <w:lang w:eastAsia="es-CO"/>
              </w:rPr>
              <w:t>n</w:t>
            </w:r>
            <w:r w:rsidRPr="002E3EA0">
              <w:rPr>
                <w:rFonts w:ascii="Verdana" w:eastAsia="Times New Roman" w:hAnsi="Verdana" w:cs="Arial"/>
                <w:color w:val="000000" w:themeColor="text1"/>
                <w:lang w:eastAsia="es-CO"/>
              </w:rPr>
              <w:t xml:space="preserve"> dentro del proceso contractual.</w:t>
            </w:r>
          </w:p>
          <w:p w14:paraId="63278B32" w14:textId="77777777" w:rsidR="00A07EA2" w:rsidRPr="00E125B5" w:rsidRDefault="00A07EA2" w:rsidP="00D637B0">
            <w:pPr>
              <w:spacing w:after="120" w:line="276" w:lineRule="auto"/>
              <w:ind w:firstLine="708"/>
              <w:jc w:val="both"/>
              <w:rPr>
                <w:rFonts w:ascii="Verdana" w:hAnsi="Verdana" w:cs="Arial"/>
                <w:color w:val="000000" w:themeColor="text1"/>
                <w:lang w:val="es-ES_tradnl"/>
              </w:rPr>
            </w:pPr>
            <w:r>
              <w:rPr>
                <w:rFonts w:ascii="Verdana" w:eastAsia="Calibri" w:hAnsi="Verdana" w:cs="Arial"/>
                <w:bCs/>
                <w:color w:val="000000" w:themeColor="text1"/>
                <w:lang w:val="es-ES_tradnl"/>
              </w:rPr>
              <w:t xml:space="preserve">Por lo demás, </w:t>
            </w:r>
            <w:r w:rsidRPr="00E44B63">
              <w:rPr>
                <w:rFonts w:ascii="Verdana" w:hAnsi="Verdana" w:cs="Arial"/>
                <w:color w:val="000000" w:themeColor="text1"/>
                <w:lang w:val="es-ES_tradnl"/>
              </w:rPr>
              <w:t xml:space="preserve">el artículo 2.2.1.1.2.2.3 del Decreto 1082 de 2015 establece que </w:t>
            </w:r>
            <w:r>
              <w:rPr>
                <w:rFonts w:ascii="Verdana" w:hAnsi="Verdana" w:cs="Arial"/>
                <w:color w:val="000000" w:themeColor="text1"/>
                <w:lang w:val="es-ES_tradnl"/>
              </w:rPr>
              <w:t>“</w:t>
            </w:r>
            <w:r w:rsidRPr="00E44B63">
              <w:rPr>
                <w:rFonts w:ascii="Verdana" w:hAnsi="Verdana" w:cs="Arial"/>
                <w:color w:val="000000" w:themeColor="text1"/>
                <w:lang w:val="es-ES_tradnl"/>
              </w:rPr>
              <w:t>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w:t>
            </w:r>
            <w:r>
              <w:rPr>
                <w:rFonts w:ascii="Verdana" w:hAnsi="Verdana" w:cs="Arial"/>
                <w:color w:val="000000" w:themeColor="text1"/>
                <w:lang w:val="es-ES_tradnl"/>
              </w:rPr>
              <w:t>”</w:t>
            </w:r>
            <w:r w:rsidRPr="00E44B63">
              <w:rPr>
                <w:rFonts w:ascii="Verdana" w:hAnsi="Verdana" w:cs="Arial"/>
                <w:color w:val="000000" w:themeColor="text1"/>
                <w:lang w:val="es-ES_tradnl"/>
              </w:rPr>
              <w:t>.</w:t>
            </w:r>
            <w:r>
              <w:rPr>
                <w:rFonts w:ascii="Verdana" w:hAnsi="Verdana" w:cs="Arial"/>
                <w:color w:val="000000" w:themeColor="text1"/>
                <w:lang w:val="es-ES_tradnl"/>
              </w:rPr>
              <w:t xml:space="preserve"> </w:t>
            </w:r>
            <w:r w:rsidRPr="00E44B63">
              <w:rPr>
                <w:rFonts w:ascii="Verdana" w:hAnsi="Verdana" w:cs="Arial"/>
                <w:color w:val="000000" w:themeColor="text1"/>
                <w:lang w:val="es-ES_tradnl"/>
              </w:rPr>
              <w:t>Así, aspectos como el número de miembros, las calidades o profesiones de cada uno, la determinación de los procesos de selección en los cuales se conformará el comité de evaluación, o la determinación de factores como la cuantía u objeto contractual para la misma finalidad, entre otras, son cuestiones que, en la medida que la norma guarda silencio, corresponderá a cada entidad establecerlos para cada proceso de selección o en sus manuales internos de contratación</w:t>
            </w:r>
            <w:r>
              <w:rPr>
                <w:rFonts w:ascii="Verdana" w:hAnsi="Verdana" w:cs="Arial"/>
                <w:color w:val="000000" w:themeColor="text1"/>
                <w:lang w:val="es-ES_tradnl"/>
              </w:rPr>
              <w:t xml:space="preserve"> </w:t>
            </w:r>
            <w:r w:rsidRPr="002E3EA0">
              <w:rPr>
                <w:rFonts w:ascii="Verdana" w:eastAsia="Times New Roman" w:hAnsi="Verdana" w:cs="Arial"/>
                <w:color w:val="000000" w:themeColor="text1"/>
                <w:lang w:eastAsia="es-CO"/>
              </w:rPr>
              <w:t xml:space="preserve">y demás normas internas vigentes </w:t>
            </w:r>
            <w:r>
              <w:rPr>
                <w:rFonts w:ascii="Verdana" w:eastAsia="Times New Roman" w:hAnsi="Verdana" w:cs="Arial"/>
                <w:color w:val="000000" w:themeColor="text1"/>
                <w:lang w:eastAsia="es-CO"/>
              </w:rPr>
              <w:t>en</w:t>
            </w:r>
            <w:r w:rsidRPr="002E3EA0">
              <w:rPr>
                <w:rFonts w:ascii="Verdana" w:eastAsia="Times New Roman" w:hAnsi="Verdana" w:cs="Arial"/>
                <w:color w:val="000000" w:themeColor="text1"/>
                <w:lang w:eastAsia="es-CO"/>
              </w:rPr>
              <w:t xml:space="preserve"> la entidad</w:t>
            </w:r>
            <w:r w:rsidRPr="00E44B63">
              <w:rPr>
                <w:rFonts w:ascii="Verdana" w:hAnsi="Verdana" w:cs="Arial"/>
                <w:color w:val="000000" w:themeColor="text1"/>
                <w:lang w:val="es-ES_tradnl"/>
              </w:rPr>
              <w:t>.</w:t>
            </w:r>
            <w:r>
              <w:rPr>
                <w:rFonts w:ascii="Verdana" w:eastAsia="Calibri" w:hAnsi="Verdana" w:cs="Arial"/>
                <w:bCs/>
                <w:color w:val="000000" w:themeColor="text1"/>
                <w:lang w:val="es-ES_tradnl"/>
              </w:rPr>
              <w:t xml:space="preserve"> </w:t>
            </w:r>
          </w:p>
          <w:p w14:paraId="7F13E29D" w14:textId="77777777" w:rsidR="00A07EA2" w:rsidRPr="001941FD" w:rsidRDefault="00A07EA2" w:rsidP="00D637B0">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 xml:space="preserve">Al margen de la explicación precedente debe advertirse que el análisis requerido para resolver problemas específicos en torno a la gestión contractual </w:t>
            </w:r>
            <w:r w:rsidRPr="00A47393">
              <w:rPr>
                <w:rStyle w:val="s15"/>
                <w:rFonts w:ascii="Verdana" w:hAnsi="Verdana"/>
                <w:color w:val="000000"/>
              </w:rPr>
              <w:lastRenderedPageBreak/>
              <w:t>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58536C9" w14:textId="77777777" w:rsidR="00A07EA2" w:rsidRPr="00593A5F" w:rsidRDefault="00A07EA2" w:rsidP="00A07EA2">
      <w:pPr>
        <w:tabs>
          <w:tab w:val="left" w:pos="142"/>
          <w:tab w:val="left" w:pos="284"/>
        </w:tabs>
        <w:spacing w:after="0" w:line="276" w:lineRule="auto"/>
        <w:jc w:val="both"/>
        <w:rPr>
          <w:rFonts w:ascii="Verdana" w:eastAsia="Century Gothic" w:hAnsi="Verdana" w:cs="Century Gothic"/>
          <w:b/>
          <w:bCs/>
          <w:lang w:val="es-ES"/>
        </w:rPr>
      </w:pPr>
    </w:p>
    <w:bookmarkEnd w:id="1"/>
    <w:p w14:paraId="1293A5EC" w14:textId="77777777" w:rsidR="00A07EA2" w:rsidRPr="00593A5F" w:rsidRDefault="00A07EA2" w:rsidP="00A07E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5510D99" w14:textId="77777777" w:rsidR="00A07EA2" w:rsidRPr="00593A5F" w:rsidRDefault="00A07EA2" w:rsidP="00A07EA2">
      <w:pPr>
        <w:spacing w:after="0" w:line="276" w:lineRule="auto"/>
        <w:jc w:val="both"/>
        <w:rPr>
          <w:rFonts w:ascii="Verdana" w:eastAsia="Calibri" w:hAnsi="Verdana" w:cs="Arial"/>
          <w:color w:val="7030A0"/>
          <w:lang w:val="es-ES"/>
        </w:rPr>
      </w:pPr>
    </w:p>
    <w:p w14:paraId="51838FA1" w14:textId="77777777" w:rsidR="00A07EA2" w:rsidRDefault="00A07EA2" w:rsidP="00A07EA2">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F2A06A7" w14:textId="77777777" w:rsidR="00A07EA2" w:rsidRPr="00415608" w:rsidRDefault="00A07EA2" w:rsidP="00A07EA2">
      <w:pPr>
        <w:spacing w:after="0" w:line="276" w:lineRule="auto"/>
        <w:jc w:val="both"/>
        <w:rPr>
          <w:rFonts w:ascii="Verdana" w:eastAsia="Calibri" w:hAnsi="Verdana" w:cs="Arial"/>
          <w:lang w:val="es-ES"/>
        </w:rPr>
      </w:pPr>
    </w:p>
    <w:p w14:paraId="4A4E157A" w14:textId="77777777" w:rsidR="00A07EA2" w:rsidRDefault="00A07EA2" w:rsidP="00A07EA2">
      <w:pPr>
        <w:tabs>
          <w:tab w:val="left" w:pos="0"/>
        </w:tabs>
        <w:spacing w:after="120" w:line="276" w:lineRule="auto"/>
        <w:jc w:val="both"/>
        <w:rPr>
          <w:rFonts w:ascii="Verdana" w:eastAsia="Calibri" w:hAnsi="Verdana" w:cs="Arial"/>
          <w:bCs/>
          <w:color w:val="000000" w:themeColor="text1"/>
          <w:lang w:val="es-ES_tradnl"/>
        </w:rPr>
      </w:pPr>
      <w:r w:rsidRPr="00F22DA0">
        <w:rPr>
          <w:rFonts w:ascii="Verdana" w:hAnsi="Verdana" w:cs="Arial"/>
          <w:color w:val="000000" w:themeColor="text1"/>
          <w:lang w:val="es-ES"/>
        </w:rPr>
        <w:t xml:space="preserve">En relación con el fundamento normativo de los </w:t>
      </w:r>
      <w:r>
        <w:rPr>
          <w:rFonts w:ascii="Verdana" w:hAnsi="Verdana" w:cs="Arial"/>
          <w:color w:val="000000" w:themeColor="text1"/>
          <w:lang w:val="es-ES"/>
        </w:rPr>
        <w:t xml:space="preserve">diferentes </w:t>
      </w:r>
      <w:r w:rsidRPr="00F22DA0">
        <w:rPr>
          <w:rFonts w:ascii="Verdana" w:hAnsi="Verdana" w:cs="Arial"/>
          <w:color w:val="000000" w:themeColor="text1"/>
          <w:lang w:val="es-ES"/>
        </w:rPr>
        <w:t>comités de contratación que se crean al interior de las entidades estatales, debe partirse del artículo 11 de la Ley 80 de 1993, que definió la competencia para dirigir procesos de selección y suscribir contratos, centralizándola en determinadas autoridades estatales</w:t>
      </w:r>
      <w:r>
        <w:rPr>
          <w:rStyle w:val="Refdenotaalpie"/>
          <w:rFonts w:ascii="Verdana" w:hAnsi="Verdana" w:cs="Arial"/>
          <w:color w:val="000000" w:themeColor="text1"/>
          <w:lang w:val="es-ES"/>
        </w:rPr>
        <w:footnoteReference w:id="1"/>
      </w:r>
      <w:r>
        <w:rPr>
          <w:rFonts w:ascii="Verdana" w:hAnsi="Verdana" w:cs="Arial"/>
          <w:color w:val="000000" w:themeColor="text1"/>
          <w:lang w:val="es-ES"/>
        </w:rPr>
        <w:t xml:space="preserve">. Asimismo, </w:t>
      </w:r>
      <w:r>
        <w:rPr>
          <w:rFonts w:ascii="Verdana" w:eastAsia="Calibri" w:hAnsi="Verdana" w:cs="Arial"/>
          <w:lang w:val="es-ES_tradnl" w:eastAsia="es-ES"/>
        </w:rPr>
        <w:t>en desarrollo de las figuras contempladas en el inciso primero del artículo 209 de la Constitución Política de 1991,</w:t>
      </w:r>
      <w:r>
        <w:rPr>
          <w:rFonts w:ascii="Verdana" w:hAnsi="Verdana" w:cs="Arial"/>
          <w:color w:val="000000" w:themeColor="text1"/>
          <w:lang w:val="es-ES"/>
        </w:rPr>
        <w:t xml:space="preserve"> </w:t>
      </w:r>
      <w:r>
        <w:rPr>
          <w:rFonts w:ascii="Verdana" w:eastAsia="Calibri" w:hAnsi="Verdana" w:cs="Arial"/>
          <w:lang w:val="es-ES_tradnl" w:eastAsia="es-ES"/>
        </w:rPr>
        <w:t>el EGCAP</w:t>
      </w:r>
      <w:r w:rsidRPr="00CC09DD">
        <w:rPr>
          <w:rFonts w:ascii="Verdana" w:eastAsia="Calibri" w:hAnsi="Verdana" w:cs="Arial"/>
          <w:lang w:val="es-ES_tradnl" w:eastAsia="es-ES"/>
        </w:rPr>
        <w:t xml:space="preserve"> establece la posibilidad para los jefes y representantes legales de entidades estatales de </w:t>
      </w:r>
      <w:r>
        <w:rPr>
          <w:rFonts w:ascii="Verdana" w:eastAsia="Calibri" w:hAnsi="Verdana" w:cs="Arial"/>
          <w:lang w:val="es-ES_tradnl" w:eastAsia="es-ES"/>
        </w:rPr>
        <w:t xml:space="preserve">delegar </w:t>
      </w:r>
      <w:r w:rsidRPr="001F6CD9">
        <w:rPr>
          <w:rFonts w:ascii="Verdana" w:eastAsia="Calibri" w:hAnsi="Verdana" w:cs="Arial"/>
          <w:lang w:val="es-ES_tradnl" w:eastAsia="es-ES"/>
        </w:rPr>
        <w:t xml:space="preserve">la competencia para celebrar contratos y desconcentrar la realización de </w:t>
      </w:r>
      <w:r>
        <w:rPr>
          <w:rFonts w:ascii="Verdana" w:eastAsia="Calibri" w:hAnsi="Verdana" w:cs="Arial"/>
          <w:lang w:val="es-ES_tradnl" w:eastAsia="es-ES"/>
        </w:rPr>
        <w:t>procesos de selección</w:t>
      </w:r>
      <w:r>
        <w:rPr>
          <w:rStyle w:val="Refdenotaalpie"/>
          <w:rFonts w:ascii="Verdana" w:eastAsia="Calibri" w:hAnsi="Verdana" w:cs="Arial"/>
          <w:lang w:val="es-ES_tradnl" w:eastAsia="es-ES"/>
        </w:rPr>
        <w:footnoteReference w:id="2"/>
      </w:r>
      <w:r>
        <w:rPr>
          <w:rFonts w:ascii="Verdana" w:eastAsia="Calibri" w:hAnsi="Verdana" w:cs="Arial"/>
          <w:lang w:val="es-ES_tradnl" w:eastAsia="es-ES"/>
        </w:rPr>
        <w:t>.</w:t>
      </w:r>
    </w:p>
    <w:p w14:paraId="309AB6DF" w14:textId="77777777" w:rsidR="00A07EA2" w:rsidRPr="00CC09DD" w:rsidRDefault="00A07EA2" w:rsidP="00A07EA2">
      <w:pPr>
        <w:spacing w:before="120" w:after="120" w:line="276" w:lineRule="auto"/>
        <w:ind w:firstLine="709"/>
        <w:jc w:val="both"/>
        <w:rPr>
          <w:rFonts w:ascii="Verdana" w:eastAsia="Calibri" w:hAnsi="Verdana" w:cs="Arial"/>
          <w:lang w:val="es-ES"/>
        </w:rPr>
      </w:pPr>
      <w:r w:rsidRPr="22ADE540">
        <w:rPr>
          <w:rFonts w:ascii="Verdana" w:eastAsia="Calibri" w:hAnsi="Verdana" w:cs="Arial"/>
          <w:lang w:val="es-ES"/>
        </w:rPr>
        <w:lastRenderedPageBreak/>
        <w:t>En línea con lo anterior, el artículo 25</w:t>
      </w:r>
      <w:r>
        <w:rPr>
          <w:rFonts w:ascii="Verdana" w:eastAsia="Calibri" w:hAnsi="Verdana" w:cs="Arial"/>
          <w:lang w:val="es-ES"/>
        </w:rPr>
        <w:t>.9</w:t>
      </w:r>
      <w:r w:rsidRPr="22ADE540">
        <w:rPr>
          <w:rFonts w:ascii="Verdana" w:eastAsia="Calibri" w:hAnsi="Verdana" w:cs="Arial"/>
          <w:lang w:val="es-ES"/>
        </w:rPr>
        <w:t xml:space="preserve"> de la Ley 80 de 1993 </w:t>
      </w:r>
      <w:r>
        <w:rPr>
          <w:rFonts w:ascii="Verdana" w:eastAsia="Calibri" w:hAnsi="Verdana" w:cs="Arial"/>
          <w:lang w:val="es-ES"/>
        </w:rPr>
        <w:t>dispone</w:t>
      </w:r>
      <w:r w:rsidRPr="22ADE540">
        <w:rPr>
          <w:rFonts w:ascii="Verdana" w:eastAsia="Calibri" w:hAnsi="Verdana" w:cs="Arial"/>
          <w:lang w:val="es-ES"/>
        </w:rPr>
        <w:t xml:space="preserve"> que “En los procesos de contratación intervendrán el jefe y </w:t>
      </w:r>
      <w:r w:rsidRPr="22ADE540">
        <w:rPr>
          <w:rFonts w:ascii="Verdana" w:eastAsia="Calibri" w:hAnsi="Verdana" w:cs="Arial"/>
          <w:i/>
          <w:iCs/>
          <w:lang w:val="es-ES"/>
        </w:rPr>
        <w:t>las unidades asesoras</w:t>
      </w:r>
      <w:r w:rsidRPr="22ADE540">
        <w:rPr>
          <w:rFonts w:ascii="Verdana" w:eastAsia="Calibri" w:hAnsi="Verdana" w:cs="Arial"/>
          <w:lang w:val="es-ES"/>
        </w:rPr>
        <w:t xml:space="preserve"> y ejecutoras de la entidad que se señalen en las correspondientes normas sobre su organización y funcionamiento” </w:t>
      </w:r>
      <w:r>
        <w:rPr>
          <w:rFonts w:ascii="Verdana" w:eastAsia="Calibri" w:hAnsi="Verdana" w:cs="Arial"/>
          <w:lang w:val="es-ES"/>
        </w:rPr>
        <w:t>(</w:t>
      </w:r>
      <w:r w:rsidRPr="22ADE540">
        <w:rPr>
          <w:rFonts w:ascii="Verdana" w:eastAsia="Calibri" w:hAnsi="Verdana" w:cs="Arial"/>
          <w:lang w:val="es-ES"/>
        </w:rPr>
        <w:t>Énfasis fuera de texto</w:t>
      </w:r>
      <w:r>
        <w:rPr>
          <w:rFonts w:ascii="Verdana" w:eastAsia="Calibri" w:hAnsi="Verdana" w:cs="Arial"/>
          <w:lang w:val="es-ES"/>
        </w:rPr>
        <w:t>)</w:t>
      </w:r>
      <w:r w:rsidRPr="22ADE540">
        <w:rPr>
          <w:rFonts w:ascii="Verdana" w:eastAsia="Calibri" w:hAnsi="Verdana" w:cs="Arial"/>
          <w:lang w:val="es-ES"/>
        </w:rPr>
        <w:t xml:space="preserve">. </w:t>
      </w:r>
      <w:r>
        <w:rPr>
          <w:rFonts w:ascii="Verdana" w:eastAsia="Calibri" w:hAnsi="Verdana" w:cs="Arial"/>
          <w:lang w:val="es-ES"/>
        </w:rPr>
        <w:t>De esta manera</w:t>
      </w:r>
      <w:r w:rsidRPr="22ADE540">
        <w:rPr>
          <w:rFonts w:ascii="Verdana" w:eastAsia="Calibri" w:hAnsi="Verdana" w:cs="Arial"/>
          <w:lang w:val="es-ES"/>
        </w:rPr>
        <w:t>, en principio, es el jefe o representante legal de la entidad</w:t>
      </w:r>
      <w:r>
        <w:rPr>
          <w:rFonts w:ascii="Verdana" w:eastAsia="Calibri" w:hAnsi="Verdana" w:cs="Arial"/>
          <w:lang w:val="es-ES"/>
        </w:rPr>
        <w:t xml:space="preserve"> –o su delegado–</w:t>
      </w:r>
      <w:r w:rsidRPr="22ADE540">
        <w:rPr>
          <w:rFonts w:ascii="Verdana" w:eastAsia="Calibri" w:hAnsi="Verdana" w:cs="Arial"/>
          <w:lang w:val="es-ES"/>
        </w:rPr>
        <w:t xml:space="preserve"> quien tiene la competencia y responsabilidad para tramitar, celebrar y liquidar un contrato. Bajo este precepto, dichos sujetos están facultados para crear unidades asesoras –</w:t>
      </w:r>
      <w:r>
        <w:rPr>
          <w:rFonts w:ascii="Verdana" w:eastAsia="Calibri" w:hAnsi="Verdana" w:cs="Arial"/>
          <w:lang w:val="es-ES"/>
        </w:rPr>
        <w:t>como es el caso de los comités estructuradores, asesores o de contratación</w:t>
      </w:r>
      <w:r w:rsidRPr="22ADE540">
        <w:rPr>
          <w:rFonts w:ascii="Verdana" w:eastAsia="Calibri" w:hAnsi="Verdana" w:cs="Arial"/>
          <w:lang w:val="es-ES"/>
        </w:rPr>
        <w:t>– que, con el fin de promover el cumplimiento de los principios de transparencia y responsabilidad, apoyen la gestión contractual de la entidad.</w:t>
      </w:r>
    </w:p>
    <w:p w14:paraId="3A6662C7" w14:textId="77777777" w:rsidR="00A07EA2" w:rsidRDefault="00A07EA2" w:rsidP="00A07EA2">
      <w:pPr>
        <w:spacing w:before="120" w:after="0" w:line="276" w:lineRule="auto"/>
        <w:ind w:firstLine="709"/>
        <w:jc w:val="both"/>
        <w:rPr>
          <w:rFonts w:ascii="Verdana" w:eastAsia="Calibri" w:hAnsi="Verdana" w:cs="Arial"/>
          <w:lang w:val="es-ES"/>
        </w:rPr>
      </w:pPr>
      <w:r w:rsidRPr="6FA9027C">
        <w:rPr>
          <w:rFonts w:ascii="Verdana" w:eastAsia="Calibri" w:hAnsi="Verdana" w:cs="Arial"/>
          <w:lang w:val="es-ES"/>
        </w:rPr>
        <w:t xml:space="preserve">Con todo, es necesario precisar que </w:t>
      </w:r>
      <w:bookmarkStart w:id="2" w:name="_Hlk131155229"/>
      <w:r w:rsidRPr="6FA9027C">
        <w:rPr>
          <w:rFonts w:ascii="Verdana" w:eastAsia="Calibri" w:hAnsi="Verdana" w:cs="Arial"/>
          <w:lang w:val="es-ES"/>
        </w:rPr>
        <w:t>son los jefes o 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p>
    <w:p w14:paraId="04E83700" w14:textId="77777777" w:rsidR="00A07EA2" w:rsidRDefault="00A07EA2" w:rsidP="00A07EA2">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val="es-ES" w:eastAsia="es-CO"/>
        </w:rPr>
        <w:t>En este contexto</w:t>
      </w:r>
      <w:r w:rsidRPr="002E3EA0">
        <w:rPr>
          <w:rFonts w:ascii="Verdana" w:eastAsia="Times New Roman" w:hAnsi="Verdana" w:cs="Arial"/>
          <w:color w:val="000000" w:themeColor="text1"/>
          <w:lang w:eastAsia="es-CO"/>
        </w:rPr>
        <w:t>, la existencia, alcance y funciones de las unidades asesoras o comités de contratación dependen exclusivamente de lo que dispongan los actos administrativos internos de creación, conformación o delegación, expedidos por el jefe o representante legal de cada entidad, en ejercicio de las competencias que el ordenamiento jurídico les confiere.</w:t>
      </w:r>
      <w:r>
        <w:rPr>
          <w:rFonts w:ascii="Verdana" w:eastAsia="Calibri" w:hAnsi="Verdana" w:cs="Arial"/>
          <w:lang w:val="es-ES"/>
        </w:rPr>
        <w:t xml:space="preserve"> </w:t>
      </w:r>
      <w:r>
        <w:rPr>
          <w:rFonts w:ascii="Verdana" w:eastAsia="Times New Roman" w:hAnsi="Verdana" w:cs="Arial"/>
          <w:color w:val="000000" w:themeColor="text1"/>
          <w:lang w:eastAsia="es-CO"/>
        </w:rPr>
        <w:t>Por tanto</w:t>
      </w:r>
      <w:r w:rsidRPr="002E3EA0">
        <w:rPr>
          <w:rFonts w:ascii="Verdana" w:eastAsia="Times New Roman" w:hAnsi="Verdana" w:cs="Arial"/>
          <w:color w:val="000000" w:themeColor="text1"/>
          <w:lang w:eastAsia="es-CO"/>
        </w:rPr>
        <w:t xml:space="preserve">, para determinar con precisión las funciones, límites y efectos de las recomendaciones emitidas por </w:t>
      </w:r>
      <w:r>
        <w:rPr>
          <w:rFonts w:ascii="Verdana" w:eastAsia="Times New Roman" w:hAnsi="Verdana" w:cs="Arial"/>
          <w:color w:val="000000" w:themeColor="text1"/>
          <w:lang w:eastAsia="es-CO"/>
        </w:rPr>
        <w:t xml:space="preserve">comités </w:t>
      </w:r>
      <w:r>
        <w:rPr>
          <w:rFonts w:ascii="Verdana" w:eastAsia="Calibri" w:hAnsi="Verdana" w:cs="Arial"/>
          <w:lang w:val="es-ES"/>
        </w:rPr>
        <w:t>estructuradores, asesores o de contratación</w:t>
      </w:r>
      <w:r w:rsidRPr="002E3EA0">
        <w:rPr>
          <w:rFonts w:ascii="Verdana" w:eastAsia="Times New Roman" w:hAnsi="Verdana" w:cs="Arial"/>
          <w:color w:val="000000" w:themeColor="text1"/>
          <w:lang w:eastAsia="es-CO"/>
        </w:rPr>
        <w:t xml:space="preserve">, resulta indispensable consultar el Manual de Contratación y demás normas internas vigentes </w:t>
      </w:r>
      <w:r>
        <w:rPr>
          <w:rFonts w:ascii="Verdana" w:eastAsia="Times New Roman" w:hAnsi="Verdana" w:cs="Arial"/>
          <w:color w:val="000000" w:themeColor="text1"/>
          <w:lang w:eastAsia="es-CO"/>
        </w:rPr>
        <w:t>en</w:t>
      </w:r>
      <w:r w:rsidRPr="002E3EA0">
        <w:rPr>
          <w:rFonts w:ascii="Verdana" w:eastAsia="Times New Roman" w:hAnsi="Verdana" w:cs="Arial"/>
          <w:color w:val="000000" w:themeColor="text1"/>
          <w:lang w:eastAsia="es-CO"/>
        </w:rPr>
        <w:t xml:space="preserve"> la entidad, pues es allí donde se establecen de manera expresa sus competencias, procedimientos y</w:t>
      </w:r>
      <w:r>
        <w:rPr>
          <w:rFonts w:ascii="Verdana" w:eastAsia="Times New Roman" w:hAnsi="Verdana" w:cs="Arial"/>
          <w:color w:val="000000" w:themeColor="text1"/>
          <w:lang w:eastAsia="es-CO"/>
        </w:rPr>
        <w:t xml:space="preserve"> el</w:t>
      </w:r>
      <w:r w:rsidRPr="002E3EA0">
        <w:rPr>
          <w:rFonts w:ascii="Verdana" w:eastAsia="Times New Roman" w:hAnsi="Verdana" w:cs="Arial"/>
          <w:color w:val="000000" w:themeColor="text1"/>
          <w:lang w:eastAsia="es-CO"/>
        </w:rPr>
        <w:t xml:space="preserve"> rol que juega</w:t>
      </w:r>
      <w:r>
        <w:rPr>
          <w:rFonts w:ascii="Verdana" w:eastAsia="Times New Roman" w:hAnsi="Verdana" w:cs="Arial"/>
          <w:color w:val="000000" w:themeColor="text1"/>
          <w:lang w:eastAsia="es-CO"/>
        </w:rPr>
        <w:t>n</w:t>
      </w:r>
      <w:r w:rsidRPr="002E3EA0">
        <w:rPr>
          <w:rFonts w:ascii="Verdana" w:eastAsia="Times New Roman" w:hAnsi="Verdana" w:cs="Arial"/>
          <w:color w:val="000000" w:themeColor="text1"/>
          <w:lang w:eastAsia="es-CO"/>
        </w:rPr>
        <w:t xml:space="preserve"> dentro del proceso contractual.</w:t>
      </w:r>
    </w:p>
    <w:p w14:paraId="5B92B225"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eastAsia="Times New Roman" w:hAnsi="Verdana" w:cs="Arial"/>
          <w:color w:val="000000" w:themeColor="text1"/>
          <w:lang w:eastAsia="es-CO"/>
        </w:rPr>
        <w:lastRenderedPageBreak/>
        <w:t xml:space="preserve">Por lo demás, </w:t>
      </w:r>
      <w:r>
        <w:rPr>
          <w:rFonts w:ascii="Verdana" w:hAnsi="Verdana" w:cs="Arial"/>
          <w:color w:val="000000" w:themeColor="text1"/>
          <w:lang w:val="es-ES_tradnl"/>
        </w:rPr>
        <w:t>e</w:t>
      </w:r>
      <w:r w:rsidRPr="00E44B63">
        <w:rPr>
          <w:rFonts w:ascii="Verdana" w:hAnsi="Verdana" w:cs="Arial"/>
          <w:color w:val="000000" w:themeColor="text1"/>
          <w:lang w:val="es-ES_tradnl"/>
        </w:rPr>
        <w:t xml:space="preserve">n la medida que  la actividad contractual del Estado resulta ser un asunto complejo y que implica la confluencia de distintas disciplinas y especialidades, el ordenamiento normativo colombiano ha otorgado la facultad para que los entes públicos constituyan los denominados comités evaluadores o comités de evaluación, como organismos encargados, en ciertos y predeterminados casos, de la evaluación de las ofertas presentadas. Es así como el artículo 2.2.1.1.2.2.3 del Decreto 1082 de 2015 establece que </w:t>
      </w:r>
      <w:r>
        <w:rPr>
          <w:rFonts w:ascii="Verdana" w:hAnsi="Verdana" w:cs="Arial"/>
          <w:color w:val="000000" w:themeColor="text1"/>
          <w:lang w:val="es-ES_tradnl"/>
        </w:rPr>
        <w:t>“</w:t>
      </w:r>
      <w:r w:rsidRPr="00E44B63">
        <w:rPr>
          <w:rFonts w:ascii="Verdana" w:hAnsi="Verdana" w:cs="Arial"/>
          <w:color w:val="000000" w:themeColor="text1"/>
          <w:lang w:val="es-ES_tradnl"/>
        </w:rPr>
        <w:t>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w:t>
      </w:r>
      <w:r>
        <w:rPr>
          <w:rFonts w:ascii="Verdana" w:hAnsi="Verdana" w:cs="Arial"/>
          <w:color w:val="000000" w:themeColor="text1"/>
          <w:lang w:val="es-ES_tradnl"/>
        </w:rPr>
        <w:t>”</w:t>
      </w:r>
      <w:r w:rsidRPr="00E44B63">
        <w:rPr>
          <w:rFonts w:ascii="Verdana" w:hAnsi="Verdana" w:cs="Arial"/>
          <w:color w:val="000000" w:themeColor="text1"/>
          <w:lang w:val="es-ES_tradnl"/>
        </w:rPr>
        <w:t>.</w:t>
      </w:r>
    </w:p>
    <w:p w14:paraId="25C929A8"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Como puede apreciarse, la norma mencionada permite que las entidades estatales sometidas al Estatuto General de Contratación de la Administración Pública puedan constituir un comité evaluador de ofertas y de manifestaciones de interés que podrá estar conformado bien por servidores públicos o particulares contratados para tal finalidad o por una combinación de unos y otros</w:t>
      </w:r>
      <w:r w:rsidRPr="00E44B63">
        <w:rPr>
          <w:rStyle w:val="Refdenotaalpie"/>
          <w:rFonts w:ascii="Verdana" w:hAnsi="Verdana" w:cs="Arial"/>
          <w:color w:val="000000" w:themeColor="text1"/>
          <w:lang w:val="es-ES_tradnl"/>
        </w:rPr>
        <w:footnoteReference w:id="3"/>
      </w:r>
      <w:r w:rsidRPr="00E44B63">
        <w:rPr>
          <w:rFonts w:ascii="Verdana" w:hAnsi="Verdana" w:cs="Arial"/>
          <w:color w:val="000000" w:themeColor="text1"/>
          <w:lang w:val="es-ES_tradnl"/>
        </w:rPr>
        <w:t>. As</w:t>
      </w:r>
      <w:r>
        <w:rPr>
          <w:rFonts w:ascii="Verdana" w:hAnsi="Verdana" w:cs="Arial"/>
          <w:color w:val="000000" w:themeColor="text1"/>
          <w:lang w:val="es-ES_tradnl"/>
        </w:rPr>
        <w:t>i</w:t>
      </w:r>
      <w:r w:rsidRPr="00E44B63">
        <w:rPr>
          <w:rFonts w:ascii="Verdana" w:hAnsi="Verdana" w:cs="Arial"/>
          <w:color w:val="000000" w:themeColor="text1"/>
          <w:lang w:val="es-ES_tradnl"/>
        </w:rPr>
        <w:t xml:space="preserve">mismo, la norma prescribe que tal figura podrá ser utilizada en los siguientes procesos de selección: </w:t>
      </w:r>
      <w:r w:rsidRPr="00E44B63">
        <w:rPr>
          <w:rFonts w:ascii="Verdana" w:hAnsi="Verdana" w:cs="Arial"/>
          <w:i/>
          <w:iCs/>
          <w:color w:val="000000" w:themeColor="text1"/>
          <w:lang w:val="es-ES_tradnl"/>
        </w:rPr>
        <w:t>i)</w:t>
      </w:r>
      <w:r w:rsidRPr="00E44B63">
        <w:rPr>
          <w:rFonts w:ascii="Verdana" w:hAnsi="Verdana" w:cs="Arial"/>
          <w:color w:val="000000" w:themeColor="text1"/>
          <w:lang w:val="es-ES_tradnl"/>
        </w:rPr>
        <w:t xml:space="preserve"> licitación pública, </w:t>
      </w:r>
      <w:proofErr w:type="spellStart"/>
      <w:r w:rsidRPr="00E44B63">
        <w:rPr>
          <w:rFonts w:ascii="Verdana" w:hAnsi="Verdana" w:cs="Arial"/>
          <w:i/>
          <w:iCs/>
          <w:color w:val="000000" w:themeColor="text1"/>
          <w:lang w:val="es-ES_tradnl"/>
        </w:rPr>
        <w:t>ii</w:t>
      </w:r>
      <w:proofErr w:type="spellEnd"/>
      <w:r w:rsidRPr="00E44B63">
        <w:rPr>
          <w:rFonts w:ascii="Verdana" w:hAnsi="Verdana" w:cs="Arial"/>
          <w:i/>
          <w:iCs/>
          <w:color w:val="000000" w:themeColor="text1"/>
          <w:lang w:val="es-ES_tradnl"/>
        </w:rPr>
        <w:t>)</w:t>
      </w:r>
      <w:r w:rsidRPr="00E44B63">
        <w:rPr>
          <w:rFonts w:ascii="Verdana" w:hAnsi="Verdana" w:cs="Arial"/>
          <w:color w:val="000000" w:themeColor="text1"/>
          <w:lang w:val="es-ES_tradnl"/>
        </w:rPr>
        <w:t xml:space="preserve"> selección abreviada y </w:t>
      </w:r>
      <w:proofErr w:type="spellStart"/>
      <w:r w:rsidRPr="00E44B63">
        <w:rPr>
          <w:rFonts w:ascii="Verdana" w:hAnsi="Verdana" w:cs="Arial"/>
          <w:i/>
          <w:iCs/>
          <w:color w:val="000000" w:themeColor="text1"/>
          <w:lang w:val="es-ES_tradnl"/>
        </w:rPr>
        <w:t>iii</w:t>
      </w:r>
      <w:proofErr w:type="spellEnd"/>
      <w:r w:rsidRPr="00E44B63">
        <w:rPr>
          <w:rFonts w:ascii="Verdana" w:hAnsi="Verdana" w:cs="Arial"/>
          <w:i/>
          <w:iCs/>
          <w:color w:val="000000" w:themeColor="text1"/>
          <w:lang w:val="es-ES_tradnl"/>
        </w:rPr>
        <w:t>)</w:t>
      </w:r>
      <w:r w:rsidRPr="00E44B63">
        <w:rPr>
          <w:rFonts w:ascii="Verdana" w:hAnsi="Verdana" w:cs="Arial"/>
          <w:color w:val="000000" w:themeColor="text1"/>
          <w:lang w:val="es-ES_tradnl"/>
        </w:rPr>
        <w:t xml:space="preserve"> concurso de méritos. En cuanto al proceso de selección por mínima cuantía, el inciso tercero del mismo artículo señala que la evaluación de las ofertas </w:t>
      </w:r>
      <w:r>
        <w:rPr>
          <w:rFonts w:ascii="Verdana" w:hAnsi="Verdana" w:cs="Arial"/>
          <w:color w:val="000000" w:themeColor="text1"/>
          <w:lang w:val="es-ES_tradnl"/>
        </w:rPr>
        <w:t>“</w:t>
      </w:r>
      <w:r w:rsidRPr="00E44B63">
        <w:rPr>
          <w:rFonts w:ascii="Verdana" w:hAnsi="Verdana" w:cs="Arial"/>
          <w:color w:val="000000" w:themeColor="text1"/>
          <w:lang w:val="es-ES_tradnl"/>
        </w:rPr>
        <w:t>[…] será adelantada por quien sea designado por el ordenador del gasto sin que se requiera un comité plural</w:t>
      </w:r>
      <w:r>
        <w:rPr>
          <w:rFonts w:ascii="Verdana" w:hAnsi="Verdana" w:cs="Arial"/>
          <w:color w:val="000000" w:themeColor="text1"/>
          <w:lang w:val="es-ES_tradnl"/>
        </w:rPr>
        <w:t>”</w:t>
      </w:r>
      <w:r w:rsidRPr="00E44B63">
        <w:rPr>
          <w:rFonts w:ascii="Verdana" w:hAnsi="Verdana" w:cs="Arial"/>
          <w:color w:val="000000" w:themeColor="text1"/>
          <w:lang w:val="es-ES_tradnl"/>
        </w:rPr>
        <w:t xml:space="preserve"> De esta última parte de la disposición, así como de las expresiones en plural que se emplean en el primer inciso, se infiere, además, el carácter colectivo y asesor del comité.  </w:t>
      </w:r>
    </w:p>
    <w:p w14:paraId="314FE14E"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 xml:space="preserve">En relación con la designación del comité evaluador, valga aclarar, primero, que la norma establece una facultad en cabeza de las entidades públicas, lo cual se denota con el uso de la forma verbal indicativa </w:t>
      </w:r>
      <w:r>
        <w:rPr>
          <w:rFonts w:ascii="Verdana" w:hAnsi="Verdana" w:cs="Arial"/>
          <w:color w:val="000000" w:themeColor="text1"/>
          <w:lang w:val="es-ES_tradnl"/>
        </w:rPr>
        <w:t>“</w:t>
      </w:r>
      <w:r w:rsidRPr="00E44B63">
        <w:rPr>
          <w:rFonts w:ascii="Verdana" w:hAnsi="Verdana" w:cs="Arial"/>
          <w:color w:val="000000" w:themeColor="text1"/>
          <w:lang w:val="es-ES_tradnl"/>
        </w:rPr>
        <w:t>puede</w:t>
      </w:r>
      <w:r>
        <w:rPr>
          <w:rFonts w:ascii="Verdana" w:hAnsi="Verdana" w:cs="Arial"/>
          <w:color w:val="000000" w:themeColor="text1"/>
          <w:lang w:val="es-ES_tradnl"/>
        </w:rPr>
        <w:t>”</w:t>
      </w:r>
      <w:r w:rsidRPr="00E44B63">
        <w:rPr>
          <w:rFonts w:ascii="Verdana" w:hAnsi="Verdana" w:cs="Arial"/>
          <w:color w:val="000000" w:themeColor="text1"/>
          <w:lang w:val="es-ES_tradnl"/>
        </w:rPr>
        <w:t>. Esto indica que no es una obligación de estas conformar dicho organismo y que, por el contrario, existe una prerrogativa en cabeza de la entidad, quien deberá definir la conformación o no del comité, atendiendo a criterios como su propia organización y funciones, la naturaleza y complejidad de los contratos a celebrar, etc.</w:t>
      </w:r>
    </w:p>
    <w:p w14:paraId="60834DEB"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lastRenderedPageBreak/>
        <w:t>Lo segundo tiene que ver con los alcances de dicha facultad, frente a lo cual se advierte que la propia norma reglamentaria deja buen espacio para que la entidad determine ciertos elementos en relación con el comité de evaluación que decida constituir. Así, aspectos como el número de miembros, las calidades o profesiones de cada uno, la determinación de los procesos de selección en los cuales se conformará el comité de evaluación, o la determinación de factores como la cuantía u objeto contractual para la misma finalidad, entre otras, son cuestiones que, en la medida que la norma guarda silencio, corresponderá a cada entidad establecerlos para cada proceso de selección o en sus manuales internos de contratación</w:t>
      </w:r>
      <w:r>
        <w:rPr>
          <w:rFonts w:ascii="Verdana" w:hAnsi="Verdana" w:cs="Arial"/>
          <w:color w:val="000000" w:themeColor="text1"/>
          <w:lang w:val="es-ES_tradnl"/>
        </w:rPr>
        <w:t xml:space="preserve"> </w:t>
      </w:r>
      <w:r w:rsidRPr="002E3EA0">
        <w:rPr>
          <w:rFonts w:ascii="Verdana" w:eastAsia="Times New Roman" w:hAnsi="Verdana" w:cs="Arial"/>
          <w:color w:val="000000" w:themeColor="text1"/>
          <w:lang w:eastAsia="es-CO"/>
        </w:rPr>
        <w:t xml:space="preserve">y demás normas internas vigentes </w:t>
      </w:r>
      <w:r>
        <w:rPr>
          <w:rFonts w:ascii="Verdana" w:eastAsia="Times New Roman" w:hAnsi="Verdana" w:cs="Arial"/>
          <w:color w:val="000000" w:themeColor="text1"/>
          <w:lang w:eastAsia="es-CO"/>
        </w:rPr>
        <w:t>en</w:t>
      </w:r>
      <w:r w:rsidRPr="002E3EA0">
        <w:rPr>
          <w:rFonts w:ascii="Verdana" w:eastAsia="Times New Roman" w:hAnsi="Verdana" w:cs="Arial"/>
          <w:color w:val="000000" w:themeColor="text1"/>
          <w:lang w:eastAsia="es-CO"/>
        </w:rPr>
        <w:t xml:space="preserve"> la entidad</w:t>
      </w:r>
      <w:r w:rsidRPr="00E44B63">
        <w:rPr>
          <w:rFonts w:ascii="Verdana" w:hAnsi="Verdana" w:cs="Arial"/>
          <w:color w:val="000000" w:themeColor="text1"/>
          <w:lang w:val="es-ES_tradnl"/>
        </w:rPr>
        <w:t>.</w:t>
      </w:r>
    </w:p>
    <w:p w14:paraId="28510F62"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bookmarkStart w:id="3" w:name="_Hlk83119641"/>
      <w:r>
        <w:rPr>
          <w:rFonts w:ascii="Verdana" w:hAnsi="Verdana" w:cs="Arial"/>
          <w:color w:val="000000" w:themeColor="text1"/>
          <w:lang w:val="es-ES_tradnl"/>
        </w:rPr>
        <w:t>E</w:t>
      </w:r>
      <w:r w:rsidRPr="00E44B63">
        <w:rPr>
          <w:rFonts w:ascii="Verdana" w:hAnsi="Verdana" w:cs="Arial"/>
          <w:color w:val="000000" w:themeColor="text1"/>
          <w:lang w:val="es-ES_tradnl"/>
        </w:rPr>
        <w:t xml:space="preserve">s pertinente advertir que la norma reglamentaria no fija un número mínimo ni máximo de miembros para conformar el comité de evaluación, así como tampoco indica que la cantidad sea en números pares o impares. Esto en la medida que la labor del Comité de Evaluación no es la de emitir actos administrativos decisorios frente a la adjudicación del contrato, el rechazo de las ofertas o la declaratoria de desierta, según sea el caso, sino la presentación de un informe de evaluación no vinculante, razón por la que no resultaría, en principio, necesario exigir un número impar de miembros. </w:t>
      </w:r>
    </w:p>
    <w:p w14:paraId="48C7E25E"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Así las cosas, el número total de miembros que conformen el Comité de Evaluación dependerá de las especialidades o profesiones necesarias para la correcta e íntegra evaluación de las propuestas. En este sentido, la Entidad Pública designará la cantidad de miembros que considere necesarios de acuerdo con los factores de complejidad, grados y diversidades técnicas que ofrezca el contrato a celebrar o las ofertas a evaluar. Lo que acaba de decirse respecto del número par o impar de miembros del Comité Evaluador, encuentra, sin embargo, su excepción al tratarse de la modalidad de selección del Concurso de Arquitectura</w:t>
      </w:r>
      <w:r>
        <w:rPr>
          <w:rStyle w:val="Refdenotaalpie"/>
          <w:rFonts w:ascii="Verdana" w:hAnsi="Verdana" w:cs="Arial"/>
          <w:color w:val="000000" w:themeColor="text1"/>
          <w:lang w:val="es-ES_tradnl"/>
        </w:rPr>
        <w:footnoteReference w:id="4"/>
      </w:r>
      <w:r>
        <w:rPr>
          <w:rFonts w:ascii="Verdana" w:hAnsi="Verdana" w:cs="Arial"/>
          <w:color w:val="000000" w:themeColor="text1"/>
          <w:lang w:val="es-ES_tradnl"/>
        </w:rPr>
        <w:t>.</w:t>
      </w:r>
    </w:p>
    <w:bookmarkEnd w:id="3"/>
    <w:p w14:paraId="3743F9BB"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lastRenderedPageBreak/>
        <w:t>De otro lado, la finalidad del Comité Evaluador, según la norma en comento, es la evaluación de ofertas y manifestaciones de interés, así como todas las actividades y prerrogativas que se deriven o se hagan necesarias para el cumplimiento de dicha función. Esta evaluación se materializará a través de la emisión de un concepto o dictamen o informe de evaluación, que deberá ser elaborado y presentado</w:t>
      </w:r>
      <w:r w:rsidRPr="00E44B63">
        <w:rPr>
          <w:rFonts w:ascii="Verdana" w:hAnsi="Verdana" w:cs="Arial"/>
        </w:rPr>
        <w:t xml:space="preserve"> </w:t>
      </w:r>
      <w:r w:rsidRPr="00E44B63">
        <w:rPr>
          <w:rFonts w:ascii="Verdana" w:hAnsi="Verdana" w:cs="Arial"/>
          <w:color w:val="000000" w:themeColor="text1"/>
          <w:lang w:val="es-ES_tradnl"/>
        </w:rPr>
        <w:t xml:space="preserve">tanto al ordenador del gasto, como a los demás interesados en el proceso de contratación bajo las condiciones y plazos previamente definidos por la propia entidad. Su forma de presentación es la publicación en el SECOP dentro del término establecido para ello. </w:t>
      </w:r>
    </w:p>
    <w:p w14:paraId="45D03CA5"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 xml:space="preserve">Para emitir el informe de evaluación, el comité debe verificar las propuestas y aplicar el procedimiento, los criterios y los requisitos establecidos en el pliego de condiciones o documento equivalente con el fin de comparar y evaluar de forma objetiva las propuestas presentadas dentro del proceso de selección. En el informe, luego de cotejar y comparar las propuestas recibidas, se hará constar por el Comité Evaluador el estudio objetivo de las ofertas y los documentos presentados con esta por los proponentes para el cumplimiento de los requisitos habilitantes y de asignación de puntaje, los cuales son evaluados jurídica, técnica, financiera y económicamente. </w:t>
      </w:r>
    </w:p>
    <w:p w14:paraId="60B36B3E"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 xml:space="preserve">Los resultados del informe de evaluación se concretan en una serie de recomendaciones al ordenador del gasto de la entidad estatal, tales como: </w:t>
      </w:r>
      <w:r w:rsidRPr="00E44B63">
        <w:rPr>
          <w:rFonts w:ascii="Verdana" w:hAnsi="Verdana" w:cs="Arial"/>
          <w:i/>
          <w:iCs/>
          <w:color w:val="000000" w:themeColor="text1"/>
          <w:lang w:val="es-ES_tradnl"/>
        </w:rPr>
        <w:t>i)</w:t>
      </w:r>
      <w:r w:rsidRPr="00E44B63">
        <w:rPr>
          <w:rFonts w:ascii="Verdana" w:hAnsi="Verdana" w:cs="Arial"/>
          <w:color w:val="000000" w:themeColor="text1"/>
          <w:lang w:val="es-ES_tradnl"/>
        </w:rPr>
        <w:t xml:space="preserve"> solicitar aclaraciones o explicaciones que consideren pertinentes; </w:t>
      </w:r>
      <w:proofErr w:type="spellStart"/>
      <w:r w:rsidRPr="00E44B63">
        <w:rPr>
          <w:rFonts w:ascii="Verdana" w:hAnsi="Verdana" w:cs="Arial"/>
          <w:i/>
          <w:iCs/>
          <w:color w:val="000000" w:themeColor="text1"/>
          <w:lang w:val="es-ES_tradnl"/>
        </w:rPr>
        <w:t>ii</w:t>
      </w:r>
      <w:proofErr w:type="spellEnd"/>
      <w:r w:rsidRPr="00E44B63">
        <w:rPr>
          <w:rFonts w:ascii="Verdana" w:hAnsi="Verdana" w:cs="Arial"/>
          <w:i/>
          <w:iCs/>
          <w:color w:val="000000" w:themeColor="text1"/>
          <w:lang w:val="es-ES_tradnl"/>
        </w:rPr>
        <w:t>)</w:t>
      </w:r>
      <w:r w:rsidRPr="00E44B63">
        <w:rPr>
          <w:rFonts w:ascii="Verdana" w:hAnsi="Verdana" w:cs="Arial"/>
          <w:color w:val="000000" w:themeColor="text1"/>
          <w:lang w:val="es-ES_tradnl"/>
        </w:rPr>
        <w:t xml:space="preserve"> subsanar requisitos que no otorguen puntajes; </w:t>
      </w:r>
      <w:proofErr w:type="spellStart"/>
      <w:r w:rsidRPr="00E44B63">
        <w:rPr>
          <w:rFonts w:ascii="Verdana" w:hAnsi="Verdana" w:cs="Arial"/>
          <w:i/>
          <w:iCs/>
          <w:color w:val="000000" w:themeColor="text1"/>
          <w:lang w:val="es-ES_tradnl"/>
        </w:rPr>
        <w:t>iii</w:t>
      </w:r>
      <w:proofErr w:type="spellEnd"/>
      <w:r w:rsidRPr="00E44B63">
        <w:rPr>
          <w:rFonts w:ascii="Verdana" w:hAnsi="Verdana" w:cs="Arial"/>
          <w:i/>
          <w:iCs/>
          <w:color w:val="000000" w:themeColor="text1"/>
          <w:lang w:val="es-ES_tradnl"/>
        </w:rPr>
        <w:t>)</w:t>
      </w:r>
      <w:r w:rsidRPr="00E44B63">
        <w:rPr>
          <w:rFonts w:ascii="Verdana" w:hAnsi="Verdana" w:cs="Arial"/>
          <w:color w:val="000000" w:themeColor="text1"/>
          <w:lang w:val="es-ES_tradnl"/>
        </w:rPr>
        <w:t xml:space="preserve"> rechazar propuestas que no cumplen la acreditación de requisitos y no sean susceptibles de subsanación; </w:t>
      </w:r>
      <w:proofErr w:type="spellStart"/>
      <w:r w:rsidRPr="00E44B63">
        <w:rPr>
          <w:rFonts w:ascii="Verdana" w:hAnsi="Verdana" w:cs="Arial"/>
          <w:i/>
          <w:iCs/>
          <w:color w:val="000000" w:themeColor="text1"/>
          <w:lang w:val="es-ES_tradnl"/>
        </w:rPr>
        <w:t>iv</w:t>
      </w:r>
      <w:proofErr w:type="spellEnd"/>
      <w:r w:rsidRPr="00E44B63">
        <w:rPr>
          <w:rFonts w:ascii="Verdana" w:hAnsi="Verdana" w:cs="Arial"/>
          <w:i/>
          <w:iCs/>
          <w:color w:val="000000" w:themeColor="text1"/>
          <w:lang w:val="es-ES_tradnl"/>
        </w:rPr>
        <w:t>)</w:t>
      </w:r>
      <w:r w:rsidRPr="00E44B63">
        <w:rPr>
          <w:rFonts w:ascii="Verdana" w:hAnsi="Verdana" w:cs="Arial"/>
          <w:color w:val="000000" w:themeColor="text1"/>
          <w:lang w:val="es-ES_tradnl"/>
        </w:rPr>
        <w:t xml:space="preserve"> no habilitar propuestas hasta que no se demuestre el cabal cumplimiento de los requisitos habilitantes o habilitar aquellas que sí cumplen con tales requisitos habilitantes; v) asignar puntajes para establecer el orden de elegibilidad; y vi) adjudicación del proceso de contratación a un proponente. Igualmente, el comité evaluador recibe, analiza y responde las observaciones presentadas por los oferentes al informe de evaluación, luego del traslado que se de este realiza la entidad para que se surta su contradicción y en el evento de que sea necesario modifica el informe.</w:t>
      </w:r>
    </w:p>
    <w:p w14:paraId="5E26198A"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 xml:space="preserve">En consecuencia, el comité evaluador en su calidad de órgano asesor tiene una función importante en el proceso de selección del contratista. Por tanto, se convierte en una valiosa instancia para cumplir el principio de transparencia y el deber de selección objetiva, porque le permite a la Administración cumplir con </w:t>
      </w:r>
      <w:r w:rsidRPr="00E44B63">
        <w:rPr>
          <w:rFonts w:ascii="Verdana" w:hAnsi="Verdana" w:cs="Arial"/>
          <w:color w:val="000000" w:themeColor="text1"/>
          <w:lang w:val="es-ES_tradnl"/>
        </w:rPr>
        <w:lastRenderedPageBreak/>
        <w:t xml:space="preserve">los fines de la contratación estatal y preservar los derechos de los proponentes que resulten favorecidos o no con la adjudicación. </w:t>
      </w:r>
    </w:p>
    <w:p w14:paraId="76AEB22C"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No obstante, el Comité Evaluador en el informe de evaluación tan solo recomienda, pero no decide ni adjudica, toda vez que estas facultades la ley las reserva al jefe o representante legal de la entidad y ordenador del gasto. En efecto, como lo ha señalado en forma pacífica y reiterada el Consejo de Estado, este documento es un acto de trámite, preparatorio y no definitivo, puesto que no contiene una decisión de fondo, función que corresponde únicamente al ordenador del gasto, razón por la cual no lo vincula</w:t>
      </w:r>
      <w:r w:rsidRPr="00E44B63">
        <w:rPr>
          <w:rStyle w:val="Refdenotaalpie"/>
          <w:rFonts w:ascii="Verdana" w:hAnsi="Verdana" w:cs="Arial"/>
          <w:color w:val="000000" w:themeColor="text1"/>
          <w:lang w:val="es-ES_tradnl"/>
        </w:rPr>
        <w:footnoteReference w:id="5"/>
      </w:r>
      <w:r w:rsidRPr="00E44B63">
        <w:rPr>
          <w:rFonts w:ascii="Verdana" w:hAnsi="Verdana" w:cs="Arial"/>
          <w:color w:val="000000" w:themeColor="text1"/>
          <w:lang w:val="es-ES_tradnl"/>
        </w:rPr>
        <w:t>. Es así como el artículo 2.2.1.1.2.2.3 del Decreto 1082 de 2015 permite que la Entidad Estatal a través del ordenador del gasto se separare del concepto emitido por el Comité Evaluador y no acoja sus recomendaciones, en cuyo caso deberá justificar completa y correctamente su decisión.</w:t>
      </w:r>
    </w:p>
    <w:p w14:paraId="26F64988"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 xml:space="preserve">En relación con el carácter no vinculante del concepto o dictamen emitido por el comité evaluador, el Consejo de Estado ha considerado que el informe por parte de los comités asesores no es obligatorio para el órgano competente al momento de adjudicar </w:t>
      </w:r>
      <w:r>
        <w:rPr>
          <w:rFonts w:ascii="Verdana" w:hAnsi="Verdana" w:cs="Arial"/>
          <w:color w:val="000000" w:themeColor="text1"/>
          <w:lang w:val="es-ES_tradnl"/>
        </w:rPr>
        <w:t>“</w:t>
      </w:r>
      <w:r w:rsidRPr="00E44B63">
        <w:rPr>
          <w:rFonts w:ascii="Verdana" w:hAnsi="Verdana" w:cs="Arial"/>
          <w:color w:val="000000" w:themeColor="text1"/>
          <w:lang w:val="es-ES_tradnl"/>
        </w:rPr>
        <w:t>y, por el contrario, éste puede separarse y resolver en sentido diferente por encontrar errores que afecten los resultados en él consignados, aun cuando debe exponer razonadamente la motivación del apartamiento, con el fin de que la decisión no adolezca de nulidad por insuficiencia de motivación, tal y como lo ha manifestado de tiempo atrás la jurisprudencia</w:t>
      </w:r>
      <w:r>
        <w:rPr>
          <w:rFonts w:ascii="Verdana" w:hAnsi="Verdana" w:cs="Arial"/>
          <w:color w:val="000000" w:themeColor="text1"/>
          <w:lang w:val="es-ES_tradnl"/>
        </w:rPr>
        <w:t>”</w:t>
      </w:r>
      <w:r w:rsidRPr="00E44B63">
        <w:rPr>
          <w:rStyle w:val="Refdenotaalpie"/>
          <w:rFonts w:ascii="Verdana" w:hAnsi="Verdana" w:cs="Arial"/>
          <w:color w:val="000000" w:themeColor="text1"/>
          <w:lang w:val="es-ES_tradnl"/>
        </w:rPr>
        <w:footnoteReference w:id="6"/>
      </w:r>
      <w:r w:rsidRPr="00E44B63">
        <w:rPr>
          <w:rFonts w:ascii="Verdana" w:hAnsi="Verdana" w:cs="Arial"/>
          <w:color w:val="000000" w:themeColor="text1"/>
          <w:lang w:val="es-ES_tradnl"/>
        </w:rPr>
        <w:t xml:space="preserve">. </w:t>
      </w:r>
    </w:p>
    <w:p w14:paraId="516FB082" w14:textId="77777777" w:rsidR="00A07EA2" w:rsidRPr="00E44B63" w:rsidRDefault="00A07EA2" w:rsidP="00A07EA2">
      <w:pPr>
        <w:spacing w:after="120" w:line="276" w:lineRule="auto"/>
        <w:ind w:firstLine="708"/>
        <w:jc w:val="both"/>
        <w:rPr>
          <w:rFonts w:ascii="Verdana" w:hAnsi="Verdana" w:cs="Arial"/>
          <w:color w:val="000000" w:themeColor="text1"/>
          <w:lang w:val="es-ES_tradnl"/>
        </w:rPr>
      </w:pPr>
      <w:r w:rsidRPr="00E44B63">
        <w:rPr>
          <w:rFonts w:ascii="Verdana" w:hAnsi="Verdana" w:cs="Arial"/>
          <w:color w:val="000000" w:themeColor="text1"/>
          <w:lang w:val="es-ES_tradnl"/>
        </w:rPr>
        <w:t xml:space="preserve">En otras palabras, la existencia de un Comité Evaluador no significa que el representante legal quede despojado de la competencia para decidir, bien sea amparándose en las recomendaciones de aquel o apartándose de ellas. En ese sentido, el comité evaluador cumple una labor meramente asesora del funcionario o funcionarios encargados de tomar la decisión final frente a la </w:t>
      </w:r>
      <w:r w:rsidRPr="00E44B63">
        <w:rPr>
          <w:rFonts w:ascii="Verdana" w:hAnsi="Verdana" w:cs="Arial"/>
          <w:color w:val="000000" w:themeColor="text1"/>
          <w:lang w:val="es-ES_tradnl"/>
        </w:rPr>
        <w:lastRenderedPageBreak/>
        <w:t xml:space="preserve">adjudicación del contrato, rechazo de ofertas o declaratoria de desierta, teniendo en cuenta, entre otros aspectos, que de acuerdo al numeral 5 del artículo 26 de la Ley 80 de 1993, la responsabilidad en la dirección y manejo de la actividad contractual y de los procesos de selección estará en cabeza del jefe o representante de la entidad, </w:t>
      </w:r>
      <w:r>
        <w:rPr>
          <w:rFonts w:ascii="Verdana" w:hAnsi="Verdana" w:cs="Arial"/>
          <w:color w:val="000000" w:themeColor="text1"/>
          <w:lang w:val="es-ES_tradnl"/>
        </w:rPr>
        <w:t>“</w:t>
      </w:r>
      <w:r w:rsidRPr="00E44B63">
        <w:rPr>
          <w:rFonts w:ascii="Verdana" w:hAnsi="Verdana" w:cs="Arial"/>
          <w:color w:val="000000" w:themeColor="text1"/>
          <w:lang w:val="es-ES_tradnl"/>
        </w:rPr>
        <w:t>[…] quien no podrá trasladarla […] a los comités asesores</w:t>
      </w:r>
      <w:r>
        <w:rPr>
          <w:rFonts w:ascii="Verdana" w:hAnsi="Verdana" w:cs="Arial"/>
          <w:color w:val="000000" w:themeColor="text1"/>
          <w:lang w:val="es-ES_tradnl"/>
        </w:rPr>
        <w:t>”</w:t>
      </w:r>
      <w:r w:rsidRPr="00E44B63">
        <w:rPr>
          <w:rFonts w:ascii="Verdana" w:hAnsi="Verdana" w:cs="Arial"/>
          <w:color w:val="000000" w:themeColor="text1"/>
          <w:lang w:val="es-ES_tradnl"/>
        </w:rPr>
        <w:t xml:space="preserve">. </w:t>
      </w:r>
    </w:p>
    <w:p w14:paraId="44D35DB8" w14:textId="77777777" w:rsidR="00A07EA2" w:rsidRPr="00FA61F6" w:rsidRDefault="00A07EA2" w:rsidP="00A07EA2">
      <w:pPr>
        <w:spacing w:after="120" w:line="276" w:lineRule="auto"/>
        <w:ind w:firstLine="709"/>
        <w:jc w:val="both"/>
        <w:rPr>
          <w:rFonts w:ascii="Verdana" w:hAnsi="Verdana" w:cs="Arial"/>
          <w:color w:val="000000" w:themeColor="text1"/>
          <w:lang w:val="es-ES_tradnl"/>
        </w:rPr>
      </w:pPr>
      <w:r w:rsidRPr="00E44B63">
        <w:rPr>
          <w:rFonts w:ascii="Verdana" w:hAnsi="Verdana" w:cs="Arial"/>
          <w:color w:val="000000" w:themeColor="text1"/>
          <w:lang w:val="es-ES_tradnl"/>
        </w:rPr>
        <w:t>Sin embargo, debe enfatizarse que el carácter asesor del comité no exime a sus miembros de las responsabilidades que correspondan, sino que, por el contrario, estos entrarán a responder por las recomendaciones erradas o incorrectamente fundamentadas que emitan, como dispone el citado artículo 2.2.1.1.2.2.3 del Decreto 1082 de 2015. Finalmente, el carácter asesor y la calidad de servidores públicos o contratistas del Estado que pueden ostentar sus miembros no evita que unos y otros deban cumplir con el régimen de inhabilidades, incompatibilidades y de conflictos de interés previsto en la Constitución Política y las normas legales, como bien lo determina el inciso segundo del artículo 2.2.1.1.2.2.3 del Decreto 1082 de 2015.</w:t>
      </w:r>
      <w:bookmarkEnd w:id="2"/>
    </w:p>
    <w:p w14:paraId="7BBF244C" w14:textId="77777777" w:rsidR="00A07EA2" w:rsidRPr="00A47393" w:rsidRDefault="00A07EA2" w:rsidP="00A07EA2">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EE06A3F" w14:textId="77777777" w:rsidR="00A07EA2" w:rsidRPr="00185EE9" w:rsidRDefault="00A07EA2" w:rsidP="00A07EA2">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3258EFA5" w14:textId="77777777" w:rsidR="00A07EA2" w:rsidRPr="00182C89" w:rsidRDefault="00A07EA2" w:rsidP="00A07EA2">
      <w:pPr>
        <w:tabs>
          <w:tab w:val="left" w:pos="709"/>
        </w:tabs>
        <w:spacing w:after="0" w:line="276" w:lineRule="auto"/>
        <w:jc w:val="both"/>
        <w:rPr>
          <w:rFonts w:ascii="Verdana" w:eastAsia="Calibri" w:hAnsi="Verdana" w:cs="Arial"/>
          <w:color w:val="000000" w:themeColor="text1"/>
        </w:rPr>
      </w:pPr>
    </w:p>
    <w:p w14:paraId="18EE510E" w14:textId="77777777" w:rsidR="00A07EA2" w:rsidRPr="00593A5F" w:rsidRDefault="00A07EA2" w:rsidP="00A07E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9A83DD6" w14:textId="77777777" w:rsidR="00A07EA2" w:rsidRPr="00593A5F" w:rsidRDefault="00A07EA2" w:rsidP="00A07EA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07EA2" w:rsidRPr="002407CE" w14:paraId="25A4315F" w14:textId="77777777" w:rsidTr="00D637B0">
        <w:trPr>
          <w:trHeight w:val="56"/>
          <w:jc w:val="center"/>
        </w:trPr>
        <w:tc>
          <w:tcPr>
            <w:tcW w:w="8647" w:type="dxa"/>
          </w:tcPr>
          <w:p w14:paraId="1658F39E" w14:textId="77777777" w:rsidR="00A07EA2" w:rsidRDefault="00A07EA2" w:rsidP="00A07EA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209.</w:t>
            </w:r>
            <w:r w:rsidRPr="00B87E7A">
              <w:rPr>
                <w:rFonts w:ascii="Verdana" w:hAnsi="Verdana" w:cs="Arial"/>
              </w:rPr>
              <w:t xml:space="preserve"> </w:t>
            </w:r>
          </w:p>
          <w:p w14:paraId="6D86A2B4" w14:textId="77777777" w:rsidR="00A07EA2" w:rsidRDefault="00A07EA2" w:rsidP="00A07EA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80 de 1993, artículos 2, 11, 12, 25 y 26. </w:t>
            </w:r>
          </w:p>
          <w:p w14:paraId="611CB6F8" w14:textId="77777777" w:rsidR="00A07EA2" w:rsidRPr="00F45802" w:rsidRDefault="00A07EA2" w:rsidP="00A07EA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artículos </w:t>
            </w:r>
            <w:r w:rsidRPr="00645D67">
              <w:rPr>
                <w:rFonts w:ascii="Verdana" w:hAnsi="Verdana" w:cs="Arial"/>
              </w:rPr>
              <w:t>2.2.1.1.2.2.3</w:t>
            </w:r>
            <w:r>
              <w:rPr>
                <w:rFonts w:ascii="Verdana" w:hAnsi="Verdana" w:cs="Arial"/>
              </w:rPr>
              <w:t xml:space="preserve"> y </w:t>
            </w:r>
            <w:r w:rsidRPr="00E26B5E">
              <w:rPr>
                <w:rFonts w:ascii="Verdana" w:hAnsi="Verdana" w:cs="Arial"/>
              </w:rPr>
              <w:t>2.2.1.2.1.3.17</w:t>
            </w:r>
            <w:r>
              <w:rPr>
                <w:rFonts w:ascii="Verdana" w:hAnsi="Verdana" w:cs="Arial"/>
              </w:rPr>
              <w:t>.</w:t>
            </w:r>
          </w:p>
        </w:tc>
      </w:tr>
    </w:tbl>
    <w:p w14:paraId="2706C4DB" w14:textId="77777777" w:rsidR="00A07EA2" w:rsidRPr="002407CE" w:rsidRDefault="00A07EA2" w:rsidP="00A07EA2">
      <w:pPr>
        <w:widowControl w:val="0"/>
        <w:autoSpaceDE w:val="0"/>
        <w:autoSpaceDN w:val="0"/>
        <w:spacing w:after="0" w:line="276" w:lineRule="auto"/>
        <w:jc w:val="both"/>
        <w:rPr>
          <w:rFonts w:ascii="Verdana" w:hAnsi="Verdana" w:cs="Arial"/>
        </w:rPr>
      </w:pPr>
    </w:p>
    <w:p w14:paraId="49BADA01" w14:textId="77777777" w:rsidR="00A07EA2" w:rsidRPr="00593A5F" w:rsidRDefault="00A07EA2" w:rsidP="00A07E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04A270A" w14:textId="77777777" w:rsidR="00A07EA2" w:rsidRPr="00593A5F" w:rsidRDefault="00A07EA2" w:rsidP="00A07EA2">
      <w:pPr>
        <w:widowControl w:val="0"/>
        <w:autoSpaceDE w:val="0"/>
        <w:autoSpaceDN w:val="0"/>
        <w:spacing w:after="0" w:line="276" w:lineRule="auto"/>
        <w:jc w:val="both"/>
        <w:rPr>
          <w:rFonts w:ascii="Verdana" w:hAnsi="Verdana" w:cs="Arial"/>
        </w:rPr>
      </w:pPr>
    </w:p>
    <w:p w14:paraId="57C879D5" w14:textId="77777777" w:rsidR="00A07EA2" w:rsidRPr="00ED0098" w:rsidRDefault="00A07EA2" w:rsidP="00A07EA2">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502997">
        <w:rPr>
          <w:rStyle w:val="normaltextrun"/>
          <w:rFonts w:ascii="Verdana" w:hAnsi="Verdana" w:cs="Arial"/>
          <w:shd w:val="clear" w:color="auto" w:fill="FFFFFF"/>
        </w:rPr>
        <w:t xml:space="preserve">sobre </w:t>
      </w:r>
      <w:r>
        <w:rPr>
          <w:rStyle w:val="normaltextrun"/>
          <w:rFonts w:ascii="Verdana" w:hAnsi="Verdana" w:cs="Arial"/>
          <w:shd w:val="clear" w:color="auto" w:fill="FFFFFF"/>
        </w:rPr>
        <w:t>los comités asesores de contratación en el Concepto C-533 del 1˚ de diciembre de 2025</w:t>
      </w:r>
      <w:r>
        <w:rPr>
          <w:rFonts w:ascii="Verdana" w:eastAsia="Calibri" w:hAnsi="Verdana" w:cs="Arial"/>
          <w:shd w:val="clear" w:color="auto" w:fill="FFFFFF"/>
        </w:rPr>
        <w:t>.</w:t>
      </w:r>
      <w:r>
        <w:rPr>
          <w:rStyle w:val="normaltextrun"/>
          <w:rFonts w:ascii="Verdana" w:hAnsi="Verdana" w:cs="Arial"/>
          <w:shd w:val="clear" w:color="auto" w:fill="FFFFFF"/>
        </w:rPr>
        <w:t xml:space="preserve"> Asimismo, se ha pronunciado sobre el comité evaluador en los Conceptos </w:t>
      </w:r>
      <w:r w:rsidRPr="00D1184D">
        <w:rPr>
          <w:rStyle w:val="normaltextrun"/>
          <w:rFonts w:ascii="Verdana" w:hAnsi="Verdana" w:cs="Arial"/>
          <w:shd w:val="clear" w:color="auto" w:fill="FFFFFF"/>
        </w:rPr>
        <w:t>4201913000006371 del 31</w:t>
      </w:r>
      <w:r>
        <w:rPr>
          <w:rStyle w:val="normaltextrun"/>
          <w:rFonts w:ascii="Verdana" w:hAnsi="Verdana" w:cs="Arial"/>
          <w:shd w:val="clear" w:color="auto" w:fill="FFFFFF"/>
        </w:rPr>
        <w:t xml:space="preserve"> de octubre de </w:t>
      </w:r>
      <w:r w:rsidRPr="00D1184D">
        <w:rPr>
          <w:rStyle w:val="normaltextrun"/>
          <w:rFonts w:ascii="Verdana" w:hAnsi="Verdana" w:cs="Arial"/>
          <w:shd w:val="clear" w:color="auto" w:fill="FFFFFF"/>
        </w:rPr>
        <w:t>2019,  C-128 de</w:t>
      </w:r>
      <w:r>
        <w:rPr>
          <w:rStyle w:val="normaltextrun"/>
          <w:rFonts w:ascii="Verdana" w:hAnsi="Verdana" w:cs="Arial"/>
          <w:shd w:val="clear" w:color="auto" w:fill="FFFFFF"/>
        </w:rPr>
        <w:t xml:space="preserve">l </w:t>
      </w:r>
      <w:r w:rsidRPr="00D1184D">
        <w:rPr>
          <w:rStyle w:val="normaltextrun"/>
          <w:rFonts w:ascii="Verdana" w:hAnsi="Verdana" w:cs="Arial"/>
          <w:shd w:val="clear" w:color="auto" w:fill="FFFFFF"/>
        </w:rPr>
        <w:t>03</w:t>
      </w:r>
      <w:r>
        <w:rPr>
          <w:rStyle w:val="normaltextrun"/>
          <w:rFonts w:ascii="Verdana" w:hAnsi="Verdana" w:cs="Arial"/>
          <w:shd w:val="clear" w:color="auto" w:fill="FFFFFF"/>
        </w:rPr>
        <w:t xml:space="preserve"> de marzo de </w:t>
      </w:r>
      <w:r w:rsidRPr="00D1184D">
        <w:rPr>
          <w:rStyle w:val="normaltextrun"/>
          <w:rFonts w:ascii="Verdana" w:hAnsi="Verdana" w:cs="Arial"/>
          <w:shd w:val="clear" w:color="auto" w:fill="FFFFFF"/>
        </w:rPr>
        <w:t>2020, C-453 del 26</w:t>
      </w:r>
      <w:r>
        <w:rPr>
          <w:rStyle w:val="normaltextrun"/>
          <w:rFonts w:ascii="Verdana" w:hAnsi="Verdana" w:cs="Arial"/>
          <w:shd w:val="clear" w:color="auto" w:fill="FFFFFF"/>
        </w:rPr>
        <w:t xml:space="preserve"> de julio de </w:t>
      </w:r>
      <w:r w:rsidRPr="00D1184D">
        <w:rPr>
          <w:rStyle w:val="normaltextrun"/>
          <w:rFonts w:ascii="Verdana" w:hAnsi="Verdana" w:cs="Arial"/>
          <w:shd w:val="clear" w:color="auto" w:fill="FFFFFF"/>
        </w:rPr>
        <w:t>2020,</w:t>
      </w:r>
      <w:r>
        <w:rPr>
          <w:rStyle w:val="normaltextrun"/>
          <w:rFonts w:ascii="Verdana" w:hAnsi="Verdana" w:cs="Arial"/>
          <w:shd w:val="clear" w:color="auto" w:fill="FFFFFF"/>
        </w:rPr>
        <w:t xml:space="preserve"> </w:t>
      </w:r>
      <w:r w:rsidRPr="00D1184D">
        <w:rPr>
          <w:rStyle w:val="normaltextrun"/>
          <w:rFonts w:ascii="Verdana" w:hAnsi="Verdana" w:cs="Arial"/>
          <w:shd w:val="clear" w:color="auto" w:fill="FFFFFF"/>
        </w:rPr>
        <w:t>C-748 del 28</w:t>
      </w:r>
      <w:r>
        <w:rPr>
          <w:rStyle w:val="normaltextrun"/>
          <w:rFonts w:ascii="Verdana" w:hAnsi="Verdana" w:cs="Arial"/>
          <w:shd w:val="clear" w:color="auto" w:fill="FFFFFF"/>
        </w:rPr>
        <w:t xml:space="preserve"> de diciembre de </w:t>
      </w:r>
      <w:r w:rsidRPr="00D1184D">
        <w:rPr>
          <w:rStyle w:val="normaltextrun"/>
          <w:rFonts w:ascii="Verdana" w:hAnsi="Verdana" w:cs="Arial"/>
          <w:shd w:val="clear" w:color="auto" w:fill="FFFFFF"/>
        </w:rPr>
        <w:t>2020</w:t>
      </w:r>
      <w:r>
        <w:rPr>
          <w:rStyle w:val="normaltextrun"/>
          <w:rFonts w:ascii="Verdana" w:hAnsi="Verdana" w:cs="Arial"/>
          <w:shd w:val="clear" w:color="auto" w:fill="FFFFFF"/>
        </w:rPr>
        <w:t>,</w:t>
      </w:r>
      <w:r w:rsidRPr="00D1184D">
        <w:rPr>
          <w:rStyle w:val="normaltextrun"/>
          <w:rFonts w:ascii="Verdana" w:hAnsi="Verdana" w:cs="Arial"/>
          <w:shd w:val="clear" w:color="auto" w:fill="FFFFFF"/>
        </w:rPr>
        <w:t xml:space="preserve"> C-449 del 31</w:t>
      </w:r>
      <w:r>
        <w:rPr>
          <w:rStyle w:val="normaltextrun"/>
          <w:rFonts w:ascii="Verdana" w:hAnsi="Verdana" w:cs="Arial"/>
          <w:shd w:val="clear" w:color="auto" w:fill="FFFFFF"/>
        </w:rPr>
        <w:t xml:space="preserve"> de agosto de </w:t>
      </w:r>
      <w:r w:rsidRPr="00D1184D">
        <w:rPr>
          <w:rStyle w:val="normaltextrun"/>
          <w:rFonts w:ascii="Verdana" w:hAnsi="Verdana" w:cs="Arial"/>
          <w:shd w:val="clear" w:color="auto" w:fill="FFFFFF"/>
        </w:rPr>
        <w:t>2021</w:t>
      </w:r>
      <w:r>
        <w:rPr>
          <w:rStyle w:val="normaltextrun"/>
          <w:rFonts w:ascii="Verdana" w:hAnsi="Verdana" w:cs="Arial"/>
          <w:shd w:val="clear" w:color="auto" w:fill="FFFFFF"/>
        </w:rPr>
        <w:t>, C-522 del 1˚ de octubre de 2021 y</w:t>
      </w:r>
      <w:r w:rsidRPr="00D1184D">
        <w:rPr>
          <w:rStyle w:val="normaltextrun"/>
          <w:rFonts w:ascii="Verdana" w:hAnsi="Verdana" w:cs="Arial"/>
          <w:shd w:val="clear" w:color="auto" w:fill="FFFFFF"/>
        </w:rPr>
        <w:t xml:space="preserve"> C-095 del 4</w:t>
      </w:r>
      <w:r>
        <w:rPr>
          <w:rStyle w:val="normaltextrun"/>
          <w:rFonts w:ascii="Verdana" w:hAnsi="Verdana" w:cs="Arial"/>
          <w:shd w:val="clear" w:color="auto" w:fill="FFFFFF"/>
        </w:rPr>
        <w:t xml:space="preserve"> de mayo de </w:t>
      </w:r>
      <w:r w:rsidRPr="00D1184D">
        <w:rPr>
          <w:rStyle w:val="normaltextrun"/>
          <w:rFonts w:ascii="Verdana" w:hAnsi="Verdana" w:cs="Arial"/>
          <w:shd w:val="clear" w:color="auto" w:fill="FFFFFF"/>
        </w:rPr>
        <w:t>2023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0F6B9FE" w14:textId="77777777" w:rsidR="00A07EA2" w:rsidRPr="00096788" w:rsidRDefault="00A07EA2" w:rsidP="00A07EA2">
      <w:pPr>
        <w:widowControl w:val="0"/>
        <w:autoSpaceDE w:val="0"/>
        <w:autoSpaceDN w:val="0"/>
        <w:spacing w:after="0" w:line="276" w:lineRule="auto"/>
        <w:jc w:val="both"/>
        <w:rPr>
          <w:rFonts w:ascii="Verdana" w:hAnsi="Verdana" w:cs="Arial"/>
          <w:color w:val="000000" w:themeColor="text1"/>
          <w:shd w:val="clear" w:color="auto" w:fill="FFFFFF"/>
        </w:rPr>
      </w:pPr>
    </w:p>
    <w:p w14:paraId="544A2867" w14:textId="77777777" w:rsidR="00A07EA2" w:rsidRDefault="00A07EA2" w:rsidP="00A07EA2">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3BFCDD2C" w14:textId="77777777" w:rsidR="00A07EA2" w:rsidRPr="009A385A" w:rsidRDefault="00A07EA2" w:rsidP="00A07EA2">
      <w:pPr>
        <w:spacing w:after="0"/>
        <w:jc w:val="both"/>
        <w:rPr>
          <w:rFonts w:ascii="Verdana" w:hAnsi="Verdana"/>
        </w:rPr>
      </w:pPr>
    </w:p>
    <w:p w14:paraId="6EBDAE15" w14:textId="77777777" w:rsidR="00A07EA2" w:rsidRDefault="00A07EA2" w:rsidP="00A07EA2">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4" w:tgtFrame="_new" w:history="1">
        <w:r w:rsidRPr="00635F16">
          <w:rPr>
            <w:rStyle w:val="Hipervnculo"/>
            <w:rFonts w:ascii="Verdana" w:hAnsi="Verdana"/>
          </w:rPr>
          <w:t>https://www.colombiacompra.gov.co/normativa-y-relatoria/documentos-tipo</w:t>
        </w:r>
      </w:hyperlink>
    </w:p>
    <w:p w14:paraId="7DCC584E" w14:textId="77777777" w:rsidR="00A07EA2" w:rsidRDefault="00A07EA2" w:rsidP="00A07EA2">
      <w:pPr>
        <w:spacing w:after="0"/>
        <w:jc w:val="both"/>
        <w:rPr>
          <w:rFonts w:ascii="Verdana" w:hAnsi="Verdana"/>
        </w:rPr>
      </w:pPr>
    </w:p>
    <w:p w14:paraId="2364B222" w14:textId="77777777" w:rsidR="00A07EA2" w:rsidRPr="008E1CD7" w:rsidRDefault="00A07EA2" w:rsidP="00A07EA2">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9127753" w14:textId="77777777" w:rsidR="00A07EA2" w:rsidRDefault="00A07EA2" w:rsidP="00A07EA2">
      <w:pPr>
        <w:shd w:val="clear" w:color="auto" w:fill="FFFFFF"/>
        <w:spacing w:after="0" w:line="276" w:lineRule="auto"/>
        <w:jc w:val="both"/>
        <w:rPr>
          <w:rFonts w:ascii="Verdana" w:hAnsi="Verdana"/>
          <w:color w:val="000000"/>
          <w:u w:val="single"/>
        </w:rPr>
      </w:pPr>
    </w:p>
    <w:p w14:paraId="0478951B" w14:textId="77777777" w:rsidR="00A07EA2" w:rsidRPr="00116940" w:rsidRDefault="00A07EA2" w:rsidP="00A07EA2">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0FCDA24" w14:textId="77777777" w:rsidR="00A07EA2" w:rsidRPr="00116940" w:rsidRDefault="00A07EA2" w:rsidP="00A07EA2">
      <w:pPr>
        <w:spacing w:after="0"/>
        <w:jc w:val="both"/>
        <w:rPr>
          <w:rFonts w:ascii="Verdana" w:hAnsi="Verdana"/>
        </w:rPr>
      </w:pPr>
    </w:p>
    <w:p w14:paraId="1F496CCC" w14:textId="77777777" w:rsidR="00A07EA2" w:rsidRPr="00116940" w:rsidRDefault="00A07EA2" w:rsidP="00A07EA2">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EDFA028" w14:textId="77777777" w:rsidR="00A07EA2" w:rsidRPr="00116940" w:rsidRDefault="00A07EA2" w:rsidP="00A07EA2">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40FF466" w14:textId="77777777" w:rsidR="00A07EA2" w:rsidRPr="00116940" w:rsidRDefault="00A07EA2" w:rsidP="00A07EA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331FCD0A" w14:textId="77777777" w:rsidR="00A07EA2" w:rsidRPr="00116940" w:rsidRDefault="00A07EA2" w:rsidP="00A07EA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6609C642" w14:textId="77777777" w:rsidR="00A07EA2" w:rsidRPr="00116940" w:rsidRDefault="00A07EA2" w:rsidP="00A07EA2">
      <w:pPr>
        <w:spacing w:after="0" w:line="240" w:lineRule="auto"/>
        <w:ind w:left="720"/>
        <w:jc w:val="both"/>
        <w:rPr>
          <w:rFonts w:ascii="Verdana" w:hAnsi="Verdana"/>
        </w:rPr>
      </w:pPr>
    </w:p>
    <w:p w14:paraId="2007B2B6" w14:textId="77777777" w:rsidR="00A07EA2" w:rsidRPr="00116940" w:rsidRDefault="00A07EA2" w:rsidP="00A07EA2">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25FB6B3" w14:textId="77777777" w:rsidR="00A07EA2" w:rsidRPr="00116940" w:rsidRDefault="00A07EA2" w:rsidP="00A07EA2">
      <w:pPr>
        <w:spacing w:after="0" w:line="240" w:lineRule="auto"/>
        <w:rPr>
          <w:rFonts w:ascii="Verdana" w:hAnsi="Verdana"/>
        </w:rPr>
      </w:pPr>
    </w:p>
    <w:p w14:paraId="0CF0CEEA" w14:textId="77777777" w:rsidR="00A07EA2" w:rsidRPr="00116940" w:rsidRDefault="00A07EA2" w:rsidP="00A07EA2">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D3EB157" w14:textId="77777777" w:rsidR="00A07EA2" w:rsidRPr="00116940" w:rsidRDefault="00A07EA2" w:rsidP="00A07EA2">
      <w:pPr>
        <w:spacing w:after="0" w:line="240" w:lineRule="auto"/>
        <w:jc w:val="both"/>
        <w:rPr>
          <w:rFonts w:ascii="Verdana" w:hAnsi="Verdana"/>
        </w:rPr>
      </w:pPr>
    </w:p>
    <w:p w14:paraId="39261146" w14:textId="77777777" w:rsidR="00A07EA2" w:rsidRPr="00116940" w:rsidRDefault="00A07EA2" w:rsidP="00A07EA2">
      <w:pPr>
        <w:spacing w:after="0" w:line="240"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04718CE4" w14:textId="77777777" w:rsidR="00A07EA2" w:rsidRPr="00116940" w:rsidRDefault="00A07EA2" w:rsidP="00A07EA2">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336ADDE" w14:textId="77777777" w:rsidR="00A07EA2" w:rsidRPr="00116940" w:rsidRDefault="00A07EA2" w:rsidP="00A07EA2">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3B8E97A" w14:textId="77777777" w:rsidR="00A07EA2" w:rsidRPr="009C4035" w:rsidRDefault="00A07EA2" w:rsidP="00A07EA2">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7E1C044" w14:textId="77777777" w:rsidR="00A07EA2" w:rsidRPr="00593A5F" w:rsidRDefault="00A07EA2" w:rsidP="00A07EA2">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A99CD78" w14:textId="77777777" w:rsidR="00A07EA2" w:rsidRPr="00593A5F" w:rsidRDefault="00A07EA2" w:rsidP="00A07EA2">
      <w:pPr>
        <w:widowControl w:val="0"/>
        <w:autoSpaceDE w:val="0"/>
        <w:autoSpaceDN w:val="0"/>
        <w:spacing w:after="0" w:line="276" w:lineRule="auto"/>
        <w:jc w:val="both"/>
        <w:rPr>
          <w:rFonts w:ascii="Verdana" w:hAnsi="Verdana" w:cs="Arial"/>
        </w:rPr>
      </w:pPr>
    </w:p>
    <w:p w14:paraId="496C2320" w14:textId="77777777" w:rsidR="00A07EA2" w:rsidRPr="00593A5F" w:rsidRDefault="00A07EA2" w:rsidP="00A07EA2">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48C54BF" w14:textId="6EBAFA9C" w:rsidR="00A07EA2" w:rsidRPr="00593A5F" w:rsidRDefault="000A4583" w:rsidP="00A07EA2">
      <w:pPr>
        <w:spacing w:line="276" w:lineRule="auto"/>
        <w:jc w:val="center"/>
        <w:rPr>
          <w:rFonts w:ascii="Verdana" w:hAnsi="Verdana" w:cs="Arial"/>
          <w:color w:val="000000"/>
          <w:lang w:val="es-ES_tradnl" w:eastAsia="es-CO"/>
        </w:rPr>
      </w:pPr>
      <w:r>
        <w:rPr>
          <w:noProof/>
        </w:rPr>
        <w:drawing>
          <wp:inline distT="0" distB="0" distL="0" distR="0" wp14:anchorId="162D2BAF" wp14:editId="5DF19989">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07EA2" w:rsidRPr="00593A5F" w14:paraId="67C905D7" w14:textId="77777777" w:rsidTr="00D637B0">
        <w:trPr>
          <w:trHeight w:val="315"/>
        </w:trPr>
        <w:tc>
          <w:tcPr>
            <w:tcW w:w="893" w:type="dxa"/>
            <w:vAlign w:val="center"/>
            <w:hideMark/>
          </w:tcPr>
          <w:p w14:paraId="269C003A" w14:textId="77777777" w:rsidR="00A07EA2" w:rsidRPr="003751C7" w:rsidRDefault="00A07EA2" w:rsidP="00D637B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9C16692" w14:textId="77777777" w:rsidR="00A07EA2" w:rsidRPr="00254A7A" w:rsidRDefault="00A07EA2" w:rsidP="00D637B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B88BD0B" w14:textId="77777777" w:rsidR="00A07EA2" w:rsidRPr="00254A7A" w:rsidRDefault="00A07EA2" w:rsidP="00D637B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A07EA2" w:rsidRPr="00593A5F" w14:paraId="4953DE16" w14:textId="77777777" w:rsidTr="00D637B0">
        <w:trPr>
          <w:trHeight w:val="330"/>
        </w:trPr>
        <w:tc>
          <w:tcPr>
            <w:tcW w:w="893" w:type="dxa"/>
            <w:vAlign w:val="center"/>
            <w:hideMark/>
          </w:tcPr>
          <w:p w14:paraId="25F207D0" w14:textId="77777777" w:rsidR="00A07EA2" w:rsidRPr="003751C7" w:rsidRDefault="00A07EA2" w:rsidP="00D637B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1226FF5" w14:textId="77777777" w:rsidR="00A07EA2" w:rsidRPr="00A40FD0" w:rsidRDefault="00A07EA2" w:rsidP="00D637B0">
            <w:pPr>
              <w:pStyle w:val="paragraph"/>
              <w:spacing w:after="0"/>
              <w:contextualSpacing/>
              <w:textAlignment w:val="baseline"/>
              <w:rPr>
                <w:rStyle w:val="normaltextrun"/>
                <w:rFonts w:ascii="Verdana" w:hAnsi="Verdana" w:cs="Arial"/>
                <w:sz w:val="16"/>
                <w:szCs w:val="16"/>
                <w:lang w:val="es-ES_tradnl"/>
              </w:rPr>
            </w:pPr>
            <w:r w:rsidRPr="00116644">
              <w:rPr>
                <w:rStyle w:val="normaltextrun"/>
                <w:rFonts w:ascii="Verdana" w:hAnsi="Verdana" w:cs="Arial"/>
                <w:sz w:val="16"/>
                <w:szCs w:val="16"/>
                <w:lang w:val="es-ES_tradnl"/>
              </w:rPr>
              <w:t>Juan David Cárdenas Cabeza</w:t>
            </w:r>
          </w:p>
          <w:p w14:paraId="312DE917" w14:textId="77777777" w:rsidR="00A07EA2" w:rsidRPr="00A40FD0" w:rsidRDefault="00A07EA2" w:rsidP="00D637B0">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A07EA2" w:rsidRPr="00593A5F" w14:paraId="18F0CF80" w14:textId="77777777" w:rsidTr="00D637B0">
        <w:trPr>
          <w:trHeight w:val="300"/>
        </w:trPr>
        <w:tc>
          <w:tcPr>
            <w:tcW w:w="893" w:type="dxa"/>
            <w:vAlign w:val="center"/>
          </w:tcPr>
          <w:p w14:paraId="317BDDD1" w14:textId="77777777" w:rsidR="00A07EA2" w:rsidRPr="003751C7" w:rsidRDefault="00A07EA2" w:rsidP="00D637B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7F95D02" w14:textId="77777777" w:rsidR="00A07EA2" w:rsidRPr="00FE00BE" w:rsidRDefault="00A07EA2" w:rsidP="00D637B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34721DDF" w14:textId="77777777" w:rsidR="00A07EA2" w:rsidRPr="00FE00BE" w:rsidRDefault="00A07EA2" w:rsidP="00D637B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69553305" w14:textId="77777777" w:rsidR="00A07EA2" w:rsidRDefault="00A07EA2" w:rsidP="00A07EA2"/>
    <w:p w14:paraId="049338A3" w14:textId="7F8D66A4" w:rsidR="00A07EA2" w:rsidRPr="00543BFE" w:rsidRDefault="00A07EA2" w:rsidP="00A07EA2"/>
    <w:p w14:paraId="0F293BF4" w14:textId="497EC5F5" w:rsidR="00127233" w:rsidRPr="00925F46" w:rsidRDefault="00127233" w:rsidP="00925F46"/>
    <w:sectPr w:rsidR="00127233" w:rsidRPr="00925F46"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ABB57" w14:textId="77777777" w:rsidR="000C4C45" w:rsidRDefault="000C4C45" w:rsidP="004A1847">
      <w:pPr>
        <w:spacing w:after="0" w:line="240" w:lineRule="auto"/>
      </w:pPr>
      <w:r>
        <w:separator/>
      </w:r>
    </w:p>
  </w:endnote>
  <w:endnote w:type="continuationSeparator" w:id="0">
    <w:p w14:paraId="2D176F64" w14:textId="77777777" w:rsidR="000C4C45" w:rsidRDefault="000C4C4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Times New Roman">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5ACC9" w14:textId="77777777" w:rsidR="000C4C45" w:rsidRDefault="000C4C45" w:rsidP="004A1847">
      <w:pPr>
        <w:spacing w:after="0" w:line="240" w:lineRule="auto"/>
      </w:pPr>
      <w:r>
        <w:separator/>
      </w:r>
    </w:p>
  </w:footnote>
  <w:footnote w:type="continuationSeparator" w:id="0">
    <w:p w14:paraId="5D0B0775" w14:textId="77777777" w:rsidR="000C4C45" w:rsidRDefault="000C4C45" w:rsidP="004A1847">
      <w:pPr>
        <w:spacing w:after="0" w:line="240" w:lineRule="auto"/>
      </w:pPr>
      <w:r>
        <w:continuationSeparator/>
      </w:r>
    </w:p>
  </w:footnote>
  <w:footnote w:id="1">
    <w:p w14:paraId="7F903298" w14:textId="77777777" w:rsidR="00A07EA2" w:rsidRPr="00E44B63" w:rsidRDefault="00A07EA2" w:rsidP="00A07EA2">
      <w:pPr>
        <w:pStyle w:val="Textonotapie"/>
        <w:ind w:firstLine="708"/>
        <w:jc w:val="both"/>
        <w:rPr>
          <w:rFonts w:ascii="Verdana" w:hAnsi="Verdana"/>
          <w:sz w:val="16"/>
          <w:szCs w:val="16"/>
        </w:rPr>
      </w:pPr>
      <w:r w:rsidRPr="00E44B63">
        <w:rPr>
          <w:rStyle w:val="Refdenotaalpie"/>
          <w:rFonts w:ascii="Verdana" w:hAnsi="Verdana"/>
          <w:sz w:val="16"/>
          <w:szCs w:val="16"/>
        </w:rPr>
        <w:footnoteRef/>
      </w:r>
      <w:r w:rsidRPr="00E44B63">
        <w:rPr>
          <w:rFonts w:ascii="Verdana" w:hAnsi="Verdana"/>
          <w:sz w:val="16"/>
          <w:szCs w:val="16"/>
        </w:rPr>
        <w:t xml:space="preserve"> Conforme al artículo 11 de la Ley 80 de 1993, “En las entidades estatales a que se refiere el artículo 2°.:</w:t>
      </w:r>
    </w:p>
    <w:p w14:paraId="59F1EA14" w14:textId="77777777" w:rsidR="00A07EA2" w:rsidRPr="00E44B63" w:rsidRDefault="00A07EA2" w:rsidP="00A07EA2">
      <w:pPr>
        <w:pStyle w:val="Textonotapie"/>
        <w:ind w:firstLine="708"/>
        <w:jc w:val="both"/>
        <w:rPr>
          <w:rFonts w:ascii="Verdana" w:hAnsi="Verdana"/>
          <w:sz w:val="16"/>
          <w:szCs w:val="16"/>
        </w:rPr>
      </w:pPr>
      <w:r w:rsidRPr="00E44B63">
        <w:rPr>
          <w:rFonts w:ascii="Verdana" w:hAnsi="Verdana"/>
          <w:sz w:val="16"/>
          <w:szCs w:val="16"/>
        </w:rPr>
        <w:t>1°. La competencia para ordenar y dirigir la celebración de licitaciones y para escoger contratistas será del jefe o representante de la entidad, según el caso.</w:t>
      </w:r>
    </w:p>
    <w:p w14:paraId="30ADE60C" w14:textId="77777777" w:rsidR="00A07EA2" w:rsidRPr="00E44B63" w:rsidRDefault="00A07EA2" w:rsidP="00A07EA2">
      <w:pPr>
        <w:pStyle w:val="Textonotapie"/>
        <w:ind w:firstLine="708"/>
        <w:jc w:val="both"/>
        <w:rPr>
          <w:rFonts w:ascii="Verdana" w:hAnsi="Verdana"/>
          <w:sz w:val="16"/>
          <w:szCs w:val="16"/>
        </w:rPr>
      </w:pPr>
      <w:r w:rsidRPr="00E44B63">
        <w:rPr>
          <w:rFonts w:ascii="Verdana" w:hAnsi="Verdana"/>
          <w:sz w:val="16"/>
          <w:szCs w:val="16"/>
        </w:rPr>
        <w:t>2°. Tiene competencia para celebrar contratos a nombre de la Nación, el Presidente de la República.</w:t>
      </w:r>
    </w:p>
    <w:p w14:paraId="1A5F199A" w14:textId="77777777" w:rsidR="00A07EA2" w:rsidRPr="00E44B63" w:rsidRDefault="00A07EA2" w:rsidP="00A07EA2">
      <w:pPr>
        <w:pStyle w:val="Textonotapie"/>
        <w:ind w:firstLine="708"/>
        <w:jc w:val="both"/>
        <w:rPr>
          <w:rFonts w:ascii="Verdana" w:hAnsi="Verdana"/>
          <w:sz w:val="16"/>
          <w:szCs w:val="16"/>
          <w:lang w:val="es-CO"/>
        </w:rPr>
      </w:pPr>
      <w:r w:rsidRPr="00E44B63">
        <w:rPr>
          <w:rFonts w:ascii="Verdana" w:hAnsi="Verdana"/>
          <w:sz w:val="16"/>
          <w:szCs w:val="16"/>
          <w:lang w:val="es-CO"/>
        </w:rPr>
        <w:t>3°. Tienen competencia para celebrar contratos a nombre de la entidad respectiva:</w:t>
      </w:r>
    </w:p>
    <w:p w14:paraId="4D65E81C" w14:textId="77777777" w:rsidR="00A07EA2" w:rsidRPr="00E44B63" w:rsidRDefault="00A07EA2" w:rsidP="00A07EA2">
      <w:pPr>
        <w:pStyle w:val="Textonotapie"/>
        <w:ind w:firstLine="708"/>
        <w:jc w:val="both"/>
        <w:rPr>
          <w:rFonts w:ascii="Verdana" w:hAnsi="Verdana"/>
          <w:sz w:val="16"/>
          <w:szCs w:val="16"/>
          <w:lang w:val="es-CO"/>
        </w:rPr>
      </w:pPr>
      <w:r w:rsidRPr="00E44B63">
        <w:rPr>
          <w:rFonts w:ascii="Verdana" w:hAnsi="Verdana"/>
          <w:sz w:val="16"/>
          <w:szCs w:val="16"/>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w:t>
      </w:r>
    </w:p>
    <w:p w14:paraId="598658BB" w14:textId="77777777" w:rsidR="00A07EA2" w:rsidRPr="00E44B63" w:rsidRDefault="00A07EA2" w:rsidP="00A07EA2">
      <w:pPr>
        <w:pStyle w:val="Textonotapie"/>
        <w:ind w:firstLine="708"/>
        <w:jc w:val="both"/>
        <w:rPr>
          <w:rFonts w:ascii="Verdana" w:hAnsi="Verdana"/>
          <w:sz w:val="16"/>
          <w:szCs w:val="16"/>
          <w:lang w:val="es-CO"/>
        </w:rPr>
      </w:pPr>
      <w:r w:rsidRPr="00E44B63">
        <w:rPr>
          <w:rFonts w:ascii="Verdana" w:hAnsi="Verdana"/>
          <w:sz w:val="16"/>
          <w:szCs w:val="16"/>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w:t>
      </w:r>
    </w:p>
    <w:p w14:paraId="1206E09E" w14:textId="77777777" w:rsidR="00A07EA2" w:rsidRPr="00E44B63" w:rsidRDefault="00A07EA2" w:rsidP="00A07EA2">
      <w:pPr>
        <w:pStyle w:val="Textonotapie"/>
        <w:ind w:firstLine="708"/>
        <w:jc w:val="both"/>
        <w:rPr>
          <w:rFonts w:ascii="Verdana" w:hAnsi="Verdana"/>
          <w:sz w:val="16"/>
          <w:szCs w:val="16"/>
          <w:lang w:val="es-CO"/>
        </w:rPr>
      </w:pPr>
      <w:r w:rsidRPr="00E44B63">
        <w:rPr>
          <w:rFonts w:ascii="Verdana" w:hAnsi="Verdana"/>
          <w:sz w:val="16"/>
          <w:szCs w:val="16"/>
          <w:lang w:val="es-CO"/>
        </w:rPr>
        <w:t>c) Los representantes legales de las entidades descentralizadas en todos los órdenes y niveles”.</w:t>
      </w:r>
    </w:p>
  </w:footnote>
  <w:footnote w:id="2">
    <w:p w14:paraId="2CE3C958" w14:textId="77777777" w:rsidR="00A07EA2" w:rsidRPr="00E44B63" w:rsidRDefault="00A07EA2" w:rsidP="00A07EA2">
      <w:pPr>
        <w:pStyle w:val="Textonotapie"/>
        <w:ind w:firstLine="708"/>
        <w:jc w:val="both"/>
        <w:rPr>
          <w:rFonts w:ascii="Verdana" w:hAnsi="Verdana"/>
          <w:sz w:val="16"/>
          <w:szCs w:val="16"/>
        </w:rPr>
      </w:pPr>
      <w:r w:rsidRPr="00E44B63">
        <w:rPr>
          <w:rStyle w:val="Refdenotaalpie"/>
          <w:rFonts w:ascii="Verdana" w:hAnsi="Verdana"/>
          <w:sz w:val="16"/>
          <w:szCs w:val="16"/>
        </w:rPr>
        <w:footnoteRef/>
      </w:r>
      <w:r w:rsidRPr="00E44B63">
        <w:rPr>
          <w:rFonts w:ascii="Verdana" w:hAnsi="Verdana"/>
          <w:sz w:val="16"/>
          <w:szCs w:val="16"/>
        </w:rPr>
        <w:t xml:space="preserve"> En lo pertinente, el artículo 12 del Estatuto General de Contratación dispone que “Los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w:t>
      </w:r>
    </w:p>
    <w:p w14:paraId="39AFF46F" w14:textId="77777777" w:rsidR="00A07EA2" w:rsidRPr="00E44B63" w:rsidRDefault="00A07EA2" w:rsidP="00A07EA2">
      <w:pPr>
        <w:pStyle w:val="Textonotapie"/>
        <w:ind w:firstLine="708"/>
        <w:jc w:val="both"/>
        <w:rPr>
          <w:rFonts w:ascii="Verdana" w:hAnsi="Verdana"/>
          <w:sz w:val="16"/>
          <w:szCs w:val="16"/>
        </w:rPr>
      </w:pPr>
      <w:r w:rsidRPr="00E44B63">
        <w:rPr>
          <w:rFonts w:ascii="Verdana" w:hAnsi="Verdana"/>
          <w:sz w:val="16"/>
          <w:szCs w:val="16"/>
        </w:rPr>
        <w:t>[…]</w:t>
      </w:r>
    </w:p>
    <w:p w14:paraId="2E411A65" w14:textId="77777777" w:rsidR="00A07EA2" w:rsidRPr="00E44B63" w:rsidRDefault="00A07EA2" w:rsidP="00A07EA2">
      <w:pPr>
        <w:pStyle w:val="Textonotapie"/>
        <w:ind w:firstLine="708"/>
        <w:jc w:val="both"/>
        <w:rPr>
          <w:rFonts w:ascii="Verdana" w:hAnsi="Verdana"/>
          <w:sz w:val="16"/>
          <w:szCs w:val="16"/>
          <w:lang w:val="es-CO"/>
        </w:rPr>
      </w:pPr>
      <w:r w:rsidRPr="00E44B63">
        <w:rPr>
          <w:rFonts w:ascii="Verdana" w:hAnsi="Verdana"/>
          <w:sz w:val="16"/>
          <w:szCs w:val="16"/>
          <w:lang w:val="es-CO"/>
        </w:rPr>
        <w:t>Parágrafo. 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w:t>
      </w:r>
    </w:p>
  </w:footnote>
  <w:footnote w:id="3">
    <w:p w14:paraId="129E66E4" w14:textId="77777777" w:rsidR="00A07EA2" w:rsidRPr="00E44B63" w:rsidRDefault="00A07EA2" w:rsidP="00A07EA2">
      <w:pPr>
        <w:pStyle w:val="Textonotapie"/>
        <w:ind w:firstLine="709"/>
        <w:jc w:val="both"/>
        <w:rPr>
          <w:rFonts w:ascii="Verdana" w:hAnsi="Verdana" w:cs="Arial"/>
          <w:sz w:val="16"/>
          <w:szCs w:val="16"/>
          <w:lang w:val="es-ES"/>
        </w:rPr>
      </w:pPr>
      <w:r w:rsidRPr="00E44B63">
        <w:rPr>
          <w:rStyle w:val="Refdenotaalpie"/>
          <w:rFonts w:ascii="Verdana" w:hAnsi="Verdana" w:cs="Arial"/>
          <w:sz w:val="16"/>
          <w:szCs w:val="16"/>
        </w:rPr>
        <w:footnoteRef/>
      </w:r>
      <w:r w:rsidRPr="00E44B63">
        <w:rPr>
          <w:rFonts w:ascii="Verdana" w:hAnsi="Verdana" w:cs="Arial"/>
          <w:sz w:val="16"/>
          <w:szCs w:val="16"/>
        </w:rPr>
        <w:t xml:space="preserve"> </w:t>
      </w:r>
      <w:r w:rsidRPr="00E44B63">
        <w:rPr>
          <w:rFonts w:ascii="Verdana" w:hAnsi="Verdana" w:cs="Arial"/>
          <w:sz w:val="16"/>
          <w:szCs w:val="16"/>
          <w:lang w:val="es-ES"/>
        </w:rPr>
        <w:t xml:space="preserve">Recuérdese que las denominadas </w:t>
      </w:r>
      <w:r>
        <w:rPr>
          <w:rFonts w:ascii="Verdana" w:hAnsi="Verdana" w:cs="Arial"/>
          <w:sz w:val="16"/>
          <w:szCs w:val="16"/>
          <w:lang w:val="es-ES"/>
        </w:rPr>
        <w:t>“</w:t>
      </w:r>
      <w:r w:rsidRPr="00E44B63">
        <w:rPr>
          <w:rFonts w:ascii="Verdana" w:hAnsi="Verdana" w:cs="Arial"/>
          <w:sz w:val="16"/>
          <w:szCs w:val="16"/>
          <w:lang w:val="es-ES"/>
        </w:rPr>
        <w:t>manifestaciones de interés</w:t>
      </w:r>
      <w:r>
        <w:rPr>
          <w:rFonts w:ascii="Verdana" w:hAnsi="Verdana" w:cs="Arial"/>
          <w:sz w:val="16"/>
          <w:szCs w:val="16"/>
          <w:lang w:val="es-ES"/>
        </w:rPr>
        <w:t>”</w:t>
      </w:r>
      <w:r w:rsidRPr="00E44B63">
        <w:rPr>
          <w:rFonts w:ascii="Verdana" w:hAnsi="Verdana" w:cs="Arial"/>
          <w:sz w:val="16"/>
          <w:szCs w:val="16"/>
          <w:lang w:val="es-ES"/>
        </w:rPr>
        <w:t xml:space="preserve"> corresponden a la modalidad de selección de contratistas del Concurso de Méritos con Precalificación, regulado, entre otros, en los artículos </w:t>
      </w:r>
      <w:r w:rsidRPr="00AF21A5">
        <w:rPr>
          <w:rFonts w:ascii="Verdana" w:hAnsi="Verdana" w:cs="Arial"/>
          <w:sz w:val="16"/>
          <w:szCs w:val="16"/>
          <w:lang w:val="es-ES"/>
        </w:rPr>
        <w:t>2.2.1.2.1.3.3</w:t>
      </w:r>
      <w:r w:rsidRPr="00E44B63">
        <w:rPr>
          <w:rFonts w:ascii="Verdana" w:hAnsi="Verdana" w:cs="Arial"/>
          <w:sz w:val="16"/>
          <w:szCs w:val="16"/>
          <w:lang w:val="es-ES"/>
        </w:rPr>
        <w:t xml:space="preserve"> y siguientes del Decreto 1082 de 2015. </w:t>
      </w:r>
    </w:p>
  </w:footnote>
  <w:footnote w:id="4">
    <w:p w14:paraId="61DDF645" w14:textId="77777777" w:rsidR="00A07EA2" w:rsidRDefault="00A07EA2" w:rsidP="00A07EA2">
      <w:pPr>
        <w:pStyle w:val="Textonotapie"/>
        <w:ind w:firstLine="708"/>
        <w:jc w:val="both"/>
        <w:rPr>
          <w:rFonts w:ascii="Verdana" w:hAnsi="Verdana"/>
          <w:sz w:val="16"/>
          <w:szCs w:val="16"/>
          <w:lang w:val="es-ES_tradnl"/>
        </w:rPr>
      </w:pPr>
      <w:r w:rsidRPr="00424C25">
        <w:rPr>
          <w:rStyle w:val="Refdenotaalpie"/>
          <w:rFonts w:ascii="Verdana" w:hAnsi="Verdana"/>
          <w:sz w:val="16"/>
          <w:szCs w:val="16"/>
        </w:rPr>
        <w:footnoteRef/>
      </w:r>
      <w:r w:rsidRPr="00424C25">
        <w:rPr>
          <w:rFonts w:ascii="Verdana" w:hAnsi="Verdana"/>
          <w:sz w:val="16"/>
          <w:szCs w:val="16"/>
        </w:rPr>
        <w:t xml:space="preserve"> </w:t>
      </w:r>
      <w:r w:rsidRPr="00424C25">
        <w:rPr>
          <w:rFonts w:ascii="Verdana" w:hAnsi="Verdana"/>
          <w:sz w:val="16"/>
          <w:szCs w:val="16"/>
          <w:lang w:val="es-ES_tradnl"/>
        </w:rPr>
        <w:t>El inciso final del numeral 3 del artículo 2 de la Ley 1150 de 2007 establec</w:t>
      </w:r>
      <w:r>
        <w:rPr>
          <w:rFonts w:ascii="Verdana" w:hAnsi="Verdana"/>
          <w:sz w:val="16"/>
          <w:szCs w:val="16"/>
          <w:lang w:val="es-ES_tradnl"/>
        </w:rPr>
        <w:t xml:space="preserve">e </w:t>
      </w:r>
      <w:r w:rsidRPr="00424C25">
        <w:rPr>
          <w:rFonts w:ascii="Verdana" w:hAnsi="Verdana"/>
          <w:sz w:val="16"/>
          <w:szCs w:val="16"/>
          <w:lang w:val="es-ES_tradnl"/>
        </w:rPr>
        <w:t xml:space="preserve">que </w:t>
      </w:r>
      <w:r>
        <w:rPr>
          <w:rFonts w:ascii="Verdana" w:hAnsi="Verdana"/>
          <w:sz w:val="16"/>
          <w:szCs w:val="16"/>
          <w:lang w:val="es-ES_tradnl"/>
        </w:rPr>
        <w:t>“D</w:t>
      </w:r>
      <w:r w:rsidRPr="00424C25">
        <w:rPr>
          <w:rFonts w:ascii="Verdana" w:hAnsi="Verdana"/>
          <w:sz w:val="16"/>
          <w:szCs w:val="16"/>
          <w:lang w:val="es-ES_tradnl"/>
        </w:rPr>
        <w:t xml:space="preserve">e conformidad con las condiciones que señale el reglamento, en desarrollo de estos procesos de selección [haciendo referencia al Concurso de Méritos], las propuestas técnicas o de proyectos podrán ser presentadas en forma anónima ante un jurado plural, </w:t>
      </w:r>
      <w:r w:rsidRPr="00424C25">
        <w:rPr>
          <w:rFonts w:ascii="Verdana" w:hAnsi="Verdana"/>
          <w:i/>
          <w:iCs/>
          <w:sz w:val="16"/>
          <w:szCs w:val="16"/>
          <w:lang w:val="es-ES_tradnl"/>
        </w:rPr>
        <w:t>impar,</w:t>
      </w:r>
      <w:r w:rsidRPr="00424C25">
        <w:rPr>
          <w:rFonts w:ascii="Verdana" w:hAnsi="Verdana"/>
          <w:sz w:val="16"/>
          <w:szCs w:val="16"/>
          <w:lang w:val="es-ES_tradnl"/>
        </w:rPr>
        <w:t xml:space="preserve"> deliberante y calificado</w:t>
      </w:r>
      <w:r>
        <w:rPr>
          <w:rFonts w:ascii="Verdana" w:hAnsi="Verdana"/>
          <w:sz w:val="16"/>
          <w:szCs w:val="16"/>
          <w:lang w:val="es-ES_tradnl"/>
        </w:rPr>
        <w:t>”</w:t>
      </w:r>
      <w:r w:rsidRPr="00424C25">
        <w:rPr>
          <w:rFonts w:ascii="Verdana" w:hAnsi="Verdana"/>
          <w:sz w:val="16"/>
          <w:szCs w:val="16"/>
          <w:lang w:val="es-ES_tradnl"/>
        </w:rPr>
        <w:t xml:space="preserve"> (Corchetes y énfasis fuera de texto). Nótese que, para el Concurso de Méritos, por expresa disposición legal, la oferta podrá ser presentada ante un jurado que deberá contener un número impar de miembros.</w:t>
      </w:r>
      <w:r>
        <w:rPr>
          <w:rFonts w:ascii="Verdana" w:hAnsi="Verdana"/>
          <w:sz w:val="16"/>
          <w:szCs w:val="16"/>
          <w:lang w:val="es-ES_tradnl"/>
        </w:rPr>
        <w:t xml:space="preserve"> </w:t>
      </w:r>
    </w:p>
    <w:p w14:paraId="1B3D8CCF" w14:textId="77777777" w:rsidR="00A07EA2" w:rsidRPr="00424C25" w:rsidRDefault="00A07EA2" w:rsidP="00A07EA2">
      <w:pPr>
        <w:pStyle w:val="Textonotapie"/>
        <w:ind w:firstLine="708"/>
        <w:jc w:val="both"/>
        <w:rPr>
          <w:rFonts w:ascii="Verdana" w:hAnsi="Verdana"/>
          <w:sz w:val="16"/>
          <w:szCs w:val="16"/>
        </w:rPr>
      </w:pPr>
      <w:r>
        <w:rPr>
          <w:rFonts w:ascii="Verdana" w:hAnsi="Verdana"/>
          <w:sz w:val="16"/>
          <w:szCs w:val="16"/>
          <w:lang w:val="es-ES_tradnl"/>
        </w:rPr>
        <w:t xml:space="preserve">Al respecto, </w:t>
      </w:r>
      <w:r w:rsidRPr="001F234E">
        <w:rPr>
          <w:rFonts w:ascii="Verdana" w:hAnsi="Verdana"/>
          <w:sz w:val="16"/>
          <w:szCs w:val="16"/>
          <w:lang w:val="es-ES_tradnl"/>
        </w:rPr>
        <w:t>el artículo 2.2.1.2.1.3.17 del Decreto 1082 de 2015 establece que el Jurado Calificador en el Concurso de Arquitectura se integrará por cinco (5) miembros que corresponderán a: un (1) representante de la entidad estatal, dos (2) representantes de la Sociedad Colombiana de Arquitectos nombrados por la Junta Nacional, un (1) representante de la regional de la Sociedad Colombiana de arquitectos donde se pretenda realizar el objeto del concurso y un (1) representante del alcalde municipal distrital o especial.</w:t>
      </w:r>
    </w:p>
  </w:footnote>
  <w:footnote w:id="5">
    <w:p w14:paraId="234FAF94" w14:textId="77777777" w:rsidR="00A07EA2" w:rsidRPr="00E44B63" w:rsidRDefault="00A07EA2" w:rsidP="00A07EA2">
      <w:pPr>
        <w:spacing w:after="0" w:line="240" w:lineRule="auto"/>
        <w:ind w:firstLine="709"/>
        <w:jc w:val="both"/>
        <w:rPr>
          <w:rFonts w:ascii="Verdana" w:eastAsia="Calibri,Times New Roman" w:hAnsi="Verdana" w:cs="Arial"/>
          <w:i/>
          <w:iCs/>
          <w:sz w:val="16"/>
          <w:szCs w:val="16"/>
          <w:lang w:val="es-ES"/>
        </w:rPr>
      </w:pPr>
      <w:r w:rsidRPr="00E44B63">
        <w:rPr>
          <w:rStyle w:val="Refdenotaalpie"/>
          <w:rFonts w:ascii="Verdana" w:hAnsi="Verdana" w:cs="Arial"/>
          <w:sz w:val="16"/>
          <w:szCs w:val="16"/>
        </w:rPr>
        <w:footnoteRef/>
      </w:r>
      <w:r w:rsidRPr="00E44B63">
        <w:rPr>
          <w:rFonts w:ascii="Verdana" w:hAnsi="Verdana" w:cs="Arial"/>
          <w:sz w:val="16"/>
          <w:szCs w:val="16"/>
        </w:rPr>
        <w:t xml:space="preserve"> </w:t>
      </w:r>
      <w:r>
        <w:rPr>
          <w:rFonts w:ascii="Verdana" w:hAnsi="Verdana" w:cs="Arial"/>
          <w:color w:val="000000" w:themeColor="text1"/>
          <w:sz w:val="16"/>
          <w:szCs w:val="16"/>
          <w:lang w:val="es-ES_tradnl"/>
        </w:rPr>
        <w:t>“</w:t>
      </w:r>
      <w:r w:rsidRPr="00E44B63">
        <w:rPr>
          <w:rFonts w:ascii="Verdana" w:eastAsia="Calibri,Times New Roman" w:hAnsi="Verdana" w:cs="Arial"/>
          <w:sz w:val="16"/>
          <w:szCs w:val="16"/>
          <w:lang w:val="es-ES"/>
        </w:rPr>
        <w:t>[E]l informe de evaluación y calificación de las propuestas se constituye en un acto de trámite, pues no consolida una situación jurídica en favor del proponente y tampoco pone fin al proceso de selección respectiva, siendo entonces el acto de adjudicación el acto definitivo, pues por medio de éste se consolida la nueva situación jurídica en favor del proponente y pone fin al respectivo proceso de selección.</w:t>
      </w:r>
      <w:r>
        <w:rPr>
          <w:rFonts w:ascii="Verdana" w:hAnsi="Verdana" w:cs="Arial"/>
          <w:color w:val="000000" w:themeColor="text1"/>
          <w:sz w:val="16"/>
          <w:szCs w:val="16"/>
          <w:lang w:val="es-ES_tradnl"/>
        </w:rPr>
        <w:t>”</w:t>
      </w:r>
      <w:r w:rsidRPr="00E44B63">
        <w:rPr>
          <w:rFonts w:ascii="Verdana" w:hAnsi="Verdana" w:cs="Arial"/>
          <w:color w:val="000000" w:themeColor="text1"/>
          <w:sz w:val="16"/>
          <w:szCs w:val="16"/>
          <w:lang w:val="es-ES_tradnl"/>
        </w:rPr>
        <w:t xml:space="preserve"> (Consejo de Estado. Sección Tercera. Sentencia de 1 de abril de 2016, Exp. 47145 C.P. Jaime Orlando Santofimio Gamboa).</w:t>
      </w:r>
    </w:p>
  </w:footnote>
  <w:footnote w:id="6">
    <w:p w14:paraId="430F7417" w14:textId="77777777" w:rsidR="00A07EA2" w:rsidRPr="00E44B63" w:rsidRDefault="00A07EA2" w:rsidP="00A07EA2">
      <w:pPr>
        <w:pStyle w:val="Textonotapie"/>
        <w:ind w:firstLine="709"/>
        <w:jc w:val="both"/>
        <w:rPr>
          <w:rFonts w:ascii="Verdana" w:hAnsi="Verdana" w:cs="Arial"/>
          <w:sz w:val="16"/>
          <w:szCs w:val="16"/>
          <w:lang w:val="es-CO"/>
        </w:rPr>
      </w:pPr>
      <w:r w:rsidRPr="00E44B63">
        <w:rPr>
          <w:rStyle w:val="Refdenotaalpie"/>
          <w:rFonts w:ascii="Verdana" w:hAnsi="Verdana" w:cs="Arial"/>
          <w:sz w:val="16"/>
          <w:szCs w:val="16"/>
        </w:rPr>
        <w:footnoteRef/>
      </w:r>
      <w:r w:rsidRPr="00E44B63">
        <w:rPr>
          <w:rFonts w:ascii="Verdana" w:hAnsi="Verdana" w:cs="Arial"/>
          <w:sz w:val="16"/>
          <w:szCs w:val="16"/>
        </w:rPr>
        <w:t xml:space="preserve"> </w:t>
      </w:r>
      <w:r w:rsidRPr="00E44B63">
        <w:rPr>
          <w:rFonts w:ascii="Verdana" w:hAnsi="Verdana" w:cs="Arial"/>
          <w:color w:val="000000" w:themeColor="text1"/>
          <w:sz w:val="16"/>
          <w:szCs w:val="16"/>
          <w:lang w:val="es-ES_tradnl"/>
        </w:rPr>
        <w:t>Consejo de Estado. Sección Tercera</w:t>
      </w:r>
      <w:r w:rsidRPr="00E44B63">
        <w:rPr>
          <w:rFonts w:ascii="Verdana" w:hAnsi="Verdana" w:cs="Arial"/>
          <w:sz w:val="16"/>
          <w:szCs w:val="16"/>
        </w:rPr>
        <w:t xml:space="preserve">. Sentencia de 28 de mayo de 2012, Exp. 22089. C.P. Ruth Stella Correa Palacio. </w:t>
      </w:r>
      <w:r>
        <w:rPr>
          <w:rFonts w:ascii="Verdana" w:hAnsi="Verdana" w:cs="Arial"/>
          <w:color w:val="000000" w:themeColor="text1"/>
          <w:sz w:val="16"/>
          <w:szCs w:val="16"/>
          <w:lang w:val="es-ES_tradnl"/>
        </w:rPr>
        <w:t>“</w:t>
      </w:r>
      <w:r w:rsidRPr="00E44B63">
        <w:rPr>
          <w:rFonts w:ascii="Verdana" w:hAnsi="Verdana" w:cs="Arial"/>
          <w:sz w:val="16"/>
          <w:szCs w:val="16"/>
        </w:rPr>
        <w:t>[L]os comités o cuerpos técnicos a quienes se encarga la evaluación de las propuestas para la adjudicación de la licitación pública, a pesar de ser “de una importancia excepcional...no es obligatorio para el funcionario u organismo que adjudica, a menos que el ordenamiento así lo imponga”. En igual sentido indicó que “los cuerpos asesores deben ser oídos, pero sus puntos de vista son simplemente ilustrativos”, ya que la elección de la oferta más ventajosa debe ser efectuada por el órgano competente</w:t>
      </w:r>
      <w:r>
        <w:rPr>
          <w:rFonts w:ascii="Verdana" w:hAnsi="Verdana" w:cs="Arial"/>
          <w:color w:val="000000" w:themeColor="text1"/>
          <w:sz w:val="16"/>
          <w:szCs w:val="16"/>
          <w:lang w:val="es-ES_tradnl"/>
        </w:rPr>
        <w:t>”</w:t>
      </w:r>
      <w:r w:rsidRPr="00E44B63">
        <w:rPr>
          <w:rFonts w:ascii="Verdana" w:hAnsi="Verdana" w:cs="Arial"/>
          <w:sz w:val="16"/>
          <w:szCs w:val="16"/>
        </w:rPr>
        <w:t>. Consejo de Estado. Sección Tercera. (Sentencia de 29 de julio de 2013, Exp. 24311. C.P. Ramiro De Jesús Pazos).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B08"/>
    <w:rsid w:val="00046945"/>
    <w:rsid w:val="00061B2A"/>
    <w:rsid w:val="0006314D"/>
    <w:rsid w:val="00082362"/>
    <w:rsid w:val="000A4583"/>
    <w:rsid w:val="000A683E"/>
    <w:rsid w:val="000B19B9"/>
    <w:rsid w:val="000C4C45"/>
    <w:rsid w:val="000D0334"/>
    <w:rsid w:val="000D5DA7"/>
    <w:rsid w:val="000F6486"/>
    <w:rsid w:val="00116940"/>
    <w:rsid w:val="00125105"/>
    <w:rsid w:val="00127233"/>
    <w:rsid w:val="00147597"/>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7632"/>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375D1"/>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381"/>
    <w:rsid w:val="00706C16"/>
    <w:rsid w:val="00717764"/>
    <w:rsid w:val="007340C3"/>
    <w:rsid w:val="0075235A"/>
    <w:rsid w:val="00756841"/>
    <w:rsid w:val="007649AB"/>
    <w:rsid w:val="00771D0C"/>
    <w:rsid w:val="007833AC"/>
    <w:rsid w:val="007B268C"/>
    <w:rsid w:val="007B7171"/>
    <w:rsid w:val="007C0C0F"/>
    <w:rsid w:val="007C3DC2"/>
    <w:rsid w:val="007E5497"/>
    <w:rsid w:val="00806F5F"/>
    <w:rsid w:val="00810C0D"/>
    <w:rsid w:val="00820278"/>
    <w:rsid w:val="008258C9"/>
    <w:rsid w:val="00844AE9"/>
    <w:rsid w:val="00867F95"/>
    <w:rsid w:val="008843B6"/>
    <w:rsid w:val="00891928"/>
    <w:rsid w:val="008A446D"/>
    <w:rsid w:val="008B25F1"/>
    <w:rsid w:val="008D180B"/>
    <w:rsid w:val="008F0EA7"/>
    <w:rsid w:val="00923EEF"/>
    <w:rsid w:val="00925F46"/>
    <w:rsid w:val="009419F9"/>
    <w:rsid w:val="009544A0"/>
    <w:rsid w:val="0095685E"/>
    <w:rsid w:val="00961B09"/>
    <w:rsid w:val="00965334"/>
    <w:rsid w:val="0097093E"/>
    <w:rsid w:val="009A0DFA"/>
    <w:rsid w:val="009A1C6F"/>
    <w:rsid w:val="009B2D26"/>
    <w:rsid w:val="009C71FA"/>
    <w:rsid w:val="009C72E7"/>
    <w:rsid w:val="009C7F7E"/>
    <w:rsid w:val="009D3058"/>
    <w:rsid w:val="009F39C4"/>
    <w:rsid w:val="009F3A13"/>
    <w:rsid w:val="00A07EA2"/>
    <w:rsid w:val="00A122D3"/>
    <w:rsid w:val="00A14468"/>
    <w:rsid w:val="00A17F13"/>
    <w:rsid w:val="00A20739"/>
    <w:rsid w:val="00A219E2"/>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3386C"/>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2BE3"/>
    <w:rsid w:val="00DC39FC"/>
    <w:rsid w:val="00DF5254"/>
    <w:rsid w:val="00E02524"/>
    <w:rsid w:val="00E16408"/>
    <w:rsid w:val="00E20894"/>
    <w:rsid w:val="00E245AB"/>
    <w:rsid w:val="00E2523C"/>
    <w:rsid w:val="00E2764C"/>
    <w:rsid w:val="00E27F2E"/>
    <w:rsid w:val="00E50AFE"/>
    <w:rsid w:val="00E75C92"/>
    <w:rsid w:val="00E771DC"/>
    <w:rsid w:val="00E8772A"/>
    <w:rsid w:val="00E90F6B"/>
    <w:rsid w:val="00E92C27"/>
    <w:rsid w:val="00EA0E3D"/>
    <w:rsid w:val="00EC38A7"/>
    <w:rsid w:val="00EE1AA8"/>
    <w:rsid w:val="00EF3D84"/>
    <w:rsid w:val="00F23FEA"/>
    <w:rsid w:val="00F31EDC"/>
    <w:rsid w:val="00F462B3"/>
    <w:rsid w:val="00F5664F"/>
    <w:rsid w:val="00F666C4"/>
    <w:rsid w:val="00F76AFC"/>
    <w:rsid w:val="00FA47C0"/>
    <w:rsid w:val="00FB5DD1"/>
    <w:rsid w:val="00FC2B5D"/>
    <w:rsid w:val="00FE067F"/>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07EA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07EA2"/>
    <w:rPr>
      <w:rFonts w:ascii="Geomanist Light" w:hAnsi="Geomanist Light"/>
      <w:lang w:val="es-ES"/>
    </w:rPr>
  </w:style>
  <w:style w:type="character" w:customStyle="1" w:styleId="s15">
    <w:name w:val="s15"/>
    <w:basedOn w:val="Fuentedeprrafopredeter"/>
    <w:rsid w:val="00A07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elicaj24@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282C9B7-F6BB-4AFC-8E3B-29031C0489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15</Pages>
  <Words>4787</Words>
  <Characters>26331</Characters>
  <Application>Microsoft Office Word</Application>
  <DocSecurity>0</DocSecurity>
  <Lines>219</Lines>
  <Paragraphs>62</Paragraphs>
  <ScaleCrop>false</ScaleCrop>
  <Company/>
  <LinksUpToDate>false</LinksUpToDate>
  <CharactersWithSpaces>31056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2026-04-20T22:40:00Z</dcterms:created>
  <dcterms:modified xsi:type="dcterms:W3CDTF">2026-04-28T19:19:00Z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