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E99CC" w14:textId="77777777" w:rsidR="00DE63F1" w:rsidRDefault="00DE63F1" w:rsidP="00DE63F1">
      <w:pPr>
        <w:spacing w:after="0"/>
        <w:jc w:val="both"/>
        <w:rPr>
          <w:rFonts w:ascii="Verdana" w:eastAsia="Verdana" w:hAnsi="Verdana" w:cs="Verdana"/>
          <w:b/>
          <w:bCs/>
        </w:rPr>
      </w:pPr>
      <w:bookmarkStart w:id="0" w:name="_Hlk143780582"/>
      <w:r w:rsidRPr="00DE63F1">
        <w:rPr>
          <w:rFonts w:ascii="Verdana" w:eastAsia="Verdana" w:hAnsi="Verdana" w:cs="Verdana"/>
          <w:b/>
          <w:bCs/>
        </w:rPr>
        <w:t>PLANEACIÓN – Procesos de contratación pública</w:t>
      </w:r>
    </w:p>
    <w:p w14:paraId="5030C921" w14:textId="77777777" w:rsidR="00DE63F1" w:rsidRPr="00DE63F1" w:rsidRDefault="00DE63F1" w:rsidP="00DE63F1">
      <w:pPr>
        <w:spacing w:after="0"/>
        <w:jc w:val="both"/>
        <w:rPr>
          <w:rFonts w:ascii="Verdana" w:eastAsia="Verdana" w:hAnsi="Verdana" w:cs="Verdana"/>
        </w:rPr>
      </w:pPr>
    </w:p>
    <w:p w14:paraId="21BEEA2C"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2FC10381" w14:textId="77777777" w:rsidR="00DE63F1" w:rsidRPr="00DE63F1" w:rsidRDefault="00DE63F1" w:rsidP="00DE63F1">
      <w:pPr>
        <w:spacing w:after="0"/>
        <w:jc w:val="both"/>
        <w:rPr>
          <w:rFonts w:ascii="Verdana" w:eastAsia="Verdana" w:hAnsi="Verdana" w:cs="Verdana"/>
          <w:sz w:val="20"/>
          <w:szCs w:val="20"/>
        </w:rPr>
      </w:pPr>
    </w:p>
    <w:p w14:paraId="342A6344"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El Estatuto General de Contratación de la Administración Pública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w:t>
      </w:r>
    </w:p>
    <w:p w14:paraId="2059EBDB" w14:textId="77777777" w:rsidR="00DE63F1" w:rsidRPr="00DE63F1" w:rsidRDefault="00DE63F1" w:rsidP="00DE63F1">
      <w:pPr>
        <w:spacing w:after="0"/>
        <w:jc w:val="both"/>
        <w:rPr>
          <w:rFonts w:ascii="Verdana" w:eastAsia="Verdana" w:hAnsi="Verdana" w:cs="Verdana"/>
          <w:sz w:val="20"/>
          <w:szCs w:val="20"/>
        </w:rPr>
      </w:pPr>
    </w:p>
    <w:p w14:paraId="592EF3E7" w14:textId="77777777" w:rsidR="00DE63F1" w:rsidRDefault="00DE63F1" w:rsidP="00DE63F1">
      <w:pPr>
        <w:spacing w:after="0"/>
        <w:jc w:val="both"/>
        <w:rPr>
          <w:rFonts w:ascii="Verdana" w:eastAsia="Verdana" w:hAnsi="Verdana" w:cs="Verdana"/>
          <w:b/>
          <w:bCs/>
        </w:rPr>
      </w:pPr>
      <w:r w:rsidRPr="00DE63F1">
        <w:rPr>
          <w:rFonts w:ascii="Verdana" w:eastAsia="Verdana" w:hAnsi="Verdana" w:cs="Verdana"/>
          <w:b/>
          <w:bCs/>
        </w:rPr>
        <w:t>ESTUDIOS PREVIOS – Análisis del sector – Estudio del mercado</w:t>
      </w:r>
    </w:p>
    <w:p w14:paraId="5C176BCD" w14:textId="77777777" w:rsidR="00DE63F1" w:rsidRPr="00DE63F1" w:rsidRDefault="00DE63F1" w:rsidP="00DE63F1">
      <w:pPr>
        <w:spacing w:after="0"/>
        <w:jc w:val="both"/>
        <w:rPr>
          <w:rFonts w:ascii="Verdana" w:eastAsia="Verdana" w:hAnsi="Verdana" w:cs="Verdana"/>
        </w:rPr>
      </w:pPr>
    </w:p>
    <w:p w14:paraId="769A25A1" w14:textId="3E56AAF8"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xml:space="preserve">[…]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1. La descripción de la necesidad que la Entidad Estatal pretende satisfacer con el Proceso de Contratación. 2. El objeto a contratar, con sus especificaciones, las autorizaciones, permisos y licencias requeridos para su ejecución, y cuando el contrato incluye diseño y construcción, los documentos técnicos para el desarrollo del proyecto. 3. La modalidad de selección del contratista y su justificación, incluyendo los fundamentos jurídicos. 4. El valor estimado del contrato y la justificación </w:t>
      </w:r>
      <w:proofErr w:type="gramStart"/>
      <w:r w:rsidRPr="00DE63F1">
        <w:rPr>
          <w:rFonts w:ascii="Verdana" w:eastAsia="Verdana" w:hAnsi="Verdana" w:cs="Verdana"/>
          <w:sz w:val="20"/>
          <w:szCs w:val="20"/>
        </w:rPr>
        <w:t>del mismo</w:t>
      </w:r>
      <w:proofErr w:type="gramEnd"/>
      <w:r w:rsidRPr="00DE63F1">
        <w:rPr>
          <w:rFonts w:ascii="Verdana" w:eastAsia="Verdana" w:hAnsi="Verdana" w:cs="Verdana"/>
          <w:sz w:val="20"/>
          <w:szCs w:val="20"/>
        </w:rPr>
        <w:t>.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5. Los criterios para seleccionar la oferta más favorable. 6. El análisis de Riesgo y la forma de mitigarlo. 7. Las garantías que la Entidad Estatal contempla exigir en el proceso de contratación. 8. La indicación de si el proceso de contratación está cobijado por un acuerdo comercial.</w:t>
      </w:r>
    </w:p>
    <w:p w14:paraId="2A34BD0C" w14:textId="77777777" w:rsidR="00DE63F1" w:rsidRPr="00DE63F1" w:rsidRDefault="00DE63F1" w:rsidP="00DE63F1">
      <w:pPr>
        <w:spacing w:after="0"/>
        <w:jc w:val="both"/>
        <w:rPr>
          <w:rFonts w:ascii="Verdana" w:eastAsia="Verdana" w:hAnsi="Verdana" w:cs="Verdana"/>
          <w:sz w:val="20"/>
          <w:szCs w:val="20"/>
        </w:rPr>
      </w:pPr>
    </w:p>
    <w:p w14:paraId="078619EA"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w:t>
      </w:r>
    </w:p>
    <w:p w14:paraId="2DE501C8" w14:textId="77777777" w:rsidR="00DE63F1" w:rsidRPr="00DE63F1" w:rsidRDefault="00DE63F1" w:rsidP="00DE63F1">
      <w:pPr>
        <w:spacing w:after="0"/>
        <w:jc w:val="both"/>
        <w:rPr>
          <w:rFonts w:ascii="Verdana" w:eastAsia="Verdana" w:hAnsi="Verdana" w:cs="Verdana"/>
          <w:sz w:val="18"/>
          <w:szCs w:val="18"/>
        </w:rPr>
      </w:pPr>
    </w:p>
    <w:p w14:paraId="3E9CD67D"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xml:space="preserve">[…] los estudios y documentos previos son necesarios antes de la celebración del contrato, pues fundamentan las condiciones que la entidad estatal exige en su proceso </w:t>
      </w:r>
      <w:r w:rsidRPr="00DE63F1">
        <w:rPr>
          <w:rFonts w:ascii="Verdana" w:eastAsia="Verdana" w:hAnsi="Verdana" w:cs="Verdana"/>
          <w:sz w:val="20"/>
          <w:szCs w:val="20"/>
        </w:rPr>
        <w:lastRenderedPageBreak/>
        <w:t>de contratación. Sin embargo, luego de la suscripción del contrato la entidad no debe actuar unilateralmente, sino que debe respetar la buena fe contractual y proceder de acuerdo con lo pactado.</w:t>
      </w:r>
    </w:p>
    <w:p w14:paraId="324F8573" w14:textId="77777777" w:rsidR="00DE63F1" w:rsidRPr="00DE63F1" w:rsidRDefault="00DE63F1" w:rsidP="00DE63F1">
      <w:pPr>
        <w:spacing w:after="0"/>
        <w:jc w:val="both"/>
        <w:rPr>
          <w:rFonts w:ascii="Verdana" w:eastAsia="Verdana" w:hAnsi="Verdana" w:cs="Verdana"/>
          <w:sz w:val="20"/>
          <w:szCs w:val="20"/>
        </w:rPr>
      </w:pPr>
    </w:p>
    <w:p w14:paraId="21DD40E5" w14:textId="77777777" w:rsidR="00DE63F1" w:rsidRDefault="00DE63F1" w:rsidP="00DE63F1">
      <w:pPr>
        <w:spacing w:after="0"/>
        <w:jc w:val="both"/>
        <w:rPr>
          <w:rFonts w:ascii="Verdana" w:eastAsia="Verdana" w:hAnsi="Verdana" w:cs="Verdana"/>
          <w:b/>
          <w:bCs/>
        </w:rPr>
      </w:pPr>
      <w:r w:rsidRPr="00DE63F1">
        <w:rPr>
          <w:rFonts w:ascii="Verdana" w:eastAsia="Verdana" w:hAnsi="Verdana" w:cs="Verdana"/>
          <w:b/>
          <w:bCs/>
        </w:rPr>
        <w:t>ESTUDIOS DE MERCADO – Objetivo – Recomendaciones – Instrumentos institucionales – Guía de elaboración de estudios del sector.</w:t>
      </w:r>
    </w:p>
    <w:p w14:paraId="5F7F15C9" w14:textId="77777777" w:rsidR="00DE63F1" w:rsidRPr="00DE63F1" w:rsidRDefault="00DE63F1" w:rsidP="00DE63F1">
      <w:pPr>
        <w:spacing w:after="0"/>
        <w:jc w:val="both"/>
        <w:rPr>
          <w:rFonts w:ascii="Verdana" w:eastAsia="Verdana" w:hAnsi="Verdana" w:cs="Verdana"/>
        </w:rPr>
      </w:pPr>
    </w:p>
    <w:p w14:paraId="400F4F9B"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w:t>
      </w:r>
    </w:p>
    <w:p w14:paraId="53275B7D" w14:textId="77777777" w:rsidR="00DE63F1" w:rsidRPr="00DE63F1" w:rsidRDefault="00DE63F1" w:rsidP="00DE63F1">
      <w:pPr>
        <w:spacing w:after="0"/>
        <w:jc w:val="both"/>
        <w:rPr>
          <w:rFonts w:ascii="Verdana" w:eastAsia="Verdana" w:hAnsi="Verdana" w:cs="Verdana"/>
          <w:sz w:val="20"/>
          <w:szCs w:val="20"/>
        </w:rPr>
      </w:pPr>
    </w:p>
    <w:p w14:paraId="266DD2EA"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651EA1C3" w14:textId="77777777" w:rsidR="00DE63F1" w:rsidRPr="00DE63F1" w:rsidRDefault="00DE63F1" w:rsidP="00DE63F1">
      <w:pPr>
        <w:spacing w:after="0"/>
        <w:jc w:val="both"/>
        <w:rPr>
          <w:rFonts w:ascii="Verdana" w:eastAsia="Verdana" w:hAnsi="Verdana" w:cs="Verdana"/>
          <w:sz w:val="20"/>
          <w:szCs w:val="20"/>
        </w:rPr>
      </w:pPr>
    </w:p>
    <w:p w14:paraId="5E411A2C"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En ese orden de ideas se deber hacer un análisis desde las diferentes perspectivas: Legal […] Comercial […] Financiera […] Organizacional […].</w:t>
      </w:r>
    </w:p>
    <w:p w14:paraId="5B7D3B6E" w14:textId="77777777" w:rsidR="00DE63F1" w:rsidRPr="00DE63F1" w:rsidRDefault="00DE63F1" w:rsidP="00DE63F1">
      <w:pPr>
        <w:spacing w:after="0"/>
        <w:jc w:val="both"/>
        <w:rPr>
          <w:rFonts w:ascii="Verdana" w:eastAsia="Verdana" w:hAnsi="Verdana" w:cs="Verdana"/>
          <w:sz w:val="20"/>
          <w:szCs w:val="20"/>
        </w:rPr>
      </w:pPr>
    </w:p>
    <w:p w14:paraId="0295E88C"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205EE69C" w14:textId="77777777" w:rsidR="00DE63F1" w:rsidRPr="00DE63F1" w:rsidRDefault="00DE63F1" w:rsidP="00DE63F1">
      <w:pPr>
        <w:spacing w:after="0"/>
        <w:jc w:val="both"/>
        <w:rPr>
          <w:rFonts w:ascii="Verdana" w:eastAsia="Verdana" w:hAnsi="Verdana" w:cs="Verdana"/>
          <w:sz w:val="20"/>
          <w:szCs w:val="20"/>
        </w:rPr>
      </w:pPr>
    </w:p>
    <w:p w14:paraId="4C06FF2D"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w:t>
      </w:r>
    </w:p>
    <w:p w14:paraId="68FA4081" w14:textId="77777777" w:rsidR="00DE63F1" w:rsidRPr="00DE63F1" w:rsidRDefault="00DE63F1" w:rsidP="00DE63F1">
      <w:pPr>
        <w:spacing w:after="0"/>
        <w:jc w:val="both"/>
        <w:rPr>
          <w:rFonts w:ascii="Verdana" w:eastAsia="Verdana" w:hAnsi="Verdana" w:cs="Verdana"/>
          <w:sz w:val="20"/>
          <w:szCs w:val="20"/>
        </w:rPr>
      </w:pPr>
    </w:p>
    <w:p w14:paraId="437843A8" w14:textId="77777777" w:rsid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 xml:space="preserve">[…] La Agencia Nacional de Contratación Pública - Colombia Compra Eficiente dispone de la “Guía de Elaboración del Estudio del Sector”, instrumento que sirve de apoyo para </w:t>
      </w:r>
      <w:r w:rsidRPr="00DE63F1">
        <w:rPr>
          <w:rFonts w:ascii="Verdana" w:eastAsia="Verdana" w:hAnsi="Verdana" w:cs="Verdana"/>
          <w:sz w:val="20"/>
          <w:szCs w:val="20"/>
        </w:rPr>
        <w:lastRenderedPageBreak/>
        <w:t>entender el mercado del bien, obra o servicio que la entidad estatal pretende adquirir y diseñar el proceso de contratación con la información necesaria para alcanzar los objetivos de eficacia, eficiencia, economía, promoción de la competencia y manejo del riesgo. […]</w:t>
      </w:r>
    </w:p>
    <w:p w14:paraId="5C15B57A" w14:textId="77777777" w:rsidR="00DE63F1" w:rsidRPr="00DE63F1" w:rsidRDefault="00DE63F1" w:rsidP="00DE63F1">
      <w:pPr>
        <w:spacing w:after="0"/>
        <w:jc w:val="both"/>
        <w:rPr>
          <w:rFonts w:ascii="Verdana" w:eastAsia="Verdana" w:hAnsi="Verdana" w:cs="Verdana"/>
          <w:sz w:val="20"/>
          <w:szCs w:val="20"/>
        </w:rPr>
      </w:pPr>
    </w:p>
    <w:p w14:paraId="77C85A7F" w14:textId="77777777" w:rsidR="00DE63F1" w:rsidRPr="00DE63F1" w:rsidRDefault="00DE63F1" w:rsidP="00DE63F1">
      <w:pPr>
        <w:spacing w:after="0"/>
        <w:jc w:val="both"/>
        <w:rPr>
          <w:rFonts w:ascii="Verdana" w:eastAsia="Verdana" w:hAnsi="Verdana" w:cs="Verdana"/>
          <w:sz w:val="20"/>
          <w:szCs w:val="20"/>
        </w:rPr>
      </w:pPr>
      <w:r w:rsidRPr="00DE63F1">
        <w:rPr>
          <w:rFonts w:ascii="Verdana" w:eastAsia="Verdana" w:hAnsi="Verdana" w:cs="Verdana"/>
          <w:sz w:val="20"/>
          <w:szCs w:val="20"/>
        </w:rPr>
        <w:t>Así, 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028A4966" w14:textId="77777777" w:rsidR="00502B0F" w:rsidRPr="00DE63F1" w:rsidRDefault="00502B0F" w:rsidP="30821638">
      <w:pPr>
        <w:spacing w:after="0"/>
        <w:rPr>
          <w:rFonts w:ascii="Verdana" w:eastAsia="Verdana" w:hAnsi="Verdana" w:cs="Verdana"/>
          <w:sz w:val="20"/>
          <w:szCs w:val="20"/>
        </w:rPr>
      </w:pPr>
    </w:p>
    <w:p w14:paraId="269F8D70" w14:textId="77777777" w:rsidR="00502B0F" w:rsidRDefault="00502B0F">
      <w:pPr>
        <w:rPr>
          <w:rFonts w:ascii="Verdana" w:eastAsia="Verdana" w:hAnsi="Verdana" w:cs="Verdana"/>
        </w:rPr>
      </w:pPr>
      <w:r>
        <w:rPr>
          <w:rFonts w:ascii="Verdana" w:eastAsia="Verdana" w:hAnsi="Verdana" w:cs="Verdana"/>
        </w:rPr>
        <w:br w:type="page"/>
      </w:r>
    </w:p>
    <w:p w14:paraId="1468C46D" w14:textId="01C91DE8" w:rsidR="00C15139" w:rsidRDefault="00C15139" w:rsidP="30821638">
      <w:pPr>
        <w:spacing w:after="0"/>
        <w:rPr>
          <w:rFonts w:ascii="Verdana" w:eastAsia="Verdana" w:hAnsi="Verdana" w:cs="Verdana"/>
        </w:rPr>
      </w:pPr>
      <w:r w:rsidRPr="30821638">
        <w:rPr>
          <w:rFonts w:ascii="Verdana" w:eastAsia="Verdana" w:hAnsi="Verdana" w:cs="Verdana"/>
        </w:rPr>
        <w:lastRenderedPageBreak/>
        <w:t xml:space="preserve">Bogotá D.C., </w:t>
      </w:r>
      <w:r w:rsidR="008375EA">
        <w:rPr>
          <w:rFonts w:ascii="Verdana" w:eastAsia="Verdana" w:hAnsi="Verdana" w:cs="Verdana"/>
        </w:rPr>
        <w:t xml:space="preserve">28 </w:t>
      </w:r>
      <w:r w:rsidR="00DA2DF1">
        <w:rPr>
          <w:rFonts w:ascii="Verdana" w:eastAsia="Verdana" w:hAnsi="Verdana" w:cs="Verdana"/>
        </w:rPr>
        <w:t>abril</w:t>
      </w:r>
      <w:r w:rsidR="008375EA">
        <w:rPr>
          <w:rFonts w:ascii="Verdana" w:eastAsia="Verdana" w:hAnsi="Verdana" w:cs="Verdana"/>
        </w:rPr>
        <w:t xml:space="preserve"> 2026</w:t>
      </w:r>
    </w:p>
    <w:p w14:paraId="330A669D" w14:textId="6C00C46A" w:rsidR="00D873DF" w:rsidRPr="0024624F" w:rsidRDefault="00D873DF" w:rsidP="00D873DF">
      <w:pPr>
        <w:spacing w:after="0"/>
        <w:jc w:val="right"/>
        <w:rPr>
          <w:rFonts w:ascii="Verdana" w:eastAsia="Verdana" w:hAnsi="Verdana" w:cs="Verdana"/>
        </w:rPr>
      </w:pPr>
      <w:r w:rsidRPr="00D873DF">
        <w:rPr>
          <w:rFonts w:ascii="Verdana" w:eastAsia="Verdana" w:hAnsi="Verdana" w:cs="Verdana"/>
          <w:noProof/>
        </w:rPr>
        <w:drawing>
          <wp:inline distT="0" distB="0" distL="0" distR="0" wp14:anchorId="747C0EE7" wp14:editId="5654994B">
            <wp:extent cx="2448267" cy="628738"/>
            <wp:effectExtent l="0" t="0" r="0" b="0"/>
            <wp:docPr id="18951154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115422" name=""/>
                    <pic:cNvPicPr/>
                  </pic:nvPicPr>
                  <pic:blipFill>
                    <a:blip r:embed="rId11"/>
                    <a:stretch>
                      <a:fillRect/>
                    </a:stretch>
                  </pic:blipFill>
                  <pic:spPr>
                    <a:xfrm>
                      <a:off x="0" y="0"/>
                      <a:ext cx="2448267" cy="628738"/>
                    </a:xfrm>
                    <a:prstGeom prst="rect">
                      <a:avLst/>
                    </a:prstGeom>
                  </pic:spPr>
                </pic:pic>
              </a:graphicData>
            </a:graphic>
          </wp:inline>
        </w:drawing>
      </w:r>
    </w:p>
    <w:p w14:paraId="6405D94D" w14:textId="56158C3D" w:rsidR="00C72866" w:rsidRDefault="00C72866" w:rsidP="003261CC">
      <w:pPr>
        <w:spacing w:after="0" w:line="240" w:lineRule="auto"/>
        <w:jc w:val="both"/>
        <w:rPr>
          <w:rFonts w:ascii="Verdana" w:eastAsia="Calibri" w:hAnsi="Verdana" w:cs="Arial"/>
          <w:lang w:val="es-ES" w:eastAsia="es-ES"/>
        </w:rPr>
      </w:pPr>
      <w:r>
        <w:rPr>
          <w:rFonts w:ascii="Verdana" w:eastAsia="Calibri" w:hAnsi="Verdana" w:cs="Arial"/>
          <w:lang w:val="es-ES" w:eastAsia="es-ES"/>
        </w:rPr>
        <w:t>Intendente</w:t>
      </w:r>
    </w:p>
    <w:p w14:paraId="494A23D0" w14:textId="13B1D788" w:rsidR="001577D0" w:rsidRPr="003C77DA" w:rsidRDefault="001577D0" w:rsidP="003261CC">
      <w:pPr>
        <w:spacing w:after="0" w:line="240" w:lineRule="auto"/>
        <w:jc w:val="both"/>
        <w:rPr>
          <w:rFonts w:ascii="Verdana" w:eastAsia="Calibri" w:hAnsi="Verdana" w:cs="Arial"/>
          <w:b/>
          <w:bCs/>
          <w:lang w:val="es-ES" w:eastAsia="es-ES"/>
        </w:rPr>
      </w:pPr>
      <w:r w:rsidRPr="003C77DA">
        <w:rPr>
          <w:rFonts w:ascii="Verdana" w:eastAsia="Calibri" w:hAnsi="Verdana" w:cs="Arial"/>
          <w:b/>
          <w:bCs/>
          <w:lang w:val="es-ES" w:eastAsia="es-ES"/>
        </w:rPr>
        <w:t>Jheyns Fabián Riaño Mateus</w:t>
      </w:r>
    </w:p>
    <w:p w14:paraId="03DCA763" w14:textId="2FCAFB54" w:rsidR="001577D0" w:rsidRPr="003C77DA" w:rsidRDefault="001577D0" w:rsidP="003261CC">
      <w:pPr>
        <w:spacing w:after="0" w:line="240" w:lineRule="auto"/>
        <w:jc w:val="both"/>
        <w:rPr>
          <w:rFonts w:ascii="Verdana" w:eastAsia="Calibri" w:hAnsi="Verdana" w:cs="Arial"/>
          <w:b/>
          <w:bCs/>
          <w:lang w:val="es-ES" w:eastAsia="es-ES"/>
        </w:rPr>
      </w:pPr>
      <w:r w:rsidRPr="003C77DA">
        <w:rPr>
          <w:rFonts w:ascii="Verdana" w:eastAsia="Calibri" w:hAnsi="Verdana" w:cs="Arial"/>
          <w:b/>
          <w:bCs/>
          <w:lang w:val="es-ES" w:eastAsia="es-ES"/>
        </w:rPr>
        <w:t xml:space="preserve">Administrador bases de datos, Infraestructura Convergente, </w:t>
      </w:r>
      <w:proofErr w:type="spellStart"/>
      <w:r w:rsidRPr="003C77DA">
        <w:rPr>
          <w:rFonts w:ascii="Verdana" w:eastAsia="Calibri" w:hAnsi="Verdana" w:cs="Arial"/>
          <w:b/>
          <w:bCs/>
          <w:lang w:val="es-ES" w:eastAsia="es-ES"/>
        </w:rPr>
        <w:t>Backup</w:t>
      </w:r>
      <w:proofErr w:type="spellEnd"/>
      <w:r w:rsidRPr="003C77DA">
        <w:rPr>
          <w:rFonts w:ascii="Verdana" w:eastAsia="Calibri" w:hAnsi="Verdana" w:cs="Arial"/>
          <w:b/>
          <w:bCs/>
          <w:lang w:val="es-ES" w:eastAsia="es-ES"/>
        </w:rPr>
        <w:t xml:space="preserve"> y Nube</w:t>
      </w:r>
    </w:p>
    <w:p w14:paraId="1207C3D5" w14:textId="4327C59B" w:rsidR="003C77DA" w:rsidRPr="003C77DA" w:rsidRDefault="003C77DA" w:rsidP="003261CC">
      <w:pPr>
        <w:spacing w:after="0" w:line="240" w:lineRule="auto"/>
        <w:jc w:val="both"/>
        <w:rPr>
          <w:rFonts w:ascii="Verdana" w:eastAsia="Calibri" w:hAnsi="Verdana" w:cs="Arial"/>
          <w:b/>
          <w:bCs/>
          <w:lang w:val="es-ES" w:eastAsia="es-ES"/>
        </w:rPr>
      </w:pPr>
      <w:r w:rsidRPr="003C77DA">
        <w:rPr>
          <w:rFonts w:ascii="Verdana" w:eastAsia="Calibri" w:hAnsi="Verdana" w:cs="Arial"/>
          <w:b/>
          <w:bCs/>
          <w:lang w:val="es-ES" w:eastAsia="es-ES"/>
        </w:rPr>
        <w:t>Grupo Administración de Servicio de Infraestructura en la Nube</w:t>
      </w:r>
    </w:p>
    <w:p w14:paraId="71BDD75D" w14:textId="190A60D9" w:rsidR="0041278B" w:rsidRDefault="003261CC" w:rsidP="00E90850">
      <w:pPr>
        <w:spacing w:after="0" w:line="240" w:lineRule="auto"/>
        <w:jc w:val="both"/>
        <w:rPr>
          <w:rFonts w:ascii="Verdana" w:eastAsia="Calibri" w:hAnsi="Verdana" w:cs="Arial"/>
          <w:b/>
          <w:bCs/>
          <w:lang w:val="es-ES_tradnl" w:eastAsia="es-ES_tradnl"/>
        </w:rPr>
      </w:pPr>
      <w:r>
        <w:rPr>
          <w:rFonts w:ascii="Verdana" w:eastAsia="Calibri" w:hAnsi="Verdana" w:cs="Arial"/>
          <w:b/>
          <w:bCs/>
          <w:lang w:val="es-ES" w:eastAsia="es-ES"/>
        </w:rPr>
        <w:t xml:space="preserve">Policía Nacional </w:t>
      </w:r>
    </w:p>
    <w:p w14:paraId="23683A09" w14:textId="6F7AD501" w:rsidR="00E90850" w:rsidRPr="00675C00" w:rsidRDefault="00675C00" w:rsidP="00E90850">
      <w:pPr>
        <w:spacing w:after="0" w:line="240" w:lineRule="auto"/>
        <w:jc w:val="both"/>
        <w:rPr>
          <w:rFonts w:ascii="Verdana" w:eastAsia="Calibri" w:hAnsi="Verdana" w:cs="Arial"/>
          <w:b/>
          <w:bCs/>
          <w:lang w:val="es-ES_tradnl" w:eastAsia="es-ES_tradnl"/>
        </w:rPr>
      </w:pPr>
      <w:hyperlink r:id="rId12" w:history="1">
        <w:r w:rsidRPr="00675C00">
          <w:rPr>
            <w:rStyle w:val="Hipervnculo"/>
            <w:rFonts w:ascii="Verdana" w:eastAsia="Calibri" w:hAnsi="Verdana" w:cs="Arial"/>
            <w:b/>
            <w:bCs/>
            <w:lang w:val="es-ES_tradnl" w:eastAsia="es-ES_tradnl"/>
          </w:rPr>
          <w:t>Jheyns.riano6142@correo.policia.gov.co</w:t>
        </w:r>
      </w:hyperlink>
      <w:r w:rsidRPr="00675C00">
        <w:rPr>
          <w:rFonts w:ascii="Verdana" w:eastAsia="Calibri" w:hAnsi="Verdana" w:cs="Arial"/>
          <w:b/>
          <w:bCs/>
          <w:lang w:val="es-ES_tradnl" w:eastAsia="es-ES_tradnl"/>
        </w:rPr>
        <w:t xml:space="preserve"> </w:t>
      </w:r>
    </w:p>
    <w:p w14:paraId="5842CEE0" w14:textId="77777777" w:rsidR="0055038B" w:rsidRPr="00E91BA5" w:rsidRDefault="0055038B" w:rsidP="0055038B">
      <w:pPr>
        <w:spacing w:after="0" w:line="240" w:lineRule="auto"/>
        <w:jc w:val="both"/>
        <w:rPr>
          <w:rFonts w:ascii="Verdana" w:eastAsia="Calibri" w:hAnsi="Verdana" w:cs="Arial"/>
          <w:lang w:val="es-ES_tradnl" w:eastAsia="es-ES_tradnl"/>
        </w:rPr>
      </w:pPr>
      <w:r w:rsidRPr="00E91BA5">
        <w:rPr>
          <w:rFonts w:ascii="Verdana" w:eastAsia="Calibri" w:hAnsi="Verdana" w:cs="Arial"/>
          <w:lang w:val="es-ES_tradnl" w:eastAsia="es-ES_tradnl"/>
        </w:rPr>
        <w:t>Bogotá, D.C</w:t>
      </w:r>
    </w:p>
    <w:p w14:paraId="160754C6" w14:textId="77777777" w:rsidR="0055038B" w:rsidRPr="00E9728D" w:rsidRDefault="0055038B" w:rsidP="0055038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5038B" w:rsidRPr="00E9728D" w14:paraId="20673E99" w14:textId="77777777" w:rsidTr="00BA05D4">
        <w:trPr>
          <w:trHeight w:val="884"/>
        </w:trPr>
        <w:tc>
          <w:tcPr>
            <w:tcW w:w="2689" w:type="dxa"/>
          </w:tcPr>
          <w:p w14:paraId="324BEAE6" w14:textId="77777777" w:rsidR="0055038B" w:rsidRPr="00114F4E" w:rsidRDefault="0055038B" w:rsidP="00BA05D4">
            <w:pPr>
              <w:jc w:val="both"/>
              <w:rPr>
                <w:rFonts w:ascii="Verdana" w:eastAsia="Calibri" w:hAnsi="Verdana" w:cs="Arial"/>
                <w:b/>
                <w:bCs/>
                <w:color w:val="7030A0"/>
                <w:highlight w:val="green"/>
                <w:lang w:val="es-ES_tradnl" w:eastAsia="es-ES_tradnl"/>
              </w:rPr>
            </w:pPr>
          </w:p>
        </w:tc>
        <w:tc>
          <w:tcPr>
            <w:tcW w:w="6100" w:type="dxa"/>
          </w:tcPr>
          <w:p w14:paraId="257F5186" w14:textId="616443B0" w:rsidR="0055038B" w:rsidRPr="004267FD" w:rsidRDefault="0055038B" w:rsidP="00BA05D4">
            <w:pPr>
              <w:jc w:val="both"/>
              <w:rPr>
                <w:rFonts w:ascii="Verdana" w:eastAsia="Calibri" w:hAnsi="Verdana" w:cs="Arial"/>
                <w:b/>
                <w:bCs/>
                <w:lang w:val="es-ES" w:eastAsia="es-ES"/>
              </w:rPr>
            </w:pPr>
            <w:r w:rsidRPr="00A831DD">
              <w:rPr>
                <w:rFonts w:ascii="Verdana" w:eastAsia="Calibri" w:hAnsi="Verdana" w:cs="Arial"/>
                <w:b/>
                <w:bCs/>
                <w:lang w:val="es-ES" w:eastAsia="es-ES"/>
              </w:rPr>
              <w:t xml:space="preserve">Concepto </w:t>
            </w:r>
            <w:r w:rsidR="001528A7" w:rsidRPr="001528A7">
              <w:rPr>
                <w:rFonts w:ascii="Verdana" w:eastAsia="Calibri" w:hAnsi="Verdana" w:cs="Arial"/>
                <w:b/>
                <w:bCs/>
                <w:lang w:eastAsia="es-ES"/>
              </w:rPr>
              <w:t xml:space="preserve">C-544 </w:t>
            </w:r>
            <w:r w:rsidRPr="00A831DD">
              <w:rPr>
                <w:rFonts w:ascii="Verdana" w:eastAsia="Calibri" w:hAnsi="Verdana" w:cs="Arial"/>
                <w:b/>
                <w:bCs/>
                <w:lang w:val="es-ES" w:eastAsia="es-ES"/>
              </w:rPr>
              <w:t>de 2026</w:t>
            </w:r>
          </w:p>
        </w:tc>
      </w:tr>
      <w:tr w:rsidR="0055038B" w:rsidRPr="00E9728D" w14:paraId="5723CCD9" w14:textId="77777777" w:rsidTr="00BA05D4">
        <w:trPr>
          <w:trHeight w:val="884"/>
        </w:trPr>
        <w:tc>
          <w:tcPr>
            <w:tcW w:w="2689" w:type="dxa"/>
          </w:tcPr>
          <w:p w14:paraId="33D940E9" w14:textId="77777777" w:rsidR="0055038B" w:rsidRPr="00A50078" w:rsidRDefault="0055038B" w:rsidP="00BA05D4">
            <w:pPr>
              <w:jc w:val="both"/>
              <w:rPr>
                <w:rFonts w:ascii="Verdana" w:eastAsia="Calibri" w:hAnsi="Verdana" w:cs="Arial"/>
                <w:color w:val="000000"/>
                <w:lang w:val="es-ES_tradnl" w:eastAsia="es-ES_tradnl"/>
              </w:rPr>
            </w:pPr>
            <w:r w:rsidRPr="00A50078">
              <w:rPr>
                <w:rFonts w:ascii="Verdana" w:eastAsia="Calibri" w:hAnsi="Verdana" w:cs="Arial"/>
                <w:b/>
                <w:color w:val="000000"/>
                <w:lang w:val="es-ES_tradnl" w:eastAsia="es-ES_tradnl"/>
              </w:rPr>
              <w:t>Temas:</w:t>
            </w:r>
            <w:r w:rsidRPr="00A50078">
              <w:rPr>
                <w:rFonts w:ascii="Verdana" w:eastAsia="Calibri" w:hAnsi="Verdana" w:cs="Arial"/>
                <w:color w:val="000000"/>
                <w:lang w:val="es-ES_tradnl" w:eastAsia="es-ES_tradnl"/>
              </w:rPr>
              <w:t xml:space="preserve">                   </w:t>
            </w:r>
          </w:p>
        </w:tc>
        <w:tc>
          <w:tcPr>
            <w:tcW w:w="6100" w:type="dxa"/>
          </w:tcPr>
          <w:p w14:paraId="0BD29185" w14:textId="5198F7B4" w:rsidR="0029560D" w:rsidRPr="00A50078" w:rsidRDefault="00425B7D" w:rsidP="001528A7">
            <w:pPr>
              <w:spacing w:line="276" w:lineRule="auto"/>
              <w:jc w:val="both"/>
              <w:rPr>
                <w:rFonts w:ascii="Verdana" w:eastAsia="Calibri" w:hAnsi="Verdana" w:cs="Arial"/>
                <w:lang w:val="es-ES" w:eastAsia="es-ES"/>
              </w:rPr>
            </w:pPr>
            <w:r w:rsidRPr="00A50078">
              <w:rPr>
                <w:rFonts w:ascii="Verdana" w:eastAsia="Calibri" w:hAnsi="Verdana" w:cs="Arial"/>
                <w:lang w:val="es-ES" w:eastAsia="es-ES"/>
              </w:rPr>
              <w:t>PL</w:t>
            </w:r>
            <w:r w:rsidR="001270B7" w:rsidRPr="00A50078">
              <w:rPr>
                <w:rFonts w:ascii="Verdana" w:eastAsia="Calibri" w:hAnsi="Verdana" w:cs="Arial"/>
                <w:lang w:val="es-ES" w:eastAsia="es-ES"/>
              </w:rPr>
              <w:t xml:space="preserve">ANEACIÓN – Procesos de contratación pública / </w:t>
            </w:r>
            <w:r w:rsidR="00324479" w:rsidRPr="00A50078">
              <w:rPr>
                <w:rFonts w:ascii="Verdana" w:eastAsia="Calibri" w:hAnsi="Verdana" w:cs="Arial"/>
                <w:lang w:val="es-ES" w:eastAsia="es-ES"/>
              </w:rPr>
              <w:t>ESTUDIOS PREVIOS – Análisis del sector – Estudio del mercado</w:t>
            </w:r>
            <w:r w:rsidR="00A50078" w:rsidRPr="00A50078">
              <w:rPr>
                <w:rFonts w:ascii="Verdana" w:eastAsia="Calibri" w:hAnsi="Verdana" w:cs="Arial"/>
                <w:lang w:val="es-ES" w:eastAsia="es-ES"/>
              </w:rPr>
              <w:t xml:space="preserve"> /</w:t>
            </w:r>
            <w:r w:rsidR="0092111A">
              <w:rPr>
                <w:rFonts w:ascii="Verdana" w:eastAsia="Calibri" w:hAnsi="Verdana" w:cs="Arial"/>
                <w:lang w:val="es-ES" w:eastAsia="es-ES"/>
              </w:rPr>
              <w:t xml:space="preserve"> ESTUDIOS DE MERCADO – Objetivo – Recomendaciones – Instrumentos institucionales – Guía de elaboración de estudios del sector </w:t>
            </w:r>
          </w:p>
          <w:p w14:paraId="693FFEEE" w14:textId="1F3E7C45" w:rsidR="00A50078" w:rsidRPr="00A50078" w:rsidRDefault="00A50078" w:rsidP="001528A7">
            <w:pPr>
              <w:spacing w:line="276" w:lineRule="auto"/>
              <w:jc w:val="both"/>
              <w:rPr>
                <w:rFonts w:ascii="Verdana" w:eastAsia="Calibri" w:hAnsi="Verdana" w:cs="Arial"/>
                <w:lang w:val="es-ES" w:eastAsia="es-ES"/>
              </w:rPr>
            </w:pPr>
          </w:p>
        </w:tc>
      </w:tr>
      <w:tr w:rsidR="0055038B" w:rsidRPr="00E9728D" w14:paraId="4985FDFF" w14:textId="77777777" w:rsidTr="00A151FF">
        <w:trPr>
          <w:trHeight w:val="432"/>
        </w:trPr>
        <w:tc>
          <w:tcPr>
            <w:tcW w:w="2689" w:type="dxa"/>
          </w:tcPr>
          <w:p w14:paraId="13767940" w14:textId="77777777" w:rsidR="0055038B" w:rsidRPr="00E9728D" w:rsidRDefault="0055038B" w:rsidP="00BA05D4">
            <w:pPr>
              <w:jc w:val="both"/>
              <w:rPr>
                <w:rFonts w:ascii="Verdana" w:eastAsia="Calibri" w:hAnsi="Verdana" w:cs="Arial"/>
                <w:b/>
                <w:lang w:val="es-ES_tradnl" w:eastAsia="es-ES_tradnl"/>
              </w:rPr>
            </w:pPr>
            <w:r w:rsidRPr="00E9728D">
              <w:rPr>
                <w:rFonts w:ascii="Verdana" w:eastAsia="Calibri" w:hAnsi="Verdana" w:cs="Arial"/>
                <w:b/>
                <w:lang w:val="es-ES_tradnl" w:eastAsia="es-ES_tradnl"/>
              </w:rPr>
              <w:t>Radicación:</w:t>
            </w:r>
            <w:r w:rsidRPr="00E9728D">
              <w:rPr>
                <w:rFonts w:ascii="Verdana" w:eastAsia="Calibri" w:hAnsi="Verdana" w:cs="Arial"/>
                <w:lang w:val="es-ES_tradnl" w:eastAsia="es-ES_tradnl"/>
              </w:rPr>
              <w:t xml:space="preserve">               </w:t>
            </w:r>
          </w:p>
        </w:tc>
        <w:tc>
          <w:tcPr>
            <w:tcW w:w="6100" w:type="dxa"/>
          </w:tcPr>
          <w:p w14:paraId="43164C9D" w14:textId="7463A169" w:rsidR="0055038B" w:rsidRPr="004267FD" w:rsidRDefault="0055038B" w:rsidP="00BA05D4">
            <w:pPr>
              <w:jc w:val="both"/>
              <w:rPr>
                <w:rFonts w:ascii="Verdana" w:eastAsia="Calibri" w:hAnsi="Verdana" w:cs="Arial"/>
                <w:lang w:val="es-ES_tradnl" w:eastAsia="es-ES_tradnl"/>
              </w:rPr>
            </w:pPr>
            <w:r w:rsidRPr="004267FD">
              <w:rPr>
                <w:rFonts w:ascii="Verdana" w:eastAsia="Calibri" w:hAnsi="Verdana" w:cs="Arial"/>
                <w:lang w:val="es-ES_tradnl" w:eastAsia="es-ES_tradnl"/>
              </w:rPr>
              <w:t>Respuesta a consulta con radicado No.</w:t>
            </w:r>
            <w:r w:rsidR="007E0913">
              <w:rPr>
                <w:rFonts w:ascii="Verdana" w:eastAsia="Calibri" w:hAnsi="Verdana" w:cs="Arial"/>
                <w:lang w:val="es-ES_tradnl" w:eastAsia="es-ES_tradnl"/>
              </w:rPr>
              <w:t xml:space="preserve"> </w:t>
            </w:r>
            <w:r w:rsidR="001528A7" w:rsidRPr="001528A7">
              <w:rPr>
                <w:rFonts w:ascii="Verdana" w:eastAsia="Calibri" w:hAnsi="Verdana" w:cs="Arial"/>
                <w:lang w:eastAsia="es-ES_tradnl"/>
              </w:rPr>
              <w:t>1_2026_04_06_004574</w:t>
            </w:r>
          </w:p>
        </w:tc>
      </w:tr>
    </w:tbl>
    <w:p w14:paraId="346E0D1C" w14:textId="77777777" w:rsidR="0055038B" w:rsidRPr="00E9728D" w:rsidRDefault="0055038B" w:rsidP="0055038B">
      <w:pPr>
        <w:spacing w:after="0" w:line="240" w:lineRule="auto"/>
        <w:jc w:val="both"/>
        <w:rPr>
          <w:rFonts w:ascii="Verdana" w:eastAsia="Calibri" w:hAnsi="Verdana" w:cs="Arial"/>
          <w:lang w:val="es-ES_tradnl" w:eastAsia="es-ES_tradnl"/>
        </w:rPr>
      </w:pPr>
    </w:p>
    <w:p w14:paraId="7CF9AD1B" w14:textId="77777777" w:rsidR="0055038B" w:rsidRPr="00E9728D" w:rsidRDefault="0055038B" w:rsidP="0055038B">
      <w:pPr>
        <w:spacing w:after="0" w:line="240" w:lineRule="auto"/>
        <w:jc w:val="both"/>
        <w:rPr>
          <w:rFonts w:ascii="Verdana" w:eastAsia="Calibri" w:hAnsi="Verdana" w:cs="Arial"/>
          <w:color w:val="000000"/>
          <w:lang w:val="es-ES_tradnl" w:eastAsia="es-ES_tradnl"/>
        </w:rPr>
      </w:pPr>
    </w:p>
    <w:p w14:paraId="7EE2802E" w14:textId="0704DBAA" w:rsidR="0055038B" w:rsidRDefault="0055038B" w:rsidP="00B05EB8">
      <w:pPr>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Estimado</w:t>
      </w:r>
      <w:r w:rsidR="00B05EB8">
        <w:rPr>
          <w:rFonts w:ascii="Verdana" w:eastAsia="Calibri" w:hAnsi="Verdana" w:cs="Arial"/>
          <w:color w:val="000000" w:themeColor="text1"/>
          <w:lang w:val="es-ES" w:eastAsia="es-ES"/>
        </w:rPr>
        <w:t xml:space="preserve"> </w:t>
      </w:r>
      <w:r w:rsidR="001528A7">
        <w:rPr>
          <w:rFonts w:ascii="Verdana" w:eastAsia="Calibri" w:hAnsi="Verdana" w:cs="Arial"/>
          <w:color w:val="000000" w:themeColor="text1"/>
          <w:lang w:val="es-ES" w:eastAsia="es-ES"/>
        </w:rPr>
        <w:t>Intendente Riaño Mateus</w:t>
      </w:r>
      <w:r w:rsidR="00B05EB8">
        <w:rPr>
          <w:rFonts w:ascii="Verdana" w:eastAsia="Calibri" w:hAnsi="Verdana" w:cs="Arial"/>
          <w:color w:val="000000" w:themeColor="text1"/>
          <w:lang w:val="es-ES" w:eastAsia="es-ES"/>
        </w:rPr>
        <w:t xml:space="preserve">, cordial saludo, </w:t>
      </w:r>
    </w:p>
    <w:p w14:paraId="42DEB4CE" w14:textId="77777777" w:rsidR="00B05EB8" w:rsidRPr="00E9728D" w:rsidRDefault="00B05EB8" w:rsidP="00B05EB8">
      <w:pPr>
        <w:spacing w:after="0" w:line="276" w:lineRule="auto"/>
        <w:jc w:val="both"/>
        <w:rPr>
          <w:rFonts w:ascii="Verdana" w:eastAsia="Calibri" w:hAnsi="Verdana" w:cs="Arial"/>
          <w:color w:val="000000" w:themeColor="text1"/>
          <w:lang w:val="es-ES" w:eastAsia="es-ES"/>
        </w:rPr>
      </w:pPr>
    </w:p>
    <w:p w14:paraId="525C5BD9" w14:textId="1B314A32" w:rsidR="0055038B" w:rsidRPr="00E9728D" w:rsidRDefault="0055038B" w:rsidP="0055038B">
      <w:pPr>
        <w:spacing w:after="0" w:line="276" w:lineRule="auto"/>
        <w:jc w:val="both"/>
        <w:rPr>
          <w:rFonts w:ascii="Verdana" w:eastAsia="Calibri" w:hAnsi="Verdana" w:cs="Arial"/>
          <w:color w:val="7030A0"/>
          <w:lang w:val="es-ES" w:eastAsia="es-ES"/>
        </w:rPr>
      </w:pPr>
      <w:r w:rsidRPr="00E9728D">
        <w:rPr>
          <w:rFonts w:ascii="Verdana" w:eastAsia="Calibri" w:hAnsi="Verdana" w:cs="Arial"/>
          <w:color w:val="000000" w:themeColor="text1"/>
          <w:lang w:val="es-ES" w:eastAsia="es-ES"/>
        </w:rPr>
        <w:t>En ejercicio de la competencia otorgada por los artículos 3, numeral 5º, y 11, numeral 8º, del Decreto Ley 4170 de 2011,</w:t>
      </w:r>
      <w:r w:rsidRPr="00E9728D">
        <w:rPr>
          <w:rFonts w:ascii="Verdana" w:eastAsia="Arial MT" w:hAnsi="Verdana" w:cs="Arial MT"/>
          <w:lang w:val="es-ES" w:eastAsia="es-ES"/>
        </w:rPr>
        <w:t xml:space="preserve"> </w:t>
      </w:r>
      <w:r w:rsidRPr="00E9728D">
        <w:rPr>
          <w:rFonts w:ascii="Verdana" w:hAnsi="Verdana" w:cs="Arial"/>
        </w:rPr>
        <w:t xml:space="preserve">así como lo establecido la </w:t>
      </w:r>
      <w:r w:rsidRPr="00E9728D">
        <w:rPr>
          <w:rFonts w:ascii="Verdana" w:eastAsia="Verdana" w:hAnsi="Verdana" w:cs="Verdana"/>
          <w:color w:val="000000" w:themeColor="text1"/>
        </w:rPr>
        <w:t>Resolución 469 de 2025</w:t>
      </w:r>
      <w:r w:rsidRPr="00E9728D">
        <w:rPr>
          <w:rFonts w:ascii="Verdana" w:hAnsi="Verdana" w:cs="Arial"/>
        </w:rPr>
        <w:t xml:space="preserve"> expedida por esta Entidad, </w:t>
      </w:r>
      <w:r w:rsidRPr="00E9728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1528A7">
        <w:rPr>
          <w:rFonts w:ascii="Verdana" w:eastAsia="Calibri" w:hAnsi="Verdana" w:cs="Arial"/>
          <w:lang w:val="es-ES" w:eastAsia="es-ES"/>
        </w:rPr>
        <w:t>06 de abril</w:t>
      </w:r>
      <w:r w:rsidRPr="00E9728D">
        <w:rPr>
          <w:rFonts w:ascii="Verdana" w:eastAsia="Calibri" w:hAnsi="Verdana" w:cs="Arial"/>
          <w:lang w:val="es-ES" w:eastAsia="es-ES"/>
        </w:rPr>
        <w:t xml:space="preserve"> de 2026, en la cual manifiesta lo siguiente: </w:t>
      </w:r>
    </w:p>
    <w:p w14:paraId="3C3C667A" w14:textId="77777777" w:rsidR="0055038B" w:rsidRPr="008E48E0" w:rsidRDefault="0055038B" w:rsidP="0055038B">
      <w:pPr>
        <w:pStyle w:val="Prrafodelista"/>
        <w:tabs>
          <w:tab w:val="left" w:pos="142"/>
          <w:tab w:val="left" w:pos="284"/>
        </w:tabs>
        <w:spacing w:line="276" w:lineRule="auto"/>
        <w:ind w:left="0"/>
        <w:jc w:val="both"/>
        <w:rPr>
          <w:rFonts w:ascii="Verdana" w:eastAsia="Century Gothic" w:hAnsi="Verdana" w:cs="Century Gothic"/>
          <w:b/>
          <w:bCs/>
          <w:i/>
          <w:iCs/>
        </w:rPr>
      </w:pPr>
    </w:p>
    <w:p w14:paraId="61FD78FF" w14:textId="77777777" w:rsidR="008140C1" w:rsidRDefault="00DA683F" w:rsidP="0055038B">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rPr>
        <w:t>“</w:t>
      </w:r>
      <w:r w:rsidR="008140C1">
        <w:rPr>
          <w:rFonts w:ascii="Verdana" w:eastAsia="Century Gothic" w:hAnsi="Verdana" w:cs="Century Gothic"/>
          <w:i/>
          <w:iCs/>
          <w:sz w:val="20"/>
          <w:szCs w:val="20"/>
          <w:lang w:val="es-CO"/>
        </w:rPr>
        <w:t>[…]</w:t>
      </w:r>
    </w:p>
    <w:p w14:paraId="66D3FC54" w14:textId="77777777" w:rsidR="008140C1" w:rsidRDefault="008140C1" w:rsidP="0055038B">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 xml:space="preserve">Asunto: certificaciones en las etapas precontractual, contractual y </w:t>
      </w:r>
      <w:proofErr w:type="spellStart"/>
      <w:r>
        <w:rPr>
          <w:rFonts w:ascii="Verdana" w:eastAsia="Century Gothic" w:hAnsi="Verdana" w:cs="Century Gothic"/>
          <w:i/>
          <w:iCs/>
          <w:sz w:val="20"/>
          <w:szCs w:val="20"/>
          <w:lang w:val="es-CO"/>
        </w:rPr>
        <w:t>postcontractual</w:t>
      </w:r>
      <w:proofErr w:type="spellEnd"/>
      <w:r>
        <w:rPr>
          <w:rFonts w:ascii="Verdana" w:eastAsia="Century Gothic" w:hAnsi="Verdana" w:cs="Century Gothic"/>
          <w:i/>
          <w:iCs/>
          <w:sz w:val="20"/>
          <w:szCs w:val="20"/>
          <w:lang w:val="es-CO"/>
        </w:rPr>
        <w:t>,</w:t>
      </w:r>
    </w:p>
    <w:p w14:paraId="275E06C8" w14:textId="77777777" w:rsidR="00F83606" w:rsidRDefault="008140C1" w:rsidP="0055038B">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 xml:space="preserve">De manera atenta me permito solicitar orientación en materia de estructuración y análisis de costos dentro de los procesos de </w:t>
      </w:r>
      <w:r>
        <w:rPr>
          <w:rFonts w:ascii="Verdana" w:eastAsia="Century Gothic" w:hAnsi="Verdana" w:cs="Century Gothic"/>
          <w:i/>
          <w:iCs/>
          <w:sz w:val="20"/>
          <w:szCs w:val="20"/>
          <w:lang w:val="es-CO"/>
        </w:rPr>
        <w:lastRenderedPageBreak/>
        <w:t>contratación estatal</w:t>
      </w:r>
      <w:r w:rsidR="00733093">
        <w:rPr>
          <w:rFonts w:ascii="Verdana" w:eastAsia="Century Gothic" w:hAnsi="Verdana" w:cs="Century Gothic"/>
          <w:i/>
          <w:iCs/>
          <w:sz w:val="20"/>
          <w:szCs w:val="20"/>
          <w:lang w:val="es-CO"/>
        </w:rPr>
        <w:t xml:space="preserve">, particularmente en lo relacionado con la correcta </w:t>
      </w:r>
      <w:r w:rsidR="002E3CC9">
        <w:rPr>
          <w:rFonts w:ascii="Verdana" w:eastAsia="Century Gothic" w:hAnsi="Verdana" w:cs="Century Gothic"/>
          <w:i/>
          <w:iCs/>
          <w:sz w:val="20"/>
          <w:szCs w:val="20"/>
          <w:lang w:val="es-CO"/>
        </w:rPr>
        <w:t>estimación de presupuestos oficiales, estudios de m</w:t>
      </w:r>
      <w:r w:rsidR="00F83606">
        <w:rPr>
          <w:rFonts w:ascii="Verdana" w:eastAsia="Century Gothic" w:hAnsi="Verdana" w:cs="Century Gothic"/>
          <w:i/>
          <w:iCs/>
          <w:sz w:val="20"/>
          <w:szCs w:val="20"/>
          <w:lang w:val="es-CO"/>
        </w:rPr>
        <w:t xml:space="preserve">ercado y determinación de valores razonables en las diferentes etapas del proceso contractual. </w:t>
      </w:r>
    </w:p>
    <w:p w14:paraId="79EFA546" w14:textId="77777777" w:rsidR="008458AA" w:rsidRDefault="00F83606" w:rsidP="0055038B">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 xml:space="preserve">Lo anterior, con el fin de fortalecer la adecuada aplicación </w:t>
      </w:r>
      <w:r w:rsidR="001574E7">
        <w:rPr>
          <w:rFonts w:ascii="Verdana" w:eastAsia="Century Gothic" w:hAnsi="Verdana" w:cs="Century Gothic"/>
          <w:i/>
          <w:iCs/>
          <w:sz w:val="20"/>
          <w:szCs w:val="20"/>
          <w:lang w:val="es-CO"/>
        </w:rPr>
        <w:t xml:space="preserve">de los principios de planeación, economía y responsabilidad en la gestión </w:t>
      </w:r>
      <w:r w:rsidR="008458AA">
        <w:rPr>
          <w:rFonts w:ascii="Verdana" w:eastAsia="Century Gothic" w:hAnsi="Verdana" w:cs="Century Gothic"/>
          <w:i/>
          <w:iCs/>
          <w:sz w:val="20"/>
          <w:szCs w:val="20"/>
          <w:lang w:val="es-CO"/>
        </w:rPr>
        <w:t>contractual, así como garantizar el cumplimiento de la normatividad en material contractual para las entidades públicas</w:t>
      </w:r>
    </w:p>
    <w:p w14:paraId="6F976250" w14:textId="77777777" w:rsidR="008458AA" w:rsidRDefault="008458AA" w:rsidP="0055038B">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En este sentido, agradecería se brinde orientación sobre los lineamientos, metodologías o buenas prácticas recomendadas para:</w:t>
      </w:r>
    </w:p>
    <w:p w14:paraId="337D3F45" w14:textId="0E7D488B" w:rsidR="0055038B" w:rsidRDefault="008458AA" w:rsidP="008458AA">
      <w:pPr>
        <w:pStyle w:val="Prrafodelista"/>
        <w:numPr>
          <w:ilvl w:val="0"/>
          <w:numId w:val="27"/>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La elaboración </w:t>
      </w:r>
      <w:r w:rsidR="00023B03">
        <w:rPr>
          <w:rFonts w:ascii="Verdana" w:eastAsia="Century Gothic" w:hAnsi="Verdana" w:cs="Century Gothic"/>
          <w:i/>
          <w:iCs/>
          <w:sz w:val="20"/>
          <w:szCs w:val="20"/>
        </w:rPr>
        <w:t>de estudios de mercado.</w:t>
      </w:r>
    </w:p>
    <w:p w14:paraId="0928DB87" w14:textId="7A56892D" w:rsidR="00023B03" w:rsidRDefault="00023B03" w:rsidP="008458AA">
      <w:pPr>
        <w:pStyle w:val="Prrafodelista"/>
        <w:numPr>
          <w:ilvl w:val="0"/>
          <w:numId w:val="27"/>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La estructuración de costos y presupuestos oficiales. </w:t>
      </w:r>
    </w:p>
    <w:p w14:paraId="05F4DCDB" w14:textId="3E72AF81" w:rsidR="00023B03" w:rsidRDefault="00023B03" w:rsidP="008458AA">
      <w:pPr>
        <w:pStyle w:val="Prrafodelista"/>
        <w:numPr>
          <w:ilvl w:val="0"/>
          <w:numId w:val="27"/>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La identificación de precios artificialmente bajos o altos. </w:t>
      </w:r>
    </w:p>
    <w:p w14:paraId="7FD6F479" w14:textId="068677C0" w:rsidR="00023B03" w:rsidRDefault="00023B03" w:rsidP="008458AA">
      <w:pPr>
        <w:pStyle w:val="Prrafodelista"/>
        <w:numPr>
          <w:ilvl w:val="0"/>
          <w:numId w:val="27"/>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El uso adecuado de la información disponible en SECOP para análisis de costos. </w:t>
      </w:r>
    </w:p>
    <w:p w14:paraId="4EDE6E80" w14:textId="71B887DA" w:rsidR="00023B03" w:rsidRDefault="00023B03" w:rsidP="008458AA">
      <w:pPr>
        <w:pStyle w:val="Prrafodelista"/>
        <w:numPr>
          <w:ilvl w:val="0"/>
          <w:numId w:val="27"/>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Parte normativa de la contratación. </w:t>
      </w:r>
    </w:p>
    <w:p w14:paraId="35DBCA74" w14:textId="7F2777BF" w:rsidR="00F83838" w:rsidRDefault="00F83838" w:rsidP="00C72866">
      <w:pPr>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Asimismo, solicito se indique si existen guías, manuales, capacitaciones o documentos técnicos oficiales que puedan ser consultados </w:t>
      </w:r>
      <w:r w:rsidR="007B036F">
        <w:rPr>
          <w:rFonts w:ascii="Verdana" w:eastAsia="Century Gothic" w:hAnsi="Verdana" w:cs="Century Gothic"/>
          <w:i/>
          <w:iCs/>
          <w:sz w:val="20"/>
          <w:szCs w:val="20"/>
        </w:rPr>
        <w:t xml:space="preserve">para fortalecer estos conocimientos y los costos de estas capacitaciones que conllevarían para presentarlas en el plan de necesidades. </w:t>
      </w:r>
    </w:p>
    <w:p w14:paraId="67F02D65" w14:textId="1D41AB74" w:rsidR="007B036F" w:rsidRDefault="002002C5" w:rsidP="00C72866">
      <w:pPr>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NOTA: En caso tal, por favor indicarme qué entidades están habilitadas para certificar </w:t>
      </w:r>
      <w:r w:rsidR="007A587F">
        <w:rPr>
          <w:rFonts w:ascii="Verdana" w:eastAsia="Century Gothic" w:hAnsi="Verdana" w:cs="Century Gothic"/>
          <w:i/>
          <w:iCs/>
          <w:sz w:val="20"/>
          <w:szCs w:val="20"/>
        </w:rPr>
        <w:t xml:space="preserve">al personal en los temas ya tratados. </w:t>
      </w:r>
    </w:p>
    <w:p w14:paraId="78DB3694" w14:textId="28818586" w:rsidR="007A587F" w:rsidRPr="00F83838" w:rsidRDefault="007A587F" w:rsidP="00C72866">
      <w:pPr>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r w:rsidR="00C72866">
        <w:rPr>
          <w:rFonts w:ascii="Verdana" w:eastAsia="Century Gothic" w:hAnsi="Verdana" w:cs="Century Gothic"/>
          <w:i/>
          <w:iCs/>
          <w:sz w:val="20"/>
          <w:szCs w:val="20"/>
        </w:rPr>
        <w:t>”</w:t>
      </w:r>
    </w:p>
    <w:p w14:paraId="64BA15E0" w14:textId="77777777" w:rsidR="00B25313" w:rsidRPr="00F83838" w:rsidRDefault="00B25313" w:rsidP="00F83838">
      <w:pPr>
        <w:spacing w:after="0" w:line="240" w:lineRule="auto"/>
        <w:ind w:right="709"/>
        <w:jc w:val="both"/>
        <w:rPr>
          <w:rFonts w:ascii="Verdana" w:eastAsia="Century Gothic" w:hAnsi="Verdana" w:cs="Century Gothic"/>
          <w:i/>
          <w:iCs/>
          <w:sz w:val="20"/>
          <w:szCs w:val="20"/>
        </w:rPr>
      </w:pPr>
    </w:p>
    <w:p w14:paraId="66F0FF69" w14:textId="77777777" w:rsidR="0055038B" w:rsidRDefault="0055038B" w:rsidP="0055038B">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D73DF94" w14:textId="5DCA9F55" w:rsidR="00C72866" w:rsidRPr="00593A5F" w:rsidRDefault="0055038B" w:rsidP="0056552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w:t>
      </w:r>
      <w:r w:rsidRPr="00593A5F">
        <w:rPr>
          <w:rFonts w:ascii="Verdana" w:eastAsia="Calibri" w:hAnsi="Verdana" w:cs="Arial"/>
          <w:color w:val="000000"/>
          <w:lang w:val="es-ES" w:eastAsia="es-ES"/>
        </w:rPr>
        <w:lastRenderedPageBreak/>
        <w:t>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Pr="00826871">
        <w:rPr>
          <w:rFonts w:ascii="Verdana" w:eastAsia="Calibri" w:hAnsi="Verdana" w:cs="Arial"/>
          <w:lang w:val="es-ES" w:eastAsia="es-ES"/>
        </w:rPr>
        <w:t xml:space="preserve">el problema </w:t>
      </w:r>
      <w:r>
        <w:rPr>
          <w:rFonts w:ascii="Verdana" w:eastAsia="Calibri" w:hAnsi="Verdana" w:cs="Arial"/>
          <w:color w:val="000000"/>
          <w:lang w:val="es-ES" w:eastAsia="es-ES"/>
        </w:rPr>
        <w:t>jurídico de su</w:t>
      </w:r>
      <w:r w:rsidRPr="00593A5F">
        <w:rPr>
          <w:rFonts w:ascii="Verdana" w:eastAsia="Calibri" w:hAnsi="Verdana" w:cs="Arial"/>
          <w:color w:val="000000"/>
          <w:lang w:val="es-ES" w:eastAsia="es-ES"/>
        </w:rPr>
        <w:t xml:space="preserve"> consulta. </w:t>
      </w:r>
    </w:p>
    <w:p w14:paraId="32A19F9C" w14:textId="77777777" w:rsidR="0055038B" w:rsidRPr="00A11028" w:rsidRDefault="0055038B" w:rsidP="005503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11028">
        <w:rPr>
          <w:rFonts w:ascii="Verdana" w:eastAsia="Century Gothic" w:hAnsi="Verdana" w:cs="Century Gothic"/>
          <w:b/>
          <w:bCs/>
        </w:rPr>
        <w:t>Problema planteado:</w:t>
      </w:r>
    </w:p>
    <w:p w14:paraId="7D7504A0" w14:textId="77777777" w:rsidR="0055038B" w:rsidRPr="00593A5F" w:rsidRDefault="0055038B" w:rsidP="0055038B">
      <w:pPr>
        <w:tabs>
          <w:tab w:val="left" w:pos="426"/>
        </w:tabs>
        <w:spacing w:after="0" w:line="276" w:lineRule="auto"/>
        <w:jc w:val="both"/>
        <w:rPr>
          <w:rFonts w:ascii="Verdana" w:eastAsia="Century Gothic" w:hAnsi="Verdana" w:cs="Century Gothic"/>
          <w:lang w:val="es-ES"/>
        </w:rPr>
      </w:pPr>
    </w:p>
    <w:p w14:paraId="30E1A889" w14:textId="67DD0B93" w:rsidR="00F24E31" w:rsidRDefault="0055038B" w:rsidP="00CE4B4C">
      <w:pPr>
        <w:spacing w:after="0" w:line="276" w:lineRule="auto"/>
        <w:ind w:firstLine="709"/>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w:t>
      </w:r>
      <w:r w:rsidR="00E20E5B">
        <w:rPr>
          <w:rFonts w:ascii="Verdana" w:eastAsia="Century Gothic" w:hAnsi="Verdana" w:cs="Century Gothic"/>
        </w:rPr>
        <w:t>el siguiente problema jurídico:</w:t>
      </w:r>
      <w:r w:rsidR="00A72F73">
        <w:rPr>
          <w:rFonts w:ascii="Verdana" w:eastAsia="Century Gothic" w:hAnsi="Verdana" w:cs="Century Gothic"/>
        </w:rPr>
        <w:t xml:space="preserve"> De conformidad con el régimen jurídico de la contratación estatal</w:t>
      </w:r>
      <w:r w:rsidR="00632C09">
        <w:rPr>
          <w:rFonts w:ascii="Verdana" w:eastAsia="Century Gothic" w:hAnsi="Verdana" w:cs="Century Gothic"/>
        </w:rPr>
        <w:t xml:space="preserve"> y teniendo en cuenta el principio de planeación, </w:t>
      </w:r>
      <w:r w:rsidR="001D53AE">
        <w:rPr>
          <w:rFonts w:ascii="Verdana" w:eastAsia="Century Gothic" w:hAnsi="Verdana" w:cs="Century Gothic"/>
        </w:rPr>
        <w:t>¿</w:t>
      </w:r>
      <w:r w:rsidR="00A72F73">
        <w:rPr>
          <w:rFonts w:ascii="Verdana" w:eastAsia="Century Gothic" w:hAnsi="Verdana" w:cs="Century Gothic"/>
        </w:rPr>
        <w:t xml:space="preserve">cuáles son </w:t>
      </w:r>
      <w:r w:rsidR="00C85E39">
        <w:rPr>
          <w:rFonts w:ascii="Verdana" w:eastAsia="Century Gothic" w:hAnsi="Verdana" w:cs="Century Gothic"/>
        </w:rPr>
        <w:t>los lineamientos normativos y técnicos que deben observar las entidades estatales para la elaboración de</w:t>
      </w:r>
      <w:r w:rsidR="008618A7">
        <w:rPr>
          <w:rFonts w:ascii="Verdana" w:eastAsia="Century Gothic" w:hAnsi="Verdana" w:cs="Century Gothic"/>
        </w:rPr>
        <w:t>l análisis del sector y estudios previos de los procesos de contratación</w:t>
      </w:r>
      <w:r w:rsidR="001B589B">
        <w:rPr>
          <w:rFonts w:ascii="Verdana" w:eastAsia="Century Gothic" w:hAnsi="Verdana" w:cs="Century Gothic"/>
        </w:rPr>
        <w:t xml:space="preserve">? </w:t>
      </w:r>
      <w:r w:rsidR="008618A7">
        <w:rPr>
          <w:rFonts w:ascii="Verdana" w:eastAsia="Century Gothic" w:hAnsi="Verdana" w:cs="Century Gothic"/>
        </w:rPr>
        <w:t xml:space="preserve"> </w:t>
      </w:r>
    </w:p>
    <w:p w14:paraId="55B79B6B" w14:textId="77777777" w:rsidR="0055038B" w:rsidRDefault="0055038B" w:rsidP="0055038B">
      <w:pPr>
        <w:spacing w:after="0" w:line="276" w:lineRule="auto"/>
        <w:jc w:val="both"/>
        <w:rPr>
          <w:rFonts w:ascii="Verdana" w:eastAsia="Century Gothic" w:hAnsi="Verdana" w:cs="Century Gothic"/>
        </w:rPr>
      </w:pPr>
    </w:p>
    <w:p w14:paraId="7FD22A4A" w14:textId="77777777" w:rsidR="0055038B" w:rsidRPr="0012537E"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37E">
        <w:rPr>
          <w:rFonts w:ascii="Verdana" w:eastAsia="Century Gothic" w:hAnsi="Verdana" w:cs="Century Gothic"/>
          <w:b/>
          <w:bCs/>
        </w:rPr>
        <w:t>Respuesta:</w:t>
      </w:r>
    </w:p>
    <w:p w14:paraId="3CAD5198" w14:textId="77777777" w:rsidR="0055038B" w:rsidRPr="00593A5F" w:rsidRDefault="0055038B" w:rsidP="005503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038B" w:rsidRPr="00593A5F" w14:paraId="5EFAEA62" w14:textId="77777777" w:rsidTr="00BA05D4">
        <w:tc>
          <w:tcPr>
            <w:tcW w:w="8828" w:type="dxa"/>
          </w:tcPr>
          <w:p w14:paraId="09EE6AB8" w14:textId="4FE5531F" w:rsidR="0055038B" w:rsidRPr="004550BA" w:rsidRDefault="00607578" w:rsidP="00AD5A67">
            <w:pPr>
              <w:spacing w:after="160" w:line="278" w:lineRule="auto"/>
              <w:ind w:firstLine="709"/>
              <w:jc w:val="both"/>
              <w:rPr>
                <w:rFonts w:ascii="Verdana" w:hAnsi="Verdana"/>
              </w:rPr>
            </w:pPr>
            <w:r w:rsidRPr="004550BA">
              <w:rPr>
                <w:rFonts w:ascii="Verdana" w:hAnsi="Verdana"/>
                <w:b/>
                <w:bCs/>
              </w:rPr>
              <w:t>i.</w:t>
            </w:r>
            <w:r w:rsidRPr="001A2126">
              <w:rPr>
                <w:rFonts w:ascii="Verdana" w:hAnsi="Verdana"/>
              </w:rPr>
              <w:t xml:space="preserve"> Frente al problema jurídico planteado es necesario indicar que, </w:t>
            </w:r>
            <w:r w:rsidR="00E55A04">
              <w:rPr>
                <w:rFonts w:ascii="Verdana" w:hAnsi="Verdana"/>
              </w:rPr>
              <w:t>en el marco</w:t>
            </w:r>
            <w:r w:rsidR="006B7482">
              <w:rPr>
                <w:rFonts w:ascii="Verdana" w:hAnsi="Verdana"/>
              </w:rPr>
              <w:t xml:space="preserve"> </w:t>
            </w:r>
            <w:r w:rsidR="006B7482" w:rsidRPr="006B7482">
              <w:rPr>
                <w:rFonts w:ascii="Verdana" w:hAnsi="Verdana"/>
              </w:rPr>
              <w:t xml:space="preserve">del Sistema de Compra Pública, la elaboración de estudios de mercado y la estructuración de costos y presupuestos oficiales constituyen una manifestación directa del principio de planeación, en virtud del cual las entidades estatales deben definir con rigor técnico las condiciones económicas del proceso antes de su </w:t>
            </w:r>
            <w:r w:rsidR="006B7482" w:rsidRPr="004550BA">
              <w:rPr>
                <w:rFonts w:ascii="Verdana" w:hAnsi="Verdana"/>
              </w:rPr>
              <w:t>apertura.</w:t>
            </w:r>
          </w:p>
          <w:p w14:paraId="2F85389B" w14:textId="13381D4F" w:rsidR="000B2932" w:rsidRDefault="000B2932" w:rsidP="00AD5A67">
            <w:pPr>
              <w:spacing w:after="160" w:line="278" w:lineRule="auto"/>
              <w:ind w:firstLine="709"/>
              <w:jc w:val="both"/>
              <w:rPr>
                <w:rFonts w:ascii="Verdana" w:eastAsia="Calibri" w:hAnsi="Verdana" w:cs="Arial"/>
                <w:lang w:eastAsia="es-MX"/>
              </w:rPr>
            </w:pPr>
            <w:r w:rsidRPr="004550BA">
              <w:rPr>
                <w:rFonts w:ascii="Verdana" w:eastAsia="Calibri" w:hAnsi="Verdana" w:cs="Arial"/>
                <w:b/>
                <w:bCs/>
              </w:rPr>
              <w:t>ii.</w:t>
            </w:r>
            <w:r w:rsidRPr="004550BA">
              <w:rPr>
                <w:rFonts w:ascii="Verdana" w:eastAsia="Calibri" w:hAnsi="Verdana" w:cs="Arial"/>
              </w:rPr>
              <w:t xml:space="preserve"> </w:t>
            </w:r>
            <w:r w:rsidR="00C73830" w:rsidRPr="004550BA">
              <w:rPr>
                <w:rFonts w:ascii="Verdana" w:eastAsia="Calibri" w:hAnsi="Verdana" w:cs="Arial"/>
              </w:rPr>
              <w:t>En tal sentido, lo</w:t>
            </w:r>
            <w:r w:rsidRPr="004550BA">
              <w:rPr>
                <w:rFonts w:ascii="Verdana" w:eastAsia="Calibri" w:hAnsi="Verdana" w:cs="Arial"/>
              </w:rPr>
              <w:t>s numerales 2 y 4 del artículo</w:t>
            </w:r>
            <w:r w:rsidR="00AD5A67" w:rsidRPr="004550BA">
              <w:rPr>
                <w:rFonts w:ascii="Verdana" w:hAnsi="Verdana" w:cs="Arial"/>
              </w:rPr>
              <w:t xml:space="preserve"> 2.2.1.1.2.1.1 del Decreto 1082 de 2015</w:t>
            </w:r>
            <w:r w:rsidR="008A2FEF" w:rsidRPr="004550BA">
              <w:rPr>
                <w:rStyle w:val="Refdenotaalpie"/>
                <w:rFonts w:ascii="Verdana" w:hAnsi="Verdana" w:cs="Arial"/>
              </w:rPr>
              <w:footnoteReference w:id="1"/>
            </w:r>
            <w:r w:rsidR="00AD5A67" w:rsidRPr="004550BA">
              <w:rPr>
                <w:rFonts w:ascii="Verdana" w:hAnsi="Verdana" w:cs="Arial"/>
              </w:rPr>
              <w:t xml:space="preserve"> exigen</w:t>
            </w:r>
            <w:r w:rsidR="00AD5A67">
              <w:rPr>
                <w:rFonts w:ascii="Verdana" w:hAnsi="Verdana" w:cs="Arial"/>
              </w:rPr>
              <w:t xml:space="preserve"> que en los estudios p</w:t>
            </w:r>
            <w:r w:rsidR="00944D35">
              <w:rPr>
                <w:rFonts w:ascii="Verdana" w:hAnsi="Verdana" w:cs="Arial"/>
              </w:rPr>
              <w:t>revios</w:t>
            </w:r>
            <w:r w:rsidR="00EE598B" w:rsidRPr="00AD4F6A">
              <w:rPr>
                <w:rFonts w:ascii="Verdana" w:hAnsi="Verdana" w:cs="Arial"/>
              </w:rPr>
              <w:t xml:space="preserve"> se determine el objeto a contratar con sus especificaciones, y se señale el valor estimado del contrato y la justificación de este. </w:t>
            </w:r>
            <w:r w:rsidR="00EE598B" w:rsidRPr="00AD4F6A">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w:t>
            </w:r>
            <w:r w:rsidR="00EE598B" w:rsidRPr="009225F7">
              <w:rPr>
                <w:rFonts w:ascii="Verdana" w:eastAsia="Calibri" w:hAnsi="Verdana" w:cs="Arial"/>
                <w:lang w:eastAsia="es-MX"/>
              </w:rPr>
              <w:t xml:space="preserve"> </w:t>
            </w:r>
          </w:p>
          <w:p w14:paraId="581EF425" w14:textId="0E9D1D63" w:rsidR="00DE5F5C" w:rsidRDefault="00C73830" w:rsidP="009E03FD">
            <w:pPr>
              <w:spacing w:after="160" w:line="278" w:lineRule="auto"/>
              <w:ind w:firstLine="709"/>
              <w:jc w:val="both"/>
              <w:rPr>
                <w:rFonts w:ascii="Verdana" w:eastAsia="Calibri" w:hAnsi="Verdana" w:cs="Arial"/>
              </w:rPr>
            </w:pPr>
            <w:r w:rsidRPr="004550BA">
              <w:rPr>
                <w:rFonts w:ascii="Verdana" w:eastAsia="Calibri" w:hAnsi="Verdana" w:cs="Arial"/>
                <w:b/>
                <w:bCs/>
                <w:lang w:eastAsia="es-MX"/>
              </w:rPr>
              <w:t>iii.</w:t>
            </w:r>
            <w:r w:rsidR="00A3784A">
              <w:rPr>
                <w:rFonts w:ascii="Verdana" w:eastAsia="Calibri" w:hAnsi="Verdana" w:cs="Arial"/>
                <w:lang w:eastAsia="es-MX"/>
              </w:rPr>
              <w:t xml:space="preserve"> </w:t>
            </w:r>
            <w:r w:rsidR="00A3784A" w:rsidRPr="00AD4F6A">
              <w:rPr>
                <w:rFonts w:ascii="Verdana" w:eastAsia="Calibri" w:hAnsi="Verdana" w:cs="Arial"/>
                <w:bCs/>
                <w:lang w:val="es-ES_tradnl"/>
              </w:rPr>
              <w:t xml:space="preserve">La Agencia Nacional de Contratación Pública - Colombia Compra Eficiente dispone de la “Guía de Elaboración del Estudio del Sector”, </w:t>
            </w:r>
            <w:r w:rsidR="00A3784A" w:rsidRPr="00AD4F6A">
              <w:rPr>
                <w:rFonts w:ascii="Verdana" w:eastAsia="Calibri" w:hAnsi="Verdana" w:cs="Arial"/>
                <w:bCs/>
                <w:lang w:val="es-ES_tradnl"/>
              </w:rPr>
              <w:lastRenderedPageBreak/>
              <w:t>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w:t>
            </w:r>
            <w:r w:rsidR="00573A42">
              <w:rPr>
                <w:rFonts w:ascii="Verdana" w:eastAsia="Calibri" w:hAnsi="Verdana" w:cs="Arial"/>
                <w:bCs/>
                <w:lang w:val="es-ES_tradnl"/>
              </w:rPr>
              <w:t xml:space="preserve"> </w:t>
            </w:r>
            <w:r w:rsidR="00573A42" w:rsidRPr="00AD4F6A">
              <w:rPr>
                <w:rFonts w:ascii="Verdana" w:eastAsia="Calibri" w:hAnsi="Verdana" w:cs="Arial"/>
                <w:bCs/>
                <w:lang w:val="es-ES_tradnl"/>
              </w:rPr>
              <w:t>riesgo</w:t>
            </w:r>
            <w:r w:rsidR="002312E8">
              <w:rPr>
                <w:rStyle w:val="Refdenotaalpie"/>
                <w:rFonts w:ascii="Verdana" w:eastAsia="Calibri" w:hAnsi="Verdana" w:cs="Arial"/>
                <w:bCs/>
                <w:lang w:val="es-ES_tradnl"/>
              </w:rPr>
              <w:footnoteReference w:id="2"/>
            </w:r>
            <w:r w:rsidR="000B2835">
              <w:rPr>
                <w:rFonts w:ascii="Verdana" w:eastAsia="Calibri" w:hAnsi="Verdana" w:cs="Arial"/>
                <w:bCs/>
                <w:lang w:val="es-ES_tradnl"/>
              </w:rPr>
              <w:t xml:space="preserve">. </w:t>
            </w:r>
            <w:r w:rsidR="000B2835" w:rsidRPr="00AD4F6A">
              <w:rPr>
                <w:rFonts w:ascii="Verdana" w:eastAsia="Calibri" w:hAnsi="Verdana" w:cs="Arial"/>
                <w:bCs/>
                <w:lang w:val="es-ES_tradnl"/>
              </w:rPr>
              <w:t>Esta Guía es un insumo para realizar el estudio del sector relativo al Proceso de Contratación, ya que comprende pautas sobre los aspectos generales del mercado, el análisis de la demanda y de la oferta</w:t>
            </w:r>
            <w:r w:rsidR="000B2835">
              <w:rPr>
                <w:rFonts w:ascii="Verdana" w:eastAsia="Calibri" w:hAnsi="Verdana" w:cs="Arial"/>
                <w:bCs/>
                <w:lang w:val="es-ES_tradnl"/>
              </w:rPr>
              <w:t>,</w:t>
            </w:r>
            <w:r w:rsidR="000B2835" w:rsidRPr="00AD4F6A">
              <w:rPr>
                <w:rFonts w:ascii="Verdana" w:eastAsia="Calibri" w:hAnsi="Verdana" w:cs="Arial"/>
                <w:bCs/>
                <w:lang w:val="es-ES_tradnl"/>
              </w:rPr>
              <w:t xml:space="preserve"> y constituye un instrumento de orientación, por lo que –al carecer de fuerza vinculante– su aplicación no exime a las entidades de acatar las normas vigentes.</w:t>
            </w:r>
          </w:p>
          <w:p w14:paraId="77B54818" w14:textId="3CBF233E" w:rsidR="005421C1" w:rsidRDefault="009E03FD" w:rsidP="005421C1">
            <w:pPr>
              <w:spacing w:after="120" w:line="276" w:lineRule="auto"/>
              <w:ind w:firstLine="709"/>
              <w:jc w:val="both"/>
              <w:rPr>
                <w:rFonts w:ascii="Verdana" w:eastAsia="Calibri" w:hAnsi="Verdana" w:cs="Arial"/>
                <w:lang w:val="es-ES"/>
              </w:rPr>
            </w:pPr>
            <w:r w:rsidRPr="004550BA">
              <w:rPr>
                <w:rFonts w:ascii="Verdana" w:eastAsia="Calibri" w:hAnsi="Verdana" w:cs="Arial"/>
                <w:b/>
                <w:bCs/>
              </w:rPr>
              <w:t>iv.</w:t>
            </w:r>
            <w:r>
              <w:rPr>
                <w:rFonts w:ascii="Verdana" w:eastAsia="Calibri" w:hAnsi="Verdana" w:cs="Arial"/>
              </w:rPr>
              <w:t xml:space="preserve"> </w:t>
            </w:r>
            <w:r w:rsidR="005421C1">
              <w:rPr>
                <w:rFonts w:ascii="Verdana" w:eastAsia="Calibri" w:hAnsi="Verdana" w:cs="Arial"/>
                <w:color w:val="000000" w:themeColor="text1"/>
                <w:lang w:val="es-ES"/>
              </w:rPr>
              <w:t>E</w:t>
            </w:r>
            <w:r w:rsidR="005421C1" w:rsidRPr="00AD4F6A">
              <w:rPr>
                <w:rFonts w:ascii="Verdana" w:eastAsia="Calibri" w:hAnsi="Verdana" w:cs="Arial"/>
                <w:color w:val="000000" w:themeColor="text1"/>
                <w:lang w:val="es-ES"/>
              </w:rPr>
              <w:t xml:space="preserve">l estudio del mercado permite comprender la dinámica de los precios y establecer el presupuesto oficial de la contratación. </w:t>
            </w:r>
            <w:r w:rsidR="005421C1" w:rsidRPr="00AD4F6A">
              <w:rPr>
                <w:rFonts w:ascii="Verdana" w:eastAsia="Calibri" w:hAnsi="Verdana" w:cs="Arial"/>
                <w:lang w:val="es-ES"/>
              </w:rPr>
              <w:t xml:space="preserve">De esta forma, se tiene que, la Guía de Elaboración de Estudios del Sector en el </w:t>
            </w:r>
            <w:r w:rsidR="005421C1" w:rsidRPr="008233C0">
              <w:rPr>
                <w:rFonts w:ascii="Verdana" w:eastAsia="Calibri" w:hAnsi="Verdana" w:cs="Arial"/>
                <w:lang w:val="es-ES"/>
              </w:rPr>
              <w:t xml:space="preserve">numeral </w:t>
            </w:r>
            <w:r w:rsidR="005A7E09" w:rsidRPr="008233C0">
              <w:rPr>
                <w:rFonts w:ascii="Verdana" w:eastAsia="Calibri" w:hAnsi="Verdana" w:cs="Arial"/>
                <w:lang w:val="es-ES"/>
              </w:rPr>
              <w:t>5.2.5.</w:t>
            </w:r>
            <w:r w:rsidR="005421C1" w:rsidRPr="00AD4F6A">
              <w:rPr>
                <w:rFonts w:ascii="Verdana" w:eastAsia="Calibri" w:hAnsi="Verdana" w:cs="Arial"/>
                <w:lang w:val="es-ES"/>
              </w:rPr>
              <w:t xml:space="preserve"> propone a las Entidades Estatales los siguientes mecanismos para elaborar el estudio de precios de mercado: </w:t>
            </w:r>
            <w:r w:rsidR="005421C1">
              <w:rPr>
                <w:rFonts w:ascii="Verdana" w:eastAsia="Calibri" w:hAnsi="Verdana" w:cs="Arial"/>
                <w:lang w:val="es-ES"/>
              </w:rPr>
              <w:t xml:space="preserve">i) </w:t>
            </w:r>
            <w:r w:rsidR="005A7E09">
              <w:rPr>
                <w:rFonts w:ascii="Verdana" w:eastAsia="Calibri" w:hAnsi="Verdana" w:cs="Arial"/>
                <w:lang w:val="es-ES"/>
              </w:rPr>
              <w:t>sondeos de mercado; ii) consulta de bases de datos especializadas; y iii) análisis de precios históricos.</w:t>
            </w:r>
          </w:p>
          <w:p w14:paraId="1EA26A48" w14:textId="75B757B8" w:rsidR="00C65F91" w:rsidRDefault="00C65F91" w:rsidP="00C65F91">
            <w:pPr>
              <w:spacing w:after="120" w:line="276" w:lineRule="auto"/>
              <w:ind w:firstLine="709"/>
              <w:jc w:val="both"/>
              <w:rPr>
                <w:rFonts w:ascii="Verdana" w:eastAsia="Times New Roman" w:hAnsi="Verdana" w:cs="Arial"/>
                <w:bCs/>
                <w:lang w:val="es-ES_tradnl" w:eastAsia="es-MX"/>
              </w:rPr>
            </w:pPr>
            <w:r w:rsidRPr="00AD4F6A">
              <w:rPr>
                <w:rFonts w:ascii="Verdana" w:eastAsia="Calibri" w:hAnsi="Verdana" w:cs="Arial"/>
                <w:color w:val="000000" w:themeColor="text1"/>
                <w:lang w:val="es-ES"/>
              </w:rPr>
              <w:t>En este contexto, es pertinente precisar que los mecanismos señalados para realizar el estudio del mercado no están determinados por la ley o el reglamento, por lo que no existen lineamientos obligatorios para su estructuración.</w:t>
            </w:r>
            <w:r>
              <w:rPr>
                <w:rFonts w:ascii="Verdana" w:eastAsia="Calibri" w:hAnsi="Verdana" w:cs="Arial"/>
                <w:color w:val="000000" w:themeColor="text1"/>
                <w:lang w:val="es-ES"/>
              </w:rPr>
              <w:t xml:space="preserve"> </w:t>
            </w:r>
            <w:r w:rsidRPr="00B321B0">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 un procedimiento específico para efectuar dicho análisis por lo que las entidades </w:t>
            </w:r>
            <w:r w:rsidRPr="00B321B0">
              <w:rPr>
                <w:rFonts w:ascii="Verdana" w:eastAsia="Times New Roman" w:hAnsi="Verdana" w:cs="Arial"/>
                <w:lang w:val="es-ES_tradnl" w:eastAsia="es-CO"/>
              </w:rPr>
              <w:t xml:space="preserve">son </w:t>
            </w:r>
            <w:r w:rsidRPr="004550BA">
              <w:rPr>
                <w:rFonts w:ascii="Verdana" w:eastAsia="Times New Roman" w:hAnsi="Verdana" w:cs="Arial"/>
                <w:lang w:val="es-ES_tradnl" w:eastAsia="es-CO"/>
              </w:rPr>
              <w:t xml:space="preserve">autónomas para estructurarlo, para lo cual deberán cumplir lo dispuesto en el artículo </w:t>
            </w:r>
            <w:r w:rsidRPr="004550BA">
              <w:rPr>
                <w:rFonts w:ascii="Verdana" w:eastAsia="Calibri" w:hAnsi="Verdana" w:cs="Arial"/>
                <w:bCs/>
                <w:lang w:val="es-ES_tradnl" w:eastAsia="es-MX"/>
              </w:rPr>
              <w:t>2.2.1.1.1.6.1 del Decreto 1082 de 2015</w:t>
            </w:r>
            <w:r w:rsidR="00E5797D" w:rsidRPr="004550BA">
              <w:rPr>
                <w:rStyle w:val="Refdenotaalpie"/>
                <w:rFonts w:ascii="Verdana" w:eastAsia="Calibri" w:hAnsi="Verdana" w:cs="Arial"/>
                <w:bCs/>
                <w:lang w:val="es-ES_tradnl" w:eastAsia="es-MX"/>
              </w:rPr>
              <w:footnoteReference w:id="3"/>
            </w:r>
            <w:r w:rsidRPr="004550BA">
              <w:rPr>
                <w:rFonts w:ascii="Verdana" w:eastAsia="Calibri" w:hAnsi="Verdana" w:cs="Arial"/>
                <w:bCs/>
                <w:lang w:val="es-ES_tradnl" w:eastAsia="es-MX"/>
              </w:rPr>
              <w:t xml:space="preserve"> y realizar un análisis integral de planeación que </w:t>
            </w:r>
            <w:r w:rsidRPr="004550BA">
              <w:rPr>
                <w:rFonts w:ascii="Verdana" w:eastAsia="Times New Roman" w:hAnsi="Verdana" w:cs="Arial"/>
                <w:lang w:val="es-ES_tradnl" w:eastAsia="es-MX"/>
              </w:rPr>
              <w:t xml:space="preserve">sirva de sustento a la decisión de </w:t>
            </w:r>
            <w:r w:rsidRPr="004550BA">
              <w:rPr>
                <w:rFonts w:ascii="Verdana" w:eastAsia="Times New Roman" w:hAnsi="Verdana" w:cs="Arial"/>
                <w:bCs/>
                <w:lang w:val="es-ES_tradnl" w:eastAsia="es-MX"/>
              </w:rPr>
              <w:t>realizar un Proceso de Contratación.</w:t>
            </w:r>
          </w:p>
          <w:p w14:paraId="39638680" w14:textId="77777777" w:rsidR="006E7A8B" w:rsidRDefault="00E44E3A" w:rsidP="006E7A8B">
            <w:pPr>
              <w:spacing w:after="120" w:line="276" w:lineRule="auto"/>
              <w:ind w:firstLine="709"/>
              <w:jc w:val="both"/>
              <w:rPr>
                <w:rFonts w:ascii="Verdana" w:hAnsi="Verdana" w:cs="Arial"/>
              </w:rPr>
            </w:pPr>
            <w:r w:rsidRPr="00AD4F6A">
              <w:rPr>
                <w:rFonts w:ascii="Verdana" w:hAnsi="Verdana" w:cs="Arial"/>
                <w:lang w:eastAsia="es-CO"/>
              </w:rPr>
              <w:t>De este modo, en cualquier tipo de contrato,</w:t>
            </w:r>
            <w:r>
              <w:rPr>
                <w:rFonts w:ascii="Verdana" w:hAnsi="Verdana" w:cs="Arial"/>
                <w:lang w:eastAsia="es-CO"/>
              </w:rPr>
              <w:t xml:space="preserve"> </w:t>
            </w:r>
            <w:r w:rsidRPr="00AD4F6A">
              <w:rPr>
                <w:rFonts w:ascii="Verdana" w:hAnsi="Verdana" w:cs="Arial"/>
                <w:lang w:eastAsia="es-CO"/>
              </w:rPr>
              <w:t xml:space="preserve">las entidades estatales cuentan con la facultad de definir el mecanismo que consideren más adecuado </w:t>
            </w:r>
            <w:r w:rsidRPr="00AD4F6A">
              <w:rPr>
                <w:rFonts w:ascii="Verdana" w:hAnsi="Verdana" w:cs="Arial"/>
                <w:lang w:eastAsia="es-CO"/>
              </w:rPr>
              <w:lastRenderedPageBreak/>
              <w:t>para la estructuración del presupuesto oficial</w:t>
            </w:r>
            <w:r>
              <w:rPr>
                <w:rFonts w:ascii="Verdana" w:hAnsi="Verdana" w:cs="Arial"/>
                <w:lang w:eastAsia="es-CO"/>
              </w:rPr>
              <w:t xml:space="preserve"> de acuerdo con el bien o servicio a contratar</w:t>
            </w:r>
            <w:r w:rsidRPr="00AD4F6A">
              <w:rPr>
                <w:rFonts w:ascii="Verdana" w:hAnsi="Verdana" w:cs="Arial"/>
                <w:lang w:eastAsia="es-CO"/>
              </w:rPr>
              <w:t>. Esta autonomía implica que, para la determinación de los precios, se podrán emplear distintos métodos técnicamente idóneos, siempre que los cálculos presupuestales estén debidamente soportados en estimaciones fundamentadas, técnicas y verificables, que reflejen la realidad del mercado y la naturaleza específica del objeto contractual. Así mismo, dentro de esa</w:t>
            </w:r>
            <w:r w:rsidR="007B5C4A">
              <w:rPr>
                <w:rFonts w:ascii="Verdana" w:hAnsi="Verdana" w:cs="Arial"/>
                <w:lang w:eastAsia="es-CO"/>
              </w:rPr>
              <w:t xml:space="preserve"> autonomía, tanto el sondeo </w:t>
            </w:r>
            <w:r w:rsidR="007E5579">
              <w:rPr>
                <w:rFonts w:ascii="Verdana" w:hAnsi="Verdana" w:cs="Arial"/>
                <w:lang w:eastAsia="es-CO"/>
              </w:rPr>
              <w:t>de mercado como la revisión de precios históricos constituyen herramientas válidas como insumos que o</w:t>
            </w:r>
            <w:r w:rsidR="0035464A">
              <w:rPr>
                <w:rFonts w:ascii="Verdana" w:hAnsi="Verdana" w:cs="Arial"/>
                <w:lang w:eastAsia="es-CO"/>
              </w:rPr>
              <w:t xml:space="preserve">rienten a la entidad en la determinación del presupuesto, pero su adopción debe estar precedida de una verificación </w:t>
            </w:r>
            <w:r w:rsidR="006E7A8B" w:rsidRPr="00AD4F6A">
              <w:rPr>
                <w:rFonts w:ascii="Verdana" w:hAnsi="Verdana" w:cs="Arial"/>
                <w:lang w:eastAsia="es-CO"/>
              </w:rPr>
              <w:t>minuciosa de su pertinencia frente a las condiciones particulares del proyecto y las características técnicas de los bienes o servicios requeridos, de tal forma que la entidad no se exime de su deber de realizar la respectiva verificación del mercado</w:t>
            </w:r>
            <w:r w:rsidR="006E7A8B" w:rsidRPr="00AD4F6A">
              <w:rPr>
                <w:rFonts w:ascii="Verdana" w:hAnsi="Verdana" w:cs="Arial"/>
              </w:rPr>
              <w:t>.</w:t>
            </w:r>
          </w:p>
          <w:p w14:paraId="7A77FD28" w14:textId="45F8E7A4" w:rsidR="00E44E3A" w:rsidRDefault="00382734" w:rsidP="00C65F91">
            <w:pPr>
              <w:spacing w:after="120" w:line="276" w:lineRule="auto"/>
              <w:ind w:firstLine="709"/>
              <w:jc w:val="both"/>
              <w:rPr>
                <w:rFonts w:ascii="Verdana" w:hAnsi="Verdana" w:cs="Arial"/>
              </w:rPr>
            </w:pPr>
            <w:r>
              <w:rPr>
                <w:rFonts w:ascii="Verdana" w:hAnsi="Verdana" w:cs="Arial"/>
              </w:rPr>
              <w:t>En línea con lo anterior, es importante advertir que no es posible plantear una relación jerárquica entre dichos mecanismos, pues su aplicación y análisis dependerá de la autonomía y responsabilidad del estructurador del proceso, así como de las características del objeto a contratar.</w:t>
            </w:r>
          </w:p>
          <w:p w14:paraId="27B4D277" w14:textId="33082743" w:rsidR="00DE5F5C" w:rsidRPr="008233C0" w:rsidRDefault="008233C0" w:rsidP="008233C0">
            <w:pPr>
              <w:spacing w:after="120" w:line="276" w:lineRule="auto"/>
              <w:ind w:firstLine="709"/>
              <w:jc w:val="both"/>
              <w:rPr>
                <w:rFonts w:ascii="Verdana" w:eastAsia="Times New Roman" w:hAnsi="Verdana" w:cs="Arial"/>
                <w:bCs/>
                <w:lang w:val="es-ES_tradnl" w:eastAsia="es-MX"/>
              </w:rPr>
            </w:pPr>
            <w:r w:rsidRPr="004550BA">
              <w:rPr>
                <w:rFonts w:ascii="Verdana" w:eastAsia="Times New Roman" w:hAnsi="Verdana" w:cs="Arial"/>
                <w:b/>
                <w:lang w:val="es-ES_tradnl"/>
              </w:rPr>
              <w:t>v.</w:t>
            </w:r>
            <w:r>
              <w:rPr>
                <w:rFonts w:ascii="Verdana" w:eastAsia="Times New Roman" w:hAnsi="Verdana" w:cs="Arial"/>
                <w:bCs/>
                <w:lang w:val="es-ES_tradnl"/>
              </w:rPr>
              <w:t xml:space="preserve"> </w:t>
            </w:r>
            <w:r w:rsidRPr="00C636DD">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96625FD" w14:textId="77777777" w:rsidR="0055038B" w:rsidRPr="00593A5F" w:rsidRDefault="0055038B" w:rsidP="0055038B">
      <w:pPr>
        <w:tabs>
          <w:tab w:val="left" w:pos="142"/>
          <w:tab w:val="left" w:pos="284"/>
        </w:tabs>
        <w:spacing w:after="0" w:line="276" w:lineRule="auto"/>
        <w:jc w:val="both"/>
        <w:rPr>
          <w:rFonts w:ascii="Verdana" w:eastAsia="Century Gothic" w:hAnsi="Verdana" w:cs="Century Gothic"/>
          <w:b/>
          <w:bCs/>
          <w:lang w:val="es-ES"/>
        </w:rPr>
      </w:pPr>
    </w:p>
    <w:p w14:paraId="7349536F" w14:textId="77777777" w:rsidR="0055038B" w:rsidRPr="0006284D"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6284D">
        <w:rPr>
          <w:rFonts w:ascii="Verdana" w:eastAsia="Century Gothic" w:hAnsi="Verdana" w:cs="Century Gothic"/>
          <w:b/>
          <w:bCs/>
        </w:rPr>
        <w:t>Razones de la respuesta:</w:t>
      </w:r>
    </w:p>
    <w:p w14:paraId="5F12C135" w14:textId="77777777" w:rsidR="0055038B" w:rsidRPr="00593A5F" w:rsidRDefault="0055038B" w:rsidP="0055038B">
      <w:pPr>
        <w:spacing w:after="0" w:line="276" w:lineRule="auto"/>
        <w:jc w:val="both"/>
        <w:rPr>
          <w:rFonts w:ascii="Verdana" w:eastAsia="Calibri" w:hAnsi="Verdana" w:cs="Arial"/>
          <w:color w:val="7030A0"/>
          <w:lang w:val="es-ES"/>
        </w:rPr>
      </w:pPr>
    </w:p>
    <w:p w14:paraId="152231D6" w14:textId="6682DDE2" w:rsidR="00D10083" w:rsidRDefault="0055038B" w:rsidP="00B41EE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r>
        <w:rPr>
          <w:rFonts w:ascii="Verdana" w:eastAsia="Calibri" w:hAnsi="Verdana" w:cs="Arial"/>
          <w:lang w:val="es-ES"/>
        </w:rPr>
        <w:t xml:space="preserve">: </w:t>
      </w:r>
    </w:p>
    <w:p w14:paraId="685E4229" w14:textId="77777777" w:rsidR="00B41EE0" w:rsidRDefault="00B41EE0" w:rsidP="00B41EE0">
      <w:pPr>
        <w:spacing w:after="0" w:line="276" w:lineRule="auto"/>
        <w:jc w:val="both"/>
        <w:rPr>
          <w:rFonts w:ascii="Verdana" w:eastAsia="Calibri" w:hAnsi="Verdana" w:cs="Arial"/>
          <w:lang w:val="es-ES"/>
        </w:rPr>
      </w:pPr>
    </w:p>
    <w:p w14:paraId="0A4B2CCA" w14:textId="76E7572D" w:rsidR="00B41EE0" w:rsidRDefault="00B41EE0" w:rsidP="00B41EE0">
      <w:pPr>
        <w:spacing w:after="0" w:line="276" w:lineRule="auto"/>
        <w:ind w:firstLine="709"/>
        <w:jc w:val="both"/>
        <w:rPr>
          <w:rFonts w:ascii="Verdana" w:eastAsia="Calibri" w:hAnsi="Verdana" w:cs="Arial"/>
          <w:bCs/>
          <w:lang w:val="es-ES_tradnl" w:eastAsia="es-MX"/>
        </w:rPr>
      </w:pPr>
      <w:bookmarkStart w:id="3" w:name="_Hlk54011258"/>
      <w:r w:rsidRPr="004550BA">
        <w:rPr>
          <w:rFonts w:ascii="Verdana" w:eastAsia="Calibri" w:hAnsi="Verdana" w:cs="Arial"/>
          <w:b/>
          <w:lang w:val="es-ES_tradnl" w:eastAsia="es-MX"/>
        </w:rPr>
        <w:t>i.</w:t>
      </w:r>
      <w:r>
        <w:rPr>
          <w:rFonts w:ascii="Verdana" w:eastAsia="Calibri" w:hAnsi="Verdana" w:cs="Arial"/>
          <w:bCs/>
          <w:lang w:val="es-ES_tradnl" w:eastAsia="es-MX"/>
        </w:rPr>
        <w:t xml:space="preserve"> </w:t>
      </w:r>
      <w:r w:rsidRPr="00B41EE0">
        <w:rPr>
          <w:rFonts w:ascii="Verdana" w:eastAsia="Calibri" w:hAnsi="Verdana" w:cs="Arial"/>
          <w:bCs/>
          <w:lang w:val="es-ES_tradnl" w:eastAsia="es-MX"/>
        </w:rPr>
        <w:t xml:space="preserve">La planeación contractual es una herramienta de gerencia pública, que exige estructurar el proceso contractual dedicando tiempo y esfuerzos para elaborar estudios previos, con el fin de determinar la necesidad que pretende </w:t>
      </w:r>
      <w:r w:rsidRPr="00B41EE0">
        <w:rPr>
          <w:rFonts w:ascii="Verdana" w:eastAsia="Calibri" w:hAnsi="Verdana" w:cs="Arial"/>
          <w:bCs/>
          <w:lang w:val="es-ES_tradnl" w:eastAsia="es-MX"/>
        </w:rPr>
        <w:lastRenderedPageBreak/>
        <w:t>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3"/>
      <w:r w:rsidRPr="00B41EE0">
        <w:rPr>
          <w:rFonts w:ascii="Verdana" w:eastAsia="Calibri" w:hAnsi="Verdana" w:cs="Arial"/>
          <w:bCs/>
          <w:lang w:val="es-ES_tradnl" w:eastAsia="es-MX"/>
        </w:rPr>
        <w:t>.</w:t>
      </w:r>
    </w:p>
    <w:p w14:paraId="00E402F9" w14:textId="77777777" w:rsidR="003D3301" w:rsidRDefault="003D3301" w:rsidP="00B41EE0">
      <w:pPr>
        <w:spacing w:after="0" w:line="276" w:lineRule="auto"/>
        <w:ind w:firstLine="709"/>
        <w:jc w:val="both"/>
        <w:rPr>
          <w:rFonts w:ascii="Verdana" w:eastAsia="Calibri" w:hAnsi="Verdana" w:cs="Arial"/>
          <w:bCs/>
          <w:lang w:val="es-ES_tradnl" w:eastAsia="es-MX"/>
        </w:rPr>
      </w:pPr>
    </w:p>
    <w:p w14:paraId="1CE44A88" w14:textId="0E97E95D" w:rsidR="009D7893" w:rsidRPr="004550BA" w:rsidRDefault="003D3301" w:rsidP="004550BA">
      <w:pPr>
        <w:spacing w:after="0" w:line="276" w:lineRule="auto"/>
        <w:ind w:firstLine="708"/>
        <w:jc w:val="both"/>
        <w:rPr>
          <w:rFonts w:ascii="Verdana" w:eastAsia="Calibri" w:hAnsi="Verdana" w:cs="Arial"/>
          <w:bCs/>
          <w:lang w:val="es-MX"/>
        </w:rPr>
      </w:pPr>
      <w:r w:rsidRPr="00A12F8E">
        <w:rPr>
          <w:rFonts w:ascii="Verdana" w:eastAsia="Calibri" w:hAnsi="Verdana" w:cs="Arial"/>
          <w:bCs/>
          <w:lang w:val="es-MX" w:eastAsia="es-ES_tradnl"/>
        </w:rPr>
        <w:t>El Estatuto General de Contratación de la Administración Pública –</w:t>
      </w:r>
      <w:r>
        <w:rPr>
          <w:rFonts w:ascii="Verdana" w:eastAsia="Calibri" w:hAnsi="Verdana" w:cs="Arial"/>
          <w:bCs/>
          <w:lang w:val="es-MX" w:eastAsia="es-ES_tradnl"/>
        </w:rPr>
        <w:t xml:space="preserve">en adelante </w:t>
      </w:r>
      <w:r w:rsidRPr="00A12F8E">
        <w:rPr>
          <w:rFonts w:ascii="Verdana" w:eastAsia="Calibri" w:hAnsi="Verdana" w:cs="Arial"/>
          <w:bCs/>
          <w:lang w:val="es-MX" w:eastAsia="es-ES_tradnl"/>
        </w:rPr>
        <w:t xml:space="preserve">EGCAP–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w:t>
      </w:r>
      <w:r w:rsidRPr="00AD4F6A">
        <w:rPr>
          <w:rFonts w:ascii="Verdana" w:eastAsia="Calibri" w:hAnsi="Verdana" w:cs="Arial"/>
          <w:bCs/>
          <w:lang w:val="es-MX"/>
        </w:rPr>
        <w:t xml:space="preserve">En relación con el valor del futuro contrato y su correlativo respaldo presupuestal, se tienen, por ejemplo, las siguientes reglas derivadas de la aplicación del principio de economía previsto en el artículo 25 de la Ley 80 de 1993: </w:t>
      </w:r>
    </w:p>
    <w:p w14:paraId="7EEEAE28" w14:textId="77777777" w:rsidR="009D7893" w:rsidRPr="004550BA" w:rsidRDefault="009D7893" w:rsidP="009D7893">
      <w:pPr>
        <w:spacing w:after="0" w:line="240" w:lineRule="auto"/>
        <w:ind w:left="709" w:right="709"/>
        <w:jc w:val="both"/>
        <w:rPr>
          <w:rFonts w:ascii="Verdana" w:eastAsia="Calibri" w:hAnsi="Verdana" w:cs="Arial"/>
          <w:i/>
          <w:iCs/>
          <w:sz w:val="20"/>
          <w:szCs w:val="20"/>
          <w:lang w:val="es-MX"/>
        </w:rPr>
      </w:pPr>
      <w:r w:rsidRPr="004550BA">
        <w:rPr>
          <w:rFonts w:ascii="Verdana" w:eastAsia="Calibri" w:hAnsi="Verdana" w:cs="Arial"/>
          <w:i/>
          <w:iCs/>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259C31F7" w14:textId="77777777" w:rsidR="009D7893" w:rsidRPr="004550BA" w:rsidRDefault="009D7893" w:rsidP="009D7893">
      <w:pPr>
        <w:spacing w:after="0" w:line="240" w:lineRule="auto"/>
        <w:ind w:left="709" w:right="709"/>
        <w:jc w:val="both"/>
        <w:rPr>
          <w:rFonts w:ascii="Verdana" w:eastAsia="Calibri" w:hAnsi="Verdana" w:cs="Arial"/>
          <w:i/>
          <w:iCs/>
          <w:sz w:val="20"/>
          <w:szCs w:val="20"/>
          <w:lang w:val="es-MX"/>
        </w:rPr>
      </w:pPr>
      <w:r w:rsidRPr="004550BA">
        <w:rPr>
          <w:rFonts w:ascii="Verdana" w:eastAsia="Calibri" w:hAnsi="Verdana" w:cs="Arial"/>
          <w:i/>
          <w:iCs/>
          <w:sz w:val="20"/>
          <w:szCs w:val="20"/>
          <w:lang w:val="es-MX"/>
        </w:rPr>
        <w:t>[…]</w:t>
      </w:r>
    </w:p>
    <w:p w14:paraId="743586E7" w14:textId="77777777" w:rsidR="009D7893" w:rsidRPr="004550BA" w:rsidRDefault="009D7893" w:rsidP="009D7893">
      <w:pPr>
        <w:spacing w:after="0" w:line="240" w:lineRule="auto"/>
        <w:ind w:left="709" w:right="709"/>
        <w:jc w:val="both"/>
        <w:rPr>
          <w:rFonts w:ascii="Verdana" w:eastAsia="Calibri" w:hAnsi="Verdana" w:cs="Arial"/>
          <w:i/>
          <w:iCs/>
          <w:sz w:val="20"/>
          <w:szCs w:val="20"/>
          <w:lang w:val="es-MX"/>
        </w:rPr>
      </w:pPr>
      <w:r w:rsidRPr="004550BA">
        <w:rPr>
          <w:rFonts w:ascii="Verdana" w:eastAsia="Calibri" w:hAnsi="Verdana" w:cs="Arial"/>
          <w:i/>
          <w:iCs/>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44853245" w14:textId="77777777" w:rsidR="009D7893" w:rsidRPr="004550BA" w:rsidRDefault="009D7893" w:rsidP="009D7893">
      <w:pPr>
        <w:spacing w:after="0" w:line="240" w:lineRule="auto"/>
        <w:ind w:left="709" w:right="709"/>
        <w:jc w:val="both"/>
        <w:rPr>
          <w:rFonts w:ascii="Verdana" w:eastAsia="Calibri" w:hAnsi="Verdana" w:cs="Arial"/>
          <w:i/>
          <w:iCs/>
          <w:sz w:val="20"/>
          <w:szCs w:val="20"/>
          <w:lang w:val="es-MX"/>
        </w:rPr>
      </w:pPr>
      <w:r w:rsidRPr="004550BA">
        <w:rPr>
          <w:rFonts w:ascii="Verdana" w:eastAsia="Calibri" w:hAnsi="Verdana" w:cs="Arial"/>
          <w:i/>
          <w:iCs/>
          <w:sz w:val="20"/>
          <w:szCs w:val="20"/>
          <w:lang w:val="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534432BA" w14:textId="77777777" w:rsidR="0059739E" w:rsidRPr="004550BA" w:rsidRDefault="009D7893" w:rsidP="0059739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13. Las autoridades constituirán las reservas y compromisos presupuestales necesarios, tomando como base el valor de las</w:t>
      </w:r>
      <w:r w:rsidR="0059739E" w:rsidRPr="004550BA">
        <w:rPr>
          <w:rFonts w:ascii="Verdana" w:hAnsi="Verdana" w:cs="Arial"/>
          <w:i/>
          <w:iCs/>
          <w:sz w:val="20"/>
          <w:szCs w:val="20"/>
        </w:rPr>
        <w:t xml:space="preserve"> prestaciones al momento de celebrar el contrato y el estimativo de los ajustes resultantes de la aplicación de la cláusula de actualización de precios.</w:t>
      </w:r>
    </w:p>
    <w:p w14:paraId="7A5ADC83" w14:textId="77777777" w:rsidR="0059739E" w:rsidRPr="004550BA" w:rsidRDefault="0059739E" w:rsidP="0059739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14. Las entidades incluirán en sus presupuestos anuales una apropiación global destinada a cubrir los costos imprevistos ocasionados por los retardos en los pagos, así como los que se originen en la revisión de los </w:t>
      </w:r>
      <w:r w:rsidRPr="004550BA">
        <w:rPr>
          <w:rFonts w:ascii="Verdana" w:hAnsi="Verdana" w:cs="Arial"/>
          <w:i/>
          <w:iCs/>
          <w:sz w:val="20"/>
          <w:szCs w:val="20"/>
        </w:rPr>
        <w:lastRenderedPageBreak/>
        <w:t>precios pactados por razón de los cambios o alteraciones en las condiciones iniciales de los contratos por ellas celebrados […].</w:t>
      </w:r>
    </w:p>
    <w:p w14:paraId="70F0F89D" w14:textId="0ACA90B8" w:rsidR="003D3301" w:rsidRPr="00B41EE0" w:rsidRDefault="003D3301" w:rsidP="009D7893">
      <w:pPr>
        <w:spacing w:after="0" w:line="276" w:lineRule="auto"/>
        <w:ind w:firstLine="709"/>
        <w:jc w:val="both"/>
        <w:rPr>
          <w:rFonts w:ascii="Verdana" w:eastAsia="Calibri" w:hAnsi="Verdana" w:cs="Arial"/>
          <w:lang w:val="es-ES"/>
        </w:rPr>
      </w:pPr>
    </w:p>
    <w:p w14:paraId="73E41457" w14:textId="4522A262" w:rsidR="00DF07E0" w:rsidRDefault="006670D3" w:rsidP="00DF07E0">
      <w:pPr>
        <w:spacing w:after="0"/>
        <w:ind w:firstLine="709"/>
        <w:jc w:val="both"/>
        <w:rPr>
          <w:rFonts w:ascii="Verdana" w:eastAsia="Calibri" w:hAnsi="Verdana" w:cs="Arial"/>
          <w:bCs/>
          <w:color w:val="000000" w:themeColor="text1"/>
        </w:rPr>
      </w:pPr>
      <w:r w:rsidRPr="00AD4F6A">
        <w:rPr>
          <w:rFonts w:ascii="Verdana" w:hAnsi="Verdana" w:cs="Arial"/>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0029741F">
        <w:rPr>
          <w:rFonts w:ascii="Verdana" w:hAnsi="Verdana" w:cs="Arial"/>
        </w:rPr>
        <w:t>”</w:t>
      </w:r>
      <w:r w:rsidR="0029741F">
        <w:rPr>
          <w:rStyle w:val="Refdenotaalpie"/>
          <w:rFonts w:ascii="Verdana" w:hAnsi="Verdana" w:cs="Arial"/>
        </w:rPr>
        <w:footnoteReference w:id="4"/>
      </w:r>
    </w:p>
    <w:p w14:paraId="73648CAB" w14:textId="77777777" w:rsidR="00DF07E0" w:rsidRDefault="00DF07E0" w:rsidP="0051719E">
      <w:pPr>
        <w:spacing w:after="0"/>
        <w:jc w:val="both"/>
        <w:rPr>
          <w:rFonts w:ascii="Verdana" w:eastAsia="Calibri" w:hAnsi="Verdana" w:cs="Arial"/>
          <w:bCs/>
          <w:color w:val="000000" w:themeColor="text1"/>
        </w:rPr>
      </w:pPr>
    </w:p>
    <w:p w14:paraId="2D8B483F" w14:textId="77777777" w:rsidR="0051719E" w:rsidRPr="00AD4F6A" w:rsidRDefault="0051719E" w:rsidP="0051719E">
      <w:pPr>
        <w:spacing w:after="0" w:line="276" w:lineRule="auto"/>
        <w:ind w:firstLine="709"/>
        <w:jc w:val="both"/>
        <w:rPr>
          <w:rFonts w:ascii="Verdana" w:hAnsi="Verdana" w:cs="Arial"/>
        </w:rPr>
      </w:pPr>
      <w:r w:rsidRPr="00AD4F6A">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535F7619" w14:textId="77777777" w:rsidR="0051719E" w:rsidRPr="00AD4F6A" w:rsidRDefault="0051719E" w:rsidP="0051719E">
      <w:pPr>
        <w:spacing w:after="0" w:line="276" w:lineRule="auto"/>
        <w:ind w:firstLine="709"/>
        <w:jc w:val="both"/>
        <w:rPr>
          <w:rFonts w:ascii="Verdana" w:hAnsi="Verdana" w:cs="Arial"/>
        </w:rPr>
      </w:pPr>
    </w:p>
    <w:p w14:paraId="1042756D" w14:textId="77777777" w:rsidR="0051719E" w:rsidRPr="004550BA" w:rsidRDefault="0051719E" w:rsidP="0051719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609F8FFE" w14:textId="77777777" w:rsidR="0051719E" w:rsidRPr="004550BA" w:rsidRDefault="0051719E" w:rsidP="0051719E">
      <w:pPr>
        <w:spacing w:after="0" w:line="240" w:lineRule="auto"/>
        <w:ind w:left="709" w:right="709"/>
        <w:jc w:val="both"/>
        <w:rPr>
          <w:rFonts w:ascii="Verdana" w:hAnsi="Verdana" w:cs="Arial"/>
          <w:i/>
          <w:iCs/>
          <w:sz w:val="20"/>
          <w:szCs w:val="20"/>
        </w:rPr>
      </w:pPr>
    </w:p>
    <w:p w14:paraId="182C0B58" w14:textId="77777777" w:rsidR="001518B6" w:rsidRPr="004550BA" w:rsidRDefault="0051719E" w:rsidP="001518B6">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1. La descripción de la necesidad que la Entidad Estatal pretende satisfacer con el Proceso de Contratación. </w:t>
      </w:r>
      <w:r w:rsidRPr="004550BA">
        <w:rPr>
          <w:rFonts w:ascii="Arial" w:hAnsi="Arial" w:cs="Arial"/>
          <w:i/>
          <w:iCs/>
          <w:sz w:val="20"/>
          <w:szCs w:val="20"/>
        </w:rPr>
        <w:t>​</w:t>
      </w:r>
    </w:p>
    <w:p w14:paraId="024F1A09" w14:textId="77777777" w:rsidR="001518B6" w:rsidRPr="004550BA" w:rsidRDefault="001518B6" w:rsidP="001518B6">
      <w:pPr>
        <w:spacing w:after="0" w:line="240" w:lineRule="auto"/>
        <w:ind w:left="709" w:right="709"/>
        <w:jc w:val="both"/>
        <w:rPr>
          <w:rFonts w:ascii="Verdana" w:hAnsi="Verdana" w:cs="Arial"/>
          <w:i/>
          <w:iCs/>
          <w:sz w:val="20"/>
          <w:szCs w:val="20"/>
        </w:rPr>
      </w:pPr>
    </w:p>
    <w:p w14:paraId="7D7CEA7B" w14:textId="6CBBF912" w:rsidR="00DF07E0" w:rsidRPr="004550BA" w:rsidRDefault="0051719E" w:rsidP="001518B6">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2. El objeto a contratar, con sus especificaciones, las autorizaciones, permisos y licencias requeridos para su ejecución, y cuando el contrato incluye diseño y construcción, los documentos técnicos para el desarrollo del proyecto.</w:t>
      </w:r>
    </w:p>
    <w:p w14:paraId="2A68F7E1" w14:textId="77777777" w:rsidR="007C04BE" w:rsidRPr="004550BA" w:rsidRDefault="007C04BE" w:rsidP="001518B6">
      <w:pPr>
        <w:spacing w:after="0" w:line="240" w:lineRule="auto"/>
        <w:ind w:left="709" w:right="709"/>
        <w:jc w:val="both"/>
        <w:rPr>
          <w:rFonts w:ascii="Verdana" w:hAnsi="Verdana" w:cs="Arial"/>
          <w:i/>
          <w:iCs/>
          <w:sz w:val="20"/>
          <w:szCs w:val="20"/>
        </w:rPr>
      </w:pPr>
    </w:p>
    <w:p w14:paraId="4B161527"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3. La modalidad de selección del contratista y su justificación, incluyendo los fundamentos jurídicos. </w:t>
      </w:r>
    </w:p>
    <w:p w14:paraId="293666CA" w14:textId="77777777" w:rsidR="007C04BE" w:rsidRPr="004550BA" w:rsidRDefault="007C04BE" w:rsidP="007C04BE">
      <w:pPr>
        <w:spacing w:after="0" w:line="240" w:lineRule="auto"/>
        <w:ind w:left="709" w:right="709"/>
        <w:jc w:val="both"/>
        <w:rPr>
          <w:rFonts w:ascii="Verdana" w:hAnsi="Verdana" w:cs="Arial"/>
          <w:i/>
          <w:iCs/>
          <w:sz w:val="20"/>
          <w:szCs w:val="20"/>
        </w:rPr>
      </w:pPr>
    </w:p>
    <w:p w14:paraId="27122342"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4. El valor estimado del contrato y la justificación </w:t>
      </w:r>
      <w:proofErr w:type="gramStart"/>
      <w:r w:rsidRPr="004550BA">
        <w:rPr>
          <w:rFonts w:ascii="Verdana" w:hAnsi="Verdana" w:cs="Arial"/>
          <w:i/>
          <w:iCs/>
          <w:sz w:val="20"/>
          <w:szCs w:val="20"/>
        </w:rPr>
        <w:t>del mismo</w:t>
      </w:r>
      <w:proofErr w:type="gramEnd"/>
      <w:r w:rsidRPr="004550BA">
        <w:rPr>
          <w:rFonts w:ascii="Verdana" w:hAnsi="Verdana" w:cs="Arial"/>
          <w:i/>
          <w:iCs/>
          <w:sz w:val="20"/>
          <w:szCs w:val="20"/>
        </w:rPr>
        <w:t xml:space="preserve">. Cuando el valor del contrato esté determinado por precios unitarios, la Entidad Estatal debe incluir la forma como los calculó y soportar sus cálculos </w:t>
      </w:r>
      <w:r w:rsidRPr="004550BA">
        <w:rPr>
          <w:rFonts w:ascii="Verdana" w:hAnsi="Verdana" w:cs="Arial"/>
          <w:i/>
          <w:iCs/>
          <w:sz w:val="20"/>
          <w:szCs w:val="20"/>
        </w:rPr>
        <w:lastRenderedPageBreak/>
        <w:t xml:space="preserve">presupuestales en la estimación de aquellos. Si el contrato es de concesión, la Entidad Estatal no debe publicar el modelo financiero utilizado en su estructuración. </w:t>
      </w:r>
    </w:p>
    <w:p w14:paraId="7DDF6693" w14:textId="77777777" w:rsidR="007C04BE" w:rsidRPr="004550BA" w:rsidRDefault="007C04BE" w:rsidP="007C04BE">
      <w:pPr>
        <w:spacing w:after="0" w:line="240" w:lineRule="auto"/>
        <w:ind w:left="709" w:right="709"/>
        <w:jc w:val="both"/>
        <w:rPr>
          <w:rFonts w:ascii="Verdana" w:hAnsi="Verdana" w:cs="Arial"/>
          <w:i/>
          <w:iCs/>
          <w:sz w:val="20"/>
          <w:szCs w:val="20"/>
        </w:rPr>
      </w:pPr>
    </w:p>
    <w:p w14:paraId="7E6F202B"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5. Los criterios para seleccionar la oferta más favorable. </w:t>
      </w:r>
    </w:p>
    <w:p w14:paraId="0831FAC0" w14:textId="77777777" w:rsidR="007C04BE" w:rsidRPr="004550BA" w:rsidRDefault="007C04BE" w:rsidP="007C04BE">
      <w:pPr>
        <w:spacing w:after="0" w:line="240" w:lineRule="auto"/>
        <w:ind w:left="709" w:right="709"/>
        <w:jc w:val="both"/>
        <w:rPr>
          <w:rFonts w:ascii="Verdana" w:hAnsi="Verdana" w:cs="Arial"/>
          <w:i/>
          <w:iCs/>
          <w:sz w:val="20"/>
          <w:szCs w:val="20"/>
        </w:rPr>
      </w:pPr>
    </w:p>
    <w:p w14:paraId="006D453C"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6. El análisis de Riesgo y la forma de mitigarlo. </w:t>
      </w:r>
    </w:p>
    <w:p w14:paraId="7B05CC16" w14:textId="77777777" w:rsidR="007C04BE" w:rsidRPr="004550BA" w:rsidRDefault="007C04BE" w:rsidP="007C04BE">
      <w:pPr>
        <w:spacing w:after="0" w:line="240" w:lineRule="auto"/>
        <w:ind w:left="709" w:right="709"/>
        <w:jc w:val="both"/>
        <w:rPr>
          <w:rFonts w:ascii="Verdana" w:hAnsi="Verdana" w:cs="Arial"/>
          <w:i/>
          <w:iCs/>
          <w:sz w:val="20"/>
          <w:szCs w:val="20"/>
        </w:rPr>
      </w:pPr>
    </w:p>
    <w:p w14:paraId="2873582A"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7. Las garantías que la Entidad Estatal contempla exigir en el proceso de contratación. </w:t>
      </w:r>
    </w:p>
    <w:p w14:paraId="6C09FF20" w14:textId="77777777" w:rsidR="007C04BE" w:rsidRPr="004550BA" w:rsidRDefault="007C04BE" w:rsidP="007C04BE">
      <w:pPr>
        <w:spacing w:after="0" w:line="240" w:lineRule="auto"/>
        <w:ind w:left="709" w:right="709"/>
        <w:jc w:val="both"/>
        <w:rPr>
          <w:rFonts w:ascii="Verdana" w:hAnsi="Verdana" w:cs="Arial"/>
          <w:i/>
          <w:iCs/>
          <w:sz w:val="20"/>
          <w:szCs w:val="20"/>
        </w:rPr>
      </w:pPr>
    </w:p>
    <w:p w14:paraId="568D4D7C"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 xml:space="preserve">8. La indicación de si el proceso de contratación está cobijado por un acuerdo comercial. </w:t>
      </w:r>
    </w:p>
    <w:p w14:paraId="05E26664" w14:textId="77777777" w:rsidR="007C04BE" w:rsidRPr="004550BA" w:rsidRDefault="007C04BE" w:rsidP="007C04BE">
      <w:pPr>
        <w:spacing w:after="0" w:line="240" w:lineRule="auto"/>
        <w:ind w:left="709" w:right="709"/>
        <w:jc w:val="both"/>
        <w:rPr>
          <w:rFonts w:ascii="Verdana" w:hAnsi="Verdana" w:cs="Arial"/>
          <w:i/>
          <w:iCs/>
          <w:sz w:val="20"/>
          <w:szCs w:val="20"/>
        </w:rPr>
      </w:pPr>
    </w:p>
    <w:p w14:paraId="597EC3B9" w14:textId="77777777" w:rsidR="007C04BE" w:rsidRPr="004550BA" w:rsidRDefault="007C04BE" w:rsidP="007C04BE">
      <w:pPr>
        <w:spacing w:after="0" w:line="240" w:lineRule="auto"/>
        <w:ind w:left="709" w:right="709"/>
        <w:jc w:val="both"/>
        <w:rPr>
          <w:rFonts w:ascii="Verdana" w:hAnsi="Verdana" w:cs="Arial"/>
          <w:i/>
          <w:iCs/>
          <w:sz w:val="20"/>
          <w:szCs w:val="20"/>
        </w:rPr>
      </w:pPr>
      <w:r w:rsidRPr="004550BA">
        <w:rPr>
          <w:rFonts w:ascii="Verdana" w:hAnsi="Verdana" w:cs="Arial"/>
          <w:i/>
          <w:iCs/>
          <w:sz w:val="20"/>
          <w:szCs w:val="20"/>
        </w:rPr>
        <w:t>El presente artículo no es aplicable a la contratación por mínima cuantía. (Énfasis por fuera de texto)</w:t>
      </w:r>
    </w:p>
    <w:p w14:paraId="7821FDE4" w14:textId="77777777" w:rsidR="007C04BE" w:rsidRPr="001518B6" w:rsidRDefault="007C04BE" w:rsidP="001518B6">
      <w:pPr>
        <w:spacing w:after="0" w:line="240" w:lineRule="auto"/>
        <w:ind w:left="709" w:right="709"/>
        <w:jc w:val="both"/>
        <w:rPr>
          <w:rFonts w:ascii="Verdana" w:hAnsi="Verdana" w:cs="Arial"/>
          <w:sz w:val="20"/>
          <w:szCs w:val="20"/>
        </w:rPr>
      </w:pPr>
    </w:p>
    <w:p w14:paraId="729EAA6C" w14:textId="77777777" w:rsidR="00DF07E0" w:rsidRDefault="00DF07E0" w:rsidP="00DF07E0">
      <w:pPr>
        <w:spacing w:after="0"/>
        <w:ind w:firstLine="709"/>
        <w:jc w:val="both"/>
        <w:rPr>
          <w:rFonts w:ascii="Verdana" w:eastAsia="Calibri" w:hAnsi="Verdana" w:cs="Arial"/>
          <w:bCs/>
          <w:color w:val="000000" w:themeColor="text1"/>
        </w:rPr>
      </w:pPr>
    </w:p>
    <w:p w14:paraId="3D74794D" w14:textId="2C51A687" w:rsidR="00DF07E0" w:rsidRDefault="00944591" w:rsidP="00DF07E0">
      <w:pPr>
        <w:spacing w:after="0"/>
        <w:ind w:firstLine="709"/>
        <w:jc w:val="both"/>
        <w:rPr>
          <w:rFonts w:ascii="Verdana" w:hAnsi="Verdana" w:cs="Arial"/>
        </w:rPr>
      </w:pPr>
      <w:r w:rsidRPr="004550BA">
        <w:rPr>
          <w:rFonts w:ascii="Verdana" w:eastAsia="Calibri" w:hAnsi="Verdana" w:cs="Arial"/>
          <w:b/>
          <w:color w:val="000000" w:themeColor="text1"/>
        </w:rPr>
        <w:t>ii</w:t>
      </w:r>
      <w:r>
        <w:rPr>
          <w:rFonts w:ascii="Verdana" w:eastAsia="Calibri" w:hAnsi="Verdana" w:cs="Arial"/>
          <w:bCs/>
          <w:color w:val="000000" w:themeColor="text1"/>
        </w:rPr>
        <w:t xml:space="preserve">. </w:t>
      </w:r>
      <w:r w:rsidRPr="00AD4F6A">
        <w:rPr>
          <w:rFonts w:ascii="Verdana" w:hAnsi="Verdana" w:cs="Arial"/>
        </w:rPr>
        <w:t xml:space="preserve">De esta manera, 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AD4F6A">
        <w:rPr>
          <w:rFonts w:ascii="Verdana" w:hAnsi="Verdana" w:cs="Arial"/>
        </w:rPr>
        <w:t>vii</w:t>
      </w:r>
      <w:proofErr w:type="spellEnd"/>
      <w:r w:rsidRPr="00AD4F6A">
        <w:rPr>
          <w:rFonts w:ascii="Verdana" w:hAnsi="Verdana" w:cs="Arial"/>
        </w:rPr>
        <w:t>) los procedimientos, trámites y requisitos que deban satisfacerse, reunirse u obtenerse para llevar a cabo la selección del respectivo contratista y la celebración del contrato que se pretenda celebrar.</w:t>
      </w:r>
    </w:p>
    <w:p w14:paraId="5F860A80" w14:textId="77777777" w:rsidR="007074C0" w:rsidRDefault="007074C0" w:rsidP="00DF07E0">
      <w:pPr>
        <w:spacing w:after="0"/>
        <w:ind w:firstLine="709"/>
        <w:jc w:val="both"/>
        <w:rPr>
          <w:rFonts w:ascii="Verdana" w:hAnsi="Verdana" w:cs="Arial"/>
        </w:rPr>
      </w:pPr>
    </w:p>
    <w:p w14:paraId="4A826726" w14:textId="77777777" w:rsidR="00FA2CEE" w:rsidRPr="00A15705" w:rsidRDefault="007074C0" w:rsidP="00FA2CEE">
      <w:pPr>
        <w:spacing w:after="120" w:line="276" w:lineRule="auto"/>
        <w:ind w:firstLine="709"/>
        <w:jc w:val="both"/>
        <w:rPr>
          <w:rFonts w:ascii="Verdana" w:hAnsi="Verdana" w:cs="Arial"/>
        </w:rPr>
      </w:pPr>
      <w:r w:rsidRPr="00AD4F6A">
        <w:rPr>
          <w:rFonts w:ascii="Verdana" w:hAnsi="Verdana" w:cs="Arial"/>
        </w:rPr>
        <w:t xml:space="preserve">Por ello, el hecho que las entidades cumplan con los elementos mínimos establecidos en la norma y aquellos adicionales que identifiquen en la etapa de planeación de los </w:t>
      </w:r>
      <w:r w:rsidRPr="00AD4F6A">
        <w:rPr>
          <w:rFonts w:ascii="Verdana" w:eastAsia="Calibri" w:hAnsi="Verdana" w:cs="Arial"/>
          <w:bCs/>
          <w:lang w:val="es-ES_tradnl"/>
        </w:rPr>
        <w:t>procedimientos de contratación, permite que los contratos resultantes cuenten</w:t>
      </w:r>
      <w:r w:rsidR="00FA2CEE">
        <w:rPr>
          <w:rFonts w:ascii="Verdana" w:eastAsia="Calibri" w:hAnsi="Verdana" w:cs="Arial"/>
          <w:bCs/>
          <w:lang w:val="es-ES_tradnl"/>
        </w:rPr>
        <w:t xml:space="preserve"> </w:t>
      </w:r>
      <w:r w:rsidR="00FA2CEE" w:rsidRPr="00AD4F6A">
        <w:rPr>
          <w:rFonts w:ascii="Verdana" w:eastAsia="Calibri" w:hAnsi="Verdana" w:cs="Arial"/>
          <w:bCs/>
          <w:lang w:val="es-ES_tradnl"/>
        </w:rPr>
        <w:t xml:space="preserve">con el sustento técnico, económico y jurídico que incidirá </w:t>
      </w:r>
      <w:r w:rsidR="00FA2CEE" w:rsidRPr="00AD4F6A">
        <w:rPr>
          <w:rFonts w:ascii="Verdana" w:hAnsi="Verdana" w:cs="Arial"/>
        </w:rPr>
        <w:t>en una adecuada ejecución.</w:t>
      </w:r>
    </w:p>
    <w:p w14:paraId="04DE0D01" w14:textId="77777777" w:rsidR="005F549E" w:rsidRDefault="00E64CA9" w:rsidP="005F549E">
      <w:pPr>
        <w:spacing w:after="120" w:line="276" w:lineRule="auto"/>
        <w:ind w:right="102" w:firstLine="709"/>
        <w:jc w:val="both"/>
        <w:rPr>
          <w:rFonts w:ascii="Verdana" w:eastAsia="Times New Roman" w:hAnsi="Verdana" w:cs="Arial"/>
          <w:lang w:val="es-ES_tradnl" w:eastAsia="es-MX"/>
        </w:rPr>
      </w:pPr>
      <w:r w:rsidRPr="004550BA">
        <w:rPr>
          <w:rFonts w:ascii="Verdana" w:eastAsia="Calibri" w:hAnsi="Verdana" w:cs="Arial"/>
          <w:b/>
          <w:color w:val="000000" w:themeColor="text1"/>
        </w:rPr>
        <w:lastRenderedPageBreak/>
        <w:t>iii.</w:t>
      </w:r>
      <w:r>
        <w:rPr>
          <w:rFonts w:ascii="Verdana" w:eastAsia="Calibri" w:hAnsi="Verdana" w:cs="Arial"/>
          <w:bCs/>
          <w:color w:val="000000" w:themeColor="text1"/>
        </w:rPr>
        <w:t xml:space="preserve"> </w:t>
      </w:r>
      <w:r w:rsidR="003517EC" w:rsidRPr="009225F7">
        <w:rPr>
          <w:rFonts w:ascii="Verdana" w:eastAsia="Times New Roman" w:hAnsi="Verdana" w:cs="Arial"/>
          <w:lang w:val="es-ES_tradnl" w:eastAsia="es-MX"/>
        </w:rPr>
        <w:t>Más allá del cumplimiento de la normativa, “los estudios y documentos previos son el soporte para elaborar el proyecto de pliegos, los pliegos de condiciones, y el contrato</w:t>
      </w:r>
      <w:r w:rsidR="00894E55">
        <w:rPr>
          <w:rFonts w:ascii="Verdana" w:eastAsia="Times New Roman" w:hAnsi="Verdana" w:cs="Arial"/>
          <w:lang w:val="es-ES_tradnl" w:eastAsia="es-MX"/>
        </w:rPr>
        <w:t>”</w:t>
      </w:r>
      <w:r w:rsidR="00894E55">
        <w:rPr>
          <w:rStyle w:val="Refdenotaalpie"/>
          <w:rFonts w:ascii="Verdana" w:eastAsia="Times New Roman" w:hAnsi="Verdana" w:cs="Arial"/>
          <w:lang w:val="es-ES_tradnl" w:eastAsia="es-MX"/>
        </w:rPr>
        <w:footnoteReference w:id="5"/>
      </w:r>
      <w:r w:rsidR="005F549E">
        <w:rPr>
          <w:rFonts w:ascii="Verdana" w:eastAsia="Times New Roman" w:hAnsi="Verdana" w:cs="Arial"/>
          <w:lang w:val="es-ES_tradnl" w:eastAsia="es-MX"/>
        </w:rPr>
        <w:t xml:space="preserve">, </w:t>
      </w:r>
      <w:r w:rsidR="005F549E" w:rsidRPr="009225F7">
        <w:rPr>
          <w:rFonts w:ascii="Verdana" w:eastAsia="Times New Roman" w:hAnsi="Verdana" w:cs="Arial"/>
          <w:lang w:val="es-ES_tradnl" w:eastAsia="es-MX"/>
        </w:rPr>
        <w:t>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23C02F71" w14:textId="1A9BEC8E" w:rsidR="007074C0" w:rsidRDefault="00B16C37" w:rsidP="00DF07E0">
      <w:pPr>
        <w:spacing w:after="0"/>
        <w:ind w:firstLine="709"/>
        <w:jc w:val="both"/>
        <w:rPr>
          <w:rFonts w:ascii="Verdana" w:eastAsia="Calibri" w:hAnsi="Verdana" w:cs="Arial"/>
          <w:bCs/>
          <w:color w:val="000000" w:themeColor="text1"/>
        </w:rPr>
      </w:pPr>
      <w:bookmarkStart w:id="5" w:name="_Hlk54011438"/>
      <w:r w:rsidRPr="00AD4F6A">
        <w:rPr>
          <w:rFonts w:ascii="Verdana" w:hAnsi="Verdana" w:cs="Arial"/>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5"/>
      <w:r w:rsidR="002A4F76">
        <w:rPr>
          <w:rStyle w:val="Refdenotaalpie"/>
          <w:rFonts w:ascii="Verdana" w:hAnsi="Verdana" w:cs="Arial"/>
        </w:rPr>
        <w:footnoteReference w:id="6"/>
      </w:r>
    </w:p>
    <w:p w14:paraId="442FD2CE" w14:textId="77777777" w:rsidR="00944591" w:rsidRDefault="00944591" w:rsidP="00DF07E0">
      <w:pPr>
        <w:spacing w:after="0"/>
        <w:ind w:firstLine="709"/>
        <w:jc w:val="both"/>
        <w:rPr>
          <w:rFonts w:ascii="Verdana" w:eastAsia="Calibri" w:hAnsi="Verdana" w:cs="Arial"/>
          <w:bCs/>
          <w:color w:val="000000" w:themeColor="text1"/>
        </w:rPr>
      </w:pPr>
    </w:p>
    <w:p w14:paraId="631F050D" w14:textId="77777777" w:rsidR="003D5644" w:rsidRDefault="003D5644" w:rsidP="003D5644">
      <w:pPr>
        <w:spacing w:after="120" w:line="276" w:lineRule="auto"/>
        <w:ind w:firstLine="708"/>
        <w:jc w:val="both"/>
        <w:rPr>
          <w:rFonts w:ascii="Verdana" w:eastAsia="Calibri" w:hAnsi="Verdana" w:cs="Arial"/>
          <w:lang w:eastAsia="es-MX"/>
        </w:rPr>
      </w:pPr>
      <w:r w:rsidRPr="00CC33FA">
        <w:rPr>
          <w:rFonts w:ascii="Verdana" w:eastAsia="Calibri" w:hAnsi="Verdana" w:cs="Arial"/>
          <w:b/>
          <w:color w:val="000000" w:themeColor="text1"/>
        </w:rPr>
        <w:t>iv.</w:t>
      </w:r>
      <w:r>
        <w:rPr>
          <w:rFonts w:ascii="Verdana" w:eastAsia="Calibri" w:hAnsi="Verdana" w:cs="Arial"/>
          <w:bCs/>
          <w:color w:val="000000" w:themeColor="text1"/>
        </w:rPr>
        <w:t xml:space="preserve"> </w:t>
      </w:r>
      <w:r w:rsidRPr="00AD4F6A">
        <w:rPr>
          <w:rFonts w:ascii="Verdana" w:hAnsi="Verdana" w:cs="Arial"/>
        </w:rPr>
        <w:t xml:space="preserve">Por otra parte, los numerales 2 y 4 del artículo 2.2.1.1.2.1.1 del Decreto 1082 de 2015 exigen que en los estudios previos se determine el objeto a contratar con sus especificaciones, y se señale el valor estimado del contrato y la justificación </w:t>
      </w:r>
      <w:proofErr w:type="gramStart"/>
      <w:r w:rsidRPr="00AD4F6A">
        <w:rPr>
          <w:rFonts w:ascii="Verdana" w:hAnsi="Verdana" w:cs="Arial"/>
        </w:rPr>
        <w:t>del mismo</w:t>
      </w:r>
      <w:proofErr w:type="gramEnd"/>
      <w:r w:rsidRPr="00AD4F6A">
        <w:rPr>
          <w:rFonts w:ascii="Verdana" w:hAnsi="Verdana" w:cs="Arial"/>
        </w:rPr>
        <w:t xml:space="preserve">. </w:t>
      </w:r>
      <w:r w:rsidRPr="00AD4F6A">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w:t>
      </w:r>
      <w:r w:rsidRPr="009225F7">
        <w:rPr>
          <w:rFonts w:ascii="Verdana" w:eastAsia="Calibri" w:hAnsi="Verdana" w:cs="Arial"/>
          <w:lang w:eastAsia="es-MX"/>
        </w:rPr>
        <w:t xml:space="preserve"> </w:t>
      </w:r>
    </w:p>
    <w:p w14:paraId="101F1C04" w14:textId="77777777" w:rsidR="0096768D" w:rsidRPr="00C43A2B" w:rsidRDefault="004D0A6E" w:rsidP="0096768D">
      <w:pPr>
        <w:spacing w:after="120" w:line="276" w:lineRule="auto"/>
        <w:ind w:firstLine="708"/>
        <w:jc w:val="both"/>
        <w:rPr>
          <w:rFonts w:ascii="Verdana" w:eastAsia="Calibri" w:hAnsi="Verdana" w:cs="Arial"/>
          <w:bCs/>
          <w:lang w:val="es-ES_tradnl"/>
        </w:rPr>
      </w:pPr>
      <w:r w:rsidRPr="00AD4F6A">
        <w:rPr>
          <w:rFonts w:ascii="Verdana" w:eastAsia="Calibri" w:hAnsi="Verdana" w:cs="Arial"/>
          <w:bCs/>
          <w:lang w:val="es-ES_tradnl"/>
        </w:rPr>
        <w:t xml:space="preserve">En este sentido, el artículo </w:t>
      </w:r>
      <w:bookmarkStart w:id="6" w:name="_Hlk36117416"/>
      <w:r w:rsidRPr="00AD4F6A">
        <w:rPr>
          <w:rFonts w:ascii="Verdana" w:eastAsia="Calibri" w:hAnsi="Verdana" w:cs="Arial"/>
          <w:bCs/>
          <w:lang w:val="es-ES_tradnl"/>
        </w:rPr>
        <w:t>2.2.1.1.1.6.1 del Decreto 1082 de 2015</w:t>
      </w:r>
      <w:bookmarkEnd w:id="6"/>
      <w:r w:rsidRPr="00AD4F6A">
        <w:rPr>
          <w:rFonts w:ascii="Verdana" w:eastAsia="Calibri" w:hAnsi="Verdana" w:cs="Arial"/>
          <w:bCs/>
          <w:lang w:val="es-ES_tradnl"/>
        </w:rPr>
        <w:t xml:space="preserve"> dispone que “La Entidad Estatal debe hacer, durante la etapa de planeación, el análisis necesario para conocer el sector relativo al objeto del Proceso de Contratación desde la perspectiva legal, comercial, financiera, organizacional,</w:t>
      </w:r>
      <w:r w:rsidR="0096768D">
        <w:rPr>
          <w:rFonts w:ascii="Verdana" w:eastAsia="Calibri" w:hAnsi="Verdana" w:cs="Arial"/>
          <w:bCs/>
          <w:lang w:val="es-ES_tradnl"/>
        </w:rPr>
        <w:t xml:space="preserve"> </w:t>
      </w:r>
      <w:r w:rsidR="0096768D" w:rsidRPr="00AD4F6A">
        <w:rPr>
          <w:rFonts w:ascii="Verdana" w:eastAsia="Calibri" w:hAnsi="Verdana" w:cs="Arial"/>
          <w:bCs/>
          <w:lang w:val="es-ES_tradnl"/>
        </w:rPr>
        <w:t>técnica, y de análisis de Riesgo. La Entidad Estatal debe dejar constancia de este análisis en los Documentos del Proceso”.</w:t>
      </w:r>
    </w:p>
    <w:p w14:paraId="14827EB4" w14:textId="77777777" w:rsidR="0096768D" w:rsidRDefault="0096768D" w:rsidP="0096768D">
      <w:pPr>
        <w:spacing w:after="120" w:line="276" w:lineRule="auto"/>
        <w:ind w:right="102" w:firstLine="709"/>
        <w:jc w:val="both"/>
        <w:rPr>
          <w:rFonts w:ascii="Verdana" w:eastAsia="Times New Roman" w:hAnsi="Verdana" w:cs="Arial"/>
          <w:lang w:val="es-ES_tradnl" w:eastAsia="es-MX"/>
        </w:rPr>
      </w:pPr>
      <w:r w:rsidRPr="00B321B0">
        <w:rPr>
          <w:rFonts w:ascii="Verdana" w:eastAsia="Calibri" w:hAnsi="Verdana" w:cs="Arial"/>
          <w:lang w:eastAsia="es-MX"/>
        </w:rPr>
        <w:t xml:space="preserve">De acuerdo con la norma señalada, la entidad debe realizar el análisis necesario para conocer el sector relativo al objeto del Proceso de Contratación, </w:t>
      </w:r>
      <w:r w:rsidRPr="00B321B0">
        <w:rPr>
          <w:rFonts w:ascii="Verdana" w:eastAsia="Calibri" w:hAnsi="Verdana" w:cs="Arial"/>
          <w:lang w:eastAsia="es-MX"/>
        </w:rPr>
        <w:lastRenderedPageBreak/>
        <w:t>sin que sea relevante la modalidad de selección. En ese orden de ideas se deber hacer un análisis desde las diferentes perspectivas:</w:t>
      </w:r>
    </w:p>
    <w:p w14:paraId="1541B8BD" w14:textId="77777777" w:rsidR="00074BBA" w:rsidRDefault="00074BBA" w:rsidP="00074BBA">
      <w:pPr>
        <w:spacing w:after="120" w:line="276" w:lineRule="auto"/>
        <w:ind w:right="102"/>
        <w:jc w:val="both"/>
        <w:rPr>
          <w:rFonts w:ascii="Verdana" w:eastAsia="Calibri" w:hAnsi="Verdana" w:cs="Arial"/>
          <w:lang w:eastAsia="es-MX"/>
        </w:rPr>
      </w:pPr>
      <w:r>
        <w:rPr>
          <w:rFonts w:ascii="Verdana" w:eastAsia="Times New Roman" w:hAnsi="Verdana" w:cs="Arial"/>
          <w:lang w:val="es-ES_tradnl" w:eastAsia="es-MX"/>
        </w:rPr>
        <w:t xml:space="preserve">- </w:t>
      </w:r>
      <w:r w:rsidRPr="00B321B0">
        <w:rPr>
          <w:rFonts w:ascii="Verdana" w:eastAsia="Calibri" w:hAnsi="Verdana" w:cs="Arial"/>
          <w:lang w:eastAsia="es-MX"/>
        </w:rPr>
        <w:t>Legal: implica la revisión de la regulación vigente para el mercado dentro del que se encuentra el objeto del contrato.</w:t>
      </w:r>
    </w:p>
    <w:p w14:paraId="2CD4D140" w14:textId="77777777" w:rsidR="00074BBA" w:rsidRDefault="00074BBA" w:rsidP="00074BBA">
      <w:pPr>
        <w:spacing w:after="120" w:line="276" w:lineRule="auto"/>
        <w:ind w:right="102"/>
        <w:jc w:val="both"/>
        <w:rPr>
          <w:rFonts w:ascii="Verdana" w:eastAsia="Calibri" w:hAnsi="Verdana" w:cs="Arial"/>
          <w:lang w:eastAsia="es-MX"/>
        </w:rPr>
      </w:pPr>
      <w:r>
        <w:rPr>
          <w:rFonts w:ascii="Verdana" w:eastAsia="Calibri" w:hAnsi="Verdana" w:cs="Arial"/>
          <w:lang w:eastAsia="es-MX"/>
        </w:rPr>
        <w:t xml:space="preserve">- </w:t>
      </w:r>
      <w:r w:rsidRPr="00B321B0">
        <w:rPr>
          <w:rFonts w:ascii="Verdana" w:eastAsia="Calibri" w:hAnsi="Verdana" w:cs="Arial"/>
          <w:lang w:eastAsia="es-MX"/>
        </w:rPr>
        <w:t>Comercial: hace referencia a analizar quiénes pueden ofrecer el bien o servicio que se quiere contratar, cuáles son sus condiciones, si tienen condiciones especiales que sean relevantes para determinar los requisitos habilitantes, entre otros.</w:t>
      </w:r>
    </w:p>
    <w:p w14:paraId="12EE63EE" w14:textId="027482CE" w:rsidR="00074BBA" w:rsidRPr="00074BBA" w:rsidRDefault="00074BBA" w:rsidP="00074BBA">
      <w:pPr>
        <w:spacing w:after="120" w:line="276" w:lineRule="auto"/>
        <w:ind w:right="102"/>
        <w:jc w:val="both"/>
        <w:rPr>
          <w:rFonts w:ascii="Verdana" w:eastAsia="Calibri" w:hAnsi="Verdana" w:cs="Arial"/>
          <w:lang w:eastAsia="es-MX"/>
        </w:rPr>
      </w:pPr>
      <w:r>
        <w:rPr>
          <w:rFonts w:ascii="Verdana" w:eastAsia="Calibri" w:hAnsi="Verdana" w:cs="Arial"/>
          <w:lang w:eastAsia="es-MX"/>
        </w:rPr>
        <w:t xml:space="preserve">- </w:t>
      </w:r>
      <w:r w:rsidRPr="00B321B0">
        <w:rPr>
          <w:rFonts w:ascii="Verdana" w:eastAsia="Calibri" w:hAnsi="Verdana" w:cs="Arial"/>
          <w:lang w:eastAsia="es-MX"/>
        </w:rPr>
        <w:t xml:space="preserve">Financiera: el análisis conlleva una revisión de las características financieras que se presentan dentro del mercado del bien o servicio, como por ejemplo el índice de endeudamiento que tienen las empresas o personas naturales que ofrecen dicho bien o servicio. </w:t>
      </w:r>
    </w:p>
    <w:p w14:paraId="3E7E6E7A" w14:textId="381BEF0A" w:rsidR="003D5644" w:rsidRPr="000F5364" w:rsidRDefault="00074BBA" w:rsidP="000F5364">
      <w:pPr>
        <w:spacing w:after="120" w:line="276" w:lineRule="auto"/>
        <w:ind w:right="102"/>
        <w:jc w:val="both"/>
        <w:rPr>
          <w:rFonts w:ascii="Verdana" w:eastAsia="Calibri" w:hAnsi="Verdana" w:cs="Arial"/>
          <w:lang w:eastAsia="es-MX"/>
        </w:rPr>
      </w:pPr>
      <w:r>
        <w:rPr>
          <w:rFonts w:ascii="Verdana" w:eastAsia="Times New Roman" w:hAnsi="Verdana" w:cs="Arial"/>
          <w:lang w:val="es-ES_tradnl" w:eastAsia="es-MX"/>
        </w:rPr>
        <w:t xml:space="preserve">- </w:t>
      </w:r>
      <w:r w:rsidRPr="00B321B0">
        <w:rPr>
          <w:rFonts w:ascii="Verdana" w:eastAsia="Calibri" w:hAnsi="Verdana" w:cs="Arial"/>
          <w:lang w:eastAsia="es-MX"/>
        </w:rPr>
        <w:t>Organizacional: pretende que la Entidad Estatal entienda cómo están organizados internamente los posibles oferentes y de qué manera realizan sus negocios y operaciones.</w:t>
      </w:r>
    </w:p>
    <w:p w14:paraId="7EB4A415" w14:textId="117C0DCD" w:rsidR="00944591" w:rsidRDefault="000F5364" w:rsidP="00DF07E0">
      <w:pPr>
        <w:spacing w:after="0"/>
        <w:ind w:firstLine="709"/>
        <w:jc w:val="both"/>
        <w:rPr>
          <w:rFonts w:ascii="Verdana" w:eastAsia="Calibri" w:hAnsi="Verdana" w:cs="Arial"/>
          <w:bCs/>
          <w:lang w:val="es-ES_tradnl"/>
        </w:rPr>
      </w:pPr>
      <w:r w:rsidRPr="00AD4F6A">
        <w:rPr>
          <w:rFonts w:ascii="Verdana" w:eastAsia="Calibri" w:hAnsi="Verdana" w:cs="Arial"/>
          <w:bCs/>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r w:rsidR="006B5640">
        <w:rPr>
          <w:rFonts w:ascii="Verdana" w:eastAsia="Calibri" w:hAnsi="Verdana" w:cs="Arial"/>
          <w:bCs/>
          <w:lang w:val="es-ES_tradnl"/>
        </w:rPr>
        <w:t>.</w:t>
      </w:r>
    </w:p>
    <w:p w14:paraId="72C382D0" w14:textId="77777777" w:rsidR="006B5640" w:rsidRDefault="006B5640" w:rsidP="00DF07E0">
      <w:pPr>
        <w:spacing w:after="0"/>
        <w:ind w:firstLine="709"/>
        <w:jc w:val="both"/>
        <w:rPr>
          <w:rFonts w:ascii="Verdana" w:eastAsia="Calibri" w:hAnsi="Verdana" w:cs="Arial"/>
          <w:bCs/>
          <w:lang w:val="es-ES_tradnl"/>
        </w:rPr>
      </w:pPr>
    </w:p>
    <w:p w14:paraId="532F9779" w14:textId="77777777" w:rsidR="007B634A" w:rsidRPr="00C43A2B" w:rsidRDefault="006B5640" w:rsidP="007B634A">
      <w:pPr>
        <w:spacing w:after="120" w:line="276" w:lineRule="auto"/>
        <w:ind w:firstLine="709"/>
        <w:jc w:val="both"/>
        <w:rPr>
          <w:rFonts w:ascii="Verdana" w:eastAsia="Calibri" w:hAnsi="Verdana" w:cs="Arial"/>
          <w:lang w:val="es-ES"/>
        </w:rPr>
      </w:pPr>
      <w:r w:rsidRPr="00AD4F6A">
        <w:rPr>
          <w:rFonts w:ascii="Verdana" w:eastAsia="Calibri" w:hAnsi="Verdana" w:cs="Arial"/>
          <w:lang w:val="es-ES"/>
        </w:rPr>
        <w:t>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w:t>
      </w:r>
      <w:r w:rsidR="007B634A">
        <w:rPr>
          <w:rFonts w:ascii="Verdana" w:eastAsia="Calibri" w:hAnsi="Verdana" w:cs="Arial"/>
          <w:lang w:val="es-ES"/>
        </w:rPr>
        <w:t xml:space="preserve"> </w:t>
      </w:r>
      <w:r w:rsidR="007B634A" w:rsidRPr="00AD4F6A">
        <w:rPr>
          <w:rFonts w:ascii="Verdana" w:eastAsia="Calibri" w:hAnsi="Verdana" w:cs="Arial"/>
          <w:lang w:val="es-ES"/>
        </w:rPr>
        <w:t xml:space="preserve">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w:t>
      </w:r>
      <w:r w:rsidR="007B634A" w:rsidRPr="00AD4F6A">
        <w:rPr>
          <w:rFonts w:ascii="Verdana" w:eastAsia="Calibri" w:hAnsi="Verdana" w:cs="Arial"/>
          <w:lang w:val="es-ES"/>
        </w:rPr>
        <w:lastRenderedPageBreak/>
        <w:t xml:space="preserve">la realización de las prestaciones derivadas de las obligaciones que serán pactadas, tanto para la entidad contratante como para el contratista que proveerá el bien, obra o servicio. </w:t>
      </w:r>
    </w:p>
    <w:p w14:paraId="35F2B52E" w14:textId="77777777" w:rsidR="00C84C1A" w:rsidRDefault="00C84C1A" w:rsidP="00C84C1A">
      <w:pPr>
        <w:spacing w:after="120" w:line="276" w:lineRule="auto"/>
        <w:ind w:right="102" w:firstLine="709"/>
        <w:jc w:val="both"/>
        <w:rPr>
          <w:rFonts w:ascii="Verdana" w:eastAsia="Times New Roman" w:hAnsi="Verdana" w:cs="Arial"/>
          <w:lang w:val="es-ES_tradnl" w:eastAsia="es-MX"/>
        </w:rPr>
      </w:pPr>
      <w:r w:rsidRPr="00B321B0">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 un procedimiento específico para efectuar dicho análisis por lo que las entidades </w:t>
      </w:r>
      <w:r w:rsidRPr="00B321B0">
        <w:rPr>
          <w:rFonts w:ascii="Verdana" w:eastAsia="Times New Roman" w:hAnsi="Verdana" w:cs="Arial"/>
          <w:lang w:val="es-ES_tradnl" w:eastAsia="es-CO"/>
        </w:rPr>
        <w:t xml:space="preserve">son autónomas para estructurarlo, para lo cual deberán cumplir lo dispuesto en el artículo </w:t>
      </w:r>
      <w:r w:rsidRPr="00B321B0">
        <w:rPr>
          <w:rFonts w:ascii="Verdana" w:eastAsia="Calibri" w:hAnsi="Verdana" w:cs="Arial"/>
          <w:bCs/>
          <w:lang w:val="es-ES_tradnl" w:eastAsia="es-MX"/>
        </w:rPr>
        <w:t xml:space="preserve">2.2.1.1.1.6.1 del Decreto 1082 de 2015 y realizar un análisis integral de planeación que </w:t>
      </w:r>
      <w:r w:rsidRPr="00B321B0">
        <w:rPr>
          <w:rFonts w:ascii="Verdana" w:eastAsia="Times New Roman" w:hAnsi="Verdana" w:cs="Arial"/>
          <w:lang w:val="es-ES_tradnl" w:eastAsia="es-MX"/>
        </w:rPr>
        <w:t xml:space="preserve">sirva de sustento a la decisión de </w:t>
      </w:r>
      <w:r w:rsidRPr="00B321B0">
        <w:rPr>
          <w:rFonts w:ascii="Verdana" w:eastAsia="Times New Roman" w:hAnsi="Verdana" w:cs="Arial"/>
          <w:bCs/>
          <w:lang w:val="es-ES_tradnl" w:eastAsia="es-MX"/>
        </w:rPr>
        <w:t>realizar un Proceso de Contratación.</w:t>
      </w:r>
      <w:bookmarkStart w:id="7" w:name="_Hlk139466113"/>
    </w:p>
    <w:bookmarkEnd w:id="7"/>
    <w:p w14:paraId="28BCAAA2" w14:textId="77777777" w:rsidR="004012EC" w:rsidRPr="00AD4F6A" w:rsidRDefault="00794132" w:rsidP="004012EC">
      <w:pPr>
        <w:spacing w:after="120" w:line="276" w:lineRule="auto"/>
        <w:ind w:firstLine="709"/>
        <w:jc w:val="both"/>
        <w:rPr>
          <w:rFonts w:ascii="Verdana" w:eastAsia="Calibri" w:hAnsi="Verdana" w:cs="Arial"/>
          <w:bCs/>
          <w:lang w:val="es-ES"/>
        </w:rPr>
      </w:pPr>
      <w:r w:rsidRPr="00A80988">
        <w:rPr>
          <w:rFonts w:ascii="Verdana" w:eastAsia="Calibri" w:hAnsi="Verdana" w:cs="Arial"/>
          <w:b/>
          <w:color w:val="000000" w:themeColor="text1"/>
        </w:rPr>
        <w:t>v.</w:t>
      </w:r>
      <w:r>
        <w:rPr>
          <w:rFonts w:ascii="Verdana" w:eastAsia="Calibri" w:hAnsi="Verdana" w:cs="Arial"/>
          <w:bCs/>
          <w:color w:val="000000" w:themeColor="text1"/>
        </w:rPr>
        <w:t xml:space="preserve"> </w:t>
      </w:r>
      <w:r w:rsidR="004012EC" w:rsidRPr="00AD4F6A">
        <w:rPr>
          <w:rFonts w:ascii="Verdana" w:eastAsia="Calibri" w:hAnsi="Verdana" w:cs="Arial"/>
          <w:bCs/>
          <w:lang w:val="es-ES_tradnl"/>
        </w:rPr>
        <w:t>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004012EC" w:rsidRPr="00AD4F6A">
        <w:rPr>
          <w:rFonts w:ascii="Verdana" w:eastAsia="Calibri" w:hAnsi="Verdana" w:cs="Arial"/>
          <w:bCs/>
          <w:vertAlign w:val="superscript"/>
          <w:lang w:val="es-ES_tradnl"/>
        </w:rPr>
        <w:footnoteReference w:id="7"/>
      </w:r>
      <w:r w:rsidR="004012EC" w:rsidRPr="00AD4F6A">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004012EC" w:rsidRPr="00AD4F6A">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76302342" w14:textId="3F66291B" w:rsidR="006B5640" w:rsidRDefault="00A8510F" w:rsidP="00DF07E0">
      <w:pPr>
        <w:spacing w:after="0"/>
        <w:ind w:firstLine="709"/>
        <w:jc w:val="both"/>
        <w:rPr>
          <w:rFonts w:ascii="Verdana" w:eastAsia="Calibri" w:hAnsi="Verdana" w:cs="Arial"/>
          <w:bCs/>
          <w:lang w:val="es-ES_tradnl" w:eastAsia="es-MX"/>
        </w:rPr>
      </w:pPr>
      <w:r>
        <w:rPr>
          <w:rFonts w:ascii="Verdana" w:eastAsia="Calibri" w:hAnsi="Verdana" w:cs="Arial"/>
          <w:bCs/>
          <w:color w:val="000000" w:themeColor="text1"/>
        </w:rPr>
        <w:t xml:space="preserve">Así, </w:t>
      </w:r>
      <w:r>
        <w:rPr>
          <w:rFonts w:ascii="Verdana" w:eastAsia="Calibri" w:hAnsi="Verdana" w:cs="Arial"/>
          <w:bCs/>
          <w:lang w:val="es-ES_tradnl" w:eastAsia="es-MX"/>
        </w:rPr>
        <w:t>e</w:t>
      </w:r>
      <w:r w:rsidRPr="00B321B0">
        <w:rPr>
          <w:rFonts w:ascii="Verdana" w:eastAsia="Calibri" w:hAnsi="Verdana" w:cs="Arial"/>
          <w:bCs/>
          <w:lang w:val="es-ES_tradnl" w:eastAsia="es-MX"/>
        </w:rPr>
        <w:t>n este instrumento se recomienda un análisis integral sobre varios aspectos del mercado –económico, técnico, regulatorio, etc., lo cual permitirá</w:t>
      </w:r>
      <w:r w:rsidR="00C614F3">
        <w:rPr>
          <w:rFonts w:ascii="Verdana" w:eastAsia="Calibri" w:hAnsi="Verdana" w:cs="Arial"/>
          <w:bCs/>
          <w:lang w:val="es-ES_tradnl" w:eastAsia="es-MX"/>
        </w:rPr>
        <w:t xml:space="preserve"> </w:t>
      </w:r>
      <w:r w:rsidR="00C614F3" w:rsidRPr="00B321B0">
        <w:rPr>
          <w:rFonts w:ascii="Verdana" w:eastAsia="Calibri" w:hAnsi="Verdana" w:cs="Arial"/>
          <w:bCs/>
          <w:lang w:val="es-ES_tradnl" w:eastAsia="es-MX"/>
        </w:rPr>
        <w:t xml:space="preserve">que la entidad delimite con precisión qué bienes y servicios existen, cuáles son las condiciones de su comercialización, cómo es la oferta y la demanda y cuáles son los factores que inciden en el valor del contrato, tales como el análisis de </w:t>
      </w:r>
      <w:r w:rsidR="00C614F3" w:rsidRPr="00B321B0">
        <w:rPr>
          <w:rFonts w:ascii="Verdana" w:eastAsia="Calibri" w:hAnsi="Verdana" w:cs="Arial"/>
          <w:bCs/>
          <w:lang w:val="es-ES_tradnl" w:eastAsia="es-MX"/>
        </w:rPr>
        <w:lastRenderedPageBreak/>
        <w:t>precios, las cargas tributarias, la tasa de cambio, las garantías, los gastos de transporte, etc.</w:t>
      </w:r>
    </w:p>
    <w:p w14:paraId="68DD6ED9" w14:textId="77777777" w:rsidR="00C30187" w:rsidRDefault="00C30187" w:rsidP="00DF07E0">
      <w:pPr>
        <w:spacing w:after="0"/>
        <w:ind w:firstLine="709"/>
        <w:jc w:val="both"/>
        <w:rPr>
          <w:rFonts w:ascii="Verdana" w:eastAsia="Calibri" w:hAnsi="Verdana" w:cs="Arial"/>
          <w:bCs/>
          <w:lang w:val="es-ES_tradnl" w:eastAsia="es-MX"/>
        </w:rPr>
      </w:pPr>
    </w:p>
    <w:p w14:paraId="1950B487" w14:textId="1343DCD0" w:rsidR="00C30187" w:rsidRDefault="00C30187" w:rsidP="00DF07E0">
      <w:pPr>
        <w:spacing w:after="0"/>
        <w:ind w:firstLine="709"/>
        <w:jc w:val="both"/>
        <w:rPr>
          <w:rFonts w:ascii="Verdana" w:eastAsia="Calibri" w:hAnsi="Verdana" w:cs="Arial"/>
          <w:bCs/>
          <w:color w:val="000000" w:themeColor="text1"/>
        </w:rPr>
      </w:pPr>
      <w:r>
        <w:rPr>
          <w:rFonts w:ascii="Verdana" w:eastAsia="Calibri" w:hAnsi="Verdana" w:cs="Arial"/>
          <w:bCs/>
          <w:lang w:val="es-ES_tradnl" w:eastAsia="es-MX"/>
        </w:rPr>
        <w:t xml:space="preserve">Siguiendo con esa línea, </w:t>
      </w:r>
      <w:r w:rsidR="00C450F0" w:rsidRPr="00AD4F6A">
        <w:rPr>
          <w:rFonts w:ascii="Verdana" w:eastAsia="Calibri" w:hAnsi="Verdana" w:cs="Arial"/>
          <w:bCs/>
          <w:lang w:val="es-ES_tradnl"/>
        </w:rPr>
        <w:t xml:space="preserve">en la Guía se indica que como parte de la estructura del estudio del sector se debe realizar un análisis del comportamiento del gasto histórico, el estudio de la oferta y el estudio del mercado. En </w:t>
      </w:r>
      <w:r w:rsidR="00C450F0" w:rsidRPr="00AD4F6A">
        <w:rPr>
          <w:rFonts w:ascii="Verdana" w:eastAsia="Calibri" w:hAnsi="Verdana" w:cs="Arial"/>
          <w:bCs/>
          <w:lang w:val="es-ES"/>
        </w:rPr>
        <w:t xml:space="preserve">el marco del comportamiento del gasto histórico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00C450F0" w:rsidRPr="00AD4F6A">
        <w:rPr>
          <w:rFonts w:ascii="Verdana" w:eastAsia="Arial MT" w:hAnsi="Verdana" w:cs="Arial"/>
          <w:lang w:val="es-ES"/>
        </w:rPr>
        <w:t>desarrolladas por esta Agencia en el marco del modelo de abastecimiento estratégico</w:t>
      </w:r>
      <w:r w:rsidR="007C341F">
        <w:rPr>
          <w:rStyle w:val="Refdenotaalpie"/>
          <w:rFonts w:ascii="Verdana" w:eastAsia="Arial MT" w:hAnsi="Verdana" w:cs="Arial"/>
          <w:lang w:val="es-ES"/>
        </w:rPr>
        <w:footnoteReference w:id="8"/>
      </w:r>
      <w:r w:rsidR="00FE38C5">
        <w:rPr>
          <w:rFonts w:ascii="Verdana" w:eastAsia="Arial MT" w:hAnsi="Verdana" w:cs="Arial"/>
          <w:lang w:val="es-ES"/>
        </w:rPr>
        <w:t>.</w:t>
      </w:r>
    </w:p>
    <w:p w14:paraId="0A87F118" w14:textId="77777777" w:rsidR="00944591" w:rsidRDefault="00944591" w:rsidP="00DF07E0">
      <w:pPr>
        <w:spacing w:after="0"/>
        <w:ind w:firstLine="709"/>
        <w:jc w:val="both"/>
        <w:rPr>
          <w:rFonts w:ascii="Verdana" w:eastAsia="Calibri" w:hAnsi="Verdana" w:cs="Arial"/>
          <w:bCs/>
          <w:color w:val="000000" w:themeColor="text1"/>
        </w:rPr>
      </w:pPr>
    </w:p>
    <w:p w14:paraId="6AFDB0F0" w14:textId="028F6824" w:rsidR="00FE38C5" w:rsidRDefault="00FE38C5" w:rsidP="00FE38C5">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S</w:t>
      </w:r>
      <w:r w:rsidRPr="00AD4F6A">
        <w:rPr>
          <w:rFonts w:ascii="Verdana" w:eastAsia="Calibri" w:hAnsi="Verdana" w:cs="Arial"/>
          <w:color w:val="000000" w:themeColor="text1"/>
          <w:lang w:val="es-ES"/>
        </w:rPr>
        <w:t xml:space="preserve">egún la Guía, el </w:t>
      </w:r>
      <w:r w:rsidRPr="00AD4F6A">
        <w:rPr>
          <w:rFonts w:ascii="Verdana" w:eastAsia="Calibri" w:hAnsi="Verdana" w:cs="Arial"/>
          <w:i/>
          <w:iCs/>
          <w:color w:val="000000" w:themeColor="text1"/>
          <w:lang w:val="es-ES"/>
        </w:rPr>
        <w:t>estudio de la oferta</w:t>
      </w:r>
      <w:r w:rsidRPr="00AD4F6A">
        <w:rPr>
          <w:rFonts w:ascii="Verdana" w:eastAsia="Calibri" w:hAnsi="Verdana" w:cs="Arial"/>
          <w:color w:val="000000" w:themeColor="text1"/>
          <w:lang w:val="es-ES"/>
        </w:rPr>
        <w:t xml:space="preserve"> tiene como objetivo </w:t>
      </w:r>
      <w:r w:rsidRPr="00AD4F6A">
        <w:rPr>
          <w:rFonts w:ascii="Verdana" w:eastAsia="Calibri" w:hAnsi="Verdana" w:cs="Arial"/>
          <w:color w:val="000000" w:themeColor="text1"/>
        </w:rPr>
        <w:t>identificar las opciones de suministro para las categorías de compra definidas, y los posibles proveedores que pueden suministrar los bienes, obras o servicios que requiere para satisfacer su necesidad</w:t>
      </w:r>
      <w:r w:rsidRPr="00AD4F6A">
        <w:rPr>
          <w:rFonts w:ascii="Verdana" w:eastAsia="Calibri" w:hAnsi="Verdana" w:cs="Arial"/>
          <w:color w:val="000000" w:themeColor="text1"/>
          <w:lang w:val="es-ES"/>
        </w:rPr>
        <w:t xml:space="preserve">. En esta actividad las entidades estatales deben realizar un estudio de la oferta, que responda, entre otras, las siguientes preguntas: i) “¿Cuál es la dinámica de producción, distribución y entrega de bienes, obras o servicios?” –teniendo en cuenta elementos como la producción, la distribución, transporte etc.– y ii) “¿A quién se va a comprar?”. En relación con la primera pregunta, la Guía señala que “para la Entidad Estatal es importante conocer, entre otras, el proceso de producción, distribución y entrega de los bienes o servicios que pretende adquirir, así como los costos asociados a tales procesos, cuáles son las formas de distribución y entrega de los bienes o suministros del servicio, y demás criterios que apliquen”. </w:t>
      </w:r>
      <w:r>
        <w:rPr>
          <w:rFonts w:ascii="Verdana" w:eastAsia="Calibri" w:hAnsi="Verdana" w:cs="Arial"/>
          <w:color w:val="000000" w:themeColor="text1"/>
          <w:lang w:val="es-ES"/>
        </w:rPr>
        <w:t xml:space="preserve"> </w:t>
      </w:r>
    </w:p>
    <w:p w14:paraId="4346621A" w14:textId="077876F2" w:rsidR="00491656" w:rsidRDefault="007E4A7D" w:rsidP="00B33684">
      <w:pPr>
        <w:spacing w:after="120" w:line="276" w:lineRule="auto"/>
        <w:ind w:firstLine="709"/>
        <w:jc w:val="both"/>
        <w:rPr>
          <w:rFonts w:ascii="Verdana" w:eastAsia="Calibri" w:hAnsi="Verdana" w:cs="Arial"/>
          <w:color w:val="000000" w:themeColor="text1"/>
          <w:lang w:val="es-ES"/>
        </w:rPr>
      </w:pPr>
      <w:r w:rsidRPr="00AD4F6A">
        <w:rPr>
          <w:rFonts w:ascii="Verdana" w:eastAsia="Calibri" w:hAnsi="Verdana" w:cs="Arial"/>
          <w:color w:val="000000" w:themeColor="text1"/>
          <w:lang w:val="es-ES"/>
        </w:rPr>
        <w:t>Para estos efectos, se recomienda a la entidad diseñar e implementar escenarios y procedimientos de consulta de información abiertos e incluyentes con el mercado, en los cuales se defina qué información, cuándo, por qué medio</w:t>
      </w:r>
      <w:r w:rsidR="00823027">
        <w:rPr>
          <w:rFonts w:ascii="Verdana" w:eastAsia="Calibri" w:hAnsi="Verdana" w:cs="Arial"/>
          <w:color w:val="000000" w:themeColor="text1"/>
          <w:lang w:val="es-ES"/>
        </w:rPr>
        <w:t xml:space="preserve"> </w:t>
      </w:r>
      <w:r w:rsidR="00823027" w:rsidRPr="00AD4F6A">
        <w:rPr>
          <w:rFonts w:ascii="Verdana" w:eastAsia="Calibri" w:hAnsi="Verdana" w:cs="Arial"/>
          <w:color w:val="000000" w:themeColor="text1"/>
          <w:lang w:val="es-ES"/>
        </w:rPr>
        <w:t>y a quienes se solicitará.</w:t>
      </w:r>
      <w:bookmarkStart w:id="8" w:name="_Hlk78204338"/>
      <w:r w:rsidR="00823027" w:rsidRPr="00AD4F6A">
        <w:rPr>
          <w:rFonts w:ascii="Verdana" w:eastAsia="Calibri" w:hAnsi="Verdana" w:cs="Arial"/>
          <w:color w:val="000000" w:themeColor="text1"/>
          <w:lang w:val="es-ES"/>
        </w:rPr>
        <w:t xml:space="preserve"> La Guía</w:t>
      </w:r>
      <w:r w:rsidR="00823027" w:rsidRPr="00AD4F6A">
        <w:rPr>
          <w:rFonts w:ascii="Verdana" w:eastAsia="Calibri" w:hAnsi="Verdana" w:cs="Arial"/>
          <w:color w:val="000000" w:themeColor="text1"/>
        </w:rPr>
        <w:t xml:space="preserve"> indica que </w:t>
      </w:r>
      <w:r w:rsidR="00823027" w:rsidRPr="00AD4F6A">
        <w:rPr>
          <w:rFonts w:ascii="Verdana" w:eastAsia="Calibri" w:hAnsi="Verdana" w:cs="Arial"/>
          <w:color w:val="000000" w:themeColor="text1"/>
          <w:lang w:val="es-ES"/>
        </w:rPr>
        <w:t xml:space="preserve">“la Entidad Estatal debe identificar los proveedores en el mercado del bien o servicio, así como sus principales </w:t>
      </w:r>
      <w:r w:rsidR="00823027" w:rsidRPr="00AD4F6A">
        <w:rPr>
          <w:rFonts w:ascii="Verdana" w:eastAsia="Calibri" w:hAnsi="Verdana" w:cs="Arial"/>
          <w:color w:val="000000" w:themeColor="text1"/>
          <w:lang w:val="es-ES"/>
        </w:rPr>
        <w:lastRenderedPageBreak/>
        <w:t>características como tamaño empresarial, ubicación, esquemas de producción y comportamiento financiero”</w:t>
      </w:r>
      <w:r w:rsidR="00823027" w:rsidRPr="00AD4F6A">
        <w:rPr>
          <w:rFonts w:ascii="Verdana" w:eastAsia="Calibri" w:hAnsi="Verdana" w:cs="Arial"/>
          <w:color w:val="000000" w:themeColor="text1"/>
        </w:rPr>
        <w:t>.</w:t>
      </w:r>
      <w:bookmarkEnd w:id="8"/>
      <w:r w:rsidR="00823027" w:rsidRPr="00AD4F6A">
        <w:rPr>
          <w:rFonts w:ascii="Verdana" w:eastAsia="Calibri" w:hAnsi="Verdana" w:cs="Arial"/>
          <w:color w:val="000000" w:themeColor="text1"/>
        </w:rPr>
        <w:t xml:space="preserve"> Para la identificación de los proveedores se propone analizar el listado de los proveedores que participaron en los procesos de contratación iguales o similares que haya realizado la entidad y los que hayan realizado otras entidades con objetos comparables.</w:t>
      </w:r>
    </w:p>
    <w:p w14:paraId="23587BE2" w14:textId="49A3EE6A" w:rsidR="00EE27E6" w:rsidRDefault="00491656" w:rsidP="00EE27E6">
      <w:pPr>
        <w:spacing w:after="120" w:line="276" w:lineRule="auto"/>
        <w:ind w:firstLine="709"/>
        <w:jc w:val="both"/>
        <w:rPr>
          <w:rFonts w:ascii="Verdana" w:eastAsia="Calibri" w:hAnsi="Verdana" w:cs="Arial"/>
          <w:lang w:val="es-ES"/>
        </w:rPr>
      </w:pPr>
      <w:r w:rsidRPr="00A80988">
        <w:rPr>
          <w:rFonts w:ascii="Verdana" w:eastAsia="Calibri" w:hAnsi="Verdana" w:cs="Arial"/>
          <w:b/>
          <w:bCs/>
          <w:color w:val="000000" w:themeColor="text1"/>
          <w:lang w:val="es-ES"/>
        </w:rPr>
        <w:t>vi.</w:t>
      </w:r>
      <w:r>
        <w:rPr>
          <w:rFonts w:ascii="Verdana" w:eastAsia="Calibri" w:hAnsi="Verdana" w:cs="Arial"/>
          <w:color w:val="000000" w:themeColor="text1"/>
          <w:lang w:val="es-ES"/>
        </w:rPr>
        <w:t xml:space="preserve"> </w:t>
      </w:r>
      <w:r w:rsidRPr="00AD4F6A">
        <w:rPr>
          <w:rFonts w:ascii="Verdana" w:eastAsia="Calibri" w:hAnsi="Verdana" w:cs="Arial"/>
          <w:color w:val="000000" w:themeColor="text1"/>
          <w:lang w:val="es-ES"/>
        </w:rPr>
        <w:t xml:space="preserve">Por último, el estudio del mercado permite comprender la dinámica de los precios y establecer el presupuesto oficial de la contratación. </w:t>
      </w:r>
      <w:r w:rsidRPr="00AD4F6A">
        <w:rPr>
          <w:rFonts w:ascii="Verdana" w:eastAsia="Calibri" w:hAnsi="Verdana" w:cs="Arial"/>
          <w:lang w:val="es-ES"/>
        </w:rPr>
        <w:t>De esta forma, se tiene que, la Guía de Elaboración de Estudios del Sector en el numeral</w:t>
      </w:r>
      <w:r w:rsidR="00F95522">
        <w:rPr>
          <w:rFonts w:ascii="Verdana" w:eastAsia="Calibri" w:hAnsi="Verdana" w:cs="Arial"/>
          <w:lang w:val="es-ES"/>
        </w:rPr>
        <w:t xml:space="preserve"> </w:t>
      </w:r>
      <w:r w:rsidR="00F95522" w:rsidRPr="00F95522">
        <w:rPr>
          <w:rFonts w:ascii="Verdana" w:eastAsia="Calibri" w:hAnsi="Verdana" w:cs="Arial"/>
        </w:rPr>
        <w:t>5.2.5.</w:t>
      </w:r>
      <w:r w:rsidR="00F95522">
        <w:rPr>
          <w:rFonts w:ascii="Verdana" w:eastAsia="Calibri" w:hAnsi="Verdana" w:cs="Arial"/>
        </w:rPr>
        <w:t xml:space="preserve"> estudio de mercado, </w:t>
      </w:r>
      <w:r w:rsidR="00665658" w:rsidRPr="00AD4F6A">
        <w:rPr>
          <w:rFonts w:ascii="Verdana" w:eastAsia="Calibri" w:hAnsi="Verdana" w:cs="Arial"/>
          <w:lang w:val="es-ES"/>
        </w:rPr>
        <w:t>propone a las Entidades Estatales los siguientes mecanismos para elaborar el estudio de precios de mercado:</w:t>
      </w:r>
    </w:p>
    <w:p w14:paraId="22AA9455" w14:textId="42DCC300" w:rsidR="00EE27E6" w:rsidRDefault="00EE27E6" w:rsidP="00C83A1A">
      <w:pPr>
        <w:spacing w:after="120" w:line="276" w:lineRule="auto"/>
        <w:ind w:left="708"/>
        <w:jc w:val="both"/>
        <w:rPr>
          <w:rFonts w:ascii="Verdana" w:eastAsia="Calibri" w:hAnsi="Verdana" w:cs="Arial"/>
          <w:i/>
          <w:iCs/>
          <w:sz w:val="20"/>
          <w:szCs w:val="20"/>
        </w:rPr>
      </w:pPr>
      <w:r>
        <w:rPr>
          <w:rFonts w:ascii="Verdana" w:eastAsia="Calibri" w:hAnsi="Verdana" w:cs="Arial"/>
          <w:i/>
          <w:iCs/>
          <w:sz w:val="20"/>
          <w:szCs w:val="20"/>
          <w:lang w:val="es-ES"/>
        </w:rPr>
        <w:t xml:space="preserve">sondeos de mercado: </w:t>
      </w:r>
      <w:r w:rsidR="00C83A1A" w:rsidRPr="00C83A1A">
        <w:rPr>
          <w:rFonts w:ascii="Verdana" w:eastAsia="Calibri" w:hAnsi="Verdana" w:cs="Arial"/>
          <w:i/>
          <w:iCs/>
          <w:sz w:val="20"/>
          <w:szCs w:val="20"/>
        </w:rPr>
        <w:t>Este mecanismo permite obtener información de potenciales proveedores sobre un determinado bien o servicio. Con los datos obtenidos la Entidad podrá determinar, entre otros aspectos, el costo de un bien o servicio (cotizaciones). Sin embargo, es importante resaltar que el sondeo de mercado no se agota en la obtención de cotizaciones. Este mecanismo es ideal, además, para obtener información adicional del mercado (investigación de mercados) mediante el desarrollo de encuestas. A partir de las encuestas, la Entidad puede analizar y sustentar las condiciones de entrega de un bien, establecer el cumplimiento de criterios técnicos de un servicio, sustentar la incorporación de acciones afirmativas en el proceso de selección, y visualizar escenarios para estructurar el proceso de contratación, entre otros.</w:t>
      </w:r>
      <w:r w:rsidR="0079140B">
        <w:rPr>
          <w:rFonts w:ascii="Verdana" w:eastAsia="Calibri" w:hAnsi="Verdana" w:cs="Arial"/>
          <w:i/>
          <w:iCs/>
          <w:sz w:val="20"/>
          <w:szCs w:val="20"/>
        </w:rPr>
        <w:t xml:space="preserve"> […]</w:t>
      </w:r>
    </w:p>
    <w:p w14:paraId="4D0F9429" w14:textId="64AE12E1" w:rsidR="0079140B" w:rsidRDefault="005D59E2" w:rsidP="00C83A1A">
      <w:pPr>
        <w:spacing w:after="120" w:line="276" w:lineRule="auto"/>
        <w:ind w:left="708"/>
        <w:jc w:val="both"/>
        <w:rPr>
          <w:rFonts w:ascii="Verdana" w:eastAsia="Calibri" w:hAnsi="Verdana" w:cs="Arial"/>
          <w:i/>
          <w:iCs/>
          <w:sz w:val="20"/>
          <w:szCs w:val="20"/>
        </w:rPr>
      </w:pPr>
      <w:r w:rsidRPr="005D59E2">
        <w:rPr>
          <w:rFonts w:ascii="Verdana" w:eastAsia="Calibri" w:hAnsi="Verdana" w:cs="Arial"/>
          <w:i/>
          <w:iCs/>
          <w:sz w:val="20"/>
          <w:szCs w:val="20"/>
        </w:rPr>
        <w:t xml:space="preserve">Consulta de bases de datos especializadas: Se utiliza cuando en virtud de las especificaciones, condiciones del mercado y el alcance del bien o servicio a contratar, la Entidad puede determinar los precios de referencia (unitarios o totales) del proceso de selección, a partir de la información que reposa en bases de datos especializadas (precios unitarios, históricos, </w:t>
      </w:r>
      <w:proofErr w:type="spellStart"/>
      <w:r w:rsidRPr="005D59E2">
        <w:rPr>
          <w:rFonts w:ascii="Verdana" w:eastAsia="Calibri" w:hAnsi="Verdana" w:cs="Arial"/>
          <w:i/>
          <w:iCs/>
          <w:sz w:val="20"/>
          <w:szCs w:val="20"/>
        </w:rPr>
        <w:t>etc</w:t>
      </w:r>
      <w:proofErr w:type="spellEnd"/>
      <w:r w:rsidRPr="005D59E2">
        <w:rPr>
          <w:rFonts w:ascii="Verdana" w:eastAsia="Calibri" w:hAnsi="Verdana" w:cs="Arial"/>
          <w:i/>
          <w:iCs/>
          <w:sz w:val="20"/>
          <w:szCs w:val="20"/>
        </w:rPr>
        <w:t>). El responsable deberá dejar constancia de las consultas realizadas y de los precios que soportan su estudio. Por lo tanto, las bases de datos consultadas deben ser especializadas y representativas en el mercado del bien o servicio a contratar, con lo cual se asegura la pertinencia y calidad de la información consultada para efectos del estudio que se está realizando.</w:t>
      </w:r>
      <w:r>
        <w:rPr>
          <w:rFonts w:ascii="Verdana" w:eastAsia="Calibri" w:hAnsi="Verdana" w:cs="Arial"/>
          <w:i/>
          <w:iCs/>
          <w:sz w:val="20"/>
          <w:szCs w:val="20"/>
        </w:rPr>
        <w:t xml:space="preserve"> […]</w:t>
      </w:r>
    </w:p>
    <w:p w14:paraId="646CB8B5" w14:textId="5EE469A8" w:rsidR="005D59E2" w:rsidRPr="00EE27E6" w:rsidRDefault="005D59E2" w:rsidP="00C83A1A">
      <w:pPr>
        <w:spacing w:after="120" w:line="276" w:lineRule="auto"/>
        <w:ind w:left="708"/>
        <w:jc w:val="both"/>
        <w:rPr>
          <w:rFonts w:ascii="Verdana" w:eastAsia="Calibri" w:hAnsi="Verdana" w:cs="Arial"/>
          <w:i/>
          <w:iCs/>
          <w:sz w:val="20"/>
          <w:szCs w:val="20"/>
          <w:lang w:val="es-ES"/>
        </w:rPr>
      </w:pPr>
      <w:r w:rsidRPr="005D59E2">
        <w:rPr>
          <w:rFonts w:ascii="Verdana" w:eastAsia="Calibri" w:hAnsi="Verdana" w:cs="Arial"/>
          <w:i/>
          <w:iCs/>
          <w:sz w:val="20"/>
          <w:szCs w:val="20"/>
        </w:rPr>
        <w:t>Revisión de precios históricos: Cuando las especificaciones técnicas de un bien o servicio sean comparables con las de un proceso de selección previo, el cual derivó en la suscripción de un contrato, la Entidad puede emplear este mecanismo para determinar el precio de referencia.</w:t>
      </w:r>
      <w:r w:rsidR="002D7F15">
        <w:rPr>
          <w:rFonts w:ascii="Verdana" w:eastAsia="Calibri" w:hAnsi="Verdana" w:cs="Arial"/>
          <w:i/>
          <w:iCs/>
          <w:sz w:val="20"/>
          <w:szCs w:val="20"/>
        </w:rPr>
        <w:t xml:space="preserve"> […] </w:t>
      </w:r>
    </w:p>
    <w:p w14:paraId="0E4021D9" w14:textId="77777777" w:rsidR="004F1DDE" w:rsidRPr="00AD4F6A" w:rsidRDefault="004F1DDE" w:rsidP="004F1DDE">
      <w:pPr>
        <w:spacing w:after="120" w:line="276" w:lineRule="auto"/>
        <w:ind w:firstLine="709"/>
        <w:jc w:val="both"/>
        <w:rPr>
          <w:rFonts w:ascii="Verdana" w:eastAsia="Calibri" w:hAnsi="Verdana" w:cs="Arial"/>
          <w:color w:val="000000" w:themeColor="text1"/>
          <w:lang w:val="es-ES"/>
        </w:rPr>
      </w:pPr>
      <w:r w:rsidRPr="00AD4F6A">
        <w:rPr>
          <w:rFonts w:ascii="Verdana" w:eastAsia="Calibri" w:hAnsi="Verdana" w:cs="Arial"/>
          <w:color w:val="000000" w:themeColor="text1"/>
          <w:lang w:val="es-ES"/>
        </w:rPr>
        <w:t xml:space="preserve">Como se observa, la “Guía de Elaboración de Estudios del Sector” recomienda como mecanismo para la elaboración de </w:t>
      </w:r>
      <w:r w:rsidRPr="00AD4F6A">
        <w:rPr>
          <w:rFonts w:ascii="Verdana" w:eastAsia="Calibri" w:hAnsi="Verdana" w:cs="Arial"/>
          <w:i/>
          <w:iCs/>
          <w:color w:val="000000" w:themeColor="text1"/>
          <w:lang w:val="es-ES"/>
        </w:rPr>
        <w:t>estudios del mercado</w:t>
      </w:r>
      <w:r w:rsidRPr="00AD4F6A">
        <w:rPr>
          <w:rFonts w:ascii="Verdana" w:eastAsia="Calibri" w:hAnsi="Verdana" w:cs="Arial"/>
          <w:color w:val="000000" w:themeColor="text1"/>
          <w:lang w:val="es-ES"/>
        </w:rPr>
        <w:t xml:space="preserve">, que </w:t>
      </w:r>
      <w:r w:rsidRPr="00AD4F6A">
        <w:rPr>
          <w:rFonts w:ascii="Verdana" w:eastAsia="Calibri" w:hAnsi="Verdana" w:cs="Arial"/>
          <w:color w:val="000000" w:themeColor="text1"/>
          <w:lang w:val="es-ES"/>
        </w:rPr>
        <w:lastRenderedPageBreak/>
        <w:t xml:space="preserve">sirvan para entender la dinámica de los precios y establecer el presupuesto oficial de la contratación, </w:t>
      </w:r>
      <w:r w:rsidRPr="00AD4F6A">
        <w:rPr>
          <w:rFonts w:ascii="Verdana" w:eastAsia="Calibri" w:hAnsi="Verdana" w:cs="Arial"/>
          <w:i/>
          <w:color w:val="000000" w:themeColor="text1"/>
          <w:lang w:val="es-ES"/>
        </w:rPr>
        <w:t>requerir a los potenciales proveedores</w:t>
      </w:r>
      <w:r w:rsidRPr="00AD4F6A">
        <w:rPr>
          <w:rFonts w:ascii="Verdana" w:eastAsia="Calibri" w:hAnsi="Verdana" w:cs="Arial"/>
          <w:color w:val="000000" w:themeColor="text1"/>
          <w:lang w:val="es-ES"/>
        </w:rPr>
        <w:t xml:space="preserve"> a fin de que remitan la información necesaria para determinar diversos aspectos de los bienes o servicios a contratar, entre ellos su valor, especificaciones técnicas, el plazo, entre otra información relevante. </w:t>
      </w:r>
    </w:p>
    <w:p w14:paraId="4D5F4CFD" w14:textId="77777777" w:rsidR="004F1DDE" w:rsidRPr="00AD4F6A" w:rsidRDefault="004F1DDE" w:rsidP="004F1DDE">
      <w:pPr>
        <w:spacing w:after="120" w:line="276" w:lineRule="auto"/>
        <w:ind w:firstLine="709"/>
        <w:jc w:val="both"/>
        <w:rPr>
          <w:rFonts w:ascii="Verdana" w:eastAsia="Calibri" w:hAnsi="Verdana" w:cs="Arial"/>
          <w:color w:val="000000" w:themeColor="text1"/>
          <w:lang w:val="es-ES"/>
        </w:rPr>
      </w:pPr>
      <w:r w:rsidRPr="00AD4F6A">
        <w:rPr>
          <w:rFonts w:ascii="Verdana" w:eastAsia="Calibri" w:hAnsi="Verdana" w:cs="Arial"/>
          <w:color w:val="000000" w:themeColor="text1"/>
          <w:lang w:val="es-ES"/>
        </w:rPr>
        <w:t xml:space="preserve">Así mismo, establece como mecanismo la </w:t>
      </w:r>
      <w:r w:rsidRPr="00AD4F6A">
        <w:rPr>
          <w:rFonts w:ascii="Verdana" w:eastAsia="Calibri" w:hAnsi="Verdana" w:cs="Arial"/>
          <w:i/>
          <w:color w:val="000000" w:themeColor="text1"/>
          <w:lang w:val="es-ES"/>
        </w:rPr>
        <w:t>revisión de precios históricos</w:t>
      </w:r>
      <w:r w:rsidRPr="00AD4F6A">
        <w:rPr>
          <w:rFonts w:ascii="Verdana" w:eastAsia="Calibri" w:hAnsi="Verdana" w:cs="Arial"/>
          <w:color w:val="000000" w:themeColor="text1"/>
          <w:lang w:val="es-ES"/>
        </w:rPr>
        <w:t>, al que hace referencia en su consulta, en la cual</w:t>
      </w:r>
      <w:r w:rsidRPr="00AD4F6A">
        <w:rPr>
          <w:rFonts w:ascii="Verdana" w:eastAsia="Calibri" w:hAnsi="Verdana" w:cs="Arial"/>
          <w:color w:val="000000" w:themeColor="text1"/>
        </w:rPr>
        <w:t xml:space="preserve"> se sugiere verificar la variación de los precios históricos derivados del Índice de Precios al Consumidor (IPC) en cada año, analizando de manera detallada las fluctuaciones económicas que hayan influido en la evolución de los precios, tales como cambios en la oferta y demanda, factores externos (como crisis económicas o alteraciones en la cadena de suministro) y políticas monetarias que hayan afectado la inflación. Además, se debe examinar si estos cambios han tenido un impacto significativo en el comercio del bien o servicio a contratar, para asegurar que la revisión sea adecuada y pertinente. Es fundamental que las características del bien o servicio sean equivalentes en cada contratación, garantizando que no existan alteraciones en las especificaciones, calidad o cantidad que pudieran distorsionar la comparación de precios. </w:t>
      </w:r>
    </w:p>
    <w:p w14:paraId="5481FEBA" w14:textId="77777777" w:rsidR="00595FE7" w:rsidRPr="00AD4F6A" w:rsidRDefault="00681ACF" w:rsidP="00595FE7">
      <w:pPr>
        <w:spacing w:after="120" w:line="276" w:lineRule="auto"/>
        <w:ind w:firstLine="709"/>
        <w:jc w:val="both"/>
        <w:rPr>
          <w:rFonts w:ascii="Verdana" w:hAnsi="Verdana" w:cs="Arial"/>
          <w:lang w:eastAsia="es-CO"/>
        </w:rPr>
      </w:pPr>
      <w:proofErr w:type="spellStart"/>
      <w:r w:rsidRPr="00A80988">
        <w:rPr>
          <w:rFonts w:ascii="Verdana" w:eastAsia="Calibri" w:hAnsi="Verdana" w:cs="Arial"/>
          <w:b/>
          <w:color w:val="000000" w:themeColor="text1"/>
        </w:rPr>
        <w:t>vii</w:t>
      </w:r>
      <w:proofErr w:type="spellEnd"/>
      <w:r w:rsidRPr="00A80988">
        <w:rPr>
          <w:rFonts w:ascii="Verdana" w:eastAsia="Calibri" w:hAnsi="Verdana" w:cs="Arial"/>
          <w:b/>
          <w:color w:val="000000" w:themeColor="text1"/>
        </w:rPr>
        <w:t>.</w:t>
      </w:r>
      <w:r>
        <w:rPr>
          <w:rFonts w:ascii="Verdana" w:eastAsia="Calibri" w:hAnsi="Verdana" w:cs="Arial"/>
          <w:bCs/>
          <w:color w:val="000000" w:themeColor="text1"/>
        </w:rPr>
        <w:t xml:space="preserve"> </w:t>
      </w:r>
      <w:r w:rsidR="00595FE7" w:rsidRPr="00AD4F6A">
        <w:rPr>
          <w:rFonts w:ascii="Verdana" w:eastAsia="Calibri" w:hAnsi="Verdana" w:cs="Arial"/>
          <w:color w:val="000000" w:themeColor="text1"/>
          <w:lang w:val="es-ES"/>
        </w:rPr>
        <w:t xml:space="preserve">En este contexto, es pertinente precisar que los mecanismos señalados para realizar el estudio del mercado no están determinados por la ley o el reglamento, por lo que no existen lineamientos obligatorios para su estructuración. </w:t>
      </w:r>
      <w:r w:rsidR="00595FE7" w:rsidRPr="00AD4F6A">
        <w:rPr>
          <w:rFonts w:ascii="Verdana" w:hAnsi="Verdana" w:cs="Arial"/>
          <w:lang w:eastAsia="es-CO"/>
        </w:rPr>
        <w:t xml:space="preserve">Como se mencionó, la </w:t>
      </w:r>
      <w:r w:rsidR="00595FE7" w:rsidRPr="00AD4F6A">
        <w:rPr>
          <w:rFonts w:ascii="Verdana" w:eastAsia="Calibri" w:hAnsi="Verdana" w:cs="Arial"/>
          <w:bCs/>
          <w:lang w:val="es-ES_tradnl"/>
        </w:rPr>
        <w:t>“Guía de Elaboración del Estudio del Sector” desarrolla recomendaciones y buenas prácticas que servirán a las entidades para entender el mercado del bien o servicio a contratar</w:t>
      </w:r>
      <w:r w:rsidR="00595FE7" w:rsidRPr="00AD4F6A">
        <w:rPr>
          <w:rFonts w:ascii="Verdana" w:eastAsia="Calibri" w:hAnsi="Verdana" w:cs="Arial"/>
          <w:color w:val="000000" w:themeColor="text1"/>
          <w:lang w:val="es-ES"/>
        </w:rPr>
        <w:t xml:space="preserve">, por tanto, </w:t>
      </w:r>
      <w:r w:rsidR="00595FE7" w:rsidRPr="00AD4F6A">
        <w:rPr>
          <w:rFonts w:ascii="Verdana" w:eastAsia="Calibri" w:hAnsi="Verdana" w:cs="Arial"/>
          <w:bCs/>
          <w:lang w:val="es-ES_tradnl"/>
        </w:rPr>
        <w:t xml:space="preserve">las entidades </w:t>
      </w:r>
      <w:r w:rsidR="00595FE7" w:rsidRPr="00AD4F6A">
        <w:rPr>
          <w:rFonts w:ascii="Verdana" w:hAnsi="Verdana" w:cs="Arial"/>
          <w:lang w:eastAsia="es-CO"/>
        </w:rPr>
        <w:t xml:space="preserve">son autónomas para establecer la forma en la cual se recopilará la información que sustente el análisis del sector y de determinar el mecanismo para la estructuración del presupuesto oficial. </w:t>
      </w:r>
    </w:p>
    <w:p w14:paraId="7459CC31" w14:textId="6D58DF10" w:rsidR="00944591" w:rsidRDefault="006D0694" w:rsidP="002B7626">
      <w:pPr>
        <w:spacing w:after="0"/>
        <w:ind w:firstLine="709"/>
        <w:jc w:val="both"/>
        <w:rPr>
          <w:rFonts w:ascii="Verdana" w:eastAsia="Calibri" w:hAnsi="Verdana" w:cs="Arial"/>
          <w:bCs/>
          <w:color w:val="000000" w:themeColor="text1"/>
        </w:rPr>
      </w:pPr>
      <w:r w:rsidRPr="00AD4F6A">
        <w:rPr>
          <w:rFonts w:ascii="Verdana" w:hAnsi="Verdana" w:cs="Arial"/>
          <w:lang w:eastAsia="es-CO"/>
        </w:rPr>
        <w:t>De este modo, en cualquier tipo de contrato,</w:t>
      </w:r>
      <w:r>
        <w:rPr>
          <w:rFonts w:ascii="Verdana" w:hAnsi="Verdana" w:cs="Arial"/>
          <w:lang w:eastAsia="es-CO"/>
        </w:rPr>
        <w:t xml:space="preserve"> </w:t>
      </w:r>
      <w:r w:rsidRPr="00AD4F6A">
        <w:rPr>
          <w:rFonts w:ascii="Verdana" w:hAnsi="Verdana" w:cs="Arial"/>
          <w:lang w:eastAsia="es-CO"/>
        </w:rPr>
        <w:t>las entidades estatales cuentan con la facultad de definir el mecanismo que consideren más adecuado para la estructuración del presupuesto oficial</w:t>
      </w:r>
      <w:r>
        <w:rPr>
          <w:rFonts w:ascii="Verdana" w:hAnsi="Verdana" w:cs="Arial"/>
          <w:lang w:eastAsia="es-CO"/>
        </w:rPr>
        <w:t xml:space="preserve"> de acuerdo con el bien o servicio a contratar</w:t>
      </w:r>
      <w:r w:rsidRPr="00AD4F6A">
        <w:rPr>
          <w:rFonts w:ascii="Verdana" w:hAnsi="Verdana" w:cs="Arial"/>
          <w:lang w:eastAsia="es-CO"/>
        </w:rPr>
        <w:t>. Esta autonomía implica que, para la determinación de los precios, se podrán emplear distintos métodos técnicamente idóneos, siempre que los cálculos presupuestales estén debidamente soportados en estimaciones fundamentadas, técnicas y verificables, que reflejen la realidad del mercado y la</w:t>
      </w:r>
      <w:r w:rsidR="001916EF">
        <w:rPr>
          <w:rFonts w:ascii="Verdana" w:hAnsi="Verdana" w:cs="Arial"/>
          <w:lang w:eastAsia="es-CO"/>
        </w:rPr>
        <w:t xml:space="preserve"> </w:t>
      </w:r>
      <w:r w:rsidR="001916EF" w:rsidRPr="00AD4F6A">
        <w:rPr>
          <w:rFonts w:ascii="Verdana" w:hAnsi="Verdana" w:cs="Arial"/>
          <w:lang w:eastAsia="es-CO"/>
        </w:rPr>
        <w:t>naturaleza específica del objeto contractual.</w:t>
      </w:r>
    </w:p>
    <w:p w14:paraId="14D5A882" w14:textId="77777777" w:rsidR="00DF07E0" w:rsidRDefault="00DF07E0" w:rsidP="00DF07E0">
      <w:pPr>
        <w:spacing w:after="0"/>
        <w:ind w:firstLine="709"/>
        <w:jc w:val="both"/>
        <w:rPr>
          <w:rFonts w:ascii="Verdana" w:eastAsia="Arial" w:hAnsi="Verdana" w:cs="Arial"/>
          <w:color w:val="000000"/>
        </w:rPr>
      </w:pPr>
    </w:p>
    <w:p w14:paraId="68251D47" w14:textId="3103D4A7" w:rsidR="0055038B" w:rsidRPr="001178E6" w:rsidRDefault="002B7626" w:rsidP="001178E6">
      <w:pPr>
        <w:tabs>
          <w:tab w:val="left" w:pos="0"/>
        </w:tabs>
        <w:spacing w:after="120" w:line="276" w:lineRule="auto"/>
        <w:ind w:firstLine="709"/>
        <w:jc w:val="both"/>
        <w:rPr>
          <w:rFonts w:ascii="Verdana" w:eastAsia="Arial" w:hAnsi="Verdana" w:cs="Arial"/>
          <w:color w:val="000000"/>
        </w:rPr>
      </w:pPr>
      <w:proofErr w:type="spellStart"/>
      <w:r w:rsidRPr="00A80988">
        <w:rPr>
          <w:rFonts w:ascii="Verdana" w:eastAsia="Arial" w:hAnsi="Verdana" w:cs="Arial"/>
          <w:b/>
          <w:bCs/>
          <w:color w:val="000000"/>
        </w:rPr>
        <w:lastRenderedPageBreak/>
        <w:t>viii</w:t>
      </w:r>
      <w:proofErr w:type="spellEnd"/>
      <w:r w:rsidRPr="00A80988">
        <w:rPr>
          <w:rFonts w:ascii="Verdana" w:eastAsia="Arial" w:hAnsi="Verdana" w:cs="Arial"/>
          <w:b/>
          <w:bCs/>
          <w:color w:val="000000"/>
        </w:rPr>
        <w:t>.</w:t>
      </w:r>
      <w:r w:rsidRPr="00A80988">
        <w:rPr>
          <w:rFonts w:ascii="Verdana" w:eastAsia="Arial" w:hAnsi="Verdana" w:cs="Arial"/>
          <w:color w:val="000000"/>
        </w:rPr>
        <w:t xml:space="preserve"> </w:t>
      </w:r>
      <w:r w:rsidR="0055038B" w:rsidRPr="00A8098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2E12520" w14:textId="77777777" w:rsidR="0055038B" w:rsidRPr="002816A2" w:rsidRDefault="0055038B" w:rsidP="0055038B">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2816A2">
        <w:rPr>
          <w:rFonts w:ascii="Verdana" w:eastAsia="Calibri" w:hAnsi="Verdana" w:cs="Arial"/>
          <w:bCs/>
          <w:color w:val="000000" w:themeColor="text1"/>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25A31E3" w14:textId="77777777" w:rsidR="0055038B" w:rsidRPr="002816A2" w:rsidRDefault="0055038B" w:rsidP="0055038B">
      <w:pPr>
        <w:widowControl w:val="0"/>
        <w:autoSpaceDE w:val="0"/>
        <w:autoSpaceDN w:val="0"/>
        <w:spacing w:after="0" w:line="276" w:lineRule="auto"/>
        <w:jc w:val="both"/>
        <w:rPr>
          <w:rFonts w:ascii="Verdana" w:hAnsi="Verdana" w:cs="Arial"/>
        </w:rPr>
      </w:pPr>
    </w:p>
    <w:p w14:paraId="1938B5A6" w14:textId="77777777" w:rsidR="0055038B" w:rsidRPr="002A2B88"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A2B88">
        <w:rPr>
          <w:rFonts w:ascii="Verdana" w:eastAsia="Century Gothic" w:hAnsi="Verdana" w:cs="Century Gothic"/>
          <w:b/>
          <w:bCs/>
        </w:rPr>
        <w:t>Referencias normativas, jurisprudenciales y otras fuentes:</w:t>
      </w:r>
    </w:p>
    <w:p w14:paraId="2F9D4F2A" w14:textId="77777777" w:rsidR="0055038B" w:rsidRPr="00593A5F" w:rsidRDefault="0055038B" w:rsidP="005503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038B" w:rsidRPr="00593A5F" w14:paraId="3D6A3094" w14:textId="77777777" w:rsidTr="00BA05D4">
        <w:trPr>
          <w:trHeight w:val="870"/>
        </w:trPr>
        <w:tc>
          <w:tcPr>
            <w:tcW w:w="8647" w:type="dxa"/>
          </w:tcPr>
          <w:p w14:paraId="2295F1A7" w14:textId="41AC84E3" w:rsidR="002E2940" w:rsidRPr="007D438C" w:rsidRDefault="002E2940" w:rsidP="00DF25E0">
            <w:pPr>
              <w:widowControl w:val="0"/>
              <w:numPr>
                <w:ilvl w:val="0"/>
                <w:numId w:val="17"/>
              </w:numPr>
              <w:tabs>
                <w:tab w:val="num" w:pos="720"/>
              </w:tabs>
              <w:autoSpaceDE w:val="0"/>
              <w:autoSpaceDN w:val="0"/>
              <w:spacing w:line="360" w:lineRule="auto"/>
              <w:jc w:val="both"/>
              <w:rPr>
                <w:rFonts w:ascii="Verdana" w:hAnsi="Verdana" w:cs="Arial"/>
              </w:rPr>
            </w:pPr>
            <w:r>
              <w:rPr>
                <w:rFonts w:ascii="Verdana" w:eastAsia="Times New Roman" w:hAnsi="Verdana" w:cs="Arial"/>
                <w:color w:val="000000"/>
                <w:lang w:eastAsia="es-CO"/>
              </w:rPr>
              <w:t>Ley 80 de 1993, artículo 2</w:t>
            </w:r>
            <w:r w:rsidR="00E8570D">
              <w:rPr>
                <w:rFonts w:ascii="Verdana" w:eastAsia="Times New Roman" w:hAnsi="Verdana" w:cs="Arial"/>
                <w:color w:val="000000"/>
                <w:lang w:eastAsia="es-CO"/>
              </w:rPr>
              <w:t>5</w:t>
            </w:r>
          </w:p>
          <w:p w14:paraId="07CC6E29" w14:textId="721517F8" w:rsidR="00D82560" w:rsidRPr="00AE0468" w:rsidRDefault="00D82560" w:rsidP="00D82560">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AE0468">
              <w:rPr>
                <w:rFonts w:ascii="Verdana" w:eastAsia="Calibri" w:hAnsi="Verdana" w:cs="Arial"/>
                <w:lang w:val="es-MX"/>
              </w:rPr>
              <w:t>Decreto 1082 de 2015</w:t>
            </w:r>
            <w:r>
              <w:rPr>
                <w:rFonts w:ascii="Verdana" w:eastAsia="Calibri" w:hAnsi="Verdana" w:cs="Arial"/>
                <w:lang w:val="es-MX"/>
              </w:rPr>
              <w:t>, a</w:t>
            </w:r>
            <w:r w:rsidRPr="00AE0468">
              <w:rPr>
                <w:rFonts w:ascii="Verdana" w:eastAsia="Calibri" w:hAnsi="Verdana" w:cs="Arial"/>
                <w:lang w:val="es-MX"/>
              </w:rPr>
              <w:t>rtículos 2.2.1.1.2.1.1. y 2.2.1.1.1.6.1.</w:t>
            </w:r>
          </w:p>
          <w:p w14:paraId="12B4BF0C" w14:textId="55D5856C" w:rsidR="007D438C" w:rsidRPr="002E2940" w:rsidRDefault="00816B23" w:rsidP="00DF25E0">
            <w:pPr>
              <w:widowControl w:val="0"/>
              <w:numPr>
                <w:ilvl w:val="0"/>
                <w:numId w:val="17"/>
              </w:numPr>
              <w:tabs>
                <w:tab w:val="num" w:pos="720"/>
              </w:tabs>
              <w:autoSpaceDE w:val="0"/>
              <w:autoSpaceDN w:val="0"/>
              <w:spacing w:line="360" w:lineRule="auto"/>
              <w:jc w:val="both"/>
              <w:rPr>
                <w:rFonts w:ascii="Verdana" w:hAnsi="Verdana" w:cs="Arial"/>
              </w:rPr>
            </w:pPr>
            <w:r w:rsidRPr="00AE0468">
              <w:rPr>
                <w:rFonts w:ascii="Verdana" w:eastAsia="Calibri" w:hAnsi="Verdana" w:cs="Arial"/>
                <w:lang w:val="es-MX"/>
              </w:rPr>
              <w:t xml:space="preserve">Consejo de Estado. Sección Tercera. Subsección B. Sentencia del 31 de agosto de 2011. </w:t>
            </w:r>
            <w:proofErr w:type="spellStart"/>
            <w:r w:rsidRPr="00AE0468">
              <w:rPr>
                <w:rFonts w:ascii="Verdana" w:eastAsia="Calibri" w:hAnsi="Verdana" w:cs="Arial"/>
                <w:lang w:val="es-MX"/>
              </w:rPr>
              <w:t>Exp</w:t>
            </w:r>
            <w:proofErr w:type="spellEnd"/>
            <w:r w:rsidRPr="00AE0468">
              <w:rPr>
                <w:rFonts w:ascii="Verdana" w:eastAsia="Calibri" w:hAnsi="Verdana" w:cs="Arial"/>
                <w:lang w:val="es-MX"/>
              </w:rPr>
              <w:t>. 18.080</w:t>
            </w:r>
          </w:p>
          <w:p w14:paraId="03E68432" w14:textId="1C867521" w:rsidR="00DF25E0" w:rsidRPr="005111DB" w:rsidRDefault="005C0FFD" w:rsidP="005111DB">
            <w:pPr>
              <w:widowControl w:val="0"/>
              <w:numPr>
                <w:ilvl w:val="0"/>
                <w:numId w:val="17"/>
              </w:numPr>
              <w:tabs>
                <w:tab w:val="num" w:pos="720"/>
              </w:tabs>
              <w:autoSpaceDE w:val="0"/>
              <w:autoSpaceDN w:val="0"/>
              <w:spacing w:line="360" w:lineRule="auto"/>
              <w:jc w:val="both"/>
              <w:rPr>
                <w:rFonts w:ascii="Verdana" w:hAnsi="Verdana" w:cs="Arial"/>
              </w:rPr>
            </w:pPr>
            <w:r>
              <w:rPr>
                <w:rFonts w:ascii="Verdana" w:hAnsi="Verdana" w:cs="Arial"/>
              </w:rPr>
              <w:t xml:space="preserve">Guía para la Elaboración de Estudios del Sector. Colombia Compra Eficiente. Disponible en: </w:t>
            </w:r>
            <w:r w:rsidR="005111DB">
              <w:rPr>
                <w:rFonts w:ascii="Verdana" w:hAnsi="Verdana" w:cs="Arial"/>
              </w:rPr>
              <w:t xml:space="preserve"> </w:t>
            </w:r>
            <w:hyperlink r:id="rId13" w:history="1">
              <w:r w:rsidR="005111DB" w:rsidRPr="005111DB">
                <w:rPr>
                  <w:rStyle w:val="Hipervnculo"/>
                  <w:rFonts w:ascii="Verdana" w:hAnsi="Verdana" w:cs="Arial"/>
                </w:rPr>
                <w:t>Guia-para-la-Elaboracion-de-Estudios-del-Sector-V3.pdf</w:t>
              </w:r>
            </w:hyperlink>
          </w:p>
        </w:tc>
      </w:tr>
    </w:tbl>
    <w:p w14:paraId="1F377FE5" w14:textId="77777777" w:rsidR="002C745A" w:rsidRPr="00593A5F" w:rsidRDefault="002C745A" w:rsidP="0055038B">
      <w:pPr>
        <w:widowControl w:val="0"/>
        <w:autoSpaceDE w:val="0"/>
        <w:autoSpaceDN w:val="0"/>
        <w:spacing w:after="0" w:line="276" w:lineRule="auto"/>
        <w:jc w:val="both"/>
        <w:rPr>
          <w:rFonts w:ascii="Verdana" w:hAnsi="Verdana" w:cs="Arial"/>
        </w:rPr>
      </w:pPr>
    </w:p>
    <w:p w14:paraId="197A92AE" w14:textId="77777777" w:rsidR="0055038B" w:rsidRPr="00524DB1"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24DB1">
        <w:rPr>
          <w:rFonts w:ascii="Verdana" w:eastAsia="Century Gothic" w:hAnsi="Verdana" w:cs="Century Gothic"/>
          <w:b/>
          <w:bCs/>
        </w:rPr>
        <w:t>Doctrina de la Agencia Nacional de Contratación Pública:</w:t>
      </w:r>
    </w:p>
    <w:p w14:paraId="0E59D569" w14:textId="77777777" w:rsidR="0055038B" w:rsidRPr="00593A5F" w:rsidRDefault="0055038B" w:rsidP="0055038B">
      <w:pPr>
        <w:widowControl w:val="0"/>
        <w:autoSpaceDE w:val="0"/>
        <w:autoSpaceDN w:val="0"/>
        <w:spacing w:after="0" w:line="276" w:lineRule="auto"/>
        <w:jc w:val="both"/>
        <w:rPr>
          <w:rFonts w:ascii="Verdana" w:hAnsi="Verdana" w:cs="Arial"/>
        </w:rPr>
      </w:pPr>
    </w:p>
    <w:p w14:paraId="6855B3AA" w14:textId="4B9DD094" w:rsidR="00660873" w:rsidRPr="00FB3BB7" w:rsidRDefault="0055038B" w:rsidP="0066087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5D334E">
        <w:rPr>
          <w:rFonts w:ascii="Verdana" w:hAnsi="Verdana" w:cs="Arial"/>
          <w:shd w:val="clear" w:color="auto" w:fill="FFFFFF"/>
        </w:rPr>
        <w:t xml:space="preserve">Esta Subdirección se ha pronunciado </w:t>
      </w:r>
      <w:r w:rsidR="00660873" w:rsidRPr="005D334E">
        <w:rPr>
          <w:rFonts w:ascii="Verdana" w:hAnsi="Verdana" w:cs="Arial"/>
          <w:shd w:val="clear" w:color="auto" w:fill="FFFFFF"/>
        </w:rPr>
        <w:t xml:space="preserve">sobre </w:t>
      </w:r>
      <w:r w:rsidR="00660873">
        <w:rPr>
          <w:rFonts w:ascii="Verdana" w:hAnsi="Verdana" w:cs="Arial"/>
          <w:shd w:val="clear" w:color="auto" w:fill="FFFFFF"/>
        </w:rPr>
        <w:t>el</w:t>
      </w:r>
      <w:r w:rsidR="00660873" w:rsidRPr="00AD4F6A">
        <w:rPr>
          <w:rFonts w:ascii="Verdana" w:eastAsia="Aptos" w:hAnsi="Verdana" w:cs="Arial"/>
          <w:shd w:val="clear" w:color="auto" w:fill="FFFFFF"/>
          <w:lang w:val="es-ES"/>
        </w:rPr>
        <w:t xml:space="preserve"> deber de elaborar análisis del </w:t>
      </w:r>
      <w:r w:rsidR="00660873" w:rsidRPr="00AD4F6A">
        <w:rPr>
          <w:rFonts w:ascii="Verdana" w:eastAsia="Aptos" w:hAnsi="Verdana" w:cs="Arial"/>
          <w:shd w:val="clear" w:color="auto" w:fill="FFFFFF"/>
          <w:lang w:val="es-ES"/>
        </w:rPr>
        <w:lastRenderedPageBreak/>
        <w:t>sector frente a procesos de contratación</w:t>
      </w:r>
      <w:r w:rsidR="00660873">
        <w:rPr>
          <w:rFonts w:ascii="Verdana" w:eastAsia="Aptos" w:hAnsi="Verdana" w:cs="Arial"/>
          <w:shd w:val="clear" w:color="auto" w:fill="FFFFFF"/>
          <w:lang w:val="es-ES"/>
        </w:rPr>
        <w:t xml:space="preserve"> </w:t>
      </w:r>
      <w:r w:rsidR="00660873" w:rsidRPr="00AD4F6A">
        <w:rPr>
          <w:rFonts w:ascii="Verdana" w:eastAsia="Aptos" w:hAnsi="Verdana" w:cs="Arial"/>
          <w:shd w:val="clear" w:color="auto" w:fill="FFFFFF"/>
          <w:lang w:val="es-ES"/>
        </w:rPr>
        <w:t>en los conceptos 2202013000000037 del 7 de enero de 2020, C-223 del 29 de abril de 2020 y C-148 de 2021. Igualmente, se reiteran los Conceptos C-387 del 23 de junio de 2020, C-415 del 7 de julio de 2020, C-443 del 7 de julio de 2020, C-387 del 23 de junio de 2020, C-223 del 29 de abril de 2020, C-671 de 2020 de 23 de noviembre de 2020, C-215 del 12 de mayo de 2021, 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del 5 de marzo de 2025, C-101 del 5 de marzo de 2025, C-154 del 18 de marzo de 2025</w:t>
      </w:r>
      <w:r w:rsidR="00660873">
        <w:rPr>
          <w:rFonts w:ascii="Verdana" w:eastAsia="Aptos" w:hAnsi="Verdana" w:cs="Arial"/>
          <w:shd w:val="clear" w:color="auto" w:fill="FFFFFF"/>
          <w:lang w:val="es-ES"/>
        </w:rPr>
        <w:t xml:space="preserve"> y C-622 del 5 de junio de 2025, </w:t>
      </w:r>
      <w:r w:rsidR="00660873" w:rsidRPr="00FB3BB7">
        <w:rPr>
          <w:rFonts w:ascii="Verdana" w:hAnsi="Verdana" w:cs="Arial"/>
        </w:rPr>
        <w:t xml:space="preserve">entre otros. </w:t>
      </w:r>
      <w:r w:rsidR="00660873" w:rsidRPr="00FB3BB7">
        <w:rPr>
          <w:rFonts w:ascii="Verdana" w:hAnsi="Verdana" w:cs="Arial"/>
          <w:color w:val="000000" w:themeColor="text1"/>
          <w:shd w:val="clear" w:color="auto" w:fill="FFFFFF"/>
        </w:rPr>
        <w:t xml:space="preserve">Estos </w:t>
      </w:r>
      <w:r w:rsidR="00660873" w:rsidRPr="00FB3BB7">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4" w:history="1">
        <w:r w:rsidR="00660873" w:rsidRPr="00FB3BB7">
          <w:rPr>
            <w:rStyle w:val="Hipervnculo"/>
            <w:rFonts w:ascii="Verdana" w:hAnsi="Verdana" w:cs="Arial"/>
            <w:shd w:val="clear" w:color="auto" w:fill="FFFFFF"/>
          </w:rPr>
          <w:t>https://relatoria.colombiacompra.gov.co/busqueda/conceptos</w:t>
        </w:r>
      </w:hyperlink>
      <w:r w:rsidR="00660873" w:rsidRPr="00FB3BB7">
        <w:rPr>
          <w:rStyle w:val="Hipervnculo"/>
          <w:rFonts w:ascii="Verdana" w:hAnsi="Verdana"/>
        </w:rPr>
        <w:t>.</w:t>
      </w:r>
      <w:r w:rsidR="00660873" w:rsidRPr="00FB3BB7">
        <w:rPr>
          <w:rStyle w:val="normaltextrun"/>
          <w:rFonts w:ascii="Verdana" w:hAnsi="Verdana" w:cs="Arial"/>
          <w:color w:val="000000" w:themeColor="text1"/>
          <w:shd w:val="clear" w:color="auto" w:fill="FFFFFF"/>
        </w:rPr>
        <w:t xml:space="preserve"> </w:t>
      </w:r>
      <w:r w:rsidR="00660873" w:rsidRPr="00FB3BB7">
        <w:rPr>
          <w:rStyle w:val="normaltextrun"/>
          <w:rFonts w:ascii="Verdana" w:hAnsi="Verdana" w:cs="Arial"/>
          <w:color w:val="000000" w:themeColor="text1"/>
          <w:shd w:val="clear" w:color="auto" w:fill="FFFFFF"/>
          <w:lang w:val="es-ES"/>
        </w:rPr>
        <w:t xml:space="preserve"> </w:t>
      </w:r>
    </w:p>
    <w:p w14:paraId="300F662D" w14:textId="77777777" w:rsidR="0055038B" w:rsidRDefault="0055038B" w:rsidP="0055038B">
      <w:pPr>
        <w:spacing w:after="0" w:line="240" w:lineRule="auto"/>
        <w:jc w:val="both"/>
        <w:rPr>
          <w:rFonts w:ascii="Verdana" w:hAnsi="Verdana"/>
        </w:rPr>
      </w:pPr>
    </w:p>
    <w:p w14:paraId="59CF8BD0" w14:textId="77777777" w:rsidR="0055038B" w:rsidRPr="003E2460" w:rsidRDefault="0055038B" w:rsidP="0055038B">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0A337EA3" w14:textId="77777777" w:rsidR="0055038B" w:rsidRPr="003E2460" w:rsidRDefault="0055038B" w:rsidP="0055038B">
      <w:pPr>
        <w:spacing w:after="0" w:line="240" w:lineRule="auto"/>
        <w:jc w:val="both"/>
        <w:rPr>
          <w:rFonts w:ascii="Verdana" w:hAnsi="Verdana"/>
        </w:rPr>
      </w:pPr>
    </w:p>
    <w:p w14:paraId="748DDF0C" w14:textId="77777777" w:rsidR="0055038B" w:rsidRPr="003E2460" w:rsidRDefault="0055038B" w:rsidP="0055038B">
      <w:pPr>
        <w:spacing w:after="0" w:line="240" w:lineRule="auto"/>
        <w:jc w:val="both"/>
        <w:rPr>
          <w:rFonts w:ascii="Verdana" w:hAnsi="Verdana"/>
        </w:rPr>
      </w:pPr>
      <w:r w:rsidRPr="003E2460">
        <w:rPr>
          <w:rFonts w:ascii="Verdana" w:hAnsi="Verdana"/>
        </w:rPr>
        <w:t xml:space="preserve">Twitter: </w:t>
      </w:r>
      <w:r w:rsidRPr="00DB2D6A">
        <w:rPr>
          <w:rStyle w:val="Hipervnculo"/>
          <w:rFonts w:ascii="Verdana" w:hAnsi="Verdana"/>
        </w:rPr>
        <w:t>@colombiacompra</w:t>
      </w:r>
      <w:r w:rsidRPr="00DB2D6A">
        <w:rPr>
          <w:rFonts w:ascii="Verdana" w:hAnsi="Verdana"/>
          <w:color w:val="0000FF"/>
        </w:rPr>
        <w:t xml:space="preserve"> </w:t>
      </w:r>
    </w:p>
    <w:p w14:paraId="01B2B32B" w14:textId="77777777" w:rsidR="0055038B" w:rsidRPr="003E2460" w:rsidRDefault="0055038B" w:rsidP="0055038B">
      <w:pPr>
        <w:spacing w:after="0" w:line="240" w:lineRule="auto"/>
        <w:jc w:val="both"/>
        <w:rPr>
          <w:rFonts w:ascii="Verdana" w:hAnsi="Verdana"/>
        </w:rPr>
      </w:pPr>
      <w:r w:rsidRPr="1F9252E4">
        <w:rPr>
          <w:rFonts w:ascii="Verdana" w:hAnsi="Verdana"/>
        </w:rPr>
        <w:t xml:space="preserve">Facebook: </w:t>
      </w:r>
      <w:proofErr w:type="spellStart"/>
      <w:r w:rsidRPr="00DB2D6A">
        <w:rPr>
          <w:rStyle w:val="Hipervnculo"/>
          <w:rFonts w:ascii="Verdana" w:hAnsi="Verdana"/>
        </w:rPr>
        <w:t>ColombiaCompraEficiente</w:t>
      </w:r>
      <w:proofErr w:type="spellEnd"/>
    </w:p>
    <w:p w14:paraId="3F902A00" w14:textId="77777777" w:rsidR="0055038B" w:rsidRPr="003E2460" w:rsidRDefault="0055038B" w:rsidP="0055038B">
      <w:pPr>
        <w:spacing w:after="0" w:line="240" w:lineRule="auto"/>
        <w:jc w:val="both"/>
        <w:rPr>
          <w:rFonts w:ascii="Verdana" w:hAnsi="Verdana"/>
        </w:rPr>
      </w:pPr>
      <w:r w:rsidRPr="003E2460">
        <w:rPr>
          <w:rFonts w:ascii="Verdana" w:hAnsi="Verdana"/>
        </w:rPr>
        <w:t xml:space="preserve">LinkedIn: </w:t>
      </w:r>
      <w:r w:rsidRPr="00DB2D6A">
        <w:rPr>
          <w:rStyle w:val="Hipervnculo"/>
          <w:rFonts w:ascii="Verdana" w:hAnsi="Verdana"/>
        </w:rPr>
        <w:t>Agencia Nacional de Contratación Pública - Colombia Compra Eficiente</w:t>
      </w:r>
      <w:r w:rsidRPr="00DB2D6A">
        <w:rPr>
          <w:rFonts w:ascii="Verdana" w:hAnsi="Verdana"/>
          <w:color w:val="0000FF"/>
        </w:rPr>
        <w:t xml:space="preserve"> </w:t>
      </w:r>
      <w:r w:rsidRPr="003E2460">
        <w:rPr>
          <w:rFonts w:ascii="Verdana" w:hAnsi="Verdana"/>
        </w:rPr>
        <w:t xml:space="preserve">Instagram: </w:t>
      </w:r>
      <w:r w:rsidRPr="00DB2D6A">
        <w:rPr>
          <w:rStyle w:val="Hipervnculo"/>
          <w:rFonts w:ascii="Verdana" w:hAnsi="Verdana"/>
        </w:rPr>
        <w:t>@colombiacompraeficiente_cce</w:t>
      </w:r>
    </w:p>
    <w:p w14:paraId="18A81061" w14:textId="77777777" w:rsidR="0055038B" w:rsidRPr="00593A5F" w:rsidRDefault="0055038B" w:rsidP="0055038B">
      <w:pPr>
        <w:widowControl w:val="0"/>
        <w:autoSpaceDE w:val="0"/>
        <w:autoSpaceDN w:val="0"/>
        <w:spacing w:after="0" w:line="276" w:lineRule="auto"/>
        <w:jc w:val="both"/>
        <w:rPr>
          <w:rFonts w:ascii="Verdana" w:hAnsi="Verdana" w:cs="Arial"/>
        </w:rPr>
      </w:pPr>
    </w:p>
    <w:p w14:paraId="02892392" w14:textId="77777777" w:rsidR="0055038B" w:rsidRPr="00593A5F" w:rsidRDefault="0055038B" w:rsidP="0055038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22652B5" w14:textId="77777777" w:rsidR="0055038B" w:rsidRPr="00593A5F" w:rsidRDefault="0055038B" w:rsidP="0055038B">
      <w:pPr>
        <w:widowControl w:val="0"/>
        <w:autoSpaceDE w:val="0"/>
        <w:autoSpaceDN w:val="0"/>
        <w:spacing w:after="0" w:line="276" w:lineRule="auto"/>
        <w:jc w:val="both"/>
        <w:rPr>
          <w:rFonts w:ascii="Verdana" w:hAnsi="Verdana" w:cs="Arial"/>
        </w:rPr>
      </w:pPr>
    </w:p>
    <w:p w14:paraId="733FCC36" w14:textId="77777777" w:rsidR="0055038B" w:rsidRPr="00593A5F" w:rsidRDefault="0055038B" w:rsidP="0055038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3F859CC" w14:textId="1B184B8D" w:rsidR="003C0FBA" w:rsidRPr="00824297" w:rsidRDefault="00D568F2" w:rsidP="00D568F2">
      <w:pPr>
        <w:spacing w:line="276" w:lineRule="auto"/>
        <w:jc w:val="center"/>
        <w:rPr>
          <w:rFonts w:ascii="Verdana" w:hAnsi="Verdana" w:cs="Arial"/>
          <w:color w:val="000000"/>
          <w:lang w:eastAsia="es-CO"/>
        </w:rPr>
      </w:pPr>
      <w:r w:rsidRPr="00D568F2">
        <w:rPr>
          <w:rFonts w:ascii="Verdana" w:hAnsi="Verdana" w:cs="Arial"/>
          <w:noProof/>
          <w:color w:val="000000"/>
          <w:lang w:eastAsia="es-CO"/>
        </w:rPr>
        <w:drawing>
          <wp:inline distT="0" distB="0" distL="0" distR="0" wp14:anchorId="0D88183B" wp14:editId="39163FD7">
            <wp:extent cx="3333750" cy="1319868"/>
            <wp:effectExtent l="0" t="0" r="0" b="0"/>
            <wp:docPr id="89931748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38727" cy="1321839"/>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5038B" w:rsidRPr="000C0179" w14:paraId="53706749" w14:textId="77777777" w:rsidTr="00BA05D4">
        <w:trPr>
          <w:trHeight w:val="315"/>
        </w:trPr>
        <w:tc>
          <w:tcPr>
            <w:tcW w:w="893" w:type="dxa"/>
            <w:vAlign w:val="center"/>
            <w:hideMark/>
          </w:tcPr>
          <w:p w14:paraId="59C860F1" w14:textId="77777777" w:rsidR="0055038B" w:rsidRPr="003751C7" w:rsidRDefault="0055038B" w:rsidP="00BA05D4">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73BD164" w14:textId="77777777" w:rsidR="0055038B" w:rsidRPr="000C0179" w:rsidRDefault="0055038B" w:rsidP="00BA05D4">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4CDCF358" w14:textId="77777777" w:rsidR="0055038B" w:rsidRPr="000C0179" w:rsidRDefault="0055038B" w:rsidP="00BA05D4">
            <w:pPr>
              <w:contextualSpacing/>
              <w:rPr>
                <w:rFonts w:ascii="Verdana" w:eastAsia="Arial" w:hAnsi="Verdana" w:cs="Arial"/>
                <w:sz w:val="16"/>
                <w:szCs w:val="16"/>
              </w:rPr>
            </w:pPr>
            <w:r w:rsidRPr="000C0179">
              <w:rPr>
                <w:rStyle w:val="normaltextrun"/>
                <w:rFonts w:ascii="Verdana" w:eastAsia="Arial" w:hAnsi="Verdana" w:cs="Arial"/>
                <w:sz w:val="16"/>
                <w:szCs w:val="16"/>
              </w:rPr>
              <w:t>Analista T</w:t>
            </w:r>
            <w:r>
              <w:rPr>
                <w:rStyle w:val="normaltextrun"/>
                <w:rFonts w:ascii="Verdana" w:eastAsia="Arial" w:hAnsi="Verdana" w:cs="Arial"/>
                <w:sz w:val="16"/>
                <w:szCs w:val="16"/>
              </w:rPr>
              <w:t>0</w:t>
            </w:r>
            <w:r w:rsidRPr="000C0179">
              <w:rPr>
                <w:rStyle w:val="normaltextrun"/>
                <w:rFonts w:ascii="Verdana" w:eastAsia="Arial" w:hAnsi="Verdana" w:cs="Arial"/>
                <w:sz w:val="16"/>
                <w:szCs w:val="16"/>
              </w:rPr>
              <w:t>2-1 de la Subdirección de Gestión Contractual</w:t>
            </w:r>
          </w:p>
        </w:tc>
      </w:tr>
      <w:tr w:rsidR="0055038B" w:rsidRPr="000C0179" w14:paraId="1D65F365" w14:textId="77777777" w:rsidTr="00BA05D4">
        <w:trPr>
          <w:trHeight w:val="330"/>
        </w:trPr>
        <w:tc>
          <w:tcPr>
            <w:tcW w:w="893" w:type="dxa"/>
            <w:vAlign w:val="center"/>
            <w:hideMark/>
          </w:tcPr>
          <w:p w14:paraId="1A374013" w14:textId="77777777" w:rsidR="0055038B" w:rsidRPr="003751C7" w:rsidRDefault="0055038B" w:rsidP="00BA05D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CD7B31" w14:textId="2628CC47" w:rsidR="00660873" w:rsidRDefault="00660873" w:rsidP="00BA05D4">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Adriana López </w:t>
            </w:r>
            <w:r w:rsidR="00DA0489">
              <w:rPr>
                <w:rStyle w:val="normaltextrun"/>
                <w:rFonts w:ascii="Verdana" w:hAnsi="Verdana" w:cs="Arial"/>
                <w:sz w:val="16"/>
                <w:szCs w:val="16"/>
                <w:lang w:val="es-ES"/>
              </w:rPr>
              <w:t xml:space="preserve">Rodríguez </w:t>
            </w:r>
          </w:p>
          <w:p w14:paraId="628B8479" w14:textId="19252A1E" w:rsidR="0055038B" w:rsidRPr="00660873" w:rsidRDefault="0055038B" w:rsidP="00BA05D4">
            <w:pPr>
              <w:pStyle w:val="paragraph"/>
              <w:spacing w:before="0" w:beforeAutospacing="0" w:after="0" w:afterAutospacing="0"/>
              <w:contextualSpacing/>
              <w:textAlignment w:val="baseline"/>
              <w:rPr>
                <w:rFonts w:ascii="Verdana" w:hAnsi="Verdana" w:cs="Arial"/>
                <w:sz w:val="16"/>
                <w:szCs w:val="16"/>
                <w:lang w:val="es-ES"/>
              </w:rPr>
            </w:pPr>
            <w:r w:rsidRPr="000C0179">
              <w:rPr>
                <w:rStyle w:val="normaltextrun"/>
                <w:rFonts w:ascii="Verdana" w:hAnsi="Verdana" w:cs="Arial"/>
                <w:sz w:val="16"/>
                <w:szCs w:val="16"/>
                <w:lang w:val="es-ES"/>
              </w:rPr>
              <w:t>Contratista de la Subdirección de Gestión Contractual</w:t>
            </w:r>
            <w:r w:rsidRPr="000C0179">
              <w:rPr>
                <w:rStyle w:val="eop"/>
                <w:rFonts w:ascii="Verdana" w:hAnsi="Verdana" w:cs="Arial"/>
                <w:sz w:val="16"/>
                <w:szCs w:val="16"/>
              </w:rPr>
              <w:t> </w:t>
            </w:r>
          </w:p>
        </w:tc>
      </w:tr>
      <w:tr w:rsidR="0055038B" w:rsidRPr="000C0179" w14:paraId="61B369D3" w14:textId="77777777" w:rsidTr="00BA05D4">
        <w:trPr>
          <w:trHeight w:val="300"/>
        </w:trPr>
        <w:tc>
          <w:tcPr>
            <w:tcW w:w="893" w:type="dxa"/>
            <w:vAlign w:val="center"/>
          </w:tcPr>
          <w:p w14:paraId="6B373092" w14:textId="77777777" w:rsidR="0055038B" w:rsidRPr="003751C7" w:rsidRDefault="0055038B" w:rsidP="00BA05D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4F4ACC" w14:textId="77777777" w:rsidR="0055038B" w:rsidRPr="000C0179" w:rsidRDefault="0055038B" w:rsidP="00BA05D4">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Carolina Quintero Gacharná</w:t>
            </w:r>
          </w:p>
          <w:p w14:paraId="5FF55464" w14:textId="77777777" w:rsidR="0055038B" w:rsidRPr="000C0179" w:rsidRDefault="0055038B" w:rsidP="00BA05D4">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33F7E878" w:rsidR="00127233" w:rsidRPr="0015699B" w:rsidRDefault="00C15139" w:rsidP="00824297">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BFA41" w14:textId="77777777" w:rsidR="00A50BEA" w:rsidRDefault="00A50BEA" w:rsidP="004A1847">
      <w:pPr>
        <w:spacing w:after="0" w:line="240" w:lineRule="auto"/>
      </w:pPr>
      <w:r>
        <w:separator/>
      </w:r>
    </w:p>
  </w:endnote>
  <w:endnote w:type="continuationSeparator" w:id="0">
    <w:p w14:paraId="2B023FDF" w14:textId="77777777" w:rsidR="00A50BEA" w:rsidRDefault="00A50BE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E8220" w14:textId="77777777" w:rsidR="00A50BEA" w:rsidRDefault="00A50BEA" w:rsidP="004A1847">
      <w:pPr>
        <w:spacing w:after="0" w:line="240" w:lineRule="auto"/>
      </w:pPr>
      <w:r>
        <w:separator/>
      </w:r>
    </w:p>
  </w:footnote>
  <w:footnote w:type="continuationSeparator" w:id="0">
    <w:p w14:paraId="3A67E3F4" w14:textId="77777777" w:rsidR="00A50BEA" w:rsidRDefault="00A50BEA" w:rsidP="004A1847">
      <w:pPr>
        <w:spacing w:after="0" w:line="240" w:lineRule="auto"/>
      </w:pPr>
      <w:r>
        <w:continuationSeparator/>
      </w:r>
    </w:p>
  </w:footnote>
  <w:footnote w:id="1">
    <w:p w14:paraId="6AC90E87" w14:textId="1C1D2981" w:rsidR="008A2FEF" w:rsidRDefault="008A2FEF" w:rsidP="006334EF">
      <w:pPr>
        <w:pStyle w:val="Textonotapie"/>
        <w:jc w:val="both"/>
      </w:pPr>
      <w:r>
        <w:rPr>
          <w:rStyle w:val="Refdenotaalpie"/>
        </w:rPr>
        <w:footnoteRef/>
      </w:r>
      <w:r>
        <w:t xml:space="preserve"> </w:t>
      </w:r>
      <w:r w:rsidRPr="006334EF">
        <w:rPr>
          <w:rFonts w:ascii="Verdana" w:hAnsi="Verdana"/>
          <w:sz w:val="16"/>
          <w:szCs w:val="16"/>
          <w:lang w:val="es-CO"/>
        </w:rPr>
        <w:t>ARTÍCULO </w:t>
      </w:r>
      <w:bookmarkStart w:id="1" w:name="2.2.1.1.2.1.1"/>
      <w:bookmarkEnd w:id="1"/>
      <w:r w:rsidRPr="006334EF">
        <w:rPr>
          <w:rFonts w:ascii="Verdana" w:hAnsi="Verdana"/>
          <w:sz w:val="16"/>
          <w:szCs w:val="16"/>
          <w:lang w:val="es-CO"/>
        </w:rPr>
        <w:t>2.2.1.1.2.1.1. Estudios y documentos previos. […] 2. El objeto a contratar, con sus especificaciones, las autorizaciones, permisos y licencias requeridos para su ejecución, y cuando el contrato incluye diseño y construcción, los documentos técnicos para el desarrollo del proyecto.</w:t>
      </w:r>
      <w:r w:rsidR="006334EF" w:rsidRPr="006334EF">
        <w:rPr>
          <w:rFonts w:ascii="Verdana" w:hAnsi="Verdana"/>
          <w:sz w:val="16"/>
          <w:szCs w:val="16"/>
          <w:lang w:val="es-CO"/>
        </w:rPr>
        <w:t xml:space="preserve"> […] 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w:t>
      </w:r>
    </w:p>
  </w:footnote>
  <w:footnote w:id="2">
    <w:p w14:paraId="23AF0815" w14:textId="2774AD2E" w:rsidR="002312E8" w:rsidRPr="00E40312" w:rsidRDefault="002312E8" w:rsidP="002312E8">
      <w:pPr>
        <w:pStyle w:val="Textonotapie"/>
        <w:ind w:firstLine="709"/>
        <w:jc w:val="both"/>
        <w:rPr>
          <w:rFonts w:ascii="Verdana" w:hAnsi="Verdana" w:cs="Arial"/>
          <w:sz w:val="16"/>
          <w:szCs w:val="16"/>
          <w:lang w:val="es-CO"/>
        </w:rPr>
      </w:pPr>
      <w:r w:rsidRPr="00E40312">
        <w:rPr>
          <w:rStyle w:val="Refdenotaalpie"/>
        </w:rPr>
        <w:footnoteRef/>
      </w:r>
      <w:r w:rsidRPr="00E40312">
        <w:t xml:space="preserve"> </w:t>
      </w:r>
      <w:r w:rsidRPr="00E40312">
        <w:rPr>
          <w:rFonts w:ascii="Verdana" w:hAnsi="Verdana" w:cs="Arial"/>
          <w:sz w:val="16"/>
          <w:szCs w:val="16"/>
          <w:lang w:val="es-CO"/>
        </w:rPr>
        <w:t xml:space="preserve">La Versión 02 de esta Guía fue adoptada el 24 de junio de 2022. Disponible en </w:t>
      </w:r>
      <w:hyperlink r:id="rId1" w:history="1">
        <w:r w:rsidRPr="00E40312">
          <w:rPr>
            <w:rStyle w:val="Hipervnculo"/>
            <w:rFonts w:ascii="Verdana" w:hAnsi="Verdana" w:cs="Arial"/>
            <w:color w:val="auto"/>
            <w:sz w:val="16"/>
            <w:szCs w:val="16"/>
          </w:rPr>
          <w:t>https://colombiacompra.gov.co/sites/cce_public/files/cce_documentos/cce-eicp-gi-18._gees_v.2_2.pdf</w:t>
        </w:r>
      </w:hyperlink>
      <w:r w:rsidR="00E40312">
        <w:rPr>
          <w:rFonts w:ascii="Verdana" w:hAnsi="Verdana" w:cs="Arial"/>
          <w:sz w:val="16"/>
          <w:szCs w:val="16"/>
        </w:rPr>
        <w:t xml:space="preserve"> </w:t>
      </w:r>
      <w:r w:rsidRPr="00E40312">
        <w:rPr>
          <w:rFonts w:ascii="Verdana" w:hAnsi="Verdana" w:cs="Arial"/>
          <w:sz w:val="16"/>
          <w:szCs w:val="16"/>
        </w:rPr>
        <w:t xml:space="preserve">Actualmente </w:t>
      </w:r>
      <w:r w:rsidR="00C34A4E" w:rsidRPr="00E40312">
        <w:rPr>
          <w:rFonts w:ascii="Verdana" w:hAnsi="Verdana" w:cs="Arial"/>
          <w:sz w:val="16"/>
          <w:szCs w:val="16"/>
        </w:rPr>
        <w:t xml:space="preserve">la versión </w:t>
      </w:r>
      <w:r w:rsidR="00E918FB">
        <w:rPr>
          <w:rFonts w:ascii="Verdana" w:hAnsi="Verdana" w:cs="Arial"/>
          <w:sz w:val="16"/>
          <w:szCs w:val="16"/>
        </w:rPr>
        <w:t xml:space="preserve">03 </w:t>
      </w:r>
      <w:r w:rsidR="00C34A4E" w:rsidRPr="00E40312">
        <w:rPr>
          <w:rFonts w:ascii="Verdana" w:hAnsi="Verdana" w:cs="Arial"/>
          <w:sz w:val="16"/>
          <w:szCs w:val="16"/>
        </w:rPr>
        <w:t xml:space="preserve">de esta guía </w:t>
      </w:r>
      <w:r w:rsidR="002B44FE" w:rsidRPr="00E40312">
        <w:rPr>
          <w:rFonts w:ascii="Verdana" w:hAnsi="Verdana" w:cs="Arial"/>
          <w:sz w:val="16"/>
          <w:szCs w:val="16"/>
        </w:rPr>
        <w:t xml:space="preserve">está disponible </w:t>
      </w:r>
      <w:r w:rsidR="00E40312" w:rsidRPr="00E40312">
        <w:rPr>
          <w:rFonts w:ascii="Verdana" w:hAnsi="Verdana" w:cs="Arial"/>
          <w:sz w:val="16"/>
          <w:szCs w:val="16"/>
        </w:rPr>
        <w:t xml:space="preserve">en: </w:t>
      </w:r>
      <w:hyperlink r:id="rId2" w:history="1">
        <w:r w:rsidR="00E40312" w:rsidRPr="00E40312">
          <w:rPr>
            <w:rStyle w:val="Hipervnculo"/>
            <w:rFonts w:ascii="Verdana" w:hAnsi="Verdana" w:cs="Arial"/>
            <w:color w:val="auto"/>
            <w:sz w:val="16"/>
            <w:szCs w:val="16"/>
            <w:lang w:val="es-CO"/>
          </w:rPr>
          <w:t>Guia-para-la-Elaboracion-de-Estudios-del-Sector-V3.pdf</w:t>
        </w:r>
      </w:hyperlink>
      <w:r w:rsidR="00E40312" w:rsidRPr="00E40312">
        <w:rPr>
          <w:rFonts w:ascii="Verdana" w:hAnsi="Verdana" w:cs="Arial"/>
          <w:sz w:val="16"/>
          <w:szCs w:val="16"/>
        </w:rPr>
        <w:t xml:space="preserve"> </w:t>
      </w:r>
    </w:p>
    <w:p w14:paraId="091A8060" w14:textId="0CD5D065" w:rsidR="002312E8" w:rsidRDefault="002312E8">
      <w:pPr>
        <w:pStyle w:val="Textonotapie"/>
      </w:pPr>
    </w:p>
  </w:footnote>
  <w:footnote w:id="3">
    <w:p w14:paraId="15AD2E33" w14:textId="37CC17EA" w:rsidR="00E5797D" w:rsidRDefault="00E5797D" w:rsidP="00E5797D">
      <w:pPr>
        <w:pStyle w:val="Textonotapie"/>
        <w:jc w:val="both"/>
      </w:pPr>
      <w:r>
        <w:rPr>
          <w:rStyle w:val="Refdenotaalpie"/>
        </w:rPr>
        <w:footnoteRef/>
      </w:r>
      <w:r>
        <w:t xml:space="preserve"> “</w:t>
      </w:r>
      <w:r w:rsidRPr="00E5797D">
        <w:rPr>
          <w:rFonts w:ascii="Verdana" w:hAnsi="Verdana"/>
          <w:sz w:val="16"/>
          <w:szCs w:val="16"/>
          <w:lang w:val="es-CO"/>
        </w:rPr>
        <w:t>ARTÍCULO </w:t>
      </w:r>
      <w:bookmarkStart w:id="2" w:name="2.2.1.1.1.6.1"/>
      <w:bookmarkEnd w:id="2"/>
      <w:r w:rsidRPr="00E5797D">
        <w:rPr>
          <w:rFonts w:ascii="Verdana" w:hAnsi="Verdana"/>
          <w:sz w:val="16"/>
          <w:szCs w:val="16"/>
          <w:lang w:val="es-CO"/>
        </w:rPr>
        <w:t>2.2.1.1.1.6.1.</w:t>
      </w:r>
      <w:r w:rsidRPr="00E5797D">
        <w:rPr>
          <w:rFonts w:ascii="Verdana" w:hAnsi="Verdana"/>
          <w:i/>
          <w:iCs/>
          <w:sz w:val="16"/>
          <w:szCs w:val="16"/>
          <w:lang w:val="es-CO"/>
        </w:rPr>
        <w:t> Deber de análisis de las Entidades Estatales.</w:t>
      </w:r>
      <w:r w:rsidRPr="00E5797D">
        <w:rPr>
          <w:rFonts w:ascii="Verdana" w:hAnsi="Verdana"/>
          <w:sz w:val="16"/>
          <w:szCs w:val="16"/>
          <w:lang w:val="es-CO"/>
        </w:rPr>
        <w:t>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r>
        <w:rPr>
          <w:rFonts w:ascii="Verdana" w:hAnsi="Verdana"/>
          <w:sz w:val="16"/>
          <w:szCs w:val="16"/>
          <w:lang w:val="es-CO"/>
        </w:rPr>
        <w:t>”</w:t>
      </w:r>
    </w:p>
  </w:footnote>
  <w:footnote w:id="4">
    <w:p w14:paraId="5CBC74BF" w14:textId="0F8AD3A6" w:rsidR="0029741F" w:rsidRDefault="0029741F">
      <w:pPr>
        <w:pStyle w:val="Textonotapie"/>
      </w:pPr>
      <w:r>
        <w:rPr>
          <w:rStyle w:val="Refdenotaalpie"/>
        </w:rPr>
        <w:footnoteRef/>
      </w:r>
      <w:r>
        <w:t xml:space="preserve"> </w:t>
      </w:r>
      <w:r w:rsidRPr="00B91AD5">
        <w:rPr>
          <w:rFonts w:ascii="Verdana" w:hAnsi="Verdana" w:cs="Arial"/>
          <w:sz w:val="16"/>
          <w:szCs w:val="16"/>
        </w:rPr>
        <w:t>DEIK ACOSTAMADIEDO, Carolina, Guía de Contratación Estatal: Deber de planeación y modalidades de selección, Buenos Aires, 2015, p. 59.</w:t>
      </w:r>
    </w:p>
  </w:footnote>
  <w:footnote w:id="5">
    <w:p w14:paraId="46E262AE" w14:textId="55ABC205" w:rsidR="00894E55" w:rsidRDefault="00894E55" w:rsidP="00697DCD">
      <w:pPr>
        <w:pStyle w:val="Textonotapie"/>
        <w:jc w:val="both"/>
      </w:pPr>
      <w:r>
        <w:rPr>
          <w:rStyle w:val="Refdenotaalpie"/>
        </w:rPr>
        <w:footnoteRef/>
      </w:r>
      <w:r>
        <w:t xml:space="preserve"> </w:t>
      </w:r>
      <w:r w:rsidRPr="00FC44F1">
        <w:rPr>
          <w:rFonts w:ascii="Verdana" w:hAnsi="Verdana" w:cs="Arial"/>
          <w:sz w:val="16"/>
          <w:szCs w:val="16"/>
        </w:rPr>
        <w:t xml:space="preserve">“Artículo </w:t>
      </w:r>
      <w:bookmarkStart w:id="4" w:name="_Hlk54173885"/>
      <w:r w:rsidRPr="00FC44F1">
        <w:rPr>
          <w:rFonts w:ascii="Verdana" w:hAnsi="Verdana" w:cs="Arial"/>
          <w:sz w:val="16"/>
          <w:szCs w:val="16"/>
        </w:rPr>
        <w:t>2.2.1.1.2.1.1</w:t>
      </w:r>
      <w:bookmarkEnd w:id="4"/>
      <w:r w:rsidRPr="00FC44F1">
        <w:rPr>
          <w:rFonts w:ascii="Verdana" w:hAnsi="Verdana" w:cs="Arial"/>
          <w:sz w:val="16"/>
          <w:szCs w:val="16"/>
        </w:rPr>
        <w:t>. Estudios y documentos previos. Los estudios y documentos previos son el soporte para elaborar el proyecto de pliegos, los pliegos de condiciones, y el contrato. Deben permanecer a</w:t>
      </w:r>
      <w:r w:rsidR="00697DCD">
        <w:rPr>
          <w:rFonts w:ascii="Verdana" w:hAnsi="Verdana" w:cs="Arial"/>
          <w:sz w:val="16"/>
          <w:szCs w:val="16"/>
        </w:rPr>
        <w:t xml:space="preserve"> </w:t>
      </w:r>
      <w:r w:rsidRPr="00FC44F1">
        <w:rPr>
          <w:rFonts w:ascii="Verdana" w:hAnsi="Verdana" w:cs="Arial"/>
          <w:sz w:val="16"/>
          <w:szCs w:val="16"/>
        </w:rPr>
        <w:t>disposición del público durante el desarrollo del Proceso de Contratación y contener los siguientes elementos, además de los indicados para cada modalidad de selección: (…)”.</w:t>
      </w:r>
    </w:p>
  </w:footnote>
  <w:footnote w:id="6">
    <w:p w14:paraId="6ACED422" w14:textId="0D1A9D55" w:rsidR="002A4F76" w:rsidRDefault="002A4F76" w:rsidP="00697DCD">
      <w:pPr>
        <w:pStyle w:val="Textonotapie"/>
        <w:jc w:val="both"/>
      </w:pPr>
      <w:r>
        <w:rPr>
          <w:rStyle w:val="Refdenotaalpie"/>
        </w:rPr>
        <w:footnoteRef/>
      </w:r>
      <w:r>
        <w:t xml:space="preserve"> </w:t>
      </w:r>
      <w:r w:rsidRPr="00B91AD5">
        <w:rPr>
          <w:rFonts w:ascii="Verdana" w:hAnsi="Verdana" w:cs="Arial"/>
          <w:sz w:val="16"/>
          <w:szCs w:val="16"/>
        </w:rPr>
        <w:t xml:space="preserve">Consejo de Estado. Sección Tercera. Subsección B. Sentencia del 31 de agosto de 2011. </w:t>
      </w:r>
      <w:r w:rsidRPr="00B91AD5">
        <w:rPr>
          <w:rFonts w:ascii="Verdana" w:hAnsi="Verdana" w:cs="Arial"/>
          <w:sz w:val="16"/>
          <w:szCs w:val="16"/>
        </w:rPr>
        <w:t>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7">
    <w:p w14:paraId="162430AF" w14:textId="77777777" w:rsidR="004012EC" w:rsidRPr="00B91AD5" w:rsidRDefault="004012EC" w:rsidP="004012EC">
      <w:pPr>
        <w:pStyle w:val="Textonotapie"/>
        <w:ind w:firstLine="709"/>
        <w:jc w:val="both"/>
        <w:rPr>
          <w:rFonts w:ascii="Verdana" w:hAnsi="Verdana" w:cs="Arial"/>
          <w:color w:val="000000" w:themeColor="text1"/>
          <w:sz w:val="16"/>
          <w:szCs w:val="16"/>
          <w:lang w:val="es-CO"/>
        </w:rPr>
      </w:pPr>
      <w:r w:rsidRPr="00B91AD5">
        <w:rPr>
          <w:rStyle w:val="Refdenotaalpie"/>
          <w:rFonts w:ascii="Verdana" w:hAnsi="Verdana" w:cs="Arial"/>
          <w:sz w:val="16"/>
          <w:szCs w:val="16"/>
        </w:rPr>
        <w:footnoteRef/>
      </w:r>
      <w:r w:rsidRPr="00B91AD5">
        <w:rPr>
          <w:rFonts w:ascii="Verdana" w:hAnsi="Verdana" w:cs="Arial"/>
          <w:sz w:val="16"/>
          <w:szCs w:val="16"/>
        </w:rPr>
        <w:t xml:space="preserve"> </w:t>
      </w:r>
      <w:r w:rsidRPr="00B91AD5">
        <w:rPr>
          <w:rFonts w:ascii="Verdana" w:hAnsi="Verdana" w:cs="Arial"/>
          <w:sz w:val="16"/>
          <w:szCs w:val="16"/>
          <w:lang w:val="es-CO"/>
        </w:rPr>
        <w:t xml:space="preserve">La Versión 02 de esta Guía fue adoptada el 24 de junio de 2022. Disponible en </w:t>
      </w:r>
      <w:hyperlink r:id="rId3" w:history="1">
        <w:r w:rsidRPr="00B91AD5">
          <w:rPr>
            <w:rStyle w:val="Hipervnculo"/>
            <w:rFonts w:ascii="Verdana" w:hAnsi="Verdana" w:cs="Arial"/>
            <w:color w:val="000000" w:themeColor="text1"/>
            <w:sz w:val="16"/>
            <w:szCs w:val="16"/>
          </w:rPr>
          <w:t>https://colombiacompra.gov.co/sites/cce_public/files/cce_documentos/cce-eicp-gi-18._gees_v.2_2.pdf</w:t>
        </w:r>
      </w:hyperlink>
      <w:r w:rsidRPr="00B91AD5">
        <w:rPr>
          <w:rFonts w:ascii="Verdana" w:hAnsi="Verdana" w:cs="Arial"/>
          <w:color w:val="000000" w:themeColor="text1"/>
          <w:sz w:val="16"/>
          <w:szCs w:val="16"/>
        </w:rPr>
        <w:t xml:space="preserve"> . Actualmente </w:t>
      </w:r>
      <w:r>
        <w:rPr>
          <w:rFonts w:ascii="Verdana" w:hAnsi="Verdana" w:cs="Arial"/>
          <w:color w:val="000000" w:themeColor="text1"/>
          <w:sz w:val="16"/>
          <w:szCs w:val="16"/>
        </w:rPr>
        <w:t xml:space="preserve">esta Guía </w:t>
      </w:r>
      <w:r w:rsidRPr="00B91AD5">
        <w:rPr>
          <w:rFonts w:ascii="Verdana" w:hAnsi="Verdana" w:cs="Arial"/>
          <w:color w:val="000000" w:themeColor="text1"/>
          <w:sz w:val="16"/>
          <w:szCs w:val="16"/>
        </w:rPr>
        <w:t xml:space="preserve">se encuentra en proceso actualización cuyo borrador puede ser consultado </w:t>
      </w:r>
      <w:r w:rsidRPr="00B91AD5">
        <w:rPr>
          <w:rFonts w:ascii="Verdana" w:hAnsi="Verdana" w:cs="Arial"/>
          <w:color w:val="000000" w:themeColor="text1"/>
          <w:sz w:val="16"/>
          <w:szCs w:val="16"/>
          <w:lang w:val="es-CO"/>
        </w:rPr>
        <w:t>a través del siguiente enlace: </w:t>
      </w:r>
      <w:hyperlink r:id="rId4" w:history="1">
        <w:r w:rsidRPr="00B91AD5">
          <w:rPr>
            <w:rStyle w:val="Hipervnculo"/>
            <w:rFonts w:ascii="Verdana" w:hAnsi="Verdana" w:cs="Arial"/>
            <w:sz w:val="16"/>
            <w:szCs w:val="16"/>
            <w:lang w:val="es-CO"/>
          </w:rPr>
          <w:t>https://www.colombiacompra.gov.co/archivos/convocatoria/participacion-ciudadana-proyecto-de-la-guia-para-la-</w:t>
        </w:r>
      </w:hyperlink>
    </w:p>
    <w:p w14:paraId="056C59C2" w14:textId="77777777" w:rsidR="004012EC" w:rsidRPr="00B91AD5" w:rsidRDefault="004012EC" w:rsidP="004012EC">
      <w:pPr>
        <w:pStyle w:val="Textonotapie"/>
        <w:ind w:firstLine="709"/>
        <w:jc w:val="both"/>
        <w:rPr>
          <w:rFonts w:ascii="Verdana" w:hAnsi="Verdana" w:cs="Arial"/>
          <w:sz w:val="16"/>
          <w:szCs w:val="16"/>
          <w:lang w:val="es-CO"/>
        </w:rPr>
      </w:pPr>
    </w:p>
  </w:footnote>
  <w:footnote w:id="8">
    <w:p w14:paraId="0BA9D19A" w14:textId="5A1C4441" w:rsidR="007C341F" w:rsidRDefault="007C341F" w:rsidP="00747F99">
      <w:pPr>
        <w:pStyle w:val="Textonotapie"/>
        <w:jc w:val="both"/>
      </w:pPr>
      <w:r>
        <w:rPr>
          <w:rStyle w:val="Refdenotaalpie"/>
        </w:rPr>
        <w:footnoteRef/>
      </w:r>
      <w:r>
        <w:t xml:space="preserve"> </w:t>
      </w:r>
      <w:r w:rsidRPr="00B91AD5">
        <w:rPr>
          <w:rFonts w:ascii="Verdana" w:hAnsi="Verdana" w:cs="Arial"/>
          <w:sz w:val="16"/>
          <w:szCs w:val="16"/>
        </w:rPr>
        <w:t>De conformidad con lo indicado en la Guía, e</w:t>
      </w:r>
      <w:r w:rsidRPr="00B91AD5">
        <w:rPr>
          <w:rFonts w:ascii="Verdana" w:hAnsi="Verdana" w:cs="Arial"/>
          <w:sz w:val="16"/>
          <w:szCs w:val="16"/>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0F676A"/>
    <w:multiLevelType w:val="hybridMultilevel"/>
    <w:tmpl w:val="EE7A460A"/>
    <w:lvl w:ilvl="0" w:tplc="17D8433E">
      <w:start w:val="1"/>
      <w:numFmt w:val="decimal"/>
      <w:lvlText w:val="%1."/>
      <w:lvlJc w:val="left"/>
      <w:pPr>
        <w:ind w:left="1069" w:hanging="360"/>
      </w:pPr>
      <w:rPr>
        <w:rFonts w:hint="default"/>
        <w:color w:val="auto"/>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17362494"/>
    <w:multiLevelType w:val="hybridMultilevel"/>
    <w:tmpl w:val="5ED8FFC8"/>
    <w:lvl w:ilvl="0" w:tplc="5BDEC4E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153EE8"/>
    <w:multiLevelType w:val="hybridMultilevel"/>
    <w:tmpl w:val="2D6290C4"/>
    <w:lvl w:ilvl="0" w:tplc="BB52EAE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F7319D"/>
    <w:multiLevelType w:val="hybridMultilevel"/>
    <w:tmpl w:val="0994BA14"/>
    <w:lvl w:ilvl="0" w:tplc="74EA913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5F93E0E"/>
    <w:multiLevelType w:val="hybridMultilevel"/>
    <w:tmpl w:val="BEF666C8"/>
    <w:lvl w:ilvl="0" w:tplc="240A0001">
      <w:start w:val="1"/>
      <w:numFmt w:val="bullet"/>
      <w:lvlText w:val=""/>
      <w:lvlJc w:val="left"/>
      <w:pPr>
        <w:ind w:left="1069" w:hanging="360"/>
      </w:pPr>
      <w:rPr>
        <w:rFonts w:ascii="Symbol" w:hAnsi="Symbo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7CD521D"/>
    <w:multiLevelType w:val="hybridMultilevel"/>
    <w:tmpl w:val="C81C6714"/>
    <w:lvl w:ilvl="0" w:tplc="3B8E1F22">
      <w:numFmt w:val="bullet"/>
      <w:lvlText w:val="-"/>
      <w:lvlJc w:val="left"/>
      <w:pPr>
        <w:ind w:left="1429" w:hanging="360"/>
      </w:pPr>
      <w:rPr>
        <w:rFonts w:ascii="Verdana" w:eastAsia="Century Gothic" w:hAnsi="Verdana" w:cs="Century Gothic"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7" w15:restartNumberingAfterBreak="0">
    <w:nsid w:val="4EB832DE"/>
    <w:multiLevelType w:val="hybridMultilevel"/>
    <w:tmpl w:val="BBAE8086"/>
    <w:lvl w:ilvl="0" w:tplc="1CBA6FEA">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4F8978EE"/>
    <w:multiLevelType w:val="hybridMultilevel"/>
    <w:tmpl w:val="60B21C3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449429A"/>
    <w:multiLevelType w:val="hybridMultilevel"/>
    <w:tmpl w:val="8682985C"/>
    <w:lvl w:ilvl="0" w:tplc="3B8E1F22">
      <w:numFmt w:val="bullet"/>
      <w:lvlText w:val="-"/>
      <w:lvlJc w:val="left"/>
      <w:pPr>
        <w:ind w:left="1504" w:hanging="360"/>
      </w:pPr>
      <w:rPr>
        <w:rFonts w:ascii="Verdana" w:eastAsia="Century Gothic" w:hAnsi="Verdana" w:cs="Century Gothic"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2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D8609AC"/>
    <w:multiLevelType w:val="hybridMultilevel"/>
    <w:tmpl w:val="7FB4866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435944"/>
    <w:multiLevelType w:val="hybridMultilevel"/>
    <w:tmpl w:val="790E855C"/>
    <w:lvl w:ilvl="0" w:tplc="31E223D8">
      <w:start w:val="1"/>
      <w:numFmt w:val="lowerRoman"/>
      <w:lvlText w:val="%1."/>
      <w:lvlJc w:val="left"/>
      <w:pPr>
        <w:ind w:left="1789" w:hanging="72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27" w15:restartNumberingAfterBreak="0">
    <w:nsid w:val="746C2AFA"/>
    <w:multiLevelType w:val="hybridMultilevel"/>
    <w:tmpl w:val="47E8FF66"/>
    <w:lvl w:ilvl="0" w:tplc="BA0842F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4"/>
  </w:num>
  <w:num w:numId="7" w16cid:durableId="1946422806">
    <w:abstractNumId w:val="8"/>
  </w:num>
  <w:num w:numId="8" w16cid:durableId="152644682">
    <w:abstractNumId w:val="22"/>
  </w:num>
  <w:num w:numId="9" w16cid:durableId="1317221377">
    <w:abstractNumId w:val="12"/>
  </w:num>
  <w:num w:numId="10" w16cid:durableId="1471245386">
    <w:abstractNumId w:val="21"/>
  </w:num>
  <w:num w:numId="11" w16cid:durableId="289172385">
    <w:abstractNumId w:val="13"/>
  </w:num>
  <w:num w:numId="12" w16cid:durableId="1470781324">
    <w:abstractNumId w:val="1"/>
  </w:num>
  <w:num w:numId="13" w16cid:durableId="1512908409">
    <w:abstractNumId w:val="5"/>
  </w:num>
  <w:num w:numId="14" w16cid:durableId="895897244">
    <w:abstractNumId w:val="25"/>
  </w:num>
  <w:num w:numId="15" w16cid:durableId="390349800">
    <w:abstractNumId w:val="20"/>
  </w:num>
  <w:num w:numId="16" w16cid:durableId="1227110730">
    <w:abstractNumId w:val="0"/>
  </w:num>
  <w:num w:numId="17" w16cid:durableId="531266698">
    <w:abstractNumId w:val="14"/>
  </w:num>
  <w:num w:numId="18" w16cid:durableId="1167788118">
    <w:abstractNumId w:val="17"/>
  </w:num>
  <w:num w:numId="19" w16cid:durableId="1026519032">
    <w:abstractNumId w:val="18"/>
  </w:num>
  <w:num w:numId="20" w16cid:durableId="13728338">
    <w:abstractNumId w:val="6"/>
  </w:num>
  <w:num w:numId="21" w16cid:durableId="1401903601">
    <w:abstractNumId w:val="4"/>
  </w:num>
  <w:num w:numId="22" w16cid:durableId="565142159">
    <w:abstractNumId w:val="27"/>
  </w:num>
  <w:num w:numId="23" w16cid:durableId="1577864287">
    <w:abstractNumId w:val="11"/>
  </w:num>
  <w:num w:numId="24" w16cid:durableId="1347637698">
    <w:abstractNumId w:val="15"/>
  </w:num>
  <w:num w:numId="25" w16cid:durableId="585069886">
    <w:abstractNumId w:val="16"/>
  </w:num>
  <w:num w:numId="26" w16cid:durableId="2138571247">
    <w:abstractNumId w:val="19"/>
  </w:num>
  <w:num w:numId="27" w16cid:durableId="214046263">
    <w:abstractNumId w:val="23"/>
  </w:num>
  <w:num w:numId="28" w16cid:durableId="1903101366">
    <w:abstractNumId w:val="10"/>
  </w:num>
  <w:num w:numId="29" w16cid:durableId="579875019">
    <w:abstractNumId w:val="3"/>
  </w:num>
  <w:num w:numId="30" w16cid:durableId="10716506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B03"/>
    <w:rsid w:val="00026B2C"/>
    <w:rsid w:val="00027264"/>
    <w:rsid w:val="00030424"/>
    <w:rsid w:val="000312E6"/>
    <w:rsid w:val="000451F0"/>
    <w:rsid w:val="00046945"/>
    <w:rsid w:val="00047051"/>
    <w:rsid w:val="0005018A"/>
    <w:rsid w:val="00051BA2"/>
    <w:rsid w:val="0006055E"/>
    <w:rsid w:val="00061B2A"/>
    <w:rsid w:val="00064E6D"/>
    <w:rsid w:val="00074BBA"/>
    <w:rsid w:val="00082362"/>
    <w:rsid w:val="000A683E"/>
    <w:rsid w:val="000B19B9"/>
    <w:rsid w:val="000B2835"/>
    <w:rsid w:val="000B2932"/>
    <w:rsid w:val="000D0334"/>
    <w:rsid w:val="000D5DA7"/>
    <w:rsid w:val="000E71ED"/>
    <w:rsid w:val="000F5364"/>
    <w:rsid w:val="000F6486"/>
    <w:rsid w:val="00101A39"/>
    <w:rsid w:val="00102244"/>
    <w:rsid w:val="0010369B"/>
    <w:rsid w:val="0011625A"/>
    <w:rsid w:val="001166E8"/>
    <w:rsid w:val="00116940"/>
    <w:rsid w:val="001178E6"/>
    <w:rsid w:val="0012218D"/>
    <w:rsid w:val="00125105"/>
    <w:rsid w:val="0012537E"/>
    <w:rsid w:val="001270B7"/>
    <w:rsid w:val="00127233"/>
    <w:rsid w:val="0015095F"/>
    <w:rsid w:val="001518B6"/>
    <w:rsid w:val="001528A7"/>
    <w:rsid w:val="0015470D"/>
    <w:rsid w:val="0015699B"/>
    <w:rsid w:val="001574E7"/>
    <w:rsid w:val="001577D0"/>
    <w:rsid w:val="00164789"/>
    <w:rsid w:val="001916EF"/>
    <w:rsid w:val="001A33BF"/>
    <w:rsid w:val="001A7F84"/>
    <w:rsid w:val="001B589B"/>
    <w:rsid w:val="001B7ABB"/>
    <w:rsid w:val="001C4455"/>
    <w:rsid w:val="001D53AE"/>
    <w:rsid w:val="001E4177"/>
    <w:rsid w:val="001F0B24"/>
    <w:rsid w:val="001F1600"/>
    <w:rsid w:val="001F36D8"/>
    <w:rsid w:val="001F5589"/>
    <w:rsid w:val="001F5AFE"/>
    <w:rsid w:val="001F7DC6"/>
    <w:rsid w:val="002002C5"/>
    <w:rsid w:val="0020125F"/>
    <w:rsid w:val="00202D79"/>
    <w:rsid w:val="002235B7"/>
    <w:rsid w:val="0022400B"/>
    <w:rsid w:val="002312E8"/>
    <w:rsid w:val="002324B8"/>
    <w:rsid w:val="00234802"/>
    <w:rsid w:val="002421BB"/>
    <w:rsid w:val="00242769"/>
    <w:rsid w:val="00244CE1"/>
    <w:rsid w:val="00250C8B"/>
    <w:rsid w:val="0025796E"/>
    <w:rsid w:val="00261696"/>
    <w:rsid w:val="002707A2"/>
    <w:rsid w:val="002721A5"/>
    <w:rsid w:val="00274F71"/>
    <w:rsid w:val="00293864"/>
    <w:rsid w:val="002951A0"/>
    <w:rsid w:val="0029560D"/>
    <w:rsid w:val="002962BC"/>
    <w:rsid w:val="0029741F"/>
    <w:rsid w:val="002A093D"/>
    <w:rsid w:val="002A0DD0"/>
    <w:rsid w:val="002A209F"/>
    <w:rsid w:val="002A2B88"/>
    <w:rsid w:val="002A49AC"/>
    <w:rsid w:val="002A4F76"/>
    <w:rsid w:val="002A64FD"/>
    <w:rsid w:val="002B36BA"/>
    <w:rsid w:val="002B44FE"/>
    <w:rsid w:val="002B7626"/>
    <w:rsid w:val="002B7E71"/>
    <w:rsid w:val="002C11D5"/>
    <w:rsid w:val="002C745A"/>
    <w:rsid w:val="002C7A84"/>
    <w:rsid w:val="002D7F15"/>
    <w:rsid w:val="002E098F"/>
    <w:rsid w:val="002E2940"/>
    <w:rsid w:val="002E2BF8"/>
    <w:rsid w:val="002E3CC9"/>
    <w:rsid w:val="002E4FD9"/>
    <w:rsid w:val="002E67D4"/>
    <w:rsid w:val="002F1673"/>
    <w:rsid w:val="003058FC"/>
    <w:rsid w:val="0030657A"/>
    <w:rsid w:val="00312E09"/>
    <w:rsid w:val="00322A85"/>
    <w:rsid w:val="00324168"/>
    <w:rsid w:val="00324479"/>
    <w:rsid w:val="003261CC"/>
    <w:rsid w:val="00330834"/>
    <w:rsid w:val="0034475D"/>
    <w:rsid w:val="003448F4"/>
    <w:rsid w:val="0034500F"/>
    <w:rsid w:val="003517EC"/>
    <w:rsid w:val="00352659"/>
    <w:rsid w:val="0035464A"/>
    <w:rsid w:val="00374F5E"/>
    <w:rsid w:val="00377E3E"/>
    <w:rsid w:val="0038212A"/>
    <w:rsid w:val="00382734"/>
    <w:rsid w:val="0038780F"/>
    <w:rsid w:val="003A779E"/>
    <w:rsid w:val="003C0FBA"/>
    <w:rsid w:val="003C1195"/>
    <w:rsid w:val="003C77DA"/>
    <w:rsid w:val="003D0F4D"/>
    <w:rsid w:val="003D143C"/>
    <w:rsid w:val="003D3301"/>
    <w:rsid w:val="003D5644"/>
    <w:rsid w:val="003D5B0D"/>
    <w:rsid w:val="003E0499"/>
    <w:rsid w:val="003E4F80"/>
    <w:rsid w:val="003E6439"/>
    <w:rsid w:val="003E74BC"/>
    <w:rsid w:val="003E7513"/>
    <w:rsid w:val="003F1919"/>
    <w:rsid w:val="003F3941"/>
    <w:rsid w:val="003F4254"/>
    <w:rsid w:val="004012EC"/>
    <w:rsid w:val="004053FC"/>
    <w:rsid w:val="00406575"/>
    <w:rsid w:val="0041278B"/>
    <w:rsid w:val="00414C74"/>
    <w:rsid w:val="00425B7D"/>
    <w:rsid w:val="004262E7"/>
    <w:rsid w:val="0042722E"/>
    <w:rsid w:val="0044528D"/>
    <w:rsid w:val="004550BA"/>
    <w:rsid w:val="004564C2"/>
    <w:rsid w:val="00462124"/>
    <w:rsid w:val="00466B8C"/>
    <w:rsid w:val="00466E39"/>
    <w:rsid w:val="00470B76"/>
    <w:rsid w:val="004747DE"/>
    <w:rsid w:val="00474FF8"/>
    <w:rsid w:val="00491656"/>
    <w:rsid w:val="0049179D"/>
    <w:rsid w:val="004A1847"/>
    <w:rsid w:val="004A2849"/>
    <w:rsid w:val="004A305D"/>
    <w:rsid w:val="004C6A84"/>
    <w:rsid w:val="004C7BA6"/>
    <w:rsid w:val="004D0A6E"/>
    <w:rsid w:val="004E6C1D"/>
    <w:rsid w:val="004F1DDE"/>
    <w:rsid w:val="004F21C4"/>
    <w:rsid w:val="004F685F"/>
    <w:rsid w:val="00501DC4"/>
    <w:rsid w:val="005026BD"/>
    <w:rsid w:val="005026D1"/>
    <w:rsid w:val="00502B0F"/>
    <w:rsid w:val="00504468"/>
    <w:rsid w:val="005111DB"/>
    <w:rsid w:val="0051719E"/>
    <w:rsid w:val="00536279"/>
    <w:rsid w:val="005421C1"/>
    <w:rsid w:val="00545D8A"/>
    <w:rsid w:val="0055038B"/>
    <w:rsid w:val="005548B4"/>
    <w:rsid w:val="005566E8"/>
    <w:rsid w:val="00565522"/>
    <w:rsid w:val="00566BEA"/>
    <w:rsid w:val="00573A42"/>
    <w:rsid w:val="00574867"/>
    <w:rsid w:val="00591460"/>
    <w:rsid w:val="00595FE7"/>
    <w:rsid w:val="0059739E"/>
    <w:rsid w:val="005A0DF2"/>
    <w:rsid w:val="005A6445"/>
    <w:rsid w:val="005A65E0"/>
    <w:rsid w:val="005A7BB6"/>
    <w:rsid w:val="005A7E09"/>
    <w:rsid w:val="005C0FFD"/>
    <w:rsid w:val="005C3777"/>
    <w:rsid w:val="005C4704"/>
    <w:rsid w:val="005C5CDC"/>
    <w:rsid w:val="005D3D60"/>
    <w:rsid w:val="005D476C"/>
    <w:rsid w:val="005D59E2"/>
    <w:rsid w:val="005D66E2"/>
    <w:rsid w:val="005E41BA"/>
    <w:rsid w:val="005E61E5"/>
    <w:rsid w:val="005F549E"/>
    <w:rsid w:val="00607578"/>
    <w:rsid w:val="00610A39"/>
    <w:rsid w:val="00614586"/>
    <w:rsid w:val="006200BF"/>
    <w:rsid w:val="006219F8"/>
    <w:rsid w:val="00622D04"/>
    <w:rsid w:val="006266D6"/>
    <w:rsid w:val="006302F7"/>
    <w:rsid w:val="00632C09"/>
    <w:rsid w:val="00632E35"/>
    <w:rsid w:val="006334EF"/>
    <w:rsid w:val="006443F5"/>
    <w:rsid w:val="00646B9F"/>
    <w:rsid w:val="006562C1"/>
    <w:rsid w:val="00660873"/>
    <w:rsid w:val="00665658"/>
    <w:rsid w:val="00665D70"/>
    <w:rsid w:val="006670D3"/>
    <w:rsid w:val="006711B0"/>
    <w:rsid w:val="00675C00"/>
    <w:rsid w:val="00681ACF"/>
    <w:rsid w:val="00682C49"/>
    <w:rsid w:val="006900D9"/>
    <w:rsid w:val="00695589"/>
    <w:rsid w:val="00695CA0"/>
    <w:rsid w:val="00697DCD"/>
    <w:rsid w:val="006A623E"/>
    <w:rsid w:val="006B4420"/>
    <w:rsid w:val="006B4941"/>
    <w:rsid w:val="006B5640"/>
    <w:rsid w:val="006B7265"/>
    <w:rsid w:val="006B7482"/>
    <w:rsid w:val="006C4EE2"/>
    <w:rsid w:val="006D0694"/>
    <w:rsid w:val="006D538A"/>
    <w:rsid w:val="006E7A8B"/>
    <w:rsid w:val="006F4C6D"/>
    <w:rsid w:val="007028BC"/>
    <w:rsid w:val="00706C16"/>
    <w:rsid w:val="007074C0"/>
    <w:rsid w:val="00716BE2"/>
    <w:rsid w:val="007264C4"/>
    <w:rsid w:val="00732652"/>
    <w:rsid w:val="00733093"/>
    <w:rsid w:val="00733F99"/>
    <w:rsid w:val="007340C3"/>
    <w:rsid w:val="0074249B"/>
    <w:rsid w:val="0074730B"/>
    <w:rsid w:val="00747F99"/>
    <w:rsid w:val="0075235A"/>
    <w:rsid w:val="00756841"/>
    <w:rsid w:val="0076083E"/>
    <w:rsid w:val="007649AB"/>
    <w:rsid w:val="00771D0C"/>
    <w:rsid w:val="007763E5"/>
    <w:rsid w:val="007833AC"/>
    <w:rsid w:val="0079140B"/>
    <w:rsid w:val="00794132"/>
    <w:rsid w:val="0079648D"/>
    <w:rsid w:val="00796CFE"/>
    <w:rsid w:val="00797644"/>
    <w:rsid w:val="007A4CCF"/>
    <w:rsid w:val="007A587F"/>
    <w:rsid w:val="007B036F"/>
    <w:rsid w:val="007B268C"/>
    <w:rsid w:val="007B5C4A"/>
    <w:rsid w:val="007B634A"/>
    <w:rsid w:val="007B7171"/>
    <w:rsid w:val="007C0476"/>
    <w:rsid w:val="007C04BE"/>
    <w:rsid w:val="007C0C0F"/>
    <w:rsid w:val="007C2221"/>
    <w:rsid w:val="007C341F"/>
    <w:rsid w:val="007C3DC2"/>
    <w:rsid w:val="007C487F"/>
    <w:rsid w:val="007D1CDD"/>
    <w:rsid w:val="007D438C"/>
    <w:rsid w:val="007E005F"/>
    <w:rsid w:val="007E0913"/>
    <w:rsid w:val="007E4A7D"/>
    <w:rsid w:val="007E5497"/>
    <w:rsid w:val="007E5579"/>
    <w:rsid w:val="007F6680"/>
    <w:rsid w:val="00803B98"/>
    <w:rsid w:val="00806F5F"/>
    <w:rsid w:val="008134D9"/>
    <w:rsid w:val="008140C1"/>
    <w:rsid w:val="00816B23"/>
    <w:rsid w:val="00820278"/>
    <w:rsid w:val="008227C4"/>
    <w:rsid w:val="00823027"/>
    <w:rsid w:val="008233C0"/>
    <w:rsid w:val="00824297"/>
    <w:rsid w:val="008258C9"/>
    <w:rsid w:val="008375EA"/>
    <w:rsid w:val="00841A1D"/>
    <w:rsid w:val="00843710"/>
    <w:rsid w:val="00844AE9"/>
    <w:rsid w:val="00845030"/>
    <w:rsid w:val="0084515A"/>
    <w:rsid w:val="008458AA"/>
    <w:rsid w:val="008618A7"/>
    <w:rsid w:val="00867743"/>
    <w:rsid w:val="00867F95"/>
    <w:rsid w:val="00873C1E"/>
    <w:rsid w:val="00881CCA"/>
    <w:rsid w:val="008843B6"/>
    <w:rsid w:val="00890CB9"/>
    <w:rsid w:val="00891928"/>
    <w:rsid w:val="00894E55"/>
    <w:rsid w:val="008A2FEF"/>
    <w:rsid w:val="008A446D"/>
    <w:rsid w:val="008B25F1"/>
    <w:rsid w:val="008B52F0"/>
    <w:rsid w:val="008C0BE1"/>
    <w:rsid w:val="008D180B"/>
    <w:rsid w:val="008F0EA7"/>
    <w:rsid w:val="008F36A7"/>
    <w:rsid w:val="009150E7"/>
    <w:rsid w:val="00916390"/>
    <w:rsid w:val="0092111A"/>
    <w:rsid w:val="009229C6"/>
    <w:rsid w:val="00923290"/>
    <w:rsid w:val="00923EEF"/>
    <w:rsid w:val="009303A1"/>
    <w:rsid w:val="009331B5"/>
    <w:rsid w:val="009419F9"/>
    <w:rsid w:val="00944591"/>
    <w:rsid w:val="00944D35"/>
    <w:rsid w:val="009454F7"/>
    <w:rsid w:val="00954218"/>
    <w:rsid w:val="0095628A"/>
    <w:rsid w:val="0095685E"/>
    <w:rsid w:val="00961B09"/>
    <w:rsid w:val="00965334"/>
    <w:rsid w:val="0096768D"/>
    <w:rsid w:val="0097093E"/>
    <w:rsid w:val="00973558"/>
    <w:rsid w:val="00996FAA"/>
    <w:rsid w:val="009A0DFA"/>
    <w:rsid w:val="009A1C0A"/>
    <w:rsid w:val="009A1C6F"/>
    <w:rsid w:val="009A218A"/>
    <w:rsid w:val="009A6A44"/>
    <w:rsid w:val="009B2D26"/>
    <w:rsid w:val="009B6EDE"/>
    <w:rsid w:val="009B7015"/>
    <w:rsid w:val="009C71FA"/>
    <w:rsid w:val="009C72E7"/>
    <w:rsid w:val="009C7F7E"/>
    <w:rsid w:val="009D3058"/>
    <w:rsid w:val="009D71B6"/>
    <w:rsid w:val="009D7893"/>
    <w:rsid w:val="009E03FD"/>
    <w:rsid w:val="009F3A13"/>
    <w:rsid w:val="00A122D3"/>
    <w:rsid w:val="00A13303"/>
    <w:rsid w:val="00A14468"/>
    <w:rsid w:val="00A148F3"/>
    <w:rsid w:val="00A151FF"/>
    <w:rsid w:val="00A17F13"/>
    <w:rsid w:val="00A20739"/>
    <w:rsid w:val="00A21364"/>
    <w:rsid w:val="00A23AF9"/>
    <w:rsid w:val="00A25AC5"/>
    <w:rsid w:val="00A33C78"/>
    <w:rsid w:val="00A34AE2"/>
    <w:rsid w:val="00A3784A"/>
    <w:rsid w:val="00A457B6"/>
    <w:rsid w:val="00A50078"/>
    <w:rsid w:val="00A50BEA"/>
    <w:rsid w:val="00A55378"/>
    <w:rsid w:val="00A71B99"/>
    <w:rsid w:val="00A72F73"/>
    <w:rsid w:val="00A80988"/>
    <w:rsid w:val="00A831DD"/>
    <w:rsid w:val="00A8510F"/>
    <w:rsid w:val="00A878A7"/>
    <w:rsid w:val="00A87CD7"/>
    <w:rsid w:val="00AA22CD"/>
    <w:rsid w:val="00AA22FC"/>
    <w:rsid w:val="00AA2538"/>
    <w:rsid w:val="00AB0ADB"/>
    <w:rsid w:val="00AC0BEC"/>
    <w:rsid w:val="00AD04BE"/>
    <w:rsid w:val="00AD3BA4"/>
    <w:rsid w:val="00AD5A67"/>
    <w:rsid w:val="00AD5D08"/>
    <w:rsid w:val="00B00C0E"/>
    <w:rsid w:val="00B01B1A"/>
    <w:rsid w:val="00B0381D"/>
    <w:rsid w:val="00B05EB8"/>
    <w:rsid w:val="00B06176"/>
    <w:rsid w:val="00B11908"/>
    <w:rsid w:val="00B15C39"/>
    <w:rsid w:val="00B16C37"/>
    <w:rsid w:val="00B25313"/>
    <w:rsid w:val="00B308E3"/>
    <w:rsid w:val="00B31621"/>
    <w:rsid w:val="00B33684"/>
    <w:rsid w:val="00B41EE0"/>
    <w:rsid w:val="00B44A47"/>
    <w:rsid w:val="00B577BC"/>
    <w:rsid w:val="00B72CD3"/>
    <w:rsid w:val="00B72FFF"/>
    <w:rsid w:val="00B85F8F"/>
    <w:rsid w:val="00B93ABB"/>
    <w:rsid w:val="00BA04BD"/>
    <w:rsid w:val="00BB19D7"/>
    <w:rsid w:val="00BC3D36"/>
    <w:rsid w:val="00BC6044"/>
    <w:rsid w:val="00BD0D9B"/>
    <w:rsid w:val="00BD0FB2"/>
    <w:rsid w:val="00BD399A"/>
    <w:rsid w:val="00BD40CC"/>
    <w:rsid w:val="00BD495D"/>
    <w:rsid w:val="00BD54A6"/>
    <w:rsid w:val="00BD7F72"/>
    <w:rsid w:val="00BE2F9B"/>
    <w:rsid w:val="00BF2F9F"/>
    <w:rsid w:val="00BF7425"/>
    <w:rsid w:val="00BF7CF7"/>
    <w:rsid w:val="00C04FB3"/>
    <w:rsid w:val="00C11D8B"/>
    <w:rsid w:val="00C15139"/>
    <w:rsid w:val="00C30187"/>
    <w:rsid w:val="00C330EB"/>
    <w:rsid w:val="00C34A4E"/>
    <w:rsid w:val="00C450F0"/>
    <w:rsid w:val="00C4556B"/>
    <w:rsid w:val="00C464AD"/>
    <w:rsid w:val="00C501BE"/>
    <w:rsid w:val="00C50D69"/>
    <w:rsid w:val="00C52710"/>
    <w:rsid w:val="00C5365C"/>
    <w:rsid w:val="00C614F3"/>
    <w:rsid w:val="00C636DD"/>
    <w:rsid w:val="00C65F91"/>
    <w:rsid w:val="00C669E4"/>
    <w:rsid w:val="00C71645"/>
    <w:rsid w:val="00C72866"/>
    <w:rsid w:val="00C73830"/>
    <w:rsid w:val="00C73CC1"/>
    <w:rsid w:val="00C754BE"/>
    <w:rsid w:val="00C76B1C"/>
    <w:rsid w:val="00C83A1A"/>
    <w:rsid w:val="00C84C1A"/>
    <w:rsid w:val="00C85E39"/>
    <w:rsid w:val="00C86ED0"/>
    <w:rsid w:val="00C925AC"/>
    <w:rsid w:val="00C94765"/>
    <w:rsid w:val="00CA10FB"/>
    <w:rsid w:val="00CB2D34"/>
    <w:rsid w:val="00CB6357"/>
    <w:rsid w:val="00CC1B26"/>
    <w:rsid w:val="00CC33FA"/>
    <w:rsid w:val="00CD71D9"/>
    <w:rsid w:val="00CE4B4C"/>
    <w:rsid w:val="00CE52D4"/>
    <w:rsid w:val="00CE6B8A"/>
    <w:rsid w:val="00CF05E6"/>
    <w:rsid w:val="00CF2A73"/>
    <w:rsid w:val="00D02399"/>
    <w:rsid w:val="00D044BE"/>
    <w:rsid w:val="00D10083"/>
    <w:rsid w:val="00D111CC"/>
    <w:rsid w:val="00D23772"/>
    <w:rsid w:val="00D31490"/>
    <w:rsid w:val="00D34F20"/>
    <w:rsid w:val="00D361FD"/>
    <w:rsid w:val="00D423A2"/>
    <w:rsid w:val="00D440FE"/>
    <w:rsid w:val="00D44E26"/>
    <w:rsid w:val="00D50781"/>
    <w:rsid w:val="00D520D8"/>
    <w:rsid w:val="00D568F2"/>
    <w:rsid w:val="00D57036"/>
    <w:rsid w:val="00D62F12"/>
    <w:rsid w:val="00D63AC2"/>
    <w:rsid w:val="00D670BE"/>
    <w:rsid w:val="00D7383B"/>
    <w:rsid w:val="00D7788A"/>
    <w:rsid w:val="00D81A53"/>
    <w:rsid w:val="00D82560"/>
    <w:rsid w:val="00D873DF"/>
    <w:rsid w:val="00D91429"/>
    <w:rsid w:val="00D97954"/>
    <w:rsid w:val="00DA0489"/>
    <w:rsid w:val="00DA231B"/>
    <w:rsid w:val="00DA2DF1"/>
    <w:rsid w:val="00DA4C01"/>
    <w:rsid w:val="00DA683F"/>
    <w:rsid w:val="00DB2D6A"/>
    <w:rsid w:val="00DC2CC5"/>
    <w:rsid w:val="00DC39FC"/>
    <w:rsid w:val="00DD7A16"/>
    <w:rsid w:val="00DD7DB6"/>
    <w:rsid w:val="00DE5F5C"/>
    <w:rsid w:val="00DE63F1"/>
    <w:rsid w:val="00DE65A4"/>
    <w:rsid w:val="00DF07E0"/>
    <w:rsid w:val="00DF25E0"/>
    <w:rsid w:val="00DF5254"/>
    <w:rsid w:val="00E02524"/>
    <w:rsid w:val="00E13ACE"/>
    <w:rsid w:val="00E16408"/>
    <w:rsid w:val="00E20894"/>
    <w:rsid w:val="00E20E5B"/>
    <w:rsid w:val="00E245AB"/>
    <w:rsid w:val="00E2764C"/>
    <w:rsid w:val="00E27F2E"/>
    <w:rsid w:val="00E40312"/>
    <w:rsid w:val="00E417F4"/>
    <w:rsid w:val="00E4472C"/>
    <w:rsid w:val="00E44E3A"/>
    <w:rsid w:val="00E50AFE"/>
    <w:rsid w:val="00E5113C"/>
    <w:rsid w:val="00E5577A"/>
    <w:rsid w:val="00E55A04"/>
    <w:rsid w:val="00E55D1B"/>
    <w:rsid w:val="00E57402"/>
    <w:rsid w:val="00E5797D"/>
    <w:rsid w:val="00E63B52"/>
    <w:rsid w:val="00E64CA9"/>
    <w:rsid w:val="00E65ED1"/>
    <w:rsid w:val="00E75C92"/>
    <w:rsid w:val="00E771DC"/>
    <w:rsid w:val="00E8570D"/>
    <w:rsid w:val="00E8772A"/>
    <w:rsid w:val="00E90850"/>
    <w:rsid w:val="00E90F6B"/>
    <w:rsid w:val="00E918FB"/>
    <w:rsid w:val="00E92C27"/>
    <w:rsid w:val="00E96730"/>
    <w:rsid w:val="00EA0E3D"/>
    <w:rsid w:val="00EB5D91"/>
    <w:rsid w:val="00EC38A7"/>
    <w:rsid w:val="00EC5604"/>
    <w:rsid w:val="00ED1933"/>
    <w:rsid w:val="00EE1AA8"/>
    <w:rsid w:val="00EE27E6"/>
    <w:rsid w:val="00EE5832"/>
    <w:rsid w:val="00EE598B"/>
    <w:rsid w:val="00EF6D2A"/>
    <w:rsid w:val="00F16A70"/>
    <w:rsid w:val="00F23FEA"/>
    <w:rsid w:val="00F24E31"/>
    <w:rsid w:val="00F31EDC"/>
    <w:rsid w:val="00F45E0C"/>
    <w:rsid w:val="00F462B3"/>
    <w:rsid w:val="00F5664F"/>
    <w:rsid w:val="00F666C4"/>
    <w:rsid w:val="00F72F66"/>
    <w:rsid w:val="00F76AFC"/>
    <w:rsid w:val="00F82FC2"/>
    <w:rsid w:val="00F83606"/>
    <w:rsid w:val="00F83838"/>
    <w:rsid w:val="00F90489"/>
    <w:rsid w:val="00F95522"/>
    <w:rsid w:val="00F9689E"/>
    <w:rsid w:val="00FA2CEE"/>
    <w:rsid w:val="00FA47C0"/>
    <w:rsid w:val="00FA4B87"/>
    <w:rsid w:val="00FA61CD"/>
    <w:rsid w:val="00FB5DD1"/>
    <w:rsid w:val="00FC0C77"/>
    <w:rsid w:val="00FC2B5D"/>
    <w:rsid w:val="00FC4756"/>
    <w:rsid w:val="00FC79F6"/>
    <w:rsid w:val="00FD533D"/>
    <w:rsid w:val="00FD7716"/>
    <w:rsid w:val="00FE38C5"/>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503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5038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5/09/Guia-para-la-Elaboracion-de-Estudios-del-Sector-V3.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heyns.riano6142@correo.polici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sites/cce_public/files/cce_documentos/cce-eicp-gi-18._gees_v.2_2.pdf" TargetMode="External"/><Relationship Id="rId2" Type="http://schemas.openxmlformats.org/officeDocument/2006/relationships/hyperlink" Target="https://www.colombiacompra.gov.co/wp-content/uploads/2025/09/Guia-para-la-Elaboracion-de-Estudios-del-Sector-V3.pdf" TargetMode="External"/><Relationship Id="rId1" Type="http://schemas.openxmlformats.org/officeDocument/2006/relationships/hyperlink" Target="https://colombiacompra.gov.co/sites/cce_public/files/cce_documentos/cce-eicp-gi-18._gees_v.2_2.pdf" TargetMode="External"/><Relationship Id="rId4" Type="http://schemas.openxmlformats.org/officeDocument/2006/relationships/hyperlink" Target="https://www.colombiacompra.gov.co/archivos/convocatoria/participacion-ciudadana-proyecto-de-la-guia-para-l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D17DBE6-1326-4E77-987A-D6861F625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91277B-699F-4B0E-A8EF-4AD867E19DC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1134</TotalTime>
  <Pages>20</Pages>
  <Words>6342</Words>
  <Characters>34887</Characters>
  <Application>Microsoft Office Word</Application>
  <DocSecurity>0</DocSecurity>
  <Lines>290</Lines>
  <Paragraphs>82</Paragraphs>
  <ScaleCrop>false</ScaleCrop>
  <Company/>
  <LinksUpToDate>false</LinksUpToDate>
  <CharactersWithSpaces>41147</CharactersWithSpaces>
  <SharedDoc>false</SharedDoc>
  <HLinks>
    <vt:vector size="24" baseType="variant">
      <vt:variant>
        <vt:i4>7471218</vt:i4>
      </vt:variant>
      <vt:variant>
        <vt:i4>6</vt:i4>
      </vt:variant>
      <vt:variant>
        <vt:i4>0</vt:i4>
      </vt:variant>
      <vt:variant>
        <vt:i4>5</vt:i4>
      </vt:variant>
      <vt:variant>
        <vt:lpwstr>https://relatoria.colombiacompra.gov.co/busqueda/conceptos</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65574</vt:i4>
      </vt:variant>
      <vt:variant>
        <vt:i4>0</vt:i4>
      </vt:variant>
      <vt:variant>
        <vt:i4>0</vt:i4>
      </vt:variant>
      <vt:variant>
        <vt:i4>5</vt:i4>
      </vt:variant>
      <vt:variant>
        <vt:lpwstr>mailto:Abogado.oscar.munoz@gmail.com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345</cp:revision>
  <cp:lastPrinted>2023-01-10T21:18:00Z</cp:lastPrinted>
  <dcterms:created xsi:type="dcterms:W3CDTF">2026-04-06T15:07:00Z</dcterms:created>
  <dcterms:modified xsi:type="dcterms:W3CDTF">2026-04-29T14:43:00Z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