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11068" w14:textId="77777777" w:rsidR="00BE6481" w:rsidRPr="00655984" w:rsidRDefault="00BE6481" w:rsidP="00BE6481">
      <w:pPr>
        <w:spacing w:after="0" w:line="240" w:lineRule="auto"/>
        <w:jc w:val="both"/>
        <w:rPr>
          <w:rFonts w:ascii="Verdana" w:eastAsia="Calibri" w:hAnsi="Verdana" w:cs="Arial"/>
          <w:b/>
          <w:sz w:val="20"/>
          <w:szCs w:val="20"/>
          <w:lang w:val="es-ES_tradnl"/>
        </w:rPr>
      </w:pPr>
    </w:p>
    <w:p w14:paraId="2F3F2C71" w14:textId="77777777" w:rsidR="00BE6481" w:rsidRPr="0091122A" w:rsidRDefault="00BE6481" w:rsidP="00BE6481">
      <w:pPr>
        <w:spacing w:after="0"/>
        <w:jc w:val="both"/>
        <w:rPr>
          <w:rFonts w:ascii="Verdana" w:hAnsi="Verdana" w:cs="Arial"/>
          <w:b/>
          <w:bCs/>
          <w:lang w:val="es-ES_tradnl" w:eastAsia="es-ES" w:bidi="es-ES"/>
        </w:rPr>
      </w:pPr>
      <w:r w:rsidRPr="0091122A">
        <w:rPr>
          <w:rFonts w:ascii="Verdana" w:eastAsia="Arial" w:hAnsi="Verdana" w:cs="Arial"/>
          <w:b/>
          <w:lang w:val="es-ES"/>
        </w:rPr>
        <w:t>PRINCIPIO DE PUBLICIDAD – Concepto – Fundamento axiológico – Fundamento constitucional</w:t>
      </w:r>
      <w:r w:rsidRPr="0091122A">
        <w:rPr>
          <w:rFonts w:ascii="Verdana" w:hAnsi="Verdana" w:cs="Arial"/>
          <w:b/>
          <w:bCs/>
          <w:lang w:val="es-ES_tradnl" w:eastAsia="es-ES" w:bidi="es-ES"/>
        </w:rPr>
        <w:t xml:space="preserve"> </w:t>
      </w:r>
    </w:p>
    <w:p w14:paraId="2598A98B" w14:textId="77777777" w:rsidR="00BE6481" w:rsidRPr="0091122A" w:rsidRDefault="00BE6481" w:rsidP="00BE6481">
      <w:pPr>
        <w:spacing w:after="0" w:line="240" w:lineRule="auto"/>
        <w:jc w:val="both"/>
        <w:rPr>
          <w:rFonts w:ascii="Verdana" w:hAnsi="Verdana" w:cs="Arial"/>
          <w:b/>
          <w:bCs/>
          <w:sz w:val="20"/>
          <w:szCs w:val="20"/>
          <w:lang w:val="es-ES_tradnl" w:eastAsia="es-ES" w:bidi="es-ES"/>
        </w:rPr>
      </w:pPr>
    </w:p>
    <w:p w14:paraId="6CACFFB4" w14:textId="77777777" w:rsidR="00BE6481" w:rsidRPr="0091122A" w:rsidRDefault="00BE6481" w:rsidP="00BE6481">
      <w:pPr>
        <w:spacing w:after="0" w:line="240" w:lineRule="auto"/>
        <w:jc w:val="both"/>
        <w:rPr>
          <w:rFonts w:ascii="Verdana" w:eastAsia="Times New Roman" w:hAnsi="Verdana" w:cs="Arial"/>
          <w:sz w:val="20"/>
          <w:szCs w:val="20"/>
          <w:lang w:val="es-ES" w:eastAsia="es-ES"/>
          <w14:ligatures w14:val="standardContextual"/>
        </w:rPr>
      </w:pPr>
      <w:r w:rsidRPr="0091122A">
        <w:rPr>
          <w:rFonts w:ascii="Verdana" w:eastAsia="Times New Roman" w:hAnsi="Verdana" w:cs="Arial"/>
          <w:sz w:val="20"/>
          <w:szCs w:val="20"/>
          <w:lang w:val="es-ES" w:eastAsia="es-ES"/>
          <w14:ligatures w14:val="standardContextual"/>
        </w:rPr>
        <w:t xml:space="preserve">Uno de los postulados más importantes de un Estado social y democrático de derecho es el principio de </w:t>
      </w:r>
      <w:r w:rsidRPr="0091122A">
        <w:rPr>
          <w:rFonts w:ascii="Verdana" w:eastAsia="Times New Roman" w:hAnsi="Verdana" w:cs="Arial"/>
          <w:i/>
          <w:iCs/>
          <w:sz w:val="20"/>
          <w:szCs w:val="20"/>
          <w:lang w:val="es-ES" w:eastAsia="es-ES"/>
          <w14:ligatures w14:val="standardContextual"/>
        </w:rPr>
        <w:t>publicidad</w:t>
      </w:r>
      <w:r w:rsidRPr="0091122A">
        <w:rPr>
          <w:rFonts w:ascii="Verdana" w:eastAsia="Times New Roman" w:hAnsi="Verdana" w:cs="Arial"/>
          <w:sz w:val="20"/>
          <w:szCs w:val="20"/>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43DA7DCC" w14:textId="77777777" w:rsidR="00BE6481" w:rsidRDefault="00BE6481" w:rsidP="00BE6481">
      <w:pPr>
        <w:spacing w:after="0" w:line="240" w:lineRule="auto"/>
        <w:jc w:val="both"/>
        <w:rPr>
          <w:rFonts w:ascii="Verdana" w:eastAsia="Times New Roman" w:hAnsi="Verdana" w:cs="Arial"/>
          <w:sz w:val="20"/>
          <w:szCs w:val="20"/>
          <w:lang w:val="es-ES" w:eastAsia="es-ES"/>
          <w14:ligatures w14:val="standardContextual"/>
        </w:rPr>
      </w:pPr>
    </w:p>
    <w:p w14:paraId="3018DA0B" w14:textId="77777777" w:rsidR="00BE6481" w:rsidRPr="0091122A" w:rsidRDefault="00BE6481" w:rsidP="00BE6481">
      <w:pPr>
        <w:spacing w:after="0" w:line="240" w:lineRule="auto"/>
        <w:jc w:val="both"/>
        <w:rPr>
          <w:rFonts w:ascii="Verdana" w:eastAsia="Times New Roman" w:hAnsi="Verdana" w:cs="Arial"/>
          <w:sz w:val="20"/>
          <w:szCs w:val="20"/>
          <w:lang w:val="es-ES" w:eastAsia="es-ES"/>
          <w14:ligatures w14:val="standardContextual"/>
        </w:rPr>
      </w:pPr>
      <w:r w:rsidRPr="0091122A">
        <w:rPr>
          <w:rFonts w:ascii="Verdana" w:eastAsia="Times New Roman" w:hAnsi="Verdana" w:cs="Arial"/>
          <w:sz w:val="20"/>
          <w:szCs w:val="20"/>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4471B728" w14:textId="77777777" w:rsidR="00BE6481" w:rsidRPr="0091122A" w:rsidRDefault="00BE6481" w:rsidP="00BE6481">
      <w:pPr>
        <w:spacing w:after="0"/>
        <w:jc w:val="both"/>
        <w:rPr>
          <w:rFonts w:ascii="Verdana" w:hAnsi="Verdana" w:cs="Arial"/>
          <w:b/>
          <w:bCs/>
          <w:lang w:val="es-ES" w:eastAsia="es-ES" w:bidi="es-ES"/>
        </w:rPr>
      </w:pPr>
    </w:p>
    <w:p w14:paraId="598C473B" w14:textId="77777777" w:rsidR="00BE6481" w:rsidRPr="0091122A" w:rsidRDefault="00BE6481" w:rsidP="00BE6481">
      <w:pPr>
        <w:spacing w:after="0"/>
        <w:jc w:val="both"/>
        <w:rPr>
          <w:rFonts w:ascii="Verdana" w:hAnsi="Verdana" w:cs="Arial"/>
          <w:b/>
          <w:bCs/>
          <w:lang w:val="es-ES_tradnl" w:eastAsia="es-ES" w:bidi="es-ES"/>
        </w:rPr>
      </w:pPr>
      <w:r w:rsidRPr="0091122A">
        <w:rPr>
          <w:rFonts w:ascii="Verdana" w:hAnsi="Verdana" w:cs="Arial"/>
          <w:b/>
          <w:bCs/>
          <w:lang w:val="es-ES_tradnl" w:eastAsia="es-ES" w:bidi="es-ES"/>
        </w:rPr>
        <w:t xml:space="preserve">PRINCIPIO DE PUBLICIDAD – SECOP – Documentos del proceso – Deber de publicación </w:t>
      </w:r>
    </w:p>
    <w:p w14:paraId="75958A22" w14:textId="77777777" w:rsidR="00BE6481" w:rsidRDefault="00BE6481" w:rsidP="00BE6481">
      <w:pPr>
        <w:spacing w:after="0"/>
        <w:jc w:val="both"/>
        <w:rPr>
          <w:rFonts w:ascii="Verdana" w:hAnsi="Verdana"/>
          <w:b/>
        </w:rPr>
      </w:pPr>
    </w:p>
    <w:p w14:paraId="04E1232E" w14:textId="77777777" w:rsidR="00BE6481" w:rsidRPr="0091122A" w:rsidRDefault="00BE6481" w:rsidP="00BE6481">
      <w:pPr>
        <w:spacing w:after="0" w:line="240" w:lineRule="auto"/>
        <w:jc w:val="both"/>
        <w:rPr>
          <w:rFonts w:ascii="Verdana" w:eastAsia="Times New Roman" w:hAnsi="Verdana" w:cs="Arial"/>
          <w:sz w:val="20"/>
          <w:szCs w:val="20"/>
          <w:lang w:val="es-ES_tradnl" w:eastAsia="es-ES_tradnl"/>
          <w14:ligatures w14:val="standardContextual"/>
        </w:rPr>
      </w:pPr>
      <w:r w:rsidRPr="0091122A">
        <w:rPr>
          <w:rFonts w:ascii="Verdana" w:eastAsia="Times New Roman" w:hAnsi="Verdana" w:cs="Arial"/>
          <w:sz w:val="20"/>
          <w:szCs w:val="20"/>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4C0F53AF" w14:textId="77777777" w:rsidR="00BE6481" w:rsidRDefault="00BE6481" w:rsidP="00BE6481">
      <w:pPr>
        <w:tabs>
          <w:tab w:val="left" w:pos="709"/>
        </w:tabs>
        <w:spacing w:after="0" w:line="240" w:lineRule="auto"/>
        <w:jc w:val="both"/>
        <w:rPr>
          <w:rFonts w:ascii="Verdana" w:hAnsi="Verdana" w:cs="Arial"/>
          <w:sz w:val="20"/>
          <w:szCs w:val="20"/>
          <w:shd w:val="clear" w:color="auto" w:fill="FFFFFF"/>
        </w:rPr>
      </w:pPr>
    </w:p>
    <w:p w14:paraId="030A2E5B" w14:textId="77777777" w:rsidR="00BE6481" w:rsidRPr="0091122A" w:rsidRDefault="00BE6481" w:rsidP="00BE6481">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 xml:space="preserve">La expresión </w:t>
      </w:r>
      <w:r w:rsidRPr="0091122A">
        <w:rPr>
          <w:rFonts w:ascii="Verdana" w:hAnsi="Verdana" w:cs="Arial"/>
          <w:i/>
          <w:iCs/>
          <w:sz w:val="20"/>
          <w:szCs w:val="20"/>
          <w:shd w:val="clear" w:color="auto" w:fill="FFFFFF"/>
        </w:rPr>
        <w:t xml:space="preserve">Documentos del Proceso </w:t>
      </w:r>
      <w:r w:rsidRPr="0091122A">
        <w:rPr>
          <w:rFonts w:ascii="Verdana" w:hAnsi="Verdana" w:cs="Arial"/>
          <w:sz w:val="20"/>
          <w:szCs w:val="20"/>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91122A">
        <w:rPr>
          <w:rFonts w:ascii="Verdana" w:hAnsi="Verdana" w:cs="Arial"/>
          <w:i/>
          <w:iCs/>
          <w:sz w:val="20"/>
          <w:szCs w:val="20"/>
          <w:shd w:val="clear" w:color="auto" w:fill="FFFFFF"/>
        </w:rPr>
        <w:t>y cualquier otro documento expedido por la Entidad Estatal durante el Proceso de Contratación</w:t>
      </w:r>
      <w:r w:rsidRPr="0091122A">
        <w:rPr>
          <w:rFonts w:ascii="Verdana" w:hAnsi="Verdana" w:cs="Arial"/>
          <w:sz w:val="20"/>
          <w:szCs w:val="20"/>
          <w:shd w:val="clear" w:color="auto" w:fill="FFFFFF"/>
        </w:rPr>
        <w:t>”. [Énfasis fuera de texto]</w:t>
      </w:r>
    </w:p>
    <w:p w14:paraId="38A0FB00" w14:textId="77777777" w:rsidR="00BE6481" w:rsidRDefault="00BE6481" w:rsidP="00BE6481">
      <w:pPr>
        <w:tabs>
          <w:tab w:val="left" w:pos="709"/>
        </w:tabs>
        <w:spacing w:after="0" w:line="240" w:lineRule="auto"/>
        <w:jc w:val="both"/>
        <w:rPr>
          <w:rFonts w:ascii="Verdana" w:hAnsi="Verdana" w:cs="Arial"/>
          <w:sz w:val="20"/>
          <w:szCs w:val="20"/>
          <w:shd w:val="clear" w:color="auto" w:fill="FFFFFF"/>
        </w:rPr>
      </w:pPr>
    </w:p>
    <w:p w14:paraId="12CA13B6" w14:textId="77777777" w:rsidR="00BE6481" w:rsidRPr="0091122A" w:rsidRDefault="00BE6481" w:rsidP="00BE6481">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91122A">
        <w:rPr>
          <w:rFonts w:ascii="Verdana" w:hAnsi="Verdana" w:cs="Arial"/>
          <w:i/>
          <w:iCs/>
          <w:sz w:val="20"/>
          <w:szCs w:val="20"/>
          <w:shd w:val="clear" w:color="auto" w:fill="FFFFFF"/>
        </w:rPr>
        <w:t>Ibidem</w:t>
      </w:r>
      <w:r w:rsidRPr="0091122A">
        <w:rPr>
          <w:rFonts w:ascii="Verdana" w:hAnsi="Verdana" w:cs="Arial"/>
          <w:sz w:val="20"/>
          <w:szCs w:val="20"/>
          <w:shd w:val="clear" w:color="auto" w:fill="FFFFFF"/>
        </w:rPr>
        <w:t xml:space="preserve"> recoge en la noción de </w:t>
      </w:r>
      <w:r w:rsidRPr="0091122A">
        <w:rPr>
          <w:rFonts w:ascii="Verdana" w:hAnsi="Verdana" w:cs="Arial"/>
          <w:sz w:val="20"/>
          <w:szCs w:val="20"/>
          <w:shd w:val="clear" w:color="auto" w:fill="FFFFFF"/>
        </w:rPr>
        <w:lastRenderedPageBreak/>
        <w:t xml:space="preserve">Documentos del Proceso “cualquier otro documento expedido por la Entidad Estatal durante el Proceso de Contratación”. </w:t>
      </w:r>
    </w:p>
    <w:p w14:paraId="6D62D607" w14:textId="77777777" w:rsidR="00BE6481" w:rsidRDefault="00BE6481" w:rsidP="00BE6481">
      <w:pPr>
        <w:tabs>
          <w:tab w:val="left" w:pos="709"/>
        </w:tabs>
        <w:spacing w:after="0" w:line="240" w:lineRule="auto"/>
        <w:jc w:val="both"/>
        <w:rPr>
          <w:rFonts w:ascii="Verdana" w:hAnsi="Verdana" w:cs="Arial"/>
          <w:sz w:val="20"/>
          <w:szCs w:val="20"/>
          <w:shd w:val="clear" w:color="auto" w:fill="FFFFFF"/>
        </w:rPr>
      </w:pPr>
    </w:p>
    <w:p w14:paraId="03B9AB21" w14:textId="77777777" w:rsidR="00BE6481" w:rsidRPr="0091122A" w:rsidRDefault="00BE6481" w:rsidP="00BE6481">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04E6C9B7" w14:textId="77777777" w:rsidR="00BE6481" w:rsidRPr="0091122A" w:rsidRDefault="00BE6481" w:rsidP="00BE6481">
      <w:pPr>
        <w:spacing w:after="0"/>
        <w:jc w:val="both"/>
        <w:rPr>
          <w:rFonts w:ascii="Verdana" w:hAnsi="Verdana"/>
          <w:b/>
        </w:rPr>
      </w:pPr>
    </w:p>
    <w:p w14:paraId="24D511DA" w14:textId="77777777" w:rsidR="00BE6481" w:rsidRPr="0091122A" w:rsidRDefault="00BE6481" w:rsidP="00BE6481">
      <w:pPr>
        <w:spacing w:after="0"/>
        <w:jc w:val="both"/>
        <w:rPr>
          <w:rFonts w:ascii="Verdana" w:hAnsi="Verdana" w:cs="Arial"/>
          <w:b/>
          <w:bCs/>
          <w:lang w:eastAsia="es-ES" w:bidi="es-ES"/>
        </w:rPr>
      </w:pPr>
      <w:r w:rsidRPr="0091122A">
        <w:rPr>
          <w:rFonts w:ascii="Verdana" w:hAnsi="Verdana" w:cs="Arial"/>
          <w:b/>
          <w:bCs/>
          <w:lang w:eastAsia="es-ES" w:bidi="es-ES"/>
        </w:rPr>
        <w:t xml:space="preserve">ENTIDADES CON RÉGIMEN ESPECIAL – Deber de publicar en SECOP – Artículo 53 Ley 2195 de 2022 </w:t>
      </w:r>
    </w:p>
    <w:p w14:paraId="1D1A9DA8" w14:textId="77777777" w:rsidR="00BE6481" w:rsidRPr="00AE3717" w:rsidRDefault="00BE6481" w:rsidP="00BE6481">
      <w:pPr>
        <w:spacing w:after="0"/>
        <w:jc w:val="both"/>
        <w:rPr>
          <w:rFonts w:ascii="Verdana" w:hAnsi="Verdana" w:cs="Arial"/>
          <w:b/>
          <w:bCs/>
          <w:sz w:val="20"/>
          <w:szCs w:val="20"/>
          <w:lang w:eastAsia="es-ES" w:bidi="es-ES"/>
        </w:rPr>
      </w:pPr>
    </w:p>
    <w:p w14:paraId="211EF81F" w14:textId="77777777" w:rsidR="00BE6481" w:rsidRDefault="00BE6481" w:rsidP="00BE6481">
      <w:pPr>
        <w:tabs>
          <w:tab w:val="left" w:pos="709"/>
        </w:tabs>
        <w:spacing w:after="0" w:line="240" w:lineRule="auto"/>
        <w:jc w:val="both"/>
        <w:rPr>
          <w:rFonts w:ascii="Verdana" w:eastAsia="Calibri" w:hAnsi="Verdana" w:cs="Arial"/>
          <w:color w:val="000000"/>
          <w:sz w:val="20"/>
          <w:szCs w:val="20"/>
        </w:rPr>
      </w:pPr>
      <w:r w:rsidRPr="00AE3717">
        <w:rPr>
          <w:rFonts w:ascii="Verdana" w:hAnsi="Verdana" w:cs="Arial"/>
          <w:sz w:val="20"/>
          <w:szCs w:val="20"/>
          <w:shd w:val="clear" w:color="auto" w:fill="FFFFFF"/>
        </w:rPr>
        <w:t xml:space="preserve">[…] </w:t>
      </w:r>
      <w:r w:rsidRPr="00AE3717">
        <w:rPr>
          <w:rFonts w:ascii="Verdana" w:eastAsia="Calibri" w:hAnsi="Verdana" w:cs="Arial"/>
          <w:color w:val="000000"/>
          <w:sz w:val="20"/>
          <w:szCs w:val="20"/>
        </w:rPr>
        <w:t>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w:t>
      </w:r>
    </w:p>
    <w:p w14:paraId="3C2178AE" w14:textId="77777777" w:rsidR="00BE6481" w:rsidRPr="00AE3717" w:rsidRDefault="00BE6481" w:rsidP="00BE6481">
      <w:pPr>
        <w:tabs>
          <w:tab w:val="left" w:pos="709"/>
        </w:tabs>
        <w:spacing w:after="0" w:line="240" w:lineRule="auto"/>
        <w:jc w:val="both"/>
        <w:rPr>
          <w:rFonts w:ascii="Verdana" w:eastAsia="Calibri" w:hAnsi="Verdana" w:cs="Arial"/>
          <w:color w:val="000000"/>
          <w:sz w:val="20"/>
          <w:szCs w:val="20"/>
        </w:rPr>
      </w:pPr>
    </w:p>
    <w:p w14:paraId="6B1F869F" w14:textId="77777777" w:rsidR="00BE6481" w:rsidRDefault="00BE6481" w:rsidP="00BE6481">
      <w:pPr>
        <w:spacing w:after="0" w:line="240" w:lineRule="auto"/>
        <w:jc w:val="both"/>
        <w:rPr>
          <w:rFonts w:ascii="Verdana" w:eastAsia="Calibri" w:hAnsi="Verdana" w:cs="Arial"/>
          <w:color w:val="000000"/>
          <w:sz w:val="20"/>
          <w:szCs w:val="20"/>
        </w:rPr>
      </w:pPr>
      <w:r w:rsidRPr="00AE3717">
        <w:rPr>
          <w:rFonts w:ascii="Verdana" w:eastAsia="Calibri" w:hAnsi="Verdana" w:cs="Arial"/>
          <w:color w:val="000000"/>
          <w:sz w:val="20"/>
          <w:szCs w:val="20"/>
        </w:rPr>
        <w:t>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w:t>
      </w:r>
    </w:p>
    <w:p w14:paraId="337C72AE" w14:textId="77777777" w:rsidR="00BE6481" w:rsidRPr="00AE3717" w:rsidRDefault="00BE6481" w:rsidP="00BE6481">
      <w:pPr>
        <w:spacing w:after="0"/>
        <w:jc w:val="both"/>
        <w:rPr>
          <w:rFonts w:ascii="Verdana" w:hAnsi="Verdana" w:cs="Arial"/>
          <w:b/>
          <w:bCs/>
          <w:sz w:val="20"/>
          <w:szCs w:val="20"/>
          <w:lang w:eastAsia="es-ES" w:bidi="es-ES"/>
        </w:rPr>
      </w:pPr>
    </w:p>
    <w:p w14:paraId="48484CDC" w14:textId="77777777" w:rsidR="00BE6481" w:rsidRPr="00760536" w:rsidRDefault="00BE6481" w:rsidP="00BE6481">
      <w:pPr>
        <w:spacing w:after="0" w:line="240" w:lineRule="auto"/>
        <w:jc w:val="both"/>
        <w:rPr>
          <w:rFonts w:ascii="Verdana" w:hAnsi="Verdana" w:cs="Arial"/>
          <w:b/>
          <w:lang w:val="es-ES"/>
        </w:rPr>
      </w:pPr>
      <w:r>
        <w:rPr>
          <w:rFonts w:ascii="Verdana" w:hAnsi="Verdana" w:cs="Arial"/>
          <w:b/>
          <w:lang w:val="es-ES"/>
        </w:rPr>
        <w:t>PATRIMONIOS AUTÓNOMOS</w:t>
      </w:r>
      <w:r w:rsidRPr="00760536">
        <w:rPr>
          <w:rFonts w:ascii="Verdana" w:hAnsi="Verdana" w:cs="Arial"/>
          <w:b/>
          <w:lang w:val="es-ES"/>
        </w:rPr>
        <w:t xml:space="preserve"> – </w:t>
      </w:r>
      <w:r>
        <w:rPr>
          <w:rFonts w:ascii="Verdana" w:hAnsi="Verdana" w:cs="Arial"/>
          <w:b/>
          <w:lang w:val="es-ES"/>
        </w:rPr>
        <w:t>Definición</w:t>
      </w:r>
    </w:p>
    <w:p w14:paraId="18B970FC" w14:textId="77777777" w:rsidR="00BE6481" w:rsidRPr="00760536" w:rsidRDefault="00BE6481" w:rsidP="00BE6481">
      <w:pPr>
        <w:spacing w:after="0" w:line="240" w:lineRule="auto"/>
        <w:jc w:val="both"/>
        <w:rPr>
          <w:rFonts w:ascii="Verdana" w:hAnsi="Verdana" w:cs="Arial"/>
          <w:b/>
          <w:sz w:val="20"/>
          <w:szCs w:val="20"/>
          <w:lang w:val="es-ES"/>
        </w:rPr>
      </w:pPr>
    </w:p>
    <w:p w14:paraId="1D303DF4" w14:textId="77777777" w:rsidR="00BE6481" w:rsidRDefault="00BE6481" w:rsidP="00BE6481">
      <w:pPr>
        <w:spacing w:after="0" w:line="240" w:lineRule="auto"/>
        <w:jc w:val="both"/>
        <w:textAlignment w:val="baseline"/>
        <w:rPr>
          <w:rFonts w:ascii="Verdana" w:hAnsi="Verdana" w:cs="Arial"/>
          <w:bCs/>
          <w:sz w:val="20"/>
          <w:szCs w:val="20"/>
          <w:lang w:eastAsia="es-CO"/>
        </w:rPr>
      </w:pPr>
      <w:r>
        <w:rPr>
          <w:rFonts w:ascii="Verdana" w:hAnsi="Verdana" w:cs="Arial"/>
          <w:bCs/>
          <w:sz w:val="20"/>
          <w:szCs w:val="20"/>
          <w:lang w:eastAsia="es-CO"/>
        </w:rPr>
        <w:t>C</w:t>
      </w:r>
      <w:r w:rsidRPr="004D3004">
        <w:rPr>
          <w:rFonts w:ascii="Verdana" w:hAnsi="Verdana" w:cs="Arial"/>
          <w:bCs/>
          <w:sz w:val="20"/>
          <w:szCs w:val="20"/>
          <w:lang w:eastAsia="es-CO"/>
        </w:rPr>
        <w:t xml:space="preserve">onforme a los artículos 1226 y 1233 del Código de Comercio, el patrimonio autónomo es un centro de imputación de derechos y obligaciones afecto a la finalidad contemplada en el acto constitutivo, de carácter temporal y totalmente diferente a la persona que lo origina –fiduciante, fideicomitente o constituyente–, quien lo administra –fiduciario– y </w:t>
      </w:r>
      <w:r w:rsidRPr="004D3004">
        <w:rPr>
          <w:rFonts w:ascii="Verdana" w:hAnsi="Verdana" w:cs="Arial"/>
          <w:bCs/>
          <w:sz w:val="20"/>
          <w:szCs w:val="20"/>
          <w:lang w:eastAsia="es-CO"/>
        </w:rPr>
        <w:lastRenderedPageBreak/>
        <w:t>quien habrá de recibirlo –fideicomisario o beneficiario–.</w:t>
      </w:r>
      <w:r>
        <w:rPr>
          <w:rFonts w:ascii="Verdana" w:hAnsi="Verdana" w:cs="Arial"/>
          <w:bCs/>
          <w:sz w:val="20"/>
          <w:szCs w:val="20"/>
          <w:lang w:eastAsia="es-CO"/>
        </w:rPr>
        <w:t xml:space="preserve"> </w:t>
      </w:r>
      <w:r w:rsidRPr="004D3004">
        <w:rPr>
          <w:rFonts w:ascii="Verdana" w:hAnsi="Verdana" w:cs="Arial"/>
          <w:bCs/>
          <w:sz w:val="20"/>
          <w:szCs w:val="20"/>
          <w:lang w:eastAsia="es-CO"/>
        </w:rPr>
        <w:t>De acuerdo con lo anterior, es importante separar los patrimonios del fiduciante y la fiduciaria del patrimonio autónomo constituido con ocasión del contrato de fiducia, puesto que cada uno de ellos deberá responder por sus propias obligaciones. Por tanto, el patrimonio autónomo solo será responsable por las obligaciones que se contraigan por el logro de la finalidad para la cual fue entregado en administración y nunca por las obligaciones derivadas del cumplimiento del objeto social de la entidad fiduciaria ni por las que haya adquirido el fiduciante.</w:t>
      </w:r>
    </w:p>
    <w:p w14:paraId="5EC57B47" w14:textId="77777777" w:rsidR="00BE6481" w:rsidRPr="00AE3717" w:rsidRDefault="00BE6481" w:rsidP="00BE6481">
      <w:pPr>
        <w:spacing w:after="0"/>
        <w:jc w:val="both"/>
        <w:rPr>
          <w:rFonts w:ascii="Verdana" w:hAnsi="Verdana" w:cs="Arial"/>
          <w:b/>
          <w:bCs/>
          <w:sz w:val="20"/>
          <w:szCs w:val="20"/>
          <w:lang w:eastAsia="es-ES" w:bidi="es-ES"/>
        </w:rPr>
      </w:pPr>
    </w:p>
    <w:p w14:paraId="59173120" w14:textId="77777777" w:rsidR="00BE6481" w:rsidRPr="00760536" w:rsidRDefault="00BE6481" w:rsidP="00BE6481">
      <w:pPr>
        <w:spacing w:after="0" w:line="240" w:lineRule="auto"/>
        <w:jc w:val="both"/>
        <w:rPr>
          <w:rFonts w:ascii="Verdana" w:hAnsi="Verdana" w:cs="Arial"/>
          <w:b/>
          <w:lang w:val="es-ES"/>
        </w:rPr>
      </w:pPr>
      <w:r>
        <w:rPr>
          <w:rFonts w:ascii="Verdana" w:hAnsi="Verdana" w:cs="Arial"/>
          <w:b/>
          <w:lang w:val="es-ES"/>
        </w:rPr>
        <w:t>CONTRATACIÓN DERIVADA</w:t>
      </w:r>
      <w:r w:rsidRPr="00760536">
        <w:rPr>
          <w:rFonts w:ascii="Verdana" w:hAnsi="Verdana" w:cs="Arial"/>
          <w:b/>
          <w:lang w:val="es-ES"/>
        </w:rPr>
        <w:t xml:space="preserve"> – </w:t>
      </w:r>
      <w:r>
        <w:rPr>
          <w:rFonts w:ascii="Verdana" w:hAnsi="Verdana" w:cs="Arial"/>
          <w:b/>
          <w:lang w:val="es-ES"/>
        </w:rPr>
        <w:t xml:space="preserve">Publicidad – Sujetos obligados </w:t>
      </w:r>
    </w:p>
    <w:p w14:paraId="69C48CC3" w14:textId="77777777" w:rsidR="00BE6481" w:rsidRPr="00760536" w:rsidRDefault="00BE6481" w:rsidP="00BE6481">
      <w:pPr>
        <w:spacing w:after="0" w:line="240" w:lineRule="auto"/>
        <w:jc w:val="both"/>
        <w:rPr>
          <w:rFonts w:ascii="Verdana" w:hAnsi="Verdana" w:cs="Arial"/>
          <w:b/>
          <w:sz w:val="20"/>
          <w:szCs w:val="20"/>
          <w:lang w:val="es-ES"/>
        </w:rPr>
      </w:pPr>
    </w:p>
    <w:p w14:paraId="34590383" w14:textId="77777777" w:rsidR="00BE6481" w:rsidRDefault="00BE6481" w:rsidP="00BE6481">
      <w:pPr>
        <w:spacing w:after="0" w:line="240" w:lineRule="auto"/>
        <w:jc w:val="both"/>
        <w:textAlignment w:val="baseline"/>
        <w:rPr>
          <w:rFonts w:ascii="Verdana" w:hAnsi="Verdana" w:cs="Arial"/>
          <w:bCs/>
          <w:sz w:val="20"/>
          <w:szCs w:val="20"/>
          <w:lang w:eastAsia="es-CO"/>
        </w:rPr>
      </w:pPr>
      <w:r w:rsidRPr="00B06A54">
        <w:rPr>
          <w:rFonts w:ascii="Verdana" w:hAnsi="Verdana" w:cs="Arial"/>
          <w:bCs/>
          <w:sz w:val="20"/>
          <w:szCs w:val="20"/>
          <w:lang w:eastAsia="es-CO"/>
        </w:rPr>
        <w:t>Con independencia del régimen jurídico de la entidad fideicomitente, la constitución de un patrimonio autónomo no es causa para desconocer la obligación de publicar la información contractual. Al respecto, el literal d del artículo 1.8 de la Circular Externa Única expedida por la Agencia Nacional de Contratación Pública – Colombia Compra Eficiente explica que “El SECOP debe contar con la información oficial de la contratación realizada con recursos públicos. Los contratos fiduciarios, entendidos como los suscritos entre la Entidad Estatal y la fiduciaria, deberán ser publicados por la Entidad Estatal que lo suscriba. Los contratos que realice la fiduciaria en virtud del contrato de fiducia o encargo fiduciario, es decir, la contratación derivada, también deberán ser publicados por la Entidad Estatal”. Asimismo, el literal f ibidem indica lo siguiente: “En el caso de que la Entidad Estatal se niegue a publicar la contratación derivada, la fiduciaria que actúe como vocero de los patrimonios autónomos, en calidad de contratante, debe publicar la información oficial de la contratación derivada en el SECOP I o II mediante una cuenta de entidad compradora en los módulos de ‘régimen especial’</w:t>
      </w:r>
      <w:r>
        <w:rPr>
          <w:rFonts w:ascii="Verdana" w:hAnsi="Verdana" w:cs="Arial"/>
          <w:bCs/>
          <w:sz w:val="20"/>
          <w:szCs w:val="20"/>
          <w:lang w:eastAsia="es-CO"/>
        </w:rPr>
        <w:t>”</w:t>
      </w:r>
      <w:r w:rsidRPr="00B06A54">
        <w:rPr>
          <w:rFonts w:ascii="Verdana" w:hAnsi="Verdana" w:cs="Arial"/>
          <w:bCs/>
          <w:sz w:val="20"/>
          <w:szCs w:val="20"/>
          <w:lang w:eastAsia="es-CO"/>
        </w:rPr>
        <w:t>.</w:t>
      </w:r>
    </w:p>
    <w:p w14:paraId="55E876EE" w14:textId="77777777" w:rsidR="00BE6481" w:rsidRPr="00B06A54" w:rsidRDefault="00BE6481" w:rsidP="00BE6481">
      <w:pPr>
        <w:spacing w:after="0" w:line="240" w:lineRule="auto"/>
        <w:jc w:val="both"/>
        <w:textAlignment w:val="baseline"/>
        <w:rPr>
          <w:rFonts w:ascii="Verdana" w:hAnsi="Verdana" w:cs="Arial"/>
          <w:bCs/>
          <w:sz w:val="20"/>
          <w:szCs w:val="20"/>
          <w:lang w:eastAsia="es-CO"/>
        </w:rPr>
      </w:pPr>
      <w:r w:rsidRPr="00B06A54">
        <w:rPr>
          <w:rFonts w:ascii="Verdana" w:hAnsi="Verdana" w:cs="Arial"/>
          <w:bCs/>
          <w:sz w:val="20"/>
          <w:szCs w:val="20"/>
          <w:lang w:eastAsia="es-CO"/>
        </w:rPr>
        <w:t xml:space="preserve"> </w:t>
      </w:r>
    </w:p>
    <w:p w14:paraId="52276718" w14:textId="77777777" w:rsidR="00BE6481" w:rsidRPr="004D3004" w:rsidRDefault="00BE6481" w:rsidP="00BE6481">
      <w:pPr>
        <w:spacing w:after="0" w:line="240" w:lineRule="auto"/>
        <w:jc w:val="both"/>
        <w:textAlignment w:val="baseline"/>
        <w:rPr>
          <w:rFonts w:ascii="Verdana" w:hAnsi="Verdana" w:cs="Arial"/>
          <w:bCs/>
          <w:sz w:val="20"/>
          <w:szCs w:val="20"/>
          <w:lang w:eastAsia="es-CO"/>
        </w:rPr>
      </w:pPr>
      <w:r w:rsidRPr="00B06A54">
        <w:rPr>
          <w:rFonts w:ascii="Verdana" w:hAnsi="Verdana" w:cs="Arial"/>
          <w:bCs/>
          <w:sz w:val="20"/>
          <w:szCs w:val="20"/>
          <w:lang w:eastAsia="es-CO"/>
        </w:rPr>
        <w:t>Sin embargo, dicho literal realiza dos (2) precisiones: por un lado, “En relación con la celebración de contratos o convenios con Entidades Estatales en donde el patrimonio autónomo actúe como contratista, la Agencia Nacional de Contratación – Colombia Compra Eficiente- recomienda la creación de una cuenta como proveedor en el SECOP II, para firmar de manera transaccional los contratos o convenios que desee celebrar con las Entidades Estatales que usen el SECOP II”; por otro, “[…] la publicación de la contratación derivada deberá realizarse, o por la Entidad Estatal fideicomitente o por la fiduciaria que actúe como vocero de los patrimonios autónomos en calidad de contratante, pero no por las dos, ya que se generaría una duplicidad de información”.</w:t>
      </w:r>
    </w:p>
    <w:p w14:paraId="4CAAED5E" w14:textId="77777777" w:rsidR="00BE6481" w:rsidRPr="002C0402" w:rsidRDefault="00BE6481" w:rsidP="00BE6481">
      <w:pPr>
        <w:spacing w:after="0" w:line="240" w:lineRule="auto"/>
        <w:jc w:val="both"/>
        <w:textAlignment w:val="baseline"/>
        <w:rPr>
          <w:rFonts w:ascii="Verdana" w:hAnsi="Verdana" w:cs="Arial"/>
          <w:bCs/>
          <w:sz w:val="20"/>
          <w:szCs w:val="20"/>
          <w:lang w:val="es-ES_tradnl" w:eastAsia="es-CO"/>
        </w:rPr>
      </w:pPr>
      <w:r w:rsidRPr="002C0402">
        <w:rPr>
          <w:rFonts w:ascii="Verdana" w:hAnsi="Verdana" w:cs="Arial"/>
          <w:bCs/>
          <w:sz w:val="20"/>
          <w:szCs w:val="20"/>
          <w:lang w:val="es-ES_tradnl" w:eastAsia="es-CO"/>
        </w:rPr>
        <w:t xml:space="preserve">  </w:t>
      </w:r>
    </w:p>
    <w:p w14:paraId="54610D55" w14:textId="77777777" w:rsidR="00BE6481" w:rsidRDefault="00BE6481" w:rsidP="00BE6481">
      <w:pPr>
        <w:spacing w:after="0" w:line="240" w:lineRule="auto"/>
        <w:rPr>
          <w:rFonts w:ascii="Verdana" w:eastAsia="Calibri" w:hAnsi="Verdana" w:cs="Arial"/>
          <w:b/>
          <w:color w:val="000000" w:themeColor="text1"/>
          <w:lang w:val="es-ES"/>
        </w:rPr>
      </w:pPr>
    </w:p>
    <w:p w14:paraId="2A495C15" w14:textId="77777777" w:rsidR="00BE6481" w:rsidRDefault="00BE6481" w:rsidP="00BE6481">
      <w:pPr>
        <w:spacing w:after="0" w:line="240" w:lineRule="auto"/>
        <w:rPr>
          <w:rFonts w:ascii="Verdana" w:eastAsia="Calibri" w:hAnsi="Verdana" w:cs="Arial"/>
          <w:b/>
          <w:color w:val="000000" w:themeColor="text1"/>
          <w:lang w:val="es-ES"/>
        </w:rPr>
      </w:pPr>
    </w:p>
    <w:p w14:paraId="5B5E622D" w14:textId="77777777" w:rsidR="00BE6481" w:rsidRDefault="00BE6481" w:rsidP="00BE6481">
      <w:pPr>
        <w:spacing w:after="0" w:line="240" w:lineRule="auto"/>
        <w:rPr>
          <w:rFonts w:ascii="Verdana" w:eastAsia="Calibri" w:hAnsi="Verdana" w:cs="Arial"/>
          <w:b/>
          <w:color w:val="000000" w:themeColor="text1"/>
          <w:lang w:val="es-ES"/>
        </w:rPr>
      </w:pPr>
    </w:p>
    <w:p w14:paraId="4EE93C4D" w14:textId="77777777" w:rsidR="00BE6481" w:rsidRDefault="00BE6481" w:rsidP="00BE6481">
      <w:pPr>
        <w:spacing w:after="0" w:line="240" w:lineRule="auto"/>
        <w:rPr>
          <w:rFonts w:ascii="Verdana" w:eastAsia="Calibri" w:hAnsi="Verdana" w:cs="Arial"/>
          <w:b/>
          <w:color w:val="000000" w:themeColor="text1"/>
          <w:lang w:val="es-ES"/>
        </w:rPr>
      </w:pPr>
    </w:p>
    <w:p w14:paraId="64BB3BA6" w14:textId="77777777" w:rsidR="00BE6481" w:rsidRDefault="00BE6481" w:rsidP="00BE6481">
      <w:pPr>
        <w:spacing w:after="0" w:line="240" w:lineRule="auto"/>
        <w:rPr>
          <w:rFonts w:ascii="Verdana" w:eastAsia="Calibri" w:hAnsi="Verdana" w:cs="Arial"/>
          <w:b/>
          <w:color w:val="000000" w:themeColor="text1"/>
          <w:lang w:val="es-ES"/>
        </w:rPr>
      </w:pPr>
    </w:p>
    <w:p w14:paraId="7DEC3BCC" w14:textId="77777777" w:rsidR="00BE6481" w:rsidRDefault="00BE6481" w:rsidP="00BE6481">
      <w:pPr>
        <w:spacing w:after="0" w:line="240" w:lineRule="auto"/>
        <w:rPr>
          <w:rFonts w:ascii="Verdana" w:eastAsia="Calibri" w:hAnsi="Verdana" w:cs="Arial"/>
          <w:b/>
          <w:color w:val="000000" w:themeColor="text1"/>
          <w:lang w:val="es-ES"/>
        </w:rPr>
      </w:pPr>
    </w:p>
    <w:p w14:paraId="6ABF01E9" w14:textId="77777777" w:rsidR="00BE6481" w:rsidRDefault="00BE6481" w:rsidP="00BE6481">
      <w:pPr>
        <w:spacing w:after="0" w:line="240" w:lineRule="auto"/>
        <w:rPr>
          <w:rFonts w:ascii="Verdana" w:eastAsia="Calibri" w:hAnsi="Verdana" w:cs="Arial"/>
          <w:b/>
          <w:color w:val="000000" w:themeColor="text1"/>
          <w:lang w:val="es-ES"/>
        </w:rPr>
      </w:pPr>
    </w:p>
    <w:p w14:paraId="3CB92AC6" w14:textId="77777777" w:rsidR="00BE6481" w:rsidRDefault="00BE6481" w:rsidP="00BE6481">
      <w:pPr>
        <w:spacing w:after="0" w:line="240" w:lineRule="auto"/>
        <w:rPr>
          <w:rFonts w:ascii="Verdana" w:eastAsia="Calibri" w:hAnsi="Verdana" w:cs="Arial"/>
          <w:b/>
          <w:color w:val="000000" w:themeColor="text1"/>
          <w:lang w:val="es-ES"/>
        </w:rPr>
      </w:pPr>
    </w:p>
    <w:p w14:paraId="31C5E7D7" w14:textId="77777777" w:rsidR="00931922" w:rsidRDefault="00931922" w:rsidP="00397555">
      <w:pPr>
        <w:spacing w:after="0" w:line="240" w:lineRule="auto"/>
        <w:rPr>
          <w:rFonts w:ascii="Verdana" w:eastAsia="Calibri" w:hAnsi="Verdana" w:cs="Arial"/>
          <w:b/>
          <w:color w:val="000000" w:themeColor="text1"/>
          <w:lang w:val="es-ES"/>
        </w:rPr>
      </w:pPr>
    </w:p>
    <w:p w14:paraId="25DD3301" w14:textId="70D704CA" w:rsidR="00397555" w:rsidRPr="00593A5F" w:rsidRDefault="00397555" w:rsidP="00397555">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C61539" w:rsidRPr="00C61539">
        <w:rPr>
          <w:rFonts w:ascii="Verdana" w:eastAsia="Geomanist Light" w:hAnsi="Verdana" w:cs="Arial"/>
          <w:color w:val="000000" w:themeColor="text1"/>
          <w:lang w:val="es-MX"/>
        </w:rPr>
        <w:t>24 de Abril de 2026</w:t>
      </w:r>
    </w:p>
    <w:p w14:paraId="31FA6962" w14:textId="77777777" w:rsidR="00397555" w:rsidRDefault="00397555" w:rsidP="00397555">
      <w:pPr>
        <w:spacing w:after="0" w:line="240" w:lineRule="auto"/>
        <w:jc w:val="both"/>
        <w:rPr>
          <w:rFonts w:ascii="Verdana" w:eastAsia="Calibri" w:hAnsi="Verdana" w:cs="Arial"/>
          <w:color w:val="000000"/>
          <w:lang w:val="es-ES"/>
        </w:rPr>
      </w:pPr>
    </w:p>
    <w:p w14:paraId="36309BDF" w14:textId="7FED8480" w:rsidR="00D12508" w:rsidRDefault="00D12508" w:rsidP="00D12508">
      <w:pPr>
        <w:spacing w:after="0" w:line="240" w:lineRule="auto"/>
        <w:jc w:val="right"/>
        <w:rPr>
          <w:rFonts w:ascii="Verdana" w:eastAsia="Calibri" w:hAnsi="Verdana" w:cs="Arial"/>
          <w:color w:val="000000"/>
          <w:lang w:val="es-ES"/>
        </w:rPr>
      </w:pPr>
    </w:p>
    <w:p w14:paraId="6EA99B08" w14:textId="55964256" w:rsidR="00397555" w:rsidRPr="00593A5F" w:rsidRDefault="00397555" w:rsidP="00397555">
      <w:pPr>
        <w:spacing w:after="0" w:line="240" w:lineRule="auto"/>
        <w:jc w:val="both"/>
        <w:rPr>
          <w:rFonts w:ascii="Verdana" w:eastAsia="Calibri" w:hAnsi="Verdana" w:cs="Arial"/>
          <w:color w:val="000000"/>
          <w:lang w:val="es-ES"/>
        </w:rPr>
      </w:pPr>
    </w:p>
    <w:p w14:paraId="7BAD7837" w14:textId="56010E19" w:rsidR="00397555" w:rsidRPr="00B96799" w:rsidRDefault="002605BE" w:rsidP="00397555">
      <w:pPr>
        <w:spacing w:after="0" w:line="240" w:lineRule="auto"/>
        <w:jc w:val="both"/>
        <w:rPr>
          <w:rFonts w:ascii="Verdana" w:eastAsia="Calibri" w:hAnsi="Verdana" w:cs="Arial"/>
          <w:lang w:val="es-ES" w:eastAsia="es-ES"/>
        </w:rPr>
      </w:pPr>
      <w:r w:rsidRPr="00D12508">
        <w:rPr>
          <w:rFonts w:ascii="Verdana" w:eastAsia="Calibri" w:hAnsi="Verdana" w:cs="Arial"/>
          <w:noProof/>
          <w:color w:val="000000"/>
          <w:lang w:val="es-ES"/>
        </w:rPr>
        <w:drawing>
          <wp:anchor distT="0" distB="0" distL="114300" distR="114300" simplePos="0" relativeHeight="251658240" behindDoc="0" locked="0" layoutInCell="1" allowOverlap="1" wp14:anchorId="2E6B2BCE" wp14:editId="6C2BD1A9">
            <wp:simplePos x="0" y="0"/>
            <wp:positionH relativeFrom="margin">
              <wp:posOffset>2680335</wp:posOffset>
            </wp:positionH>
            <wp:positionV relativeFrom="paragraph">
              <wp:posOffset>6350</wp:posOffset>
            </wp:positionV>
            <wp:extent cx="2932430" cy="763270"/>
            <wp:effectExtent l="0" t="0" r="1270" b="0"/>
            <wp:wrapSquare wrapText="bothSides"/>
            <wp:docPr id="10365006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500684" name=""/>
                    <pic:cNvPicPr/>
                  </pic:nvPicPr>
                  <pic:blipFill>
                    <a:blip r:embed="rId10">
                      <a:extLst>
                        <a:ext uri="{28A0092B-C50C-407E-A947-70E740481C1C}">
                          <a14:useLocalDpi xmlns:a14="http://schemas.microsoft.com/office/drawing/2010/main" val="0"/>
                        </a:ext>
                      </a:extLst>
                    </a:blip>
                    <a:stretch>
                      <a:fillRect/>
                    </a:stretch>
                  </pic:blipFill>
                  <pic:spPr>
                    <a:xfrm>
                      <a:off x="0" y="0"/>
                      <a:ext cx="2932430" cy="763270"/>
                    </a:xfrm>
                    <a:prstGeom prst="rect">
                      <a:avLst/>
                    </a:prstGeom>
                  </pic:spPr>
                </pic:pic>
              </a:graphicData>
            </a:graphic>
            <wp14:sizeRelH relativeFrom="margin">
              <wp14:pctWidth>0</wp14:pctWidth>
            </wp14:sizeRelH>
            <wp14:sizeRelV relativeFrom="margin">
              <wp14:pctHeight>0</wp14:pctHeight>
            </wp14:sizeRelV>
          </wp:anchor>
        </w:drawing>
      </w:r>
      <w:r w:rsidR="00397555">
        <w:rPr>
          <w:rFonts w:ascii="Verdana" w:eastAsia="Calibri" w:hAnsi="Verdana" w:cs="Arial"/>
          <w:lang w:val="es-ES" w:eastAsia="es-ES"/>
        </w:rPr>
        <w:t>Señor</w:t>
      </w:r>
    </w:p>
    <w:p w14:paraId="48E9CEFD" w14:textId="77777777" w:rsidR="00397555" w:rsidRDefault="00397555" w:rsidP="00397555">
      <w:pPr>
        <w:spacing w:after="0" w:line="240" w:lineRule="auto"/>
        <w:rPr>
          <w:rFonts w:ascii="Verdana" w:eastAsia="Calibri" w:hAnsi="Verdana" w:cs="Arial"/>
          <w:b/>
          <w:lang w:val="es-ES" w:eastAsia="es-ES"/>
        </w:rPr>
      </w:pPr>
      <w:r w:rsidRPr="6D98AFBD">
        <w:rPr>
          <w:rFonts w:ascii="Verdana" w:eastAsia="Calibri" w:hAnsi="Verdana" w:cs="Arial"/>
          <w:b/>
          <w:lang w:val="es-ES" w:eastAsia="es-ES"/>
        </w:rPr>
        <w:t xml:space="preserve">Rosa Liliana Muskus Cuervo </w:t>
      </w:r>
    </w:p>
    <w:p w14:paraId="4CB6A73C" w14:textId="77777777" w:rsidR="00397555" w:rsidRPr="001A72A5" w:rsidRDefault="00397555" w:rsidP="00397555">
      <w:pPr>
        <w:spacing w:after="0" w:line="240" w:lineRule="auto"/>
        <w:rPr>
          <w:rFonts w:ascii="Verdana" w:eastAsia="Calibri" w:hAnsi="Verdana" w:cs="Arial"/>
          <w:lang w:val="es-ES" w:eastAsia="es-ES"/>
        </w:rPr>
      </w:pPr>
      <w:hyperlink r:id="rId11" w:history="1">
        <w:r w:rsidRPr="00A95FFD">
          <w:rPr>
            <w:rStyle w:val="Hipervnculo"/>
            <w:rFonts w:ascii="Verdana" w:hAnsi="Verdana"/>
          </w:rPr>
          <w:t>ipse@ipse.gov.co</w:t>
        </w:r>
      </w:hyperlink>
      <w:r>
        <w:rPr>
          <w:rFonts w:ascii="Verdana" w:hAnsi="Verdana"/>
        </w:rPr>
        <w:t xml:space="preserve"> </w:t>
      </w:r>
      <w:r w:rsidRPr="001A72A5">
        <w:rPr>
          <w:rFonts w:ascii="Verdana" w:hAnsi="Verdana"/>
        </w:rPr>
        <w:t xml:space="preserve">                    </w:t>
      </w:r>
      <w:r w:rsidRPr="001A72A5">
        <w:rPr>
          <w:rFonts w:ascii="Verdana" w:eastAsia="Calibri" w:hAnsi="Verdana" w:cs="Arial"/>
          <w:lang w:val="es-ES" w:eastAsia="es-ES"/>
        </w:rPr>
        <w:t xml:space="preserve">    </w:t>
      </w:r>
    </w:p>
    <w:p w14:paraId="163A9525" w14:textId="77777777" w:rsidR="00397555" w:rsidRDefault="00397555" w:rsidP="00397555">
      <w:pPr>
        <w:spacing w:after="0" w:line="240" w:lineRule="auto"/>
        <w:rPr>
          <w:rFonts w:ascii="Verdana" w:eastAsia="Calibri" w:hAnsi="Verdana" w:cs="Arial"/>
          <w:lang w:val="es-ES" w:eastAsia="es-ES"/>
        </w:rPr>
      </w:pPr>
      <w:r w:rsidRPr="001A72A5">
        <w:rPr>
          <w:rFonts w:ascii="Verdana" w:eastAsia="Calibri" w:hAnsi="Verdana" w:cs="Arial"/>
          <w:lang w:val="es-ES" w:eastAsia="es-ES"/>
        </w:rPr>
        <w:t>Bogotá D.C.</w:t>
      </w:r>
      <w:r>
        <w:rPr>
          <w:rFonts w:ascii="Verdana" w:eastAsia="Calibri" w:hAnsi="Verdana" w:cs="Arial"/>
          <w:lang w:val="es-ES" w:eastAsia="es-ES"/>
        </w:rPr>
        <w:t xml:space="preserve"> </w:t>
      </w:r>
    </w:p>
    <w:p w14:paraId="607878F1" w14:textId="77777777" w:rsidR="00397555" w:rsidRPr="00593A5F" w:rsidRDefault="00397555" w:rsidP="00397555">
      <w:pPr>
        <w:spacing w:after="0" w:line="240" w:lineRule="auto"/>
        <w:rPr>
          <w:rFonts w:ascii="Verdana" w:eastAsia="Calibri" w:hAnsi="Verdana" w:cs="Arial"/>
          <w:b/>
          <w:bCs/>
          <w:color w:val="000000"/>
          <w:lang w:val="es-ES_tradnl" w:eastAsia="es-ES_tradnl"/>
        </w:rPr>
      </w:pPr>
    </w:p>
    <w:p w14:paraId="08C4A0DA" w14:textId="77777777" w:rsidR="00397555" w:rsidRPr="00593A5F" w:rsidRDefault="00397555" w:rsidP="0039755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97555" w:rsidRPr="00593A5F" w14:paraId="71EB27CC" w14:textId="77777777" w:rsidTr="00936C05">
        <w:trPr>
          <w:trHeight w:val="884"/>
        </w:trPr>
        <w:tc>
          <w:tcPr>
            <w:tcW w:w="2689" w:type="dxa"/>
          </w:tcPr>
          <w:p w14:paraId="7A5B82DD" w14:textId="77777777" w:rsidR="00397555" w:rsidRPr="00C00976" w:rsidRDefault="00397555" w:rsidP="00936C05">
            <w:pPr>
              <w:jc w:val="both"/>
              <w:rPr>
                <w:rFonts w:ascii="Verdana" w:eastAsia="Calibri" w:hAnsi="Verdana" w:cs="Arial"/>
                <w:b/>
                <w:bCs/>
                <w:color w:val="7030A0"/>
                <w:lang w:val="es-ES_tradnl" w:eastAsia="es-ES_tradnl"/>
              </w:rPr>
            </w:pPr>
          </w:p>
        </w:tc>
        <w:tc>
          <w:tcPr>
            <w:tcW w:w="6100" w:type="dxa"/>
          </w:tcPr>
          <w:p w14:paraId="23B856EB" w14:textId="77777777" w:rsidR="00397555" w:rsidRPr="00C00976" w:rsidRDefault="00397555" w:rsidP="00936C05">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590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397555" w:rsidRPr="00593A5F" w14:paraId="41942FB1" w14:textId="77777777" w:rsidTr="00936C05">
        <w:trPr>
          <w:trHeight w:val="884"/>
        </w:trPr>
        <w:tc>
          <w:tcPr>
            <w:tcW w:w="2689" w:type="dxa"/>
          </w:tcPr>
          <w:p w14:paraId="6562A050" w14:textId="77777777" w:rsidR="00397555" w:rsidRPr="00593A5F" w:rsidRDefault="00397555" w:rsidP="00936C0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3AD09C9" w14:textId="77777777" w:rsidR="00397555" w:rsidRPr="00A11406" w:rsidRDefault="00397555" w:rsidP="00936C05">
            <w:pPr>
              <w:spacing w:line="276" w:lineRule="auto"/>
              <w:jc w:val="both"/>
              <w:rPr>
                <w:rFonts w:ascii="Verdana" w:eastAsia="Calibri" w:hAnsi="Verdana" w:cs="Arial"/>
                <w:lang w:val="es-ES" w:eastAsia="es-ES"/>
              </w:rPr>
            </w:pPr>
            <w:r w:rsidRPr="000D4421">
              <w:rPr>
                <w:rFonts w:ascii="Verdana" w:eastAsia="Calibri" w:hAnsi="Verdana" w:cs="Arial"/>
                <w:lang w:val="es-ES" w:eastAsia="es-ES"/>
              </w:rPr>
              <w:t>PRINCIPIO DE PUBLICIDAD – Concepto – Fundamento axiológico – Fundamento constitucional / PRINCIPIO DE PUBLICIDAD – SECOP – Documentos del proceso – Deber de publicación / ENTIDADES CON RÉGIMEN ESPECIAL – Deber de publicar en SECOP – Artículo 53 Ley 2195 de 2022 /</w:t>
            </w:r>
            <w:r>
              <w:rPr>
                <w:rFonts w:ascii="Verdana" w:eastAsia="Calibri" w:hAnsi="Verdana" w:cs="Arial"/>
                <w:lang w:val="es-ES" w:eastAsia="es-ES"/>
              </w:rPr>
              <w:t xml:space="preserve"> </w:t>
            </w:r>
            <w:r w:rsidRPr="00D05632">
              <w:rPr>
                <w:rFonts w:ascii="Verdana" w:eastAsia="Calibri" w:hAnsi="Verdana" w:cs="Arial"/>
                <w:lang w:val="es-ES" w:eastAsia="es-ES"/>
              </w:rPr>
              <w:t>PATRIMONIOS AUTÓNOMOS – Definición</w:t>
            </w:r>
            <w:r>
              <w:rPr>
                <w:rFonts w:ascii="Verdana" w:eastAsia="Calibri" w:hAnsi="Verdana" w:cs="Arial"/>
                <w:lang w:val="es-ES" w:eastAsia="es-ES"/>
              </w:rPr>
              <w:t xml:space="preserve"> / </w:t>
            </w:r>
            <w:r w:rsidRPr="00D05632">
              <w:rPr>
                <w:rFonts w:ascii="Verdana" w:eastAsia="Calibri" w:hAnsi="Verdana" w:cs="Arial"/>
                <w:lang w:val="es-ES" w:eastAsia="es-ES"/>
              </w:rPr>
              <w:t xml:space="preserve">CONTRATACIÓN DERIVADA – Publicidad – Sujetos obligados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05D2CFF" w14:textId="77777777" w:rsidR="00397555" w:rsidRPr="00593A5F" w:rsidRDefault="00397555" w:rsidP="00936C05">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397555" w:rsidRPr="008E6AD9" w14:paraId="44C0732D" w14:textId="77777777" w:rsidTr="00936C05">
        <w:tc>
          <w:tcPr>
            <w:tcW w:w="2689" w:type="dxa"/>
          </w:tcPr>
          <w:p w14:paraId="6CF67948" w14:textId="77777777" w:rsidR="00397555" w:rsidRPr="008E6AD9" w:rsidRDefault="00397555" w:rsidP="00936C05">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697B325" w14:textId="77777777" w:rsidR="00397555" w:rsidRPr="00B92340" w:rsidRDefault="00397555" w:rsidP="00936C05">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A54A04">
              <w:rPr>
                <w:rFonts w:ascii="Verdana" w:eastAsia="Calibri" w:hAnsi="Verdana" w:cs="Arial"/>
                <w:lang w:val="es-ES_tradnl" w:eastAsia="es-ES_tradnl"/>
              </w:rPr>
              <w:t>1_2026_03_20_003950</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260F4BEF" w14:textId="77777777" w:rsidR="00397555" w:rsidRPr="00593A5F" w:rsidRDefault="00397555" w:rsidP="00397555">
      <w:pPr>
        <w:spacing w:after="0" w:line="240" w:lineRule="auto"/>
        <w:jc w:val="both"/>
        <w:rPr>
          <w:rFonts w:ascii="Verdana" w:eastAsia="Calibri" w:hAnsi="Verdana" w:cs="Arial"/>
          <w:color w:val="000000"/>
          <w:lang w:val="es-ES_tradnl" w:eastAsia="es-ES_tradnl"/>
        </w:rPr>
      </w:pPr>
    </w:p>
    <w:p w14:paraId="33E0C759" w14:textId="77777777" w:rsidR="00397555" w:rsidRPr="00593A5F" w:rsidRDefault="00397555" w:rsidP="00397555">
      <w:pPr>
        <w:spacing w:after="0" w:line="240" w:lineRule="auto"/>
        <w:jc w:val="both"/>
        <w:rPr>
          <w:rFonts w:ascii="Verdana" w:eastAsia="Calibri" w:hAnsi="Verdana" w:cs="Arial"/>
          <w:color w:val="000000"/>
          <w:lang w:val="es-ES_tradnl" w:eastAsia="es-ES_tradnl"/>
        </w:rPr>
      </w:pPr>
    </w:p>
    <w:p w14:paraId="514C6BA9" w14:textId="77777777" w:rsidR="00397555" w:rsidRPr="008E6AD9" w:rsidRDefault="00397555" w:rsidP="0039755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91035C">
        <w:rPr>
          <w:rFonts w:ascii="Verdana" w:eastAsia="Calibri" w:hAnsi="Verdana" w:cs="Arial"/>
          <w:lang w:val="es-ES" w:eastAsia="es-ES"/>
        </w:rPr>
        <w:t>Muskus Cuervo</w:t>
      </w:r>
      <w:r w:rsidRPr="008E6AD9">
        <w:rPr>
          <w:rFonts w:ascii="Verdana" w:eastAsia="Calibri" w:hAnsi="Verdana" w:cs="Arial"/>
          <w:lang w:val="es-ES" w:eastAsia="es-ES"/>
        </w:rPr>
        <w:t xml:space="preserve">: </w:t>
      </w:r>
    </w:p>
    <w:p w14:paraId="7BCB136C" w14:textId="77777777" w:rsidR="00397555" w:rsidRDefault="00397555" w:rsidP="0039755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8B51F0E" w14:textId="77777777" w:rsidR="00397555" w:rsidRPr="00593A5F" w:rsidRDefault="00397555" w:rsidP="00397555">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 xml:space="preserve">la Agencia Nacional de Contratación Pública – Colombia Compra Eficiente responde </w:t>
      </w:r>
      <w:r>
        <w:rPr>
          <w:rFonts w:ascii="Verdana" w:eastAsia="Calibri" w:hAnsi="Verdana" w:cs="Arial"/>
          <w:color w:val="000000" w:themeColor="text1"/>
          <w:lang w:val="es-ES" w:eastAsia="es-ES"/>
        </w:rPr>
        <w:t xml:space="preserve">la pregunta 4 de </w:t>
      </w:r>
      <w:r w:rsidRPr="00593A5F">
        <w:rPr>
          <w:rFonts w:ascii="Verdana" w:eastAsia="Calibri" w:hAnsi="Verdana" w:cs="Arial"/>
          <w:color w:val="000000" w:themeColor="text1"/>
          <w:lang w:val="es-ES" w:eastAsia="es-ES"/>
        </w:rPr>
        <w:t>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20 de marzo de 2026, donde solicita conceptuar sobre el siguiente aspecto</w:t>
      </w:r>
      <w:r w:rsidRPr="008E6AD9">
        <w:rPr>
          <w:rFonts w:ascii="Verdana" w:eastAsia="Calibri" w:hAnsi="Verdana" w:cs="Arial"/>
          <w:lang w:val="es-ES" w:eastAsia="es-ES"/>
        </w:rPr>
        <w:t xml:space="preserve">: </w:t>
      </w:r>
    </w:p>
    <w:p w14:paraId="1775297D" w14:textId="77777777" w:rsidR="00397555" w:rsidRPr="00272A7B" w:rsidRDefault="00397555" w:rsidP="00397555">
      <w:pPr>
        <w:pStyle w:val="Prrafodelista"/>
        <w:tabs>
          <w:tab w:val="left" w:pos="142"/>
          <w:tab w:val="left" w:pos="284"/>
        </w:tabs>
        <w:spacing w:after="0" w:line="276" w:lineRule="auto"/>
        <w:ind w:left="0"/>
        <w:jc w:val="both"/>
        <w:rPr>
          <w:rFonts w:ascii="Verdana" w:eastAsia="Century Gothic" w:hAnsi="Verdana" w:cs="Century Gothic"/>
          <w:b/>
          <w:bCs/>
        </w:rPr>
      </w:pPr>
    </w:p>
    <w:p w14:paraId="04C56C3E" w14:textId="77777777" w:rsidR="00397555" w:rsidRPr="008E6AD9" w:rsidRDefault="00397555" w:rsidP="00397555">
      <w:pPr>
        <w:spacing w:after="0" w:line="240" w:lineRule="auto"/>
        <w:ind w:left="709" w:right="709"/>
        <w:jc w:val="both"/>
        <w:rPr>
          <w:rFonts w:ascii="Verdana" w:eastAsia="Century Gothic" w:hAnsi="Verdana" w:cs="Century Gothic"/>
          <w:b/>
          <w:bCs/>
        </w:rPr>
      </w:pPr>
      <w:bookmarkStart w:id="0" w:name="_Hlk95313578"/>
      <w:r w:rsidRPr="001904AF">
        <w:rPr>
          <w:rFonts w:ascii="Verdana" w:eastAsia="Century Gothic" w:hAnsi="Verdana" w:cs="Century Gothic"/>
          <w:sz w:val="20"/>
          <w:szCs w:val="20"/>
          <w:lang w:val="es-ES"/>
        </w:rPr>
        <w:t>“</w:t>
      </w:r>
      <w:bookmarkEnd w:id="0"/>
      <w:r w:rsidRPr="008D5FA2">
        <w:rPr>
          <w:rFonts w:ascii="Verdana" w:eastAsia="Century Gothic" w:hAnsi="Verdana" w:cs="Century Gothic"/>
          <w:sz w:val="20"/>
          <w:szCs w:val="20"/>
          <w:lang w:val="es-ES"/>
        </w:rPr>
        <w:t>¿La publicación de los procesos contractuales para ejecutar los recursos del FEA</w:t>
      </w:r>
      <w:r>
        <w:rPr>
          <w:rFonts w:ascii="Verdana" w:eastAsia="Century Gothic" w:hAnsi="Verdana" w:cs="Century Gothic"/>
          <w:sz w:val="20"/>
          <w:szCs w:val="20"/>
          <w:lang w:val="es-ES"/>
        </w:rPr>
        <w:t xml:space="preserve"> [</w:t>
      </w:r>
      <w:r w:rsidRPr="00C25F70">
        <w:rPr>
          <w:rFonts w:ascii="Verdana" w:eastAsia="Century Gothic" w:hAnsi="Verdana" w:cs="Century Gothic"/>
          <w:sz w:val="20"/>
          <w:szCs w:val="20"/>
          <w:lang w:val="es-ES"/>
        </w:rPr>
        <w:t>Fondo Especial de Autoseguro</w:t>
      </w:r>
      <w:r>
        <w:rPr>
          <w:rFonts w:ascii="Verdana" w:eastAsia="Century Gothic" w:hAnsi="Verdana" w:cs="Century Gothic"/>
          <w:sz w:val="20"/>
          <w:szCs w:val="20"/>
          <w:lang w:val="es-ES"/>
        </w:rPr>
        <w:t>]</w:t>
      </w:r>
      <w:r w:rsidRPr="008D5FA2">
        <w:rPr>
          <w:rFonts w:ascii="Verdana" w:eastAsia="Century Gothic" w:hAnsi="Verdana" w:cs="Century Gothic"/>
          <w:sz w:val="20"/>
          <w:szCs w:val="20"/>
          <w:lang w:val="es-ES"/>
        </w:rPr>
        <w:t xml:space="preserve"> en el PA</w:t>
      </w:r>
      <w:r>
        <w:rPr>
          <w:rFonts w:ascii="Verdana" w:eastAsia="Century Gothic" w:hAnsi="Verdana" w:cs="Century Gothic"/>
          <w:sz w:val="20"/>
          <w:szCs w:val="20"/>
          <w:lang w:val="es-ES"/>
        </w:rPr>
        <w:t xml:space="preserve"> [</w:t>
      </w:r>
      <w:r w:rsidRPr="00C25F70">
        <w:rPr>
          <w:rFonts w:ascii="Verdana" w:eastAsia="Century Gothic" w:hAnsi="Verdana" w:cs="Century Gothic"/>
          <w:sz w:val="20"/>
          <w:szCs w:val="20"/>
          <w:lang w:val="es-ES"/>
        </w:rPr>
        <w:t>Patrimonio Autónomo</w:t>
      </w:r>
      <w:r>
        <w:rPr>
          <w:rFonts w:ascii="Verdana" w:eastAsia="Century Gothic" w:hAnsi="Verdana" w:cs="Century Gothic"/>
          <w:sz w:val="20"/>
          <w:szCs w:val="20"/>
          <w:lang w:val="es-ES"/>
        </w:rPr>
        <w:t>]</w:t>
      </w:r>
      <w:r w:rsidRPr="008D5FA2">
        <w:rPr>
          <w:rFonts w:ascii="Verdana" w:eastAsia="Century Gothic" w:hAnsi="Verdana" w:cs="Century Gothic"/>
          <w:sz w:val="20"/>
          <w:szCs w:val="20"/>
          <w:lang w:val="es-ES"/>
        </w:rPr>
        <w:t>, se deben publicar en el SECOP II bajo régimen especial, por parte del PA</w:t>
      </w:r>
      <w:r>
        <w:rPr>
          <w:rFonts w:ascii="Verdana" w:eastAsia="Century Gothic" w:hAnsi="Verdana" w:cs="Century Gothic"/>
          <w:sz w:val="20"/>
          <w:szCs w:val="20"/>
          <w:lang w:val="es-ES"/>
        </w:rPr>
        <w:t xml:space="preserve"> [</w:t>
      </w:r>
      <w:r w:rsidRPr="00C25F70">
        <w:rPr>
          <w:rFonts w:ascii="Verdana" w:eastAsia="Century Gothic" w:hAnsi="Verdana" w:cs="Century Gothic"/>
          <w:sz w:val="20"/>
          <w:szCs w:val="20"/>
          <w:lang w:val="es-ES"/>
        </w:rPr>
        <w:t>Patrimonio Autónomo</w:t>
      </w:r>
      <w:r>
        <w:rPr>
          <w:rFonts w:ascii="Verdana" w:eastAsia="Century Gothic" w:hAnsi="Verdana" w:cs="Century Gothic"/>
          <w:sz w:val="20"/>
          <w:szCs w:val="20"/>
          <w:lang w:val="es-ES"/>
        </w:rPr>
        <w:t>]</w:t>
      </w:r>
      <w:r w:rsidRPr="008D5FA2">
        <w:rPr>
          <w:rFonts w:ascii="Verdana" w:eastAsia="Century Gothic" w:hAnsi="Verdana" w:cs="Century Gothic"/>
          <w:sz w:val="20"/>
          <w:szCs w:val="20"/>
          <w:lang w:val="es-ES"/>
        </w:rPr>
        <w:t xml:space="preserve"> o por parte del IPSE</w:t>
      </w:r>
      <w:r>
        <w:rPr>
          <w:rFonts w:ascii="Verdana" w:eastAsia="Century Gothic" w:hAnsi="Verdana" w:cs="Century Gothic"/>
          <w:sz w:val="20"/>
          <w:szCs w:val="20"/>
          <w:lang w:val="es-ES"/>
        </w:rPr>
        <w:t xml:space="preserve"> [</w:t>
      </w:r>
      <w:r w:rsidRPr="00585F1A">
        <w:rPr>
          <w:rFonts w:ascii="Verdana" w:eastAsia="Century Gothic" w:hAnsi="Verdana" w:cs="Century Gothic"/>
          <w:sz w:val="20"/>
          <w:szCs w:val="20"/>
          <w:lang w:val="es-ES"/>
        </w:rPr>
        <w:t xml:space="preserve">Instituto de Planificación y </w:t>
      </w:r>
      <w:r w:rsidRPr="00585F1A">
        <w:rPr>
          <w:rFonts w:ascii="Verdana" w:eastAsia="Century Gothic" w:hAnsi="Verdana" w:cs="Century Gothic"/>
          <w:sz w:val="20"/>
          <w:szCs w:val="20"/>
          <w:lang w:val="es-ES"/>
        </w:rPr>
        <w:lastRenderedPageBreak/>
        <w:t>Promoción de Soluciones Energéticas para las Zonas No Interconectadas</w:t>
      </w:r>
      <w:r>
        <w:rPr>
          <w:rFonts w:ascii="Verdana" w:eastAsia="Century Gothic" w:hAnsi="Verdana" w:cs="Century Gothic"/>
          <w:sz w:val="20"/>
          <w:szCs w:val="20"/>
          <w:lang w:val="es-ES"/>
        </w:rPr>
        <w:t>]</w:t>
      </w:r>
      <w:r w:rsidRPr="008D5FA2">
        <w:rPr>
          <w:rFonts w:ascii="Verdana" w:eastAsia="Century Gothic" w:hAnsi="Verdana" w:cs="Century Gothic"/>
          <w:sz w:val="20"/>
          <w:szCs w:val="20"/>
          <w:lang w:val="es-ES"/>
        </w:rPr>
        <w:t>?</w:t>
      </w:r>
      <w:r>
        <w:rPr>
          <w:rFonts w:ascii="Verdana" w:eastAsia="Century Gothic" w:hAnsi="Verdana" w:cs="Century Gothic"/>
          <w:sz w:val="20"/>
          <w:szCs w:val="20"/>
          <w:lang w:val="es-ES"/>
        </w:rPr>
        <w:t>”</w:t>
      </w:r>
      <w:r>
        <w:rPr>
          <w:rStyle w:val="Refdenotaalpie"/>
          <w:rFonts w:ascii="Verdana" w:eastAsia="Century Gothic" w:hAnsi="Verdana" w:cs="Century Gothic"/>
          <w:sz w:val="20"/>
          <w:szCs w:val="20"/>
          <w:lang w:val="es-ES"/>
        </w:rPr>
        <w:footnoteReference w:id="1"/>
      </w:r>
      <w:r>
        <w:rPr>
          <w:rFonts w:ascii="Verdana" w:eastAsia="Century Gothic" w:hAnsi="Verdana" w:cs="Century Gothic"/>
          <w:sz w:val="20"/>
          <w:szCs w:val="20"/>
          <w:lang w:val="es-ES"/>
        </w:rPr>
        <w:t>. (Corchetes fuera de texto)</w:t>
      </w:r>
    </w:p>
    <w:p w14:paraId="24D6331C" w14:textId="77777777" w:rsidR="00397555" w:rsidRDefault="00397555" w:rsidP="00397555">
      <w:pPr>
        <w:spacing w:after="0" w:line="276" w:lineRule="auto"/>
        <w:ind w:firstLine="709"/>
        <w:jc w:val="both"/>
        <w:rPr>
          <w:rFonts w:ascii="Verdana" w:eastAsia="Calibri" w:hAnsi="Verdana" w:cs="Arial"/>
          <w:color w:val="000000"/>
          <w:lang w:val="es-ES" w:eastAsia="es-ES"/>
        </w:rPr>
      </w:pPr>
    </w:p>
    <w:p w14:paraId="48736F92" w14:textId="77777777" w:rsidR="00397555" w:rsidRPr="00A652FF" w:rsidRDefault="00397555" w:rsidP="00397555">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F8C08F0" w14:textId="77777777" w:rsidR="00397555" w:rsidRDefault="00397555" w:rsidP="00397555">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A3F8AF3" w14:textId="77777777" w:rsidR="00397555" w:rsidRPr="00593A5F" w:rsidRDefault="00397555" w:rsidP="00397555">
      <w:pPr>
        <w:spacing w:after="0" w:line="276" w:lineRule="auto"/>
        <w:ind w:firstLine="709"/>
        <w:jc w:val="both"/>
        <w:rPr>
          <w:rFonts w:ascii="Verdana" w:eastAsia="Calibri" w:hAnsi="Verdana" w:cs="Arial"/>
          <w:color w:val="000000"/>
          <w:lang w:val="es-ES" w:eastAsia="es-ES"/>
        </w:rPr>
      </w:pPr>
    </w:p>
    <w:p w14:paraId="42C242C0" w14:textId="77777777" w:rsidR="00397555" w:rsidRPr="00593A5F" w:rsidRDefault="00397555" w:rsidP="0039755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1879B9D" w14:textId="77777777" w:rsidR="00397555" w:rsidRPr="00593A5F" w:rsidRDefault="00397555" w:rsidP="00397555">
      <w:pPr>
        <w:tabs>
          <w:tab w:val="left" w:pos="426"/>
        </w:tabs>
        <w:spacing w:after="0" w:line="276" w:lineRule="auto"/>
        <w:jc w:val="both"/>
        <w:rPr>
          <w:rFonts w:ascii="Verdana" w:eastAsia="Century Gothic" w:hAnsi="Verdana" w:cs="Century Gothic"/>
          <w:lang w:val="es-ES"/>
        </w:rPr>
      </w:pPr>
    </w:p>
    <w:p w14:paraId="3A69A409" w14:textId="233E91DB" w:rsidR="00397555" w:rsidRPr="00593A5F" w:rsidRDefault="00397555" w:rsidP="00397555">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C33494">
        <w:rPr>
          <w:rFonts w:ascii="Verdana" w:eastAsia="Century Gothic" w:hAnsi="Verdana" w:cs="Century Gothic"/>
        </w:rPr>
        <w:t xml:space="preserve">¿cuáles son los </w:t>
      </w:r>
      <w:r w:rsidR="00CD3337" w:rsidRPr="00C33494">
        <w:rPr>
          <w:rFonts w:ascii="Verdana" w:eastAsia="Century Gothic" w:hAnsi="Verdana" w:cs="Century Gothic"/>
        </w:rPr>
        <w:t>lineamientos</w:t>
      </w:r>
      <w:r w:rsidRPr="00C33494">
        <w:rPr>
          <w:rFonts w:ascii="Verdana" w:eastAsia="Century Gothic" w:hAnsi="Verdana" w:cs="Century Gothic"/>
        </w:rPr>
        <w:t xml:space="preserve"> para la publicidad de los contratos derivados de patrimonios autónomos?</w:t>
      </w:r>
      <w:r>
        <w:rPr>
          <w:rFonts w:ascii="Verdana" w:eastAsia="Century Gothic" w:hAnsi="Verdana" w:cs="Century Gothic"/>
        </w:rPr>
        <w:t xml:space="preserve"> </w:t>
      </w:r>
    </w:p>
    <w:p w14:paraId="01C6CA7C" w14:textId="77777777" w:rsidR="00397555" w:rsidRPr="004B140F" w:rsidRDefault="00397555" w:rsidP="00397555">
      <w:pPr>
        <w:spacing w:after="0" w:line="276" w:lineRule="auto"/>
        <w:jc w:val="both"/>
        <w:rPr>
          <w:rFonts w:ascii="Verdana" w:eastAsia="Calibri" w:hAnsi="Verdana" w:cs="Arial"/>
          <w:color w:val="7030A0"/>
        </w:rPr>
      </w:pPr>
    </w:p>
    <w:p w14:paraId="4252A906" w14:textId="77777777" w:rsidR="00397555" w:rsidRPr="00593A5F" w:rsidRDefault="00397555" w:rsidP="003975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82B2AF0" w14:textId="77777777" w:rsidR="00397555" w:rsidRPr="00593A5F" w:rsidRDefault="00397555" w:rsidP="0039755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97555" w:rsidRPr="00593A5F" w14:paraId="32B92F2E" w14:textId="77777777" w:rsidTr="00936C05">
        <w:trPr>
          <w:jc w:val="center"/>
        </w:trPr>
        <w:tc>
          <w:tcPr>
            <w:tcW w:w="8828" w:type="dxa"/>
          </w:tcPr>
          <w:p w14:paraId="2B1B2F47" w14:textId="77777777" w:rsidR="00397555" w:rsidRDefault="00397555" w:rsidP="00936C05">
            <w:pPr>
              <w:spacing w:after="120" w:line="276" w:lineRule="auto"/>
              <w:jc w:val="both"/>
              <w:rPr>
                <w:rFonts w:ascii="Verdana" w:eastAsia="Calibri" w:hAnsi="Verdana" w:cs="Arial"/>
                <w:color w:val="000000" w:themeColor="text1"/>
                <w:lang w:val="es-ES" w:eastAsia="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Pr>
                <w:rFonts w:ascii="Verdana" w:hAnsi="Verdana" w:cs="Arial"/>
              </w:rPr>
              <w:t>la constitución de un patrimonio autónomo no es causa para desconocer la obligación de publicar la información contractual. Al respecto, el literal d del artículo 1.8 de la Circular Externa Única expedida por la</w:t>
            </w:r>
            <w:r w:rsidRPr="00593A5F">
              <w:rPr>
                <w:rFonts w:ascii="Verdana" w:eastAsia="Calibri" w:hAnsi="Verdana" w:cs="Arial"/>
                <w:color w:val="000000" w:themeColor="text1"/>
                <w:lang w:val="es-ES" w:eastAsia="es-ES"/>
              </w:rPr>
              <w:t xml:space="preserve"> Agencia Nacional de Contratación Pública – Colombia Compra Eficiente</w:t>
            </w:r>
            <w:r>
              <w:rPr>
                <w:rFonts w:ascii="Verdana" w:eastAsia="Calibri" w:hAnsi="Verdana" w:cs="Arial"/>
                <w:color w:val="000000" w:themeColor="text1"/>
                <w:lang w:val="es-ES" w:eastAsia="es-ES"/>
              </w:rPr>
              <w:t xml:space="preserve"> explica que “</w:t>
            </w:r>
            <w:r w:rsidRPr="0072273B">
              <w:rPr>
                <w:rFonts w:ascii="Verdana" w:eastAsia="Calibri" w:hAnsi="Verdana" w:cs="Arial"/>
                <w:color w:val="000000" w:themeColor="text1"/>
                <w:lang w:val="es-ES" w:eastAsia="es-ES"/>
              </w:rPr>
              <w:t xml:space="preserve">El </w:t>
            </w:r>
            <w:r w:rsidRPr="0072273B">
              <w:rPr>
                <w:rFonts w:ascii="Verdana" w:eastAsia="Calibri" w:hAnsi="Verdana" w:cs="Arial"/>
                <w:color w:val="000000" w:themeColor="text1"/>
                <w:lang w:val="es-ES" w:eastAsia="es-ES"/>
              </w:rPr>
              <w:lastRenderedPageBreak/>
              <w:t>SECOP debe contar con la información oficial de la contratación realizada</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con recursos públicos. Los contratos fiduciarios, entendidos como los suscritos</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entre la Entidad Estatal y la fiduciaria, deberán ser publicados por la Entidad</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 xml:space="preserve">Estatal que lo suscriba. </w:t>
            </w:r>
            <w:r w:rsidRPr="00104981">
              <w:rPr>
                <w:rFonts w:ascii="Verdana" w:eastAsia="Calibri" w:hAnsi="Verdana" w:cs="Arial"/>
                <w:color w:val="000000" w:themeColor="text1"/>
                <w:lang w:val="es-ES" w:eastAsia="es-ES"/>
              </w:rPr>
              <w:t>Los contratos que realice la fiduciaria en virtud del contrato de fiducia o encargo fiduciario, es decir, la contratación derivada, también deberán ser publicados por la Entidad Estatal</w:t>
            </w:r>
            <w:r>
              <w:rPr>
                <w:rFonts w:ascii="Verdana" w:eastAsia="Calibri" w:hAnsi="Verdana" w:cs="Arial"/>
                <w:color w:val="000000" w:themeColor="text1"/>
                <w:lang w:val="es-ES" w:eastAsia="es-ES"/>
              </w:rPr>
              <w:t>”</w:t>
            </w:r>
            <w:r w:rsidRPr="0072273B">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Asimismo, el literal f </w:t>
            </w:r>
            <w:r w:rsidRPr="0072273B">
              <w:rPr>
                <w:rFonts w:ascii="Verdana" w:eastAsia="Calibri" w:hAnsi="Verdana" w:cs="Arial"/>
                <w:i/>
                <w:iCs/>
                <w:color w:val="000000" w:themeColor="text1"/>
                <w:lang w:val="es-ES" w:eastAsia="es-ES"/>
              </w:rPr>
              <w:t>ibidem</w:t>
            </w:r>
            <w:r>
              <w:rPr>
                <w:rFonts w:ascii="Verdana" w:eastAsia="Calibri" w:hAnsi="Verdana" w:cs="Arial"/>
                <w:color w:val="000000" w:themeColor="text1"/>
                <w:lang w:val="es-ES" w:eastAsia="es-ES"/>
              </w:rPr>
              <w:t xml:space="preserve"> indica lo siguiente: “</w:t>
            </w:r>
            <w:r w:rsidRPr="0072273B">
              <w:rPr>
                <w:rFonts w:ascii="Verdana" w:eastAsia="Calibri" w:hAnsi="Verdana" w:cs="Arial"/>
                <w:color w:val="000000" w:themeColor="text1"/>
                <w:lang w:val="es-ES" w:eastAsia="es-ES"/>
              </w:rPr>
              <w:t>En el caso de que la Entidad Estatal se niegue a publicar la contratación</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derivada, la fiduciaria que actúe como vocero de los patrimonios</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autónomos, en calidad de contratante, debe publicar la información oficial</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de la contratación derivada en el SECOP I o II mediante una cuenta de</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 xml:space="preserve">entidad compradora en los módulos de </w:t>
            </w:r>
            <w:r>
              <w:rPr>
                <w:rFonts w:ascii="Verdana" w:eastAsia="Calibri" w:hAnsi="Verdana" w:cs="Arial"/>
                <w:color w:val="000000" w:themeColor="text1"/>
                <w:lang w:val="es-ES" w:eastAsia="es-ES"/>
              </w:rPr>
              <w:t>‘</w:t>
            </w:r>
            <w:r w:rsidRPr="0072273B">
              <w:rPr>
                <w:rFonts w:ascii="Verdana" w:eastAsia="Calibri" w:hAnsi="Verdana" w:cs="Arial"/>
                <w:color w:val="000000" w:themeColor="text1"/>
                <w:lang w:val="es-ES" w:eastAsia="es-ES"/>
              </w:rPr>
              <w:t>régimen especial</w:t>
            </w:r>
            <w:r>
              <w:rPr>
                <w:rFonts w:ascii="Verdana" w:eastAsia="Calibri" w:hAnsi="Verdana" w:cs="Arial"/>
                <w:color w:val="000000" w:themeColor="text1"/>
                <w:lang w:val="es-ES" w:eastAsia="es-ES"/>
              </w:rPr>
              <w:t>’</w:t>
            </w:r>
            <w:r w:rsidRPr="0072273B">
              <w:rPr>
                <w:rFonts w:ascii="Verdana" w:eastAsia="Calibri" w:hAnsi="Verdana" w:cs="Arial"/>
                <w:color w:val="000000" w:themeColor="text1"/>
                <w:lang w:val="es-ES" w:eastAsia="es-ES"/>
              </w:rPr>
              <w:t xml:space="preserve">. </w:t>
            </w:r>
          </w:p>
          <w:p w14:paraId="4CF17475" w14:textId="77777777" w:rsidR="00397555" w:rsidRPr="00104981" w:rsidRDefault="00397555" w:rsidP="00936C05">
            <w:pPr>
              <w:spacing w:after="120" w:line="276" w:lineRule="auto"/>
              <w:ind w:firstLine="708"/>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Sin embargo, dicho literal realiza dos (2) precisiones: </w:t>
            </w:r>
            <w:r w:rsidRPr="00104981">
              <w:rPr>
                <w:rFonts w:ascii="Verdana" w:eastAsia="Calibri" w:hAnsi="Verdana" w:cs="Arial"/>
                <w:i/>
                <w:iCs/>
                <w:color w:val="000000" w:themeColor="text1"/>
                <w:lang w:val="es-ES" w:eastAsia="es-ES"/>
              </w:rPr>
              <w:t>por un lado</w:t>
            </w:r>
            <w:r>
              <w:rPr>
                <w:rFonts w:ascii="Verdana" w:eastAsia="Calibri" w:hAnsi="Verdana" w:cs="Arial"/>
                <w:color w:val="000000" w:themeColor="text1"/>
                <w:lang w:val="es-ES" w:eastAsia="es-ES"/>
              </w:rPr>
              <w:t>, “</w:t>
            </w:r>
            <w:r w:rsidRPr="0072273B">
              <w:rPr>
                <w:rFonts w:ascii="Verdana" w:eastAsia="Calibri" w:hAnsi="Verdana" w:cs="Arial"/>
                <w:color w:val="000000" w:themeColor="text1"/>
                <w:lang w:val="es-ES" w:eastAsia="es-ES"/>
              </w:rPr>
              <w:t>En relación con la celebración de contratos o convenios con Entidades Estatales</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en donde el patrimonio autónomo actúe como contratista, la Agencia Nacional</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de Contratación – Colombia Compra Eficiente- recomienda la creación de una</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cuenta como proveedor en el SECOP II, para firmar de manera transaccional los</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contratos o convenios que desee celebrar con las Entidades Estatales que usen el</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SECOP II</w:t>
            </w:r>
            <w:r>
              <w:rPr>
                <w:rFonts w:ascii="Verdana" w:eastAsia="Calibri" w:hAnsi="Verdana" w:cs="Arial"/>
                <w:color w:val="000000" w:themeColor="text1"/>
                <w:lang w:val="es-ES" w:eastAsia="es-ES"/>
              </w:rPr>
              <w:t xml:space="preserve">”; </w:t>
            </w:r>
            <w:r w:rsidRPr="00BF20D1">
              <w:rPr>
                <w:rFonts w:ascii="Verdana" w:eastAsia="Calibri" w:hAnsi="Verdana" w:cs="Arial"/>
                <w:color w:val="000000" w:themeColor="text1"/>
                <w:lang w:val="es-ES" w:eastAsia="es-ES"/>
              </w:rPr>
              <w:t>por otro</w:t>
            </w:r>
            <w:r>
              <w:rPr>
                <w:rFonts w:ascii="Verdana" w:eastAsia="Calibri" w:hAnsi="Verdana" w:cs="Arial"/>
                <w:color w:val="000000" w:themeColor="text1"/>
                <w:lang w:val="es-ES" w:eastAsia="es-ES"/>
              </w:rPr>
              <w:t xml:space="preserve">, “[…] </w:t>
            </w:r>
            <w:r w:rsidRPr="0072273B">
              <w:rPr>
                <w:rFonts w:ascii="Verdana" w:eastAsia="Calibri" w:hAnsi="Verdana" w:cs="Arial"/>
                <w:color w:val="000000" w:themeColor="text1"/>
                <w:lang w:val="es-ES" w:eastAsia="es-ES"/>
              </w:rPr>
              <w:t>la publicación de la contratación derivada deberá</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realizarse, o por la Entidad Estatal fideicomitente o por la fiduciaria que actúe como</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vocero de los patrimonios autónomos en calidad de contratante, pero no por las</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dos, ya que se generaría una duplicidad de información</w:t>
            </w:r>
            <w:r>
              <w:rPr>
                <w:rFonts w:ascii="Verdana" w:eastAsia="Calibri" w:hAnsi="Verdana" w:cs="Arial"/>
                <w:color w:val="000000" w:themeColor="text1"/>
                <w:lang w:val="es-ES" w:eastAsia="es-ES"/>
              </w:rPr>
              <w:t>”</w:t>
            </w:r>
            <w:r w:rsidRPr="0072273B">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p>
          <w:p w14:paraId="660D9926" w14:textId="6016D467" w:rsidR="00397555" w:rsidRPr="0031262A" w:rsidRDefault="00397555" w:rsidP="0031262A">
            <w:pPr>
              <w:spacing w:line="276" w:lineRule="auto"/>
              <w:ind w:firstLine="737"/>
              <w:jc w:val="both"/>
              <w:rPr>
                <w:rFonts w:ascii="Verdana" w:hAnsi="Verdana"/>
                <w:color w:val="000000"/>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553D287" w14:textId="77777777" w:rsidR="00397555" w:rsidRPr="00593A5F" w:rsidRDefault="00397555" w:rsidP="00397555">
      <w:pPr>
        <w:tabs>
          <w:tab w:val="left" w:pos="142"/>
          <w:tab w:val="left" w:pos="284"/>
        </w:tabs>
        <w:spacing w:after="0" w:line="276" w:lineRule="auto"/>
        <w:jc w:val="both"/>
        <w:rPr>
          <w:rFonts w:ascii="Verdana" w:eastAsia="Century Gothic" w:hAnsi="Verdana" w:cs="Century Gothic"/>
          <w:b/>
          <w:bCs/>
          <w:lang w:val="es-ES"/>
        </w:rPr>
      </w:pPr>
    </w:p>
    <w:bookmarkEnd w:id="1"/>
    <w:p w14:paraId="7BC03E36" w14:textId="77777777" w:rsidR="00397555" w:rsidRPr="00593A5F" w:rsidRDefault="00397555" w:rsidP="003975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91F8E2A" w14:textId="77777777" w:rsidR="00397555" w:rsidRPr="00593A5F" w:rsidRDefault="00397555" w:rsidP="00397555">
      <w:pPr>
        <w:spacing w:after="0" w:line="276" w:lineRule="auto"/>
        <w:jc w:val="both"/>
        <w:rPr>
          <w:rFonts w:ascii="Verdana" w:eastAsia="Calibri" w:hAnsi="Verdana" w:cs="Arial"/>
          <w:color w:val="7030A0"/>
          <w:lang w:val="es-ES"/>
        </w:rPr>
      </w:pPr>
    </w:p>
    <w:p w14:paraId="6A9D8DFD" w14:textId="77777777" w:rsidR="00397555" w:rsidRDefault="00397555" w:rsidP="00397555">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95D0D9C" w14:textId="77777777" w:rsidR="00397555" w:rsidRPr="00415608" w:rsidRDefault="00397555" w:rsidP="00397555">
      <w:pPr>
        <w:spacing w:after="0" w:line="276" w:lineRule="auto"/>
        <w:jc w:val="both"/>
        <w:rPr>
          <w:rFonts w:ascii="Verdana" w:eastAsia="Calibri" w:hAnsi="Verdana" w:cs="Arial"/>
          <w:lang w:val="es-ES"/>
        </w:rPr>
      </w:pPr>
    </w:p>
    <w:p w14:paraId="41DFE653" w14:textId="77777777" w:rsidR="00397555" w:rsidRPr="00F16D2E" w:rsidRDefault="00397555" w:rsidP="00397555">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lastRenderedPageBreak/>
        <w:t xml:space="preserve">El principio de publicidad impone a las autoridades administrativas el deber de dar a conocer sus actos, contratos y decisiones, para que se divulguen y eventualmente se controlen las actuaciones. El literal c) del artículo 3 de la Ley 1150 de 2007 dispone que el Sistema Electrónico para la Contratación Pública –SECOP– “contará con la información oficial de la contratación realizada con dineros públicos, para lo cual establecerá los patrones a que haya lugar y se encargará de su difusión a través de canales electrónicos”. </w:t>
      </w:r>
    </w:p>
    <w:p w14:paraId="4593D106" w14:textId="77777777" w:rsidR="00397555" w:rsidRPr="00F16D2E" w:rsidRDefault="00397555" w:rsidP="00397555">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De otra parte, la Ley 1712 de 2014 identifica como principios que orientan el acceso a la información pública el de máxima publicidad y el de transparencia en la información. El primero establece que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14:paraId="52C6A8F9" w14:textId="77777777" w:rsidR="00397555" w:rsidRPr="00F16D2E" w:rsidRDefault="00397555" w:rsidP="00397555">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La ley citada dispone, en el literal </w:t>
      </w:r>
      <w:r>
        <w:rPr>
          <w:rFonts w:ascii="Verdana" w:eastAsia="Arial" w:hAnsi="Verdana" w:cs="Arial"/>
          <w:lang w:val="es-ES"/>
        </w:rPr>
        <w:t>a</w:t>
      </w:r>
      <w:r w:rsidRPr="00F16D2E">
        <w:rPr>
          <w:rFonts w:ascii="Verdana" w:eastAsia="Arial" w:hAnsi="Verdana" w:cs="Arial"/>
          <w:lang w:val="es-ES"/>
        </w:rPr>
        <w:t xml:space="preserve">) del artículo </w:t>
      </w:r>
      <w:r>
        <w:rPr>
          <w:rFonts w:ascii="Verdana" w:eastAsia="Arial" w:hAnsi="Verdana" w:cs="Arial"/>
          <w:lang w:val="es-ES"/>
        </w:rPr>
        <w:t>5</w:t>
      </w:r>
      <w:r w:rsidRPr="00F16D2E">
        <w:rPr>
          <w:rFonts w:ascii="Verdana" w:eastAsia="Arial" w:hAnsi="Verdana" w:cs="Arial"/>
          <w:lang w:val="es-ES"/>
        </w:rPr>
        <w:t>, que los sujetos obligados, que son todas las entidades públicas, deben publicar la información relativa a su contratación</w:t>
      </w:r>
      <w:r w:rsidRPr="00F16D2E">
        <w:rPr>
          <w:rFonts w:ascii="Verdana" w:eastAsia="Arial" w:hAnsi="Verdana" w:cs="Arial"/>
          <w:vertAlign w:val="superscript"/>
          <w:lang w:val="es-ES"/>
        </w:rPr>
        <w:footnoteReference w:id="2"/>
      </w:r>
      <w:r w:rsidRPr="00F16D2E">
        <w:rPr>
          <w:rFonts w:ascii="Verdana" w:eastAsia="Arial" w:hAnsi="Verdana" w:cs="Arial"/>
          <w:lang w:val="es-ES"/>
        </w:rPr>
        <w:t>. Esta obligación fue en principio desarrollada por el Decreto 103 de 2015, compilado en el Decreto 1081 de 2015, el cual dispuso que la publicación de la información contractual de los sujetos obligados, que contratan con cargo a recursos públicos, debe hacerse en el Sistema Electrónico de Contratación Pública –SECOP–</w:t>
      </w:r>
      <w:r w:rsidRPr="00F16D2E">
        <w:rPr>
          <w:rFonts w:ascii="Verdana" w:eastAsia="Arial" w:hAnsi="Verdana" w:cs="Arial"/>
          <w:vertAlign w:val="superscript"/>
          <w:lang w:val="es-ES"/>
        </w:rPr>
        <w:footnoteReference w:id="3"/>
      </w:r>
      <w:r w:rsidRPr="00F16D2E">
        <w:rPr>
          <w:rFonts w:ascii="Verdana" w:eastAsia="Arial" w:hAnsi="Verdana" w:cs="Arial"/>
          <w:lang w:val="es-ES"/>
        </w:rPr>
        <w:t>.</w:t>
      </w:r>
    </w:p>
    <w:p w14:paraId="2A4D3179" w14:textId="77777777" w:rsidR="00397555" w:rsidRPr="00F16D2E" w:rsidRDefault="00397555" w:rsidP="00397555">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Asimismo, de acuerdo con el literal g) del artículo 11 de la misma Ley, todos los destinatarios de la ley de transparencia deben garantizar la publicidad de “sus procedimientos, lineamientos, políticas en materia de adquisiciones y </w:t>
      </w:r>
      <w:r w:rsidRPr="00F16D2E">
        <w:rPr>
          <w:rFonts w:ascii="Verdana" w:eastAsia="Arial" w:hAnsi="Verdana" w:cs="Arial"/>
          <w:lang w:val="es-ES"/>
        </w:rPr>
        <w:lastRenderedPageBreak/>
        <w:t xml:space="preserve">compras, así como todos los datos de adjudicación y ejecución de contratos, incluidos concursos y licitaciones”, y esta información también debe estar en el SECOP. </w:t>
      </w:r>
    </w:p>
    <w:p w14:paraId="6E6FC0B4" w14:textId="77777777" w:rsidR="00397555" w:rsidRPr="00F16D2E" w:rsidRDefault="00397555" w:rsidP="00397555">
      <w:pPr>
        <w:widowControl w:val="0"/>
        <w:tabs>
          <w:tab w:val="left" w:pos="728"/>
        </w:tabs>
        <w:autoSpaceDE w:val="0"/>
        <w:autoSpaceDN w:val="0"/>
        <w:spacing w:after="120" w:line="276" w:lineRule="auto"/>
        <w:jc w:val="both"/>
        <w:rPr>
          <w:rFonts w:ascii="Verdana" w:hAnsi="Verdana" w:cs="Arial"/>
          <w:lang w:val="es-ES"/>
        </w:rPr>
      </w:pPr>
      <w:r w:rsidRPr="00F16D2E">
        <w:rPr>
          <w:rFonts w:ascii="Verdana" w:eastAsia="Arial" w:hAnsi="Verdana" w:cs="Arial"/>
          <w:lang w:val="es-ES"/>
        </w:rPr>
        <w:tab/>
      </w:r>
      <w:r w:rsidRPr="00F16D2E">
        <w:rPr>
          <w:rFonts w:ascii="Verdana" w:hAnsi="Verdana" w:cs="Arial"/>
          <w:lang w:val="es-ES"/>
        </w:rPr>
        <w:t>El deber de publicidad que se desprende del artículo 3 de la Ley 1150 de 2007 está reglamentado por el artículo 2.2.1.1.1.7.1 del Decreto 1082 de 2015, el cual dispone los documentos que deben publicarse y al SECOP como medio de publicación</w:t>
      </w:r>
      <w:r w:rsidRPr="00F16D2E">
        <w:rPr>
          <w:rFonts w:ascii="Verdana" w:hAnsi="Verdana" w:cs="Arial"/>
          <w:vertAlign w:val="superscript"/>
          <w:lang w:val="es-ES"/>
        </w:rPr>
        <w:footnoteReference w:id="4"/>
      </w:r>
      <w:r w:rsidRPr="00F16D2E">
        <w:rPr>
          <w:rFonts w:ascii="Verdana" w:hAnsi="Verdana" w:cs="Arial"/>
          <w:lang w:val="es-ES"/>
        </w:rPr>
        <w:t>.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14:paraId="504099BF" w14:textId="77777777" w:rsidR="00397555" w:rsidRPr="00F16D2E" w:rsidRDefault="00397555" w:rsidP="00397555">
      <w:pPr>
        <w:widowControl w:val="0"/>
        <w:tabs>
          <w:tab w:val="left" w:pos="728"/>
        </w:tabs>
        <w:autoSpaceDE w:val="0"/>
        <w:autoSpaceDN w:val="0"/>
        <w:spacing w:after="120" w:line="276" w:lineRule="auto"/>
        <w:jc w:val="both"/>
        <w:rPr>
          <w:rFonts w:ascii="Verdana" w:hAnsi="Verdana" w:cs="Arial"/>
          <w:lang w:val="es-ES"/>
        </w:rPr>
      </w:pPr>
      <w:r w:rsidRPr="00F16D2E">
        <w:rPr>
          <w:rFonts w:ascii="Verdana" w:hAnsi="Verdana" w:cs="Arial"/>
          <w:lang w:val="es-ES"/>
        </w:rPr>
        <w:tab/>
        <w:t>Ahora bien, las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595724DA" w14:textId="77777777" w:rsidR="00397555" w:rsidRPr="00F16D2E" w:rsidRDefault="00397555" w:rsidP="00397555">
      <w:pPr>
        <w:widowControl w:val="0"/>
        <w:autoSpaceDE w:val="0"/>
        <w:autoSpaceDN w:val="0"/>
        <w:spacing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r>
        <w:rPr>
          <w:rFonts w:ascii="Verdana" w:eastAsia="Arial" w:hAnsi="Verdana" w:cs="Arial"/>
          <w:i/>
          <w:iCs/>
          <w:lang w:val="es-ES"/>
        </w:rPr>
        <w:t>ibidem</w:t>
      </w:r>
      <w:r w:rsidRPr="00F16D2E">
        <w:rPr>
          <w:rFonts w:ascii="Verdana" w:eastAsia="Arial" w:hAnsi="Verdana" w:cs="Arial"/>
          <w:lang w:val="es-ES"/>
        </w:rPr>
        <w:t xml:space="preserve"> recoge en la noción de </w:t>
      </w:r>
      <w:r w:rsidRPr="00F16D2E">
        <w:rPr>
          <w:rFonts w:ascii="Verdana" w:eastAsia="Arial" w:hAnsi="Verdana" w:cs="Arial"/>
          <w:i/>
          <w:iCs/>
          <w:lang w:val="es-ES"/>
        </w:rPr>
        <w:t>Documentos del Proceso</w:t>
      </w:r>
      <w:r w:rsidRPr="00F16D2E">
        <w:rPr>
          <w:rFonts w:ascii="Verdana" w:eastAsia="Arial" w:hAnsi="Verdana" w:cs="Arial"/>
          <w:lang w:val="es-ES"/>
        </w:rPr>
        <w:t xml:space="preserve"> “cualquier otro documento expedido por la Entidad Estatal durante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Este mismo artículo define la expresión </w:t>
      </w:r>
      <w:r w:rsidRPr="00F16D2E">
        <w:rPr>
          <w:rFonts w:ascii="Verdana" w:eastAsia="Arial" w:hAnsi="Verdana" w:cs="Arial"/>
          <w:i/>
          <w:iCs/>
          <w:lang w:val="es-ES"/>
        </w:rPr>
        <w:t>Proceso de Contratación</w:t>
      </w:r>
      <w:r w:rsidRPr="00F16D2E">
        <w:rPr>
          <w:rFonts w:ascii="Verdana" w:eastAsia="Arial" w:hAnsi="Verdana" w:cs="Arial"/>
          <w:lang w:val="es-ES"/>
        </w:rPr>
        <w:t xml:space="preserve"> como el “Conjunto de actos y actividades, y su secuencia, adelantadas por la </w:t>
      </w:r>
      <w:r w:rsidRPr="00F16D2E">
        <w:rPr>
          <w:rFonts w:ascii="Verdana" w:eastAsia="Arial" w:hAnsi="Verdana" w:cs="Arial"/>
          <w:lang w:val="es-ES"/>
        </w:rPr>
        <w:lastRenderedPageBreak/>
        <w:t>Entidad Estatal desde la planeación hasta el vencimiento de las garantías de calidad, estabilidad y mantenimiento, o las condiciones de disposición final o recuperación ambiental de las obras o bienes o el vencimiento del plazo, lo que ocurra más tarde”. </w:t>
      </w:r>
    </w:p>
    <w:p w14:paraId="7F2DB1AF" w14:textId="77777777" w:rsidR="00397555" w:rsidRPr="00F16D2E" w:rsidRDefault="00397555" w:rsidP="00397555">
      <w:pPr>
        <w:widowControl w:val="0"/>
        <w:autoSpaceDE w:val="0"/>
        <w:autoSpaceDN w:val="0"/>
        <w:spacing w:after="120" w:line="276" w:lineRule="auto"/>
        <w:ind w:firstLine="708"/>
        <w:jc w:val="both"/>
        <w:rPr>
          <w:rFonts w:ascii="Verdana" w:eastAsia="Arial" w:hAnsi="Verdana" w:cs="Arial"/>
          <w:lang w:val="es-ES"/>
        </w:rPr>
      </w:pPr>
      <w:r w:rsidRPr="00F16D2E">
        <w:rPr>
          <w:rFonts w:ascii="Verdana" w:eastAsia="Arial" w:hAnsi="Verdana" w:cs="Arial"/>
          <w:lang w:val="es-ES"/>
        </w:rPr>
        <w:t xml:space="preserve">En todo caso, de conformidad con la segunda parte del inciso primero del artículo 2.2.1.1.1.7.1 </w:t>
      </w:r>
      <w:r>
        <w:rPr>
          <w:rFonts w:ascii="Verdana" w:eastAsia="Arial" w:hAnsi="Verdana" w:cs="Arial"/>
          <w:i/>
          <w:iCs/>
          <w:lang w:val="es-ES"/>
        </w:rPr>
        <w:t>i</w:t>
      </w:r>
      <w:r w:rsidRPr="00F16D2E">
        <w:rPr>
          <w:rFonts w:ascii="Verdana" w:eastAsia="Arial" w:hAnsi="Verdana" w:cs="Arial"/>
          <w:i/>
          <w:iCs/>
          <w:lang w:val="es-ES"/>
        </w:rPr>
        <w:t>bidem</w:t>
      </w:r>
      <w:r w:rsidRPr="00F16D2E">
        <w:rPr>
          <w:rFonts w:ascii="Verdana" w:eastAsia="Arial" w:hAnsi="Verdana" w:cs="Arial"/>
          <w:lang w:val="es-ES"/>
        </w:rPr>
        <w:t xml:space="preserve">, el deber de publicar las actuaciones realizadas en el marco del proceso de contratación, en lo referente a las ofertas presentadas, solo se predica de la propuesta del adjudicatario, así que no es necesario publicar las demás. </w:t>
      </w:r>
      <w:r w:rsidRPr="00F16D2E">
        <w:rPr>
          <w:rFonts w:ascii="Verdana" w:eastAsia="Arial" w:hAnsi="Verdana" w:cs="Arial"/>
          <w:i/>
          <w:iCs/>
          <w:lang w:val="es-ES"/>
        </w:rPr>
        <w:t xml:space="preserve"> </w:t>
      </w:r>
      <w:r w:rsidRPr="00F16D2E">
        <w:rPr>
          <w:rFonts w:ascii="Verdana" w:eastAsia="Arial" w:hAnsi="Verdana" w:cs="Arial"/>
          <w:lang w:val="es-ES"/>
        </w:rPr>
        <w:t>Del deber de publicidad, de conformidad con la tercera parte del inciso primero de la referida norma, también se encuentran exentos los documentos de las operaciones que se realicen en bolsa de productos.</w:t>
      </w:r>
    </w:p>
    <w:p w14:paraId="17067565" w14:textId="77777777" w:rsidR="00397555" w:rsidRPr="00F16D2E" w:rsidRDefault="00397555" w:rsidP="00397555">
      <w:pPr>
        <w:widowControl w:val="0"/>
        <w:autoSpaceDE w:val="0"/>
        <w:autoSpaceDN w:val="0"/>
        <w:spacing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expedidos durante las etapas precontractual, de ejecución y </w:t>
      </w:r>
      <w:proofErr w:type="spellStart"/>
      <w:r w:rsidRPr="00F16D2E">
        <w:rPr>
          <w:rFonts w:ascii="Verdana" w:eastAsia="Arial" w:hAnsi="Verdana" w:cs="Arial"/>
          <w:lang w:val="es-ES"/>
        </w:rPr>
        <w:t>postcontractual</w:t>
      </w:r>
      <w:proofErr w:type="spellEnd"/>
      <w:r w:rsidRPr="00F16D2E">
        <w:rPr>
          <w:rFonts w:ascii="Verdana" w:eastAsia="Arial" w:hAnsi="Verdana" w:cs="Arial"/>
          <w:lang w:val="es-ES"/>
        </w:rPr>
        <w:t xml:space="preserve">. Este deber aplica a todas las modalidades de selección y entidades regidas por el Estatuto General de Contratación de la Administración Pública, y solo se encuentran excluidas las ofertas perdedoras y los documentos expedidos en el marco de operaciones de bolsa de productos. </w:t>
      </w:r>
    </w:p>
    <w:p w14:paraId="6DD2700A" w14:textId="77777777" w:rsidR="00397555" w:rsidRPr="00F16D2E" w:rsidRDefault="00397555" w:rsidP="00397555">
      <w:pPr>
        <w:spacing w:before="120" w:after="120" w:line="276" w:lineRule="auto"/>
        <w:ind w:firstLine="709"/>
        <w:jc w:val="both"/>
        <w:rPr>
          <w:rFonts w:ascii="Verdana" w:eastAsia="Arial" w:hAnsi="Verdana" w:cs="Arial"/>
          <w:lang w:val="es-ES"/>
        </w:rPr>
      </w:pPr>
      <w:r w:rsidRPr="00F16D2E">
        <w:rPr>
          <w:rFonts w:ascii="Verdana" w:eastAsia="Calibri" w:hAnsi="Verdana" w:cs="Arial"/>
          <w:lang w:val="es-ES"/>
        </w:rPr>
        <w:t xml:space="preserve">Adicionalmente, el deber de publicar la actividad contractual de las entidades estatales no solo está regulado en el artículo 3 de la Ley 1150 de 2007 y en el </w:t>
      </w:r>
      <w:r w:rsidRPr="00F16D2E">
        <w:rPr>
          <w:rFonts w:ascii="Verdana" w:eastAsia="Arial" w:hAnsi="Verdana"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F16D2E">
        <w:rPr>
          <w:rFonts w:ascii="Verdana" w:eastAsia="Arial" w:hAnsi="Verdana" w:cs="Arial"/>
          <w:i/>
          <w:iCs/>
          <w:lang w:val="es-ES"/>
        </w:rPr>
        <w:t xml:space="preserve">Documentos del Proceso </w:t>
      </w:r>
      <w:r w:rsidRPr="00F16D2E">
        <w:rPr>
          <w:rFonts w:ascii="Verdana" w:eastAsia="Arial" w:hAnsi="Verdana" w:cs="Arial"/>
          <w:lang w:val="es-ES"/>
        </w:rPr>
        <w:t xml:space="preserve">expedidos por la “entidad estatal”. </w:t>
      </w:r>
    </w:p>
    <w:p w14:paraId="3D21335B" w14:textId="77777777" w:rsidR="00397555" w:rsidRPr="00F16D2E" w:rsidRDefault="00397555" w:rsidP="00397555">
      <w:pPr>
        <w:spacing w:before="120"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Es necesario tener en cuenta que la Ley de Transparencia define el concepto de información pública. Por un lado, el literal a) del artículo 6 de la Ley 1712 de 2014 dispone que la </w:t>
      </w:r>
      <w:r w:rsidRPr="00F16D2E">
        <w:rPr>
          <w:rFonts w:ascii="Verdana" w:eastAsia="Arial" w:hAnsi="Verdana" w:cs="Arial"/>
          <w:i/>
          <w:iCs/>
          <w:lang w:val="es-ES"/>
        </w:rPr>
        <w:t>información</w:t>
      </w:r>
      <w:r w:rsidRPr="00F16D2E">
        <w:rPr>
          <w:rFonts w:ascii="Verdana" w:eastAsia="Arial" w:hAnsi="Verdana" w:cs="Arial"/>
          <w:lang w:val="es-ES"/>
        </w:rPr>
        <w:t xml:space="preserve"> se “Se refiere a un conjunto organizado de datos contenido en cualquier documento que los sujetos obligados generen, obtengan, adquieran, transformen o controlen”. Además, el literal b) </w:t>
      </w:r>
      <w:r w:rsidRPr="00F16D2E">
        <w:rPr>
          <w:rFonts w:ascii="Verdana" w:eastAsia="Arial" w:hAnsi="Verdana" w:cs="Arial"/>
          <w:i/>
          <w:iCs/>
          <w:lang w:val="es-ES"/>
        </w:rPr>
        <w:t>ibidem</w:t>
      </w:r>
      <w:r w:rsidRPr="00F16D2E">
        <w:rPr>
          <w:rFonts w:ascii="Verdana" w:eastAsia="Arial" w:hAnsi="Verdana" w:cs="Arial"/>
          <w:lang w:val="es-ES"/>
        </w:rPr>
        <w:t xml:space="preserve"> </w:t>
      </w:r>
      <w:r w:rsidRPr="00F16D2E">
        <w:rPr>
          <w:rFonts w:ascii="Verdana" w:eastAsia="Arial" w:hAnsi="Verdana" w:cs="Arial"/>
          <w:lang w:val="es-ES"/>
        </w:rPr>
        <w:lastRenderedPageBreak/>
        <w:t xml:space="preserve">define la </w:t>
      </w:r>
      <w:r w:rsidRPr="00F16D2E">
        <w:rPr>
          <w:rFonts w:ascii="Verdana" w:eastAsia="Arial" w:hAnsi="Verdana" w:cs="Arial"/>
          <w:i/>
          <w:iCs/>
          <w:lang w:val="es-ES"/>
        </w:rPr>
        <w:t>información pública</w:t>
      </w:r>
      <w:r w:rsidRPr="00F16D2E">
        <w:rPr>
          <w:rFonts w:ascii="Verdana" w:eastAsia="Arial" w:hAnsi="Verdana" w:cs="Arial"/>
          <w:lang w:val="es-ES"/>
        </w:rPr>
        <w:t xml:space="preserve"> como “[…] toda información que un sujeto obligado genere, obtenga, adquiera, o controle en su calidad de tal”.</w:t>
      </w:r>
    </w:p>
    <w:p w14:paraId="3DBC1056" w14:textId="77777777" w:rsidR="00397555" w:rsidRPr="00F16D2E" w:rsidRDefault="00397555" w:rsidP="00397555">
      <w:pPr>
        <w:spacing w:before="120" w:after="120" w:line="276" w:lineRule="auto"/>
        <w:ind w:firstLine="709"/>
        <w:jc w:val="both"/>
        <w:rPr>
          <w:rFonts w:ascii="Verdana" w:eastAsia="Calibri" w:hAnsi="Verdana" w:cs="Arial"/>
          <w:lang w:val="es-ES"/>
        </w:rPr>
      </w:pPr>
      <w:r w:rsidRPr="00F16D2E">
        <w:rPr>
          <w:rFonts w:ascii="Verdana" w:eastAsia="Calibri" w:hAnsi="Verdana" w:cs="Arial"/>
          <w:lang w:val="es-ES"/>
        </w:rPr>
        <w:t xml:space="preserve">Las publicaciones que corresponde efectuar a las entidades estatales, como sujetos obligados por la normativa de la transparencia y acceso a la información pública, antes que una derogación o subrogación del contenido del deber de publicidad regulado por el EGCAP, suponen una ampliación de su alcance, que lo extiende de la simple publicación de la información “producida por la entidad estatal” asociada a la noción de </w:t>
      </w:r>
      <w:r w:rsidRPr="00F16D2E">
        <w:rPr>
          <w:rFonts w:ascii="Verdana" w:eastAsia="Calibri" w:hAnsi="Verdana" w:cs="Arial"/>
          <w:i/>
          <w:iCs/>
          <w:lang w:val="es-ES"/>
        </w:rPr>
        <w:t>Documentos del Proceso</w:t>
      </w:r>
      <w:r w:rsidRPr="00F16D2E">
        <w:rPr>
          <w:rFonts w:ascii="Verdana" w:eastAsia="Calibri" w:hAnsi="Verdana" w:cs="Arial"/>
          <w:lang w:val="es-ES"/>
        </w:rPr>
        <w:t xml:space="preserve">. Esto implica que la publicación que corresponde a las entidades estatales, como sujetos obligados en el marco de la Ley 1712 de 2014, se extiende a todo el desarrollo del procedimiento, desde la etapa de planeación hasta el vencimiento de las garantías, incluyendo cada actuación que se produzca en ese lapso.  </w:t>
      </w:r>
    </w:p>
    <w:p w14:paraId="72CB8AC1" w14:textId="77777777" w:rsidR="00397555" w:rsidRPr="00F16D2E" w:rsidRDefault="00397555" w:rsidP="00397555">
      <w:pPr>
        <w:spacing w:line="276" w:lineRule="auto"/>
        <w:ind w:firstLine="709"/>
        <w:contextualSpacing/>
        <w:jc w:val="both"/>
        <w:rPr>
          <w:rFonts w:ascii="Verdana" w:eastAsia="Calibri" w:hAnsi="Verdana" w:cs="Arial"/>
          <w:lang w:val="es-ES_tradnl" w:eastAsia="es-ES_tradnl"/>
        </w:rPr>
      </w:pPr>
      <w:r w:rsidRPr="00F16D2E">
        <w:rPr>
          <w:rFonts w:ascii="Verdana" w:hAnsi="Verdana" w:cs="Arial"/>
          <w:lang w:val="es-ES"/>
        </w:rPr>
        <w:t xml:space="preserve">Para los contratos de régimen exceptuado, el deber de publicidad y transparencia </w:t>
      </w:r>
      <w:bookmarkStart w:id="2" w:name="_Hlk114572097"/>
      <w:bookmarkStart w:id="3" w:name="_Hlk112856043"/>
      <w:bookmarkStart w:id="4" w:name="_Hlk112245356"/>
      <w:r w:rsidRPr="00F16D2E">
        <w:rPr>
          <w:rFonts w:ascii="Verdana" w:hAnsi="Verdana" w:cs="Arial"/>
          <w:lang w:val="es-ES"/>
        </w:rPr>
        <w:t>fue complementado</w:t>
      </w:r>
      <w:r w:rsidRPr="00F16D2E">
        <w:rPr>
          <w:rFonts w:ascii="Verdana" w:hAnsi="Verdana" w:cs="Arial"/>
        </w:rPr>
        <w:t xml:space="preserve"> con la Ley 2195 de 2022. </w:t>
      </w:r>
      <w:r w:rsidRPr="00F16D2E">
        <w:rPr>
          <w:rFonts w:ascii="Verdana" w:eastAsia="Calibri" w:hAnsi="Verdana" w:cs="Arial"/>
          <w:lang w:val="es-ES_tradnl" w:eastAsia="es-ES_tradnl"/>
        </w:rPr>
        <w:t>Según el artículo 1, esta Ley “</w:t>
      </w:r>
      <w:r w:rsidRPr="00F16D2E">
        <w:rPr>
          <w:rFonts w:ascii="Verdana" w:eastAsia="Times New Roman" w:hAnsi="Verdana" w:cs="Arial"/>
          <w:lang w:val="es-ES_tradnl" w:eastAsia="es-ES_tradnl"/>
        </w:rPr>
        <w:t xml:space="preserve">[…] </w:t>
      </w:r>
      <w:r w:rsidRPr="00F16D2E">
        <w:rPr>
          <w:rFonts w:ascii="Verdana" w:eastAsia="Calibri" w:hAnsi="Verdana"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05971450" w14:textId="77777777" w:rsidR="00397555" w:rsidRPr="00F16D2E" w:rsidRDefault="00397555" w:rsidP="00397555">
      <w:pPr>
        <w:spacing w:line="276" w:lineRule="auto"/>
        <w:ind w:firstLine="709"/>
        <w:contextualSpacing/>
        <w:jc w:val="both"/>
        <w:rPr>
          <w:rFonts w:ascii="Verdana" w:eastAsia="Calibri" w:hAnsi="Verdana" w:cs="Arial"/>
          <w:sz w:val="12"/>
          <w:szCs w:val="12"/>
          <w:lang w:val="es-ES_tradnl" w:eastAsia="es-ES_tradnl"/>
        </w:rPr>
      </w:pPr>
    </w:p>
    <w:p w14:paraId="0FF300D4" w14:textId="77777777" w:rsidR="00397555" w:rsidRPr="00F16D2E" w:rsidRDefault="00397555" w:rsidP="00397555">
      <w:pPr>
        <w:spacing w:line="276" w:lineRule="auto"/>
        <w:ind w:firstLine="709"/>
        <w:contextualSpacing/>
        <w:jc w:val="both"/>
        <w:rPr>
          <w:rFonts w:ascii="Verdana" w:hAnsi="Verdana" w:cs="Arial"/>
        </w:rPr>
      </w:pPr>
      <w:r w:rsidRPr="00F16D2E">
        <w:rPr>
          <w:rFonts w:ascii="Verdana" w:eastAsia="Calibri" w:hAnsi="Verdana" w:cs="Arial"/>
          <w:lang w:val="es-ES_tradnl" w:eastAsia="es-ES_tradnl"/>
        </w:rPr>
        <w:t xml:space="preserve">Dentro del capítulo VIII, por el cual se expiden “Disposiciones en materia contractual para la moralización y la transparencia”, se ubica </w:t>
      </w:r>
      <w:r w:rsidRPr="00F16D2E">
        <w:rPr>
          <w:rFonts w:ascii="Verdana" w:hAnsi="Verdana" w:cs="Arial"/>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w:t>
      </w:r>
      <w:bookmarkEnd w:id="2"/>
      <w:r w:rsidRPr="00F16D2E">
        <w:rPr>
          <w:rFonts w:ascii="Verdana" w:hAnsi="Verdana" w:cs="Arial"/>
        </w:rPr>
        <w:t xml:space="preserve"> </w:t>
      </w:r>
      <w:bookmarkEnd w:id="3"/>
      <w:bookmarkEnd w:id="4"/>
      <w:r w:rsidRPr="00F16D2E">
        <w:rPr>
          <w:rFonts w:ascii="Verdana" w:hAnsi="Verdana" w:cs="Arial"/>
        </w:rPr>
        <w:t>Al respecto, la norma citada dispone lo siguiente:</w:t>
      </w:r>
    </w:p>
    <w:p w14:paraId="78738E98" w14:textId="77777777" w:rsidR="00397555" w:rsidRPr="00F16D2E" w:rsidRDefault="00397555" w:rsidP="00397555">
      <w:pPr>
        <w:spacing w:line="276" w:lineRule="auto"/>
        <w:ind w:firstLine="301"/>
        <w:contextualSpacing/>
        <w:rPr>
          <w:rFonts w:ascii="Verdana" w:hAnsi="Verdana" w:cs="Arial"/>
        </w:rPr>
      </w:pPr>
    </w:p>
    <w:p w14:paraId="0432454C" w14:textId="77777777" w:rsidR="00397555" w:rsidRDefault="00397555" w:rsidP="00397555">
      <w:pPr>
        <w:spacing w:after="0" w:line="240" w:lineRule="auto"/>
        <w:ind w:left="709" w:right="709"/>
        <w:contextualSpacing/>
        <w:jc w:val="both"/>
        <w:rPr>
          <w:rFonts w:ascii="Verdana" w:eastAsia="Calibri" w:hAnsi="Verdana" w:cs="Arial"/>
          <w:sz w:val="20"/>
          <w:szCs w:val="20"/>
        </w:rPr>
      </w:pPr>
      <w:r w:rsidRPr="00B31B56">
        <w:rPr>
          <w:rFonts w:ascii="Verdana" w:eastAsia="Calibri" w:hAnsi="Verdana" w:cs="Arial"/>
          <w:sz w:val="20"/>
          <w:szCs w:val="20"/>
        </w:rPr>
        <w:t>“Adiciónese los siguientes incisos al artículo 13 de la Ley 1150 de 2007, el cual quedará así:</w:t>
      </w:r>
    </w:p>
    <w:p w14:paraId="179933A0" w14:textId="77777777" w:rsidR="00397555" w:rsidRPr="00B31B56" w:rsidRDefault="00397555" w:rsidP="00397555">
      <w:pPr>
        <w:spacing w:after="0" w:line="240" w:lineRule="auto"/>
        <w:ind w:left="709" w:right="709"/>
        <w:contextualSpacing/>
        <w:jc w:val="both"/>
        <w:rPr>
          <w:rFonts w:ascii="Verdana" w:eastAsia="Calibri" w:hAnsi="Verdana" w:cs="Arial"/>
          <w:sz w:val="12"/>
          <w:szCs w:val="12"/>
        </w:rPr>
      </w:pPr>
    </w:p>
    <w:p w14:paraId="6B5E51BF" w14:textId="77777777" w:rsidR="00397555" w:rsidRDefault="00397555" w:rsidP="00397555">
      <w:pPr>
        <w:spacing w:after="0" w:line="240" w:lineRule="auto"/>
        <w:ind w:left="709" w:right="709"/>
        <w:contextualSpacing/>
        <w:jc w:val="both"/>
        <w:rPr>
          <w:rFonts w:ascii="Verdana" w:eastAsia="Calibri" w:hAnsi="Verdana" w:cs="Arial"/>
          <w:sz w:val="20"/>
          <w:szCs w:val="20"/>
        </w:rPr>
      </w:pPr>
      <w:r w:rsidRPr="00B31B56">
        <w:rPr>
          <w:rFonts w:ascii="Verdana" w:eastAsia="Calibri" w:hAnsi="Verdana" w:cs="Arial"/>
          <w:sz w:val="20"/>
          <w:szCs w:val="20"/>
        </w:rPr>
        <w:t xml:space="preserve">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w:t>
      </w:r>
      <w:r w:rsidRPr="00B31B56">
        <w:rPr>
          <w:rFonts w:ascii="Verdana" w:eastAsia="Calibri" w:hAnsi="Verdana" w:cs="Arial"/>
          <w:sz w:val="20"/>
          <w:szCs w:val="20"/>
        </w:rPr>
        <w:lastRenderedPageBreak/>
        <w:t>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1C72F750" w14:textId="77777777" w:rsidR="00397555" w:rsidRPr="00B31B56" w:rsidRDefault="00397555" w:rsidP="00397555">
      <w:pPr>
        <w:spacing w:after="0" w:line="240" w:lineRule="auto"/>
        <w:ind w:left="709" w:right="709"/>
        <w:contextualSpacing/>
        <w:jc w:val="both"/>
        <w:rPr>
          <w:rFonts w:ascii="Verdana" w:eastAsia="Calibri" w:hAnsi="Verdana" w:cs="Arial"/>
          <w:sz w:val="12"/>
          <w:szCs w:val="12"/>
        </w:rPr>
      </w:pPr>
    </w:p>
    <w:p w14:paraId="01867356" w14:textId="77777777" w:rsidR="00397555" w:rsidRDefault="00397555" w:rsidP="00397555">
      <w:pPr>
        <w:spacing w:after="0" w:line="240" w:lineRule="auto"/>
        <w:ind w:left="709" w:right="709"/>
        <w:contextualSpacing/>
        <w:jc w:val="both"/>
        <w:rPr>
          <w:rFonts w:ascii="Verdana" w:eastAsia="Calibri" w:hAnsi="Verdana" w:cs="Arial"/>
          <w:i/>
          <w:iCs/>
          <w:sz w:val="20"/>
          <w:szCs w:val="20"/>
        </w:rPr>
      </w:pPr>
      <w:r w:rsidRPr="00B31B56">
        <w:rPr>
          <w:rFonts w:ascii="Verdana" w:eastAsia="Calibri" w:hAnsi="Verdana" w:cs="Arial"/>
          <w:i/>
          <w:iCs/>
          <w:sz w:val="20"/>
          <w:szCs w:val="20"/>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B31B56">
        <w:rPr>
          <w:rFonts w:ascii="Verdana" w:eastAsia="Calibri" w:hAnsi="Verdana" w:cs="Arial"/>
          <w:i/>
          <w:iCs/>
          <w:sz w:val="20"/>
          <w:szCs w:val="20"/>
        </w:rPr>
        <w:t>postcontractual</w:t>
      </w:r>
      <w:proofErr w:type="spellEnd"/>
      <w:r w:rsidRPr="00B31B56">
        <w:rPr>
          <w:rFonts w:ascii="Verdana" w:eastAsia="Calibri" w:hAnsi="Verdana" w:cs="Arial"/>
          <w:i/>
          <w:iCs/>
          <w:sz w:val="20"/>
          <w:szCs w:val="20"/>
        </w:rPr>
        <w:t>.</w:t>
      </w:r>
    </w:p>
    <w:p w14:paraId="1E03515B" w14:textId="77777777" w:rsidR="00397555" w:rsidRPr="00B31B56" w:rsidRDefault="00397555" w:rsidP="00397555">
      <w:pPr>
        <w:spacing w:after="0" w:line="240" w:lineRule="auto"/>
        <w:ind w:left="709" w:right="709"/>
        <w:contextualSpacing/>
        <w:jc w:val="both"/>
        <w:rPr>
          <w:rFonts w:ascii="Verdana" w:eastAsia="Calibri" w:hAnsi="Verdana" w:cs="Arial"/>
          <w:i/>
          <w:iCs/>
          <w:sz w:val="12"/>
          <w:szCs w:val="12"/>
        </w:rPr>
      </w:pPr>
    </w:p>
    <w:p w14:paraId="0054E2DC" w14:textId="77777777" w:rsidR="00397555" w:rsidRPr="00B31B56" w:rsidRDefault="00397555" w:rsidP="00397555">
      <w:pPr>
        <w:spacing w:line="240" w:lineRule="auto"/>
        <w:ind w:left="709" w:right="709"/>
        <w:contextualSpacing/>
        <w:jc w:val="both"/>
        <w:rPr>
          <w:rFonts w:ascii="Verdana" w:eastAsia="Calibri" w:hAnsi="Verdana" w:cs="Arial"/>
          <w:sz w:val="20"/>
          <w:szCs w:val="20"/>
        </w:rPr>
      </w:pPr>
      <w:r w:rsidRPr="00B31B56">
        <w:rPr>
          <w:rFonts w:ascii="Verdana" w:eastAsia="Calibri" w:hAnsi="Verdana" w:cs="Arial"/>
          <w:sz w:val="20"/>
          <w:szCs w:val="20"/>
        </w:rPr>
        <w:t>A partir de la entrada en vigencia de la presente Ley, se establecerá un periodo de transición de seis (6) meses, para que las entidades den cumplimiento efectivo a lo aquí establecido” (Énfasis fuera de texto).</w:t>
      </w:r>
    </w:p>
    <w:p w14:paraId="538FC5E2" w14:textId="77777777" w:rsidR="00397555" w:rsidRPr="00F16D2E" w:rsidRDefault="00397555" w:rsidP="00397555">
      <w:pPr>
        <w:spacing w:line="276" w:lineRule="auto"/>
        <w:ind w:firstLine="709"/>
        <w:contextualSpacing/>
        <w:jc w:val="both"/>
        <w:rPr>
          <w:rFonts w:ascii="Verdana" w:eastAsia="Calibri" w:hAnsi="Verdana" w:cs="Arial"/>
          <w:lang w:val="es-ES_tradnl"/>
        </w:rPr>
      </w:pPr>
    </w:p>
    <w:p w14:paraId="4DA75AE3" w14:textId="77777777" w:rsidR="00397555" w:rsidRPr="00F16D2E" w:rsidRDefault="00397555" w:rsidP="00397555">
      <w:pPr>
        <w:spacing w:after="120" w:line="276" w:lineRule="auto"/>
        <w:ind w:firstLine="709"/>
        <w:jc w:val="both"/>
        <w:rPr>
          <w:rFonts w:ascii="Verdana" w:eastAsia="Calibri" w:hAnsi="Verdana" w:cs="Arial"/>
          <w:lang w:val="es-ES_tradnl" w:eastAsia="es-ES_tradnl"/>
        </w:rPr>
      </w:pPr>
      <w:r w:rsidRPr="00F16D2E">
        <w:rPr>
          <w:rFonts w:ascii="Verdana" w:eastAsia="Calibri" w:hAnsi="Verdana" w:cs="Arial"/>
          <w:lang w:val="es-ES_tradnl"/>
        </w:rPr>
        <w:t xml:space="preserve">Cabe destacar que cuando la norma trascrita hace referencia a que el mencionado deber de publicidad debe cumplirse en el SECOP II o </w:t>
      </w:r>
      <w:r w:rsidRPr="00F16D2E">
        <w:rPr>
          <w:rFonts w:ascii="Verdana" w:hAnsi="Verdana" w:cs="Arial"/>
        </w:rPr>
        <w:t>“</w:t>
      </w:r>
      <w:r w:rsidRPr="00F16D2E">
        <w:rPr>
          <w:rFonts w:ascii="Verdana" w:eastAsia="Calibri" w:hAnsi="Verdana" w:cs="Arial"/>
          <w:lang w:val="es-ES_tradnl"/>
        </w:rPr>
        <w:t xml:space="preserve">la plataforma transaccional que haga sus veces”,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w:t>
      </w:r>
      <w:r w:rsidRPr="00F16D2E">
        <w:rPr>
          <w:rFonts w:ascii="Verdana" w:hAnsi="Verdana" w:cs="Arial"/>
        </w:rPr>
        <w:t>“</w:t>
      </w:r>
      <w:r w:rsidRPr="00F16D2E">
        <w:rPr>
          <w:rFonts w:ascii="Verdana" w:eastAsia="Calibri" w:hAnsi="Verdana" w:cs="Arial"/>
          <w:lang w:val="es-ES_tradnl"/>
        </w:rPr>
        <w:t>la plataforma que haga sus veces</w:t>
      </w:r>
      <w:r w:rsidRPr="00F16D2E">
        <w:rPr>
          <w:rFonts w:ascii="Verdana" w:hAnsi="Verdana" w:cs="Arial"/>
        </w:rPr>
        <w:t>”</w:t>
      </w:r>
      <w:r w:rsidRPr="00F16D2E">
        <w:rPr>
          <w:rFonts w:ascii="Verdana" w:eastAsia="Calibri" w:hAnsi="Verdana" w:cs="Arial"/>
          <w:lang w:val="es-ES_tradnl"/>
        </w:rPr>
        <w:t xml:space="preserve"> no puede interpretarse como una autorización para que las entidades obligadas en virtud del artículo 53 de la Ley 2195 de 2022 puedan emplear sus páginas web o sus propios portales electrónicos para cumplir con el deber de publicidad que les asiste. </w:t>
      </w:r>
      <w:r w:rsidRPr="00F16D2E">
        <w:rPr>
          <w:rFonts w:ascii="Verdana" w:eastAsia="Calibri" w:hAnsi="Verdana" w:cs="Arial"/>
          <w:lang w:val="es-ES_tradnl" w:eastAsia="es-ES_tradnl"/>
        </w:rPr>
        <w:t>Con esto se logra que la ciudadanía pueda encontrar en un mismo sistema la gestión de la actividad contractual del Estado, garantizándose en mayor grado la transparencia y el acceso a la información y documentación pública.</w:t>
      </w:r>
    </w:p>
    <w:p w14:paraId="2856969A" w14:textId="77777777" w:rsidR="00397555" w:rsidRDefault="00397555" w:rsidP="00397555">
      <w:pPr>
        <w:spacing w:before="120" w:after="120" w:line="276" w:lineRule="auto"/>
        <w:ind w:firstLine="709"/>
        <w:jc w:val="both"/>
        <w:rPr>
          <w:rFonts w:ascii="Verdana" w:eastAsia="Calibri" w:hAnsi="Verdana" w:cs="Arial"/>
          <w:lang w:val="es-ES"/>
        </w:rPr>
      </w:pPr>
      <w:bookmarkStart w:id="5" w:name="_Hlk109111956"/>
      <w:bookmarkStart w:id="6" w:name="_Hlk112245392"/>
      <w:r w:rsidRPr="6D98AFBD">
        <w:rPr>
          <w:rFonts w:ascii="Verdana" w:eastAsia="Calibri" w:hAnsi="Verdana" w:cs="Arial"/>
          <w:lang w:val="es-ES"/>
        </w:rPr>
        <w:t xml:space="preserve">En cuanto a los documentos que deben publicarse en el SECOP II, la norma citada hace referencia a los documentos relacionados con su </w:t>
      </w:r>
      <w:r w:rsidRPr="6D98AFBD">
        <w:rPr>
          <w:rFonts w:ascii="Verdana" w:eastAsia="Calibri" w:hAnsi="Verdana" w:cs="Arial"/>
          <w:i/>
          <w:lang w:val="es-ES"/>
        </w:rPr>
        <w:t>actividad contractual,</w:t>
      </w:r>
      <w:r w:rsidRPr="6D98AFBD">
        <w:rPr>
          <w:rFonts w:ascii="Verdana" w:eastAsia="Calibri" w:hAnsi="Verdana" w:cs="Arial"/>
          <w:lang w:val="es-ES"/>
        </w:rPr>
        <w:t xml:space="preserve"> es decir, “[…] los documentos, contratos, actos e información generada por oferentes, contratista, contratante, supervisor o interventor, tanto en la etapa precontractual, como en la contractual y la </w:t>
      </w:r>
      <w:proofErr w:type="spellStart"/>
      <w:r w:rsidRPr="6D98AFBD">
        <w:rPr>
          <w:rFonts w:ascii="Verdana" w:eastAsia="Calibri" w:hAnsi="Verdana" w:cs="Arial"/>
          <w:lang w:val="es-ES"/>
        </w:rPr>
        <w:t>postcontractual</w:t>
      </w:r>
      <w:proofErr w:type="spellEnd"/>
      <w:r w:rsidRPr="6D98AFBD">
        <w:rPr>
          <w:rFonts w:ascii="Verdana" w:eastAsia="Calibri" w:hAnsi="Verdana" w:cs="Arial"/>
          <w:lang w:val="es-ES"/>
        </w:rPr>
        <w:t xml:space="preserve">”. En ese sentido, el artículo 53 de la Ley 2195 de 2022 establece el deber de publicar toda aquella información relacionada con el respectivo contrato, sin incluir </w:t>
      </w:r>
      <w:r w:rsidRPr="6D98AFBD">
        <w:rPr>
          <w:rFonts w:ascii="Verdana" w:eastAsia="Calibri" w:hAnsi="Verdana" w:cs="Arial"/>
          <w:lang w:val="es-ES"/>
        </w:rPr>
        <w:lastRenderedPageBreak/>
        <w:t xml:space="preserve">ninguna excepción relacionada con la naturaleza u objeto. Por </w:t>
      </w:r>
      <w:bookmarkEnd w:id="5"/>
      <w:r w:rsidRPr="6D98AFBD">
        <w:rPr>
          <w:rFonts w:ascii="Verdana" w:eastAsia="Calibri" w:hAnsi="Verdana" w:cs="Arial"/>
          <w:lang w:val="es-ES"/>
        </w:rPr>
        <w:t>lo tanto, la publicidad de los contratos exceptuados del Estatuto General de que trata el artículo 53 de la Ley 2195 de 2022, requiere que se publique en el SECOP II todo documento expedido durante las diferentes etapas del proceso contractual, abarcando desde la fase previa a su celebración, pasando por la ejecución y hasta la fase posterior a su ejecución.</w:t>
      </w:r>
      <w:bookmarkEnd w:id="6"/>
    </w:p>
    <w:p w14:paraId="1CDC4726" w14:textId="77777777" w:rsidR="00397555" w:rsidRPr="00B05796" w:rsidRDefault="00397555" w:rsidP="00397555">
      <w:pPr>
        <w:spacing w:after="0" w:line="276" w:lineRule="auto"/>
        <w:ind w:firstLine="709"/>
        <w:jc w:val="both"/>
        <w:rPr>
          <w:rFonts w:ascii="Verdana" w:hAnsi="Verdana" w:cs="Arial"/>
        </w:rPr>
      </w:pPr>
      <w:r>
        <w:rPr>
          <w:rFonts w:ascii="Verdana" w:eastAsia="Calibri" w:hAnsi="Verdana" w:cs="Arial"/>
          <w:lang w:val="es-ES_tradnl"/>
        </w:rPr>
        <w:t xml:space="preserve">Ahora bien, </w:t>
      </w:r>
      <w:r w:rsidRPr="00B05796">
        <w:rPr>
          <w:rFonts w:ascii="Verdana" w:hAnsi="Verdana" w:cs="Arial"/>
        </w:rPr>
        <w:t>conforme a los artículos 1226 y 1233 del Código de Comercio, el patrimonio autónomo es un centro de imputación de derechos y obligaciones afecto a la finalidad contemplada en el acto constitutivo, de carácter temporal y totalmente diferente a la persona que lo origina –fiduciante, fideicomitente o constituyente–, quien lo administra –fiduciario– y quien habrá de recibirlo –fideicomisario o beneficiario–. Al respecto, la Superintendencia Financiera considera que:</w:t>
      </w:r>
    </w:p>
    <w:p w14:paraId="49A22EEE" w14:textId="77777777" w:rsidR="00397555" w:rsidRPr="00B05796" w:rsidRDefault="00397555" w:rsidP="00397555">
      <w:pPr>
        <w:spacing w:after="0" w:line="276" w:lineRule="auto"/>
        <w:ind w:firstLine="709"/>
        <w:jc w:val="both"/>
        <w:rPr>
          <w:rFonts w:ascii="Verdana" w:hAnsi="Verdana" w:cs="Arial"/>
        </w:rPr>
      </w:pPr>
    </w:p>
    <w:p w14:paraId="6DEF4E27" w14:textId="77777777" w:rsidR="00397555" w:rsidRPr="00B05796" w:rsidRDefault="00397555" w:rsidP="00397555">
      <w:pPr>
        <w:spacing w:after="120" w:line="240" w:lineRule="auto"/>
        <w:ind w:left="709" w:right="709"/>
        <w:jc w:val="both"/>
        <w:rPr>
          <w:rFonts w:ascii="Verdana" w:hAnsi="Verdana" w:cs="Arial"/>
          <w:sz w:val="20"/>
          <w:szCs w:val="20"/>
        </w:rPr>
      </w:pPr>
      <w:r w:rsidRPr="00B05796">
        <w:rPr>
          <w:rFonts w:ascii="Verdana" w:hAnsi="Verdana" w:cs="Arial"/>
          <w:sz w:val="20"/>
          <w:szCs w:val="20"/>
        </w:rPr>
        <w:t xml:space="preserve">“[…] el negocio fiduciario […] supone una transferencia de bienes por parte de un constituyente para que con ellos se cumpla una finalidad. Ese conjunto de bienes transferidos a una fiduciaria es lo que conforma o se denomina patrimonio autónomo. Dichos bienes salen real y jurídicamente del patrimonio del fideicomitente (titular del dominio) y están afectos al cumplimiento de las finalidades señaladas en el acto constitutivo. (artículos 1226 a 1244 del C. Co). </w:t>
      </w:r>
    </w:p>
    <w:p w14:paraId="10962B60" w14:textId="77777777" w:rsidR="00397555" w:rsidRPr="00B05796" w:rsidRDefault="00397555" w:rsidP="00397555">
      <w:pPr>
        <w:spacing w:after="0" w:line="240" w:lineRule="auto"/>
        <w:ind w:left="709" w:right="709"/>
        <w:jc w:val="both"/>
        <w:rPr>
          <w:rFonts w:ascii="Verdana" w:hAnsi="Verdana" w:cs="Arial"/>
          <w:sz w:val="21"/>
          <w:szCs w:val="21"/>
        </w:rPr>
      </w:pPr>
      <w:r w:rsidRPr="00B05796">
        <w:rPr>
          <w:rFonts w:ascii="Verdana" w:hAnsi="Verdana" w:cs="Arial"/>
          <w:sz w:val="20"/>
          <w:szCs w:val="20"/>
        </w:rPr>
        <w:t>Los bienes recibidos en fideicomiso, es decir que conforman el patrimonio autónomo no pueden confundirse con los bienes del fiduciario, luego deben estar separados de los que integran los activos de la fiduciaria, son excluidos de la garantía general de los acreedores del fiduciario y fideicomitente y garantizan las obligaciones que contraiga el patrimonio autónomo en el logro de la finalidad de la fiducia</w:t>
      </w:r>
      <w:r>
        <w:rPr>
          <w:rFonts w:ascii="Verdana" w:hAnsi="Verdana" w:cs="Arial"/>
          <w:sz w:val="20"/>
          <w:szCs w:val="20"/>
        </w:rPr>
        <w:t>”</w:t>
      </w:r>
      <w:r w:rsidRPr="00B05796">
        <w:rPr>
          <w:rStyle w:val="Refdenotaalpie"/>
          <w:rFonts w:ascii="Verdana" w:hAnsi="Verdana" w:cs="Arial"/>
          <w:sz w:val="20"/>
          <w:szCs w:val="20"/>
        </w:rPr>
        <w:footnoteReference w:id="5"/>
      </w:r>
      <w:r w:rsidRPr="00B05796">
        <w:rPr>
          <w:rFonts w:ascii="Verdana" w:hAnsi="Verdana" w:cs="Arial"/>
          <w:sz w:val="20"/>
          <w:szCs w:val="20"/>
        </w:rPr>
        <w:t>.</w:t>
      </w:r>
      <w:r w:rsidRPr="00B05796">
        <w:rPr>
          <w:rFonts w:ascii="Verdana" w:hAnsi="Verdana" w:cs="Arial"/>
          <w:sz w:val="21"/>
          <w:szCs w:val="21"/>
        </w:rPr>
        <w:t xml:space="preserve"> </w:t>
      </w:r>
    </w:p>
    <w:p w14:paraId="6C0AC96E" w14:textId="77777777" w:rsidR="00397555" w:rsidRPr="00B05796" w:rsidRDefault="00397555" w:rsidP="00397555">
      <w:pPr>
        <w:spacing w:after="0" w:line="276" w:lineRule="auto"/>
        <w:ind w:left="709" w:right="709"/>
        <w:jc w:val="both"/>
        <w:rPr>
          <w:rFonts w:ascii="Verdana" w:hAnsi="Verdana" w:cs="Arial"/>
        </w:rPr>
      </w:pPr>
      <w:r w:rsidRPr="00B05796">
        <w:rPr>
          <w:rFonts w:ascii="Verdana" w:hAnsi="Verdana" w:cs="Arial"/>
        </w:rPr>
        <w:t xml:space="preserve">  </w:t>
      </w:r>
    </w:p>
    <w:p w14:paraId="74DE6CB4" w14:textId="77777777" w:rsidR="00397555" w:rsidRDefault="00397555" w:rsidP="00397555">
      <w:pPr>
        <w:spacing w:after="120" w:line="276" w:lineRule="auto"/>
        <w:ind w:firstLine="709"/>
        <w:jc w:val="both"/>
        <w:rPr>
          <w:rFonts w:ascii="Verdana" w:hAnsi="Verdana" w:cs="Arial"/>
        </w:rPr>
      </w:pPr>
      <w:r w:rsidRPr="00B05796">
        <w:rPr>
          <w:rFonts w:ascii="Verdana" w:hAnsi="Verdana" w:cs="Arial"/>
        </w:rPr>
        <w:t>De acuerdo con lo anterior, es importante separar los patrimonios del fiduciante y la fiduciaria del patrimonio autónomo constituido con ocasión del contrato de fiducia, puesto que cada uno de ellos deberá responder por sus propias obligaciones. Por tanto, el patrimonio autónomo solo será responsable por las obligaciones que se contraigan por el logro de la finalidad para la cual fue entregado en administración y nunca por las obligaciones derivadas del cumplimiento del objeto social de la entidad fiduciaria ni por las que haya adquirido el fiduciante.</w:t>
      </w:r>
    </w:p>
    <w:p w14:paraId="13FD3D3D" w14:textId="77777777" w:rsidR="00397555" w:rsidRDefault="00397555" w:rsidP="00397555">
      <w:pPr>
        <w:spacing w:after="120" w:line="276" w:lineRule="auto"/>
        <w:ind w:firstLine="708"/>
        <w:jc w:val="both"/>
        <w:rPr>
          <w:rFonts w:ascii="Verdana" w:eastAsia="Calibri" w:hAnsi="Verdana" w:cs="Arial"/>
          <w:color w:val="000000" w:themeColor="text1"/>
          <w:lang w:val="es-ES" w:eastAsia="es-ES"/>
        </w:rPr>
      </w:pPr>
      <w:r>
        <w:rPr>
          <w:rFonts w:ascii="Verdana" w:hAnsi="Verdana" w:cs="Arial"/>
        </w:rPr>
        <w:lastRenderedPageBreak/>
        <w:t>Con independencia del régimen jurídico de la entidad fideicomitente, la constitución de un patrimonio autónomo no es causa para desconocer la obligación de publicar la información contractual. Al respecto, el literal d del artículo 1.8 de la Circular Externa Única expedida por la</w:t>
      </w:r>
      <w:r w:rsidRPr="00593A5F">
        <w:rPr>
          <w:rFonts w:ascii="Verdana" w:eastAsia="Calibri" w:hAnsi="Verdana" w:cs="Arial"/>
          <w:color w:val="000000" w:themeColor="text1"/>
          <w:lang w:val="es-ES" w:eastAsia="es-ES"/>
        </w:rPr>
        <w:t xml:space="preserve"> Agencia Nacional de Contratación Pública – Colombia Compra Eficiente</w:t>
      </w:r>
      <w:r>
        <w:rPr>
          <w:rFonts w:ascii="Verdana" w:eastAsia="Calibri" w:hAnsi="Verdana" w:cs="Arial"/>
          <w:color w:val="000000" w:themeColor="text1"/>
          <w:lang w:val="es-ES" w:eastAsia="es-ES"/>
        </w:rPr>
        <w:t xml:space="preserve"> explica que “</w:t>
      </w:r>
      <w:r w:rsidRPr="0072273B">
        <w:rPr>
          <w:rFonts w:ascii="Verdana" w:eastAsia="Calibri" w:hAnsi="Verdana" w:cs="Arial"/>
          <w:color w:val="000000" w:themeColor="text1"/>
          <w:lang w:val="es-ES" w:eastAsia="es-ES"/>
        </w:rPr>
        <w:t>El SECOP debe contar con la información oficial de la contratación realizada</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con recursos públicos. Los contratos fiduciarios, entendidos como los suscritos</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entre la Entidad Estatal y la fiduciaria, deberán ser publicados por la Entidad</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 xml:space="preserve">Estatal que lo suscriba. </w:t>
      </w:r>
      <w:r w:rsidRPr="00104981">
        <w:rPr>
          <w:rFonts w:ascii="Verdana" w:eastAsia="Calibri" w:hAnsi="Verdana" w:cs="Arial"/>
          <w:color w:val="000000" w:themeColor="text1"/>
          <w:lang w:val="es-ES" w:eastAsia="es-ES"/>
        </w:rPr>
        <w:t>Los contratos que realice la fiduciaria en virtud del contrato de fiducia o encargo fiduciario, es decir, la contratación derivada, también deberán ser publicados por la Entidad Estatal</w:t>
      </w:r>
      <w:r>
        <w:rPr>
          <w:rFonts w:ascii="Verdana" w:eastAsia="Calibri" w:hAnsi="Verdana" w:cs="Arial"/>
          <w:color w:val="000000" w:themeColor="text1"/>
          <w:lang w:val="es-ES" w:eastAsia="es-ES"/>
        </w:rPr>
        <w:t>”</w:t>
      </w:r>
      <w:r w:rsidRPr="0072273B">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Asimismo, el literal f </w:t>
      </w:r>
      <w:r w:rsidRPr="0072273B">
        <w:rPr>
          <w:rFonts w:ascii="Verdana" w:eastAsia="Calibri" w:hAnsi="Verdana" w:cs="Arial"/>
          <w:i/>
          <w:iCs/>
          <w:color w:val="000000" w:themeColor="text1"/>
          <w:lang w:val="es-ES" w:eastAsia="es-ES"/>
        </w:rPr>
        <w:t>ibidem</w:t>
      </w:r>
      <w:r>
        <w:rPr>
          <w:rFonts w:ascii="Verdana" w:eastAsia="Calibri" w:hAnsi="Verdana" w:cs="Arial"/>
          <w:color w:val="000000" w:themeColor="text1"/>
          <w:lang w:val="es-ES" w:eastAsia="es-ES"/>
        </w:rPr>
        <w:t xml:space="preserve"> indica lo siguiente: “</w:t>
      </w:r>
      <w:r w:rsidRPr="0072273B">
        <w:rPr>
          <w:rFonts w:ascii="Verdana" w:eastAsia="Calibri" w:hAnsi="Verdana" w:cs="Arial"/>
          <w:color w:val="000000" w:themeColor="text1"/>
          <w:lang w:val="es-ES" w:eastAsia="es-ES"/>
        </w:rPr>
        <w:t>En el caso de que la Entidad Estatal se niegue a publicar la contratación</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derivada, la fiduciaria que actúe como vocero de los patrimonios</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autónomos, en calidad de contratante, debe publicar la información oficial</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de la contratación derivada en el SECOP I o II mediante una cuenta de</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 xml:space="preserve">entidad compradora en los módulos de </w:t>
      </w:r>
      <w:r>
        <w:rPr>
          <w:rFonts w:ascii="Verdana" w:eastAsia="Calibri" w:hAnsi="Verdana" w:cs="Arial"/>
          <w:color w:val="000000" w:themeColor="text1"/>
          <w:lang w:val="es-ES" w:eastAsia="es-ES"/>
        </w:rPr>
        <w:t>‘</w:t>
      </w:r>
      <w:r w:rsidRPr="0072273B">
        <w:rPr>
          <w:rFonts w:ascii="Verdana" w:eastAsia="Calibri" w:hAnsi="Verdana" w:cs="Arial"/>
          <w:color w:val="000000" w:themeColor="text1"/>
          <w:lang w:val="es-ES" w:eastAsia="es-ES"/>
        </w:rPr>
        <w:t>régimen especial</w:t>
      </w:r>
      <w:r>
        <w:rPr>
          <w:rFonts w:ascii="Verdana" w:eastAsia="Calibri" w:hAnsi="Verdana" w:cs="Arial"/>
          <w:color w:val="000000" w:themeColor="text1"/>
          <w:lang w:val="es-ES" w:eastAsia="es-ES"/>
        </w:rPr>
        <w:t>’”</w:t>
      </w:r>
      <w:r w:rsidRPr="0072273B">
        <w:rPr>
          <w:rFonts w:ascii="Verdana" w:eastAsia="Calibri" w:hAnsi="Verdana" w:cs="Arial"/>
          <w:color w:val="000000" w:themeColor="text1"/>
          <w:lang w:val="es-ES" w:eastAsia="es-ES"/>
        </w:rPr>
        <w:t xml:space="preserve">. </w:t>
      </w:r>
    </w:p>
    <w:p w14:paraId="75230CC5" w14:textId="77777777" w:rsidR="00397555" w:rsidRPr="00104981" w:rsidRDefault="00397555" w:rsidP="00397555">
      <w:pPr>
        <w:spacing w:after="120" w:line="276" w:lineRule="auto"/>
        <w:ind w:firstLine="708"/>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Sin embargo, dicho literal realiza dos (2) precisiones: </w:t>
      </w:r>
      <w:r w:rsidRPr="00104981">
        <w:rPr>
          <w:rFonts w:ascii="Verdana" w:eastAsia="Calibri" w:hAnsi="Verdana" w:cs="Arial"/>
          <w:i/>
          <w:iCs/>
          <w:color w:val="000000" w:themeColor="text1"/>
          <w:lang w:val="es-ES" w:eastAsia="es-ES"/>
        </w:rPr>
        <w:t>por un lado</w:t>
      </w:r>
      <w:r>
        <w:rPr>
          <w:rFonts w:ascii="Verdana" w:eastAsia="Calibri" w:hAnsi="Verdana" w:cs="Arial"/>
          <w:color w:val="000000" w:themeColor="text1"/>
          <w:lang w:val="es-ES" w:eastAsia="es-ES"/>
        </w:rPr>
        <w:t>, “</w:t>
      </w:r>
      <w:r w:rsidRPr="0072273B">
        <w:rPr>
          <w:rFonts w:ascii="Verdana" w:eastAsia="Calibri" w:hAnsi="Verdana" w:cs="Arial"/>
          <w:color w:val="000000" w:themeColor="text1"/>
          <w:lang w:val="es-ES" w:eastAsia="es-ES"/>
        </w:rPr>
        <w:t>En relación con la celebración de contratos o convenios con Entidades Estatales</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en donde el patrimonio autónomo actúe como contratista, la Agencia Nacional</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de Contratación – Colombia Compra Eficiente- recomienda la creación de una</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cuenta como proveedor en el SECOP II, para firmar de manera transaccional los</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contratos o convenios que desee celebrar con las Entidades Estatales que usen el</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SECOP II</w:t>
      </w:r>
      <w:r>
        <w:rPr>
          <w:rFonts w:ascii="Verdana" w:eastAsia="Calibri" w:hAnsi="Verdana" w:cs="Arial"/>
          <w:color w:val="000000" w:themeColor="text1"/>
          <w:lang w:val="es-ES" w:eastAsia="es-ES"/>
        </w:rPr>
        <w:t xml:space="preserve">”; </w:t>
      </w:r>
      <w:r w:rsidRPr="00104981">
        <w:rPr>
          <w:rFonts w:ascii="Verdana" w:eastAsia="Calibri" w:hAnsi="Verdana" w:cs="Arial"/>
          <w:i/>
          <w:iCs/>
          <w:color w:val="000000" w:themeColor="text1"/>
          <w:lang w:val="es-ES" w:eastAsia="es-ES"/>
        </w:rPr>
        <w:t>por otro</w:t>
      </w:r>
      <w:r>
        <w:rPr>
          <w:rFonts w:ascii="Verdana" w:eastAsia="Calibri" w:hAnsi="Verdana" w:cs="Arial"/>
          <w:color w:val="000000" w:themeColor="text1"/>
          <w:lang w:val="es-ES" w:eastAsia="es-ES"/>
        </w:rPr>
        <w:t xml:space="preserve">, “[…] </w:t>
      </w:r>
      <w:r w:rsidRPr="0072273B">
        <w:rPr>
          <w:rFonts w:ascii="Verdana" w:eastAsia="Calibri" w:hAnsi="Verdana" w:cs="Arial"/>
          <w:color w:val="000000" w:themeColor="text1"/>
          <w:lang w:val="es-ES" w:eastAsia="es-ES"/>
        </w:rPr>
        <w:t>la publicación de la contratación derivada deberá</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realizarse, o por la Entidad Estatal fideicomitente o por la fiduciaria que actúe como</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vocero de los patrimonios autónomos en calidad de contratante, pero no por las</w:t>
      </w:r>
      <w:r>
        <w:rPr>
          <w:rFonts w:ascii="Verdana" w:eastAsia="Calibri" w:hAnsi="Verdana" w:cs="Arial"/>
          <w:color w:val="000000" w:themeColor="text1"/>
          <w:lang w:val="es-ES" w:eastAsia="es-ES"/>
        </w:rPr>
        <w:t xml:space="preserve"> </w:t>
      </w:r>
      <w:r w:rsidRPr="0072273B">
        <w:rPr>
          <w:rFonts w:ascii="Verdana" w:eastAsia="Calibri" w:hAnsi="Verdana" w:cs="Arial"/>
          <w:color w:val="000000" w:themeColor="text1"/>
          <w:lang w:val="es-ES" w:eastAsia="es-ES"/>
        </w:rPr>
        <w:t>dos, ya que se generaría una duplicidad de información</w:t>
      </w:r>
      <w:r>
        <w:rPr>
          <w:rFonts w:ascii="Verdana" w:eastAsia="Calibri" w:hAnsi="Verdana" w:cs="Arial"/>
          <w:color w:val="000000" w:themeColor="text1"/>
          <w:lang w:val="es-ES" w:eastAsia="es-ES"/>
        </w:rPr>
        <w:t>”</w:t>
      </w:r>
      <w:r w:rsidRPr="0072273B">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p>
    <w:p w14:paraId="5CADE9EF" w14:textId="77777777" w:rsidR="00397555" w:rsidRPr="00A47393" w:rsidRDefault="00397555" w:rsidP="00397555">
      <w:pPr>
        <w:tabs>
          <w:tab w:val="left" w:pos="709"/>
        </w:tabs>
        <w:spacing w:after="18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6F46625" w14:textId="77777777" w:rsidR="00397555" w:rsidRPr="00185EE9" w:rsidRDefault="00397555" w:rsidP="00397555">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lastRenderedPageBreak/>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38FF57A2" w14:textId="77777777" w:rsidR="00397555" w:rsidRPr="00182C89" w:rsidRDefault="00397555" w:rsidP="00397555">
      <w:pPr>
        <w:tabs>
          <w:tab w:val="left" w:pos="709"/>
        </w:tabs>
        <w:spacing w:after="0" w:line="276" w:lineRule="auto"/>
        <w:jc w:val="both"/>
        <w:rPr>
          <w:rFonts w:ascii="Verdana" w:eastAsia="Calibri" w:hAnsi="Verdana" w:cs="Arial"/>
          <w:color w:val="000000" w:themeColor="text1"/>
        </w:rPr>
      </w:pPr>
    </w:p>
    <w:p w14:paraId="36D1B28D" w14:textId="77777777" w:rsidR="00397555" w:rsidRPr="00593A5F" w:rsidRDefault="00397555" w:rsidP="003975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5BB96C1" w14:textId="77777777" w:rsidR="00397555" w:rsidRPr="00593A5F" w:rsidRDefault="00397555" w:rsidP="0039755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97555" w:rsidRPr="002407CE" w14:paraId="75051BB3" w14:textId="77777777" w:rsidTr="00936C05">
        <w:trPr>
          <w:trHeight w:val="56"/>
          <w:jc w:val="center"/>
        </w:trPr>
        <w:tc>
          <w:tcPr>
            <w:tcW w:w="8647" w:type="dxa"/>
          </w:tcPr>
          <w:p w14:paraId="28932130" w14:textId="77777777" w:rsidR="00397555" w:rsidRDefault="00397555" w:rsidP="00936C0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 209.</w:t>
            </w:r>
          </w:p>
          <w:p w14:paraId="2F6CF552" w14:textId="77777777" w:rsidR="00397555" w:rsidRDefault="00397555" w:rsidP="00936C0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3 y 13.</w:t>
            </w:r>
          </w:p>
          <w:p w14:paraId="020C1E30" w14:textId="77777777" w:rsidR="00397555" w:rsidRDefault="00397555" w:rsidP="00936C0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1712 de 2014, artículos 2, 5 y 6.</w:t>
            </w:r>
          </w:p>
          <w:p w14:paraId="25EED149" w14:textId="77777777" w:rsidR="00397555" w:rsidRDefault="00397555" w:rsidP="00936C0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 53.</w:t>
            </w:r>
          </w:p>
          <w:p w14:paraId="55DF99B0" w14:textId="77777777" w:rsidR="00397555" w:rsidRDefault="00397555" w:rsidP="00936C0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1082 de 2015, artículos </w:t>
            </w:r>
            <w:r w:rsidRPr="002D6629">
              <w:rPr>
                <w:rFonts w:ascii="Verdana" w:hAnsi="Verdana" w:cs="Arial"/>
              </w:rPr>
              <w:t>2.2.1.1.1.3.1</w:t>
            </w:r>
            <w:r>
              <w:rPr>
                <w:rFonts w:ascii="Verdana" w:hAnsi="Verdana" w:cs="Arial"/>
              </w:rPr>
              <w:t xml:space="preserve"> y </w:t>
            </w:r>
            <w:r w:rsidRPr="00F16D2E">
              <w:rPr>
                <w:rFonts w:ascii="Verdana" w:hAnsi="Verdana" w:cs="Arial"/>
              </w:rPr>
              <w:t>2.2.1.1.1.7.1</w:t>
            </w:r>
            <w:r>
              <w:rPr>
                <w:rFonts w:ascii="Verdana" w:hAnsi="Verdana" w:cs="Arial"/>
              </w:rPr>
              <w:t>.</w:t>
            </w:r>
          </w:p>
          <w:p w14:paraId="7E17E04E" w14:textId="77777777" w:rsidR="00397555" w:rsidRPr="001515A7" w:rsidRDefault="00397555" w:rsidP="00936C05">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Código de Comercio, </w:t>
            </w:r>
            <w:r w:rsidRPr="00B05796">
              <w:rPr>
                <w:rFonts w:ascii="Verdana" w:hAnsi="Verdana" w:cs="Arial"/>
              </w:rPr>
              <w:t>artículos 1226 y 1233</w:t>
            </w:r>
            <w:r>
              <w:rPr>
                <w:rFonts w:ascii="Verdana" w:hAnsi="Verdana" w:cs="Arial"/>
              </w:rPr>
              <w:t>.</w:t>
            </w:r>
          </w:p>
        </w:tc>
      </w:tr>
    </w:tbl>
    <w:p w14:paraId="60049C89" w14:textId="77777777" w:rsidR="00397555" w:rsidRPr="002407CE" w:rsidRDefault="00397555" w:rsidP="00397555">
      <w:pPr>
        <w:widowControl w:val="0"/>
        <w:autoSpaceDE w:val="0"/>
        <w:autoSpaceDN w:val="0"/>
        <w:spacing w:after="0" w:line="276" w:lineRule="auto"/>
        <w:jc w:val="both"/>
        <w:rPr>
          <w:rFonts w:ascii="Verdana" w:hAnsi="Verdana" w:cs="Arial"/>
        </w:rPr>
      </w:pPr>
    </w:p>
    <w:p w14:paraId="2BF60D03" w14:textId="77777777" w:rsidR="00397555" w:rsidRPr="00593A5F" w:rsidRDefault="00397555" w:rsidP="003975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95DEC62" w14:textId="77777777" w:rsidR="00397555" w:rsidRPr="00593A5F" w:rsidRDefault="00397555" w:rsidP="00397555">
      <w:pPr>
        <w:widowControl w:val="0"/>
        <w:autoSpaceDE w:val="0"/>
        <w:autoSpaceDN w:val="0"/>
        <w:spacing w:after="0" w:line="276" w:lineRule="auto"/>
        <w:jc w:val="both"/>
        <w:rPr>
          <w:rFonts w:ascii="Verdana" w:hAnsi="Verdana" w:cs="Arial"/>
        </w:rPr>
      </w:pPr>
    </w:p>
    <w:p w14:paraId="4342193C" w14:textId="77777777" w:rsidR="00397555" w:rsidRPr="00ED0098" w:rsidRDefault="00397555" w:rsidP="00397555">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sidRPr="00502997">
        <w:rPr>
          <w:rStyle w:val="normaltextrun"/>
          <w:rFonts w:ascii="Verdana" w:hAnsi="Verdana" w:cs="Arial"/>
          <w:shd w:val="clear" w:color="auto" w:fill="FFFFFF"/>
        </w:rPr>
        <w:t xml:space="preserve">sobre </w:t>
      </w:r>
      <w:r>
        <w:rPr>
          <w:rStyle w:val="normaltextrun"/>
          <w:rFonts w:ascii="Verdana" w:hAnsi="Verdana" w:cs="Arial"/>
          <w:shd w:val="clear" w:color="auto" w:fill="FFFFFF"/>
        </w:rPr>
        <w:t>la publicidad de la información contractual</w:t>
      </w:r>
      <w:r w:rsidRPr="00683260">
        <w:rPr>
          <w:rStyle w:val="normaltextrun"/>
          <w:rFonts w:ascii="Verdana" w:hAnsi="Verdana" w:cs="Arial"/>
          <w:shd w:val="clear" w:color="auto" w:fill="FFFFFF"/>
        </w:rPr>
        <w:t xml:space="preserve"> en los </w:t>
      </w:r>
      <w:r>
        <w:rPr>
          <w:rStyle w:val="normaltextrun"/>
          <w:rFonts w:ascii="Verdana" w:hAnsi="Verdana" w:cs="Arial"/>
          <w:shd w:val="clear" w:color="auto" w:fill="FFFFFF"/>
        </w:rPr>
        <w:t xml:space="preserve">Conceptos </w:t>
      </w:r>
      <w:r w:rsidRPr="001820B2">
        <w:rPr>
          <w:rStyle w:val="normaltextrun"/>
          <w:rFonts w:ascii="Verdana" w:hAnsi="Verdana" w:cs="Arial"/>
          <w:shd w:val="clear" w:color="auto" w:fill="FFFFFF"/>
        </w:rPr>
        <w:t>CU-367 del 23 de julio de 2020,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C-872 del 20 de diciembre de 2024, C-185 del 24 de marzo de 2025, C-292 del 21 de abril de 2025</w:t>
      </w:r>
      <w:r>
        <w:rPr>
          <w:rStyle w:val="normaltextrun"/>
          <w:rFonts w:ascii="Verdana" w:hAnsi="Verdana" w:cs="Arial"/>
          <w:shd w:val="clear" w:color="auto" w:fill="FFFFFF"/>
        </w:rPr>
        <w:t xml:space="preserve"> y</w:t>
      </w:r>
      <w:r w:rsidRPr="001820B2">
        <w:rPr>
          <w:rStyle w:val="normaltextrun"/>
          <w:rFonts w:ascii="Verdana" w:hAnsi="Verdana" w:cs="Arial"/>
          <w:shd w:val="clear" w:color="auto" w:fill="FFFFFF"/>
        </w:rPr>
        <w:t xml:space="preserve"> C-487 del 30 de mayo de 2025</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9CEDE06" w14:textId="77777777" w:rsidR="00397555" w:rsidRPr="00096788" w:rsidRDefault="00397555" w:rsidP="00397555">
      <w:pPr>
        <w:widowControl w:val="0"/>
        <w:autoSpaceDE w:val="0"/>
        <w:autoSpaceDN w:val="0"/>
        <w:spacing w:after="0" w:line="276" w:lineRule="auto"/>
        <w:jc w:val="both"/>
        <w:rPr>
          <w:rFonts w:ascii="Verdana" w:hAnsi="Verdana" w:cs="Arial"/>
          <w:color w:val="000000" w:themeColor="text1"/>
          <w:shd w:val="clear" w:color="auto" w:fill="FFFFFF"/>
        </w:rPr>
      </w:pPr>
    </w:p>
    <w:p w14:paraId="7028741A" w14:textId="77777777" w:rsidR="00397555" w:rsidRDefault="00397555" w:rsidP="00397555">
      <w:pPr>
        <w:spacing w:after="0"/>
        <w:jc w:val="both"/>
      </w:pPr>
      <w:r w:rsidRPr="009A385A">
        <w:rPr>
          <w:rFonts w:ascii="Verdana" w:hAnsi="Verdana"/>
        </w:rPr>
        <w:lastRenderedPageBreak/>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5AFB072C" w14:textId="77777777" w:rsidR="00397555" w:rsidRPr="009A385A" w:rsidRDefault="00397555" w:rsidP="00397555">
      <w:pPr>
        <w:spacing w:after="0"/>
        <w:jc w:val="both"/>
        <w:rPr>
          <w:rFonts w:ascii="Verdana" w:hAnsi="Verdana"/>
        </w:rPr>
      </w:pPr>
    </w:p>
    <w:p w14:paraId="6B4F1B3E" w14:textId="77777777" w:rsidR="00397555" w:rsidRDefault="00397555" w:rsidP="00397555">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54D507D1" w14:textId="77777777" w:rsidR="00397555" w:rsidRDefault="00397555" w:rsidP="00397555">
      <w:pPr>
        <w:spacing w:after="0"/>
        <w:jc w:val="both"/>
        <w:rPr>
          <w:rFonts w:ascii="Verdana" w:hAnsi="Verdana"/>
        </w:rPr>
      </w:pPr>
    </w:p>
    <w:p w14:paraId="0B99C528" w14:textId="77777777" w:rsidR="00397555" w:rsidRPr="008E1CD7" w:rsidRDefault="00397555" w:rsidP="00397555">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52D360C" w14:textId="77777777" w:rsidR="00397555" w:rsidRDefault="00397555" w:rsidP="00397555">
      <w:pPr>
        <w:shd w:val="clear" w:color="auto" w:fill="FFFFFF"/>
        <w:spacing w:after="0" w:line="276" w:lineRule="auto"/>
        <w:jc w:val="both"/>
        <w:rPr>
          <w:rFonts w:ascii="Verdana" w:hAnsi="Verdana"/>
          <w:color w:val="000000"/>
          <w:u w:val="single"/>
        </w:rPr>
      </w:pPr>
    </w:p>
    <w:p w14:paraId="527F2BC5" w14:textId="77777777" w:rsidR="00397555" w:rsidRPr="00116940" w:rsidRDefault="00397555" w:rsidP="00397555">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3BF145B" w14:textId="77777777" w:rsidR="00397555" w:rsidRPr="00116940" w:rsidRDefault="00397555" w:rsidP="00397555">
      <w:pPr>
        <w:spacing w:after="0"/>
        <w:jc w:val="both"/>
        <w:rPr>
          <w:rFonts w:ascii="Verdana" w:hAnsi="Verdana"/>
        </w:rPr>
      </w:pPr>
    </w:p>
    <w:p w14:paraId="047CE791" w14:textId="77777777" w:rsidR="00397555" w:rsidRPr="00116940" w:rsidRDefault="00397555" w:rsidP="00397555">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6CC4692" w14:textId="77777777" w:rsidR="00397555" w:rsidRPr="00116940" w:rsidRDefault="00397555" w:rsidP="00397555">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5BC1EEA" w14:textId="77777777" w:rsidR="00397555" w:rsidRPr="00116940" w:rsidRDefault="00397555" w:rsidP="0039755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3CFAC29C" w14:textId="77777777" w:rsidR="00397555" w:rsidRPr="00116940" w:rsidRDefault="00397555" w:rsidP="0039755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7B08BF13" w14:textId="77777777" w:rsidR="00397555" w:rsidRPr="00116940" w:rsidRDefault="00397555" w:rsidP="00397555">
      <w:pPr>
        <w:spacing w:after="0" w:line="240" w:lineRule="auto"/>
        <w:ind w:left="720"/>
        <w:jc w:val="both"/>
        <w:rPr>
          <w:rFonts w:ascii="Verdana" w:hAnsi="Verdana"/>
        </w:rPr>
      </w:pPr>
    </w:p>
    <w:p w14:paraId="19972508" w14:textId="77777777" w:rsidR="00397555" w:rsidRPr="00116940" w:rsidRDefault="00397555" w:rsidP="00397555">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6745163" w14:textId="77777777" w:rsidR="00397555" w:rsidRPr="00116940" w:rsidRDefault="00397555" w:rsidP="00397555">
      <w:pPr>
        <w:spacing w:after="0" w:line="240" w:lineRule="auto"/>
        <w:rPr>
          <w:rFonts w:ascii="Verdana" w:hAnsi="Verdana"/>
        </w:rPr>
      </w:pPr>
    </w:p>
    <w:p w14:paraId="4763269F" w14:textId="77777777" w:rsidR="00397555" w:rsidRPr="00116940" w:rsidRDefault="00397555" w:rsidP="00397555">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1CD6B91" w14:textId="77777777" w:rsidR="00397555" w:rsidRPr="00116940" w:rsidRDefault="00397555" w:rsidP="00397555">
      <w:pPr>
        <w:spacing w:after="0" w:line="240" w:lineRule="auto"/>
        <w:jc w:val="both"/>
        <w:rPr>
          <w:rFonts w:ascii="Verdana" w:hAnsi="Verdana"/>
        </w:rPr>
      </w:pPr>
    </w:p>
    <w:p w14:paraId="00A4704C" w14:textId="77777777" w:rsidR="00397555" w:rsidRPr="00116940" w:rsidRDefault="00397555" w:rsidP="00397555">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F74C630" w14:textId="77777777" w:rsidR="00397555" w:rsidRPr="00116940" w:rsidRDefault="00397555" w:rsidP="00397555">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DE3EA37" w14:textId="77777777" w:rsidR="00397555" w:rsidRPr="00116940" w:rsidRDefault="00397555" w:rsidP="00397555">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B9D2FED" w14:textId="77777777" w:rsidR="00397555" w:rsidRPr="009C4035" w:rsidRDefault="00397555" w:rsidP="00397555">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484458CF" w14:textId="77777777" w:rsidR="00397555" w:rsidRPr="00593A5F" w:rsidRDefault="00397555" w:rsidP="00397555">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10FE282" w14:textId="77777777" w:rsidR="00397555" w:rsidRPr="00593A5F" w:rsidRDefault="00397555" w:rsidP="00397555">
      <w:pPr>
        <w:widowControl w:val="0"/>
        <w:autoSpaceDE w:val="0"/>
        <w:autoSpaceDN w:val="0"/>
        <w:spacing w:after="0" w:line="276" w:lineRule="auto"/>
        <w:jc w:val="both"/>
        <w:rPr>
          <w:rFonts w:ascii="Verdana" w:hAnsi="Verdana" w:cs="Arial"/>
        </w:rPr>
      </w:pPr>
    </w:p>
    <w:p w14:paraId="59713884" w14:textId="77777777" w:rsidR="00397555" w:rsidRPr="00593A5F" w:rsidRDefault="00397555" w:rsidP="00397555">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7920EFF" w14:textId="58E4272F" w:rsidR="00397555" w:rsidRPr="00593A5F" w:rsidRDefault="00517041" w:rsidP="00397555">
      <w:pPr>
        <w:spacing w:line="276" w:lineRule="auto"/>
        <w:jc w:val="center"/>
        <w:rPr>
          <w:rFonts w:ascii="Verdana" w:hAnsi="Verdana" w:cs="Arial"/>
          <w:color w:val="000000"/>
          <w:lang w:val="es-ES_tradnl" w:eastAsia="es-CO"/>
        </w:rPr>
      </w:pPr>
      <w:r>
        <w:rPr>
          <w:noProof/>
        </w:rPr>
        <w:drawing>
          <wp:inline distT="0" distB="0" distL="0" distR="0" wp14:anchorId="43C00CB1" wp14:editId="39B3BB3E">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97555" w:rsidRPr="00593A5F" w14:paraId="5D4BEEE0" w14:textId="77777777" w:rsidTr="00936C05">
        <w:trPr>
          <w:trHeight w:val="315"/>
        </w:trPr>
        <w:tc>
          <w:tcPr>
            <w:tcW w:w="893" w:type="dxa"/>
            <w:vAlign w:val="center"/>
            <w:hideMark/>
          </w:tcPr>
          <w:p w14:paraId="69563948" w14:textId="77777777" w:rsidR="00397555" w:rsidRPr="003751C7" w:rsidRDefault="00397555" w:rsidP="00936C0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BE06788" w14:textId="77777777" w:rsidR="00397555" w:rsidRPr="00254A7A" w:rsidRDefault="00397555" w:rsidP="00936C05">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5AF0A738" w14:textId="77777777" w:rsidR="00397555" w:rsidRPr="00254A7A" w:rsidRDefault="00397555" w:rsidP="00936C05">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397555" w:rsidRPr="00593A5F" w14:paraId="733F871C" w14:textId="77777777" w:rsidTr="00936C05">
        <w:trPr>
          <w:trHeight w:val="330"/>
        </w:trPr>
        <w:tc>
          <w:tcPr>
            <w:tcW w:w="893" w:type="dxa"/>
            <w:vAlign w:val="center"/>
            <w:hideMark/>
          </w:tcPr>
          <w:p w14:paraId="4517F7EB" w14:textId="77777777" w:rsidR="00397555" w:rsidRPr="003751C7" w:rsidRDefault="00397555" w:rsidP="00936C0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38EC577" w14:textId="77777777" w:rsidR="00397555" w:rsidRPr="001637EC" w:rsidRDefault="00397555" w:rsidP="00936C05">
            <w:pPr>
              <w:pStyle w:val="paragraph"/>
              <w:spacing w:after="0"/>
              <w:contextualSpacing/>
              <w:textAlignment w:val="baseline"/>
              <w:rPr>
                <w:rStyle w:val="normaltextrun"/>
                <w:rFonts w:ascii="Verdana" w:hAnsi="Verdana" w:cs="Arial"/>
                <w:sz w:val="16"/>
                <w:szCs w:val="16"/>
                <w:lang w:val="es-ES_tradnl"/>
              </w:rPr>
            </w:pPr>
            <w:r w:rsidRPr="001637EC">
              <w:rPr>
                <w:rStyle w:val="normaltextrun"/>
                <w:rFonts w:ascii="Verdana" w:hAnsi="Verdana" w:cs="Arial"/>
                <w:sz w:val="16"/>
                <w:szCs w:val="16"/>
                <w:lang w:val="es-ES_tradnl"/>
              </w:rPr>
              <w:t>Alejandro Sarmiento Cantillo</w:t>
            </w:r>
          </w:p>
          <w:p w14:paraId="573A50ED" w14:textId="77777777" w:rsidR="00397555" w:rsidRPr="00A40FD0" w:rsidRDefault="00397555" w:rsidP="00936C05">
            <w:pPr>
              <w:pStyle w:val="paragraph"/>
              <w:spacing w:before="0" w:beforeAutospacing="0" w:after="0" w:afterAutospacing="0"/>
              <w:contextualSpacing/>
              <w:textAlignment w:val="baseline"/>
              <w:rPr>
                <w:rFonts w:ascii="Verdana" w:hAnsi="Verdana" w:cs="Segoe UI"/>
                <w:sz w:val="16"/>
                <w:szCs w:val="16"/>
              </w:rPr>
            </w:pPr>
            <w:r w:rsidRPr="001637EC">
              <w:rPr>
                <w:rStyle w:val="normaltextrun"/>
                <w:rFonts w:ascii="Verdana" w:hAnsi="Verdana" w:cs="Arial"/>
                <w:sz w:val="16"/>
                <w:szCs w:val="16"/>
                <w:lang w:val="es-ES_tradnl"/>
              </w:rPr>
              <w:t>Gestor T1 ‒ 15 de la Subdirección de Gestión Contractual</w:t>
            </w:r>
          </w:p>
        </w:tc>
      </w:tr>
      <w:tr w:rsidR="00397555" w:rsidRPr="00593A5F" w14:paraId="25734B9F" w14:textId="77777777" w:rsidTr="00936C05">
        <w:trPr>
          <w:trHeight w:val="300"/>
        </w:trPr>
        <w:tc>
          <w:tcPr>
            <w:tcW w:w="893" w:type="dxa"/>
            <w:vAlign w:val="center"/>
          </w:tcPr>
          <w:p w14:paraId="672F3667" w14:textId="77777777" w:rsidR="00397555" w:rsidRPr="003751C7" w:rsidRDefault="00397555" w:rsidP="00936C05">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9470994" w14:textId="77777777" w:rsidR="00397555" w:rsidRPr="00FE00BE" w:rsidRDefault="00397555" w:rsidP="00936C05">
            <w:pPr>
              <w:contextualSpacing/>
              <w:rPr>
                <w:rFonts w:ascii="Verdana" w:eastAsia="Calibri" w:hAnsi="Verdana" w:cs="Arial"/>
                <w:sz w:val="16"/>
                <w:szCs w:val="16"/>
                <w:lang w:val="es-ES" w:eastAsia="es-ES"/>
              </w:rPr>
            </w:pPr>
            <w:r w:rsidRPr="6D98AFBD">
              <w:rPr>
                <w:rFonts w:ascii="Verdana" w:eastAsia="Calibri" w:hAnsi="Verdana" w:cs="Arial"/>
                <w:sz w:val="16"/>
                <w:szCs w:val="16"/>
                <w:lang w:val="es-ES" w:eastAsia="es-ES"/>
              </w:rPr>
              <w:t>Carolina Quintero Gacharná</w:t>
            </w:r>
          </w:p>
          <w:p w14:paraId="5547256B" w14:textId="77777777" w:rsidR="00397555" w:rsidRPr="00FE00BE" w:rsidRDefault="00397555" w:rsidP="00936C05">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5328CCC1" w14:textId="77777777" w:rsidR="00397555" w:rsidRDefault="00397555" w:rsidP="00397555"/>
    <w:p w14:paraId="5F43F894" w14:textId="68173877" w:rsidR="00397555" w:rsidRPr="00543BFE" w:rsidRDefault="00397555" w:rsidP="00397555"/>
    <w:p w14:paraId="0F293BF4" w14:textId="61E0109E" w:rsidR="00127233" w:rsidRPr="00B23CAB" w:rsidRDefault="00127233" w:rsidP="00B23CAB"/>
    <w:sectPr w:rsidR="00127233" w:rsidRPr="00B23CA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7F277" w14:textId="77777777" w:rsidR="00D97925" w:rsidRDefault="00D97925" w:rsidP="004A1847">
      <w:pPr>
        <w:spacing w:after="0" w:line="240" w:lineRule="auto"/>
      </w:pPr>
      <w:r>
        <w:separator/>
      </w:r>
    </w:p>
  </w:endnote>
  <w:endnote w:type="continuationSeparator" w:id="0">
    <w:p w14:paraId="289B47C6" w14:textId="77777777" w:rsidR="00D97925" w:rsidRDefault="00D9792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CD3337"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CD3337">
      <w:rPr>
        <w:rFonts w:ascii="Verdana" w:eastAsia="Verdana" w:hAnsi="Verdana" w:cs="Verdana"/>
        <w:b/>
        <w:color w:val="000000" w:themeColor="text1"/>
        <w:sz w:val="18"/>
        <w:szCs w:val="18"/>
        <w:lang w:val="pt-BR" w:eastAsia="es-CO"/>
      </w:rPr>
      <w:t xml:space="preserve">Código: </w:t>
    </w:r>
    <w:r w:rsidRPr="00CD3337">
      <w:rPr>
        <w:rFonts w:ascii="Verdana" w:eastAsia="Verdana" w:hAnsi="Verdana" w:cs="Verdana"/>
        <w:color w:val="000000" w:themeColor="text1"/>
        <w:sz w:val="18"/>
        <w:szCs w:val="18"/>
        <w:lang w:val="pt-BR" w:eastAsia="es-CO"/>
      </w:rPr>
      <w:t xml:space="preserve">CCE-REC-FM-17 </w:t>
    </w:r>
    <w:r w:rsidRPr="00CD3337">
      <w:rPr>
        <w:rFonts w:ascii="Verdana" w:eastAsia="Verdana" w:hAnsi="Verdana" w:cs="Verdana"/>
        <w:b/>
        <w:color w:val="000000" w:themeColor="text1"/>
        <w:sz w:val="18"/>
        <w:szCs w:val="18"/>
        <w:lang w:val="pt-BR" w:eastAsia="es-CO"/>
      </w:rPr>
      <w:t xml:space="preserve">V: </w:t>
    </w:r>
    <w:r w:rsidRPr="00CD3337">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B6BA43" w14:textId="77777777" w:rsidR="00D97925" w:rsidRDefault="00D97925" w:rsidP="004A1847">
      <w:pPr>
        <w:spacing w:after="0" w:line="240" w:lineRule="auto"/>
      </w:pPr>
      <w:r>
        <w:separator/>
      </w:r>
    </w:p>
  </w:footnote>
  <w:footnote w:type="continuationSeparator" w:id="0">
    <w:p w14:paraId="311FF0B1" w14:textId="77777777" w:rsidR="00D97925" w:rsidRDefault="00D97925" w:rsidP="004A1847">
      <w:pPr>
        <w:spacing w:after="0" w:line="240" w:lineRule="auto"/>
      </w:pPr>
      <w:r>
        <w:continuationSeparator/>
      </w:r>
    </w:p>
  </w:footnote>
  <w:footnote w:id="1">
    <w:p w14:paraId="599E41A4" w14:textId="77777777" w:rsidR="00397555" w:rsidRPr="00704CAF" w:rsidRDefault="00397555" w:rsidP="00397555">
      <w:pPr>
        <w:pStyle w:val="Textonotapie"/>
        <w:ind w:firstLine="708"/>
        <w:jc w:val="both"/>
        <w:rPr>
          <w:rFonts w:ascii="Verdana" w:hAnsi="Verdana"/>
          <w:sz w:val="16"/>
          <w:szCs w:val="16"/>
          <w:lang w:val="es-CO"/>
        </w:rPr>
      </w:pPr>
      <w:r w:rsidRPr="00704CAF">
        <w:rPr>
          <w:rStyle w:val="Refdenotaalpie"/>
          <w:rFonts w:ascii="Verdana" w:hAnsi="Verdana"/>
          <w:sz w:val="16"/>
          <w:szCs w:val="16"/>
        </w:rPr>
        <w:footnoteRef/>
      </w:r>
      <w:r w:rsidRPr="00704CAF">
        <w:rPr>
          <w:rFonts w:ascii="Verdana" w:hAnsi="Verdana"/>
          <w:sz w:val="16"/>
          <w:szCs w:val="16"/>
        </w:rPr>
        <w:t xml:space="preserve"> </w:t>
      </w:r>
      <w:r>
        <w:rPr>
          <w:rFonts w:ascii="Verdana" w:hAnsi="Verdana"/>
          <w:sz w:val="16"/>
          <w:szCs w:val="16"/>
        </w:rPr>
        <w:t xml:space="preserve">Sobre las demás preguntas de la consulta se declaró la falta de competencia conforme al oficio con radicado </w:t>
      </w:r>
      <w:r w:rsidRPr="002F3207">
        <w:rPr>
          <w:rFonts w:ascii="Verdana" w:hAnsi="Verdana"/>
          <w:sz w:val="16"/>
          <w:szCs w:val="16"/>
        </w:rPr>
        <w:t>2_2026_03_27_003072</w:t>
      </w:r>
      <w:r>
        <w:rPr>
          <w:rFonts w:ascii="Verdana" w:hAnsi="Verdana"/>
          <w:sz w:val="16"/>
          <w:szCs w:val="16"/>
        </w:rPr>
        <w:t xml:space="preserve"> del 27 de marzo de 2026.</w:t>
      </w:r>
    </w:p>
  </w:footnote>
  <w:footnote w:id="2">
    <w:p w14:paraId="274907B9" w14:textId="77777777" w:rsidR="00397555" w:rsidRPr="00F16D2E" w:rsidRDefault="00397555" w:rsidP="00397555">
      <w:pPr>
        <w:pStyle w:val="Textonotapie"/>
        <w:ind w:right="49" w:firstLine="709"/>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37BA0133" w14:textId="77777777" w:rsidR="00397555" w:rsidRPr="00F16D2E" w:rsidRDefault="00397555" w:rsidP="00397555">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3">
    <w:p w14:paraId="75CCD5D2" w14:textId="77777777" w:rsidR="00397555" w:rsidRPr="00F16D2E" w:rsidRDefault="00397555" w:rsidP="00397555">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vertAlign w:val="superscript"/>
          <w:lang w:val="es-ES" w:eastAsia="es-ES"/>
        </w:rPr>
        <w:footnoteRef/>
      </w:r>
      <w:r w:rsidRPr="00F16D2E">
        <w:rPr>
          <w:rFonts w:ascii="Verdana" w:hAnsi="Verdana" w:cs="Arial"/>
          <w:color w:val="000000" w:themeColor="text1"/>
          <w:sz w:val="16"/>
          <w:szCs w:val="16"/>
          <w:vertAlign w:val="superscript"/>
          <w:lang w:val="es-ES" w:eastAsia="es-ES"/>
        </w:rPr>
        <w:t xml:space="preserve"> </w:t>
      </w:r>
      <w:r w:rsidRPr="00F16D2E">
        <w:rPr>
          <w:rFonts w:ascii="Verdana" w:hAnsi="Verdana" w:cs="Arial"/>
          <w:color w:val="000000" w:themeColor="text1"/>
          <w:sz w:val="16"/>
          <w:szCs w:val="16"/>
          <w:lang w:val="es-ES" w:eastAsia="es-ES"/>
        </w:rPr>
        <w:t>“</w:t>
      </w:r>
      <w:r w:rsidRPr="00F16D2E">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4E33C064" w14:textId="77777777" w:rsidR="00397555" w:rsidRPr="00F16D2E" w:rsidRDefault="00397555" w:rsidP="00397555">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rPr>
        <w:t>[…].</w:t>
      </w:r>
    </w:p>
    <w:p w14:paraId="326893C5" w14:textId="77777777" w:rsidR="00397555" w:rsidRPr="00F16D2E" w:rsidRDefault="00397555" w:rsidP="00397555">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4">
    <w:p w14:paraId="70F9C56E" w14:textId="77777777" w:rsidR="00397555" w:rsidRPr="00F16D2E" w:rsidRDefault="00397555" w:rsidP="00397555">
      <w:pPr>
        <w:pStyle w:val="Textonotapie"/>
        <w:ind w:right="49" w:firstLine="708"/>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14:paraId="3917F723" w14:textId="77777777" w:rsidR="00397555" w:rsidRPr="00F16D2E" w:rsidRDefault="00397555" w:rsidP="00397555">
      <w:pPr>
        <w:pStyle w:val="Textonotapie"/>
        <w:ind w:right="49" w:firstLine="708"/>
        <w:jc w:val="both"/>
        <w:rPr>
          <w:rFonts w:ascii="Verdana" w:hAnsi="Verdana" w:cs="Arial"/>
          <w:color w:val="000000" w:themeColor="text1"/>
          <w:sz w:val="16"/>
          <w:szCs w:val="16"/>
          <w:lang w:val="es-ES"/>
        </w:rPr>
      </w:pPr>
      <w:r w:rsidRPr="00F16D2E">
        <w:rPr>
          <w:rFonts w:ascii="Verdana" w:hAnsi="Verdana" w:cs="Arial"/>
          <w:color w:val="000000" w:themeColor="text1"/>
          <w:sz w:val="16"/>
          <w:szCs w:val="16"/>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footnote>
  <w:footnote w:id="5">
    <w:p w14:paraId="6770BC06" w14:textId="77777777" w:rsidR="00397555" w:rsidRPr="00B05796" w:rsidRDefault="00397555" w:rsidP="00397555">
      <w:pPr>
        <w:pStyle w:val="Textonotapie"/>
        <w:ind w:firstLine="708"/>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Concepto 2013010362-001 del 18 de marzo de 2013. </w:t>
      </w:r>
      <w:hyperlink r:id="rId1" w:history="1">
        <w:r w:rsidRPr="00B05796">
          <w:rPr>
            <w:rStyle w:val="Hipervnculo"/>
            <w:rFonts w:ascii="Verdana" w:hAnsi="Verdana" w:cs="Arial"/>
            <w:color w:val="44546A" w:themeColor="text2"/>
            <w:sz w:val="16"/>
            <w:szCs w:val="16"/>
          </w:rPr>
          <w:t>https://actualicese.com/concepto-2013010362-001-de-18-03-2013</w:t>
        </w:r>
        <w:r w:rsidRPr="00B05796">
          <w:rPr>
            <w:rStyle w:val="Hipervnculo"/>
            <w:rFonts w:ascii="Verdana" w:hAnsi="Verdana" w:cs="Arial"/>
            <w:sz w:val="16"/>
            <w:szCs w:val="16"/>
          </w:rPr>
          <w:t>/</w:t>
        </w:r>
      </w:hyperlink>
      <w:r w:rsidRPr="00B05796">
        <w:rPr>
          <w:rFonts w:ascii="Verdana" w:hAnsi="Verdana"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452BC"/>
    <w:rsid w:val="0015699B"/>
    <w:rsid w:val="001A33BF"/>
    <w:rsid w:val="001E4177"/>
    <w:rsid w:val="001F0B24"/>
    <w:rsid w:val="001F7DC6"/>
    <w:rsid w:val="0022400B"/>
    <w:rsid w:val="002421BB"/>
    <w:rsid w:val="0025796E"/>
    <w:rsid w:val="002605BE"/>
    <w:rsid w:val="002662E9"/>
    <w:rsid w:val="00270050"/>
    <w:rsid w:val="002707A2"/>
    <w:rsid w:val="002951A0"/>
    <w:rsid w:val="002962BC"/>
    <w:rsid w:val="002A093D"/>
    <w:rsid w:val="002A0DD0"/>
    <w:rsid w:val="002A49AC"/>
    <w:rsid w:val="002A64FD"/>
    <w:rsid w:val="002C7A84"/>
    <w:rsid w:val="002E2BF8"/>
    <w:rsid w:val="002E4FD9"/>
    <w:rsid w:val="0030657A"/>
    <w:rsid w:val="0031262A"/>
    <w:rsid w:val="00322A85"/>
    <w:rsid w:val="00324168"/>
    <w:rsid w:val="00330834"/>
    <w:rsid w:val="00341867"/>
    <w:rsid w:val="003448F4"/>
    <w:rsid w:val="00374F5E"/>
    <w:rsid w:val="00377E3E"/>
    <w:rsid w:val="00397555"/>
    <w:rsid w:val="003A2E43"/>
    <w:rsid w:val="003A779E"/>
    <w:rsid w:val="003D0F4D"/>
    <w:rsid w:val="003D5B0D"/>
    <w:rsid w:val="003E0499"/>
    <w:rsid w:val="003E4F80"/>
    <w:rsid w:val="003E6439"/>
    <w:rsid w:val="003F3941"/>
    <w:rsid w:val="00406575"/>
    <w:rsid w:val="00414C74"/>
    <w:rsid w:val="0042722E"/>
    <w:rsid w:val="0044528D"/>
    <w:rsid w:val="00451E9A"/>
    <w:rsid w:val="00466E39"/>
    <w:rsid w:val="00493809"/>
    <w:rsid w:val="004A1847"/>
    <w:rsid w:val="004A305D"/>
    <w:rsid w:val="004D66BF"/>
    <w:rsid w:val="004F21C4"/>
    <w:rsid w:val="004F2732"/>
    <w:rsid w:val="004F685F"/>
    <w:rsid w:val="00517041"/>
    <w:rsid w:val="00533653"/>
    <w:rsid w:val="00542265"/>
    <w:rsid w:val="005566E8"/>
    <w:rsid w:val="00574867"/>
    <w:rsid w:val="00591460"/>
    <w:rsid w:val="005A65E0"/>
    <w:rsid w:val="005C3777"/>
    <w:rsid w:val="005C5CDC"/>
    <w:rsid w:val="005D476C"/>
    <w:rsid w:val="006200BF"/>
    <w:rsid w:val="006219F8"/>
    <w:rsid w:val="00621F87"/>
    <w:rsid w:val="006302F7"/>
    <w:rsid w:val="00646B9F"/>
    <w:rsid w:val="00665D70"/>
    <w:rsid w:val="006900D9"/>
    <w:rsid w:val="00703801"/>
    <w:rsid w:val="00706C16"/>
    <w:rsid w:val="007340C3"/>
    <w:rsid w:val="0075235A"/>
    <w:rsid w:val="00756841"/>
    <w:rsid w:val="007649AB"/>
    <w:rsid w:val="00771D0C"/>
    <w:rsid w:val="007833AC"/>
    <w:rsid w:val="00791EB8"/>
    <w:rsid w:val="007B268C"/>
    <w:rsid w:val="007B7171"/>
    <w:rsid w:val="007C0C0F"/>
    <w:rsid w:val="007C3DC2"/>
    <w:rsid w:val="007E5497"/>
    <w:rsid w:val="00806F5F"/>
    <w:rsid w:val="00820278"/>
    <w:rsid w:val="008258C9"/>
    <w:rsid w:val="00844AE9"/>
    <w:rsid w:val="00851D3E"/>
    <w:rsid w:val="00867F95"/>
    <w:rsid w:val="008843B6"/>
    <w:rsid w:val="00891928"/>
    <w:rsid w:val="008A446D"/>
    <w:rsid w:val="008B25F1"/>
    <w:rsid w:val="008B2B43"/>
    <w:rsid w:val="008D180B"/>
    <w:rsid w:val="008F0EA7"/>
    <w:rsid w:val="00923EEF"/>
    <w:rsid w:val="00931922"/>
    <w:rsid w:val="009419F9"/>
    <w:rsid w:val="0095685E"/>
    <w:rsid w:val="00961B09"/>
    <w:rsid w:val="00965334"/>
    <w:rsid w:val="0097093E"/>
    <w:rsid w:val="009A0DFA"/>
    <w:rsid w:val="009A1C6F"/>
    <w:rsid w:val="009A37EB"/>
    <w:rsid w:val="009B2D26"/>
    <w:rsid w:val="009C71FA"/>
    <w:rsid w:val="009C72E7"/>
    <w:rsid w:val="009C7F7E"/>
    <w:rsid w:val="009D3058"/>
    <w:rsid w:val="009F3A13"/>
    <w:rsid w:val="00A122D3"/>
    <w:rsid w:val="00A14468"/>
    <w:rsid w:val="00A17F13"/>
    <w:rsid w:val="00A20739"/>
    <w:rsid w:val="00A23AF9"/>
    <w:rsid w:val="00A33C78"/>
    <w:rsid w:val="00A66CD5"/>
    <w:rsid w:val="00AB0ADB"/>
    <w:rsid w:val="00B00C0E"/>
    <w:rsid w:val="00B01B1A"/>
    <w:rsid w:val="00B0381D"/>
    <w:rsid w:val="00B23CAB"/>
    <w:rsid w:val="00B44A47"/>
    <w:rsid w:val="00B72CD3"/>
    <w:rsid w:val="00B72FFF"/>
    <w:rsid w:val="00BC3D36"/>
    <w:rsid w:val="00BD54A6"/>
    <w:rsid w:val="00BD7F72"/>
    <w:rsid w:val="00BE6481"/>
    <w:rsid w:val="00BF20D1"/>
    <w:rsid w:val="00BF7425"/>
    <w:rsid w:val="00C04FB3"/>
    <w:rsid w:val="00C11D8B"/>
    <w:rsid w:val="00C15139"/>
    <w:rsid w:val="00C330EB"/>
    <w:rsid w:val="00C3386C"/>
    <w:rsid w:val="00C50D69"/>
    <w:rsid w:val="00C5365C"/>
    <w:rsid w:val="00C61539"/>
    <w:rsid w:val="00C754BE"/>
    <w:rsid w:val="00C76B1C"/>
    <w:rsid w:val="00C925AC"/>
    <w:rsid w:val="00CB6357"/>
    <w:rsid w:val="00CC1B26"/>
    <w:rsid w:val="00CD1680"/>
    <w:rsid w:val="00CD3337"/>
    <w:rsid w:val="00D12508"/>
    <w:rsid w:val="00D361FD"/>
    <w:rsid w:val="00D423A2"/>
    <w:rsid w:val="00D44E26"/>
    <w:rsid w:val="00D520D8"/>
    <w:rsid w:val="00D63AC2"/>
    <w:rsid w:val="00D7383B"/>
    <w:rsid w:val="00D7788A"/>
    <w:rsid w:val="00D97925"/>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04"/>
    <w:rsid w:val="00E92C27"/>
    <w:rsid w:val="00EA0E3D"/>
    <w:rsid w:val="00EC38A7"/>
    <w:rsid w:val="00EE1AA8"/>
    <w:rsid w:val="00F23FEA"/>
    <w:rsid w:val="00F31EDC"/>
    <w:rsid w:val="00F462B3"/>
    <w:rsid w:val="00F5664F"/>
    <w:rsid w:val="00F647C5"/>
    <w:rsid w:val="00F666C4"/>
    <w:rsid w:val="00F75780"/>
    <w:rsid w:val="00F76AFC"/>
    <w:rsid w:val="00F77C10"/>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6D98AFBD"/>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9755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97555"/>
    <w:rPr>
      <w:rFonts w:ascii="Geomanist Light" w:hAnsi="Geomanist Light"/>
      <w:lang w:val="es-ES"/>
    </w:rPr>
  </w:style>
  <w:style w:type="character" w:customStyle="1" w:styleId="s15">
    <w:name w:val="s15"/>
    <w:basedOn w:val="Fuentedeprrafopredeter"/>
    <w:rsid w:val="003975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pse@ipse.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actualicese.com/concepto-2013010362-001-de-18-03-201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593DEB19-D5D6-4649-8F69-5CA6BFC28F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17</Pages>
  <Words>5777</Words>
  <Characters>31774</Characters>
  <Application>Microsoft Office Word</Application>
  <DocSecurity>0</DocSecurity>
  <Lines>264</Lines>
  <Paragraphs>74</Paragraphs>
  <ScaleCrop>false</ScaleCrop>
  <Company/>
  <LinksUpToDate>false</LinksUpToDate>
  <CharactersWithSpaces>37477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2026-04-24T19:53:00Z</dcterms:created>
  <dcterms:modified xsi:type="dcterms:W3CDTF">2026-04-28T19:32:00Z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