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46270" w14:textId="77777777" w:rsidR="00346FAE" w:rsidRDefault="00346FAE" w:rsidP="00346FAE">
      <w:pPr>
        <w:spacing w:after="0"/>
        <w:jc w:val="both"/>
        <w:rPr>
          <w:rFonts w:ascii="Verdana" w:eastAsia="Verdana" w:hAnsi="Verdana" w:cs="Verdana"/>
          <w:b/>
          <w:bCs/>
        </w:rPr>
      </w:pPr>
      <w:bookmarkStart w:id="0" w:name="_Hlk143780582"/>
      <w:r w:rsidRPr="00346FAE">
        <w:rPr>
          <w:rFonts w:ascii="Verdana" w:eastAsia="Verdana" w:hAnsi="Verdana" w:cs="Verdana"/>
          <w:b/>
          <w:bCs/>
        </w:rPr>
        <w:t>LEY DE GARANTÍAS – Finalidad</w:t>
      </w:r>
    </w:p>
    <w:p w14:paraId="5F4CC8B3" w14:textId="77777777" w:rsidR="00346FAE" w:rsidRPr="00346FAE" w:rsidRDefault="00346FAE" w:rsidP="00346FAE">
      <w:pPr>
        <w:spacing w:after="0"/>
        <w:jc w:val="both"/>
        <w:rPr>
          <w:rFonts w:ascii="Verdana" w:eastAsia="Verdana" w:hAnsi="Verdana" w:cs="Verdana"/>
        </w:rPr>
      </w:pPr>
    </w:p>
    <w:p w14:paraId="1F810B3A" w14:textId="15CC6F74"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 xml:space="preserve">[…] Esta Ley se suma al andamiaje de orden constitucional y legal que se ha ocupado de evitar la injerencia inadecuada de intereses particulares en el ejercicio de la función pública. Su propósito es evitar cualquier tipo de arbitrariedad, de ventaja injustificada, de uso irregular de los recursos del Estado en las campañas o falta de garantías en la elección </w:t>
      </w:r>
      <w:r w:rsidR="000C15CC" w:rsidRPr="00346FAE">
        <w:rPr>
          <w:rFonts w:ascii="Verdana" w:eastAsia="Verdana" w:hAnsi="Verdana" w:cs="Verdana"/>
          <w:sz w:val="20"/>
          <w:szCs w:val="20"/>
        </w:rPr>
        <w:t>presidencial</w:t>
      </w:r>
      <w:r w:rsidRPr="00346FAE">
        <w:rPr>
          <w:rFonts w:ascii="Verdana" w:eastAsia="Verdana" w:hAnsi="Verdana" w:cs="Verdana"/>
          <w:sz w:val="20"/>
          <w:szCs w:val="20"/>
        </w:rPr>
        <w:t>. En esta medida, introduce limitaciones para realizar nombramientos, postulaciones, contrataciones o cualquier otro tipo de actividad que implique destinación de recursos públicos bajo el devenir propio de las Entidades Estatales.</w:t>
      </w:r>
    </w:p>
    <w:p w14:paraId="16B1BE97" w14:textId="77777777" w:rsidR="00346FAE" w:rsidRPr="00346FAE" w:rsidRDefault="00346FAE" w:rsidP="00346FAE">
      <w:pPr>
        <w:spacing w:after="0"/>
        <w:jc w:val="both"/>
        <w:rPr>
          <w:rFonts w:ascii="Verdana" w:eastAsia="Verdana" w:hAnsi="Verdana" w:cs="Verdana"/>
        </w:rPr>
      </w:pPr>
    </w:p>
    <w:p w14:paraId="34986DD0" w14:textId="77777777" w:rsidR="00346FAE" w:rsidRDefault="00346FAE" w:rsidP="00346FAE">
      <w:pPr>
        <w:spacing w:after="0"/>
        <w:jc w:val="both"/>
        <w:rPr>
          <w:rFonts w:ascii="Verdana" w:eastAsia="Verdana" w:hAnsi="Verdana" w:cs="Verdana"/>
          <w:b/>
          <w:bCs/>
        </w:rPr>
      </w:pPr>
      <w:r w:rsidRPr="00346FAE">
        <w:rPr>
          <w:rFonts w:ascii="Verdana" w:eastAsia="Verdana" w:hAnsi="Verdana" w:cs="Verdana"/>
          <w:b/>
          <w:bCs/>
        </w:rPr>
        <w:t>LEY DE GARANTÍAS ELECTORALES – Tipos de restricciones – Artículo 33 – Artículo 38</w:t>
      </w:r>
    </w:p>
    <w:p w14:paraId="054BFD40" w14:textId="77777777" w:rsidR="00346FAE" w:rsidRPr="00346FAE" w:rsidRDefault="00346FAE" w:rsidP="00346FAE">
      <w:pPr>
        <w:spacing w:after="0"/>
        <w:jc w:val="both"/>
        <w:rPr>
          <w:rFonts w:ascii="Verdana" w:eastAsia="Verdana" w:hAnsi="Verdana" w:cs="Verdana"/>
        </w:rPr>
      </w:pPr>
    </w:p>
    <w:p w14:paraId="56B991D0"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Precisado el propósito de la Ley, es pertinente señalar que las restricciones consagradas en la citada Ley se dirigen a dos (2) tipos de campañas electorales claramente diferenciadas: i) las presidenciales y ii) las demás que se adelanten para la elección de los demás cargos de elección popular, tanto a nivel nacional como territorial. 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44BEEE9E" w14:textId="77777777" w:rsidR="00346FAE" w:rsidRPr="00346FAE" w:rsidRDefault="00346FAE" w:rsidP="00346FAE">
      <w:pPr>
        <w:spacing w:after="0"/>
        <w:jc w:val="both"/>
        <w:rPr>
          <w:rFonts w:ascii="Verdana" w:eastAsia="Verdana" w:hAnsi="Verdana" w:cs="Verdana"/>
          <w:sz w:val="20"/>
          <w:szCs w:val="20"/>
        </w:rPr>
      </w:pPr>
    </w:p>
    <w:p w14:paraId="628E5B27" w14:textId="4BCA462B"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620C1B28" w14:textId="77777777" w:rsidR="00346FAE" w:rsidRPr="00346FAE" w:rsidRDefault="00346FAE" w:rsidP="00346FAE">
      <w:pPr>
        <w:spacing w:after="0"/>
        <w:jc w:val="both"/>
        <w:rPr>
          <w:rFonts w:ascii="Verdana" w:eastAsia="Verdana" w:hAnsi="Verdana" w:cs="Verdana"/>
        </w:rPr>
      </w:pPr>
    </w:p>
    <w:p w14:paraId="4B27791D" w14:textId="77777777" w:rsidR="00346FAE" w:rsidRDefault="00346FAE" w:rsidP="00346FAE">
      <w:pPr>
        <w:spacing w:after="0"/>
        <w:jc w:val="both"/>
        <w:rPr>
          <w:rFonts w:ascii="Verdana" w:eastAsia="Verdana" w:hAnsi="Verdana" w:cs="Verdana"/>
          <w:b/>
          <w:bCs/>
        </w:rPr>
      </w:pPr>
      <w:r w:rsidRPr="00346FAE">
        <w:rPr>
          <w:rFonts w:ascii="Verdana" w:eastAsia="Verdana" w:hAnsi="Verdana" w:cs="Verdana"/>
          <w:b/>
          <w:bCs/>
        </w:rPr>
        <w:t>LEY DE GARANTÍAS ELECTORALES – Ámbito material – Prohibición articulo 33</w:t>
      </w:r>
    </w:p>
    <w:p w14:paraId="4DE0F445" w14:textId="77777777" w:rsidR="00346FAE" w:rsidRPr="00346FAE" w:rsidRDefault="00346FAE" w:rsidP="00346FAE">
      <w:pPr>
        <w:spacing w:after="0"/>
        <w:jc w:val="both"/>
        <w:rPr>
          <w:rFonts w:ascii="Verdana" w:eastAsia="Verdana" w:hAnsi="Verdana" w:cs="Verdana"/>
        </w:rPr>
      </w:pPr>
    </w:p>
    <w:p w14:paraId="445E298C"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 xml:space="preserve">[…] el ámbito material de la prohibición contenida en el artículo 33 de la Ley 996 de 2005 está delimitado por la expresión “queda prohibida la contratación directa”. A propósito de esta restricción de la Ley de Garantías Electorales, la Sala de Consulta y </w:t>
      </w:r>
      <w:r w:rsidRPr="00346FAE">
        <w:rPr>
          <w:rFonts w:ascii="Verdana" w:eastAsia="Verdana" w:hAnsi="Verdana" w:cs="Verdana"/>
          <w:sz w:val="20"/>
          <w:szCs w:val="20"/>
        </w:rPr>
        <w:lastRenderedPageBreak/>
        <w:t>Servicio Civil del Consejo de Estado ha considerado que […]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p>
    <w:p w14:paraId="28F5A02A" w14:textId="77777777" w:rsidR="00346FAE" w:rsidRPr="00346FAE" w:rsidRDefault="00346FAE" w:rsidP="00346FAE">
      <w:pPr>
        <w:spacing w:after="0"/>
        <w:jc w:val="both"/>
        <w:rPr>
          <w:rFonts w:ascii="Verdana" w:eastAsia="Verdana" w:hAnsi="Verdana" w:cs="Verdana"/>
          <w:sz w:val="20"/>
          <w:szCs w:val="20"/>
        </w:rPr>
      </w:pPr>
    </w:p>
    <w:p w14:paraId="6B6CBBCB"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w:t>
      </w:r>
    </w:p>
    <w:p w14:paraId="23929A67" w14:textId="77777777" w:rsidR="00346FAE" w:rsidRPr="00346FAE" w:rsidRDefault="00346FAE" w:rsidP="00346FAE">
      <w:pPr>
        <w:spacing w:after="0"/>
        <w:jc w:val="both"/>
        <w:rPr>
          <w:rFonts w:ascii="Verdana" w:eastAsia="Verdana" w:hAnsi="Verdana" w:cs="Verdana"/>
          <w:sz w:val="20"/>
          <w:szCs w:val="20"/>
        </w:rPr>
      </w:pPr>
    </w:p>
    <w:p w14:paraId="456D5614"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la selección abreviada. De este modo, las Entidades Públicas, en el período preelectoral de que trata la disposición pueden seguir contratando bajo estos sistemas de selección.</w:t>
      </w:r>
    </w:p>
    <w:p w14:paraId="3179E447" w14:textId="77777777" w:rsidR="00346FAE" w:rsidRPr="00346FAE" w:rsidRDefault="00346FAE" w:rsidP="00346FAE">
      <w:pPr>
        <w:spacing w:after="0"/>
        <w:jc w:val="both"/>
        <w:rPr>
          <w:rFonts w:ascii="Verdana" w:eastAsia="Verdana" w:hAnsi="Verdana" w:cs="Verdana"/>
        </w:rPr>
      </w:pPr>
    </w:p>
    <w:p w14:paraId="0E8C1682" w14:textId="77777777" w:rsidR="00346FAE" w:rsidRDefault="00346FAE" w:rsidP="00346FAE">
      <w:pPr>
        <w:spacing w:after="0"/>
        <w:jc w:val="both"/>
        <w:rPr>
          <w:rFonts w:ascii="Verdana" w:eastAsia="Verdana" w:hAnsi="Verdana" w:cs="Verdana"/>
          <w:b/>
          <w:bCs/>
        </w:rPr>
      </w:pPr>
      <w:r w:rsidRPr="00346FAE">
        <w:rPr>
          <w:rFonts w:ascii="Verdana" w:eastAsia="Verdana" w:hAnsi="Verdana" w:cs="Verdana"/>
          <w:b/>
          <w:bCs/>
        </w:rPr>
        <w:t>LEY DE GARANTÍAS ELECTORALES – Artículo 33 – Excepciones</w:t>
      </w:r>
    </w:p>
    <w:p w14:paraId="6057D020" w14:textId="77777777" w:rsidR="00346FAE" w:rsidRPr="00346FAE" w:rsidRDefault="00346FAE" w:rsidP="00346FAE">
      <w:pPr>
        <w:spacing w:after="0"/>
        <w:jc w:val="both"/>
        <w:rPr>
          <w:rFonts w:ascii="Verdana" w:eastAsia="Verdana" w:hAnsi="Verdana" w:cs="Verdana"/>
          <w:sz w:val="20"/>
          <w:szCs w:val="20"/>
        </w:rPr>
      </w:pPr>
    </w:p>
    <w:p w14:paraId="2F483984"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 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0D350F4"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Conforme a lo consagrado en esta disposición,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3D1CB323" w14:textId="77777777" w:rsidR="00346FAE" w:rsidRPr="00346FAE" w:rsidRDefault="00346FAE" w:rsidP="00346FAE">
      <w:pPr>
        <w:spacing w:after="0"/>
        <w:jc w:val="both"/>
        <w:rPr>
          <w:rFonts w:ascii="Verdana" w:eastAsia="Verdana" w:hAnsi="Verdana" w:cs="Verdana"/>
        </w:rPr>
      </w:pPr>
    </w:p>
    <w:p w14:paraId="45D54581" w14:textId="77777777" w:rsidR="00346FAE" w:rsidRDefault="00346FAE" w:rsidP="00346FAE">
      <w:pPr>
        <w:spacing w:after="0"/>
        <w:jc w:val="both"/>
        <w:rPr>
          <w:rFonts w:ascii="Verdana" w:eastAsia="Verdana" w:hAnsi="Verdana" w:cs="Verdana"/>
          <w:b/>
          <w:bCs/>
        </w:rPr>
      </w:pPr>
      <w:r w:rsidRPr="00346FAE">
        <w:rPr>
          <w:rFonts w:ascii="Verdana" w:eastAsia="Verdana" w:hAnsi="Verdana" w:cs="Verdana"/>
          <w:b/>
          <w:bCs/>
        </w:rPr>
        <w:t>EMPRESAS SOCIALES DEL ESTADO – Régimen Jurídico – Ley 100 de 1993</w:t>
      </w:r>
    </w:p>
    <w:p w14:paraId="59E011A7" w14:textId="77777777" w:rsidR="00346FAE" w:rsidRPr="00346FAE" w:rsidRDefault="00346FAE" w:rsidP="00346FAE">
      <w:pPr>
        <w:spacing w:after="0"/>
        <w:jc w:val="both"/>
        <w:rPr>
          <w:rFonts w:ascii="Verdana" w:eastAsia="Verdana" w:hAnsi="Verdana" w:cs="Verdana"/>
          <w:sz w:val="20"/>
          <w:szCs w:val="20"/>
        </w:rPr>
      </w:pPr>
    </w:p>
    <w:p w14:paraId="21D84DCB" w14:textId="77777777" w:rsid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 xml:space="preserve">[…] ,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w:t>
      </w:r>
      <w:r w:rsidRPr="00346FAE">
        <w:rPr>
          <w:rFonts w:ascii="Verdana" w:eastAsia="Verdana" w:hAnsi="Verdana" w:cs="Verdana"/>
          <w:sz w:val="20"/>
          <w:szCs w:val="20"/>
        </w:rPr>
        <w:lastRenderedPageBreak/>
        <w:t>patrimonio propio y autonomía administrativa, creadas por la Ley o por las asambleas o concejos, según el caso, sometidas al régimen jurídico previsto en este capítulo” […]</w:t>
      </w:r>
    </w:p>
    <w:p w14:paraId="44A57A00" w14:textId="77777777" w:rsidR="00346FAE" w:rsidRPr="00346FAE" w:rsidRDefault="00346FAE" w:rsidP="00346FAE">
      <w:pPr>
        <w:spacing w:after="0"/>
        <w:jc w:val="both"/>
        <w:rPr>
          <w:rFonts w:ascii="Verdana" w:eastAsia="Verdana" w:hAnsi="Verdana" w:cs="Verdana"/>
          <w:sz w:val="20"/>
          <w:szCs w:val="20"/>
        </w:rPr>
      </w:pPr>
    </w:p>
    <w:p w14:paraId="022D2138" w14:textId="77777777" w:rsid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 Además, el mismo artículo 197 estableció el deber de reestructurar y transformar en Empresas Sociales del Estado a las entidades descentralizadas que, al momento de entrada en vigor de la ley referida, prestaban directamente este servicio. Así,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w:t>
      </w:r>
    </w:p>
    <w:p w14:paraId="6EA7E1CB" w14:textId="77777777" w:rsidR="00346FAE" w:rsidRPr="00346FAE" w:rsidRDefault="00346FAE" w:rsidP="00346FAE">
      <w:pPr>
        <w:spacing w:after="0"/>
        <w:jc w:val="both"/>
        <w:rPr>
          <w:rFonts w:ascii="Verdana" w:eastAsia="Verdana" w:hAnsi="Verdana" w:cs="Verdana"/>
          <w:sz w:val="20"/>
          <w:szCs w:val="20"/>
        </w:rPr>
      </w:pPr>
    </w:p>
    <w:p w14:paraId="186004DD" w14:textId="77777777" w:rsidR="00346FAE" w:rsidRDefault="00346FAE" w:rsidP="00346FAE">
      <w:pPr>
        <w:spacing w:after="0"/>
        <w:jc w:val="both"/>
        <w:rPr>
          <w:rFonts w:ascii="Verdana" w:eastAsia="Verdana" w:hAnsi="Verdana" w:cs="Verdana"/>
          <w:b/>
          <w:bCs/>
        </w:rPr>
      </w:pPr>
      <w:r w:rsidRPr="00346FAE">
        <w:rPr>
          <w:rFonts w:ascii="Verdana" w:eastAsia="Verdana" w:hAnsi="Verdana" w:cs="Verdana"/>
          <w:b/>
          <w:bCs/>
        </w:rPr>
        <w:t>LEY DE GARANTÍAS – Empresas sociales del estado – Excepción – Inciso segundo artículo 33</w:t>
      </w:r>
    </w:p>
    <w:p w14:paraId="1919F9D4" w14:textId="77777777" w:rsidR="00346FAE" w:rsidRPr="00346FAE" w:rsidRDefault="00346FAE" w:rsidP="00346FAE">
      <w:pPr>
        <w:spacing w:after="0"/>
        <w:jc w:val="both"/>
        <w:rPr>
          <w:rFonts w:ascii="Verdana" w:eastAsia="Verdana" w:hAnsi="Verdana" w:cs="Verdana"/>
        </w:rPr>
      </w:pPr>
    </w:p>
    <w:p w14:paraId="36A74983"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 el Consejo de Estado ha señalado que “las entidades que presten servicios tendientes a preservar la salud pública o humana deben ser consideradas como entidades sanitarias y en principio estarían exceptuadas de la prohibición de contratación directa.</w:t>
      </w:r>
    </w:p>
    <w:p w14:paraId="3C7EF5E3" w14:textId="77777777" w:rsidR="00346FAE" w:rsidRPr="00346FAE" w:rsidRDefault="00346FAE" w:rsidP="00346FAE">
      <w:pPr>
        <w:spacing w:after="0"/>
        <w:jc w:val="both"/>
        <w:rPr>
          <w:rFonts w:ascii="Verdana" w:eastAsia="Verdana" w:hAnsi="Verdana" w:cs="Verdana"/>
          <w:sz w:val="20"/>
          <w:szCs w:val="20"/>
        </w:rPr>
      </w:pPr>
    </w:p>
    <w:p w14:paraId="4ABBEC0C"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p>
    <w:p w14:paraId="74A87042" w14:textId="77777777" w:rsidR="00346FAE" w:rsidRPr="00346FAE" w:rsidRDefault="00346FAE" w:rsidP="00346FAE">
      <w:pPr>
        <w:spacing w:after="0"/>
        <w:jc w:val="both"/>
        <w:rPr>
          <w:rFonts w:ascii="Verdana" w:eastAsia="Verdana" w:hAnsi="Verdana" w:cs="Verdana"/>
          <w:sz w:val="20"/>
          <w:szCs w:val="20"/>
        </w:rPr>
      </w:pPr>
    </w:p>
    <w:p w14:paraId="265B70D0" w14:textId="77777777" w:rsidR="00346FAE" w:rsidRPr="00346FAE" w:rsidRDefault="00346FAE" w:rsidP="00346FAE">
      <w:pPr>
        <w:spacing w:after="0"/>
        <w:jc w:val="both"/>
        <w:rPr>
          <w:rFonts w:ascii="Verdana" w:eastAsia="Verdana" w:hAnsi="Verdana" w:cs="Verdana"/>
          <w:sz w:val="20"/>
          <w:szCs w:val="20"/>
        </w:rPr>
      </w:pPr>
      <w:r w:rsidRPr="00346FAE">
        <w:rPr>
          <w:rFonts w:ascii="Verdana" w:eastAsia="Verdana" w:hAnsi="Verdana" w:cs="Verdana"/>
          <w:sz w:val="20"/>
          <w:szCs w:val="20"/>
        </w:rPr>
        <w:t xml:space="preserve">Conforme con lo expuesto, las entidades que requieran adelantar procesos de contratación directa durante el periodo de garantías electorales deberán analizar, primero, si se configuran los supuestos establecidos en </w:t>
      </w:r>
      <w:r w:rsidRPr="00346FAE">
        <w:rPr>
          <w:rFonts w:ascii="Verdana" w:eastAsia="Verdana" w:hAnsi="Verdana" w:cs="Verdana"/>
          <w:i/>
          <w:iCs/>
          <w:sz w:val="20"/>
          <w:szCs w:val="20"/>
        </w:rPr>
        <w:t>el artículo 33</w:t>
      </w:r>
      <w:r w:rsidRPr="00346FAE">
        <w:rPr>
          <w:rFonts w:ascii="Verdana" w:eastAsia="Verdana" w:hAnsi="Verdana" w:cs="Verdana"/>
          <w:sz w:val="20"/>
          <w:szCs w:val="20"/>
        </w:rPr>
        <w:t xml:space="preserve"> de la Ley 996 de 2005, es decir, si se trata de cualquier entidad pública que pretenda adelantar un proceso no competitivo. Adicionalmente, será pertinente analizar si se configura alguna de las excepciones previstas en la norma.</w:t>
      </w:r>
    </w:p>
    <w:p w14:paraId="163C908A" w14:textId="7CE77AB3" w:rsidR="00085A57" w:rsidRDefault="00085A57" w:rsidP="005308E8">
      <w:pPr>
        <w:jc w:val="both"/>
        <w:rPr>
          <w:rFonts w:ascii="Verdana" w:eastAsia="Verdana" w:hAnsi="Verdana" w:cs="Verdana"/>
        </w:rPr>
      </w:pPr>
    </w:p>
    <w:p w14:paraId="56B77AE3" w14:textId="77777777" w:rsidR="00346FAE" w:rsidRDefault="00346FAE" w:rsidP="005308E8">
      <w:pPr>
        <w:jc w:val="both"/>
        <w:rPr>
          <w:rFonts w:ascii="Verdana" w:eastAsia="Verdana" w:hAnsi="Verdana" w:cs="Verdana"/>
        </w:rPr>
      </w:pPr>
    </w:p>
    <w:p w14:paraId="1468C46D" w14:textId="0FEF9044" w:rsidR="00C15139" w:rsidRPr="0024624F" w:rsidRDefault="00C15139" w:rsidP="30821638">
      <w:pPr>
        <w:spacing w:after="0"/>
        <w:rPr>
          <w:rFonts w:ascii="Verdana" w:eastAsia="Verdana" w:hAnsi="Verdana" w:cs="Verdana"/>
        </w:rPr>
      </w:pPr>
      <w:r w:rsidRPr="30821638">
        <w:rPr>
          <w:rFonts w:ascii="Verdana" w:eastAsia="Verdana" w:hAnsi="Verdana" w:cs="Verdana"/>
        </w:rPr>
        <w:lastRenderedPageBreak/>
        <w:t xml:space="preserve">Bogotá D.C., </w:t>
      </w:r>
      <w:r w:rsidR="00085A57">
        <w:rPr>
          <w:rFonts w:ascii="Verdana" w:eastAsia="Verdana" w:hAnsi="Verdana" w:cs="Verdana"/>
        </w:rPr>
        <w:t xml:space="preserve">28 </w:t>
      </w:r>
      <w:r w:rsidR="000C15CC">
        <w:rPr>
          <w:rFonts w:ascii="Verdana" w:eastAsia="Verdana" w:hAnsi="Verdana" w:cs="Verdana"/>
        </w:rPr>
        <w:t>de abril</w:t>
      </w:r>
      <w:r w:rsidR="00085A57">
        <w:rPr>
          <w:rFonts w:ascii="Verdana" w:eastAsia="Verdana" w:hAnsi="Verdana" w:cs="Verdana"/>
        </w:rPr>
        <w:t xml:space="preserve"> </w:t>
      </w:r>
      <w:r w:rsidR="000C15CC">
        <w:rPr>
          <w:rFonts w:ascii="Verdana" w:eastAsia="Verdana" w:hAnsi="Verdana" w:cs="Verdana"/>
        </w:rPr>
        <w:t xml:space="preserve">de </w:t>
      </w:r>
      <w:r w:rsidR="00085A57">
        <w:rPr>
          <w:rFonts w:ascii="Verdana" w:eastAsia="Verdana" w:hAnsi="Verdana" w:cs="Verdana"/>
        </w:rPr>
        <w:t>2026</w:t>
      </w:r>
      <w:r>
        <w:tab/>
      </w:r>
    </w:p>
    <w:p w14:paraId="23683A09" w14:textId="4FFDE6AA" w:rsidR="00E90850" w:rsidRDefault="000C15CC" w:rsidP="00E90850">
      <w:pPr>
        <w:spacing w:after="0" w:line="240" w:lineRule="auto"/>
        <w:jc w:val="both"/>
        <w:rPr>
          <w:rFonts w:ascii="Verdana" w:eastAsia="Calibri" w:hAnsi="Verdana" w:cs="Arial"/>
          <w:lang w:val="es-ES" w:eastAsia="es-ES"/>
        </w:rPr>
      </w:pPr>
      <w:r w:rsidRPr="00085A57">
        <w:rPr>
          <w:rFonts w:ascii="Verdana" w:eastAsia="Calibri" w:hAnsi="Verdana" w:cs="Arial"/>
          <w:b/>
          <w:bCs/>
          <w:noProof/>
          <w:lang w:val="es-ES" w:eastAsia="es-ES"/>
        </w:rPr>
        <w:drawing>
          <wp:anchor distT="0" distB="0" distL="114300" distR="114300" simplePos="0" relativeHeight="251658240" behindDoc="0" locked="0" layoutInCell="1" allowOverlap="1" wp14:anchorId="118B7D5A" wp14:editId="4E7E9B81">
            <wp:simplePos x="0" y="0"/>
            <wp:positionH relativeFrom="margin">
              <wp:posOffset>2593340</wp:posOffset>
            </wp:positionH>
            <wp:positionV relativeFrom="paragraph">
              <wp:posOffset>168275</wp:posOffset>
            </wp:positionV>
            <wp:extent cx="3021965" cy="890270"/>
            <wp:effectExtent l="0" t="0" r="6985" b="5080"/>
            <wp:wrapSquare wrapText="bothSides"/>
            <wp:docPr id="4410293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029388" name=""/>
                    <pic:cNvPicPr/>
                  </pic:nvPicPr>
                  <pic:blipFill>
                    <a:blip r:embed="rId11">
                      <a:extLst>
                        <a:ext uri="{28A0092B-C50C-407E-A947-70E740481C1C}">
                          <a14:useLocalDpi xmlns:a14="http://schemas.microsoft.com/office/drawing/2010/main" val="0"/>
                        </a:ext>
                      </a:extLst>
                    </a:blip>
                    <a:stretch>
                      <a:fillRect/>
                    </a:stretch>
                  </pic:blipFill>
                  <pic:spPr>
                    <a:xfrm>
                      <a:off x="0" y="0"/>
                      <a:ext cx="3021965" cy="890270"/>
                    </a:xfrm>
                    <a:prstGeom prst="rect">
                      <a:avLst/>
                    </a:prstGeom>
                  </pic:spPr>
                </pic:pic>
              </a:graphicData>
            </a:graphic>
            <wp14:sizeRelH relativeFrom="margin">
              <wp14:pctWidth>0</wp14:pctWidth>
            </wp14:sizeRelH>
            <wp14:sizeRelV relativeFrom="margin">
              <wp14:pctHeight>0</wp14:pctHeight>
            </wp14:sizeRelV>
          </wp:anchor>
        </w:drawing>
      </w:r>
    </w:p>
    <w:p w14:paraId="4AB9C185" w14:textId="0BB23DEA" w:rsidR="00465DC2" w:rsidRDefault="00465DC2" w:rsidP="00085A57">
      <w:pPr>
        <w:spacing w:after="0" w:line="240" w:lineRule="auto"/>
        <w:jc w:val="right"/>
        <w:rPr>
          <w:rFonts w:ascii="Verdana" w:eastAsia="Calibri" w:hAnsi="Verdana" w:cs="Arial"/>
          <w:b/>
          <w:bCs/>
          <w:lang w:val="es-ES" w:eastAsia="es-ES"/>
        </w:rPr>
      </w:pPr>
    </w:p>
    <w:p w14:paraId="5C177B88" w14:textId="5205FCA2" w:rsidR="00A35B1B" w:rsidRPr="006D785F" w:rsidRDefault="00A35B1B" w:rsidP="00E90850">
      <w:pPr>
        <w:spacing w:after="0" w:line="240" w:lineRule="auto"/>
        <w:jc w:val="both"/>
        <w:rPr>
          <w:rFonts w:ascii="Verdana" w:eastAsia="Calibri" w:hAnsi="Verdana" w:cs="Arial"/>
          <w:b/>
          <w:bCs/>
          <w:lang w:val="es-ES" w:eastAsia="es-ES"/>
        </w:rPr>
      </w:pPr>
      <w:r w:rsidRPr="006D785F">
        <w:rPr>
          <w:rFonts w:ascii="Verdana" w:eastAsia="Calibri" w:hAnsi="Verdana" w:cs="Arial"/>
          <w:b/>
          <w:bCs/>
          <w:lang w:val="es-ES" w:eastAsia="es-ES"/>
        </w:rPr>
        <w:t>Señor(a)</w:t>
      </w:r>
    </w:p>
    <w:p w14:paraId="019AC265" w14:textId="104D522D" w:rsidR="00A35B1B" w:rsidRPr="006D785F" w:rsidRDefault="00A35B1B" w:rsidP="00E90850">
      <w:pPr>
        <w:spacing w:after="0" w:line="240" w:lineRule="auto"/>
        <w:jc w:val="both"/>
        <w:rPr>
          <w:rFonts w:ascii="Verdana" w:eastAsia="Calibri" w:hAnsi="Verdana" w:cs="Arial"/>
          <w:b/>
          <w:bCs/>
          <w:lang w:val="es-ES" w:eastAsia="es-ES"/>
        </w:rPr>
      </w:pPr>
      <w:r w:rsidRPr="006D785F">
        <w:rPr>
          <w:rFonts w:ascii="Verdana" w:eastAsia="Calibri" w:hAnsi="Verdana" w:cs="Arial"/>
          <w:b/>
          <w:bCs/>
          <w:lang w:val="es-ES" w:eastAsia="es-ES"/>
        </w:rPr>
        <w:t>Anónimo</w:t>
      </w:r>
    </w:p>
    <w:p w14:paraId="66DFA130" w14:textId="681E4C05" w:rsidR="00A35B1B" w:rsidRPr="006D785F" w:rsidRDefault="00A509B4" w:rsidP="00E90850">
      <w:pPr>
        <w:spacing w:after="0" w:line="240" w:lineRule="auto"/>
        <w:jc w:val="both"/>
        <w:rPr>
          <w:rFonts w:ascii="Verdana" w:eastAsia="Calibri" w:hAnsi="Verdana" w:cs="Arial"/>
          <w:b/>
          <w:bCs/>
          <w:lang w:val="es-ES_tradnl" w:eastAsia="es-ES_tradnl"/>
        </w:rPr>
      </w:pPr>
      <w:hyperlink r:id="rId12" w:history="1">
        <w:r w:rsidRPr="006D785F">
          <w:rPr>
            <w:rStyle w:val="Hipervnculo"/>
            <w:rFonts w:ascii="Verdana" w:eastAsia="Calibri" w:hAnsi="Verdana" w:cs="Arial"/>
            <w:b/>
            <w:bCs/>
            <w:lang w:val="es-ES" w:eastAsia="es-ES"/>
          </w:rPr>
          <w:t>Mary-joimigu@hotmail.com</w:t>
        </w:r>
      </w:hyperlink>
      <w:r w:rsidRPr="006D785F">
        <w:rPr>
          <w:rFonts w:ascii="Verdana" w:eastAsia="Calibri" w:hAnsi="Verdana" w:cs="Arial"/>
          <w:b/>
          <w:bCs/>
          <w:lang w:val="es-ES" w:eastAsia="es-ES"/>
        </w:rPr>
        <w:t xml:space="preserve"> </w:t>
      </w:r>
    </w:p>
    <w:p w14:paraId="5842CEE0" w14:textId="77777777" w:rsidR="0055038B" w:rsidRPr="006D785F" w:rsidRDefault="0055038B" w:rsidP="0055038B">
      <w:pPr>
        <w:spacing w:after="0" w:line="240" w:lineRule="auto"/>
        <w:jc w:val="both"/>
        <w:rPr>
          <w:rFonts w:ascii="Verdana" w:eastAsia="Calibri" w:hAnsi="Verdana" w:cs="Arial"/>
          <w:lang w:val="es-ES_tradnl" w:eastAsia="es-ES_tradnl"/>
        </w:rPr>
      </w:pPr>
      <w:r w:rsidRPr="006D785F">
        <w:rPr>
          <w:rFonts w:ascii="Verdana" w:eastAsia="Calibri" w:hAnsi="Verdana" w:cs="Arial"/>
          <w:lang w:val="es-ES_tradnl" w:eastAsia="es-ES_tradnl"/>
        </w:rPr>
        <w:t>Bogotá, D.C</w:t>
      </w:r>
    </w:p>
    <w:p w14:paraId="160754C6" w14:textId="77777777" w:rsidR="0055038B" w:rsidRPr="006D785F" w:rsidRDefault="0055038B" w:rsidP="0055038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5038B" w:rsidRPr="006D785F" w14:paraId="20673E99" w14:textId="77777777" w:rsidTr="00BA05D4">
        <w:trPr>
          <w:trHeight w:val="884"/>
        </w:trPr>
        <w:tc>
          <w:tcPr>
            <w:tcW w:w="2689" w:type="dxa"/>
          </w:tcPr>
          <w:p w14:paraId="324BEAE6" w14:textId="77777777" w:rsidR="0055038B" w:rsidRPr="006D785F" w:rsidRDefault="0055038B" w:rsidP="00BA05D4">
            <w:pPr>
              <w:jc w:val="both"/>
              <w:rPr>
                <w:rFonts w:ascii="Verdana" w:eastAsia="Calibri" w:hAnsi="Verdana" w:cs="Arial"/>
                <w:b/>
                <w:bCs/>
                <w:color w:val="7030A0"/>
                <w:lang w:val="es-ES_tradnl" w:eastAsia="es-ES_tradnl"/>
              </w:rPr>
            </w:pPr>
          </w:p>
        </w:tc>
        <w:tc>
          <w:tcPr>
            <w:tcW w:w="6100" w:type="dxa"/>
          </w:tcPr>
          <w:p w14:paraId="257F5186" w14:textId="5C92A6D8" w:rsidR="0055038B" w:rsidRPr="006D785F" w:rsidRDefault="0055038B" w:rsidP="00BA05D4">
            <w:pPr>
              <w:jc w:val="both"/>
              <w:rPr>
                <w:rFonts w:ascii="Verdana" w:eastAsia="Calibri" w:hAnsi="Verdana" w:cs="Arial"/>
                <w:b/>
                <w:bCs/>
                <w:lang w:val="es-ES" w:eastAsia="es-ES"/>
              </w:rPr>
            </w:pPr>
            <w:r w:rsidRPr="006D785F">
              <w:rPr>
                <w:rFonts w:ascii="Verdana" w:eastAsia="Calibri" w:hAnsi="Verdana" w:cs="Arial"/>
                <w:b/>
                <w:bCs/>
                <w:lang w:val="es-ES" w:eastAsia="es-ES"/>
              </w:rPr>
              <w:t xml:space="preserve">Concepto </w:t>
            </w:r>
            <w:r w:rsidR="001528A7" w:rsidRPr="006D785F">
              <w:rPr>
                <w:rFonts w:ascii="Verdana" w:eastAsia="Calibri" w:hAnsi="Verdana" w:cs="Arial"/>
                <w:b/>
                <w:bCs/>
                <w:lang w:eastAsia="es-ES"/>
              </w:rPr>
              <w:t>C-</w:t>
            </w:r>
            <w:r w:rsidR="002663AD" w:rsidRPr="006D785F">
              <w:rPr>
                <w:rFonts w:ascii="Verdana" w:eastAsia="Calibri" w:hAnsi="Verdana" w:cs="Arial"/>
                <w:b/>
                <w:bCs/>
                <w:lang w:eastAsia="es-ES"/>
              </w:rPr>
              <w:t>653</w:t>
            </w:r>
            <w:r w:rsidR="001528A7" w:rsidRPr="006D785F">
              <w:rPr>
                <w:rFonts w:ascii="Verdana" w:eastAsia="Calibri" w:hAnsi="Verdana" w:cs="Arial"/>
                <w:b/>
                <w:bCs/>
                <w:lang w:eastAsia="es-ES"/>
              </w:rPr>
              <w:t xml:space="preserve"> </w:t>
            </w:r>
            <w:r w:rsidRPr="006D785F">
              <w:rPr>
                <w:rFonts w:ascii="Verdana" w:eastAsia="Calibri" w:hAnsi="Verdana" w:cs="Arial"/>
                <w:b/>
                <w:bCs/>
                <w:lang w:val="es-ES" w:eastAsia="es-ES"/>
              </w:rPr>
              <w:t>de 2026</w:t>
            </w:r>
          </w:p>
        </w:tc>
      </w:tr>
      <w:tr w:rsidR="0055038B" w:rsidRPr="006D785F" w14:paraId="5723CCD9" w14:textId="77777777" w:rsidTr="00BA05D4">
        <w:trPr>
          <w:trHeight w:val="884"/>
        </w:trPr>
        <w:tc>
          <w:tcPr>
            <w:tcW w:w="2689" w:type="dxa"/>
          </w:tcPr>
          <w:p w14:paraId="33D940E9" w14:textId="77777777" w:rsidR="0055038B" w:rsidRPr="006D785F" w:rsidRDefault="0055038B" w:rsidP="00BA05D4">
            <w:pPr>
              <w:jc w:val="both"/>
              <w:rPr>
                <w:rFonts w:ascii="Verdana" w:eastAsia="Calibri" w:hAnsi="Verdana" w:cs="Arial"/>
                <w:color w:val="000000"/>
                <w:lang w:val="es-ES_tradnl" w:eastAsia="es-ES_tradnl"/>
              </w:rPr>
            </w:pPr>
            <w:r w:rsidRPr="006D785F">
              <w:rPr>
                <w:rFonts w:ascii="Verdana" w:eastAsia="Calibri" w:hAnsi="Verdana" w:cs="Arial"/>
                <w:b/>
                <w:color w:val="000000"/>
                <w:lang w:val="es-ES_tradnl" w:eastAsia="es-ES_tradnl"/>
              </w:rPr>
              <w:t>Temas:</w:t>
            </w:r>
            <w:r w:rsidRPr="006D785F">
              <w:rPr>
                <w:rFonts w:ascii="Verdana" w:eastAsia="Calibri" w:hAnsi="Verdana" w:cs="Arial"/>
                <w:color w:val="000000"/>
                <w:lang w:val="es-ES_tradnl" w:eastAsia="es-ES_tradnl"/>
              </w:rPr>
              <w:t xml:space="preserve">                   </w:t>
            </w:r>
          </w:p>
        </w:tc>
        <w:tc>
          <w:tcPr>
            <w:tcW w:w="6100" w:type="dxa"/>
          </w:tcPr>
          <w:p w14:paraId="58531850" w14:textId="69601A40" w:rsidR="00BF1DF1" w:rsidRPr="006D785F" w:rsidRDefault="00D8691D" w:rsidP="003D286E">
            <w:pPr>
              <w:spacing w:line="276" w:lineRule="auto"/>
              <w:jc w:val="both"/>
              <w:rPr>
                <w:rFonts w:ascii="Verdana" w:eastAsia="Calibri" w:hAnsi="Verdana" w:cs="Arial"/>
                <w:lang w:val="es-ES" w:eastAsia="es-ES"/>
              </w:rPr>
            </w:pPr>
            <w:r w:rsidRPr="006D785F">
              <w:rPr>
                <w:rFonts w:ascii="Verdana" w:eastAsia="Calibri" w:hAnsi="Verdana" w:cs="Arial"/>
                <w:lang w:val="es-ES" w:eastAsia="es-ES"/>
              </w:rPr>
              <w:t xml:space="preserve">LEY DE GARANTÍAS – Finalidad </w:t>
            </w:r>
            <w:r w:rsidR="00BF1DF1" w:rsidRPr="006D785F">
              <w:rPr>
                <w:rFonts w:ascii="Verdana" w:eastAsia="Calibri" w:hAnsi="Verdana" w:cs="Arial"/>
                <w:lang w:val="es-ES" w:eastAsia="es-ES"/>
              </w:rPr>
              <w:t xml:space="preserve">/ LEY DE GARANTÍAS ELECTORALES – Tipos de restricciones – Artículo 33 – Artículo 38 / LEY DE GARANTÍAS ELECTORALES – Ámbito material – Prohibición articulo 33 / LEY DE GARANTÍAS ELECTORALES </w:t>
            </w:r>
            <w:r w:rsidR="00A75228" w:rsidRPr="006D785F">
              <w:rPr>
                <w:rFonts w:ascii="Verdana" w:eastAsia="Calibri" w:hAnsi="Verdana" w:cs="Arial"/>
                <w:lang w:val="es-ES" w:eastAsia="es-ES"/>
              </w:rPr>
              <w:t>–</w:t>
            </w:r>
            <w:r w:rsidR="00BF1DF1" w:rsidRPr="006D785F">
              <w:rPr>
                <w:rFonts w:ascii="Verdana" w:eastAsia="Calibri" w:hAnsi="Verdana" w:cs="Arial"/>
                <w:lang w:val="es-ES" w:eastAsia="es-ES"/>
              </w:rPr>
              <w:t xml:space="preserve"> </w:t>
            </w:r>
            <w:r w:rsidR="00A75228" w:rsidRPr="006D785F">
              <w:rPr>
                <w:rFonts w:ascii="Verdana" w:eastAsia="Calibri" w:hAnsi="Verdana" w:cs="Arial"/>
                <w:lang w:val="es-ES" w:eastAsia="es-ES"/>
              </w:rPr>
              <w:t>Artículo 33 – Excepciones / EMPRESAS SOCIALES DEL ESTADO – Régimen Jurídico – Ley 100 de 1993 / LEY DE GARANTÍAS – Empresas sociales del estado – Excepción – Inciso segundo artículo 33</w:t>
            </w:r>
          </w:p>
          <w:p w14:paraId="693FFEEE" w14:textId="04A40E66" w:rsidR="00BF1DF1" w:rsidRPr="006D785F" w:rsidRDefault="00BF1DF1" w:rsidP="003D286E">
            <w:pPr>
              <w:spacing w:line="276" w:lineRule="auto"/>
              <w:jc w:val="both"/>
              <w:rPr>
                <w:rFonts w:ascii="Verdana" w:eastAsia="Calibri" w:hAnsi="Verdana" w:cs="Arial"/>
                <w:lang w:val="es-ES" w:eastAsia="es-ES"/>
              </w:rPr>
            </w:pPr>
          </w:p>
        </w:tc>
      </w:tr>
      <w:tr w:rsidR="0055038B" w:rsidRPr="006D785F" w14:paraId="4985FDFF" w14:textId="77777777" w:rsidTr="00A151FF">
        <w:trPr>
          <w:trHeight w:val="432"/>
        </w:trPr>
        <w:tc>
          <w:tcPr>
            <w:tcW w:w="2689" w:type="dxa"/>
          </w:tcPr>
          <w:p w14:paraId="13767940" w14:textId="77777777" w:rsidR="0055038B" w:rsidRPr="006D785F" w:rsidRDefault="0055038B" w:rsidP="00BA05D4">
            <w:pPr>
              <w:jc w:val="both"/>
              <w:rPr>
                <w:rFonts w:ascii="Verdana" w:eastAsia="Calibri" w:hAnsi="Verdana" w:cs="Arial"/>
                <w:b/>
                <w:lang w:val="es-ES_tradnl" w:eastAsia="es-ES_tradnl"/>
              </w:rPr>
            </w:pPr>
            <w:r w:rsidRPr="006D785F">
              <w:rPr>
                <w:rFonts w:ascii="Verdana" w:eastAsia="Calibri" w:hAnsi="Verdana" w:cs="Arial"/>
                <w:b/>
                <w:lang w:val="es-ES_tradnl" w:eastAsia="es-ES_tradnl"/>
              </w:rPr>
              <w:t>Radicación:</w:t>
            </w:r>
            <w:r w:rsidRPr="006D785F">
              <w:rPr>
                <w:rFonts w:ascii="Verdana" w:eastAsia="Calibri" w:hAnsi="Verdana" w:cs="Arial"/>
                <w:lang w:val="es-ES_tradnl" w:eastAsia="es-ES_tradnl"/>
              </w:rPr>
              <w:t xml:space="preserve">               </w:t>
            </w:r>
          </w:p>
        </w:tc>
        <w:tc>
          <w:tcPr>
            <w:tcW w:w="6100" w:type="dxa"/>
          </w:tcPr>
          <w:p w14:paraId="43164C9D" w14:textId="00FACD36" w:rsidR="0055038B" w:rsidRPr="006D785F" w:rsidRDefault="0055038B" w:rsidP="00BA05D4">
            <w:pPr>
              <w:jc w:val="both"/>
              <w:rPr>
                <w:rFonts w:ascii="Verdana" w:eastAsia="Calibri" w:hAnsi="Verdana" w:cs="Arial"/>
                <w:lang w:val="es-ES_tradnl" w:eastAsia="es-ES_tradnl"/>
              </w:rPr>
            </w:pPr>
            <w:r w:rsidRPr="006D785F">
              <w:rPr>
                <w:rFonts w:ascii="Verdana" w:eastAsia="Calibri" w:hAnsi="Verdana" w:cs="Arial"/>
                <w:lang w:val="es-ES_tradnl" w:eastAsia="es-ES_tradnl"/>
              </w:rPr>
              <w:t>Respuesta a consulta con radicado No.</w:t>
            </w:r>
            <w:r w:rsidR="007E0913" w:rsidRPr="006D785F">
              <w:rPr>
                <w:rFonts w:ascii="Verdana" w:eastAsia="Calibri" w:hAnsi="Verdana" w:cs="Arial"/>
                <w:lang w:val="es-ES_tradnl" w:eastAsia="es-ES_tradnl"/>
              </w:rPr>
              <w:t xml:space="preserve"> </w:t>
            </w:r>
            <w:r w:rsidR="00387599" w:rsidRPr="006D785F">
              <w:rPr>
                <w:rFonts w:ascii="Verdana" w:eastAsia="Calibri" w:hAnsi="Verdana" w:cs="Arial"/>
                <w:lang w:eastAsia="es-ES_tradnl"/>
              </w:rPr>
              <w:t>1_2026_04_20_005332</w:t>
            </w:r>
          </w:p>
        </w:tc>
      </w:tr>
    </w:tbl>
    <w:p w14:paraId="346E0D1C" w14:textId="77777777" w:rsidR="0055038B" w:rsidRPr="006D785F" w:rsidRDefault="0055038B" w:rsidP="0055038B">
      <w:pPr>
        <w:spacing w:after="0" w:line="240" w:lineRule="auto"/>
        <w:jc w:val="both"/>
        <w:rPr>
          <w:rFonts w:ascii="Verdana" w:eastAsia="Calibri" w:hAnsi="Verdana" w:cs="Arial"/>
          <w:lang w:val="es-ES_tradnl" w:eastAsia="es-ES_tradnl"/>
        </w:rPr>
      </w:pPr>
    </w:p>
    <w:p w14:paraId="7CF9AD1B" w14:textId="77777777" w:rsidR="0055038B" w:rsidRPr="006D785F" w:rsidRDefault="0055038B" w:rsidP="0055038B">
      <w:pPr>
        <w:spacing w:after="0" w:line="240" w:lineRule="auto"/>
        <w:jc w:val="both"/>
        <w:rPr>
          <w:rFonts w:ascii="Verdana" w:eastAsia="Calibri" w:hAnsi="Verdana" w:cs="Arial"/>
          <w:color w:val="000000"/>
          <w:lang w:val="es-ES_tradnl" w:eastAsia="es-ES_tradnl"/>
        </w:rPr>
      </w:pPr>
    </w:p>
    <w:p w14:paraId="7EE2802E" w14:textId="398A0AA2" w:rsidR="0055038B" w:rsidRPr="006D785F" w:rsidRDefault="0055038B" w:rsidP="00B05EB8">
      <w:pPr>
        <w:spacing w:after="0" w:line="276" w:lineRule="auto"/>
        <w:jc w:val="both"/>
        <w:rPr>
          <w:rFonts w:ascii="Verdana" w:eastAsia="Calibri" w:hAnsi="Verdana" w:cs="Arial"/>
          <w:color w:val="000000" w:themeColor="text1"/>
          <w:lang w:val="es-ES" w:eastAsia="es-ES"/>
        </w:rPr>
      </w:pPr>
      <w:r w:rsidRPr="006D785F">
        <w:rPr>
          <w:rFonts w:ascii="Verdana" w:eastAsia="Calibri" w:hAnsi="Verdana" w:cs="Arial"/>
          <w:color w:val="000000" w:themeColor="text1"/>
          <w:lang w:val="es-ES" w:eastAsia="es-ES"/>
        </w:rPr>
        <w:t>Estimado</w:t>
      </w:r>
      <w:r w:rsidR="00B05EB8" w:rsidRPr="006D785F">
        <w:rPr>
          <w:rFonts w:ascii="Verdana" w:eastAsia="Calibri" w:hAnsi="Verdana" w:cs="Arial"/>
          <w:color w:val="000000" w:themeColor="text1"/>
          <w:lang w:val="es-ES" w:eastAsia="es-ES"/>
        </w:rPr>
        <w:t xml:space="preserve"> </w:t>
      </w:r>
      <w:r w:rsidR="00387599" w:rsidRPr="006D785F">
        <w:rPr>
          <w:rFonts w:ascii="Verdana" w:eastAsia="Calibri" w:hAnsi="Verdana" w:cs="Arial"/>
          <w:color w:val="000000" w:themeColor="text1"/>
          <w:lang w:val="es-ES" w:eastAsia="es-ES"/>
        </w:rPr>
        <w:t>Señor(a),</w:t>
      </w:r>
      <w:r w:rsidR="00B05EB8" w:rsidRPr="006D785F">
        <w:rPr>
          <w:rFonts w:ascii="Verdana" w:eastAsia="Calibri" w:hAnsi="Verdana" w:cs="Arial"/>
          <w:color w:val="000000" w:themeColor="text1"/>
          <w:lang w:val="es-ES" w:eastAsia="es-ES"/>
        </w:rPr>
        <w:t xml:space="preserve"> cordial saludo, </w:t>
      </w:r>
    </w:p>
    <w:p w14:paraId="42DEB4CE" w14:textId="77777777" w:rsidR="00B05EB8" w:rsidRPr="006D785F" w:rsidRDefault="00B05EB8" w:rsidP="00B05EB8">
      <w:pPr>
        <w:spacing w:after="0" w:line="276" w:lineRule="auto"/>
        <w:jc w:val="both"/>
        <w:rPr>
          <w:rFonts w:ascii="Verdana" w:eastAsia="Calibri" w:hAnsi="Verdana" w:cs="Arial"/>
          <w:color w:val="000000" w:themeColor="text1"/>
          <w:lang w:val="es-ES" w:eastAsia="es-ES"/>
        </w:rPr>
      </w:pPr>
    </w:p>
    <w:p w14:paraId="525C5BD9" w14:textId="28FDDD7C" w:rsidR="0055038B" w:rsidRPr="006D785F" w:rsidRDefault="0055038B" w:rsidP="0055038B">
      <w:pPr>
        <w:spacing w:after="0" w:line="276" w:lineRule="auto"/>
        <w:jc w:val="both"/>
        <w:rPr>
          <w:rFonts w:ascii="Verdana" w:eastAsia="Calibri" w:hAnsi="Verdana" w:cs="Arial"/>
          <w:color w:val="7030A0"/>
          <w:lang w:val="es-ES" w:eastAsia="es-ES"/>
        </w:rPr>
      </w:pPr>
      <w:r w:rsidRPr="006D785F">
        <w:rPr>
          <w:rFonts w:ascii="Verdana" w:eastAsia="Calibri" w:hAnsi="Verdana" w:cs="Arial"/>
          <w:color w:val="000000" w:themeColor="text1"/>
          <w:lang w:val="es-ES" w:eastAsia="es-ES"/>
        </w:rPr>
        <w:t>En ejercicio de la competencia otorgada por los artículos 3, numeral 5º, y 11, numeral 8º, del Decreto Ley 4170 de 2011,</w:t>
      </w:r>
      <w:r w:rsidRPr="006D785F">
        <w:rPr>
          <w:rFonts w:ascii="Verdana" w:eastAsia="Arial MT" w:hAnsi="Verdana" w:cs="Arial MT"/>
          <w:lang w:val="es-ES" w:eastAsia="es-ES"/>
        </w:rPr>
        <w:t xml:space="preserve"> </w:t>
      </w:r>
      <w:r w:rsidRPr="006D785F">
        <w:rPr>
          <w:rFonts w:ascii="Verdana" w:hAnsi="Verdana" w:cs="Arial"/>
        </w:rPr>
        <w:t xml:space="preserve">así como lo establecido la </w:t>
      </w:r>
      <w:r w:rsidRPr="006D785F">
        <w:rPr>
          <w:rFonts w:ascii="Verdana" w:eastAsia="Verdana" w:hAnsi="Verdana" w:cs="Verdana"/>
          <w:color w:val="000000" w:themeColor="text1"/>
        </w:rPr>
        <w:t>Resolución 469 de 2025</w:t>
      </w:r>
      <w:r w:rsidRPr="006D785F">
        <w:rPr>
          <w:rFonts w:ascii="Verdana" w:hAnsi="Verdana" w:cs="Arial"/>
        </w:rPr>
        <w:t xml:space="preserve"> expedida por esta Entidad, </w:t>
      </w:r>
      <w:r w:rsidRPr="006D785F">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387599" w:rsidRPr="006D785F">
        <w:rPr>
          <w:rFonts w:ascii="Verdana" w:eastAsia="Calibri" w:hAnsi="Verdana" w:cs="Arial"/>
          <w:lang w:val="es-ES" w:eastAsia="es-ES"/>
        </w:rPr>
        <w:t>20</w:t>
      </w:r>
      <w:r w:rsidR="001528A7" w:rsidRPr="006D785F">
        <w:rPr>
          <w:rFonts w:ascii="Verdana" w:eastAsia="Calibri" w:hAnsi="Verdana" w:cs="Arial"/>
          <w:lang w:val="es-ES" w:eastAsia="es-ES"/>
        </w:rPr>
        <w:t xml:space="preserve"> de abril</w:t>
      </w:r>
      <w:r w:rsidRPr="006D785F">
        <w:rPr>
          <w:rFonts w:ascii="Verdana" w:eastAsia="Calibri" w:hAnsi="Verdana" w:cs="Arial"/>
          <w:lang w:val="es-ES" w:eastAsia="es-ES"/>
        </w:rPr>
        <w:t xml:space="preserve"> de 2026, en la cual manifiesta lo siguiente: </w:t>
      </w:r>
    </w:p>
    <w:p w14:paraId="3C3C667A" w14:textId="77777777" w:rsidR="0055038B" w:rsidRPr="006D785F" w:rsidRDefault="0055038B" w:rsidP="0055038B">
      <w:pPr>
        <w:pStyle w:val="Prrafodelista"/>
        <w:tabs>
          <w:tab w:val="left" w:pos="142"/>
          <w:tab w:val="left" w:pos="284"/>
        </w:tabs>
        <w:spacing w:line="276" w:lineRule="auto"/>
        <w:ind w:left="0"/>
        <w:jc w:val="both"/>
        <w:rPr>
          <w:rFonts w:ascii="Verdana" w:eastAsia="Century Gothic" w:hAnsi="Verdana" w:cs="Century Gothic"/>
          <w:b/>
          <w:bCs/>
          <w:i/>
          <w:iCs/>
        </w:rPr>
      </w:pPr>
    </w:p>
    <w:p w14:paraId="64E6943C" w14:textId="77777777" w:rsidR="008E12DA" w:rsidRPr="006D785F" w:rsidRDefault="008E12DA" w:rsidP="008E12DA">
      <w:pPr>
        <w:pStyle w:val="Prrafodelista"/>
        <w:spacing w:after="0" w:line="240" w:lineRule="auto"/>
        <w:ind w:left="1069" w:right="709"/>
        <w:jc w:val="both"/>
        <w:rPr>
          <w:rFonts w:ascii="Verdana" w:eastAsia="Century Gothic" w:hAnsi="Verdana" w:cs="Century Gothic"/>
          <w:i/>
          <w:iCs/>
          <w:sz w:val="20"/>
          <w:szCs w:val="20"/>
        </w:rPr>
      </w:pPr>
      <w:r w:rsidRPr="006D785F">
        <w:rPr>
          <w:rFonts w:ascii="Verdana" w:eastAsia="Century Gothic" w:hAnsi="Verdana" w:cs="Century Gothic"/>
          <w:i/>
          <w:iCs/>
          <w:sz w:val="20"/>
          <w:szCs w:val="20"/>
        </w:rPr>
        <w:t>“Cordial saludo,</w:t>
      </w:r>
    </w:p>
    <w:p w14:paraId="78DB3694" w14:textId="2615B282" w:rsidR="007A587F" w:rsidRPr="006D785F" w:rsidRDefault="008E12DA" w:rsidP="00C44BB4">
      <w:pPr>
        <w:pStyle w:val="Prrafodelista"/>
        <w:spacing w:after="0" w:line="240" w:lineRule="auto"/>
        <w:ind w:left="1069" w:right="709"/>
        <w:jc w:val="both"/>
        <w:rPr>
          <w:rFonts w:ascii="Verdana" w:eastAsia="Century Gothic" w:hAnsi="Verdana" w:cs="Century Gothic"/>
          <w:i/>
          <w:iCs/>
          <w:sz w:val="20"/>
          <w:szCs w:val="20"/>
        </w:rPr>
      </w:pPr>
      <w:r w:rsidRPr="006D785F">
        <w:rPr>
          <w:rFonts w:ascii="Verdana" w:eastAsia="Century Gothic" w:hAnsi="Verdana" w:cs="Century Gothic"/>
          <w:i/>
          <w:iCs/>
          <w:sz w:val="20"/>
          <w:szCs w:val="20"/>
        </w:rPr>
        <w:t xml:space="preserve">¿Quisiera saber si en una ESE se pueden realizar contratos de prestación de servicios en el área administrativa durante la vigencia de la ley de garantías, con contratos de prestación de servicios en el área administrativa me refiero en el área financiera, en jurídica, planeación, control interno, archivo, </w:t>
      </w:r>
      <w:r w:rsidR="00C44BB4" w:rsidRPr="006D785F">
        <w:rPr>
          <w:rFonts w:ascii="Verdana" w:eastAsia="Century Gothic" w:hAnsi="Verdana" w:cs="Century Gothic"/>
          <w:i/>
          <w:iCs/>
          <w:sz w:val="20"/>
          <w:szCs w:val="20"/>
        </w:rPr>
        <w:t xml:space="preserve">etc.?, así mismo quisiera saber </w:t>
      </w:r>
      <w:r w:rsidR="00C44BB4" w:rsidRPr="006D785F">
        <w:rPr>
          <w:rFonts w:ascii="Verdana" w:eastAsia="Century Gothic" w:hAnsi="Verdana" w:cs="Century Gothic"/>
          <w:i/>
          <w:iCs/>
          <w:sz w:val="20"/>
          <w:szCs w:val="20"/>
        </w:rPr>
        <w:lastRenderedPageBreak/>
        <w:t>que prohibiciones y/o excepciones tiene la entidad en materia de contratación durante la ley de garantías.:</w:t>
      </w:r>
      <w:r w:rsidR="00C72866" w:rsidRPr="006D785F">
        <w:rPr>
          <w:rFonts w:ascii="Verdana" w:eastAsia="Century Gothic" w:hAnsi="Verdana" w:cs="Century Gothic"/>
          <w:i/>
          <w:iCs/>
          <w:sz w:val="20"/>
          <w:szCs w:val="20"/>
        </w:rPr>
        <w:t>”</w:t>
      </w:r>
    </w:p>
    <w:p w14:paraId="64BA15E0" w14:textId="77777777" w:rsidR="00B25313" w:rsidRPr="006D785F" w:rsidRDefault="00B25313" w:rsidP="00F83838">
      <w:pPr>
        <w:spacing w:after="0" w:line="240" w:lineRule="auto"/>
        <w:ind w:right="709"/>
        <w:jc w:val="both"/>
        <w:rPr>
          <w:rFonts w:ascii="Verdana" w:eastAsia="Century Gothic" w:hAnsi="Verdana" w:cs="Century Gothic"/>
          <w:i/>
          <w:iCs/>
          <w:sz w:val="20"/>
          <w:szCs w:val="20"/>
        </w:rPr>
      </w:pPr>
    </w:p>
    <w:p w14:paraId="66F0FF69" w14:textId="77777777" w:rsidR="0055038B" w:rsidRPr="006D785F" w:rsidRDefault="0055038B" w:rsidP="0055038B">
      <w:pPr>
        <w:spacing w:after="120" w:line="276" w:lineRule="auto"/>
        <w:ind w:firstLine="709"/>
        <w:jc w:val="both"/>
        <w:rPr>
          <w:rFonts w:ascii="Verdana" w:eastAsia="Calibri" w:hAnsi="Verdana" w:cs="Arial"/>
          <w:color w:val="000000"/>
          <w:szCs w:val="24"/>
          <w:lang w:val="es-ES_tradnl" w:eastAsia="es-ES_tradnl"/>
        </w:rPr>
      </w:pPr>
      <w:r w:rsidRPr="006D78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D785F">
        <w:rPr>
          <w:rFonts w:ascii="Verdana" w:eastAsia="Calibri" w:hAnsi="Verdana" w:cs="Arial"/>
          <w:color w:val="000000"/>
          <w:szCs w:val="24"/>
          <w:lang w:val="es-ES_tradnl" w:eastAsia="es-ES_tradnl"/>
        </w:rPr>
        <w:tab/>
      </w:r>
    </w:p>
    <w:p w14:paraId="0D73DF94" w14:textId="5DCA9F55" w:rsidR="00C72866" w:rsidRPr="006D785F" w:rsidRDefault="0055038B" w:rsidP="00565522">
      <w:pPr>
        <w:spacing w:after="0" w:line="276" w:lineRule="auto"/>
        <w:ind w:firstLine="709"/>
        <w:jc w:val="both"/>
        <w:rPr>
          <w:rFonts w:ascii="Verdana" w:eastAsia="Calibri" w:hAnsi="Verdana" w:cs="Arial"/>
          <w:color w:val="000000"/>
          <w:lang w:val="es-ES" w:eastAsia="es-ES"/>
        </w:rPr>
      </w:pPr>
      <w:r w:rsidRPr="006D785F">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6D785F">
        <w:rPr>
          <w:rFonts w:ascii="Verdana" w:eastAsia="Calibri" w:hAnsi="Verdana" w:cs="Arial"/>
          <w:lang w:val="es-ES" w:eastAsia="es-ES"/>
        </w:rPr>
        <w:t xml:space="preserve">el problema </w:t>
      </w:r>
      <w:r w:rsidRPr="006D785F">
        <w:rPr>
          <w:rFonts w:ascii="Verdana" w:eastAsia="Calibri" w:hAnsi="Verdana" w:cs="Arial"/>
          <w:color w:val="000000"/>
          <w:lang w:val="es-ES" w:eastAsia="es-ES"/>
        </w:rPr>
        <w:t xml:space="preserve">jurídico de su consulta. </w:t>
      </w:r>
    </w:p>
    <w:p w14:paraId="7BB6C2A8" w14:textId="77777777" w:rsidR="00C44BB4" w:rsidRPr="006D785F" w:rsidRDefault="00C44BB4" w:rsidP="00565522">
      <w:pPr>
        <w:spacing w:after="0" w:line="276" w:lineRule="auto"/>
        <w:ind w:firstLine="709"/>
        <w:jc w:val="both"/>
        <w:rPr>
          <w:rFonts w:ascii="Verdana" w:eastAsia="Calibri" w:hAnsi="Verdana" w:cs="Arial"/>
          <w:color w:val="000000"/>
          <w:lang w:val="es-ES" w:eastAsia="es-ES"/>
        </w:rPr>
      </w:pPr>
    </w:p>
    <w:p w14:paraId="32A19F9C" w14:textId="77777777" w:rsidR="0055038B" w:rsidRPr="006D785F" w:rsidRDefault="0055038B" w:rsidP="005503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D785F">
        <w:rPr>
          <w:rFonts w:ascii="Verdana" w:eastAsia="Century Gothic" w:hAnsi="Verdana" w:cs="Century Gothic"/>
          <w:b/>
          <w:bCs/>
        </w:rPr>
        <w:t>Problema planteado:</w:t>
      </w:r>
    </w:p>
    <w:p w14:paraId="7D7504A0" w14:textId="77777777" w:rsidR="0055038B" w:rsidRPr="006D785F" w:rsidRDefault="0055038B" w:rsidP="0055038B">
      <w:pPr>
        <w:tabs>
          <w:tab w:val="left" w:pos="426"/>
        </w:tabs>
        <w:spacing w:after="0" w:line="276" w:lineRule="auto"/>
        <w:jc w:val="both"/>
        <w:rPr>
          <w:rFonts w:ascii="Verdana" w:eastAsia="Century Gothic" w:hAnsi="Verdana" w:cs="Century Gothic"/>
          <w:lang w:val="es-ES"/>
        </w:rPr>
      </w:pPr>
    </w:p>
    <w:p w14:paraId="30E1A889" w14:textId="6CD2ED55" w:rsidR="00F24E31" w:rsidRPr="006D785F" w:rsidRDefault="0055038B" w:rsidP="00CE4B4C">
      <w:pPr>
        <w:spacing w:after="0" w:line="276" w:lineRule="auto"/>
        <w:ind w:firstLine="709"/>
        <w:jc w:val="both"/>
        <w:rPr>
          <w:rFonts w:ascii="Verdana" w:eastAsia="Century Gothic" w:hAnsi="Verdana" w:cs="Century Gothic"/>
        </w:rPr>
      </w:pPr>
      <w:r w:rsidRPr="006D785F">
        <w:rPr>
          <w:rFonts w:ascii="Verdana" w:eastAsia="Century Gothic" w:hAnsi="Verdana" w:cs="Century Gothic"/>
        </w:rPr>
        <w:t xml:space="preserve">De acuerdo con el contenido de su solicitud, esta Agencia </w:t>
      </w:r>
      <w:r w:rsidR="0005460F" w:rsidRPr="006D785F">
        <w:rPr>
          <w:rFonts w:ascii="Verdana" w:eastAsia="Century Gothic" w:hAnsi="Verdana" w:cs="Century Gothic"/>
        </w:rPr>
        <w:t>los</w:t>
      </w:r>
      <w:r w:rsidR="00E20E5B" w:rsidRPr="006D785F">
        <w:rPr>
          <w:rFonts w:ascii="Verdana" w:eastAsia="Century Gothic" w:hAnsi="Verdana" w:cs="Century Gothic"/>
        </w:rPr>
        <w:t xml:space="preserve"> siguiente</w:t>
      </w:r>
      <w:r w:rsidR="0005460F" w:rsidRPr="006D785F">
        <w:rPr>
          <w:rFonts w:ascii="Verdana" w:eastAsia="Century Gothic" w:hAnsi="Verdana" w:cs="Century Gothic"/>
        </w:rPr>
        <w:t>s</w:t>
      </w:r>
      <w:r w:rsidR="00E20E5B" w:rsidRPr="006D785F">
        <w:rPr>
          <w:rFonts w:ascii="Verdana" w:eastAsia="Century Gothic" w:hAnsi="Verdana" w:cs="Century Gothic"/>
        </w:rPr>
        <w:t xml:space="preserve"> problema</w:t>
      </w:r>
      <w:r w:rsidR="0005460F" w:rsidRPr="006D785F">
        <w:rPr>
          <w:rFonts w:ascii="Verdana" w:eastAsia="Century Gothic" w:hAnsi="Verdana" w:cs="Century Gothic"/>
        </w:rPr>
        <w:t>s</w:t>
      </w:r>
      <w:r w:rsidR="00E20E5B" w:rsidRPr="006D785F">
        <w:rPr>
          <w:rFonts w:ascii="Verdana" w:eastAsia="Century Gothic" w:hAnsi="Verdana" w:cs="Century Gothic"/>
        </w:rPr>
        <w:t xml:space="preserve"> jurídico</w:t>
      </w:r>
      <w:r w:rsidR="0005460F" w:rsidRPr="006D785F">
        <w:rPr>
          <w:rFonts w:ascii="Verdana" w:eastAsia="Century Gothic" w:hAnsi="Verdana" w:cs="Century Gothic"/>
        </w:rPr>
        <w:t>s</w:t>
      </w:r>
      <w:r w:rsidR="00E20E5B" w:rsidRPr="006D785F">
        <w:rPr>
          <w:rFonts w:ascii="Verdana" w:eastAsia="Century Gothic" w:hAnsi="Verdana" w:cs="Century Gothic"/>
        </w:rPr>
        <w:t>:</w:t>
      </w:r>
      <w:r w:rsidR="00A72F73" w:rsidRPr="006D785F">
        <w:rPr>
          <w:rFonts w:ascii="Verdana" w:eastAsia="Century Gothic" w:hAnsi="Verdana" w:cs="Century Gothic"/>
        </w:rPr>
        <w:t xml:space="preserve"> </w:t>
      </w:r>
      <w:r w:rsidR="0005460F" w:rsidRPr="006D785F">
        <w:rPr>
          <w:rFonts w:ascii="Verdana" w:eastAsia="Century Gothic" w:hAnsi="Verdana" w:cs="Century Gothic"/>
        </w:rPr>
        <w:t xml:space="preserve">i) </w:t>
      </w:r>
      <w:r w:rsidR="00220425" w:rsidRPr="006D785F">
        <w:rPr>
          <w:rFonts w:ascii="Verdana" w:eastAsia="Century Gothic" w:hAnsi="Verdana" w:cs="Century Gothic"/>
        </w:rPr>
        <w:t>¿Es jurídicamente procedente que una E</w:t>
      </w:r>
      <w:r w:rsidR="00681689" w:rsidRPr="006D785F">
        <w:rPr>
          <w:rFonts w:ascii="Verdana" w:eastAsia="Century Gothic" w:hAnsi="Verdana" w:cs="Century Gothic"/>
        </w:rPr>
        <w:t>mpresa Social del Estado</w:t>
      </w:r>
      <w:r w:rsidR="00697798" w:rsidRPr="006D785F">
        <w:rPr>
          <w:rFonts w:ascii="Verdana" w:eastAsia="Century Gothic" w:hAnsi="Verdana" w:cs="Century Gothic"/>
        </w:rPr>
        <w:t xml:space="preserve"> </w:t>
      </w:r>
      <w:r w:rsidR="00681689" w:rsidRPr="006D785F">
        <w:rPr>
          <w:rFonts w:ascii="Verdana" w:eastAsia="Century Gothic" w:hAnsi="Verdana" w:cs="Century Gothic"/>
        </w:rPr>
        <w:t xml:space="preserve">realice contratos de prestación de servicios </w:t>
      </w:r>
      <w:r w:rsidR="00697798" w:rsidRPr="006D785F">
        <w:rPr>
          <w:rFonts w:ascii="Verdana" w:eastAsia="Century Gothic" w:hAnsi="Verdana" w:cs="Century Gothic"/>
        </w:rPr>
        <w:t xml:space="preserve">en el área administrativa, durante la vigencia de la Ley 996 de 2005? </w:t>
      </w:r>
      <w:r w:rsidR="0005460F" w:rsidRPr="006D785F">
        <w:rPr>
          <w:rFonts w:ascii="Verdana" w:eastAsia="Century Gothic" w:hAnsi="Verdana" w:cs="Century Gothic"/>
        </w:rPr>
        <w:t>ii) ¿qué prohibiciones y excepciones cobijan a las ESE durante la vigencia de la Ley de Garantías?</w:t>
      </w:r>
    </w:p>
    <w:p w14:paraId="55B79B6B" w14:textId="77777777" w:rsidR="0055038B" w:rsidRPr="006D785F" w:rsidRDefault="0055038B" w:rsidP="0055038B">
      <w:pPr>
        <w:spacing w:after="0" w:line="276" w:lineRule="auto"/>
        <w:jc w:val="both"/>
        <w:rPr>
          <w:rFonts w:ascii="Verdana" w:eastAsia="Century Gothic" w:hAnsi="Verdana" w:cs="Century Gothic"/>
        </w:rPr>
      </w:pPr>
    </w:p>
    <w:p w14:paraId="7FD22A4A" w14:textId="77777777" w:rsidR="0055038B" w:rsidRPr="006D785F"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D785F">
        <w:rPr>
          <w:rFonts w:ascii="Verdana" w:eastAsia="Century Gothic" w:hAnsi="Verdana" w:cs="Century Gothic"/>
          <w:b/>
          <w:bCs/>
        </w:rPr>
        <w:t>Respuesta:</w:t>
      </w:r>
    </w:p>
    <w:p w14:paraId="3CAD5198" w14:textId="77777777" w:rsidR="0055038B" w:rsidRPr="006D785F" w:rsidRDefault="0055038B" w:rsidP="005503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5038B" w:rsidRPr="006D785F" w14:paraId="5EFAEA62" w14:textId="77777777" w:rsidTr="00BA05D4">
        <w:tc>
          <w:tcPr>
            <w:tcW w:w="8828" w:type="dxa"/>
          </w:tcPr>
          <w:p w14:paraId="09EE6AB8" w14:textId="55AF02D2" w:rsidR="0055038B" w:rsidRPr="006D785F" w:rsidRDefault="00607578" w:rsidP="00AD5A67">
            <w:pPr>
              <w:spacing w:after="160" w:line="278" w:lineRule="auto"/>
              <w:ind w:firstLine="709"/>
              <w:jc w:val="both"/>
              <w:rPr>
                <w:rFonts w:ascii="Verdana" w:hAnsi="Verdana"/>
              </w:rPr>
            </w:pPr>
            <w:r w:rsidRPr="006D785F">
              <w:rPr>
                <w:rFonts w:ascii="Verdana" w:hAnsi="Verdana"/>
                <w:b/>
                <w:bCs/>
              </w:rPr>
              <w:t>i.</w:t>
            </w:r>
            <w:r w:rsidRPr="006D785F">
              <w:rPr>
                <w:rFonts w:ascii="Verdana" w:hAnsi="Verdana"/>
              </w:rPr>
              <w:t xml:space="preserve"> Frente al problema jurídico planteado es necesario indicar que, </w:t>
            </w:r>
            <w:r w:rsidR="00E55A04" w:rsidRPr="006D785F">
              <w:rPr>
                <w:rFonts w:ascii="Verdana" w:hAnsi="Verdana"/>
              </w:rPr>
              <w:t>en el marco</w:t>
            </w:r>
            <w:r w:rsidR="006B7482" w:rsidRPr="006D785F">
              <w:rPr>
                <w:rFonts w:ascii="Verdana" w:hAnsi="Verdana"/>
              </w:rPr>
              <w:t xml:space="preserve"> de</w:t>
            </w:r>
            <w:r w:rsidR="00A21276" w:rsidRPr="006D785F">
              <w:rPr>
                <w:rFonts w:ascii="Verdana" w:hAnsi="Verdana"/>
              </w:rPr>
              <w:t xml:space="preserve"> lo establecido por la Ley 996 de 2005, el artículo 33 prohíbe “[…]</w:t>
            </w:r>
            <w:r w:rsidR="00F55A04" w:rsidRPr="006D785F">
              <w:rPr>
                <w:rFonts w:ascii="Verdana" w:hAnsi="Verdana"/>
              </w:rPr>
              <w:t xml:space="preserve">la contratación directa por parte de todos los entes del estado” durante los cuatro (4) meses previos a las elecciones presidenciales. Esta restricción se dirige, en </w:t>
            </w:r>
            <w:r w:rsidR="00F55A04" w:rsidRPr="006D785F">
              <w:rPr>
                <w:rFonts w:ascii="Verdana" w:hAnsi="Verdana"/>
              </w:rPr>
              <w:lastRenderedPageBreak/>
              <w:t xml:space="preserve">principio, a todos los entes del Estado. Lo anterior, sin perjuicio de las excepciones consagradas en el último inciso del mismo artículo. </w:t>
            </w:r>
            <w:r w:rsidR="006B7482" w:rsidRPr="006D785F">
              <w:rPr>
                <w:rFonts w:ascii="Verdana" w:hAnsi="Verdana"/>
              </w:rPr>
              <w:t xml:space="preserve"> </w:t>
            </w:r>
          </w:p>
          <w:p w14:paraId="7A77FD28" w14:textId="30B69A56" w:rsidR="00E44E3A" w:rsidRPr="006D785F" w:rsidRDefault="00F55A04" w:rsidP="00501DC2">
            <w:pPr>
              <w:spacing w:after="160" w:line="278" w:lineRule="auto"/>
              <w:ind w:firstLine="709"/>
              <w:jc w:val="both"/>
              <w:rPr>
                <w:rFonts w:ascii="Verdana" w:hAnsi="Verdana"/>
              </w:rPr>
            </w:pPr>
            <w:r w:rsidRPr="006D785F">
              <w:rPr>
                <w:rFonts w:ascii="Verdana" w:hAnsi="Verdana"/>
              </w:rPr>
              <w:t>En efecto, el artículo 33 ibidem señala expresamente quienes son los destinatarios de la mencionada prohibición, indicando que aplica a “todos los entes del Estado”, expresión que contempla a las diferentes entidades y actores autorizados por la ley para suscribir contratos. Al respecto, el Consejo de Estado ha sostenido que, la palabra “todos” empleado por el legislador engloba la totalidad de los entes del Estado, sin distinción del régimen jurídico, naturaleza, destinación económica, e incluso si las entidades estatales tienen régimen especial de contratación y están exceptuadas del ámbito de aplicación del Estatuto General de Contratación de la Administración Pública.</w:t>
            </w:r>
          </w:p>
          <w:p w14:paraId="6E34ED9D" w14:textId="57FF9E46" w:rsidR="00A21276" w:rsidRPr="006D785F" w:rsidRDefault="00AD022B" w:rsidP="007D28D0">
            <w:pPr>
              <w:spacing w:after="160" w:line="278" w:lineRule="auto"/>
              <w:ind w:firstLine="709"/>
              <w:jc w:val="both"/>
              <w:rPr>
                <w:rFonts w:ascii="Verdana" w:hAnsi="Verdana"/>
                <w:i/>
                <w:iCs/>
              </w:rPr>
            </w:pPr>
            <w:r w:rsidRPr="006D785F">
              <w:rPr>
                <w:rFonts w:ascii="Verdana" w:hAnsi="Verdana"/>
                <w:b/>
                <w:bCs/>
              </w:rPr>
              <w:t>ii.</w:t>
            </w:r>
            <w:r w:rsidRPr="006D785F">
              <w:rPr>
                <w:rFonts w:ascii="Verdana" w:hAnsi="Verdana"/>
              </w:rPr>
              <w:t xml:space="preserve"> </w:t>
            </w:r>
            <w:r w:rsidR="00AB2C12" w:rsidRPr="006D785F">
              <w:rPr>
                <w:rFonts w:ascii="Verdana" w:hAnsi="Verdana"/>
              </w:rPr>
              <w:t>Ahora bien</w:t>
            </w:r>
            <w:r w:rsidR="007372DC" w:rsidRPr="006D785F">
              <w:rPr>
                <w:rFonts w:ascii="Verdana" w:hAnsi="Verdana"/>
              </w:rPr>
              <w:t xml:space="preserve">, las excepciones a la restricción prevista en la Ley de Garantías Electorales, con fundamento en las cuales las entidades públicas podrán adelantar procedimientos de selección directa en periodos </w:t>
            </w:r>
            <w:r w:rsidR="007D28D0" w:rsidRPr="006D785F">
              <w:rPr>
                <w:rFonts w:ascii="Verdana" w:hAnsi="Verdana"/>
              </w:rPr>
              <w:t xml:space="preserve">previos a la contienda electoral por Presidencia, se encuentran consagradas de manera taxativa en el inciso final del citado artículo 33, dentro de las cuales se encuentran </w:t>
            </w:r>
            <w:r w:rsidR="007D28D0" w:rsidRPr="006D785F">
              <w:rPr>
                <w:rFonts w:ascii="Verdana" w:hAnsi="Verdana"/>
                <w:i/>
                <w:iCs/>
              </w:rPr>
              <w:t>“l</w:t>
            </w:r>
            <w:r w:rsidR="000C4F11" w:rsidRPr="006D785F">
              <w:rPr>
                <w:rFonts w:ascii="Verdana" w:hAnsi="Verdana"/>
                <w:i/>
                <w:iCs/>
              </w:rPr>
              <w:t xml:space="preserve">o referente a la defensa y seguridad del Estado, los contratos de crédito público, los requeridos para cubrir las emergencias educativas, sanitarias y desastres, así como también los utilizados </w:t>
            </w:r>
            <w:r w:rsidR="00C87BFF" w:rsidRPr="006D785F">
              <w:rPr>
                <w:rFonts w:ascii="Verdana" w:hAnsi="Verdana"/>
                <w:i/>
                <w:iCs/>
              </w:rPr>
              <w:t>para la reconstrucción de vías, puentes, carreteras, infraestructura energética y de comunicaciones, en caso de que hayan sido objeto de atentados, acciones terroristas, desastres naturales o casos de fuerza mayor</w:t>
            </w:r>
            <w:r w:rsidR="00C87BFF" w:rsidRPr="006D785F">
              <w:rPr>
                <w:rFonts w:ascii="Verdana" w:hAnsi="Verdana"/>
                <w:b/>
                <w:bCs/>
                <w:i/>
                <w:iCs/>
                <w:u w:val="single"/>
              </w:rPr>
              <w:t>, y los que deban realizar las entidades sanitarias y hospitalarias</w:t>
            </w:r>
            <w:r w:rsidR="00B221FD" w:rsidRPr="006D785F">
              <w:rPr>
                <w:rFonts w:ascii="Verdana" w:hAnsi="Verdana"/>
                <w:b/>
                <w:bCs/>
                <w:i/>
                <w:iCs/>
                <w:u w:val="single"/>
              </w:rPr>
              <w:t>.</w:t>
            </w:r>
            <w:r w:rsidR="00B221FD" w:rsidRPr="006D785F">
              <w:rPr>
                <w:rFonts w:ascii="Verdana" w:hAnsi="Verdana"/>
                <w:i/>
                <w:iCs/>
                <w:u w:val="single"/>
              </w:rPr>
              <w:t xml:space="preserve"> </w:t>
            </w:r>
            <w:r w:rsidR="00B221FD" w:rsidRPr="006D785F">
              <w:rPr>
                <w:rFonts w:ascii="Verdana" w:hAnsi="Verdana"/>
                <w:i/>
                <w:iCs/>
              </w:rPr>
              <w:t xml:space="preserve">[…] (subrayado </w:t>
            </w:r>
            <w:r w:rsidR="007D28D0" w:rsidRPr="006D785F">
              <w:rPr>
                <w:rFonts w:ascii="Verdana" w:hAnsi="Verdana"/>
                <w:i/>
                <w:iCs/>
              </w:rPr>
              <w:t xml:space="preserve">y negrilla </w:t>
            </w:r>
            <w:r w:rsidR="00B221FD" w:rsidRPr="006D785F">
              <w:rPr>
                <w:rFonts w:ascii="Verdana" w:hAnsi="Verdana"/>
                <w:i/>
                <w:iCs/>
              </w:rPr>
              <w:t xml:space="preserve">por fuera del texto original). </w:t>
            </w:r>
            <w:r w:rsidR="00C87BFF" w:rsidRPr="006D785F">
              <w:rPr>
                <w:rFonts w:ascii="Verdana" w:hAnsi="Verdana"/>
                <w:i/>
                <w:iCs/>
                <w:u w:val="single"/>
              </w:rPr>
              <w:t xml:space="preserve"> </w:t>
            </w:r>
          </w:p>
          <w:p w14:paraId="3BC93562" w14:textId="10127717" w:rsidR="005F6995" w:rsidRPr="006D785F" w:rsidRDefault="00AD022B" w:rsidP="005F6995">
            <w:pPr>
              <w:spacing w:after="160" w:line="278" w:lineRule="auto"/>
              <w:ind w:firstLine="709"/>
              <w:jc w:val="both"/>
              <w:rPr>
                <w:rFonts w:ascii="Verdana" w:hAnsi="Verdana"/>
              </w:rPr>
            </w:pPr>
            <w:r w:rsidRPr="006D785F">
              <w:rPr>
                <w:rFonts w:ascii="Verdana" w:hAnsi="Verdana"/>
                <w:b/>
                <w:bCs/>
              </w:rPr>
              <w:t>iii.</w:t>
            </w:r>
            <w:r w:rsidRPr="006D785F">
              <w:rPr>
                <w:rFonts w:ascii="Verdana" w:hAnsi="Verdana"/>
              </w:rPr>
              <w:t xml:space="preserve"> </w:t>
            </w:r>
            <w:r w:rsidR="005F6995" w:rsidRPr="006D785F">
              <w:rPr>
                <w:rFonts w:ascii="Verdana" w:hAnsi="Verdana"/>
              </w:rPr>
              <w:t xml:space="preserve">En ese orden de ideas, en torno a la procedencia de la contratación directa por parte de las E.S.E., es necesario </w:t>
            </w:r>
            <w:r w:rsidR="009F3557" w:rsidRPr="006D785F">
              <w:rPr>
                <w:rFonts w:ascii="Verdana" w:hAnsi="Verdana"/>
              </w:rPr>
              <w:t xml:space="preserve">analizar el quinto evento exceptuado </w:t>
            </w:r>
            <w:r w:rsidR="006252AF" w:rsidRPr="006D785F">
              <w:rPr>
                <w:rFonts w:ascii="Verdana" w:hAnsi="Verdana"/>
              </w:rPr>
              <w:t xml:space="preserve">de la prohibición contemplada en el inciso segundo del artículo 33 de la Ley 996 de 2005 relacionado con la contratación por parte de entidades sanitarias y hospitalarias. Para ello, el artículo 94 de la Ley 100 de 1993 dispone que </w:t>
            </w:r>
            <w:r w:rsidR="00B4234E" w:rsidRPr="006D785F">
              <w:rPr>
                <w:rFonts w:ascii="Verdana" w:hAnsi="Verdana"/>
              </w:rPr>
              <w:t xml:space="preserve">“la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w:t>
            </w:r>
            <w:r w:rsidR="00B4234E" w:rsidRPr="006D785F">
              <w:rPr>
                <w:rFonts w:ascii="Verdana" w:hAnsi="Verdana"/>
              </w:rPr>
              <w:lastRenderedPageBreak/>
              <w:t>según el caso, sometidas al régimen jurídico previsto en este capítulo”</w:t>
            </w:r>
            <w:r w:rsidRPr="006D785F">
              <w:rPr>
                <w:rFonts w:ascii="Verdana" w:hAnsi="Verdana"/>
              </w:rPr>
              <w:t xml:space="preserve">. De ello se deprende que, bajo la Ley 100 de 1993, las Empresas Sociales del Estado son las entidades encargadas de prestar el servicio de salud de manera directa. </w:t>
            </w:r>
          </w:p>
          <w:p w14:paraId="6F243E84" w14:textId="65182FEB" w:rsidR="00A21276" w:rsidRPr="006D785F" w:rsidRDefault="00AB38A7" w:rsidP="00EF7990">
            <w:pPr>
              <w:spacing w:after="120" w:line="276" w:lineRule="auto"/>
              <w:ind w:firstLine="709"/>
              <w:jc w:val="both"/>
              <w:rPr>
                <w:rFonts w:ascii="Verdana" w:eastAsia="Calibri" w:hAnsi="Verdana" w:cs="Arial"/>
                <w:b/>
                <w:bCs/>
              </w:rPr>
            </w:pPr>
            <w:r w:rsidRPr="006D785F">
              <w:rPr>
                <w:rFonts w:ascii="Verdana" w:eastAsia="Calibri" w:hAnsi="Verdana" w:cs="Arial"/>
              </w:rPr>
              <w:t>Teniendo en cuenta lo anterior, cada Entidad Estatal deberá realizar el correspondiente análisis para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6D785F">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27B4D277" w14:textId="33082743" w:rsidR="00DE5F5C" w:rsidRPr="006D785F" w:rsidRDefault="008233C0" w:rsidP="008233C0">
            <w:pPr>
              <w:spacing w:after="120" w:line="276" w:lineRule="auto"/>
              <w:ind w:firstLine="709"/>
              <w:jc w:val="both"/>
              <w:rPr>
                <w:rFonts w:ascii="Verdana" w:eastAsia="Times New Roman" w:hAnsi="Verdana" w:cs="Arial"/>
                <w:bCs/>
                <w:lang w:val="es-ES_tradnl" w:eastAsia="es-MX"/>
              </w:rPr>
            </w:pPr>
            <w:r w:rsidRPr="006D785F">
              <w:rPr>
                <w:rFonts w:ascii="Verdana" w:eastAsia="Times New Roman" w:hAnsi="Verdana" w:cs="Arial"/>
                <w:b/>
                <w:lang w:val="es-ES_tradnl"/>
              </w:rPr>
              <w:t>v.</w:t>
            </w:r>
            <w:r w:rsidRPr="006D785F">
              <w:rPr>
                <w:rFonts w:ascii="Verdana" w:eastAsia="Times New Roman" w:hAnsi="Verdana" w:cs="Arial"/>
                <w:bCs/>
                <w:lang w:val="es-ES_tradnl"/>
              </w:rPr>
              <w:t xml:space="preserve"> </w:t>
            </w:r>
            <w:r w:rsidRPr="006D785F">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96625FD" w14:textId="77777777" w:rsidR="0055038B" w:rsidRPr="006D785F" w:rsidRDefault="0055038B" w:rsidP="0055038B">
      <w:pPr>
        <w:tabs>
          <w:tab w:val="left" w:pos="142"/>
          <w:tab w:val="left" w:pos="284"/>
        </w:tabs>
        <w:spacing w:after="0" w:line="276" w:lineRule="auto"/>
        <w:jc w:val="both"/>
        <w:rPr>
          <w:rFonts w:ascii="Verdana" w:eastAsia="Century Gothic" w:hAnsi="Verdana" w:cs="Century Gothic"/>
          <w:b/>
          <w:bCs/>
          <w:lang w:val="es-ES"/>
        </w:rPr>
      </w:pPr>
    </w:p>
    <w:p w14:paraId="7349536F" w14:textId="77777777" w:rsidR="0055038B" w:rsidRPr="006D785F"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D785F">
        <w:rPr>
          <w:rFonts w:ascii="Verdana" w:eastAsia="Century Gothic" w:hAnsi="Verdana" w:cs="Century Gothic"/>
          <w:b/>
          <w:bCs/>
        </w:rPr>
        <w:t>Razones de la respuesta:</w:t>
      </w:r>
    </w:p>
    <w:p w14:paraId="5F12C135" w14:textId="77777777" w:rsidR="0055038B" w:rsidRPr="006D785F" w:rsidRDefault="0055038B" w:rsidP="0055038B">
      <w:pPr>
        <w:spacing w:after="0" w:line="276" w:lineRule="auto"/>
        <w:jc w:val="both"/>
        <w:rPr>
          <w:rFonts w:ascii="Verdana" w:eastAsia="Calibri" w:hAnsi="Verdana" w:cs="Arial"/>
          <w:color w:val="7030A0"/>
          <w:lang w:val="es-ES"/>
        </w:rPr>
      </w:pPr>
    </w:p>
    <w:p w14:paraId="152231D6" w14:textId="6682DDE2" w:rsidR="00D10083" w:rsidRPr="006D785F" w:rsidRDefault="0055038B" w:rsidP="00B41EE0">
      <w:pPr>
        <w:spacing w:after="0" w:line="276" w:lineRule="auto"/>
        <w:jc w:val="both"/>
        <w:rPr>
          <w:rFonts w:ascii="Verdana" w:eastAsia="Calibri" w:hAnsi="Verdana" w:cs="Arial"/>
          <w:lang w:val="es-ES"/>
        </w:rPr>
      </w:pPr>
      <w:r w:rsidRPr="006D785F">
        <w:rPr>
          <w:rFonts w:ascii="Verdana" w:eastAsia="Calibri" w:hAnsi="Verdana" w:cs="Arial"/>
          <w:lang w:val="es-ES"/>
        </w:rPr>
        <w:t xml:space="preserve">Lo anterior se sustenta en las siguientes consideraciones: </w:t>
      </w:r>
    </w:p>
    <w:p w14:paraId="685E4229" w14:textId="77777777" w:rsidR="00B41EE0" w:rsidRPr="006D785F" w:rsidRDefault="00B41EE0" w:rsidP="00B41EE0">
      <w:pPr>
        <w:spacing w:after="0" w:line="276" w:lineRule="auto"/>
        <w:jc w:val="both"/>
        <w:rPr>
          <w:rFonts w:ascii="Verdana" w:eastAsia="Calibri" w:hAnsi="Verdana" w:cs="Arial"/>
          <w:lang w:val="es-ES"/>
        </w:rPr>
      </w:pPr>
    </w:p>
    <w:p w14:paraId="7459CC31" w14:textId="7100B38C" w:rsidR="00944591" w:rsidRPr="006D785F" w:rsidRDefault="00B41EE0" w:rsidP="00EF7990">
      <w:pPr>
        <w:spacing w:after="0" w:line="276" w:lineRule="auto"/>
        <w:ind w:firstLine="709"/>
        <w:jc w:val="both"/>
        <w:rPr>
          <w:rFonts w:ascii="Verdana" w:eastAsia="Calibri" w:hAnsi="Verdana" w:cs="Arial"/>
          <w:bCs/>
          <w:lang w:val="es-ES_tradnl" w:eastAsia="es-MX"/>
        </w:rPr>
      </w:pPr>
      <w:bookmarkStart w:id="1" w:name="_Hlk54011258"/>
      <w:r w:rsidRPr="006D785F">
        <w:rPr>
          <w:rFonts w:ascii="Verdana" w:eastAsia="Calibri" w:hAnsi="Verdana" w:cs="Arial"/>
          <w:b/>
          <w:lang w:val="es-ES_tradnl" w:eastAsia="es-MX"/>
        </w:rPr>
        <w:t>i.</w:t>
      </w:r>
      <w:r w:rsidRPr="006D785F">
        <w:rPr>
          <w:rFonts w:ascii="Verdana" w:eastAsia="Calibri" w:hAnsi="Verdana" w:cs="Arial"/>
          <w:bCs/>
          <w:lang w:val="es-ES_tradnl" w:eastAsia="es-MX"/>
        </w:rPr>
        <w:t xml:space="preserve"> </w:t>
      </w:r>
      <w:bookmarkEnd w:id="1"/>
      <w:r w:rsidR="00CF010A" w:rsidRPr="006D785F">
        <w:rPr>
          <w:rFonts w:ascii="Verdana" w:eastAsia="Calibri" w:hAnsi="Verdana" w:cs="Arial"/>
          <w:bCs/>
          <w:lang w:val="es-ES_tradnl" w:eastAsia="es-MX"/>
        </w:rPr>
        <w:t xml:space="preserve"> </w:t>
      </w:r>
      <w:r w:rsidR="00C26162" w:rsidRPr="006D785F">
        <w:rPr>
          <w:rFonts w:ascii="Verdana" w:eastAsia="Calibri" w:hAnsi="Verdana" w:cs="Arial"/>
          <w:bCs/>
          <w:color w:val="000000" w:themeColor="text1"/>
        </w:rPr>
        <w:t xml:space="preserve">El ordenamiento jurídico colombiano contempla una serie de previsiones para evitar la obtención de beneficios personales en asuntos propios de la administración. Un destacado ejemplo de lo anterior es la Ley 996 de 2005, conocida como “Ley de Garantías Electorales”, cuyo propósito es asegurar la neutralidad, transparencia e imparcialidad en los procesos electorales. Esta Ley busca impedir que quienes ejercen el poder público utilicen los recursos del </w:t>
      </w:r>
      <w:r w:rsidR="00C26162" w:rsidRPr="006D785F">
        <w:rPr>
          <w:rFonts w:ascii="Verdana" w:eastAsia="Calibri" w:hAnsi="Verdana" w:cs="Arial"/>
          <w:bCs/>
          <w:color w:val="000000" w:themeColor="text1"/>
        </w:rPr>
        <w:lastRenderedPageBreak/>
        <w:t>Estado para incidir en la voluntad del electorado. Esta Ley se suma al andamiaje de orden constitucional y legal que se ha ocupado de evitar la injerencia inadecuada de intereses particulares en el ejercicio de la función pública. Su propósito es evitar cualquier tipo de arbitrariedad, de ventaja injustificada, de uso irregular de los recursos del Estado en las campañas o falta de garantías en la elección presidencial</w:t>
      </w:r>
      <w:r w:rsidR="00C26162" w:rsidRPr="006D785F">
        <w:rPr>
          <w:rStyle w:val="Refdenotaalpie"/>
          <w:rFonts w:ascii="Verdana" w:eastAsia="Calibri" w:hAnsi="Verdana" w:cs="Arial"/>
          <w:bCs/>
          <w:color w:val="000000" w:themeColor="text1"/>
        </w:rPr>
        <w:footnoteReference w:id="1"/>
      </w:r>
      <w:r w:rsidR="00C26162" w:rsidRPr="006D785F">
        <w:rPr>
          <w:rFonts w:ascii="Verdana" w:eastAsia="Calibri" w:hAnsi="Verdana" w:cs="Arial"/>
          <w:bCs/>
          <w:color w:val="000000" w:themeColor="text1"/>
        </w:rPr>
        <w:t xml:space="preserve">. En esta medida, introduce limitaciones para realizar nombramientos, postulaciones, contrataciones o cualquier otro tipo de actividad que implique destinación de recursos públicos bajo el devenir propio de las Entidades Estatales. </w:t>
      </w:r>
    </w:p>
    <w:p w14:paraId="0845C9B6" w14:textId="77777777" w:rsidR="00EF7990" w:rsidRPr="006D785F" w:rsidRDefault="00EF7990" w:rsidP="00EF7990">
      <w:pPr>
        <w:spacing w:after="0" w:line="276" w:lineRule="auto"/>
        <w:ind w:firstLine="709"/>
        <w:jc w:val="both"/>
        <w:rPr>
          <w:rFonts w:ascii="Verdana" w:eastAsia="Calibri" w:hAnsi="Verdana" w:cs="Arial"/>
          <w:bCs/>
          <w:lang w:val="es-ES_tradnl" w:eastAsia="es-MX"/>
        </w:rPr>
      </w:pPr>
    </w:p>
    <w:p w14:paraId="5AFE1FEF" w14:textId="77777777" w:rsidR="0000325F" w:rsidRPr="006D785F" w:rsidRDefault="0000325F" w:rsidP="0000325F">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t xml:space="preserve">En armonía con lo anterior, la Corte Constitucional ha abordado la definición de la Ley de Garantías Electorales. De esta manera, explica que tiene como propósito: </w:t>
      </w:r>
    </w:p>
    <w:p w14:paraId="621C00FE" w14:textId="77777777" w:rsidR="0000325F" w:rsidRPr="006D785F" w:rsidRDefault="0000325F" w:rsidP="0000325F">
      <w:pPr>
        <w:spacing w:after="0" w:line="276" w:lineRule="auto"/>
        <w:ind w:firstLine="708"/>
        <w:jc w:val="both"/>
        <w:rPr>
          <w:rFonts w:ascii="Verdana" w:eastAsia="Calibri" w:hAnsi="Verdana" w:cs="Arial"/>
          <w:bCs/>
          <w:color w:val="000000" w:themeColor="text1"/>
        </w:rPr>
      </w:pPr>
    </w:p>
    <w:p w14:paraId="675F0310" w14:textId="77777777" w:rsidR="0000325F" w:rsidRPr="006D785F" w:rsidRDefault="0000325F" w:rsidP="00C92C2C">
      <w:pPr>
        <w:spacing w:after="0" w:line="276" w:lineRule="auto"/>
        <w:ind w:left="708"/>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sz w:val="20"/>
          <w:szCs w:val="20"/>
        </w:rPr>
        <w:t>“[…] la definición de reglas claras que permitan acceder a los canales de expresión democrática de manera efectiva e igualitaria. El objetivo de una ley de garantías es definir esas reglas. […] 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6D785F">
        <w:rPr>
          <w:rStyle w:val="Refdenotaalpie"/>
          <w:rFonts w:ascii="Verdana" w:eastAsia="Calibri" w:hAnsi="Verdana" w:cs="Arial"/>
          <w:bCs/>
          <w:color w:val="000000" w:themeColor="text1"/>
          <w:sz w:val="20"/>
          <w:szCs w:val="20"/>
        </w:rPr>
        <w:footnoteReference w:id="2"/>
      </w:r>
    </w:p>
    <w:p w14:paraId="47A33391" w14:textId="77777777" w:rsidR="0000325F" w:rsidRPr="006D785F" w:rsidRDefault="0000325F" w:rsidP="00EF7990">
      <w:pPr>
        <w:spacing w:after="0" w:line="276" w:lineRule="auto"/>
        <w:ind w:firstLine="709"/>
        <w:jc w:val="both"/>
        <w:rPr>
          <w:rFonts w:ascii="Verdana" w:eastAsia="Calibri" w:hAnsi="Verdana" w:cs="Arial"/>
          <w:bCs/>
          <w:lang w:val="es-ES_tradnl" w:eastAsia="es-MX"/>
        </w:rPr>
      </w:pPr>
    </w:p>
    <w:p w14:paraId="0640189A" w14:textId="77777777" w:rsidR="00C92C2C" w:rsidRPr="006D785F" w:rsidRDefault="00C92C2C" w:rsidP="00C92C2C">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1D7E02DA" w14:textId="77777777" w:rsidR="00C92C2C" w:rsidRPr="006D785F" w:rsidRDefault="00C92C2C" w:rsidP="00EF7990">
      <w:pPr>
        <w:spacing w:after="0" w:line="276" w:lineRule="auto"/>
        <w:ind w:firstLine="709"/>
        <w:jc w:val="both"/>
        <w:rPr>
          <w:rFonts w:ascii="Verdana" w:eastAsia="Calibri" w:hAnsi="Verdana" w:cs="Arial"/>
          <w:bCs/>
          <w:lang w:val="es-ES_tradnl" w:eastAsia="es-MX"/>
        </w:rPr>
      </w:pPr>
    </w:p>
    <w:p w14:paraId="0B99C005" w14:textId="77777777" w:rsidR="00C6012D" w:rsidRPr="006D785F" w:rsidRDefault="00C6012D" w:rsidP="00C6012D">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lastRenderedPageBreak/>
        <w:t>En efecto, la Sala de Consulta y Servicio Civil del Consejo de Estado, precisó:</w:t>
      </w:r>
    </w:p>
    <w:p w14:paraId="5CAD1396" w14:textId="77777777" w:rsidR="00F44CAD" w:rsidRPr="006D785F" w:rsidRDefault="00C6012D" w:rsidP="00F44CAD">
      <w:pPr>
        <w:spacing w:after="0" w:line="276" w:lineRule="auto"/>
        <w:ind w:left="708"/>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sz w:val="20"/>
          <w:szCs w:val="20"/>
        </w:rPr>
        <w:t>“No está de más recordar que las prohibiciones, en tanto limitan la libertad y los derechos de las personas, son de origen constitucional y legal; la tipificación de sus causas, vigencia, naturaleza y efectos es rígida y taxativa; y su aplicación es</w:t>
      </w:r>
      <w:r w:rsidR="00F44CAD" w:rsidRPr="006D785F">
        <w:rPr>
          <w:rFonts w:ascii="Verdana" w:eastAsia="Calibri" w:hAnsi="Verdana" w:cs="Arial"/>
          <w:bCs/>
          <w:color w:val="000000" w:themeColor="text1"/>
          <w:sz w:val="20"/>
          <w:szCs w:val="20"/>
        </w:rPr>
        <w:t xml:space="preserve">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76D5431F" w14:textId="77777777" w:rsidR="00F44CAD" w:rsidRPr="006D785F" w:rsidRDefault="00F44CAD" w:rsidP="00F44CAD">
      <w:pPr>
        <w:spacing w:after="0" w:line="276" w:lineRule="auto"/>
        <w:ind w:left="708"/>
        <w:jc w:val="both"/>
        <w:rPr>
          <w:rFonts w:ascii="Verdana" w:eastAsia="Calibri" w:hAnsi="Verdana" w:cs="Arial"/>
          <w:bCs/>
          <w:color w:val="000000" w:themeColor="text1"/>
          <w:sz w:val="20"/>
          <w:szCs w:val="20"/>
        </w:rPr>
      </w:pPr>
    </w:p>
    <w:p w14:paraId="6E7CF019" w14:textId="77777777" w:rsidR="00F44CAD" w:rsidRPr="006D785F" w:rsidRDefault="00F44CAD" w:rsidP="00F44CAD">
      <w:pPr>
        <w:spacing w:after="0" w:line="276" w:lineRule="auto"/>
        <w:ind w:left="708"/>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sz w:val="20"/>
          <w:szCs w:val="20"/>
        </w:rPr>
        <w:t>La jurisprudencia de la Corte Constitucional</w:t>
      </w:r>
      <w:r w:rsidRPr="006D785F">
        <w:rPr>
          <w:rStyle w:val="Refdenotaalpie"/>
          <w:rFonts w:ascii="Verdana" w:eastAsia="Calibri" w:hAnsi="Verdana" w:cs="Arial"/>
          <w:bCs/>
          <w:color w:val="000000" w:themeColor="text1"/>
          <w:sz w:val="20"/>
          <w:szCs w:val="20"/>
        </w:rPr>
        <w:footnoteReference w:id="3"/>
      </w:r>
      <w:r w:rsidRPr="006D785F">
        <w:rPr>
          <w:rFonts w:ascii="Verdana" w:eastAsia="Calibri" w:hAnsi="Verdana" w:cs="Arial"/>
          <w:bCs/>
          <w:color w:val="000000" w:themeColor="text1"/>
          <w:sz w:val="20"/>
          <w:szCs w:val="20"/>
        </w:rPr>
        <w:t xml:space="preserve"> y del consejo de estado</w:t>
      </w:r>
      <w:r w:rsidRPr="006D785F">
        <w:rPr>
          <w:rStyle w:val="Refdenotaalpie"/>
          <w:rFonts w:ascii="Verdana" w:eastAsia="Calibri" w:hAnsi="Verdana" w:cs="Arial"/>
          <w:bCs/>
          <w:color w:val="000000" w:themeColor="text1"/>
          <w:sz w:val="20"/>
          <w:szCs w:val="20"/>
        </w:rPr>
        <w:footnoteReference w:id="4"/>
      </w:r>
      <w:r w:rsidRPr="006D785F">
        <w:rPr>
          <w:rFonts w:ascii="Verdana" w:eastAsia="Calibri" w:hAnsi="Verdana" w:cs="Arial"/>
          <w:bCs/>
          <w:color w:val="000000" w:themeColor="text1"/>
          <w:sz w:val="20"/>
          <w:szCs w:val="20"/>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6D785F">
        <w:rPr>
          <w:rStyle w:val="Refdenotaalpie"/>
          <w:rFonts w:ascii="Verdana" w:eastAsia="Calibri" w:hAnsi="Verdana" w:cs="Arial"/>
          <w:bCs/>
          <w:color w:val="000000" w:themeColor="text1"/>
          <w:sz w:val="20"/>
          <w:szCs w:val="20"/>
        </w:rPr>
        <w:footnoteReference w:id="5"/>
      </w:r>
    </w:p>
    <w:p w14:paraId="4A13E864" w14:textId="77777777" w:rsidR="00F44CAD" w:rsidRPr="006D785F" w:rsidRDefault="00F44CAD" w:rsidP="00F44CAD">
      <w:pPr>
        <w:spacing w:after="0" w:line="276" w:lineRule="auto"/>
        <w:jc w:val="both"/>
        <w:rPr>
          <w:rFonts w:ascii="Verdana" w:eastAsia="Calibri" w:hAnsi="Verdana" w:cs="Arial"/>
          <w:b/>
          <w:color w:val="000000" w:themeColor="text1"/>
        </w:rPr>
      </w:pPr>
    </w:p>
    <w:p w14:paraId="7C36461B" w14:textId="77777777" w:rsidR="00E559B7" w:rsidRPr="006D785F" w:rsidRDefault="00070439" w:rsidP="00E559B7">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
          <w:color w:val="000000" w:themeColor="text1"/>
        </w:rPr>
        <w:t>ii.</w:t>
      </w:r>
      <w:r w:rsidRPr="006D785F">
        <w:rPr>
          <w:rFonts w:ascii="Verdana" w:eastAsia="Calibri" w:hAnsi="Verdana" w:cs="Arial"/>
          <w:bCs/>
          <w:color w:val="000000" w:themeColor="text1"/>
        </w:rPr>
        <w:t xml:space="preserve"> Precisado el propósito de la Ley, es pertinente señalar que las restricciones consagradas en la citada Ley se dirigen a dos (2) tipos de campañas electorales claramente diferenciadas: i) las presidenciales y ii) las demás que se adelanten para la elección de los demás cargos de elección popular, tanto a nivel nacional como territorial.</w:t>
      </w:r>
    </w:p>
    <w:p w14:paraId="4A46175B" w14:textId="77777777" w:rsidR="00E559B7" w:rsidRPr="006D785F" w:rsidRDefault="00E559B7" w:rsidP="00E559B7">
      <w:pPr>
        <w:spacing w:after="0" w:line="276" w:lineRule="auto"/>
        <w:ind w:firstLine="708"/>
        <w:jc w:val="both"/>
        <w:rPr>
          <w:rFonts w:ascii="Verdana" w:eastAsia="Calibri" w:hAnsi="Verdana" w:cs="Arial"/>
          <w:bCs/>
          <w:color w:val="000000" w:themeColor="text1"/>
        </w:rPr>
      </w:pPr>
    </w:p>
    <w:p w14:paraId="3DAC51DF" w14:textId="3252871A" w:rsidR="00E91DF7" w:rsidRPr="006D785F" w:rsidRDefault="00E559B7" w:rsidP="00E91DF7">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t xml:space="preserve">Por un lado, el artículo 33 de la Ley 996 de 2005 prohíbe “[…] la contratación directa por parte de todos los entes del Estado” durante los cuatro (4) meses anteriores a las elecciones presidenciales, salvo “[…] lo referente a la </w:t>
      </w:r>
      <w:r w:rsidRPr="006D785F">
        <w:rPr>
          <w:rFonts w:ascii="Verdana" w:eastAsia="Calibri" w:hAnsi="Verdana" w:cs="Arial"/>
          <w:bCs/>
          <w:color w:val="000000" w:themeColor="text1"/>
        </w:rPr>
        <w:lastRenderedPageBreak/>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w:t>
      </w:r>
      <w:r w:rsidR="000465DE" w:rsidRPr="006D785F">
        <w:rPr>
          <w:rFonts w:ascii="Verdana" w:eastAsia="Calibri" w:hAnsi="Verdana" w:cs="Arial"/>
          <w:bCs/>
          <w:color w:val="000000" w:themeColor="text1"/>
        </w:rPr>
        <w:t>,</w:t>
      </w:r>
      <w:r w:rsidR="00E91DF7" w:rsidRPr="006D785F">
        <w:rPr>
          <w:rFonts w:ascii="Verdana" w:eastAsia="Calibri" w:hAnsi="Verdana" w:cs="Arial"/>
          <w:bCs/>
          <w:color w:val="000000" w:themeColor="text1"/>
        </w:rPr>
        <w:t xml:space="preserve"> acciones terroristas, desastres naturales o casos de fuerza mayor, y los que deban realizar las entidades sanitarias y hospitalarias”</w:t>
      </w:r>
      <w:r w:rsidR="00E91DF7" w:rsidRPr="006D785F">
        <w:rPr>
          <w:rStyle w:val="Refdenotaalpie"/>
          <w:rFonts w:ascii="Verdana" w:eastAsia="Calibri" w:hAnsi="Verdana" w:cs="Arial"/>
          <w:bCs/>
          <w:color w:val="000000" w:themeColor="text1"/>
        </w:rPr>
        <w:footnoteReference w:id="6"/>
      </w:r>
    </w:p>
    <w:p w14:paraId="19746FDB" w14:textId="16CDB680" w:rsidR="00E559B7" w:rsidRPr="006D785F" w:rsidRDefault="00E559B7" w:rsidP="00E559B7">
      <w:pPr>
        <w:spacing w:after="0" w:line="276" w:lineRule="auto"/>
        <w:ind w:firstLine="708"/>
        <w:jc w:val="both"/>
        <w:rPr>
          <w:rFonts w:ascii="Verdana" w:eastAsia="Calibri" w:hAnsi="Verdana" w:cs="Arial"/>
          <w:bCs/>
          <w:color w:val="000000" w:themeColor="text1"/>
        </w:rPr>
      </w:pPr>
    </w:p>
    <w:p w14:paraId="773F9EC3" w14:textId="77777777" w:rsidR="000465DE" w:rsidRPr="006D785F" w:rsidRDefault="000465DE" w:rsidP="000465DE">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6D785F">
        <w:rPr>
          <w:rStyle w:val="Refdenotaalpie"/>
          <w:rFonts w:ascii="Verdana" w:eastAsia="Calibri" w:hAnsi="Verdana" w:cs="Arial"/>
          <w:bCs/>
          <w:color w:val="000000" w:themeColor="text1"/>
        </w:rPr>
        <w:footnoteReference w:id="7"/>
      </w:r>
    </w:p>
    <w:p w14:paraId="317A29FD" w14:textId="77777777" w:rsidR="00EF7990" w:rsidRPr="006D785F" w:rsidRDefault="00EF7990" w:rsidP="000D5A44">
      <w:pPr>
        <w:spacing w:after="0" w:line="276" w:lineRule="auto"/>
        <w:jc w:val="both"/>
        <w:rPr>
          <w:rFonts w:ascii="Verdana" w:eastAsia="Calibri" w:hAnsi="Verdana" w:cs="Arial"/>
          <w:bCs/>
          <w:lang w:val="es-ES_tradnl" w:eastAsia="es-MX"/>
        </w:rPr>
      </w:pPr>
    </w:p>
    <w:p w14:paraId="4BF77DBF" w14:textId="77777777" w:rsidR="000D5A44" w:rsidRPr="006D785F" w:rsidRDefault="000D5A44" w:rsidP="000D5A44">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t>La Sala de Consulta y Servicio Civil del Consejo de Estado ha aclarado la distinción en la aplicación de las prohibiciones de la Ley 996 de 2005, dependiendo del tipo de elección que se trate. Al respecto, considera:</w:t>
      </w:r>
    </w:p>
    <w:p w14:paraId="709FE6F2" w14:textId="77777777" w:rsidR="000D5A44" w:rsidRPr="006D785F" w:rsidRDefault="000D5A44" w:rsidP="000D5A44">
      <w:pPr>
        <w:spacing w:after="0" w:line="276" w:lineRule="auto"/>
        <w:ind w:firstLine="708"/>
        <w:jc w:val="both"/>
        <w:rPr>
          <w:rFonts w:ascii="Verdana" w:eastAsia="Calibri" w:hAnsi="Verdana" w:cs="Arial"/>
          <w:bCs/>
          <w:color w:val="000000" w:themeColor="text1"/>
          <w:sz w:val="20"/>
          <w:szCs w:val="20"/>
        </w:rPr>
      </w:pPr>
    </w:p>
    <w:p w14:paraId="416BB498" w14:textId="522F02BC" w:rsidR="000D5A44" w:rsidRPr="006D785F" w:rsidRDefault="000D5A44" w:rsidP="000D5A44">
      <w:pPr>
        <w:spacing w:after="0" w:line="276" w:lineRule="auto"/>
        <w:ind w:left="708"/>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sz w:val="20"/>
          <w:szCs w:val="20"/>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w:t>
      </w:r>
      <w:r w:rsidRPr="006D785F">
        <w:rPr>
          <w:rFonts w:ascii="Verdana" w:eastAsia="Calibri" w:hAnsi="Verdana" w:cs="Arial"/>
          <w:bCs/>
          <w:color w:val="000000" w:themeColor="text1"/>
          <w:sz w:val="20"/>
          <w:szCs w:val="20"/>
        </w:rPr>
        <w:lastRenderedPageBreak/>
        <w:t>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6D785F">
        <w:rPr>
          <w:rStyle w:val="Refdenotaalpie"/>
          <w:rFonts w:ascii="Verdana" w:eastAsia="Calibri" w:hAnsi="Verdana" w:cs="Arial"/>
          <w:bCs/>
          <w:color w:val="000000" w:themeColor="text1"/>
          <w:sz w:val="20"/>
          <w:szCs w:val="20"/>
        </w:rPr>
        <w:footnoteReference w:id="8"/>
      </w:r>
    </w:p>
    <w:p w14:paraId="5BFC0D99" w14:textId="77777777" w:rsidR="000D5A44" w:rsidRPr="006D785F" w:rsidRDefault="000D5A44" w:rsidP="000D5A44">
      <w:pPr>
        <w:spacing w:after="0" w:line="276" w:lineRule="auto"/>
        <w:ind w:left="708"/>
        <w:jc w:val="both"/>
        <w:rPr>
          <w:rFonts w:ascii="Verdana" w:eastAsia="Calibri" w:hAnsi="Verdana" w:cs="Arial"/>
          <w:bCs/>
          <w:color w:val="000000" w:themeColor="text1"/>
          <w:sz w:val="20"/>
          <w:szCs w:val="20"/>
        </w:rPr>
      </w:pPr>
    </w:p>
    <w:p w14:paraId="5548D755" w14:textId="77777777" w:rsidR="00ED5C55" w:rsidRPr="006D785F" w:rsidRDefault="006A67D9" w:rsidP="00ED5C55">
      <w:pPr>
        <w:spacing w:after="0" w:line="276" w:lineRule="auto"/>
        <w:ind w:left="708"/>
        <w:jc w:val="both"/>
        <w:rPr>
          <w:rFonts w:ascii="Verdana" w:eastAsia="Calibri" w:hAnsi="Verdana" w:cs="Arial"/>
          <w:bCs/>
          <w:color w:val="000000" w:themeColor="text1"/>
        </w:rPr>
      </w:pPr>
      <w:r w:rsidRPr="006D785F">
        <w:rPr>
          <w:rFonts w:ascii="Verdana" w:eastAsia="Calibri" w:hAnsi="Verdana" w:cs="Arial"/>
          <w:b/>
          <w:lang w:val="es-ES_tradnl" w:eastAsia="es-MX"/>
        </w:rPr>
        <w:t>iii.</w:t>
      </w:r>
      <w:r w:rsidRPr="006D785F">
        <w:rPr>
          <w:rFonts w:ascii="Verdana" w:eastAsia="Calibri" w:hAnsi="Verdana" w:cs="Arial"/>
          <w:bCs/>
          <w:lang w:val="es-ES_tradnl" w:eastAsia="es-MX"/>
        </w:rPr>
        <w:t xml:space="preserve"> </w:t>
      </w:r>
      <w:r w:rsidR="00ED5C55" w:rsidRPr="006D785F">
        <w:rPr>
          <w:rFonts w:ascii="Verdana" w:eastAsia="Calibri" w:hAnsi="Verdana" w:cs="Arial"/>
          <w:bCs/>
          <w:color w:val="000000" w:themeColor="text1"/>
        </w:rPr>
        <w:t>En primer lugar,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6679BF21" w14:textId="77777777" w:rsidR="00ED5C55" w:rsidRPr="006D785F" w:rsidRDefault="00ED5C55" w:rsidP="00ED5C55">
      <w:pPr>
        <w:spacing w:after="0" w:line="276" w:lineRule="auto"/>
        <w:ind w:left="708"/>
        <w:jc w:val="both"/>
        <w:rPr>
          <w:rFonts w:ascii="Verdana" w:eastAsia="Calibri" w:hAnsi="Verdana" w:cs="Arial"/>
          <w:bCs/>
          <w:color w:val="000000" w:themeColor="text1"/>
          <w:sz w:val="20"/>
          <w:szCs w:val="20"/>
        </w:rPr>
      </w:pPr>
    </w:p>
    <w:p w14:paraId="67A63A5D" w14:textId="77777777" w:rsidR="00ED5C55" w:rsidRPr="006D785F" w:rsidRDefault="00ED5C55" w:rsidP="00ED5C55">
      <w:pPr>
        <w:spacing w:after="0" w:line="276" w:lineRule="auto"/>
        <w:ind w:left="1416"/>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6D785F">
        <w:rPr>
          <w:rStyle w:val="Refdenotaalpie"/>
          <w:rFonts w:ascii="Verdana" w:eastAsia="Calibri" w:hAnsi="Verdana" w:cs="Arial"/>
          <w:bCs/>
          <w:color w:val="000000" w:themeColor="text1"/>
          <w:sz w:val="20"/>
          <w:szCs w:val="20"/>
        </w:rPr>
        <w:footnoteReference w:id="9"/>
      </w:r>
      <w:r w:rsidRPr="006D785F">
        <w:rPr>
          <w:rFonts w:ascii="Verdana" w:eastAsia="Calibri" w:hAnsi="Verdana" w:cs="Arial"/>
          <w:bCs/>
          <w:color w:val="000000" w:themeColor="text1"/>
          <w:sz w:val="20"/>
          <w:szCs w:val="20"/>
        </w:rPr>
        <w:t>.</w:t>
      </w:r>
    </w:p>
    <w:p w14:paraId="6F19F8C5" w14:textId="77777777" w:rsidR="00ED5C55" w:rsidRPr="006D785F" w:rsidRDefault="00ED5C55" w:rsidP="00ED5C55">
      <w:pPr>
        <w:spacing w:after="0" w:line="276" w:lineRule="auto"/>
        <w:ind w:left="1416"/>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6D785F">
        <w:rPr>
          <w:rStyle w:val="Refdenotaalpie"/>
          <w:rFonts w:ascii="Verdana" w:eastAsia="Calibri" w:hAnsi="Verdana" w:cs="Arial"/>
          <w:bCs/>
          <w:color w:val="000000" w:themeColor="text1"/>
          <w:sz w:val="20"/>
          <w:szCs w:val="20"/>
        </w:rPr>
        <w:footnoteReference w:id="10"/>
      </w:r>
      <w:r w:rsidRPr="006D785F">
        <w:rPr>
          <w:rFonts w:ascii="Verdana" w:eastAsia="Calibri" w:hAnsi="Verdana" w:cs="Arial"/>
          <w:bCs/>
          <w:color w:val="000000" w:themeColor="text1"/>
          <w:sz w:val="20"/>
          <w:szCs w:val="20"/>
        </w:rPr>
        <w:t>.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6D785F">
        <w:rPr>
          <w:rStyle w:val="Refdenotaalpie"/>
          <w:rFonts w:ascii="Verdana" w:eastAsia="Calibri" w:hAnsi="Verdana" w:cs="Arial"/>
          <w:bCs/>
          <w:color w:val="000000" w:themeColor="text1"/>
          <w:sz w:val="20"/>
          <w:szCs w:val="20"/>
        </w:rPr>
        <w:footnoteReference w:id="11"/>
      </w:r>
    </w:p>
    <w:p w14:paraId="5269887D" w14:textId="77777777" w:rsidR="00ED5C55" w:rsidRPr="006D785F" w:rsidRDefault="00ED5C55" w:rsidP="00ED5C55">
      <w:pPr>
        <w:spacing w:after="0" w:line="276" w:lineRule="auto"/>
        <w:jc w:val="both"/>
        <w:rPr>
          <w:rFonts w:ascii="Verdana" w:eastAsia="Calibri" w:hAnsi="Verdana" w:cs="Arial"/>
          <w:bCs/>
          <w:color w:val="000000" w:themeColor="text1"/>
          <w:sz w:val="20"/>
          <w:szCs w:val="20"/>
        </w:rPr>
      </w:pPr>
    </w:p>
    <w:p w14:paraId="31D68BA2" w14:textId="77777777" w:rsidR="007717BA" w:rsidRPr="006D785F" w:rsidRDefault="00ED5C55" w:rsidP="007717BA">
      <w:pPr>
        <w:spacing w:after="0" w:line="276" w:lineRule="auto"/>
        <w:ind w:firstLine="709"/>
        <w:jc w:val="both"/>
        <w:rPr>
          <w:rFonts w:ascii="Verdana" w:eastAsia="Calibri" w:hAnsi="Verdana" w:cs="Arial"/>
          <w:bCs/>
          <w:color w:val="000000" w:themeColor="text1"/>
          <w:sz w:val="20"/>
          <w:szCs w:val="20"/>
        </w:rPr>
      </w:pPr>
      <w:r w:rsidRPr="006D785F">
        <w:rPr>
          <w:rFonts w:ascii="Verdana" w:eastAsia="Calibri" w:hAnsi="Verdana" w:cs="Arial"/>
          <w:bCs/>
          <w:color w:val="000000" w:themeColor="text1"/>
        </w:rPr>
        <w:lastRenderedPageBreak/>
        <w:t>Según el concepto mencionado, la prohibición establecida en el artículo 33 de la Ley de Garantías Electorales se aplica a “todo mecanismo que no contemple una convocatoria pública ni permita la participación de múltiples oferentes”. En consecuencia, quedan excluidas las demás modalidades de contratación contempladas en la Ley 1150 de 2007, tales como la licitación pública, la selección abreviada y el concurso de méritos, así como aquellas modalidades abiertas y competitivas previstas en disposiciones especiales. Esta posición es congruente con la expedición de la Ley 1150 de 2007 que, entre</w:t>
      </w:r>
      <w:r w:rsidR="007717BA" w:rsidRPr="006D785F">
        <w:rPr>
          <w:rFonts w:ascii="Verdana" w:eastAsia="Calibri" w:hAnsi="Verdana" w:cs="Arial"/>
          <w:bCs/>
          <w:color w:val="000000" w:themeColor="text1"/>
        </w:rPr>
        <w:t xml:space="preserve"> otras reformas, introdujo la selección abreviada, rediseñó el concurso de méritos</w:t>
      </w:r>
      <w:r w:rsidR="007717BA" w:rsidRPr="006D785F">
        <w:rPr>
          <w:rStyle w:val="Refdenotaalpie"/>
          <w:rFonts w:ascii="Verdana" w:eastAsia="Calibri" w:hAnsi="Verdana" w:cs="Arial"/>
          <w:bCs/>
          <w:color w:val="000000" w:themeColor="text1"/>
        </w:rPr>
        <w:footnoteReference w:id="12"/>
      </w:r>
      <w:r w:rsidR="007717BA" w:rsidRPr="006D785F">
        <w:rPr>
          <w:rFonts w:ascii="Verdana" w:eastAsia="Calibri" w:hAnsi="Verdana" w:cs="Arial"/>
          <w:bCs/>
          <w:color w:val="000000" w:themeColor="text1"/>
        </w:rPr>
        <w:t xml:space="preserve"> y sistematizó las causales de contratación directa</w:t>
      </w:r>
      <w:r w:rsidR="007717BA" w:rsidRPr="006D785F">
        <w:rPr>
          <w:rStyle w:val="Refdenotaalpie"/>
          <w:rFonts w:ascii="Verdana" w:eastAsia="Calibri" w:hAnsi="Verdana" w:cs="Arial"/>
          <w:bCs/>
          <w:color w:val="000000" w:themeColor="text1"/>
          <w:sz w:val="20"/>
          <w:szCs w:val="20"/>
        </w:rPr>
        <w:footnoteReference w:id="13"/>
      </w:r>
      <w:r w:rsidR="007717BA" w:rsidRPr="006D785F">
        <w:rPr>
          <w:rFonts w:ascii="Verdana" w:eastAsia="Calibri" w:hAnsi="Verdana" w:cs="Arial"/>
          <w:bCs/>
          <w:color w:val="000000" w:themeColor="text1"/>
          <w:sz w:val="20"/>
          <w:szCs w:val="20"/>
        </w:rPr>
        <w:t xml:space="preserve">. </w:t>
      </w:r>
    </w:p>
    <w:p w14:paraId="0EB78372" w14:textId="77777777" w:rsidR="007717BA" w:rsidRPr="006D785F" w:rsidRDefault="007717BA" w:rsidP="007717BA">
      <w:pPr>
        <w:spacing w:after="0" w:line="276" w:lineRule="auto"/>
        <w:ind w:left="709" w:firstLine="709"/>
        <w:jc w:val="both"/>
        <w:rPr>
          <w:rFonts w:ascii="Verdana" w:eastAsia="Calibri" w:hAnsi="Verdana" w:cs="Arial"/>
          <w:bCs/>
          <w:color w:val="000000" w:themeColor="text1"/>
          <w:sz w:val="20"/>
          <w:szCs w:val="20"/>
        </w:rPr>
      </w:pPr>
    </w:p>
    <w:p w14:paraId="313A6BBB" w14:textId="77777777" w:rsidR="007717BA" w:rsidRPr="006D785F" w:rsidRDefault="007717BA" w:rsidP="007717BA">
      <w:pPr>
        <w:spacing w:after="0" w:line="276" w:lineRule="auto"/>
        <w:ind w:firstLine="709"/>
        <w:jc w:val="both"/>
        <w:rPr>
          <w:rFonts w:ascii="Verdana" w:eastAsia="Calibri" w:hAnsi="Verdana" w:cs="Arial"/>
          <w:bCs/>
          <w:color w:val="000000" w:themeColor="text1"/>
        </w:rPr>
      </w:pPr>
      <w:r w:rsidRPr="006D785F">
        <w:rPr>
          <w:rFonts w:ascii="Verdana" w:eastAsia="Calibri" w:hAnsi="Verdana" w:cs="Arial"/>
          <w:bCs/>
          <w:color w:val="000000" w:themeColor="text1"/>
        </w:rPr>
        <w:t>De tal manera, debe entenderse que, 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sidRPr="006D785F">
        <w:rPr>
          <w:rStyle w:val="Refdenotaalpie"/>
          <w:rFonts w:ascii="Verdana" w:eastAsia="Calibri" w:hAnsi="Verdana" w:cs="Arial"/>
          <w:bCs/>
          <w:color w:val="000000" w:themeColor="text1"/>
        </w:rPr>
        <w:footnoteReference w:id="14"/>
      </w:r>
    </w:p>
    <w:p w14:paraId="2943AB11" w14:textId="77777777" w:rsidR="007717BA" w:rsidRPr="006D785F" w:rsidRDefault="007717BA" w:rsidP="007717BA">
      <w:pPr>
        <w:spacing w:after="0" w:line="276" w:lineRule="auto"/>
        <w:ind w:firstLine="709"/>
        <w:jc w:val="both"/>
        <w:rPr>
          <w:rFonts w:ascii="Verdana" w:eastAsia="Calibri" w:hAnsi="Verdana" w:cs="Arial"/>
          <w:bCs/>
          <w:color w:val="000000" w:themeColor="text1"/>
          <w:sz w:val="20"/>
          <w:szCs w:val="20"/>
        </w:rPr>
      </w:pPr>
    </w:p>
    <w:p w14:paraId="2406859E" w14:textId="77777777" w:rsidR="007717BA" w:rsidRPr="006D785F" w:rsidRDefault="007717BA" w:rsidP="007717BA">
      <w:pPr>
        <w:spacing w:after="0" w:line="276" w:lineRule="auto"/>
        <w:ind w:firstLine="709"/>
        <w:jc w:val="both"/>
        <w:rPr>
          <w:rFonts w:ascii="Verdana" w:eastAsia="Calibri" w:hAnsi="Verdana" w:cs="Arial"/>
          <w:bCs/>
          <w:color w:val="000000" w:themeColor="text1"/>
        </w:rPr>
      </w:pPr>
      <w:r w:rsidRPr="006D785F">
        <w:rPr>
          <w:rFonts w:ascii="Verdana" w:eastAsia="Calibri" w:hAnsi="Verdana" w:cs="Arial"/>
          <w:bCs/>
          <w:color w:val="000000" w:themeColor="text1"/>
        </w:rPr>
        <w:t>De lo anterior se desprende que la restricción aplica, sin perjuicio de las excepciones establecidas en la misma Ley, para celebrar cualquier contrato de forma directa, esto es, sin que exista un proceso abierto y competitivo. Por tanto, no están sujetas a la prohibición las demás modalidades de selección previstas en la Ley 1150 de 2007, es decir, la licitación pública, el concurso de méritos y la selección abreviada. De este modo, las Entidades Públicas, en el período preelectoral de que trata la disposición pueden seguir contratando bajo estos sistemas de selección.</w:t>
      </w:r>
    </w:p>
    <w:p w14:paraId="2537655F" w14:textId="2940BB18" w:rsidR="00EF7990" w:rsidRPr="006D785F" w:rsidRDefault="00EF7990" w:rsidP="00ED5C55">
      <w:pPr>
        <w:spacing w:after="0" w:line="276" w:lineRule="auto"/>
        <w:ind w:firstLine="709"/>
        <w:jc w:val="both"/>
        <w:rPr>
          <w:rFonts w:ascii="Verdana" w:eastAsia="Calibri" w:hAnsi="Verdana" w:cs="Arial"/>
          <w:bCs/>
          <w:lang w:val="es-ES_tradnl" w:eastAsia="es-MX"/>
        </w:rPr>
      </w:pPr>
    </w:p>
    <w:p w14:paraId="027AF625" w14:textId="30F435A3" w:rsidR="00EF7990" w:rsidRPr="006D785F" w:rsidRDefault="00C62F47" w:rsidP="009A1C13">
      <w:pPr>
        <w:spacing w:after="0" w:line="276" w:lineRule="auto"/>
        <w:ind w:firstLine="709"/>
        <w:jc w:val="both"/>
        <w:rPr>
          <w:rFonts w:ascii="Verdana" w:eastAsia="Calibri" w:hAnsi="Verdana" w:cs="Arial"/>
          <w:bCs/>
          <w:color w:val="000000" w:themeColor="text1"/>
        </w:rPr>
      </w:pPr>
      <w:r w:rsidRPr="006D785F">
        <w:rPr>
          <w:rFonts w:ascii="Verdana" w:eastAsia="Calibri" w:hAnsi="Verdana" w:cs="Arial"/>
          <w:b/>
          <w:color w:val="000000" w:themeColor="text1"/>
        </w:rPr>
        <w:t>iv.</w:t>
      </w:r>
      <w:r w:rsidRPr="006D785F">
        <w:rPr>
          <w:rFonts w:ascii="Verdana" w:eastAsia="Calibri" w:hAnsi="Verdana" w:cs="Arial"/>
          <w:bCs/>
          <w:color w:val="000000" w:themeColor="text1"/>
        </w:rPr>
        <w:t xml:space="preserve"> </w:t>
      </w:r>
      <w:r w:rsidR="00EB31D7" w:rsidRPr="006D785F">
        <w:rPr>
          <w:rFonts w:ascii="Verdana" w:eastAsia="Calibri" w:hAnsi="Verdana" w:cs="Arial"/>
          <w:bCs/>
          <w:color w:val="000000" w:themeColor="text1"/>
        </w:rPr>
        <w:t xml:space="preserve">Ahora bien, </w:t>
      </w:r>
      <w:r w:rsidR="00426D15" w:rsidRPr="006D785F">
        <w:rPr>
          <w:rFonts w:ascii="Verdana" w:eastAsia="Calibri" w:hAnsi="Verdana" w:cs="Arial"/>
          <w:bCs/>
          <w:color w:val="000000" w:themeColor="text1"/>
        </w:rPr>
        <w:t>las excepciones a la restricción prevista en la Ley de Garantías Electorales, con fundamento en las cuales las entidades públicas podrán adelantar procedimientos de selección directa en períodos previos a la contienda electoral por la Presidencia, se encuentran consagradas de manera taxativa en el inciso final del citado artículo 33 de la Ley 996 de 2005. Dichas excepciones corresponden a</w:t>
      </w:r>
      <w:r w:rsidR="00153D39" w:rsidRPr="006D785F">
        <w:rPr>
          <w:rFonts w:ascii="Verdana" w:eastAsia="Calibri" w:hAnsi="Verdana" w:cs="Arial"/>
          <w:bCs/>
          <w:color w:val="000000" w:themeColor="text1"/>
        </w:rPr>
        <w:t>:</w:t>
      </w:r>
      <w:r w:rsidR="00426D15" w:rsidRPr="006D785F">
        <w:rPr>
          <w:rFonts w:ascii="Verdana" w:eastAsia="Calibri" w:hAnsi="Verdana" w:cs="Arial"/>
          <w:bCs/>
          <w:color w:val="000000" w:themeColor="text1"/>
        </w:rPr>
        <w:t xml:space="preserve"> i) la defensa y seguridad del Estado; ii) los </w:t>
      </w:r>
      <w:r w:rsidR="00426D15" w:rsidRPr="006D785F">
        <w:rPr>
          <w:rFonts w:ascii="Verdana" w:eastAsia="Calibri" w:hAnsi="Verdana" w:cs="Arial"/>
          <w:bCs/>
          <w:color w:val="000000" w:themeColor="text1"/>
        </w:rPr>
        <w:lastRenderedPageBreak/>
        <w:t>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9CA081E" w14:textId="77777777" w:rsidR="009A1C13" w:rsidRPr="006D785F" w:rsidRDefault="009A1C13" w:rsidP="009A1C13">
      <w:pPr>
        <w:spacing w:after="0" w:line="276" w:lineRule="auto"/>
        <w:ind w:firstLine="709"/>
        <w:jc w:val="both"/>
        <w:rPr>
          <w:rFonts w:ascii="Verdana" w:eastAsia="Calibri" w:hAnsi="Verdana" w:cs="Arial"/>
          <w:bCs/>
          <w:color w:val="000000" w:themeColor="text1"/>
        </w:rPr>
      </w:pPr>
    </w:p>
    <w:p w14:paraId="55CFB8B8" w14:textId="694F71AA" w:rsidR="008F67BC" w:rsidRPr="006D785F" w:rsidRDefault="008F67BC" w:rsidP="009A1C13">
      <w:pPr>
        <w:spacing w:after="0" w:line="276" w:lineRule="auto"/>
        <w:ind w:firstLine="709"/>
        <w:jc w:val="both"/>
        <w:rPr>
          <w:rFonts w:ascii="Verdana" w:eastAsia="Calibri" w:hAnsi="Verdana" w:cs="Arial"/>
          <w:bCs/>
          <w:color w:val="000000" w:themeColor="text1"/>
        </w:rPr>
      </w:pPr>
      <w:r w:rsidRPr="006D785F">
        <w:rPr>
          <w:rFonts w:ascii="Verdana" w:eastAsia="Calibri" w:hAnsi="Verdana" w:cs="Arial"/>
          <w:bCs/>
          <w:color w:val="000000" w:themeColor="text1"/>
        </w:rPr>
        <w:t>Conforme a lo consagrado en esta disposición, es responsabilidad del respectivo ente del Estado, examinar en cada caso la naturaleza de las</w:t>
      </w:r>
      <w:r w:rsidR="009B5D8E" w:rsidRPr="006D785F">
        <w:rPr>
          <w:rFonts w:ascii="Verdana" w:eastAsia="Calibri" w:hAnsi="Verdana" w:cs="Arial"/>
          <w:bCs/>
          <w:color w:val="000000" w:themeColor="text1"/>
        </w:rPr>
        <w:t xml:space="preserve"> actividades que adelanta y determinar si las mismas se enmarcan en alguna de las mencionadas excepciones, de manera que se le permita realizar la contratación que necesite en forma directa. 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00C770A9" w:rsidRPr="006D785F">
        <w:rPr>
          <w:rFonts w:ascii="Verdana" w:eastAsia="Calibri" w:hAnsi="Verdana" w:cs="Arial"/>
          <w:bCs/>
          <w:color w:val="000000" w:themeColor="text1"/>
        </w:rPr>
        <w:t>”</w:t>
      </w:r>
      <w:r w:rsidR="009B5D8E" w:rsidRPr="006D785F">
        <w:rPr>
          <w:rStyle w:val="Refdenotaalpie"/>
          <w:rFonts w:ascii="Verdana" w:eastAsia="Calibri" w:hAnsi="Verdana" w:cs="Arial"/>
          <w:bCs/>
          <w:color w:val="000000" w:themeColor="text1"/>
        </w:rPr>
        <w:footnoteReference w:id="15"/>
      </w:r>
      <w:r w:rsidR="005C793F" w:rsidRPr="006D785F">
        <w:rPr>
          <w:rFonts w:ascii="Verdana" w:eastAsia="Calibri" w:hAnsi="Verdana" w:cs="Arial"/>
          <w:bCs/>
          <w:color w:val="000000" w:themeColor="text1"/>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persecución de la igualdad entre los candidatos como garantía electoral.</w:t>
      </w:r>
    </w:p>
    <w:p w14:paraId="4B0A00AC" w14:textId="77777777" w:rsidR="009A1C13" w:rsidRPr="006D785F" w:rsidRDefault="009A1C13" w:rsidP="009A1C13">
      <w:pPr>
        <w:spacing w:after="0" w:line="276" w:lineRule="auto"/>
        <w:ind w:firstLine="709"/>
        <w:jc w:val="both"/>
        <w:rPr>
          <w:rFonts w:ascii="Verdana" w:eastAsia="Calibri" w:hAnsi="Verdana" w:cs="Arial"/>
          <w:bCs/>
          <w:color w:val="000000" w:themeColor="text1"/>
        </w:rPr>
      </w:pPr>
    </w:p>
    <w:p w14:paraId="4F01D535" w14:textId="0096E340" w:rsidR="00EF7990" w:rsidRPr="006D785F" w:rsidRDefault="00F458C6" w:rsidP="00D75C2D">
      <w:pPr>
        <w:tabs>
          <w:tab w:val="left" w:pos="0"/>
        </w:tabs>
        <w:spacing w:after="120" w:line="276" w:lineRule="auto"/>
        <w:ind w:firstLine="709"/>
        <w:jc w:val="both"/>
        <w:rPr>
          <w:rFonts w:ascii="Verdana" w:eastAsia="Arial" w:hAnsi="Verdana" w:cs="Arial"/>
          <w:color w:val="000000"/>
        </w:rPr>
      </w:pPr>
      <w:r w:rsidRPr="006D785F">
        <w:rPr>
          <w:rFonts w:ascii="Verdana" w:eastAsia="Arial" w:hAnsi="Verdana" w:cs="Arial"/>
          <w:b/>
          <w:bCs/>
          <w:color w:val="000000"/>
        </w:rPr>
        <w:t>v.</w:t>
      </w:r>
      <w:r w:rsidR="00DB5CB9" w:rsidRPr="006D785F">
        <w:rPr>
          <w:rFonts w:ascii="Verdana" w:eastAsia="Arial" w:hAnsi="Verdana" w:cs="Arial"/>
          <w:b/>
          <w:bCs/>
          <w:color w:val="000000"/>
        </w:rPr>
        <w:t xml:space="preserve"> </w:t>
      </w:r>
      <w:r w:rsidR="00DB5CB9" w:rsidRPr="006D785F">
        <w:rPr>
          <w:rFonts w:ascii="Verdana" w:hAnsi="Verdana"/>
        </w:rPr>
        <w:t xml:space="preserve">En ese orden de ideas, en torno a la procedencia de la contratación directa por parte de las E.S.E., es necesario analizar el quinto evento exceptuado de la prohibición contemplada en el inciso segundo del artículo 33 de la Ley 996 de 2005 relacionado con la contratación por parte de entidades sanitarias y hospitalarias. Para ello, el artículo 94 de la Ley 100 de 1993 dispone que “la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w:t>
      </w:r>
      <w:r w:rsidR="00DB5CB9" w:rsidRPr="006D785F">
        <w:rPr>
          <w:rFonts w:ascii="Verdana" w:hAnsi="Verdana"/>
        </w:rPr>
        <w:lastRenderedPageBreak/>
        <w:t>sometidas al régimen jurídico previsto en este capítulo”. De ello se deprende que, bajo la Ley 100 de 1993, las Empresas Sociales del Estado son las entidades encargadas de prestar el servicio de salud de manera directa</w:t>
      </w:r>
      <w:r w:rsidR="005B5734" w:rsidRPr="006D785F">
        <w:rPr>
          <w:rFonts w:ascii="Verdana" w:hAnsi="Verdana"/>
        </w:rPr>
        <w:t>.</w:t>
      </w:r>
    </w:p>
    <w:p w14:paraId="0E70C4D7" w14:textId="77777777" w:rsidR="00DA0F87" w:rsidRPr="006D785F" w:rsidRDefault="00D75C2D" w:rsidP="00DA0F87">
      <w:pPr>
        <w:tabs>
          <w:tab w:val="left" w:pos="426"/>
        </w:tabs>
        <w:spacing w:before="120" w:line="276" w:lineRule="auto"/>
        <w:ind w:firstLine="709"/>
        <w:jc w:val="both"/>
        <w:rPr>
          <w:rFonts w:ascii="Verdana" w:hAnsi="Verdana" w:cs="Arial"/>
          <w:color w:val="000000" w:themeColor="text1"/>
        </w:rPr>
      </w:pPr>
      <w:r w:rsidRPr="006D785F">
        <w:rPr>
          <w:rFonts w:ascii="Verdana" w:hAnsi="Verdana" w:cs="Arial"/>
          <w:color w:val="000000" w:themeColor="text1"/>
        </w:rPr>
        <w:t>De lo anterior se desprende que, bajo la Ley 100 de 1993, dentro de la estructura de la administración pública las Empresas Sociales del Estado, según lo dispuesto en el artículo 194 de la Ley 100 de 1993, son las entidades encargadas de prestar el servicio de salud de manera directa</w:t>
      </w:r>
      <w:r w:rsidRPr="006D785F">
        <w:rPr>
          <w:rStyle w:val="Refdenotaalpie"/>
          <w:rFonts w:ascii="Verdana" w:hAnsi="Verdana" w:cs="Arial"/>
          <w:color w:val="000000" w:themeColor="text1"/>
        </w:rPr>
        <w:footnoteReference w:id="16"/>
      </w:r>
      <w:r w:rsidRPr="006D785F">
        <w:rPr>
          <w:rFonts w:ascii="Verdana" w:hAnsi="Verdana" w:cs="Arial"/>
          <w:color w:val="000000" w:themeColor="text1"/>
        </w:rPr>
        <w:t>. Además, el mismo artículo 197</w:t>
      </w:r>
      <w:r w:rsidRPr="006D785F">
        <w:rPr>
          <w:rFonts w:ascii="Arial" w:hAnsi="Arial" w:cs="Arial"/>
          <w:color w:val="000000" w:themeColor="text1"/>
          <w:vertAlign w:val="superscript"/>
        </w:rPr>
        <w:footnoteReference w:id="17"/>
      </w:r>
      <w:r w:rsidRPr="006D785F">
        <w:rPr>
          <w:rFonts w:ascii="Verdana" w:hAnsi="Verdana" w:cs="Arial"/>
          <w:color w:val="000000" w:themeColor="text1"/>
        </w:rPr>
        <w:t xml:space="preserve"> estableció el deber de reestructurar y transformar en Empresas Sociales del Estado a las entidades descentralizadas que, al momento de entrada en vigor de la ley referida, prestaban directamente este servicio. Así,</w:t>
      </w:r>
      <w:r w:rsidR="00DA0F87" w:rsidRPr="006D785F">
        <w:rPr>
          <w:rFonts w:ascii="Verdana" w:hAnsi="Verdana" w:cs="Arial"/>
          <w:color w:val="000000" w:themeColor="text1"/>
        </w:rPr>
        <w:t xml:space="preserve"> se observa que la voluntad del legislador fue homogeneizar o unificar la naturaleza jurídica de las entidades públicas descentralizadas prestadoras del servicio de salud en Empresas Sociales del Estado. De ello da cuenta no solo la creación de la institución jurídica referida sino además la imposición del mandato de reestructuración de aquellas entidades. </w:t>
      </w:r>
    </w:p>
    <w:p w14:paraId="3DB0AE46" w14:textId="77777777" w:rsidR="009E4F49" w:rsidRPr="006D785F" w:rsidRDefault="009E4F49" w:rsidP="009E4F49">
      <w:pPr>
        <w:spacing w:before="120" w:after="120" w:line="276" w:lineRule="auto"/>
        <w:ind w:firstLine="709"/>
        <w:jc w:val="both"/>
        <w:rPr>
          <w:rFonts w:ascii="Verdana" w:eastAsia="Arial" w:hAnsi="Verdana" w:cs="Arial"/>
          <w:bCs/>
          <w:color w:val="000000" w:themeColor="text1"/>
        </w:rPr>
      </w:pPr>
      <w:r w:rsidRPr="006D785F">
        <w:rPr>
          <w:rFonts w:ascii="Verdana" w:eastAsia="Arial" w:hAnsi="Verdana" w:cs="Arial"/>
          <w:bCs/>
          <w:color w:val="000000" w:themeColor="text1"/>
        </w:rPr>
        <w:t xml:space="preserve">De otro lado, el artículo 2.8.8.1.1.3 del Decreto 780 de 2016, “Por medio del cual se expide el Decreto Único Reglamentario del Sector Salud y Protección Social”, definió a las </w:t>
      </w:r>
      <w:r w:rsidRPr="006D785F">
        <w:rPr>
          <w:rFonts w:ascii="Verdana" w:eastAsia="Arial" w:hAnsi="Verdana" w:cs="Arial"/>
          <w:bCs/>
          <w:i/>
          <w:iCs/>
          <w:color w:val="000000" w:themeColor="text1"/>
        </w:rPr>
        <w:t>entidades sanitarias</w:t>
      </w:r>
      <w:r w:rsidRPr="006D785F">
        <w:rPr>
          <w:rFonts w:ascii="Verdana" w:eastAsia="Arial" w:hAnsi="Verdana" w:cs="Arial"/>
          <w:bCs/>
          <w:color w:val="000000" w:themeColor="text1"/>
        </w:rPr>
        <w:t xml:space="preserve"> como las “Entidades del Estado que prestan servicios sanitarios o de sanidad con el propósito de preservar la salud humana y la salud pública”. El artículo citado también define las </w:t>
      </w:r>
      <w:r w:rsidRPr="006D785F">
        <w:rPr>
          <w:rFonts w:ascii="Verdana" w:eastAsia="Arial" w:hAnsi="Verdana" w:cs="Arial"/>
          <w:bCs/>
          <w:i/>
          <w:iCs/>
          <w:color w:val="000000" w:themeColor="text1"/>
        </w:rPr>
        <w:t>autoridades sanitarias</w:t>
      </w:r>
      <w:r w:rsidRPr="006D785F">
        <w:rPr>
          <w:rFonts w:ascii="Verdana" w:eastAsia="Arial" w:hAnsi="Verdana" w:cs="Arial"/>
          <w:bCs/>
          <w:color w:val="000000" w:themeColor="text1"/>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6D785F">
        <w:rPr>
          <w:rFonts w:ascii="Verdana" w:eastAsia="Arial" w:hAnsi="Verdana" w:cs="Arial"/>
          <w:bCs/>
          <w:color w:val="000000" w:themeColor="text1"/>
          <w:vertAlign w:val="superscript"/>
        </w:rPr>
        <w:footnoteReference w:id="18"/>
      </w:r>
      <w:r w:rsidRPr="006D785F">
        <w:rPr>
          <w:rFonts w:ascii="Verdana" w:eastAsia="Arial" w:hAnsi="Verdana" w:cs="Arial"/>
          <w:bCs/>
          <w:color w:val="000000" w:themeColor="text1"/>
        </w:rPr>
        <w:t xml:space="preserve">. De esta forma, </w:t>
      </w:r>
      <w:r w:rsidRPr="006D785F">
        <w:rPr>
          <w:rFonts w:ascii="Verdana" w:eastAsia="Arial" w:hAnsi="Verdana" w:cs="Arial"/>
          <w:bCs/>
          <w:color w:val="000000" w:themeColor="text1"/>
        </w:rPr>
        <w:lastRenderedPageBreak/>
        <w:t xml:space="preserve">para efectos de la aplicación de la excepción, se debe verificar que se cumplan los requisitos del artículo 33 de la Ley 996 de 2005. </w:t>
      </w:r>
    </w:p>
    <w:p w14:paraId="53C7F988" w14:textId="0D11189F" w:rsidR="00EF7990" w:rsidRPr="006D785F" w:rsidRDefault="00ED6624" w:rsidP="001178E6">
      <w:pPr>
        <w:tabs>
          <w:tab w:val="left" w:pos="0"/>
        </w:tabs>
        <w:spacing w:after="120" w:line="276" w:lineRule="auto"/>
        <w:ind w:firstLine="709"/>
        <w:jc w:val="both"/>
        <w:rPr>
          <w:rFonts w:ascii="Verdana" w:eastAsia="Arial" w:hAnsi="Verdana" w:cs="Arial"/>
          <w:b/>
          <w:bCs/>
          <w:color w:val="000000"/>
        </w:rPr>
      </w:pPr>
      <w:r w:rsidRPr="006D785F">
        <w:rPr>
          <w:rFonts w:ascii="Verdana" w:eastAsia="Arial" w:hAnsi="Verdana" w:cs="Arial"/>
          <w:bCs/>
          <w:color w:val="000000" w:themeColor="text1"/>
        </w:rPr>
        <w:t>Sobre lo anterior, el Consejo de Estado ha señalado que “las entidades que presten servicios tendientes a preservar la salud pública o humana deben ser consideradas como entidades sanitarias y en principio estarían exceptuadas de la prohibición de contratación directa”</w:t>
      </w:r>
      <w:r w:rsidRPr="006D785F">
        <w:rPr>
          <w:rStyle w:val="Refdenotaalpie"/>
          <w:rFonts w:ascii="Verdana" w:eastAsia="Arial" w:hAnsi="Verdana" w:cs="Arial"/>
          <w:bCs/>
          <w:color w:val="000000" w:themeColor="text1"/>
        </w:rPr>
        <w:footnoteReference w:id="19"/>
      </w:r>
      <w:r w:rsidRPr="006D785F">
        <w:rPr>
          <w:rFonts w:ascii="Verdana" w:eastAsia="Arial" w:hAnsi="Verdana" w:cs="Arial"/>
          <w:bCs/>
          <w:color w:val="000000" w:themeColor="text1"/>
        </w:rPr>
        <w:t>.</w:t>
      </w:r>
    </w:p>
    <w:p w14:paraId="5930B912" w14:textId="42D9D732" w:rsidR="00EF7990" w:rsidRPr="006D785F" w:rsidRDefault="00C026CF" w:rsidP="00326E3D">
      <w:pPr>
        <w:tabs>
          <w:tab w:val="left" w:pos="0"/>
        </w:tabs>
        <w:spacing w:after="120" w:line="276" w:lineRule="auto"/>
        <w:ind w:firstLine="709"/>
        <w:jc w:val="both"/>
        <w:rPr>
          <w:rFonts w:ascii="Verdana" w:eastAsia="Arial" w:hAnsi="Verdana" w:cs="Arial"/>
          <w:b/>
          <w:bCs/>
          <w:color w:val="000000"/>
        </w:rPr>
      </w:pPr>
      <w:r w:rsidRPr="006D785F">
        <w:rPr>
          <w:rFonts w:ascii="Verdana" w:eastAsia="Arial" w:hAnsi="Verdana" w:cs="Arial"/>
          <w:bCs/>
          <w:color w:val="000000" w:themeColor="text1"/>
        </w:rPr>
        <w:t>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w:t>
      </w:r>
      <w:r w:rsidR="008D5CBB" w:rsidRPr="006D785F">
        <w:rPr>
          <w:rFonts w:ascii="Verdana" w:eastAsia="Arial" w:hAnsi="Verdana" w:cs="Arial"/>
          <w:bCs/>
          <w:color w:val="000000" w:themeColor="text1"/>
        </w:rPr>
        <w:t xml:space="preserve"> no sea cobijada por la prohibición de contratación que establece la ley de garantías”</w:t>
      </w:r>
      <w:r w:rsidR="008D5CBB" w:rsidRPr="006D785F">
        <w:rPr>
          <w:rStyle w:val="Refdenotaalpie"/>
          <w:rFonts w:ascii="Verdana" w:eastAsia="Arial" w:hAnsi="Verdana" w:cs="Arial"/>
          <w:bCs/>
          <w:color w:val="000000" w:themeColor="text1"/>
        </w:rPr>
        <w:footnoteReference w:id="20"/>
      </w:r>
      <w:r w:rsidR="008D5CBB" w:rsidRPr="006D785F">
        <w:rPr>
          <w:rFonts w:ascii="Verdana" w:eastAsia="Arial" w:hAnsi="Verdana" w:cs="Arial"/>
          <w:bCs/>
          <w:color w:val="000000" w:themeColor="text1"/>
        </w:rPr>
        <w:t>.</w:t>
      </w:r>
    </w:p>
    <w:p w14:paraId="73BCB552" w14:textId="22059121" w:rsidR="00EF7990" w:rsidRPr="006D785F" w:rsidRDefault="00326E3D" w:rsidP="009639AE">
      <w:pPr>
        <w:spacing w:after="0" w:line="276" w:lineRule="auto"/>
        <w:ind w:firstLine="709"/>
        <w:jc w:val="both"/>
        <w:rPr>
          <w:rFonts w:ascii="Verdana" w:eastAsia="Arial" w:hAnsi="Verdana" w:cs="Arial"/>
          <w:bCs/>
          <w:color w:val="000000" w:themeColor="text1"/>
        </w:rPr>
      </w:pPr>
      <w:r w:rsidRPr="006D785F">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si se configuran los supuestos establecidos en </w:t>
      </w:r>
      <w:r w:rsidRPr="006D785F">
        <w:rPr>
          <w:rFonts w:ascii="Verdana" w:eastAsia="Arial" w:hAnsi="Verdana" w:cs="Arial"/>
          <w:bCs/>
          <w:i/>
          <w:iCs/>
          <w:color w:val="000000" w:themeColor="text1"/>
        </w:rPr>
        <w:t>el artículo 33</w:t>
      </w:r>
      <w:r w:rsidRPr="006D785F">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107170E8" w14:textId="77777777" w:rsidR="009639AE" w:rsidRPr="006D785F" w:rsidRDefault="009639AE" w:rsidP="009639AE">
      <w:pPr>
        <w:spacing w:after="0" w:line="276" w:lineRule="auto"/>
        <w:ind w:firstLine="709"/>
        <w:jc w:val="both"/>
        <w:rPr>
          <w:rFonts w:ascii="Verdana" w:eastAsia="Arial" w:hAnsi="Verdana" w:cs="Arial"/>
          <w:bCs/>
          <w:color w:val="000000" w:themeColor="text1"/>
        </w:rPr>
      </w:pPr>
    </w:p>
    <w:p w14:paraId="68251D47" w14:textId="16931E93" w:rsidR="0055038B" w:rsidRPr="006D785F" w:rsidRDefault="00326E3D" w:rsidP="001178E6">
      <w:pPr>
        <w:tabs>
          <w:tab w:val="left" w:pos="0"/>
        </w:tabs>
        <w:spacing w:after="120" w:line="276" w:lineRule="auto"/>
        <w:ind w:firstLine="709"/>
        <w:jc w:val="both"/>
        <w:rPr>
          <w:rFonts w:ascii="Verdana" w:eastAsia="Arial" w:hAnsi="Verdana" w:cs="Arial"/>
          <w:color w:val="000000"/>
        </w:rPr>
      </w:pPr>
      <w:r w:rsidRPr="006D785F">
        <w:rPr>
          <w:rFonts w:ascii="Verdana" w:eastAsia="Calibri" w:hAnsi="Verdana" w:cs="Arial"/>
          <w:b/>
          <w:color w:val="000000" w:themeColor="text1"/>
        </w:rPr>
        <w:t>vi.</w:t>
      </w:r>
      <w:r w:rsidRPr="006D785F">
        <w:rPr>
          <w:rFonts w:ascii="Verdana" w:eastAsia="Calibri" w:hAnsi="Verdana" w:cs="Arial"/>
          <w:bCs/>
          <w:color w:val="000000" w:themeColor="text1"/>
        </w:rPr>
        <w:t xml:space="preserve"> </w:t>
      </w:r>
      <w:r w:rsidR="0055038B" w:rsidRPr="006D785F">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w:t>
      </w:r>
      <w:r w:rsidR="0055038B" w:rsidRPr="006D785F">
        <w:rPr>
          <w:rFonts w:ascii="Verdana" w:eastAsia="Calibri" w:hAnsi="Verdana" w:cs="Arial"/>
          <w:bCs/>
          <w:color w:val="000000" w:themeColor="text1"/>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72E12520" w14:textId="77777777" w:rsidR="0055038B" w:rsidRPr="006D785F" w:rsidRDefault="0055038B" w:rsidP="0055038B">
      <w:pPr>
        <w:spacing w:after="0" w:line="276" w:lineRule="auto"/>
        <w:ind w:firstLine="708"/>
        <w:jc w:val="both"/>
        <w:rPr>
          <w:rFonts w:ascii="Verdana" w:eastAsia="Calibri" w:hAnsi="Verdana" w:cs="Arial"/>
          <w:bCs/>
          <w:color w:val="000000" w:themeColor="text1"/>
        </w:rPr>
      </w:pPr>
      <w:r w:rsidRPr="006D785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25A31E3" w14:textId="77777777" w:rsidR="0055038B" w:rsidRPr="006D785F" w:rsidRDefault="0055038B" w:rsidP="0055038B">
      <w:pPr>
        <w:widowControl w:val="0"/>
        <w:autoSpaceDE w:val="0"/>
        <w:autoSpaceDN w:val="0"/>
        <w:spacing w:after="0" w:line="276" w:lineRule="auto"/>
        <w:jc w:val="both"/>
        <w:rPr>
          <w:rFonts w:ascii="Verdana" w:hAnsi="Verdana" w:cs="Arial"/>
        </w:rPr>
      </w:pPr>
    </w:p>
    <w:p w14:paraId="1938B5A6" w14:textId="77777777" w:rsidR="0055038B" w:rsidRPr="006D785F"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D785F">
        <w:rPr>
          <w:rFonts w:ascii="Verdana" w:eastAsia="Century Gothic" w:hAnsi="Verdana" w:cs="Century Gothic"/>
          <w:b/>
          <w:bCs/>
        </w:rPr>
        <w:t>Referencias normativas, jurisprudenciales y otras fuentes:</w:t>
      </w:r>
    </w:p>
    <w:p w14:paraId="2F9D4F2A" w14:textId="77777777" w:rsidR="0055038B" w:rsidRPr="006D785F" w:rsidRDefault="0055038B" w:rsidP="005503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5038B" w:rsidRPr="006D785F" w14:paraId="3D6A3094" w14:textId="77777777" w:rsidTr="00BA05D4">
        <w:trPr>
          <w:trHeight w:val="870"/>
        </w:trPr>
        <w:tc>
          <w:tcPr>
            <w:tcW w:w="8647" w:type="dxa"/>
          </w:tcPr>
          <w:p w14:paraId="61485575"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Ley 996 de 2005</w:t>
            </w:r>
          </w:p>
          <w:p w14:paraId="2F034E6F" w14:textId="41EE75B4"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Ley 100 de 1993, artículos 94 y 97</w:t>
            </w:r>
          </w:p>
          <w:p w14:paraId="2CE4C580"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Gaceta del Congreso de la República No. 71 del 2005.</w:t>
            </w:r>
          </w:p>
          <w:p w14:paraId="5F799CC9"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Corte Constitucional. Sentencia C-1153 de 2005. Magistrado Ponente Marco Gerardo Monroy Cabra.</w:t>
            </w:r>
          </w:p>
          <w:p w14:paraId="5780AA54"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Corte Constitucional. Sentencias: C-233 de 4 de abril de 2002, expediente: D-3704; C-551 de 9 de julio de 2003, expediente: CRF-001 de 9 de julio de 2003; C-652 de 5 de agosto de 2003, expediente: D 4330; C-353 de 20 de mayo de 2009, expediente: D-7518, C-541 de 30 de junio de 2010, expediente: DD7966; entre otras.</w:t>
            </w:r>
          </w:p>
          <w:p w14:paraId="7E133426"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41C49BA0"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Sala de Consulta y Servicio Civil de fecha 24 de julio de 2013, radicado 2166, Consejero Ponente Álvaro Namén Vargas.</w:t>
            </w:r>
          </w:p>
          <w:p w14:paraId="2E9332DA"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lastRenderedPageBreak/>
              <w:t>Consejo de Estado. Sala de Consulta y Servicio Civil. Concepto del 17 de febrero de 2015. Consejero Ponente William Zambrano Cetina. Radicación No. 11001-03-06-000-2015-00164-00(2269).</w:t>
            </w:r>
          </w:p>
          <w:p w14:paraId="601293FC"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Sección Tercera. Sentencia de 3 de diciembre de 2007. Radicados: 24.715, 25.206, 25.409, 24.524, 27.834, 25.410, 26.105, 28.244, 31.447 -acumulados”</w:t>
            </w:r>
          </w:p>
          <w:p w14:paraId="43C40CA1"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Sala de Consulta y Servicio Civil. Concepto 1712 de 2 de febrero de 2006.</w:t>
            </w:r>
          </w:p>
          <w:p w14:paraId="53254D69"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Sala de Consulta y Servicio Civil. Concepto del 2 de septiembre de 2013. Radicación número: 11001-03-06-000-2013-00412-00 (2168). Consejero Ponente: Álvaro Namén Vargas.</w:t>
            </w:r>
          </w:p>
          <w:p w14:paraId="59179593"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Ley 1150 de 2007.</w:t>
            </w:r>
          </w:p>
          <w:p w14:paraId="78D21FD6" w14:textId="77777777" w:rsidR="00D27748"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Sala de Consulta y Servicio Civil. Concepto del 08 de mayo de 2018. Exp. 2.382. C.P. Álvaro Namén Vargas.</w:t>
            </w:r>
          </w:p>
          <w:p w14:paraId="03E68432" w14:textId="2978AB35" w:rsidR="00DF25E0" w:rsidRPr="006D785F" w:rsidRDefault="00D27748" w:rsidP="00D27748">
            <w:pPr>
              <w:numPr>
                <w:ilvl w:val="0"/>
                <w:numId w:val="17"/>
              </w:numPr>
              <w:spacing w:before="100" w:beforeAutospacing="1" w:after="100" w:afterAutospacing="1" w:line="276" w:lineRule="auto"/>
              <w:rPr>
                <w:rFonts w:ascii="Verdana" w:eastAsia="Times New Roman" w:hAnsi="Verdana" w:cs="Times New Roman"/>
                <w:lang w:eastAsia="es-CO"/>
              </w:rPr>
            </w:pPr>
            <w:r w:rsidRPr="006D785F">
              <w:rPr>
                <w:rFonts w:ascii="Verdana" w:eastAsia="Times New Roman" w:hAnsi="Verdana" w:cs="Times New Roman"/>
                <w:lang w:eastAsia="es-CO"/>
              </w:rPr>
              <w:t>Consejo de Estado. Sala de Consulta y Servicio Civil. Concepto del 12 de junio de 2018. Radicación: 11001-03-06-000-2018-0043-00. (2371). C.P: Oscar Darío Amaya Navas.</w:t>
            </w:r>
          </w:p>
        </w:tc>
      </w:tr>
    </w:tbl>
    <w:p w14:paraId="1F377FE5" w14:textId="77777777" w:rsidR="002C745A" w:rsidRPr="006D785F" w:rsidRDefault="002C745A" w:rsidP="0055038B">
      <w:pPr>
        <w:widowControl w:val="0"/>
        <w:autoSpaceDE w:val="0"/>
        <w:autoSpaceDN w:val="0"/>
        <w:spacing w:after="0" w:line="276" w:lineRule="auto"/>
        <w:jc w:val="both"/>
        <w:rPr>
          <w:rFonts w:ascii="Verdana" w:hAnsi="Verdana" w:cs="Arial"/>
        </w:rPr>
      </w:pPr>
    </w:p>
    <w:p w14:paraId="197A92AE" w14:textId="77777777" w:rsidR="0055038B" w:rsidRPr="006D785F" w:rsidRDefault="0055038B" w:rsidP="005503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D785F">
        <w:rPr>
          <w:rFonts w:ascii="Verdana" w:eastAsia="Century Gothic" w:hAnsi="Verdana" w:cs="Century Gothic"/>
          <w:b/>
          <w:bCs/>
        </w:rPr>
        <w:t>Doctrina de la Agencia Nacional de Contratación Pública:</w:t>
      </w:r>
    </w:p>
    <w:p w14:paraId="0E59D569" w14:textId="77777777" w:rsidR="0055038B" w:rsidRPr="006D785F" w:rsidRDefault="0055038B" w:rsidP="0055038B">
      <w:pPr>
        <w:widowControl w:val="0"/>
        <w:autoSpaceDE w:val="0"/>
        <w:autoSpaceDN w:val="0"/>
        <w:spacing w:after="0" w:line="276" w:lineRule="auto"/>
        <w:jc w:val="both"/>
        <w:rPr>
          <w:rFonts w:ascii="Verdana" w:hAnsi="Verdana" w:cs="Arial"/>
        </w:rPr>
      </w:pPr>
    </w:p>
    <w:p w14:paraId="6855B3AA" w14:textId="21FB882B" w:rsidR="00660873" w:rsidRPr="006D785F" w:rsidRDefault="0055038B" w:rsidP="0066087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6D785F">
        <w:rPr>
          <w:rFonts w:ascii="Verdana" w:hAnsi="Verdana" w:cs="Arial"/>
          <w:shd w:val="clear" w:color="auto" w:fill="FFFFFF"/>
        </w:rPr>
        <w:t xml:space="preserve">Esta Subdirección se ha pronunciado </w:t>
      </w:r>
      <w:r w:rsidR="00660873" w:rsidRPr="006D785F">
        <w:rPr>
          <w:rFonts w:ascii="Verdana" w:hAnsi="Verdana" w:cs="Arial"/>
          <w:shd w:val="clear" w:color="auto" w:fill="FFFFFF"/>
        </w:rPr>
        <w:t xml:space="preserve">sobre </w:t>
      </w:r>
      <w:r w:rsidR="00EA69C7" w:rsidRPr="006D785F">
        <w:rPr>
          <w:rFonts w:ascii="Verdana" w:hAnsi="Verdana" w:cs="Arial"/>
          <w:shd w:val="clear" w:color="auto" w:fill="FFFFFF"/>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C-1124 del 18 de septiembre de 2025, C-1491 del 20 de noviembre de 2025, C- 1492 del </w:t>
      </w:r>
      <w:r w:rsidR="00EA69C7" w:rsidRPr="006D785F">
        <w:rPr>
          <w:rFonts w:ascii="Verdana" w:hAnsi="Verdana"/>
        </w:rPr>
        <w:t>21 de noviembre del 2025, C-1629, C-1646 del 17 de diciembre de 2025, C-1662 del 22 de diciembre de 2025</w:t>
      </w:r>
      <w:r w:rsidR="00EA69C7" w:rsidRPr="006D785F">
        <w:rPr>
          <w:rStyle w:val="normaltextrun"/>
          <w:rFonts w:ascii="Verdana" w:hAnsi="Verdana" w:cs="Arial"/>
          <w:shd w:val="clear" w:color="auto" w:fill="FFFFFF"/>
          <w:lang w:val="es-ES"/>
        </w:rPr>
        <w:t xml:space="preserve">, C-160 del 24 de febrero de 2026, C-108 del 4 de </w:t>
      </w:r>
      <w:r w:rsidR="00EA69C7" w:rsidRPr="006D785F">
        <w:rPr>
          <w:rStyle w:val="normaltextrun"/>
          <w:rFonts w:ascii="Verdana" w:hAnsi="Verdana" w:cs="Arial"/>
          <w:shd w:val="clear" w:color="auto" w:fill="FFFFFF"/>
          <w:lang w:val="es-ES"/>
        </w:rPr>
        <w:lastRenderedPageBreak/>
        <w:t>marzo de 2026, entre otros.</w:t>
      </w:r>
      <w:r w:rsidR="00EA69C7" w:rsidRPr="006D785F">
        <w:rPr>
          <w:rFonts w:ascii="Verdana" w:hAnsi="Verdana" w:cs="Arial"/>
          <w:shd w:val="clear" w:color="auto" w:fill="FFFFFF"/>
          <w:lang w:val="es-ES"/>
        </w:rPr>
        <w:t xml:space="preserve"> </w:t>
      </w:r>
      <w:r w:rsidR="00660873" w:rsidRPr="006D785F">
        <w:rPr>
          <w:rFonts w:ascii="Verdana" w:hAnsi="Verdana" w:cs="Arial"/>
          <w:color w:val="000000" w:themeColor="text1"/>
          <w:shd w:val="clear" w:color="auto" w:fill="FFFFFF"/>
        </w:rPr>
        <w:t xml:space="preserve">Estos </w:t>
      </w:r>
      <w:r w:rsidR="00660873" w:rsidRPr="006D785F">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3" w:history="1">
        <w:r w:rsidR="00660873" w:rsidRPr="006D785F">
          <w:rPr>
            <w:rStyle w:val="Hipervnculo"/>
            <w:rFonts w:ascii="Verdana" w:hAnsi="Verdana" w:cs="Arial"/>
            <w:shd w:val="clear" w:color="auto" w:fill="FFFFFF"/>
          </w:rPr>
          <w:t>https://relatoria.colombiacompra.gov.co/busqueda/conceptos</w:t>
        </w:r>
      </w:hyperlink>
      <w:r w:rsidR="00660873" w:rsidRPr="006D785F">
        <w:rPr>
          <w:rStyle w:val="Hipervnculo"/>
          <w:rFonts w:ascii="Verdana" w:hAnsi="Verdana"/>
        </w:rPr>
        <w:t>.</w:t>
      </w:r>
      <w:r w:rsidR="00660873" w:rsidRPr="006D785F">
        <w:rPr>
          <w:rStyle w:val="normaltextrun"/>
          <w:rFonts w:ascii="Verdana" w:hAnsi="Verdana" w:cs="Arial"/>
          <w:color w:val="000000" w:themeColor="text1"/>
          <w:shd w:val="clear" w:color="auto" w:fill="FFFFFF"/>
        </w:rPr>
        <w:t xml:space="preserve"> </w:t>
      </w:r>
      <w:r w:rsidR="00660873" w:rsidRPr="006D785F">
        <w:rPr>
          <w:rStyle w:val="normaltextrun"/>
          <w:rFonts w:ascii="Verdana" w:hAnsi="Verdana" w:cs="Arial"/>
          <w:color w:val="000000" w:themeColor="text1"/>
          <w:shd w:val="clear" w:color="auto" w:fill="FFFFFF"/>
          <w:lang w:val="es-ES"/>
        </w:rPr>
        <w:t xml:space="preserve"> </w:t>
      </w:r>
    </w:p>
    <w:p w14:paraId="300F662D" w14:textId="77777777" w:rsidR="0055038B" w:rsidRPr="006D785F" w:rsidRDefault="0055038B" w:rsidP="0055038B">
      <w:pPr>
        <w:spacing w:after="0" w:line="240" w:lineRule="auto"/>
        <w:jc w:val="both"/>
        <w:rPr>
          <w:rFonts w:ascii="Verdana" w:hAnsi="Verdana"/>
        </w:rPr>
      </w:pPr>
    </w:p>
    <w:p w14:paraId="59CF8BD0" w14:textId="77777777" w:rsidR="0055038B" w:rsidRPr="006D785F" w:rsidRDefault="0055038B" w:rsidP="0055038B">
      <w:pPr>
        <w:spacing w:after="0" w:line="240" w:lineRule="auto"/>
        <w:jc w:val="both"/>
        <w:rPr>
          <w:rFonts w:ascii="Verdana" w:hAnsi="Verdana"/>
        </w:rPr>
      </w:pPr>
      <w:r w:rsidRPr="006D785F">
        <w:rPr>
          <w:rFonts w:ascii="Verdana" w:hAnsi="Verdana"/>
        </w:rPr>
        <w:t xml:space="preserve">Por último, lo invitamos a seguirnos en las redes sociales en las cuales se difunde información institucional: </w:t>
      </w:r>
    </w:p>
    <w:p w14:paraId="0A337EA3" w14:textId="77777777" w:rsidR="0055038B" w:rsidRPr="006D785F" w:rsidRDefault="0055038B" w:rsidP="0055038B">
      <w:pPr>
        <w:spacing w:after="0" w:line="240" w:lineRule="auto"/>
        <w:jc w:val="both"/>
        <w:rPr>
          <w:rFonts w:ascii="Verdana" w:hAnsi="Verdana"/>
        </w:rPr>
      </w:pPr>
    </w:p>
    <w:p w14:paraId="748DDF0C" w14:textId="77777777" w:rsidR="0055038B" w:rsidRPr="006D785F" w:rsidRDefault="0055038B" w:rsidP="0055038B">
      <w:pPr>
        <w:spacing w:after="0" w:line="240" w:lineRule="auto"/>
        <w:jc w:val="both"/>
        <w:rPr>
          <w:rFonts w:ascii="Verdana" w:hAnsi="Verdana"/>
        </w:rPr>
      </w:pPr>
      <w:r w:rsidRPr="006D785F">
        <w:rPr>
          <w:rFonts w:ascii="Verdana" w:hAnsi="Verdana"/>
        </w:rPr>
        <w:t xml:space="preserve">Twitter: </w:t>
      </w:r>
      <w:r w:rsidRPr="006D785F">
        <w:rPr>
          <w:rStyle w:val="Hipervnculo"/>
          <w:rFonts w:ascii="Verdana" w:hAnsi="Verdana"/>
        </w:rPr>
        <w:t>@colombiacompra</w:t>
      </w:r>
      <w:r w:rsidRPr="006D785F">
        <w:rPr>
          <w:rFonts w:ascii="Verdana" w:hAnsi="Verdana"/>
          <w:color w:val="0000FF"/>
        </w:rPr>
        <w:t xml:space="preserve"> </w:t>
      </w:r>
    </w:p>
    <w:p w14:paraId="01B2B32B" w14:textId="77777777" w:rsidR="0055038B" w:rsidRPr="006D785F" w:rsidRDefault="0055038B" w:rsidP="0055038B">
      <w:pPr>
        <w:spacing w:after="0" w:line="240" w:lineRule="auto"/>
        <w:jc w:val="both"/>
        <w:rPr>
          <w:rFonts w:ascii="Verdana" w:hAnsi="Verdana"/>
        </w:rPr>
      </w:pPr>
      <w:r w:rsidRPr="006D785F">
        <w:rPr>
          <w:rFonts w:ascii="Verdana" w:hAnsi="Verdana"/>
        </w:rPr>
        <w:t xml:space="preserve">Facebook: </w:t>
      </w:r>
      <w:r w:rsidRPr="006D785F">
        <w:rPr>
          <w:rStyle w:val="Hipervnculo"/>
          <w:rFonts w:ascii="Verdana" w:hAnsi="Verdana"/>
        </w:rPr>
        <w:t>ColombiaCompraEficiente</w:t>
      </w:r>
    </w:p>
    <w:p w14:paraId="3F902A00" w14:textId="77777777" w:rsidR="0055038B" w:rsidRPr="006D785F" w:rsidRDefault="0055038B" w:rsidP="0055038B">
      <w:pPr>
        <w:spacing w:after="0" w:line="240" w:lineRule="auto"/>
        <w:jc w:val="both"/>
        <w:rPr>
          <w:rFonts w:ascii="Verdana" w:hAnsi="Verdana"/>
        </w:rPr>
      </w:pPr>
      <w:r w:rsidRPr="006D785F">
        <w:rPr>
          <w:rFonts w:ascii="Verdana" w:hAnsi="Verdana"/>
        </w:rPr>
        <w:t xml:space="preserve">LinkedIn: </w:t>
      </w:r>
      <w:r w:rsidRPr="006D785F">
        <w:rPr>
          <w:rStyle w:val="Hipervnculo"/>
          <w:rFonts w:ascii="Verdana" w:hAnsi="Verdana"/>
        </w:rPr>
        <w:t>Agencia Nacional de Contratación Pública - Colombia Compra Eficiente</w:t>
      </w:r>
      <w:r w:rsidRPr="006D785F">
        <w:rPr>
          <w:rFonts w:ascii="Verdana" w:hAnsi="Verdana"/>
          <w:color w:val="0000FF"/>
        </w:rPr>
        <w:t xml:space="preserve"> </w:t>
      </w:r>
      <w:r w:rsidRPr="006D785F">
        <w:rPr>
          <w:rFonts w:ascii="Verdana" w:hAnsi="Verdana"/>
        </w:rPr>
        <w:t xml:space="preserve">Instagram: </w:t>
      </w:r>
      <w:r w:rsidRPr="006D785F">
        <w:rPr>
          <w:rStyle w:val="Hipervnculo"/>
          <w:rFonts w:ascii="Verdana" w:hAnsi="Verdana"/>
        </w:rPr>
        <w:t>@colombiacompraeficiente_cce</w:t>
      </w:r>
    </w:p>
    <w:p w14:paraId="18A81061" w14:textId="77777777" w:rsidR="0055038B" w:rsidRPr="006D785F" w:rsidRDefault="0055038B" w:rsidP="0055038B">
      <w:pPr>
        <w:widowControl w:val="0"/>
        <w:autoSpaceDE w:val="0"/>
        <w:autoSpaceDN w:val="0"/>
        <w:spacing w:after="0" w:line="276" w:lineRule="auto"/>
        <w:jc w:val="both"/>
        <w:rPr>
          <w:rFonts w:ascii="Verdana" w:hAnsi="Verdana" w:cs="Arial"/>
        </w:rPr>
      </w:pPr>
    </w:p>
    <w:p w14:paraId="02892392" w14:textId="77777777" w:rsidR="0055038B" w:rsidRPr="006D785F" w:rsidRDefault="0055038B" w:rsidP="0055038B">
      <w:pPr>
        <w:widowControl w:val="0"/>
        <w:autoSpaceDE w:val="0"/>
        <w:autoSpaceDN w:val="0"/>
        <w:spacing w:after="0" w:line="276" w:lineRule="auto"/>
        <w:jc w:val="both"/>
        <w:rPr>
          <w:rFonts w:ascii="Verdana" w:hAnsi="Verdana" w:cs="Arial"/>
          <w:lang w:val="es-ES_tradnl"/>
        </w:rPr>
      </w:pPr>
      <w:r w:rsidRPr="006D785F">
        <w:rPr>
          <w:rFonts w:ascii="Verdana" w:hAnsi="Verdana" w:cs="Arial"/>
        </w:rPr>
        <w:t xml:space="preserve">Este concepto tiene el alcance previsto en el artículo 28 del Código de Procedimiento Administrativo y de lo Contencioso Administrativo </w:t>
      </w:r>
      <w:r w:rsidRPr="006D785F">
        <w:rPr>
          <w:rFonts w:ascii="Verdana" w:hAnsi="Verdana" w:cs="Arial"/>
          <w:lang w:val="es-ES_tradnl"/>
        </w:rPr>
        <w:t>y las expresiones aquí utilizadas con mayúscula inicial deben ser entendidas con el significado que les otorga el artículo 2.2.1.1.1.3.1. del Decreto 1082 de 2015.</w:t>
      </w:r>
    </w:p>
    <w:p w14:paraId="622652B5" w14:textId="77777777" w:rsidR="0055038B" w:rsidRPr="006D785F" w:rsidRDefault="0055038B" w:rsidP="0055038B">
      <w:pPr>
        <w:widowControl w:val="0"/>
        <w:autoSpaceDE w:val="0"/>
        <w:autoSpaceDN w:val="0"/>
        <w:spacing w:after="0" w:line="276" w:lineRule="auto"/>
        <w:jc w:val="both"/>
        <w:rPr>
          <w:rFonts w:ascii="Verdana" w:hAnsi="Verdana" w:cs="Arial"/>
        </w:rPr>
      </w:pPr>
    </w:p>
    <w:p w14:paraId="733FCC36" w14:textId="77777777" w:rsidR="0055038B" w:rsidRPr="006D785F" w:rsidRDefault="0055038B" w:rsidP="0055038B">
      <w:pPr>
        <w:spacing w:after="0" w:line="240" w:lineRule="auto"/>
        <w:rPr>
          <w:rFonts w:ascii="Verdana" w:hAnsi="Verdana" w:cs="Arial"/>
          <w:lang w:eastAsia="es-CO"/>
        </w:rPr>
      </w:pPr>
      <w:r w:rsidRPr="006D785F">
        <w:rPr>
          <w:rFonts w:ascii="Verdana" w:eastAsia="Times New Roman" w:hAnsi="Verdana" w:cs="Arial"/>
          <w:lang w:eastAsia="es-CO"/>
        </w:rPr>
        <w:t>Atentamente,</w:t>
      </w:r>
      <w:r w:rsidRPr="006D785F">
        <w:rPr>
          <w:rFonts w:ascii="Verdana" w:hAnsi="Verdana" w:cs="Arial"/>
          <w:lang w:eastAsia="es-CO"/>
        </w:rPr>
        <w:t xml:space="preserve"> </w:t>
      </w:r>
    </w:p>
    <w:p w14:paraId="03F859CC" w14:textId="38B348F2" w:rsidR="003C0FBA" w:rsidRPr="006D785F" w:rsidRDefault="00085A57" w:rsidP="00085A57">
      <w:pPr>
        <w:spacing w:line="276" w:lineRule="auto"/>
        <w:jc w:val="center"/>
        <w:rPr>
          <w:rFonts w:ascii="Verdana" w:hAnsi="Verdana" w:cs="Arial"/>
          <w:color w:val="000000"/>
          <w:lang w:eastAsia="es-CO"/>
        </w:rPr>
      </w:pPr>
      <w:r w:rsidRPr="00085A57">
        <w:rPr>
          <w:rFonts w:ascii="Verdana" w:hAnsi="Verdana" w:cs="Arial"/>
          <w:noProof/>
          <w:color w:val="000000"/>
          <w:lang w:eastAsia="es-CO"/>
        </w:rPr>
        <w:drawing>
          <wp:inline distT="0" distB="0" distL="0" distR="0" wp14:anchorId="596432DE" wp14:editId="34291B94">
            <wp:extent cx="3316915" cy="1313202"/>
            <wp:effectExtent l="0" t="0" r="0" b="1270"/>
            <wp:docPr id="19188081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20269" cy="131453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5038B" w:rsidRPr="006D785F" w14:paraId="53706749" w14:textId="77777777" w:rsidTr="00BA05D4">
        <w:trPr>
          <w:trHeight w:val="315"/>
        </w:trPr>
        <w:tc>
          <w:tcPr>
            <w:tcW w:w="893" w:type="dxa"/>
            <w:vAlign w:val="center"/>
            <w:hideMark/>
          </w:tcPr>
          <w:p w14:paraId="59C860F1" w14:textId="77777777" w:rsidR="0055038B" w:rsidRPr="006D785F" w:rsidRDefault="0055038B" w:rsidP="00BA05D4">
            <w:pPr>
              <w:contextualSpacing/>
              <w:rPr>
                <w:rFonts w:ascii="Verdana" w:hAnsi="Verdana" w:cs="Arial"/>
                <w:sz w:val="16"/>
                <w:szCs w:val="16"/>
                <w:lang w:val="es-ES" w:eastAsia="es-ES"/>
              </w:rPr>
            </w:pPr>
            <w:r w:rsidRPr="006D785F">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3BD164" w14:textId="77777777" w:rsidR="0055038B" w:rsidRPr="006D785F" w:rsidRDefault="0055038B" w:rsidP="00BA05D4">
            <w:pPr>
              <w:contextualSpacing/>
              <w:rPr>
                <w:rFonts w:ascii="Verdana" w:eastAsia="Arial" w:hAnsi="Verdana" w:cs="Arial"/>
                <w:sz w:val="16"/>
                <w:szCs w:val="16"/>
              </w:rPr>
            </w:pPr>
            <w:r w:rsidRPr="006D785F">
              <w:rPr>
                <w:rFonts w:ascii="Verdana" w:eastAsia="Arial" w:hAnsi="Verdana" w:cs="Arial"/>
                <w:sz w:val="16"/>
                <w:szCs w:val="16"/>
              </w:rPr>
              <w:t>Andrea Camila Polo Paz</w:t>
            </w:r>
          </w:p>
          <w:p w14:paraId="4CDCF358" w14:textId="77777777" w:rsidR="0055038B" w:rsidRPr="006D785F" w:rsidRDefault="0055038B" w:rsidP="00BA05D4">
            <w:pPr>
              <w:contextualSpacing/>
              <w:rPr>
                <w:rFonts w:ascii="Verdana" w:eastAsia="Arial" w:hAnsi="Verdana" w:cs="Arial"/>
                <w:sz w:val="16"/>
                <w:szCs w:val="16"/>
              </w:rPr>
            </w:pPr>
            <w:r w:rsidRPr="006D785F">
              <w:rPr>
                <w:rStyle w:val="normaltextrun"/>
                <w:rFonts w:ascii="Verdana" w:eastAsia="Arial" w:hAnsi="Verdana" w:cs="Arial"/>
                <w:sz w:val="16"/>
                <w:szCs w:val="16"/>
              </w:rPr>
              <w:t>Analista T02-1 de la Subdirección de Gestión Contractual</w:t>
            </w:r>
          </w:p>
        </w:tc>
      </w:tr>
      <w:tr w:rsidR="0055038B" w:rsidRPr="006D785F" w14:paraId="1D65F365" w14:textId="77777777" w:rsidTr="00BA05D4">
        <w:trPr>
          <w:trHeight w:val="330"/>
        </w:trPr>
        <w:tc>
          <w:tcPr>
            <w:tcW w:w="893" w:type="dxa"/>
            <w:vAlign w:val="center"/>
            <w:hideMark/>
          </w:tcPr>
          <w:p w14:paraId="1A374013" w14:textId="77777777" w:rsidR="0055038B" w:rsidRPr="006D785F" w:rsidRDefault="0055038B" w:rsidP="00BA05D4">
            <w:pPr>
              <w:contextualSpacing/>
              <w:rPr>
                <w:rFonts w:ascii="Verdana" w:hAnsi="Verdana" w:cs="Arial"/>
                <w:sz w:val="16"/>
                <w:szCs w:val="16"/>
                <w:lang w:val="es-ES" w:eastAsia="es-ES"/>
              </w:rPr>
            </w:pPr>
            <w:r w:rsidRPr="006D785F">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CD7B31" w14:textId="2628CC47" w:rsidR="00660873" w:rsidRPr="006D785F" w:rsidRDefault="00660873" w:rsidP="00BA05D4">
            <w:pPr>
              <w:pStyle w:val="paragraph"/>
              <w:spacing w:before="0" w:beforeAutospacing="0" w:after="0" w:afterAutospacing="0"/>
              <w:contextualSpacing/>
              <w:textAlignment w:val="baseline"/>
              <w:rPr>
                <w:rStyle w:val="normaltextrun"/>
                <w:rFonts w:ascii="Verdana" w:hAnsi="Verdana" w:cs="Arial"/>
                <w:sz w:val="16"/>
                <w:szCs w:val="16"/>
                <w:lang w:val="es-ES"/>
              </w:rPr>
            </w:pPr>
            <w:r w:rsidRPr="006D785F">
              <w:rPr>
                <w:rStyle w:val="normaltextrun"/>
                <w:rFonts w:ascii="Verdana" w:hAnsi="Verdana" w:cs="Arial"/>
                <w:sz w:val="16"/>
                <w:szCs w:val="16"/>
                <w:lang w:val="es-ES"/>
              </w:rPr>
              <w:t xml:space="preserve">Adriana López </w:t>
            </w:r>
            <w:r w:rsidR="00DA0489" w:rsidRPr="006D785F">
              <w:rPr>
                <w:rStyle w:val="normaltextrun"/>
                <w:rFonts w:ascii="Verdana" w:hAnsi="Verdana" w:cs="Arial"/>
                <w:sz w:val="16"/>
                <w:szCs w:val="16"/>
                <w:lang w:val="es-ES"/>
              </w:rPr>
              <w:t xml:space="preserve">Rodríguez </w:t>
            </w:r>
          </w:p>
          <w:p w14:paraId="628B8479" w14:textId="19252A1E" w:rsidR="0055038B" w:rsidRPr="006D785F" w:rsidRDefault="0055038B" w:rsidP="00BA05D4">
            <w:pPr>
              <w:pStyle w:val="paragraph"/>
              <w:spacing w:before="0" w:beforeAutospacing="0" w:after="0" w:afterAutospacing="0"/>
              <w:contextualSpacing/>
              <w:textAlignment w:val="baseline"/>
              <w:rPr>
                <w:rFonts w:ascii="Verdana" w:hAnsi="Verdana" w:cs="Arial"/>
                <w:sz w:val="16"/>
                <w:szCs w:val="16"/>
                <w:lang w:val="es-ES"/>
              </w:rPr>
            </w:pPr>
            <w:r w:rsidRPr="006D785F">
              <w:rPr>
                <w:rStyle w:val="normaltextrun"/>
                <w:rFonts w:ascii="Verdana" w:hAnsi="Verdana" w:cs="Arial"/>
                <w:sz w:val="16"/>
                <w:szCs w:val="16"/>
                <w:lang w:val="es-ES"/>
              </w:rPr>
              <w:t>Contratista de la Subdirección de Gestión Contractual</w:t>
            </w:r>
            <w:r w:rsidRPr="006D785F">
              <w:rPr>
                <w:rStyle w:val="eop"/>
                <w:rFonts w:ascii="Verdana" w:hAnsi="Verdana" w:cs="Arial"/>
                <w:sz w:val="16"/>
                <w:szCs w:val="16"/>
              </w:rPr>
              <w:t> </w:t>
            </w:r>
          </w:p>
        </w:tc>
      </w:tr>
      <w:tr w:rsidR="0055038B" w:rsidRPr="000C0179" w14:paraId="61B369D3" w14:textId="77777777" w:rsidTr="00BA05D4">
        <w:trPr>
          <w:trHeight w:val="300"/>
        </w:trPr>
        <w:tc>
          <w:tcPr>
            <w:tcW w:w="893" w:type="dxa"/>
            <w:vAlign w:val="center"/>
          </w:tcPr>
          <w:p w14:paraId="6B373092" w14:textId="77777777" w:rsidR="0055038B" w:rsidRPr="006D785F" w:rsidRDefault="0055038B" w:rsidP="00BA05D4">
            <w:pPr>
              <w:contextualSpacing/>
              <w:rPr>
                <w:rFonts w:ascii="Verdana" w:hAnsi="Verdana" w:cs="Arial"/>
                <w:sz w:val="16"/>
                <w:szCs w:val="16"/>
                <w:lang w:val="es-ES" w:eastAsia="es-ES"/>
              </w:rPr>
            </w:pPr>
            <w:r w:rsidRPr="006D785F">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4F4ACC" w14:textId="77777777" w:rsidR="0055038B" w:rsidRPr="006D785F" w:rsidRDefault="0055038B" w:rsidP="00BA05D4">
            <w:pPr>
              <w:contextualSpacing/>
              <w:rPr>
                <w:rFonts w:ascii="Verdana" w:eastAsia="Calibri" w:hAnsi="Verdana" w:cs="Arial"/>
                <w:sz w:val="16"/>
                <w:szCs w:val="16"/>
                <w:lang w:val="pt-BR" w:eastAsia="es-ES"/>
              </w:rPr>
            </w:pPr>
            <w:r w:rsidRPr="006D785F">
              <w:rPr>
                <w:rFonts w:ascii="Verdana" w:eastAsia="Calibri" w:hAnsi="Verdana" w:cs="Arial"/>
                <w:sz w:val="16"/>
                <w:szCs w:val="16"/>
                <w:lang w:val="pt-BR" w:eastAsia="es-ES"/>
              </w:rPr>
              <w:t>Carolina Quintero Gacharná</w:t>
            </w:r>
          </w:p>
          <w:p w14:paraId="5FF55464" w14:textId="77777777" w:rsidR="0055038B" w:rsidRPr="000C0179" w:rsidRDefault="0055038B" w:rsidP="00BA05D4">
            <w:pPr>
              <w:contextualSpacing/>
              <w:rPr>
                <w:rFonts w:ascii="Verdana" w:eastAsia="Calibri" w:hAnsi="Verdana" w:cs="Arial"/>
                <w:sz w:val="16"/>
                <w:szCs w:val="16"/>
                <w:lang w:val="pt-BR" w:eastAsia="es-ES"/>
              </w:rPr>
            </w:pPr>
            <w:r w:rsidRPr="006D785F">
              <w:rPr>
                <w:rFonts w:ascii="Verdana" w:eastAsia="Calibri" w:hAnsi="Verdana" w:cs="Arial"/>
                <w:sz w:val="16"/>
                <w:szCs w:val="16"/>
                <w:lang w:eastAsia="es-ES"/>
              </w:rPr>
              <w:t>Subdirectora</w:t>
            </w:r>
            <w:r w:rsidRPr="006D785F">
              <w:rPr>
                <w:rFonts w:ascii="Verdana" w:eastAsia="Calibri" w:hAnsi="Verdana" w:cs="Arial"/>
                <w:sz w:val="16"/>
                <w:szCs w:val="16"/>
                <w:lang w:val="pt-BR" w:eastAsia="es-ES"/>
              </w:rPr>
              <w:t xml:space="preserve"> de Gestión Contractual ANCP – CCE</w:t>
            </w:r>
          </w:p>
        </w:tc>
      </w:tr>
      <w:bookmarkEnd w:id="0"/>
    </w:tbl>
    <w:p w14:paraId="0F293BF4" w14:textId="098A44E1" w:rsidR="00127233" w:rsidRPr="0015699B" w:rsidRDefault="00127233" w:rsidP="00824297">
      <w:pPr>
        <w:spacing w:after="0" w:line="240" w:lineRule="auto"/>
        <w:textAlignment w:val="baseline"/>
        <w:rPr>
          <w:rFonts w:ascii="Verdana" w:eastAsia="Verdana" w:hAnsi="Verdana" w:cs="Verdana"/>
          <w:lang w:eastAsia="es-CO"/>
        </w:rPr>
      </w:pPr>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CEE7D" w14:textId="77777777" w:rsidR="00113701" w:rsidRDefault="00113701" w:rsidP="004A1847">
      <w:pPr>
        <w:spacing w:after="0" w:line="240" w:lineRule="auto"/>
      </w:pPr>
      <w:r>
        <w:separator/>
      </w:r>
    </w:p>
  </w:endnote>
  <w:endnote w:type="continuationSeparator" w:id="0">
    <w:p w14:paraId="443CC556" w14:textId="77777777" w:rsidR="00113701" w:rsidRDefault="001137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B709A" w14:textId="77777777" w:rsidR="00113701" w:rsidRDefault="00113701" w:rsidP="004A1847">
      <w:pPr>
        <w:spacing w:after="0" w:line="240" w:lineRule="auto"/>
      </w:pPr>
      <w:r>
        <w:separator/>
      </w:r>
    </w:p>
  </w:footnote>
  <w:footnote w:type="continuationSeparator" w:id="0">
    <w:p w14:paraId="04C39D94" w14:textId="77777777" w:rsidR="00113701" w:rsidRDefault="00113701" w:rsidP="004A1847">
      <w:pPr>
        <w:spacing w:after="0" w:line="240" w:lineRule="auto"/>
      </w:pPr>
      <w:r>
        <w:continuationSeparator/>
      </w:r>
    </w:p>
  </w:footnote>
  <w:footnote w:id="1">
    <w:p w14:paraId="1728676E" w14:textId="77777777" w:rsidR="00C26162" w:rsidRPr="0093606E" w:rsidRDefault="00C26162" w:rsidP="00C26162">
      <w:pPr>
        <w:pStyle w:val="Textonotapie"/>
        <w:rPr>
          <w:rFonts w:ascii="Verdana" w:hAnsi="Verdana"/>
          <w:sz w:val="16"/>
          <w:szCs w:val="16"/>
        </w:rPr>
      </w:pPr>
      <w:r w:rsidRPr="0093606E">
        <w:rPr>
          <w:rStyle w:val="Refdenotaalpie"/>
          <w:rFonts w:ascii="Verdana" w:hAnsi="Verdana"/>
          <w:sz w:val="16"/>
          <w:szCs w:val="16"/>
        </w:rPr>
        <w:footnoteRef/>
      </w:r>
      <w:r w:rsidRPr="0093606E">
        <w:rPr>
          <w:rFonts w:ascii="Verdana" w:hAnsi="Verdana"/>
          <w:sz w:val="16"/>
          <w:szCs w:val="16"/>
        </w:rPr>
        <w:t xml:space="preserve"> </w:t>
      </w:r>
      <w:r w:rsidRPr="0093606E">
        <w:rPr>
          <w:rFonts w:ascii="Verdana" w:hAnsi="Verdana"/>
          <w:sz w:val="16"/>
          <w:szCs w:val="16"/>
          <w:lang w:val="es-CO"/>
        </w:rPr>
        <w:t>Gaceta del Congreso de la República No. 71 del 2005.</w:t>
      </w:r>
    </w:p>
  </w:footnote>
  <w:footnote w:id="2">
    <w:p w14:paraId="43056124" w14:textId="77777777" w:rsidR="0000325F" w:rsidRDefault="0000325F" w:rsidP="0000325F">
      <w:pPr>
        <w:pStyle w:val="Textonotapie"/>
      </w:pPr>
      <w:r w:rsidRPr="0093606E">
        <w:rPr>
          <w:rStyle w:val="Refdenotaalpie"/>
          <w:rFonts w:ascii="Verdana" w:hAnsi="Verdana"/>
          <w:sz w:val="16"/>
          <w:szCs w:val="16"/>
        </w:rPr>
        <w:footnoteRef/>
      </w:r>
      <w:r w:rsidRPr="0093606E">
        <w:rPr>
          <w:rFonts w:ascii="Verdana" w:hAnsi="Verdana"/>
          <w:sz w:val="16"/>
          <w:szCs w:val="16"/>
        </w:rPr>
        <w:t xml:space="preserve"> Corte Constitucional, Sentencia C- 1153 de 2005, M.P. Marco Gerardo Monroy Cabra.</w:t>
      </w:r>
    </w:p>
  </w:footnote>
  <w:footnote w:id="3">
    <w:p w14:paraId="2095B759" w14:textId="1BDFA5FE" w:rsidR="00F44CAD" w:rsidRPr="00D81446" w:rsidRDefault="00F44CAD" w:rsidP="00D81446">
      <w:pPr>
        <w:pStyle w:val="Textonotapie"/>
        <w:jc w:val="both"/>
        <w:rPr>
          <w:rFonts w:ascii="Verdana" w:hAnsi="Verdana"/>
          <w:sz w:val="16"/>
          <w:szCs w:val="16"/>
        </w:rPr>
      </w:pPr>
      <w:r w:rsidRPr="00D81446">
        <w:rPr>
          <w:rStyle w:val="Refdenotaalpie"/>
          <w:rFonts w:ascii="Verdana" w:hAnsi="Verdana"/>
          <w:sz w:val="16"/>
          <w:szCs w:val="16"/>
        </w:rPr>
        <w:footnoteRef/>
      </w:r>
      <w:r w:rsidRPr="00D81446">
        <w:rPr>
          <w:rFonts w:ascii="Verdana" w:hAnsi="Verdana"/>
          <w:sz w:val="16"/>
          <w:szCs w:val="16"/>
        </w:rPr>
        <w:t xml:space="preserve"> Corte Constitucional. Sentencias: C-233 de 4 de abril de 2002, expediente: D-3704; C-551 de 9 de julio de 2003, expediente: CRF-001 de 9 de julio de 2003; C-652 de 5 de agosto de 2003, expediente: D</w:t>
      </w:r>
      <w:r w:rsidR="0093606E">
        <w:rPr>
          <w:rFonts w:ascii="Verdana" w:hAnsi="Verdana"/>
          <w:sz w:val="16"/>
          <w:szCs w:val="16"/>
        </w:rPr>
        <w:t xml:space="preserve"> </w:t>
      </w:r>
      <w:r w:rsidRPr="00D81446">
        <w:rPr>
          <w:rFonts w:ascii="Verdana" w:hAnsi="Verdana"/>
          <w:sz w:val="16"/>
          <w:szCs w:val="16"/>
        </w:rPr>
        <w:t xml:space="preserve">4330; C-353 de 20 de mayo de 2009, expediente: D-7518, C-541 de 30 de junio de 2010, expediente: </w:t>
      </w:r>
      <w:r w:rsidRPr="00D81446">
        <w:rPr>
          <w:rFonts w:ascii="Verdana" w:hAnsi="Verdana"/>
          <w:sz w:val="16"/>
          <w:szCs w:val="16"/>
          <w:lang w:val="es-CO"/>
        </w:rPr>
        <w:t>DD7966; entre otras.</w:t>
      </w:r>
    </w:p>
  </w:footnote>
  <w:footnote w:id="4">
    <w:p w14:paraId="2AA78B7A" w14:textId="77777777" w:rsidR="00F44CAD" w:rsidRPr="00D81446" w:rsidRDefault="00F44CAD" w:rsidP="00D81446">
      <w:pPr>
        <w:pStyle w:val="Textonotapie"/>
        <w:jc w:val="both"/>
        <w:rPr>
          <w:rFonts w:ascii="Verdana" w:hAnsi="Verdana"/>
          <w:sz w:val="16"/>
          <w:szCs w:val="16"/>
        </w:rPr>
      </w:pPr>
      <w:r w:rsidRPr="00D81446">
        <w:rPr>
          <w:rStyle w:val="Refdenotaalpie"/>
          <w:rFonts w:ascii="Verdana" w:hAnsi="Verdana"/>
          <w:sz w:val="16"/>
          <w:szCs w:val="16"/>
        </w:rPr>
        <w:footnoteRef/>
      </w:r>
      <w:r w:rsidRPr="00D81446">
        <w:rPr>
          <w:rFonts w:ascii="Verdana" w:hAnsi="Verdana"/>
          <w:sz w:val="16"/>
          <w:szCs w:val="16"/>
        </w:rPr>
        <w:t xml:space="preserve"> </w:t>
      </w:r>
      <w:r w:rsidRPr="00D81446">
        <w:rPr>
          <w:rFonts w:ascii="Verdana" w:hAnsi="Verdana"/>
          <w:sz w:val="16"/>
          <w:szCs w:val="16"/>
          <w:lang w:val="es-CO"/>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789E9F5C" w14:textId="77777777" w:rsidR="00F44CAD" w:rsidRDefault="00F44CAD" w:rsidP="00D81446">
      <w:pPr>
        <w:pStyle w:val="Textonotapie"/>
        <w:jc w:val="both"/>
      </w:pPr>
      <w:r w:rsidRPr="00D81446">
        <w:rPr>
          <w:rStyle w:val="Refdenotaalpie"/>
          <w:rFonts w:ascii="Verdana" w:hAnsi="Verdana"/>
          <w:sz w:val="16"/>
          <w:szCs w:val="16"/>
        </w:rPr>
        <w:footnoteRef/>
      </w:r>
      <w:r w:rsidRPr="00D81446">
        <w:rPr>
          <w:rFonts w:ascii="Verdana" w:hAnsi="Verdana"/>
          <w:sz w:val="16"/>
          <w:szCs w:val="16"/>
        </w:rPr>
        <w:t xml:space="preserve"> </w:t>
      </w:r>
      <w:r w:rsidRPr="00D81446">
        <w:rPr>
          <w:rFonts w:ascii="Verdana" w:hAnsi="Verdana"/>
          <w:sz w:val="16"/>
          <w:szCs w:val="16"/>
          <w:lang w:val="es-CO"/>
        </w:rPr>
        <w:t>Consejo de Estado, Sala de Consulta y Servicio Civil de fecha 24 de julio de 2013, radicado 2166, C. P. Álvaro Namén Vargas.</w:t>
      </w:r>
    </w:p>
  </w:footnote>
  <w:footnote w:id="6">
    <w:p w14:paraId="6CDF01D9" w14:textId="77777777" w:rsidR="00E91DF7" w:rsidRDefault="00E91DF7" w:rsidP="00E91DF7">
      <w:pPr>
        <w:pStyle w:val="Textonotapie"/>
      </w:pPr>
      <w:r>
        <w:rPr>
          <w:rStyle w:val="Refdenotaalpie"/>
        </w:rPr>
        <w:footnoteRef/>
      </w:r>
      <w:r>
        <w:t xml:space="preserve"> </w:t>
      </w:r>
      <w:r w:rsidRPr="00C031DF">
        <w:rPr>
          <w:lang w:val="es-CO"/>
        </w:rPr>
        <w:t>“</w:t>
      </w:r>
      <w:r w:rsidRPr="00C031DF">
        <w:rPr>
          <w:rFonts w:ascii="Verdana" w:hAnsi="Verdana"/>
          <w:sz w:val="16"/>
          <w:szCs w:val="16"/>
          <w:lang w:val="es-CO"/>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footnote>
  <w:footnote w:id="7">
    <w:p w14:paraId="5EBA9526" w14:textId="77777777" w:rsidR="000465DE" w:rsidRDefault="000465DE" w:rsidP="000465DE">
      <w:pPr>
        <w:pStyle w:val="Textonotapie"/>
      </w:pPr>
      <w:r>
        <w:rPr>
          <w:rStyle w:val="Refdenotaalpie"/>
        </w:rPr>
        <w:footnoteRef/>
      </w:r>
      <w:r>
        <w:t xml:space="preserve"> </w:t>
      </w:r>
      <w:r w:rsidRPr="00506C2F">
        <w:rPr>
          <w:rFonts w:ascii="Verdana" w:hAnsi="Verdana"/>
          <w:sz w:val="16"/>
          <w:szCs w:val="16"/>
          <w:lang w:val="es-CO"/>
        </w:rPr>
        <w:t>“Artículo 38. Prohibiciones para los servidores públicos. A los empleados del Estado les está prohibido: […]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8">
    <w:p w14:paraId="6FA29360" w14:textId="77777777" w:rsidR="000D5A44" w:rsidRDefault="000D5A44" w:rsidP="000D5A44">
      <w:pPr>
        <w:pStyle w:val="Textonotapie"/>
      </w:pPr>
      <w:r>
        <w:rPr>
          <w:rStyle w:val="Refdenotaalpie"/>
        </w:rPr>
        <w:footnoteRef/>
      </w:r>
      <w:r>
        <w:t xml:space="preserve"> </w:t>
      </w:r>
      <w:r w:rsidRPr="00AF6B6F">
        <w:rPr>
          <w:rFonts w:ascii="Verdana" w:hAnsi="Verdana"/>
          <w:sz w:val="16"/>
          <w:szCs w:val="16"/>
          <w:lang w:val="es-CO"/>
        </w:rPr>
        <w:t>Consejo de Estado. Sala de Consulta y Servicio Civil. Concepto del 17 de febrero de 2015. C.P. William Zambrano Cetina. Radicación No. 11001-03-06-000-2015-00164-00(2269).</w:t>
      </w:r>
    </w:p>
  </w:footnote>
  <w:footnote w:id="9">
    <w:p w14:paraId="3D1C4479" w14:textId="1FA1856A" w:rsidR="00ED5C55" w:rsidRDefault="00ED5C55" w:rsidP="00ED5C55">
      <w:pPr>
        <w:pStyle w:val="Textonotapie"/>
      </w:pPr>
      <w:r>
        <w:rPr>
          <w:rStyle w:val="Refdenotaalpie"/>
        </w:rPr>
        <w:footnoteRef/>
      </w:r>
      <w:r>
        <w:t xml:space="preserve"> </w:t>
      </w:r>
      <w:r w:rsidRPr="00B16EE5">
        <w:rPr>
          <w:rFonts w:ascii="Verdana" w:hAnsi="Verdana"/>
          <w:sz w:val="16"/>
          <w:szCs w:val="16"/>
          <w:lang w:val="es-CO"/>
        </w:rPr>
        <w:t xml:space="preserve"> Consejo de Estado. Sección Tercera. Sentencia de 3 de diciembre de 2007. Radicados: 24.715, 25.206, 25.409, 24.524, 27.834, 25.410, 26.105, 28.244, 31.447 -acumulados-”.</w:t>
      </w:r>
    </w:p>
  </w:footnote>
  <w:footnote w:id="10">
    <w:p w14:paraId="007BA8C2" w14:textId="3E5179DA" w:rsidR="00ED5C55" w:rsidRDefault="00ED5C55" w:rsidP="00ED5C55">
      <w:pPr>
        <w:pStyle w:val="Textonotapie"/>
      </w:pPr>
      <w:r>
        <w:rPr>
          <w:rStyle w:val="Refdenotaalpie"/>
        </w:rPr>
        <w:footnoteRef/>
      </w:r>
      <w:r>
        <w:t xml:space="preserve"> </w:t>
      </w:r>
      <w:r w:rsidRPr="00E6345E">
        <w:rPr>
          <w:rFonts w:ascii="Verdana" w:hAnsi="Verdana"/>
          <w:sz w:val="16"/>
          <w:szCs w:val="16"/>
          <w:lang w:val="es-CO"/>
        </w:rPr>
        <w:t>“Al respecto ver el concepto 1712 de 2 de febrero de 2006. Consejo de Estado Sala de Consulta y Servicio Civil”.</w:t>
      </w:r>
    </w:p>
  </w:footnote>
  <w:footnote w:id="11">
    <w:p w14:paraId="2305C2F1" w14:textId="77777777" w:rsidR="00ED5C55" w:rsidRPr="0093606E" w:rsidRDefault="00ED5C55" w:rsidP="00ED5C55">
      <w:pPr>
        <w:pStyle w:val="Textonotapie"/>
        <w:rPr>
          <w:rFonts w:ascii="Verdana" w:hAnsi="Verdana"/>
          <w:sz w:val="16"/>
          <w:szCs w:val="16"/>
        </w:rPr>
      </w:pPr>
      <w:r w:rsidRPr="0093606E">
        <w:rPr>
          <w:rStyle w:val="Refdenotaalpie"/>
          <w:rFonts w:ascii="Verdana" w:hAnsi="Verdana"/>
          <w:sz w:val="16"/>
          <w:szCs w:val="16"/>
        </w:rPr>
        <w:footnoteRef/>
      </w:r>
      <w:r w:rsidRPr="0093606E">
        <w:rPr>
          <w:rFonts w:ascii="Verdana" w:hAnsi="Verdana"/>
          <w:sz w:val="16"/>
          <w:szCs w:val="16"/>
        </w:rPr>
        <w:t xml:space="preserve"> </w:t>
      </w:r>
      <w:r w:rsidRPr="0093606E">
        <w:rPr>
          <w:rFonts w:ascii="Verdana" w:hAnsi="Verdana"/>
          <w:sz w:val="16"/>
          <w:szCs w:val="16"/>
          <w:lang w:val="es-CO"/>
        </w:rPr>
        <w:t>Consejo de Estado. Sala de Consulta y Servicio Civil. Concepto del 2 de septiembre de 2013. Radicación número: 11001-03-06-000-2013-00412-00 (2168). Consejero Ponente: Álvaro Namén Vargas.</w:t>
      </w:r>
    </w:p>
  </w:footnote>
  <w:footnote w:id="12">
    <w:p w14:paraId="33564024" w14:textId="77777777" w:rsidR="007717BA" w:rsidRPr="0093606E" w:rsidRDefault="007717BA" w:rsidP="007717BA">
      <w:pPr>
        <w:pStyle w:val="Textonotapie"/>
        <w:rPr>
          <w:rFonts w:ascii="Verdana" w:hAnsi="Verdana"/>
          <w:sz w:val="16"/>
          <w:szCs w:val="16"/>
        </w:rPr>
      </w:pPr>
      <w:r w:rsidRPr="0093606E">
        <w:rPr>
          <w:rStyle w:val="Refdenotaalpie"/>
          <w:rFonts w:ascii="Verdana" w:hAnsi="Verdana"/>
          <w:sz w:val="16"/>
          <w:szCs w:val="16"/>
        </w:rPr>
        <w:footnoteRef/>
      </w:r>
      <w:r w:rsidRPr="0093606E">
        <w:rPr>
          <w:rFonts w:ascii="Verdana" w:hAnsi="Verdana"/>
          <w:sz w:val="16"/>
          <w:szCs w:val="16"/>
        </w:rPr>
        <w:t xml:space="preserve"> Artículo 2.</w:t>
      </w:r>
    </w:p>
  </w:footnote>
  <w:footnote w:id="13">
    <w:p w14:paraId="0EE7764E" w14:textId="77777777" w:rsidR="007717BA" w:rsidRPr="0093606E" w:rsidRDefault="007717BA" w:rsidP="007717BA">
      <w:pPr>
        <w:pStyle w:val="Textonotapie"/>
        <w:rPr>
          <w:rFonts w:ascii="Verdana" w:hAnsi="Verdana"/>
          <w:sz w:val="16"/>
          <w:szCs w:val="16"/>
        </w:rPr>
      </w:pPr>
      <w:r w:rsidRPr="0093606E">
        <w:rPr>
          <w:rStyle w:val="Refdenotaalpie"/>
          <w:rFonts w:ascii="Verdana" w:hAnsi="Verdana"/>
          <w:sz w:val="16"/>
          <w:szCs w:val="16"/>
        </w:rPr>
        <w:footnoteRef/>
      </w:r>
      <w:r w:rsidRPr="0093606E">
        <w:rPr>
          <w:rFonts w:ascii="Verdana" w:hAnsi="Verdana"/>
          <w:sz w:val="16"/>
          <w:szCs w:val="16"/>
        </w:rPr>
        <w:t xml:space="preserve"> Ibidem. </w:t>
      </w:r>
    </w:p>
  </w:footnote>
  <w:footnote w:id="14">
    <w:p w14:paraId="60B23DEA" w14:textId="77777777" w:rsidR="007717BA" w:rsidRDefault="007717BA" w:rsidP="007717BA">
      <w:pPr>
        <w:pStyle w:val="Textonotapie"/>
      </w:pPr>
      <w:r w:rsidRPr="0093606E">
        <w:rPr>
          <w:rStyle w:val="Refdenotaalpie"/>
          <w:rFonts w:ascii="Verdana" w:hAnsi="Verdana"/>
          <w:sz w:val="16"/>
          <w:szCs w:val="16"/>
        </w:rPr>
        <w:footnoteRef/>
      </w:r>
      <w:r w:rsidRPr="0093606E">
        <w:rPr>
          <w:rFonts w:ascii="Verdana" w:hAnsi="Verdana"/>
          <w:sz w:val="16"/>
          <w:szCs w:val="16"/>
        </w:rPr>
        <w:t xml:space="preserve"> </w:t>
      </w:r>
      <w:r w:rsidRPr="0093606E">
        <w:rPr>
          <w:rFonts w:ascii="Verdana" w:hAnsi="Verdana"/>
          <w:sz w:val="16"/>
          <w:szCs w:val="16"/>
          <w:lang w:val="es-CO"/>
        </w:rPr>
        <w:t>Consejo de Estado. Sala de Consulta y Servicio Civil. Concepto del 08 de mayo de 2018. Exp. 2.382. C.P. Álvaro Namén Vargas.</w:t>
      </w:r>
      <w:r>
        <w:rPr>
          <w:rFonts w:ascii="Verdana" w:hAnsi="Verdana"/>
          <w:sz w:val="16"/>
          <w:szCs w:val="16"/>
          <w:lang w:val="es-CO"/>
        </w:rPr>
        <w:t xml:space="preserve"> </w:t>
      </w:r>
    </w:p>
  </w:footnote>
  <w:footnote w:id="15">
    <w:p w14:paraId="76E9F7CA" w14:textId="4E56AE59" w:rsidR="009B5D8E" w:rsidRPr="0093606E" w:rsidRDefault="009B5D8E">
      <w:pPr>
        <w:pStyle w:val="Textonotapie"/>
        <w:rPr>
          <w:rFonts w:ascii="Verdana" w:hAnsi="Verdana"/>
          <w:sz w:val="16"/>
          <w:szCs w:val="16"/>
        </w:rPr>
      </w:pPr>
      <w:r w:rsidRPr="0093606E">
        <w:rPr>
          <w:rStyle w:val="Refdenotaalpie"/>
          <w:rFonts w:ascii="Verdana" w:hAnsi="Verdana"/>
          <w:sz w:val="16"/>
          <w:szCs w:val="16"/>
        </w:rPr>
        <w:footnoteRef/>
      </w:r>
      <w:r w:rsidRPr="0093606E">
        <w:rPr>
          <w:rFonts w:ascii="Verdana" w:hAnsi="Verdana"/>
          <w:sz w:val="16"/>
          <w:szCs w:val="16"/>
        </w:rPr>
        <w:t xml:space="preserve"> </w:t>
      </w:r>
      <w:r w:rsidRPr="0093606E">
        <w:rPr>
          <w:rFonts w:ascii="Verdana" w:hAnsi="Verdana"/>
          <w:sz w:val="16"/>
          <w:szCs w:val="16"/>
          <w:lang w:val="es-CO"/>
        </w:rPr>
        <w:t>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6">
    <w:p w14:paraId="0AA38FDB" w14:textId="77777777" w:rsidR="00D75C2D" w:rsidRPr="0093606E" w:rsidRDefault="00D75C2D" w:rsidP="00D75C2D">
      <w:pPr>
        <w:pStyle w:val="Textonotapie"/>
        <w:ind w:firstLine="709"/>
        <w:jc w:val="both"/>
        <w:rPr>
          <w:rFonts w:ascii="Verdana" w:hAnsi="Verdana"/>
          <w:sz w:val="16"/>
          <w:szCs w:val="16"/>
          <w:lang w:val="es-CO"/>
        </w:rPr>
      </w:pPr>
      <w:r w:rsidRPr="00EC1732">
        <w:rPr>
          <w:rStyle w:val="Refdenotaalpie"/>
          <w:rFonts w:ascii="Verdana" w:hAnsi="Verdana"/>
          <w:sz w:val="14"/>
          <w:szCs w:val="14"/>
        </w:rPr>
        <w:footnoteRef/>
      </w:r>
      <w:r w:rsidRPr="00EC1732">
        <w:rPr>
          <w:rFonts w:ascii="Verdana" w:hAnsi="Verdana"/>
          <w:sz w:val="14"/>
          <w:szCs w:val="14"/>
        </w:rPr>
        <w:t xml:space="preserve"> </w:t>
      </w:r>
      <w:r w:rsidRPr="0093606E">
        <w:rPr>
          <w:rFonts w:ascii="Verdana" w:hAnsi="Verdana"/>
          <w:sz w:val="16"/>
          <w:szCs w:val="16"/>
          <w:lang w:val="es-ES"/>
        </w:rPr>
        <w:t xml:space="preserve">Ley 100 de 1993. </w:t>
      </w:r>
      <w:r w:rsidRPr="0093606E">
        <w:rPr>
          <w:rFonts w:ascii="Verdana" w:hAnsi="Verdana"/>
          <w:sz w:val="16"/>
          <w:szCs w:val="16"/>
          <w:lang w:val="es-CO"/>
        </w:rPr>
        <w:t>Artículo</w:t>
      </w:r>
      <w:bookmarkStart w:id="2" w:name="194"/>
      <w:bookmarkEnd w:id="2"/>
      <w:r w:rsidRPr="0093606E">
        <w:rPr>
          <w:rFonts w:ascii="Verdana" w:hAnsi="Verdana"/>
          <w:sz w:val="16"/>
          <w:szCs w:val="16"/>
          <w:lang w:val="es-CO"/>
        </w:rPr>
        <w:t>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w:t>
      </w:r>
      <w:bookmarkStart w:id="3" w:name="LPHit237"/>
      <w:bookmarkEnd w:id="3"/>
      <w:r w:rsidRPr="0093606E">
        <w:rPr>
          <w:rFonts w:ascii="Verdana" w:hAnsi="Verdana"/>
          <w:sz w:val="16"/>
          <w:szCs w:val="16"/>
          <w:lang w:val="es-CO"/>
        </w:rPr>
        <w:t> Ley o por las asambleas o concejos, según el caso, sometidas al régimen jurídico previsto en este capítulo.</w:t>
      </w:r>
    </w:p>
    <w:p w14:paraId="3FD26D05" w14:textId="77777777" w:rsidR="00D75C2D" w:rsidRPr="0093606E" w:rsidRDefault="00D75C2D" w:rsidP="00D75C2D">
      <w:pPr>
        <w:pStyle w:val="Textonotapie"/>
        <w:ind w:firstLine="709"/>
        <w:jc w:val="both"/>
        <w:rPr>
          <w:rFonts w:ascii="Verdana" w:hAnsi="Verdana"/>
          <w:sz w:val="16"/>
          <w:szCs w:val="16"/>
          <w:lang w:val="es-CO"/>
        </w:rPr>
      </w:pPr>
    </w:p>
  </w:footnote>
  <w:footnote w:id="17">
    <w:p w14:paraId="06AD35F5" w14:textId="77777777" w:rsidR="00D75C2D" w:rsidRPr="0093606E" w:rsidRDefault="00D75C2D" w:rsidP="00D75C2D">
      <w:pPr>
        <w:pStyle w:val="Textonotapie"/>
        <w:ind w:firstLine="708"/>
        <w:contextualSpacing/>
        <w:jc w:val="both"/>
        <w:rPr>
          <w:rFonts w:ascii="Verdana" w:hAnsi="Verdana" w:cs="Arial"/>
          <w:color w:val="000000" w:themeColor="text1"/>
          <w:sz w:val="16"/>
          <w:szCs w:val="16"/>
          <w:lang w:val="es-CO"/>
        </w:rPr>
      </w:pPr>
      <w:r w:rsidRPr="0093606E">
        <w:rPr>
          <w:rStyle w:val="Refdenotaalpie"/>
          <w:rFonts w:ascii="Verdana" w:hAnsi="Verdana" w:cs="Arial"/>
          <w:color w:val="000000" w:themeColor="text1"/>
          <w:sz w:val="16"/>
          <w:szCs w:val="16"/>
          <w:lang w:val="es-CO"/>
        </w:rPr>
        <w:footnoteRef/>
      </w:r>
      <w:r w:rsidRPr="0093606E">
        <w:rPr>
          <w:rFonts w:ascii="Verdana" w:hAnsi="Verdana" w:cs="Arial"/>
          <w:color w:val="000000" w:themeColor="text1"/>
          <w:sz w:val="16"/>
          <w:szCs w:val="16"/>
          <w:lang w:val="es-CO"/>
        </w:rPr>
        <w:t xml:space="preserve"> “Artículo 197. Empresas sociales de salud de carácter territorial. Las entidades territoriales deberán disponer, dentro de los seis (6) meses siguientes a la fecha de vigencia de esta Ley, la reestructuración de las entidades descentralizadas cuyo objeto principal sea la prestación de servicios de salud, con el fin de adecuarlas a lo dispuesto en este capítulo”.</w:t>
      </w:r>
    </w:p>
  </w:footnote>
  <w:footnote w:id="18">
    <w:p w14:paraId="3E1A98BC" w14:textId="77777777" w:rsidR="009E4F49" w:rsidRPr="0093606E" w:rsidRDefault="009E4F49" w:rsidP="009E4F49">
      <w:pPr>
        <w:pStyle w:val="Textonotapie"/>
        <w:ind w:firstLine="708"/>
        <w:contextualSpacing/>
        <w:jc w:val="both"/>
        <w:rPr>
          <w:rFonts w:ascii="Verdana" w:hAnsi="Verdana" w:cs="Arial"/>
          <w:color w:val="000000" w:themeColor="text1"/>
          <w:sz w:val="16"/>
          <w:szCs w:val="16"/>
          <w:lang w:val="es-CO"/>
        </w:rPr>
      </w:pPr>
      <w:r w:rsidRPr="0093606E">
        <w:rPr>
          <w:rStyle w:val="Refdenotaalpie"/>
          <w:rFonts w:ascii="Verdana" w:hAnsi="Verdana" w:cs="Arial"/>
          <w:color w:val="000000" w:themeColor="text1"/>
          <w:sz w:val="16"/>
          <w:szCs w:val="16"/>
          <w:lang w:val="es-CO"/>
        </w:rPr>
        <w:footnoteRef/>
      </w:r>
      <w:r w:rsidRPr="0093606E">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93606E">
        <w:rPr>
          <w:rFonts w:ascii="Verdana" w:hAnsi="Verdana" w:cs="Arial"/>
          <w:i/>
          <w:iCs/>
          <w:color w:val="000000" w:themeColor="text1"/>
          <w:sz w:val="16"/>
          <w:szCs w:val="16"/>
          <w:lang w:val="es-CO"/>
        </w:rPr>
        <w:t>y todas aquellas entidades que de acuerdo con la ley ejerzan funciones de vigilancia y control sanitario</w:t>
      </w:r>
      <w:r w:rsidRPr="0093606E">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1D622DF4" w14:textId="77777777" w:rsidR="009E4F49" w:rsidRPr="0093606E" w:rsidRDefault="009E4F49" w:rsidP="009E4F49">
      <w:pPr>
        <w:pStyle w:val="Textonotapie"/>
        <w:ind w:firstLine="708"/>
        <w:contextualSpacing/>
        <w:jc w:val="both"/>
        <w:rPr>
          <w:rFonts w:ascii="Verdana" w:hAnsi="Verdana" w:cs="Arial"/>
          <w:color w:val="000000" w:themeColor="text1"/>
          <w:sz w:val="16"/>
          <w:szCs w:val="16"/>
          <w:lang w:val="es-CO"/>
        </w:rPr>
      </w:pPr>
    </w:p>
  </w:footnote>
  <w:footnote w:id="19">
    <w:p w14:paraId="63EA3126" w14:textId="77777777" w:rsidR="00ED6624" w:rsidRPr="0093606E" w:rsidRDefault="00ED6624" w:rsidP="00ED6624">
      <w:pPr>
        <w:pStyle w:val="Textonotapie"/>
        <w:ind w:firstLine="708"/>
        <w:contextualSpacing/>
        <w:jc w:val="both"/>
        <w:rPr>
          <w:rFonts w:ascii="Verdana" w:hAnsi="Verdana"/>
          <w:sz w:val="16"/>
          <w:szCs w:val="16"/>
          <w:lang w:val="es-CO"/>
        </w:rPr>
      </w:pPr>
      <w:r w:rsidRPr="0093606E">
        <w:rPr>
          <w:rStyle w:val="Refdenotaalpie"/>
          <w:rFonts w:ascii="Verdana" w:hAnsi="Verdana"/>
          <w:sz w:val="16"/>
          <w:szCs w:val="16"/>
          <w:lang w:val="es-CO"/>
        </w:rPr>
        <w:footnoteRef/>
      </w:r>
      <w:r w:rsidRPr="0093606E">
        <w:rPr>
          <w:rFonts w:ascii="Verdana" w:hAnsi="Verdana"/>
          <w:sz w:val="16"/>
          <w:szCs w:val="16"/>
          <w:lang w:val="es-CO"/>
        </w:rPr>
        <w:t xml:space="preserve"> Consejo de Estado. Sala de Consulta y Servicio Civil. Concepto del 12 de junio de 2018. Radicación: 11001-03-06-000-2018-0043-00. (2371). C.P: Oscar Darío Amaya Navas. </w:t>
      </w:r>
    </w:p>
    <w:p w14:paraId="2A6C7126" w14:textId="77777777" w:rsidR="00ED6624" w:rsidRPr="0093606E" w:rsidRDefault="00ED6624" w:rsidP="00ED6624">
      <w:pPr>
        <w:pStyle w:val="Textonotapie"/>
        <w:ind w:firstLine="708"/>
        <w:contextualSpacing/>
        <w:jc w:val="both"/>
        <w:rPr>
          <w:rFonts w:ascii="Verdana" w:hAnsi="Verdana"/>
          <w:sz w:val="16"/>
          <w:szCs w:val="16"/>
          <w:lang w:val="es-CO"/>
        </w:rPr>
      </w:pPr>
    </w:p>
  </w:footnote>
  <w:footnote w:id="20">
    <w:p w14:paraId="70DCE503" w14:textId="77777777" w:rsidR="008D5CBB" w:rsidRPr="0093606E" w:rsidRDefault="008D5CBB" w:rsidP="008D5CBB">
      <w:pPr>
        <w:pStyle w:val="Textonotapie"/>
        <w:ind w:firstLine="708"/>
        <w:contextualSpacing/>
        <w:rPr>
          <w:rFonts w:ascii="Verdana" w:hAnsi="Verdana"/>
          <w:sz w:val="16"/>
          <w:szCs w:val="16"/>
          <w:lang w:val="es-CO"/>
        </w:rPr>
      </w:pPr>
      <w:r w:rsidRPr="0093606E">
        <w:rPr>
          <w:rStyle w:val="Refdenotaalpie"/>
          <w:rFonts w:ascii="Verdana" w:hAnsi="Verdana"/>
          <w:sz w:val="16"/>
          <w:szCs w:val="16"/>
          <w:lang w:val="es-CO"/>
        </w:rPr>
        <w:footnoteRef/>
      </w:r>
      <w:r w:rsidRPr="0093606E">
        <w:rPr>
          <w:rFonts w:ascii="Verdana" w:hAnsi="Verdana"/>
          <w:sz w:val="16"/>
          <w:szCs w:val="16"/>
          <w:lang w:val="es-CO"/>
        </w:rPr>
        <w:t xml:space="preserve"> Ibidem.</w:t>
      </w:r>
    </w:p>
    <w:p w14:paraId="654A9CF2" w14:textId="77777777" w:rsidR="008D5CBB" w:rsidRPr="001E43AD" w:rsidRDefault="008D5CBB" w:rsidP="008D5CBB">
      <w:pPr>
        <w:pStyle w:val="Textonotapie"/>
        <w:ind w:firstLine="708"/>
        <w:contextualSpacing/>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30F676A"/>
    <w:multiLevelType w:val="hybridMultilevel"/>
    <w:tmpl w:val="EE7A460A"/>
    <w:lvl w:ilvl="0" w:tplc="17D8433E">
      <w:start w:val="1"/>
      <w:numFmt w:val="decimal"/>
      <w:lvlText w:val="%1."/>
      <w:lvlJc w:val="left"/>
      <w:pPr>
        <w:ind w:left="1069" w:hanging="360"/>
      </w:pPr>
      <w:rPr>
        <w:rFonts w:hint="default"/>
        <w:color w:val="auto"/>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17362494"/>
    <w:multiLevelType w:val="hybridMultilevel"/>
    <w:tmpl w:val="5ED8FFC8"/>
    <w:lvl w:ilvl="0" w:tplc="5BDEC4E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153EE8"/>
    <w:multiLevelType w:val="hybridMultilevel"/>
    <w:tmpl w:val="2D6290C4"/>
    <w:lvl w:ilvl="0" w:tplc="BB52EAE0">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4F7319D"/>
    <w:multiLevelType w:val="hybridMultilevel"/>
    <w:tmpl w:val="0994BA14"/>
    <w:lvl w:ilvl="0" w:tplc="74EA9134">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5F93E0E"/>
    <w:multiLevelType w:val="hybridMultilevel"/>
    <w:tmpl w:val="BEF666C8"/>
    <w:lvl w:ilvl="0" w:tplc="240A0001">
      <w:start w:val="1"/>
      <w:numFmt w:val="bullet"/>
      <w:lvlText w:val=""/>
      <w:lvlJc w:val="left"/>
      <w:pPr>
        <w:ind w:left="1069" w:hanging="360"/>
      </w:pPr>
      <w:rPr>
        <w:rFonts w:ascii="Symbol" w:hAnsi="Symbo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7CD521D"/>
    <w:multiLevelType w:val="hybridMultilevel"/>
    <w:tmpl w:val="C81C6714"/>
    <w:lvl w:ilvl="0" w:tplc="3B8E1F22">
      <w:numFmt w:val="bullet"/>
      <w:lvlText w:val="-"/>
      <w:lvlJc w:val="left"/>
      <w:pPr>
        <w:ind w:left="1429" w:hanging="360"/>
      </w:pPr>
      <w:rPr>
        <w:rFonts w:ascii="Verdana" w:eastAsia="Century Gothic" w:hAnsi="Verdana" w:cs="Century Gothic"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7" w15:restartNumberingAfterBreak="0">
    <w:nsid w:val="4EB832DE"/>
    <w:multiLevelType w:val="hybridMultilevel"/>
    <w:tmpl w:val="BBAE8086"/>
    <w:lvl w:ilvl="0" w:tplc="1CBA6FEA">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4F8978EE"/>
    <w:multiLevelType w:val="hybridMultilevel"/>
    <w:tmpl w:val="60B21C3C"/>
    <w:lvl w:ilvl="0" w:tplc="040A0001">
      <w:start w:val="1"/>
      <w:numFmt w:val="bullet"/>
      <w:lvlText w:val=""/>
      <w:lvlJc w:val="left"/>
      <w:pPr>
        <w:ind w:left="720" w:hanging="360"/>
      </w:pPr>
      <w:rPr>
        <w:rFonts w:ascii="Symbol" w:hAnsi="Symbo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449429A"/>
    <w:multiLevelType w:val="hybridMultilevel"/>
    <w:tmpl w:val="8682985C"/>
    <w:lvl w:ilvl="0" w:tplc="3B8E1F22">
      <w:numFmt w:val="bullet"/>
      <w:lvlText w:val="-"/>
      <w:lvlJc w:val="left"/>
      <w:pPr>
        <w:ind w:left="1504" w:hanging="360"/>
      </w:pPr>
      <w:rPr>
        <w:rFonts w:ascii="Verdana" w:eastAsia="Century Gothic" w:hAnsi="Verdana" w:cs="Century Gothic" w:hint="default"/>
      </w:rPr>
    </w:lvl>
    <w:lvl w:ilvl="1" w:tplc="240A0003" w:tentative="1">
      <w:start w:val="1"/>
      <w:numFmt w:val="bullet"/>
      <w:lvlText w:val="o"/>
      <w:lvlJc w:val="left"/>
      <w:pPr>
        <w:ind w:left="1515" w:hanging="360"/>
      </w:pPr>
      <w:rPr>
        <w:rFonts w:ascii="Courier New" w:hAnsi="Courier New" w:cs="Courier New" w:hint="default"/>
      </w:rPr>
    </w:lvl>
    <w:lvl w:ilvl="2" w:tplc="240A0005" w:tentative="1">
      <w:start w:val="1"/>
      <w:numFmt w:val="bullet"/>
      <w:lvlText w:val=""/>
      <w:lvlJc w:val="left"/>
      <w:pPr>
        <w:ind w:left="2235" w:hanging="360"/>
      </w:pPr>
      <w:rPr>
        <w:rFonts w:ascii="Wingdings" w:hAnsi="Wingdings" w:hint="default"/>
      </w:rPr>
    </w:lvl>
    <w:lvl w:ilvl="3" w:tplc="240A0001" w:tentative="1">
      <w:start w:val="1"/>
      <w:numFmt w:val="bullet"/>
      <w:lvlText w:val=""/>
      <w:lvlJc w:val="left"/>
      <w:pPr>
        <w:ind w:left="2955" w:hanging="360"/>
      </w:pPr>
      <w:rPr>
        <w:rFonts w:ascii="Symbol" w:hAnsi="Symbol" w:hint="default"/>
      </w:rPr>
    </w:lvl>
    <w:lvl w:ilvl="4" w:tplc="240A0003" w:tentative="1">
      <w:start w:val="1"/>
      <w:numFmt w:val="bullet"/>
      <w:lvlText w:val="o"/>
      <w:lvlJc w:val="left"/>
      <w:pPr>
        <w:ind w:left="3675" w:hanging="360"/>
      </w:pPr>
      <w:rPr>
        <w:rFonts w:ascii="Courier New" w:hAnsi="Courier New" w:cs="Courier New" w:hint="default"/>
      </w:rPr>
    </w:lvl>
    <w:lvl w:ilvl="5" w:tplc="240A0005" w:tentative="1">
      <w:start w:val="1"/>
      <w:numFmt w:val="bullet"/>
      <w:lvlText w:val=""/>
      <w:lvlJc w:val="left"/>
      <w:pPr>
        <w:ind w:left="4395" w:hanging="360"/>
      </w:pPr>
      <w:rPr>
        <w:rFonts w:ascii="Wingdings" w:hAnsi="Wingdings" w:hint="default"/>
      </w:rPr>
    </w:lvl>
    <w:lvl w:ilvl="6" w:tplc="240A0001" w:tentative="1">
      <w:start w:val="1"/>
      <w:numFmt w:val="bullet"/>
      <w:lvlText w:val=""/>
      <w:lvlJc w:val="left"/>
      <w:pPr>
        <w:ind w:left="5115" w:hanging="360"/>
      </w:pPr>
      <w:rPr>
        <w:rFonts w:ascii="Symbol" w:hAnsi="Symbol" w:hint="default"/>
      </w:rPr>
    </w:lvl>
    <w:lvl w:ilvl="7" w:tplc="240A0003" w:tentative="1">
      <w:start w:val="1"/>
      <w:numFmt w:val="bullet"/>
      <w:lvlText w:val="o"/>
      <w:lvlJc w:val="left"/>
      <w:pPr>
        <w:ind w:left="5835" w:hanging="360"/>
      </w:pPr>
      <w:rPr>
        <w:rFonts w:ascii="Courier New" w:hAnsi="Courier New" w:cs="Courier New" w:hint="default"/>
      </w:rPr>
    </w:lvl>
    <w:lvl w:ilvl="8" w:tplc="240A0005" w:tentative="1">
      <w:start w:val="1"/>
      <w:numFmt w:val="bullet"/>
      <w:lvlText w:val=""/>
      <w:lvlJc w:val="left"/>
      <w:pPr>
        <w:ind w:left="6555" w:hanging="360"/>
      </w:pPr>
      <w:rPr>
        <w:rFonts w:ascii="Wingdings" w:hAnsi="Wingdings" w:hint="default"/>
      </w:rPr>
    </w:lvl>
  </w:abstractNum>
  <w:abstractNum w:abstractNumId="2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D8609AC"/>
    <w:multiLevelType w:val="hybridMultilevel"/>
    <w:tmpl w:val="7FB4866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1435944"/>
    <w:multiLevelType w:val="hybridMultilevel"/>
    <w:tmpl w:val="790E855C"/>
    <w:lvl w:ilvl="0" w:tplc="31E223D8">
      <w:start w:val="1"/>
      <w:numFmt w:val="lowerRoman"/>
      <w:lvlText w:val="%1."/>
      <w:lvlJc w:val="left"/>
      <w:pPr>
        <w:ind w:left="1789" w:hanging="720"/>
      </w:pPr>
      <w:rPr>
        <w:rFonts w:hint="default"/>
      </w:r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27" w15:restartNumberingAfterBreak="0">
    <w:nsid w:val="746C2AFA"/>
    <w:multiLevelType w:val="hybridMultilevel"/>
    <w:tmpl w:val="47E8FF66"/>
    <w:lvl w:ilvl="0" w:tplc="BA0842F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84A7128"/>
    <w:multiLevelType w:val="multilevel"/>
    <w:tmpl w:val="C8C0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4"/>
  </w:num>
  <w:num w:numId="7" w16cid:durableId="1946422806">
    <w:abstractNumId w:val="8"/>
  </w:num>
  <w:num w:numId="8" w16cid:durableId="152644682">
    <w:abstractNumId w:val="22"/>
  </w:num>
  <w:num w:numId="9" w16cid:durableId="1317221377">
    <w:abstractNumId w:val="12"/>
  </w:num>
  <w:num w:numId="10" w16cid:durableId="1471245386">
    <w:abstractNumId w:val="21"/>
  </w:num>
  <w:num w:numId="11" w16cid:durableId="289172385">
    <w:abstractNumId w:val="13"/>
  </w:num>
  <w:num w:numId="12" w16cid:durableId="1470781324">
    <w:abstractNumId w:val="1"/>
  </w:num>
  <w:num w:numId="13" w16cid:durableId="1512908409">
    <w:abstractNumId w:val="5"/>
  </w:num>
  <w:num w:numId="14" w16cid:durableId="895897244">
    <w:abstractNumId w:val="25"/>
  </w:num>
  <w:num w:numId="15" w16cid:durableId="390349800">
    <w:abstractNumId w:val="20"/>
  </w:num>
  <w:num w:numId="16" w16cid:durableId="1227110730">
    <w:abstractNumId w:val="0"/>
  </w:num>
  <w:num w:numId="17" w16cid:durableId="531266698">
    <w:abstractNumId w:val="14"/>
  </w:num>
  <w:num w:numId="18" w16cid:durableId="1167788118">
    <w:abstractNumId w:val="17"/>
  </w:num>
  <w:num w:numId="19" w16cid:durableId="1026519032">
    <w:abstractNumId w:val="18"/>
  </w:num>
  <w:num w:numId="20" w16cid:durableId="13728338">
    <w:abstractNumId w:val="6"/>
  </w:num>
  <w:num w:numId="21" w16cid:durableId="1401903601">
    <w:abstractNumId w:val="4"/>
  </w:num>
  <w:num w:numId="22" w16cid:durableId="565142159">
    <w:abstractNumId w:val="27"/>
  </w:num>
  <w:num w:numId="23" w16cid:durableId="1577864287">
    <w:abstractNumId w:val="11"/>
  </w:num>
  <w:num w:numId="24" w16cid:durableId="1347637698">
    <w:abstractNumId w:val="15"/>
  </w:num>
  <w:num w:numId="25" w16cid:durableId="585069886">
    <w:abstractNumId w:val="16"/>
  </w:num>
  <w:num w:numId="26" w16cid:durableId="2138571247">
    <w:abstractNumId w:val="19"/>
  </w:num>
  <w:num w:numId="27" w16cid:durableId="214046263">
    <w:abstractNumId w:val="23"/>
  </w:num>
  <w:num w:numId="28" w16cid:durableId="1903101366">
    <w:abstractNumId w:val="10"/>
  </w:num>
  <w:num w:numId="29" w16cid:durableId="579875019">
    <w:abstractNumId w:val="3"/>
  </w:num>
  <w:num w:numId="30" w16cid:durableId="107165062">
    <w:abstractNumId w:val="26"/>
  </w:num>
  <w:num w:numId="31" w16cid:durableId="26989876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25F"/>
    <w:rsid w:val="00016F78"/>
    <w:rsid w:val="00023B03"/>
    <w:rsid w:val="00026B2C"/>
    <w:rsid w:val="00027264"/>
    <w:rsid w:val="00030424"/>
    <w:rsid w:val="000312E6"/>
    <w:rsid w:val="000451F0"/>
    <w:rsid w:val="000465DE"/>
    <w:rsid w:val="00046945"/>
    <w:rsid w:val="00047051"/>
    <w:rsid w:val="0005018A"/>
    <w:rsid w:val="00051BA2"/>
    <w:rsid w:val="0005460F"/>
    <w:rsid w:val="0006055E"/>
    <w:rsid w:val="00061B2A"/>
    <w:rsid w:val="000647B1"/>
    <w:rsid w:val="00064E6D"/>
    <w:rsid w:val="00070439"/>
    <w:rsid w:val="00074BBA"/>
    <w:rsid w:val="00082362"/>
    <w:rsid w:val="00085A57"/>
    <w:rsid w:val="000A683E"/>
    <w:rsid w:val="000B19B9"/>
    <w:rsid w:val="000B2835"/>
    <w:rsid w:val="000B2932"/>
    <w:rsid w:val="000C15CC"/>
    <w:rsid w:val="000C4F11"/>
    <w:rsid w:val="000D0334"/>
    <w:rsid w:val="000D5A44"/>
    <w:rsid w:val="000D5DA7"/>
    <w:rsid w:val="000E71ED"/>
    <w:rsid w:val="000F5364"/>
    <w:rsid w:val="000F6486"/>
    <w:rsid w:val="00102244"/>
    <w:rsid w:val="0010369B"/>
    <w:rsid w:val="00113701"/>
    <w:rsid w:val="0011625A"/>
    <w:rsid w:val="001166E8"/>
    <w:rsid w:val="00116940"/>
    <w:rsid w:val="001178E6"/>
    <w:rsid w:val="0012218D"/>
    <w:rsid w:val="00125105"/>
    <w:rsid w:val="0012537E"/>
    <w:rsid w:val="001270B7"/>
    <w:rsid w:val="00127233"/>
    <w:rsid w:val="0015095F"/>
    <w:rsid w:val="001518B6"/>
    <w:rsid w:val="001528A7"/>
    <w:rsid w:val="00153D39"/>
    <w:rsid w:val="0015470D"/>
    <w:rsid w:val="0015699B"/>
    <w:rsid w:val="001574E7"/>
    <w:rsid w:val="001577D0"/>
    <w:rsid w:val="00164789"/>
    <w:rsid w:val="001916EF"/>
    <w:rsid w:val="001A33BF"/>
    <w:rsid w:val="001A7F84"/>
    <w:rsid w:val="001B589B"/>
    <w:rsid w:val="001B7ABB"/>
    <w:rsid w:val="001C4455"/>
    <w:rsid w:val="001D53AE"/>
    <w:rsid w:val="001E4177"/>
    <w:rsid w:val="001F0B24"/>
    <w:rsid w:val="001F1600"/>
    <w:rsid w:val="001F283E"/>
    <w:rsid w:val="001F36D8"/>
    <w:rsid w:val="001F5589"/>
    <w:rsid w:val="001F5AFE"/>
    <w:rsid w:val="001F7DC6"/>
    <w:rsid w:val="002002C5"/>
    <w:rsid w:val="0020125F"/>
    <w:rsid w:val="00202D79"/>
    <w:rsid w:val="00220425"/>
    <w:rsid w:val="002235B7"/>
    <w:rsid w:val="0022400B"/>
    <w:rsid w:val="002312E8"/>
    <w:rsid w:val="002324B8"/>
    <w:rsid w:val="00234802"/>
    <w:rsid w:val="002421BB"/>
    <w:rsid w:val="00242769"/>
    <w:rsid w:val="00244CE1"/>
    <w:rsid w:val="00247485"/>
    <w:rsid w:val="00255EB5"/>
    <w:rsid w:val="0025796E"/>
    <w:rsid w:val="00261696"/>
    <w:rsid w:val="002663AD"/>
    <w:rsid w:val="002707A2"/>
    <w:rsid w:val="002721A5"/>
    <w:rsid w:val="00274F71"/>
    <w:rsid w:val="00293864"/>
    <w:rsid w:val="002951A0"/>
    <w:rsid w:val="0029560D"/>
    <w:rsid w:val="002962BC"/>
    <w:rsid w:val="0029741F"/>
    <w:rsid w:val="002A093D"/>
    <w:rsid w:val="002A0DD0"/>
    <w:rsid w:val="002A209F"/>
    <w:rsid w:val="002A2B88"/>
    <w:rsid w:val="002A49AC"/>
    <w:rsid w:val="002A4F76"/>
    <w:rsid w:val="002A64FD"/>
    <w:rsid w:val="002A7161"/>
    <w:rsid w:val="002B36BA"/>
    <w:rsid w:val="002B44FE"/>
    <w:rsid w:val="002B550E"/>
    <w:rsid w:val="002B7626"/>
    <w:rsid w:val="002B7E71"/>
    <w:rsid w:val="002C11D5"/>
    <w:rsid w:val="002C745A"/>
    <w:rsid w:val="002C7508"/>
    <w:rsid w:val="002C7A84"/>
    <w:rsid w:val="002D7F15"/>
    <w:rsid w:val="002E098F"/>
    <w:rsid w:val="002E2940"/>
    <w:rsid w:val="002E2BF8"/>
    <w:rsid w:val="002E3CC9"/>
    <w:rsid w:val="002E4FD9"/>
    <w:rsid w:val="002E67D4"/>
    <w:rsid w:val="002F1673"/>
    <w:rsid w:val="003058FC"/>
    <w:rsid w:val="0030657A"/>
    <w:rsid w:val="00312E09"/>
    <w:rsid w:val="00322A85"/>
    <w:rsid w:val="00323EA4"/>
    <w:rsid w:val="00324168"/>
    <w:rsid w:val="00324479"/>
    <w:rsid w:val="003261CC"/>
    <w:rsid w:val="00326E3D"/>
    <w:rsid w:val="00330834"/>
    <w:rsid w:val="00332F16"/>
    <w:rsid w:val="00343E57"/>
    <w:rsid w:val="0034475D"/>
    <w:rsid w:val="003448F4"/>
    <w:rsid w:val="0034500F"/>
    <w:rsid w:val="00346FAE"/>
    <w:rsid w:val="003517EC"/>
    <w:rsid w:val="00352659"/>
    <w:rsid w:val="0035464A"/>
    <w:rsid w:val="0036573A"/>
    <w:rsid w:val="00374F5E"/>
    <w:rsid w:val="00377E3E"/>
    <w:rsid w:val="0038212A"/>
    <w:rsid w:val="00382734"/>
    <w:rsid w:val="00387599"/>
    <w:rsid w:val="0038780F"/>
    <w:rsid w:val="003A779E"/>
    <w:rsid w:val="003C0FBA"/>
    <w:rsid w:val="003C1195"/>
    <w:rsid w:val="003C77DA"/>
    <w:rsid w:val="003D0F4D"/>
    <w:rsid w:val="003D143C"/>
    <w:rsid w:val="003D286E"/>
    <w:rsid w:val="003D3301"/>
    <w:rsid w:val="003D5644"/>
    <w:rsid w:val="003D5B0D"/>
    <w:rsid w:val="003E0499"/>
    <w:rsid w:val="003E4F80"/>
    <w:rsid w:val="003E6439"/>
    <w:rsid w:val="003E74BC"/>
    <w:rsid w:val="003E7513"/>
    <w:rsid w:val="003F1919"/>
    <w:rsid w:val="003F3941"/>
    <w:rsid w:val="003F4254"/>
    <w:rsid w:val="004012EC"/>
    <w:rsid w:val="004053FC"/>
    <w:rsid w:val="00406575"/>
    <w:rsid w:val="0041278B"/>
    <w:rsid w:val="00414C74"/>
    <w:rsid w:val="00425B7D"/>
    <w:rsid w:val="004262E7"/>
    <w:rsid w:val="00426D15"/>
    <w:rsid w:val="0042722E"/>
    <w:rsid w:val="0044528D"/>
    <w:rsid w:val="004550BA"/>
    <w:rsid w:val="004564C2"/>
    <w:rsid w:val="00462124"/>
    <w:rsid w:val="00465DC2"/>
    <w:rsid w:val="00466B8C"/>
    <w:rsid w:val="00466E39"/>
    <w:rsid w:val="00470B76"/>
    <w:rsid w:val="004747DE"/>
    <w:rsid w:val="00474FF8"/>
    <w:rsid w:val="00491656"/>
    <w:rsid w:val="0049179D"/>
    <w:rsid w:val="004A1847"/>
    <w:rsid w:val="004A2849"/>
    <w:rsid w:val="004A305D"/>
    <w:rsid w:val="004C6A84"/>
    <w:rsid w:val="004C7BA6"/>
    <w:rsid w:val="004D0A6E"/>
    <w:rsid w:val="004E6C1D"/>
    <w:rsid w:val="004F1DDE"/>
    <w:rsid w:val="004F21C4"/>
    <w:rsid w:val="004F685F"/>
    <w:rsid w:val="00501DC2"/>
    <w:rsid w:val="00501DC4"/>
    <w:rsid w:val="005026BD"/>
    <w:rsid w:val="005026D1"/>
    <w:rsid w:val="005111DB"/>
    <w:rsid w:val="0051719E"/>
    <w:rsid w:val="005308E8"/>
    <w:rsid w:val="00536279"/>
    <w:rsid w:val="005421C1"/>
    <w:rsid w:val="00545D8A"/>
    <w:rsid w:val="0055038B"/>
    <w:rsid w:val="00551FD9"/>
    <w:rsid w:val="005548B4"/>
    <w:rsid w:val="005566E8"/>
    <w:rsid w:val="005635E6"/>
    <w:rsid w:val="00565522"/>
    <w:rsid w:val="00566BEA"/>
    <w:rsid w:val="00573A42"/>
    <w:rsid w:val="00574867"/>
    <w:rsid w:val="00591460"/>
    <w:rsid w:val="00595FE7"/>
    <w:rsid w:val="0059739E"/>
    <w:rsid w:val="005A0DF2"/>
    <w:rsid w:val="005A6445"/>
    <w:rsid w:val="005A65E0"/>
    <w:rsid w:val="005A7BB6"/>
    <w:rsid w:val="005A7E09"/>
    <w:rsid w:val="005B5734"/>
    <w:rsid w:val="005C0FFD"/>
    <w:rsid w:val="005C3777"/>
    <w:rsid w:val="005C5CDC"/>
    <w:rsid w:val="005C793F"/>
    <w:rsid w:val="005D3D60"/>
    <w:rsid w:val="005D476C"/>
    <w:rsid w:val="005D59E2"/>
    <w:rsid w:val="005D66E2"/>
    <w:rsid w:val="005E41BA"/>
    <w:rsid w:val="005E61E5"/>
    <w:rsid w:val="005F549E"/>
    <w:rsid w:val="005F6995"/>
    <w:rsid w:val="00607578"/>
    <w:rsid w:val="00610A39"/>
    <w:rsid w:val="00614586"/>
    <w:rsid w:val="006200BF"/>
    <w:rsid w:val="006219F8"/>
    <w:rsid w:val="00622D04"/>
    <w:rsid w:val="00622F98"/>
    <w:rsid w:val="006252AF"/>
    <w:rsid w:val="006266D6"/>
    <w:rsid w:val="006302F7"/>
    <w:rsid w:val="00632C09"/>
    <w:rsid w:val="00632E35"/>
    <w:rsid w:val="006334EF"/>
    <w:rsid w:val="006443F5"/>
    <w:rsid w:val="00646B9F"/>
    <w:rsid w:val="006562C1"/>
    <w:rsid w:val="00660873"/>
    <w:rsid w:val="00665658"/>
    <w:rsid w:val="00665D70"/>
    <w:rsid w:val="006670D3"/>
    <w:rsid w:val="006711B0"/>
    <w:rsid w:val="0067216F"/>
    <w:rsid w:val="00675C00"/>
    <w:rsid w:val="00681689"/>
    <w:rsid w:val="00681ACF"/>
    <w:rsid w:val="00682C49"/>
    <w:rsid w:val="006900D9"/>
    <w:rsid w:val="00695589"/>
    <w:rsid w:val="00695CA0"/>
    <w:rsid w:val="00697798"/>
    <w:rsid w:val="006A623E"/>
    <w:rsid w:val="006A67D9"/>
    <w:rsid w:val="006B4420"/>
    <w:rsid w:val="006B4941"/>
    <w:rsid w:val="006B5640"/>
    <w:rsid w:val="006B7265"/>
    <w:rsid w:val="006B7482"/>
    <w:rsid w:val="006C4EE2"/>
    <w:rsid w:val="006D0694"/>
    <w:rsid w:val="006D538A"/>
    <w:rsid w:val="006D785F"/>
    <w:rsid w:val="006E7A8B"/>
    <w:rsid w:val="006F4C6D"/>
    <w:rsid w:val="00706C16"/>
    <w:rsid w:val="007074C0"/>
    <w:rsid w:val="00716BE2"/>
    <w:rsid w:val="007264C4"/>
    <w:rsid w:val="00732652"/>
    <w:rsid w:val="00733093"/>
    <w:rsid w:val="00733F99"/>
    <w:rsid w:val="007340C3"/>
    <w:rsid w:val="007372DC"/>
    <w:rsid w:val="0074249B"/>
    <w:rsid w:val="0074730B"/>
    <w:rsid w:val="0075235A"/>
    <w:rsid w:val="00756841"/>
    <w:rsid w:val="0076083E"/>
    <w:rsid w:val="007649AB"/>
    <w:rsid w:val="007717BA"/>
    <w:rsid w:val="00771D0C"/>
    <w:rsid w:val="007763E5"/>
    <w:rsid w:val="007833AC"/>
    <w:rsid w:val="007906B6"/>
    <w:rsid w:val="0079140B"/>
    <w:rsid w:val="00794132"/>
    <w:rsid w:val="0079648D"/>
    <w:rsid w:val="00796CFE"/>
    <w:rsid w:val="00797644"/>
    <w:rsid w:val="007A587F"/>
    <w:rsid w:val="007B036F"/>
    <w:rsid w:val="007B268C"/>
    <w:rsid w:val="007B5C4A"/>
    <w:rsid w:val="007B634A"/>
    <w:rsid w:val="007B7171"/>
    <w:rsid w:val="007C0476"/>
    <w:rsid w:val="007C04BE"/>
    <w:rsid w:val="007C0C0F"/>
    <w:rsid w:val="007C2221"/>
    <w:rsid w:val="007C341F"/>
    <w:rsid w:val="007C3DC2"/>
    <w:rsid w:val="007C487F"/>
    <w:rsid w:val="007D1CDD"/>
    <w:rsid w:val="007D28D0"/>
    <w:rsid w:val="007D438C"/>
    <w:rsid w:val="007E005F"/>
    <w:rsid w:val="007E0913"/>
    <w:rsid w:val="007E4A7D"/>
    <w:rsid w:val="007E5497"/>
    <w:rsid w:val="007E5579"/>
    <w:rsid w:val="007F6680"/>
    <w:rsid w:val="00803B98"/>
    <w:rsid w:val="00806F5F"/>
    <w:rsid w:val="0081110B"/>
    <w:rsid w:val="008134D9"/>
    <w:rsid w:val="008140C1"/>
    <w:rsid w:val="00816B23"/>
    <w:rsid w:val="00820278"/>
    <w:rsid w:val="008227C4"/>
    <w:rsid w:val="00823027"/>
    <w:rsid w:val="008233C0"/>
    <w:rsid w:val="00824297"/>
    <w:rsid w:val="008258C9"/>
    <w:rsid w:val="00841A1D"/>
    <w:rsid w:val="00843710"/>
    <w:rsid w:val="00844AE9"/>
    <w:rsid w:val="00845030"/>
    <w:rsid w:val="0084515A"/>
    <w:rsid w:val="008458AA"/>
    <w:rsid w:val="008618A7"/>
    <w:rsid w:val="00867743"/>
    <w:rsid w:val="00867F95"/>
    <w:rsid w:val="008843B6"/>
    <w:rsid w:val="00890CB9"/>
    <w:rsid w:val="00891928"/>
    <w:rsid w:val="00894E55"/>
    <w:rsid w:val="008A2FEF"/>
    <w:rsid w:val="008A446D"/>
    <w:rsid w:val="008B25F1"/>
    <w:rsid w:val="008B52F0"/>
    <w:rsid w:val="008C0BE1"/>
    <w:rsid w:val="008C44B5"/>
    <w:rsid w:val="008D180B"/>
    <w:rsid w:val="008D5CBB"/>
    <w:rsid w:val="008E12DA"/>
    <w:rsid w:val="008F0EA7"/>
    <w:rsid w:val="008F36A7"/>
    <w:rsid w:val="008F67BC"/>
    <w:rsid w:val="009150E7"/>
    <w:rsid w:val="00916390"/>
    <w:rsid w:val="0092111A"/>
    <w:rsid w:val="009229C6"/>
    <w:rsid w:val="00923290"/>
    <w:rsid w:val="00923EEF"/>
    <w:rsid w:val="009303A1"/>
    <w:rsid w:val="009331B5"/>
    <w:rsid w:val="0093606E"/>
    <w:rsid w:val="009419F9"/>
    <w:rsid w:val="00944591"/>
    <w:rsid w:val="00944D35"/>
    <w:rsid w:val="009454F7"/>
    <w:rsid w:val="00954218"/>
    <w:rsid w:val="0095628A"/>
    <w:rsid w:val="0095685E"/>
    <w:rsid w:val="00961B09"/>
    <w:rsid w:val="009639AE"/>
    <w:rsid w:val="00965334"/>
    <w:rsid w:val="0096768D"/>
    <w:rsid w:val="0097093E"/>
    <w:rsid w:val="00973558"/>
    <w:rsid w:val="00996FAA"/>
    <w:rsid w:val="009A0DFA"/>
    <w:rsid w:val="009A1C0A"/>
    <w:rsid w:val="009A1C13"/>
    <w:rsid w:val="009A1C6F"/>
    <w:rsid w:val="009A218A"/>
    <w:rsid w:val="009A6A44"/>
    <w:rsid w:val="009B2D26"/>
    <w:rsid w:val="009B5D8E"/>
    <w:rsid w:val="009B6EDE"/>
    <w:rsid w:val="009B7015"/>
    <w:rsid w:val="009C71FA"/>
    <w:rsid w:val="009C72E7"/>
    <w:rsid w:val="009C7F7E"/>
    <w:rsid w:val="009D3058"/>
    <w:rsid w:val="009D7893"/>
    <w:rsid w:val="009E03FD"/>
    <w:rsid w:val="009E4F49"/>
    <w:rsid w:val="009F3557"/>
    <w:rsid w:val="009F3A13"/>
    <w:rsid w:val="00A122D3"/>
    <w:rsid w:val="00A13303"/>
    <w:rsid w:val="00A14468"/>
    <w:rsid w:val="00A148F3"/>
    <w:rsid w:val="00A151FF"/>
    <w:rsid w:val="00A17F13"/>
    <w:rsid w:val="00A20739"/>
    <w:rsid w:val="00A21276"/>
    <w:rsid w:val="00A21364"/>
    <w:rsid w:val="00A23AF9"/>
    <w:rsid w:val="00A25AC5"/>
    <w:rsid w:val="00A33C78"/>
    <w:rsid w:val="00A34AE2"/>
    <w:rsid w:val="00A35B1B"/>
    <w:rsid w:val="00A3784A"/>
    <w:rsid w:val="00A457B6"/>
    <w:rsid w:val="00A50078"/>
    <w:rsid w:val="00A509B4"/>
    <w:rsid w:val="00A55378"/>
    <w:rsid w:val="00A71B99"/>
    <w:rsid w:val="00A72F73"/>
    <w:rsid w:val="00A734D5"/>
    <w:rsid w:val="00A75228"/>
    <w:rsid w:val="00A80988"/>
    <w:rsid w:val="00A831DD"/>
    <w:rsid w:val="00A8510F"/>
    <w:rsid w:val="00A878A7"/>
    <w:rsid w:val="00A87CD7"/>
    <w:rsid w:val="00AA22CD"/>
    <w:rsid w:val="00AA22FC"/>
    <w:rsid w:val="00AA2538"/>
    <w:rsid w:val="00AB0ADB"/>
    <w:rsid w:val="00AB0F63"/>
    <w:rsid w:val="00AB2C12"/>
    <w:rsid w:val="00AB38A7"/>
    <w:rsid w:val="00AC0BEC"/>
    <w:rsid w:val="00AC5715"/>
    <w:rsid w:val="00AD022B"/>
    <w:rsid w:val="00AD04BE"/>
    <w:rsid w:val="00AD3BA4"/>
    <w:rsid w:val="00AD5A67"/>
    <w:rsid w:val="00AD5D08"/>
    <w:rsid w:val="00B00C0E"/>
    <w:rsid w:val="00B01B1A"/>
    <w:rsid w:val="00B0381D"/>
    <w:rsid w:val="00B05EB8"/>
    <w:rsid w:val="00B06176"/>
    <w:rsid w:val="00B11908"/>
    <w:rsid w:val="00B15C39"/>
    <w:rsid w:val="00B16C37"/>
    <w:rsid w:val="00B221FD"/>
    <w:rsid w:val="00B22A17"/>
    <w:rsid w:val="00B25313"/>
    <w:rsid w:val="00B308E3"/>
    <w:rsid w:val="00B31621"/>
    <w:rsid w:val="00B352F4"/>
    <w:rsid w:val="00B41EE0"/>
    <w:rsid w:val="00B4234E"/>
    <w:rsid w:val="00B44A47"/>
    <w:rsid w:val="00B577BC"/>
    <w:rsid w:val="00B72CD3"/>
    <w:rsid w:val="00B72FFF"/>
    <w:rsid w:val="00B85F8F"/>
    <w:rsid w:val="00B93ABB"/>
    <w:rsid w:val="00BA04BD"/>
    <w:rsid w:val="00BB19D7"/>
    <w:rsid w:val="00BC3D36"/>
    <w:rsid w:val="00BC6044"/>
    <w:rsid w:val="00BD0D9B"/>
    <w:rsid w:val="00BD0FB2"/>
    <w:rsid w:val="00BD399A"/>
    <w:rsid w:val="00BD40CC"/>
    <w:rsid w:val="00BD495D"/>
    <w:rsid w:val="00BD54A6"/>
    <w:rsid w:val="00BD7F72"/>
    <w:rsid w:val="00BE2F9B"/>
    <w:rsid w:val="00BF1DF1"/>
    <w:rsid w:val="00BF2F9F"/>
    <w:rsid w:val="00BF7425"/>
    <w:rsid w:val="00BF7CF7"/>
    <w:rsid w:val="00C026CF"/>
    <w:rsid w:val="00C04FB3"/>
    <w:rsid w:val="00C11D8B"/>
    <w:rsid w:val="00C15139"/>
    <w:rsid w:val="00C23D0C"/>
    <w:rsid w:val="00C26162"/>
    <w:rsid w:val="00C30187"/>
    <w:rsid w:val="00C330EB"/>
    <w:rsid w:val="00C34A4E"/>
    <w:rsid w:val="00C44BB4"/>
    <w:rsid w:val="00C450F0"/>
    <w:rsid w:val="00C4556B"/>
    <w:rsid w:val="00C464AD"/>
    <w:rsid w:val="00C501BE"/>
    <w:rsid w:val="00C50D69"/>
    <w:rsid w:val="00C52710"/>
    <w:rsid w:val="00C5365C"/>
    <w:rsid w:val="00C6012D"/>
    <w:rsid w:val="00C614F3"/>
    <w:rsid w:val="00C62F47"/>
    <w:rsid w:val="00C636DD"/>
    <w:rsid w:val="00C65F91"/>
    <w:rsid w:val="00C669E4"/>
    <w:rsid w:val="00C71645"/>
    <w:rsid w:val="00C72866"/>
    <w:rsid w:val="00C73830"/>
    <w:rsid w:val="00C73CC1"/>
    <w:rsid w:val="00C754BE"/>
    <w:rsid w:val="00C76B1C"/>
    <w:rsid w:val="00C770A9"/>
    <w:rsid w:val="00C826C5"/>
    <w:rsid w:val="00C83A1A"/>
    <w:rsid w:val="00C84C1A"/>
    <w:rsid w:val="00C85E39"/>
    <w:rsid w:val="00C86ED0"/>
    <w:rsid w:val="00C87BFF"/>
    <w:rsid w:val="00C925AC"/>
    <w:rsid w:val="00C92C2C"/>
    <w:rsid w:val="00C94765"/>
    <w:rsid w:val="00CA10FB"/>
    <w:rsid w:val="00CB2D34"/>
    <w:rsid w:val="00CB6357"/>
    <w:rsid w:val="00CC1B26"/>
    <w:rsid w:val="00CC33FA"/>
    <w:rsid w:val="00CD71D9"/>
    <w:rsid w:val="00CE4B4C"/>
    <w:rsid w:val="00CE52D4"/>
    <w:rsid w:val="00CE6B8A"/>
    <w:rsid w:val="00CF010A"/>
    <w:rsid w:val="00CF05E6"/>
    <w:rsid w:val="00CF2A73"/>
    <w:rsid w:val="00D02399"/>
    <w:rsid w:val="00D044BE"/>
    <w:rsid w:val="00D10083"/>
    <w:rsid w:val="00D111CC"/>
    <w:rsid w:val="00D23772"/>
    <w:rsid w:val="00D27748"/>
    <w:rsid w:val="00D31490"/>
    <w:rsid w:val="00D34F20"/>
    <w:rsid w:val="00D361FD"/>
    <w:rsid w:val="00D423A2"/>
    <w:rsid w:val="00D440FE"/>
    <w:rsid w:val="00D44E26"/>
    <w:rsid w:val="00D50781"/>
    <w:rsid w:val="00D520D8"/>
    <w:rsid w:val="00D57036"/>
    <w:rsid w:val="00D62F12"/>
    <w:rsid w:val="00D63AC2"/>
    <w:rsid w:val="00D670BE"/>
    <w:rsid w:val="00D7383B"/>
    <w:rsid w:val="00D75C2D"/>
    <w:rsid w:val="00D7788A"/>
    <w:rsid w:val="00D81446"/>
    <w:rsid w:val="00D81A53"/>
    <w:rsid w:val="00D82560"/>
    <w:rsid w:val="00D8691D"/>
    <w:rsid w:val="00D91429"/>
    <w:rsid w:val="00D97954"/>
    <w:rsid w:val="00DA0489"/>
    <w:rsid w:val="00DA0F87"/>
    <w:rsid w:val="00DA231B"/>
    <w:rsid w:val="00DA4C01"/>
    <w:rsid w:val="00DA683F"/>
    <w:rsid w:val="00DB2D6A"/>
    <w:rsid w:val="00DB5CB9"/>
    <w:rsid w:val="00DC2CC5"/>
    <w:rsid w:val="00DC39FC"/>
    <w:rsid w:val="00DD7A16"/>
    <w:rsid w:val="00DD7DB6"/>
    <w:rsid w:val="00DE5F5C"/>
    <w:rsid w:val="00DE65A4"/>
    <w:rsid w:val="00DF07E0"/>
    <w:rsid w:val="00DF25E0"/>
    <w:rsid w:val="00DF5254"/>
    <w:rsid w:val="00E02524"/>
    <w:rsid w:val="00E13ACE"/>
    <w:rsid w:val="00E16408"/>
    <w:rsid w:val="00E20894"/>
    <w:rsid w:val="00E20E5B"/>
    <w:rsid w:val="00E23335"/>
    <w:rsid w:val="00E245AB"/>
    <w:rsid w:val="00E2764C"/>
    <w:rsid w:val="00E27F2E"/>
    <w:rsid w:val="00E40312"/>
    <w:rsid w:val="00E417F4"/>
    <w:rsid w:val="00E4472C"/>
    <w:rsid w:val="00E44E3A"/>
    <w:rsid w:val="00E50AFE"/>
    <w:rsid w:val="00E5113C"/>
    <w:rsid w:val="00E5577A"/>
    <w:rsid w:val="00E559B7"/>
    <w:rsid w:val="00E55A04"/>
    <w:rsid w:val="00E55D1B"/>
    <w:rsid w:val="00E57402"/>
    <w:rsid w:val="00E5797D"/>
    <w:rsid w:val="00E63B52"/>
    <w:rsid w:val="00E64CA9"/>
    <w:rsid w:val="00E65ED1"/>
    <w:rsid w:val="00E75C92"/>
    <w:rsid w:val="00E771DC"/>
    <w:rsid w:val="00E8570D"/>
    <w:rsid w:val="00E8772A"/>
    <w:rsid w:val="00E90850"/>
    <w:rsid w:val="00E90F6B"/>
    <w:rsid w:val="00E918FB"/>
    <w:rsid w:val="00E91DF7"/>
    <w:rsid w:val="00E92C27"/>
    <w:rsid w:val="00E96730"/>
    <w:rsid w:val="00EA0E3D"/>
    <w:rsid w:val="00EA69C7"/>
    <w:rsid w:val="00EB31D7"/>
    <w:rsid w:val="00EB5D91"/>
    <w:rsid w:val="00EC38A7"/>
    <w:rsid w:val="00EC5604"/>
    <w:rsid w:val="00ED1933"/>
    <w:rsid w:val="00ED5C55"/>
    <w:rsid w:val="00ED6624"/>
    <w:rsid w:val="00EE1AA8"/>
    <w:rsid w:val="00EE227B"/>
    <w:rsid w:val="00EE27E6"/>
    <w:rsid w:val="00EE5832"/>
    <w:rsid w:val="00EE598B"/>
    <w:rsid w:val="00EF6D2A"/>
    <w:rsid w:val="00EF7990"/>
    <w:rsid w:val="00F16A70"/>
    <w:rsid w:val="00F23FEA"/>
    <w:rsid w:val="00F24E31"/>
    <w:rsid w:val="00F31EDC"/>
    <w:rsid w:val="00F42B69"/>
    <w:rsid w:val="00F44CAD"/>
    <w:rsid w:val="00F458C6"/>
    <w:rsid w:val="00F45E0C"/>
    <w:rsid w:val="00F462B3"/>
    <w:rsid w:val="00F55A04"/>
    <w:rsid w:val="00F5664F"/>
    <w:rsid w:val="00F666C4"/>
    <w:rsid w:val="00F72F66"/>
    <w:rsid w:val="00F76AFC"/>
    <w:rsid w:val="00F82FC2"/>
    <w:rsid w:val="00F83606"/>
    <w:rsid w:val="00F83838"/>
    <w:rsid w:val="00F90489"/>
    <w:rsid w:val="00F95522"/>
    <w:rsid w:val="00F9689E"/>
    <w:rsid w:val="00FA0DB2"/>
    <w:rsid w:val="00FA2CEE"/>
    <w:rsid w:val="00FA47C0"/>
    <w:rsid w:val="00FA4B87"/>
    <w:rsid w:val="00FA61CD"/>
    <w:rsid w:val="00FB5DD1"/>
    <w:rsid w:val="00FC0C77"/>
    <w:rsid w:val="00FC2B5D"/>
    <w:rsid w:val="00FC4756"/>
    <w:rsid w:val="00FC79F6"/>
    <w:rsid w:val="00FD533D"/>
    <w:rsid w:val="00FD7716"/>
    <w:rsid w:val="00FE38C5"/>
    <w:rsid w:val="00FF1449"/>
    <w:rsid w:val="00FF3815"/>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503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5038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ry-joimigu@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C91277B-699F-4B0E-A8EF-4AD867E19DCE}">
  <ds:schemaRefs>
    <ds:schemaRef ds:uri="http://schemas.openxmlformats.org/officeDocument/2006/bibliography"/>
  </ds:schemaRefs>
</ds:datastoreItem>
</file>

<file path=customXml/itemProps4.xml><?xml version="1.0" encoding="utf-8"?>
<ds:datastoreItem xmlns:ds="http://schemas.openxmlformats.org/officeDocument/2006/customXml" ds:itemID="{C6C8E684-137F-450E-888F-8E5BF463B0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1270</TotalTime>
  <Pages>18</Pages>
  <Words>5953</Words>
  <Characters>32746</Characters>
  <Application>Microsoft Office Word</Application>
  <DocSecurity>0</DocSecurity>
  <Lines>272</Lines>
  <Paragraphs>77</Paragraphs>
  <ScaleCrop>false</ScaleCrop>
  <Company/>
  <LinksUpToDate>false</LinksUpToDate>
  <CharactersWithSpaces>38622</CharactersWithSpaces>
  <SharedDoc>false</SharedDoc>
  <HLinks>
    <vt:vector size="24" baseType="variant">
      <vt:variant>
        <vt:i4>7471218</vt:i4>
      </vt:variant>
      <vt:variant>
        <vt:i4>6</vt:i4>
      </vt:variant>
      <vt:variant>
        <vt:i4>0</vt:i4>
      </vt:variant>
      <vt:variant>
        <vt:i4>5</vt:i4>
      </vt:variant>
      <vt:variant>
        <vt:lpwstr>https://relatoria.colombiacompra.gov.co/busqueda/conceptos</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65574</vt:i4>
      </vt:variant>
      <vt:variant>
        <vt:i4>0</vt:i4>
      </vt:variant>
      <vt:variant>
        <vt:i4>0</vt:i4>
      </vt:variant>
      <vt:variant>
        <vt:i4>5</vt:i4>
      </vt:variant>
      <vt:variant>
        <vt:lpwstr>mailto:Abogado.oscar.munoz@gmail.com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429</cp:revision>
  <cp:lastPrinted>2023-01-10T21:18:00Z</cp:lastPrinted>
  <dcterms:created xsi:type="dcterms:W3CDTF">2026-04-06T15:07:00Z</dcterms:created>
  <dcterms:modified xsi:type="dcterms:W3CDTF">2026-04-29T15:17:00Z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