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FDA04" w14:textId="1ED4E008" w:rsidR="00095906" w:rsidRDefault="00C15139" w:rsidP="30821638">
      <w:pPr>
        <w:spacing w:after="0"/>
      </w:pPr>
      <w:bookmarkStart w:id="0" w:name="_Hlk143780582"/>
      <w:r>
        <w:tab/>
      </w:r>
    </w:p>
    <w:p w14:paraId="0C0B1E77" w14:textId="77777777" w:rsidR="00801222" w:rsidRPr="00972B2F" w:rsidRDefault="00801222" w:rsidP="00801222">
      <w:pPr>
        <w:spacing w:after="0" w:line="240" w:lineRule="auto"/>
        <w:jc w:val="both"/>
        <w:rPr>
          <w:rFonts w:ascii="Verdana" w:eastAsia="Calibri" w:hAnsi="Verdana" w:cs="Arial"/>
          <w:b/>
          <w:bCs/>
          <w:lang w:val="es-ES" w:eastAsia="es-ES"/>
        </w:rPr>
      </w:pPr>
      <w:r w:rsidRPr="00972B2F">
        <w:rPr>
          <w:rFonts w:ascii="Verdana" w:eastAsia="Calibri" w:hAnsi="Verdana" w:cs="Arial"/>
          <w:b/>
          <w:bCs/>
          <w:lang w:val="es-ES" w:eastAsia="es-ES"/>
        </w:rPr>
        <w:t>CONTRATO ESTATAL – Ejercicio – Funciones de control y vigilancia</w:t>
      </w:r>
    </w:p>
    <w:p w14:paraId="219C5FDF" w14:textId="77777777" w:rsidR="00801222" w:rsidRPr="00972B2F" w:rsidRDefault="00801222" w:rsidP="00801222">
      <w:pPr>
        <w:spacing w:after="0" w:line="240" w:lineRule="auto"/>
        <w:jc w:val="both"/>
        <w:rPr>
          <w:rFonts w:ascii="Verdana" w:eastAsia="Calibri" w:hAnsi="Verdana" w:cs="Arial"/>
          <w:b/>
          <w:bCs/>
          <w:lang w:val="es-ES" w:eastAsia="es-ES"/>
        </w:rPr>
      </w:pPr>
    </w:p>
    <w:p w14:paraId="0716C109" w14:textId="77777777" w:rsidR="00801222" w:rsidRPr="00972B2F" w:rsidRDefault="00801222" w:rsidP="00801222">
      <w:pPr>
        <w:spacing w:after="0" w:line="240" w:lineRule="auto"/>
        <w:jc w:val="both"/>
        <w:rPr>
          <w:rFonts w:ascii="Verdana" w:eastAsia="Calibri" w:hAnsi="Verdana" w:cs="Arial"/>
          <w:color w:val="000000"/>
          <w:sz w:val="20"/>
          <w:lang w:val="es-ES"/>
        </w:rPr>
      </w:pPr>
      <w:r w:rsidRPr="00972B2F">
        <w:rPr>
          <w:rFonts w:ascii="Verdana" w:eastAsia="Calibri" w:hAnsi="Verdana" w:cs="Arial"/>
          <w:color w:val="000000"/>
          <w:sz w:val="20"/>
          <w:lang w:val="es-ES"/>
        </w:rPr>
        <w:t>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0EF833A4" w14:textId="77777777" w:rsidR="00801222" w:rsidRPr="00972B2F" w:rsidRDefault="00801222" w:rsidP="00801222">
      <w:pPr>
        <w:spacing w:after="0" w:line="240" w:lineRule="auto"/>
        <w:jc w:val="both"/>
        <w:rPr>
          <w:rFonts w:ascii="Verdana" w:eastAsia="Calibri" w:hAnsi="Verdana" w:cs="Arial"/>
          <w:color w:val="000000"/>
          <w:sz w:val="20"/>
          <w:lang w:val="es-ES"/>
        </w:rPr>
      </w:pPr>
    </w:p>
    <w:p w14:paraId="62E1C4FC" w14:textId="77777777" w:rsidR="00801222" w:rsidRPr="00972B2F" w:rsidRDefault="00801222" w:rsidP="00801222">
      <w:pPr>
        <w:spacing w:after="0" w:line="240" w:lineRule="auto"/>
        <w:jc w:val="both"/>
        <w:rPr>
          <w:rFonts w:ascii="Verdana" w:eastAsia="Calibri" w:hAnsi="Verdana" w:cs="Arial"/>
          <w:color w:val="000000"/>
          <w:sz w:val="20"/>
          <w:lang w:val="es-ES"/>
        </w:rPr>
      </w:pPr>
      <w:r w:rsidRPr="00972B2F">
        <w:rPr>
          <w:rFonts w:ascii="Verdana" w:eastAsia="Calibri" w:hAnsi="Verdana" w:cs="Arial"/>
          <w:color w:val="000000"/>
          <w:sz w:val="2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0A4EF069" w14:textId="77777777" w:rsidR="00801222" w:rsidRPr="00972B2F" w:rsidRDefault="00801222" w:rsidP="00801222">
      <w:pPr>
        <w:spacing w:after="0" w:line="240" w:lineRule="auto"/>
        <w:jc w:val="both"/>
        <w:rPr>
          <w:rFonts w:ascii="Verdana" w:eastAsia="Times New Roman" w:hAnsi="Verdana" w:cs="Arial"/>
          <w:sz w:val="20"/>
          <w:lang w:val="es-ES" w:eastAsia="es-MX"/>
        </w:rPr>
      </w:pPr>
    </w:p>
    <w:p w14:paraId="11699F19" w14:textId="77777777" w:rsidR="00801222" w:rsidRPr="00972B2F" w:rsidRDefault="00801222" w:rsidP="00801222">
      <w:pPr>
        <w:spacing w:after="0" w:line="240" w:lineRule="auto"/>
        <w:jc w:val="both"/>
        <w:rPr>
          <w:rFonts w:ascii="Verdana" w:eastAsia="Calibri" w:hAnsi="Verdana" w:cs="Times New Roman"/>
          <w:b/>
        </w:rPr>
      </w:pPr>
      <w:r w:rsidRPr="00972B2F">
        <w:rPr>
          <w:rFonts w:ascii="Verdana" w:eastAsia="Calibri" w:hAnsi="Verdana" w:cs="Arial"/>
          <w:b/>
          <w:bCs/>
          <w:lang w:val="es-ES" w:eastAsia="es-ES"/>
        </w:rPr>
        <w:t>CONTRATO ESTATAL – Supervisión – Interventoría – características</w:t>
      </w:r>
    </w:p>
    <w:p w14:paraId="1C094957" w14:textId="77777777" w:rsidR="00801222" w:rsidRPr="00972B2F" w:rsidRDefault="00801222" w:rsidP="00801222">
      <w:pPr>
        <w:spacing w:after="0" w:line="240" w:lineRule="auto"/>
        <w:jc w:val="both"/>
        <w:rPr>
          <w:rFonts w:ascii="Verdana" w:eastAsia="Calibri" w:hAnsi="Verdana" w:cs="Times New Roman"/>
          <w:b/>
          <w:sz w:val="20"/>
        </w:rPr>
      </w:pPr>
    </w:p>
    <w:p w14:paraId="2B4F5E7B" w14:textId="77777777" w:rsidR="00801222" w:rsidRPr="00972B2F" w:rsidRDefault="00801222" w:rsidP="00801222">
      <w:pPr>
        <w:spacing w:after="0" w:line="240" w:lineRule="auto"/>
        <w:jc w:val="both"/>
        <w:rPr>
          <w:rFonts w:ascii="Verdana" w:eastAsia="Times New Roman" w:hAnsi="Verdana" w:cs="Arial"/>
          <w:sz w:val="20"/>
          <w:lang w:val="es-ES" w:eastAsia="es-MX"/>
        </w:rPr>
      </w:pPr>
      <w:r w:rsidRPr="00972B2F">
        <w:rPr>
          <w:rFonts w:ascii="Verdana" w:eastAsia="Times New Roman" w:hAnsi="Verdana" w:cs="Arial"/>
          <w:sz w:val="20"/>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1EE8604A" w14:textId="77777777" w:rsidR="00801222" w:rsidRPr="00972B2F" w:rsidRDefault="00801222" w:rsidP="00801222">
      <w:pPr>
        <w:spacing w:after="0" w:line="240" w:lineRule="auto"/>
        <w:jc w:val="both"/>
        <w:rPr>
          <w:rFonts w:ascii="Verdana" w:eastAsia="Times New Roman" w:hAnsi="Verdana" w:cs="Arial"/>
          <w:sz w:val="20"/>
          <w:szCs w:val="21"/>
          <w:lang w:val="es-ES" w:eastAsia="es-MX"/>
        </w:rPr>
      </w:pPr>
    </w:p>
    <w:p w14:paraId="53C2B4EC" w14:textId="77777777" w:rsidR="00801222" w:rsidRPr="00972B2F" w:rsidRDefault="00801222" w:rsidP="00801222">
      <w:pPr>
        <w:spacing w:after="0" w:line="240" w:lineRule="auto"/>
        <w:jc w:val="both"/>
        <w:rPr>
          <w:rFonts w:ascii="Verdana" w:eastAsia="Times New Roman" w:hAnsi="Verdana" w:cs="Arial"/>
          <w:sz w:val="20"/>
          <w:shd w:val="clear" w:color="auto" w:fill="FFFFFF"/>
          <w:lang w:val="es-ES"/>
        </w:rPr>
      </w:pPr>
      <w:r w:rsidRPr="00972B2F">
        <w:rPr>
          <w:rFonts w:ascii="Verdana" w:eastAsia="Times New Roman" w:hAnsi="Verdana" w:cs="Arial"/>
          <w:bCs/>
          <w:sz w:val="20"/>
          <w:lang w:val="es-ES"/>
        </w:rPr>
        <w:t xml:space="preserve">Sin perjuicio de lo anterior, según lo expresado por esta Agencia en el concepto No. 4201913000008240 del 20 de diciembre de 2019 y en el concepto C-972 de 2024, de las disposiciones contenidas en los artículos 83 y 84 de la Ley 1474 de 2011, se infieren </w:t>
      </w:r>
      <w:r w:rsidRPr="00972B2F">
        <w:rPr>
          <w:rFonts w:ascii="Verdana" w:eastAsia="Times New Roman" w:hAnsi="Verdana" w:cs="Arial"/>
          <w:bCs/>
          <w:sz w:val="20"/>
          <w:lang w:val="es-ES"/>
        </w:rPr>
        <w:lastRenderedPageBreak/>
        <w:t xml:space="preserve">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w:t>
      </w:r>
      <w:proofErr w:type="spellStart"/>
      <w:r w:rsidRPr="00972B2F">
        <w:rPr>
          <w:rFonts w:ascii="Verdana" w:eastAsia="Times New Roman" w:hAnsi="Verdana" w:cs="Arial"/>
          <w:bCs/>
          <w:sz w:val="20"/>
          <w:lang w:val="es-ES"/>
        </w:rPr>
        <w:t>ii</w:t>
      </w:r>
      <w:proofErr w:type="spellEnd"/>
      <w:r w:rsidRPr="00972B2F">
        <w:rPr>
          <w:rFonts w:ascii="Verdana" w:eastAsia="Times New Roman" w:hAnsi="Verdana" w:cs="Arial"/>
          <w:bCs/>
          <w:sz w:val="20"/>
          <w:lang w:val="es-ES"/>
        </w:rPr>
        <w:t xml:space="preserve">) no requiere conocimientos tan especializados como la interventoría; </w:t>
      </w:r>
      <w:proofErr w:type="spellStart"/>
      <w:r w:rsidRPr="00972B2F">
        <w:rPr>
          <w:rFonts w:ascii="Verdana" w:eastAsia="Times New Roman" w:hAnsi="Verdana" w:cs="Arial"/>
          <w:bCs/>
          <w:sz w:val="20"/>
          <w:lang w:val="es-ES"/>
        </w:rPr>
        <w:t>iii</w:t>
      </w:r>
      <w:proofErr w:type="spellEnd"/>
      <w:r w:rsidRPr="00972B2F">
        <w:rPr>
          <w:rFonts w:ascii="Verdana" w:eastAsia="Times New Roman" w:hAnsi="Verdana" w:cs="Arial"/>
          <w:bCs/>
          <w:sz w:val="20"/>
          <w:lang w:val="es-ES"/>
        </w:rPr>
        <w:t xml:space="preserve">) se ejerce por la Entidad Estatal por conducto de la designación de servidores públicos idóneos para cumplir la función; </w:t>
      </w:r>
      <w:proofErr w:type="spellStart"/>
      <w:r w:rsidRPr="00972B2F">
        <w:rPr>
          <w:rFonts w:ascii="Verdana" w:eastAsia="Times New Roman" w:hAnsi="Verdana" w:cs="Arial"/>
          <w:bCs/>
          <w:sz w:val="20"/>
          <w:lang w:val="es-ES"/>
        </w:rPr>
        <w:t>iv</w:t>
      </w:r>
      <w:proofErr w:type="spellEnd"/>
      <w:r w:rsidRPr="00972B2F">
        <w:rPr>
          <w:rFonts w:ascii="Verdana" w:eastAsia="Times New Roman" w:hAnsi="Verdana" w:cs="Arial"/>
          <w:bCs/>
          <w:sz w:val="20"/>
          <w:lang w:val="es-ES"/>
        </w:rPr>
        <w:t>) puede recibir apoyo de personal contratado para tal fin mediante contratos de prestación de servicios; y v) le es inseparable el seguimiento técnico, administrativo, financiero, contable y jurídico del contrato vigilado.</w:t>
      </w:r>
    </w:p>
    <w:p w14:paraId="6FA3AADB"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74DE8DB0"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rPr>
      </w:pPr>
      <w:r w:rsidRPr="00972B2F">
        <w:rPr>
          <w:rFonts w:ascii="Verdana" w:eastAsia="Aptos" w:hAnsi="Verdana" w:cs="Arial"/>
          <w:bCs/>
          <w:sz w:val="20"/>
          <w:lang w:val="es-ES"/>
        </w:rPr>
        <w:t xml:space="preserve">Por otro lado, </w:t>
      </w:r>
      <w:r w:rsidRPr="00972B2F">
        <w:rPr>
          <w:rFonts w:ascii="Verdana" w:eastAsia="Aptos" w:hAnsi="Verdana" w:cs="Arial"/>
          <w:bCs/>
          <w:sz w:val="20"/>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972B2F">
        <w:rPr>
          <w:rFonts w:ascii="Verdana" w:eastAsia="Aptos" w:hAnsi="Verdana" w:cs="Arial"/>
          <w:bCs/>
          <w:sz w:val="20"/>
        </w:rPr>
        <w:t>ii</w:t>
      </w:r>
      <w:proofErr w:type="spellEnd"/>
      <w:r w:rsidRPr="00972B2F">
        <w:rPr>
          <w:rFonts w:ascii="Verdana" w:eastAsia="Aptos" w:hAnsi="Verdana" w:cs="Arial"/>
          <w:bCs/>
          <w:sz w:val="20"/>
        </w:rPr>
        <w:t xml:space="preserve">) es un mecanismo de vigilancia que exige, en su ejecución, la utilización de conocimientos especializados; </w:t>
      </w:r>
      <w:proofErr w:type="spellStart"/>
      <w:r w:rsidRPr="00972B2F">
        <w:rPr>
          <w:rFonts w:ascii="Verdana" w:eastAsia="Aptos" w:hAnsi="Verdana" w:cs="Arial"/>
          <w:bCs/>
          <w:sz w:val="20"/>
        </w:rPr>
        <w:t>iii</w:t>
      </w:r>
      <w:proofErr w:type="spellEnd"/>
      <w:r w:rsidRPr="00972B2F">
        <w:rPr>
          <w:rFonts w:ascii="Verdana" w:eastAsia="Aptos" w:hAnsi="Verdana" w:cs="Arial"/>
          <w:bCs/>
          <w:sz w:val="20"/>
        </w:rPr>
        <w:t>) por lo anterior, la entidad contrata un experto, por regla general, mediante la modalidad de selección de concurso de méritos, al tratarse la interventoría de una especie del contrato de consultoría –art. 32, numeral 2, inciso 2, Ley 80 de 1993</w:t>
      </w:r>
      <w:r w:rsidRPr="00972B2F">
        <w:rPr>
          <w:rFonts w:ascii="Verdana" w:eastAsia="Aptos" w:hAnsi="Verdana" w:cs="Times New Roman"/>
          <w:kern w:val="2"/>
          <w:sz w:val="20"/>
          <w14:ligatures w14:val="standardContextual"/>
        </w:rPr>
        <w:t xml:space="preserve">-, </w:t>
      </w:r>
      <w:r w:rsidRPr="00972B2F">
        <w:rPr>
          <w:rFonts w:ascii="Verdana" w:eastAsia="Aptos" w:hAnsi="Verdana" w:cs="Arial"/>
          <w:bCs/>
          <w:sz w:val="20"/>
        </w:rPr>
        <w:t xml:space="preserve">de manera que la interventoría es realizada por “una persona natural o jurídica contratada para tal fin por la Entidad Estatal” –art. 83, Ley 1474–; </w:t>
      </w:r>
      <w:proofErr w:type="spellStart"/>
      <w:r w:rsidRPr="00972B2F">
        <w:rPr>
          <w:rFonts w:ascii="Verdana" w:eastAsia="Aptos" w:hAnsi="Verdana" w:cs="Arial"/>
          <w:bCs/>
          <w:sz w:val="20"/>
        </w:rPr>
        <w:t>iv</w:t>
      </w:r>
      <w:proofErr w:type="spellEnd"/>
      <w:r w:rsidRPr="00972B2F">
        <w:rPr>
          <w:rFonts w:ascii="Verdana" w:eastAsia="Aptos" w:hAnsi="Verdana" w:cs="Arial"/>
          <w:bCs/>
          <w:sz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18EE9C24" w14:textId="77777777" w:rsidR="00801222" w:rsidRPr="00972B2F" w:rsidRDefault="00801222" w:rsidP="00801222">
      <w:pPr>
        <w:spacing w:after="0" w:line="240" w:lineRule="auto"/>
        <w:rPr>
          <w:rFonts w:ascii="Verdana" w:eastAsia="Geomanist Light" w:hAnsi="Verdana" w:cs="Arial"/>
          <w:color w:val="000000"/>
        </w:rPr>
      </w:pPr>
    </w:p>
    <w:p w14:paraId="14E8C6A8" w14:textId="77777777" w:rsidR="00801222" w:rsidRPr="00972B2F" w:rsidRDefault="00801222" w:rsidP="00801222">
      <w:pPr>
        <w:spacing w:after="0" w:line="240" w:lineRule="auto"/>
        <w:jc w:val="both"/>
        <w:rPr>
          <w:rFonts w:ascii="Verdana" w:eastAsia="Calibri" w:hAnsi="Verdana" w:cs="Arial"/>
          <w:b/>
          <w:bCs/>
          <w:lang w:val="es-ES" w:eastAsia="es-ES"/>
        </w:rPr>
      </w:pPr>
      <w:r w:rsidRPr="00972B2F">
        <w:rPr>
          <w:rFonts w:ascii="Verdana" w:eastAsia="Calibri" w:hAnsi="Verdana" w:cs="Arial"/>
          <w:b/>
          <w:bCs/>
          <w:lang w:val="es-ES" w:eastAsia="es-ES"/>
        </w:rPr>
        <w:t xml:space="preserve">INTERVENTORÍA – Obligatoriedad – Artículo 32.1 EGCAP – Artículo 83 Ley 1474 de 2011 – No excluyentes  </w:t>
      </w:r>
    </w:p>
    <w:p w14:paraId="4119C9A3" w14:textId="77777777" w:rsidR="00801222" w:rsidRPr="00972B2F" w:rsidRDefault="00801222" w:rsidP="00801222">
      <w:pPr>
        <w:spacing w:after="0" w:line="240" w:lineRule="auto"/>
        <w:jc w:val="both"/>
        <w:rPr>
          <w:rFonts w:ascii="Verdana" w:eastAsia="Calibri" w:hAnsi="Verdana" w:cs="Arial"/>
          <w:b/>
          <w:bCs/>
          <w:lang w:val="es-ES" w:eastAsia="es-ES"/>
        </w:rPr>
      </w:pPr>
    </w:p>
    <w:p w14:paraId="15594B4F"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r w:rsidRPr="00972B2F">
        <w:rPr>
          <w:rFonts w:ascii="Verdana" w:eastAsia="Aptos" w:hAnsi="Verdana" w:cs="Arial"/>
          <w:bCs/>
          <w:sz w:val="20"/>
          <w:lang w:val="es-ES"/>
        </w:rPr>
        <w:t>En el marco de los contratos sometidos al Estatuto General de Contratación de la Administración Pública –EGCAP–, la obligación de contratar interventoría encuentra respaldo en los supuestos normativos previstos tanto en el inciso segundo del numeral 32.1 del artículo 32 de la Ley 80 de 1993, como en el inciso tercero del artículo 83 de la Ley 1474 de 2011. Estas disposiciones no deben entenderse como excluyentes entre sí, sino como complementarias, en tanto regulan distintos escenarios que exigen la implementación de mecanismos técnicos de vigilancia y control sobre la ejecución de los contratos de obra.</w:t>
      </w:r>
    </w:p>
    <w:p w14:paraId="1DAAC80E"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3BC976F6"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r w:rsidRPr="00972B2F">
        <w:rPr>
          <w:rFonts w:ascii="Verdana" w:eastAsia="Aptos" w:hAnsi="Verdana" w:cs="Arial"/>
          <w:bCs/>
          <w:sz w:val="20"/>
          <w:lang w:val="es-ES"/>
        </w:rPr>
        <w:t xml:space="preserve">En ese sentido, la exigencia de interventoría no está condicionada exclusivamente a que el contrato requiera conocimientos técnicos especializados o a que su complejidad o extensión así lo ameriten. Si bien tales criterios constituyen una base para determinar </w:t>
      </w:r>
      <w:r w:rsidRPr="00972B2F">
        <w:rPr>
          <w:rFonts w:ascii="Verdana" w:eastAsia="Aptos" w:hAnsi="Verdana" w:cs="Arial"/>
          <w:bCs/>
          <w:sz w:val="20"/>
          <w:lang w:val="es-ES"/>
        </w:rPr>
        <w:lastRenderedPageBreak/>
        <w:t>su obligatoriedad según el artículo 83 de la Ley 1474 de 2011, también opera la exigencia prevista en el artículo 32.1 de la Ley 80 de 1993, conforme con la cual, en los contratos de obra celebrados como resultado de un proceso de licitación pública, la interventoría deberá ser contratada con una persona independiente de la entidad contratante y del contratista, quien responderá por los hechos y omisiones que le sean imputables.</w:t>
      </w:r>
    </w:p>
    <w:p w14:paraId="3AE585D9"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124C9E71"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r w:rsidRPr="00972B2F">
        <w:rPr>
          <w:rFonts w:ascii="Verdana" w:eastAsia="Aptos" w:hAnsi="Verdana" w:cs="Arial"/>
          <w:bCs/>
          <w:sz w:val="20"/>
          <w:lang w:val="es-ES"/>
        </w:rPr>
        <w:t>Así, por ejemplo, podría configurarse un escenario en el cual, a pesar de que la ejecución del contrato de obra no requiera conocimientos especializados ni revista alta complejidad o extensión, el solo hecho de haberse adjudicado mediante la modalidad de licitación pública activa la obligación legal de contratar interventoría conforme a la Ley 80 de 1993. En consecuencia, en estos casos no resulta jurídicamente procedente que la entidad estatal prescinda de la interventoría y opte únicamente por el mecanismo de supervisión, ya que la norma establece un mandato imperativo para garantizar una adecuada vigilancia técnica, administrativa, financiera, contable y jurídica del contrato.</w:t>
      </w:r>
    </w:p>
    <w:p w14:paraId="206708E7" w14:textId="77777777" w:rsidR="00801222" w:rsidRPr="00972B2F" w:rsidRDefault="00801222" w:rsidP="00801222">
      <w:pPr>
        <w:tabs>
          <w:tab w:val="left" w:pos="709"/>
        </w:tabs>
        <w:snapToGrid w:val="0"/>
        <w:spacing w:after="0" w:line="240" w:lineRule="auto"/>
        <w:jc w:val="both"/>
        <w:rPr>
          <w:rFonts w:ascii="Verdana" w:eastAsia="Aptos" w:hAnsi="Verdana" w:cs="Arial"/>
          <w:bCs/>
          <w:sz w:val="20"/>
          <w:lang w:val="es-ES"/>
        </w:rPr>
      </w:pPr>
    </w:p>
    <w:p w14:paraId="2BCD5412" w14:textId="77777777" w:rsidR="00801222" w:rsidRPr="00972B2F" w:rsidRDefault="00801222" w:rsidP="00801222">
      <w:pPr>
        <w:spacing w:after="0" w:line="240" w:lineRule="auto"/>
        <w:rPr>
          <w:rFonts w:ascii="Verdana" w:eastAsia="Geomanist Light" w:hAnsi="Verdana" w:cs="Arial"/>
          <w:color w:val="000000"/>
          <w:lang w:val="es-MX"/>
        </w:rPr>
      </w:pPr>
    </w:p>
    <w:p w14:paraId="7F1EFB52" w14:textId="77777777" w:rsidR="00801222" w:rsidRPr="00972B2F" w:rsidRDefault="00801222" w:rsidP="00801222">
      <w:pPr>
        <w:spacing w:after="0" w:line="240" w:lineRule="auto"/>
        <w:rPr>
          <w:rFonts w:ascii="Verdana" w:eastAsia="Geomanist Light" w:hAnsi="Verdana" w:cs="Arial"/>
          <w:color w:val="000000"/>
          <w:lang w:val="es-MX"/>
        </w:rPr>
      </w:pPr>
    </w:p>
    <w:p w14:paraId="629C6F40" w14:textId="77777777" w:rsidR="00801222" w:rsidRPr="00972B2F" w:rsidRDefault="00801222" w:rsidP="00801222">
      <w:pPr>
        <w:spacing w:after="0" w:line="240" w:lineRule="auto"/>
        <w:rPr>
          <w:rFonts w:ascii="Verdana" w:eastAsia="Geomanist Light" w:hAnsi="Verdana" w:cs="Arial"/>
          <w:color w:val="000000"/>
          <w:lang w:val="es-MX"/>
        </w:rPr>
      </w:pPr>
    </w:p>
    <w:p w14:paraId="2664CAD6" w14:textId="77777777" w:rsidR="00801222" w:rsidRPr="00972B2F" w:rsidRDefault="00801222" w:rsidP="00801222">
      <w:pPr>
        <w:spacing w:after="0" w:line="240" w:lineRule="auto"/>
        <w:rPr>
          <w:rFonts w:ascii="Verdana" w:eastAsia="Geomanist Light" w:hAnsi="Verdana" w:cs="Arial"/>
          <w:color w:val="000000"/>
          <w:lang w:val="es-MX"/>
        </w:rPr>
      </w:pPr>
    </w:p>
    <w:p w14:paraId="03C62C64" w14:textId="77777777" w:rsidR="00801222" w:rsidRPr="00972B2F" w:rsidRDefault="00801222" w:rsidP="00801222">
      <w:pPr>
        <w:spacing w:after="0" w:line="240" w:lineRule="auto"/>
        <w:rPr>
          <w:rFonts w:ascii="Verdana" w:eastAsia="Geomanist Light" w:hAnsi="Verdana" w:cs="Arial"/>
          <w:color w:val="000000"/>
          <w:lang w:val="es-MX"/>
        </w:rPr>
      </w:pPr>
    </w:p>
    <w:p w14:paraId="64A1B817" w14:textId="77777777" w:rsidR="00801222" w:rsidRPr="00972B2F" w:rsidRDefault="00801222" w:rsidP="00801222">
      <w:pPr>
        <w:spacing w:after="0" w:line="240" w:lineRule="auto"/>
        <w:rPr>
          <w:rFonts w:ascii="Verdana" w:eastAsia="Geomanist Light" w:hAnsi="Verdana" w:cs="Arial"/>
          <w:color w:val="000000"/>
          <w:lang w:val="es-MX"/>
        </w:rPr>
      </w:pPr>
    </w:p>
    <w:p w14:paraId="2B203A4D" w14:textId="77777777" w:rsidR="00801222" w:rsidRPr="00972B2F" w:rsidRDefault="00801222" w:rsidP="00801222">
      <w:pPr>
        <w:spacing w:after="0" w:line="240" w:lineRule="auto"/>
        <w:rPr>
          <w:rFonts w:ascii="Verdana" w:eastAsia="Geomanist Light" w:hAnsi="Verdana" w:cs="Arial"/>
          <w:color w:val="000000"/>
          <w:lang w:val="es-MX"/>
        </w:rPr>
      </w:pPr>
    </w:p>
    <w:p w14:paraId="0E695DB0" w14:textId="77777777" w:rsidR="00801222" w:rsidRPr="00972B2F" w:rsidRDefault="00801222" w:rsidP="00801222">
      <w:pPr>
        <w:spacing w:after="0" w:line="240" w:lineRule="auto"/>
        <w:rPr>
          <w:rFonts w:ascii="Verdana" w:eastAsia="Geomanist Light" w:hAnsi="Verdana" w:cs="Arial"/>
          <w:color w:val="000000"/>
          <w:lang w:val="es-MX"/>
        </w:rPr>
      </w:pPr>
    </w:p>
    <w:p w14:paraId="7B3BE7E0" w14:textId="77777777" w:rsidR="00801222" w:rsidRPr="00972B2F" w:rsidRDefault="00801222" w:rsidP="00801222">
      <w:pPr>
        <w:spacing w:after="0" w:line="240" w:lineRule="auto"/>
        <w:rPr>
          <w:rFonts w:ascii="Verdana" w:eastAsia="Geomanist Light" w:hAnsi="Verdana" w:cs="Arial"/>
          <w:color w:val="000000"/>
          <w:lang w:val="es-MX"/>
        </w:rPr>
      </w:pPr>
    </w:p>
    <w:p w14:paraId="443B6C65" w14:textId="77777777" w:rsidR="00801222" w:rsidRPr="00972B2F" w:rsidRDefault="00801222" w:rsidP="00801222">
      <w:pPr>
        <w:spacing w:after="0" w:line="240" w:lineRule="auto"/>
        <w:rPr>
          <w:rFonts w:ascii="Verdana" w:eastAsia="Geomanist Light" w:hAnsi="Verdana" w:cs="Arial"/>
          <w:color w:val="000000"/>
          <w:lang w:val="es-MX"/>
        </w:rPr>
      </w:pPr>
    </w:p>
    <w:p w14:paraId="36BA2773" w14:textId="77777777" w:rsidR="00801222" w:rsidRPr="00972B2F" w:rsidRDefault="00801222" w:rsidP="00801222">
      <w:pPr>
        <w:spacing w:after="0" w:line="240" w:lineRule="auto"/>
        <w:rPr>
          <w:rFonts w:ascii="Verdana" w:eastAsia="Geomanist Light" w:hAnsi="Verdana" w:cs="Arial"/>
          <w:color w:val="000000"/>
          <w:lang w:val="es-MX"/>
        </w:rPr>
      </w:pPr>
    </w:p>
    <w:p w14:paraId="1E882891" w14:textId="77777777" w:rsidR="00801222" w:rsidRPr="00972B2F" w:rsidRDefault="00801222" w:rsidP="00801222">
      <w:pPr>
        <w:spacing w:after="0" w:line="240" w:lineRule="auto"/>
        <w:rPr>
          <w:rFonts w:ascii="Verdana" w:eastAsia="Geomanist Light" w:hAnsi="Verdana" w:cs="Arial"/>
          <w:color w:val="000000"/>
          <w:lang w:val="es-MX"/>
        </w:rPr>
      </w:pPr>
    </w:p>
    <w:p w14:paraId="68890895" w14:textId="77777777" w:rsidR="00801222" w:rsidRPr="00972B2F" w:rsidRDefault="00801222" w:rsidP="00801222">
      <w:pPr>
        <w:spacing w:after="0" w:line="240" w:lineRule="auto"/>
        <w:rPr>
          <w:rFonts w:ascii="Verdana" w:eastAsia="Geomanist Light" w:hAnsi="Verdana" w:cs="Arial"/>
          <w:color w:val="000000"/>
          <w:lang w:val="es-MX"/>
        </w:rPr>
      </w:pPr>
    </w:p>
    <w:p w14:paraId="6C1B2806" w14:textId="77777777" w:rsidR="00801222" w:rsidRPr="00972B2F" w:rsidRDefault="00801222" w:rsidP="00801222">
      <w:pPr>
        <w:spacing w:after="0" w:line="240" w:lineRule="auto"/>
        <w:rPr>
          <w:rFonts w:ascii="Verdana" w:eastAsia="Geomanist Light" w:hAnsi="Verdana" w:cs="Arial"/>
          <w:color w:val="000000"/>
          <w:lang w:val="es-MX"/>
        </w:rPr>
      </w:pPr>
    </w:p>
    <w:p w14:paraId="68DB5D99" w14:textId="77777777" w:rsidR="00801222" w:rsidRPr="00972B2F" w:rsidRDefault="00801222" w:rsidP="00801222">
      <w:pPr>
        <w:spacing w:after="0"/>
        <w:rPr>
          <w:rFonts w:ascii="Verdana" w:eastAsia="Verdana" w:hAnsi="Verdana" w:cs="Verdana"/>
          <w:lang w:val="es-MX"/>
        </w:rPr>
      </w:pPr>
    </w:p>
    <w:p w14:paraId="42A29451" w14:textId="77777777" w:rsidR="00801222" w:rsidRDefault="00801222" w:rsidP="00801222">
      <w:pPr>
        <w:spacing w:after="0"/>
        <w:rPr>
          <w:rFonts w:ascii="Verdana" w:eastAsia="Verdana" w:hAnsi="Verdana" w:cs="Verdana"/>
        </w:rPr>
      </w:pPr>
    </w:p>
    <w:p w14:paraId="7220CA2E" w14:textId="77777777" w:rsidR="00801222" w:rsidRDefault="00801222" w:rsidP="00801222">
      <w:pPr>
        <w:spacing w:after="0"/>
        <w:rPr>
          <w:rFonts w:ascii="Verdana" w:eastAsia="Verdana" w:hAnsi="Verdana" w:cs="Verdana"/>
        </w:rPr>
      </w:pPr>
    </w:p>
    <w:p w14:paraId="6EF92FFC" w14:textId="77777777" w:rsidR="00801222" w:rsidRDefault="00801222" w:rsidP="00801222">
      <w:pPr>
        <w:spacing w:after="0"/>
        <w:rPr>
          <w:rFonts w:ascii="Verdana" w:eastAsia="Verdana" w:hAnsi="Verdana" w:cs="Verdana"/>
        </w:rPr>
      </w:pPr>
    </w:p>
    <w:p w14:paraId="68B2B853" w14:textId="77777777" w:rsidR="00801222" w:rsidRDefault="00801222" w:rsidP="00801222">
      <w:pPr>
        <w:spacing w:after="0"/>
        <w:rPr>
          <w:rFonts w:ascii="Verdana" w:eastAsia="Verdana" w:hAnsi="Verdana" w:cs="Verdana"/>
        </w:rPr>
      </w:pPr>
    </w:p>
    <w:p w14:paraId="2B564A01" w14:textId="77777777" w:rsidR="00801222" w:rsidRDefault="00801222" w:rsidP="00801222">
      <w:pPr>
        <w:spacing w:after="0"/>
        <w:rPr>
          <w:rFonts w:ascii="Verdana" w:eastAsia="Verdana" w:hAnsi="Verdana" w:cs="Verdana"/>
        </w:rPr>
      </w:pPr>
    </w:p>
    <w:p w14:paraId="2861D9E3" w14:textId="77777777" w:rsidR="00801222" w:rsidRDefault="00801222" w:rsidP="00801222">
      <w:pPr>
        <w:spacing w:after="0"/>
        <w:rPr>
          <w:rFonts w:ascii="Verdana" w:eastAsia="Verdana" w:hAnsi="Verdana" w:cs="Verdana"/>
        </w:rPr>
      </w:pPr>
    </w:p>
    <w:p w14:paraId="4CF0A4EB" w14:textId="77777777" w:rsidR="00801222" w:rsidRDefault="00801222" w:rsidP="00801222">
      <w:pPr>
        <w:spacing w:after="0"/>
        <w:rPr>
          <w:rFonts w:ascii="Verdana" w:eastAsia="Verdana" w:hAnsi="Verdana" w:cs="Verdana"/>
        </w:rPr>
      </w:pPr>
    </w:p>
    <w:p w14:paraId="46F3A1D7" w14:textId="77777777" w:rsidR="00801222" w:rsidRDefault="00801222" w:rsidP="00801222">
      <w:pPr>
        <w:spacing w:after="0"/>
        <w:rPr>
          <w:rFonts w:ascii="Verdana" w:eastAsia="Verdana" w:hAnsi="Verdana" w:cs="Verdana"/>
        </w:rPr>
      </w:pPr>
    </w:p>
    <w:p w14:paraId="0B94801D" w14:textId="77777777" w:rsidR="00801222" w:rsidRDefault="00801222" w:rsidP="00801222">
      <w:pPr>
        <w:spacing w:after="0"/>
        <w:rPr>
          <w:rFonts w:ascii="Verdana" w:eastAsia="Verdana" w:hAnsi="Verdana" w:cs="Verdana"/>
        </w:rPr>
      </w:pPr>
    </w:p>
    <w:p w14:paraId="5B038531" w14:textId="77777777" w:rsidR="00801222" w:rsidRDefault="00801222" w:rsidP="00801222">
      <w:pPr>
        <w:spacing w:after="0"/>
        <w:rPr>
          <w:rFonts w:ascii="Verdana" w:eastAsia="Verdana" w:hAnsi="Verdana" w:cs="Verdana"/>
        </w:rPr>
      </w:pPr>
    </w:p>
    <w:p w14:paraId="4A424391" w14:textId="77777777" w:rsidR="00801222" w:rsidRDefault="00801222" w:rsidP="00801222">
      <w:pPr>
        <w:spacing w:after="0"/>
        <w:rPr>
          <w:rFonts w:ascii="Verdana" w:eastAsia="Verdana" w:hAnsi="Verdana" w:cs="Verdana"/>
        </w:rPr>
      </w:pPr>
    </w:p>
    <w:p w14:paraId="0A736A74" w14:textId="77777777" w:rsidR="00801222" w:rsidRDefault="00801222" w:rsidP="00801222">
      <w:pPr>
        <w:spacing w:after="0"/>
        <w:rPr>
          <w:rFonts w:ascii="Verdana" w:eastAsia="Verdana" w:hAnsi="Verdana" w:cs="Verdana"/>
        </w:rPr>
      </w:pPr>
    </w:p>
    <w:p w14:paraId="6D1E8DE9" w14:textId="762703CF" w:rsidR="00801222" w:rsidRPr="0083693D" w:rsidRDefault="0083693D" w:rsidP="00801222">
      <w:pPr>
        <w:spacing w:after="0"/>
        <w:rPr>
          <w:rFonts w:ascii="Verdana" w:eastAsia="Verdana" w:hAnsi="Verdana" w:cs="Verdana"/>
        </w:rPr>
      </w:pPr>
      <w:r>
        <w:rPr>
          <w:rFonts w:ascii="Verdana" w:eastAsia="Verdana" w:hAnsi="Verdana" w:cs="Verdana"/>
        </w:rPr>
        <w:lastRenderedPageBreak/>
        <w:t xml:space="preserve">                                                        </w:t>
      </w:r>
      <w:r w:rsidRPr="003F1883">
        <w:rPr>
          <w:rFonts w:ascii="Verdana" w:eastAsia="Calibri" w:hAnsi="Verdana" w:cs="Arial"/>
          <w:noProof/>
          <w:lang w:val="es-ES" w:eastAsia="es-ES"/>
        </w:rPr>
        <w:drawing>
          <wp:inline distT="0" distB="0" distL="0" distR="0" wp14:anchorId="1BC0B91F" wp14:editId="3E7EA4F4">
            <wp:extent cx="2419350" cy="670126"/>
            <wp:effectExtent l="0" t="0" r="0" b="0"/>
            <wp:docPr id="17960081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9905" cy="689669"/>
                    </a:xfrm>
                    <a:prstGeom prst="rect">
                      <a:avLst/>
                    </a:prstGeom>
                    <a:noFill/>
                    <a:ln>
                      <a:noFill/>
                    </a:ln>
                  </pic:spPr>
                </pic:pic>
              </a:graphicData>
            </a:graphic>
          </wp:inline>
        </w:drawing>
      </w:r>
      <w:r w:rsidRPr="0083693D">
        <w:rPr>
          <w:rFonts w:ascii="Verdana" w:eastAsia="Verdana" w:hAnsi="Verdana" w:cs="Verdana"/>
        </w:rPr>
        <w:t>Bogotá D.C., 22 Abril 2026</w:t>
      </w:r>
      <w:r w:rsidR="003F1883">
        <w:rPr>
          <w:rFonts w:ascii="Verdana" w:eastAsia="Verdana" w:hAnsi="Verdana" w:cs="Verdana"/>
        </w:rPr>
        <w:t xml:space="preserve">                                                                   </w:t>
      </w:r>
      <w:r w:rsidR="003F1883" w:rsidRPr="003F1883">
        <w:rPr>
          <w:rFonts w:ascii="Verdana" w:eastAsia="Calibri" w:hAnsi="Verdana" w:cs="Arial"/>
          <w:noProof/>
          <w:lang w:val="es-ES" w:eastAsia="es-ES"/>
        </w:rPr>
        <w:t xml:space="preserve"> </w:t>
      </w:r>
      <w:r>
        <w:rPr>
          <w:rFonts w:ascii="Verdana" w:eastAsia="Calibri" w:hAnsi="Verdana" w:cs="Arial"/>
          <w:noProof/>
          <w:lang w:val="es-ES" w:eastAsia="es-ES"/>
        </w:rPr>
        <w:t xml:space="preserve">           </w:t>
      </w:r>
    </w:p>
    <w:p w14:paraId="0565E518" w14:textId="77777777" w:rsidR="0083693D" w:rsidRDefault="0083693D" w:rsidP="00801222">
      <w:pPr>
        <w:spacing w:after="0" w:line="240" w:lineRule="auto"/>
        <w:rPr>
          <w:rFonts w:ascii="Verdana" w:eastAsia="Calibri" w:hAnsi="Verdana" w:cs="Arial"/>
          <w:lang w:val="es-ES" w:eastAsia="es-ES"/>
        </w:rPr>
      </w:pPr>
    </w:p>
    <w:p w14:paraId="2D625873" w14:textId="77777777" w:rsidR="0083693D" w:rsidRDefault="0083693D" w:rsidP="00801222">
      <w:pPr>
        <w:spacing w:after="0" w:line="240" w:lineRule="auto"/>
        <w:rPr>
          <w:rFonts w:ascii="Verdana" w:eastAsia="Calibri" w:hAnsi="Verdana" w:cs="Arial"/>
          <w:lang w:val="es-ES" w:eastAsia="es-ES"/>
        </w:rPr>
      </w:pPr>
    </w:p>
    <w:p w14:paraId="48371FA7" w14:textId="31127D6C" w:rsidR="00801222" w:rsidRPr="00972B2F" w:rsidRDefault="00801222" w:rsidP="00801222">
      <w:pPr>
        <w:spacing w:after="0" w:line="240" w:lineRule="auto"/>
        <w:rPr>
          <w:rFonts w:ascii="Verdana" w:eastAsia="Calibri" w:hAnsi="Verdana" w:cs="Arial"/>
          <w:lang w:val="es-ES" w:eastAsia="es-ES"/>
        </w:rPr>
      </w:pPr>
      <w:r w:rsidRPr="00801A0F">
        <w:rPr>
          <w:rFonts w:ascii="Verdana" w:eastAsia="Calibri" w:hAnsi="Verdana" w:cs="Arial"/>
          <w:lang w:val="es-ES" w:eastAsia="es-ES"/>
        </w:rPr>
        <w:t>Señor</w:t>
      </w:r>
    </w:p>
    <w:p w14:paraId="05C614D3" w14:textId="77777777" w:rsidR="00801222" w:rsidRDefault="00801222" w:rsidP="00801222">
      <w:pPr>
        <w:spacing w:after="0" w:line="240" w:lineRule="auto"/>
        <w:rPr>
          <w:rFonts w:ascii="Verdana" w:eastAsia="Calibri" w:hAnsi="Verdana" w:cs="Arial"/>
          <w:b/>
          <w:bCs/>
          <w:lang w:val="es-ES" w:eastAsia="es-ES"/>
        </w:rPr>
      </w:pPr>
      <w:r w:rsidRPr="00972B2F">
        <w:rPr>
          <w:rFonts w:ascii="Verdana" w:eastAsia="Calibri" w:hAnsi="Verdana" w:cs="Arial"/>
          <w:b/>
          <w:bCs/>
          <w:lang w:val="es-ES" w:eastAsia="es-ES"/>
        </w:rPr>
        <w:t>Peticionario Anónimo</w:t>
      </w:r>
    </w:p>
    <w:p w14:paraId="1B199D40" w14:textId="7DE5D252" w:rsidR="00801222" w:rsidRPr="00972B2F" w:rsidRDefault="00801222" w:rsidP="00801222">
      <w:pPr>
        <w:spacing w:after="0" w:line="240" w:lineRule="auto"/>
        <w:rPr>
          <w:rFonts w:ascii="Verdana" w:eastAsia="Calibri" w:hAnsi="Verdana" w:cs="Arial"/>
          <w:lang w:val="es-ES" w:eastAsia="es-ES"/>
        </w:rPr>
      </w:pPr>
      <w:r w:rsidRPr="00972B2F">
        <w:rPr>
          <w:rFonts w:ascii="Verdana" w:eastAsia="Calibri" w:hAnsi="Verdana" w:cs="Arial"/>
          <w:lang w:val="es-ES" w:eastAsia="es-ES"/>
        </w:rPr>
        <w:t>Ciudad</w:t>
      </w:r>
      <w:r w:rsidR="003F1883">
        <w:rPr>
          <w:rFonts w:ascii="Verdana" w:eastAsia="Calibri" w:hAnsi="Verdana" w:cs="Arial"/>
          <w:lang w:val="es-ES" w:eastAsia="es-ES"/>
        </w:rPr>
        <w:t xml:space="preserve">                                                 </w:t>
      </w:r>
    </w:p>
    <w:p w14:paraId="14821566" w14:textId="77777777" w:rsidR="00801222" w:rsidRPr="006209EF" w:rsidRDefault="00801222" w:rsidP="00801222">
      <w:pPr>
        <w:spacing w:after="0"/>
        <w:rPr>
          <w:rFonts w:ascii="Verdana" w:eastAsia="Calibri" w:hAnsi="Verdana" w:cs="Arial"/>
          <w:color w:val="ED7D31" w:themeColor="accent2"/>
          <w:lang w:val="es-MX" w:eastAsia="es-ES"/>
        </w:rPr>
      </w:pPr>
    </w:p>
    <w:p w14:paraId="5D7BB582" w14:textId="77777777" w:rsidR="00801222" w:rsidRPr="006733BD" w:rsidRDefault="00801222" w:rsidP="00801222">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01222" w:rsidRPr="006733BD" w14:paraId="3906B7DD" w14:textId="77777777" w:rsidTr="00442BC4">
        <w:trPr>
          <w:trHeight w:val="300"/>
        </w:trPr>
        <w:tc>
          <w:tcPr>
            <w:tcW w:w="2410" w:type="dxa"/>
          </w:tcPr>
          <w:p w14:paraId="6DEF12B1" w14:textId="77777777" w:rsidR="00801222" w:rsidRDefault="00801222" w:rsidP="00442BC4">
            <w:pPr>
              <w:ind w:left="-142"/>
              <w:jc w:val="both"/>
              <w:rPr>
                <w:rFonts w:ascii="Verdana" w:eastAsia="Calibri" w:hAnsi="Verdana" w:cs="Arial"/>
                <w:b/>
                <w:bCs/>
                <w:lang w:val="es-ES" w:eastAsia="es-ES_tradnl"/>
              </w:rPr>
            </w:pPr>
          </w:p>
          <w:p w14:paraId="07AD01AC" w14:textId="77777777" w:rsidR="00801222" w:rsidRPr="00A54BCB" w:rsidRDefault="00801222" w:rsidP="00442BC4">
            <w:pPr>
              <w:ind w:left="-142"/>
              <w:jc w:val="both"/>
              <w:rPr>
                <w:rFonts w:ascii="Verdana" w:eastAsia="Calibri" w:hAnsi="Verdana" w:cs="Arial"/>
                <w:b/>
                <w:bCs/>
                <w:lang w:val="es-ES" w:eastAsia="es-ES_tradnl"/>
              </w:rPr>
            </w:pPr>
          </w:p>
        </w:tc>
        <w:tc>
          <w:tcPr>
            <w:tcW w:w="6100" w:type="dxa"/>
          </w:tcPr>
          <w:p w14:paraId="1325D038" w14:textId="77777777" w:rsidR="00801222" w:rsidRPr="00A54BCB" w:rsidRDefault="00801222" w:rsidP="00442BC4">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415</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2CB1B8AE" w14:textId="77777777" w:rsidR="00801222" w:rsidRPr="00A54BCB" w:rsidRDefault="00801222" w:rsidP="00442BC4">
            <w:pPr>
              <w:ind w:left="3"/>
              <w:jc w:val="both"/>
              <w:rPr>
                <w:rFonts w:ascii="Verdana" w:eastAsia="Calibri" w:hAnsi="Verdana" w:cs="Arial"/>
                <w:b/>
                <w:bCs/>
                <w:lang w:val="es-ES" w:eastAsia="es-ES"/>
              </w:rPr>
            </w:pPr>
          </w:p>
        </w:tc>
      </w:tr>
      <w:tr w:rsidR="00801222" w:rsidRPr="006733BD" w14:paraId="39AF585E" w14:textId="77777777" w:rsidTr="00442BC4">
        <w:trPr>
          <w:trHeight w:val="300"/>
        </w:trPr>
        <w:tc>
          <w:tcPr>
            <w:tcW w:w="2410" w:type="dxa"/>
          </w:tcPr>
          <w:p w14:paraId="51C86C28" w14:textId="77777777" w:rsidR="00801222" w:rsidRPr="006733BD" w:rsidRDefault="00801222" w:rsidP="00442BC4">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10EA1054" w14:textId="77777777" w:rsidR="00801222" w:rsidRDefault="00801222" w:rsidP="00442BC4">
            <w:pPr>
              <w:tabs>
                <w:tab w:val="left" w:pos="3374"/>
              </w:tabs>
              <w:jc w:val="both"/>
              <w:rPr>
                <w:rFonts w:ascii="Verdana" w:eastAsia="Calibri" w:hAnsi="Verdana" w:cs="Arial"/>
                <w:bCs/>
                <w:lang w:val="es-ES" w:eastAsia="es-ES"/>
              </w:rPr>
            </w:pPr>
            <w:r w:rsidRPr="00972B2F">
              <w:rPr>
                <w:rFonts w:ascii="Verdana" w:eastAsia="Calibri" w:hAnsi="Verdana" w:cs="Arial"/>
                <w:bCs/>
                <w:lang w:val="es-ES" w:eastAsia="es-ES"/>
              </w:rPr>
              <w:t>CONTRATO ESTATAL – Ejercicio – Funciones de control y vigilancia / CONTRATO ESTATAL – Supervisión – Interventoría – características / INTERVENTORÍA – Obligatoriedad – Artículo 32.1 EGCAP – Artículo 83 Ley 1474 de 2011 – No excluyentes</w:t>
            </w:r>
          </w:p>
          <w:p w14:paraId="7E81192A" w14:textId="77777777" w:rsidR="00801222" w:rsidRPr="008F679F" w:rsidRDefault="00801222" w:rsidP="00442BC4">
            <w:pPr>
              <w:tabs>
                <w:tab w:val="left" w:pos="3374"/>
              </w:tabs>
              <w:jc w:val="both"/>
              <w:rPr>
                <w:rFonts w:ascii="Verdana" w:eastAsia="Calibri" w:hAnsi="Verdana" w:cs="Arial"/>
                <w:color w:val="ED7D31" w:themeColor="accent2"/>
                <w:lang w:val="es-ES"/>
              </w:rPr>
            </w:pPr>
            <w:r w:rsidRPr="00972B2F">
              <w:rPr>
                <w:rFonts w:ascii="Verdana" w:eastAsia="Calibri" w:hAnsi="Verdana" w:cs="Arial"/>
                <w:lang w:val="es-ES" w:eastAsia="es-ES"/>
              </w:rPr>
              <w:t xml:space="preserve">  </w:t>
            </w:r>
          </w:p>
        </w:tc>
      </w:tr>
      <w:tr w:rsidR="00801222" w:rsidRPr="00C5490E" w14:paraId="5982FD62" w14:textId="77777777" w:rsidTr="00442BC4">
        <w:tc>
          <w:tcPr>
            <w:tcW w:w="2410" w:type="dxa"/>
          </w:tcPr>
          <w:p w14:paraId="16DDEE96" w14:textId="77777777" w:rsidR="00801222" w:rsidRPr="006733BD" w:rsidRDefault="00801222" w:rsidP="00442BC4">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5B169B33" w14:textId="77777777" w:rsidR="00801222" w:rsidRPr="00972B2F" w:rsidRDefault="00801222" w:rsidP="00442BC4">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1_2026_03_13_003530</w:t>
            </w:r>
          </w:p>
          <w:p w14:paraId="0D4CE1E6" w14:textId="77777777" w:rsidR="00801222" w:rsidRPr="00C5490E" w:rsidRDefault="00801222" w:rsidP="00442BC4">
            <w:pPr>
              <w:ind w:left="3"/>
              <w:jc w:val="both"/>
              <w:rPr>
                <w:rFonts w:ascii="Verdana" w:hAnsi="Verdana"/>
                <w:lang w:val="es-ES"/>
              </w:rPr>
            </w:pPr>
          </w:p>
        </w:tc>
      </w:tr>
    </w:tbl>
    <w:p w14:paraId="113F87B9" w14:textId="77777777" w:rsidR="00801222" w:rsidRDefault="00801222" w:rsidP="00801222">
      <w:pPr>
        <w:spacing w:after="0" w:line="276" w:lineRule="auto"/>
        <w:jc w:val="both"/>
        <w:rPr>
          <w:rFonts w:ascii="Verdana" w:eastAsia="Calibri" w:hAnsi="Verdana" w:cs="Arial"/>
          <w:lang w:val="es-ES" w:eastAsia="es-ES"/>
        </w:rPr>
      </w:pPr>
    </w:p>
    <w:p w14:paraId="4D4685FE" w14:textId="77777777" w:rsidR="00801222" w:rsidRPr="00C5490E" w:rsidRDefault="00801222" w:rsidP="00801222">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258F4D8C" w14:textId="77777777" w:rsidR="00801222" w:rsidRPr="00C5490E" w:rsidRDefault="00801222" w:rsidP="00801222">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059EB966" w14:textId="77777777" w:rsidR="00801222" w:rsidRPr="00C5490E" w:rsidRDefault="00801222" w:rsidP="00801222">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13</w:t>
      </w:r>
      <w:r w:rsidRPr="00852F26">
        <w:rPr>
          <w:rFonts w:ascii="Verdana" w:eastAsia="Calibri" w:hAnsi="Verdana" w:cs="Arial"/>
          <w:lang w:val="es-ES" w:eastAsia="es-ES"/>
        </w:rPr>
        <w:t xml:space="preserve"> de </w:t>
      </w:r>
      <w:r>
        <w:rPr>
          <w:rFonts w:ascii="Verdana" w:eastAsia="Calibri" w:hAnsi="Verdana" w:cs="Arial"/>
          <w:lang w:val="es-ES" w:eastAsia="es-ES"/>
        </w:rPr>
        <w:t xml:space="preserve">marzo </w:t>
      </w:r>
      <w:r w:rsidRPr="00852F26">
        <w:rPr>
          <w:rFonts w:ascii="Verdana" w:eastAsia="Calibri" w:hAnsi="Verdana" w:cs="Arial"/>
          <w:lang w:val="es-ES" w:eastAsia="es-ES"/>
        </w:rPr>
        <w:t>de 2026, en la cual manifiesta lo siguiente:</w:t>
      </w:r>
    </w:p>
    <w:p w14:paraId="353B20BF" w14:textId="77777777" w:rsidR="00801222" w:rsidRDefault="00801222" w:rsidP="00801222">
      <w:pPr>
        <w:spacing w:before="120" w:after="120"/>
        <w:ind w:right="709"/>
        <w:contextualSpacing/>
        <w:jc w:val="both"/>
        <w:rPr>
          <w:rFonts w:ascii="Verdana" w:eastAsia="Century Gothic" w:hAnsi="Verdana" w:cs="Century Gothic"/>
          <w:i/>
          <w:iCs/>
          <w:sz w:val="20"/>
          <w:szCs w:val="20"/>
          <w:lang w:val="es-ES"/>
        </w:rPr>
      </w:pPr>
    </w:p>
    <w:p w14:paraId="38641D0C"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p>
    <w:p w14:paraId="73BB3125" w14:textId="77777777" w:rsidR="00801222" w:rsidRPr="00972B2F"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972B2F">
        <w:rPr>
          <w:rFonts w:ascii="Verdana" w:eastAsia="Century Gothic" w:hAnsi="Verdana" w:cs="Century Gothic"/>
          <w:i/>
          <w:iCs/>
          <w:sz w:val="20"/>
          <w:szCs w:val="20"/>
          <w:lang w:val="es-ES"/>
        </w:rPr>
        <w:t>Cordial Saludo,</w:t>
      </w:r>
    </w:p>
    <w:p w14:paraId="6F5945D6" w14:textId="77777777" w:rsidR="00801222" w:rsidRPr="00972B2F"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r w:rsidRPr="00972B2F">
        <w:rPr>
          <w:rFonts w:ascii="Verdana" w:eastAsia="Century Gothic" w:hAnsi="Verdana" w:cs="Century Gothic"/>
          <w:i/>
          <w:iCs/>
          <w:sz w:val="20"/>
          <w:szCs w:val="20"/>
          <w:lang w:val="es-ES"/>
        </w:rPr>
        <w:t>Cordial saludo;</w:t>
      </w:r>
    </w:p>
    <w:p w14:paraId="4ED90413"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r w:rsidRPr="00972B2F">
        <w:rPr>
          <w:rFonts w:ascii="Verdana" w:eastAsia="Century Gothic" w:hAnsi="Verdana" w:cs="Century Gothic"/>
          <w:i/>
          <w:iCs/>
          <w:sz w:val="20"/>
          <w:szCs w:val="20"/>
          <w:lang w:val="es-ES"/>
        </w:rPr>
        <w:t>Tengo la siguiente duda, en una entidad pública se realiza un contrato de</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obra y un contrato de interventoría para esa obra, mi duda es si la entidad</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está en la obligación de designar un supervisor al contrato de obra,</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teniendo en cuenta que, el contrato de interventoría es para ese contrato</w:t>
      </w:r>
      <w:r>
        <w:rPr>
          <w:rFonts w:ascii="Verdana" w:eastAsia="Century Gothic" w:hAnsi="Verdana" w:cs="Century Gothic"/>
          <w:i/>
          <w:iCs/>
          <w:sz w:val="20"/>
          <w:szCs w:val="20"/>
          <w:lang w:val="es-ES"/>
        </w:rPr>
        <w:t xml:space="preserve"> </w:t>
      </w:r>
      <w:r w:rsidRPr="00972B2F">
        <w:rPr>
          <w:rFonts w:ascii="Verdana" w:eastAsia="Century Gothic" w:hAnsi="Verdana" w:cs="Century Gothic"/>
          <w:i/>
          <w:iCs/>
          <w:sz w:val="20"/>
          <w:szCs w:val="20"/>
          <w:lang w:val="es-ES"/>
        </w:rPr>
        <w:t>de obra.:</w:t>
      </w:r>
      <w:r>
        <w:rPr>
          <w:rFonts w:ascii="Verdana" w:eastAsia="Century Gothic" w:hAnsi="Verdana" w:cs="Century Gothic"/>
          <w:i/>
          <w:iCs/>
          <w:sz w:val="20"/>
          <w:szCs w:val="20"/>
          <w:lang w:val="es-ES"/>
        </w:rPr>
        <w:t>”</w:t>
      </w:r>
    </w:p>
    <w:p w14:paraId="767E24F1"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p>
    <w:p w14:paraId="605C1BCC" w14:textId="77777777" w:rsidR="00801222" w:rsidRDefault="00801222" w:rsidP="00801222">
      <w:pPr>
        <w:spacing w:before="100" w:beforeAutospacing="1" w:after="100" w:afterAutospacing="1" w:line="240" w:lineRule="auto"/>
        <w:ind w:left="737" w:right="737"/>
        <w:contextualSpacing/>
        <w:jc w:val="both"/>
        <w:rPr>
          <w:rFonts w:ascii="Verdana" w:eastAsia="Century Gothic" w:hAnsi="Verdana" w:cs="Century Gothic"/>
          <w:i/>
          <w:iCs/>
          <w:sz w:val="20"/>
          <w:szCs w:val="20"/>
          <w:lang w:val="es-ES"/>
        </w:rPr>
      </w:pPr>
    </w:p>
    <w:p w14:paraId="48A350D4" w14:textId="77777777" w:rsidR="00801222" w:rsidRDefault="00801222" w:rsidP="00801222">
      <w:pPr>
        <w:spacing w:before="120" w:after="120"/>
        <w:ind w:right="709"/>
        <w:contextualSpacing/>
        <w:jc w:val="both"/>
        <w:rPr>
          <w:rFonts w:ascii="Verdana" w:eastAsia="Century Gothic" w:hAnsi="Verdana" w:cs="Century Gothic"/>
          <w:i/>
          <w:iCs/>
          <w:sz w:val="20"/>
          <w:szCs w:val="20"/>
          <w:lang w:val="es-ES"/>
        </w:rPr>
      </w:pPr>
    </w:p>
    <w:p w14:paraId="3C60A830" w14:textId="77777777" w:rsidR="00801222" w:rsidRDefault="00801222" w:rsidP="00801222">
      <w:pPr>
        <w:spacing w:before="120" w:after="120"/>
        <w:ind w:right="709"/>
        <w:contextualSpacing/>
        <w:jc w:val="both"/>
        <w:rPr>
          <w:rFonts w:ascii="Verdana" w:eastAsia="Century Gothic" w:hAnsi="Verdana" w:cs="Century Gothic"/>
          <w:i/>
          <w:iCs/>
          <w:sz w:val="20"/>
          <w:szCs w:val="20"/>
          <w:lang w:val="es-ES"/>
        </w:rPr>
      </w:pPr>
    </w:p>
    <w:p w14:paraId="0BE0FC38" w14:textId="77777777" w:rsidR="00801222" w:rsidRPr="00CD496A" w:rsidRDefault="00801222" w:rsidP="00801222">
      <w:pPr>
        <w:spacing w:before="120" w:after="120"/>
        <w:ind w:right="709"/>
        <w:contextualSpacing/>
        <w:jc w:val="both"/>
        <w:rPr>
          <w:rFonts w:ascii="Verdana" w:eastAsia="Century Gothic" w:hAnsi="Verdana" w:cs="Century Gothic"/>
          <w:i/>
          <w:iCs/>
          <w:sz w:val="20"/>
          <w:szCs w:val="20"/>
        </w:rPr>
      </w:pPr>
    </w:p>
    <w:p w14:paraId="5138A026" w14:textId="77777777" w:rsidR="00801222" w:rsidRPr="00CD496A" w:rsidRDefault="00801222" w:rsidP="00801222">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0464A74D" w14:textId="77777777" w:rsidR="00801222" w:rsidRPr="00CD496A" w:rsidRDefault="00801222" w:rsidP="00801222">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472F21E" w14:textId="77777777" w:rsidR="00801222" w:rsidRPr="00CD496A" w:rsidRDefault="00801222" w:rsidP="00801222">
      <w:pPr>
        <w:spacing w:after="0" w:line="276" w:lineRule="auto"/>
        <w:ind w:firstLine="709"/>
        <w:jc w:val="both"/>
        <w:rPr>
          <w:rFonts w:ascii="Verdana" w:eastAsia="Calibri" w:hAnsi="Verdana" w:cs="Arial"/>
          <w:lang w:val="es-ES" w:eastAsia="es-ES"/>
        </w:rPr>
      </w:pPr>
    </w:p>
    <w:p w14:paraId="68BF24C4" w14:textId="77777777" w:rsidR="00801222" w:rsidRPr="00CD496A" w:rsidRDefault="00801222" w:rsidP="00801222">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07F25211" w14:textId="77777777" w:rsidR="00801222" w:rsidRPr="006733BD" w:rsidRDefault="00801222" w:rsidP="00801222">
      <w:pPr>
        <w:tabs>
          <w:tab w:val="left" w:pos="426"/>
        </w:tabs>
        <w:spacing w:after="0" w:line="276" w:lineRule="auto"/>
        <w:jc w:val="both"/>
        <w:rPr>
          <w:rFonts w:ascii="Verdana" w:eastAsia="Century Gothic" w:hAnsi="Verdana" w:cs="Century Gothic"/>
          <w:color w:val="ED7D31" w:themeColor="accent2"/>
          <w:lang w:val="es-ES"/>
        </w:rPr>
      </w:pPr>
    </w:p>
    <w:p w14:paraId="76430800" w14:textId="77777777" w:rsidR="00801222" w:rsidRPr="00972B2F" w:rsidRDefault="00801222" w:rsidP="00801222">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w:t>
      </w:r>
      <w:r w:rsidRPr="00972B2F">
        <w:rPr>
          <w:rFonts w:ascii="Times New Roman" w:eastAsia="Times New Roman" w:hAnsi="Times New Roman" w:cs="Times New Roman"/>
          <w:sz w:val="24"/>
          <w:szCs w:val="24"/>
          <w:lang w:eastAsia="es-CO"/>
        </w:rPr>
        <w:t>Está</w:t>
      </w:r>
      <w:r w:rsidRPr="00972B2F">
        <w:rPr>
          <w:rFonts w:ascii="Verdana" w:eastAsia="Century Gothic" w:hAnsi="Verdana" w:cs="Century Gothic"/>
        </w:rPr>
        <w:t xml:space="preserve"> obligada una entidad estatal a designar un supervisor para un contrato de obra, cuando ha celebrado un contrato de interventoría cuyo objeto es realizar el seguimiento técnico, administrativo, financiero y jurídico de dicho contrato?</w:t>
      </w:r>
    </w:p>
    <w:p w14:paraId="0496E030" w14:textId="77777777" w:rsidR="00801222" w:rsidRPr="006733BD" w:rsidRDefault="00801222" w:rsidP="00801222">
      <w:pPr>
        <w:spacing w:after="0" w:line="276" w:lineRule="auto"/>
        <w:jc w:val="both"/>
        <w:rPr>
          <w:rFonts w:ascii="Verdana" w:eastAsia="Century Gothic" w:hAnsi="Verdana" w:cs="Century Gothic"/>
          <w:color w:val="ED7D31" w:themeColor="accent2"/>
        </w:rPr>
      </w:pPr>
    </w:p>
    <w:p w14:paraId="2B235267" w14:textId="77777777" w:rsidR="00801222" w:rsidRPr="006733BD" w:rsidRDefault="00801222" w:rsidP="00801222">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051CFF68" w14:textId="77777777" w:rsidR="00801222" w:rsidRPr="006733BD" w:rsidRDefault="00801222" w:rsidP="00801222">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1222" w:rsidRPr="006733BD" w14:paraId="5A6BFEE6" w14:textId="77777777" w:rsidTr="00442BC4">
        <w:tc>
          <w:tcPr>
            <w:tcW w:w="8828" w:type="dxa"/>
          </w:tcPr>
          <w:p w14:paraId="447EDEEB" w14:textId="77777777" w:rsidR="00801222" w:rsidRPr="00972B2F" w:rsidRDefault="00801222" w:rsidP="00442BC4">
            <w:pPr>
              <w:snapToGrid w:val="0"/>
              <w:spacing w:after="120" w:line="276" w:lineRule="auto"/>
              <w:jc w:val="both"/>
              <w:rPr>
                <w:rFonts w:ascii="Verdana" w:eastAsia="Calibri" w:hAnsi="Verdana" w:cs="Arial"/>
                <w:color w:val="000000"/>
                <w:lang w:eastAsia="es-ES" w:bidi="es-ES"/>
              </w:rPr>
            </w:pPr>
            <w:r w:rsidRPr="00CE01E2">
              <w:rPr>
                <w:rFonts w:ascii="Verdana" w:eastAsia="Calibri" w:hAnsi="Verdana" w:cs="Arial"/>
                <w:bCs/>
                <w:szCs w:val="24"/>
                <w:lang w:eastAsia="es-ES_tradnl"/>
              </w:rPr>
              <w:t>Para dar respuesta al problema jurídico planteado, resulta pertinente señalar</w:t>
            </w:r>
            <w:r w:rsidRPr="00551BFA">
              <w:rPr>
                <w:rFonts w:ascii="Verdana" w:hAnsi="Verdana" w:cs="Arial"/>
                <w:color w:val="000000" w:themeColor="text1"/>
                <w:lang w:val="es-ES"/>
              </w:rPr>
              <w:t xml:space="preserve"> </w:t>
            </w:r>
            <w:r>
              <w:rPr>
                <w:rFonts w:ascii="Verdana" w:hAnsi="Verdana" w:cs="Arial"/>
                <w:color w:val="000000" w:themeColor="text1"/>
                <w:lang w:val="es-ES"/>
              </w:rPr>
              <w:t>que e</w:t>
            </w:r>
            <w:r w:rsidRPr="00972B2F">
              <w:rPr>
                <w:rFonts w:ascii="Verdana" w:eastAsia="Calibri" w:hAnsi="Verdana" w:cs="Arial"/>
                <w:color w:val="000000"/>
                <w:lang w:eastAsia="es-ES" w:bidi="es-ES"/>
              </w:rPr>
              <w:t xml:space="preserve">n el marco de los contratos sometidos al Estatuto General de Contratación de la Administración Pública –EGCAP–, la obligación de contratar interventoría encuentra respaldo en los supuestos normativos previstos tanto </w:t>
            </w:r>
            <w:r w:rsidRPr="00972B2F">
              <w:rPr>
                <w:rFonts w:ascii="Verdana" w:eastAsia="Calibri" w:hAnsi="Verdana" w:cs="Arial"/>
                <w:color w:val="000000"/>
                <w:lang w:eastAsia="es-ES" w:bidi="es-ES"/>
              </w:rPr>
              <w:lastRenderedPageBreak/>
              <w:t>en el inciso segundo del numeral 32.1 del artículo 32 de la Ley 80 de 1993, como en</w:t>
            </w:r>
            <w:r>
              <w:rPr>
                <w:rFonts w:ascii="Verdana" w:eastAsia="Calibri" w:hAnsi="Verdana" w:cs="Arial"/>
                <w:color w:val="000000"/>
                <w:lang w:eastAsia="es-ES" w:bidi="es-ES"/>
              </w:rPr>
              <w:t xml:space="preserve"> el </w:t>
            </w:r>
            <w:r w:rsidRPr="00972B2F">
              <w:rPr>
                <w:rFonts w:ascii="Verdana" w:eastAsia="Calibri" w:hAnsi="Verdana" w:cs="Arial"/>
                <w:color w:val="000000"/>
                <w:lang w:eastAsia="es-ES" w:bidi="es-ES"/>
              </w:rPr>
              <w:t>inciso tercero del artículo 83 de la Ley 1474 de 2011. Estas disposiciones no deben entenderse como excluyentes entre sí, sino como complementarias, en tanto regulan distintos escenarios que exigen la implementación de mecanismos técnicos de vigilancia y control sobre la ejecución de los contratos de obra.</w:t>
            </w:r>
          </w:p>
          <w:p w14:paraId="523AC8AB" w14:textId="77777777" w:rsidR="00801222" w:rsidRPr="00972B2F" w:rsidRDefault="00801222" w:rsidP="00442BC4">
            <w:pPr>
              <w:snapToGrid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En ese sentido, la exigencia de interventoría no está condicionada exclusivamente a que el contrato requiera conocimientos técnicos especializados o a que su complejidad o extensión así lo ameriten. Si bien tales criterios constituyen una base para determinar su obligatoriedad según el artículo 83 de la Ley 1474 de 2011, también opera la exigencia prevista en el artículo 32.1 de la Ley 80 de 1993, conforme con la cual, en los contratos de obra celebrados como resultado de un proceso de licitación pública, la interventoría deberá ser contratada con una persona independiente de la entidad contratante y del contratista, quien responderá por los hechos y omisiones que le sean imputables.</w:t>
            </w:r>
          </w:p>
          <w:p w14:paraId="34312628" w14:textId="77777777" w:rsidR="00801222" w:rsidRPr="00972B2F" w:rsidRDefault="00801222" w:rsidP="00442BC4">
            <w:pPr>
              <w:pStyle w:val="Textoindependiente"/>
              <w:tabs>
                <w:tab w:val="left" w:pos="6225"/>
              </w:tabs>
              <w:spacing w:line="276" w:lineRule="auto"/>
              <w:ind w:firstLine="709"/>
              <w:jc w:val="both"/>
              <w:rPr>
                <w:rFonts w:ascii="Verdana" w:hAnsi="Verdana" w:cs="Arial"/>
                <w:color w:val="000000" w:themeColor="text1"/>
                <w:lang w:val="es-ES"/>
              </w:rPr>
            </w:pPr>
            <w:r w:rsidRPr="00972B2F">
              <w:rPr>
                <w:rFonts w:ascii="Verdana" w:eastAsia="Calibri" w:hAnsi="Verdana" w:cs="Arial"/>
                <w:color w:val="000000"/>
                <w:lang w:eastAsia="es-ES" w:bidi="es-ES"/>
              </w:rPr>
              <w:t>Así, por ejemplo, podría configurarse un escenario en el cual, a pesar de que la ejecución del contrato de obra no requiera conocimientos especializados ni revista alta complejidad o extensión, el solo hecho de haberse adjudicado mediante la modalidad de licitación pública activa la obligación legal de contratar interventoría conforme a la Ley 80 de 1993. En consecuencia, en estos casos no resulta jurídicamente procedente que la entidad estatal prescinda de la interventoría y opte únicamente por el mecanismo de supervisión, ya que la norma establece un mandato imperativo para garantizar una adecuada vigilancia técnica, administrativa, financiera, contable y jurídica del contrato.</w:t>
            </w:r>
          </w:p>
          <w:p w14:paraId="5C91A4CC" w14:textId="77777777" w:rsidR="00801222" w:rsidRPr="001669C8" w:rsidRDefault="00801222" w:rsidP="00442BC4">
            <w:pPr>
              <w:pStyle w:val="Textoindependiente"/>
              <w:tabs>
                <w:tab w:val="left" w:pos="6225"/>
              </w:tabs>
              <w:spacing w:line="276" w:lineRule="auto"/>
              <w:ind w:firstLine="709"/>
              <w:jc w:val="both"/>
              <w:rPr>
                <w:rFonts w:ascii="Verdana" w:eastAsia="Calibri" w:hAnsi="Verdana" w:cs="Arial"/>
                <w:bCs/>
                <w:szCs w:val="24"/>
                <w:lang w:eastAsia="es-ES_tradnl"/>
              </w:rPr>
            </w:pPr>
          </w:p>
        </w:tc>
      </w:tr>
    </w:tbl>
    <w:p w14:paraId="7C1EA0C2" w14:textId="77777777" w:rsidR="00801222" w:rsidRPr="00416686" w:rsidRDefault="00801222" w:rsidP="00801222">
      <w:pPr>
        <w:tabs>
          <w:tab w:val="left" w:pos="142"/>
          <w:tab w:val="left" w:pos="284"/>
        </w:tabs>
        <w:spacing w:after="0" w:line="276" w:lineRule="auto"/>
        <w:jc w:val="both"/>
        <w:rPr>
          <w:rFonts w:ascii="Verdana" w:eastAsia="Century Gothic" w:hAnsi="Verdana" w:cs="Century Gothic"/>
          <w:b/>
          <w:bCs/>
        </w:rPr>
      </w:pPr>
    </w:p>
    <w:p w14:paraId="3E0A1F33" w14:textId="77777777" w:rsidR="00801222" w:rsidRDefault="00801222" w:rsidP="00801222">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255BB096" w14:textId="77777777" w:rsidR="00801222" w:rsidRPr="00972B2F" w:rsidRDefault="00801222" w:rsidP="00801222">
      <w:pPr>
        <w:spacing w:after="0" w:line="276" w:lineRule="auto"/>
        <w:jc w:val="both"/>
        <w:rPr>
          <w:rFonts w:ascii="Verdana" w:eastAsia="Calibri" w:hAnsi="Verdana" w:cs="Arial"/>
          <w:lang w:val="es-ES"/>
        </w:rPr>
      </w:pPr>
      <w:bookmarkStart w:id="1" w:name="_Hlk102983874"/>
      <w:bookmarkStart w:id="2" w:name="_Hlk102388095"/>
    </w:p>
    <w:p w14:paraId="499221CA" w14:textId="77777777" w:rsidR="00801222" w:rsidRPr="00972B2F" w:rsidRDefault="00801222" w:rsidP="00801222">
      <w:pPr>
        <w:spacing w:after="120" w:line="276" w:lineRule="auto"/>
        <w:jc w:val="both"/>
        <w:rPr>
          <w:rFonts w:ascii="Verdana" w:eastAsia="Calibri" w:hAnsi="Verdana" w:cs="Arial"/>
          <w:color w:val="000000"/>
          <w:lang w:val="es-ES"/>
        </w:rPr>
      </w:pPr>
      <w:r w:rsidRPr="00972B2F">
        <w:rPr>
          <w:rFonts w:ascii="Verdana" w:eastAsia="Calibri" w:hAnsi="Verdana" w:cs="Arial"/>
          <w:color w:val="000000"/>
          <w:lang w:val="es-ES"/>
        </w:rPr>
        <w:t xml:space="preserve">i. A través de la actividad contractual, el Estado adquiere bienes, obras y servicios para cumplir los fines que le impone el ordenamiento jurídico, garantizando así la continuidad y eficiente prestación de los servicios públicos y la efectividad de los derechos e intereses de los administrados. Para la garantía de los fines de interés general, involucrados en la contratación de las entidades </w:t>
      </w:r>
      <w:r w:rsidRPr="00972B2F">
        <w:rPr>
          <w:rFonts w:ascii="Verdana" w:eastAsia="Calibri" w:hAnsi="Verdana" w:cs="Arial"/>
          <w:color w:val="000000"/>
          <w:lang w:val="es-ES"/>
        </w:rPr>
        <w:lastRenderedPageBreak/>
        <w:t>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06271E2C" w14:textId="77777777" w:rsidR="00801222" w:rsidRPr="00972B2F" w:rsidRDefault="00801222" w:rsidP="00801222">
      <w:pPr>
        <w:spacing w:after="120" w:line="276" w:lineRule="auto"/>
        <w:ind w:firstLine="708"/>
        <w:jc w:val="both"/>
        <w:rPr>
          <w:rFonts w:ascii="Verdana" w:eastAsia="Calibri" w:hAnsi="Verdana" w:cs="Arial"/>
          <w:color w:val="000000"/>
          <w:lang w:val="es-ES"/>
        </w:rPr>
      </w:pPr>
      <w:r w:rsidRPr="00972B2F">
        <w:rPr>
          <w:rFonts w:ascii="Verdana" w:eastAsia="Calibri" w:hAnsi="Verdana" w:cs="Arial"/>
          <w:color w:val="000000"/>
          <w:lang w:val="es-ES"/>
        </w:rPr>
        <w:t xml:space="preserve">El seguimiento de la ejecución del contrato para su dirección, control y vigilancia de su correcto cumplimiento es un deber legal que permite a las entidades estatales tomar medidas orientadas a la satisfacción de los fines de la contratación. Entre esas medidas se destacan la posibilidad de pactar y ejercer las cláusulas exorbitantes ─en algunos supuestos─, la designación de una supervisión o la contratación de una interventoría para vigilar la ejecución del contrato y la facultad de pactar e imponer multas, la cláusula penal o hacer efectivas las garantías del contrato, previa declaratoria de incumplimiento de las obligaciones. </w:t>
      </w:r>
      <w:r w:rsidRPr="00972B2F">
        <w:rPr>
          <w:rFonts w:ascii="Verdana" w:eastAsia="Calibri" w:hAnsi="Verdana" w:cs="Arial"/>
          <w:color w:val="000000"/>
        </w:rPr>
        <w:t>Lo anterior, con miras a garantizar que los bienes, obras o servicios contratados respondan eficazmente a los fines misionales de la entidad y a los requerimientos de interés general que justifican la contratación</w:t>
      </w:r>
      <w:r w:rsidRPr="00972B2F">
        <w:rPr>
          <w:rFonts w:ascii="Verdana" w:eastAsia="Calibri" w:hAnsi="Verdana" w:cs="Arial"/>
          <w:color w:val="000000"/>
          <w:lang w:val="es-ES"/>
        </w:rPr>
        <w:t xml:space="preserve">. </w:t>
      </w:r>
    </w:p>
    <w:p w14:paraId="25BD4505" w14:textId="77777777" w:rsidR="00801222" w:rsidRPr="00972B2F" w:rsidRDefault="00801222" w:rsidP="00801222">
      <w:pPr>
        <w:spacing w:after="120" w:line="276" w:lineRule="auto"/>
        <w:ind w:firstLine="708"/>
        <w:jc w:val="both"/>
        <w:rPr>
          <w:rFonts w:ascii="Verdana" w:eastAsia="Calibri" w:hAnsi="Verdana" w:cs="Arial"/>
          <w:color w:val="000000"/>
          <w:lang w:val="es-ES"/>
        </w:rPr>
      </w:pPr>
      <w:r w:rsidRPr="00972B2F">
        <w:rPr>
          <w:rFonts w:ascii="Verdana" w:eastAsia="Calibri" w:hAnsi="Verdana" w:cs="Arial"/>
          <w:color w:val="000000"/>
          <w:lang w:val="es-ES"/>
        </w:rPr>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690D8BC8" w14:textId="77777777" w:rsidR="00801222" w:rsidRPr="00972B2F" w:rsidRDefault="00801222" w:rsidP="00801222">
      <w:pPr>
        <w:spacing w:after="120" w:line="276" w:lineRule="auto"/>
        <w:ind w:firstLine="708"/>
        <w:jc w:val="both"/>
        <w:rPr>
          <w:rFonts w:ascii="Verdana" w:eastAsia="Calibri" w:hAnsi="Verdana" w:cs="Arial"/>
        </w:rPr>
      </w:pPr>
      <w:r w:rsidRPr="00972B2F">
        <w:rPr>
          <w:rFonts w:ascii="Verdana" w:eastAsia="Calibri" w:hAnsi="Verdana" w:cs="Arial"/>
        </w:rPr>
        <w:t xml:space="preserve">Al respecto, es oportuno citar la Sentencia de 27 de noviembre de 2017 del Consejo de Estado, en la cual se hizo énfasis en que “La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w:t>
      </w:r>
      <w:r w:rsidRPr="00972B2F">
        <w:rPr>
          <w:rFonts w:ascii="Verdana" w:eastAsia="Calibri" w:hAnsi="Verdana" w:cs="Arial"/>
        </w:rPr>
        <w:lastRenderedPageBreak/>
        <w:t>de las necesidades que la administración buscaba alcanzar con la celebración del respectivo contrato”</w:t>
      </w:r>
      <w:r w:rsidRPr="00972B2F">
        <w:rPr>
          <w:rFonts w:ascii="Verdana" w:eastAsia="Calibri" w:hAnsi="Verdana" w:cs="Arial"/>
          <w:vertAlign w:val="superscript"/>
        </w:rPr>
        <w:footnoteReference w:id="1"/>
      </w:r>
      <w:r w:rsidRPr="00972B2F">
        <w:rPr>
          <w:rFonts w:ascii="Verdana" w:eastAsia="Calibri" w:hAnsi="Verdana" w:cs="Arial"/>
        </w:rPr>
        <w:t>.</w:t>
      </w:r>
    </w:p>
    <w:p w14:paraId="47B875FC" w14:textId="77777777" w:rsidR="00801222" w:rsidRPr="00972B2F" w:rsidRDefault="00801222" w:rsidP="00801222">
      <w:pPr>
        <w:spacing w:after="120" w:line="276" w:lineRule="auto"/>
        <w:ind w:firstLine="708"/>
        <w:jc w:val="both"/>
        <w:rPr>
          <w:rFonts w:ascii="Verdana" w:eastAsia="Times New Roman" w:hAnsi="Verdana" w:cs="Arial"/>
          <w:lang w:val="es-ES" w:eastAsia="es-MX"/>
        </w:rPr>
      </w:pPr>
      <w:r w:rsidRPr="00972B2F">
        <w:rPr>
          <w:rFonts w:ascii="Verdana" w:eastAsia="Times New Roman" w:hAnsi="Verdana" w:cs="Arial"/>
          <w:lang w:val="es-ES" w:eastAsia="es-MX"/>
        </w:rPr>
        <w:t>De igual forma,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972B2F">
        <w:rPr>
          <w:rFonts w:ascii="Verdana" w:eastAsia="Times New Roman" w:hAnsi="Verdana" w:cs="Arial"/>
          <w:vertAlign w:val="superscript"/>
          <w:lang w:val="es-ES" w:eastAsia="es-MX"/>
        </w:rPr>
        <w:footnoteReference w:id="2"/>
      </w:r>
      <w:r w:rsidRPr="00972B2F">
        <w:rPr>
          <w:rFonts w:ascii="Verdana" w:eastAsia="Times New Roman" w:hAnsi="Verdana" w:cs="Arial"/>
          <w:lang w:val="es-ES" w:eastAsia="es-MX"/>
        </w:rPr>
        <w:t>. Adicionalmente, se establecen los límites de la responsabilidad del representante legal ante la delegación de sus funciones en materia contractual</w:t>
      </w:r>
      <w:r w:rsidRPr="00972B2F">
        <w:rPr>
          <w:rFonts w:ascii="Verdana" w:eastAsia="Times New Roman" w:hAnsi="Verdana" w:cs="Arial"/>
          <w:vertAlign w:val="superscript"/>
          <w:lang w:val="es-ES" w:eastAsia="es-MX"/>
        </w:rPr>
        <w:footnoteReference w:id="3"/>
      </w:r>
      <w:r w:rsidRPr="00972B2F">
        <w:rPr>
          <w:rFonts w:ascii="Verdana" w:eastAsia="Times New Roman" w:hAnsi="Verdana" w:cs="Arial"/>
          <w:lang w:val="es-ES" w:eastAsia="es-MX"/>
        </w:rPr>
        <w:t xml:space="preserve"> y se regula la supervisión y la interventoría de los contratos estatales</w:t>
      </w:r>
      <w:r w:rsidRPr="00972B2F">
        <w:rPr>
          <w:rFonts w:ascii="Verdana" w:eastAsia="Times New Roman" w:hAnsi="Verdana" w:cs="Arial"/>
          <w:vertAlign w:val="superscript"/>
          <w:lang w:val="es-ES" w:eastAsia="es-MX"/>
        </w:rPr>
        <w:footnoteReference w:id="4"/>
      </w:r>
      <w:r w:rsidRPr="00972B2F">
        <w:rPr>
          <w:rFonts w:ascii="Verdana" w:eastAsia="Times New Roman" w:hAnsi="Verdana" w:cs="Arial"/>
          <w:lang w:val="es-ES" w:eastAsia="es-MX"/>
        </w:rPr>
        <w:t xml:space="preserve">. </w:t>
      </w:r>
    </w:p>
    <w:p w14:paraId="0A9327D5" w14:textId="77777777" w:rsidR="00801222" w:rsidRPr="00972B2F" w:rsidRDefault="00801222" w:rsidP="00801222">
      <w:pPr>
        <w:spacing w:after="120" w:line="276" w:lineRule="auto"/>
        <w:ind w:firstLine="708"/>
        <w:jc w:val="both"/>
        <w:rPr>
          <w:rFonts w:ascii="Verdana" w:eastAsia="Times New Roman" w:hAnsi="Verdana" w:cs="Arial"/>
          <w:lang w:val="es-MX" w:eastAsia="es-MX"/>
        </w:rPr>
      </w:pPr>
      <w:r w:rsidRPr="00972B2F">
        <w:rPr>
          <w:rFonts w:ascii="Verdana" w:eastAsia="Calibri" w:hAnsi="Verdana" w:cs="Arial"/>
        </w:rPr>
        <w:t xml:space="preserve">En el ordenamiento jurídico colombiano, </w:t>
      </w:r>
      <w:bookmarkStart w:id="3" w:name="_Hlk111131416"/>
      <w:r w:rsidRPr="00972B2F">
        <w:rPr>
          <w:rFonts w:ascii="Verdana" w:eastAsia="Calibri" w:hAnsi="Verdana" w:cs="Arial"/>
        </w:rPr>
        <w:t xml:space="preserve">la tarea de fiscalización de los negocios jurídicos del Estado quedaba comprendida en su totalidad bajo la figura de la interventoría. Sin embargo, la </w:t>
      </w:r>
      <w:hyperlink r:id="rId11" w:history="1">
        <w:r w:rsidRPr="00972B2F">
          <w:rPr>
            <w:rFonts w:ascii="Verdana" w:eastAsia="Calibri" w:hAnsi="Verdana" w:cs="Arial"/>
          </w:rPr>
          <w:t>Ley 1474 de 2011</w:t>
        </w:r>
      </w:hyperlink>
      <w:r w:rsidRPr="00972B2F">
        <w:rPr>
          <w:rFonts w:ascii="Verdana" w:eastAsia="Calibri" w:hAnsi="Verdana" w:cs="Arial"/>
        </w:rPr>
        <w:t xml:space="preserve"> introdujo la categoría de supervisión. En todo caso, materialmente las labores que corresponde desempeñar a los interventores y a los supervisores es </w:t>
      </w:r>
      <w:r w:rsidRPr="00972B2F">
        <w:rPr>
          <w:rFonts w:ascii="Verdana" w:eastAsia="Calibri" w:hAnsi="Verdana" w:cs="Arial"/>
          <w:i/>
          <w:iCs/>
        </w:rPr>
        <w:t>mutatis mutandis</w:t>
      </w:r>
      <w:r w:rsidRPr="00972B2F">
        <w:rPr>
          <w:rFonts w:ascii="Verdana" w:eastAsia="Calibri" w:hAnsi="Verdana" w:cs="Arial"/>
        </w:rPr>
        <w:t xml:space="preserve"> similar, pues en uno y otro evento se trata de una vigilancia con la finalidad de garantizar el cumplimiento del negocio jurídico estatal.</w:t>
      </w:r>
      <w:bookmarkEnd w:id="3"/>
    </w:p>
    <w:p w14:paraId="4A6BBD57" w14:textId="77777777" w:rsidR="00801222" w:rsidRPr="00972B2F" w:rsidRDefault="00801222" w:rsidP="00801222">
      <w:pPr>
        <w:spacing w:after="0" w:line="276" w:lineRule="auto"/>
        <w:ind w:firstLine="708"/>
        <w:jc w:val="both"/>
        <w:rPr>
          <w:rFonts w:ascii="Verdana" w:eastAsia="Times New Roman" w:hAnsi="Verdana" w:cs="Arial"/>
          <w:lang w:val="es-ES" w:eastAsia="es-MX"/>
        </w:rPr>
      </w:pPr>
      <w:r w:rsidRPr="00972B2F">
        <w:rPr>
          <w:rFonts w:ascii="Verdana" w:eastAsia="Times New Roman" w:hAnsi="Verdana" w:cs="Arial"/>
          <w:lang w:val="es-ES" w:eastAsia="es-MX"/>
        </w:rPr>
        <w:t xml:space="preserve">Por ejemplo,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224B9DD4" w14:textId="77777777" w:rsidR="00801222" w:rsidRPr="00972B2F" w:rsidRDefault="00801222" w:rsidP="00801222">
      <w:pPr>
        <w:spacing w:after="0" w:line="276" w:lineRule="auto"/>
        <w:ind w:left="720"/>
        <w:contextualSpacing/>
        <w:jc w:val="both"/>
        <w:textAlignment w:val="baseline"/>
        <w:rPr>
          <w:rFonts w:ascii="Verdana" w:eastAsia="Times New Roman" w:hAnsi="Verdana" w:cs="Arial"/>
          <w:sz w:val="20"/>
          <w:szCs w:val="20"/>
          <w:lang w:val="es-ES_tradnl" w:eastAsia="es-MX"/>
        </w:rPr>
      </w:pPr>
    </w:p>
    <w:p w14:paraId="49F2A515" w14:textId="77777777" w:rsidR="00801222" w:rsidRPr="00972B2F" w:rsidRDefault="00801222" w:rsidP="00801222">
      <w:pPr>
        <w:spacing w:after="0" w:line="240" w:lineRule="auto"/>
        <w:ind w:left="709" w:right="709"/>
        <w:jc w:val="both"/>
        <w:textAlignment w:val="baseline"/>
        <w:rPr>
          <w:rFonts w:ascii="Verdana" w:eastAsia="Times New Roman" w:hAnsi="Verdana" w:cs="Arial"/>
          <w:sz w:val="20"/>
          <w:szCs w:val="20"/>
          <w:lang w:val="es-ES" w:eastAsia="es-MX"/>
        </w:rPr>
      </w:pPr>
      <w:r w:rsidRPr="00972B2F">
        <w:rPr>
          <w:rFonts w:ascii="Verdana" w:eastAsia="Times New Roman" w:hAnsi="Verdana" w:cs="Arial"/>
          <w:sz w:val="20"/>
          <w:szCs w:val="20"/>
          <w:lang w:val="es-ES" w:eastAsia="es-MX"/>
        </w:rPr>
        <w:lastRenderedPageBreak/>
        <w:t xml:space="preserve">“La supervisión consistirá en el seguimiento técnico, administrativo, financiero, contable, y jurídico </w:t>
      </w:r>
      <w:proofErr w:type="gramStart"/>
      <w:r w:rsidRPr="00972B2F">
        <w:rPr>
          <w:rFonts w:ascii="Verdana" w:eastAsia="Times New Roman" w:hAnsi="Verdana" w:cs="Arial"/>
          <w:sz w:val="20"/>
          <w:szCs w:val="20"/>
          <w:lang w:val="es-ES" w:eastAsia="es-MX"/>
        </w:rPr>
        <w:t>que</w:t>
      </w:r>
      <w:proofErr w:type="gramEnd"/>
      <w:r w:rsidRPr="00972B2F">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7CB3F303" w14:textId="77777777" w:rsidR="00801222" w:rsidRPr="00972B2F" w:rsidRDefault="00801222" w:rsidP="00801222">
      <w:pPr>
        <w:spacing w:before="120" w:after="0" w:line="240" w:lineRule="auto"/>
        <w:ind w:left="709" w:right="709"/>
        <w:jc w:val="both"/>
        <w:textAlignment w:val="baseline"/>
        <w:rPr>
          <w:rFonts w:ascii="Verdana" w:eastAsia="Times New Roman" w:hAnsi="Verdana" w:cs="Arial"/>
          <w:sz w:val="21"/>
          <w:szCs w:val="21"/>
          <w:lang w:val="es-ES" w:eastAsia="es-MX"/>
        </w:rPr>
      </w:pPr>
      <w:r w:rsidRPr="00972B2F">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972B2F">
        <w:rPr>
          <w:rFonts w:ascii="Verdana" w:eastAsia="Times New Roman" w:hAnsi="Verdana" w:cs="Arial"/>
          <w:sz w:val="20"/>
          <w:szCs w:val="20"/>
          <w:lang w:val="es-ES" w:eastAsia="es-MX"/>
        </w:rPr>
        <w:t>del mismo</w:t>
      </w:r>
      <w:proofErr w:type="gramEnd"/>
      <w:r w:rsidRPr="00972B2F">
        <w:rPr>
          <w:rFonts w:ascii="Verdana" w:eastAsia="Times New Roman" w:hAnsi="Verdana" w:cs="Arial"/>
          <w:sz w:val="20"/>
          <w:szCs w:val="20"/>
          <w:lang w:val="es-ES" w:eastAsia="es-MX"/>
        </w:rPr>
        <w:t xml:space="preserve"> lo justifiquen. No obstante, lo anterior cuando la entidad lo encuentre justificado y acorde a la</w:t>
      </w:r>
      <w:r w:rsidRPr="00972B2F">
        <w:rPr>
          <w:rFonts w:ascii="Verdana" w:eastAsia="Times New Roman" w:hAnsi="Verdana" w:cs="Arial"/>
          <w:sz w:val="21"/>
          <w:szCs w:val="21"/>
          <w:lang w:val="es-ES" w:eastAsia="es-MX"/>
        </w:rPr>
        <w:t xml:space="preserve"> </w:t>
      </w:r>
      <w:r w:rsidRPr="00972B2F">
        <w:rPr>
          <w:rFonts w:ascii="Verdana" w:eastAsia="Times New Roman" w:hAnsi="Verdana" w:cs="Arial"/>
          <w:sz w:val="20"/>
          <w:szCs w:val="20"/>
          <w:lang w:val="es-ES" w:eastAsia="es-MX"/>
        </w:rPr>
        <w:t>naturaleza del contrato principal, podrá contratar el seguimiento administrativo, técnico, financiero, contable, jurídico del objeto o contrato dentro de la interventoría”</w:t>
      </w:r>
      <w:r w:rsidRPr="00972B2F">
        <w:rPr>
          <w:rFonts w:ascii="Verdana" w:eastAsia="Times New Roman" w:hAnsi="Verdana" w:cs="Arial"/>
          <w:sz w:val="20"/>
          <w:szCs w:val="20"/>
          <w:vertAlign w:val="superscript"/>
          <w:lang w:val="es-ES" w:eastAsia="es-MX"/>
        </w:rPr>
        <w:footnoteReference w:id="5"/>
      </w:r>
      <w:r w:rsidRPr="00972B2F">
        <w:rPr>
          <w:rFonts w:ascii="Verdana" w:eastAsia="Times New Roman" w:hAnsi="Verdana" w:cs="Arial"/>
          <w:sz w:val="20"/>
          <w:szCs w:val="20"/>
          <w:lang w:val="es-ES" w:eastAsia="es-MX"/>
        </w:rPr>
        <w:t>.</w:t>
      </w:r>
    </w:p>
    <w:p w14:paraId="1E7EB8DF" w14:textId="77777777" w:rsidR="00801222" w:rsidRPr="00972B2F" w:rsidRDefault="00801222" w:rsidP="00801222">
      <w:pPr>
        <w:spacing w:after="0" w:line="276" w:lineRule="auto"/>
        <w:ind w:left="720"/>
        <w:contextualSpacing/>
        <w:jc w:val="both"/>
        <w:textAlignment w:val="baseline"/>
        <w:rPr>
          <w:rFonts w:ascii="Verdana" w:eastAsia="Times New Roman" w:hAnsi="Verdana" w:cs="Arial"/>
          <w:lang w:val="es-ES" w:eastAsia="es-MX"/>
        </w:rPr>
      </w:pPr>
    </w:p>
    <w:p w14:paraId="7E87035F" w14:textId="77777777" w:rsidR="00801222" w:rsidRPr="00972B2F" w:rsidRDefault="00801222" w:rsidP="00801222">
      <w:pPr>
        <w:spacing w:after="120" w:line="276" w:lineRule="auto"/>
        <w:ind w:firstLine="709"/>
        <w:jc w:val="both"/>
        <w:rPr>
          <w:rFonts w:ascii="Verdana" w:eastAsia="Times New Roman" w:hAnsi="Verdana" w:cs="Arial"/>
          <w:shd w:val="clear" w:color="auto" w:fill="FFFFFF"/>
          <w:lang w:val="es-ES"/>
        </w:rPr>
      </w:pPr>
      <w:r w:rsidRPr="00972B2F">
        <w:rPr>
          <w:rFonts w:ascii="Verdana" w:eastAsia="Times New Roman" w:hAnsi="Verdana" w:cs="Arial"/>
          <w:bCs/>
          <w:lang w:val="es-ES"/>
        </w:rPr>
        <w:t>Con todo,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972B2F">
        <w:rPr>
          <w:rFonts w:ascii="Verdana" w:eastAsia="Times New Roman" w:hAnsi="Verdana" w:cs="Arial"/>
          <w:bCs/>
          <w:vertAlign w:val="superscript"/>
          <w:lang w:val="es-ES"/>
        </w:rPr>
        <w:footnoteReference w:id="6"/>
      </w:r>
      <w:r w:rsidRPr="00972B2F">
        <w:rPr>
          <w:rFonts w:ascii="Verdana" w:eastAsia="Times New Roman" w:hAnsi="Verdana" w:cs="Arial"/>
          <w:bCs/>
          <w:lang w:val="es-ES"/>
        </w:rPr>
        <w:t xml:space="preserve">–; </w:t>
      </w:r>
      <w:proofErr w:type="spellStart"/>
      <w:r w:rsidRPr="00972B2F">
        <w:rPr>
          <w:rFonts w:ascii="Verdana" w:eastAsia="Times New Roman" w:hAnsi="Verdana" w:cs="Arial"/>
          <w:bCs/>
          <w:lang w:val="es-ES"/>
        </w:rPr>
        <w:t>ii</w:t>
      </w:r>
      <w:proofErr w:type="spellEnd"/>
      <w:r w:rsidRPr="00972B2F">
        <w:rPr>
          <w:rFonts w:ascii="Verdana" w:eastAsia="Times New Roman" w:hAnsi="Verdana" w:cs="Arial"/>
          <w:bCs/>
          <w:lang w:val="es-ES"/>
        </w:rPr>
        <w:t xml:space="preserve">) no requiere conocimientos tan especializados como la interventoría; </w:t>
      </w:r>
      <w:proofErr w:type="spellStart"/>
      <w:r w:rsidRPr="00972B2F">
        <w:rPr>
          <w:rFonts w:ascii="Verdana" w:eastAsia="Times New Roman" w:hAnsi="Verdana" w:cs="Arial"/>
          <w:bCs/>
          <w:lang w:val="es-ES"/>
        </w:rPr>
        <w:t>iii</w:t>
      </w:r>
      <w:proofErr w:type="spellEnd"/>
      <w:r w:rsidRPr="00972B2F">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972B2F">
        <w:rPr>
          <w:rFonts w:ascii="Verdana" w:eastAsia="Times New Roman" w:hAnsi="Verdana" w:cs="Arial"/>
          <w:bCs/>
          <w:lang w:val="es-ES"/>
        </w:rPr>
        <w:t>iv</w:t>
      </w:r>
      <w:proofErr w:type="spellEnd"/>
      <w:r w:rsidRPr="00972B2F">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1C9954D7" w14:textId="77777777" w:rsidR="00801222" w:rsidRPr="00972B2F" w:rsidRDefault="00801222" w:rsidP="00801222">
      <w:pPr>
        <w:tabs>
          <w:tab w:val="left" w:pos="709"/>
        </w:tabs>
        <w:snapToGrid w:val="0"/>
        <w:spacing w:after="120" w:line="276" w:lineRule="auto"/>
        <w:jc w:val="both"/>
        <w:rPr>
          <w:rFonts w:ascii="Verdana" w:eastAsia="Calibri" w:hAnsi="Verdana" w:cs="Arial"/>
          <w:lang w:val="es-MX"/>
        </w:rPr>
      </w:pPr>
      <w:r w:rsidRPr="00972B2F">
        <w:rPr>
          <w:rFonts w:ascii="Verdana" w:eastAsia="Aptos" w:hAnsi="Verdana" w:cs="Arial"/>
          <w:bCs/>
          <w:lang w:val="es-ES"/>
        </w:rPr>
        <w:tab/>
        <w:t xml:space="preserve">Por otro lado, </w:t>
      </w:r>
      <w:r w:rsidRPr="00972B2F">
        <w:rPr>
          <w:rFonts w:ascii="Verdana" w:eastAsia="Aptos" w:hAnsi="Verdana" w:cs="Arial"/>
          <w:bCs/>
        </w:rPr>
        <w:t xml:space="preserve">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w:t>
      </w:r>
      <w:r w:rsidRPr="00972B2F">
        <w:rPr>
          <w:rFonts w:ascii="Verdana" w:eastAsia="Aptos" w:hAnsi="Verdana" w:cs="Arial"/>
          <w:bCs/>
        </w:rPr>
        <w:lastRenderedPageBreak/>
        <w:t xml:space="preserve">1474 de 2011–; </w:t>
      </w:r>
      <w:proofErr w:type="spellStart"/>
      <w:r w:rsidRPr="00972B2F">
        <w:rPr>
          <w:rFonts w:ascii="Verdana" w:eastAsia="Aptos" w:hAnsi="Verdana" w:cs="Arial"/>
          <w:bCs/>
        </w:rPr>
        <w:t>ii</w:t>
      </w:r>
      <w:proofErr w:type="spellEnd"/>
      <w:r w:rsidRPr="00972B2F">
        <w:rPr>
          <w:rFonts w:ascii="Verdana" w:eastAsia="Aptos" w:hAnsi="Verdana" w:cs="Arial"/>
          <w:bCs/>
        </w:rPr>
        <w:t xml:space="preserve">) es un mecanismo de vigilancia que exige, en su ejecución, la utilización de conocimientos especializados; </w:t>
      </w:r>
      <w:proofErr w:type="spellStart"/>
      <w:r w:rsidRPr="00972B2F">
        <w:rPr>
          <w:rFonts w:ascii="Verdana" w:eastAsia="Aptos" w:hAnsi="Verdana" w:cs="Arial"/>
          <w:bCs/>
        </w:rPr>
        <w:t>iii</w:t>
      </w:r>
      <w:proofErr w:type="spellEnd"/>
      <w:r w:rsidRPr="00972B2F">
        <w:rPr>
          <w:rFonts w:ascii="Verdana" w:eastAsia="Aptos" w:hAnsi="Verdana" w:cs="Arial"/>
          <w:bCs/>
        </w:rPr>
        <w:t>) por lo anterior, la entidad contrata un experto, por regla general, mediante la modalidad de selección de concurso de méritos, al tratarse la interventoría de una especie del contrato de consultoría –art. 32, numeral 2, inciso 2, Ley 80 de 1993</w:t>
      </w:r>
      <w:r w:rsidRPr="00972B2F">
        <w:rPr>
          <w:rFonts w:ascii="Verdana" w:eastAsia="Aptos" w:hAnsi="Verdana" w:cs="Times New Roman"/>
          <w:kern w:val="2"/>
          <w:vertAlign w:val="superscript"/>
          <w14:ligatures w14:val="standardContextual"/>
        </w:rPr>
        <w:footnoteReference w:id="7"/>
      </w:r>
      <w:r w:rsidRPr="00972B2F">
        <w:rPr>
          <w:rFonts w:ascii="Verdana" w:eastAsia="Aptos" w:hAnsi="Verdana" w:cs="Arial"/>
          <w:bCs/>
        </w:rPr>
        <w:t xml:space="preserve">‒, de manera que la interventoría es realizada por “una persona natural o jurídica contratada para tal fin por la Entidad Estatal” –art. 83, Ley 1474–; </w:t>
      </w:r>
      <w:proofErr w:type="spellStart"/>
      <w:r w:rsidRPr="00972B2F">
        <w:rPr>
          <w:rFonts w:ascii="Verdana" w:eastAsia="Aptos" w:hAnsi="Verdana" w:cs="Arial"/>
          <w:bCs/>
        </w:rPr>
        <w:t>iv</w:t>
      </w:r>
      <w:proofErr w:type="spellEnd"/>
      <w:r w:rsidRPr="00972B2F">
        <w:rPr>
          <w:rFonts w:ascii="Verdana" w:eastAsia="Aptos" w:hAnsi="Verdana" w:cs="Arial"/>
          <w:bCs/>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4158835D" w14:textId="77777777" w:rsidR="00801222" w:rsidRPr="00972B2F" w:rsidRDefault="00801222" w:rsidP="00801222">
      <w:pPr>
        <w:widowControl w:val="0"/>
        <w:autoSpaceDE w:val="0"/>
        <w:autoSpaceDN w:val="0"/>
        <w:spacing w:after="120" w:line="276" w:lineRule="auto"/>
        <w:ind w:firstLine="709"/>
        <w:jc w:val="both"/>
        <w:rPr>
          <w:rFonts w:ascii="Verdana" w:eastAsia="Calibri" w:hAnsi="Verdana" w:cs="Arial"/>
          <w:color w:val="000000"/>
          <w:lang w:eastAsia="es-ES" w:bidi="es-ES"/>
        </w:rPr>
      </w:pPr>
      <w:r w:rsidRPr="00972B2F">
        <w:rPr>
          <w:rFonts w:ascii="Verdana" w:eastAsia="Calibri" w:hAnsi="Verdana" w:cs="Arial"/>
          <w:color w:val="000000"/>
          <w:lang w:val="es-ES_tradnl" w:eastAsia="es-ES" w:bidi="es-ES"/>
        </w:rPr>
        <w:t xml:space="preserve">Como se observa, el primer aspecto de la interventoría desarrollado en el párrafo precedente responde al objeto de la consulta. Bajo una interpretación finalista que hace esta Subdirección al contenido de las dos disposiciones que contemplan los supuestos de obligatoriedad para celebrar una interventoría, se concluye que, a </w:t>
      </w:r>
      <w:r w:rsidRPr="00972B2F">
        <w:rPr>
          <w:rFonts w:ascii="Verdana" w:eastAsia="Calibri" w:hAnsi="Verdana" w:cs="Arial"/>
          <w:color w:val="000000"/>
          <w:lang w:eastAsia="es-ES" w:bidi="es-ES"/>
        </w:rPr>
        <w:t>diferencia del derecho privado, donde no existe una definición legal expresa del contrato de obra, el Estatuto General de Contratación de la Administración Pública sí delimita claramente este tipo contractual, dado su carácter instrumental y determinante para la satisfacción del interés general y la ejecución de políticas públicas. Por esta razón, el contrato de obra pública exige una mayor densidad regulatoria, en aspectos como la planeación, seguimiento y control de su ejecución.</w:t>
      </w:r>
    </w:p>
    <w:p w14:paraId="7BB456A8" w14:textId="77777777" w:rsidR="00801222" w:rsidRPr="00972B2F" w:rsidRDefault="00801222" w:rsidP="00801222">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972B2F">
        <w:rPr>
          <w:rFonts w:ascii="Verdana" w:eastAsia="Calibri" w:hAnsi="Verdana" w:cs="Arial"/>
          <w:color w:val="000000"/>
          <w:lang w:eastAsia="es-ES" w:bidi="es-ES"/>
        </w:rPr>
        <w:t>En virtud de lo anterior, el legislador ha previsto mecanismos específicos para asegurar la vigilancia técnica, administrativa, financiera, contable y jurídica de este tipo de contratos, como lo es la interventoría. Este mecanismo cumple una función sustantiva de control preventivo y correctivo sobre la ejecución del contrato, en garantía del adecuado uso de los recursos públicos y del cumplimiento del objeto contractual.</w:t>
      </w:r>
    </w:p>
    <w:p w14:paraId="506D5CFF" w14:textId="77777777" w:rsidR="00801222" w:rsidRPr="00972B2F" w:rsidRDefault="00801222" w:rsidP="00801222">
      <w:pPr>
        <w:snapToGrid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lastRenderedPageBreak/>
        <w:t>En ese sentido, en el marco de los contratos sometidos al Estatuto General de Contratación de la Administración Pública –EGCAP–, la obligación de contratar interventoría encuentra respaldo en los supuestos normativos previstos tanto en el inciso segundo del numeral 32.1 del artículo 32 de la Ley 80 de 1993, como en el inciso tercero del artículo 83 de la Ley 1474 de 2011, previamente señalados. Estas disposiciones no deben entenderse como excluyentes entre sí, sino como complementarias, en tanto regulan distintos escenarios que exigen la implementación de mecanismos técnicos de vigilancia y control sobre la ejecución de los contratos de obra.</w:t>
      </w:r>
    </w:p>
    <w:p w14:paraId="0E95871E" w14:textId="77777777" w:rsidR="00801222" w:rsidRPr="00972B2F" w:rsidRDefault="00801222" w:rsidP="00801222">
      <w:pPr>
        <w:snapToGrid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Por lo tanto, la exigencia de interventoría no está condicionada exclusivamente a que el contrato requiera conocimientos técnicos especializados o a que su complejidad o extensión así lo ameriten. Si bien tales criterios constituyen una base para determinar su obligatoriedad según el artículo 83 de la Ley 1474 de 2011, también opera la exigencia prevista en el artículo 32.1 de la Ley 80 de 1993, conforme con la cual, en los contratos de obra celebrados como resultado de un proceso de licitación pública, la interventoría deberá ser contratada con una persona independiente de la entidad contratante y del contratista, quien responderá por los hechos y omisiones que le sean imputables.</w:t>
      </w:r>
    </w:p>
    <w:p w14:paraId="196D53A1" w14:textId="77777777" w:rsidR="00801222" w:rsidRPr="00972B2F" w:rsidRDefault="00801222" w:rsidP="00801222">
      <w:pPr>
        <w:widowControl w:val="0"/>
        <w:autoSpaceDE w:val="0"/>
        <w:autoSpaceDN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 xml:space="preserve">Así, por ejemplo, podría configurarse un escenario en el cual, a pesar de que la ejecución del contrato de obra no requiera conocimientos especializados ni revista alta complejidad o extensión, el solo hecho de haberse adjudicado mediante la modalidad de licitación pública activa la obligación legal de contratar interventoría conforme a la Ley 80 de 1993. </w:t>
      </w:r>
    </w:p>
    <w:p w14:paraId="122E1724" w14:textId="77777777" w:rsidR="00801222" w:rsidRDefault="00801222" w:rsidP="00801222">
      <w:pPr>
        <w:widowControl w:val="0"/>
        <w:autoSpaceDE w:val="0"/>
        <w:autoSpaceDN w:val="0"/>
        <w:spacing w:after="120" w:line="276" w:lineRule="auto"/>
        <w:ind w:firstLine="708"/>
        <w:jc w:val="both"/>
        <w:rPr>
          <w:rFonts w:ascii="Verdana" w:eastAsia="Calibri" w:hAnsi="Verdana" w:cs="Arial"/>
          <w:color w:val="000000"/>
          <w:lang w:eastAsia="es-ES" w:bidi="es-ES"/>
        </w:rPr>
      </w:pPr>
      <w:r w:rsidRPr="00972B2F">
        <w:rPr>
          <w:rFonts w:ascii="Verdana" w:eastAsia="Calibri" w:hAnsi="Verdana" w:cs="Arial"/>
          <w:color w:val="000000"/>
          <w:lang w:eastAsia="es-ES" w:bidi="es-ES"/>
        </w:rPr>
        <w:t>En consecuencia, en estos casos no resulta jurídicamente procedente que la entidad estatal prescinda de la interventoría y opte únicamente por el mecanismo de supervisión, ya que la norma establece un mandato imperativo para garantizar una adecuada vigilancia técnica, administrativa, financiera, contable y jurídica del contrato.</w:t>
      </w:r>
    </w:p>
    <w:p w14:paraId="0D3A76C7" w14:textId="77777777" w:rsidR="00801222" w:rsidRDefault="00801222" w:rsidP="00801222">
      <w:pPr>
        <w:spacing w:after="0" w:line="276" w:lineRule="auto"/>
        <w:ind w:firstLine="709"/>
        <w:jc w:val="both"/>
        <w:rPr>
          <w:rFonts w:ascii="Verdana" w:hAnsi="Verdana" w:cs="Arial"/>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1450CA">
        <w:rPr>
          <w:rFonts w:ascii="Verdana" w:hAnsi="Verdana" w:cs="Arial"/>
          <w:bCs/>
          <w:color w:val="000000" w:themeColor="text1"/>
        </w:rPr>
        <w:lastRenderedPageBreak/>
        <w:t xml:space="preserve">gestión contractual, sin que sea atribución de Colombia Compra Eficiente validar sus actuaciones. </w:t>
      </w:r>
    </w:p>
    <w:p w14:paraId="16EB7AB3" w14:textId="77777777" w:rsidR="00801222" w:rsidRPr="00972B2F" w:rsidRDefault="00801222" w:rsidP="00801222">
      <w:pPr>
        <w:spacing w:after="0" w:line="276" w:lineRule="auto"/>
        <w:ind w:firstLine="709"/>
        <w:jc w:val="both"/>
        <w:rPr>
          <w:rFonts w:ascii="Verdana" w:hAnsi="Verdana" w:cs="Arial"/>
          <w:color w:val="000000" w:themeColor="text1"/>
        </w:rPr>
      </w:pPr>
    </w:p>
    <w:p w14:paraId="62CEE6AA" w14:textId="77777777" w:rsidR="00801222" w:rsidRPr="00972B2F" w:rsidRDefault="00801222" w:rsidP="00801222">
      <w:pPr>
        <w:widowControl w:val="0"/>
        <w:autoSpaceDE w:val="0"/>
        <w:autoSpaceDN w:val="0"/>
        <w:spacing w:after="0" w:line="276" w:lineRule="auto"/>
        <w:jc w:val="both"/>
        <w:rPr>
          <w:rFonts w:ascii="Verdana" w:eastAsia="Calibri" w:hAnsi="Verdana" w:cs="Arial"/>
          <w:color w:val="000000"/>
        </w:rPr>
      </w:pPr>
      <w:r w:rsidRPr="00972B2F">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673E618" w14:textId="77777777" w:rsidR="00801222" w:rsidRDefault="00801222" w:rsidP="00801222">
      <w:pPr>
        <w:tabs>
          <w:tab w:val="left" w:pos="709"/>
        </w:tabs>
        <w:spacing w:after="0" w:line="276" w:lineRule="auto"/>
        <w:jc w:val="both"/>
        <w:rPr>
          <w:rFonts w:ascii="Verdana" w:eastAsia="Calibri" w:hAnsi="Verdana" w:cs="Arial"/>
          <w:lang w:val="es-ES"/>
        </w:rPr>
      </w:pPr>
    </w:p>
    <w:p w14:paraId="51ADF7C1" w14:textId="419243EB" w:rsidR="00801222" w:rsidRPr="00E84DC6" w:rsidRDefault="00801222" w:rsidP="00801222">
      <w:pPr>
        <w:tabs>
          <w:tab w:val="left" w:pos="709"/>
        </w:tabs>
        <w:spacing w:after="0" w:line="276" w:lineRule="auto"/>
        <w:jc w:val="both"/>
        <w:rPr>
          <w:rFonts w:ascii="Verdana" w:eastAsia="Calibri" w:hAnsi="Verdana" w:cs="Arial"/>
          <w:lang w:eastAsia="es-ES"/>
        </w:rPr>
      </w:pPr>
    </w:p>
    <w:bookmarkEnd w:id="1"/>
    <w:bookmarkEnd w:id="2"/>
    <w:p w14:paraId="1A0685C0" w14:textId="77777777" w:rsidR="00801222" w:rsidRDefault="00801222" w:rsidP="00801222">
      <w:pPr>
        <w:spacing w:after="0" w:line="276" w:lineRule="auto"/>
        <w:jc w:val="both"/>
        <w:rPr>
          <w:rFonts w:ascii="Verdana" w:eastAsia="Century Gothic" w:hAnsi="Verdana" w:cs="Century Gothic"/>
          <w:b/>
          <w:lang w:val="es-ES"/>
        </w:rPr>
      </w:pPr>
      <w:r>
        <w:rPr>
          <w:rFonts w:ascii="Verdana" w:eastAsia="Century Gothic" w:hAnsi="Verdana" w:cs="Century Gothic"/>
          <w:b/>
          <w:lang w:val="es-ES"/>
        </w:rPr>
        <w:t>IV</w:t>
      </w:r>
      <w:r w:rsidRPr="00144EB3">
        <w:rPr>
          <w:rFonts w:ascii="Verdana" w:eastAsia="Century Gothic" w:hAnsi="Verdana" w:cs="Century Gothic"/>
          <w:b/>
          <w:lang w:val="es-ES"/>
        </w:rPr>
        <w:t>. Referencias normativas, jurisprudenciales y otras fuentes:</w:t>
      </w:r>
    </w:p>
    <w:p w14:paraId="0745DA0A" w14:textId="77777777" w:rsidR="00801222" w:rsidRPr="00144EB3" w:rsidRDefault="00801222" w:rsidP="00801222">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1222" w:rsidRPr="00144EB3" w14:paraId="6F7D40FB" w14:textId="77777777" w:rsidTr="00442BC4">
        <w:trPr>
          <w:trHeight w:val="870"/>
        </w:trPr>
        <w:tc>
          <w:tcPr>
            <w:tcW w:w="8647" w:type="dxa"/>
          </w:tcPr>
          <w:p w14:paraId="1DCA6975" w14:textId="77777777" w:rsidR="00801222" w:rsidRPr="00972B2F" w:rsidRDefault="00801222" w:rsidP="00801222">
            <w:pPr>
              <w:widowControl w:val="0"/>
              <w:numPr>
                <w:ilvl w:val="0"/>
                <w:numId w:val="16"/>
              </w:numPr>
              <w:autoSpaceDE w:val="0"/>
              <w:autoSpaceDN w:val="0"/>
              <w:spacing w:line="276" w:lineRule="auto"/>
              <w:contextualSpacing/>
              <w:jc w:val="both"/>
              <w:rPr>
                <w:rFonts w:ascii="Verdana" w:eastAsia="Calibri" w:hAnsi="Verdana" w:cs="Arial"/>
              </w:rPr>
            </w:pPr>
            <w:r w:rsidRPr="00972B2F">
              <w:rPr>
                <w:rFonts w:ascii="Verdana" w:eastAsia="Calibri" w:hAnsi="Verdana" w:cs="Arial"/>
              </w:rPr>
              <w:t xml:space="preserve">Ley 80 de 1992, artículos 4, 5, 12, 14, 26 y 32. </w:t>
            </w:r>
          </w:p>
          <w:p w14:paraId="793C6D57" w14:textId="77777777" w:rsidR="00801222" w:rsidRPr="00972B2F" w:rsidRDefault="00801222" w:rsidP="00801222">
            <w:pPr>
              <w:widowControl w:val="0"/>
              <w:numPr>
                <w:ilvl w:val="0"/>
                <w:numId w:val="16"/>
              </w:numPr>
              <w:autoSpaceDE w:val="0"/>
              <w:autoSpaceDN w:val="0"/>
              <w:spacing w:line="276" w:lineRule="auto"/>
              <w:contextualSpacing/>
              <w:jc w:val="both"/>
              <w:rPr>
                <w:rFonts w:ascii="Verdana" w:eastAsia="Calibri" w:hAnsi="Verdana" w:cs="Arial"/>
              </w:rPr>
            </w:pPr>
            <w:r w:rsidRPr="00972B2F">
              <w:rPr>
                <w:rFonts w:ascii="Verdana" w:eastAsia="Calibri" w:hAnsi="Verdana" w:cs="Arial"/>
              </w:rPr>
              <w:t>Ley 1474 de 2011, artículo 83 a 86.</w:t>
            </w:r>
          </w:p>
          <w:p w14:paraId="1E3B9985" w14:textId="77777777" w:rsidR="00801222" w:rsidRPr="00144EB3" w:rsidRDefault="00801222" w:rsidP="00442BC4">
            <w:pPr>
              <w:widowControl w:val="0"/>
              <w:autoSpaceDE w:val="0"/>
              <w:autoSpaceDN w:val="0"/>
              <w:spacing w:line="276" w:lineRule="auto"/>
              <w:jc w:val="both"/>
              <w:rPr>
                <w:rFonts w:ascii="Verdana" w:eastAsia="Arial MT" w:hAnsi="Verdana" w:cs="Arial"/>
                <w:color w:val="ED7D31" w:themeColor="accent2"/>
                <w:lang w:eastAsia="es-ES" w:bidi="es-ES"/>
              </w:rPr>
            </w:pPr>
            <w:r w:rsidRPr="00972B2F">
              <w:rPr>
                <w:rFonts w:ascii="Verdana" w:eastAsia="Calibri" w:hAnsi="Verdana" w:cs="Arial"/>
              </w:rPr>
              <w:t>Consejo de Estado. Sección Tercera. Sentencia del 27 de noviembre de 2017. Consejero Ponente: Jaime Orlando Santofimio. Expediente: 51.802</w:t>
            </w:r>
          </w:p>
        </w:tc>
      </w:tr>
    </w:tbl>
    <w:p w14:paraId="3332C9D5" w14:textId="77777777" w:rsidR="00801222" w:rsidRPr="00144EB3" w:rsidRDefault="00801222" w:rsidP="00801222">
      <w:pPr>
        <w:widowControl w:val="0"/>
        <w:autoSpaceDE w:val="0"/>
        <w:autoSpaceDN w:val="0"/>
        <w:spacing w:after="0" w:line="276" w:lineRule="auto"/>
        <w:jc w:val="both"/>
        <w:rPr>
          <w:rFonts w:ascii="Verdana" w:hAnsi="Verdana" w:cs="Arial"/>
          <w:color w:val="ED7D31" w:themeColor="accent2"/>
          <w:lang w:val="es-ES"/>
        </w:rPr>
      </w:pPr>
    </w:p>
    <w:p w14:paraId="3E75B28A" w14:textId="77777777" w:rsidR="00801222" w:rsidRPr="00144EB3" w:rsidRDefault="00801222" w:rsidP="00801222">
      <w:pPr>
        <w:spacing w:after="0" w:line="276" w:lineRule="auto"/>
        <w:jc w:val="both"/>
        <w:rPr>
          <w:rFonts w:ascii="Verdana" w:eastAsia="Aptos" w:hAnsi="Verdana" w:cs="Arial"/>
          <w:b/>
          <w:bCs/>
          <w:shd w:val="clear" w:color="auto" w:fill="FFFFFF"/>
        </w:rPr>
      </w:pPr>
    </w:p>
    <w:p w14:paraId="444F40E2" w14:textId="77777777" w:rsidR="00801222" w:rsidRPr="00144EB3" w:rsidRDefault="00801222" w:rsidP="00801222">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2F78F565" w14:textId="77777777" w:rsidR="00801222" w:rsidRPr="00144EB3" w:rsidRDefault="00801222" w:rsidP="00801222">
      <w:pPr>
        <w:spacing w:after="0" w:line="276" w:lineRule="auto"/>
        <w:jc w:val="both"/>
        <w:rPr>
          <w:rFonts w:ascii="Verdana" w:eastAsia="Aptos" w:hAnsi="Verdana" w:cs="Arial"/>
          <w:b/>
          <w:bCs/>
          <w:shd w:val="clear" w:color="auto" w:fill="FFFFFF"/>
        </w:rPr>
      </w:pPr>
    </w:p>
    <w:p w14:paraId="4E6AEE9F" w14:textId="77777777" w:rsidR="00801222" w:rsidRPr="00972B2F" w:rsidRDefault="00801222" w:rsidP="00801222">
      <w:pPr>
        <w:widowControl w:val="0"/>
        <w:autoSpaceDE w:val="0"/>
        <w:autoSpaceDN w:val="0"/>
        <w:spacing w:after="0" w:line="276" w:lineRule="auto"/>
        <w:jc w:val="both"/>
        <w:rPr>
          <w:rFonts w:ascii="Verdana" w:eastAsia="Calibri" w:hAnsi="Verdana" w:cs="Arial"/>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 xml:space="preserve">conceptos </w:t>
      </w:r>
      <w:r w:rsidRPr="00972B2F">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972B2F">
        <w:rPr>
          <w:rFonts w:ascii="Verdana" w:eastAsia="Aptos" w:hAnsi="Verdana" w:cs="Arial"/>
          <w:color w:val="000000"/>
          <w:shd w:val="clear" w:color="auto" w:fill="FFFFFF"/>
          <w:lang w:val="es-ES_tradnl"/>
        </w:rPr>
        <w:t>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972B2F">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C-265 del 7 de abril de 2025, entre </w:t>
      </w:r>
      <w:r w:rsidRPr="00972B2F">
        <w:rPr>
          <w:rFonts w:ascii="Verdana" w:eastAsia="Aptos" w:hAnsi="Verdana" w:cs="Arial"/>
          <w:color w:val="000000"/>
          <w:shd w:val="clear" w:color="auto" w:fill="FFFFFF"/>
          <w:lang w:val="es-ES"/>
        </w:rPr>
        <w:lastRenderedPageBreak/>
        <w:t xml:space="preserve">otros. </w:t>
      </w:r>
    </w:p>
    <w:p w14:paraId="775115D0" w14:textId="77777777" w:rsidR="00801222" w:rsidRPr="00144EB3" w:rsidRDefault="00801222" w:rsidP="00801222">
      <w:pPr>
        <w:spacing w:after="0" w:line="276" w:lineRule="auto"/>
        <w:jc w:val="both"/>
        <w:rPr>
          <w:rFonts w:ascii="Verdana" w:eastAsia="Aptos" w:hAnsi="Verdana" w:cs="Arial"/>
          <w:shd w:val="clear" w:color="auto" w:fill="FFFFFF"/>
        </w:rPr>
      </w:pPr>
    </w:p>
    <w:p w14:paraId="7CBEB469" w14:textId="77777777" w:rsidR="00801222" w:rsidRPr="00144EB3" w:rsidRDefault="00801222" w:rsidP="00801222">
      <w:pPr>
        <w:spacing w:after="0" w:line="276" w:lineRule="auto"/>
        <w:jc w:val="both"/>
        <w:rPr>
          <w:rFonts w:ascii="Verdana" w:hAnsi="Verdana"/>
          <w:lang w:val="es-ES"/>
        </w:rPr>
      </w:pPr>
      <w:r w:rsidRPr="00144EB3">
        <w:rPr>
          <w:rFonts w:ascii="Verdana" w:hAnsi="Verdana" w:cs="Arial"/>
          <w:shd w:val="clear" w:color="auto" w:fill="FFFFFF"/>
          <w:lang w:val="es-ES"/>
        </w:rPr>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2" w:history="1">
        <w:r w:rsidRPr="00144EB3">
          <w:rPr>
            <w:rStyle w:val="Hipervnculo"/>
            <w:rFonts w:ascii="Verdana" w:hAnsi="Verdana" w:cs="Arial"/>
            <w:shd w:val="clear" w:color="auto" w:fill="FFFFFF"/>
            <w:lang w:val="es-ES"/>
          </w:rPr>
          <w:t>https://relatoria.colombiacompra.gov.co/busqueda/conceptos</w:t>
        </w:r>
      </w:hyperlink>
    </w:p>
    <w:p w14:paraId="3B1C170E" w14:textId="77777777" w:rsidR="00801222" w:rsidRPr="00144EB3" w:rsidRDefault="00801222" w:rsidP="00801222">
      <w:pPr>
        <w:spacing w:after="0" w:line="276" w:lineRule="auto"/>
        <w:jc w:val="both"/>
        <w:rPr>
          <w:rFonts w:ascii="Verdana" w:hAnsi="Verdana" w:cs="Arial"/>
          <w:shd w:val="clear" w:color="auto" w:fill="FFFFFF"/>
          <w:lang w:val="es-ES"/>
        </w:rPr>
      </w:pPr>
    </w:p>
    <w:p w14:paraId="3FAD581E"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3" w:tgtFrame="_new" w:history="1">
        <w:r w:rsidRPr="00144EB3">
          <w:rPr>
            <w:rFonts w:ascii="Verdana" w:eastAsia="Calibri" w:hAnsi="Verdana" w:cs="Arial"/>
            <w:color w:val="0000FF"/>
            <w:u w:val="single"/>
          </w:rPr>
          <w:t>https://formacionvirtual.colombiacompra.gov.co/mod/page/view.php?id=3718</w:t>
        </w:r>
      </w:hyperlink>
    </w:p>
    <w:p w14:paraId="781A3D2E" w14:textId="77777777" w:rsidR="00801222" w:rsidRDefault="00801222" w:rsidP="00801222">
      <w:pPr>
        <w:spacing w:after="0" w:line="276" w:lineRule="auto"/>
        <w:jc w:val="both"/>
        <w:rPr>
          <w:rFonts w:ascii="Verdana" w:eastAsia="Calibri" w:hAnsi="Verdana" w:cs="Arial"/>
        </w:rPr>
      </w:pPr>
    </w:p>
    <w:p w14:paraId="21A9F617"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144EB3">
          <w:rPr>
            <w:rFonts w:ascii="Verdana" w:eastAsia="Calibri" w:hAnsi="Verdana" w:cs="Arial"/>
            <w:color w:val="0000FF"/>
            <w:u w:val="single"/>
          </w:rPr>
          <w:t>https://www.colombiacompra.gov.co/normativa-y-relatoria/documentos-tipo</w:t>
        </w:r>
      </w:hyperlink>
    </w:p>
    <w:p w14:paraId="105284E2" w14:textId="77777777" w:rsidR="00801222" w:rsidRPr="00144EB3" w:rsidRDefault="00801222" w:rsidP="00801222">
      <w:pPr>
        <w:spacing w:after="0" w:line="276" w:lineRule="auto"/>
        <w:jc w:val="both"/>
        <w:rPr>
          <w:rFonts w:ascii="Verdana" w:eastAsia="Calibri" w:hAnsi="Verdana" w:cs="Arial"/>
        </w:rPr>
      </w:pPr>
    </w:p>
    <w:p w14:paraId="48C0923D"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5" w:tgtFrame="_new" w:history="1">
        <w:r w:rsidRPr="00144EB3">
          <w:rPr>
            <w:rFonts w:ascii="Verdana" w:eastAsia="Calibri" w:hAnsi="Verdana" w:cs="Arial"/>
            <w:color w:val="0000FF"/>
            <w:u w:val="single"/>
          </w:rPr>
          <w:t>https://www.colombiacompra.gov.co/archivos/manual/guia-para-la-</w:t>
        </w:r>
        <w:r w:rsidRPr="00144EB3">
          <w:rPr>
            <w:rFonts w:ascii="Verdana" w:eastAsia="Calibri" w:hAnsi="Verdana" w:cs="Arial"/>
            <w:color w:val="0000FF"/>
            <w:u w:val="single"/>
          </w:rPr>
          <w:lastRenderedPageBreak/>
          <w:t>comprension-e-implementacion-de-los-documentos-tipo-de-obra-publica-de-infraestructura-de-transporte-bajo-las-diferentes-modalidades-de-contratacion-vigentes</w:t>
        </w:r>
      </w:hyperlink>
    </w:p>
    <w:p w14:paraId="1EB71A95" w14:textId="77777777" w:rsidR="00801222" w:rsidRPr="00144EB3" w:rsidRDefault="00801222" w:rsidP="00801222">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71839999" w14:textId="77777777" w:rsidR="00801222" w:rsidRPr="00144EB3" w:rsidRDefault="00801222" w:rsidP="00801222">
      <w:pPr>
        <w:spacing w:after="0" w:line="276" w:lineRule="auto"/>
        <w:jc w:val="both"/>
        <w:rPr>
          <w:rFonts w:ascii="Verdana" w:eastAsia="Calibri" w:hAnsi="Verdana" w:cs="Arial"/>
          <w:shd w:val="clear" w:color="auto" w:fill="FFFFFF"/>
        </w:rPr>
      </w:pPr>
    </w:p>
    <w:p w14:paraId="60A869C2" w14:textId="77777777" w:rsidR="00801222" w:rsidRPr="00144EB3" w:rsidRDefault="00801222" w:rsidP="00801222">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37EE15F6" w14:textId="77777777" w:rsidR="00801222" w:rsidRPr="00144EB3" w:rsidRDefault="00801222" w:rsidP="00801222">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43CD5A14" w14:textId="77777777" w:rsidR="00801222" w:rsidRPr="00144EB3" w:rsidRDefault="00801222" w:rsidP="00801222">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380597B2" w14:textId="77777777" w:rsidR="00801222" w:rsidRPr="00144EB3" w:rsidRDefault="00801222" w:rsidP="00801222">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499946C1" w14:textId="77777777" w:rsidR="00801222" w:rsidRPr="00144EB3" w:rsidRDefault="00801222" w:rsidP="00801222">
      <w:pPr>
        <w:widowControl w:val="0"/>
        <w:autoSpaceDE w:val="0"/>
        <w:autoSpaceDN w:val="0"/>
        <w:spacing w:after="0" w:line="276" w:lineRule="auto"/>
        <w:jc w:val="both"/>
        <w:rPr>
          <w:rFonts w:ascii="Verdana" w:eastAsia="Calibri" w:hAnsi="Verdana" w:cs="Arial"/>
          <w:lang w:val="es-ES"/>
        </w:rPr>
      </w:pPr>
    </w:p>
    <w:p w14:paraId="183C31B5" w14:textId="77777777" w:rsidR="00801222" w:rsidRPr="00144EB3" w:rsidRDefault="00801222" w:rsidP="00801222">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84BAD31" w14:textId="77777777" w:rsidR="00801222" w:rsidRPr="00144EB3" w:rsidRDefault="00801222" w:rsidP="00801222">
      <w:pPr>
        <w:spacing w:after="0" w:line="276" w:lineRule="auto"/>
        <w:jc w:val="both"/>
        <w:rPr>
          <w:rFonts w:ascii="Verdana" w:eastAsia="Verdana" w:hAnsi="Verdana" w:cs="Verdana"/>
        </w:rPr>
      </w:pPr>
    </w:p>
    <w:p w14:paraId="6A4012BB" w14:textId="77777777" w:rsidR="00801222" w:rsidRPr="00144EB3" w:rsidRDefault="00801222" w:rsidP="00801222">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6"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371B7949" w14:textId="77777777" w:rsidR="00801222" w:rsidRPr="00144EB3" w:rsidRDefault="00801222" w:rsidP="00801222">
      <w:pPr>
        <w:spacing w:after="0" w:line="276" w:lineRule="auto"/>
        <w:rPr>
          <w:rFonts w:ascii="Verdana" w:eastAsia="Verdana" w:hAnsi="Verdana" w:cs="Verdana"/>
        </w:rPr>
      </w:pPr>
    </w:p>
    <w:p w14:paraId="3408A7D5" w14:textId="77777777" w:rsidR="00801222" w:rsidRPr="00144EB3" w:rsidRDefault="00801222" w:rsidP="00801222">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38AE6318" w14:textId="5447EACE" w:rsidR="00801222" w:rsidRPr="00182F6A" w:rsidRDefault="00B87DEA" w:rsidP="00B87DEA">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24744E66" wp14:editId="514F9D20">
            <wp:extent cx="3133725" cy="1163277"/>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138010" cy="1164868"/>
                    </a:xfrm>
                    <a:prstGeom prst="rect">
                      <a:avLst/>
                    </a:prstGeom>
                  </pic:spPr>
                </pic:pic>
              </a:graphicData>
            </a:graphic>
          </wp:inline>
        </w:drawing>
      </w:r>
    </w:p>
    <w:p w14:paraId="151C5C4C" w14:textId="77777777" w:rsidR="00801222" w:rsidRDefault="00801222" w:rsidP="00801222">
      <w:pPr>
        <w:spacing w:after="0" w:line="276" w:lineRule="auto"/>
        <w:jc w:val="center"/>
        <w:rPr>
          <w:rFonts w:ascii="Verdana" w:hAnsi="Verdana" w:cs="Arial"/>
          <w:lang w:val="es-ES" w:eastAsia="es-CO"/>
        </w:rPr>
      </w:pPr>
    </w:p>
    <w:p w14:paraId="7C0D9B82" w14:textId="77777777" w:rsidR="00801222" w:rsidRPr="008278B1" w:rsidRDefault="00801222" w:rsidP="00801222">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1222" w:rsidRPr="008278B1" w14:paraId="45AC6FF4" w14:textId="77777777" w:rsidTr="00442BC4">
        <w:trPr>
          <w:trHeight w:val="315"/>
        </w:trPr>
        <w:tc>
          <w:tcPr>
            <w:tcW w:w="893" w:type="dxa"/>
            <w:vAlign w:val="center"/>
            <w:hideMark/>
          </w:tcPr>
          <w:p w14:paraId="3113CA81" w14:textId="77777777" w:rsidR="00801222" w:rsidRPr="008278B1" w:rsidRDefault="00801222" w:rsidP="00442BC4">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4C8F80" w14:textId="77777777" w:rsidR="00801222" w:rsidRPr="00860461" w:rsidRDefault="00801222" w:rsidP="00442BC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72A1D22" w14:textId="77777777" w:rsidR="00801222" w:rsidRPr="00860461" w:rsidRDefault="00801222" w:rsidP="00442BC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801222" w:rsidRPr="00F84F36" w14:paraId="1C177E5C" w14:textId="77777777" w:rsidTr="00442BC4">
        <w:trPr>
          <w:trHeight w:val="330"/>
        </w:trPr>
        <w:tc>
          <w:tcPr>
            <w:tcW w:w="893" w:type="dxa"/>
            <w:vAlign w:val="center"/>
            <w:hideMark/>
          </w:tcPr>
          <w:p w14:paraId="034FABE0" w14:textId="77777777" w:rsidR="00801222" w:rsidRPr="0025661F" w:rsidRDefault="00801222" w:rsidP="00442BC4">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8167C0" w14:textId="77777777" w:rsidR="00801222" w:rsidRPr="00D62D2E" w:rsidRDefault="00801222" w:rsidP="00442BC4">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Cabezas</w:t>
            </w:r>
          </w:p>
          <w:p w14:paraId="5975ED25" w14:textId="77777777" w:rsidR="00801222" w:rsidRPr="0025661F" w:rsidRDefault="00801222" w:rsidP="00442BC4">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801222" w:rsidRPr="00F84F36" w14:paraId="36F236D9" w14:textId="77777777" w:rsidTr="00442BC4">
        <w:trPr>
          <w:trHeight w:val="300"/>
        </w:trPr>
        <w:tc>
          <w:tcPr>
            <w:tcW w:w="893" w:type="dxa"/>
            <w:vAlign w:val="center"/>
          </w:tcPr>
          <w:p w14:paraId="4C5741B3" w14:textId="77777777" w:rsidR="00801222" w:rsidRPr="008278B1" w:rsidRDefault="00801222" w:rsidP="00442BC4">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A80454C" w14:textId="77777777" w:rsidR="00801222" w:rsidRPr="008278B1" w:rsidRDefault="00801222" w:rsidP="00442BC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5EF4336" w14:textId="77777777" w:rsidR="00801222" w:rsidRPr="008278B1" w:rsidRDefault="00801222" w:rsidP="00442BC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052F0092" w14:textId="0C86F3D3" w:rsidR="00801222" w:rsidRPr="008E53E8" w:rsidRDefault="00801222" w:rsidP="00801222">
      <w:pPr>
        <w:spacing w:after="0"/>
        <w:rPr>
          <w:rFonts w:ascii="Verdana" w:eastAsia="Verdana" w:hAnsi="Verdana" w:cs="Verdana"/>
          <w:lang w:val="es-ES"/>
        </w:rPr>
      </w:pPr>
    </w:p>
    <w:bookmarkEnd w:id="0"/>
    <w:p w14:paraId="584B461C" w14:textId="77777777" w:rsidR="00095906" w:rsidRPr="0024624F" w:rsidRDefault="00095906" w:rsidP="30821638">
      <w:pPr>
        <w:spacing w:after="0"/>
        <w:rPr>
          <w:rFonts w:ascii="Verdana" w:eastAsia="Verdana" w:hAnsi="Verdana" w:cs="Verdana"/>
        </w:rPr>
      </w:pPr>
    </w:p>
    <w:sectPr w:rsidR="00095906"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85AE1" w14:textId="77777777" w:rsidR="0098070E" w:rsidRDefault="0098070E" w:rsidP="004A1847">
      <w:pPr>
        <w:spacing w:after="0" w:line="240" w:lineRule="auto"/>
      </w:pPr>
      <w:r>
        <w:separator/>
      </w:r>
    </w:p>
  </w:endnote>
  <w:endnote w:type="continuationSeparator" w:id="0">
    <w:p w14:paraId="7887E285" w14:textId="77777777" w:rsidR="0098070E" w:rsidRDefault="0098070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0928DB" w14:textId="77777777" w:rsidR="0098070E" w:rsidRDefault="0098070E" w:rsidP="004A1847">
      <w:pPr>
        <w:spacing w:after="0" w:line="240" w:lineRule="auto"/>
      </w:pPr>
      <w:r>
        <w:separator/>
      </w:r>
    </w:p>
  </w:footnote>
  <w:footnote w:type="continuationSeparator" w:id="0">
    <w:p w14:paraId="358A14BB" w14:textId="77777777" w:rsidR="0098070E" w:rsidRDefault="0098070E" w:rsidP="004A1847">
      <w:pPr>
        <w:spacing w:after="0" w:line="240" w:lineRule="auto"/>
      </w:pPr>
      <w:r>
        <w:continuationSeparator/>
      </w:r>
    </w:p>
  </w:footnote>
  <w:footnote w:id="1">
    <w:p w14:paraId="375E3144" w14:textId="77777777" w:rsidR="00801222" w:rsidRPr="00A73A3A" w:rsidRDefault="00801222" w:rsidP="00801222">
      <w:pPr>
        <w:pStyle w:val="Textonotapie"/>
        <w:ind w:firstLine="709"/>
        <w:jc w:val="both"/>
        <w:rPr>
          <w:rFonts w:ascii="Verdana" w:hAnsi="Verdana" w:cs="Arial"/>
          <w:sz w:val="14"/>
          <w:szCs w:val="14"/>
        </w:rPr>
      </w:pPr>
      <w:r w:rsidRPr="00A73A3A">
        <w:rPr>
          <w:rStyle w:val="Refdenotaalpie"/>
          <w:rFonts w:ascii="Verdana" w:hAnsi="Verdana" w:cs="Arial"/>
          <w:sz w:val="14"/>
          <w:szCs w:val="14"/>
        </w:rPr>
        <w:footnoteRef/>
      </w:r>
      <w:r w:rsidRPr="00A73A3A">
        <w:rPr>
          <w:rFonts w:ascii="Verdana" w:hAnsi="Verdana" w:cs="Arial"/>
          <w:sz w:val="14"/>
          <w:szCs w:val="14"/>
        </w:rPr>
        <w:t xml:space="preserve"> Consejo de Estado. Sección Tercera. Sentencia del 27 de noviembre de 2017. Consejero Ponente: Jaime Orlando Santofimio. Expediente: 51.802.</w:t>
      </w:r>
    </w:p>
    <w:p w14:paraId="3394CD47" w14:textId="77777777" w:rsidR="00801222" w:rsidRPr="00A73A3A" w:rsidRDefault="00801222" w:rsidP="00801222">
      <w:pPr>
        <w:pStyle w:val="Textonotapie"/>
        <w:ind w:firstLine="709"/>
        <w:jc w:val="both"/>
        <w:rPr>
          <w:rFonts w:ascii="Verdana" w:hAnsi="Verdana" w:cs="Arial"/>
          <w:sz w:val="14"/>
          <w:szCs w:val="14"/>
        </w:rPr>
      </w:pPr>
    </w:p>
  </w:footnote>
  <w:footnote w:id="2">
    <w:p w14:paraId="6E93F2E2"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 17 de la Ley 1150 de 2007</w:t>
      </w:r>
    </w:p>
    <w:p w14:paraId="3CD9BCFD" w14:textId="77777777" w:rsidR="00801222" w:rsidRPr="00A73A3A" w:rsidRDefault="00801222" w:rsidP="00801222">
      <w:pPr>
        <w:pStyle w:val="Textonotapie"/>
        <w:ind w:firstLine="709"/>
        <w:jc w:val="both"/>
        <w:rPr>
          <w:rFonts w:ascii="Verdana" w:hAnsi="Verdana"/>
          <w:sz w:val="14"/>
          <w:szCs w:val="14"/>
        </w:rPr>
      </w:pPr>
    </w:p>
  </w:footnote>
  <w:footnote w:id="3">
    <w:p w14:paraId="08341D8A"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 21 de la Ley 1150 de 2007</w:t>
      </w:r>
    </w:p>
    <w:p w14:paraId="525DF2A0" w14:textId="77777777" w:rsidR="00801222" w:rsidRPr="00A73A3A" w:rsidRDefault="00801222" w:rsidP="00801222">
      <w:pPr>
        <w:pStyle w:val="Textonotapie"/>
        <w:ind w:firstLine="709"/>
        <w:jc w:val="both"/>
        <w:rPr>
          <w:rFonts w:ascii="Verdana" w:hAnsi="Verdana"/>
          <w:sz w:val="14"/>
          <w:szCs w:val="14"/>
        </w:rPr>
      </w:pPr>
    </w:p>
  </w:footnote>
  <w:footnote w:id="4">
    <w:p w14:paraId="7931C681" w14:textId="77777777" w:rsidR="00801222" w:rsidRPr="00A73A3A"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Artículos 83 a 86 de la Ley 1474 de 2011</w:t>
      </w:r>
    </w:p>
  </w:footnote>
  <w:footnote w:id="5">
    <w:p w14:paraId="05992FAA"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Artículo 83 de la Ley 1474 de 2011</w:t>
      </w:r>
    </w:p>
    <w:p w14:paraId="60C63657" w14:textId="77777777" w:rsidR="00801222" w:rsidRPr="00A73A3A" w:rsidRDefault="00801222" w:rsidP="00801222">
      <w:pPr>
        <w:pStyle w:val="Textonotapie"/>
        <w:ind w:firstLine="709"/>
        <w:jc w:val="both"/>
        <w:rPr>
          <w:rFonts w:ascii="Verdana" w:hAnsi="Verdana"/>
          <w:sz w:val="14"/>
          <w:szCs w:val="14"/>
        </w:rPr>
      </w:pPr>
    </w:p>
  </w:footnote>
  <w:footnote w:id="6">
    <w:p w14:paraId="2F1FA08B" w14:textId="77777777" w:rsidR="00801222" w:rsidRDefault="00801222" w:rsidP="00801222">
      <w:pPr>
        <w:pStyle w:val="Textonotapie"/>
        <w:ind w:firstLine="709"/>
        <w:jc w:val="both"/>
        <w:rPr>
          <w:rFonts w:ascii="Verdana" w:hAnsi="Verdana"/>
          <w:sz w:val="14"/>
          <w:szCs w:val="14"/>
        </w:rPr>
      </w:pPr>
      <w:r w:rsidRPr="00A73A3A">
        <w:rPr>
          <w:rFonts w:ascii="Verdana" w:hAnsi="Verdana"/>
          <w:sz w:val="14"/>
          <w:szCs w:val="14"/>
          <w:vertAlign w:val="superscript"/>
        </w:rPr>
        <w:footnoteRef/>
      </w:r>
      <w:r w:rsidRPr="00A73A3A">
        <w:rPr>
          <w:rFonts w:ascii="Verdana" w:hAnsi="Verdana"/>
          <w:sz w:val="14"/>
          <w:szCs w:val="14"/>
        </w:rPr>
        <w:t xml:space="preserve"> A excepción de la interventoría del contrato de obra adjudicado por licitación pública que es obligatoria según el numeral 1° del artículo 32 de la Ley 80 de 1993.</w:t>
      </w:r>
    </w:p>
    <w:p w14:paraId="6B5EAE6A" w14:textId="77777777" w:rsidR="00801222" w:rsidRPr="00A73A3A" w:rsidRDefault="00801222" w:rsidP="00801222">
      <w:pPr>
        <w:pStyle w:val="Textonotapie"/>
        <w:ind w:firstLine="709"/>
        <w:jc w:val="both"/>
        <w:rPr>
          <w:rFonts w:ascii="Verdana" w:hAnsi="Verdana"/>
          <w:sz w:val="14"/>
          <w:szCs w:val="14"/>
        </w:rPr>
      </w:pPr>
    </w:p>
  </w:footnote>
  <w:footnote w:id="7">
    <w:p w14:paraId="2A560202" w14:textId="77777777" w:rsidR="00801222" w:rsidRPr="00A73A3A" w:rsidRDefault="00801222" w:rsidP="00801222">
      <w:pPr>
        <w:pStyle w:val="Textonotapie"/>
        <w:adjustRightInd w:val="0"/>
        <w:snapToGrid w:val="0"/>
        <w:ind w:firstLine="709"/>
        <w:jc w:val="both"/>
        <w:rPr>
          <w:rFonts w:ascii="Verdana" w:hAnsi="Verdana" w:cs="Arial"/>
          <w:color w:val="161616"/>
          <w:sz w:val="14"/>
          <w:szCs w:val="14"/>
        </w:rPr>
      </w:pPr>
      <w:r w:rsidRPr="00A73A3A">
        <w:rPr>
          <w:rStyle w:val="Refdenotaalpie"/>
          <w:rFonts w:ascii="Verdana" w:hAnsi="Verdana"/>
          <w:sz w:val="14"/>
          <w:szCs w:val="14"/>
        </w:rPr>
        <w:footnoteRef/>
      </w:r>
      <w:r w:rsidRPr="00A73A3A">
        <w:rPr>
          <w:rFonts w:ascii="Verdana" w:hAnsi="Verdana"/>
          <w:sz w:val="14"/>
          <w:szCs w:val="14"/>
        </w:rPr>
        <w:t xml:space="preserve"> </w:t>
      </w:r>
      <w:r w:rsidRPr="00A73A3A">
        <w:rPr>
          <w:rFonts w:ascii="Verdana" w:hAnsi="Verdana" w:cs="Arial"/>
          <w:color w:val="161616"/>
          <w:sz w:val="14"/>
          <w:szCs w:val="14"/>
        </w:rPr>
        <w:t>“Son también contratos de consultoría los que tienen por objeto la interventoría […]”</w:t>
      </w:r>
    </w:p>
    <w:p w14:paraId="4097D6FA" w14:textId="77777777" w:rsidR="00801222" w:rsidRPr="00A73A3A" w:rsidRDefault="00801222" w:rsidP="00801222">
      <w:pPr>
        <w:pStyle w:val="Textonotapie"/>
        <w:adjustRightInd w:val="0"/>
        <w:snapToGrid w:val="0"/>
        <w:ind w:firstLine="709"/>
        <w:rPr>
          <w:rFonts w:ascii="Verdana" w:hAnsi="Verdana"/>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5A384F8B"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2.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5906"/>
    <w:rsid w:val="000A683E"/>
    <w:rsid w:val="000B19B9"/>
    <w:rsid w:val="000D0334"/>
    <w:rsid w:val="000D5DA7"/>
    <w:rsid w:val="000F6486"/>
    <w:rsid w:val="00116940"/>
    <w:rsid w:val="00125105"/>
    <w:rsid w:val="00127233"/>
    <w:rsid w:val="00153FE4"/>
    <w:rsid w:val="0015699B"/>
    <w:rsid w:val="001A33BF"/>
    <w:rsid w:val="001E4177"/>
    <w:rsid w:val="001F0B24"/>
    <w:rsid w:val="001F7DC6"/>
    <w:rsid w:val="0021524B"/>
    <w:rsid w:val="0022400B"/>
    <w:rsid w:val="002421BB"/>
    <w:rsid w:val="0025796E"/>
    <w:rsid w:val="002707A2"/>
    <w:rsid w:val="002951A0"/>
    <w:rsid w:val="002962BC"/>
    <w:rsid w:val="002A093D"/>
    <w:rsid w:val="002A0DD0"/>
    <w:rsid w:val="002A49AC"/>
    <w:rsid w:val="002A64FD"/>
    <w:rsid w:val="002C7A84"/>
    <w:rsid w:val="002E2BF8"/>
    <w:rsid w:val="002E4FD9"/>
    <w:rsid w:val="00301298"/>
    <w:rsid w:val="0030657A"/>
    <w:rsid w:val="00322A85"/>
    <w:rsid w:val="00324168"/>
    <w:rsid w:val="00330834"/>
    <w:rsid w:val="003448F4"/>
    <w:rsid w:val="00374F5E"/>
    <w:rsid w:val="00377E3E"/>
    <w:rsid w:val="003A779E"/>
    <w:rsid w:val="003D0F4D"/>
    <w:rsid w:val="003D5B0D"/>
    <w:rsid w:val="003E0499"/>
    <w:rsid w:val="003E4F80"/>
    <w:rsid w:val="003E6439"/>
    <w:rsid w:val="003F1883"/>
    <w:rsid w:val="003F3941"/>
    <w:rsid w:val="00406575"/>
    <w:rsid w:val="00414C74"/>
    <w:rsid w:val="0042722E"/>
    <w:rsid w:val="0044528D"/>
    <w:rsid w:val="00466E39"/>
    <w:rsid w:val="004674A2"/>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1222"/>
    <w:rsid w:val="00806F5F"/>
    <w:rsid w:val="00820278"/>
    <w:rsid w:val="00820514"/>
    <w:rsid w:val="008258C9"/>
    <w:rsid w:val="00831DBF"/>
    <w:rsid w:val="0083693D"/>
    <w:rsid w:val="00844AE9"/>
    <w:rsid w:val="00867F95"/>
    <w:rsid w:val="008843B6"/>
    <w:rsid w:val="00891928"/>
    <w:rsid w:val="008A446D"/>
    <w:rsid w:val="008B25F1"/>
    <w:rsid w:val="008D180B"/>
    <w:rsid w:val="008D5A43"/>
    <w:rsid w:val="008F0EA7"/>
    <w:rsid w:val="00923EEF"/>
    <w:rsid w:val="009419F9"/>
    <w:rsid w:val="0095685E"/>
    <w:rsid w:val="00961B09"/>
    <w:rsid w:val="00965334"/>
    <w:rsid w:val="0097093E"/>
    <w:rsid w:val="0098070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87DEA"/>
    <w:rsid w:val="00BC3D36"/>
    <w:rsid w:val="00BD54A6"/>
    <w:rsid w:val="00BD7F72"/>
    <w:rsid w:val="00BF7425"/>
    <w:rsid w:val="00C04FB3"/>
    <w:rsid w:val="00C11D8B"/>
    <w:rsid w:val="00C15139"/>
    <w:rsid w:val="00C330EB"/>
    <w:rsid w:val="00C50D69"/>
    <w:rsid w:val="00C5365C"/>
    <w:rsid w:val="00C60407"/>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6589"/>
    <w:rsid w:val="00E50AFE"/>
    <w:rsid w:val="00E75C92"/>
    <w:rsid w:val="00E771DC"/>
    <w:rsid w:val="00E84DC6"/>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801222"/>
    <w:pPr>
      <w:spacing w:after="120"/>
    </w:pPr>
  </w:style>
  <w:style w:type="character" w:customStyle="1" w:styleId="TextoindependienteCar">
    <w:name w:val="Texto independiente Car"/>
    <w:basedOn w:val="Fuentedeprrafopredeter"/>
    <w:link w:val="Textoindependiente"/>
    <w:uiPriority w:val="1"/>
    <w:rsid w:val="00801222"/>
  </w:style>
  <w:style w:type="paragraph" w:customStyle="1" w:styleId="Appelnotedebasde">
    <w:name w:val="Appel note de bas de..."/>
    <w:basedOn w:val="Normal"/>
    <w:link w:val="Refdenotaalpie"/>
    <w:uiPriority w:val="99"/>
    <w:rsid w:val="0080122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asesbiblioteca.uexternado.edu.co:2177/vid/336266069"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5aee4673a6af19db486efc01e2470a0b">
  <xsd:schema xmlns:xsd="http://www.w3.org/2001/XMLSchema" xmlns:xs="http://www.w3.org/2001/XMLSchema" xmlns:p="http://schemas.microsoft.com/office/2006/metadata/properties" xmlns:ns2="fb02ccb1-9bfe-43f1-9075-a12505bf7b0f" targetNamespace="http://schemas.microsoft.com/office/2006/metadata/properties" ma:root="true" ma:fieldsID="81b93032960c52a90666a46829b59c5a"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37173E4-86A8-428C-96F9-7FCE02C56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149</TotalTime>
  <Pages>14</Pages>
  <Words>4866</Words>
  <Characters>26765</Characters>
  <Application>Microsoft Office Word</Application>
  <DocSecurity>0</DocSecurity>
  <Lines>223</Lines>
  <Paragraphs>63</Paragraphs>
  <ScaleCrop>false</ScaleCrop>
  <Company/>
  <LinksUpToDate>false</LinksUpToDate>
  <CharactersWithSpaces>31568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7</cp:revision>
  <cp:lastPrinted>2023-01-10T21:18:00Z</cp:lastPrinted>
  <dcterms:created xsi:type="dcterms:W3CDTF">2026-04-21T21:32:00Z</dcterms:created>
  <dcterms:modified xsi:type="dcterms:W3CDTF">2026-04-29T19:56:00Z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