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29F4AC" w14:textId="77777777" w:rsidR="00495104" w:rsidRPr="00495104" w:rsidRDefault="00495104" w:rsidP="00495104">
      <w:pPr>
        <w:spacing w:after="0" w:line="240" w:lineRule="auto"/>
        <w:jc w:val="both"/>
        <w:rPr>
          <w:rFonts w:ascii="Verdana" w:eastAsia="Aptos" w:hAnsi="Verdana" w:cs="Times New Roman"/>
          <w:kern w:val="2"/>
          <w14:ligatures w14:val="standardContextual"/>
        </w:rPr>
      </w:pPr>
      <w:bookmarkStart w:id="0" w:name="_Hlk143780582"/>
      <w:r w:rsidRPr="00495104">
        <w:rPr>
          <w:rFonts w:ascii="Verdana" w:eastAsia="Aptos" w:hAnsi="Verdana" w:cs="Times New Roman"/>
          <w:b/>
          <w:bCs/>
          <w:color w:val="000000"/>
          <w:kern w:val="2"/>
          <w14:ligatures w14:val="standardContextual"/>
        </w:rPr>
        <w:t xml:space="preserve">DOCUMENTOS TIPO – Fundamento normativo – Obligatoriedad – Sectores – Modalidades </w:t>
      </w:r>
    </w:p>
    <w:p w14:paraId="539C34BD" w14:textId="77777777" w:rsidR="00495104" w:rsidRPr="00495104" w:rsidRDefault="00495104" w:rsidP="00495104">
      <w:pPr>
        <w:spacing w:after="0" w:line="276" w:lineRule="auto"/>
        <w:jc w:val="both"/>
        <w:rPr>
          <w:rFonts w:ascii="Verdana" w:eastAsia="Calibri" w:hAnsi="Verdana" w:cs="Arial"/>
          <w:b/>
          <w:bCs/>
          <w:kern w:val="2"/>
          <w:sz w:val="20"/>
          <w:szCs w:val="20"/>
          <w:lang w:val="es-ES_tradnl"/>
          <w14:ligatures w14:val="standardContextual"/>
        </w:rPr>
      </w:pPr>
    </w:p>
    <w:p w14:paraId="2AA010BA" w14:textId="77777777" w:rsidR="00495104" w:rsidRPr="00495104" w:rsidRDefault="00495104" w:rsidP="00495104">
      <w:pPr>
        <w:widowControl w:val="0"/>
        <w:autoSpaceDE w:val="0"/>
        <w:autoSpaceDN w:val="0"/>
        <w:spacing w:after="0" w:line="240" w:lineRule="auto"/>
        <w:jc w:val="both"/>
        <w:rPr>
          <w:rFonts w:ascii="Verdana" w:eastAsia="Verdana" w:hAnsi="Verdana" w:cs="Verdana"/>
          <w:sz w:val="20"/>
          <w:szCs w:val="20"/>
          <w:lang w:val="es-ES"/>
        </w:rPr>
      </w:pPr>
      <w:r w:rsidRPr="00495104">
        <w:rPr>
          <w:rFonts w:ascii="Verdana" w:eastAsia="Calibri" w:hAnsi="Verdana" w:cs="Arial"/>
          <w:sz w:val="20"/>
          <w:szCs w:val="20"/>
          <w:lang w:val="es-ES_tradnl" w:eastAsia="es-ES"/>
        </w:rPr>
        <w:t xml:space="preserve">La Ley 2022 de 2020, modificó el contenido del parágrafo 7 del artículo 2 de la Ley 1150 de 2007, que había sido adicionado por la Ley 1882 de 2018. Con esta modificación, si bien se mantuvo el mandato de aplicación obligatoria de los Documentos Tipo por parte de las entidades sometidas al </w:t>
      </w:r>
      <w:r w:rsidRPr="00495104">
        <w:rPr>
          <w:rFonts w:ascii="Verdana" w:eastAsia="Calibri" w:hAnsi="Verdana" w:cs="Arial"/>
          <w:bCs/>
          <w:sz w:val="20"/>
          <w:szCs w:val="20"/>
          <w:lang w:val="es-ES_tradnl" w:eastAsia="es-ES_tradnl"/>
        </w:rPr>
        <w:t>EGCAP</w:t>
      </w:r>
      <w:r w:rsidRPr="00495104">
        <w:rPr>
          <w:rFonts w:ascii="Verdana" w:eastAsia="Calibri" w:hAnsi="Verdana" w:cs="Arial"/>
          <w:sz w:val="20"/>
          <w:szCs w:val="20"/>
          <w:lang w:val="es-ES_tradnl" w:eastAsia="es-ES"/>
        </w:rPr>
        <w:t xml:space="preserve">, se atribuyó a la </w:t>
      </w:r>
      <w:r w:rsidRPr="00495104">
        <w:rPr>
          <w:rFonts w:ascii="Verdana" w:eastAsia="Calibri" w:hAnsi="Verdana" w:cs="Arial"/>
          <w:sz w:val="20"/>
          <w:szCs w:val="20"/>
          <w:lang w:val="es-ES_tradnl" w:eastAsia="es-ES_tradnl"/>
        </w:rPr>
        <w:t xml:space="preserve">Agencia Nacional de Contratación Pública – Colombia Compra Eficiente la competencia para su expedición. </w:t>
      </w:r>
    </w:p>
    <w:p w14:paraId="59AE6FC8" w14:textId="77777777" w:rsidR="00495104" w:rsidRPr="00495104" w:rsidRDefault="00495104" w:rsidP="00495104">
      <w:pPr>
        <w:widowControl w:val="0"/>
        <w:autoSpaceDE w:val="0"/>
        <w:autoSpaceDN w:val="0"/>
        <w:spacing w:after="0" w:line="240" w:lineRule="auto"/>
        <w:jc w:val="both"/>
        <w:rPr>
          <w:rFonts w:ascii="Verdana" w:eastAsia="Aptos" w:hAnsi="Verdana" w:cs="Arial"/>
          <w:sz w:val="20"/>
          <w:szCs w:val="20"/>
          <w:lang w:val="es-ES"/>
        </w:rPr>
      </w:pPr>
    </w:p>
    <w:p w14:paraId="14033F0C" w14:textId="77777777" w:rsidR="00495104" w:rsidRPr="00495104" w:rsidRDefault="00495104" w:rsidP="00495104">
      <w:pPr>
        <w:widowControl w:val="0"/>
        <w:autoSpaceDE w:val="0"/>
        <w:autoSpaceDN w:val="0"/>
        <w:spacing w:after="0" w:line="240" w:lineRule="auto"/>
        <w:jc w:val="both"/>
        <w:rPr>
          <w:rFonts w:ascii="Verdana" w:eastAsia="Verdana" w:hAnsi="Verdana" w:cs="Verdana"/>
          <w:sz w:val="20"/>
          <w:szCs w:val="20"/>
          <w:lang w:val="es-ES"/>
        </w:rPr>
      </w:pPr>
      <w:r w:rsidRPr="00495104">
        <w:rPr>
          <w:rFonts w:ascii="Verdana" w:eastAsia="Aptos" w:hAnsi="Verdana" w:cs="Arial"/>
          <w:sz w:val="20"/>
          <w:szCs w:val="20"/>
          <w:lang w:val="es-ES"/>
        </w:rPr>
        <w:t>Con sustento en esta competencia, esta Agencia ha expedido diversos grupos de Documentos Tipo aplicables principalmente a la contratación de obras públicas de infraestructura de transporte, agua potable,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5B967EB5" w14:textId="77777777" w:rsidR="00495104" w:rsidRDefault="00495104" w:rsidP="00495104">
      <w:pPr>
        <w:spacing w:after="0" w:line="276" w:lineRule="auto"/>
        <w:jc w:val="both"/>
        <w:rPr>
          <w:rFonts w:ascii="Verdana" w:eastAsia="Geomanist Light" w:hAnsi="Verdana" w:cs="Arial"/>
          <w:kern w:val="2"/>
          <w:sz w:val="24"/>
          <w:szCs w:val="24"/>
          <w:highlight w:val="yellow"/>
          <w:lang w:val="es-ES"/>
          <w14:ligatures w14:val="standardContextual"/>
        </w:rPr>
      </w:pPr>
    </w:p>
    <w:p w14:paraId="1FC31808" w14:textId="77777777" w:rsidR="005C34EF" w:rsidRPr="00681ECF" w:rsidRDefault="005C34EF" w:rsidP="005C34EF">
      <w:pPr>
        <w:spacing w:after="0"/>
        <w:jc w:val="both"/>
        <w:rPr>
          <w:rFonts w:ascii="Verdana" w:hAnsi="Verdana"/>
        </w:rPr>
      </w:pPr>
      <w:r w:rsidRPr="00681ECF">
        <w:rPr>
          <w:rFonts w:ascii="Verdana" w:eastAsia="Aptos" w:hAnsi="Verdana" w:cs="Arial"/>
          <w:b/>
          <w:bCs/>
          <w:kern w:val="2"/>
          <w:lang w:val="es-MX"/>
          <w14:ligatures w14:val="standardContextual"/>
        </w:rPr>
        <w:t>INALTERABILIDAD – Documentos Tipo – Alcance</w:t>
      </w:r>
    </w:p>
    <w:p w14:paraId="1A7DACEC" w14:textId="77777777" w:rsidR="005C34EF" w:rsidRPr="00681ECF" w:rsidRDefault="005C34EF" w:rsidP="005C34EF">
      <w:pPr>
        <w:spacing w:after="0" w:line="276" w:lineRule="auto"/>
        <w:jc w:val="both"/>
        <w:rPr>
          <w:rFonts w:ascii="Verdana" w:eastAsia="Geomanist Light" w:hAnsi="Verdana" w:cs="Arial"/>
          <w:lang w:val="es-MX"/>
        </w:rPr>
      </w:pPr>
    </w:p>
    <w:p w14:paraId="625F8E2F" w14:textId="77777777" w:rsidR="005C34EF" w:rsidRPr="00264404" w:rsidRDefault="005C34EF" w:rsidP="005C34EF">
      <w:pPr>
        <w:snapToGrid w:val="0"/>
        <w:spacing w:after="0" w:line="240" w:lineRule="auto"/>
        <w:jc w:val="both"/>
        <w:rPr>
          <w:rFonts w:ascii="Verdana" w:eastAsia="Calibri" w:hAnsi="Verdana" w:cs="Arial"/>
          <w:kern w:val="2"/>
          <w:sz w:val="20"/>
          <w:szCs w:val="20"/>
          <w:lang w:val="es-ES" w:eastAsia="es-ES"/>
          <w14:ligatures w14:val="standardContextual"/>
        </w:rPr>
      </w:pPr>
      <w:r w:rsidRPr="00264404">
        <w:rPr>
          <w:rFonts w:ascii="Verdana" w:eastAsia="Times New Roman" w:hAnsi="Verdana" w:cs="Arial"/>
          <w:kern w:val="2"/>
          <w:sz w:val="20"/>
          <w:szCs w:val="20"/>
          <w:shd w:val="clear" w:color="auto" w:fill="FFFFFF"/>
          <w:lang w:val="es-ES_tradnl" w:eastAsia="es-ES_tradnl"/>
          <w14:ligatures w14:val="standardContextual"/>
        </w:rPr>
        <w:t xml:space="preserve">Todas las resoluciones expedidas por la Agencia Nacional de Contratación Pública – Colombia Compra Eficiente, mediante las cuales se han adoptado los documentos tipo, consagran la regla de la inalterabilidad. Esta prohibición consiste en que las entidades estatales no pueden incluir o modificar en los </w:t>
      </w:r>
      <w:r w:rsidRPr="00264404">
        <w:rPr>
          <w:rFonts w:ascii="Verdana" w:eastAsia="Times New Roman" w:hAnsi="Verdana" w:cs="Arial"/>
          <w:i/>
          <w:iCs/>
          <w:kern w:val="2"/>
          <w:sz w:val="20"/>
          <w:szCs w:val="20"/>
          <w:shd w:val="clear" w:color="auto" w:fill="FFFFFF"/>
          <w:lang w:val="es-ES_tradnl" w:eastAsia="es-ES_tradnl"/>
          <w14:ligatures w14:val="standardContextual"/>
        </w:rPr>
        <w:t>Documentos del Proceso</w:t>
      </w:r>
      <w:r w:rsidRPr="00264404">
        <w:rPr>
          <w:rFonts w:ascii="Verdana" w:eastAsia="Times New Roman" w:hAnsi="Verdana" w:cs="Arial"/>
          <w:kern w:val="2"/>
          <w:sz w:val="20"/>
          <w:szCs w:val="20"/>
          <w:shd w:val="clear" w:color="auto" w:fill="FFFFFF"/>
          <w:lang w:val="es-ES_tradnl" w:eastAsia="es-ES_tradnl"/>
          <w14:ligatures w14:val="standardContextual"/>
        </w:rPr>
        <w:t xml:space="preserve"> condiciones habilitantes, factores técnicos y económicos de escogencia y sistemas de ponderación distintos a los señalados en los Documentos Tipo. En consecuencia, las condiciones establecidas en dichos documentos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2CED1ECB" w14:textId="77777777" w:rsidR="005C34EF" w:rsidRPr="00495104" w:rsidRDefault="005C34EF" w:rsidP="00495104">
      <w:pPr>
        <w:spacing w:after="0" w:line="276" w:lineRule="auto"/>
        <w:jc w:val="both"/>
        <w:rPr>
          <w:rFonts w:ascii="Verdana" w:eastAsia="Geomanist Light" w:hAnsi="Verdana" w:cs="Arial"/>
          <w:kern w:val="2"/>
          <w:sz w:val="24"/>
          <w:szCs w:val="24"/>
          <w:highlight w:val="yellow"/>
          <w:lang w:val="es-ES"/>
          <w14:ligatures w14:val="standardContextual"/>
        </w:rPr>
      </w:pPr>
    </w:p>
    <w:p w14:paraId="3787CD4E" w14:textId="77777777" w:rsidR="00495104" w:rsidRPr="00495104" w:rsidRDefault="00495104" w:rsidP="00495104">
      <w:pPr>
        <w:spacing w:after="0" w:line="278" w:lineRule="auto"/>
        <w:jc w:val="both"/>
        <w:rPr>
          <w:rFonts w:ascii="Verdana" w:eastAsia="Aptos" w:hAnsi="Verdana" w:cs="Times New Roman"/>
          <w:b/>
          <w:bCs/>
          <w:color w:val="000000"/>
          <w:kern w:val="2"/>
          <w14:ligatures w14:val="standardContextual"/>
        </w:rPr>
      </w:pPr>
      <w:r w:rsidRPr="00495104">
        <w:rPr>
          <w:rFonts w:ascii="Verdana" w:eastAsia="Aptos" w:hAnsi="Verdana" w:cs="Times New Roman"/>
          <w:b/>
          <w:bCs/>
          <w:color w:val="000000"/>
          <w:kern w:val="2"/>
          <w14:ligatures w14:val="standardContextual"/>
        </w:rPr>
        <w:t>EXPERIENCIA – Acreditación − documentos tipo − Licitación de obra pública de infraestructura de transporte – Versión 4</w:t>
      </w:r>
    </w:p>
    <w:p w14:paraId="6FDC0439" w14:textId="77777777" w:rsidR="00495104" w:rsidRPr="00495104" w:rsidRDefault="00495104" w:rsidP="00495104">
      <w:pPr>
        <w:tabs>
          <w:tab w:val="left" w:pos="0"/>
        </w:tabs>
        <w:spacing w:after="0" w:line="240" w:lineRule="auto"/>
        <w:ind w:left="11"/>
        <w:jc w:val="both"/>
        <w:rPr>
          <w:rFonts w:ascii="Arial" w:eastAsia="Aptos" w:hAnsi="Arial" w:cs="Arial"/>
          <w:b/>
          <w:bCs/>
          <w:color w:val="000000"/>
          <w:kern w:val="2"/>
          <w:sz w:val="24"/>
          <w:szCs w:val="24"/>
          <w14:ligatures w14:val="standardContextual"/>
        </w:rPr>
      </w:pPr>
    </w:p>
    <w:p w14:paraId="669AE535" w14:textId="77777777" w:rsidR="00495104" w:rsidRPr="00495104" w:rsidRDefault="00495104" w:rsidP="00495104">
      <w:pPr>
        <w:snapToGrid w:val="0"/>
        <w:spacing w:after="0" w:line="240" w:lineRule="auto"/>
        <w:jc w:val="both"/>
        <w:rPr>
          <w:rFonts w:ascii="Verdana" w:eastAsia="Times New Roman" w:hAnsi="Verdana" w:cs="Arial"/>
          <w:kern w:val="2"/>
          <w:sz w:val="20"/>
          <w:szCs w:val="20"/>
          <w:shd w:val="clear" w:color="auto" w:fill="FFFFFF"/>
          <w:lang w:val="es-ES_tradnl" w:eastAsia="es-ES_tradnl"/>
          <w14:ligatures w14:val="standardContextual"/>
        </w:rPr>
      </w:pPr>
      <w:r w:rsidRPr="00495104">
        <w:rPr>
          <w:rFonts w:ascii="Verdana" w:eastAsia="Times New Roman" w:hAnsi="Verdana" w:cs="Arial"/>
          <w:kern w:val="2"/>
          <w:sz w:val="20"/>
          <w:szCs w:val="20"/>
          <w:shd w:val="clear" w:color="auto" w:fill="FFFFFF"/>
          <w:lang w:val="es-ES_tradnl" w:eastAsia="es-ES_tradnl"/>
          <w14:ligatures w14:val="standardContextual"/>
        </w:rPr>
        <w:t xml:space="preserve">La parte introductoria del pliego de condiciones de los documentos tipo analizados dispone que estos se aplican a los procedimientos de selección de licitación de obra pública de infraestructura de transporte (versión 4), que correspondan a las actividades definidas en la “Matriz 1 – Experiencia”. En consecuencia, las actividades de infraestructura de transporte no contempladas en la Matriz 1 – Experiencia no tienen que aplicar los documentos tipo; sin perjuicio de lo previsto en el artículo 4 de la </w:t>
      </w:r>
      <w:r w:rsidRPr="00495104">
        <w:rPr>
          <w:rFonts w:ascii="Verdana" w:eastAsia="Times New Roman" w:hAnsi="Verdana" w:cs="Arial"/>
          <w:kern w:val="2"/>
          <w:sz w:val="20"/>
          <w:szCs w:val="20"/>
          <w:shd w:val="clear" w:color="auto" w:fill="FFFFFF"/>
          <w:lang w:val="es-ES_tradnl" w:eastAsia="es-ES_tradnl"/>
          <w14:ligatures w14:val="standardContextual"/>
        </w:rPr>
        <w:lastRenderedPageBreak/>
        <w:t>Resolución 465 de 2024, relacionado con la posibilidad de exigir experiencia adicional en determinados supuestos.</w:t>
      </w:r>
    </w:p>
    <w:p w14:paraId="5F580EAC" w14:textId="77777777" w:rsidR="00495104" w:rsidRPr="00495104" w:rsidRDefault="00495104" w:rsidP="00495104">
      <w:pPr>
        <w:snapToGrid w:val="0"/>
        <w:spacing w:after="0" w:line="240" w:lineRule="auto"/>
        <w:jc w:val="both"/>
        <w:rPr>
          <w:rFonts w:ascii="Verdana" w:eastAsia="Times New Roman" w:hAnsi="Verdana" w:cs="Arial"/>
          <w:kern w:val="2"/>
          <w:sz w:val="20"/>
          <w:szCs w:val="20"/>
          <w:shd w:val="clear" w:color="auto" w:fill="FFFFFF"/>
          <w:lang w:val="es-ES_tradnl" w:eastAsia="es-ES_tradnl"/>
          <w14:ligatures w14:val="standardContextual"/>
        </w:rPr>
      </w:pPr>
    </w:p>
    <w:p w14:paraId="5037D651" w14:textId="77777777" w:rsidR="00495104" w:rsidRPr="00495104" w:rsidRDefault="00495104" w:rsidP="00495104">
      <w:pPr>
        <w:snapToGrid w:val="0"/>
        <w:spacing w:after="0" w:line="240" w:lineRule="auto"/>
        <w:jc w:val="both"/>
        <w:rPr>
          <w:rFonts w:ascii="Verdana" w:eastAsia="Times New Roman" w:hAnsi="Verdana" w:cs="Arial"/>
          <w:kern w:val="2"/>
          <w:sz w:val="20"/>
          <w:szCs w:val="20"/>
          <w:shd w:val="clear" w:color="auto" w:fill="FFFFFF"/>
          <w:lang w:val="es-ES_tradnl" w:eastAsia="es-ES_tradnl"/>
          <w14:ligatures w14:val="standardContextual"/>
        </w:rPr>
      </w:pPr>
      <w:r w:rsidRPr="00495104">
        <w:rPr>
          <w:rFonts w:ascii="Verdana" w:eastAsia="Times New Roman" w:hAnsi="Verdana" w:cs="Arial"/>
          <w:kern w:val="2"/>
          <w:sz w:val="20"/>
          <w:szCs w:val="20"/>
          <w:shd w:val="clear" w:color="auto" w:fill="FFFFFF"/>
          <w:lang w:val="es-ES_tradnl" w:eastAsia="es-ES_tradnl"/>
          <w14:ligatures w14:val="standardContextual"/>
        </w:rPr>
        <w:t xml:space="preserve">De acuerdo con las condiciones fijadas en el “Documento Base” de la Resolución No. 465 del 10 de septiembre de 2024, la acreditación del requisito habilitante de experiencia se aborda desde distintos criterios. En primer lugar, los contratos presentados por los proponentes deben corresponder a la actividad o actividades de experiencia general y específica que la entidad exija en el pliego de condiciones, de acuerdo con los parámetros señalados en la Matriz 1. En segundo lugar, los proponentes deben acreditar el cumplimiento de las condiciones fijadas con mínimo uno (1) y máximo cinco (5) contratos, que debieron terminar antes de la fecha de cierre del Proceso de Contratación. El número de contratos aportados por el proponente debe certificar un valor mínimo correspondiente a un porcentaje del presupuesto oficial del proceso de obra expresado en SMMLV, cuya verificación se hará de acuerdo con la sumatoria de los valores totales ejecutados de los contratos que cumplan con los requisitos establecidos en el pliego de condiciones. </w:t>
      </w:r>
    </w:p>
    <w:p w14:paraId="0925C89B" w14:textId="77777777" w:rsidR="00495104" w:rsidRPr="00495104" w:rsidRDefault="00495104" w:rsidP="00495104">
      <w:pPr>
        <w:spacing w:after="0" w:line="278" w:lineRule="auto"/>
        <w:jc w:val="both"/>
        <w:rPr>
          <w:rFonts w:ascii="Arial" w:eastAsia="Calibri" w:hAnsi="Arial" w:cs="Arial"/>
          <w:b/>
          <w:kern w:val="2"/>
          <w:szCs w:val="24"/>
          <w14:ligatures w14:val="standardContextual"/>
        </w:rPr>
      </w:pPr>
    </w:p>
    <w:p w14:paraId="098D9A5C" w14:textId="77777777" w:rsidR="00495104" w:rsidRPr="00495104" w:rsidRDefault="00495104" w:rsidP="00495104">
      <w:pPr>
        <w:spacing w:after="0" w:line="278" w:lineRule="auto"/>
        <w:jc w:val="both"/>
        <w:rPr>
          <w:rFonts w:ascii="Verdana" w:eastAsia="Calibri" w:hAnsi="Verdana" w:cs="Arial"/>
          <w:b/>
          <w:kern w:val="2"/>
          <w:szCs w:val="24"/>
          <w14:ligatures w14:val="standardContextual"/>
        </w:rPr>
      </w:pPr>
      <w:r w:rsidRPr="00495104">
        <w:rPr>
          <w:rFonts w:ascii="Verdana" w:eastAsia="Calibri" w:hAnsi="Verdana" w:cs="Arial"/>
          <w:b/>
          <w:kern w:val="2"/>
          <w:szCs w:val="24"/>
          <w14:ligatures w14:val="standardContextual"/>
        </w:rPr>
        <w:t xml:space="preserve">DOCUMENTOS TIPO </w:t>
      </w:r>
      <w:r w:rsidRPr="00495104">
        <w:rPr>
          <w:rFonts w:ascii="Verdana" w:eastAsia="Calibri" w:hAnsi="Verdana" w:cs="Arial"/>
          <w:b/>
          <w:kern w:val="2"/>
          <w:szCs w:val="24"/>
          <w14:ligatures w14:val="standardContextual"/>
        </w:rPr>
        <w:softHyphen/>
        <w:t>– Licitación – Transporte – Versión 4 – Matriz 1 Experiencia – Complejidad alta, media o baja</w:t>
      </w:r>
    </w:p>
    <w:p w14:paraId="186769CE" w14:textId="77777777" w:rsidR="00495104" w:rsidRPr="00495104" w:rsidRDefault="00495104" w:rsidP="00495104">
      <w:pPr>
        <w:keepNext/>
        <w:keepLines/>
        <w:spacing w:after="0" w:line="276" w:lineRule="auto"/>
        <w:ind w:left="1"/>
        <w:jc w:val="both"/>
        <w:outlineLvl w:val="2"/>
        <w:rPr>
          <w:rFonts w:ascii="Verdana" w:eastAsia="Times New Roman" w:hAnsi="Verdana" w:cs="Arial"/>
          <w:color w:val="000000"/>
          <w:kern w:val="2"/>
          <w:sz w:val="20"/>
          <w:szCs w:val="20"/>
          <w:lang w:eastAsia="es-ES"/>
          <w14:ligatures w14:val="standardContextual"/>
        </w:rPr>
      </w:pPr>
    </w:p>
    <w:p w14:paraId="5252C805" w14:textId="77777777" w:rsidR="00495104" w:rsidRPr="00495104" w:rsidRDefault="00495104" w:rsidP="00495104">
      <w:pPr>
        <w:keepNext/>
        <w:keepLines/>
        <w:spacing w:after="0" w:line="276" w:lineRule="auto"/>
        <w:ind w:left="1"/>
        <w:jc w:val="both"/>
        <w:outlineLvl w:val="2"/>
        <w:rPr>
          <w:rFonts w:ascii="Verdana" w:eastAsia="Times New Roman" w:hAnsi="Verdana" w:cs="Times New Roman"/>
          <w:caps/>
          <w:color w:val="000000"/>
          <w:kern w:val="2"/>
          <w:sz w:val="20"/>
          <w:szCs w:val="20"/>
          <w:lang w:val="es-MX"/>
          <w14:ligatures w14:val="standardContextual"/>
        </w:rPr>
      </w:pPr>
      <w:r w:rsidRPr="00495104">
        <w:rPr>
          <w:rFonts w:ascii="Verdana" w:eastAsia="Times New Roman" w:hAnsi="Verdana" w:cs="Arial"/>
          <w:color w:val="000000"/>
          <w:sz w:val="20"/>
          <w:szCs w:val="20"/>
          <w:lang w:eastAsia="es-ES"/>
        </w:rPr>
        <w:t>De acuerdo con lo dispuesto en el numeral 3.5.1 “</w:t>
      </w:r>
      <w:r w:rsidRPr="00495104">
        <w:rPr>
          <w:rFonts w:ascii="Verdana" w:eastAsia="Times New Roman" w:hAnsi="Verdana" w:cs="Times New Roman"/>
          <w:color w:val="000000"/>
          <w:kern w:val="2"/>
          <w:sz w:val="20"/>
          <w:szCs w:val="20"/>
          <w:lang w:val="es-MX"/>
          <w14:ligatures w14:val="standardContextual"/>
        </w:rPr>
        <w:t xml:space="preserve">Determinación de los </w:t>
      </w:r>
      <w:r w:rsidRPr="00495104">
        <w:rPr>
          <w:rFonts w:ascii="Verdana" w:eastAsia="Calibri" w:hAnsi="Verdana" w:cs="Arial"/>
          <w:sz w:val="20"/>
          <w:szCs w:val="20"/>
          <w:lang w:val="es-MX"/>
        </w:rPr>
        <w:t>requisitos mínimos de experiencia según la matriz 1 – experiencia” del documento base, la entidad deberá diligenciar el cuadro que allí se dispone para justificar la complejidad técnica del proyecto en concordancia con lo previsto en la Matriz 1 – Experiencia. Esto garantiza que las entidades justifiquen en el pliego de condiciones, en la casilla dispuesta para el efecto, las razones que determinan la complejidad técnica del proyecto de acuerdo con las condiciones establecidas en la Matriz 1 – Experiencia, además, permite que los interesados en el proceso puedan conocer los argumentos que llevan a la entidad a determinar la complejidad del proyecto y los requisitos de experiencia a exigir.</w:t>
      </w:r>
      <w:r w:rsidRPr="00495104">
        <w:rPr>
          <w:rFonts w:ascii="Verdana" w:eastAsia="Times New Roman" w:hAnsi="Verdana" w:cs="Arial"/>
          <w:color w:val="0F4761"/>
          <w:sz w:val="20"/>
          <w:szCs w:val="20"/>
          <w:lang w:eastAsia="es-ES"/>
        </w:rPr>
        <w:t xml:space="preserve"> </w:t>
      </w:r>
    </w:p>
    <w:p w14:paraId="4CD04CE5" w14:textId="77777777" w:rsidR="00495104" w:rsidRPr="00495104" w:rsidRDefault="00495104" w:rsidP="00495104">
      <w:pPr>
        <w:spacing w:after="0" w:line="276" w:lineRule="auto"/>
        <w:ind w:right="51"/>
        <w:jc w:val="both"/>
        <w:rPr>
          <w:rFonts w:ascii="Verdana" w:eastAsia="Calibri" w:hAnsi="Verdana" w:cs="Arial"/>
          <w:kern w:val="2"/>
          <w:sz w:val="20"/>
          <w:szCs w:val="20"/>
          <w14:ligatures w14:val="standardContextual"/>
        </w:rPr>
      </w:pPr>
    </w:p>
    <w:p w14:paraId="6E22C84D" w14:textId="77777777" w:rsidR="00495104" w:rsidRPr="00495104" w:rsidRDefault="00495104" w:rsidP="00495104">
      <w:pPr>
        <w:spacing w:after="0" w:line="276" w:lineRule="auto"/>
        <w:ind w:right="51"/>
        <w:jc w:val="both"/>
        <w:rPr>
          <w:rFonts w:ascii="Verdana" w:eastAsia="Calibri" w:hAnsi="Verdana" w:cs="Arial"/>
          <w:sz w:val="20"/>
          <w:szCs w:val="20"/>
          <w:lang w:val="es-MX"/>
        </w:rPr>
      </w:pPr>
      <w:r w:rsidRPr="00495104">
        <w:rPr>
          <w:rFonts w:ascii="Verdana" w:eastAsia="Calibri" w:hAnsi="Verdana" w:cs="Arial"/>
          <w:sz w:val="20"/>
          <w:szCs w:val="20"/>
          <w:lang w:val="es-MX"/>
        </w:rPr>
        <w:t xml:space="preserve">En este sentido, surge el siguiente interrogante: </w:t>
      </w:r>
      <w:r w:rsidRPr="00495104">
        <w:rPr>
          <w:rFonts w:ascii="Verdana" w:eastAsia="Calibri" w:hAnsi="Verdana" w:cs="Arial"/>
          <w:i/>
          <w:iCs/>
          <w:sz w:val="20"/>
          <w:szCs w:val="20"/>
          <w:lang w:val="es-MX"/>
        </w:rPr>
        <w:t>¿qué criterios deben servir de parámetros a las entidades contratantes para determinar cuál de las dos matrices deben aplicar?</w:t>
      </w:r>
      <w:r w:rsidRPr="00495104">
        <w:rPr>
          <w:rFonts w:ascii="Verdana" w:eastAsia="Calibri" w:hAnsi="Verdana" w:cs="Arial"/>
          <w:sz w:val="20"/>
          <w:szCs w:val="20"/>
          <w:lang w:val="es-MX"/>
        </w:rPr>
        <w:t xml:space="preserve"> Al respecto, la Agencia consideró que no era adecuado definir la complejidad en abstracto o limitarla simplemente por la cuantía de un proyecto, sino por otras circunstancias netamente técnicas que suelen ser particulares de cada proyecto, tales como, las condiciones geográficas, geológicas, hidrológicas, climáticas, entre otros, ya que son inherentes a cada proyecto de infraestructura de transporte y su alcance, por lo que estas circunstancias tan variables deben valorarse en cada proyecto por la entidad respectiva, siendo los elementos más determinantes para definir la complejidad técnica de un proyecto y exigir una mayor idoneidad o experiencia para afrontar la ejecución de estos contratos.</w:t>
      </w:r>
      <w:r w:rsidRPr="00495104" w:rsidDel="00161D4D">
        <w:rPr>
          <w:rFonts w:ascii="Verdana" w:eastAsia="Calibri" w:hAnsi="Verdana" w:cs="Arial"/>
          <w:sz w:val="20"/>
          <w:szCs w:val="20"/>
          <w:lang w:val="es-MX"/>
        </w:rPr>
        <w:t xml:space="preserve"> </w:t>
      </w:r>
    </w:p>
    <w:p w14:paraId="476B2D61" w14:textId="77777777" w:rsidR="00495104" w:rsidRPr="00495104" w:rsidRDefault="00495104" w:rsidP="00495104">
      <w:pPr>
        <w:autoSpaceDE w:val="0"/>
        <w:autoSpaceDN w:val="0"/>
        <w:adjustRightInd w:val="0"/>
        <w:spacing w:after="0" w:line="278" w:lineRule="auto"/>
        <w:jc w:val="both"/>
        <w:rPr>
          <w:rFonts w:ascii="Verdana" w:eastAsia="Times New Roman" w:hAnsi="Verdana" w:cs="Arial"/>
          <w:kern w:val="2"/>
          <w:sz w:val="20"/>
          <w:szCs w:val="20"/>
          <w:shd w:val="clear" w:color="auto" w:fill="FFFFFF"/>
          <w:lang w:val="es-ES_tradnl" w:eastAsia="es-ES_tradnl"/>
          <w14:ligatures w14:val="standardContextual"/>
        </w:rPr>
      </w:pPr>
    </w:p>
    <w:p w14:paraId="104F69D1" w14:textId="77777777" w:rsidR="007022FA" w:rsidRDefault="007022FA" w:rsidP="00495104">
      <w:pPr>
        <w:spacing w:after="0" w:line="278" w:lineRule="auto"/>
        <w:rPr>
          <w:rFonts w:ascii="Verdana" w:eastAsia="Aptos" w:hAnsi="Verdana" w:cs="Times New Roman"/>
          <w:kern w:val="2"/>
          <w14:ligatures w14:val="standardContextual"/>
        </w:rPr>
      </w:pPr>
    </w:p>
    <w:p w14:paraId="75B8C25E" w14:textId="6843E906" w:rsidR="00495104" w:rsidRPr="00495104" w:rsidRDefault="007022FA" w:rsidP="00495104">
      <w:pPr>
        <w:spacing w:after="0" w:line="278" w:lineRule="auto"/>
        <w:rPr>
          <w:rFonts w:ascii="Verdana" w:eastAsia="Aptos" w:hAnsi="Verdana" w:cs="Times New Roman"/>
          <w:kern w:val="2"/>
          <w14:ligatures w14:val="standardContextual"/>
        </w:rPr>
      </w:pPr>
      <w:r w:rsidRPr="00706E69">
        <w:rPr>
          <w:rFonts w:ascii="Verdana" w:eastAsia="Calibri" w:hAnsi="Verdana" w:cs="Times New Roman"/>
          <w:lang w:val="es-MX"/>
        </w:rPr>
        <w:drawing>
          <wp:anchor distT="0" distB="0" distL="114300" distR="114300" simplePos="0" relativeHeight="251658240" behindDoc="0" locked="0" layoutInCell="1" allowOverlap="1" wp14:anchorId="31CE75FC" wp14:editId="7B35EEBD">
            <wp:simplePos x="0" y="0"/>
            <wp:positionH relativeFrom="column">
              <wp:posOffset>2675314</wp:posOffset>
            </wp:positionH>
            <wp:positionV relativeFrom="paragraph">
              <wp:posOffset>196342</wp:posOffset>
            </wp:positionV>
            <wp:extent cx="2927494" cy="943661"/>
            <wp:effectExtent l="0" t="0" r="6350" b="8890"/>
            <wp:wrapNone/>
            <wp:docPr id="58404787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4047873" name=""/>
                    <pic:cNvPicPr/>
                  </pic:nvPicPr>
                  <pic:blipFill>
                    <a:blip r:embed="rId10">
                      <a:extLst>
                        <a:ext uri="{28A0092B-C50C-407E-A947-70E740481C1C}">
                          <a14:useLocalDpi xmlns:a14="http://schemas.microsoft.com/office/drawing/2010/main" val="0"/>
                        </a:ext>
                      </a:extLst>
                    </a:blip>
                    <a:stretch>
                      <a:fillRect/>
                    </a:stretch>
                  </pic:blipFill>
                  <pic:spPr>
                    <a:xfrm>
                      <a:off x="0" y="0"/>
                      <a:ext cx="2970016" cy="957368"/>
                    </a:xfrm>
                    <a:prstGeom prst="rect">
                      <a:avLst/>
                    </a:prstGeom>
                  </pic:spPr>
                </pic:pic>
              </a:graphicData>
            </a:graphic>
            <wp14:sizeRelH relativeFrom="page">
              <wp14:pctWidth>0</wp14:pctWidth>
            </wp14:sizeRelH>
            <wp14:sizeRelV relativeFrom="page">
              <wp14:pctHeight>0</wp14:pctHeight>
            </wp14:sizeRelV>
          </wp:anchor>
        </w:drawing>
      </w:r>
      <w:r w:rsidR="00495104" w:rsidRPr="00495104">
        <w:rPr>
          <w:rFonts w:ascii="Verdana" w:eastAsia="Aptos" w:hAnsi="Verdana" w:cs="Times New Roman"/>
          <w:kern w:val="2"/>
          <w14:ligatures w14:val="standardContextual"/>
        </w:rPr>
        <w:t xml:space="preserve">Bogotá D.C., </w:t>
      </w:r>
      <w:r w:rsidR="00461099">
        <w:rPr>
          <w:rFonts w:ascii="Verdana" w:eastAsia="Aptos" w:hAnsi="Verdana" w:cs="Times New Roman"/>
          <w:kern w:val="2"/>
          <w14:ligatures w14:val="standardContextual"/>
        </w:rPr>
        <w:t>19 de mayo de 2026</w:t>
      </w:r>
    </w:p>
    <w:p w14:paraId="4C059213" w14:textId="6B013821" w:rsidR="00495104" w:rsidRPr="00495104" w:rsidRDefault="00495104" w:rsidP="00706E69">
      <w:pPr>
        <w:spacing w:after="0" w:line="240" w:lineRule="auto"/>
        <w:jc w:val="right"/>
        <w:rPr>
          <w:rFonts w:ascii="Verdana" w:eastAsia="Calibri" w:hAnsi="Verdana" w:cs="Times New Roman"/>
          <w:lang w:val="es-MX"/>
        </w:rPr>
      </w:pPr>
    </w:p>
    <w:p w14:paraId="045C257A" w14:textId="77777777" w:rsidR="007022FA" w:rsidRDefault="007022FA" w:rsidP="00495104">
      <w:pPr>
        <w:spacing w:after="0" w:line="240" w:lineRule="auto"/>
        <w:rPr>
          <w:rFonts w:ascii="Verdana" w:eastAsia="Calibri" w:hAnsi="Verdana" w:cs="Times New Roman"/>
          <w:lang w:val="es-MX"/>
        </w:rPr>
      </w:pPr>
    </w:p>
    <w:p w14:paraId="1B75B583" w14:textId="77777777" w:rsidR="007022FA" w:rsidRDefault="007022FA" w:rsidP="00495104">
      <w:pPr>
        <w:spacing w:after="0" w:line="240" w:lineRule="auto"/>
        <w:rPr>
          <w:rFonts w:ascii="Verdana" w:eastAsia="Calibri" w:hAnsi="Verdana" w:cs="Times New Roman"/>
          <w:lang w:val="es-MX"/>
        </w:rPr>
      </w:pPr>
    </w:p>
    <w:p w14:paraId="43AC1985" w14:textId="77777777" w:rsidR="007022FA" w:rsidRDefault="007022FA" w:rsidP="00495104">
      <w:pPr>
        <w:spacing w:after="0" w:line="240" w:lineRule="auto"/>
        <w:rPr>
          <w:rFonts w:ascii="Verdana" w:eastAsia="Calibri" w:hAnsi="Verdana" w:cs="Times New Roman"/>
          <w:lang w:val="es-MX"/>
        </w:rPr>
      </w:pPr>
    </w:p>
    <w:p w14:paraId="2B909595" w14:textId="77777777" w:rsidR="007022FA" w:rsidRDefault="007022FA" w:rsidP="00495104">
      <w:pPr>
        <w:spacing w:after="0" w:line="240" w:lineRule="auto"/>
        <w:rPr>
          <w:rFonts w:ascii="Verdana" w:eastAsia="Calibri" w:hAnsi="Verdana" w:cs="Times New Roman"/>
          <w:lang w:val="es-MX"/>
        </w:rPr>
      </w:pPr>
    </w:p>
    <w:p w14:paraId="4B1507CD" w14:textId="77777777" w:rsidR="007022FA" w:rsidRDefault="007022FA" w:rsidP="00495104">
      <w:pPr>
        <w:spacing w:after="0" w:line="240" w:lineRule="auto"/>
        <w:rPr>
          <w:rFonts w:ascii="Verdana" w:eastAsia="Calibri" w:hAnsi="Verdana" w:cs="Times New Roman"/>
          <w:lang w:val="es-MX"/>
        </w:rPr>
      </w:pPr>
    </w:p>
    <w:p w14:paraId="0CC1BB65" w14:textId="519B3A36" w:rsidR="00495104" w:rsidRPr="00495104" w:rsidRDefault="00495104" w:rsidP="00495104">
      <w:pPr>
        <w:spacing w:after="0" w:line="240" w:lineRule="auto"/>
        <w:rPr>
          <w:rFonts w:ascii="Verdana" w:eastAsia="Calibri" w:hAnsi="Verdana" w:cs="Times New Roman"/>
          <w:lang w:val="es-MX"/>
        </w:rPr>
      </w:pPr>
      <w:r w:rsidRPr="00495104">
        <w:rPr>
          <w:rFonts w:ascii="Verdana" w:eastAsia="Calibri" w:hAnsi="Verdana" w:cs="Times New Roman"/>
          <w:lang w:val="es-MX"/>
        </w:rPr>
        <w:t>Señor</w:t>
      </w:r>
    </w:p>
    <w:p w14:paraId="7F3ED905" w14:textId="77777777" w:rsidR="00495104" w:rsidRPr="00495104" w:rsidRDefault="00495104" w:rsidP="00495104">
      <w:pPr>
        <w:spacing w:after="0" w:line="240" w:lineRule="auto"/>
        <w:rPr>
          <w:rFonts w:ascii="Verdana" w:eastAsia="Aptos" w:hAnsi="Verdana" w:cs="Times New Roman"/>
          <w:b/>
          <w:kern w:val="2"/>
          <w14:ligatures w14:val="standardContextual"/>
        </w:rPr>
      </w:pPr>
      <w:r w:rsidRPr="00495104">
        <w:rPr>
          <w:rFonts w:ascii="Verdana" w:eastAsia="Aptos" w:hAnsi="Verdana" w:cs="Times New Roman"/>
          <w:b/>
          <w:kern w:val="2"/>
          <w14:ligatures w14:val="standardContextual"/>
        </w:rPr>
        <w:t>Carmelo Joaquín Rosales A.</w:t>
      </w:r>
    </w:p>
    <w:p w14:paraId="29189206" w14:textId="77777777" w:rsidR="00495104" w:rsidRPr="00495104" w:rsidRDefault="00495104" w:rsidP="00495104">
      <w:pPr>
        <w:spacing w:after="0" w:line="240" w:lineRule="auto"/>
        <w:rPr>
          <w:rFonts w:ascii="Verdana" w:eastAsia="Aptos" w:hAnsi="Verdana" w:cs="Times New Roman"/>
          <w:kern w:val="2"/>
          <w14:ligatures w14:val="standardContextual"/>
        </w:rPr>
      </w:pPr>
      <w:r w:rsidRPr="00495104">
        <w:rPr>
          <w:rFonts w:ascii="Verdana" w:eastAsia="Aptos" w:hAnsi="Verdana" w:cs="Times New Roman"/>
          <w:kern w:val="2"/>
          <w14:ligatures w14:val="standardContextual"/>
        </w:rPr>
        <w:t>JOACHIM CONSTRUCCIONES SAS</w:t>
      </w:r>
    </w:p>
    <w:p w14:paraId="2EA6B7BD" w14:textId="77777777" w:rsidR="00495104" w:rsidRPr="00495104" w:rsidRDefault="00495104" w:rsidP="00495104">
      <w:pPr>
        <w:spacing w:after="0" w:line="240" w:lineRule="auto"/>
        <w:rPr>
          <w:rFonts w:ascii="Verdana" w:eastAsia="Calibri" w:hAnsi="Verdana" w:cs="Times New Roman"/>
          <w:bCs/>
        </w:rPr>
      </w:pPr>
      <w:r w:rsidRPr="00495104">
        <w:rPr>
          <w:rFonts w:ascii="Verdana" w:eastAsia="Calibri" w:hAnsi="Verdana" w:cs="Times New Roman"/>
          <w:bCs/>
        </w:rPr>
        <w:t>construccionesloachim2918@gmail.com</w:t>
      </w:r>
    </w:p>
    <w:p w14:paraId="4CE3930B" w14:textId="77777777" w:rsidR="00495104" w:rsidRPr="00495104" w:rsidRDefault="00495104" w:rsidP="00495104">
      <w:pPr>
        <w:spacing w:after="0" w:line="240" w:lineRule="auto"/>
        <w:rPr>
          <w:rFonts w:ascii="Verdana" w:eastAsia="Calibri" w:hAnsi="Verdana" w:cs="Times New Roman"/>
        </w:rPr>
      </w:pPr>
      <w:r w:rsidRPr="00495104">
        <w:rPr>
          <w:rFonts w:ascii="Verdana" w:eastAsia="Calibri" w:hAnsi="Verdana" w:cs="Times New Roman"/>
        </w:rPr>
        <w:t xml:space="preserve">Bogotá D.C. </w:t>
      </w:r>
    </w:p>
    <w:p w14:paraId="26A5A43A" w14:textId="77777777" w:rsidR="00495104" w:rsidRDefault="00495104" w:rsidP="00495104">
      <w:pPr>
        <w:spacing w:after="0" w:line="240" w:lineRule="auto"/>
        <w:rPr>
          <w:rFonts w:ascii="Verdana" w:eastAsia="Calibri" w:hAnsi="Verdana" w:cs="Times New Roman"/>
        </w:rPr>
      </w:pPr>
    </w:p>
    <w:p w14:paraId="4D10930F" w14:textId="77777777" w:rsidR="007022FA" w:rsidRPr="00495104" w:rsidRDefault="007022FA" w:rsidP="00495104">
      <w:pPr>
        <w:spacing w:after="0" w:line="240" w:lineRule="auto"/>
        <w:rPr>
          <w:rFonts w:ascii="Verdana" w:eastAsia="Calibri" w:hAnsi="Verdana" w:cs="Times New Roman"/>
        </w:rPr>
      </w:pPr>
    </w:p>
    <w:p w14:paraId="3B99F9BF" w14:textId="77777777" w:rsidR="00495104" w:rsidRPr="00495104" w:rsidRDefault="00495104" w:rsidP="00495104">
      <w:pPr>
        <w:spacing w:after="0" w:line="240" w:lineRule="auto"/>
        <w:rPr>
          <w:rFonts w:ascii="Verdana" w:eastAsia="Calibri" w:hAnsi="Verdana" w:cs="Times New Roman"/>
          <w:b/>
          <w:bCs/>
          <w:lang w:val="es-ES"/>
        </w:rPr>
      </w:pPr>
      <w:r w:rsidRPr="00495104">
        <w:rPr>
          <w:rFonts w:ascii="Verdana" w:eastAsia="Calibri" w:hAnsi="Verdana" w:cs="Times New Roman"/>
          <w:b/>
          <w:bCs/>
          <w:lang w:val="es-ES"/>
        </w:rPr>
        <w:t xml:space="preserve">                                    Concepto C–330 de 2026</w:t>
      </w:r>
    </w:p>
    <w:p w14:paraId="1D0EE277" w14:textId="77777777" w:rsidR="00495104" w:rsidRDefault="00495104" w:rsidP="00495104">
      <w:pPr>
        <w:spacing w:after="0" w:line="256" w:lineRule="auto"/>
        <w:rPr>
          <w:rFonts w:ascii="Verdana" w:eastAsia="Calibri" w:hAnsi="Verdana" w:cs="Times New Roman"/>
          <w:lang w:val="es-ES_tradnl"/>
        </w:rPr>
      </w:pPr>
    </w:p>
    <w:p w14:paraId="1930646B" w14:textId="77777777" w:rsidR="007022FA" w:rsidRPr="00495104" w:rsidRDefault="007022FA" w:rsidP="00495104">
      <w:pPr>
        <w:spacing w:after="0" w:line="256" w:lineRule="auto"/>
        <w:rPr>
          <w:rFonts w:ascii="Verdana" w:eastAsia="Calibri" w:hAnsi="Verdana" w:cs="Times New Roman"/>
          <w:lang w:val="es-ES_tradnl"/>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94"/>
        <w:gridCol w:w="6232"/>
        <w:gridCol w:w="6237"/>
      </w:tblGrid>
      <w:tr w:rsidR="00495104" w:rsidRPr="00495104" w14:paraId="1EFA0D1F" w14:textId="77777777" w:rsidTr="00A020A2">
        <w:trPr>
          <w:trHeight w:val="884"/>
        </w:trPr>
        <w:tc>
          <w:tcPr>
            <w:tcW w:w="2694" w:type="dxa"/>
            <w:hideMark/>
          </w:tcPr>
          <w:p w14:paraId="5F12AD0B" w14:textId="77777777" w:rsidR="00495104" w:rsidRPr="00495104" w:rsidRDefault="00495104" w:rsidP="00495104">
            <w:pPr>
              <w:rPr>
                <w:rFonts w:ascii="Verdana" w:hAnsi="Verdana"/>
                <w:b/>
                <w:bCs/>
                <w:lang w:val="es-ES_tradnl"/>
              </w:rPr>
            </w:pPr>
            <w:r w:rsidRPr="00495104">
              <w:rPr>
                <w:rFonts w:ascii="Verdana" w:hAnsi="Verdana"/>
                <w:b/>
                <w:bCs/>
                <w:lang w:val="es-ES_tradnl"/>
              </w:rPr>
              <w:t xml:space="preserve">Temas:                   </w:t>
            </w:r>
          </w:p>
        </w:tc>
        <w:tc>
          <w:tcPr>
            <w:tcW w:w="6232" w:type="dxa"/>
            <w:hideMark/>
          </w:tcPr>
          <w:p w14:paraId="6A857994" w14:textId="21AC74BE" w:rsidR="00495104" w:rsidRPr="005C34EF" w:rsidRDefault="00495104" w:rsidP="00495104">
            <w:pPr>
              <w:jc w:val="both"/>
              <w:rPr>
                <w:rFonts w:ascii="Verdana" w:hAnsi="Verdana"/>
              </w:rPr>
            </w:pPr>
            <w:r w:rsidRPr="00495104">
              <w:rPr>
                <w:rFonts w:ascii="Verdana" w:eastAsia="Aptos" w:hAnsi="Verdana"/>
                <w:color w:val="000000"/>
              </w:rPr>
              <w:t xml:space="preserve">DOCUMENTOS TIPO – Fundamento normativo – Obligatoriedad – Sectores – Modalidades </w:t>
            </w:r>
            <w:r w:rsidRPr="00495104">
              <w:rPr>
                <w:rFonts w:ascii="Verdana" w:eastAsia="Aptos" w:hAnsi="Verdana"/>
              </w:rPr>
              <w:t xml:space="preserve">/ </w:t>
            </w:r>
            <w:r w:rsidR="005C34EF" w:rsidRPr="005C34EF">
              <w:rPr>
                <w:rFonts w:ascii="Verdana" w:eastAsia="Aptos" w:hAnsi="Verdana" w:cs="Arial"/>
                <w:kern w:val="2"/>
                <w:lang w:val="es-MX"/>
                <w14:ligatures w14:val="standardContextual"/>
              </w:rPr>
              <w:t>INALTERABILIDAD – Documentos Tipo – Alcance</w:t>
            </w:r>
            <w:r w:rsidR="005C34EF">
              <w:rPr>
                <w:rFonts w:ascii="Verdana" w:hAnsi="Verdana"/>
                <w:kern w:val="2"/>
                <w:lang w:val="es-MX"/>
                <w14:ligatures w14:val="standardContextual"/>
              </w:rPr>
              <w:t xml:space="preserve"> </w:t>
            </w:r>
            <w:r w:rsidR="005C34EF">
              <w:rPr>
                <w:rFonts w:ascii="Verdana" w:eastAsia="Aptos" w:hAnsi="Verdana"/>
                <w:color w:val="000000"/>
              </w:rPr>
              <w:t xml:space="preserve">/ </w:t>
            </w:r>
            <w:r w:rsidRPr="00495104">
              <w:rPr>
                <w:rFonts w:ascii="Verdana" w:eastAsia="Aptos" w:hAnsi="Verdana"/>
                <w:color w:val="000000"/>
              </w:rPr>
              <w:t xml:space="preserve">EXPERIENCIA – Acreditación − documentos tipo − Licitación de obra pública de infraestructura de transporte – Versión 4 / </w:t>
            </w:r>
            <w:r w:rsidRPr="00495104">
              <w:rPr>
                <w:rFonts w:ascii="Verdana" w:hAnsi="Verdana" w:cs="Arial"/>
              </w:rPr>
              <w:t xml:space="preserve">DOCUMENTOS TIPO </w:t>
            </w:r>
            <w:r w:rsidRPr="00495104">
              <w:rPr>
                <w:rFonts w:ascii="Verdana" w:hAnsi="Verdana" w:cs="Arial"/>
              </w:rPr>
              <w:softHyphen/>
              <w:t>– Licitación – Transporte – Versión 4 – Matriz 1 Experiencia – Complejidad alta, media o baja</w:t>
            </w:r>
          </w:p>
        </w:tc>
        <w:tc>
          <w:tcPr>
            <w:tcW w:w="6237" w:type="dxa"/>
          </w:tcPr>
          <w:p w14:paraId="1D9602E7" w14:textId="77777777" w:rsidR="00495104" w:rsidRPr="00495104" w:rsidRDefault="00495104" w:rsidP="00495104">
            <w:pPr>
              <w:spacing w:line="256" w:lineRule="auto"/>
              <w:rPr>
                <w:rFonts w:ascii="Verdana" w:hAnsi="Verdana"/>
              </w:rPr>
            </w:pPr>
          </w:p>
        </w:tc>
      </w:tr>
      <w:tr w:rsidR="00495104" w:rsidRPr="00495104" w14:paraId="2BDFD0ED" w14:textId="77777777" w:rsidTr="00A020A2">
        <w:tc>
          <w:tcPr>
            <w:tcW w:w="2694" w:type="dxa"/>
          </w:tcPr>
          <w:p w14:paraId="79D61063" w14:textId="77777777" w:rsidR="00495104" w:rsidRPr="00495104" w:rsidRDefault="00495104" w:rsidP="00495104">
            <w:pPr>
              <w:spacing w:line="256" w:lineRule="auto"/>
              <w:rPr>
                <w:rFonts w:ascii="Verdana" w:hAnsi="Verdana"/>
              </w:rPr>
            </w:pPr>
          </w:p>
          <w:p w14:paraId="243F93A9" w14:textId="77777777" w:rsidR="00495104" w:rsidRPr="00495104" w:rsidRDefault="00495104" w:rsidP="00495104">
            <w:pPr>
              <w:spacing w:line="256" w:lineRule="auto"/>
              <w:rPr>
                <w:rFonts w:ascii="Verdana" w:hAnsi="Verdana"/>
                <w:b/>
                <w:bCs/>
                <w:lang w:val="es-ES_tradnl"/>
              </w:rPr>
            </w:pPr>
            <w:r w:rsidRPr="00495104">
              <w:rPr>
                <w:rFonts w:ascii="Verdana" w:hAnsi="Verdana"/>
                <w:b/>
                <w:bCs/>
                <w:lang w:val="es-ES_tradnl"/>
              </w:rPr>
              <w:t xml:space="preserve">Radicación:               </w:t>
            </w:r>
          </w:p>
        </w:tc>
        <w:tc>
          <w:tcPr>
            <w:tcW w:w="6232" w:type="dxa"/>
          </w:tcPr>
          <w:p w14:paraId="3610913D" w14:textId="77777777" w:rsidR="00495104" w:rsidRPr="00495104" w:rsidRDefault="00495104" w:rsidP="00495104">
            <w:pPr>
              <w:spacing w:line="257" w:lineRule="auto"/>
              <w:rPr>
                <w:rFonts w:ascii="Verdana" w:hAnsi="Verdana"/>
                <w:lang w:val="es-ES_tradnl"/>
              </w:rPr>
            </w:pPr>
          </w:p>
          <w:p w14:paraId="34A098A5" w14:textId="77777777" w:rsidR="00495104" w:rsidRPr="00495104" w:rsidRDefault="00495104" w:rsidP="00495104">
            <w:pPr>
              <w:spacing w:line="257" w:lineRule="auto"/>
              <w:jc w:val="both"/>
              <w:rPr>
                <w:rFonts w:ascii="Verdana" w:hAnsi="Verdana"/>
              </w:rPr>
            </w:pPr>
            <w:r w:rsidRPr="00495104">
              <w:rPr>
                <w:rFonts w:ascii="Verdana" w:hAnsi="Verdana"/>
                <w:lang w:val="es-ES_tradnl"/>
              </w:rPr>
              <w:t xml:space="preserve">Respuesta a consulta con radicado No. </w:t>
            </w:r>
            <w:r w:rsidRPr="00495104">
              <w:rPr>
                <w:rFonts w:ascii="Verdana" w:hAnsi="Verdana"/>
              </w:rPr>
              <w:t>1_2026_04_06_004626</w:t>
            </w:r>
          </w:p>
          <w:p w14:paraId="100CB05C" w14:textId="77777777" w:rsidR="00495104" w:rsidRPr="00495104" w:rsidRDefault="00495104" w:rsidP="00495104">
            <w:pPr>
              <w:spacing w:line="257" w:lineRule="auto"/>
              <w:jc w:val="both"/>
              <w:rPr>
                <w:rFonts w:ascii="Verdana" w:hAnsi="Verdana"/>
                <w:lang w:val="es-ES_tradnl"/>
              </w:rPr>
            </w:pPr>
          </w:p>
        </w:tc>
        <w:tc>
          <w:tcPr>
            <w:tcW w:w="6237" w:type="dxa"/>
          </w:tcPr>
          <w:p w14:paraId="51D678A9" w14:textId="77777777" w:rsidR="00495104" w:rsidRPr="00495104" w:rsidRDefault="00495104" w:rsidP="00495104">
            <w:pPr>
              <w:spacing w:line="256" w:lineRule="auto"/>
              <w:rPr>
                <w:rFonts w:ascii="Verdana" w:hAnsi="Verdana"/>
                <w:lang w:val="es-ES_tradnl"/>
              </w:rPr>
            </w:pPr>
          </w:p>
        </w:tc>
      </w:tr>
    </w:tbl>
    <w:p w14:paraId="445ECC4B" w14:textId="77777777" w:rsidR="00495104" w:rsidRPr="00495104" w:rsidRDefault="00495104" w:rsidP="00495104">
      <w:pPr>
        <w:spacing w:after="0" w:line="256" w:lineRule="auto"/>
        <w:rPr>
          <w:rFonts w:ascii="Verdana" w:eastAsia="Calibri" w:hAnsi="Verdana" w:cs="Times New Roman"/>
          <w:lang w:val="es-ES"/>
        </w:rPr>
      </w:pPr>
      <w:r w:rsidRPr="00495104">
        <w:rPr>
          <w:rFonts w:ascii="Verdana" w:eastAsia="Calibri" w:hAnsi="Verdana" w:cs="Times New Roman"/>
          <w:lang w:val="es-ES"/>
        </w:rPr>
        <w:t xml:space="preserve">Estimado señor </w:t>
      </w:r>
      <w:r w:rsidRPr="00495104">
        <w:rPr>
          <w:rFonts w:ascii="Verdana" w:eastAsia="Aptos" w:hAnsi="Verdana" w:cs="Times New Roman"/>
          <w:bCs/>
          <w:kern w:val="2"/>
          <w14:ligatures w14:val="standardContextual"/>
        </w:rPr>
        <w:t>Rosales</w:t>
      </w:r>
      <w:r w:rsidRPr="00495104">
        <w:rPr>
          <w:rFonts w:ascii="Verdana" w:eastAsia="Calibri" w:hAnsi="Verdana" w:cs="Times New Roman"/>
          <w:bCs/>
          <w:lang w:val="es-ES"/>
        </w:rPr>
        <w:t>:</w:t>
      </w:r>
      <w:r w:rsidRPr="00495104">
        <w:rPr>
          <w:rFonts w:ascii="Verdana" w:eastAsia="Calibri" w:hAnsi="Verdana" w:cs="Times New Roman"/>
          <w:lang w:val="es-ES"/>
        </w:rPr>
        <w:t xml:space="preserve"> </w:t>
      </w:r>
    </w:p>
    <w:p w14:paraId="03D03BEE" w14:textId="77777777" w:rsidR="00495104" w:rsidRPr="00495104" w:rsidRDefault="00495104" w:rsidP="00495104">
      <w:pPr>
        <w:spacing w:after="0" w:line="256" w:lineRule="auto"/>
        <w:rPr>
          <w:rFonts w:ascii="Verdana" w:eastAsia="Calibri" w:hAnsi="Verdana" w:cs="Times New Roman"/>
          <w:lang w:val="es-ES"/>
        </w:rPr>
      </w:pPr>
    </w:p>
    <w:p w14:paraId="6697D567" w14:textId="77777777" w:rsidR="00495104" w:rsidRPr="00495104" w:rsidRDefault="00495104" w:rsidP="00495104">
      <w:pPr>
        <w:spacing w:after="0" w:line="276" w:lineRule="auto"/>
        <w:jc w:val="both"/>
        <w:rPr>
          <w:rFonts w:ascii="Verdana" w:eastAsia="Calibri" w:hAnsi="Verdana" w:cs="Times New Roman"/>
          <w:bCs/>
          <w:lang w:val="es-ES" w:bidi="es-ES"/>
        </w:rPr>
      </w:pPr>
      <w:r w:rsidRPr="00495104">
        <w:rPr>
          <w:rFonts w:ascii="Verdana" w:eastAsia="Calibri" w:hAnsi="Verdana" w:cs="Times New Roman"/>
          <w:bCs/>
          <w:lang w:val="es-ES" w:bidi="es-ES"/>
        </w:rPr>
        <w:t xml:space="preserve">En ejercicio de la competencia otorgada por los artículos 3, numeral 5º, y 11, numeral 8º, del Decreto Ley 4170 de 2011, </w:t>
      </w:r>
      <w:r w:rsidRPr="00495104">
        <w:rPr>
          <w:rFonts w:ascii="Verdana" w:eastAsia="Calibri" w:hAnsi="Verdana" w:cs="Times New Roman"/>
          <w:bCs/>
        </w:rPr>
        <w:t xml:space="preserve">así como lo establecido por la Resolución 469 de 2025 expedida por esta Entidad, </w:t>
      </w:r>
      <w:r w:rsidRPr="00495104">
        <w:rPr>
          <w:rFonts w:ascii="Verdana" w:eastAsia="Calibri" w:hAnsi="Verdana" w:cs="Times New Roman"/>
          <w:bCs/>
          <w:lang w:val="es-ES" w:bidi="es-ES"/>
        </w:rPr>
        <w:t xml:space="preserve">la Agencia Nacional de </w:t>
      </w:r>
      <w:r w:rsidRPr="00495104">
        <w:rPr>
          <w:rFonts w:ascii="Verdana" w:eastAsia="Calibri" w:hAnsi="Verdana" w:cs="Times New Roman"/>
          <w:bCs/>
          <w:lang w:val="es-ES" w:bidi="es-ES"/>
        </w:rPr>
        <w:lastRenderedPageBreak/>
        <w:t>Contratación Pública – Colombia Compra Eficiente– responde la solicitud del 06 de abril de 2026</w:t>
      </w:r>
      <w:r w:rsidRPr="00495104">
        <w:rPr>
          <w:rFonts w:ascii="Verdana" w:eastAsia="Calibri" w:hAnsi="Verdana" w:cs="Times New Roman"/>
          <w:bCs/>
          <w:vertAlign w:val="superscript"/>
          <w:lang w:val="es-ES" w:bidi="es-ES"/>
        </w:rPr>
        <w:footnoteReference w:id="2"/>
      </w:r>
      <w:r w:rsidRPr="00495104">
        <w:rPr>
          <w:rFonts w:ascii="Verdana" w:eastAsia="Calibri" w:hAnsi="Verdana" w:cs="Times New Roman"/>
          <w:bCs/>
          <w:lang w:val="es-ES" w:bidi="es-ES"/>
        </w:rPr>
        <w:t>, en la cual manifiesta lo siguiente:</w:t>
      </w:r>
    </w:p>
    <w:p w14:paraId="69E2B63E" w14:textId="77777777" w:rsidR="00495104" w:rsidRPr="00495104" w:rsidRDefault="00495104" w:rsidP="00495104">
      <w:pPr>
        <w:spacing w:after="0" w:line="276" w:lineRule="auto"/>
        <w:ind w:right="709"/>
        <w:jc w:val="both"/>
        <w:rPr>
          <w:rFonts w:ascii="Verdana" w:eastAsia="Calibri" w:hAnsi="Verdana" w:cs="Times New Roman"/>
          <w:iCs/>
          <w:sz w:val="20"/>
          <w:szCs w:val="20"/>
        </w:rPr>
      </w:pPr>
    </w:p>
    <w:p w14:paraId="397662F5" w14:textId="77777777" w:rsidR="00495104" w:rsidRPr="00495104" w:rsidRDefault="00495104" w:rsidP="00495104">
      <w:pPr>
        <w:spacing w:after="0" w:line="276" w:lineRule="auto"/>
        <w:ind w:left="709" w:right="709"/>
        <w:jc w:val="both"/>
        <w:rPr>
          <w:rFonts w:ascii="Verdana" w:eastAsia="Aptos" w:hAnsi="Verdana" w:cs="Times New Roman"/>
          <w:kern w:val="2"/>
          <w:sz w:val="20"/>
          <w:szCs w:val="20"/>
          <w14:ligatures w14:val="standardContextual"/>
        </w:rPr>
      </w:pPr>
      <w:r w:rsidRPr="00495104">
        <w:rPr>
          <w:rFonts w:ascii="Verdana" w:eastAsia="Calibri" w:hAnsi="Verdana" w:cs="Times New Roman"/>
          <w:iCs/>
          <w:sz w:val="20"/>
          <w:szCs w:val="20"/>
        </w:rPr>
        <w:t>“</w:t>
      </w:r>
      <w:r w:rsidRPr="00495104">
        <w:rPr>
          <w:rFonts w:ascii="Verdana" w:eastAsia="Aptos" w:hAnsi="Verdana" w:cs="Times New Roman"/>
          <w:kern w:val="2"/>
          <w:sz w:val="20"/>
          <w:szCs w:val="20"/>
          <w14:ligatures w14:val="standardContextual"/>
        </w:rPr>
        <w:t xml:space="preserve">HECHOS </w:t>
      </w:r>
    </w:p>
    <w:p w14:paraId="0DBF2334" w14:textId="77777777" w:rsidR="00495104" w:rsidRPr="00495104" w:rsidRDefault="00495104" w:rsidP="00495104">
      <w:pPr>
        <w:spacing w:after="120" w:line="276" w:lineRule="auto"/>
        <w:ind w:left="709" w:right="709"/>
        <w:jc w:val="both"/>
        <w:rPr>
          <w:rFonts w:ascii="Verdana" w:eastAsia="Aptos" w:hAnsi="Verdana" w:cs="Times New Roman"/>
          <w:kern w:val="2"/>
          <w:sz w:val="20"/>
          <w:szCs w:val="20"/>
          <w14:ligatures w14:val="standardContextual"/>
        </w:rPr>
      </w:pPr>
      <w:r w:rsidRPr="00495104">
        <w:rPr>
          <w:rFonts w:ascii="Verdana" w:eastAsia="Aptos" w:hAnsi="Verdana" w:cs="Times New Roman"/>
          <w:kern w:val="2"/>
          <w:sz w:val="20"/>
          <w:szCs w:val="20"/>
          <w14:ligatures w14:val="standardContextual"/>
        </w:rPr>
        <w:t xml:space="preserve">1. Que el 09 de marzo de 2026 el MUNICIPIO DE ANOLAIMA, publico pliego para el proceso de contratación identificado como objeto es MEJORAMIENTO DE LA VÍA URBANA UBICADA EN LA CALLE 3 ENTRE CARRERA 6 HASTA ENTRADA AL PUEBLO "MONUMENTO EL INDIO" - (TRAMO 2), DEL CASCO URBANO DEL MUNICIPIO DE ANOLAIMA, DEPARTAMENTO DE CUNDINAMARCA, SEGÚN CONVENIO ICCU-1282-2025 Y MEJORAMIENTO Y OPTIMIZACIÓN ALCANTARILLADO PLUVIAL Y SANITARIO Y REDES DE ACUEDUCTO CASCO URBANO, FASE I MUNICIPIO DE ANOLAIMA y CUNDINAMARCA SEGÚN CONVENIO EPC-CI-047-2025", y cuyo presupuesto asciende al monto de ($ 5.119.037.311,00). </w:t>
      </w:r>
    </w:p>
    <w:p w14:paraId="78B63F54" w14:textId="77777777" w:rsidR="00495104" w:rsidRPr="00495104" w:rsidRDefault="00495104" w:rsidP="00495104">
      <w:pPr>
        <w:spacing w:after="120" w:line="276" w:lineRule="auto"/>
        <w:ind w:left="709" w:right="709"/>
        <w:jc w:val="both"/>
        <w:rPr>
          <w:rFonts w:ascii="Verdana" w:eastAsia="Aptos" w:hAnsi="Verdana" w:cs="Times New Roman"/>
          <w:kern w:val="2"/>
          <w:sz w:val="20"/>
          <w:szCs w:val="20"/>
          <w14:ligatures w14:val="standardContextual"/>
        </w:rPr>
      </w:pPr>
      <w:r w:rsidRPr="00495104">
        <w:rPr>
          <w:rFonts w:ascii="Verdana" w:eastAsia="Aptos" w:hAnsi="Verdana" w:cs="Times New Roman"/>
          <w:kern w:val="2"/>
          <w:sz w:val="20"/>
          <w:szCs w:val="20"/>
          <w14:ligatures w14:val="standardContextual"/>
        </w:rPr>
        <w:t xml:space="preserve">2. Que, de conformidad con lo publicado por la entidad contratante en el pliego tipo, específicamente en el numeral 3.5.2 (páginas 26 a 32), se evidencia que fueron establecidos criterios y exigencias que exceden los parámetros definidos para la acreditación de la experiencia, incluyendo requisitos relacionados con actividades que no hacen parte del alcance del contrato a celebrar, lo cual podría constituir una restricción injustificada a la participación de oferentes. </w:t>
      </w:r>
    </w:p>
    <w:p w14:paraId="02A877A0" w14:textId="77777777" w:rsidR="00495104" w:rsidRPr="00495104" w:rsidRDefault="00495104" w:rsidP="00495104">
      <w:pPr>
        <w:spacing w:after="120" w:line="240" w:lineRule="auto"/>
        <w:ind w:left="709" w:right="709"/>
        <w:jc w:val="both"/>
        <w:rPr>
          <w:rFonts w:ascii="Verdana" w:eastAsia="Calibri" w:hAnsi="Verdana" w:cs="Times New Roman"/>
          <w:iCs/>
          <w:sz w:val="20"/>
          <w:szCs w:val="20"/>
        </w:rPr>
      </w:pPr>
      <w:r w:rsidRPr="00495104">
        <w:rPr>
          <w:rFonts w:ascii="Verdana" w:eastAsia="Aptos" w:hAnsi="Verdana" w:cs="Times New Roman"/>
          <w:kern w:val="2"/>
          <w:sz w:val="20"/>
          <w:szCs w:val="20"/>
          <w14:ligatures w14:val="standardContextual"/>
        </w:rPr>
        <w:t>3. Que, durante la etapa de presentación de observaciones a los pliegos definitivos, varios posibles oferentes, a través de la plataforma SECOP II, solicitaron la eliminación y/o ajuste de algunos de los parámetros establecidos; 1 sin embargo, en sus respuestas, la entidad contratante no solo omitió atender de fondo las solicitudes planteadas, sino que ratificó las condiciones inicialmente fijadas.</w:t>
      </w:r>
      <w:r w:rsidRPr="00495104" w:rsidDel="008C4573">
        <w:rPr>
          <w:rFonts w:ascii="Verdana" w:eastAsia="Calibri" w:hAnsi="Verdana" w:cs="Times New Roman"/>
          <w:iCs/>
          <w:sz w:val="20"/>
          <w:szCs w:val="20"/>
        </w:rPr>
        <w:t xml:space="preserve"> </w:t>
      </w:r>
    </w:p>
    <w:p w14:paraId="1401DD37" w14:textId="77777777" w:rsidR="00495104" w:rsidRPr="00495104" w:rsidRDefault="00495104" w:rsidP="00495104">
      <w:pPr>
        <w:spacing w:after="120" w:line="240" w:lineRule="auto"/>
        <w:ind w:left="709" w:right="709"/>
        <w:jc w:val="both"/>
        <w:rPr>
          <w:rFonts w:ascii="Verdana" w:eastAsia="Aptos" w:hAnsi="Verdana" w:cs="Times New Roman"/>
          <w:kern w:val="2"/>
          <w:sz w:val="20"/>
          <w:szCs w:val="20"/>
          <w14:ligatures w14:val="standardContextual"/>
        </w:rPr>
      </w:pPr>
      <w:r w:rsidRPr="00495104">
        <w:rPr>
          <w:rFonts w:ascii="Verdana" w:eastAsia="Aptos" w:hAnsi="Verdana" w:cs="Times New Roman"/>
          <w:kern w:val="2"/>
          <w:sz w:val="20"/>
          <w:szCs w:val="20"/>
          <w14:ligatures w14:val="standardContextual"/>
        </w:rPr>
        <w:t>4. Que, al cierre del proceso de selección, se presentaron quince (15) posibles oferentes; sin embargo, todos fueron declarados no habilitados en el componente técnico, de conformidad con lo establecido en el informe de evaluación publicado el 31 de marzo de 2026 con la siguiente valoración.</w:t>
      </w:r>
    </w:p>
    <w:p w14:paraId="26904147" w14:textId="77777777" w:rsidR="00495104" w:rsidRPr="00495104" w:rsidRDefault="00495104" w:rsidP="00495104">
      <w:pPr>
        <w:spacing w:after="120" w:line="240" w:lineRule="auto"/>
        <w:ind w:left="709" w:right="709"/>
        <w:jc w:val="both"/>
        <w:rPr>
          <w:rFonts w:ascii="Verdana" w:eastAsia="Aptos" w:hAnsi="Verdana" w:cs="Times New Roman"/>
          <w:kern w:val="2"/>
          <w:sz w:val="20"/>
          <w:szCs w:val="20"/>
          <w14:ligatures w14:val="standardContextual"/>
        </w:rPr>
      </w:pPr>
      <w:r w:rsidRPr="00495104">
        <w:rPr>
          <w:rFonts w:ascii="Verdana" w:eastAsia="Aptos" w:hAnsi="Verdana" w:cs="Times New Roman"/>
          <w:kern w:val="2"/>
          <w:sz w:val="20"/>
          <w:szCs w:val="20"/>
          <w14:ligatures w14:val="standardContextual"/>
        </w:rPr>
        <w:lastRenderedPageBreak/>
        <w:t>(…)</w:t>
      </w:r>
    </w:p>
    <w:p w14:paraId="0725176A" w14:textId="77777777" w:rsidR="00495104" w:rsidRPr="00495104" w:rsidRDefault="00495104" w:rsidP="00495104">
      <w:pPr>
        <w:spacing w:after="120" w:line="276" w:lineRule="auto"/>
        <w:ind w:left="709" w:right="709"/>
        <w:jc w:val="both"/>
        <w:rPr>
          <w:rFonts w:ascii="Verdana" w:eastAsia="Aptos" w:hAnsi="Verdana" w:cs="Times New Roman"/>
          <w:kern w:val="2"/>
          <w:sz w:val="20"/>
          <w:szCs w:val="20"/>
          <w14:ligatures w14:val="standardContextual"/>
        </w:rPr>
      </w:pPr>
      <w:r w:rsidRPr="00495104">
        <w:rPr>
          <w:rFonts w:ascii="Verdana" w:eastAsia="Aptos" w:hAnsi="Verdana" w:cs="Times New Roman"/>
          <w:kern w:val="2"/>
          <w:sz w:val="20"/>
          <w:szCs w:val="20"/>
          <w14:ligatures w14:val="standardContextual"/>
        </w:rPr>
        <w:t xml:space="preserve">5. Que el mismo 31 de marzo de 2026, un proponente mediante mensaje </w:t>
      </w:r>
      <w:proofErr w:type="spellStart"/>
      <w:r w:rsidRPr="00495104">
        <w:rPr>
          <w:rFonts w:ascii="Verdana" w:eastAsia="Aptos" w:hAnsi="Verdana" w:cs="Times New Roman"/>
          <w:kern w:val="2"/>
          <w:sz w:val="20"/>
          <w:szCs w:val="20"/>
          <w14:ligatures w14:val="standardContextual"/>
        </w:rPr>
        <w:t>secop</w:t>
      </w:r>
      <w:proofErr w:type="spellEnd"/>
      <w:r w:rsidRPr="00495104">
        <w:rPr>
          <w:rFonts w:ascii="Verdana" w:eastAsia="Aptos" w:hAnsi="Verdana" w:cs="Times New Roman"/>
          <w:kern w:val="2"/>
          <w:sz w:val="20"/>
          <w:szCs w:val="20"/>
          <w14:ligatures w14:val="standardContextual"/>
        </w:rPr>
        <w:t xml:space="preserve"> 2, manifiesta observación 2 la cual es rechazada y ratificada mediante comunicado sustentándose en argumentos tales como: Si bien los Pliegos Tipo de Infraestructura de Transporte (Versión 4) establecen parámetros generales, el Literal H del Numeral 3.5.2 CARACTERÍSTICAS DE LOS CONTRATOS PRESENTADOS PARA ACREDITAR LA EXPERIENCIA EXIGIDA, faculta a las entidades para exigir requisitos adicionales cuando la complejidad o el grado de especialidad del objeto así lo determine. </w:t>
      </w:r>
    </w:p>
    <w:p w14:paraId="34FFF016" w14:textId="77777777" w:rsidR="00495104" w:rsidRPr="00495104" w:rsidRDefault="00495104" w:rsidP="00495104">
      <w:pPr>
        <w:spacing w:after="120" w:line="240" w:lineRule="auto"/>
        <w:ind w:left="709" w:right="709"/>
        <w:jc w:val="both"/>
        <w:rPr>
          <w:rFonts w:ascii="Verdana" w:eastAsia="Aptos" w:hAnsi="Verdana" w:cs="Times New Roman"/>
          <w:kern w:val="2"/>
          <w:sz w:val="20"/>
          <w:szCs w:val="20"/>
          <w14:ligatures w14:val="standardContextual"/>
        </w:rPr>
      </w:pPr>
      <w:r w:rsidRPr="00495104">
        <w:rPr>
          <w:rFonts w:ascii="Verdana" w:eastAsia="Aptos" w:hAnsi="Verdana" w:cs="Times New Roman"/>
          <w:kern w:val="2"/>
          <w:sz w:val="20"/>
          <w:szCs w:val="20"/>
          <w14:ligatures w14:val="standardContextual"/>
        </w:rPr>
        <w:t xml:space="preserve">6. Que, si se analiza la operación matemática por el ítem al cual le están atribuyendo y exigiendo dicha complejidad ($19.861.284 / $5.119.037.795,88), se obtiene un resultado equivalente al 0,4%. del presupuesto oficial, una proporción claramente irrisoria, En ese sentido, dicha cifra no resulta suficiente para facultar a la entidad contratante a exigir requisitos adicionales bajo el argumento de que la complejidad o el grado de especialidad del objeto así lo determine. </w:t>
      </w:r>
    </w:p>
    <w:p w14:paraId="59AA46C5" w14:textId="77777777" w:rsidR="00495104" w:rsidRPr="00495104" w:rsidRDefault="00495104" w:rsidP="00495104">
      <w:pPr>
        <w:spacing w:after="120" w:line="240" w:lineRule="auto"/>
        <w:ind w:left="709" w:right="709"/>
        <w:jc w:val="both"/>
        <w:rPr>
          <w:rFonts w:ascii="Verdana" w:eastAsia="Aptos" w:hAnsi="Verdana" w:cs="Times New Roman"/>
          <w:kern w:val="2"/>
          <w:sz w:val="20"/>
          <w:szCs w:val="20"/>
          <w14:ligatures w14:val="standardContextual"/>
        </w:rPr>
      </w:pPr>
      <w:r w:rsidRPr="00495104">
        <w:rPr>
          <w:rFonts w:ascii="Verdana" w:eastAsia="Aptos" w:hAnsi="Verdana" w:cs="Times New Roman"/>
          <w:kern w:val="2"/>
          <w:sz w:val="20"/>
          <w:szCs w:val="20"/>
          <w14:ligatures w14:val="standardContextual"/>
        </w:rPr>
        <w:t>(…)</w:t>
      </w:r>
    </w:p>
    <w:p w14:paraId="7469D80B" w14:textId="77777777" w:rsidR="00495104" w:rsidRPr="00495104" w:rsidRDefault="00495104" w:rsidP="00495104">
      <w:pPr>
        <w:spacing w:after="120" w:line="240" w:lineRule="auto"/>
        <w:ind w:left="709" w:right="709"/>
        <w:jc w:val="both"/>
        <w:rPr>
          <w:rFonts w:ascii="Verdana" w:eastAsia="Aptos" w:hAnsi="Verdana" w:cs="Times New Roman"/>
          <w:kern w:val="2"/>
          <w:sz w:val="20"/>
          <w:szCs w:val="20"/>
          <w14:ligatures w14:val="standardContextual"/>
        </w:rPr>
      </w:pPr>
      <w:r w:rsidRPr="00495104">
        <w:rPr>
          <w:rFonts w:ascii="Verdana" w:eastAsia="Aptos" w:hAnsi="Verdana" w:cs="Times New Roman"/>
          <w:kern w:val="2"/>
          <w:sz w:val="20"/>
          <w:szCs w:val="20"/>
          <w14:ligatures w14:val="standardContextual"/>
        </w:rPr>
        <w:t xml:space="preserve">PETICIONES </w:t>
      </w:r>
    </w:p>
    <w:p w14:paraId="1B920E17" w14:textId="77777777" w:rsidR="00495104" w:rsidRPr="00495104" w:rsidRDefault="00495104" w:rsidP="00495104">
      <w:pPr>
        <w:spacing w:after="120" w:line="240" w:lineRule="auto"/>
        <w:ind w:left="709" w:right="709"/>
        <w:jc w:val="both"/>
        <w:rPr>
          <w:rFonts w:ascii="Verdana" w:eastAsia="Aptos" w:hAnsi="Verdana" w:cs="Times New Roman"/>
          <w:kern w:val="2"/>
          <w:sz w:val="20"/>
          <w:szCs w:val="20"/>
          <w14:ligatures w14:val="standardContextual"/>
        </w:rPr>
      </w:pPr>
      <w:r w:rsidRPr="00495104">
        <w:rPr>
          <w:rFonts w:ascii="Verdana" w:eastAsia="Aptos" w:hAnsi="Verdana" w:cs="Times New Roman"/>
          <w:kern w:val="2"/>
          <w:sz w:val="20"/>
          <w:szCs w:val="20"/>
          <w14:ligatures w14:val="standardContextual"/>
        </w:rPr>
        <w:t xml:space="preserve">Con fundamento en lo anterior, respetuosamente solicito: </w:t>
      </w:r>
    </w:p>
    <w:p w14:paraId="4D335801" w14:textId="77777777" w:rsidR="00495104" w:rsidRPr="00495104" w:rsidRDefault="00495104" w:rsidP="00495104">
      <w:pPr>
        <w:spacing w:after="120" w:line="240" w:lineRule="auto"/>
        <w:ind w:left="709" w:right="709"/>
        <w:jc w:val="both"/>
        <w:rPr>
          <w:rFonts w:ascii="Verdana" w:eastAsia="Aptos" w:hAnsi="Verdana" w:cs="Times New Roman"/>
          <w:kern w:val="2"/>
          <w:sz w:val="20"/>
          <w:szCs w:val="20"/>
          <w14:ligatures w14:val="standardContextual"/>
        </w:rPr>
      </w:pPr>
      <w:r w:rsidRPr="00495104">
        <w:rPr>
          <w:rFonts w:ascii="Verdana" w:eastAsia="Aptos" w:hAnsi="Verdana" w:cs="Times New Roman"/>
          <w:kern w:val="2"/>
          <w:sz w:val="20"/>
          <w:szCs w:val="20"/>
          <w14:ligatures w14:val="standardContextual"/>
        </w:rPr>
        <w:t>1. Solicitar a Colombia Compra Eficiente la elaboración de una ilustración y explicación clara de los términos “COMPLEJIDAD TÉCNICA” Y “GRADO DE ESPECIALIDAD”, toda vez que, conforme a lo establecido en la Guía para la comprensión e implementación de los Documentos Tipo de obra pública de infraestructura de transporte bajo las diferentes modalidades de contratación vigentes, en el apartado “Establecimiento de la complejidad técnica” (pág. 16), no se encuentra definida dicha noción. Asimismo, esta ausencia de definición se mantiene en el Concepto C–744 de 2020 y en los desarrollos contenidos en el Anexo 3 – Glosario, el cual constituye una guía hermenéutica de gran relevancia para la interpretación de los conceptos técnicos incluidos en la matriz indicada.</w:t>
      </w:r>
    </w:p>
    <w:p w14:paraId="45C3FB6D" w14:textId="77777777" w:rsidR="00495104" w:rsidRPr="00495104" w:rsidRDefault="00495104" w:rsidP="00495104">
      <w:pPr>
        <w:spacing w:after="120" w:line="240" w:lineRule="auto"/>
        <w:ind w:left="709" w:right="709"/>
        <w:jc w:val="both"/>
        <w:rPr>
          <w:rFonts w:ascii="Verdana" w:eastAsia="Aptos" w:hAnsi="Verdana" w:cs="Times New Roman"/>
          <w:kern w:val="2"/>
          <w:sz w:val="20"/>
          <w:szCs w:val="20"/>
          <w14:ligatures w14:val="standardContextual"/>
        </w:rPr>
      </w:pPr>
      <w:r w:rsidRPr="00495104">
        <w:rPr>
          <w:rFonts w:ascii="Verdana" w:eastAsia="Aptos" w:hAnsi="Verdana" w:cs="Times New Roman"/>
          <w:kern w:val="2"/>
          <w:sz w:val="20"/>
          <w:szCs w:val="20"/>
          <w14:ligatures w14:val="standardContextual"/>
        </w:rPr>
        <w:t>2. Solicitar a Colombia Compra Eficiente la emisión de un concepto que precise los límites y el alcance que tienen las entidades para exigir o determinar cuándo se configura una verdadera complejidad técnica en un proyecto. Esto resulta necesario, dado que al analizar el texto inicial de las matrices 1 y 3 —“Las Entidades Estatales no podrán incluir, modificar, suprimir o alterar las condiciones de experiencia establecidas en esta Matriz, salvo cuando de forma expresa esta lo determine”, pues se evidencia que, a partir de la excepción subrayada, algunas entidades justifican la elaboración de los denominados coloquialmente “Pliegos Sastre”, incorporando exigencias con direccionamiento específico.</w:t>
      </w:r>
    </w:p>
    <w:p w14:paraId="0A914F01" w14:textId="77777777" w:rsidR="00495104" w:rsidRPr="00495104" w:rsidRDefault="00495104" w:rsidP="00495104">
      <w:pPr>
        <w:spacing w:after="0" w:line="240" w:lineRule="auto"/>
        <w:ind w:left="709" w:right="709"/>
        <w:jc w:val="both"/>
        <w:rPr>
          <w:rFonts w:ascii="Verdana" w:eastAsia="Aptos" w:hAnsi="Verdana" w:cs="Times New Roman"/>
          <w:kern w:val="2"/>
          <w:sz w:val="20"/>
          <w:szCs w:val="20"/>
          <w14:ligatures w14:val="standardContextual"/>
        </w:rPr>
      </w:pPr>
      <w:r w:rsidRPr="00495104">
        <w:rPr>
          <w:rFonts w:ascii="Verdana" w:eastAsia="Aptos" w:hAnsi="Verdana" w:cs="Times New Roman"/>
          <w:kern w:val="2"/>
          <w:sz w:val="20"/>
          <w:szCs w:val="20"/>
          <w14:ligatures w14:val="standardContextual"/>
        </w:rPr>
        <w:lastRenderedPageBreak/>
        <w:t xml:space="preserve">(…)”. </w:t>
      </w:r>
    </w:p>
    <w:p w14:paraId="03909B01" w14:textId="77777777" w:rsidR="00495104" w:rsidRPr="00495104" w:rsidRDefault="00495104" w:rsidP="00495104">
      <w:pPr>
        <w:spacing w:after="0" w:line="276" w:lineRule="auto"/>
        <w:jc w:val="both"/>
        <w:rPr>
          <w:rFonts w:ascii="Verdana" w:eastAsia="Calibri" w:hAnsi="Verdana" w:cs="Times New Roman"/>
          <w:i/>
          <w:iCs/>
          <w:lang w:val="es-ES"/>
        </w:rPr>
      </w:pPr>
    </w:p>
    <w:p w14:paraId="5D972D55" w14:textId="77777777" w:rsidR="00495104" w:rsidRPr="00495104" w:rsidRDefault="00495104" w:rsidP="00495104">
      <w:pPr>
        <w:spacing w:after="120" w:line="276" w:lineRule="auto"/>
        <w:ind w:firstLine="709"/>
        <w:jc w:val="both"/>
        <w:rPr>
          <w:rFonts w:ascii="Verdana" w:eastAsia="Calibri" w:hAnsi="Verdana" w:cs="Times New Roman"/>
          <w:lang w:val="es-ES"/>
        </w:rPr>
      </w:pPr>
      <w:r w:rsidRPr="00495104">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0BB30A05" w14:textId="77777777" w:rsidR="00495104" w:rsidRPr="00495104" w:rsidRDefault="00495104" w:rsidP="00495104">
      <w:pPr>
        <w:spacing w:after="120" w:line="276" w:lineRule="auto"/>
        <w:ind w:firstLine="708"/>
        <w:jc w:val="both"/>
        <w:rPr>
          <w:rFonts w:ascii="Verdana" w:eastAsia="Calibri" w:hAnsi="Verdana" w:cs="Times New Roman"/>
          <w:lang w:val="es-ES"/>
        </w:rPr>
      </w:pPr>
      <w:r w:rsidRPr="00495104">
        <w:rPr>
          <w:rFonts w:ascii="Verdana" w:eastAsia="Calibri" w:hAnsi="Verdana" w:cs="Times New Roman"/>
          <w:lang w:val="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6E942A1F" w14:textId="77777777" w:rsidR="00495104" w:rsidRPr="00495104" w:rsidRDefault="00495104" w:rsidP="00495104">
      <w:pPr>
        <w:spacing w:after="0" w:line="256" w:lineRule="auto"/>
        <w:rPr>
          <w:rFonts w:ascii="Verdana" w:eastAsia="Calibri" w:hAnsi="Verdana" w:cs="Times New Roman"/>
          <w:lang w:val="es-ES"/>
        </w:rPr>
      </w:pPr>
    </w:p>
    <w:p w14:paraId="4520CBF7" w14:textId="77777777" w:rsidR="00495104" w:rsidRPr="00495104" w:rsidRDefault="00495104" w:rsidP="00495104">
      <w:pPr>
        <w:spacing w:after="0" w:line="256" w:lineRule="auto"/>
        <w:rPr>
          <w:rFonts w:ascii="Verdana" w:eastAsia="Calibri" w:hAnsi="Verdana" w:cs="Times New Roman"/>
          <w:b/>
          <w:bCs/>
          <w:lang w:val="es-ES"/>
        </w:rPr>
      </w:pPr>
      <w:r w:rsidRPr="00495104">
        <w:rPr>
          <w:rFonts w:ascii="Verdana" w:eastAsia="Calibri" w:hAnsi="Verdana" w:cs="Times New Roman"/>
          <w:b/>
          <w:bCs/>
          <w:lang w:val="es-ES"/>
        </w:rPr>
        <w:t>1. Problema planteado:</w:t>
      </w:r>
    </w:p>
    <w:p w14:paraId="163DA15E" w14:textId="77777777" w:rsidR="00495104" w:rsidRPr="00495104" w:rsidRDefault="00495104" w:rsidP="00495104">
      <w:pPr>
        <w:spacing w:after="0" w:line="256" w:lineRule="auto"/>
        <w:rPr>
          <w:rFonts w:ascii="Verdana" w:eastAsia="Calibri" w:hAnsi="Verdana" w:cs="Times New Roman"/>
        </w:rPr>
      </w:pPr>
    </w:p>
    <w:p w14:paraId="5564566F" w14:textId="3A348790" w:rsidR="00495104" w:rsidRPr="00495104" w:rsidRDefault="00495104" w:rsidP="00495104">
      <w:pPr>
        <w:spacing w:after="0" w:line="276" w:lineRule="auto"/>
        <w:jc w:val="both"/>
        <w:rPr>
          <w:rFonts w:ascii="Verdana" w:eastAsia="Calibri" w:hAnsi="Verdana" w:cs="Times New Roman"/>
          <w:bCs/>
        </w:rPr>
      </w:pPr>
      <w:r w:rsidRPr="00495104">
        <w:rPr>
          <w:rFonts w:ascii="Verdana" w:eastAsia="Calibri" w:hAnsi="Verdana" w:cs="Times New Roman"/>
        </w:rPr>
        <w:t xml:space="preserve">De acuerdo con el contenido de su solicitud, en relación con los documentos tipo de licitación de obra pública de infraestructura de transporte – versión 4, esta Agencia procede a resolver los siguientes problemas jurídicos: i) </w:t>
      </w:r>
      <w:r w:rsidRPr="00495104">
        <w:rPr>
          <w:rFonts w:ascii="Verdana" w:eastAsia="Calibri" w:hAnsi="Verdana" w:cs="Arial"/>
          <w:lang w:val="es-MX"/>
        </w:rPr>
        <w:t xml:space="preserve">¿Qué criterios deben servir de parámetros a las entidades contratantes para determinar cuál de las dos matrices deben aplicar? y ii) ¿Mediante qué caso puede la Agencia ejemplificar la forma de definir en un proyecto la complejidad técnica? </w:t>
      </w:r>
    </w:p>
    <w:p w14:paraId="0554BE83" w14:textId="77777777" w:rsidR="00495104" w:rsidRPr="00495104" w:rsidRDefault="00495104" w:rsidP="00495104">
      <w:pPr>
        <w:spacing w:after="0" w:line="256" w:lineRule="auto"/>
        <w:contextualSpacing/>
        <w:rPr>
          <w:rFonts w:ascii="Verdana" w:eastAsia="Calibri" w:hAnsi="Verdana" w:cs="Times New Roman"/>
        </w:rPr>
      </w:pPr>
    </w:p>
    <w:p w14:paraId="1F1D676E" w14:textId="77777777" w:rsidR="00495104" w:rsidRPr="00495104" w:rsidRDefault="00495104" w:rsidP="00495104">
      <w:pPr>
        <w:spacing w:after="0" w:line="256" w:lineRule="auto"/>
        <w:contextualSpacing/>
        <w:rPr>
          <w:rFonts w:ascii="Verdana" w:eastAsia="Calibri" w:hAnsi="Verdana" w:cs="Times New Roman"/>
          <w:b/>
          <w:bCs/>
          <w:lang w:val="es-ES"/>
        </w:rPr>
      </w:pPr>
      <w:r w:rsidRPr="00495104">
        <w:rPr>
          <w:rFonts w:ascii="Verdana" w:eastAsia="Calibri" w:hAnsi="Verdana" w:cs="Times New Roman"/>
          <w:b/>
          <w:bCs/>
          <w:lang w:val="es-ES"/>
        </w:rPr>
        <w:t>2. Respuesta:</w:t>
      </w:r>
    </w:p>
    <w:p w14:paraId="4615B782" w14:textId="77777777" w:rsidR="00495104" w:rsidRPr="00495104" w:rsidRDefault="00495104" w:rsidP="00495104">
      <w:pPr>
        <w:spacing w:after="0" w:line="276" w:lineRule="auto"/>
        <w:rPr>
          <w:rFonts w:ascii="Verdana" w:eastAsia="Calibri" w:hAnsi="Verdana" w:cs="Times New Roman"/>
          <w:b/>
          <w:bCs/>
          <w:lang w:val="es-ES"/>
        </w:rPr>
      </w:pPr>
    </w:p>
    <w:tbl>
      <w:tblPr>
        <w:tblStyle w:val="Tablaconcuadrcula1"/>
        <w:tblW w:w="0" w:type="auto"/>
        <w:tblInd w:w="0"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95104" w:rsidRPr="00495104" w14:paraId="642AD6C8" w14:textId="77777777" w:rsidTr="00A020A2">
        <w:trPr>
          <w:trHeight w:val="40"/>
        </w:trPr>
        <w:tc>
          <w:tcPr>
            <w:tcW w:w="8828" w:type="dxa"/>
            <w:tcBorders>
              <w:top w:val="dotted" w:sz="4" w:space="0" w:color="auto"/>
              <w:left w:val="dotted" w:sz="4" w:space="0" w:color="auto"/>
              <w:bottom w:val="dotted" w:sz="4" w:space="0" w:color="auto"/>
              <w:right w:val="dotted" w:sz="4" w:space="0" w:color="auto"/>
            </w:tcBorders>
          </w:tcPr>
          <w:p w14:paraId="4A2DDA2E" w14:textId="77777777" w:rsidR="00495104" w:rsidRPr="00495104" w:rsidRDefault="00495104" w:rsidP="00495104">
            <w:pPr>
              <w:spacing w:before="120" w:after="120" w:line="276" w:lineRule="auto"/>
              <w:ind w:right="51"/>
              <w:jc w:val="both"/>
              <w:rPr>
                <w:rFonts w:ascii="Verdana" w:hAnsi="Verdana" w:cs="Arial"/>
                <w:lang w:val="es-MX"/>
              </w:rPr>
            </w:pPr>
            <w:r w:rsidRPr="00495104">
              <w:rPr>
                <w:rFonts w:ascii="Verdana" w:hAnsi="Verdana" w:cs="Arial"/>
                <w:lang w:val="es-MX"/>
              </w:rPr>
              <w:lastRenderedPageBreak/>
              <w:t xml:space="preserve">i. En el documento base o pliego tipo adoptado por la Resolución No. 465 del 10 de septiembre de 2024, se desarrolla el numeral 3.5.1 “Determinación de los requisitos mínimos de experiencia según la Matriz 1 – Experiencia”, en el que la entidad debe justificar, expresa y suficientemente la complejidad del proyecto, determinando si es de: a) Proyecto de Media o Baja Complejidad o b) Proyecto de Alta Complejidad. </w:t>
            </w:r>
          </w:p>
          <w:p w14:paraId="5C17FC63" w14:textId="77777777" w:rsidR="00495104" w:rsidRPr="00495104" w:rsidRDefault="00495104" w:rsidP="00495104">
            <w:pPr>
              <w:spacing w:after="120" w:line="276" w:lineRule="auto"/>
              <w:ind w:right="51" w:firstLine="709"/>
              <w:jc w:val="both"/>
              <w:rPr>
                <w:rFonts w:ascii="Verdana" w:hAnsi="Verdana" w:cs="Arial"/>
                <w:lang w:val="es-MX"/>
              </w:rPr>
            </w:pPr>
            <w:r w:rsidRPr="00495104">
              <w:rPr>
                <w:rFonts w:ascii="Verdana" w:hAnsi="Verdana" w:cs="Arial"/>
                <w:lang w:val="es-MX"/>
              </w:rPr>
              <w:t xml:space="preserve">De acuerdo con lo dispuesto en el numeral 3.5.1 “Determinación de los requisitos mínimos de experiencia según la matriz 1 – experiencia” del documento base, la entidad deberá diligenciar el cuadro que allí se dispone para justificar la complejidad técnica del proyecto en concordancia con lo previsto en la Matriz 1 – Experiencia. Esto garantiza que las entidades justifiquen en el pliego de condiciones, en la casilla dispuesta para el efecto, las razones que determinan la complejidad técnica del proyecto de acuerdo con las condiciones establecidas en la Matriz 1 – Experiencia, además, permite que los interesados en el proceso puedan conocer los argumentos que llevan a la entidad a determinar la complejidad del proyecto y los requisitos de experiencia a exigir. </w:t>
            </w:r>
          </w:p>
          <w:p w14:paraId="1F3A4E77" w14:textId="77777777" w:rsidR="00495104" w:rsidRPr="00495104" w:rsidRDefault="00495104" w:rsidP="00495104">
            <w:pPr>
              <w:spacing w:before="120" w:after="120" w:line="276" w:lineRule="auto"/>
              <w:ind w:right="51"/>
              <w:jc w:val="both"/>
              <w:rPr>
                <w:rFonts w:ascii="Verdana" w:hAnsi="Verdana" w:cs="Arial"/>
                <w:lang w:val="es-MX"/>
              </w:rPr>
            </w:pPr>
            <w:r w:rsidRPr="00495104">
              <w:rPr>
                <w:rFonts w:ascii="Verdana" w:hAnsi="Verdana" w:cs="Arial"/>
                <w:lang w:val="es-MX"/>
              </w:rPr>
              <w:tab/>
              <w:t xml:space="preserve">En este sentido, surge el siguiente interrogante: </w:t>
            </w:r>
            <w:r w:rsidRPr="00495104">
              <w:rPr>
                <w:rFonts w:ascii="Verdana" w:hAnsi="Verdana" w:cs="Arial"/>
                <w:i/>
                <w:iCs/>
                <w:lang w:val="es-MX"/>
              </w:rPr>
              <w:t>¿qué criterios deben servir de parámetros a las entidades contratantes para determinar cuál de las dos matrices deben aplicar?</w:t>
            </w:r>
            <w:r w:rsidRPr="00495104">
              <w:rPr>
                <w:rFonts w:ascii="Verdana" w:hAnsi="Verdana" w:cs="Arial"/>
                <w:lang w:val="es-MX"/>
              </w:rPr>
              <w:t xml:space="preserve"> Al respecto, la Agencia consideró que no era adecuado definir la complejidad en abstracto o limitarla simplemente por la cuantía de un proyecto, sino por otras circunstancias netamente técnicas que suelen ser particulares de cada proyecto, tales como, las condiciones geográficas, geológicas, hidrológicas, climáticas, entre otros, ya que son inherentes a cada proyecto de infraestructura de transporte y su alcance, por lo que estas circunstancias tan variables deben valorarse en cada proyecto por la entidad respectiva, siendo los elementos más determinantes para definir la complejidad técnica de un proyecto y exigir una mayor idoneidad o experiencia para afrontar la ejecución de estos contratos.</w:t>
            </w:r>
            <w:r w:rsidRPr="00495104" w:rsidDel="00161D4D">
              <w:rPr>
                <w:rFonts w:ascii="Verdana" w:hAnsi="Verdana" w:cs="Arial"/>
                <w:lang w:val="es-MX"/>
              </w:rPr>
              <w:t xml:space="preserve"> </w:t>
            </w:r>
          </w:p>
          <w:p w14:paraId="1AE0DF4F" w14:textId="4E9798F3" w:rsidR="00495104" w:rsidRPr="00495104" w:rsidRDefault="00495104" w:rsidP="00495104">
            <w:pPr>
              <w:spacing w:after="120" w:line="276" w:lineRule="auto"/>
              <w:ind w:right="51"/>
              <w:jc w:val="both"/>
              <w:rPr>
                <w:rFonts w:ascii="Verdana" w:hAnsi="Verdana" w:cs="Arial"/>
                <w:lang w:val="es-MX"/>
              </w:rPr>
            </w:pPr>
            <w:r w:rsidRPr="00495104">
              <w:rPr>
                <w:rFonts w:ascii="Verdana" w:hAnsi="Verdana" w:cs="Arial"/>
                <w:lang w:val="es-MX"/>
              </w:rPr>
              <w:tab/>
              <w:t xml:space="preserve">Dicho de otra forma, la complejidad técnica de un proyecto debe establecerse en concreto, debido a que, por ejemplo, la cuantía de </w:t>
            </w:r>
            <w:r w:rsidR="00016942">
              <w:rPr>
                <w:rFonts w:ascii="Verdana" w:hAnsi="Verdana" w:cs="Arial"/>
                <w:lang w:val="es-MX"/>
              </w:rPr>
              <w:t xml:space="preserve">un </w:t>
            </w:r>
            <w:r w:rsidRPr="00495104">
              <w:rPr>
                <w:rFonts w:ascii="Verdana" w:hAnsi="Verdana" w:cs="Arial"/>
                <w:lang w:val="es-MX"/>
              </w:rPr>
              <w:t xml:space="preserve"> </w:t>
            </w:r>
            <w:r w:rsidR="000D1EBE">
              <w:rPr>
                <w:rFonts w:ascii="Verdana" w:hAnsi="Verdana" w:cs="Arial"/>
                <w:lang w:val="es-MX"/>
              </w:rPr>
              <w:t>P</w:t>
            </w:r>
            <w:r w:rsidRPr="00495104">
              <w:rPr>
                <w:rFonts w:ascii="Verdana" w:hAnsi="Verdana" w:cs="Arial"/>
                <w:lang w:val="es-MX"/>
              </w:rPr>
              <w:t xml:space="preserve">roceso de </w:t>
            </w:r>
            <w:r w:rsidR="000D1EBE">
              <w:rPr>
                <w:rFonts w:ascii="Verdana" w:hAnsi="Verdana" w:cs="Arial"/>
                <w:lang w:val="es-MX"/>
              </w:rPr>
              <w:t>C</w:t>
            </w:r>
            <w:r w:rsidRPr="00495104">
              <w:rPr>
                <w:rFonts w:ascii="Verdana" w:hAnsi="Verdana" w:cs="Arial"/>
                <w:lang w:val="es-MX"/>
              </w:rPr>
              <w:t xml:space="preserve">ontratación, que sería un criterio transversal, no constituye el único parámetro para señalar cuando un proyecto tiene una complejidad baja–media o alta, toda vez que depende en mayor medida de consideraciones </w:t>
            </w:r>
            <w:r w:rsidRPr="00495104">
              <w:rPr>
                <w:rFonts w:ascii="Verdana" w:hAnsi="Verdana" w:cs="Arial"/>
                <w:lang w:val="es-MX"/>
              </w:rPr>
              <w:lastRenderedPageBreak/>
              <w:t xml:space="preserve">técnicas. Por esta razón, la Agencia incluyó en el documento base los siguientes criterios enunciativos o ejemplificativos, desde el punto de vista técnico, con la finalidad de orientar a las entidades estatales, los cuales puede utilizar cada una de ellas para justificar cuando un </w:t>
            </w:r>
            <w:r w:rsidR="000D1EBE">
              <w:rPr>
                <w:rFonts w:ascii="Verdana" w:hAnsi="Verdana" w:cs="Arial"/>
                <w:lang w:val="es-MX"/>
              </w:rPr>
              <w:t>P</w:t>
            </w:r>
            <w:r w:rsidRPr="00495104">
              <w:rPr>
                <w:rFonts w:ascii="Verdana" w:hAnsi="Verdana" w:cs="Arial"/>
                <w:lang w:val="es-MX"/>
              </w:rPr>
              <w:t xml:space="preserve">roceso de </w:t>
            </w:r>
            <w:r w:rsidR="000D1EBE">
              <w:rPr>
                <w:rFonts w:ascii="Verdana" w:hAnsi="Verdana" w:cs="Arial"/>
                <w:lang w:val="es-MX"/>
              </w:rPr>
              <w:t>C</w:t>
            </w:r>
            <w:r w:rsidRPr="00495104">
              <w:rPr>
                <w:rFonts w:ascii="Verdana" w:hAnsi="Verdana" w:cs="Arial"/>
                <w:lang w:val="es-MX"/>
              </w:rPr>
              <w:t xml:space="preserve">ontratación se considera de baja‒media o alta complejidad, dependiendo de cada proyecto a ejecutar: las condiciones geográficas, geológicas, hidrológicas, climáticas, así como el alcance físico del proyecto de infraestructura de transporte. En todo caso, la justificación corresponde elaborarla a cada entidad y debe quedar soportada en el “Numeral 3.5.1”. </w:t>
            </w:r>
          </w:p>
          <w:p w14:paraId="3FE39664" w14:textId="77777777" w:rsidR="00495104" w:rsidRPr="00495104" w:rsidRDefault="00495104" w:rsidP="00495104">
            <w:pPr>
              <w:spacing w:after="120" w:line="276" w:lineRule="auto"/>
              <w:ind w:right="51"/>
              <w:jc w:val="both"/>
              <w:rPr>
                <w:rFonts w:ascii="Verdana" w:hAnsi="Verdana" w:cs="Arial"/>
                <w:lang w:val="es-MX"/>
              </w:rPr>
            </w:pPr>
            <w:r w:rsidRPr="00495104">
              <w:rPr>
                <w:rFonts w:ascii="Verdana" w:hAnsi="Verdana" w:cs="Arial"/>
                <w:lang w:val="es-MX"/>
              </w:rPr>
              <w:tab/>
              <w:t xml:space="preserve">Ahora bien, debe destacarse que los interesados en el procedimiento de selección podrán presentar observaciones al proyecto de pliego de condiciones, indicándole a la entidad las razones por las cuales, eventualmente, consideran que la complejidad técnica del proyecto no es la adecuada, señalando la matriz de experiencia que consideran debe utilizarse. De este modo, los posibles interesados podrán solicitar el ajuste del pliego de condiciones en los casos en que consideren se requiere esa modificación. </w:t>
            </w:r>
          </w:p>
          <w:p w14:paraId="190D591D" w14:textId="53F160B5" w:rsidR="00495104" w:rsidRPr="00495104" w:rsidRDefault="00495104" w:rsidP="00495104">
            <w:pPr>
              <w:spacing w:before="120" w:after="120" w:line="276" w:lineRule="auto"/>
              <w:ind w:right="51"/>
              <w:jc w:val="both"/>
              <w:rPr>
                <w:rFonts w:ascii="Verdana" w:hAnsi="Verdana" w:cs="Arial"/>
                <w:lang w:val="es-MX"/>
              </w:rPr>
            </w:pPr>
            <w:r w:rsidRPr="00495104">
              <w:rPr>
                <w:rFonts w:ascii="Verdana" w:hAnsi="Verdana" w:cs="Arial"/>
                <w:lang w:val="es-MX"/>
              </w:rPr>
              <w:t xml:space="preserve">ii. A continuación se explicará, por medio de un caso hipotético, cómo se define la complejidad en dos proyectos distintos. Sin embargo, se precisa que las circunstancias concretas de cada proyecto deben ser valoradas por cada </w:t>
            </w:r>
            <w:r w:rsidR="00BE1D49">
              <w:rPr>
                <w:rFonts w:ascii="Verdana" w:hAnsi="Verdana" w:cs="Arial"/>
                <w:lang w:val="es-MX"/>
              </w:rPr>
              <w:t>E</w:t>
            </w:r>
            <w:r w:rsidRPr="00495104">
              <w:rPr>
                <w:rFonts w:ascii="Verdana" w:hAnsi="Verdana" w:cs="Arial"/>
                <w:lang w:val="es-MX"/>
              </w:rPr>
              <w:t xml:space="preserve">ntidad </w:t>
            </w:r>
            <w:r w:rsidR="00BE1D49">
              <w:rPr>
                <w:rFonts w:ascii="Verdana" w:hAnsi="Verdana" w:cs="Arial"/>
                <w:lang w:val="es-MX"/>
              </w:rPr>
              <w:t>E</w:t>
            </w:r>
            <w:r w:rsidRPr="00495104">
              <w:rPr>
                <w:rFonts w:ascii="Verdana" w:hAnsi="Verdana" w:cs="Arial"/>
                <w:lang w:val="es-MX"/>
              </w:rPr>
              <w:t xml:space="preserve">statal, a quien le corresponde definir en cada caso específico la complejidad del proyecto, de manera que se exijan requisitos de experiencia proporcionales a dicha complejidad. </w:t>
            </w:r>
          </w:p>
          <w:p w14:paraId="30207EC2" w14:textId="77777777" w:rsidR="00495104" w:rsidRPr="00495104" w:rsidRDefault="00495104" w:rsidP="00495104">
            <w:pPr>
              <w:spacing w:before="120" w:after="120" w:line="276" w:lineRule="auto"/>
              <w:jc w:val="both"/>
              <w:rPr>
                <w:rFonts w:ascii="Verdana" w:hAnsi="Verdana" w:cs="Arial"/>
                <w:lang w:val="es-MX"/>
              </w:rPr>
            </w:pPr>
            <w:r w:rsidRPr="00495104">
              <w:rPr>
                <w:rFonts w:ascii="Verdana" w:hAnsi="Verdana" w:cs="Arial"/>
                <w:lang w:val="es-MX"/>
              </w:rPr>
              <w:tab/>
              <w:t xml:space="preserve">Un municipio del departamento de Chocó requiere contratar el mejoramiento de una vía terciaria, cuya longitud es aproximadamente de 30 KM y cuyo valor del proceso corresponde a 3.028 SMMLV. Por su parte, el municipio de Barranquilla contrata la rehabilitación de una vía terciaria de una longitud aproximada de 150 KM y cuyo valor del proceso corresponde a 11.000 SMMLV. </w:t>
            </w:r>
          </w:p>
          <w:p w14:paraId="69ABAE6B" w14:textId="77777777" w:rsidR="00495104" w:rsidRPr="00495104" w:rsidRDefault="00495104" w:rsidP="00495104">
            <w:pPr>
              <w:spacing w:before="120" w:after="120" w:line="276" w:lineRule="auto"/>
              <w:ind w:firstLine="708"/>
              <w:jc w:val="both"/>
              <w:rPr>
                <w:rFonts w:ascii="Verdana" w:hAnsi="Verdana" w:cs="Arial"/>
                <w:lang w:val="es-MX"/>
              </w:rPr>
            </w:pPr>
            <w:r w:rsidRPr="00495104">
              <w:rPr>
                <w:rFonts w:ascii="Verdana" w:hAnsi="Verdana" w:cs="Arial"/>
                <w:lang w:val="es-MX"/>
              </w:rPr>
              <w:t xml:space="preserve">Ahora bien, en relación con estos proyectos de contratación es importante señalar que las condiciones geográficas, geológicas, hidrológicas, climáticas de cada lugar son diferentes. En el Chocó, según la clasificación de Koeppen, el clima es bastante húmedo de selva, con lluvias durante todo el año, razón por la cual está clasificado como uno de los departamentos con mayores lluvias del país. Por su parte, Barranquilla tiene un clima tropical </w:t>
            </w:r>
            <w:r w:rsidRPr="00495104">
              <w:rPr>
                <w:rFonts w:ascii="Verdana" w:hAnsi="Verdana" w:cs="Arial"/>
                <w:lang w:val="es-MX"/>
              </w:rPr>
              <w:lastRenderedPageBreak/>
              <w:t xml:space="preserve">cálido y húmedo caracterizado por temperaturas altas y estables, en donde las lluvias no son significativas. </w:t>
            </w:r>
          </w:p>
          <w:p w14:paraId="7A4F25D2" w14:textId="267611B3" w:rsidR="00495104" w:rsidRPr="00495104" w:rsidRDefault="00495104" w:rsidP="00495104">
            <w:pPr>
              <w:spacing w:before="120" w:after="120" w:line="276" w:lineRule="auto"/>
              <w:ind w:firstLine="708"/>
              <w:jc w:val="both"/>
              <w:rPr>
                <w:rFonts w:ascii="Verdana" w:hAnsi="Verdana" w:cs="Arial"/>
                <w:lang w:val="es-MX"/>
              </w:rPr>
            </w:pPr>
            <w:r w:rsidRPr="00495104">
              <w:rPr>
                <w:rFonts w:ascii="Verdana" w:hAnsi="Verdana" w:cs="Arial"/>
                <w:lang w:val="es-MX"/>
              </w:rPr>
              <w:t xml:space="preserve">Del supuesto planteado en la consulta se deriva que en ambos </w:t>
            </w:r>
            <w:r w:rsidR="006A6453">
              <w:rPr>
                <w:rFonts w:ascii="Verdana" w:hAnsi="Verdana" w:cs="Arial"/>
                <w:lang w:val="es-MX"/>
              </w:rPr>
              <w:t>P</w:t>
            </w:r>
            <w:r w:rsidRPr="00495104">
              <w:rPr>
                <w:rFonts w:ascii="Verdana" w:hAnsi="Verdana" w:cs="Arial"/>
                <w:lang w:val="es-MX"/>
              </w:rPr>
              <w:t xml:space="preserve">rocesos de </w:t>
            </w:r>
            <w:r w:rsidR="006A6453">
              <w:rPr>
                <w:rFonts w:ascii="Verdana" w:hAnsi="Verdana" w:cs="Arial"/>
                <w:lang w:val="es-MX"/>
              </w:rPr>
              <w:t>C</w:t>
            </w:r>
            <w:r w:rsidRPr="00495104">
              <w:rPr>
                <w:rFonts w:ascii="Verdana" w:hAnsi="Verdana" w:cs="Arial"/>
                <w:lang w:val="es-MX"/>
              </w:rPr>
              <w:t xml:space="preserve">ontratación se ejecutarán proyectos de mejoramiento o rehabilitación en vías terciarias. Ahora bien, la cuantía y la longitud de los procesos difiere, puesto que, en Barranquilla la cuantía y la longitud de la obra es mayor en comparación con Chocó. </w:t>
            </w:r>
          </w:p>
          <w:p w14:paraId="496AD928" w14:textId="77777777" w:rsidR="00495104" w:rsidRPr="00495104" w:rsidRDefault="00495104" w:rsidP="00495104">
            <w:pPr>
              <w:spacing w:before="120" w:after="120" w:line="276" w:lineRule="auto"/>
              <w:ind w:firstLine="708"/>
              <w:jc w:val="both"/>
              <w:rPr>
                <w:rFonts w:ascii="Verdana" w:hAnsi="Verdana" w:cs="Arial"/>
                <w:lang w:val="es-MX"/>
              </w:rPr>
            </w:pPr>
            <w:r w:rsidRPr="00495104">
              <w:rPr>
                <w:rFonts w:ascii="Verdana" w:hAnsi="Verdana" w:cs="Arial"/>
                <w:lang w:val="es-MX"/>
              </w:rPr>
              <w:t xml:space="preserve">De las condiciones planteadas, en un principio, se podría considerar que el proyecto adelantado en Barranquilla es de complejidad alta, debido a que la cuantía y longitud es mayor en comparación con el proyecto a ejecutar en Chocó. Sin embargo, atendiendo lo previsto en el numeral 3.5.1 “Determinación de los requisitos mínimos de experiencia según la Matriz 1 – Experiencia” las condiciones geográficas, geológicas, hidrológicas, climáticas, así como el alcance físico del proyecto de infraestructura de transporte son variables que también se tienen en cuenta para determinar la complejidad del proyecto. En este caso, el municipio de Chocó tiene un clima que se caracteriza por las lluvias durante todo el año y, por tanto, esto podría dificultar la ejecución del proyecto a pesar de que la cuantía y la longitud del proyecto no es significativa en comparación con el otro caso. Por este motivo para el proyecto adelantado en Chocó se podría justificar en la circunstancia aludida para aplicar la “Matriz 1 – Experiencia” de complejidad alta para el ejemplo planteado. </w:t>
            </w:r>
          </w:p>
          <w:p w14:paraId="2319B4B7" w14:textId="77777777" w:rsidR="00495104" w:rsidRPr="00495104" w:rsidRDefault="00495104" w:rsidP="00495104">
            <w:pPr>
              <w:spacing w:before="120" w:after="120" w:line="276" w:lineRule="auto"/>
              <w:ind w:firstLine="708"/>
              <w:jc w:val="both"/>
              <w:rPr>
                <w:rFonts w:ascii="Verdana" w:hAnsi="Verdana" w:cs="Arial"/>
                <w:lang w:val="es-MX"/>
              </w:rPr>
            </w:pPr>
            <w:r w:rsidRPr="00495104">
              <w:rPr>
                <w:rFonts w:ascii="Verdana" w:hAnsi="Verdana" w:cs="Arial"/>
                <w:lang w:val="es-MX"/>
              </w:rPr>
              <w:t>Por su parte, Barranquilla, si bien es un proyecto cuya cuantía y longitud supera 10.000 SMMLV y los 100 KM, estos no son los únicos criterios a tener en cuenta para definir que el proyecto sea de complejidad alta; puesto que, las condiciones climáticas, geológicas, hidrológicas no representan una complejidad alta; ya que el clima es cálido y casi no tienen lluvias en comparación con el Chocó, en consecuencia, no se requiere solicitar experiencia para un proyecto de complejidad alta, sino de complejidad baja o media. Lo anterior sin perjuicio de que para la definición de la complejidad se tengan en cuenta otras variables, tales como, las condiciones climáticas, como se explica en el ejemplo.</w:t>
            </w:r>
          </w:p>
          <w:p w14:paraId="2C369A83" w14:textId="77777777" w:rsidR="00495104" w:rsidRDefault="00495104" w:rsidP="00A50DB9">
            <w:pPr>
              <w:snapToGrid w:val="0"/>
              <w:spacing w:before="120" w:after="120" w:line="276" w:lineRule="auto"/>
              <w:ind w:firstLine="709"/>
              <w:jc w:val="both"/>
              <w:rPr>
                <w:rFonts w:ascii="Verdana" w:hAnsi="Verdana" w:cs="Arial"/>
                <w:lang w:val="es-MX"/>
              </w:rPr>
            </w:pPr>
            <w:r w:rsidRPr="00495104">
              <w:rPr>
                <w:rFonts w:ascii="Verdana" w:hAnsi="Verdana" w:cs="Arial"/>
                <w:lang w:val="es-MX"/>
              </w:rPr>
              <w:t xml:space="preserve">De este modo, se demuestra que la cuantía y la longitud de la obra no son las únicas variables para definir la complejidad de un proyecto, sino otras </w:t>
            </w:r>
            <w:r w:rsidRPr="00495104">
              <w:rPr>
                <w:rFonts w:ascii="Verdana" w:hAnsi="Verdana" w:cs="Arial"/>
                <w:lang w:val="es-MX"/>
              </w:rPr>
              <w:lastRenderedPageBreak/>
              <w:t xml:space="preserve">variables técnicas como las condiciones climáticas, geográficas, geológicas, hidrológicas del proyecto, entre otras, a consideración de la entidad en su etapa de planeación y concepción del proyecto de infraestructura de transporte. </w:t>
            </w:r>
          </w:p>
          <w:p w14:paraId="45D258C0" w14:textId="4DF368F0" w:rsidR="00495104" w:rsidRPr="00A50DB9" w:rsidRDefault="000423FC" w:rsidP="00A50DB9">
            <w:pPr>
              <w:snapToGrid w:val="0"/>
              <w:spacing w:before="120" w:after="120" w:line="276" w:lineRule="auto"/>
              <w:ind w:firstLine="709"/>
              <w:jc w:val="both"/>
              <w:rPr>
                <w:rFonts w:ascii="Verdana" w:hAnsi="Verdana" w:cs="Arial"/>
                <w:lang w:val="es-MX"/>
              </w:rPr>
            </w:pPr>
            <w:r w:rsidRPr="00A50DB9">
              <w:rPr>
                <w:rFonts w:ascii="Verdana" w:hAnsi="Verdana" w:cs="Arial"/>
                <w:lang w:val="es-MX"/>
              </w:rPr>
              <w:t>En todo caso, debe indicarse que, en virtud del principio de inalterabilidad que recaen sobre los documentos tipo adoptados por la Agencia Nacional de Contratación Pública – Colombia Compra Eficiente, la entidad estatal, aunque cuenta con la facultad de determinar y justificar la complejidad técnica del proyecto —esto es, definir si corresponde a un proyecto de baja, media o alta complejidad conforme al numeral 3.5.1 del documento base y a la Matriz 1 – Experiencia—, no puede modificar, adicionar o suprimir las actividades previstas en dicha matriz, ni alterar los requisitos habilitantes y condiciones de experiencia allí establecidos, salvo en aquellos aspectos expresamente autorizados por los propios documentos tipo. En consecuencia, la selección de la complejidad técnica constituye una facultad reglada que debe ejercerse dentro de los parámetros definidos por la Resolución No. 465 de 2024 y las disposiciones legales que consagran la obligatoriedad e inmodificabilidad de los documentos tipo, de manera que la entidad únicamente puede diligenciar y justificar las variables permitidas, sin alterar el contenido material de las actividades y exigencias estandarizadas por la Agencia.</w:t>
            </w:r>
          </w:p>
          <w:p w14:paraId="31A38A54" w14:textId="6C1D3B5E" w:rsidR="00495104" w:rsidRPr="00495104" w:rsidRDefault="006742AE" w:rsidP="000423FC">
            <w:pPr>
              <w:spacing w:after="120" w:line="276" w:lineRule="auto"/>
              <w:jc w:val="both"/>
              <w:rPr>
                <w:rFonts w:ascii="Verdana" w:eastAsia="Times New Roman" w:hAnsi="Verdana"/>
                <w:lang w:eastAsia="es-MX"/>
              </w:rPr>
            </w:pPr>
            <w:r>
              <w:rPr>
                <w:rFonts w:ascii="Verdana" w:hAnsi="Verdana" w:cs="Arial"/>
                <w:bCs/>
                <w:color w:val="000000"/>
                <w:lang w:eastAsia="es-MX"/>
              </w:rPr>
              <w:t xml:space="preserve">         </w:t>
            </w:r>
            <w:r w:rsidR="00495104" w:rsidRPr="00495104">
              <w:rPr>
                <w:rFonts w:ascii="Verdana" w:hAnsi="Verdana" w:cs="Arial"/>
                <w:bCs/>
                <w:color w:val="000000"/>
                <w:lang w:eastAsia="es-MX"/>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69FE846A" w14:textId="77777777" w:rsidR="00495104" w:rsidRPr="00495104" w:rsidRDefault="00495104" w:rsidP="00495104">
            <w:pPr>
              <w:spacing w:line="276" w:lineRule="auto"/>
              <w:ind w:firstLine="708"/>
              <w:contextualSpacing/>
              <w:jc w:val="both"/>
              <w:rPr>
                <w:rFonts w:ascii="Verdana" w:hAnsi="Verdana" w:cs="Arial"/>
                <w:bCs/>
                <w:color w:val="000000"/>
              </w:rPr>
            </w:pPr>
            <w:r w:rsidRPr="00495104">
              <w:rPr>
                <w:rFonts w:ascii="Verdana" w:hAnsi="Verdana" w:cs="Arial"/>
                <w:lang w:val="es-MX"/>
              </w:rPr>
              <w:t xml:space="preserve">Dentro de este marco, la entidad contratante definirá en cada caso concreto lo relacionado con el tema objeto de consulta. Al tratarse de un análisis que debe realizarse en el procedimiento contractual específico, la </w:t>
            </w:r>
            <w:r w:rsidRPr="00495104">
              <w:rPr>
                <w:rFonts w:ascii="Verdana" w:hAnsi="Verdana" w:cs="Arial"/>
                <w:lang w:val="es-MX"/>
              </w:rPr>
              <w:lastRenderedPageBreak/>
              <w:t>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tc>
      </w:tr>
    </w:tbl>
    <w:p w14:paraId="5A7EB5A9" w14:textId="77777777" w:rsidR="00495104" w:rsidRPr="00495104" w:rsidRDefault="00495104" w:rsidP="00495104">
      <w:pPr>
        <w:spacing w:after="0" w:line="276" w:lineRule="auto"/>
        <w:rPr>
          <w:rFonts w:ascii="Verdana" w:eastAsia="Calibri" w:hAnsi="Verdana" w:cs="Times New Roman"/>
          <w:b/>
          <w:bCs/>
        </w:rPr>
      </w:pPr>
    </w:p>
    <w:p w14:paraId="4A0BE9AA" w14:textId="77777777" w:rsidR="00495104" w:rsidRPr="00495104" w:rsidRDefault="00495104" w:rsidP="00495104">
      <w:pPr>
        <w:spacing w:after="0" w:line="256" w:lineRule="auto"/>
        <w:rPr>
          <w:rFonts w:ascii="Verdana" w:eastAsia="Calibri" w:hAnsi="Verdana" w:cs="Times New Roman"/>
          <w:b/>
          <w:bCs/>
          <w:lang w:val="es-ES"/>
        </w:rPr>
      </w:pPr>
      <w:r w:rsidRPr="00495104">
        <w:rPr>
          <w:rFonts w:ascii="Verdana" w:eastAsia="Calibri" w:hAnsi="Verdana" w:cs="Times New Roman"/>
          <w:b/>
          <w:bCs/>
          <w:lang w:val="es-ES"/>
        </w:rPr>
        <w:t>3. Razones de la respuesta:</w:t>
      </w:r>
    </w:p>
    <w:p w14:paraId="460FED5C" w14:textId="77777777" w:rsidR="00495104" w:rsidRPr="00495104" w:rsidRDefault="00495104" w:rsidP="00495104">
      <w:pPr>
        <w:spacing w:after="0" w:line="256" w:lineRule="auto"/>
        <w:rPr>
          <w:rFonts w:ascii="Verdana" w:eastAsia="Calibri" w:hAnsi="Verdana" w:cs="Times New Roman"/>
          <w:b/>
          <w:bCs/>
          <w:lang w:val="es-ES"/>
        </w:rPr>
      </w:pPr>
    </w:p>
    <w:p w14:paraId="6C11AAA6" w14:textId="77777777" w:rsidR="00495104" w:rsidRPr="00495104" w:rsidRDefault="00495104" w:rsidP="00495104">
      <w:pPr>
        <w:spacing w:after="0" w:line="276" w:lineRule="auto"/>
        <w:jc w:val="both"/>
        <w:rPr>
          <w:rFonts w:ascii="Verdana" w:eastAsia="Calibri" w:hAnsi="Verdana" w:cs="Arial"/>
          <w:lang w:val="es-ES"/>
        </w:rPr>
      </w:pPr>
      <w:r w:rsidRPr="00495104">
        <w:rPr>
          <w:rFonts w:ascii="Verdana" w:eastAsia="Calibri" w:hAnsi="Verdana" w:cs="Arial"/>
          <w:lang w:val="es-ES"/>
        </w:rPr>
        <w:t xml:space="preserve">Lo anterior se sustenta en las siguientes consideraciones: </w:t>
      </w:r>
    </w:p>
    <w:p w14:paraId="7CCCA666" w14:textId="77777777" w:rsidR="00495104" w:rsidRPr="00495104" w:rsidRDefault="00495104" w:rsidP="00495104">
      <w:pPr>
        <w:spacing w:after="0" w:line="276" w:lineRule="auto"/>
        <w:jc w:val="both"/>
        <w:rPr>
          <w:rFonts w:ascii="Verdana" w:eastAsia="Times New Roman" w:hAnsi="Verdana" w:cs="Arial"/>
          <w:color w:val="000000"/>
          <w:lang w:eastAsia="es-CO"/>
        </w:rPr>
      </w:pPr>
    </w:p>
    <w:p w14:paraId="5218A03F" w14:textId="77777777" w:rsidR="00495104" w:rsidRPr="00495104" w:rsidRDefault="00495104" w:rsidP="00495104">
      <w:pPr>
        <w:widowControl w:val="0"/>
        <w:autoSpaceDE w:val="0"/>
        <w:autoSpaceDN w:val="0"/>
        <w:spacing w:after="0" w:line="276" w:lineRule="auto"/>
        <w:jc w:val="both"/>
        <w:rPr>
          <w:rFonts w:ascii="Verdana" w:eastAsia="Verdana" w:hAnsi="Verdana" w:cs="Verdana"/>
          <w:lang w:val="es-ES"/>
        </w:rPr>
      </w:pPr>
      <w:r w:rsidRPr="00495104">
        <w:rPr>
          <w:rFonts w:ascii="Verdana" w:eastAsia="Verdana" w:hAnsi="Verdana" w:cs="Verdana"/>
          <w:lang w:val="es-ES"/>
        </w:rPr>
        <w:t xml:space="preserve">i. </w:t>
      </w:r>
      <w:r w:rsidRPr="00495104">
        <w:rPr>
          <w:rFonts w:ascii="Verdana" w:eastAsia="Calibri" w:hAnsi="Verdana" w:cs="Arial"/>
          <w:lang w:val="es-ES_tradnl" w:eastAsia="es-ES"/>
        </w:rPr>
        <w:t xml:space="preserve">La </w:t>
      </w:r>
      <w:bookmarkStart w:id="1" w:name="_Hlk176876754"/>
      <w:r w:rsidRPr="00495104">
        <w:rPr>
          <w:rFonts w:ascii="Verdana" w:eastAsia="Calibri" w:hAnsi="Verdana" w:cs="Arial"/>
          <w:lang w:val="es-ES_tradnl" w:eastAsia="es-ES"/>
        </w:rPr>
        <w:t>Ley 2022 de 2020, modificó el contenido del parágrafo 7 del artículo 2 de la Ley 1150 de 2007, que había sido adicionado por la Ley 1882 de 2018</w:t>
      </w:r>
      <w:bookmarkEnd w:id="1"/>
      <w:r w:rsidRPr="00495104">
        <w:rPr>
          <w:rFonts w:ascii="Verdana" w:eastAsia="Aptos" w:hAnsi="Verdana" w:cs="Times New Roman"/>
          <w:vertAlign w:val="superscript"/>
          <w:lang w:val="es-ES_tradnl" w:eastAsia="es-ES"/>
        </w:rPr>
        <w:footnoteReference w:id="3"/>
      </w:r>
      <w:r w:rsidRPr="00495104">
        <w:rPr>
          <w:rFonts w:ascii="Verdana" w:eastAsia="Calibri" w:hAnsi="Verdana" w:cs="Arial"/>
          <w:lang w:val="es-ES_tradnl" w:eastAsia="es-ES"/>
        </w:rPr>
        <w:t xml:space="preserve">. Con </w:t>
      </w:r>
      <w:r w:rsidRPr="00495104">
        <w:rPr>
          <w:rFonts w:ascii="Verdana" w:eastAsia="Calibri" w:hAnsi="Verdana" w:cs="Arial"/>
          <w:lang w:val="es-ES_tradnl" w:eastAsia="es-ES"/>
        </w:rPr>
        <w:lastRenderedPageBreak/>
        <w:t xml:space="preserve">esta modificación, si bien se mantuvo el mandato de aplicación obligatoria de los Documentos Tipo por parte de las entidades sometidas al </w:t>
      </w:r>
      <w:r w:rsidRPr="00495104">
        <w:rPr>
          <w:rFonts w:ascii="Verdana" w:eastAsia="Calibri" w:hAnsi="Verdana" w:cs="Arial"/>
          <w:bCs/>
          <w:lang w:val="es-ES_tradnl" w:eastAsia="es-ES_tradnl"/>
        </w:rPr>
        <w:t>EGCAP</w:t>
      </w:r>
      <w:r w:rsidRPr="00495104">
        <w:rPr>
          <w:rFonts w:ascii="Verdana" w:eastAsia="Calibri" w:hAnsi="Verdana" w:cs="Arial"/>
          <w:lang w:val="es-ES_tradnl" w:eastAsia="es-ES"/>
        </w:rPr>
        <w:t xml:space="preserve">, se atribuyó a la </w:t>
      </w:r>
      <w:r w:rsidRPr="00495104">
        <w:rPr>
          <w:rFonts w:ascii="Verdana" w:eastAsia="Calibri" w:hAnsi="Verdana" w:cs="Arial"/>
          <w:lang w:val="es-ES_tradnl" w:eastAsia="es-ES_tradnl"/>
        </w:rPr>
        <w:t xml:space="preserve">Agencia Nacional de Contratación Pública – Colombia Compra Eficiente la competencia para su expedición. </w:t>
      </w:r>
    </w:p>
    <w:p w14:paraId="15C88135" w14:textId="77777777" w:rsidR="00495104" w:rsidRPr="00495104" w:rsidRDefault="00495104" w:rsidP="00495104">
      <w:pPr>
        <w:widowControl w:val="0"/>
        <w:autoSpaceDE w:val="0"/>
        <w:autoSpaceDN w:val="0"/>
        <w:spacing w:before="120" w:after="120" w:line="276" w:lineRule="auto"/>
        <w:ind w:firstLine="708"/>
        <w:jc w:val="both"/>
        <w:rPr>
          <w:rFonts w:ascii="Verdana" w:eastAsia="Verdana" w:hAnsi="Verdana" w:cs="Verdana"/>
          <w:lang w:val="es-ES"/>
        </w:rPr>
      </w:pPr>
      <w:r w:rsidRPr="00495104">
        <w:rPr>
          <w:rFonts w:ascii="Verdana" w:eastAsia="Aptos" w:hAnsi="Verdana" w:cs="Arial"/>
          <w:lang w:val="es-ES"/>
        </w:rPr>
        <w:t>Con sustento en esta competencia, esta Agencia ha expedido diversos grupos de Documentos Tipo aplicables principalmente a la contratación de obras públicas de infraestructura de transporte, agua potable,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48118C72" w14:textId="77777777" w:rsidR="00495104" w:rsidRPr="00495104" w:rsidRDefault="00495104" w:rsidP="00495104">
      <w:pPr>
        <w:widowControl w:val="0"/>
        <w:autoSpaceDE w:val="0"/>
        <w:autoSpaceDN w:val="0"/>
        <w:spacing w:before="120" w:after="120" w:line="276" w:lineRule="auto"/>
        <w:ind w:firstLine="708"/>
        <w:jc w:val="both"/>
        <w:rPr>
          <w:rFonts w:ascii="Verdana" w:eastAsia="Verdana" w:hAnsi="Verdana" w:cs="Verdana"/>
          <w:lang w:val="es-ES"/>
        </w:rPr>
      </w:pPr>
      <w:r w:rsidRPr="00495104">
        <w:rPr>
          <w:rFonts w:ascii="Verdana" w:eastAsia="Calibri" w:hAnsi="Verdana" w:cs="Arial"/>
        </w:rPr>
        <w:t>En ejercicio de su competencia, esta agencia estableció un procedimiento para recibir y revisar los comentarios de todos los partícipes del sistema de la compra pública en el primero y parte del segundo semestre del año 2024. Como consecuencia de ello, se expidieron los diferentes actos administrativos por medio de los cuales se adoptaron los documentos tipo del sector de infraestructura de transporte y en simultaneo se publicaron las respuestas a todas las observaciones y/o comentarios realizados a los proyectos de documentos tipo.</w:t>
      </w:r>
    </w:p>
    <w:p w14:paraId="6445C21C" w14:textId="77777777" w:rsidR="00495104" w:rsidRDefault="00495104" w:rsidP="00495104">
      <w:pPr>
        <w:widowControl w:val="0"/>
        <w:autoSpaceDE w:val="0"/>
        <w:autoSpaceDN w:val="0"/>
        <w:spacing w:before="120" w:after="120" w:line="276" w:lineRule="auto"/>
        <w:ind w:firstLine="708"/>
        <w:jc w:val="both"/>
        <w:rPr>
          <w:rFonts w:ascii="Verdana" w:eastAsia="Calibri" w:hAnsi="Verdana" w:cs="Arial"/>
        </w:rPr>
      </w:pPr>
      <w:r w:rsidRPr="00495104">
        <w:rPr>
          <w:rFonts w:ascii="Verdana" w:eastAsia="Aptos" w:hAnsi="Verdana" w:cs="Arial"/>
          <w:lang w:val="es-ES"/>
        </w:rPr>
        <w:t xml:space="preserve">Los Documentos tipo para la contratación de obra pública de infraestructura de transporte fueron modificados después de surtir el procedimiento interno establecido por esta agencia. En relación con los documentos tipo de licitación de obra pública de infraestructura de transporte, mediante la Resolución 465 del 10 de septiembre de 2024, se adoptó la </w:t>
      </w:r>
      <w:r w:rsidRPr="00495104">
        <w:rPr>
          <w:rFonts w:ascii="Verdana" w:eastAsia="Calibri" w:hAnsi="Verdana" w:cs="Arial"/>
        </w:rPr>
        <w:t xml:space="preserve">versión 4 de estos documentos y se derogó la Resolución 240 de 2020. </w:t>
      </w:r>
    </w:p>
    <w:p w14:paraId="0C6F4355" w14:textId="00E0E1B7" w:rsidR="00CB27BA" w:rsidRPr="00681ECF" w:rsidRDefault="00CB27BA" w:rsidP="00F504D8">
      <w:pPr>
        <w:snapToGrid w:val="0"/>
        <w:spacing w:after="120" w:line="276" w:lineRule="auto"/>
        <w:ind w:firstLine="708"/>
        <w:jc w:val="both"/>
        <w:rPr>
          <w:rFonts w:ascii="Verdana" w:eastAsia="Calibri" w:hAnsi="Verdana" w:cs="Arial"/>
          <w:kern w:val="2"/>
          <w:lang w:val="es-ES" w:eastAsia="es-ES"/>
          <w14:ligatures w14:val="standardContextual"/>
        </w:rPr>
      </w:pPr>
      <w:r w:rsidRPr="00681ECF">
        <w:rPr>
          <w:rFonts w:ascii="Verdana" w:eastAsia="Times New Roman" w:hAnsi="Verdana" w:cs="Arial"/>
          <w:kern w:val="2"/>
          <w:shd w:val="clear" w:color="auto" w:fill="FFFFFF"/>
          <w:lang w:val="es-ES_tradnl" w:eastAsia="es-ES_tradnl"/>
          <w14:ligatures w14:val="standardContextual"/>
        </w:rPr>
        <w:lastRenderedPageBreak/>
        <w:t xml:space="preserve">Todas las resoluciones expedidas por la Agencia Nacional de Contratación Pública – Colombia Compra Eficiente, mediante las cuales se han adoptado los documentos tipo, consagran la regla de la inalterabilidad. Esta prohibición consiste en que las entidades estatales no pueden incluir o modificar en los </w:t>
      </w:r>
      <w:r w:rsidRPr="00681ECF">
        <w:rPr>
          <w:rFonts w:ascii="Verdana" w:eastAsia="Times New Roman" w:hAnsi="Verdana" w:cs="Arial"/>
          <w:i/>
          <w:iCs/>
          <w:kern w:val="2"/>
          <w:shd w:val="clear" w:color="auto" w:fill="FFFFFF"/>
          <w:lang w:val="es-ES_tradnl" w:eastAsia="es-ES_tradnl"/>
          <w14:ligatures w14:val="standardContextual"/>
        </w:rPr>
        <w:t>Documentos del Proceso</w:t>
      </w:r>
      <w:r w:rsidRPr="00681ECF">
        <w:rPr>
          <w:rFonts w:ascii="Verdana" w:eastAsia="Times New Roman" w:hAnsi="Verdana" w:cs="Arial"/>
          <w:kern w:val="2"/>
          <w:shd w:val="clear" w:color="auto" w:fill="FFFFFF"/>
          <w:lang w:val="es-ES_tradnl" w:eastAsia="es-ES_tradnl"/>
          <w14:ligatures w14:val="standardContextual"/>
        </w:rPr>
        <w:t xml:space="preserve"> condiciones habilitantes, factores técnicos y económicos de escogencia y sistemas de ponderación distintos a los señalados en los </w:t>
      </w:r>
      <w:r>
        <w:rPr>
          <w:rFonts w:ascii="Verdana" w:eastAsia="Times New Roman" w:hAnsi="Verdana" w:cs="Arial"/>
          <w:kern w:val="2"/>
          <w:shd w:val="clear" w:color="auto" w:fill="FFFFFF"/>
          <w:lang w:val="es-ES_tradnl" w:eastAsia="es-ES_tradnl"/>
          <w14:ligatures w14:val="standardContextual"/>
        </w:rPr>
        <w:t>d</w:t>
      </w:r>
      <w:r w:rsidRPr="00681ECF">
        <w:rPr>
          <w:rFonts w:ascii="Verdana" w:eastAsia="Times New Roman" w:hAnsi="Verdana" w:cs="Arial"/>
          <w:kern w:val="2"/>
          <w:shd w:val="clear" w:color="auto" w:fill="FFFFFF"/>
          <w:lang w:val="es-ES_tradnl" w:eastAsia="es-ES_tradnl"/>
          <w14:ligatures w14:val="standardContextual"/>
        </w:rPr>
        <w:t xml:space="preserve">ocumentos </w:t>
      </w:r>
      <w:r>
        <w:rPr>
          <w:rFonts w:ascii="Verdana" w:eastAsia="Times New Roman" w:hAnsi="Verdana" w:cs="Arial"/>
          <w:kern w:val="2"/>
          <w:shd w:val="clear" w:color="auto" w:fill="FFFFFF"/>
          <w:lang w:val="es-ES_tradnl" w:eastAsia="es-ES_tradnl"/>
          <w14:ligatures w14:val="standardContextual"/>
        </w:rPr>
        <w:t>t</w:t>
      </w:r>
      <w:r w:rsidRPr="00681ECF">
        <w:rPr>
          <w:rFonts w:ascii="Verdana" w:eastAsia="Times New Roman" w:hAnsi="Verdana" w:cs="Arial"/>
          <w:kern w:val="2"/>
          <w:shd w:val="clear" w:color="auto" w:fill="FFFFFF"/>
          <w:lang w:val="es-ES_tradnl" w:eastAsia="es-ES_tradnl"/>
          <w14:ligatures w14:val="standardContextual"/>
        </w:rPr>
        <w:t xml:space="preserve">ipo. En consecuencia, las condiciones establecidas en dichos documentos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w:t>
      </w:r>
      <w:r>
        <w:rPr>
          <w:rFonts w:ascii="Verdana" w:eastAsia="Times New Roman" w:hAnsi="Verdana" w:cs="Arial"/>
          <w:kern w:val="2"/>
          <w:shd w:val="clear" w:color="auto" w:fill="FFFFFF"/>
          <w:lang w:val="es-ES_tradnl" w:eastAsia="es-ES_tradnl"/>
          <w14:ligatures w14:val="standardContextual"/>
        </w:rPr>
        <w:t>d</w:t>
      </w:r>
      <w:r w:rsidRPr="00681ECF">
        <w:rPr>
          <w:rFonts w:ascii="Verdana" w:eastAsia="Times New Roman" w:hAnsi="Verdana" w:cs="Arial"/>
          <w:kern w:val="2"/>
          <w:shd w:val="clear" w:color="auto" w:fill="FFFFFF"/>
          <w:lang w:val="es-ES_tradnl" w:eastAsia="es-ES_tradnl"/>
          <w14:ligatures w14:val="standardContextual"/>
        </w:rPr>
        <w:t xml:space="preserve">ocumentos </w:t>
      </w:r>
      <w:r>
        <w:rPr>
          <w:rFonts w:ascii="Verdana" w:eastAsia="Times New Roman" w:hAnsi="Verdana" w:cs="Arial"/>
          <w:kern w:val="2"/>
          <w:shd w:val="clear" w:color="auto" w:fill="FFFFFF"/>
          <w:lang w:val="es-ES_tradnl" w:eastAsia="es-ES_tradnl"/>
          <w14:ligatures w14:val="standardContextual"/>
        </w:rPr>
        <w:t>t</w:t>
      </w:r>
      <w:r w:rsidRPr="00681ECF">
        <w:rPr>
          <w:rFonts w:ascii="Verdana" w:eastAsia="Times New Roman" w:hAnsi="Verdana" w:cs="Arial"/>
          <w:kern w:val="2"/>
          <w:shd w:val="clear" w:color="auto" w:fill="FFFFFF"/>
          <w:lang w:val="es-ES_tradnl" w:eastAsia="es-ES_tradnl"/>
          <w14:ligatures w14:val="standardContextual"/>
        </w:rPr>
        <w:t>ipo lo permitan.</w:t>
      </w:r>
    </w:p>
    <w:p w14:paraId="2376C735" w14:textId="77777777" w:rsidR="00CB27BA" w:rsidRPr="00681ECF" w:rsidRDefault="00CB27BA" w:rsidP="00CB27BA">
      <w:pPr>
        <w:snapToGrid w:val="0"/>
        <w:spacing w:after="120" w:line="276" w:lineRule="auto"/>
        <w:jc w:val="both"/>
        <w:rPr>
          <w:rFonts w:ascii="Verdana" w:eastAsia="Times New Roman" w:hAnsi="Verdana" w:cs="Arial"/>
          <w:kern w:val="2"/>
          <w:shd w:val="clear" w:color="auto" w:fill="FFFFFF"/>
          <w:lang w:val="es-ES_tradnl" w:eastAsia="es-ES_tradnl"/>
          <w14:ligatures w14:val="standardContextual"/>
        </w:rPr>
      </w:pPr>
      <w:r>
        <w:rPr>
          <w:rFonts w:ascii="Verdana" w:eastAsia="Calibri" w:hAnsi="Verdana" w:cs="Arial"/>
          <w:kern w:val="2"/>
          <w:lang w:val="es-ES" w:eastAsia="es-ES"/>
          <w14:ligatures w14:val="standardContextual"/>
        </w:rPr>
        <w:tab/>
      </w:r>
      <w:r w:rsidRPr="00681ECF">
        <w:rPr>
          <w:rFonts w:ascii="Verdana" w:eastAsia="Times New Roman" w:hAnsi="Verdana" w:cs="Arial"/>
          <w:kern w:val="2"/>
          <w:shd w:val="clear" w:color="auto" w:fill="FFFFFF"/>
          <w:lang w:val="es-ES_tradnl" w:eastAsia="es-ES_tradnl"/>
          <w14:ligatures w14:val="standardContextual"/>
        </w:rPr>
        <w:t>El fundamento legal vigente de la regla de inalterabilidad se encuentra en el artículo 1 de la Ley 2022 de 2020, según el cual “</w:t>
      </w:r>
      <w:r w:rsidRPr="00681ECF">
        <w:rPr>
          <w:rFonts w:ascii="Verdana" w:eastAsia="Times New Roman" w:hAnsi="Verdana" w:cs="Arial"/>
          <w:kern w:val="2"/>
          <w:lang w:val="es-ES_tradnl" w:eastAsia="es-ES_tradnl"/>
          <w14:ligatures w14:val="standardContextual"/>
        </w:rPr>
        <w:t xml:space="preserve">[…] </w:t>
      </w:r>
      <w:r w:rsidRPr="00681ECF">
        <w:rPr>
          <w:rFonts w:ascii="Verdana" w:eastAsia="Times New Roman" w:hAnsi="Verdana" w:cs="Arial"/>
          <w:kern w:val="2"/>
          <w:shd w:val="clear" w:color="auto" w:fill="FFFFFF"/>
          <w:lang w:val="es-ES_tradnl" w:eastAsia="es-ES_tradnl"/>
          <w14:ligatures w14:val="standardContextual"/>
        </w:rPr>
        <w:t>serán de obligatorio cumplimiento en la actividad contractual de todas las entidades sometidas al Estatuto General de Contratación de la Administración Pública”. Pero eso no significa que antes no rigiera, pues así también lo disponía el artículo 4 de la Ley 1882 de 2018. Incluso por vía reglamentaria también se dispuso el carácter inmodificable de los pliegos tipo en el artículo 1 de los Decretos 342 de 2019 y 594 de 2020, que adicionaron, respectivamente, los artículos 2.2.1.2.6.1.4. y 2.2.1.2.6.3.4 al Decreto 1082 de 2015.</w:t>
      </w:r>
      <w:r>
        <w:rPr>
          <w:rFonts w:ascii="Verdana" w:eastAsia="Times New Roman" w:hAnsi="Verdana" w:cs="Arial"/>
          <w:kern w:val="2"/>
          <w:shd w:val="clear" w:color="auto" w:fill="FFFFFF"/>
          <w:lang w:val="es-ES" w:eastAsia="es-ES"/>
          <w14:ligatures w14:val="standardContextual"/>
        </w:rPr>
        <w:tab/>
      </w:r>
    </w:p>
    <w:p w14:paraId="1EC4FFFE" w14:textId="77777777" w:rsidR="00CB27BA" w:rsidRPr="00681ECF" w:rsidRDefault="00CB27BA" w:rsidP="00CB27BA">
      <w:pPr>
        <w:snapToGrid w:val="0"/>
        <w:spacing w:after="120" w:line="276" w:lineRule="auto"/>
        <w:jc w:val="both"/>
        <w:rPr>
          <w:rFonts w:ascii="Verdana" w:eastAsia="Times New Roman" w:hAnsi="Verdana" w:cs="Arial"/>
          <w:kern w:val="2"/>
          <w:shd w:val="clear" w:color="auto" w:fill="FFFFFF"/>
          <w:lang w:val="es-ES" w:eastAsia="es-ES"/>
          <w14:ligatures w14:val="standardContextual"/>
        </w:rPr>
      </w:pPr>
      <w:r>
        <w:rPr>
          <w:rFonts w:ascii="Verdana" w:eastAsia="Times New Roman" w:hAnsi="Verdana" w:cs="Arial"/>
          <w:kern w:val="2"/>
          <w:shd w:val="clear" w:color="auto" w:fill="FFFFFF"/>
          <w:lang w:val="es-ES_tradnl" w:eastAsia="es-ES_tradnl"/>
          <w14:ligatures w14:val="standardContextual"/>
        </w:rPr>
        <w:tab/>
      </w:r>
      <w:r w:rsidRPr="00681ECF">
        <w:rPr>
          <w:rFonts w:ascii="Verdana" w:eastAsia="Times New Roman" w:hAnsi="Verdana" w:cs="Arial"/>
          <w:kern w:val="2"/>
          <w:shd w:val="clear" w:color="auto" w:fill="FFFFFF"/>
          <w:lang w:val="es-ES" w:eastAsia="es-ES"/>
          <w14:ligatures w14:val="standardContextual"/>
        </w:rPr>
        <w:t xml:space="preserve">En consecuencia, en virtud de la regla de inalterabilidad aludida, los </w:t>
      </w:r>
      <w:r>
        <w:rPr>
          <w:rFonts w:ascii="Verdana" w:eastAsia="Times New Roman" w:hAnsi="Verdana" w:cs="Arial"/>
          <w:kern w:val="2"/>
          <w:shd w:val="clear" w:color="auto" w:fill="FFFFFF"/>
          <w:lang w:val="es-ES" w:eastAsia="es-ES"/>
          <w14:ligatures w14:val="standardContextual"/>
        </w:rPr>
        <w:t>d</w:t>
      </w:r>
      <w:r w:rsidRPr="00681ECF">
        <w:rPr>
          <w:rFonts w:ascii="Verdana" w:eastAsia="Times New Roman" w:hAnsi="Verdana" w:cs="Arial"/>
          <w:kern w:val="2"/>
          <w:shd w:val="clear" w:color="auto" w:fill="FFFFFF"/>
          <w:lang w:val="es-ES" w:eastAsia="es-ES"/>
          <w14:ligatures w14:val="standardContextual"/>
        </w:rPr>
        <w:t xml:space="preserve">ocumentos </w:t>
      </w:r>
      <w:r>
        <w:rPr>
          <w:rFonts w:ascii="Verdana" w:eastAsia="Times New Roman" w:hAnsi="Verdana" w:cs="Arial"/>
          <w:kern w:val="2"/>
          <w:shd w:val="clear" w:color="auto" w:fill="FFFFFF"/>
          <w:lang w:val="es-ES" w:eastAsia="es-ES"/>
          <w14:ligatures w14:val="standardContextual"/>
        </w:rPr>
        <w:t>t</w:t>
      </w:r>
      <w:r w:rsidRPr="00681ECF">
        <w:rPr>
          <w:rFonts w:ascii="Verdana" w:eastAsia="Times New Roman" w:hAnsi="Verdana" w:cs="Arial"/>
          <w:kern w:val="2"/>
          <w:shd w:val="clear" w:color="auto" w:fill="FFFFFF"/>
          <w:lang w:val="es-ES" w:eastAsia="es-ES"/>
          <w14:ligatures w14:val="standardContextual"/>
        </w:rPr>
        <w:t xml:space="preserve">ipo solo pueden ser modificados en los aspectos en que estos lo permitan. Esto corresponde a aquellos aspectos que se encuentran entre corchetes y resaltados en gris </w:t>
      </w:r>
      <w:r w:rsidRPr="00681ECF">
        <w:rPr>
          <w:rFonts w:ascii="Verdana" w:eastAsia="Times New Roman" w:hAnsi="Verdana" w:cs="Arial"/>
          <w:kern w:val="2"/>
          <w:highlight w:val="lightGray"/>
          <w:shd w:val="clear" w:color="auto" w:fill="FFFFFF"/>
          <w:lang w:val="es-ES" w:eastAsia="es-ES"/>
          <w14:ligatures w14:val="standardContextual"/>
        </w:rPr>
        <w:t>–[texto]–</w:t>
      </w:r>
      <w:r w:rsidRPr="00681ECF">
        <w:rPr>
          <w:rFonts w:ascii="Verdana" w:eastAsia="Times New Roman" w:hAnsi="Verdana" w:cs="Arial"/>
          <w:kern w:val="2"/>
          <w:shd w:val="clear" w:color="auto" w:fill="FFFFFF"/>
          <w:lang w:val="es-ES" w:eastAsia="es-ES"/>
          <w14:ligatures w14:val="standardContextual"/>
        </w:rPr>
        <w:t>, para lo cual deberán observarse las instrucciones contenidas en los mismos para su diligenciamiento.</w:t>
      </w:r>
      <w:r>
        <w:rPr>
          <w:rFonts w:ascii="Verdana" w:eastAsia="Times New Roman" w:hAnsi="Verdana" w:cs="Arial"/>
          <w:kern w:val="2"/>
          <w:shd w:val="clear" w:color="auto" w:fill="FFFFFF"/>
          <w:lang w:val="es-ES_tradnl" w:eastAsia="es-ES_tradnl"/>
          <w14:ligatures w14:val="standardContextual"/>
        </w:rPr>
        <w:tab/>
      </w:r>
    </w:p>
    <w:p w14:paraId="1E23FF41" w14:textId="0087EA8A" w:rsidR="00CB27BA" w:rsidRPr="00F504D8" w:rsidRDefault="00CB27BA" w:rsidP="00F504D8">
      <w:pPr>
        <w:snapToGrid w:val="0"/>
        <w:spacing w:after="120" w:line="276" w:lineRule="auto"/>
        <w:jc w:val="both"/>
        <w:rPr>
          <w:rFonts w:ascii="Verdana" w:eastAsia="Times New Roman" w:hAnsi="Verdana" w:cs="Arial"/>
          <w:kern w:val="2"/>
          <w:shd w:val="clear" w:color="auto" w:fill="FFFFFF"/>
          <w:lang w:val="es-ES_tradnl" w:eastAsia="es-ES_tradnl"/>
          <w14:ligatures w14:val="standardContextual"/>
        </w:rPr>
      </w:pPr>
      <w:r>
        <w:rPr>
          <w:rFonts w:ascii="Verdana" w:eastAsia="Times New Roman" w:hAnsi="Verdana" w:cs="Arial"/>
          <w:kern w:val="2"/>
          <w:shd w:val="clear" w:color="auto" w:fill="FFFFFF"/>
          <w:lang w:val="es-ES_tradnl" w:eastAsia="es-ES_tradnl"/>
          <w14:ligatures w14:val="standardContextual"/>
        </w:rPr>
        <w:tab/>
      </w:r>
      <w:r w:rsidRPr="00681ECF">
        <w:rPr>
          <w:rFonts w:ascii="Verdana" w:eastAsia="Times New Roman" w:hAnsi="Verdana" w:cs="Arial"/>
          <w:kern w:val="2"/>
          <w:shd w:val="clear" w:color="auto" w:fill="FFFFFF"/>
          <w:lang w:val="es-ES_tradnl" w:eastAsia="es-ES_tradnl"/>
          <w14:ligatures w14:val="standardContextual"/>
        </w:rPr>
        <w:t xml:space="preserve">Por lo tanto, una entidad solo podrá modificar aspectos de los </w:t>
      </w:r>
      <w:r>
        <w:rPr>
          <w:rFonts w:ascii="Verdana" w:eastAsia="Times New Roman" w:hAnsi="Verdana" w:cs="Arial"/>
          <w:kern w:val="2"/>
          <w:shd w:val="clear" w:color="auto" w:fill="FFFFFF"/>
          <w:lang w:val="es-ES_tradnl" w:eastAsia="es-ES_tradnl"/>
          <w14:ligatures w14:val="standardContextual"/>
        </w:rPr>
        <w:t>d</w:t>
      </w:r>
      <w:r w:rsidRPr="00681ECF">
        <w:rPr>
          <w:rFonts w:ascii="Verdana" w:eastAsia="Times New Roman" w:hAnsi="Verdana" w:cs="Arial"/>
          <w:kern w:val="2"/>
          <w:shd w:val="clear" w:color="auto" w:fill="FFFFFF"/>
          <w:lang w:val="es-ES_tradnl" w:eastAsia="es-ES_tradnl"/>
          <w14:ligatures w14:val="standardContextual"/>
        </w:rPr>
        <w:t xml:space="preserve">ocumentos </w:t>
      </w:r>
      <w:r>
        <w:rPr>
          <w:rFonts w:ascii="Verdana" w:eastAsia="Times New Roman" w:hAnsi="Verdana" w:cs="Arial"/>
          <w:kern w:val="2"/>
          <w:shd w:val="clear" w:color="auto" w:fill="FFFFFF"/>
          <w:lang w:val="es-ES_tradnl" w:eastAsia="es-ES_tradnl"/>
          <w14:ligatures w14:val="standardContextual"/>
        </w:rPr>
        <w:t>t</w:t>
      </w:r>
      <w:r w:rsidRPr="00681ECF">
        <w:rPr>
          <w:rFonts w:ascii="Verdana" w:eastAsia="Times New Roman" w:hAnsi="Verdana" w:cs="Arial"/>
          <w:kern w:val="2"/>
          <w:shd w:val="clear" w:color="auto" w:fill="FFFFFF"/>
          <w:lang w:val="es-ES_tradnl" w:eastAsia="es-ES_tradnl"/>
          <w14:ligatures w14:val="standardContextual"/>
        </w:rPr>
        <w:t xml:space="preserve">ipo cuando así esté permitido, en los términos expuestos. Lo anterior implica que, en los apartes en que los documentos tipo no lo permitan, la entidad deberá integrar el contenido de estos a su Proceso de Contratación sin ningún tipo de alteración. </w:t>
      </w:r>
    </w:p>
    <w:p w14:paraId="63349E10" w14:textId="60CB27C3" w:rsidR="00495104" w:rsidRPr="00495104" w:rsidRDefault="00CB27BA" w:rsidP="00F504D8">
      <w:pPr>
        <w:widowControl w:val="0"/>
        <w:autoSpaceDE w:val="0"/>
        <w:autoSpaceDN w:val="0"/>
        <w:spacing w:before="120" w:after="120" w:line="276" w:lineRule="auto"/>
        <w:jc w:val="both"/>
        <w:rPr>
          <w:rFonts w:ascii="Verdana" w:eastAsia="Verdana" w:hAnsi="Verdana" w:cs="Verdana"/>
          <w:lang w:val="es-ES"/>
        </w:rPr>
      </w:pPr>
      <w:proofErr w:type="spellStart"/>
      <w:r>
        <w:rPr>
          <w:rFonts w:ascii="Verdana" w:eastAsia="Aptos" w:hAnsi="Verdana" w:cs="Arial"/>
          <w:lang w:val="es-ES"/>
        </w:rPr>
        <w:t>ii</w:t>
      </w:r>
      <w:proofErr w:type="spellEnd"/>
      <w:r>
        <w:rPr>
          <w:rFonts w:ascii="Verdana" w:eastAsia="Aptos" w:hAnsi="Verdana" w:cs="Arial"/>
          <w:lang w:val="es-ES"/>
        </w:rPr>
        <w:t xml:space="preserve">. </w:t>
      </w:r>
      <w:r w:rsidR="00495104" w:rsidRPr="00495104">
        <w:rPr>
          <w:rFonts w:ascii="Verdana" w:eastAsia="Aptos" w:hAnsi="Verdana" w:cs="Arial"/>
          <w:lang w:val="es-ES"/>
        </w:rPr>
        <w:t xml:space="preserve">La parte introductoria del pliego de condiciones de los documentos tipo adoptados por medio de la Resolución 465 del 10 de septiembre de 2024, </w:t>
      </w:r>
      <w:r w:rsidR="00495104" w:rsidRPr="00495104">
        <w:rPr>
          <w:rFonts w:ascii="Verdana" w:eastAsia="Aptos" w:hAnsi="Verdana" w:cs="Arial"/>
          <w:lang w:val="es-ES"/>
        </w:rPr>
        <w:lastRenderedPageBreak/>
        <w:t>dispone que estos aplican a los procedimientos de selección de licitación de obra pública de infraestructura de transporte (versión 4), que correspondan a las actividades definidas en la “Matriz 1 – Experiencia”. En consecuencia, las actividades de infraestructura de transporte no contempladas en la Matriz 1 – Experiencia no tienen que aplicar los documentos tipo; sin perjuicio de lo previsto en el artículo 2.2.1.1.1.2.1 del Decreto 1082 de 2015 o la norma que la modifique, sustituya o complemente, además, de lo contenido en el artículo 4 de la Resolución 465 de 2024, en donde se indica la posibilidad de exigir experiencia adicional en determinados supuestos.</w:t>
      </w:r>
    </w:p>
    <w:p w14:paraId="74A0A93F" w14:textId="77777777" w:rsidR="00495104" w:rsidRPr="00495104" w:rsidRDefault="00495104" w:rsidP="00495104">
      <w:pPr>
        <w:widowControl w:val="0"/>
        <w:autoSpaceDE w:val="0"/>
        <w:autoSpaceDN w:val="0"/>
        <w:spacing w:before="120" w:after="120" w:line="276" w:lineRule="auto"/>
        <w:ind w:firstLine="708"/>
        <w:jc w:val="both"/>
        <w:rPr>
          <w:rFonts w:ascii="Verdana" w:eastAsia="Verdana" w:hAnsi="Verdana" w:cs="Verdana"/>
          <w:lang w:val="es-ES"/>
        </w:rPr>
      </w:pPr>
      <w:r w:rsidRPr="00495104">
        <w:rPr>
          <w:rFonts w:ascii="Verdana" w:eastAsia="Calibri" w:hAnsi="Verdana" w:cs="Arial"/>
        </w:rPr>
        <w:t>De acuerdo con las condiciones fijadas en el “Documento Base” de la Resolución No. 465 del 10 de septiembre de 2024, la acreditación del requisito habilitante de experiencia se aborda desde distintos criterios. En primer lugar, los contratos presentados por los proponentes deben corresponder a la actividad o actividades de experiencia general y específica que la entidad exija en el pliego de condiciones, de acuerdo con los parámetros señalados en la Matriz 1. En segundo lugar, los proponentes deben acreditar el cumplimiento de las condiciones fijadas con mínimo uno (1) y máximo cinco (5) contratos</w:t>
      </w:r>
      <w:r w:rsidRPr="00495104">
        <w:rPr>
          <w:rFonts w:ascii="Verdana" w:eastAsia="Calibri" w:hAnsi="Verdana" w:cs="Arial"/>
          <w:vertAlign w:val="superscript"/>
        </w:rPr>
        <w:footnoteReference w:id="4"/>
      </w:r>
      <w:r w:rsidRPr="00495104">
        <w:rPr>
          <w:rFonts w:ascii="Verdana" w:eastAsia="Calibri" w:hAnsi="Verdana" w:cs="Arial"/>
        </w:rPr>
        <w:t xml:space="preserve">, que debieron terminar antes de la fecha de cierre del Proceso de Contratación. </w:t>
      </w:r>
      <w:r w:rsidRPr="00495104">
        <w:rPr>
          <w:rFonts w:ascii="Verdana" w:eastAsia="Calibri" w:hAnsi="Verdana" w:cs="Arial"/>
          <w:color w:val="000000"/>
          <w:kern w:val="2"/>
          <w14:ligatures w14:val="standardContextual"/>
        </w:rPr>
        <w:t>El número de contratos aportados por el proponente debe certificar un valor mínimo correspondiente a un porcentaje del presupuesto oficial del proceso de obra expresado en SMMLV, cuya verificación se hará de acuerdo con la sumatoria de los valores totales ejecutados de los contratos que cumplan con los requisitos establecidos en el pliego de condiciones.</w:t>
      </w:r>
    </w:p>
    <w:p w14:paraId="5289C322" w14:textId="77777777" w:rsidR="00495104" w:rsidRPr="00495104" w:rsidRDefault="00495104" w:rsidP="00495104">
      <w:pPr>
        <w:widowControl w:val="0"/>
        <w:autoSpaceDE w:val="0"/>
        <w:autoSpaceDN w:val="0"/>
        <w:spacing w:before="120" w:after="120" w:line="276" w:lineRule="auto"/>
        <w:ind w:firstLine="708"/>
        <w:jc w:val="both"/>
        <w:rPr>
          <w:rFonts w:ascii="Verdana" w:eastAsia="Verdana" w:hAnsi="Verdana" w:cs="Verdana"/>
          <w:lang w:val="es-ES"/>
        </w:rPr>
      </w:pPr>
      <w:r w:rsidRPr="00495104">
        <w:rPr>
          <w:rFonts w:ascii="Verdana" w:eastAsia="Calibri" w:hAnsi="Verdana" w:cs="Arial"/>
        </w:rPr>
        <w:t xml:space="preserve">Para fijar las condiciones que deben cumplir los contratos aportados, en términos de actividades ejecutadas, las entidades deberán emplear la Matriz 1, documento que estandariza las condiciones de experiencia general y/o experiencia específica que deben requerir las entidades estatales de acuerdo con: i) el tipo de obra de infraestructura de transporte; </w:t>
      </w:r>
      <w:proofErr w:type="spellStart"/>
      <w:r w:rsidRPr="00495104">
        <w:rPr>
          <w:rFonts w:ascii="Verdana" w:eastAsia="Calibri" w:hAnsi="Verdana" w:cs="Arial"/>
        </w:rPr>
        <w:t>ii</w:t>
      </w:r>
      <w:proofErr w:type="spellEnd"/>
      <w:r w:rsidRPr="00495104">
        <w:rPr>
          <w:rFonts w:ascii="Verdana" w:eastAsia="Calibri" w:hAnsi="Verdana" w:cs="Arial"/>
        </w:rPr>
        <w:t xml:space="preserve">) la actividad a contratar, y </w:t>
      </w:r>
      <w:proofErr w:type="spellStart"/>
      <w:r w:rsidRPr="00495104">
        <w:rPr>
          <w:rFonts w:ascii="Verdana" w:eastAsia="Calibri" w:hAnsi="Verdana" w:cs="Arial"/>
        </w:rPr>
        <w:t>iii</w:t>
      </w:r>
      <w:proofErr w:type="spellEnd"/>
      <w:r w:rsidRPr="00495104">
        <w:rPr>
          <w:rFonts w:ascii="Verdana" w:eastAsia="Calibri" w:hAnsi="Verdana" w:cs="Arial"/>
        </w:rPr>
        <w:t>) la cuantía del Proceso de Contratación.</w:t>
      </w:r>
    </w:p>
    <w:p w14:paraId="0A0FC2C0" w14:textId="77777777" w:rsidR="00495104" w:rsidRPr="00495104" w:rsidRDefault="00495104" w:rsidP="00495104">
      <w:pPr>
        <w:widowControl w:val="0"/>
        <w:autoSpaceDE w:val="0"/>
        <w:autoSpaceDN w:val="0"/>
        <w:spacing w:before="120" w:after="120" w:line="276" w:lineRule="auto"/>
        <w:ind w:firstLine="708"/>
        <w:jc w:val="both"/>
        <w:rPr>
          <w:rFonts w:ascii="Verdana" w:eastAsia="Verdana" w:hAnsi="Verdana" w:cs="Verdana"/>
          <w:lang w:val="es-ES"/>
        </w:rPr>
      </w:pPr>
      <w:r w:rsidRPr="00495104">
        <w:rPr>
          <w:rFonts w:ascii="Verdana" w:eastAsia="Calibri" w:hAnsi="Verdana" w:cs="Arial"/>
        </w:rPr>
        <w:t xml:space="preserve">En relación con el primer aspecto, la Matriz 1 está constituida por nueve (9) tipos de obras de infraestructura de transporte, identificadas con un número y su descripción, los cuales son: 1) obras en vías primarias o secundarias, 2) </w:t>
      </w:r>
      <w:r w:rsidRPr="00495104">
        <w:rPr>
          <w:rFonts w:ascii="Verdana" w:eastAsia="Calibri" w:hAnsi="Verdana" w:cs="Arial"/>
        </w:rPr>
        <w:lastRenderedPageBreak/>
        <w:t>obras en vías terciarias, 3) obras marítimas y fluviales, 4) obras en vías primarias o secundarias o terciarias o urbanas para atención, prevención o mitigación de emergencias diferentes a contratación directa, 5) obras férreas, 6) obras de infraestructura vial urbana, 7) obras en puentes, 8) obras aeroportuarias y 9) obras en túneles. Estas determinan el marco para la aplicación de los documentos tipo, dado que comprenden todas aquellas actividades que constituyen obra pública de infraestructura de transporte y que han sido objeto de estandarización mediante la Resolución No. 465 del 10 de septiembre de 2024 para los procesos de licitación pública.</w:t>
      </w:r>
    </w:p>
    <w:p w14:paraId="19AEF999" w14:textId="77777777" w:rsidR="00495104" w:rsidRPr="00495104" w:rsidRDefault="00495104" w:rsidP="00495104">
      <w:pPr>
        <w:widowControl w:val="0"/>
        <w:autoSpaceDE w:val="0"/>
        <w:autoSpaceDN w:val="0"/>
        <w:spacing w:before="120" w:after="120" w:line="276" w:lineRule="auto"/>
        <w:ind w:firstLine="708"/>
        <w:jc w:val="both"/>
        <w:rPr>
          <w:rFonts w:ascii="Verdana" w:eastAsia="Verdana" w:hAnsi="Verdana" w:cs="Verdana"/>
          <w:lang w:val="es-ES"/>
        </w:rPr>
      </w:pPr>
      <w:r w:rsidRPr="00495104">
        <w:rPr>
          <w:rFonts w:ascii="Verdana" w:eastAsia="Calibri" w:hAnsi="Verdana" w:cs="Arial"/>
        </w:rPr>
        <w:t xml:space="preserve">Con respecto a la actividad a contratar, la Matriz 1 establece cuáles son las que corresponden a cada uno de los tipos de infraestructura mencionados, con el fin de que la entidad identifique aquellas en las cuales puede encuadrarse, de mejor forma, el objeto que pretende ejecutar y determinar los requisitos de experiencia exigibles. </w:t>
      </w:r>
    </w:p>
    <w:p w14:paraId="68AA1EBF" w14:textId="77777777" w:rsidR="00495104" w:rsidRPr="00495104" w:rsidRDefault="00495104" w:rsidP="00495104">
      <w:pPr>
        <w:widowControl w:val="0"/>
        <w:autoSpaceDE w:val="0"/>
        <w:autoSpaceDN w:val="0"/>
        <w:spacing w:before="120" w:after="120" w:line="276" w:lineRule="auto"/>
        <w:ind w:firstLine="708"/>
        <w:jc w:val="both"/>
        <w:rPr>
          <w:rFonts w:ascii="Verdana" w:eastAsia="Verdana" w:hAnsi="Verdana" w:cs="Verdana"/>
          <w:lang w:val="es-ES"/>
        </w:rPr>
      </w:pPr>
      <w:r w:rsidRPr="00495104">
        <w:rPr>
          <w:rFonts w:ascii="Verdana" w:eastAsia="Calibri" w:hAnsi="Verdana" w:cs="Arial"/>
        </w:rPr>
        <w:t xml:space="preserve">De otra parte, el documento establece los rangos dentro de los cuales se debe identificar el presupuesto del Proceso de Contratación. Estos abarcan las cuantías mínimas y máximas que son frecuentes en los procesos de contratación de obra pública de infraestructura de transporte, y son resultado de las exigencias señaladas en el inciso 3 del parágrafo 7 del artículo 2 de la Ley 1150 de 2007 –modificado por el artículo 1 de la Ley 2022 de 2020–, conforme al cual las condiciones fijadas en los documentos tipo deben tener en cuenta la cuantía, la naturaleza y la especialidad de la contratación. </w:t>
      </w:r>
    </w:p>
    <w:p w14:paraId="616A801E" w14:textId="77777777" w:rsidR="00495104" w:rsidRPr="00495104" w:rsidRDefault="00495104" w:rsidP="00495104">
      <w:pPr>
        <w:widowControl w:val="0"/>
        <w:autoSpaceDE w:val="0"/>
        <w:autoSpaceDN w:val="0"/>
        <w:spacing w:before="120" w:after="120" w:line="276" w:lineRule="auto"/>
        <w:ind w:firstLine="708"/>
        <w:jc w:val="both"/>
        <w:rPr>
          <w:rFonts w:ascii="Verdana" w:eastAsia="Verdana" w:hAnsi="Verdana" w:cs="Verdana"/>
          <w:lang w:val="es-ES"/>
        </w:rPr>
      </w:pPr>
      <w:r w:rsidRPr="00495104">
        <w:rPr>
          <w:rFonts w:ascii="Verdana" w:eastAsia="Calibri" w:hAnsi="Verdana" w:cs="Arial"/>
        </w:rPr>
        <w:t xml:space="preserve">Estos tres factores determinan el requisito de experiencia establecido en los documentos tipo desarrollados por la Agencia Nacional de Contratación Pública – Colombia Compra Eficiente, e incluido en la Matriz 1, que es resultado del mandato establecido en la Ley 2022 de 2020, por lo que son de obligatorio cumplimiento. Igualmente, se encuentran sometidos a la regulación prevista en la Resolución No. 465 del 10 de septiembre de 2024 y, por tanto, la regla general es que no pueden ser alterados, modificados o adicionados en su contenido. </w:t>
      </w:r>
    </w:p>
    <w:p w14:paraId="4DC1ECF8" w14:textId="77777777" w:rsidR="00495104" w:rsidRPr="00495104" w:rsidRDefault="00495104" w:rsidP="00495104">
      <w:pPr>
        <w:spacing w:after="0" w:line="276" w:lineRule="auto"/>
        <w:ind w:firstLine="709"/>
        <w:jc w:val="both"/>
        <w:rPr>
          <w:rFonts w:ascii="Verdana" w:eastAsia="Calibri" w:hAnsi="Verdana" w:cs="Arial"/>
          <w:kern w:val="2"/>
          <w14:ligatures w14:val="standardContextual"/>
        </w:rPr>
      </w:pPr>
      <w:r w:rsidRPr="00495104">
        <w:rPr>
          <w:rFonts w:ascii="Verdana" w:eastAsia="Calibri" w:hAnsi="Verdana" w:cs="Arial"/>
        </w:rPr>
        <w:t xml:space="preserve">Ahora bien, en el documento base o pliego tipo adoptado por la Resolución No. 465 del 10 de septiembre de 2024, se desarrolla el numeral 3.5.1 “Determinación de los requisitos mínimos de experiencia según la Matriz 1 – Experiencia”, en el que la entidad debe justificar, expresa y suficientemente la complejidad del proyecto, determinando si es de: </w:t>
      </w:r>
      <w:r w:rsidRPr="00495104">
        <w:rPr>
          <w:rFonts w:ascii="Verdana" w:eastAsia="Calibri" w:hAnsi="Verdana" w:cs="Arial"/>
          <w:kern w:val="2"/>
          <w14:ligatures w14:val="standardContextual"/>
        </w:rPr>
        <w:t xml:space="preserve">a) Proyecto de Media o Baja </w:t>
      </w:r>
      <w:r w:rsidRPr="00495104">
        <w:rPr>
          <w:rFonts w:ascii="Verdana" w:eastAsia="Calibri" w:hAnsi="Verdana" w:cs="Arial"/>
          <w:kern w:val="2"/>
          <w14:ligatures w14:val="standardContextual"/>
        </w:rPr>
        <w:lastRenderedPageBreak/>
        <w:t>Complejidad o b) Proyecto de Alta Complejidad. Al respecto, el documento base establece lo siguiente:</w:t>
      </w:r>
    </w:p>
    <w:p w14:paraId="23ACB96B" w14:textId="77777777" w:rsidR="00495104" w:rsidRPr="00495104" w:rsidRDefault="00495104" w:rsidP="00495104">
      <w:pPr>
        <w:spacing w:after="0" w:line="276" w:lineRule="auto"/>
        <w:ind w:firstLine="709"/>
        <w:jc w:val="both"/>
        <w:rPr>
          <w:rFonts w:ascii="Century Gothic" w:eastAsia="Calibri" w:hAnsi="Century Gothic" w:cs="Arial"/>
          <w:kern w:val="2"/>
          <w:sz w:val="24"/>
          <w:szCs w:val="24"/>
          <w14:ligatures w14:val="standardContextual"/>
        </w:rPr>
      </w:pPr>
    </w:p>
    <w:p w14:paraId="3451F0C0" w14:textId="77777777" w:rsidR="00495104" w:rsidRPr="00495104" w:rsidRDefault="00495104" w:rsidP="00495104">
      <w:pPr>
        <w:keepNext/>
        <w:keepLines/>
        <w:spacing w:after="120" w:line="278" w:lineRule="auto"/>
        <w:ind w:left="709" w:right="709" w:hanging="1"/>
        <w:jc w:val="both"/>
        <w:outlineLvl w:val="2"/>
        <w:rPr>
          <w:rFonts w:ascii="Verdana" w:eastAsia="Times New Roman" w:hAnsi="Verdana" w:cs="Times New Roman"/>
          <w:b/>
          <w:bCs/>
          <w:caps/>
          <w:color w:val="000000"/>
          <w:kern w:val="2"/>
          <w:sz w:val="20"/>
          <w:szCs w:val="20"/>
          <w:lang w:val="es-MX"/>
          <w14:ligatures w14:val="standardContextual"/>
        </w:rPr>
      </w:pPr>
      <w:r w:rsidRPr="00495104">
        <w:rPr>
          <w:rFonts w:ascii="Verdana" w:eastAsia="Times New Roman" w:hAnsi="Verdana" w:cs="Times New Roman"/>
          <w:b/>
          <w:bCs/>
          <w:color w:val="000000"/>
          <w:kern w:val="2"/>
          <w:sz w:val="20"/>
          <w:szCs w:val="20"/>
          <w:lang w:val="es-MX"/>
          <w14:ligatures w14:val="standardContextual"/>
        </w:rPr>
        <w:t xml:space="preserve">“DETERMINACIÓN DE LOS REQUISITOS MÍNIMOS DE EXPERIENCIA SEGÚN LA MATRIZ 1 – EXPERIENCIA </w:t>
      </w:r>
    </w:p>
    <w:p w14:paraId="468DB60A" w14:textId="77777777" w:rsidR="00495104" w:rsidRPr="00495104" w:rsidRDefault="00495104" w:rsidP="00495104">
      <w:pPr>
        <w:spacing w:after="120" w:line="278" w:lineRule="auto"/>
        <w:ind w:left="709" w:right="709"/>
        <w:rPr>
          <w:rFonts w:ascii="Verdana" w:eastAsia="Aptos" w:hAnsi="Verdana" w:cs="Arial"/>
          <w:color w:val="000000"/>
          <w:kern w:val="2"/>
          <w:sz w:val="20"/>
          <w:szCs w:val="20"/>
          <w:lang w:val="es-MX"/>
          <w14:ligatures w14:val="standardContextual"/>
        </w:rPr>
      </w:pPr>
      <w:r w:rsidRPr="00495104">
        <w:rPr>
          <w:rFonts w:ascii="Verdana" w:eastAsia="Aptos" w:hAnsi="Verdana" w:cs="Arial"/>
          <w:color w:val="000000"/>
          <w:kern w:val="2"/>
          <w:sz w:val="20"/>
          <w:szCs w:val="20"/>
          <w:lang w:val="es-MX"/>
          <w14:ligatures w14:val="standardContextual"/>
        </w:rPr>
        <w:t xml:space="preserve">La complejidad técnica del proyecto se establece de la siguiente manera, en concordancia con lo previsto en la “Matriz 1 – Experiencia”: </w:t>
      </w:r>
    </w:p>
    <w:p w14:paraId="458D71A1" w14:textId="77777777" w:rsidR="00495104" w:rsidRPr="00495104" w:rsidRDefault="00495104" w:rsidP="00495104">
      <w:pPr>
        <w:spacing w:after="120" w:line="278" w:lineRule="auto"/>
        <w:ind w:left="709" w:right="709"/>
        <w:textAlignment w:val="baseline"/>
        <w:rPr>
          <w:rFonts w:ascii="Verdana" w:eastAsia="Aptos" w:hAnsi="Verdana" w:cs="Arial"/>
          <w:color w:val="000000"/>
          <w:kern w:val="2"/>
          <w:sz w:val="20"/>
          <w:szCs w:val="20"/>
          <w:lang w:eastAsia="es-CO"/>
          <w14:ligatures w14:val="standardContextual"/>
        </w:rPr>
      </w:pPr>
      <w:r w:rsidRPr="00495104">
        <w:rPr>
          <w:rFonts w:ascii="Verdana" w:eastAsia="Aptos" w:hAnsi="Verdana" w:cs="Arial"/>
          <w:b/>
          <w:bCs/>
          <w:color w:val="000000"/>
          <w:kern w:val="2"/>
          <w:sz w:val="20"/>
          <w:szCs w:val="20"/>
          <w:u w:val="single"/>
          <w:lang w:eastAsia="es-CO"/>
          <w14:ligatures w14:val="standardContextual"/>
        </w:rPr>
        <w:t>JUSTIFICACIÓN DE LA COMPLEJIDAD TÉCNICA:</w:t>
      </w:r>
    </w:p>
    <w:p w14:paraId="5E4CF8B7" w14:textId="77777777" w:rsidR="00495104" w:rsidRPr="00495104" w:rsidRDefault="00495104" w:rsidP="00495104">
      <w:pPr>
        <w:spacing w:after="120" w:line="278" w:lineRule="auto"/>
        <w:ind w:left="709" w:right="709"/>
        <w:textAlignment w:val="baseline"/>
        <w:rPr>
          <w:rFonts w:ascii="Verdana" w:eastAsia="Aptos" w:hAnsi="Verdana" w:cs="Arial"/>
          <w:color w:val="000000"/>
          <w:kern w:val="2"/>
          <w:sz w:val="20"/>
          <w:szCs w:val="20"/>
          <w:lang w:eastAsia="es-CO"/>
          <w14:ligatures w14:val="standardContextual"/>
        </w:rPr>
      </w:pPr>
      <w:r w:rsidRPr="00495104">
        <w:rPr>
          <w:rFonts w:ascii="Verdana" w:eastAsia="Aptos" w:hAnsi="Verdana" w:cs="Arial"/>
          <w:color w:val="000000"/>
          <w:kern w:val="2"/>
          <w:sz w:val="20"/>
          <w:szCs w:val="20"/>
          <w:lang w:eastAsia="es-CO"/>
          <w14:ligatures w14:val="standardContextual"/>
        </w:rPr>
        <w:t>La complejidad técnica del proyecto se establece de la siguiente manera, en concordancia con lo previsto en la “Matriz 1 – Experiencia”:  </w:t>
      </w:r>
    </w:p>
    <w:p w14:paraId="49EE6C68" w14:textId="77777777" w:rsidR="00495104" w:rsidRPr="00495104" w:rsidRDefault="00495104" w:rsidP="00495104">
      <w:pPr>
        <w:spacing w:after="120" w:line="278" w:lineRule="auto"/>
        <w:ind w:left="709" w:right="624"/>
        <w:jc w:val="center"/>
        <w:rPr>
          <w:rFonts w:ascii="Verdana" w:eastAsia="Aptos" w:hAnsi="Verdana" w:cs="Arial"/>
          <w:color w:val="000000"/>
          <w:kern w:val="2"/>
          <w:sz w:val="20"/>
          <w:szCs w:val="20"/>
          <w:highlight w:val="lightGray"/>
          <w:lang w:val="es-MX"/>
          <w14:ligatures w14:val="standardContextual"/>
        </w:rPr>
      </w:pPr>
      <w:r w:rsidRPr="00495104">
        <w:rPr>
          <w:rFonts w:ascii="Verdana" w:eastAsia="Aptos" w:hAnsi="Verdana" w:cs="Arial"/>
          <w:noProof/>
          <w:color w:val="000000"/>
          <w:kern w:val="2"/>
          <w:sz w:val="20"/>
          <w:szCs w:val="20"/>
          <w:lang w:val="es-MX"/>
          <w14:ligatures w14:val="standardContextual"/>
        </w:rPr>
        <w:drawing>
          <wp:inline distT="0" distB="0" distL="0" distR="0" wp14:anchorId="7D2AB18A" wp14:editId="69E9E814">
            <wp:extent cx="3256941" cy="1599431"/>
            <wp:effectExtent l="0" t="0" r="0" b="1270"/>
            <wp:docPr id="74071599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0715999" name=""/>
                    <pic:cNvPicPr/>
                  </pic:nvPicPr>
                  <pic:blipFill>
                    <a:blip r:embed="rId11"/>
                    <a:stretch>
                      <a:fillRect/>
                    </a:stretch>
                  </pic:blipFill>
                  <pic:spPr>
                    <a:xfrm>
                      <a:off x="0" y="0"/>
                      <a:ext cx="3283040" cy="1612248"/>
                    </a:xfrm>
                    <a:prstGeom prst="rect">
                      <a:avLst/>
                    </a:prstGeom>
                  </pic:spPr>
                </pic:pic>
              </a:graphicData>
            </a:graphic>
          </wp:inline>
        </w:drawing>
      </w:r>
    </w:p>
    <w:p w14:paraId="5AC1A925" w14:textId="77777777" w:rsidR="00495104" w:rsidRPr="00495104" w:rsidRDefault="00495104" w:rsidP="00495104">
      <w:pPr>
        <w:spacing w:after="120" w:line="278" w:lineRule="auto"/>
        <w:ind w:left="709" w:right="709"/>
        <w:jc w:val="both"/>
        <w:rPr>
          <w:rFonts w:ascii="Verdana" w:eastAsia="Aptos" w:hAnsi="Verdana" w:cs="Arial"/>
          <w:color w:val="000000"/>
          <w:kern w:val="2"/>
          <w:sz w:val="20"/>
          <w:szCs w:val="20"/>
          <w:lang w:val="es-MX"/>
          <w14:ligatures w14:val="standardContextual"/>
        </w:rPr>
      </w:pPr>
      <w:r w:rsidRPr="00495104">
        <w:rPr>
          <w:rFonts w:ascii="Verdana" w:eastAsia="Aptos" w:hAnsi="Verdana" w:cs="Arial"/>
          <w:color w:val="000000"/>
          <w:kern w:val="2"/>
          <w:sz w:val="20"/>
          <w:szCs w:val="20"/>
          <w:highlight w:val="lightGray"/>
          <w:lang w:val="es-MX"/>
          <w14:ligatures w14:val="standardContextual"/>
        </w:rPr>
        <w:t>[La Entidad debe indicar en esta sección las reglas de experiencia que serán requeridas en el Proceso de Contratación de acuerdo con la Matriz 1 – Experiencia. De igual forma, tiene que justificar expresa y suficientemente la implementación de las condiciones para un proyecto de baja-media o alta complejidad técnica según la Matriz 1 – Experiencia. Para tal fin, la Entidad puede tener en cuenta las siguientes variables que se señalan a modo de ejemplo, sin limitarse exclusivamente a estas, que puedan incidir en la determinación de la complejidad técnica: condiciones geográficas, geológicas, hidrológicas, climáticas, así como el alcance físico del proyecto de infraestructura de transporte]</w:t>
      </w:r>
      <w:r w:rsidRPr="00495104">
        <w:rPr>
          <w:rFonts w:ascii="Verdana" w:eastAsia="Aptos" w:hAnsi="Verdana" w:cs="Arial"/>
          <w:color w:val="000000"/>
          <w:kern w:val="2"/>
          <w:sz w:val="20"/>
          <w:szCs w:val="20"/>
          <w:lang w:val="es-MX"/>
          <w14:ligatures w14:val="standardContextual"/>
        </w:rPr>
        <w:t>.</w:t>
      </w:r>
    </w:p>
    <w:p w14:paraId="5282E8B3" w14:textId="77777777" w:rsidR="00495104" w:rsidRPr="00495104" w:rsidRDefault="00495104" w:rsidP="00495104">
      <w:pPr>
        <w:spacing w:after="120" w:line="278" w:lineRule="auto"/>
        <w:ind w:left="709" w:right="709"/>
        <w:jc w:val="both"/>
        <w:rPr>
          <w:rFonts w:ascii="Verdana" w:eastAsia="Aptos" w:hAnsi="Verdana" w:cs="Arial"/>
          <w:color w:val="000000"/>
          <w:kern w:val="2"/>
          <w:sz w:val="20"/>
          <w:szCs w:val="20"/>
          <w:lang w:val="es-MX"/>
          <w14:ligatures w14:val="standardContextual"/>
        </w:rPr>
      </w:pPr>
      <w:r w:rsidRPr="00495104">
        <w:rPr>
          <w:rFonts w:ascii="Verdana" w:eastAsia="Aptos" w:hAnsi="Verdana" w:cs="Arial"/>
          <w:color w:val="000000"/>
          <w:kern w:val="2"/>
          <w:sz w:val="20"/>
          <w:szCs w:val="20"/>
          <w:lang w:val="es-MX"/>
          <w14:ligatures w14:val="standardContextual"/>
        </w:rPr>
        <w:t>[</w:t>
      </w:r>
      <w:r w:rsidRPr="00495104">
        <w:rPr>
          <w:rFonts w:ascii="Verdana" w:eastAsia="Aptos" w:hAnsi="Verdana" w:cs="Arial"/>
          <w:color w:val="000000"/>
          <w:kern w:val="2"/>
          <w:sz w:val="20"/>
          <w:szCs w:val="20"/>
          <w:highlight w:val="lightGray"/>
          <w:lang w:val="es-MX"/>
          <w14:ligatures w14:val="standardContextual"/>
        </w:rPr>
        <w:t>La Entidad no podrá limitarse exclusivamente a la cuantía del Proceso de Contratación para establecer la complejidad técnica, pues su definición obedece a aspectos técnicos]</w:t>
      </w:r>
    </w:p>
    <w:p w14:paraId="03260953" w14:textId="77777777" w:rsidR="00495104" w:rsidRPr="00495104" w:rsidRDefault="00495104" w:rsidP="00495104">
      <w:pPr>
        <w:spacing w:after="0" w:line="278" w:lineRule="auto"/>
        <w:ind w:left="709" w:right="709"/>
        <w:jc w:val="both"/>
        <w:rPr>
          <w:rFonts w:ascii="Verdana" w:eastAsia="Aptos" w:hAnsi="Verdana" w:cs="Arial"/>
          <w:color w:val="000000"/>
          <w:kern w:val="2"/>
          <w:sz w:val="20"/>
          <w:szCs w:val="20"/>
          <w:lang w:val="es-MX"/>
          <w14:ligatures w14:val="standardContextual"/>
        </w:rPr>
      </w:pPr>
      <w:r w:rsidRPr="00495104">
        <w:rPr>
          <w:rFonts w:ascii="Verdana" w:eastAsia="Aptos" w:hAnsi="Verdana" w:cs="Arial"/>
          <w:color w:val="000000"/>
          <w:kern w:val="2"/>
          <w:sz w:val="20"/>
          <w:szCs w:val="20"/>
          <w:lang w:val="es-MX"/>
          <w14:ligatures w14:val="standardContextual"/>
        </w:rPr>
        <w:t xml:space="preserve">(…)”. </w:t>
      </w:r>
    </w:p>
    <w:p w14:paraId="65407703" w14:textId="77777777" w:rsidR="00495104" w:rsidRPr="00495104" w:rsidRDefault="00495104" w:rsidP="00495104">
      <w:pPr>
        <w:keepNext/>
        <w:keepLines/>
        <w:spacing w:after="0" w:line="278" w:lineRule="auto"/>
        <w:ind w:left="1" w:firstLine="707"/>
        <w:jc w:val="both"/>
        <w:outlineLvl w:val="2"/>
        <w:rPr>
          <w:rFonts w:ascii="Verdana" w:eastAsia="Times New Roman" w:hAnsi="Verdana" w:cs="Arial"/>
          <w:color w:val="000000"/>
          <w:lang w:eastAsia="es-ES"/>
        </w:rPr>
      </w:pPr>
    </w:p>
    <w:p w14:paraId="7522A154" w14:textId="77777777" w:rsidR="00495104" w:rsidRPr="00495104" w:rsidRDefault="00495104" w:rsidP="00495104">
      <w:pPr>
        <w:keepNext/>
        <w:keepLines/>
        <w:spacing w:after="0" w:line="278" w:lineRule="auto"/>
        <w:ind w:left="1" w:firstLine="707"/>
        <w:jc w:val="both"/>
        <w:outlineLvl w:val="2"/>
        <w:rPr>
          <w:rFonts w:ascii="Verdana" w:eastAsia="Times New Roman" w:hAnsi="Verdana" w:cs="Times New Roman"/>
          <w:caps/>
          <w:color w:val="000000"/>
          <w:kern w:val="2"/>
          <w:lang w:val="es-MX"/>
          <w14:ligatures w14:val="standardContextual"/>
        </w:rPr>
      </w:pPr>
      <w:r w:rsidRPr="00495104">
        <w:rPr>
          <w:rFonts w:ascii="Verdana" w:eastAsia="Times New Roman" w:hAnsi="Verdana" w:cs="Arial"/>
          <w:color w:val="000000"/>
          <w:lang w:eastAsia="es-ES"/>
        </w:rPr>
        <w:t>De acuerdo con lo dispuesto en el numeral 3.5.1 “</w:t>
      </w:r>
      <w:r w:rsidRPr="00495104">
        <w:rPr>
          <w:rFonts w:ascii="Verdana" w:eastAsia="Times New Roman" w:hAnsi="Verdana" w:cs="Times New Roman"/>
          <w:color w:val="000000"/>
          <w:kern w:val="2"/>
          <w:lang w:val="es-MX"/>
          <w14:ligatures w14:val="standardContextual"/>
        </w:rPr>
        <w:t xml:space="preserve">Determinación de los </w:t>
      </w:r>
      <w:r w:rsidRPr="00495104">
        <w:rPr>
          <w:rFonts w:ascii="Verdana" w:eastAsia="Calibri" w:hAnsi="Verdana" w:cs="Arial"/>
          <w:lang w:val="es-MX"/>
        </w:rPr>
        <w:t>requisitos mínimos de experiencia según la matriz 1 – experiencia” del documento base, la entidad deberá diligenciar el cuadro que allí se dispone para justificar la complejidad técnica del proyecto en concordancia con lo previsto en la Matriz 1 – Experiencia. Esto garantiza que las entidades justifiquen en el pliego de condiciones, en la casilla dispuesta para el efecto, las razones que determinan la complejidad técnica del proyecto de acuerdo con las condiciones establecidas en la Matriz 1 – Experiencia, además, permite que los interesados en el proceso puedan conocer los argumentos que llevan a la entidad a determinar la complejidad del proyecto y los requisitos de experiencia a exigir.</w:t>
      </w:r>
      <w:r w:rsidRPr="00495104">
        <w:rPr>
          <w:rFonts w:ascii="Verdana" w:eastAsia="Times New Roman" w:hAnsi="Verdana" w:cs="Arial"/>
          <w:color w:val="0F4761"/>
          <w:lang w:eastAsia="es-ES"/>
        </w:rPr>
        <w:t xml:space="preserve"> </w:t>
      </w:r>
    </w:p>
    <w:p w14:paraId="4C94124B" w14:textId="77777777" w:rsidR="00495104" w:rsidRPr="00495104" w:rsidRDefault="00495104" w:rsidP="00495104">
      <w:pPr>
        <w:spacing w:before="120" w:after="120" w:line="276" w:lineRule="auto"/>
        <w:ind w:right="51"/>
        <w:jc w:val="both"/>
        <w:rPr>
          <w:rFonts w:ascii="Verdana" w:eastAsia="Calibri" w:hAnsi="Verdana" w:cs="Arial"/>
          <w:lang w:val="es-MX"/>
        </w:rPr>
      </w:pPr>
      <w:r w:rsidRPr="00495104">
        <w:rPr>
          <w:rFonts w:ascii="Verdana" w:eastAsia="Calibri" w:hAnsi="Verdana" w:cs="Arial"/>
          <w:lang w:val="es-MX"/>
        </w:rPr>
        <w:tab/>
        <w:t xml:space="preserve">En este sentido, surge el siguiente interrogante: </w:t>
      </w:r>
      <w:r w:rsidRPr="00495104">
        <w:rPr>
          <w:rFonts w:ascii="Verdana" w:eastAsia="Calibri" w:hAnsi="Verdana" w:cs="Arial"/>
          <w:i/>
          <w:iCs/>
          <w:lang w:val="es-MX"/>
        </w:rPr>
        <w:t>¿qué criterios deben servir de parámetros a las entidades contratantes para determinar cuál de las dos matrices deben aplicar?</w:t>
      </w:r>
      <w:r w:rsidRPr="00495104">
        <w:rPr>
          <w:rFonts w:ascii="Verdana" w:eastAsia="Calibri" w:hAnsi="Verdana" w:cs="Arial"/>
          <w:lang w:val="es-MX"/>
        </w:rPr>
        <w:t xml:space="preserve"> Al respecto, la Agencia consideró que no era adecuado definir la complejidad en abstracto o limitarla simplemente por la cuantía de un proyecto, sino por otras circunstancias netamente técnicas que suelen ser particulares de cada proyecto, tales como, las condiciones geográficas, geológicas, hidrológicas, climáticas, entre otros, ya que son inherentes a cada proyecto de infraestructura de transporte y su alcance, por lo que estas circunstancias tan variables deben valorarse en cada proyecto por la entidad respectiva, siendo los elementos más determinantes para definir la complejidad técnica de un proyecto y exigir una mayor idoneidad o experiencia para afrontar la ejecución de estos contratos.</w:t>
      </w:r>
      <w:r w:rsidRPr="00495104" w:rsidDel="00161D4D">
        <w:rPr>
          <w:rFonts w:ascii="Verdana" w:eastAsia="Calibri" w:hAnsi="Verdana" w:cs="Arial"/>
          <w:lang w:val="es-MX"/>
        </w:rPr>
        <w:t xml:space="preserve"> </w:t>
      </w:r>
    </w:p>
    <w:p w14:paraId="678EADF8" w14:textId="77777777" w:rsidR="00495104" w:rsidRPr="00495104" w:rsidRDefault="00495104" w:rsidP="00495104">
      <w:pPr>
        <w:spacing w:after="120" w:line="276" w:lineRule="auto"/>
        <w:ind w:right="51"/>
        <w:jc w:val="both"/>
        <w:rPr>
          <w:rFonts w:ascii="Verdana" w:eastAsia="Calibri" w:hAnsi="Verdana" w:cs="Arial"/>
          <w:lang w:val="es-MX"/>
        </w:rPr>
      </w:pPr>
      <w:r w:rsidRPr="00495104">
        <w:rPr>
          <w:rFonts w:ascii="Verdana" w:eastAsia="Calibri" w:hAnsi="Verdana" w:cs="Arial"/>
          <w:lang w:val="es-MX"/>
        </w:rPr>
        <w:tab/>
        <w:t xml:space="preserve">Dicho de otra forma, la complejidad técnica de un proyecto debe establecerse en concreto, debido a que, por ejemplo, las cuantías de los procesos de contratación, que sería un criterio transversal, no constituyen el único parámetro para señalar cuando un proyecto tiene una complejidad baja–media o alta, toda vez que depende en mayor medida de consideraciones técnicas. Por esta razón, la Agencia incluyó en el documento base los siguientes criterios enunciativos o ejemplificativos, desde el punto de vista técnico, con la finalidad de orientar a las entidades estatales, los cuales puede utilizar cada una de ellas para justificar cuando un proceso de contratación se considera de baja‒media o alta complejidad, dependiendo de cada proyecto a ejecutar: las condiciones geográficas, geológicas, hidrológicas, climáticas, así como el alcance físico del proyecto de infraestructura de transporte. En todo caso, la </w:t>
      </w:r>
      <w:r w:rsidRPr="00495104">
        <w:rPr>
          <w:rFonts w:ascii="Verdana" w:eastAsia="Calibri" w:hAnsi="Verdana" w:cs="Arial"/>
          <w:lang w:val="es-MX"/>
        </w:rPr>
        <w:lastRenderedPageBreak/>
        <w:t xml:space="preserve">justificación corresponde elaborarla a cada entidad y debe quedar soportada en el “Numeral 3.5.1”. </w:t>
      </w:r>
    </w:p>
    <w:p w14:paraId="67B5046B" w14:textId="77777777" w:rsidR="00495104" w:rsidRPr="00495104" w:rsidRDefault="00495104" w:rsidP="00495104">
      <w:pPr>
        <w:spacing w:after="120" w:line="276" w:lineRule="auto"/>
        <w:ind w:right="51"/>
        <w:jc w:val="both"/>
        <w:rPr>
          <w:rFonts w:ascii="Verdana" w:eastAsia="Calibri" w:hAnsi="Verdana" w:cs="Arial"/>
          <w:lang w:val="es-MX"/>
        </w:rPr>
      </w:pPr>
      <w:r w:rsidRPr="00495104">
        <w:rPr>
          <w:rFonts w:ascii="Verdana" w:eastAsia="Calibri" w:hAnsi="Verdana" w:cs="Arial"/>
          <w:lang w:val="es-MX"/>
        </w:rPr>
        <w:tab/>
      </w:r>
      <w:bookmarkStart w:id="2" w:name="_Hlk66702547"/>
      <w:r w:rsidRPr="00495104">
        <w:rPr>
          <w:rFonts w:ascii="Verdana" w:eastAsia="Calibri" w:hAnsi="Verdana" w:cs="Arial"/>
          <w:lang w:val="es-MX"/>
        </w:rPr>
        <w:t xml:space="preserve">Ahora bien, debe destacarse que los interesados en el procedimiento de selección podrán presentar observaciones al proyecto de pliego de condiciones, indicándole a la entidad las razones por las cuales, eventualmente, consideran que la complejidad técnica del proyecto no es la adecuada, señalando la matriz de experiencia que consideran debe utilizarse. De este modo, los posibles interesados podrán solicitar el ajuste del pliego de condiciones en los casos en que consideren se requiere esa modificación. </w:t>
      </w:r>
    </w:p>
    <w:bookmarkEnd w:id="2"/>
    <w:p w14:paraId="26776A58" w14:textId="77777777" w:rsidR="00495104" w:rsidRPr="00495104" w:rsidRDefault="00495104" w:rsidP="00495104">
      <w:pPr>
        <w:spacing w:before="120" w:after="120" w:line="276" w:lineRule="auto"/>
        <w:ind w:right="51"/>
        <w:jc w:val="both"/>
        <w:rPr>
          <w:rFonts w:ascii="Verdana" w:eastAsia="Calibri" w:hAnsi="Verdana" w:cs="Arial"/>
          <w:lang w:val="es-MX"/>
        </w:rPr>
      </w:pPr>
      <w:r w:rsidRPr="00495104">
        <w:rPr>
          <w:rFonts w:ascii="Verdana" w:eastAsia="Calibri" w:hAnsi="Verdana" w:cs="Arial"/>
          <w:lang w:val="es-MX"/>
        </w:rPr>
        <w:tab/>
        <w:t xml:space="preserve">Explicadas las razones que justificaron la modificación de la “Matriz 1 – Matriz de Experiencia” y, además, analizada la imposibilidad de estandarizar de forma absoluta los criterios que definan en qué casos procede una u otra Matriz, a continuación se explicará, por medio de un caso hipotético, cómo se define la complejidad en dos proyectos distintos. Sin embargo, se precisa que las circunstancias concretas de cada proyecto deben ser valoradas por cada entidad estatal, a quien le corresponde definir en cada caso específico la complejidad del proyecto, de manera que se exijan requisitos de experiencia proporcionales a dicha complejidad. </w:t>
      </w:r>
    </w:p>
    <w:p w14:paraId="4E3773E8" w14:textId="77777777" w:rsidR="00495104" w:rsidRPr="00495104" w:rsidRDefault="00495104" w:rsidP="00495104">
      <w:pPr>
        <w:spacing w:before="120" w:after="120" w:line="276" w:lineRule="auto"/>
        <w:jc w:val="both"/>
        <w:rPr>
          <w:rFonts w:ascii="Verdana" w:eastAsia="Calibri" w:hAnsi="Verdana" w:cs="Arial"/>
          <w:lang w:val="es-MX"/>
        </w:rPr>
      </w:pPr>
      <w:r w:rsidRPr="00495104">
        <w:rPr>
          <w:rFonts w:ascii="Verdana" w:eastAsia="Calibri" w:hAnsi="Verdana" w:cs="Arial"/>
          <w:lang w:val="es-MX"/>
        </w:rPr>
        <w:tab/>
        <w:t xml:space="preserve">Un municipio del departamento de Chocó requiere contratar el mejoramiento de una vía terciaria, cuya longitud es aproximadamente de 30 KM y cuyo valor del proceso corresponde a 3.028 SMMLV. Por su parte, el municipio de Barranquilla contrata la rehabilitación de una vía terciaria de una longitud aproximada de 150 KM y cuyo valor del proceso corresponde a 11.000 SMMLV. </w:t>
      </w:r>
    </w:p>
    <w:p w14:paraId="40665F20" w14:textId="77777777" w:rsidR="00495104" w:rsidRPr="00495104" w:rsidRDefault="00495104" w:rsidP="00495104">
      <w:pPr>
        <w:spacing w:before="120" w:after="120" w:line="276" w:lineRule="auto"/>
        <w:ind w:firstLine="708"/>
        <w:jc w:val="both"/>
        <w:rPr>
          <w:rFonts w:ascii="Verdana" w:eastAsia="Calibri" w:hAnsi="Verdana" w:cs="Arial"/>
          <w:lang w:val="es-MX"/>
        </w:rPr>
      </w:pPr>
      <w:r w:rsidRPr="00495104">
        <w:rPr>
          <w:rFonts w:ascii="Verdana" w:eastAsia="Calibri" w:hAnsi="Verdana" w:cs="Arial"/>
          <w:lang w:val="es-MX"/>
        </w:rPr>
        <w:t xml:space="preserve">Ahora bien, en relación con estos proyectos de contratación es importante señalar que las condiciones geográficas, geológicas, hidrológicas, climáticas de cada lugar son diferentes. En el Chocó, según la clasificación de Koeppen, el clima es bastante húmedo de selva, con lluvias durante todo el año, razón por la cual está clasificado como uno de los departamentos con mayores lluvias del país. Por su parte, Barranquilla tiene un clima tropical cálido y húmedo caracterizado por temperaturas altas y estables, en donde las lluvias no son significativas. </w:t>
      </w:r>
    </w:p>
    <w:p w14:paraId="325C3248" w14:textId="77777777" w:rsidR="00495104" w:rsidRPr="00495104" w:rsidRDefault="00495104" w:rsidP="00495104">
      <w:pPr>
        <w:spacing w:before="120" w:after="120" w:line="276" w:lineRule="auto"/>
        <w:ind w:firstLine="708"/>
        <w:jc w:val="both"/>
        <w:rPr>
          <w:rFonts w:ascii="Verdana" w:eastAsia="Calibri" w:hAnsi="Verdana" w:cs="Arial"/>
          <w:lang w:val="es-MX"/>
        </w:rPr>
      </w:pPr>
      <w:r w:rsidRPr="00495104">
        <w:rPr>
          <w:rFonts w:ascii="Verdana" w:eastAsia="Calibri" w:hAnsi="Verdana" w:cs="Arial"/>
          <w:lang w:val="es-MX"/>
        </w:rPr>
        <w:t xml:space="preserve">Del supuesto planteado en la consulta se deriva que en ambos procesos de contratación se ejecutarán proyectos de mejoramiento o rehabilitación en </w:t>
      </w:r>
      <w:r w:rsidRPr="00495104">
        <w:rPr>
          <w:rFonts w:ascii="Verdana" w:eastAsia="Calibri" w:hAnsi="Verdana" w:cs="Arial"/>
          <w:lang w:val="es-MX"/>
        </w:rPr>
        <w:lastRenderedPageBreak/>
        <w:t xml:space="preserve">vías terciarias. Ahora bien, la cuantía y la longitud de los procesos difiere, puesto que, en Barranquilla la cuantía y la longitud de la obra es mayor en comparación con Chocó. </w:t>
      </w:r>
    </w:p>
    <w:p w14:paraId="1601BDF7" w14:textId="77777777" w:rsidR="00495104" w:rsidRPr="00495104" w:rsidRDefault="00495104" w:rsidP="00495104">
      <w:pPr>
        <w:spacing w:before="120" w:after="120" w:line="276" w:lineRule="auto"/>
        <w:ind w:firstLine="708"/>
        <w:jc w:val="both"/>
        <w:rPr>
          <w:rFonts w:ascii="Verdana" w:eastAsia="Calibri" w:hAnsi="Verdana" w:cs="Arial"/>
          <w:lang w:val="es-MX"/>
        </w:rPr>
      </w:pPr>
      <w:r w:rsidRPr="00495104">
        <w:rPr>
          <w:rFonts w:ascii="Verdana" w:eastAsia="Calibri" w:hAnsi="Verdana" w:cs="Arial"/>
          <w:lang w:val="es-MX"/>
        </w:rPr>
        <w:t xml:space="preserve">De las condiciones planteadas, en un principio, se podría considerar que el proyecto adelantado en Barranquilla es de complejidad alta, debido a que la cuantía y longitud es mayor en comparación con el proyecto a ejecutar en Chocó. Sin embargo, atendiendo lo previsto en el numeral 3.5.1 “Determinación de los requisitos mínimos de experiencia según la Matriz 1 – Experiencia” las condiciones geográficas, geológicas, hidrológicas, climáticas, así como el alcance físico del proyecto de infraestructura de transporte son variables que también se tienen en cuenta para determinar la complejidad del proyecto. En este caso, el municipio de Chocó tiene un clima que se caracteriza por las lluvias durante todo el año y, por tanto, esto podría dificultar la ejecución del proyecto a pesar de que la cuantía y la longitud del proyecto no es significativa en comparación con el otro caso. Por este motivo para el proyecto adelantado en Chocó se podría justificar en la circunstancia aludida para aplicar la “Matriz 1 – Experiencia” de complejidad alta para el ejemplo planteado. </w:t>
      </w:r>
    </w:p>
    <w:p w14:paraId="5BE15CFC" w14:textId="77777777" w:rsidR="00495104" w:rsidRPr="00495104" w:rsidRDefault="00495104" w:rsidP="00495104">
      <w:pPr>
        <w:spacing w:before="120" w:after="120" w:line="276" w:lineRule="auto"/>
        <w:ind w:firstLine="708"/>
        <w:jc w:val="both"/>
        <w:rPr>
          <w:rFonts w:ascii="Verdana" w:eastAsia="Calibri" w:hAnsi="Verdana" w:cs="Arial"/>
          <w:lang w:val="es-MX"/>
        </w:rPr>
      </w:pPr>
      <w:r w:rsidRPr="00495104">
        <w:rPr>
          <w:rFonts w:ascii="Verdana" w:eastAsia="Calibri" w:hAnsi="Verdana" w:cs="Arial"/>
          <w:lang w:val="es-MX"/>
        </w:rPr>
        <w:t>Por su parte, Barranquilla, si bien es un proyecto cuya cuantía y longitud supera 10.000 SMMLV y los 100 KM, estos no son los únicos criterios a tener en cuenta para definir que el proyecto sea de complejidad alta; puesto que, las condiciones climáticas, geológicas, hidrológicas no representan una complejidad alta; ya que el clima es cálido y casi no tienen lluvias en comparación con el Chocó, en consecuencia, no se requiere solicitar experiencia para un proyecto de complejidad alta, sino de complejidad baja o media. Lo anterior sin perjuicio de que para la definición de la complejidad se tengan en cuenta otras variables, tales como, las condiciones climáticas, como se explica en el ejemplo.</w:t>
      </w:r>
    </w:p>
    <w:p w14:paraId="6FB9087C" w14:textId="77777777" w:rsidR="00495104" w:rsidRDefault="00495104" w:rsidP="00F504D8">
      <w:pPr>
        <w:spacing w:before="120" w:after="0" w:line="276" w:lineRule="auto"/>
        <w:ind w:firstLine="708"/>
        <w:contextualSpacing/>
        <w:jc w:val="both"/>
        <w:rPr>
          <w:rFonts w:ascii="Verdana" w:eastAsia="Calibri" w:hAnsi="Verdana" w:cs="Arial"/>
          <w:lang w:val="es-MX"/>
        </w:rPr>
      </w:pPr>
      <w:r w:rsidRPr="00495104">
        <w:rPr>
          <w:rFonts w:ascii="Verdana" w:eastAsia="Calibri" w:hAnsi="Verdana" w:cs="Arial"/>
          <w:lang w:val="es-MX"/>
        </w:rPr>
        <w:t xml:space="preserve">De este modo, se demuestra que la cuantía y la longitud de la obra no son las únicas variables para definir la complejidad de un proyecto, sino otras variables técnicas como las condiciones climáticas, geográficas, geológicas, hidrológicas del proyecto, entre otras, a consideración de la entidad en su etapa de planeación y concepción del proyecto de infraestructura de transporte. </w:t>
      </w:r>
    </w:p>
    <w:p w14:paraId="4FA452C2" w14:textId="48B10396" w:rsidR="00AF7D1C" w:rsidRPr="00495104" w:rsidRDefault="003B0FAE" w:rsidP="00F504D8">
      <w:pPr>
        <w:spacing w:before="120" w:after="0" w:line="276" w:lineRule="auto"/>
        <w:ind w:firstLine="708"/>
        <w:jc w:val="both"/>
        <w:rPr>
          <w:rFonts w:ascii="Verdana" w:eastAsia="Calibri" w:hAnsi="Verdana" w:cs="Arial"/>
          <w:lang w:val="es-MX"/>
        </w:rPr>
      </w:pPr>
      <w:r w:rsidRPr="00F504D8">
        <w:rPr>
          <w:rFonts w:ascii="Verdana" w:eastAsia="Calibri" w:hAnsi="Verdana" w:cs="Arial"/>
          <w:lang w:val="es-MX"/>
        </w:rPr>
        <w:t xml:space="preserve">En todo caso, </w:t>
      </w:r>
      <w:r>
        <w:rPr>
          <w:rFonts w:ascii="Verdana" w:eastAsia="Calibri" w:hAnsi="Verdana" w:cs="Arial"/>
          <w:lang w:val="es-MX"/>
        </w:rPr>
        <w:t xml:space="preserve">debe indicarse que, </w:t>
      </w:r>
      <w:r w:rsidRPr="00F504D8">
        <w:rPr>
          <w:rFonts w:ascii="Verdana" w:eastAsia="Calibri" w:hAnsi="Verdana" w:cs="Arial"/>
          <w:lang w:val="es-MX"/>
        </w:rPr>
        <w:t xml:space="preserve">en virtud del principio de inalterabilidad </w:t>
      </w:r>
      <w:r>
        <w:rPr>
          <w:rFonts w:ascii="Verdana" w:eastAsia="Calibri" w:hAnsi="Verdana" w:cs="Arial"/>
          <w:lang w:val="es-MX"/>
        </w:rPr>
        <w:t xml:space="preserve">que recaen sobre </w:t>
      </w:r>
      <w:r w:rsidRPr="00F504D8">
        <w:rPr>
          <w:rFonts w:ascii="Verdana" w:eastAsia="Calibri" w:hAnsi="Verdana" w:cs="Arial"/>
          <w:lang w:val="es-MX"/>
        </w:rPr>
        <w:t xml:space="preserve">los documentos tipo adoptados por la Agencia Nacional de Contratación Pública – Colombia Compra Eficiente, la entidad estatal, aunque </w:t>
      </w:r>
      <w:r w:rsidRPr="00F504D8">
        <w:rPr>
          <w:rFonts w:ascii="Verdana" w:eastAsia="Calibri" w:hAnsi="Verdana" w:cs="Arial"/>
          <w:lang w:val="es-MX"/>
        </w:rPr>
        <w:lastRenderedPageBreak/>
        <w:t>cuenta con la facultad de determinar y justificar la complejidad técnica del proyecto —esto es, definir si corresponde a un proyecto de baja, media o alta complejidad conforme al numeral 3.5.1 del documento base y a la Matriz 1 – Experiencia—, no puede modificar, adicionar o suprimir las actividades previstas en dicha matriz, ni alterar los requisitos habilitantes y condiciones de experiencia allí establecidos, salvo en aquellos aspectos expresamente autorizados por los propios documentos tipo. En consecuencia, la selección de la complejidad técnica constituye una facultad reglada que debe ejercerse dentro de los parámetros definidos por la Resolución No. 465 de 2024 y las disposiciones legales que consagran la obligatoriedad e inmodificabilidad de los documentos tipo, de manera que la entidad únicamente puede diligenciar y justificar las variables permitidas, sin alterar el contenido material de las actividades y exigencias estandarizadas por la Agencia.</w:t>
      </w:r>
    </w:p>
    <w:p w14:paraId="28876E31" w14:textId="77777777" w:rsidR="00495104" w:rsidRPr="00495104" w:rsidRDefault="00495104" w:rsidP="00495104">
      <w:pPr>
        <w:spacing w:after="0" w:line="276" w:lineRule="auto"/>
        <w:contextualSpacing/>
        <w:jc w:val="both"/>
        <w:rPr>
          <w:rFonts w:ascii="Verdana" w:eastAsia="Aptos" w:hAnsi="Verdana" w:cs="Times New Roman"/>
          <w:kern w:val="2"/>
          <w14:ligatures w14:val="standardContextual"/>
        </w:rPr>
      </w:pPr>
    </w:p>
    <w:p w14:paraId="6E9B0BEA" w14:textId="7AB6E97F" w:rsidR="00495104" w:rsidRPr="00495104" w:rsidRDefault="00495104" w:rsidP="00495104">
      <w:pPr>
        <w:spacing w:after="120" w:line="276" w:lineRule="auto"/>
        <w:jc w:val="both"/>
        <w:rPr>
          <w:rFonts w:ascii="Verdana" w:eastAsia="Times New Roman" w:hAnsi="Verdana" w:cs="Times New Roman"/>
          <w:lang w:eastAsia="es-MX"/>
        </w:rPr>
      </w:pPr>
      <w:proofErr w:type="spellStart"/>
      <w:r w:rsidRPr="00495104">
        <w:rPr>
          <w:rFonts w:ascii="Verdana" w:eastAsia="Aptos" w:hAnsi="Verdana" w:cs="Times New Roman"/>
          <w:kern w:val="2"/>
          <w14:ligatures w14:val="standardContextual"/>
        </w:rPr>
        <w:t>ii</w:t>
      </w:r>
      <w:r w:rsidR="00AF7D1C">
        <w:rPr>
          <w:rFonts w:ascii="Verdana" w:eastAsia="Aptos" w:hAnsi="Verdana" w:cs="Times New Roman"/>
          <w:kern w:val="2"/>
          <w14:ligatures w14:val="standardContextual"/>
        </w:rPr>
        <w:t>i</w:t>
      </w:r>
      <w:proofErr w:type="spellEnd"/>
      <w:r w:rsidRPr="00495104">
        <w:rPr>
          <w:rFonts w:ascii="Verdana" w:eastAsia="Aptos" w:hAnsi="Verdana" w:cs="Times New Roman"/>
          <w:kern w:val="2"/>
          <w14:ligatures w14:val="standardContextual"/>
        </w:rPr>
        <w:t xml:space="preserve">. </w:t>
      </w:r>
      <w:r w:rsidRPr="00495104">
        <w:rPr>
          <w:rFonts w:ascii="Verdana" w:eastAsia="Calibri" w:hAnsi="Verdana" w:cs="Arial"/>
          <w:bCs/>
          <w:color w:val="000000"/>
          <w:lang w:eastAsia="es-MX"/>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D25001A" w14:textId="77777777" w:rsidR="00495104" w:rsidRPr="00495104" w:rsidRDefault="00495104" w:rsidP="00495104">
      <w:pPr>
        <w:spacing w:after="0" w:line="276" w:lineRule="auto"/>
        <w:ind w:firstLine="708"/>
        <w:jc w:val="both"/>
        <w:rPr>
          <w:rFonts w:ascii="Verdana" w:eastAsia="Calibri" w:hAnsi="Verdana" w:cs="Arial"/>
          <w:bCs/>
          <w:color w:val="000000"/>
          <w:lang w:eastAsia="es-MX"/>
        </w:rPr>
      </w:pPr>
      <w:r w:rsidRPr="00495104">
        <w:rPr>
          <w:rFonts w:ascii="Verdana" w:eastAsia="Calibri" w:hAnsi="Verdana" w:cs="Arial"/>
          <w:bCs/>
          <w:color w:val="000000"/>
          <w:lang w:eastAsia="es-MX"/>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1F81B519" w14:textId="77777777" w:rsidR="00495104" w:rsidRPr="00495104" w:rsidRDefault="00495104" w:rsidP="00495104">
      <w:pPr>
        <w:spacing w:after="0" w:line="276" w:lineRule="auto"/>
        <w:contextualSpacing/>
        <w:jc w:val="both"/>
        <w:rPr>
          <w:rFonts w:ascii="Verdana" w:eastAsia="Aptos" w:hAnsi="Verdana" w:cs="Times New Roman"/>
          <w:kern w:val="2"/>
          <w14:ligatures w14:val="standardContextual"/>
        </w:rPr>
      </w:pPr>
    </w:p>
    <w:p w14:paraId="4E0D36C7" w14:textId="77777777" w:rsidR="00495104" w:rsidRPr="00495104" w:rsidRDefault="00495104" w:rsidP="00495104">
      <w:pPr>
        <w:numPr>
          <w:ilvl w:val="0"/>
          <w:numId w:val="17"/>
        </w:numPr>
        <w:spacing w:after="0" w:line="256" w:lineRule="auto"/>
        <w:contextualSpacing/>
        <w:rPr>
          <w:rFonts w:ascii="Verdana" w:eastAsia="Calibri" w:hAnsi="Verdana" w:cs="Times New Roman"/>
          <w:b/>
          <w:bCs/>
          <w:lang w:val="es-ES"/>
        </w:rPr>
      </w:pPr>
      <w:r w:rsidRPr="00495104">
        <w:rPr>
          <w:rFonts w:ascii="Verdana" w:eastAsia="Calibri" w:hAnsi="Verdana" w:cs="Times New Roman"/>
          <w:b/>
          <w:bCs/>
          <w:lang w:val="es-ES"/>
        </w:rPr>
        <w:t>Referencias normativas, jurisprudenciales y doctrinales</w:t>
      </w:r>
    </w:p>
    <w:p w14:paraId="6BFB610F" w14:textId="77777777" w:rsidR="00495104" w:rsidRPr="00495104" w:rsidRDefault="00495104" w:rsidP="00495104">
      <w:pPr>
        <w:spacing w:after="0" w:line="256" w:lineRule="auto"/>
        <w:ind w:left="1080"/>
        <w:rPr>
          <w:rFonts w:ascii="Verdana" w:eastAsia="Calibri" w:hAnsi="Verdana" w:cs="Times New Roman"/>
          <w:b/>
          <w:bCs/>
          <w:lang w:val="es-E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95104" w:rsidRPr="00495104" w14:paraId="6EC887D9" w14:textId="77777777" w:rsidTr="00A020A2">
        <w:trPr>
          <w:trHeight w:val="870"/>
          <w:jc w:val="center"/>
        </w:trPr>
        <w:tc>
          <w:tcPr>
            <w:tcW w:w="8647" w:type="dxa"/>
          </w:tcPr>
          <w:p w14:paraId="25C76474" w14:textId="77777777" w:rsidR="00495104" w:rsidRPr="00495104" w:rsidRDefault="00495104" w:rsidP="00495104">
            <w:pPr>
              <w:widowControl w:val="0"/>
              <w:autoSpaceDE w:val="0"/>
              <w:autoSpaceDN w:val="0"/>
              <w:jc w:val="both"/>
              <w:rPr>
                <w:rFonts w:ascii="Verdana" w:eastAsia="Calibri" w:hAnsi="Verdana" w:cs="Arial"/>
              </w:rPr>
            </w:pPr>
          </w:p>
          <w:p w14:paraId="6D656E1C" w14:textId="77777777" w:rsidR="00495104" w:rsidRPr="00495104" w:rsidRDefault="00495104" w:rsidP="00495104">
            <w:pPr>
              <w:widowControl w:val="0"/>
              <w:numPr>
                <w:ilvl w:val="0"/>
                <w:numId w:val="16"/>
              </w:numPr>
              <w:autoSpaceDE w:val="0"/>
              <w:autoSpaceDN w:val="0"/>
              <w:spacing w:line="276" w:lineRule="auto"/>
              <w:jc w:val="both"/>
              <w:rPr>
                <w:rFonts w:ascii="Verdana" w:eastAsia="Calibri" w:hAnsi="Verdana" w:cs="Arial"/>
                <w:lang w:val="es-ES_tradnl" w:eastAsia="es-MX"/>
              </w:rPr>
            </w:pPr>
            <w:r w:rsidRPr="00495104">
              <w:rPr>
                <w:rFonts w:ascii="Verdana" w:eastAsia="Calibri" w:hAnsi="Verdana" w:cs="Arial"/>
                <w:lang w:val="es-ES_tradnl" w:eastAsia="es-MX"/>
              </w:rPr>
              <w:t xml:space="preserve">Ley 2022 de 2020, artículo 1. </w:t>
            </w:r>
          </w:p>
          <w:p w14:paraId="673E1C4F" w14:textId="77777777" w:rsidR="00495104" w:rsidRPr="00495104" w:rsidRDefault="00495104" w:rsidP="00495104">
            <w:pPr>
              <w:widowControl w:val="0"/>
              <w:numPr>
                <w:ilvl w:val="0"/>
                <w:numId w:val="16"/>
              </w:numPr>
              <w:autoSpaceDE w:val="0"/>
              <w:autoSpaceDN w:val="0"/>
              <w:spacing w:line="276" w:lineRule="auto"/>
              <w:jc w:val="both"/>
              <w:rPr>
                <w:rFonts w:ascii="Verdana" w:eastAsia="Calibri" w:hAnsi="Verdana" w:cs="Arial"/>
                <w:lang w:eastAsia="es-MX"/>
              </w:rPr>
            </w:pPr>
            <w:r w:rsidRPr="00495104">
              <w:rPr>
                <w:rFonts w:ascii="Verdana" w:eastAsia="Calibri" w:hAnsi="Verdana" w:cs="Arial"/>
                <w:lang w:eastAsia="es-MX"/>
              </w:rPr>
              <w:t>Ley 1150 de 2007, artículo 2.</w:t>
            </w:r>
          </w:p>
          <w:p w14:paraId="54D0F15E" w14:textId="77777777" w:rsidR="00495104" w:rsidRPr="00495104" w:rsidRDefault="00495104" w:rsidP="00495104">
            <w:pPr>
              <w:widowControl w:val="0"/>
              <w:numPr>
                <w:ilvl w:val="0"/>
                <w:numId w:val="16"/>
              </w:numPr>
              <w:autoSpaceDE w:val="0"/>
              <w:autoSpaceDN w:val="0"/>
              <w:spacing w:line="276" w:lineRule="auto"/>
              <w:contextualSpacing/>
              <w:jc w:val="both"/>
              <w:rPr>
                <w:rFonts w:ascii="Verdana" w:eastAsia="Calibri" w:hAnsi="Verdana" w:cs="Arial"/>
                <w:lang w:eastAsia="es-MX"/>
              </w:rPr>
            </w:pPr>
            <w:r w:rsidRPr="00495104">
              <w:rPr>
                <w:rFonts w:ascii="Verdana" w:eastAsia="Calibri" w:hAnsi="Verdana" w:cs="Arial"/>
                <w:lang w:val="es-ES_tradnl" w:eastAsia="es-MX"/>
              </w:rPr>
              <w:t xml:space="preserve">Documentos Tipo. Disponibles en: </w:t>
            </w:r>
            <w:hyperlink r:id="rId12" w:history="1">
              <w:r w:rsidRPr="00495104">
                <w:rPr>
                  <w:rFonts w:ascii="Verdana" w:eastAsia="Calibri" w:hAnsi="Verdana" w:cs="Arial"/>
                  <w:color w:val="0000FF"/>
                  <w:u w:val="single"/>
                  <w:lang w:val="es-ES_tradnl" w:eastAsia="es-MX"/>
                </w:rPr>
                <w:t>https://www.colombiacompra.gov.co/documentos-tipo/documentos-tipo</w:t>
              </w:r>
            </w:hyperlink>
            <w:r w:rsidRPr="00495104">
              <w:rPr>
                <w:rFonts w:ascii="Verdana" w:eastAsia="Calibri" w:hAnsi="Verdana" w:cs="Arial"/>
                <w:lang w:val="es-ES_tradnl" w:eastAsia="es-MX"/>
              </w:rPr>
              <w:t>.</w:t>
            </w:r>
          </w:p>
        </w:tc>
      </w:tr>
    </w:tbl>
    <w:p w14:paraId="1E1094D5" w14:textId="77777777" w:rsidR="00495104" w:rsidRPr="00495104" w:rsidRDefault="00495104" w:rsidP="00495104">
      <w:pPr>
        <w:spacing w:line="276" w:lineRule="auto"/>
        <w:ind w:right="709"/>
        <w:contextualSpacing/>
        <w:jc w:val="both"/>
        <w:rPr>
          <w:rFonts w:ascii="Verdana" w:eastAsia="Calibri" w:hAnsi="Verdana" w:cs="Arial"/>
          <w:color w:val="000000"/>
          <w:lang w:val="es-ES_tradnl"/>
        </w:rPr>
      </w:pPr>
    </w:p>
    <w:p w14:paraId="7D2A72BC" w14:textId="77777777" w:rsidR="00495104" w:rsidRPr="00495104" w:rsidRDefault="00495104" w:rsidP="00495104">
      <w:pPr>
        <w:numPr>
          <w:ilvl w:val="0"/>
          <w:numId w:val="17"/>
        </w:numPr>
        <w:spacing w:after="0" w:line="256" w:lineRule="auto"/>
        <w:contextualSpacing/>
        <w:rPr>
          <w:rFonts w:ascii="Verdana" w:eastAsia="Calibri" w:hAnsi="Verdana" w:cs="Times New Roman"/>
          <w:b/>
          <w:bCs/>
          <w:lang w:val="es-ES"/>
        </w:rPr>
      </w:pPr>
      <w:r w:rsidRPr="00495104">
        <w:rPr>
          <w:rFonts w:ascii="Verdana" w:eastAsia="Calibri" w:hAnsi="Verdana" w:cs="Times New Roman"/>
          <w:b/>
          <w:bCs/>
          <w:lang w:val="es-ES"/>
        </w:rPr>
        <w:t>Doctrina de la Agencia Nacional de Contratación Pública:</w:t>
      </w:r>
    </w:p>
    <w:p w14:paraId="6080A1D0" w14:textId="77777777" w:rsidR="00495104" w:rsidRPr="00495104" w:rsidRDefault="00495104" w:rsidP="00495104">
      <w:pPr>
        <w:spacing w:after="0" w:line="256" w:lineRule="auto"/>
        <w:rPr>
          <w:rFonts w:ascii="Verdana" w:eastAsia="Calibri" w:hAnsi="Verdana" w:cs="Times New Roman"/>
          <w:lang w:val="es-ES"/>
        </w:rPr>
      </w:pPr>
    </w:p>
    <w:p w14:paraId="41CC8AA5" w14:textId="77777777" w:rsidR="00495104" w:rsidRPr="00495104" w:rsidRDefault="00495104" w:rsidP="00495104">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495104">
        <w:rPr>
          <w:rFonts w:ascii="Verdana" w:eastAsia="Calibri" w:hAnsi="Verdana" w:cs="Arial"/>
          <w:kern w:val="2"/>
          <w:shd w:val="clear" w:color="auto" w:fill="FFFFFF"/>
          <w:lang w:val="es-ES"/>
          <w14:ligatures w14:val="standardContextual"/>
        </w:rPr>
        <w:t>L</w:t>
      </w:r>
      <w:r w:rsidRPr="00495104">
        <w:rPr>
          <w:rFonts w:ascii="Verdana" w:eastAsia="Calibri" w:hAnsi="Verdana" w:cs="Arial"/>
          <w:kern w:val="2"/>
          <w:shd w:val="clear" w:color="auto" w:fill="FFFFFF"/>
          <w:lang w:val="es-ES_tradnl"/>
          <w14:ligatures w14:val="standardContextual"/>
        </w:rPr>
        <w:t>a Agencia Nacional de Contratación Pública – Colombia Compra Eficiente se</w:t>
      </w:r>
      <w:r w:rsidRPr="00495104">
        <w:rPr>
          <w:rFonts w:ascii="Verdana" w:eastAsia="Aptos" w:hAnsi="Verdana" w:cs="Times New Roman"/>
          <w:kern w:val="2"/>
          <w14:ligatures w14:val="standardContextual"/>
        </w:rPr>
        <w:t xml:space="preserve"> </w:t>
      </w:r>
      <w:r w:rsidRPr="00495104">
        <w:rPr>
          <w:rFonts w:ascii="Verdana" w:eastAsia="Calibri" w:hAnsi="Verdana" w:cs="Arial"/>
          <w:kern w:val="2"/>
          <w:shd w:val="clear" w:color="auto" w:fill="FFFFFF"/>
          <w:lang w:val="es-ES_tradnl"/>
          <w14:ligatures w14:val="standardContextual"/>
        </w:rPr>
        <w:t>pronunció</w:t>
      </w:r>
      <w:r w:rsidRPr="00495104">
        <w:rPr>
          <w:rFonts w:ascii="Verdana" w:eastAsia="Aptos" w:hAnsi="Verdana" w:cs="Times New Roman"/>
          <w:kern w:val="2"/>
          <w:lang w:val="es-ES_tradnl"/>
          <w14:ligatures w14:val="standardContextual"/>
        </w:rPr>
        <w:t xml:space="preserve"> </w:t>
      </w:r>
      <w:r w:rsidRPr="00495104">
        <w:rPr>
          <w:rFonts w:ascii="Verdana" w:eastAsia="Calibri" w:hAnsi="Verdana" w:cs="Arial"/>
          <w:kern w:val="2"/>
          <w:shd w:val="clear" w:color="auto" w:fill="FFFFFF"/>
          <w:lang w:val="es-ES"/>
          <w14:ligatures w14:val="standardContextual"/>
        </w:rPr>
        <w:t>sobre la forma de establecer y acreditar la experiencia exigible en procesos de contratación adelantados con documentos tipo, en los conceptos  C-056 del 8 de enero de 2020, C-069 del 24 de enero de 2020, C-097 del 5 de febrero de 2020, C-198 del 17 de abril de 2020, C-325 del 26 de mayo de 2020, C-444 del 13 de julio de 2020, C-466 del 24 de julio de 2020, C-485 del 29 de julio de 2020, C-501 del 29 de julio de 2020, C-478 del 30 de julio de 2020, C-450 de 3 de agosto de 2020, C-497 del 6 de agosto de 2020, C-528 del 18 de agosto de 2020, C-531 del 21 de agosto de 2020, C-546 del 26 de agosto de 2020, C-597 del 14 de septiembre de 2020, C-618 del 17 de septiembre de 2020, C-630 del 21 de octubre de 2020, C-633 del 2 de octubre de 2020, C-643 del 26 de octubre de 2020, C-635 del 29 de octubre de 2020, C-716 del 30 de octubre de 2020, C-653 del 9 de noviembre de 2020, C-665 del 11 de noviembre de 2020, C-697 del 21 de diciembre de 2020, C-698 del 19 de noviembre de 2020 y C-018 del 23 de febrero de 2021, C-233 del 24 de mayo de 2021, C-355 del 19 de julio de 2021, C-452 del 31 de agosto de 2021, C-454 del 31 de agosto de 2021, C-502 del 21 de septiembre de 2021, C-526 del 27 de septiembre de 2021, C-605 del 2 de noviembre de 2021, C-665 del 23 de diciembre de 2021, C-735 del 28 de enero de 2022, C-437 del  6 de septiembre de 2022, C-195 del 1 de agosto de 2024, C-790 del 12 de diciembre de 2024, C-971 del 21 de enero de 2025, C-064 del 27 de marzo de 2025, C-337 del 25 de abril de 2025, C-567 del 6 de junio de 2025, C-650 del 3 de julio de 2025 entre otros</w:t>
      </w:r>
      <w:r w:rsidRPr="00495104">
        <w:rPr>
          <w:rFonts w:ascii="Verdana" w:eastAsia="Calibri" w:hAnsi="Verdana" w:cs="Arial"/>
          <w:kern w:val="2"/>
          <w:shd w:val="clear" w:color="auto" w:fill="FFFFFF"/>
          <w:lang w:val="es-ES_tradnl"/>
          <w14:ligatures w14:val="standardContextual"/>
        </w:rPr>
        <w:t xml:space="preserve">. </w:t>
      </w:r>
      <w:r w:rsidRPr="00495104">
        <w:rPr>
          <w:rFonts w:ascii="Verdana" w:eastAsia="Aptos" w:hAnsi="Verdana" w:cs="Times New Roman"/>
          <w:kern w:val="2"/>
          <w:lang w:val="es-ES_tradnl"/>
          <w14:ligatures w14:val="standardContextual"/>
        </w:rPr>
        <w:t xml:space="preserve"> </w:t>
      </w:r>
    </w:p>
    <w:p w14:paraId="5EEFACDD" w14:textId="77777777" w:rsidR="00495104" w:rsidRPr="00495104" w:rsidRDefault="00495104" w:rsidP="00495104">
      <w:pPr>
        <w:spacing w:after="0" w:line="256" w:lineRule="auto"/>
        <w:rPr>
          <w:rFonts w:ascii="Verdana" w:eastAsia="Calibri" w:hAnsi="Verdana" w:cs="Times New Roman"/>
          <w:lang w:val="es-ES_tradnl"/>
        </w:rPr>
      </w:pPr>
    </w:p>
    <w:p w14:paraId="2BC77AB8" w14:textId="77777777" w:rsidR="00495104" w:rsidRPr="00495104" w:rsidRDefault="00495104" w:rsidP="00495104">
      <w:pPr>
        <w:widowControl w:val="0"/>
        <w:autoSpaceDE w:val="0"/>
        <w:autoSpaceDN w:val="0"/>
        <w:spacing w:after="0" w:line="276" w:lineRule="auto"/>
        <w:jc w:val="both"/>
        <w:rPr>
          <w:rFonts w:ascii="Verdana" w:eastAsia="Calibri" w:hAnsi="Verdana" w:cs="Arial"/>
          <w:shd w:val="clear" w:color="auto" w:fill="FFFFFF"/>
          <w:lang w:val="es-ES"/>
        </w:rPr>
      </w:pPr>
      <w:r w:rsidRPr="00495104">
        <w:rPr>
          <w:rFonts w:ascii="Verdana" w:eastAsia="Calibri" w:hAnsi="Verdana" w:cs="Times New Roman"/>
        </w:rPr>
        <w:t xml:space="preserve">Estos y otros conceptos se encuentran disponibles para consulta en el Sistema de Relatoría de la Agencia, en el cual también podrás encontrar jurisprudencia del Consejo de Estado, laudos arbitrales y la normativa de la contratación </w:t>
      </w:r>
      <w:r w:rsidRPr="00495104">
        <w:rPr>
          <w:rFonts w:ascii="Verdana" w:eastAsia="Calibri" w:hAnsi="Verdana" w:cs="Times New Roman"/>
        </w:rPr>
        <w:lastRenderedPageBreak/>
        <w:t>concordada con la doctrina de la Subdirección de Gestión Contractual, accede a través del siguiente enlace:</w:t>
      </w:r>
    </w:p>
    <w:p w14:paraId="1EBBB5EB" w14:textId="77777777" w:rsidR="00495104" w:rsidRPr="00495104" w:rsidRDefault="00495104" w:rsidP="00495104">
      <w:pPr>
        <w:spacing w:after="0" w:line="256" w:lineRule="auto"/>
        <w:jc w:val="both"/>
        <w:rPr>
          <w:rFonts w:ascii="Verdana" w:eastAsia="Calibri" w:hAnsi="Verdana" w:cs="Times New Roman"/>
        </w:rPr>
      </w:pPr>
      <w:hyperlink r:id="rId13" w:history="1">
        <w:r w:rsidRPr="00495104">
          <w:rPr>
            <w:rFonts w:ascii="Verdana" w:eastAsia="Calibri" w:hAnsi="Verdana" w:cs="Times New Roman"/>
            <w:color w:val="0000FF"/>
            <w:u w:val="single"/>
            <w:lang w:val="es-ES"/>
          </w:rPr>
          <w:t>https://relatoria.colombiacompra.gov.co/busqueda/conceptos</w:t>
        </w:r>
      </w:hyperlink>
      <w:r w:rsidRPr="00495104">
        <w:rPr>
          <w:rFonts w:ascii="Verdana" w:eastAsia="Calibri" w:hAnsi="Verdana" w:cs="Times New Roman"/>
        </w:rPr>
        <w:t xml:space="preserve">. </w:t>
      </w:r>
    </w:p>
    <w:p w14:paraId="223EC061" w14:textId="77777777" w:rsidR="00495104" w:rsidRPr="00495104" w:rsidRDefault="00495104" w:rsidP="00495104">
      <w:pPr>
        <w:spacing w:after="0" w:line="256" w:lineRule="auto"/>
        <w:jc w:val="both"/>
        <w:rPr>
          <w:rFonts w:ascii="Verdana" w:eastAsia="Calibri" w:hAnsi="Verdana" w:cs="Times New Roman"/>
          <w:lang w:val="es-ES_tradnl"/>
        </w:rPr>
      </w:pPr>
    </w:p>
    <w:p w14:paraId="5C671211" w14:textId="77777777" w:rsidR="00495104" w:rsidRPr="00495104" w:rsidRDefault="00495104" w:rsidP="00495104">
      <w:pPr>
        <w:spacing w:after="0" w:line="276" w:lineRule="auto"/>
        <w:jc w:val="both"/>
        <w:rPr>
          <w:rFonts w:ascii="Verdana" w:eastAsia="Times New Roman" w:hAnsi="Verdana" w:cs="Arial"/>
          <w:lang w:eastAsia="es-MX"/>
        </w:rPr>
      </w:pPr>
      <w:r w:rsidRPr="00495104">
        <w:rPr>
          <w:rFonts w:ascii="Verdana" w:eastAsia="Times New Roman" w:hAnsi="Verdana" w:cs="Arial"/>
          <w:lang w:eastAsia="es-MX"/>
        </w:rPr>
        <w:t xml:space="preserve">La sostenibilidad no es una opción, es una obligación. Por ello, la Agencia Nacional de Contratación Pública –Colombia Compra Eficiente– te invita a realizar el </w:t>
      </w:r>
      <w:r w:rsidRPr="00495104">
        <w:rPr>
          <w:rFonts w:ascii="Verdana" w:eastAsia="Times New Roman" w:hAnsi="Verdana" w:cs="Arial"/>
          <w:b/>
          <w:bCs/>
          <w:lang w:eastAsia="es-MX"/>
        </w:rPr>
        <w:t>Curso de Contratación Pública Sostenible y Socialmente Responsable</w:t>
      </w:r>
      <w:r w:rsidRPr="00495104">
        <w:rPr>
          <w:rFonts w:ascii="Verdana" w:eastAsia="Times New Roman" w:hAnsi="Verdana" w:cs="Arial"/>
          <w:lang w:eastAsia="es-MX"/>
        </w:rPr>
        <w:t>, una herramienta clave para fortalecer las capacidades de todos los compradores públicos, proveedores, servidores públicos y para generar mayor valor público. Accede al curso y aprende como implementar criterios sociales y ambientales en las diferentes etapas del proceso de contratación:</w:t>
      </w:r>
      <w:r w:rsidRPr="00495104">
        <w:rPr>
          <w:rFonts w:ascii="Verdana" w:eastAsia="Times New Roman" w:hAnsi="Verdana" w:cs="Arial"/>
          <w:lang w:eastAsia="es-MX"/>
        </w:rPr>
        <w:br/>
      </w:r>
      <w:hyperlink r:id="rId14" w:tgtFrame="_new" w:history="1">
        <w:r w:rsidRPr="00495104">
          <w:rPr>
            <w:rFonts w:ascii="Verdana" w:eastAsia="Times New Roman" w:hAnsi="Verdana" w:cs="Arial"/>
            <w:color w:val="0000FF"/>
            <w:u w:val="single"/>
            <w:lang w:eastAsia="es-MX"/>
          </w:rPr>
          <w:t>https://formacionvirtual.colombiacompra.gov.co/mod/page/view.php?id=3718</w:t>
        </w:r>
      </w:hyperlink>
    </w:p>
    <w:p w14:paraId="792D054B" w14:textId="77777777" w:rsidR="00495104" w:rsidRPr="00495104" w:rsidRDefault="00495104" w:rsidP="00495104">
      <w:pPr>
        <w:spacing w:after="0" w:line="276" w:lineRule="auto"/>
        <w:jc w:val="both"/>
        <w:rPr>
          <w:rFonts w:ascii="Verdana" w:eastAsia="Times New Roman" w:hAnsi="Verdana" w:cs="Arial"/>
          <w:lang w:eastAsia="es-MX"/>
        </w:rPr>
      </w:pPr>
      <w:r w:rsidRPr="00495104">
        <w:rPr>
          <w:rFonts w:ascii="Verdana" w:eastAsia="Times New Roman" w:hAnsi="Verdana" w:cs="Arial"/>
          <w:lang w:eastAsia="es-MX"/>
        </w:rPr>
        <w:t xml:space="preserve">De otro lado, te contamos que esta Agencia ha da un paso decisivo en la estandarización y modernización del </w:t>
      </w:r>
      <w:r w:rsidRPr="00495104">
        <w:rPr>
          <w:rFonts w:ascii="Verdana" w:eastAsia="Times New Roman" w:hAnsi="Verdana" w:cs="Arial"/>
          <w:b/>
          <w:bCs/>
          <w:lang w:eastAsia="es-MX"/>
        </w:rPr>
        <w:t>sector  social</w:t>
      </w:r>
      <w:r w:rsidRPr="00495104">
        <w:rPr>
          <w:rFonts w:ascii="Verdana" w:eastAsia="Times New Roman" w:hAnsi="Verdana" w:cs="Arial"/>
          <w:lang w:eastAsia="es-MX"/>
        </w:rPr>
        <w:t xml:space="preserve"> con la expedición de las </w:t>
      </w:r>
      <w:r w:rsidRPr="00495104">
        <w:rPr>
          <w:rFonts w:ascii="Verdana" w:eastAsia="Times New Roman" w:hAnsi="Verdana" w:cs="Arial"/>
          <w:b/>
          <w:bCs/>
          <w:lang w:eastAsia="es-MX"/>
        </w:rPr>
        <w:t>Resoluciones 539, 540, 541, 952 y 953 de 2025</w:t>
      </w:r>
      <w:r w:rsidRPr="00495104">
        <w:rPr>
          <w:rFonts w:ascii="Verdana" w:eastAsia="Times New Roman" w:hAnsi="Verdana" w:cs="Arial"/>
          <w:lang w:eastAsia="es-MX"/>
        </w:rPr>
        <w:t xml:space="preserve">, </w:t>
      </w:r>
      <w:r w:rsidRPr="00495104">
        <w:rPr>
          <w:rFonts w:ascii="Verdana" w:eastAsia="Times New Roman" w:hAnsi="Verdana" w:cs="Arial"/>
          <w:b/>
          <w:bCs/>
          <w:lang w:eastAsia="es-MX"/>
        </w:rPr>
        <w:t>mediante las cuales adoptó Documentos Tipo</w:t>
      </w:r>
      <w:r w:rsidRPr="00495104">
        <w:rPr>
          <w:rFonts w:ascii="Verdana" w:eastAsia="Times New Roman" w:hAnsi="Verdana" w:cs="Arial"/>
          <w:lang w:eastAsia="es-MX"/>
        </w:rPr>
        <w:t xml:space="preserve"> para las modalidades de selección de</w:t>
      </w:r>
      <w:r w:rsidRPr="00495104">
        <w:rPr>
          <w:rFonts w:ascii="Verdana" w:eastAsia="Times New Roman" w:hAnsi="Verdana" w:cs="Arial"/>
          <w:b/>
          <w:bCs/>
          <w:lang w:eastAsia="es-MX"/>
        </w:rPr>
        <w:t xml:space="preserve"> licitación pública (versión 2), selección abreviada de menor cuantía, mínima cuantía, consultoría e interventoría</w:t>
      </w:r>
      <w:r w:rsidRPr="00495104">
        <w:rPr>
          <w:rFonts w:ascii="Verdana" w:eastAsia="Times New Roman" w:hAnsi="Verdana" w:cs="Arial"/>
          <w:lang w:eastAsia="es-MX"/>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495104">
          <w:rPr>
            <w:rFonts w:ascii="Verdana" w:eastAsia="Times New Roman" w:hAnsi="Verdana" w:cs="Arial"/>
            <w:color w:val="0000FF"/>
            <w:u w:val="single"/>
            <w:lang w:eastAsia="es-MX"/>
          </w:rPr>
          <w:t>https://www.colombiacompra.gov.co/normativa-y-relatoria/documentos-tipo</w:t>
        </w:r>
      </w:hyperlink>
    </w:p>
    <w:p w14:paraId="4F30F665" w14:textId="77777777" w:rsidR="00495104" w:rsidRPr="00495104" w:rsidRDefault="00495104" w:rsidP="00495104">
      <w:pPr>
        <w:spacing w:after="0" w:line="276" w:lineRule="auto"/>
        <w:jc w:val="both"/>
        <w:rPr>
          <w:rFonts w:ascii="Verdana" w:eastAsia="Times New Roman" w:hAnsi="Verdana" w:cs="Arial"/>
          <w:lang w:eastAsia="es-MX"/>
        </w:rPr>
      </w:pPr>
    </w:p>
    <w:p w14:paraId="24696CF7" w14:textId="77777777" w:rsidR="00495104" w:rsidRPr="00495104" w:rsidRDefault="00495104" w:rsidP="00495104">
      <w:pPr>
        <w:spacing w:after="0" w:line="276" w:lineRule="auto"/>
        <w:jc w:val="both"/>
        <w:rPr>
          <w:rFonts w:ascii="Verdana" w:eastAsia="Times New Roman" w:hAnsi="Verdana" w:cs="Arial"/>
          <w:lang w:eastAsia="es-MX"/>
        </w:rPr>
      </w:pPr>
      <w:r w:rsidRPr="00495104">
        <w:rPr>
          <w:rFonts w:ascii="Verdana" w:eastAsia="Times New Roman" w:hAnsi="Verdana" w:cs="Arial"/>
          <w:lang w:eastAsia="es-MX"/>
        </w:rPr>
        <w:t xml:space="preserve">Si quieres conocer más sobre la aplicación de Documentos Tipo puedes consultar la última versión de la </w:t>
      </w:r>
      <w:r w:rsidRPr="00495104">
        <w:rPr>
          <w:rFonts w:ascii="Verdana" w:eastAsia="Times New Roman" w:hAnsi="Verdana" w:cs="Arial"/>
          <w:b/>
          <w:bCs/>
          <w:lang w:eastAsia="es-MX"/>
        </w:rPr>
        <w:t>Guía para la comprensión e implementación de los Documentos Tipo de obra pública de infraestructura de transporte</w:t>
      </w:r>
      <w:r w:rsidRPr="00495104">
        <w:rPr>
          <w:rFonts w:ascii="Verdana" w:eastAsia="Times New Roman" w:hAnsi="Verdana" w:cs="Arial"/>
          <w:lang w:eastAsia="es-MX"/>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495104">
        <w:rPr>
          <w:rFonts w:ascii="Verdana" w:eastAsia="Times New Roman" w:hAnsi="Verdana" w:cs="Arial"/>
          <w:lang w:eastAsia="es-MX"/>
        </w:rPr>
        <w:br/>
      </w:r>
      <w:hyperlink r:id="rId16" w:tgtFrame="_new" w:history="1">
        <w:r w:rsidRPr="00495104">
          <w:rPr>
            <w:rFonts w:ascii="Verdana" w:eastAsia="Times New Roman" w:hAnsi="Verdana" w:cs="Arial"/>
            <w:color w:val="0000FF"/>
            <w:u w:val="single"/>
            <w:lang w:eastAsia="es-MX"/>
          </w:rPr>
          <w:t>https://www.colombiacompra.gov.co/archivos/manual/guia-para-la-comprension-e-implementacion-de-los-documentos-tipo-de-obra-publica-de-infraestructura-de-transporte-bajo-las-diferentes-modalidades-de-contratacion-vigentes</w:t>
        </w:r>
      </w:hyperlink>
    </w:p>
    <w:p w14:paraId="7B860543" w14:textId="77777777" w:rsidR="00495104" w:rsidRPr="00495104" w:rsidRDefault="00495104" w:rsidP="00495104">
      <w:pPr>
        <w:spacing w:after="0"/>
        <w:jc w:val="both"/>
        <w:rPr>
          <w:rFonts w:ascii="Verdana" w:eastAsia="Aptos" w:hAnsi="Verdana" w:cs="Times New Roman"/>
          <w:color w:val="212121"/>
          <w:lang w:eastAsia="es-MX"/>
        </w:rPr>
      </w:pPr>
    </w:p>
    <w:p w14:paraId="5F84CAC2" w14:textId="77777777" w:rsidR="00495104" w:rsidRPr="00495104" w:rsidRDefault="00495104" w:rsidP="00495104">
      <w:pPr>
        <w:spacing w:after="0" w:line="240" w:lineRule="auto"/>
        <w:jc w:val="both"/>
        <w:rPr>
          <w:rFonts w:ascii="Verdana" w:eastAsia="Calibri" w:hAnsi="Verdana" w:cs="Times New Roman"/>
          <w:lang w:eastAsia="es-MX"/>
        </w:rPr>
      </w:pPr>
      <w:r w:rsidRPr="00495104">
        <w:rPr>
          <w:rFonts w:ascii="Verdana" w:eastAsia="Aptos" w:hAnsi="Verdana" w:cs="Times New Roman"/>
          <w:lang w:eastAsia="es-MX"/>
        </w:rPr>
        <w:t xml:space="preserve">Por último, lo invitamos a seguirnos en las redes sociales en las cuales se difunde información institucional: </w:t>
      </w:r>
    </w:p>
    <w:p w14:paraId="04635237" w14:textId="77777777" w:rsidR="00495104" w:rsidRPr="00495104" w:rsidRDefault="00495104" w:rsidP="00495104">
      <w:pPr>
        <w:spacing w:after="0" w:line="240" w:lineRule="auto"/>
        <w:jc w:val="both"/>
        <w:rPr>
          <w:rFonts w:ascii="Verdana" w:eastAsia="Aptos" w:hAnsi="Verdana" w:cs="Times New Roman"/>
          <w:lang w:eastAsia="es-MX"/>
        </w:rPr>
      </w:pPr>
    </w:p>
    <w:p w14:paraId="7155C45F" w14:textId="77777777" w:rsidR="00495104" w:rsidRPr="00495104" w:rsidRDefault="00495104" w:rsidP="00495104">
      <w:pPr>
        <w:spacing w:after="0" w:line="240" w:lineRule="auto"/>
        <w:jc w:val="both"/>
        <w:rPr>
          <w:rFonts w:ascii="Verdana" w:eastAsia="Aptos" w:hAnsi="Verdana" w:cs="Times New Roman"/>
          <w:lang w:eastAsia="es-MX"/>
        </w:rPr>
      </w:pPr>
      <w:r w:rsidRPr="00495104">
        <w:rPr>
          <w:rFonts w:ascii="Verdana" w:eastAsia="Aptos" w:hAnsi="Verdana" w:cs="Times New Roman"/>
          <w:lang w:eastAsia="es-MX"/>
        </w:rPr>
        <w:t xml:space="preserve">Twitter: </w:t>
      </w:r>
      <w:r w:rsidRPr="00495104">
        <w:rPr>
          <w:rFonts w:ascii="Verdana" w:eastAsia="Calibri" w:hAnsi="Verdana" w:cs="Times New Roman"/>
          <w:color w:val="156082"/>
          <w:u w:val="single"/>
          <w:lang w:eastAsia="es-MX"/>
        </w:rPr>
        <w:t>@colombiacompra</w:t>
      </w:r>
      <w:r w:rsidRPr="00495104">
        <w:rPr>
          <w:rFonts w:ascii="Verdana" w:eastAsia="Calibri" w:hAnsi="Verdana" w:cs="Times New Roman"/>
          <w:color w:val="156082"/>
          <w:lang w:eastAsia="es-MX"/>
        </w:rPr>
        <w:t xml:space="preserve"> </w:t>
      </w:r>
    </w:p>
    <w:p w14:paraId="025B59CA" w14:textId="77777777" w:rsidR="00495104" w:rsidRPr="00495104" w:rsidRDefault="00495104" w:rsidP="00495104">
      <w:pPr>
        <w:spacing w:after="0" w:line="240" w:lineRule="auto"/>
        <w:jc w:val="both"/>
        <w:rPr>
          <w:rFonts w:ascii="Verdana" w:eastAsia="Aptos" w:hAnsi="Verdana" w:cs="Times New Roman"/>
          <w:lang w:eastAsia="es-MX"/>
        </w:rPr>
      </w:pPr>
      <w:r w:rsidRPr="00495104">
        <w:rPr>
          <w:rFonts w:ascii="Verdana" w:eastAsia="Aptos" w:hAnsi="Verdana" w:cs="Times New Roman"/>
          <w:lang w:eastAsia="es-MX"/>
        </w:rPr>
        <w:t xml:space="preserve">Facebook: </w:t>
      </w:r>
      <w:proofErr w:type="spellStart"/>
      <w:r w:rsidRPr="00495104">
        <w:rPr>
          <w:rFonts w:ascii="Verdana" w:eastAsia="Calibri" w:hAnsi="Verdana" w:cs="Times New Roman"/>
          <w:color w:val="156082"/>
          <w:u w:val="single"/>
          <w:lang w:eastAsia="es-MX"/>
        </w:rPr>
        <w:t>ColombiaCompraEficiente</w:t>
      </w:r>
      <w:proofErr w:type="spellEnd"/>
    </w:p>
    <w:p w14:paraId="059055CE" w14:textId="77777777" w:rsidR="00495104" w:rsidRPr="00495104" w:rsidRDefault="00495104" w:rsidP="00495104">
      <w:pPr>
        <w:spacing w:after="0" w:line="240" w:lineRule="auto"/>
        <w:jc w:val="both"/>
        <w:rPr>
          <w:rFonts w:ascii="Verdana" w:eastAsia="Aptos" w:hAnsi="Verdana" w:cs="Times New Roman"/>
          <w:lang w:eastAsia="es-MX"/>
        </w:rPr>
      </w:pPr>
      <w:r w:rsidRPr="00495104">
        <w:rPr>
          <w:rFonts w:ascii="Verdana" w:eastAsia="Aptos" w:hAnsi="Verdana" w:cs="Times New Roman"/>
          <w:lang w:eastAsia="es-MX"/>
        </w:rPr>
        <w:t xml:space="preserve">LinkedIn: </w:t>
      </w:r>
      <w:r w:rsidRPr="00495104">
        <w:rPr>
          <w:rFonts w:ascii="Verdana" w:eastAsia="Calibri" w:hAnsi="Verdana" w:cs="Times New Roman"/>
          <w:color w:val="156082"/>
          <w:u w:val="single"/>
          <w:lang w:eastAsia="es-MX"/>
        </w:rPr>
        <w:t>Agencia Nacional de Contratación Pública - Colombia Compra Eficiente</w:t>
      </w:r>
      <w:r w:rsidRPr="00495104">
        <w:rPr>
          <w:rFonts w:ascii="Verdana" w:eastAsia="Calibri" w:hAnsi="Verdana" w:cs="Times New Roman"/>
          <w:color w:val="156082"/>
          <w:lang w:eastAsia="es-MX"/>
        </w:rPr>
        <w:t xml:space="preserve"> </w:t>
      </w:r>
      <w:r w:rsidRPr="00495104">
        <w:rPr>
          <w:rFonts w:ascii="Verdana" w:eastAsia="Aptos" w:hAnsi="Verdana" w:cs="Times New Roman"/>
          <w:lang w:eastAsia="es-MX"/>
        </w:rPr>
        <w:t xml:space="preserve">Instagram: </w:t>
      </w:r>
      <w:r w:rsidRPr="00495104">
        <w:rPr>
          <w:rFonts w:ascii="Verdana" w:eastAsia="Calibri" w:hAnsi="Verdana" w:cs="Times New Roman"/>
          <w:color w:val="156082"/>
          <w:u w:val="single"/>
          <w:lang w:eastAsia="es-MX"/>
        </w:rPr>
        <w:t>@colombiacompraeficiente_cce</w:t>
      </w:r>
    </w:p>
    <w:p w14:paraId="0D3874E4" w14:textId="77777777" w:rsidR="00495104" w:rsidRPr="00495104" w:rsidRDefault="00495104" w:rsidP="00495104">
      <w:pPr>
        <w:spacing w:after="0" w:line="276" w:lineRule="auto"/>
        <w:jc w:val="both"/>
        <w:rPr>
          <w:rFonts w:ascii="Verdana" w:eastAsia="Aptos" w:hAnsi="Verdana" w:cs="Times New Roman"/>
          <w:lang w:eastAsia="es-MX"/>
        </w:rPr>
      </w:pPr>
    </w:p>
    <w:p w14:paraId="49E90A04" w14:textId="77777777" w:rsidR="00495104" w:rsidRPr="00495104" w:rsidRDefault="00495104" w:rsidP="00495104">
      <w:pPr>
        <w:spacing w:after="0" w:line="276" w:lineRule="auto"/>
        <w:jc w:val="both"/>
        <w:rPr>
          <w:rFonts w:ascii="Verdana" w:eastAsia="Calibri" w:hAnsi="Verdana" w:cs="Times New Roman"/>
          <w:bCs/>
          <w:lang w:val="es-ES_tradnl" w:eastAsia="es-MX"/>
        </w:rPr>
      </w:pPr>
      <w:r w:rsidRPr="00495104">
        <w:rPr>
          <w:rFonts w:ascii="Verdana" w:eastAsia="Calibri" w:hAnsi="Verdana" w:cs="Times New Roman"/>
          <w:lang w:val="es-ES_tradnl" w:eastAsia="es-MX"/>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0C3220B4" w14:textId="77777777" w:rsidR="00495104" w:rsidRPr="00495104" w:rsidRDefault="00495104" w:rsidP="00495104">
      <w:pPr>
        <w:spacing w:after="0" w:line="276" w:lineRule="auto"/>
        <w:jc w:val="both"/>
        <w:rPr>
          <w:rFonts w:ascii="Verdana" w:eastAsia="Calibri" w:hAnsi="Verdana" w:cs="Times New Roman"/>
          <w:lang w:eastAsia="es-MX"/>
        </w:rPr>
      </w:pPr>
    </w:p>
    <w:p w14:paraId="7A1D5435" w14:textId="77777777" w:rsidR="00495104" w:rsidRPr="00495104" w:rsidRDefault="00495104" w:rsidP="00495104">
      <w:pPr>
        <w:spacing w:after="0" w:line="276" w:lineRule="auto"/>
        <w:jc w:val="both"/>
        <w:rPr>
          <w:rFonts w:ascii="Verdana" w:eastAsia="Calibri" w:hAnsi="Verdana" w:cs="Times New Roman"/>
          <w:lang w:eastAsia="es-MX"/>
        </w:rPr>
      </w:pPr>
      <w:r w:rsidRPr="00495104">
        <w:rPr>
          <w:rFonts w:ascii="Verdana" w:eastAsia="Calibri" w:hAnsi="Verdana" w:cs="Times New Roman"/>
          <w:lang w:eastAsia="es-MX"/>
        </w:rPr>
        <w:t>Atentamente,</w:t>
      </w:r>
    </w:p>
    <w:p w14:paraId="523465A5" w14:textId="77777777" w:rsidR="00495104" w:rsidRPr="00495104" w:rsidRDefault="00495104" w:rsidP="00495104">
      <w:pPr>
        <w:tabs>
          <w:tab w:val="left" w:pos="1320"/>
        </w:tabs>
        <w:spacing w:after="0"/>
        <w:jc w:val="center"/>
        <w:rPr>
          <w:rFonts w:ascii="Century Gothic" w:eastAsia="Calibri" w:hAnsi="Century Gothic" w:cs="Times New Roman"/>
          <w:lang w:eastAsia="es-MX"/>
        </w:rPr>
      </w:pPr>
    </w:p>
    <w:p w14:paraId="3F2C5677" w14:textId="1671EC09" w:rsidR="00495104" w:rsidRPr="00495104" w:rsidRDefault="007022FA" w:rsidP="00495104">
      <w:pPr>
        <w:tabs>
          <w:tab w:val="left" w:pos="1320"/>
        </w:tabs>
        <w:spacing w:after="0"/>
        <w:jc w:val="center"/>
        <w:rPr>
          <w:rFonts w:ascii="Verdana" w:eastAsia="Calibri" w:hAnsi="Verdana" w:cs="Times New Roman"/>
          <w:lang w:eastAsia="es-MX"/>
        </w:rPr>
      </w:pPr>
      <w:r w:rsidRPr="004D5C25">
        <w:rPr>
          <w:rFonts w:ascii="Century Gothic" w:hAnsi="Century Gothic"/>
          <w:noProof/>
        </w:rPr>
        <w:drawing>
          <wp:inline distT="0" distB="0" distL="0" distR="0" wp14:anchorId="2B78DFE6" wp14:editId="57325119">
            <wp:extent cx="2320756" cy="996314"/>
            <wp:effectExtent l="0" t="0" r="3810"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7"/>
                    <a:stretch>
                      <a:fillRect/>
                    </a:stretch>
                  </pic:blipFill>
                  <pic:spPr>
                    <a:xfrm>
                      <a:off x="0" y="0"/>
                      <a:ext cx="2342952" cy="1005843"/>
                    </a:xfrm>
                    <a:prstGeom prst="rect">
                      <a:avLst/>
                    </a:prstGeom>
                  </pic:spPr>
                </pic:pic>
              </a:graphicData>
            </a:graphic>
          </wp:inline>
        </w:drawing>
      </w:r>
    </w:p>
    <w:p w14:paraId="22FDDFCF" w14:textId="77777777" w:rsidR="00495104" w:rsidRPr="00495104" w:rsidRDefault="00495104" w:rsidP="00495104">
      <w:pPr>
        <w:tabs>
          <w:tab w:val="left" w:pos="1320"/>
        </w:tabs>
        <w:spacing w:after="0"/>
        <w:jc w:val="center"/>
        <w:rPr>
          <w:rFonts w:ascii="Verdana" w:eastAsia="Calibri" w:hAnsi="Verdana" w:cs="Times New Roman"/>
          <w:lang w:eastAsia="es-MX"/>
        </w:rPr>
      </w:pPr>
    </w:p>
    <w:tbl>
      <w:tblPr>
        <w:tblStyle w:val="Tablaconcuadrcula2"/>
        <w:tblW w:w="7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1"/>
        <w:gridCol w:w="6561"/>
      </w:tblGrid>
      <w:tr w:rsidR="00495104" w:rsidRPr="00495104" w14:paraId="63C93071" w14:textId="77777777" w:rsidTr="00A020A2">
        <w:trPr>
          <w:trHeight w:val="323"/>
        </w:trPr>
        <w:tc>
          <w:tcPr>
            <w:tcW w:w="1041" w:type="dxa"/>
            <w:vAlign w:val="center"/>
            <w:hideMark/>
          </w:tcPr>
          <w:p w14:paraId="007FD41B" w14:textId="77777777" w:rsidR="00495104" w:rsidRPr="00495104" w:rsidRDefault="00495104" w:rsidP="00495104">
            <w:pPr>
              <w:rPr>
                <w:rFonts w:ascii="Verdana" w:eastAsia="Calibri" w:hAnsi="Verdana" w:cs="Arial"/>
                <w:sz w:val="16"/>
                <w:szCs w:val="16"/>
                <w:lang w:val="es-ES_tradnl" w:eastAsia="es-ES"/>
              </w:rPr>
            </w:pPr>
            <w:r w:rsidRPr="00495104">
              <w:rPr>
                <w:rFonts w:ascii="Verdana" w:eastAsia="Calibri" w:hAnsi="Verdana" w:cs="Arial"/>
                <w:sz w:val="16"/>
                <w:szCs w:val="16"/>
                <w:lang w:val="es-ES_tradnl" w:eastAsia="es-ES"/>
              </w:rPr>
              <w:t>Elaboró:</w:t>
            </w:r>
          </w:p>
        </w:tc>
        <w:tc>
          <w:tcPr>
            <w:tcW w:w="6561" w:type="dxa"/>
            <w:tcBorders>
              <w:top w:val="nil"/>
              <w:left w:val="nil"/>
              <w:bottom w:val="dotted" w:sz="4" w:space="0" w:color="7F7F7F"/>
              <w:right w:val="nil"/>
            </w:tcBorders>
            <w:vAlign w:val="center"/>
            <w:hideMark/>
          </w:tcPr>
          <w:p w14:paraId="42F8C35C" w14:textId="77777777" w:rsidR="00495104" w:rsidRPr="00495104" w:rsidRDefault="00495104" w:rsidP="00495104">
            <w:pPr>
              <w:rPr>
                <w:rFonts w:ascii="Verdana" w:eastAsia="Arial" w:hAnsi="Verdana" w:cs="Arial"/>
                <w:sz w:val="16"/>
                <w:szCs w:val="16"/>
                <w:lang w:val="es-ES" w:eastAsia="es-MX"/>
              </w:rPr>
            </w:pPr>
            <w:r w:rsidRPr="00495104">
              <w:rPr>
                <w:rFonts w:ascii="Verdana" w:eastAsia="Arial" w:hAnsi="Verdana" w:cs="Arial"/>
                <w:sz w:val="16"/>
                <w:szCs w:val="16"/>
                <w:lang w:val="es-ES" w:eastAsia="es-MX"/>
              </w:rPr>
              <w:t xml:space="preserve">Carlos Mario Castrillón Endo </w:t>
            </w:r>
          </w:p>
          <w:p w14:paraId="5C6B7910" w14:textId="77777777" w:rsidR="00495104" w:rsidRPr="00495104" w:rsidRDefault="00495104" w:rsidP="00495104">
            <w:pPr>
              <w:rPr>
                <w:rFonts w:ascii="Verdana" w:eastAsia="Arial" w:hAnsi="Verdana" w:cs="Arial"/>
                <w:sz w:val="16"/>
                <w:szCs w:val="16"/>
                <w:lang w:val="es-ES_tradnl" w:eastAsia="es-MX"/>
              </w:rPr>
            </w:pPr>
            <w:r w:rsidRPr="00495104">
              <w:rPr>
                <w:rFonts w:ascii="Verdana" w:eastAsia="Arial" w:hAnsi="Verdana" w:cs="Arial"/>
                <w:sz w:val="16"/>
                <w:szCs w:val="16"/>
                <w:lang w:val="es-ES_tradnl" w:eastAsia="es-MX"/>
              </w:rPr>
              <w:t>Contratista de la Subdirección de Gestión Contractual</w:t>
            </w:r>
          </w:p>
          <w:p w14:paraId="22103B8C" w14:textId="77777777" w:rsidR="00495104" w:rsidRPr="00495104" w:rsidRDefault="00495104" w:rsidP="00495104">
            <w:pPr>
              <w:rPr>
                <w:rFonts w:ascii="Verdana" w:eastAsia="Arial" w:hAnsi="Verdana" w:cs="Arial"/>
                <w:sz w:val="16"/>
                <w:szCs w:val="16"/>
                <w:lang w:val="es-ES_tradnl" w:eastAsia="es-MX"/>
              </w:rPr>
            </w:pPr>
          </w:p>
        </w:tc>
      </w:tr>
      <w:tr w:rsidR="00495104" w:rsidRPr="00495104" w14:paraId="31A62D09" w14:textId="77777777" w:rsidTr="00A020A2">
        <w:trPr>
          <w:trHeight w:val="338"/>
        </w:trPr>
        <w:tc>
          <w:tcPr>
            <w:tcW w:w="1041" w:type="dxa"/>
            <w:vAlign w:val="center"/>
            <w:hideMark/>
          </w:tcPr>
          <w:p w14:paraId="38543CF0" w14:textId="77777777" w:rsidR="00495104" w:rsidRPr="00495104" w:rsidRDefault="00495104" w:rsidP="00495104">
            <w:pPr>
              <w:rPr>
                <w:rFonts w:ascii="Verdana" w:eastAsia="Calibri" w:hAnsi="Verdana" w:cs="Arial"/>
                <w:sz w:val="16"/>
                <w:szCs w:val="16"/>
                <w:lang w:val="es-ES_tradnl" w:eastAsia="es-ES"/>
              </w:rPr>
            </w:pPr>
            <w:r w:rsidRPr="00495104">
              <w:rPr>
                <w:rFonts w:ascii="Verdana" w:eastAsia="Calibri" w:hAnsi="Verdana" w:cs="Arial"/>
                <w:sz w:val="16"/>
                <w:szCs w:val="16"/>
                <w:lang w:val="es-ES_tradnl" w:eastAsia="es-ES"/>
              </w:rPr>
              <w:t>Revisó:</w:t>
            </w:r>
          </w:p>
        </w:tc>
        <w:tc>
          <w:tcPr>
            <w:tcW w:w="6561" w:type="dxa"/>
            <w:tcBorders>
              <w:top w:val="dotted" w:sz="4" w:space="0" w:color="7F7F7F"/>
              <w:left w:val="nil"/>
              <w:bottom w:val="dotted" w:sz="4" w:space="0" w:color="7F7F7F"/>
              <w:right w:val="nil"/>
            </w:tcBorders>
            <w:vAlign w:val="center"/>
            <w:hideMark/>
          </w:tcPr>
          <w:p w14:paraId="12B28D85" w14:textId="77777777" w:rsidR="00495104" w:rsidRPr="00495104" w:rsidRDefault="00495104" w:rsidP="00495104">
            <w:pPr>
              <w:rPr>
                <w:rFonts w:ascii="Verdana" w:eastAsia="Arial" w:hAnsi="Verdana" w:cs="Arial"/>
                <w:sz w:val="16"/>
                <w:szCs w:val="16"/>
                <w:lang w:val="es-ES" w:eastAsia="es-MX"/>
              </w:rPr>
            </w:pPr>
            <w:r w:rsidRPr="00495104">
              <w:rPr>
                <w:rFonts w:ascii="Verdana" w:eastAsia="Arial" w:hAnsi="Verdana" w:cs="Arial"/>
                <w:sz w:val="16"/>
                <w:szCs w:val="16"/>
                <w:lang w:val="es-ES" w:eastAsia="es-MX"/>
              </w:rPr>
              <w:t xml:space="preserve">Lida Milena </w:t>
            </w:r>
            <w:proofErr w:type="spellStart"/>
            <w:r w:rsidRPr="00495104">
              <w:rPr>
                <w:rFonts w:ascii="Verdana" w:eastAsia="Arial" w:hAnsi="Verdana" w:cs="Arial"/>
                <w:sz w:val="16"/>
                <w:szCs w:val="16"/>
                <w:lang w:val="es-ES" w:eastAsia="es-MX"/>
              </w:rPr>
              <w:t>Guanumen</w:t>
            </w:r>
            <w:proofErr w:type="spellEnd"/>
            <w:r w:rsidRPr="00495104">
              <w:rPr>
                <w:rFonts w:ascii="Verdana" w:eastAsia="Arial" w:hAnsi="Verdana" w:cs="Arial"/>
                <w:sz w:val="16"/>
                <w:szCs w:val="16"/>
                <w:lang w:val="es-ES" w:eastAsia="es-MX"/>
              </w:rPr>
              <w:t xml:space="preserve"> Pacheco</w:t>
            </w:r>
          </w:p>
          <w:p w14:paraId="66EBE1FC" w14:textId="77777777" w:rsidR="00495104" w:rsidRPr="00495104" w:rsidRDefault="00495104" w:rsidP="00495104">
            <w:pPr>
              <w:rPr>
                <w:rFonts w:ascii="Verdana" w:eastAsia="Arial" w:hAnsi="Verdana" w:cs="Arial"/>
                <w:sz w:val="16"/>
                <w:szCs w:val="16"/>
                <w:lang w:val="es-ES_tradnl" w:eastAsia="es-MX"/>
              </w:rPr>
            </w:pPr>
            <w:r w:rsidRPr="00495104">
              <w:rPr>
                <w:rFonts w:ascii="Verdana" w:eastAsia="Arial" w:hAnsi="Verdana" w:cs="Arial"/>
                <w:sz w:val="16"/>
                <w:szCs w:val="16"/>
                <w:lang w:val="es-ES_tradnl" w:eastAsia="es-MX"/>
              </w:rPr>
              <w:t>Contratista de la Subdirección de Gestión Contractual</w:t>
            </w:r>
          </w:p>
          <w:p w14:paraId="02496302" w14:textId="77777777" w:rsidR="00495104" w:rsidRPr="00495104" w:rsidRDefault="00495104" w:rsidP="00495104">
            <w:pPr>
              <w:rPr>
                <w:rFonts w:ascii="Verdana" w:eastAsia="Arial" w:hAnsi="Verdana" w:cs="Arial"/>
                <w:sz w:val="16"/>
                <w:szCs w:val="16"/>
                <w:lang w:val="es-ES" w:eastAsia="es-MX"/>
              </w:rPr>
            </w:pPr>
            <w:r w:rsidRPr="00495104">
              <w:rPr>
                <w:rFonts w:ascii="Verdana" w:eastAsia="Arial" w:hAnsi="Verdana" w:cs="Arial"/>
                <w:sz w:val="16"/>
                <w:szCs w:val="16"/>
                <w:lang w:val="es-ES" w:eastAsia="es-MX"/>
              </w:rPr>
              <w:t>Martha Alicia Romero Vargas</w:t>
            </w:r>
          </w:p>
          <w:p w14:paraId="5467EAC3" w14:textId="77777777" w:rsidR="00495104" w:rsidRPr="00495104" w:rsidRDefault="00495104" w:rsidP="00495104">
            <w:pPr>
              <w:rPr>
                <w:rFonts w:ascii="Verdana" w:eastAsia="Arial" w:hAnsi="Verdana" w:cs="Arial"/>
                <w:sz w:val="16"/>
                <w:szCs w:val="16"/>
                <w:lang w:val="es-ES_tradnl" w:eastAsia="es-MX"/>
              </w:rPr>
            </w:pPr>
            <w:r w:rsidRPr="00495104">
              <w:rPr>
                <w:rFonts w:ascii="Verdana" w:eastAsia="Arial" w:hAnsi="Verdana" w:cs="Arial"/>
                <w:sz w:val="16"/>
                <w:szCs w:val="16"/>
                <w:lang w:val="es-ES_tradnl" w:eastAsia="es-MX"/>
              </w:rPr>
              <w:t>Gestor T1-15 de la Subdirección de Gestión Contractual</w:t>
            </w:r>
          </w:p>
        </w:tc>
      </w:tr>
      <w:tr w:rsidR="00495104" w:rsidRPr="00495104" w14:paraId="16B2CBEE" w14:textId="77777777" w:rsidTr="00A020A2">
        <w:trPr>
          <w:trHeight w:val="308"/>
        </w:trPr>
        <w:tc>
          <w:tcPr>
            <w:tcW w:w="1041" w:type="dxa"/>
            <w:vAlign w:val="center"/>
          </w:tcPr>
          <w:p w14:paraId="4F1A75DB" w14:textId="77777777" w:rsidR="00495104" w:rsidRPr="00495104" w:rsidRDefault="00495104" w:rsidP="00495104">
            <w:pPr>
              <w:rPr>
                <w:rFonts w:ascii="Verdana" w:eastAsia="Calibri" w:hAnsi="Verdana" w:cs="Arial"/>
                <w:sz w:val="16"/>
                <w:szCs w:val="16"/>
                <w:lang w:val="es-ES_tradnl" w:eastAsia="es-ES"/>
              </w:rPr>
            </w:pPr>
            <w:r w:rsidRPr="00495104">
              <w:rPr>
                <w:rFonts w:ascii="Verdana" w:eastAsia="Calibri" w:hAnsi="Verdana" w:cs="Arial"/>
                <w:sz w:val="16"/>
                <w:szCs w:val="16"/>
                <w:lang w:val="es-ES_tradnl" w:eastAsia="es-ES"/>
              </w:rPr>
              <w:t>Aprobó:</w:t>
            </w:r>
          </w:p>
        </w:tc>
        <w:tc>
          <w:tcPr>
            <w:tcW w:w="6561" w:type="dxa"/>
            <w:tcBorders>
              <w:top w:val="dotted" w:sz="4" w:space="0" w:color="7F7F7F"/>
              <w:left w:val="nil"/>
              <w:bottom w:val="dotted" w:sz="4" w:space="0" w:color="7F7F7F"/>
              <w:right w:val="nil"/>
            </w:tcBorders>
            <w:vAlign w:val="center"/>
          </w:tcPr>
          <w:p w14:paraId="45282641" w14:textId="77777777" w:rsidR="00495104" w:rsidRPr="00495104" w:rsidRDefault="00495104" w:rsidP="00495104">
            <w:pPr>
              <w:rPr>
                <w:rFonts w:ascii="Verdana" w:eastAsia="Calibri" w:hAnsi="Verdana" w:cs="Arial"/>
                <w:sz w:val="16"/>
                <w:szCs w:val="16"/>
                <w:lang w:val="es-ES" w:eastAsia="es-ES"/>
              </w:rPr>
            </w:pPr>
            <w:r w:rsidRPr="00495104">
              <w:rPr>
                <w:rFonts w:ascii="Verdana" w:eastAsia="Calibri" w:hAnsi="Verdana" w:cs="Arial"/>
                <w:sz w:val="16"/>
                <w:szCs w:val="16"/>
                <w:lang w:val="es-ES" w:eastAsia="es-ES"/>
              </w:rPr>
              <w:t>Carolina Quintero Gacharná</w:t>
            </w:r>
          </w:p>
          <w:p w14:paraId="30506155" w14:textId="77777777" w:rsidR="00495104" w:rsidRPr="00495104" w:rsidRDefault="00495104" w:rsidP="00495104">
            <w:pPr>
              <w:rPr>
                <w:rFonts w:ascii="Verdana" w:eastAsia="Calibri" w:hAnsi="Verdana" w:cs="Arial"/>
                <w:sz w:val="16"/>
                <w:szCs w:val="16"/>
                <w:lang w:val="es-ES_tradnl" w:eastAsia="es-ES"/>
              </w:rPr>
            </w:pPr>
            <w:r w:rsidRPr="00495104">
              <w:rPr>
                <w:rFonts w:ascii="Verdana" w:eastAsia="Calibri" w:hAnsi="Verdana" w:cs="Arial"/>
                <w:sz w:val="16"/>
                <w:szCs w:val="16"/>
                <w:lang w:val="es-ES_tradnl" w:eastAsia="es-ES"/>
              </w:rPr>
              <w:t>Subdirectora de Gestión Contractual ANCP – CCE</w:t>
            </w:r>
          </w:p>
        </w:tc>
      </w:tr>
    </w:tbl>
    <w:p w14:paraId="644618F7" w14:textId="77777777" w:rsidR="00495104" w:rsidRPr="00495104" w:rsidRDefault="00495104" w:rsidP="00495104">
      <w:pPr>
        <w:spacing w:after="0" w:line="240" w:lineRule="auto"/>
        <w:jc w:val="both"/>
        <w:textAlignment w:val="baseline"/>
        <w:rPr>
          <w:rFonts w:ascii="Verdana" w:eastAsia="Verdana" w:hAnsi="Verdana" w:cs="Verdana"/>
          <w:lang w:eastAsia="es-CO"/>
        </w:rPr>
      </w:pPr>
    </w:p>
    <w:p w14:paraId="70389BB6" w14:textId="4590AE2A" w:rsidR="00495104" w:rsidRPr="00495104" w:rsidRDefault="00495104" w:rsidP="00495104">
      <w:pPr>
        <w:spacing w:after="0" w:line="240" w:lineRule="auto"/>
        <w:textAlignment w:val="baseline"/>
        <w:rPr>
          <w:rFonts w:ascii="Verdana" w:eastAsia="Verdana" w:hAnsi="Verdana" w:cs="Verdana"/>
          <w:lang w:eastAsia="es-CO"/>
        </w:rPr>
      </w:pPr>
      <w:r w:rsidRPr="00495104">
        <w:rPr>
          <w:rFonts w:ascii="Verdana" w:eastAsia="Verdana" w:hAnsi="Verdana" w:cs="Verdana"/>
          <w:lang w:eastAsia="es-CO"/>
        </w:rPr>
        <w:t xml:space="preserve"> </w:t>
      </w:r>
    </w:p>
    <w:bookmarkEnd w:id="0"/>
    <w:p w14:paraId="46BA891B" w14:textId="77777777" w:rsidR="00495104" w:rsidRPr="00495104" w:rsidRDefault="00495104" w:rsidP="00495104">
      <w:pPr>
        <w:spacing w:line="278" w:lineRule="auto"/>
        <w:rPr>
          <w:rFonts w:ascii="Aptos" w:eastAsia="Aptos" w:hAnsi="Aptos" w:cs="Times New Roman"/>
          <w:kern w:val="2"/>
          <w:sz w:val="24"/>
          <w:szCs w:val="24"/>
          <w14:ligatures w14:val="standardContextual"/>
        </w:rPr>
      </w:pPr>
    </w:p>
    <w:p w14:paraId="0F293BF4" w14:textId="46FA2A51" w:rsidR="00127233" w:rsidRPr="00A41DC5" w:rsidRDefault="00127233" w:rsidP="00A41DC5"/>
    <w:sectPr w:rsidR="00127233" w:rsidRPr="00A41DC5"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135C08" w14:textId="77777777" w:rsidR="00E12326" w:rsidRDefault="00E12326" w:rsidP="004A1847">
      <w:pPr>
        <w:spacing w:after="0" w:line="240" w:lineRule="auto"/>
      </w:pPr>
      <w:r>
        <w:separator/>
      </w:r>
    </w:p>
  </w:endnote>
  <w:endnote w:type="continuationSeparator" w:id="0">
    <w:p w14:paraId="53D11397" w14:textId="77777777" w:rsidR="00E12326" w:rsidRDefault="00E12326" w:rsidP="004A1847">
      <w:pPr>
        <w:spacing w:after="0" w:line="240" w:lineRule="auto"/>
      </w:pPr>
      <w:r>
        <w:continuationSeparator/>
      </w:r>
    </w:p>
  </w:endnote>
  <w:endnote w:type="continuationNotice" w:id="1">
    <w:p w14:paraId="1657ED2B" w14:textId="77777777" w:rsidR="00E12326" w:rsidRDefault="00E1232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4235BCBF" w14:textId="77777777" w:rsidR="007022FA" w:rsidRDefault="007022FA">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imes New Roman"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0495104">
      <w:rPr>
        <w:rFonts w:ascii="Verdana" w:eastAsia="Verdana" w:hAnsi="Verdana" w:cs="Verdana"/>
        <w:b/>
        <w:bCs/>
        <w:color w:val="000000"/>
        <w:sz w:val="18"/>
        <w:szCs w:val="18"/>
        <w:lang w:eastAsia="es-CO"/>
      </w:rPr>
      <w:t xml:space="preserve">Código: </w:t>
    </w:r>
    <w:r w:rsidRPr="00495104">
      <w:rPr>
        <w:rFonts w:ascii="Verdana" w:eastAsia="Verdana" w:hAnsi="Verdana" w:cs="Verdana"/>
        <w:color w:val="000000"/>
        <w:sz w:val="18"/>
        <w:szCs w:val="18"/>
        <w:lang w:eastAsia="es-CO"/>
      </w:rPr>
      <w:t xml:space="preserve">CCE-REC-FM-17 </w:t>
    </w:r>
    <w:r w:rsidRPr="00495104">
      <w:rPr>
        <w:rFonts w:ascii="Verdana" w:eastAsia="Verdana" w:hAnsi="Verdana" w:cs="Verdana"/>
        <w:b/>
        <w:bCs/>
        <w:color w:val="000000"/>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5C8880" w14:textId="77777777" w:rsidR="00E12326" w:rsidRDefault="00E12326" w:rsidP="004A1847">
      <w:pPr>
        <w:spacing w:after="0" w:line="240" w:lineRule="auto"/>
      </w:pPr>
      <w:r>
        <w:separator/>
      </w:r>
    </w:p>
  </w:footnote>
  <w:footnote w:type="continuationSeparator" w:id="0">
    <w:p w14:paraId="5077D3C1" w14:textId="77777777" w:rsidR="00E12326" w:rsidRDefault="00E12326" w:rsidP="004A1847">
      <w:pPr>
        <w:spacing w:after="0" w:line="240" w:lineRule="auto"/>
      </w:pPr>
      <w:r>
        <w:continuationSeparator/>
      </w:r>
    </w:p>
  </w:footnote>
  <w:footnote w:type="continuationNotice" w:id="1">
    <w:p w14:paraId="41FE35B4" w14:textId="77777777" w:rsidR="00E12326" w:rsidRDefault="00E12326">
      <w:pPr>
        <w:spacing w:after="0" w:line="240" w:lineRule="auto"/>
      </w:pPr>
    </w:p>
  </w:footnote>
  <w:footnote w:id="2">
    <w:p w14:paraId="3B57A0AB" w14:textId="77777777" w:rsidR="00495104" w:rsidRPr="00A27C89" w:rsidRDefault="00495104" w:rsidP="00495104">
      <w:pPr>
        <w:pStyle w:val="NormalWeb"/>
        <w:ind w:firstLine="708"/>
        <w:jc w:val="both"/>
        <w:rPr>
          <w:rFonts w:ascii="Verdana" w:hAnsi="Verdana"/>
          <w:sz w:val="18"/>
          <w:szCs w:val="18"/>
          <w:lang w:eastAsia="es-MX"/>
        </w:rPr>
      </w:pPr>
      <w:r w:rsidRPr="00A27C89">
        <w:rPr>
          <w:rStyle w:val="Refdenotaalpie"/>
          <w:rFonts w:ascii="Verdana" w:hAnsi="Verdana"/>
          <w:sz w:val="18"/>
          <w:szCs w:val="18"/>
        </w:rPr>
        <w:footnoteRef/>
      </w:r>
      <w:r w:rsidRPr="00A27C89">
        <w:rPr>
          <w:rFonts w:ascii="Verdana" w:hAnsi="Verdana"/>
          <w:sz w:val="18"/>
          <w:szCs w:val="18"/>
        </w:rPr>
        <w:t xml:space="preserve"> </w:t>
      </w:r>
      <w:r w:rsidRPr="00A27C89">
        <w:rPr>
          <w:rFonts w:ascii="Verdana" w:hAnsi="Verdana"/>
          <w:sz w:val="18"/>
          <w:szCs w:val="18"/>
          <w:lang w:eastAsia="es-MX"/>
        </w:rPr>
        <w:t>En relación con su solicitud, debe indicarse que la Agencia Nacional de Contratación Pública – Colombia Compra Eficiente, mediante el radicado No. 2_2026_04_10_003636 del 10 de abril de 2026, manifestó su falta de competencia respecto de las preguntas tres (3), cuatro (4), cinco (5), seis (6), siete (7) y ocho (8) de su solicitud, por las razones expuestas en dicho documento</w:t>
      </w:r>
      <w:r>
        <w:rPr>
          <w:rFonts w:ascii="Verdana" w:hAnsi="Verdana"/>
          <w:sz w:val="18"/>
          <w:szCs w:val="18"/>
          <w:lang w:eastAsia="es-MX"/>
        </w:rPr>
        <w:t xml:space="preserve">. </w:t>
      </w:r>
      <w:r w:rsidRPr="00A27C89">
        <w:rPr>
          <w:rFonts w:ascii="Verdana" w:hAnsi="Verdana"/>
          <w:sz w:val="18"/>
          <w:szCs w:val="18"/>
          <w:lang w:eastAsia="es-MX"/>
        </w:rPr>
        <w:t>Por lo tanto, en el presente concepto esta Agencia únicamente se pronunciará sobre las preguntas uno (1) y dos (2) de la solicitud, respecto de las cuales sí tiene competencia.</w:t>
      </w:r>
    </w:p>
  </w:footnote>
  <w:footnote w:id="3">
    <w:p w14:paraId="2BBB8BF3" w14:textId="77777777" w:rsidR="00495104" w:rsidRPr="00A27C89" w:rsidRDefault="00495104" w:rsidP="00495104">
      <w:pPr>
        <w:pStyle w:val="NormalWeb"/>
        <w:spacing w:after="120"/>
        <w:ind w:firstLine="708"/>
        <w:jc w:val="both"/>
        <w:rPr>
          <w:rFonts w:ascii="Verdana" w:hAnsi="Verdana" w:cs="Arial"/>
          <w:color w:val="000000"/>
          <w:sz w:val="18"/>
          <w:szCs w:val="18"/>
        </w:rPr>
      </w:pPr>
      <w:r w:rsidRPr="00A27C89">
        <w:rPr>
          <w:rStyle w:val="Refdenotaalpie"/>
          <w:rFonts w:ascii="Verdana" w:hAnsi="Verdana" w:cs="Arial"/>
          <w:color w:val="000000"/>
          <w:sz w:val="18"/>
          <w:szCs w:val="18"/>
        </w:rPr>
        <w:footnoteRef/>
      </w:r>
      <w:r w:rsidRPr="00A27C89">
        <w:rPr>
          <w:rFonts w:ascii="Verdana" w:hAnsi="Verdana" w:cs="Arial"/>
          <w:color w:val="000000"/>
          <w:sz w:val="18"/>
          <w:szCs w:val="18"/>
        </w:rPr>
        <w:t xml:space="preserve"> Ley 2022 de 2020: “</w:t>
      </w:r>
      <w:r w:rsidRPr="00A27C89">
        <w:rPr>
          <w:rStyle w:val="Fuerte"/>
          <w:rFonts w:ascii="Verdana" w:hAnsi="Verdana" w:cs="Arial"/>
          <w:color w:val="000000"/>
          <w:sz w:val="18"/>
          <w:szCs w:val="18"/>
        </w:rPr>
        <w:t xml:space="preserve">Artículo 1º. </w:t>
      </w:r>
      <w:r w:rsidRPr="00A27C89">
        <w:rPr>
          <w:rFonts w:ascii="Verdana" w:hAnsi="Verdana" w:cs="Arial"/>
          <w:color w:val="000000"/>
          <w:sz w:val="18"/>
          <w:szCs w:val="18"/>
        </w:rPr>
        <w:t>Modifíquese el artículo 4º de la Ley 1882 de 2018, el cual quedará así:</w:t>
      </w:r>
    </w:p>
    <w:p w14:paraId="54F4BC39" w14:textId="77777777" w:rsidR="00495104" w:rsidRPr="00A27C89" w:rsidRDefault="00495104" w:rsidP="00495104">
      <w:pPr>
        <w:pStyle w:val="NormalWeb"/>
        <w:spacing w:after="120"/>
        <w:ind w:firstLine="708"/>
        <w:jc w:val="both"/>
        <w:rPr>
          <w:rFonts w:ascii="Verdana" w:hAnsi="Verdana" w:cs="Arial"/>
          <w:color w:val="000000"/>
          <w:sz w:val="18"/>
          <w:szCs w:val="18"/>
        </w:rPr>
      </w:pPr>
      <w:r w:rsidRPr="00A27C89">
        <w:rPr>
          <w:rStyle w:val="Fuerte"/>
          <w:rFonts w:ascii="Verdana" w:hAnsi="Verdana" w:cs="Arial"/>
          <w:color w:val="000000"/>
          <w:sz w:val="18"/>
          <w:szCs w:val="18"/>
        </w:rPr>
        <w:t xml:space="preserve">“Artículo 4º. </w:t>
      </w:r>
      <w:r w:rsidRPr="00A27C89">
        <w:rPr>
          <w:rFonts w:ascii="Verdana" w:hAnsi="Verdana" w:cs="Arial"/>
          <w:color w:val="000000"/>
          <w:sz w:val="18"/>
          <w:szCs w:val="18"/>
        </w:rPr>
        <w:t>Adiciónese el siguiente parágrafo al artículo 2º de la Ley 1150 de 2007.</w:t>
      </w:r>
    </w:p>
    <w:p w14:paraId="4BE5B378" w14:textId="77777777" w:rsidR="00495104" w:rsidRPr="00A27C89" w:rsidRDefault="00495104" w:rsidP="00495104">
      <w:pPr>
        <w:pStyle w:val="NormalWeb"/>
        <w:spacing w:after="120"/>
        <w:ind w:firstLine="708"/>
        <w:jc w:val="both"/>
        <w:rPr>
          <w:rFonts w:ascii="Verdana" w:hAnsi="Verdana" w:cs="Arial"/>
          <w:color w:val="000000"/>
          <w:sz w:val="18"/>
          <w:szCs w:val="18"/>
        </w:rPr>
      </w:pPr>
      <w:r w:rsidRPr="00A27C89">
        <w:rPr>
          <w:rStyle w:val="Fuerte"/>
          <w:rFonts w:ascii="Verdana" w:hAnsi="Verdana" w:cs="Arial"/>
          <w:color w:val="000000"/>
          <w:sz w:val="18"/>
          <w:szCs w:val="18"/>
        </w:rPr>
        <w:t xml:space="preserve">Parágrafo 7º. </w:t>
      </w:r>
      <w:r w:rsidRPr="00A27C89">
        <w:rPr>
          <w:rFonts w:ascii="Verdana" w:hAnsi="Verdana" w:cs="Arial"/>
          <w:color w:val="000000"/>
          <w:sz w:val="18"/>
          <w:szCs w:val="18"/>
        </w:rPr>
        <w:t>La Agencia Nacional de Contratación Pública Colombia Compra Eficiente o quien haga sus veces, adoptará documentos tipo que serán de obligatorio cumplimiento en la actividad contractual de todas las entidades sometidas al Estatuto General de Contratación de la Administración Pública.</w:t>
      </w:r>
    </w:p>
    <w:p w14:paraId="4622D77D" w14:textId="77777777" w:rsidR="00495104" w:rsidRPr="00A27C89" w:rsidRDefault="00495104" w:rsidP="00495104">
      <w:pPr>
        <w:pStyle w:val="NormalWeb"/>
        <w:spacing w:after="120"/>
        <w:ind w:firstLine="708"/>
        <w:jc w:val="both"/>
        <w:rPr>
          <w:rFonts w:ascii="Verdana" w:hAnsi="Verdana" w:cs="Arial"/>
          <w:color w:val="000000"/>
          <w:sz w:val="18"/>
          <w:szCs w:val="18"/>
        </w:rPr>
      </w:pPr>
      <w:r w:rsidRPr="00A27C89">
        <w:rPr>
          <w:rFonts w:ascii="Verdana" w:hAnsi="Verdana" w:cs="Arial"/>
          <w:color w:val="000000"/>
          <w:sz w:val="18"/>
          <w:szCs w:val="18"/>
        </w:rPr>
        <w:t>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41B1A888" w14:textId="77777777" w:rsidR="00495104" w:rsidRPr="00A27C89" w:rsidRDefault="00495104" w:rsidP="00495104">
      <w:pPr>
        <w:pStyle w:val="NormalWeb"/>
        <w:spacing w:after="120"/>
        <w:ind w:firstLine="708"/>
        <w:jc w:val="both"/>
        <w:rPr>
          <w:rFonts w:ascii="Verdana" w:hAnsi="Verdana" w:cs="Arial"/>
          <w:color w:val="000000"/>
          <w:sz w:val="18"/>
          <w:szCs w:val="18"/>
        </w:rPr>
      </w:pPr>
      <w:r w:rsidRPr="00A27C89">
        <w:rPr>
          <w:rFonts w:ascii="Verdana" w:hAnsi="Verdana" w:cs="Arial"/>
          <w:color w:val="000000"/>
          <w:sz w:val="18"/>
          <w:szCs w:val="18"/>
        </w:rPr>
        <w:t>Con el ánimo de promover la descentralización, el empleo local, el desarrollo, los servicios e industria local, en la adopción de los documentos tipo, se tendrá en cuenta las características propias de las regiones, la cuantía, el fomento de la economía local y la naturaleza y especialidad de la contratación. Para tal efecto se deberá llevar a cabo un proceso de capacitación para los municipios.</w:t>
      </w:r>
    </w:p>
    <w:p w14:paraId="579B463E" w14:textId="77777777" w:rsidR="00495104" w:rsidRPr="00A27C89" w:rsidRDefault="00495104" w:rsidP="00495104">
      <w:pPr>
        <w:pStyle w:val="NormalWeb"/>
        <w:spacing w:after="120"/>
        <w:ind w:firstLine="708"/>
        <w:jc w:val="both"/>
        <w:rPr>
          <w:rFonts w:ascii="Verdana" w:hAnsi="Verdana" w:cs="Arial"/>
          <w:color w:val="000000"/>
          <w:sz w:val="18"/>
          <w:szCs w:val="18"/>
        </w:rPr>
      </w:pPr>
      <w:r w:rsidRPr="00A27C89">
        <w:rPr>
          <w:rFonts w:ascii="Verdana" w:hAnsi="Verdana" w:cs="Arial"/>
          <w:color w:val="000000"/>
          <w:sz w:val="18"/>
          <w:szCs w:val="18"/>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w:t>
      </w:r>
    </w:p>
    <w:p w14:paraId="7AE29462" w14:textId="77777777" w:rsidR="00495104" w:rsidRPr="00A27C89" w:rsidRDefault="00495104" w:rsidP="00495104">
      <w:pPr>
        <w:pStyle w:val="NormalWeb"/>
        <w:spacing w:after="120"/>
        <w:ind w:firstLine="708"/>
        <w:jc w:val="both"/>
        <w:rPr>
          <w:rFonts w:ascii="Verdana" w:hAnsi="Verdana" w:cs="Arial"/>
          <w:color w:val="000000"/>
          <w:sz w:val="18"/>
          <w:szCs w:val="18"/>
        </w:rPr>
      </w:pPr>
      <w:r w:rsidRPr="00A27C89">
        <w:rPr>
          <w:rFonts w:ascii="Verdana" w:hAnsi="Verdana" w:cs="Arial"/>
          <w:color w:val="000000"/>
          <w:sz w:val="18"/>
          <w:szCs w:val="18"/>
        </w:rPr>
        <w:t>En todo caso, serán de uso obligatorio los documentos tipo para los pliegos de condiciones de los procesos de selección de obras públicas, interventoría para las obras públicas interventoría para consultoría de estudios y diseños para obras públicas, consultoría en ingeniería para obras, que lleven a cabo todas las entidades sometidas al Estatuto General de Contratación de la Administración Pública, en los términos fijados mediante la reglamentación correspondiente”.</w:t>
      </w:r>
    </w:p>
  </w:footnote>
  <w:footnote w:id="4">
    <w:p w14:paraId="616367F7" w14:textId="77777777" w:rsidR="00495104" w:rsidRPr="00A27C89" w:rsidRDefault="00495104" w:rsidP="00495104">
      <w:pPr>
        <w:pStyle w:val="Textonotapie"/>
        <w:ind w:firstLine="708"/>
        <w:jc w:val="both"/>
        <w:rPr>
          <w:rFonts w:ascii="Verdana" w:hAnsi="Verdana"/>
          <w:sz w:val="18"/>
          <w:szCs w:val="18"/>
        </w:rPr>
      </w:pPr>
      <w:r w:rsidRPr="00A27C89">
        <w:rPr>
          <w:rStyle w:val="Refdenotaalpie"/>
          <w:rFonts w:ascii="Verdana" w:hAnsi="Verdana"/>
          <w:sz w:val="18"/>
          <w:szCs w:val="18"/>
        </w:rPr>
        <w:footnoteRef/>
      </w:r>
      <w:r w:rsidRPr="00A27C89">
        <w:rPr>
          <w:rFonts w:ascii="Verdana" w:hAnsi="Verdana"/>
          <w:sz w:val="18"/>
          <w:szCs w:val="18"/>
        </w:rPr>
        <w:t xml:space="preserve"> Sin perjuicio con lo indicado en relación con los criterios diferenciales en para Mipymes y emprendimientos y empresas de mujeres.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1pt;height:12.1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AB45B17"/>
    <w:multiLevelType w:val="hybridMultilevel"/>
    <w:tmpl w:val="ACFE3600"/>
    <w:lvl w:ilvl="0" w:tplc="240A000F">
      <w:start w:val="4"/>
      <w:numFmt w:val="decimal"/>
      <w:lvlText w:val="%1."/>
      <w:lvlJc w:val="left"/>
      <w:pPr>
        <w:ind w:left="36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3"/>
  </w:num>
  <w:num w:numId="7" w16cid:durableId="1946422806">
    <w:abstractNumId w:val="4"/>
  </w:num>
  <w:num w:numId="8" w16cid:durableId="152644682">
    <w:abstractNumId w:val="12"/>
  </w:num>
  <w:num w:numId="9" w16cid:durableId="1317221377">
    <w:abstractNumId w:val="6"/>
  </w:num>
  <w:num w:numId="10" w16cid:durableId="1471245386">
    <w:abstractNumId w:val="11"/>
  </w:num>
  <w:num w:numId="11" w16cid:durableId="289172385">
    <w:abstractNumId w:val="7"/>
  </w:num>
  <w:num w:numId="12" w16cid:durableId="1470781324">
    <w:abstractNumId w:val="0"/>
  </w:num>
  <w:num w:numId="13" w16cid:durableId="1512908409">
    <w:abstractNumId w:val="2"/>
  </w:num>
  <w:num w:numId="14" w16cid:durableId="895897244">
    <w:abstractNumId w:val="14"/>
  </w:num>
  <w:num w:numId="15" w16cid:durableId="390349800">
    <w:abstractNumId w:val="9"/>
  </w:num>
  <w:num w:numId="16" w16cid:durableId="814104812">
    <w:abstractNumId w:val="8"/>
  </w:num>
  <w:num w:numId="17" w16cid:durableId="1870463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942"/>
    <w:rsid w:val="00016F78"/>
    <w:rsid w:val="000423FC"/>
    <w:rsid w:val="00046945"/>
    <w:rsid w:val="00061B2A"/>
    <w:rsid w:val="00082362"/>
    <w:rsid w:val="000A683E"/>
    <w:rsid w:val="000A7661"/>
    <w:rsid w:val="000B19B9"/>
    <w:rsid w:val="000D0334"/>
    <w:rsid w:val="000D1EBE"/>
    <w:rsid w:val="000D5DA7"/>
    <w:rsid w:val="000F6486"/>
    <w:rsid w:val="00116940"/>
    <w:rsid w:val="00125105"/>
    <w:rsid w:val="00127233"/>
    <w:rsid w:val="0015699B"/>
    <w:rsid w:val="001A33BF"/>
    <w:rsid w:val="001E4177"/>
    <w:rsid w:val="001E6EA4"/>
    <w:rsid w:val="001F0B24"/>
    <w:rsid w:val="001F7DC6"/>
    <w:rsid w:val="002013BF"/>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B0FAE"/>
    <w:rsid w:val="003D0F4D"/>
    <w:rsid w:val="003D5B0D"/>
    <w:rsid w:val="003E0499"/>
    <w:rsid w:val="003E4F80"/>
    <w:rsid w:val="003E6439"/>
    <w:rsid w:val="003F3941"/>
    <w:rsid w:val="00406575"/>
    <w:rsid w:val="00414C74"/>
    <w:rsid w:val="0042722E"/>
    <w:rsid w:val="0044528D"/>
    <w:rsid w:val="00461099"/>
    <w:rsid w:val="00466E39"/>
    <w:rsid w:val="00480C62"/>
    <w:rsid w:val="00495104"/>
    <w:rsid w:val="004A1847"/>
    <w:rsid w:val="004A305D"/>
    <w:rsid w:val="004F21C4"/>
    <w:rsid w:val="004F685F"/>
    <w:rsid w:val="00555051"/>
    <w:rsid w:val="005566E8"/>
    <w:rsid w:val="00565475"/>
    <w:rsid w:val="005735F2"/>
    <w:rsid w:val="00574867"/>
    <w:rsid w:val="00591460"/>
    <w:rsid w:val="005A65E0"/>
    <w:rsid w:val="005C34EF"/>
    <w:rsid w:val="005C3777"/>
    <w:rsid w:val="005C5CDC"/>
    <w:rsid w:val="005D476C"/>
    <w:rsid w:val="006200BF"/>
    <w:rsid w:val="006219F8"/>
    <w:rsid w:val="006302F7"/>
    <w:rsid w:val="00646B9F"/>
    <w:rsid w:val="00665D70"/>
    <w:rsid w:val="006742AE"/>
    <w:rsid w:val="006900D9"/>
    <w:rsid w:val="006A6453"/>
    <w:rsid w:val="007022FA"/>
    <w:rsid w:val="00706C16"/>
    <w:rsid w:val="00706E69"/>
    <w:rsid w:val="007340C3"/>
    <w:rsid w:val="00736CFA"/>
    <w:rsid w:val="0075235A"/>
    <w:rsid w:val="00756841"/>
    <w:rsid w:val="007649AB"/>
    <w:rsid w:val="00771D0C"/>
    <w:rsid w:val="00780023"/>
    <w:rsid w:val="007833AC"/>
    <w:rsid w:val="00787C16"/>
    <w:rsid w:val="007B268C"/>
    <w:rsid w:val="007B7171"/>
    <w:rsid w:val="007C0C0F"/>
    <w:rsid w:val="007C3DC2"/>
    <w:rsid w:val="007E5497"/>
    <w:rsid w:val="00800F79"/>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41DC5"/>
    <w:rsid w:val="00A50DB9"/>
    <w:rsid w:val="00AB0ADB"/>
    <w:rsid w:val="00AC38C8"/>
    <w:rsid w:val="00AD24B2"/>
    <w:rsid w:val="00AF7D1C"/>
    <w:rsid w:val="00B00C0E"/>
    <w:rsid w:val="00B01B1A"/>
    <w:rsid w:val="00B0381D"/>
    <w:rsid w:val="00B44A47"/>
    <w:rsid w:val="00B44B91"/>
    <w:rsid w:val="00B72CD3"/>
    <w:rsid w:val="00B72FFF"/>
    <w:rsid w:val="00BC3D36"/>
    <w:rsid w:val="00BD54A6"/>
    <w:rsid w:val="00BD7F72"/>
    <w:rsid w:val="00BE1D49"/>
    <w:rsid w:val="00BF7425"/>
    <w:rsid w:val="00C04FB3"/>
    <w:rsid w:val="00C11641"/>
    <w:rsid w:val="00C11D8B"/>
    <w:rsid w:val="00C15139"/>
    <w:rsid w:val="00C330EB"/>
    <w:rsid w:val="00C42A07"/>
    <w:rsid w:val="00C50D69"/>
    <w:rsid w:val="00C5365C"/>
    <w:rsid w:val="00C754BE"/>
    <w:rsid w:val="00C76B1C"/>
    <w:rsid w:val="00C925AC"/>
    <w:rsid w:val="00CB27BA"/>
    <w:rsid w:val="00CB6357"/>
    <w:rsid w:val="00CC1B26"/>
    <w:rsid w:val="00CE6A6A"/>
    <w:rsid w:val="00D154F6"/>
    <w:rsid w:val="00D3277B"/>
    <w:rsid w:val="00D361FD"/>
    <w:rsid w:val="00D423A2"/>
    <w:rsid w:val="00D44E26"/>
    <w:rsid w:val="00D520D8"/>
    <w:rsid w:val="00D63AC2"/>
    <w:rsid w:val="00D7383B"/>
    <w:rsid w:val="00D7788A"/>
    <w:rsid w:val="00DA231B"/>
    <w:rsid w:val="00DC39FC"/>
    <w:rsid w:val="00DF5254"/>
    <w:rsid w:val="00E02524"/>
    <w:rsid w:val="00E12326"/>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04D8"/>
    <w:rsid w:val="00F5664F"/>
    <w:rsid w:val="00F666C4"/>
    <w:rsid w:val="00F76AFC"/>
    <w:rsid w:val="00FA47C0"/>
    <w:rsid w:val="00FB5DD1"/>
    <w:rsid w:val="00FC2B5D"/>
    <w:rsid w:val="00FE18D1"/>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495104"/>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495104"/>
    <w:pPr>
      <w:spacing w:line="240" w:lineRule="exact"/>
    </w:pPr>
    <w:rPr>
      <w:vertAlign w:val="superscript"/>
    </w:rPr>
  </w:style>
  <w:style w:type="character" w:styleId="Fuerte">
    <w:name w:val="Strong"/>
    <w:basedOn w:val="Fuentedeprrafopredeter"/>
    <w:uiPriority w:val="22"/>
    <w:qFormat/>
    <w:rsid w:val="00495104"/>
    <w:rPr>
      <w:b/>
      <w:bCs/>
    </w:rPr>
  </w:style>
  <w:style w:type="table" w:customStyle="1" w:styleId="Tablaconcuadrcula2">
    <w:name w:val="Tabla con cuadrícula2"/>
    <w:basedOn w:val="Tablanormal"/>
    <w:next w:val="Tablaconcuadrcula"/>
    <w:uiPriority w:val="39"/>
    <w:qFormat/>
    <w:rsid w:val="0049510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FE18D1"/>
    <w:rPr>
      <w:sz w:val="16"/>
      <w:szCs w:val="16"/>
    </w:rPr>
  </w:style>
  <w:style w:type="paragraph" w:styleId="Textocomentario">
    <w:name w:val="annotation text"/>
    <w:basedOn w:val="Normal"/>
    <w:link w:val="TextocomentarioCar"/>
    <w:uiPriority w:val="99"/>
    <w:semiHidden/>
    <w:unhideWhenUsed/>
    <w:rsid w:val="00FE18D1"/>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E18D1"/>
    <w:rPr>
      <w:sz w:val="20"/>
      <w:szCs w:val="20"/>
    </w:rPr>
  </w:style>
  <w:style w:type="paragraph" w:styleId="Asuntodelcomentario">
    <w:name w:val="annotation subject"/>
    <w:basedOn w:val="Textocomentario"/>
    <w:next w:val="Textocomentario"/>
    <w:link w:val="AsuntodelcomentarioCar"/>
    <w:uiPriority w:val="99"/>
    <w:semiHidden/>
    <w:unhideWhenUsed/>
    <w:rsid w:val="00FE18D1"/>
    <w:rPr>
      <w:b/>
      <w:bCs/>
    </w:rPr>
  </w:style>
  <w:style w:type="character" w:customStyle="1" w:styleId="AsuntodelcomentarioCar">
    <w:name w:val="Asunto del comentario Car"/>
    <w:basedOn w:val="TextocomentarioCar"/>
    <w:link w:val="Asuntodelcomentario"/>
    <w:uiPriority w:val="99"/>
    <w:semiHidden/>
    <w:rsid w:val="00FE18D1"/>
    <w:rPr>
      <w:b/>
      <w:bCs/>
      <w:sz w:val="20"/>
      <w:szCs w:val="20"/>
    </w:rPr>
  </w:style>
  <w:style w:type="character" w:customStyle="1" w:styleId="whitespace-normal">
    <w:name w:val="whitespace-normal"/>
    <w:basedOn w:val="Fuentedeprrafopredeter"/>
    <w:rsid w:val="003B0F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www.colombiacompra.gov.co/documentos-tipo/documentos-tipo" TargetMode="External"/><Relationship Id="rId17" Type="http://schemas.openxmlformats.org/officeDocument/2006/relationships/image" Target="media/image4.png"/><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3.png"/><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FC74C42-CD27-4E0F-938E-272B14284D2E}"/>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6</TotalTime>
  <Pages>23</Pages>
  <Words>7693</Words>
  <Characters>42312</Characters>
  <Application>Microsoft Office Word</Application>
  <DocSecurity>0</DocSecurity>
  <Lines>352</Lines>
  <Paragraphs>99</Paragraphs>
  <ScaleCrop>false</ScaleCrop>
  <Company/>
  <LinksUpToDate>false</LinksUpToDate>
  <CharactersWithSpaces>49906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Carlos Mario Castrillon Endo</cp:lastModifiedBy>
  <cp:revision>8</cp:revision>
  <cp:lastPrinted>2023-01-10T21:18:00Z</cp:lastPrinted>
  <dcterms:created xsi:type="dcterms:W3CDTF">2026-05-15T18:09:00Z</dcterms:created>
  <dcterms:modified xsi:type="dcterms:W3CDTF">2026-05-19T16:40:00Z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