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B0F92" w14:textId="77777777" w:rsidR="00871B59" w:rsidRDefault="00871B59" w:rsidP="00871B59">
      <w:pPr>
        <w:spacing w:after="0" w:line="240" w:lineRule="auto"/>
        <w:rPr>
          <w:rFonts w:ascii="Verdana" w:eastAsia="Geomanist Light" w:hAnsi="Verdana" w:cs="Arial"/>
          <w:color w:val="000000" w:themeColor="text1"/>
          <w:lang w:val="es-MX"/>
        </w:rPr>
      </w:pPr>
    </w:p>
    <w:p w14:paraId="377C77EE" w14:textId="41086F87" w:rsidR="00D16CD0" w:rsidRDefault="00D16CD0" w:rsidP="00D16CD0">
      <w:pPr>
        <w:pStyle w:val="Textoindependiente"/>
        <w:spacing w:before="1"/>
        <w:rPr>
          <w:rFonts w:ascii="Verdana" w:hAnsi="Verdana"/>
        </w:rPr>
      </w:pPr>
    </w:p>
    <w:p w14:paraId="0412FB92" w14:textId="77777777" w:rsidR="00D16CD0" w:rsidRDefault="00D16CD0" w:rsidP="00D16CD0">
      <w:pPr>
        <w:spacing w:after="0" w:line="240" w:lineRule="auto"/>
        <w:jc w:val="both"/>
        <w:rPr>
          <w:rFonts w:ascii="Verdana" w:hAnsi="Verdana" w:cs="Arial"/>
          <w:b/>
          <w:color w:val="000000" w:themeColor="text1"/>
          <w:lang w:val="es-ES_tradnl"/>
        </w:rPr>
      </w:pPr>
      <w:bookmarkStart w:id="0" w:name="_Hlk181166130"/>
      <w:r w:rsidRPr="00F23114">
        <w:rPr>
          <w:rFonts w:ascii="Verdana" w:hAnsi="Verdana" w:cs="Arial"/>
          <w:b/>
          <w:color w:val="000000" w:themeColor="text1"/>
          <w:lang w:val="es-ES_tradnl"/>
        </w:rPr>
        <w:t>LEY DE GARANTÍAS ELECTORALES ‒ Finalidad</w:t>
      </w:r>
    </w:p>
    <w:p w14:paraId="6749D38C" w14:textId="77777777" w:rsidR="00D16CD0" w:rsidRPr="00F23114" w:rsidRDefault="00D16CD0" w:rsidP="00D16CD0">
      <w:pPr>
        <w:spacing w:after="0" w:line="240" w:lineRule="auto"/>
        <w:jc w:val="both"/>
        <w:rPr>
          <w:rFonts w:ascii="Verdana" w:hAnsi="Verdana"/>
          <w:b/>
        </w:rPr>
      </w:pPr>
    </w:p>
    <w:bookmarkEnd w:id="0"/>
    <w:p w14:paraId="164594F4" w14:textId="77777777" w:rsidR="00D16CD0" w:rsidRPr="00F23114" w:rsidRDefault="00D16CD0" w:rsidP="00D16CD0">
      <w:pPr>
        <w:jc w:val="both"/>
        <w:rPr>
          <w:rFonts w:ascii="Verdana" w:eastAsia="Geomanist Light" w:hAnsi="Verdana" w:cs="Arial"/>
          <w:color w:val="000000" w:themeColor="text1"/>
          <w:sz w:val="20"/>
          <w:szCs w:val="20"/>
          <w:lang w:val="es-MX"/>
        </w:rPr>
      </w:pPr>
      <w:r w:rsidRPr="00F23114">
        <w:rPr>
          <w:rFonts w:ascii="Verdana" w:eastAsia="Times New Roman" w:hAnsi="Verdana" w:cs="Arial"/>
          <w:sz w:val="20"/>
          <w:szCs w:val="20"/>
          <w:lang w:val="es-MX" w:eastAsia="es-CO"/>
        </w:rPr>
        <w:t>[…] 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670081F" w14:textId="77777777" w:rsidR="00D16CD0" w:rsidRPr="00F23114" w:rsidRDefault="00D16CD0" w:rsidP="00D16CD0">
      <w:pPr>
        <w:jc w:val="both"/>
        <w:rPr>
          <w:rFonts w:ascii="Verdana" w:hAnsi="Verdana" w:cs="Arial"/>
          <w:b/>
          <w:color w:val="000000" w:themeColor="text1"/>
          <w:lang w:val="es-ES_tradnl"/>
        </w:rPr>
      </w:pPr>
      <w:r w:rsidRPr="00F23114">
        <w:rPr>
          <w:rFonts w:ascii="Verdana" w:hAnsi="Verdana" w:cs="Arial"/>
          <w:b/>
          <w:color w:val="000000" w:themeColor="text1"/>
          <w:lang w:val="es-ES_tradnl"/>
        </w:rPr>
        <w:t>LEY DE GARANTÍAS ELECTORALES ‒ Tipos de restricciones – Sociedades de economía mixta</w:t>
      </w:r>
    </w:p>
    <w:p w14:paraId="12F43893" w14:textId="77777777" w:rsidR="00D16CD0" w:rsidRPr="00F23114" w:rsidRDefault="00D16CD0" w:rsidP="00D16CD0">
      <w:pPr>
        <w:spacing w:after="120" w:line="276" w:lineRule="auto"/>
        <w:jc w:val="both"/>
        <w:rPr>
          <w:rFonts w:ascii="Verdana" w:eastAsia="Times New Roman" w:hAnsi="Verdana" w:cs="Open Sans"/>
          <w:sz w:val="20"/>
          <w:szCs w:val="20"/>
          <w:lang w:eastAsia="es-CO"/>
        </w:rPr>
      </w:pPr>
      <w:r w:rsidRPr="00F23114">
        <w:rPr>
          <w:rFonts w:ascii="Verdana" w:eastAsia="Times New Roman" w:hAnsi="Verdana" w:cs="Open Sans"/>
          <w:sz w:val="20"/>
          <w:szCs w:val="20"/>
          <w:lang w:eastAsia="es-CO"/>
        </w:rPr>
        <w:t xml:space="preserve">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convocatoria pública en alguna de sus etapas, ni permita la participación de una pluralidad de oferentes. </w:t>
      </w:r>
    </w:p>
    <w:p w14:paraId="3E2B126E" w14:textId="77777777" w:rsidR="00D16CD0" w:rsidRPr="00F23114" w:rsidRDefault="00D16CD0" w:rsidP="00D16CD0">
      <w:pPr>
        <w:spacing w:after="120" w:line="276" w:lineRule="auto"/>
        <w:jc w:val="both"/>
        <w:rPr>
          <w:rFonts w:ascii="Verdana" w:hAnsi="Verdana"/>
          <w:sz w:val="20"/>
          <w:szCs w:val="20"/>
        </w:rPr>
      </w:pPr>
      <w:r w:rsidRPr="00F23114">
        <w:rPr>
          <w:rFonts w:ascii="Verdana" w:eastAsia="Times New Roman" w:hAnsi="Verdana" w:cs="Open Sans"/>
          <w:sz w:val="20"/>
          <w:szCs w:val="20"/>
          <w:lang w:eastAsia="es-CO"/>
        </w:rPr>
        <w:t xml:space="preserve">Por su parte, </w:t>
      </w:r>
      <w:r w:rsidRPr="00F23114">
        <w:rPr>
          <w:rFonts w:ascii="Verdana" w:hAnsi="Verdana"/>
          <w:sz w:val="20"/>
          <w:szCs w:val="20"/>
        </w:rPr>
        <w:t xml:space="preserve">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56ED430" w14:textId="77777777" w:rsidR="00D16CD0" w:rsidRPr="00F23114" w:rsidRDefault="00D16CD0" w:rsidP="00D16CD0">
      <w:pPr>
        <w:spacing w:after="120" w:line="276" w:lineRule="auto"/>
        <w:jc w:val="both"/>
        <w:rPr>
          <w:rFonts w:ascii="Verdana" w:eastAsia="Times New Roman" w:hAnsi="Verdana" w:cs="Arial"/>
          <w:sz w:val="20"/>
          <w:szCs w:val="20"/>
          <w:lang w:val="es-ES"/>
        </w:rPr>
      </w:pPr>
      <w:r w:rsidRPr="00F23114">
        <w:rPr>
          <w:rFonts w:ascii="Verdana" w:eastAsia="Times New Roman" w:hAnsi="Verdana" w:cs="Arial"/>
          <w:sz w:val="20"/>
          <w:szCs w:val="20"/>
          <w:lang w:val="es-ES"/>
        </w:rPr>
        <w:t xml:space="preserve">En consecuencia, las restricciones a la contratación contenidas en la Ley de Garantías Electorales son aplicables a entidades descentralizadas como las sociedades de economía </w:t>
      </w:r>
      <w:r w:rsidRPr="00F23114">
        <w:rPr>
          <w:rFonts w:ascii="Verdana" w:eastAsia="Times New Roman" w:hAnsi="Verdana" w:cs="Arial"/>
          <w:sz w:val="20"/>
          <w:szCs w:val="20"/>
          <w:lang w:val="es-ES"/>
        </w:rPr>
        <w:lastRenderedPageBreak/>
        <w:t>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206B17F5" w14:textId="77777777" w:rsidR="00D16CD0" w:rsidRPr="00D16CD0" w:rsidRDefault="00D16CD0" w:rsidP="00D16CD0">
      <w:pPr>
        <w:pStyle w:val="Textoindependiente"/>
        <w:spacing w:before="1"/>
        <w:rPr>
          <w:rFonts w:ascii="Verdana" w:hAnsi="Verdana"/>
          <w:lang w:val="es-ES"/>
        </w:rPr>
      </w:pPr>
    </w:p>
    <w:p w14:paraId="532CFDE8" w14:textId="03FBFE64" w:rsidR="00D16CD0" w:rsidRDefault="00D16CD0" w:rsidP="00D16CD0">
      <w:pPr>
        <w:pStyle w:val="Textoindependiente"/>
        <w:spacing w:before="1"/>
        <w:rPr>
          <w:rFonts w:ascii="Verdana" w:hAnsi="Verdana"/>
        </w:rPr>
      </w:pPr>
    </w:p>
    <w:p w14:paraId="55383E92" w14:textId="77777777" w:rsidR="00D16CD0" w:rsidRDefault="00D16CD0" w:rsidP="00D16CD0">
      <w:pPr>
        <w:pStyle w:val="Textoindependiente"/>
        <w:spacing w:before="1"/>
        <w:rPr>
          <w:rFonts w:ascii="Verdana" w:hAnsi="Verdana"/>
        </w:rPr>
      </w:pPr>
    </w:p>
    <w:p w14:paraId="50764A1D" w14:textId="77777777" w:rsidR="00D16CD0" w:rsidRDefault="00D16CD0" w:rsidP="00D16CD0">
      <w:pPr>
        <w:pStyle w:val="Textoindependiente"/>
        <w:spacing w:before="1"/>
        <w:rPr>
          <w:rFonts w:ascii="Verdana" w:hAnsi="Verdana"/>
        </w:rPr>
      </w:pPr>
    </w:p>
    <w:p w14:paraId="3708E45F" w14:textId="77777777" w:rsidR="00D16CD0" w:rsidRDefault="00D16CD0" w:rsidP="00D16CD0">
      <w:pPr>
        <w:pStyle w:val="Textoindependiente"/>
        <w:spacing w:before="1"/>
        <w:rPr>
          <w:rFonts w:ascii="Verdana" w:hAnsi="Verdana"/>
        </w:rPr>
      </w:pPr>
    </w:p>
    <w:p w14:paraId="5CD7811B" w14:textId="3E6D8D5B" w:rsidR="00D16CD0" w:rsidRDefault="00D16CD0" w:rsidP="00D16CD0">
      <w:pPr>
        <w:pStyle w:val="Textoindependiente"/>
        <w:spacing w:before="1"/>
        <w:rPr>
          <w:rFonts w:ascii="Verdana" w:hAnsi="Verdana"/>
        </w:rPr>
      </w:pPr>
    </w:p>
    <w:p w14:paraId="32841749" w14:textId="77777777" w:rsidR="00D16CD0" w:rsidRDefault="00D16CD0" w:rsidP="00D16CD0">
      <w:pPr>
        <w:pStyle w:val="Textoindependiente"/>
        <w:spacing w:before="1"/>
        <w:rPr>
          <w:rFonts w:ascii="Verdana" w:hAnsi="Verdana"/>
        </w:rPr>
      </w:pPr>
    </w:p>
    <w:p w14:paraId="5146D949" w14:textId="2890CF3D" w:rsidR="00D16CD0" w:rsidRDefault="00D16CD0" w:rsidP="00D16CD0">
      <w:pPr>
        <w:pStyle w:val="Textoindependiente"/>
        <w:spacing w:before="1"/>
        <w:rPr>
          <w:rFonts w:ascii="Verdana" w:hAnsi="Verdana"/>
        </w:rPr>
      </w:pPr>
    </w:p>
    <w:p w14:paraId="003FE1B8" w14:textId="77777777" w:rsidR="00D16CD0" w:rsidRDefault="00D16CD0" w:rsidP="00D16CD0">
      <w:pPr>
        <w:pStyle w:val="Textoindependiente"/>
        <w:spacing w:before="1"/>
        <w:rPr>
          <w:rFonts w:ascii="Verdana" w:hAnsi="Verdana"/>
        </w:rPr>
      </w:pPr>
    </w:p>
    <w:p w14:paraId="2D5D72B9" w14:textId="77777777" w:rsidR="00D16CD0" w:rsidRDefault="00D16CD0" w:rsidP="00D16CD0">
      <w:pPr>
        <w:pStyle w:val="Textoindependiente"/>
        <w:spacing w:before="1"/>
        <w:rPr>
          <w:rFonts w:ascii="Verdana" w:hAnsi="Verdana"/>
        </w:rPr>
      </w:pPr>
    </w:p>
    <w:p w14:paraId="25B9A2F8" w14:textId="64C0AFF1" w:rsidR="00D16CD0" w:rsidRDefault="00D16CD0" w:rsidP="00D16CD0">
      <w:pPr>
        <w:pStyle w:val="Textoindependiente"/>
        <w:spacing w:before="1"/>
        <w:rPr>
          <w:rFonts w:ascii="Verdana" w:hAnsi="Verdana"/>
        </w:rPr>
      </w:pPr>
    </w:p>
    <w:p w14:paraId="6D81E109" w14:textId="77777777" w:rsidR="00D16CD0" w:rsidRDefault="00D16CD0" w:rsidP="00D16CD0">
      <w:pPr>
        <w:pStyle w:val="Textoindependiente"/>
        <w:spacing w:before="1"/>
        <w:rPr>
          <w:rFonts w:ascii="Verdana" w:hAnsi="Verdana"/>
        </w:rPr>
      </w:pPr>
    </w:p>
    <w:p w14:paraId="4A889566" w14:textId="3B9642D3" w:rsidR="00D16CD0" w:rsidRDefault="00D16CD0" w:rsidP="00D16CD0">
      <w:pPr>
        <w:pStyle w:val="Textoindependiente"/>
        <w:spacing w:before="1"/>
        <w:rPr>
          <w:rFonts w:ascii="Verdana" w:hAnsi="Verdana"/>
        </w:rPr>
      </w:pPr>
    </w:p>
    <w:p w14:paraId="26A625E4" w14:textId="77777777" w:rsidR="00D16CD0" w:rsidRDefault="00D16CD0" w:rsidP="00D16CD0">
      <w:pPr>
        <w:pStyle w:val="Textoindependiente"/>
        <w:spacing w:before="1"/>
        <w:rPr>
          <w:rFonts w:ascii="Verdana" w:hAnsi="Verdana"/>
        </w:rPr>
      </w:pPr>
    </w:p>
    <w:p w14:paraId="127A3417" w14:textId="4150588B" w:rsidR="00D16CD0" w:rsidRDefault="00D16CD0" w:rsidP="00D16CD0">
      <w:pPr>
        <w:pStyle w:val="Textoindependiente"/>
        <w:spacing w:before="1"/>
        <w:rPr>
          <w:rFonts w:ascii="Verdana" w:hAnsi="Verdana"/>
        </w:rPr>
      </w:pPr>
    </w:p>
    <w:p w14:paraId="5C3AFDE9" w14:textId="26CBFDAD" w:rsidR="00D16CD0" w:rsidRDefault="00D16CD0" w:rsidP="00D16CD0">
      <w:pPr>
        <w:pStyle w:val="Textoindependiente"/>
        <w:spacing w:before="1"/>
        <w:rPr>
          <w:rFonts w:ascii="Verdana" w:hAnsi="Verdana"/>
        </w:rPr>
      </w:pPr>
    </w:p>
    <w:p w14:paraId="4FD5DB40" w14:textId="4E229642" w:rsidR="00D16CD0" w:rsidRDefault="00D16CD0" w:rsidP="00D16CD0">
      <w:pPr>
        <w:pStyle w:val="Textoindependiente"/>
        <w:spacing w:before="1"/>
        <w:rPr>
          <w:rFonts w:ascii="Verdana" w:hAnsi="Verdana"/>
        </w:rPr>
      </w:pPr>
    </w:p>
    <w:p w14:paraId="3BD4D834" w14:textId="16236B88" w:rsidR="00D16CD0" w:rsidRDefault="00D16CD0" w:rsidP="00D16CD0">
      <w:pPr>
        <w:pStyle w:val="Textoindependiente"/>
        <w:spacing w:before="1"/>
        <w:rPr>
          <w:rFonts w:ascii="Verdana" w:hAnsi="Verdana"/>
        </w:rPr>
      </w:pPr>
    </w:p>
    <w:p w14:paraId="4620546B" w14:textId="05D1F640" w:rsidR="00D16CD0" w:rsidRDefault="00D16CD0" w:rsidP="00D16CD0">
      <w:pPr>
        <w:pStyle w:val="Textoindependiente"/>
        <w:spacing w:before="1"/>
        <w:rPr>
          <w:rFonts w:ascii="Verdana" w:hAnsi="Verdana"/>
        </w:rPr>
      </w:pPr>
    </w:p>
    <w:p w14:paraId="575328E4" w14:textId="7E8672E6" w:rsidR="00D16CD0" w:rsidRDefault="00D16CD0" w:rsidP="00D16CD0">
      <w:pPr>
        <w:pStyle w:val="Textoindependiente"/>
        <w:spacing w:before="1"/>
        <w:rPr>
          <w:rFonts w:ascii="Verdana" w:hAnsi="Verdana"/>
        </w:rPr>
      </w:pPr>
    </w:p>
    <w:p w14:paraId="45E6E84A" w14:textId="77777777" w:rsidR="00D16CD0" w:rsidRDefault="00D16CD0" w:rsidP="00D16CD0">
      <w:pPr>
        <w:pStyle w:val="Textoindependiente"/>
        <w:spacing w:before="1"/>
        <w:rPr>
          <w:rFonts w:ascii="Verdana" w:hAnsi="Verdana"/>
        </w:rPr>
      </w:pPr>
    </w:p>
    <w:p w14:paraId="731D6DBD" w14:textId="1CC3A53B" w:rsidR="00D16CD0" w:rsidRDefault="00D16CD0" w:rsidP="00D16CD0">
      <w:pPr>
        <w:pStyle w:val="Textoindependiente"/>
        <w:spacing w:before="1"/>
        <w:rPr>
          <w:rFonts w:ascii="Verdana" w:hAnsi="Verdana"/>
        </w:rPr>
      </w:pPr>
    </w:p>
    <w:p w14:paraId="0A018E42" w14:textId="77777777" w:rsidR="00D16CD0" w:rsidRDefault="00D16CD0" w:rsidP="00D16CD0">
      <w:pPr>
        <w:pStyle w:val="Textoindependiente"/>
        <w:spacing w:before="1"/>
        <w:rPr>
          <w:rFonts w:ascii="Verdana" w:hAnsi="Verdana"/>
        </w:rPr>
      </w:pPr>
    </w:p>
    <w:p w14:paraId="42D0CA06" w14:textId="3FD045FC" w:rsidR="00D16CD0" w:rsidRDefault="00D16CD0" w:rsidP="00D16CD0">
      <w:pPr>
        <w:pStyle w:val="Textoindependiente"/>
        <w:spacing w:before="1"/>
        <w:rPr>
          <w:rFonts w:ascii="Verdana" w:hAnsi="Verdana"/>
        </w:rPr>
      </w:pPr>
    </w:p>
    <w:p w14:paraId="56121EA6" w14:textId="67E1056A" w:rsidR="00D16CD0" w:rsidRPr="00D16CD0" w:rsidRDefault="00D16CD0" w:rsidP="00D16CD0">
      <w:pPr>
        <w:pStyle w:val="Textoindependiente"/>
        <w:spacing w:before="1"/>
        <w:rPr>
          <w:rFonts w:ascii="Verdana" w:hAnsi="Verdana"/>
        </w:rPr>
      </w:pPr>
      <w:r w:rsidRPr="00D16CD0">
        <w:rPr>
          <w:rFonts w:ascii="Verdana" w:hAnsi="Verdana"/>
          <w:noProof/>
        </w:rPr>
        <w:drawing>
          <wp:anchor distT="0" distB="0" distL="0" distR="0" simplePos="0" relativeHeight="251659264" behindDoc="0" locked="0" layoutInCell="1" allowOverlap="1" wp14:anchorId="102EA2EB" wp14:editId="232F874A">
            <wp:simplePos x="0" y="0"/>
            <wp:positionH relativeFrom="page">
              <wp:posOffset>4312516</wp:posOffset>
            </wp:positionH>
            <wp:positionV relativeFrom="paragraph">
              <wp:posOffset>159096</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00300" cy="615950"/>
                    </a:xfrm>
                    <a:prstGeom prst="rect">
                      <a:avLst/>
                    </a:prstGeom>
                  </pic:spPr>
                </pic:pic>
              </a:graphicData>
            </a:graphic>
          </wp:anchor>
        </w:drawing>
      </w:r>
      <w:r w:rsidRPr="00D16CD0">
        <w:rPr>
          <w:rFonts w:ascii="Verdana" w:hAnsi="Verdana"/>
        </w:rPr>
        <w:t>Bogotá</w:t>
      </w:r>
      <w:r w:rsidRPr="00D16CD0">
        <w:rPr>
          <w:rFonts w:ascii="Verdana" w:hAnsi="Verdana"/>
          <w:spacing w:val="-6"/>
        </w:rPr>
        <w:t xml:space="preserve"> </w:t>
      </w:r>
      <w:r w:rsidRPr="00D16CD0">
        <w:rPr>
          <w:rFonts w:ascii="Verdana" w:hAnsi="Verdana"/>
        </w:rPr>
        <w:t>D.C.,</w:t>
      </w:r>
      <w:r w:rsidRPr="00D16CD0">
        <w:rPr>
          <w:rFonts w:ascii="Verdana" w:hAnsi="Verdana"/>
          <w:spacing w:val="-4"/>
        </w:rPr>
        <w:t xml:space="preserve"> </w:t>
      </w:r>
      <w:r w:rsidRPr="00D16CD0">
        <w:rPr>
          <w:rFonts w:ascii="Verdana" w:hAnsi="Verdana"/>
        </w:rPr>
        <w:t>14</w:t>
      </w:r>
      <w:r w:rsidRPr="00D16CD0">
        <w:rPr>
          <w:rFonts w:ascii="Verdana" w:hAnsi="Verdana"/>
          <w:spacing w:val="-2"/>
        </w:rPr>
        <w:t xml:space="preserve"> </w:t>
      </w:r>
      <w:r w:rsidRPr="00D16CD0">
        <w:rPr>
          <w:rFonts w:ascii="Verdana" w:hAnsi="Verdana"/>
        </w:rPr>
        <w:t>Abril</w:t>
      </w:r>
      <w:r w:rsidRPr="00D16CD0">
        <w:rPr>
          <w:rFonts w:ascii="Verdana" w:hAnsi="Verdana"/>
          <w:spacing w:val="-3"/>
        </w:rPr>
        <w:t xml:space="preserve"> </w:t>
      </w:r>
      <w:r w:rsidRPr="00D16CD0">
        <w:rPr>
          <w:rFonts w:ascii="Verdana" w:hAnsi="Verdana"/>
          <w:spacing w:val="-4"/>
        </w:rPr>
        <w:t>2026</w:t>
      </w:r>
    </w:p>
    <w:p w14:paraId="72911EE4" w14:textId="6048C32F" w:rsidR="00871B59" w:rsidRPr="00D16CD0" w:rsidRDefault="00871B59" w:rsidP="00871B59">
      <w:pPr>
        <w:spacing w:after="0" w:line="240" w:lineRule="auto"/>
        <w:rPr>
          <w:rFonts w:ascii="Verdana" w:eastAsia="Geomanist Light" w:hAnsi="Verdana" w:cs="Arial"/>
          <w:color w:val="000000" w:themeColor="text1"/>
        </w:rPr>
      </w:pPr>
    </w:p>
    <w:p w14:paraId="5CEEDA1A" w14:textId="6BBE204E" w:rsidR="00871B59" w:rsidRDefault="00871B59" w:rsidP="001B0E81">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01162E7" w14:textId="32263179" w:rsidR="001B0E81" w:rsidRPr="001B0E81" w:rsidRDefault="001B0E81" w:rsidP="00871B59">
      <w:pPr>
        <w:spacing w:after="0" w:line="240" w:lineRule="auto"/>
        <w:rPr>
          <w:rFonts w:ascii="Verdana" w:eastAsia="Calibri" w:hAnsi="Verdana" w:cs="Arial"/>
          <w:b/>
          <w:bCs/>
          <w:lang w:val="es-ES" w:eastAsia="es-ES"/>
        </w:rPr>
      </w:pPr>
      <w:proofErr w:type="spellStart"/>
      <w:r w:rsidRPr="001B0E81">
        <w:rPr>
          <w:rFonts w:ascii="Verdana" w:eastAsia="Calibri" w:hAnsi="Verdana" w:cs="Arial"/>
          <w:b/>
          <w:bCs/>
          <w:lang w:val="es-ES" w:eastAsia="es-ES"/>
        </w:rPr>
        <w:t>Jhon</w:t>
      </w:r>
      <w:proofErr w:type="spellEnd"/>
      <w:r w:rsidRPr="001B0E81">
        <w:rPr>
          <w:rFonts w:ascii="Verdana" w:eastAsia="Calibri" w:hAnsi="Verdana" w:cs="Arial"/>
          <w:b/>
          <w:bCs/>
          <w:lang w:val="es-ES" w:eastAsia="es-ES"/>
        </w:rPr>
        <w:t xml:space="preserve"> Jairo González Rivera</w:t>
      </w:r>
    </w:p>
    <w:p w14:paraId="7BED390F" w14:textId="6D8D7602" w:rsidR="001B0E81" w:rsidRDefault="000D343B" w:rsidP="00871B59">
      <w:pPr>
        <w:spacing w:after="0" w:line="240" w:lineRule="auto"/>
        <w:rPr>
          <w:rFonts w:ascii="Verdana" w:eastAsia="Calibri" w:hAnsi="Verdana" w:cs="Arial"/>
          <w:lang w:val="es-ES" w:eastAsia="es-ES"/>
        </w:rPr>
      </w:pPr>
      <w:hyperlink r:id="rId12" w:history="1">
        <w:r w:rsidR="001B0E81" w:rsidRPr="006F40A2">
          <w:rPr>
            <w:rStyle w:val="Hipervnculo"/>
            <w:rFonts w:ascii="Verdana" w:eastAsia="Calibri" w:hAnsi="Verdana" w:cs="Arial"/>
            <w:lang w:val="es-ES" w:eastAsia="es-ES"/>
          </w:rPr>
          <w:t>jhon.gonzalez@contraloria.gov.co</w:t>
        </w:r>
      </w:hyperlink>
    </w:p>
    <w:p w14:paraId="62108308" w14:textId="74303AAA" w:rsidR="00871B59" w:rsidRPr="00B96799" w:rsidRDefault="001B0E81"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2E7FC5E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76D86D15"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7F4D56C3" w14:textId="77777777" w:rsidTr="002607A7">
        <w:trPr>
          <w:trHeight w:val="884"/>
        </w:trPr>
        <w:tc>
          <w:tcPr>
            <w:tcW w:w="2689" w:type="dxa"/>
          </w:tcPr>
          <w:p w14:paraId="67DDBEFB"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0F482DE" w14:textId="3C69501F"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1B0E81">
              <w:rPr>
                <w:rFonts w:ascii="Verdana" w:eastAsia="Calibri" w:hAnsi="Verdana" w:cs="Arial"/>
                <w:b/>
                <w:bCs/>
                <w:lang w:val="es-ES" w:eastAsia="es-ES"/>
              </w:rPr>
              <w:t>331</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001B0E81">
              <w:rPr>
                <w:rFonts w:ascii="Verdana" w:eastAsia="Calibri" w:hAnsi="Verdana" w:cs="Arial"/>
                <w:b/>
                <w:bCs/>
                <w:lang w:val="es-ES" w:eastAsia="es-ES"/>
              </w:rPr>
              <w:t xml:space="preserve"> 2026</w:t>
            </w:r>
          </w:p>
        </w:tc>
      </w:tr>
      <w:tr w:rsidR="001B0E81" w:rsidRPr="00593A5F" w14:paraId="0906E828" w14:textId="77777777" w:rsidTr="002607A7">
        <w:trPr>
          <w:trHeight w:val="884"/>
        </w:trPr>
        <w:tc>
          <w:tcPr>
            <w:tcW w:w="2689" w:type="dxa"/>
          </w:tcPr>
          <w:p w14:paraId="5506680E" w14:textId="77777777" w:rsidR="001B0E81" w:rsidRPr="001B0E81" w:rsidRDefault="001B0E81" w:rsidP="001B0E81">
            <w:pPr>
              <w:jc w:val="both"/>
              <w:rPr>
                <w:rFonts w:ascii="Verdana" w:eastAsia="Calibri" w:hAnsi="Verdana" w:cs="Arial"/>
                <w:color w:val="000000" w:themeColor="text1"/>
                <w:lang w:val="es-ES_tradnl" w:eastAsia="es-ES_tradnl"/>
              </w:rPr>
            </w:pPr>
            <w:r w:rsidRPr="001B0E81">
              <w:rPr>
                <w:rFonts w:ascii="Verdana" w:eastAsia="Calibri" w:hAnsi="Verdana" w:cs="Arial"/>
                <w:b/>
                <w:color w:val="000000" w:themeColor="text1"/>
                <w:lang w:val="es-ES_tradnl" w:eastAsia="es-ES_tradnl"/>
              </w:rPr>
              <w:t>Temas:</w:t>
            </w:r>
            <w:r w:rsidRPr="001B0E81">
              <w:rPr>
                <w:rFonts w:ascii="Verdana" w:eastAsia="Calibri" w:hAnsi="Verdana" w:cs="Arial"/>
                <w:color w:val="000000" w:themeColor="text1"/>
                <w:lang w:val="es-ES_tradnl" w:eastAsia="es-ES_tradnl"/>
              </w:rPr>
              <w:t xml:space="preserve">                   </w:t>
            </w:r>
          </w:p>
        </w:tc>
        <w:tc>
          <w:tcPr>
            <w:tcW w:w="6100" w:type="dxa"/>
          </w:tcPr>
          <w:p w14:paraId="6C9E5B50" w14:textId="77777777" w:rsidR="001B0E81" w:rsidRPr="001B0E81" w:rsidRDefault="001B0E81" w:rsidP="001B0E81">
            <w:pPr>
              <w:jc w:val="both"/>
              <w:rPr>
                <w:rFonts w:ascii="Verdana" w:hAnsi="Verdana" w:cs="Arial"/>
                <w:bCs/>
                <w:color w:val="000000" w:themeColor="text1"/>
                <w:lang w:val="es-ES_tradnl"/>
              </w:rPr>
            </w:pPr>
            <w:r w:rsidRPr="001B0E81">
              <w:rPr>
                <w:rFonts w:ascii="Verdana" w:hAnsi="Verdana" w:cs="Arial"/>
                <w:bCs/>
                <w:color w:val="000000" w:themeColor="text1"/>
                <w:lang w:val="es-ES_tradnl"/>
              </w:rPr>
              <w:t>LEY DE GARANTÍAS ELECTORALES ‒ Finalidad / LEY DE GARANTÍAS ELECTORALES ‒ Tipos de restricciones – Sociedades de economía mixta</w:t>
            </w:r>
          </w:p>
          <w:p w14:paraId="3F004940" w14:textId="77777777" w:rsidR="001B0E81" w:rsidRPr="001B0E81" w:rsidRDefault="001B0E81" w:rsidP="001B0E81">
            <w:pPr>
              <w:spacing w:line="276" w:lineRule="auto"/>
              <w:jc w:val="both"/>
              <w:rPr>
                <w:rFonts w:ascii="Verdana" w:eastAsia="Calibri" w:hAnsi="Verdana" w:cs="Arial"/>
                <w:color w:val="000000" w:themeColor="text1"/>
                <w:lang w:val="es-ES" w:eastAsia="es-ES"/>
              </w:rPr>
            </w:pPr>
          </w:p>
        </w:tc>
      </w:tr>
      <w:tr w:rsidR="001B0E81" w:rsidRPr="00593A5F" w14:paraId="7714BC55" w14:textId="77777777" w:rsidTr="002607A7">
        <w:tc>
          <w:tcPr>
            <w:tcW w:w="2689" w:type="dxa"/>
          </w:tcPr>
          <w:p w14:paraId="6904FA14" w14:textId="77777777" w:rsidR="001B0E81" w:rsidRPr="001B0E81" w:rsidRDefault="001B0E81" w:rsidP="001B0E81">
            <w:pPr>
              <w:jc w:val="both"/>
              <w:rPr>
                <w:rFonts w:ascii="Verdana" w:eastAsia="Calibri" w:hAnsi="Verdana" w:cs="Arial"/>
                <w:b/>
                <w:color w:val="000000" w:themeColor="text1"/>
                <w:lang w:val="es-ES_tradnl" w:eastAsia="es-ES_tradnl"/>
              </w:rPr>
            </w:pPr>
            <w:r w:rsidRPr="001B0E81">
              <w:rPr>
                <w:rFonts w:ascii="Verdana" w:eastAsia="Calibri" w:hAnsi="Verdana" w:cs="Arial"/>
                <w:b/>
                <w:color w:val="000000" w:themeColor="text1"/>
                <w:lang w:val="es-ES_tradnl" w:eastAsia="es-ES_tradnl"/>
              </w:rPr>
              <w:t xml:space="preserve">Radicación:               </w:t>
            </w:r>
          </w:p>
        </w:tc>
        <w:tc>
          <w:tcPr>
            <w:tcW w:w="6100" w:type="dxa"/>
          </w:tcPr>
          <w:p w14:paraId="7EFAD044" w14:textId="7EEEE744" w:rsidR="001B0E81" w:rsidRPr="001B0E81" w:rsidRDefault="001B0E81" w:rsidP="001B0E81">
            <w:pPr>
              <w:jc w:val="both"/>
              <w:rPr>
                <w:rFonts w:ascii="Verdana" w:eastAsia="Calibri" w:hAnsi="Verdana" w:cs="Arial"/>
                <w:bCs/>
                <w:color w:val="000000" w:themeColor="text1"/>
                <w:lang w:val="es-ES_tradnl" w:eastAsia="es-ES_tradnl"/>
              </w:rPr>
            </w:pPr>
            <w:r w:rsidRPr="001B0E81">
              <w:rPr>
                <w:rFonts w:ascii="Verdana" w:eastAsia="Calibri" w:hAnsi="Verdana" w:cs="Arial"/>
                <w:bCs/>
                <w:color w:val="000000" w:themeColor="text1"/>
                <w:lang w:val="es-ES_tradnl" w:eastAsia="es-ES_tradnl"/>
              </w:rPr>
              <w:t xml:space="preserve">Respuesta a consulta con radicado No. </w:t>
            </w:r>
            <w:r w:rsidRPr="001B0E81">
              <w:rPr>
                <w:rFonts w:ascii="Verdana" w:hAnsi="Verdana" w:cs="Segoe UI"/>
                <w:bCs/>
                <w:color w:val="000000" w:themeColor="text1"/>
                <w:shd w:val="clear" w:color="auto" w:fill="FFFFFF"/>
              </w:rPr>
              <w:t>1_2026_03_03_002903</w:t>
            </w:r>
          </w:p>
        </w:tc>
      </w:tr>
    </w:tbl>
    <w:p w14:paraId="7189FDD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5DC0FC6"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65603B5" w14:textId="110EAA8C" w:rsidR="00871B59" w:rsidRPr="001B0E81" w:rsidRDefault="00871B59" w:rsidP="00871B59">
      <w:pPr>
        <w:spacing w:after="0" w:line="276" w:lineRule="auto"/>
        <w:jc w:val="both"/>
        <w:rPr>
          <w:rFonts w:ascii="Verdana" w:eastAsia="Calibri" w:hAnsi="Verdana" w:cs="Arial"/>
          <w:color w:val="000000" w:themeColor="text1"/>
          <w:lang w:val="es-ES" w:eastAsia="es-ES"/>
        </w:rPr>
      </w:pPr>
      <w:r w:rsidRPr="001B0E81">
        <w:rPr>
          <w:rFonts w:ascii="Verdana" w:eastAsia="Calibri" w:hAnsi="Verdana" w:cs="Arial"/>
          <w:color w:val="000000" w:themeColor="text1"/>
          <w:lang w:val="es-ES" w:eastAsia="es-ES"/>
        </w:rPr>
        <w:t>Estimado señor</w:t>
      </w:r>
      <w:r w:rsidR="001B0E81" w:rsidRPr="001B0E81">
        <w:rPr>
          <w:rFonts w:ascii="Verdana" w:eastAsia="Calibri" w:hAnsi="Verdana" w:cs="Arial"/>
          <w:color w:val="000000" w:themeColor="text1"/>
          <w:lang w:val="es-ES" w:eastAsia="es-ES"/>
        </w:rPr>
        <w:t xml:space="preserve"> Gon</w:t>
      </w:r>
      <w:r w:rsidR="001B0E81">
        <w:rPr>
          <w:rFonts w:ascii="Verdana" w:eastAsia="Calibri" w:hAnsi="Verdana" w:cs="Arial"/>
          <w:color w:val="000000" w:themeColor="text1"/>
          <w:lang w:val="es-ES" w:eastAsia="es-ES"/>
        </w:rPr>
        <w:t>zá</w:t>
      </w:r>
      <w:r w:rsidR="001B0E81" w:rsidRPr="001B0E81">
        <w:rPr>
          <w:rFonts w:ascii="Verdana" w:eastAsia="Calibri" w:hAnsi="Verdana" w:cs="Arial"/>
          <w:color w:val="000000" w:themeColor="text1"/>
          <w:lang w:val="es-ES" w:eastAsia="es-ES"/>
        </w:rPr>
        <w:t>les:</w:t>
      </w:r>
    </w:p>
    <w:p w14:paraId="5CD91C5B"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021B497" w14:textId="45750251"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1B0E81">
        <w:rPr>
          <w:rFonts w:ascii="Verdana" w:eastAsia="Calibri" w:hAnsi="Verdana" w:cs="Arial"/>
          <w:color w:val="000000" w:themeColor="text1"/>
          <w:lang w:val="es-ES" w:eastAsia="es-ES"/>
        </w:rPr>
        <w:t xml:space="preserve">consulta de fecha </w:t>
      </w:r>
      <w:r w:rsidR="001B0E81" w:rsidRPr="001B0E81">
        <w:rPr>
          <w:rFonts w:ascii="Verdana" w:eastAsia="Calibri" w:hAnsi="Verdana" w:cs="Arial"/>
          <w:color w:val="000000" w:themeColor="text1"/>
          <w:lang w:val="es-ES" w:eastAsia="es-ES"/>
        </w:rPr>
        <w:t>03</w:t>
      </w:r>
      <w:r w:rsidRPr="001B0E81">
        <w:rPr>
          <w:rFonts w:ascii="Verdana" w:eastAsia="Calibri" w:hAnsi="Verdana" w:cs="Arial"/>
          <w:color w:val="000000" w:themeColor="text1"/>
          <w:lang w:val="es-ES" w:eastAsia="es-ES"/>
        </w:rPr>
        <w:t xml:space="preserve"> de </w:t>
      </w:r>
      <w:r w:rsidR="001B0E81" w:rsidRPr="001B0E81">
        <w:rPr>
          <w:rFonts w:ascii="Verdana" w:eastAsia="Calibri" w:hAnsi="Verdana" w:cs="Arial"/>
          <w:color w:val="000000" w:themeColor="text1"/>
          <w:lang w:val="es-ES" w:eastAsia="es-ES"/>
        </w:rPr>
        <w:t>marzo</w:t>
      </w:r>
      <w:r w:rsidRPr="001B0E81">
        <w:rPr>
          <w:rFonts w:ascii="Verdana" w:eastAsia="Calibri" w:hAnsi="Verdana" w:cs="Arial"/>
          <w:color w:val="000000" w:themeColor="text1"/>
          <w:lang w:val="es-ES" w:eastAsia="es-ES"/>
        </w:rPr>
        <w:t xml:space="preserve"> de 20</w:t>
      </w:r>
      <w:r w:rsidR="001B0E81" w:rsidRPr="001B0E81">
        <w:rPr>
          <w:rFonts w:ascii="Verdana" w:eastAsia="Calibri" w:hAnsi="Verdana" w:cs="Arial"/>
          <w:color w:val="000000" w:themeColor="text1"/>
          <w:lang w:val="es-ES" w:eastAsia="es-ES"/>
        </w:rPr>
        <w:t>26</w:t>
      </w:r>
      <w:r w:rsidRPr="001B0E81">
        <w:rPr>
          <w:rFonts w:ascii="Verdana" w:eastAsia="Calibri" w:hAnsi="Verdana" w:cs="Arial"/>
          <w:color w:val="000000" w:themeColor="text1"/>
          <w:lang w:val="es-ES" w:eastAsia="es-ES"/>
        </w:rPr>
        <w:t>, en la cual manifiesta lo siguiente:</w:t>
      </w:r>
    </w:p>
    <w:p w14:paraId="7819BD0C" w14:textId="77777777" w:rsidR="00871B59" w:rsidRPr="008D76F0" w:rsidRDefault="00871B59" w:rsidP="008D76F0">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bookmarkStart w:id="1" w:name="OLE_LINK1"/>
    </w:p>
    <w:p w14:paraId="0E767E68" w14:textId="0EDB6FA4" w:rsidR="00871B59" w:rsidRPr="008D76F0" w:rsidRDefault="00871B59" w:rsidP="008D76F0">
      <w:pPr>
        <w:spacing w:after="0" w:line="240" w:lineRule="auto"/>
        <w:ind w:left="709" w:right="709"/>
        <w:jc w:val="both"/>
        <w:rPr>
          <w:rFonts w:ascii="Verdana" w:eastAsia="Century Gothic" w:hAnsi="Verdana" w:cs="Century Gothic"/>
          <w:color w:val="000000" w:themeColor="text1"/>
          <w:sz w:val="20"/>
          <w:szCs w:val="20"/>
          <w:lang w:val="es-ES"/>
        </w:rPr>
      </w:pPr>
      <w:bookmarkStart w:id="2" w:name="_Hlk95313578"/>
      <w:r w:rsidRPr="008D76F0">
        <w:rPr>
          <w:rFonts w:ascii="Verdana" w:eastAsia="Century Gothic" w:hAnsi="Verdana" w:cs="Century Gothic"/>
          <w:color w:val="000000" w:themeColor="text1"/>
          <w:sz w:val="20"/>
          <w:szCs w:val="20"/>
          <w:lang w:val="es-ES"/>
        </w:rPr>
        <w:t>“</w:t>
      </w:r>
      <w:r w:rsidR="008D76F0" w:rsidRPr="008D76F0">
        <w:rPr>
          <w:rFonts w:ascii="Verdana" w:eastAsia="Century Gothic" w:hAnsi="Verdana" w:cs="Century Gothic"/>
          <w:color w:val="000000" w:themeColor="text1"/>
          <w:sz w:val="20"/>
          <w:szCs w:val="20"/>
          <w:lang w:val="es-ES"/>
        </w:rPr>
        <w:t>En aplicación de la ley 996 de 2005, ley de Garantías y en concordancia con la circular 006 de 2025 de Colombia Compra Eficiente, las Sociedades de Economía Mixta en cuyo capital público es del 87% y el restante 12% privado, con autonomía administrativa, regida por el derecho privado y por estatutos de la sociedad, ¿la restricción de contratación directa aplica para sociedades de economía mixta teniendo en cuenta su naturaleza y conformación? según la circular 006 de 2025 y la ley 996 de 20</w:t>
      </w:r>
      <w:bookmarkEnd w:id="2"/>
      <w:r w:rsidR="008D76F0" w:rsidRPr="008D76F0">
        <w:rPr>
          <w:rStyle w:val="normaltextrun"/>
          <w:rFonts w:ascii="Verdana" w:hAnsi="Verdana" w:cs="Arial"/>
          <w:color w:val="000000" w:themeColor="text1"/>
          <w:sz w:val="20"/>
          <w:szCs w:val="20"/>
          <w:shd w:val="clear" w:color="auto" w:fill="FFFFFF"/>
          <w:lang w:val="es-ES"/>
        </w:rPr>
        <w:t>15”</w:t>
      </w:r>
    </w:p>
    <w:bookmarkEnd w:id="1"/>
    <w:p w14:paraId="72DC17CC"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0089D9E9"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379693B" w14:textId="3C0171A0"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p>
    <w:p w14:paraId="23C6CF02"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1D00451D"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2E6824A8"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42D3BEED" w14:textId="58FE3608" w:rsidR="00783BB1" w:rsidRDefault="00871B59" w:rsidP="00871B59">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 jurídico:</w:t>
      </w:r>
      <w:r w:rsidR="00D67EE2">
        <w:rPr>
          <w:rFonts w:ascii="Verdana" w:eastAsia="Century Gothic" w:hAnsi="Verdana" w:cs="Century Gothic"/>
        </w:rPr>
        <w:t xml:space="preserve"> </w:t>
      </w:r>
      <w:r w:rsidR="00783BB1" w:rsidRPr="005649AA">
        <w:rPr>
          <w:rFonts w:ascii="Verdana" w:eastAsia="Century Gothic" w:hAnsi="Verdana" w:cs="Century Gothic"/>
        </w:rPr>
        <w:t xml:space="preserve">¿Las restricciones contenidas en la Ley de Garantías Electorales en materia de </w:t>
      </w:r>
      <w:r w:rsidR="00783BB1">
        <w:rPr>
          <w:rFonts w:ascii="Verdana" w:eastAsia="Century Gothic" w:hAnsi="Verdana" w:cs="Century Gothic"/>
        </w:rPr>
        <w:t xml:space="preserve">contratación directa y celebración de convenios </w:t>
      </w:r>
      <w:r w:rsidR="00783BB1" w:rsidRPr="005649AA">
        <w:rPr>
          <w:rFonts w:ascii="Verdana" w:eastAsia="Century Gothic" w:hAnsi="Verdana" w:cs="Century Gothic"/>
        </w:rPr>
        <w:t xml:space="preserve">son aplicables a </w:t>
      </w:r>
      <w:r w:rsidR="00783BB1">
        <w:rPr>
          <w:rFonts w:ascii="Verdana" w:eastAsia="Century Gothic" w:hAnsi="Verdana" w:cs="Century Gothic"/>
        </w:rPr>
        <w:t>una sociedad de economía mixta</w:t>
      </w:r>
      <w:r w:rsidR="00783BB1" w:rsidRPr="005649AA">
        <w:rPr>
          <w:rFonts w:ascii="Verdana" w:eastAsia="Century Gothic" w:hAnsi="Verdana" w:cs="Century Gothic"/>
        </w:rPr>
        <w:t>?</w:t>
      </w:r>
      <w:r w:rsidR="00783BB1">
        <w:rPr>
          <w:rFonts w:ascii="Verdana" w:eastAsia="Calibri" w:hAnsi="Verdana" w:cs="Arial"/>
          <w:lang w:eastAsia="es-ES"/>
        </w:rPr>
        <w:t xml:space="preserve">  </w:t>
      </w:r>
      <w:r w:rsidR="00783BB1">
        <w:rPr>
          <w:rFonts w:ascii="Verdana" w:eastAsia="Century Gothic" w:hAnsi="Verdana" w:cs="Century Gothic"/>
        </w:rPr>
        <w:t xml:space="preserve">    </w:t>
      </w:r>
    </w:p>
    <w:p w14:paraId="7B860526" w14:textId="77777777" w:rsidR="00783BB1" w:rsidRPr="00783BB1" w:rsidRDefault="00783BB1" w:rsidP="00871B59">
      <w:pPr>
        <w:spacing w:after="0" w:line="276" w:lineRule="auto"/>
        <w:jc w:val="both"/>
        <w:rPr>
          <w:rFonts w:ascii="Verdana" w:eastAsia="Century Gothic" w:hAnsi="Verdana" w:cs="Century Gothic"/>
        </w:rPr>
      </w:pPr>
    </w:p>
    <w:p w14:paraId="72C1196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74F8E2A7"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4FB02D92" w14:textId="77777777" w:rsidTr="002607A7">
        <w:tc>
          <w:tcPr>
            <w:tcW w:w="8828" w:type="dxa"/>
          </w:tcPr>
          <w:p w14:paraId="36148BC3" w14:textId="77777777" w:rsidR="00783BB1" w:rsidRDefault="00783BB1" w:rsidP="00783BB1">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En relación con las prohibiciones consagradas en la Ley de Garantías Electorales en materia de contratación estatal debe señalarse que: </w:t>
            </w:r>
          </w:p>
          <w:p w14:paraId="4D4298DF" w14:textId="77777777" w:rsidR="00783BB1" w:rsidRDefault="00783BB1" w:rsidP="00783BB1">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         </w:t>
            </w:r>
            <w:r w:rsidRPr="00DE5508">
              <w:rPr>
                <w:rFonts w:ascii="Verdana" w:eastAsia="Times New Roman" w:hAnsi="Verdana" w:cs="Open Sans"/>
                <w:lang w:eastAsia="es-CO"/>
              </w:rPr>
              <w:t xml:space="preserve">El artículo 33 de la Ley 996 de 2205 prohíbe la contratación directa por parte de todos los Entes Estatales durante los cuatro </w:t>
            </w:r>
            <w:r>
              <w:rPr>
                <w:rFonts w:ascii="Verdana" w:eastAsia="Times New Roman" w:hAnsi="Verdana" w:cs="Open Sans"/>
                <w:lang w:eastAsia="es-CO"/>
              </w:rPr>
              <w:t>(4)</w:t>
            </w:r>
            <w:r w:rsidRPr="00DE5508">
              <w:rPr>
                <w:rFonts w:ascii="Verdana" w:eastAsia="Times New Roman" w:hAnsi="Verdana" w:cs="Open Sans"/>
                <w:lang w:eastAsia="es-CO"/>
              </w:rPr>
              <w:t xml:space="preserve"> meses anteriores a las elecciones presidenciales y dispone las excepciones a dicha prohibición. Así, su ámbito de prohibición está delimitado por la expresión “queda prohibida </w:t>
            </w:r>
            <w:r w:rsidRPr="00DE5508">
              <w:rPr>
                <w:rFonts w:ascii="Verdana" w:eastAsia="Times New Roman" w:hAnsi="Verdana" w:cs="Open Sans"/>
                <w:lang w:eastAsia="es-CO"/>
              </w:rPr>
              <w:lastRenderedPageBreak/>
              <w:t xml:space="preserve">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0EEF8579" w14:textId="77777777" w:rsidR="00783BB1" w:rsidRDefault="00783BB1" w:rsidP="00783BB1">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15E019FF" w14:textId="77777777" w:rsidR="00783BB1" w:rsidRPr="00C40D52" w:rsidRDefault="00783BB1" w:rsidP="00783BB1">
            <w:pPr>
              <w:spacing w:after="120" w:line="276" w:lineRule="auto"/>
              <w:ind w:firstLine="709"/>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51521777" w14:textId="77777777" w:rsidR="00783BB1" w:rsidRPr="00DE5508" w:rsidRDefault="00783BB1" w:rsidP="00783BB1">
            <w:pPr>
              <w:pStyle w:val="Prrafodelista"/>
              <w:spacing w:after="120" w:line="276" w:lineRule="auto"/>
              <w:ind w:left="0" w:firstLine="709"/>
              <w:contextualSpacing w:val="0"/>
              <w:jc w:val="both"/>
              <w:rPr>
                <w:rFonts w:ascii="Verdana" w:eastAsia="Times New Roman" w:hAnsi="Verdana" w:cs="Arial"/>
                <w:lang w:val="es-MX" w:eastAsia="es-CO"/>
              </w:rPr>
            </w:pPr>
            <w:r>
              <w:rPr>
                <w:rFonts w:ascii="Verdana" w:hAnsi="Verdana" w:cs="BCDHEE+Verdana"/>
                <w:color w:val="000000"/>
              </w:rPr>
              <w:t>En ese sentido, debe señalarse que, p</w:t>
            </w:r>
            <w:r w:rsidRPr="00DE5508">
              <w:rPr>
                <w:rFonts w:ascii="Verdana" w:hAnsi="Verdana" w:cs="BCDHEE+Verdana"/>
                <w:color w:val="000000"/>
              </w:rPr>
              <w:t xml:space="preserve">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rPr>
              <w:t>.</w:t>
            </w:r>
          </w:p>
          <w:p w14:paraId="555B032D" w14:textId="77777777" w:rsidR="00783BB1" w:rsidRDefault="00783BB1" w:rsidP="00783BB1">
            <w:pPr>
              <w:spacing w:after="120" w:line="276" w:lineRule="auto"/>
              <w:ind w:firstLine="709"/>
              <w:jc w:val="both"/>
              <w:rPr>
                <w:rFonts w:ascii="Verdana" w:eastAsia="Arial" w:hAnsi="Verdana" w:cs="Arial"/>
                <w:color w:val="000000"/>
              </w:rPr>
            </w:pPr>
            <w:r>
              <w:rPr>
                <w:rFonts w:ascii="Verdana" w:hAnsi="Verdana" w:cs="BCDHEE+Verdana"/>
                <w:color w:val="000000"/>
              </w:rPr>
              <w:lastRenderedPageBreak/>
              <w:t xml:space="preserve">Por otro lado, el parágrafo del artículo 38 de la Ley 996 de 2005 </w:t>
            </w:r>
            <w:r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xml:space="preserve">“[…] celebrar </w:t>
            </w:r>
            <w:r w:rsidRPr="00122AC1">
              <w:rPr>
                <w:rFonts w:ascii="Verdana" w:eastAsia="Arial" w:hAnsi="Verdana" w:cs="Arial"/>
                <w:i/>
                <w:color w:val="000000"/>
              </w:rPr>
              <w:t xml:space="preserve">convenios interadministrativos </w:t>
            </w:r>
            <w:r w:rsidRPr="007A3B8C">
              <w:rPr>
                <w:rFonts w:ascii="Verdana" w:eastAsia="Arial" w:hAnsi="Verdana" w:cs="Arial"/>
                <w:color w:val="000000"/>
              </w:rPr>
              <w:t>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p>
          <w:p w14:paraId="1F95B21C" w14:textId="77777777" w:rsidR="00783BB1" w:rsidRPr="00F2587B" w:rsidRDefault="00783BB1" w:rsidP="00783BB1">
            <w:pPr>
              <w:spacing w:after="120" w:line="276" w:lineRule="auto"/>
              <w:ind w:firstLine="709"/>
              <w:jc w:val="both"/>
              <w:rPr>
                <w:rFonts w:ascii="Verdana" w:eastAsia="Arial" w:hAnsi="Verdana" w:cs="Arial"/>
                <w:color w:val="000000"/>
              </w:rPr>
            </w:pPr>
            <w:r>
              <w:rPr>
                <w:rFonts w:ascii="Verdana" w:hAnsi="Verdana" w:cs="BCDHEE+Verdana"/>
                <w:color w:val="000000"/>
              </w:rPr>
              <w:t>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Pr="00DE5508">
              <w:rPr>
                <w:rFonts w:ascii="Verdana" w:hAnsi="Verdana" w:cs="BCDHEE+Verdana"/>
                <w:color w:val="000000"/>
              </w:rPr>
              <w:t>inici</w:t>
            </w:r>
            <w:r>
              <w:rPr>
                <w:rFonts w:ascii="Verdana" w:hAnsi="Verdana" w:cs="BCDHEE+Verdana"/>
                <w:color w:val="000000"/>
              </w:rPr>
              <w:t>ó</w:t>
            </w:r>
            <w:r w:rsidRPr="00DE5508">
              <w:rPr>
                <w:rFonts w:ascii="Verdana" w:hAnsi="Verdana" w:cs="BCDHEE+Verdana"/>
                <w:color w:val="000000"/>
              </w:rPr>
              <w:t xml:space="preserve"> el 8 de noviembre de 2025, es decir,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antes de la fecha de las elecciones</w:t>
            </w:r>
            <w:r>
              <w:rPr>
                <w:rFonts w:ascii="Verdana" w:hAnsi="Verdana" w:cs="BCDHEE+Verdana"/>
                <w:color w:val="000000"/>
              </w:rPr>
              <w:t>.</w:t>
            </w:r>
          </w:p>
          <w:p w14:paraId="4CDEB111" w14:textId="77777777" w:rsidR="00783BB1" w:rsidRPr="00775AB1" w:rsidRDefault="00783BB1" w:rsidP="00783BB1">
            <w:pPr>
              <w:spacing w:after="120" w:line="276" w:lineRule="auto"/>
              <w:ind w:firstLine="709"/>
              <w:jc w:val="both"/>
              <w:rPr>
                <w:rFonts w:ascii="Verdana" w:eastAsia="Times New Roman" w:hAnsi="Verdana" w:cs="Arial"/>
                <w:lang w:val="es-MX" w:eastAsia="es-CO"/>
              </w:rPr>
            </w:pPr>
            <w:r>
              <w:rPr>
                <w:rFonts w:ascii="Verdana" w:hAnsi="Verdana" w:cs="BCDHEE+Verdana"/>
                <w:color w:val="000000"/>
              </w:rPr>
              <w:t xml:space="preserve"> Por lo que, </w:t>
            </w:r>
            <w:r w:rsidRPr="00E2397D">
              <w:rPr>
                <w:rFonts w:ascii="Verdana" w:eastAsia="Times New Roman" w:hAnsi="Verdana" w:cs="Arial"/>
                <w:lang w:val="es-MX" w:eastAsia="es-CO"/>
              </w:rPr>
              <w:t xml:space="preserve">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w:t>
            </w:r>
            <w:r w:rsidRPr="00E2397D">
              <w:rPr>
                <w:rFonts w:ascii="Verdana" w:eastAsia="Times New Roman" w:hAnsi="Verdana" w:cs="Arial"/>
                <w:i/>
                <w:iCs/>
                <w:lang w:val="es-MX" w:eastAsia="es-CO"/>
              </w:rPr>
              <w:t>convenios</w:t>
            </w:r>
            <w:r>
              <w:rPr>
                <w:rFonts w:ascii="Verdana" w:eastAsia="Times New Roman" w:hAnsi="Verdana" w:cs="Arial"/>
                <w:i/>
                <w:iCs/>
                <w:lang w:val="es-MX" w:eastAsia="es-CO"/>
              </w:rPr>
              <w:t xml:space="preserve"> interadministrativos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63BAB4D" w14:textId="77777777" w:rsidR="00783BB1" w:rsidRDefault="00783BB1" w:rsidP="00783BB1">
            <w:pPr>
              <w:spacing w:before="120" w:line="276" w:lineRule="auto"/>
              <w:jc w:val="both"/>
              <w:rPr>
                <w:rFonts w:ascii="Verdana" w:eastAsia="Calibri" w:hAnsi="Verdana" w:cs="Arial"/>
              </w:rPr>
            </w:pPr>
            <w:r>
              <w:rPr>
                <w:rFonts w:ascii="Verdana" w:hAnsi="Verdana"/>
              </w:rPr>
              <w:t xml:space="preserve">          </w:t>
            </w: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547323">
              <w:rPr>
                <w:rFonts w:ascii="Verdana" w:eastAsia="Calibri" w:hAnsi="Verdana" w:cs="Arial"/>
              </w:rPr>
              <w:t xml:space="preserve"> </w:t>
            </w:r>
          </w:p>
          <w:p w14:paraId="0A275F73" w14:textId="77777777" w:rsidR="00783BB1" w:rsidRPr="00B87FBD" w:rsidRDefault="00783BB1" w:rsidP="00783BB1">
            <w:pPr>
              <w:spacing w:line="276" w:lineRule="auto"/>
              <w:jc w:val="both"/>
              <w:rPr>
                <w:rFonts w:ascii="Verdana" w:hAnsi="Verdana" w:cs="Arial"/>
              </w:rPr>
            </w:pPr>
          </w:p>
          <w:p w14:paraId="23857447" w14:textId="77777777" w:rsidR="00783BB1" w:rsidRPr="00C71956" w:rsidRDefault="00783BB1" w:rsidP="00783BB1">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w:t>
            </w:r>
            <w:r w:rsidRPr="00DB4737">
              <w:rPr>
                <w:rFonts w:ascii="Verdana" w:eastAsia="Calibri" w:hAnsi="Verdana" w:cs="Times New Roman"/>
              </w:rPr>
              <w:lastRenderedPageBreak/>
              <w:t>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1CA95CB" w14:textId="77777777" w:rsidR="00783BB1" w:rsidRDefault="00783BB1" w:rsidP="00783BB1">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B1C1722" w14:textId="0FF7F23B" w:rsidR="00871B59" w:rsidRPr="00593A5F" w:rsidRDefault="00871B59" w:rsidP="002607A7">
            <w:pPr>
              <w:spacing w:line="276" w:lineRule="auto"/>
              <w:jc w:val="both"/>
              <w:rPr>
                <w:rFonts w:ascii="Verdana" w:eastAsia="Calibri" w:hAnsi="Verdana" w:cs="Arial"/>
                <w:color w:val="7030A0"/>
                <w:lang w:val="es-ES"/>
              </w:rPr>
            </w:pPr>
            <w:r w:rsidRPr="00593A5F">
              <w:rPr>
                <w:rFonts w:ascii="Verdana" w:eastAsia="Calibri" w:hAnsi="Verdana" w:cs="Arial"/>
                <w:color w:val="7030A0"/>
                <w:lang w:val="es-ES"/>
              </w:rPr>
              <w:t xml:space="preserve"> </w:t>
            </w:r>
          </w:p>
        </w:tc>
      </w:tr>
    </w:tbl>
    <w:p w14:paraId="34D1190D"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54BAC77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1C83CFFE" w14:textId="77777777" w:rsidR="00871B59" w:rsidRPr="00593A5F" w:rsidRDefault="00871B59" w:rsidP="00871B59">
      <w:pPr>
        <w:spacing w:after="0" w:line="276" w:lineRule="auto"/>
        <w:jc w:val="both"/>
        <w:rPr>
          <w:rFonts w:ascii="Verdana" w:eastAsia="Calibri" w:hAnsi="Verdana" w:cs="Arial"/>
          <w:color w:val="7030A0"/>
          <w:lang w:val="es-ES"/>
        </w:rPr>
      </w:pPr>
    </w:p>
    <w:p w14:paraId="07CF04FD"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0AC81C7" w14:textId="77777777" w:rsidR="00871B59" w:rsidRDefault="00871B59" w:rsidP="00871B59">
      <w:pPr>
        <w:widowControl w:val="0"/>
        <w:autoSpaceDE w:val="0"/>
        <w:autoSpaceDN w:val="0"/>
        <w:spacing w:after="0" w:line="276" w:lineRule="auto"/>
        <w:jc w:val="both"/>
        <w:rPr>
          <w:rFonts w:ascii="Verdana" w:eastAsia="Calibri" w:hAnsi="Verdana" w:cs="Arial"/>
          <w:color w:val="7030A0"/>
          <w:lang w:val="es-ES"/>
        </w:rPr>
      </w:pPr>
    </w:p>
    <w:p w14:paraId="0188D3B9" w14:textId="77777777" w:rsidR="00D93D99" w:rsidRPr="00C40D52" w:rsidRDefault="00D93D99" w:rsidP="00D93D99">
      <w:pPr>
        <w:autoSpaceDE w:val="0"/>
        <w:autoSpaceDN w:val="0"/>
        <w:adjustRightInd w:val="0"/>
        <w:spacing w:after="120" w:line="276" w:lineRule="auto"/>
        <w:jc w:val="both"/>
        <w:rPr>
          <w:rFonts w:ascii="Verdana" w:hAnsi="Verdana" w:cs="Arial"/>
          <w:lang w:val="es-ES_tradnl"/>
        </w:rPr>
      </w:pPr>
      <w:r w:rsidRPr="00C40D52">
        <w:rPr>
          <w:rFonts w:ascii="Verdana" w:hAnsi="Verdana" w:cs="Arial"/>
          <w:color w:val="000000" w:themeColor="text1"/>
          <w:lang w:val="es-ES_tradnl"/>
        </w:rPr>
        <w:t>En nuestro ordenamiento jurídico, el</w:t>
      </w:r>
      <w:r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792F0AEA" w14:textId="77777777" w:rsidR="00D93D99" w:rsidRPr="00C40D52" w:rsidRDefault="00D93D99" w:rsidP="00D93D99">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En este sentido, la misma Ley, en los artículos 38 y 68, clasifica a las sociedades de economía mixta como entidades descentralizadas por servicios, con personería jurídica, autonomía administrativa y patrimonio propio</w:t>
      </w:r>
      <w:r w:rsidRPr="00C40D52">
        <w:rPr>
          <w:rStyle w:val="Refdenotaalpie"/>
          <w:rFonts w:ascii="Verdana" w:eastAsia="Times New Roman" w:hAnsi="Verdana" w:cs="Arial"/>
          <w:lang w:val="es-ES_tradnl" w:eastAsia="es-MX"/>
        </w:rPr>
        <w:footnoteReference w:id="2"/>
      </w:r>
      <w:r w:rsidRPr="00C40D52">
        <w:rPr>
          <w:rFonts w:ascii="Verdana" w:eastAsia="Times New Roman" w:hAnsi="Verdana" w:cs="Arial"/>
          <w:lang w:val="es-ES" w:eastAsia="es-MX"/>
        </w:rPr>
        <w:t xml:space="preserve">, que </w:t>
      </w:r>
      <w:r w:rsidRPr="00C40D52">
        <w:rPr>
          <w:rFonts w:ascii="Verdana" w:eastAsia="Times New Roman" w:hAnsi="Verdana" w:cs="Arial"/>
          <w:lang w:val="es-ES" w:eastAsia="es-MX"/>
        </w:rPr>
        <w:lastRenderedPageBreak/>
        <w:t>pueden ser del orden nacional, departamental o municipal, según su órgano de creación</w:t>
      </w:r>
      <w:r w:rsidRPr="00C40D52">
        <w:rPr>
          <w:rStyle w:val="Refdenotaalpie"/>
          <w:rFonts w:ascii="Verdana" w:eastAsia="Times New Roman" w:hAnsi="Verdana" w:cs="Arial"/>
          <w:lang w:val="es-ES_tradnl" w:eastAsia="es-MX"/>
        </w:rPr>
        <w:footnoteReference w:id="3"/>
      </w:r>
      <w:r w:rsidRPr="00C40D52">
        <w:rPr>
          <w:rFonts w:ascii="Verdana" w:eastAsia="Times New Roman" w:hAnsi="Verdana" w:cs="Arial"/>
          <w:lang w:val="es-ES" w:eastAsia="es-MX"/>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w:t>
      </w:r>
      <w:proofErr w:type="spellStart"/>
      <w:r w:rsidRPr="00C40D52">
        <w:rPr>
          <w:rFonts w:ascii="Verdana" w:eastAsia="Times New Roman" w:hAnsi="Verdana" w:cs="Arial"/>
          <w:lang w:val="es-ES" w:eastAsia="es-MX"/>
        </w:rPr>
        <w:t>ii</w:t>
      </w:r>
      <w:proofErr w:type="spellEnd"/>
      <w:r w:rsidRPr="00C40D52">
        <w:rPr>
          <w:rFonts w:ascii="Verdana" w:eastAsia="Times New Roman" w:hAnsi="Verdana" w:cs="Arial"/>
          <w:lang w:val="es-ES" w:eastAsia="es-MX"/>
        </w:rPr>
        <w:t xml:space="preserve">) están sujetas al control fiscal, financiero, de gestión y de resultados en cabeza de la Contraloría General de la República. Por otra parte, </w:t>
      </w:r>
      <w:proofErr w:type="spellStart"/>
      <w:r w:rsidRPr="00C40D52">
        <w:rPr>
          <w:rFonts w:ascii="Verdana" w:eastAsia="Times New Roman" w:hAnsi="Verdana" w:cs="Arial"/>
          <w:lang w:val="es-ES" w:eastAsia="es-MX"/>
        </w:rPr>
        <w:t>iii</w:t>
      </w:r>
      <w:proofErr w:type="spellEnd"/>
      <w:r w:rsidRPr="00C40D52">
        <w:rPr>
          <w:rFonts w:ascii="Verdana" w:eastAsia="Times New Roman" w:hAnsi="Verdana" w:cs="Arial"/>
          <w:lang w:val="es-ES" w:eastAsia="es-MX"/>
        </w:rPr>
        <w:t xml:space="preserve">) se someten al control político, que ejerce directamente el Congreso de la República. Además, </w:t>
      </w:r>
      <w:proofErr w:type="spellStart"/>
      <w:r w:rsidRPr="00C40D52">
        <w:rPr>
          <w:rFonts w:ascii="Verdana" w:eastAsia="Times New Roman" w:hAnsi="Verdana" w:cs="Arial"/>
          <w:lang w:val="es-ES" w:eastAsia="es-MX"/>
        </w:rPr>
        <w:t>iv</w:t>
      </w:r>
      <w:proofErr w:type="spellEnd"/>
      <w:r w:rsidRPr="00C40D52">
        <w:rPr>
          <w:rFonts w:ascii="Verdana" w:eastAsia="Times New Roman" w:hAnsi="Verdana" w:cs="Arial"/>
          <w:lang w:val="es-ES" w:eastAsia="es-MX"/>
        </w:rPr>
        <w:t xml:space="preserve">)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C40D52">
        <w:rPr>
          <w:rFonts w:ascii="Verdana" w:eastAsia="Times New Roman" w:hAnsi="Verdana" w:cs="Arial"/>
          <w:lang w:val="es-ES" w:eastAsia="es-MX"/>
        </w:rPr>
        <w:t>vii</w:t>
      </w:r>
      <w:proofErr w:type="spellEnd"/>
      <w:r w:rsidRPr="00C40D52">
        <w:rPr>
          <w:rFonts w:ascii="Verdana" w:eastAsia="Times New Roman" w:hAnsi="Verdana" w:cs="Arial"/>
          <w:lang w:val="es-ES" w:eastAsia="es-MX"/>
        </w:rPr>
        <w:t xml:space="preserve">) en materia presupuestal, las sociedades de economía mixta quedan sujetas a las reglas de la ley orgánica del presupuesto. De otro lado, </w:t>
      </w:r>
      <w:proofErr w:type="spellStart"/>
      <w:r w:rsidRPr="00C40D52">
        <w:rPr>
          <w:rFonts w:ascii="Verdana" w:eastAsia="Times New Roman" w:hAnsi="Verdana" w:cs="Arial"/>
          <w:lang w:val="es-ES" w:eastAsia="es-MX"/>
        </w:rPr>
        <w:t>viii</w:t>
      </w:r>
      <w:proofErr w:type="spellEnd"/>
      <w:r w:rsidRPr="00C40D52">
        <w:rPr>
          <w:rFonts w:ascii="Verdana" w:eastAsia="Times New Roman" w:hAnsi="Verdana" w:cs="Arial"/>
          <w:lang w:val="es-ES" w:eastAsia="es-MX"/>
        </w:rPr>
        <w:t xml:space="preserve">) en materia contable, quedan vinculadas a las reglas de contabilidad oficial. Además, </w:t>
      </w:r>
      <w:proofErr w:type="spellStart"/>
      <w:r w:rsidRPr="00C40D52">
        <w:rPr>
          <w:rFonts w:ascii="Verdana" w:eastAsia="Times New Roman" w:hAnsi="Verdana" w:cs="Arial"/>
          <w:lang w:val="es-ES" w:eastAsia="es-MX"/>
        </w:rPr>
        <w:t>ix</w:t>
      </w:r>
      <w:proofErr w:type="spellEnd"/>
      <w:r w:rsidRPr="00C40D52">
        <w:rPr>
          <w:rFonts w:ascii="Verdana" w:eastAsia="Times New Roman" w:hAnsi="Verdana" w:cs="Arial"/>
          <w:lang w:val="es-ES" w:eastAsia="es-MX"/>
        </w:rPr>
        <w:t>) se rigen por el derecho privado, en virtud de la naturaleza de las actividades que desarrollan.  </w:t>
      </w:r>
    </w:p>
    <w:p w14:paraId="1CC2A161" w14:textId="77777777" w:rsidR="00D93D99" w:rsidRPr="00C40D52" w:rsidRDefault="00D93D99" w:rsidP="00D93D99">
      <w:pPr>
        <w:spacing w:after="120" w:line="276" w:lineRule="auto"/>
        <w:ind w:firstLine="709"/>
        <w:jc w:val="both"/>
        <w:textAlignment w:val="baseline"/>
        <w:rPr>
          <w:rFonts w:ascii="Verdana" w:eastAsia="Times New Roman" w:hAnsi="Verdana" w:cs="Arial"/>
          <w:lang w:val="es-ES_tradnl" w:eastAsia="es-MX"/>
        </w:rPr>
      </w:pPr>
      <w:r w:rsidRPr="00C40D52">
        <w:rPr>
          <w:rFonts w:ascii="Verdana" w:eastAsia="Times New Roman" w:hAnsi="Verdana" w:cs="Arial"/>
          <w:lang w:val="es-ES_tradnl" w:eastAsia="es-MX"/>
        </w:rPr>
        <w:t xml:space="preserve">Sin embargo, este Alto Tribunal, en sentencia C-529 del 12 de julio de 2006, hizo énfasis en que, a pesar del sometimiento al régimen jurídico de derecho privado para el desarrollo de sus actividades, las sociedades de economía mixta no pierden su carácter de expresión organizacional de la </w:t>
      </w:r>
      <w:r w:rsidRPr="00C40D52">
        <w:rPr>
          <w:rFonts w:ascii="Verdana" w:eastAsia="Times New Roman" w:hAnsi="Verdana" w:cs="Arial"/>
          <w:lang w:val="es-ES_tradnl" w:eastAsia="es-MX"/>
        </w:rPr>
        <w:lastRenderedPageBreak/>
        <w:t>actividad estatal</w:t>
      </w:r>
      <w:r w:rsidRPr="00C40D52">
        <w:rPr>
          <w:rStyle w:val="Refdenotaalpie"/>
          <w:rFonts w:ascii="Verdana" w:eastAsia="Times New Roman" w:hAnsi="Verdana" w:cs="Arial"/>
          <w:lang w:val="es-ES_tradnl" w:eastAsia="es-MX"/>
        </w:rPr>
        <w:footnoteReference w:id="4"/>
      </w:r>
      <w:r w:rsidRPr="00C40D52">
        <w:rPr>
          <w:rFonts w:ascii="Verdana" w:eastAsia="Times New Roman" w:hAnsi="Verdana" w:cs="Arial"/>
          <w:lang w:val="es-ES_tradnl" w:eastAsia="es-MX"/>
        </w:rPr>
        <w:t>, más precisamente de la función administrativa</w:t>
      </w:r>
      <w:r w:rsidRPr="00C40D52">
        <w:rPr>
          <w:rStyle w:val="Refdenotaalpie"/>
          <w:rFonts w:ascii="Verdana" w:eastAsia="Times New Roman" w:hAnsi="Verdana" w:cs="Arial"/>
          <w:lang w:val="es-ES_tradnl" w:eastAsia="es-MX"/>
        </w:rPr>
        <w:footnoteReference w:id="5"/>
      </w:r>
      <w:r w:rsidRPr="00C40D52">
        <w:rPr>
          <w:rFonts w:ascii="Verdana" w:eastAsia="Times New Roman" w:hAnsi="Verdana" w:cs="Arial"/>
          <w:lang w:val="es-ES_tradnl" w:eastAsia="es-MX"/>
        </w:rPr>
        <w:t>, en virtud del aporte público en la constitución del capital social y la consiguiente pertenencia a la administración pública, en la condición de entidades descentralizadas.</w:t>
      </w:r>
    </w:p>
    <w:p w14:paraId="71B5DA88" w14:textId="77777777" w:rsidR="00D93D99" w:rsidRPr="00C40D52" w:rsidRDefault="00D93D99" w:rsidP="00D93D99">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Así las cosas, resulta importante resaltar que, en nuestro ordenamiento jurídico, las sociedades de economía mixta están sometidas a un régimen jurídico compuesto por un conjunto normativo de derecho público y de derecho privado</w:t>
      </w:r>
      <w:r>
        <w:rPr>
          <w:rFonts w:ascii="Verdana" w:eastAsia="Times New Roman" w:hAnsi="Verdana" w:cs="Arial"/>
          <w:lang w:val="es-ES" w:eastAsia="es-MX"/>
        </w:rPr>
        <w:t>. E</w:t>
      </w:r>
      <w:r w:rsidRPr="00C40D52">
        <w:rPr>
          <w:rFonts w:ascii="Verdana" w:eastAsia="Times New Roman" w:hAnsi="Verdana" w:cs="Arial"/>
          <w:lang w:val="es-ES" w:eastAsia="es-MX"/>
        </w:rPr>
        <w:t xml:space="preserve">l primero, derivado directamente de la Constitución Política y referido a aspectos como su creación, autorización, organización y funcionamiento internos. Y el segundo destinado a regir el desarrollo de la actividad económica de cada sociedad. Ahora bien, también resulta importante señalar que el artículo 14 de la Ley 1150 de 2007 –modificado por el artículo 93 de la Ley 1474 de 2011– establece el régimen contractual de las sociedades de economía mixta, en las que el Estado tenga participación superior al cincuenta por ciento, señalando que: </w:t>
      </w:r>
    </w:p>
    <w:p w14:paraId="688D7A81" w14:textId="77777777" w:rsidR="00D93D99" w:rsidRPr="00C40D52" w:rsidRDefault="00D93D99" w:rsidP="00D93D99">
      <w:pPr>
        <w:spacing w:after="0" w:line="276" w:lineRule="auto"/>
        <w:ind w:firstLine="709"/>
        <w:jc w:val="both"/>
        <w:textAlignment w:val="baseline"/>
        <w:rPr>
          <w:rFonts w:ascii="Verdana" w:eastAsia="Times New Roman" w:hAnsi="Verdana" w:cs="Arial"/>
          <w:lang w:val="es-ES_tradnl" w:eastAsia="es-MX"/>
        </w:rPr>
      </w:pPr>
    </w:p>
    <w:p w14:paraId="16A1A4AC" w14:textId="77777777" w:rsidR="00D93D99" w:rsidRPr="00C40D52" w:rsidRDefault="00D93D99" w:rsidP="00D93D99">
      <w:pPr>
        <w:spacing w:after="0" w:line="240" w:lineRule="auto"/>
        <w:ind w:left="709" w:right="709"/>
        <w:jc w:val="both"/>
        <w:textAlignment w:val="baseline"/>
        <w:rPr>
          <w:rFonts w:ascii="Verdana" w:eastAsia="Times New Roman" w:hAnsi="Verdana" w:cs="Arial"/>
          <w:sz w:val="20"/>
          <w:szCs w:val="20"/>
          <w:lang w:val="es-ES_tradnl" w:eastAsia="es-MX"/>
        </w:rPr>
      </w:pPr>
      <w:r w:rsidRPr="00C40D52">
        <w:rPr>
          <w:rFonts w:ascii="Verdana" w:eastAsia="Times New Roman" w:hAnsi="Verdana" w:cs="Arial"/>
          <w:sz w:val="20"/>
          <w:szCs w:val="20"/>
          <w:lang w:val="es-ES_tradnl" w:eastAsia="es-MX"/>
        </w:rPr>
        <w:t xml:space="preserve">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w:t>
      </w:r>
      <w:r w:rsidRPr="00C40D52">
        <w:rPr>
          <w:rFonts w:ascii="Verdana" w:eastAsia="Times New Roman" w:hAnsi="Verdana" w:cs="Arial"/>
          <w:sz w:val="20"/>
          <w:szCs w:val="20"/>
          <w:lang w:val="es-ES_tradnl" w:eastAsia="es-MX"/>
        </w:rPr>
        <w:lastRenderedPageBreak/>
        <w:t>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52370CFC" w14:textId="77777777" w:rsidR="00D93D99" w:rsidRPr="00122AC1" w:rsidRDefault="00D93D99" w:rsidP="00D93D99">
      <w:pPr>
        <w:spacing w:after="0" w:line="240" w:lineRule="auto"/>
        <w:ind w:left="709" w:right="709" w:firstLine="709"/>
        <w:jc w:val="both"/>
        <w:textAlignment w:val="baseline"/>
        <w:rPr>
          <w:rFonts w:ascii="Verdana" w:eastAsia="Times New Roman" w:hAnsi="Verdana" w:cs="Arial"/>
          <w:lang w:val="es-ES_tradnl" w:eastAsia="es-MX"/>
        </w:rPr>
      </w:pPr>
    </w:p>
    <w:p w14:paraId="24FA09B9" w14:textId="77777777" w:rsidR="00D93D99" w:rsidRDefault="00D93D99" w:rsidP="00D93D99">
      <w:pPr>
        <w:spacing w:after="120" w:line="276" w:lineRule="auto"/>
        <w:ind w:firstLine="708"/>
        <w:jc w:val="both"/>
        <w:textAlignment w:val="baseline"/>
        <w:rPr>
          <w:rFonts w:ascii="Verdana" w:eastAsia="Times New Roman" w:hAnsi="Verdana" w:cs="Arial"/>
          <w:lang w:val="es-MX" w:eastAsia="es-CO"/>
        </w:rPr>
      </w:pPr>
      <w:r w:rsidRPr="00C40D52">
        <w:rPr>
          <w:rFonts w:ascii="Verdana" w:eastAsia="Times New Roman" w:hAnsi="Verdana" w:cs="Arial"/>
          <w:lang w:val="es-ES" w:eastAsia="es-MX"/>
        </w:rPr>
        <w:t>Teniendo en cuenta el contexto anterior,</w:t>
      </w:r>
      <w:r>
        <w:rPr>
          <w:rFonts w:ascii="Verdana" w:eastAsia="Times New Roman" w:hAnsi="Verdana" w:cs="Arial"/>
          <w:lang w:val="es-ES" w:eastAsia="es-MX"/>
        </w:rPr>
        <w:t xml:space="preserve"> </w:t>
      </w:r>
      <w:r w:rsidRPr="00C40D52">
        <w:rPr>
          <w:rFonts w:ascii="Verdana" w:eastAsia="Times New Roman" w:hAnsi="Verdana" w:cs="Arial"/>
          <w:lang w:val="es-ES" w:eastAsia="es-MX"/>
        </w:rPr>
        <w:t xml:space="preserve">atendiendo a que </w:t>
      </w:r>
      <w:r>
        <w:rPr>
          <w:rFonts w:ascii="Verdana" w:eastAsia="Times New Roman" w:hAnsi="Verdana" w:cs="Arial"/>
          <w:lang w:val="es-ES" w:eastAsia="es-MX"/>
        </w:rPr>
        <w:t>la consulta</w:t>
      </w:r>
      <w:r w:rsidRPr="00C40D52">
        <w:rPr>
          <w:rFonts w:ascii="Verdana" w:eastAsia="Times New Roman" w:hAnsi="Verdana" w:cs="Arial"/>
          <w:lang w:val="es-ES" w:eastAsia="es-MX"/>
        </w:rPr>
        <w:t xml:space="preserve"> está relacionada con el alcance de las prohibiciones en materia contractual establecidas en la </w:t>
      </w:r>
      <w:r>
        <w:rPr>
          <w:rFonts w:ascii="Verdana" w:eastAsia="Times New Roman" w:hAnsi="Verdana" w:cs="Arial"/>
          <w:lang w:val="es-ES" w:eastAsia="es-MX"/>
        </w:rPr>
        <w:t>L</w:t>
      </w:r>
      <w:r w:rsidRPr="00C40D52">
        <w:rPr>
          <w:rFonts w:ascii="Verdana" w:eastAsia="Times New Roman" w:hAnsi="Verdana" w:cs="Arial"/>
          <w:lang w:val="es-ES" w:eastAsia="es-MX"/>
        </w:rPr>
        <w:t xml:space="preserve">ey 996 de 2005 –Ley de Garantías Electorales–, a </w:t>
      </w:r>
      <w:r w:rsidRPr="23D8F5BD">
        <w:rPr>
          <w:rFonts w:ascii="Verdana" w:eastAsia="Times New Roman" w:hAnsi="Verdana" w:cs="Arial"/>
          <w:lang w:val="es-ES" w:eastAsia="es-MX"/>
        </w:rPr>
        <w:t>continuación,</w:t>
      </w:r>
      <w:r w:rsidRPr="00C40D52">
        <w:rPr>
          <w:rFonts w:ascii="Verdana" w:eastAsia="Times New Roman" w:hAnsi="Verdana" w:cs="Arial"/>
          <w:lang w:val="es-ES" w:eastAsia="es-MX"/>
        </w:rPr>
        <w:t xml:space="preserve"> se analizará el alcance de las restricciones establecidas en el artículo 33 y el parágrafo del artículo 38. </w:t>
      </w:r>
    </w:p>
    <w:p w14:paraId="2753C072" w14:textId="77777777" w:rsidR="00D93D99" w:rsidRDefault="00D93D99" w:rsidP="00D93D99">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ab/>
      </w:r>
      <w:r>
        <w:rPr>
          <w:rFonts w:ascii="Verdana" w:eastAsia="Times New Roman" w:hAnsi="Verdana" w:cs="Arial"/>
          <w:lang w:val="es-MX" w:eastAsia="es-CO"/>
        </w:rPr>
        <w:tab/>
        <w:t>Para empezar, 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6"/>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530A9EC5" w14:textId="77777777" w:rsidR="00D93D99" w:rsidRPr="006B14B5" w:rsidRDefault="00D93D99" w:rsidP="00D93D99">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979BEBC" w14:textId="77777777" w:rsidR="00D93D99" w:rsidRPr="00E2397D" w:rsidRDefault="00D93D99" w:rsidP="00D93D99">
      <w:pPr>
        <w:spacing w:after="0" w:line="276" w:lineRule="auto"/>
        <w:ind w:right="709"/>
        <w:contextualSpacing/>
        <w:jc w:val="both"/>
        <w:rPr>
          <w:rFonts w:ascii="Verdana" w:eastAsia="Times New Roman" w:hAnsi="Verdana" w:cs="Arial"/>
          <w:lang w:val="es-ES" w:eastAsia="es-CO"/>
        </w:rPr>
      </w:pPr>
    </w:p>
    <w:p w14:paraId="2E9723F7" w14:textId="77777777" w:rsidR="00D93D99" w:rsidRPr="00E2397D" w:rsidRDefault="00D93D99" w:rsidP="00D93D99">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74B8342" w14:textId="77777777" w:rsidR="00D93D99" w:rsidRPr="00E2397D" w:rsidRDefault="00D93D99" w:rsidP="00D93D99">
      <w:pPr>
        <w:spacing w:after="0" w:line="240" w:lineRule="auto"/>
        <w:ind w:left="709" w:right="709"/>
        <w:contextualSpacing/>
        <w:jc w:val="both"/>
        <w:rPr>
          <w:rFonts w:ascii="Verdana" w:eastAsia="Times New Roman" w:hAnsi="Verdana" w:cs="Arial"/>
          <w:sz w:val="20"/>
          <w:szCs w:val="20"/>
          <w:lang w:val="es-MX" w:eastAsia="es-CO"/>
        </w:rPr>
      </w:pPr>
    </w:p>
    <w:p w14:paraId="0935B37D" w14:textId="5C263732" w:rsidR="00D93D99" w:rsidRPr="00E2397D" w:rsidRDefault="00D93D99" w:rsidP="00D67EE2">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w:t>
      </w:r>
      <w:r w:rsidRPr="00E2397D">
        <w:rPr>
          <w:rFonts w:ascii="Verdana" w:eastAsia="Times New Roman" w:hAnsi="Verdana" w:cs="Arial"/>
          <w:sz w:val="20"/>
          <w:szCs w:val="20"/>
          <w:lang w:val="es-MX" w:eastAsia="es-CO"/>
        </w:rPr>
        <w:lastRenderedPageBreak/>
        <w:t>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7"/>
      </w:r>
    </w:p>
    <w:p w14:paraId="6C336B8B" w14:textId="77777777" w:rsidR="00D93D99" w:rsidRPr="00E2397D" w:rsidRDefault="00D93D99" w:rsidP="00D93D99">
      <w:pPr>
        <w:spacing w:after="0" w:line="276" w:lineRule="auto"/>
        <w:ind w:firstLine="709"/>
        <w:jc w:val="both"/>
        <w:rPr>
          <w:rFonts w:ascii="Verdana" w:eastAsia="Times New Roman" w:hAnsi="Verdana" w:cs="Arial"/>
          <w:lang w:val="es-MX" w:eastAsia="es-CO"/>
        </w:rPr>
      </w:pPr>
    </w:p>
    <w:p w14:paraId="0BB1A8FD" w14:textId="77777777" w:rsidR="00D93D99" w:rsidRPr="00E2397D" w:rsidRDefault="00D93D99" w:rsidP="00D93D99">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9AC9E32" w14:textId="77777777" w:rsidR="00D93D99" w:rsidRPr="00886C02" w:rsidRDefault="00D93D99" w:rsidP="00D93D99">
      <w:pPr>
        <w:spacing w:after="0" w:line="276" w:lineRule="auto"/>
        <w:ind w:firstLine="709"/>
        <w:jc w:val="both"/>
        <w:rPr>
          <w:rFonts w:ascii="Verdana" w:eastAsia="Times New Roman" w:hAnsi="Verdana" w:cs="Arial"/>
          <w:lang w:val="es-MX" w:eastAsia="es-CO"/>
        </w:rPr>
      </w:pPr>
    </w:p>
    <w:p w14:paraId="2E3DA50E" w14:textId="77777777" w:rsidR="00D93D99" w:rsidRPr="00E2397D" w:rsidRDefault="00D93D99" w:rsidP="00D93D99">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DF1C91B" w14:textId="77777777" w:rsidR="00D93D99" w:rsidRPr="00E2397D" w:rsidRDefault="00D93D99" w:rsidP="00D93D99">
      <w:pPr>
        <w:spacing w:after="0" w:line="240" w:lineRule="auto"/>
        <w:ind w:right="709"/>
        <w:contextualSpacing/>
        <w:jc w:val="both"/>
        <w:rPr>
          <w:rFonts w:ascii="Verdana" w:eastAsia="Times New Roman" w:hAnsi="Verdana" w:cs="Arial"/>
          <w:lang w:val="es-MX" w:eastAsia="es-CO"/>
        </w:rPr>
      </w:pPr>
    </w:p>
    <w:p w14:paraId="0FBCBB12" w14:textId="77777777" w:rsidR="00D93D99" w:rsidRPr="00E2397D" w:rsidRDefault="00D93D99" w:rsidP="00D93D99">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E2397D">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10"/>
      </w:r>
      <w:r w:rsidRPr="00E2397D">
        <w:rPr>
          <w:rFonts w:ascii="Verdana" w:eastAsia="Times New Roman" w:hAnsi="Verdana" w:cs="Arial"/>
          <w:sz w:val="20"/>
          <w:szCs w:val="20"/>
          <w:lang w:val="es-MX" w:eastAsia="es-CO"/>
        </w:rPr>
        <w:t>.</w:t>
      </w:r>
    </w:p>
    <w:p w14:paraId="56616619" w14:textId="77777777" w:rsidR="00D93D99" w:rsidRPr="00E2397D" w:rsidRDefault="00D93D99" w:rsidP="00D93D99">
      <w:pPr>
        <w:spacing w:after="0" w:line="276" w:lineRule="auto"/>
        <w:jc w:val="both"/>
        <w:rPr>
          <w:rFonts w:ascii="Verdana" w:eastAsia="Calibri" w:hAnsi="Verdana" w:cs="Arial"/>
          <w:bCs/>
          <w:lang w:val="es-ES_tradnl"/>
        </w:rPr>
      </w:pPr>
    </w:p>
    <w:p w14:paraId="7196AEA3" w14:textId="77777777" w:rsidR="00D93D99" w:rsidRPr="00B3605D" w:rsidRDefault="00D93D99" w:rsidP="00D93D99">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CB69016" w14:textId="77777777" w:rsidR="00D93D99" w:rsidRDefault="00D93D99" w:rsidP="00D93D99">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42C272FC" w14:textId="77777777" w:rsidR="00D93D99" w:rsidRDefault="00D93D99" w:rsidP="00D93D99">
      <w:pPr>
        <w:spacing w:after="0" w:line="240" w:lineRule="auto"/>
        <w:ind w:firstLine="709"/>
        <w:jc w:val="both"/>
        <w:rPr>
          <w:rFonts w:ascii="Verdana" w:eastAsia="Arial" w:hAnsi="Verdana" w:cs="Arial"/>
          <w:lang w:val="es-ES" w:eastAsia="es-ES" w:bidi="es-ES"/>
        </w:rPr>
      </w:pPr>
    </w:p>
    <w:p w14:paraId="38C202F7" w14:textId="77777777" w:rsidR="00D93D99" w:rsidRPr="00F2587B" w:rsidRDefault="00D93D99" w:rsidP="00D93D99">
      <w:pPr>
        <w:pStyle w:val="Prrafodelista"/>
        <w:numPr>
          <w:ilvl w:val="0"/>
          <w:numId w:val="9"/>
        </w:numPr>
        <w:spacing w:after="0" w:line="240" w:lineRule="auto"/>
        <w:contextualSpacing w:val="0"/>
        <w:jc w:val="both"/>
        <w:rPr>
          <w:rFonts w:ascii="Verdana" w:eastAsia="Arial" w:hAnsi="Verdana" w:cs="Arial"/>
          <w:i/>
          <w:lang w:eastAsia="es-ES" w:bidi="es-ES"/>
        </w:rPr>
      </w:pPr>
      <w:r w:rsidRPr="00F2587B">
        <w:rPr>
          <w:rFonts w:ascii="Verdana" w:eastAsia="Arial" w:hAnsi="Verdana" w:cs="Arial"/>
          <w:i/>
          <w:lang w:eastAsia="es-ES" w:bidi="es-ES"/>
        </w:rPr>
        <w:t xml:space="preserve">Restricciones </w:t>
      </w:r>
      <w:r>
        <w:rPr>
          <w:rFonts w:ascii="Verdana" w:eastAsia="Arial" w:hAnsi="Verdana" w:cs="Arial"/>
          <w:i/>
          <w:lang w:eastAsia="es-ES" w:bidi="es-ES"/>
        </w:rPr>
        <w:t>frente a</w:t>
      </w:r>
      <w:r w:rsidRPr="00F2587B">
        <w:rPr>
          <w:rFonts w:ascii="Verdana" w:eastAsia="Arial" w:hAnsi="Verdana" w:cs="Arial"/>
          <w:i/>
          <w:lang w:eastAsia="es-ES" w:bidi="es-ES"/>
        </w:rPr>
        <w:t xml:space="preserve"> elecciones presidenciales </w:t>
      </w:r>
    </w:p>
    <w:p w14:paraId="05F89A45" w14:textId="77777777" w:rsidR="00D93D99" w:rsidRPr="00A545DE" w:rsidRDefault="00D93D99" w:rsidP="00D93D99">
      <w:pPr>
        <w:pStyle w:val="Prrafodelista"/>
        <w:spacing w:after="0" w:line="240" w:lineRule="auto"/>
        <w:ind w:left="1080"/>
        <w:contextualSpacing w:val="0"/>
        <w:jc w:val="both"/>
        <w:rPr>
          <w:rFonts w:ascii="Verdana" w:eastAsia="Arial" w:hAnsi="Verdana" w:cs="Arial"/>
          <w:lang w:eastAsia="es-ES" w:bidi="es-ES"/>
        </w:rPr>
      </w:pPr>
    </w:p>
    <w:p w14:paraId="2D43090E" w14:textId="77777777" w:rsidR="00D93D99" w:rsidRPr="00FC54ED" w:rsidRDefault="00D93D99" w:rsidP="00D93D99">
      <w:pPr>
        <w:spacing w:after="0" w:line="240" w:lineRule="auto"/>
        <w:ind w:left="709" w:right="703"/>
        <w:jc w:val="both"/>
        <w:rPr>
          <w:rFonts w:ascii="Verdana" w:eastAsia="Times New Roman" w:hAnsi="Verdana" w:cs="Open Sans"/>
          <w:sz w:val="20"/>
          <w:szCs w:val="20"/>
          <w:lang w:eastAsia="es-CO"/>
        </w:rPr>
      </w:pPr>
      <w:bookmarkStart w:id="3"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3"/>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FBF3C91" w14:textId="77777777" w:rsidR="00D93D99" w:rsidRPr="00FC54ED" w:rsidRDefault="00D93D99" w:rsidP="00D93D99">
      <w:pPr>
        <w:spacing w:after="0" w:line="240" w:lineRule="auto"/>
        <w:ind w:left="709" w:right="703"/>
        <w:jc w:val="both"/>
        <w:rPr>
          <w:rFonts w:ascii="Verdana" w:eastAsia="Times New Roman" w:hAnsi="Verdana" w:cs="Open Sans"/>
          <w:sz w:val="20"/>
          <w:szCs w:val="20"/>
          <w:lang w:eastAsia="es-CO"/>
        </w:rPr>
      </w:pPr>
    </w:p>
    <w:p w14:paraId="668388C0" w14:textId="77777777" w:rsidR="00D93D99" w:rsidRPr="00B3605D" w:rsidRDefault="00D93D99" w:rsidP="00D93D99">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5F22142D" w14:textId="77777777" w:rsidR="00D93D99" w:rsidRDefault="00D93D99" w:rsidP="00D93D99">
      <w:pPr>
        <w:spacing w:after="0" w:line="276" w:lineRule="auto"/>
        <w:ind w:right="618" w:firstLine="708"/>
        <w:jc w:val="both"/>
        <w:rPr>
          <w:rFonts w:ascii="Verdana" w:eastAsia="Times New Roman" w:hAnsi="Verdana" w:cs="Open Sans"/>
          <w:lang w:eastAsia="es-CO"/>
        </w:rPr>
      </w:pPr>
    </w:p>
    <w:p w14:paraId="396CE7CD" w14:textId="77777777" w:rsidR="00D93D99" w:rsidRDefault="00D93D99" w:rsidP="00D93D99">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lastRenderedPageBreak/>
        <w:t>Como se puede observar, el artículo 33 de la Ley 996 de 2</w:t>
      </w:r>
      <w:r>
        <w:rPr>
          <w:rFonts w:ascii="Verdana" w:eastAsia="Times New Roman" w:hAnsi="Verdana" w:cs="Open Sans"/>
          <w:lang w:eastAsia="es-CO"/>
        </w:rPr>
        <w:t>0</w:t>
      </w:r>
      <w:r w:rsidRPr="00B3605D">
        <w:rPr>
          <w:rFonts w:ascii="Verdana" w:eastAsia="Times New Roman" w:hAnsi="Verdana" w:cs="Open Sans"/>
          <w:lang w:eastAsia="es-CO"/>
        </w:rPr>
        <w:t xml:space="preserve">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1"/>
      </w:r>
      <w:r>
        <w:rPr>
          <w:rFonts w:ascii="Verdana" w:eastAsia="Times New Roman" w:hAnsi="Verdana" w:cs="Open Sans"/>
          <w:lang w:eastAsia="es-CO"/>
        </w:rPr>
        <w:t>.</w:t>
      </w:r>
    </w:p>
    <w:p w14:paraId="22057B11" w14:textId="77777777" w:rsidR="00D93D99" w:rsidRDefault="00D93D99" w:rsidP="00D93D99">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474EFB9D" w14:textId="77777777" w:rsidR="00D93D99" w:rsidRDefault="00D93D99" w:rsidP="00D93D99">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3C1797F8" w14:textId="77777777" w:rsidR="00D93D99" w:rsidRDefault="00D93D99" w:rsidP="00D93D99">
      <w:pPr>
        <w:spacing w:after="120" w:line="276" w:lineRule="auto"/>
        <w:ind w:firstLine="709"/>
        <w:jc w:val="both"/>
        <w:rPr>
          <w:rFonts w:ascii="Verdana" w:hAnsi="Verdana"/>
        </w:rPr>
      </w:pPr>
      <w:r>
        <w:rPr>
          <w:rFonts w:ascii="Verdana" w:eastAsia="Times New Roman" w:hAnsi="Verdana" w:cs="Open Sans"/>
          <w:lang w:eastAsia="es-CO"/>
        </w:rPr>
        <w:lastRenderedPageBreak/>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702DC814" w14:textId="77777777" w:rsidR="00D93D99" w:rsidRDefault="00D93D99" w:rsidP="00D93D99">
      <w:pPr>
        <w:spacing w:after="0" w:line="276" w:lineRule="auto"/>
        <w:ind w:firstLine="709"/>
        <w:jc w:val="both"/>
        <w:rPr>
          <w:rFonts w:ascii="Verdana" w:eastAsia="Times New Roman" w:hAnsi="Verdana" w:cs="Arial"/>
          <w:lang w:val="es-ES"/>
        </w:rPr>
      </w:pPr>
      <w:r w:rsidRPr="00C40D52">
        <w:rPr>
          <w:rFonts w:ascii="Verdana" w:eastAsia="Times New Roman" w:hAnsi="Verdana" w:cs="Arial"/>
          <w:lang w:val="es-ES"/>
        </w:rPr>
        <w:t xml:space="preserve">En consecuencia, las restricciones a la contratación </w:t>
      </w:r>
      <w:r>
        <w:rPr>
          <w:rFonts w:ascii="Verdana" w:eastAsia="Times New Roman" w:hAnsi="Verdana" w:cs="Arial"/>
          <w:lang w:val="es-ES"/>
        </w:rPr>
        <w:t xml:space="preserve">directa </w:t>
      </w:r>
      <w:r w:rsidRPr="00C40D52">
        <w:rPr>
          <w:rFonts w:ascii="Verdana" w:eastAsia="Times New Roman" w:hAnsi="Verdana" w:cs="Arial"/>
          <w:lang w:val="es-ES"/>
        </w:rPr>
        <w:t>contenidas en la Ley de Garantías Electorales son aplicables a entidades descentralizadas como las sociedades de economía mixta</w:t>
      </w:r>
      <w:r>
        <w:rPr>
          <w:rFonts w:ascii="Verdana" w:eastAsia="Times New Roman" w:hAnsi="Verdana" w:cs="Arial"/>
          <w:lang w:val="es-ES"/>
        </w:rPr>
        <w:t>, a las que hace referencia en su consulta</w:t>
      </w:r>
      <w:r w:rsidRPr="00C40D52">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27618FF1" w14:textId="77777777" w:rsidR="00D93D99" w:rsidRPr="005A1342" w:rsidRDefault="00D93D99" w:rsidP="00D93D99">
      <w:pPr>
        <w:spacing w:after="0" w:line="276" w:lineRule="auto"/>
        <w:ind w:firstLine="709"/>
        <w:jc w:val="both"/>
        <w:rPr>
          <w:rFonts w:ascii="Verdana" w:hAnsi="Verdana"/>
          <w:iCs/>
        </w:rPr>
      </w:pPr>
    </w:p>
    <w:p w14:paraId="64DBE0F2" w14:textId="77777777" w:rsidR="00D93D99" w:rsidRPr="00F2587B" w:rsidRDefault="00D93D99" w:rsidP="00D93D99">
      <w:pPr>
        <w:pStyle w:val="Prrafodelista"/>
        <w:numPr>
          <w:ilvl w:val="0"/>
          <w:numId w:val="9"/>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w:t>
      </w:r>
      <w:r>
        <w:rPr>
          <w:rFonts w:ascii="Verdana" w:eastAsia="Times New Roman" w:hAnsi="Verdana" w:cs="Open Sans"/>
          <w:i/>
          <w:lang w:eastAsia="es-CO"/>
        </w:rPr>
        <w:t>frente a las</w:t>
      </w:r>
      <w:r w:rsidRPr="00F2587B">
        <w:rPr>
          <w:rFonts w:ascii="Verdana" w:eastAsia="Times New Roman" w:hAnsi="Verdana" w:cs="Open Sans"/>
          <w:i/>
          <w:lang w:eastAsia="es-CO"/>
        </w:rPr>
        <w:t xml:space="preserve"> demás elecciones </w:t>
      </w:r>
    </w:p>
    <w:p w14:paraId="6251A04B" w14:textId="77777777" w:rsidR="00D93D99" w:rsidRDefault="00D93D99" w:rsidP="00D93D99">
      <w:pPr>
        <w:spacing w:after="0" w:line="276" w:lineRule="auto"/>
        <w:jc w:val="both"/>
        <w:rPr>
          <w:rFonts w:ascii="Verdana" w:eastAsia="Times New Roman" w:hAnsi="Verdana" w:cs="Open Sans"/>
          <w:lang w:eastAsia="es-CO"/>
        </w:rPr>
      </w:pPr>
    </w:p>
    <w:p w14:paraId="707F4B2A" w14:textId="77777777" w:rsidR="00D93D99" w:rsidRPr="00D61E29" w:rsidRDefault="00D93D99" w:rsidP="00D93D99">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E737601" w14:textId="77777777" w:rsidR="00D93D99" w:rsidRDefault="00D93D99" w:rsidP="00D93D99">
      <w:pPr>
        <w:pStyle w:val="NormalWeb"/>
        <w:spacing w:after="0" w:line="276" w:lineRule="auto"/>
        <w:ind w:left="709" w:right="616"/>
        <w:jc w:val="both"/>
        <w:rPr>
          <w:rStyle w:val="baj"/>
          <w:rFonts w:ascii="Verdana" w:hAnsi="Verdana" w:cs="Open Sans"/>
          <w:b/>
          <w:sz w:val="20"/>
          <w:szCs w:val="20"/>
        </w:rPr>
      </w:pPr>
    </w:p>
    <w:p w14:paraId="0E82E5D9" w14:textId="77777777" w:rsidR="00D93D99" w:rsidRPr="00D61E29" w:rsidRDefault="00D93D99" w:rsidP="00D93D99">
      <w:pPr>
        <w:pStyle w:val="NormalWeb"/>
        <w:spacing w:after="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EB8755F" w14:textId="77777777" w:rsidR="00D93D99" w:rsidRPr="00D61E29" w:rsidRDefault="00D93D99" w:rsidP="00D93D99">
      <w:pPr>
        <w:pStyle w:val="NormalWeb"/>
        <w:spacing w:after="0"/>
        <w:ind w:left="709" w:right="709"/>
        <w:jc w:val="both"/>
        <w:rPr>
          <w:rFonts w:ascii="Verdana" w:hAnsi="Verdana" w:cs="Open Sans"/>
          <w:sz w:val="20"/>
          <w:szCs w:val="20"/>
        </w:rPr>
      </w:pPr>
    </w:p>
    <w:p w14:paraId="157B988D" w14:textId="77777777" w:rsidR="00D93D99" w:rsidRPr="00D61E29" w:rsidRDefault="00D93D99" w:rsidP="00D93D99">
      <w:pPr>
        <w:pStyle w:val="NormalWeb"/>
        <w:spacing w:after="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dar inicio a programas de carácter social en reuniones o eventos en los que participen candidatos a la Presidencia y Vicepresidencia de la República, el Congreso de la </w:t>
      </w:r>
      <w:r w:rsidRPr="00D61E29">
        <w:rPr>
          <w:rFonts w:ascii="Verdana" w:hAnsi="Verdana" w:cs="Open Sans"/>
          <w:sz w:val="20"/>
          <w:szCs w:val="20"/>
        </w:rPr>
        <w:lastRenderedPageBreak/>
        <w:t>República, gobernaciones departamentales, asambleas departamentales, alcaldías y concejos municipales o distritales. Tampoco podrán hacerlo cuando participen voceros de los candidatos.</w:t>
      </w:r>
    </w:p>
    <w:p w14:paraId="4198274C" w14:textId="77777777" w:rsidR="00D93D99" w:rsidRDefault="00D93D99" w:rsidP="00D93D99">
      <w:pPr>
        <w:pStyle w:val="NormalWeb"/>
        <w:spacing w:after="0"/>
        <w:ind w:left="709" w:right="709"/>
        <w:jc w:val="both"/>
        <w:rPr>
          <w:rFonts w:ascii="Verdana" w:hAnsi="Verdana" w:cs="Open Sans"/>
          <w:sz w:val="20"/>
          <w:szCs w:val="20"/>
        </w:rPr>
      </w:pPr>
    </w:p>
    <w:p w14:paraId="052872CB" w14:textId="77777777" w:rsidR="00D93D99" w:rsidRPr="00D61E29" w:rsidRDefault="00D93D99" w:rsidP="00D93D99">
      <w:pPr>
        <w:pStyle w:val="NormalWeb"/>
        <w:spacing w:after="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7BC88399" w14:textId="77777777" w:rsidR="00D93D99" w:rsidRDefault="00D93D99" w:rsidP="00D93D99">
      <w:pPr>
        <w:pStyle w:val="NormalWeb"/>
        <w:spacing w:after="0"/>
        <w:ind w:left="709" w:right="709"/>
        <w:jc w:val="both"/>
        <w:rPr>
          <w:rFonts w:ascii="Verdana" w:hAnsi="Verdana" w:cs="Open Sans"/>
          <w:sz w:val="20"/>
          <w:szCs w:val="20"/>
        </w:rPr>
      </w:pPr>
    </w:p>
    <w:p w14:paraId="566D8B14" w14:textId="77777777" w:rsidR="00D93D99" w:rsidRPr="00D61E29" w:rsidRDefault="00D93D99" w:rsidP="00D93D99">
      <w:pPr>
        <w:pStyle w:val="NormalWeb"/>
        <w:spacing w:after="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437D59E7" w14:textId="77777777" w:rsidR="00D93D99" w:rsidRDefault="00D93D99" w:rsidP="00D93D99">
      <w:pPr>
        <w:widowControl w:val="0"/>
        <w:autoSpaceDE w:val="0"/>
        <w:autoSpaceDN w:val="0"/>
        <w:spacing w:after="0" w:line="276" w:lineRule="auto"/>
        <w:ind w:right="113"/>
        <w:contextualSpacing/>
        <w:jc w:val="both"/>
      </w:pPr>
    </w:p>
    <w:p w14:paraId="3AEED261" w14:textId="77777777" w:rsidR="00D93D99" w:rsidRPr="00775AB1" w:rsidRDefault="00D93D99" w:rsidP="00D93D99">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4"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4"/>
    </w:p>
    <w:p w14:paraId="77099672" w14:textId="77777777" w:rsidR="00D93D99" w:rsidRPr="00D61E29" w:rsidRDefault="00D93D99" w:rsidP="00D93D99">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45DD90FE" w14:textId="77777777" w:rsidR="00D93D99" w:rsidRPr="00D61E29" w:rsidRDefault="00D93D99" w:rsidP="00D93D99">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0104A98" w14:textId="77777777" w:rsidR="00D93D99" w:rsidRPr="00D61E29" w:rsidRDefault="00D93D99" w:rsidP="00D93D99">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w:t>
      </w:r>
      <w:r w:rsidRPr="00D61E29">
        <w:rPr>
          <w:rFonts w:ascii="Verdana" w:eastAsia="Arial" w:hAnsi="Verdana" w:cs="Arial"/>
          <w:sz w:val="20"/>
          <w:szCs w:val="20"/>
          <w:lang w:eastAsia="es-ES" w:bidi="es-ES"/>
        </w:rPr>
        <w:lastRenderedPageBreak/>
        <w:t>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2"/>
      </w:r>
    </w:p>
    <w:p w14:paraId="6C0A9FC1" w14:textId="77777777" w:rsidR="00D93D99" w:rsidRPr="00D61E29" w:rsidRDefault="00D93D99" w:rsidP="00D93D99">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6E9F9696" w14:textId="77777777" w:rsidR="00D93D99" w:rsidRPr="00947721" w:rsidRDefault="00D93D99" w:rsidP="00D93D99">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Pr>
          <w:rFonts w:ascii="Verdana" w:hAnsi="Verdana" w:cs="BCDHEE+Verdana"/>
          <w:color w:val="000000"/>
        </w:rPr>
        <w:t>G</w:t>
      </w:r>
      <w:r w:rsidRPr="00F44D6F">
        <w:rPr>
          <w:rFonts w:ascii="Verdana" w:hAnsi="Verdana" w:cs="BCDHEE+Verdana"/>
          <w:color w:val="000000"/>
        </w:rPr>
        <w:t>arantías</w:t>
      </w:r>
      <w:r>
        <w:rPr>
          <w:rFonts w:ascii="Verdana" w:hAnsi="Verdana" w:cs="BCDHEE+Verdana"/>
          <w:color w:val="000000"/>
        </w:rPr>
        <w:t xml:space="preserve"> 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7B60F2D9" w14:textId="77777777" w:rsidR="00D93D99" w:rsidRPr="005D7599" w:rsidRDefault="00D93D99" w:rsidP="00D93D99">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122AC1">
        <w:rPr>
          <w:rFonts w:ascii="Verdana" w:hAnsi="Verdana" w:cs="BCDHEE+Verdana"/>
          <w:color w:val="000000"/>
        </w:rPr>
        <w:t>.</w:t>
      </w:r>
    </w:p>
    <w:p w14:paraId="5151607F" w14:textId="77777777" w:rsidR="00D93D99" w:rsidRPr="00E61635" w:rsidRDefault="00D93D99" w:rsidP="00D93D99">
      <w:pPr>
        <w:widowControl w:val="0"/>
        <w:autoSpaceDE w:val="0"/>
        <w:autoSpaceDN w:val="0"/>
        <w:spacing w:after="0" w:line="276" w:lineRule="auto"/>
        <w:ind w:right="176" w:firstLine="708"/>
        <w:jc w:val="both"/>
        <w:rPr>
          <w:rFonts w:ascii="Verdana" w:hAnsi="Verdana"/>
        </w:rPr>
      </w:pPr>
      <w:r w:rsidRPr="00E61635">
        <w:rPr>
          <w:rFonts w:ascii="Verdana" w:hAnsi="Verdana"/>
        </w:rPr>
        <w:lastRenderedPageBreak/>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9EFD71B" w14:textId="77777777" w:rsidR="00D93D99" w:rsidRDefault="00D93D99" w:rsidP="00D93D99">
      <w:pPr>
        <w:spacing w:after="120" w:line="276" w:lineRule="auto"/>
        <w:jc w:val="both"/>
        <w:rPr>
          <w:rFonts w:ascii="Verdana" w:eastAsia="Calibri" w:hAnsi="Verdana" w:cs="Arial"/>
        </w:rPr>
      </w:pPr>
    </w:p>
    <w:p w14:paraId="411C0106" w14:textId="77777777" w:rsidR="00D93D99" w:rsidRPr="004F7B86" w:rsidRDefault="00D93D99" w:rsidP="00D93D99">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6A601154" w14:textId="77777777" w:rsidR="00D93D99" w:rsidRDefault="00D93D99" w:rsidP="00D93D99">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13CED9DE" w14:textId="77777777" w:rsidR="00D93D99" w:rsidRPr="00D93D99" w:rsidRDefault="00D93D99" w:rsidP="00871B59">
      <w:pPr>
        <w:widowControl w:val="0"/>
        <w:autoSpaceDE w:val="0"/>
        <w:autoSpaceDN w:val="0"/>
        <w:spacing w:after="0" w:line="276" w:lineRule="auto"/>
        <w:jc w:val="both"/>
        <w:rPr>
          <w:rFonts w:ascii="Verdana" w:hAnsi="Verdana" w:cs="Arial"/>
          <w:lang w:val="es-ES"/>
        </w:rPr>
      </w:pPr>
    </w:p>
    <w:p w14:paraId="54FB8649"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505B73F0"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03B22037" w14:textId="77777777" w:rsidTr="002607A7">
        <w:trPr>
          <w:trHeight w:val="870"/>
        </w:trPr>
        <w:tc>
          <w:tcPr>
            <w:tcW w:w="8647" w:type="dxa"/>
          </w:tcPr>
          <w:p w14:paraId="5B8E3EF8" w14:textId="77777777" w:rsidR="004A4B5F" w:rsidRPr="001D2E34" w:rsidRDefault="004A4B5F" w:rsidP="004A4B5F">
            <w:pPr>
              <w:widowControl w:val="0"/>
              <w:numPr>
                <w:ilvl w:val="0"/>
                <w:numId w:val="8"/>
              </w:numPr>
              <w:autoSpaceDE w:val="0"/>
              <w:autoSpaceDN w:val="0"/>
              <w:spacing w:after="120"/>
              <w:jc w:val="both"/>
              <w:rPr>
                <w:rFonts w:ascii="Verdana" w:eastAsia="Arial MT" w:hAnsi="Verdana" w:cs="Arial"/>
                <w:lang w:val="es-ES" w:eastAsia="es-ES" w:bidi="es-ES"/>
              </w:rPr>
            </w:pPr>
            <w:r>
              <w:rPr>
                <w:rFonts w:ascii="Verdana" w:eastAsia="Arial MT" w:hAnsi="Verdana" w:cs="Arial"/>
                <w:lang w:val="es-ES" w:eastAsia="es-ES" w:bidi="es-ES"/>
              </w:rPr>
              <w:lastRenderedPageBreak/>
              <w:t>Ley 489 de 1998: artículo 97.</w:t>
            </w:r>
          </w:p>
          <w:p w14:paraId="7B128A3B" w14:textId="77777777" w:rsidR="004A4B5F" w:rsidRPr="00B3605D" w:rsidRDefault="004A4B5F" w:rsidP="004A4B5F">
            <w:pPr>
              <w:widowControl w:val="0"/>
              <w:numPr>
                <w:ilvl w:val="0"/>
                <w:numId w:val="8"/>
              </w:numPr>
              <w:autoSpaceDE w:val="0"/>
              <w:autoSpaceDN w:val="0"/>
              <w:spacing w:after="120"/>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114DE6FB" w14:textId="77777777" w:rsidR="004A4B5F" w:rsidRPr="00274DBA" w:rsidRDefault="004A4B5F" w:rsidP="004A4B5F">
            <w:pPr>
              <w:widowControl w:val="0"/>
              <w:numPr>
                <w:ilvl w:val="0"/>
                <w:numId w:val="8"/>
              </w:numPr>
              <w:autoSpaceDE w:val="0"/>
              <w:autoSpaceDN w:val="0"/>
              <w:spacing w:after="120"/>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74A2F416" w14:textId="77777777" w:rsidR="004A4B5F" w:rsidRDefault="004A4B5F" w:rsidP="004A4B5F">
            <w:pPr>
              <w:widowControl w:val="0"/>
              <w:numPr>
                <w:ilvl w:val="0"/>
                <w:numId w:val="8"/>
              </w:numPr>
              <w:autoSpaceDE w:val="0"/>
              <w:autoSpaceDN w:val="0"/>
              <w:spacing w:after="120"/>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48F8967D" w14:textId="005CA5DD" w:rsidR="00871B59" w:rsidRPr="004A4B5F" w:rsidRDefault="004A4B5F" w:rsidP="004A4B5F">
            <w:pPr>
              <w:pStyle w:val="Prrafodelista"/>
              <w:widowControl w:val="0"/>
              <w:numPr>
                <w:ilvl w:val="0"/>
                <w:numId w:val="8"/>
              </w:numPr>
              <w:autoSpaceDE w:val="0"/>
              <w:autoSpaceDN w:val="0"/>
              <w:contextualSpacing w:val="0"/>
              <w:jc w:val="both"/>
              <w:rPr>
                <w:rFonts w:ascii="Verdana" w:eastAsia="Calibri" w:hAnsi="Verdana" w:cs="Arial"/>
                <w:color w:val="000000" w:themeColor="text1"/>
              </w:rPr>
            </w:pPr>
            <w:r w:rsidRPr="0060146E">
              <w:rPr>
                <w:rFonts w:ascii="Verdana" w:hAnsi="Verdana"/>
              </w:rPr>
              <w:t xml:space="preserve">Consejo de Estado. Sala de Consulta y Servicio Civil. Concepto del 12 de junio de 2018. </w:t>
            </w:r>
            <w:proofErr w:type="spellStart"/>
            <w:r w:rsidRPr="0060146E">
              <w:rPr>
                <w:rFonts w:ascii="Verdana" w:hAnsi="Verdana"/>
              </w:rPr>
              <w:t>Exp</w:t>
            </w:r>
            <w:proofErr w:type="spellEnd"/>
            <w:r w:rsidRPr="0060146E">
              <w:rPr>
                <w:rFonts w:ascii="Verdana" w:hAnsi="Verdana"/>
              </w:rPr>
              <w:t>. 2371. C.P. Oscar Darío Amaya Navas</w:t>
            </w:r>
            <w:r>
              <w:rPr>
                <w:rFonts w:ascii="Verdana" w:eastAsia="Calibri" w:hAnsi="Verdana" w:cs="Arial"/>
              </w:rPr>
              <w:t>.</w:t>
            </w:r>
            <w:r w:rsidR="00871B59" w:rsidRPr="004A4B5F">
              <w:rPr>
                <w:rFonts w:ascii="Verdana" w:hAnsi="Verdana" w:cs="Arial"/>
              </w:rPr>
              <w:t xml:space="preserve"> </w:t>
            </w:r>
          </w:p>
        </w:tc>
      </w:tr>
    </w:tbl>
    <w:p w14:paraId="638A998C" w14:textId="77777777" w:rsidR="00871B59" w:rsidRPr="00593A5F" w:rsidRDefault="00871B59" w:rsidP="00871B59">
      <w:pPr>
        <w:widowControl w:val="0"/>
        <w:autoSpaceDE w:val="0"/>
        <w:autoSpaceDN w:val="0"/>
        <w:spacing w:after="0" w:line="276" w:lineRule="auto"/>
        <w:jc w:val="both"/>
        <w:rPr>
          <w:rFonts w:ascii="Verdana" w:hAnsi="Verdana" w:cs="Arial"/>
        </w:rPr>
      </w:pPr>
    </w:p>
    <w:p w14:paraId="57317935"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2003CEEE" w14:textId="77777777" w:rsidR="00871B59" w:rsidRDefault="00871B59" w:rsidP="00871B59">
      <w:pPr>
        <w:widowControl w:val="0"/>
        <w:autoSpaceDE w:val="0"/>
        <w:autoSpaceDN w:val="0"/>
        <w:spacing w:after="0" w:line="276" w:lineRule="auto"/>
        <w:jc w:val="both"/>
        <w:rPr>
          <w:rFonts w:ascii="Verdana" w:hAnsi="Verdana" w:cs="Arial"/>
        </w:rPr>
      </w:pPr>
    </w:p>
    <w:p w14:paraId="533A6935" w14:textId="42160941" w:rsidR="004A4B5F" w:rsidRPr="002A22D8" w:rsidRDefault="004A4B5F" w:rsidP="004A4B5F">
      <w:pPr>
        <w:widowControl w:val="0"/>
        <w:autoSpaceDE w:val="0"/>
        <w:autoSpaceDN w:val="0"/>
        <w:spacing w:after="0" w:line="276" w:lineRule="auto"/>
        <w:jc w:val="both"/>
        <w:rPr>
          <w:rFonts w:ascii="Verdana" w:hAnsi="Verdana" w:cs="Arial"/>
          <w:bCs/>
          <w:shd w:val="clear" w:color="auto" w:fill="FFFFFF"/>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005462D2">
        <w:rPr>
          <w:rFonts w:ascii="Verdana" w:eastAsia="Calibri" w:hAnsi="Verdana" w:cs="Arial"/>
          <w:lang w:val="es-ES_tradnl" w:eastAsia="es-ES_tradnl"/>
        </w:rPr>
        <w:t xml:space="preserve">, </w:t>
      </w:r>
      <w:r>
        <w:rPr>
          <w:rFonts w:ascii="Verdana" w:eastAsia="Calibri" w:hAnsi="Verdana" w:cs="Arial"/>
          <w:lang w:val="es-ES_tradnl" w:eastAsia="es-ES_tradnl"/>
        </w:rPr>
        <w:t>C-1560 del 04 de diciembre de 2025</w:t>
      </w:r>
      <w:r w:rsidRPr="00B60BC4">
        <w:rPr>
          <w:rFonts w:ascii="Verdana" w:eastAsia="Calibri" w:hAnsi="Verdana" w:cs="Arial"/>
          <w:lang w:val="es-ES_tradnl" w:eastAsia="es-ES_tradnl"/>
        </w:rPr>
        <w:t xml:space="preserve"> </w:t>
      </w:r>
      <w:r w:rsidR="005462D2">
        <w:rPr>
          <w:rFonts w:ascii="Verdana" w:eastAsia="Calibri" w:hAnsi="Verdana" w:cs="Arial"/>
          <w:lang w:val="es-ES_tradnl" w:eastAsia="es-ES_tradnl"/>
        </w:rPr>
        <w:t xml:space="preserve">y el C- 181 del 2026, </w:t>
      </w:r>
      <w:r w:rsidRPr="00B60BC4">
        <w:rPr>
          <w:rFonts w:ascii="Verdana" w:eastAsia="Calibri" w:hAnsi="Verdana" w:cs="Arial"/>
          <w:lang w:val="es-ES_tradnl" w:eastAsia="es-ES_tradnl"/>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C060691" w14:textId="1E809869" w:rsidR="004A4B5F" w:rsidRPr="005462D2" w:rsidRDefault="000D343B" w:rsidP="004A4B5F">
      <w:pPr>
        <w:widowControl w:val="0"/>
        <w:autoSpaceDE w:val="0"/>
        <w:autoSpaceDN w:val="0"/>
        <w:spacing w:after="0" w:line="276" w:lineRule="auto"/>
        <w:jc w:val="both"/>
        <w:rPr>
          <w:rFonts w:ascii="Verdana" w:eastAsia="Calibri" w:hAnsi="Verdana" w:cs="Arial"/>
          <w:lang w:val="es-ES_tradnl" w:eastAsia="en-GB"/>
        </w:rPr>
      </w:pPr>
      <w:hyperlink r:id="rId13" w:history="1">
        <w:r w:rsidR="004A4B5F" w:rsidRPr="00191357">
          <w:rPr>
            <w:rStyle w:val="Hipervnculo"/>
            <w:rFonts w:ascii="Verdana" w:eastAsia="Calibri" w:hAnsi="Verdana" w:cs="Times New Roman"/>
            <w:lang w:val="es-ES"/>
          </w:rPr>
          <w:t>https://relatoria.colombiacompra.gov.co/busqueda/conceptos</w:t>
        </w:r>
      </w:hyperlink>
      <w:r w:rsidR="004A4B5F" w:rsidRPr="00185EE9">
        <w:rPr>
          <w:rFonts w:ascii="Verdana" w:eastAsia="Calibri" w:hAnsi="Verdana" w:cs="Times New Roman"/>
        </w:rPr>
        <w:t>.</w:t>
      </w:r>
    </w:p>
    <w:p w14:paraId="5E369DCC" w14:textId="77777777" w:rsidR="004A4B5F" w:rsidRDefault="004A4B5F" w:rsidP="004A4B5F">
      <w:pPr>
        <w:widowControl w:val="0"/>
        <w:autoSpaceDE w:val="0"/>
        <w:autoSpaceDN w:val="0"/>
        <w:spacing w:after="0" w:line="276" w:lineRule="auto"/>
        <w:jc w:val="both"/>
        <w:rPr>
          <w:rFonts w:ascii="Verdana" w:hAnsi="Verdana"/>
        </w:rPr>
      </w:pPr>
    </w:p>
    <w:p w14:paraId="4AA09F74" w14:textId="77777777" w:rsidR="005462D2" w:rsidRPr="009A385A" w:rsidRDefault="005462D2" w:rsidP="005462D2">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0F121323" w14:textId="77777777" w:rsidR="005462D2" w:rsidRDefault="005462D2" w:rsidP="005462D2">
      <w:pPr>
        <w:jc w:val="both"/>
        <w:rPr>
          <w:rFonts w:ascii="Verdana" w:hAnsi="Verdana"/>
        </w:rPr>
      </w:pPr>
      <w:r>
        <w:rPr>
          <w:rFonts w:ascii="Verdana" w:hAnsi="Verdana"/>
        </w:rPr>
        <w:lastRenderedPageBreak/>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1BEF6920" w14:textId="4663A3B9" w:rsidR="005462D2" w:rsidRPr="00103B90" w:rsidRDefault="005462D2" w:rsidP="005462D2">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05092FE" w14:textId="77777777" w:rsidR="004A4B5F" w:rsidRPr="00505CD6" w:rsidRDefault="004A4B5F" w:rsidP="004A4B5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5E240C17" w14:textId="77777777" w:rsidR="004A4B5F" w:rsidRPr="00505CD6" w:rsidRDefault="004A4B5F" w:rsidP="004A4B5F">
      <w:pPr>
        <w:widowControl w:val="0"/>
        <w:autoSpaceDE w:val="0"/>
        <w:autoSpaceDN w:val="0"/>
        <w:spacing w:after="0" w:line="276" w:lineRule="auto"/>
        <w:jc w:val="both"/>
        <w:rPr>
          <w:rFonts w:ascii="Verdana" w:hAnsi="Verdana" w:cs="Arial"/>
        </w:rPr>
      </w:pPr>
    </w:p>
    <w:p w14:paraId="35145D5B"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94E2AB2" w14:textId="77777777" w:rsidR="008815E5" w:rsidRPr="003E2460" w:rsidRDefault="008815E5" w:rsidP="008815E5">
      <w:pPr>
        <w:spacing w:after="0" w:line="240" w:lineRule="auto"/>
        <w:jc w:val="both"/>
        <w:rPr>
          <w:rFonts w:ascii="Verdana" w:hAnsi="Verdana"/>
        </w:rPr>
      </w:pPr>
    </w:p>
    <w:p w14:paraId="76C8E92B"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4A61627" w14:textId="77777777" w:rsidR="008815E5" w:rsidRPr="003E2460" w:rsidRDefault="008815E5" w:rsidP="1F9252E4">
      <w:pPr>
        <w:spacing w:after="0" w:line="240" w:lineRule="auto"/>
        <w:jc w:val="both"/>
        <w:rPr>
          <w:rFonts w:ascii="Verdana" w:hAnsi="Verdana"/>
        </w:rPr>
      </w:pPr>
      <w:r w:rsidRPr="1F9252E4">
        <w:rPr>
          <w:rFonts w:ascii="Verdana" w:hAnsi="Verdana"/>
        </w:rPr>
        <w:t xml:space="preserve">Facebook: </w:t>
      </w:r>
      <w:proofErr w:type="spellStart"/>
      <w:r w:rsidRPr="1F9252E4">
        <w:rPr>
          <w:rStyle w:val="Hipervnculo"/>
          <w:rFonts w:ascii="Verdana" w:hAnsi="Verdana"/>
          <w:color w:val="4472C4" w:themeColor="accent1"/>
        </w:rPr>
        <w:t>ColombiaCompraEficiente</w:t>
      </w:r>
      <w:proofErr w:type="spellEnd"/>
    </w:p>
    <w:p w14:paraId="42AC8F7D"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71098686"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57AB3E6"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F5443B7" w14:textId="77777777" w:rsidR="00871B59" w:rsidRPr="00593A5F" w:rsidRDefault="00871B59" w:rsidP="00871B59">
      <w:pPr>
        <w:widowControl w:val="0"/>
        <w:autoSpaceDE w:val="0"/>
        <w:autoSpaceDN w:val="0"/>
        <w:spacing w:after="0" w:line="276" w:lineRule="auto"/>
        <w:jc w:val="both"/>
        <w:rPr>
          <w:rFonts w:ascii="Verdana" w:hAnsi="Verdana" w:cs="Arial"/>
        </w:rPr>
      </w:pPr>
    </w:p>
    <w:p w14:paraId="7EB6900E"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374E762" w14:textId="77777777" w:rsidR="00871B59" w:rsidRPr="00593A5F" w:rsidRDefault="00871B59" w:rsidP="00871B59">
      <w:pPr>
        <w:spacing w:after="0" w:line="240" w:lineRule="auto"/>
        <w:rPr>
          <w:rFonts w:ascii="Verdana" w:eastAsia="Times New Roman" w:hAnsi="Verdana" w:cs="Arial"/>
          <w:sz w:val="24"/>
          <w:szCs w:val="24"/>
          <w:lang w:eastAsia="es-ES"/>
        </w:rPr>
      </w:pPr>
    </w:p>
    <w:p w14:paraId="48E0F300" w14:textId="77777777" w:rsidR="00D67EE2" w:rsidRPr="006E273C" w:rsidRDefault="00D67EE2" w:rsidP="00D67EE2">
      <w:pPr>
        <w:spacing w:after="0" w:line="240" w:lineRule="auto"/>
        <w:jc w:val="both"/>
        <w:textAlignment w:val="baseline"/>
        <w:rPr>
          <w:rFonts w:ascii="Verdana" w:eastAsia="Times New Roman" w:hAnsi="Verdana" w:cs="Segoe UI"/>
          <w:lang w:eastAsia="es-CO"/>
        </w:rPr>
      </w:pPr>
    </w:p>
    <w:p w14:paraId="78D7342B" w14:textId="3074E31A" w:rsidR="00D67EE2" w:rsidRPr="004667F5" w:rsidRDefault="00D67EE2" w:rsidP="00D67EE2">
      <w:pPr>
        <w:jc w:val="both"/>
        <w:textAlignment w:val="baseline"/>
        <w:rPr>
          <w:rFonts w:ascii="Verdana" w:eastAsia="Times New Roman" w:hAnsi="Verdana"/>
          <w:lang w:eastAsia="es-CO"/>
        </w:rPr>
      </w:pPr>
      <w:r w:rsidRPr="006E273C">
        <w:rPr>
          <w:rFonts w:ascii="Verdana" w:eastAsia="Times New Roman" w:hAnsi="Verdana" w:cs="Calibri"/>
          <w:lang w:eastAsia="es-CO"/>
        </w:rPr>
        <w:t> </w:t>
      </w:r>
    </w:p>
    <w:p w14:paraId="72F94869" w14:textId="2A1FD914" w:rsidR="00D67EE2" w:rsidRDefault="00D16CD0" w:rsidP="00D67EE2">
      <w:pPr>
        <w:spacing w:after="0" w:line="240" w:lineRule="auto"/>
        <w:jc w:val="center"/>
        <w:textAlignment w:val="baseline"/>
        <w:rPr>
          <w:rFonts w:ascii="Verdana" w:eastAsia="Times New Roman" w:hAnsi="Verdana" w:cs="Segoe UI"/>
          <w:b/>
          <w:bCs/>
          <w:lang w:val="es-MX" w:eastAsia="es-CO"/>
        </w:rPr>
      </w:pPr>
      <w:r w:rsidRPr="004D5C25">
        <w:rPr>
          <w:rFonts w:ascii="Century Gothic" w:hAnsi="Century Gothic"/>
          <w:noProof/>
        </w:rPr>
        <w:drawing>
          <wp:inline distT="0" distB="0" distL="0" distR="0" wp14:anchorId="22D78F89" wp14:editId="42AA483F">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394701" cy="1457365"/>
                    </a:xfrm>
                    <a:prstGeom prst="rect">
                      <a:avLst/>
                    </a:prstGeom>
                  </pic:spPr>
                </pic:pic>
              </a:graphicData>
            </a:graphic>
          </wp:inline>
        </w:drawing>
      </w:r>
    </w:p>
    <w:p w14:paraId="605BC879" w14:textId="77777777" w:rsidR="00D67EE2" w:rsidRPr="004667F5" w:rsidRDefault="00D67EE2" w:rsidP="00D67EE2">
      <w:pPr>
        <w:spacing w:after="0" w:line="240" w:lineRule="auto"/>
        <w:jc w:val="center"/>
        <w:textAlignment w:val="baseline"/>
        <w:rPr>
          <w:rFonts w:ascii="Verdana" w:eastAsia="Times New Roman" w:hAnsi="Verdana" w:cs="Segoe UI"/>
          <w:b/>
          <w:bCs/>
          <w:lang w:val="es-MX"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67EE2" w:rsidRPr="00593A5F" w14:paraId="356CE54C" w14:textId="77777777" w:rsidTr="00E9164D">
        <w:trPr>
          <w:trHeight w:val="315"/>
        </w:trPr>
        <w:tc>
          <w:tcPr>
            <w:tcW w:w="893" w:type="dxa"/>
            <w:vAlign w:val="center"/>
            <w:hideMark/>
          </w:tcPr>
          <w:p w14:paraId="3C26AC30" w14:textId="77777777" w:rsidR="00D67EE2" w:rsidRPr="004E6C40" w:rsidRDefault="00D67EE2" w:rsidP="00E9164D">
            <w:pPr>
              <w:contextualSpacing/>
              <w:rPr>
                <w:rFonts w:ascii="Verdana" w:hAnsi="Verdana" w:cs="Arial"/>
                <w:sz w:val="16"/>
                <w:szCs w:val="16"/>
                <w:lang w:val="es-ES" w:eastAsia="es-ES"/>
              </w:rPr>
            </w:pPr>
            <w:r w:rsidRPr="004E6C4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2A88C4C" w14:textId="77777777" w:rsidR="00D67EE2" w:rsidRPr="004E6C40" w:rsidRDefault="00D67EE2" w:rsidP="00E9164D">
            <w:pPr>
              <w:contextualSpacing/>
              <w:rPr>
                <w:rFonts w:ascii="Verdana" w:eastAsia="Arial" w:hAnsi="Verdana" w:cs="Arial"/>
                <w:sz w:val="16"/>
                <w:szCs w:val="16"/>
              </w:rPr>
            </w:pPr>
            <w:r w:rsidRPr="004E6C40">
              <w:rPr>
                <w:rFonts w:ascii="Verdana" w:eastAsia="Arial" w:hAnsi="Verdana" w:cs="Arial"/>
                <w:sz w:val="16"/>
                <w:szCs w:val="16"/>
              </w:rPr>
              <w:t>An</w:t>
            </w:r>
            <w:r>
              <w:rPr>
                <w:rFonts w:ascii="Verdana" w:eastAsia="Arial" w:hAnsi="Verdana" w:cs="Arial"/>
                <w:sz w:val="16"/>
                <w:szCs w:val="16"/>
              </w:rPr>
              <w:t>drea del Pilar Garzón Sánchez</w:t>
            </w:r>
          </w:p>
          <w:p w14:paraId="071B17CE" w14:textId="77777777" w:rsidR="00D67EE2" w:rsidRPr="004E6C40" w:rsidRDefault="00D67EE2" w:rsidP="00E9164D">
            <w:pPr>
              <w:contextualSpacing/>
              <w:rPr>
                <w:rFonts w:ascii="Verdana" w:eastAsia="Arial" w:hAnsi="Verdana" w:cs="Arial"/>
                <w:sz w:val="16"/>
                <w:szCs w:val="16"/>
              </w:rPr>
            </w:pPr>
            <w:r>
              <w:rPr>
                <w:rStyle w:val="normaltextrun"/>
                <w:rFonts w:ascii="Verdana" w:eastAsia="Arial" w:hAnsi="Verdana" w:cs="Arial"/>
                <w:sz w:val="16"/>
                <w:szCs w:val="16"/>
              </w:rPr>
              <w:t xml:space="preserve">Contratista de </w:t>
            </w:r>
            <w:r w:rsidRPr="004E6C40">
              <w:rPr>
                <w:rStyle w:val="normaltextrun"/>
                <w:rFonts w:ascii="Verdana" w:eastAsia="Arial" w:hAnsi="Verdana" w:cs="Arial"/>
                <w:sz w:val="16"/>
                <w:szCs w:val="16"/>
              </w:rPr>
              <w:t>la Subdirección de Gestión Contractual</w:t>
            </w:r>
          </w:p>
        </w:tc>
      </w:tr>
      <w:tr w:rsidR="00D67EE2" w:rsidRPr="00593A5F" w14:paraId="1E833888" w14:textId="77777777" w:rsidTr="00E9164D">
        <w:trPr>
          <w:trHeight w:val="330"/>
        </w:trPr>
        <w:tc>
          <w:tcPr>
            <w:tcW w:w="893" w:type="dxa"/>
            <w:vAlign w:val="center"/>
            <w:hideMark/>
          </w:tcPr>
          <w:p w14:paraId="2DA55593" w14:textId="77777777" w:rsidR="00D67EE2" w:rsidRPr="004E6C40" w:rsidRDefault="00D67EE2" w:rsidP="00E9164D">
            <w:pPr>
              <w:contextualSpacing/>
              <w:rPr>
                <w:rFonts w:ascii="Verdana" w:hAnsi="Verdana" w:cs="Arial"/>
                <w:sz w:val="16"/>
                <w:szCs w:val="16"/>
                <w:lang w:val="es-ES" w:eastAsia="es-ES"/>
              </w:rPr>
            </w:pPr>
            <w:r w:rsidRPr="004E6C4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58D593" w14:textId="77777777" w:rsidR="00D67EE2" w:rsidRPr="0043234D" w:rsidRDefault="00D67EE2" w:rsidP="00D67EE2">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 xml:space="preserve">Juan David Cárdenas </w:t>
            </w:r>
          </w:p>
          <w:p w14:paraId="72BED877" w14:textId="2A0651AE" w:rsidR="00D67EE2" w:rsidRPr="004E6C40" w:rsidRDefault="00D67EE2" w:rsidP="00D67EE2">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r w:rsidRPr="004E6C40">
              <w:rPr>
                <w:rStyle w:val="eop"/>
                <w:rFonts w:ascii="Verdana" w:hAnsi="Verdana" w:cs="Arial"/>
                <w:sz w:val="16"/>
                <w:szCs w:val="16"/>
              </w:rPr>
              <w:t> </w:t>
            </w:r>
          </w:p>
        </w:tc>
      </w:tr>
      <w:tr w:rsidR="00D67EE2" w:rsidRPr="004237F4" w14:paraId="71C37771" w14:textId="77777777" w:rsidTr="00E9164D">
        <w:trPr>
          <w:trHeight w:val="300"/>
        </w:trPr>
        <w:tc>
          <w:tcPr>
            <w:tcW w:w="893" w:type="dxa"/>
            <w:vAlign w:val="center"/>
          </w:tcPr>
          <w:p w14:paraId="2B1C7114" w14:textId="77777777" w:rsidR="00D67EE2" w:rsidRPr="004237F4" w:rsidRDefault="00D67EE2" w:rsidP="00E9164D">
            <w:pPr>
              <w:contextualSpacing/>
              <w:rPr>
                <w:rFonts w:ascii="Verdana" w:hAnsi="Verdana" w:cs="Arial"/>
                <w:sz w:val="16"/>
                <w:szCs w:val="16"/>
                <w:lang w:val="es-ES" w:eastAsia="es-ES"/>
              </w:rPr>
            </w:pPr>
            <w:r w:rsidRPr="004237F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2AE487" w14:textId="77777777" w:rsidR="00D67EE2" w:rsidRPr="004237F4" w:rsidRDefault="00D67EE2" w:rsidP="00E9164D">
            <w:pPr>
              <w:contextualSpacing/>
              <w:rPr>
                <w:rFonts w:ascii="Verdana" w:eastAsia="Calibri" w:hAnsi="Verdana" w:cs="Arial"/>
                <w:sz w:val="16"/>
                <w:szCs w:val="16"/>
                <w:lang w:val="pt-BR" w:eastAsia="es-ES"/>
              </w:rPr>
            </w:pPr>
            <w:r w:rsidRPr="004237F4">
              <w:rPr>
                <w:rFonts w:ascii="Verdana" w:eastAsia="Calibri" w:hAnsi="Verdana" w:cs="Arial"/>
                <w:sz w:val="16"/>
                <w:szCs w:val="16"/>
                <w:lang w:val="pt-BR" w:eastAsia="es-ES"/>
              </w:rPr>
              <w:t xml:space="preserve">Carolina Quintero </w:t>
            </w:r>
            <w:proofErr w:type="spellStart"/>
            <w:r w:rsidRPr="004237F4">
              <w:rPr>
                <w:rFonts w:ascii="Verdana" w:eastAsia="Calibri" w:hAnsi="Verdana" w:cs="Arial"/>
                <w:sz w:val="16"/>
                <w:szCs w:val="16"/>
                <w:lang w:val="pt-BR" w:eastAsia="es-ES"/>
              </w:rPr>
              <w:t>Gacharná</w:t>
            </w:r>
            <w:proofErr w:type="spellEnd"/>
          </w:p>
          <w:p w14:paraId="718E0E32" w14:textId="77777777" w:rsidR="00D67EE2" w:rsidRPr="004237F4" w:rsidRDefault="00D67EE2" w:rsidP="00E9164D">
            <w:pPr>
              <w:contextualSpacing/>
              <w:rPr>
                <w:rFonts w:ascii="Verdana" w:eastAsia="Calibri" w:hAnsi="Verdana" w:cs="Arial"/>
                <w:sz w:val="16"/>
                <w:szCs w:val="16"/>
                <w:lang w:val="pt-BR" w:eastAsia="es-ES"/>
              </w:rPr>
            </w:pPr>
            <w:r w:rsidRPr="004237F4">
              <w:rPr>
                <w:rFonts w:ascii="Verdana" w:eastAsia="Calibri" w:hAnsi="Verdana" w:cs="Arial"/>
                <w:sz w:val="16"/>
                <w:szCs w:val="16"/>
                <w:lang w:eastAsia="es-ES"/>
              </w:rPr>
              <w:t>Subdirectora</w:t>
            </w:r>
            <w:r w:rsidRPr="004237F4">
              <w:rPr>
                <w:rFonts w:ascii="Verdana" w:eastAsia="Calibri" w:hAnsi="Verdana" w:cs="Arial"/>
                <w:sz w:val="16"/>
                <w:szCs w:val="16"/>
                <w:lang w:val="pt-BR" w:eastAsia="es-ES"/>
              </w:rPr>
              <w:t xml:space="preserve"> de </w:t>
            </w:r>
            <w:proofErr w:type="spellStart"/>
            <w:r w:rsidRPr="004237F4">
              <w:rPr>
                <w:rFonts w:ascii="Verdana" w:eastAsia="Calibri" w:hAnsi="Verdana" w:cs="Arial"/>
                <w:sz w:val="16"/>
                <w:szCs w:val="16"/>
                <w:lang w:val="pt-BR" w:eastAsia="es-ES"/>
              </w:rPr>
              <w:t>Gestión</w:t>
            </w:r>
            <w:proofErr w:type="spellEnd"/>
            <w:r w:rsidRPr="004237F4">
              <w:rPr>
                <w:rFonts w:ascii="Verdana" w:eastAsia="Calibri" w:hAnsi="Verdana" w:cs="Arial"/>
                <w:sz w:val="16"/>
                <w:szCs w:val="16"/>
                <w:lang w:val="pt-BR" w:eastAsia="es-ES"/>
              </w:rPr>
              <w:t xml:space="preserve"> </w:t>
            </w:r>
            <w:proofErr w:type="spellStart"/>
            <w:r w:rsidRPr="004237F4">
              <w:rPr>
                <w:rFonts w:ascii="Verdana" w:eastAsia="Calibri" w:hAnsi="Verdana" w:cs="Arial"/>
                <w:sz w:val="16"/>
                <w:szCs w:val="16"/>
                <w:lang w:val="pt-BR" w:eastAsia="es-ES"/>
              </w:rPr>
              <w:t>Contractual</w:t>
            </w:r>
            <w:proofErr w:type="spellEnd"/>
            <w:r w:rsidRPr="004237F4">
              <w:rPr>
                <w:rFonts w:ascii="Verdana" w:eastAsia="Calibri" w:hAnsi="Verdana" w:cs="Arial"/>
                <w:sz w:val="16"/>
                <w:szCs w:val="16"/>
                <w:lang w:val="pt-BR" w:eastAsia="es-ES"/>
              </w:rPr>
              <w:t xml:space="preserve"> ANCP – CCE</w:t>
            </w:r>
          </w:p>
        </w:tc>
      </w:tr>
    </w:tbl>
    <w:p w14:paraId="72CA1DD0" w14:textId="77777777" w:rsidR="00D67EE2" w:rsidRDefault="00D67EE2" w:rsidP="00D67EE2">
      <w:pPr>
        <w:spacing w:after="0" w:line="240" w:lineRule="auto"/>
        <w:textAlignment w:val="baseline"/>
        <w:rPr>
          <w:rFonts w:ascii="Verdana" w:eastAsia="Times New Roman" w:hAnsi="Verdana" w:cs="Segoe UI"/>
          <w:lang w:eastAsia="es-CO"/>
        </w:rPr>
      </w:pPr>
    </w:p>
    <w:p w14:paraId="4EE6A6D4" w14:textId="77777777" w:rsidR="00D67EE2" w:rsidRPr="006E273C" w:rsidRDefault="00D67EE2" w:rsidP="00D67EE2">
      <w:pPr>
        <w:spacing w:after="0" w:line="240" w:lineRule="auto"/>
        <w:jc w:val="both"/>
        <w:textAlignment w:val="baseline"/>
        <w:rPr>
          <w:rFonts w:ascii="Verdana" w:eastAsia="Times New Roman" w:hAnsi="Verdana" w:cs="Calibri"/>
          <w:lang w:eastAsia="es-CO"/>
        </w:rPr>
      </w:pPr>
    </w:p>
    <w:p w14:paraId="019AED02" w14:textId="77777777" w:rsidR="00D67EE2" w:rsidRPr="004667F5" w:rsidRDefault="00D67EE2" w:rsidP="00D67EE2">
      <w:pPr>
        <w:spacing w:after="0" w:line="240" w:lineRule="auto"/>
        <w:jc w:val="both"/>
        <w:textAlignment w:val="baseline"/>
        <w:rPr>
          <w:rFonts w:ascii="Verdana" w:eastAsia="Times New Roman" w:hAnsi="Verdana" w:cs="Segoe UI"/>
          <w:lang w:eastAsia="es-CO"/>
        </w:rPr>
      </w:pPr>
    </w:p>
    <w:p w14:paraId="2F831EF9"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5448079B"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6A589FC8"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64F6B56A"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679A83B7"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2DBBE603"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1C73D576" w14:textId="77777777" w:rsidR="00D67EE2" w:rsidRDefault="00D67EE2" w:rsidP="00D67EE2">
      <w:pPr>
        <w:spacing w:after="0" w:line="240" w:lineRule="auto"/>
        <w:jc w:val="both"/>
        <w:textAlignment w:val="baseline"/>
        <w:rPr>
          <w:rFonts w:ascii="Verdana" w:eastAsia="Times New Roman" w:hAnsi="Verdana" w:cs="Segoe UI"/>
          <w:sz w:val="24"/>
          <w:szCs w:val="24"/>
          <w:lang w:eastAsia="es-CO"/>
        </w:rPr>
      </w:pPr>
    </w:p>
    <w:p w14:paraId="26DD6276" w14:textId="77777777" w:rsidR="5D8505AD" w:rsidRPr="00871B59" w:rsidRDefault="5D8505AD" w:rsidP="00871B59"/>
    <w:sectPr w:rsidR="5D8505AD" w:rsidRPr="00871B59"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BD6A2" w14:textId="77777777" w:rsidR="00330438" w:rsidRDefault="00330438" w:rsidP="00B30448">
      <w:pPr>
        <w:spacing w:after="0" w:line="240" w:lineRule="auto"/>
      </w:pPr>
      <w:r>
        <w:separator/>
      </w:r>
    </w:p>
  </w:endnote>
  <w:endnote w:type="continuationSeparator" w:id="0">
    <w:p w14:paraId="1C0D9736" w14:textId="77777777" w:rsidR="00330438" w:rsidRDefault="00330438" w:rsidP="00B30448">
      <w:pPr>
        <w:spacing w:after="0" w:line="240" w:lineRule="auto"/>
      </w:pPr>
      <w:r>
        <w:continuationSeparator/>
      </w:r>
    </w:p>
  </w:endnote>
  <w:endnote w:type="continuationNotice" w:id="1">
    <w:p w14:paraId="42AF9851" w14:textId="77777777" w:rsidR="00330438" w:rsidRDefault="003304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91F0A" w14:textId="77777777" w:rsidR="000849D5" w:rsidRDefault="000849D5" w:rsidP="000849D5">
    <w:pPr>
      <w:spacing w:after="0"/>
      <w:rPr>
        <w:rFonts w:ascii="Verdana" w:hAnsi="Verdana"/>
        <w:b/>
        <w:bCs/>
        <w:sz w:val="20"/>
        <w:szCs w:val="20"/>
      </w:rPr>
    </w:pPr>
  </w:p>
  <w:p w14:paraId="41188266"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44F4CA2"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13BCAED"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7DE4CB66"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D5BF812" w14:textId="77777777" w:rsidR="000849D5" w:rsidRPr="007D04B2" w:rsidRDefault="000849D5" w:rsidP="000849D5">
    <w:pPr>
      <w:pStyle w:val="Piedepgina"/>
    </w:pPr>
  </w:p>
  <w:p w14:paraId="5C48B9A8"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F2268" w14:textId="77777777" w:rsidR="00330438" w:rsidRDefault="00330438" w:rsidP="00B30448">
      <w:pPr>
        <w:spacing w:after="0" w:line="240" w:lineRule="auto"/>
      </w:pPr>
      <w:r>
        <w:separator/>
      </w:r>
    </w:p>
  </w:footnote>
  <w:footnote w:type="continuationSeparator" w:id="0">
    <w:p w14:paraId="0790DE2B" w14:textId="77777777" w:rsidR="00330438" w:rsidRDefault="00330438" w:rsidP="00B30448">
      <w:pPr>
        <w:spacing w:after="0" w:line="240" w:lineRule="auto"/>
      </w:pPr>
      <w:r>
        <w:continuationSeparator/>
      </w:r>
    </w:p>
  </w:footnote>
  <w:footnote w:type="continuationNotice" w:id="1">
    <w:p w14:paraId="4EE81299" w14:textId="77777777" w:rsidR="00330438" w:rsidRDefault="00330438">
      <w:pPr>
        <w:spacing w:after="0" w:line="240" w:lineRule="auto"/>
      </w:pPr>
    </w:p>
  </w:footnote>
  <w:footnote w:id="2">
    <w:p w14:paraId="0285AEAB" w14:textId="77777777" w:rsidR="00D93D99" w:rsidRPr="006A0190" w:rsidRDefault="00D93D99" w:rsidP="00D93D99">
      <w:pPr>
        <w:pStyle w:val="paragraph"/>
        <w:spacing w:before="0" w:beforeAutospacing="0" w:after="0" w:afterAutospacing="0"/>
        <w:ind w:firstLine="709"/>
        <w:jc w:val="both"/>
        <w:textAlignment w:val="baseline"/>
        <w:rPr>
          <w:rFonts w:ascii="Arial" w:hAnsi="Arial" w:cs="Arial"/>
          <w:color w:val="000000" w:themeColor="text1"/>
          <w:sz w:val="19"/>
          <w:szCs w:val="19"/>
        </w:rPr>
      </w:pPr>
      <w:r w:rsidRPr="006A0190">
        <w:rPr>
          <w:rStyle w:val="Refdenotaalpie"/>
          <w:rFonts w:ascii="Arial" w:hAnsi="Arial" w:cs="Arial"/>
          <w:color w:val="000000" w:themeColor="text1"/>
          <w:sz w:val="19"/>
          <w:szCs w:val="19"/>
        </w:rPr>
        <w:footnoteRef/>
      </w:r>
      <w:r w:rsidRPr="006A0190">
        <w:rPr>
          <w:rFonts w:ascii="Arial" w:hAnsi="Arial" w:cs="Arial"/>
          <w:color w:val="000000" w:themeColor="text1"/>
          <w:sz w:val="19"/>
          <w:szCs w:val="19"/>
        </w:rPr>
        <w:t xml:space="preserve"> </w:t>
      </w:r>
      <w:r w:rsidRPr="006A0190">
        <w:rPr>
          <w:rFonts w:ascii="Arial" w:hAnsi="Arial" w:cs="Arial"/>
          <w:color w:val="000000" w:themeColor="text1"/>
          <w:sz w:val="19"/>
          <w:szCs w:val="19"/>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6A0190">
        <w:rPr>
          <w:rFonts w:ascii="Arial" w:hAnsi="Arial" w:cs="Arial"/>
          <w:color w:val="000000" w:themeColor="text1"/>
          <w:sz w:val="19"/>
          <w:szCs w:val="19"/>
        </w:rPr>
        <w:t>  </w:t>
      </w:r>
    </w:p>
  </w:footnote>
  <w:footnote w:id="3">
    <w:p w14:paraId="5D8A7FDB" w14:textId="77777777" w:rsidR="00D93D99" w:rsidRPr="006A0190" w:rsidRDefault="00D93D99" w:rsidP="00D93D99">
      <w:pPr>
        <w:spacing w:after="0" w:line="240" w:lineRule="auto"/>
        <w:ind w:firstLine="709"/>
        <w:jc w:val="both"/>
        <w:rPr>
          <w:lang w:val="es-ES"/>
        </w:rPr>
      </w:pPr>
      <w:r w:rsidRPr="006A0190">
        <w:rPr>
          <w:rFonts w:ascii="Arial" w:eastAsia="Times New Roman" w:hAnsi="Arial" w:cs="Arial"/>
          <w:color w:val="000000" w:themeColor="text1"/>
          <w:sz w:val="19"/>
          <w:szCs w:val="19"/>
          <w:lang w:val="es-ES" w:eastAsia="es-MX"/>
        </w:rPr>
        <w:t xml:space="preserve"> </w:t>
      </w:r>
      <w:r w:rsidRPr="006A0190">
        <w:rPr>
          <w:rStyle w:val="Refdenotaalpie"/>
          <w:rFonts w:ascii="Arial" w:hAnsi="Arial" w:cs="Arial"/>
          <w:color w:val="000000" w:themeColor="text1"/>
          <w:sz w:val="19"/>
          <w:szCs w:val="19"/>
        </w:rPr>
        <w:footnoteRef/>
      </w:r>
      <w:r w:rsidRPr="006A0190">
        <w:rPr>
          <w:rFonts w:ascii="Arial" w:eastAsia="Times New Roman" w:hAnsi="Arial" w:cs="Arial"/>
          <w:color w:val="000000" w:themeColor="text1"/>
          <w:sz w:val="19"/>
          <w:szCs w:val="19"/>
          <w:lang w:val="es-ES" w:eastAsia="es-MX"/>
        </w:rPr>
        <w:t xml:space="preserve"> Así lo establece la Constitución Política, en el artículo 150, numeral 7, así como en el artículo 300, numeral 7 y en el artículo 313, numeral 6.</w:t>
      </w:r>
    </w:p>
  </w:footnote>
  <w:footnote w:id="4">
    <w:p w14:paraId="2557D512" w14:textId="77777777" w:rsidR="00D93D99" w:rsidRPr="006A0190" w:rsidRDefault="00D93D99" w:rsidP="00D93D99">
      <w:pPr>
        <w:pStyle w:val="Textonotapie"/>
        <w:ind w:firstLine="709"/>
        <w:rPr>
          <w:rFonts w:ascii="Arial" w:hAnsi="Arial" w:cs="Arial"/>
          <w:sz w:val="19"/>
          <w:szCs w:val="19"/>
        </w:rPr>
      </w:pPr>
      <w:r w:rsidRPr="006A0190">
        <w:rPr>
          <w:rStyle w:val="Refdenotaalpie"/>
          <w:rFonts w:ascii="Arial" w:hAnsi="Arial" w:cs="Arial"/>
          <w:sz w:val="19"/>
          <w:szCs w:val="19"/>
        </w:rPr>
        <w:footnoteRef/>
      </w:r>
      <w:r w:rsidRPr="006A0190">
        <w:rPr>
          <w:rFonts w:ascii="Arial" w:hAnsi="Arial" w:cs="Arial"/>
          <w:sz w:val="19"/>
          <w:szCs w:val="19"/>
        </w:rPr>
        <w:t xml:space="preserve"> 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 </w:t>
      </w:r>
    </w:p>
    <w:p w14:paraId="3595DC38" w14:textId="77777777" w:rsidR="00D93D99" w:rsidRPr="006A0190" w:rsidRDefault="00D93D99" w:rsidP="00D93D99">
      <w:pPr>
        <w:pStyle w:val="Textonotapie"/>
        <w:ind w:firstLine="709"/>
        <w:rPr>
          <w:rFonts w:ascii="Arial" w:hAnsi="Arial" w:cs="Arial"/>
          <w:sz w:val="19"/>
          <w:szCs w:val="19"/>
        </w:rPr>
      </w:pPr>
    </w:p>
  </w:footnote>
  <w:footnote w:id="5">
    <w:p w14:paraId="512E3186" w14:textId="77777777" w:rsidR="00D93D99" w:rsidRPr="006A0190" w:rsidRDefault="00D93D99" w:rsidP="00D93D99">
      <w:pPr>
        <w:pStyle w:val="Textonotapie"/>
        <w:ind w:firstLine="709"/>
        <w:rPr>
          <w:rFonts w:ascii="Arial" w:hAnsi="Arial" w:cs="Arial"/>
          <w:sz w:val="19"/>
          <w:szCs w:val="19"/>
          <w:lang w:val="es-CO"/>
        </w:rPr>
      </w:pPr>
      <w:r w:rsidRPr="006A0190">
        <w:rPr>
          <w:rStyle w:val="Refdenotaalpie"/>
          <w:rFonts w:ascii="Arial" w:hAnsi="Arial" w:cs="Arial"/>
          <w:sz w:val="19"/>
          <w:szCs w:val="19"/>
        </w:rPr>
        <w:footnoteRef/>
      </w:r>
      <w:r w:rsidRPr="006A0190">
        <w:rPr>
          <w:rFonts w:ascii="Arial" w:hAnsi="Arial" w:cs="Arial"/>
          <w:sz w:val="19"/>
          <w:szCs w:val="19"/>
        </w:rPr>
        <w:t xml:space="preserve"> «Una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6">
    <w:p w14:paraId="742ED212" w14:textId="77777777" w:rsidR="00D93D99" w:rsidRPr="00C05384" w:rsidRDefault="00D93D99" w:rsidP="00D93D99">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7">
    <w:p w14:paraId="433DE810" w14:textId="77777777" w:rsidR="00D93D99" w:rsidRPr="00C05384" w:rsidRDefault="00D93D99" w:rsidP="00D93D99">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8">
    <w:p w14:paraId="38FC7A77" w14:textId="77777777" w:rsidR="00D93D99" w:rsidRPr="00C05384" w:rsidRDefault="00D93D99" w:rsidP="00D93D99">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C-652 de 5 de agosto de 2003, expediente: D-4330; C-353 de 20 de </w:t>
      </w:r>
      <w:proofErr w:type="spellStart"/>
      <w:r w:rsidRPr="00C05384">
        <w:rPr>
          <w:rFonts w:ascii="Verdana" w:hAnsi="Verdana" w:cs="Arial"/>
          <w:sz w:val="16"/>
          <w:szCs w:val="16"/>
          <w:lang w:val="pt-BR"/>
        </w:rPr>
        <w:t>mayo</w:t>
      </w:r>
      <w:proofErr w:type="spellEnd"/>
      <w:r w:rsidRPr="00C05384">
        <w:rPr>
          <w:rFonts w:ascii="Verdana" w:hAnsi="Verdana" w:cs="Arial"/>
          <w:sz w:val="16"/>
          <w:szCs w:val="16"/>
          <w:lang w:val="pt-BR"/>
        </w:rPr>
        <w:t xml:space="preserve"> de 2009, expediente: D-7518, C-541 de 30 de </w:t>
      </w:r>
      <w:proofErr w:type="spellStart"/>
      <w:r w:rsidRPr="00C05384">
        <w:rPr>
          <w:rFonts w:ascii="Verdana" w:hAnsi="Verdana" w:cs="Arial"/>
          <w:sz w:val="16"/>
          <w:szCs w:val="16"/>
          <w:lang w:val="pt-BR"/>
        </w:rPr>
        <w:t>junio</w:t>
      </w:r>
      <w:proofErr w:type="spellEnd"/>
      <w:r w:rsidRPr="00C05384">
        <w:rPr>
          <w:rFonts w:ascii="Verdana" w:hAnsi="Verdana" w:cs="Arial"/>
          <w:sz w:val="16"/>
          <w:szCs w:val="16"/>
          <w:lang w:val="pt-BR"/>
        </w:rPr>
        <w:t xml:space="preserve"> de 2010, expediente: DD7966; entre </w:t>
      </w:r>
      <w:proofErr w:type="spellStart"/>
      <w:r w:rsidRPr="00C05384">
        <w:rPr>
          <w:rFonts w:ascii="Verdana" w:hAnsi="Verdana" w:cs="Arial"/>
          <w:sz w:val="16"/>
          <w:szCs w:val="16"/>
          <w:lang w:val="pt-BR"/>
        </w:rPr>
        <w:t>otras</w:t>
      </w:r>
      <w:proofErr w:type="spellEnd"/>
      <w:r w:rsidRPr="00C05384">
        <w:rPr>
          <w:rFonts w:ascii="Verdana" w:hAnsi="Verdana" w:cs="Arial"/>
          <w:sz w:val="16"/>
          <w:szCs w:val="16"/>
          <w:lang w:val="pt-BR"/>
        </w:rPr>
        <w:t>.</w:t>
      </w:r>
    </w:p>
  </w:footnote>
  <w:footnote w:id="9">
    <w:p w14:paraId="48F2FA1A" w14:textId="77777777" w:rsidR="00D93D99" w:rsidRPr="00C05384" w:rsidRDefault="00D93D99" w:rsidP="00D93D99">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0">
    <w:p w14:paraId="2C718D3D" w14:textId="77777777" w:rsidR="00D93D99" w:rsidRPr="00C05384" w:rsidRDefault="00D93D99" w:rsidP="00D93D99">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11">
    <w:p w14:paraId="1B44362D" w14:textId="77777777" w:rsidR="00D93D99" w:rsidRPr="00C05384" w:rsidRDefault="00D93D99" w:rsidP="00D93D99">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12">
    <w:p w14:paraId="22DF2E19" w14:textId="77777777" w:rsidR="00D93D99" w:rsidRPr="00C05384" w:rsidRDefault="00D93D99" w:rsidP="00D93D99">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7B1E8"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4B0C4AF" w14:textId="77777777" w:rsidR="00515FB5" w:rsidRDefault="00515FB5" w:rsidP="00515FB5">
    <w:pPr>
      <w:pStyle w:val="Encabezado"/>
    </w:pPr>
  </w:p>
  <w:p w14:paraId="5C763847" w14:textId="77777777" w:rsidR="00515FB5" w:rsidRDefault="00515FB5" w:rsidP="00515FB5">
    <w:pPr>
      <w:pStyle w:val="Encabezado"/>
    </w:pPr>
  </w:p>
  <w:p w14:paraId="3E59D94E" w14:textId="77777777" w:rsidR="00515FB5" w:rsidRDefault="00515FB5" w:rsidP="00515FB5">
    <w:pPr>
      <w:pStyle w:val="Encabezado"/>
    </w:pPr>
  </w:p>
  <w:p w14:paraId="17F25330" w14:textId="77777777" w:rsidR="00515FB5" w:rsidRPr="00AB7B56" w:rsidRDefault="00515FB5" w:rsidP="00515FB5">
    <w:pPr>
      <w:pStyle w:val="Encabezado"/>
    </w:pPr>
  </w:p>
  <w:p w14:paraId="466E27B6"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abstractNumId w:val="5"/>
  </w:num>
  <w:num w:numId="2">
    <w:abstractNumId w:val="2"/>
  </w:num>
  <w:num w:numId="3">
    <w:abstractNumId w:val="3"/>
  </w:num>
  <w:num w:numId="4">
    <w:abstractNumId w:val="0"/>
  </w:num>
  <w:num w:numId="5">
    <w:abstractNumId w:val="8"/>
  </w:num>
  <w:num w:numId="6">
    <w:abstractNumId w:val="1"/>
  </w:num>
  <w:num w:numId="7">
    <w:abstractNumId w:val="4"/>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6F0"/>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58B9"/>
    <w:rsid w:val="000A6E0C"/>
    <w:rsid w:val="000A7A56"/>
    <w:rsid w:val="000B1FF7"/>
    <w:rsid w:val="000B2513"/>
    <w:rsid w:val="000B4024"/>
    <w:rsid w:val="000C3C51"/>
    <w:rsid w:val="000C7262"/>
    <w:rsid w:val="000D2A7F"/>
    <w:rsid w:val="000D343B"/>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0E81"/>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0438"/>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A4B5F"/>
    <w:rsid w:val="004A5C77"/>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462D2"/>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3BB1"/>
    <w:rsid w:val="0078706B"/>
    <w:rsid w:val="00790836"/>
    <w:rsid w:val="00797131"/>
    <w:rsid w:val="007A3C1D"/>
    <w:rsid w:val="007B285D"/>
    <w:rsid w:val="007C6BC6"/>
    <w:rsid w:val="00800423"/>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D76F0"/>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72C0"/>
    <w:rsid w:val="00D16CD0"/>
    <w:rsid w:val="00D34C82"/>
    <w:rsid w:val="00D3757A"/>
    <w:rsid w:val="00D504A9"/>
    <w:rsid w:val="00D5206D"/>
    <w:rsid w:val="00D67EE2"/>
    <w:rsid w:val="00D7177D"/>
    <w:rsid w:val="00D81311"/>
    <w:rsid w:val="00D93D99"/>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142706"/>
  <w15:docId w15:val="{560C3492-E338-CA4A-BE1D-A9FEDA444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rsid w:val="00D93D99"/>
    <w:rPr>
      <w:rFonts w:ascii="Times New Roman" w:hAnsi="Times New Roman" w:cs="Times New Roman"/>
      <w:sz w:val="24"/>
      <w:szCs w:val="24"/>
    </w:rPr>
  </w:style>
  <w:style w:type="character" w:customStyle="1" w:styleId="baj">
    <w:name w:val="b_aj"/>
    <w:basedOn w:val="Fuentedeprrafopredeter"/>
    <w:rsid w:val="00D93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hon.gonzalez@contraloria.gov.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B789C8B4-083D-4D43-8AD7-766218097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5940</Words>
  <Characters>32670</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2026-05-06T14:02:00Z</dcterms:created>
  <dcterms:modified xsi:type="dcterms:W3CDTF">2026-05-06T14:02:00Z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