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B764A4" w14:textId="77777777" w:rsidR="0089748D" w:rsidRPr="00BC3C31" w:rsidRDefault="0089748D" w:rsidP="0089748D">
      <w:pPr>
        <w:spacing w:after="0" w:line="240" w:lineRule="auto"/>
        <w:jc w:val="both"/>
        <w:rPr>
          <w:rFonts w:ascii="Verdana" w:eastAsia="Verdana" w:hAnsi="Verdana" w:cs="Verdana"/>
          <w:b/>
        </w:rPr>
      </w:pPr>
      <w:bookmarkStart w:id="0" w:name="_Hlk143780582"/>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Finalidad </w:t>
      </w:r>
    </w:p>
    <w:p w14:paraId="059CBE59" w14:textId="77777777" w:rsidR="0089748D" w:rsidRPr="00BC3C31" w:rsidRDefault="0089748D" w:rsidP="0089748D">
      <w:pPr>
        <w:spacing w:after="0" w:line="240" w:lineRule="auto"/>
        <w:jc w:val="both"/>
        <w:rPr>
          <w:rFonts w:ascii="Verdana" w:eastAsia="Verdana" w:hAnsi="Verdana" w:cs="Verdana"/>
        </w:rPr>
      </w:pPr>
    </w:p>
    <w:p w14:paraId="693F1CD8" w14:textId="77777777" w:rsidR="0089748D" w:rsidRPr="004F3465" w:rsidRDefault="0089748D" w:rsidP="0089748D">
      <w:pPr>
        <w:spacing w:after="0" w:line="240" w:lineRule="auto"/>
        <w:jc w:val="both"/>
        <w:rPr>
          <w:rFonts w:ascii="Verdana" w:eastAsia="Verdana" w:hAnsi="Verdana" w:cs="Verdana"/>
          <w:sz w:val="20"/>
        </w:rPr>
      </w:pPr>
      <w:r w:rsidRPr="004F3465">
        <w:rPr>
          <w:rFonts w:ascii="Verdana" w:eastAsia="Verdana" w:hAnsi="Verdana" w:cs="Verdana"/>
          <w:sz w:val="20"/>
        </w:rPr>
        <w:t>En el mismo sentido</w:t>
      </w:r>
      <w:r w:rsidRPr="004F3465">
        <w:rPr>
          <w:rFonts w:ascii="Verdana" w:eastAsia="Verdana" w:hAnsi="Verdana" w:cs="Verdana"/>
          <w:sz w:val="20"/>
          <w:lang w:val="es-MX"/>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3542735F" w14:textId="77777777" w:rsidR="0089748D" w:rsidRDefault="0089748D" w:rsidP="0089748D">
      <w:pPr>
        <w:spacing w:after="0" w:line="240" w:lineRule="auto"/>
        <w:jc w:val="both"/>
        <w:rPr>
          <w:rFonts w:ascii="Verdana" w:eastAsia="Verdana" w:hAnsi="Verdana" w:cs="Verdana"/>
          <w:b/>
        </w:rPr>
      </w:pPr>
    </w:p>
    <w:p w14:paraId="5150C260" w14:textId="6C9D0433" w:rsidR="0089748D" w:rsidRPr="00BC3C31" w:rsidRDefault="0089748D" w:rsidP="0089748D">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w:t>
      </w:r>
      <w:r w:rsidRPr="00BC3C31">
        <w:rPr>
          <w:rFonts w:ascii="Verdana" w:eastAsia="Verdana" w:hAnsi="Verdana" w:cs="Verdana"/>
          <w:b/>
          <w:bCs/>
        </w:rPr>
        <w:t>‒</w:t>
      </w:r>
      <w:r w:rsidRPr="00BC3C31">
        <w:rPr>
          <w:rFonts w:ascii="Verdana" w:eastAsia="Verdana" w:hAnsi="Verdana" w:cs="Verdana"/>
          <w:b/>
        </w:rPr>
        <w:t xml:space="preserve"> Tipos de restricciones </w:t>
      </w:r>
      <w:r w:rsidRPr="00BC3C31">
        <w:rPr>
          <w:rFonts w:ascii="Verdana" w:eastAsia="Verdana" w:hAnsi="Verdana" w:cs="Verdana"/>
          <w:b/>
          <w:bCs/>
        </w:rPr>
        <w:t>‒</w:t>
      </w:r>
      <w:r w:rsidRPr="00BC3C31">
        <w:rPr>
          <w:rFonts w:ascii="Verdana" w:eastAsia="Verdana" w:hAnsi="Verdana" w:cs="Verdana"/>
          <w:b/>
        </w:rPr>
        <w:t xml:space="preserve"> Ámbito temporal – </w:t>
      </w:r>
      <w:r w:rsidR="001D27C4">
        <w:rPr>
          <w:rFonts w:ascii="Verdana" w:eastAsia="Verdana" w:hAnsi="Verdana" w:cs="Verdana"/>
          <w:b/>
        </w:rPr>
        <w:t>C</w:t>
      </w:r>
      <w:r w:rsidRPr="00BC3C31">
        <w:rPr>
          <w:rFonts w:ascii="Verdana" w:eastAsia="Verdana" w:hAnsi="Verdana" w:cs="Verdana"/>
          <w:b/>
        </w:rPr>
        <w:t>elebración</w:t>
      </w:r>
      <w:r w:rsidR="001D27C4">
        <w:rPr>
          <w:rFonts w:ascii="Verdana" w:eastAsia="Verdana" w:hAnsi="Verdana" w:cs="Verdana"/>
          <w:b/>
        </w:rPr>
        <w:t xml:space="preserve"> </w:t>
      </w:r>
      <w:r w:rsidR="001D27C4" w:rsidRPr="001D27C4">
        <w:rPr>
          <w:rFonts w:ascii="Verdana" w:eastAsia="Verdana" w:hAnsi="Verdana" w:cs="Verdana"/>
          <w:b/>
          <w:bCs/>
          <w:lang w:val="es-ES"/>
        </w:rPr>
        <w:t>–</w:t>
      </w:r>
      <w:r w:rsidRPr="00BC3C31">
        <w:rPr>
          <w:rFonts w:ascii="Verdana" w:eastAsia="Verdana" w:hAnsi="Verdana" w:cs="Verdana"/>
          <w:b/>
        </w:rPr>
        <w:t xml:space="preserve"> </w:t>
      </w:r>
      <w:r w:rsidR="001D27C4">
        <w:rPr>
          <w:rFonts w:ascii="Verdana" w:eastAsia="Verdana" w:hAnsi="Verdana" w:cs="Verdana"/>
          <w:b/>
        </w:rPr>
        <w:t>L</w:t>
      </w:r>
      <w:r w:rsidRPr="00BC3C31">
        <w:rPr>
          <w:rFonts w:ascii="Verdana" w:eastAsia="Verdana" w:hAnsi="Verdana" w:cs="Verdana"/>
          <w:b/>
        </w:rPr>
        <w:t xml:space="preserve">ímite </w:t>
      </w:r>
    </w:p>
    <w:p w14:paraId="223DC5ED" w14:textId="77777777" w:rsidR="0089748D" w:rsidRDefault="0089748D" w:rsidP="0089748D">
      <w:pPr>
        <w:spacing w:after="0" w:line="240" w:lineRule="auto"/>
        <w:jc w:val="both"/>
        <w:rPr>
          <w:rFonts w:ascii="Verdana" w:eastAsia="Verdana" w:hAnsi="Verdana" w:cs="Verdana"/>
          <w:b/>
        </w:rPr>
      </w:pPr>
    </w:p>
    <w:p w14:paraId="36DEE1E6" w14:textId="77777777" w:rsidR="0089748D" w:rsidRDefault="0089748D" w:rsidP="0089748D">
      <w:pPr>
        <w:spacing w:after="0" w:line="240" w:lineRule="auto"/>
        <w:jc w:val="both"/>
        <w:rPr>
          <w:rFonts w:ascii="Verdana" w:eastAsia="Verdana" w:hAnsi="Verdana" w:cs="Verdana"/>
          <w:sz w:val="20"/>
        </w:rPr>
      </w:pPr>
      <w:r w:rsidRPr="004D7FB4">
        <w:rPr>
          <w:rFonts w:ascii="Verdana" w:eastAsia="Verdana" w:hAnsi="Verdana" w:cs="Verdana"/>
          <w:sz w:val="20"/>
        </w:rPr>
        <w:t xml:space="preserve">Por un lado, el </w:t>
      </w:r>
      <w:r w:rsidRPr="004D7FB4">
        <w:rPr>
          <w:rFonts w:ascii="Verdana" w:eastAsia="Verdana" w:hAnsi="Verdana" w:cs="Verdana"/>
          <w:i/>
          <w:iCs/>
          <w:sz w:val="20"/>
        </w:rPr>
        <w:t>artículo 33 de la Ley 996 de 2005</w:t>
      </w:r>
      <w:r w:rsidRPr="004D7FB4">
        <w:rPr>
          <w:rFonts w:ascii="Verdana" w:eastAsia="Verdana" w:hAnsi="Verdana" w:cs="Verdana"/>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1F8D155D" w14:textId="77777777" w:rsidR="0089748D" w:rsidRPr="004D7FB4" w:rsidRDefault="0089748D" w:rsidP="0089748D">
      <w:pPr>
        <w:spacing w:after="0" w:line="240" w:lineRule="auto"/>
        <w:jc w:val="both"/>
        <w:rPr>
          <w:rFonts w:ascii="Verdana" w:eastAsia="Verdana" w:hAnsi="Verdana" w:cs="Verdana"/>
          <w:sz w:val="20"/>
        </w:rPr>
      </w:pPr>
    </w:p>
    <w:p w14:paraId="02795E57" w14:textId="77777777" w:rsidR="0089748D" w:rsidRDefault="0089748D" w:rsidP="0089748D">
      <w:pPr>
        <w:spacing w:after="0" w:line="240" w:lineRule="auto"/>
        <w:jc w:val="both"/>
        <w:rPr>
          <w:rFonts w:ascii="Verdana" w:eastAsia="Verdana" w:hAnsi="Verdana" w:cs="Verdana"/>
          <w:sz w:val="20"/>
          <w:lang w:val="es-MX"/>
        </w:rPr>
      </w:pPr>
      <w:r w:rsidRPr="004D7FB4">
        <w:rPr>
          <w:rFonts w:ascii="Verdana" w:eastAsia="Verdana" w:hAnsi="Verdana" w:cs="Verdana"/>
          <w:sz w:val="20"/>
        </w:rPr>
        <w:t xml:space="preserve">Por otro lado, </w:t>
      </w:r>
      <w:r w:rsidRPr="004D7FB4">
        <w:rPr>
          <w:rFonts w:ascii="Verdana" w:eastAsia="Verdana" w:hAnsi="Verdana" w:cs="Verdana"/>
          <w:i/>
          <w:iCs/>
          <w:sz w:val="20"/>
        </w:rPr>
        <w:t>el parágrafo del artículo 38 de la Ley 996 de 2005</w:t>
      </w:r>
      <w:r w:rsidRPr="004D7FB4">
        <w:rPr>
          <w:rFonts w:ascii="Verdana" w:eastAsia="Verdana" w:hAnsi="Verdana" w:cs="Verdana"/>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D7FB4">
        <w:rPr>
          <w:rFonts w:ascii="Verdana" w:eastAsia="Verdana" w:hAnsi="Verdana" w:cs="Verdana"/>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D7FB4">
        <w:rPr>
          <w:rFonts w:ascii="Verdana" w:eastAsia="Verdana" w:hAnsi="Verdana" w:cs="Verdana"/>
          <w:sz w:val="20"/>
        </w:rPr>
        <w:t>”</w:t>
      </w:r>
      <w:r w:rsidRPr="004D7FB4">
        <w:rPr>
          <w:rFonts w:ascii="Verdana" w:eastAsia="Verdana" w:hAnsi="Verdana" w:cs="Verdana"/>
          <w:sz w:val="20"/>
          <w:lang w:val="es-MX"/>
        </w:rPr>
        <w:t>.</w:t>
      </w:r>
    </w:p>
    <w:p w14:paraId="0524E303" w14:textId="77777777" w:rsidR="0089748D" w:rsidRPr="004D7FB4" w:rsidRDefault="0089748D" w:rsidP="0089748D">
      <w:pPr>
        <w:spacing w:after="0" w:line="240" w:lineRule="auto"/>
        <w:jc w:val="both"/>
        <w:rPr>
          <w:rFonts w:ascii="Verdana" w:eastAsia="Verdana" w:hAnsi="Verdana" w:cs="Verdana"/>
          <w:sz w:val="20"/>
          <w:lang w:bidi="es-ES"/>
        </w:rPr>
      </w:pPr>
      <w:r w:rsidRPr="004D7FB4">
        <w:rPr>
          <w:rFonts w:ascii="Verdana" w:eastAsia="Verdana" w:hAnsi="Verdana" w:cs="Verdana"/>
          <w:sz w:val="20"/>
          <w:lang w:bidi="es-ES"/>
        </w:rPr>
        <w:t xml:space="preserve"> </w:t>
      </w:r>
    </w:p>
    <w:p w14:paraId="73258E6E" w14:textId="77777777" w:rsidR="0089748D" w:rsidRPr="004D7FB4" w:rsidRDefault="0089748D" w:rsidP="0089748D">
      <w:pPr>
        <w:spacing w:after="0" w:line="240" w:lineRule="auto"/>
        <w:jc w:val="both"/>
        <w:rPr>
          <w:rFonts w:ascii="Verdana" w:eastAsia="Verdana" w:hAnsi="Verdana" w:cs="Verdana"/>
          <w:bCs/>
          <w:sz w:val="20"/>
        </w:rPr>
      </w:pPr>
      <w:r w:rsidRPr="004D7FB4">
        <w:rPr>
          <w:rFonts w:ascii="Verdana" w:eastAsia="Verdana" w:hAnsi="Verdana" w:cs="Verdana"/>
          <w:bCs/>
          <w:sz w:val="20"/>
          <w:lang w:val="es-MX"/>
        </w:rPr>
        <w:t>Para entender el momento de aplicación de estas restricciones, es preciso señalar que el vocablo “celebrar” es definido por el Diccionario Panhispánico del Español Jurídico como: “</w:t>
      </w:r>
      <w:r w:rsidRPr="004D7FB4">
        <w:rPr>
          <w:rFonts w:ascii="Verdana" w:eastAsia="Verdana" w:hAnsi="Verdana" w:cs="Verdana"/>
          <w:bCs/>
          <w:sz w:val="20"/>
        </w:rPr>
        <w:t>1. </w:t>
      </w:r>
      <w:r w:rsidRPr="004D7FB4">
        <w:rPr>
          <w:rFonts w:ascii="Verdana" w:eastAsia="Verdana" w:hAnsi="Verdana" w:cs="Verdana"/>
          <w:bCs/>
          <w:i/>
          <w:iCs/>
          <w:sz w:val="20"/>
        </w:rPr>
        <w:t>Gral.</w:t>
      </w:r>
      <w:r w:rsidRPr="004D7FB4">
        <w:rPr>
          <w:rFonts w:ascii="Verdana" w:eastAsia="Verdana" w:hAnsi="Verdana" w:cs="Verdana"/>
          <w:bCs/>
          <w:sz w:val="20"/>
        </w:rPr>
        <w:t xml:space="preserve"> Otorgar o firmar un contrato. 2. </w:t>
      </w:r>
      <w:proofErr w:type="spellStart"/>
      <w:r w:rsidRPr="004D7FB4">
        <w:rPr>
          <w:rFonts w:ascii="Verdana" w:eastAsia="Verdana" w:hAnsi="Verdana" w:cs="Verdana"/>
          <w:bCs/>
          <w:i/>
          <w:iCs/>
          <w:sz w:val="20"/>
        </w:rPr>
        <w:t>Proc</w:t>
      </w:r>
      <w:proofErr w:type="spellEnd"/>
      <w:r w:rsidRPr="004D7FB4">
        <w:rPr>
          <w:rFonts w:ascii="Verdana" w:eastAsia="Verdana" w:hAnsi="Verdana" w:cs="Verdana"/>
          <w:bCs/>
          <w:i/>
          <w:iCs/>
          <w:sz w:val="20"/>
        </w:rPr>
        <w:t>.</w:t>
      </w:r>
      <w:r w:rsidRPr="004D7FB4">
        <w:rPr>
          <w:rFonts w:ascii="Verdana" w:eastAsia="Verdana" w:hAnsi="Verdana" w:cs="Verdana"/>
          <w:bCs/>
          <w:sz w:val="20"/>
        </w:rPr>
        <w:t xml:space="preserve"> Realizar los actos procesales propios de un juicio o vista”. Dentro de las dos definiciones, la que se acerca a la expresión “celebrar” en el contexto de la Ley de Garantías Electorales es la primera, esto es, al perfeccionamiento del contrato. </w:t>
      </w:r>
    </w:p>
    <w:p w14:paraId="02D60678" w14:textId="77777777" w:rsidR="0089748D" w:rsidRPr="00BC3C31" w:rsidRDefault="0089748D" w:rsidP="0089748D">
      <w:pPr>
        <w:spacing w:after="0" w:line="240" w:lineRule="auto"/>
        <w:jc w:val="both"/>
        <w:rPr>
          <w:rFonts w:ascii="Verdana" w:eastAsia="Verdana" w:hAnsi="Verdana" w:cs="Verdana"/>
          <w:b/>
        </w:rPr>
      </w:pPr>
    </w:p>
    <w:p w14:paraId="67C2DF2A" w14:textId="77777777" w:rsidR="0089748D" w:rsidRPr="00BC3C31" w:rsidRDefault="0089748D" w:rsidP="0089748D">
      <w:pPr>
        <w:spacing w:after="0" w:line="240" w:lineRule="auto"/>
        <w:jc w:val="both"/>
        <w:rPr>
          <w:rFonts w:ascii="Verdana" w:eastAsia="Verdana" w:hAnsi="Verdana" w:cs="Verdana"/>
          <w:b/>
        </w:rPr>
      </w:pPr>
      <w:r w:rsidRPr="00BC3C31">
        <w:rPr>
          <w:rFonts w:ascii="Verdana" w:eastAsia="Verdana" w:hAnsi="Verdana" w:cs="Verdana"/>
          <w:b/>
        </w:rPr>
        <w:t>LEY DE GARANTÍAS ELECTORALES – Prohibición artículo 33 – Contratación directa – Alcance</w:t>
      </w:r>
    </w:p>
    <w:p w14:paraId="39F84998" w14:textId="77777777" w:rsidR="0089748D" w:rsidRPr="00BC3C31" w:rsidRDefault="0089748D" w:rsidP="0089748D">
      <w:pPr>
        <w:spacing w:after="0" w:line="240" w:lineRule="auto"/>
        <w:jc w:val="both"/>
        <w:rPr>
          <w:rFonts w:ascii="Verdana" w:eastAsia="Verdana" w:hAnsi="Verdana" w:cs="Verdana"/>
          <w:b/>
        </w:rPr>
      </w:pPr>
    </w:p>
    <w:p w14:paraId="052C15F4" w14:textId="77777777" w:rsidR="0089748D" w:rsidRPr="004D7FB4" w:rsidRDefault="0089748D" w:rsidP="0089748D">
      <w:pPr>
        <w:spacing w:after="0" w:line="240" w:lineRule="auto"/>
        <w:jc w:val="both"/>
        <w:rPr>
          <w:rFonts w:ascii="Verdana" w:eastAsia="Verdana" w:hAnsi="Verdana" w:cs="Verdana"/>
          <w:bCs/>
          <w:sz w:val="20"/>
        </w:rPr>
      </w:pPr>
      <w:r w:rsidRPr="004D7FB4">
        <w:rPr>
          <w:rFonts w:ascii="Verdana" w:eastAsia="Verdana" w:hAnsi="Verdana" w:cs="Verdana"/>
          <w:sz w:val="20"/>
        </w:rPr>
        <w:t xml:space="preserve">De acuerdo con el citado concepto, la prohibición del artículo 33 de la Ley de Garantías Electorales se refiere a “cualquier sistema que no implique convocatoria pública y </w:t>
      </w:r>
      <w:r w:rsidRPr="004D7FB4">
        <w:rPr>
          <w:rFonts w:ascii="Verdana" w:eastAsia="Verdana" w:hAnsi="Verdana" w:cs="Verdana"/>
          <w:sz w:val="20"/>
        </w:rPr>
        <w:lastRenderedPageBreak/>
        <w:t>posibilidad de pluralidad de oferentes”, por lo que excluye las demás modalidades de contratación previstas en la Ley 1150 de 2007, es decir, la licitación pública, la selección abreviada, el concurso de méritos y la mínima cuantía</w:t>
      </w:r>
      <w:r w:rsidRPr="004D7FB4" w:rsidDel="00A85D9F">
        <w:rPr>
          <w:rFonts w:ascii="Verdana" w:eastAsia="Verdana" w:hAnsi="Verdana" w:cs="Verdana"/>
          <w:sz w:val="20"/>
        </w:rPr>
        <w:t xml:space="preserve"> </w:t>
      </w:r>
      <w:r w:rsidRPr="004D7FB4">
        <w:rPr>
          <w:rFonts w:ascii="Verdana" w:eastAsia="Verdana" w:hAnsi="Verdana" w:cs="Verdana"/>
          <w:sz w:val="20"/>
        </w:rPr>
        <w:t>u otros previstos en normas especiales. Esta posición es congruente con la expedición de la Ley 1150 de 2007 que, entre otras reformas, introdujo la selección abreviada, rediseñó el concurso de méritos y sistematizó las causales de contratación directa, además lo es con la posterior creación de la modalidad de mínima cuantía establecida actualmente en el numeral 5 del artículo 2 de la Ley 1150 de 2007, de acuerdo con las modificaciones realizadas por leyes posteriores.</w:t>
      </w:r>
    </w:p>
    <w:p w14:paraId="0752DAEE" w14:textId="77777777" w:rsidR="0089748D" w:rsidRPr="00BC3C31" w:rsidRDefault="0089748D" w:rsidP="0089748D">
      <w:pPr>
        <w:spacing w:after="0" w:line="240" w:lineRule="auto"/>
        <w:jc w:val="both"/>
        <w:rPr>
          <w:rFonts w:ascii="Verdana" w:eastAsia="Verdana" w:hAnsi="Verdana" w:cs="Verdana"/>
          <w:b/>
        </w:rPr>
      </w:pPr>
    </w:p>
    <w:p w14:paraId="10A59329" w14:textId="77777777" w:rsidR="0089748D" w:rsidRPr="00BC3C31" w:rsidRDefault="0089748D" w:rsidP="0089748D">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Prohibición del artículo 33 – Destinatarios </w:t>
      </w:r>
    </w:p>
    <w:p w14:paraId="3B0B564D" w14:textId="77777777" w:rsidR="0089748D" w:rsidRPr="00BC3C31" w:rsidRDefault="0089748D" w:rsidP="0089748D">
      <w:pPr>
        <w:spacing w:after="0" w:line="240" w:lineRule="auto"/>
        <w:jc w:val="both"/>
        <w:rPr>
          <w:rFonts w:ascii="Verdana" w:eastAsia="Verdana" w:hAnsi="Verdana" w:cs="Verdana"/>
          <w:b/>
        </w:rPr>
      </w:pPr>
    </w:p>
    <w:p w14:paraId="3CFA899C" w14:textId="77777777" w:rsidR="0089748D" w:rsidRPr="00865A1B" w:rsidRDefault="0089748D" w:rsidP="0089748D">
      <w:pPr>
        <w:spacing w:after="0" w:line="240" w:lineRule="auto"/>
        <w:jc w:val="both"/>
        <w:rPr>
          <w:rFonts w:ascii="Verdana" w:eastAsia="Verdana" w:hAnsi="Verdana" w:cs="Verdana"/>
          <w:bCs/>
          <w:sz w:val="20"/>
        </w:rPr>
      </w:pPr>
      <w:r w:rsidRPr="00865A1B">
        <w:rPr>
          <w:rFonts w:ascii="Verdana" w:eastAsia="Verdana" w:hAnsi="Verdana" w:cs="Verdana"/>
          <w:bCs/>
          <w:sz w:val="20"/>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865A1B">
        <w:rPr>
          <w:rFonts w:ascii="Verdana" w:eastAsia="Verdana" w:hAnsi="Verdana" w:cs="Verdana"/>
          <w:sz w:val="20"/>
        </w:rPr>
        <w:t xml:space="preserve"> </w:t>
      </w:r>
      <w:r w:rsidRPr="00865A1B">
        <w:rPr>
          <w:rFonts w:ascii="Verdana" w:eastAsia="Verdana" w:hAnsi="Verdana" w:cs="Verdana"/>
          <w:bCs/>
          <w:sz w:val="20"/>
        </w:rPr>
        <w:t>En efecto, tal como lo ha sostenido el Consejo de Estado, el vocablo “todos” utilizado por el legislador comprende</w:t>
      </w:r>
      <w:r w:rsidRPr="00865A1B">
        <w:rPr>
          <w:rFonts w:ascii="Verdana" w:eastAsia="Verdana" w:hAnsi="Verdana" w:cs="Verdana"/>
          <w:sz w:val="20"/>
        </w:rPr>
        <w:t xml:space="preserve"> </w:t>
      </w:r>
      <w:r w:rsidRPr="00865A1B">
        <w:rPr>
          <w:rFonts w:ascii="Verdana" w:eastAsia="Verdana" w:hAnsi="Verdana" w:cs="Verdana"/>
          <w:bCs/>
          <w:sz w:val="20"/>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27E0401" w14:textId="77777777" w:rsidR="0089748D" w:rsidRPr="004D7FB4" w:rsidRDefault="0089748D" w:rsidP="0089748D">
      <w:pPr>
        <w:spacing w:after="0" w:line="240" w:lineRule="auto"/>
        <w:jc w:val="both"/>
        <w:rPr>
          <w:rFonts w:ascii="Verdana" w:eastAsia="Verdana" w:hAnsi="Verdana" w:cs="Verdana"/>
          <w:b/>
        </w:rPr>
      </w:pPr>
    </w:p>
    <w:p w14:paraId="676C8E80" w14:textId="77777777" w:rsidR="0089748D" w:rsidRPr="00BC3C31" w:rsidRDefault="0089748D" w:rsidP="0089748D">
      <w:pPr>
        <w:spacing w:after="0" w:line="240" w:lineRule="auto"/>
        <w:jc w:val="both"/>
        <w:rPr>
          <w:rFonts w:ascii="Verdana" w:eastAsia="Verdana" w:hAnsi="Verdana" w:cs="Verdana"/>
          <w:b/>
        </w:rPr>
      </w:pPr>
      <w:r w:rsidRPr="00BC3C31">
        <w:rPr>
          <w:rFonts w:ascii="Verdana" w:eastAsia="Verdana" w:hAnsi="Verdana" w:cs="Verdana"/>
          <w:b/>
        </w:rPr>
        <w:t xml:space="preserve">LEY DE GARANTÍAS ELECTORALES – Excepciones </w:t>
      </w:r>
    </w:p>
    <w:p w14:paraId="4AA3B352" w14:textId="77777777" w:rsidR="0089748D" w:rsidRPr="00865A1B" w:rsidRDefault="0089748D" w:rsidP="0089748D">
      <w:pPr>
        <w:spacing w:after="0" w:line="240" w:lineRule="auto"/>
        <w:jc w:val="both"/>
        <w:rPr>
          <w:rFonts w:ascii="Verdana" w:eastAsia="Verdana" w:hAnsi="Verdana" w:cs="Verdana"/>
          <w:sz w:val="20"/>
        </w:rPr>
      </w:pPr>
    </w:p>
    <w:p w14:paraId="05231D12" w14:textId="77777777" w:rsidR="0089748D" w:rsidRPr="00865A1B" w:rsidRDefault="0089748D" w:rsidP="0089748D">
      <w:pPr>
        <w:spacing w:after="0" w:line="240" w:lineRule="auto"/>
        <w:jc w:val="both"/>
        <w:rPr>
          <w:rFonts w:ascii="Verdana" w:eastAsia="Verdana" w:hAnsi="Verdana" w:cs="Verdana"/>
          <w:bCs/>
          <w:sz w:val="20"/>
        </w:rPr>
      </w:pPr>
      <w:r w:rsidRPr="00865A1B">
        <w:rPr>
          <w:rFonts w:ascii="Verdana" w:eastAsia="Verdana" w:hAnsi="Verdana" w:cs="Verdana"/>
          <w:bCs/>
          <w:sz w:val="20"/>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865A1B">
        <w:rPr>
          <w:rFonts w:ascii="Verdana" w:eastAsia="Verdana" w:hAnsi="Verdana" w:cs="Verdana"/>
          <w:bCs/>
          <w:sz w:val="20"/>
        </w:rPr>
        <w:t>ii</w:t>
      </w:r>
      <w:proofErr w:type="spellEnd"/>
      <w:r w:rsidRPr="00865A1B">
        <w:rPr>
          <w:rFonts w:ascii="Verdana" w:eastAsia="Verdana" w:hAnsi="Verdana" w:cs="Verdana"/>
          <w:bCs/>
          <w:sz w:val="20"/>
        </w:rPr>
        <w:t xml:space="preserve">) los contratos de crédito público; </w:t>
      </w:r>
      <w:proofErr w:type="spellStart"/>
      <w:r w:rsidRPr="00865A1B">
        <w:rPr>
          <w:rFonts w:ascii="Verdana" w:eastAsia="Verdana" w:hAnsi="Verdana" w:cs="Verdana"/>
          <w:bCs/>
          <w:sz w:val="20"/>
        </w:rPr>
        <w:t>iii</w:t>
      </w:r>
      <w:proofErr w:type="spellEnd"/>
      <w:r w:rsidRPr="00865A1B">
        <w:rPr>
          <w:rFonts w:ascii="Verdana" w:eastAsia="Verdana" w:hAnsi="Verdana" w:cs="Verdana"/>
          <w:bCs/>
          <w:sz w:val="20"/>
        </w:rPr>
        <w:t xml:space="preserve">) los requeridos para cubrir las emergencias educativas, sanitarias y desastres; </w:t>
      </w:r>
      <w:proofErr w:type="spellStart"/>
      <w:r w:rsidRPr="00865A1B">
        <w:rPr>
          <w:rFonts w:ascii="Verdana" w:eastAsia="Verdana" w:hAnsi="Verdana" w:cs="Verdana"/>
          <w:bCs/>
          <w:sz w:val="20"/>
        </w:rPr>
        <w:t>iv</w:t>
      </w:r>
      <w:proofErr w:type="spellEnd"/>
      <w:r w:rsidRPr="00865A1B">
        <w:rPr>
          <w:rFonts w:ascii="Verdana" w:eastAsia="Verdana" w:hAnsi="Verdana" w:cs="Verdana"/>
          <w:bCs/>
          <w:sz w:val="20"/>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de forma directa. </w:t>
      </w:r>
      <w:r w:rsidRPr="00865A1B">
        <w:rPr>
          <w:rFonts w:ascii="Verdana" w:eastAsia="Verdana" w:hAnsi="Verdana" w:cs="Verdana"/>
          <w:bCs/>
          <w:sz w:val="20"/>
          <w:lang w:val="es-MX"/>
        </w:rPr>
        <w:t xml:space="preserve">Así mismo, la Corte Constitucional en la Sentencia C-1153 de 2005 señaló que la expresión </w:t>
      </w:r>
      <w:r w:rsidRPr="00865A1B">
        <w:rPr>
          <w:rFonts w:ascii="Verdana" w:eastAsia="Verdana" w:hAnsi="Verdana" w:cs="Verdana"/>
          <w:i/>
          <w:iCs/>
          <w:sz w:val="20"/>
          <w:lang w:val="es-ES"/>
        </w:rPr>
        <w:t xml:space="preserve">“adicionalmente se exceptúan aquellos gastos inaplazables e imprescindibles que afecten el normal funcionamiento de la administración” </w:t>
      </w:r>
      <w:r w:rsidRPr="00865A1B">
        <w:rPr>
          <w:rFonts w:ascii="Verdana" w:eastAsia="Verdana" w:hAnsi="Verdana" w:cs="Verdana"/>
          <w:iCs/>
          <w:sz w:val="20"/>
          <w:lang w:val="es-ES"/>
        </w:rPr>
        <w:t>regulada como excepción en el artículo 33</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 xml:space="preserve">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w:t>
      </w:r>
      <w:r w:rsidRPr="00865A1B">
        <w:rPr>
          <w:rFonts w:ascii="Verdana" w:eastAsia="Verdana" w:hAnsi="Verdana" w:cs="Verdana"/>
          <w:iCs/>
          <w:sz w:val="20"/>
          <w:lang w:val="es-ES"/>
        </w:rPr>
        <w:lastRenderedPageBreak/>
        <w:t>Garantías Electorales.</w:t>
      </w:r>
      <w:r w:rsidRPr="00865A1B">
        <w:rPr>
          <w:rFonts w:ascii="Verdana" w:eastAsia="Verdana" w:hAnsi="Verdana" w:cs="Verdana"/>
          <w:i/>
          <w:iCs/>
          <w:sz w:val="20"/>
          <w:lang w:val="es-ES"/>
        </w:rPr>
        <w:t xml:space="preserve"> </w:t>
      </w:r>
      <w:r w:rsidRPr="00865A1B">
        <w:rPr>
          <w:rFonts w:ascii="Verdana" w:eastAsia="Verdana" w:hAnsi="Verdana" w:cs="Verdana"/>
          <w:iCs/>
          <w:sz w:val="20"/>
          <w:lang w:val="es-ES"/>
        </w:rPr>
        <w:t>Por tanto, dicha expresión fue declarada inexequible, razón por la cual no es posible que las entidades argumenten razones como esta para exceptuar la restricción del artículo 33.</w:t>
      </w:r>
    </w:p>
    <w:p w14:paraId="2F1EEB92" w14:textId="77777777" w:rsidR="0089748D" w:rsidRPr="00BC3C31" w:rsidRDefault="0089748D" w:rsidP="0089748D">
      <w:pPr>
        <w:spacing w:after="0" w:line="240" w:lineRule="auto"/>
        <w:jc w:val="both"/>
        <w:rPr>
          <w:rFonts w:ascii="Verdana" w:eastAsia="Verdana" w:hAnsi="Verdana" w:cs="Verdana"/>
          <w:b/>
        </w:rPr>
      </w:pPr>
    </w:p>
    <w:p w14:paraId="50400413" w14:textId="77777777" w:rsidR="0089748D" w:rsidRPr="00BC3C31" w:rsidRDefault="0089748D" w:rsidP="0089748D">
      <w:pPr>
        <w:spacing w:after="0" w:line="240" w:lineRule="auto"/>
        <w:jc w:val="both"/>
        <w:rPr>
          <w:rFonts w:ascii="Verdana" w:eastAsia="Verdana" w:hAnsi="Verdana" w:cs="Verdana"/>
          <w:b/>
        </w:rPr>
      </w:pPr>
      <w:r w:rsidRPr="00BC3C31">
        <w:rPr>
          <w:rFonts w:ascii="Verdana" w:eastAsia="Verdana" w:hAnsi="Verdana" w:cs="Verdana"/>
          <w:b/>
        </w:rPr>
        <w:t>LEY DE GARANTÍAS ELECTORALES – Excepciones – Posturas de la Sala de Consulta y Servicio del Consejo de Estado</w:t>
      </w:r>
    </w:p>
    <w:p w14:paraId="42E9240B" w14:textId="77777777" w:rsidR="0089748D" w:rsidRPr="00865A1B" w:rsidRDefault="0089748D" w:rsidP="0089748D">
      <w:pPr>
        <w:spacing w:after="0" w:line="240" w:lineRule="auto"/>
        <w:jc w:val="both"/>
        <w:rPr>
          <w:rFonts w:ascii="Verdana" w:eastAsia="Verdana" w:hAnsi="Verdana" w:cs="Verdana"/>
          <w:sz w:val="20"/>
        </w:rPr>
      </w:pPr>
    </w:p>
    <w:p w14:paraId="05189D5B" w14:textId="77777777" w:rsidR="0089748D" w:rsidRDefault="0089748D" w:rsidP="0089748D">
      <w:pPr>
        <w:spacing w:after="0" w:line="240" w:lineRule="auto"/>
        <w:jc w:val="both"/>
        <w:rPr>
          <w:rFonts w:ascii="Verdana" w:eastAsia="Verdana" w:hAnsi="Verdana" w:cs="Verdana"/>
          <w:sz w:val="20"/>
        </w:rPr>
      </w:pPr>
      <w:r w:rsidRPr="00865A1B">
        <w:rPr>
          <w:rFonts w:ascii="Verdana" w:eastAsia="Verdana" w:hAnsi="Verdana" w:cs="Verdana"/>
          <w:sz w:val="20"/>
          <w:lang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865A1B">
        <w:rPr>
          <w:rFonts w:ascii="Verdana" w:eastAsia="Verdana" w:hAnsi="Verdana" w:cs="Verdana"/>
          <w:sz w:val="20"/>
        </w:rPr>
        <w:t>el contrato no puede ser violatorio de la restricción a la contratación directa contenida en el artículo 33 de la Ley 996 de 2005.</w:t>
      </w:r>
    </w:p>
    <w:p w14:paraId="1C5959FE" w14:textId="77777777" w:rsidR="0089748D" w:rsidRPr="00865A1B" w:rsidRDefault="0089748D" w:rsidP="0089748D">
      <w:pPr>
        <w:spacing w:after="0" w:line="240" w:lineRule="auto"/>
        <w:jc w:val="both"/>
        <w:rPr>
          <w:rFonts w:ascii="Verdana" w:eastAsia="Verdana" w:hAnsi="Verdana" w:cs="Verdana"/>
          <w:sz w:val="20"/>
        </w:rPr>
      </w:pPr>
      <w:r w:rsidRPr="00865A1B">
        <w:rPr>
          <w:rFonts w:ascii="Verdana" w:eastAsia="Verdana" w:hAnsi="Verdana" w:cs="Verdana"/>
          <w:sz w:val="20"/>
        </w:rPr>
        <w:t xml:space="preserve"> </w:t>
      </w:r>
    </w:p>
    <w:p w14:paraId="2ADE2603" w14:textId="77777777" w:rsidR="0089748D" w:rsidRDefault="0089748D" w:rsidP="0089748D">
      <w:pPr>
        <w:spacing w:after="0" w:line="240" w:lineRule="auto"/>
        <w:jc w:val="both"/>
        <w:rPr>
          <w:rFonts w:ascii="Verdana" w:eastAsia="Verdana" w:hAnsi="Verdana" w:cs="Verdana"/>
          <w:sz w:val="20"/>
          <w:lang w:bidi="es-ES"/>
        </w:rPr>
      </w:pPr>
      <w:r w:rsidRPr="00865A1B">
        <w:rPr>
          <w:rFonts w:ascii="Verdana" w:eastAsia="Verdana" w:hAnsi="Verdana" w:cs="Verdana"/>
          <w:sz w:val="20"/>
          <w:lang w:val="es-ES_tradnl"/>
        </w:rPr>
        <w:t>También la Sala de Consulta y Servicio Civil del Consejo de Estado ha presentado supuestos de excepción a la restricción de los artículos 33 y 38 cuando la contratación se enmarca en una providencia judicial</w:t>
      </w:r>
      <w:r w:rsidRPr="00865A1B">
        <w:rPr>
          <w:rFonts w:ascii="Verdana" w:eastAsia="Verdana" w:hAnsi="Verdana" w:cs="Verdana"/>
          <w:sz w:val="20"/>
          <w:lang w:bidi="es-ES"/>
        </w:rPr>
        <w:t>, pues en dicho caso debe tenerse en cuenta que las decisiones judiciales tienen fuerza vinculante y cumplirse en virtud del principio de supremacía constitucional y del derecho fundamental de acceso a la administración de justicia. La celebración de un contrato de forma directa o de un convenio interadministrativo para la ejecución de recursos públicos 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27651888" w14:textId="77777777" w:rsidR="0089748D" w:rsidRPr="00865A1B" w:rsidRDefault="0089748D" w:rsidP="0089748D">
      <w:pPr>
        <w:spacing w:after="0" w:line="240" w:lineRule="auto"/>
        <w:jc w:val="both"/>
        <w:rPr>
          <w:rFonts w:ascii="Verdana" w:eastAsia="Verdana" w:hAnsi="Verdana" w:cs="Verdana"/>
          <w:sz w:val="20"/>
          <w:lang w:bidi="es-ES"/>
        </w:rPr>
      </w:pPr>
    </w:p>
    <w:p w14:paraId="6C6AF245" w14:textId="781672BB" w:rsidR="0089748D" w:rsidRDefault="0089748D" w:rsidP="0089748D">
      <w:pPr>
        <w:spacing w:after="0" w:line="240" w:lineRule="auto"/>
        <w:jc w:val="both"/>
        <w:rPr>
          <w:rFonts w:ascii="Verdana" w:eastAsia="Verdana" w:hAnsi="Verdana" w:cs="Verdana"/>
          <w:sz w:val="20"/>
          <w:lang w:bidi="es-ES"/>
        </w:rPr>
      </w:pPr>
      <w:r w:rsidRPr="00865A1B">
        <w:rPr>
          <w:rFonts w:ascii="Verdana" w:eastAsia="Verdana" w:hAnsi="Verdana" w:cs="Verdana"/>
          <w:sz w:val="20"/>
          <w:lang w:bidi="es-ES"/>
        </w:rPr>
        <w:t>En este asunto, es importante resaltar que la Sala de Consulta y Servicio Civil del Consejo de Estado mediante Concepto con Radicado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p>
    <w:p w14:paraId="103C7383" w14:textId="21C19740" w:rsidR="0089748D" w:rsidRDefault="0089748D" w:rsidP="0089748D">
      <w:pPr>
        <w:spacing w:after="0" w:line="240" w:lineRule="auto"/>
        <w:jc w:val="both"/>
        <w:rPr>
          <w:rFonts w:ascii="Verdana" w:eastAsia="Verdana" w:hAnsi="Verdana" w:cs="Verdana"/>
          <w:sz w:val="20"/>
          <w:lang w:bidi="es-ES"/>
        </w:rPr>
      </w:pPr>
    </w:p>
    <w:p w14:paraId="26C6FB89" w14:textId="77777777" w:rsidR="0089748D" w:rsidRPr="0089748D" w:rsidRDefault="0089748D" w:rsidP="0089748D">
      <w:pPr>
        <w:spacing w:after="0" w:line="240" w:lineRule="auto"/>
        <w:jc w:val="both"/>
        <w:rPr>
          <w:rFonts w:ascii="Verdana" w:eastAsia="Verdana" w:hAnsi="Verdana" w:cs="Verdana"/>
          <w:b/>
          <w:bCs/>
          <w:lang w:val="es-MX" w:bidi="es-ES"/>
        </w:rPr>
      </w:pPr>
      <w:r w:rsidRPr="0089748D">
        <w:rPr>
          <w:rFonts w:ascii="Verdana" w:eastAsia="Verdana" w:hAnsi="Verdana" w:cs="Verdana"/>
          <w:b/>
          <w:bCs/>
          <w:lang w:val="es-MX" w:bidi="es-ES"/>
        </w:rPr>
        <w:t xml:space="preserve">CONTRATO DE TRANSACCIÓN – Noción – Requisitos </w:t>
      </w:r>
    </w:p>
    <w:p w14:paraId="2DECD3F1" w14:textId="38BA2B56" w:rsidR="0089748D" w:rsidRPr="0089748D" w:rsidRDefault="0089748D" w:rsidP="0089748D">
      <w:pPr>
        <w:spacing w:after="0" w:line="240" w:lineRule="auto"/>
        <w:jc w:val="both"/>
        <w:rPr>
          <w:rFonts w:ascii="Verdana" w:eastAsia="Verdana" w:hAnsi="Verdana" w:cs="Verdana"/>
          <w:bCs/>
          <w:sz w:val="20"/>
          <w:lang w:val="es-MX" w:bidi="es-ES"/>
        </w:rPr>
      </w:pPr>
    </w:p>
    <w:p w14:paraId="131229FC" w14:textId="1DBF45EE" w:rsidR="0089748D" w:rsidRDefault="0089748D" w:rsidP="0089748D">
      <w:pPr>
        <w:spacing w:after="0" w:line="240" w:lineRule="auto"/>
        <w:jc w:val="both"/>
        <w:rPr>
          <w:rFonts w:ascii="Verdana" w:eastAsia="Verdana" w:hAnsi="Verdana" w:cs="Verdana"/>
          <w:bCs/>
          <w:sz w:val="20"/>
          <w:lang w:val="es-ES_tradnl" w:bidi="es-ES"/>
        </w:rPr>
      </w:pPr>
      <w:r w:rsidRPr="0089748D">
        <w:rPr>
          <w:rFonts w:ascii="Verdana" w:eastAsia="Verdana" w:hAnsi="Verdana" w:cs="Verdana"/>
          <w:bCs/>
          <w:sz w:val="20"/>
          <w:lang w:val="es-ES_tradnl" w:bidi="es-ES"/>
        </w:rPr>
        <w:t xml:space="preserve">Adicionalmente, el numeral 5 del artículo 25 de la Ley 80 de 1993 dispone que, en virtud del principio de economía, deben adoptarse “[…] procedimientos que garanticen la pronta solución de las diferencias y controversias que con motivo de la celebración y ejecución del contrato se presenten”. Por otra parte, los artículos 32 y 40 permiten a las entidades estatales celebrar todos los contratos que tengan su fuente en el ejercicio de la autonomía de la voluntad, así como en las normas civiles y comerciales. Siendo la transacción un contrato consagrado en el artículo 2469 del Código Civil, es un negocio jurídico que las entidades estatales pueden celebrar en el marco de la ejecución de otro </w:t>
      </w:r>
      <w:r w:rsidRPr="0089748D">
        <w:rPr>
          <w:rFonts w:ascii="Verdana" w:eastAsia="Verdana" w:hAnsi="Verdana" w:cs="Verdana"/>
          <w:bCs/>
          <w:sz w:val="20"/>
          <w:lang w:val="es-ES_tradnl" w:bidi="es-ES"/>
        </w:rPr>
        <w:lastRenderedPageBreak/>
        <w:t>contrato. Además, como se indicó, el artículo 1625, numeral 3, del Código Civil establece que la transacción es un modo de extinguir las obligaciones. Esta norma también resulta aplicable en la contratación estatal, en virtud de la remisión a las normas civiles que realiza el artículo 13 de la Ley 80 de 1993, según el cual “Los contratos que celebren las entidades a que se refiere el artículo 2o. del presente estatuto se regirán por las disposiciones comerciales y civiles pertinentes, salvo en las materias particularmente reguladas en esta ley”.</w:t>
      </w:r>
    </w:p>
    <w:p w14:paraId="4DEA6DD0" w14:textId="77777777" w:rsidR="0089748D" w:rsidRPr="0089748D" w:rsidRDefault="0089748D" w:rsidP="0089748D">
      <w:pPr>
        <w:spacing w:after="0" w:line="240" w:lineRule="auto"/>
        <w:jc w:val="both"/>
        <w:rPr>
          <w:rFonts w:ascii="Verdana" w:eastAsia="Verdana" w:hAnsi="Verdana" w:cs="Verdana"/>
          <w:bCs/>
          <w:sz w:val="20"/>
          <w:lang w:val="es-ES_tradnl" w:bidi="es-ES"/>
        </w:rPr>
      </w:pPr>
    </w:p>
    <w:p w14:paraId="3AE154AE" w14:textId="0D96144B" w:rsidR="0089748D" w:rsidRPr="0089748D" w:rsidRDefault="0089748D" w:rsidP="0089748D">
      <w:pPr>
        <w:spacing w:after="0" w:line="240" w:lineRule="auto"/>
        <w:jc w:val="both"/>
        <w:rPr>
          <w:rFonts w:ascii="Verdana" w:eastAsia="Verdana" w:hAnsi="Verdana" w:cs="Verdana"/>
          <w:bCs/>
          <w:sz w:val="20"/>
          <w:lang w:val="es-ES_tradnl" w:bidi="es-ES"/>
        </w:rPr>
      </w:pPr>
      <w:r w:rsidRPr="0089748D">
        <w:rPr>
          <w:rFonts w:ascii="Verdana" w:eastAsia="Verdana" w:hAnsi="Verdana" w:cs="Verdana"/>
          <w:bCs/>
          <w:sz w:val="20"/>
          <w:lang w:val="es-ES_tradnl" w:bidi="es-ES"/>
        </w:rPr>
        <w:t>Por tal razón, la Sección Tercera del Consejo de Estado ha sostenido desde hace varios años que “Con esta perspectiva, la Sala no ha dudado en la procedencia de la celebración de transacciones bajo el imperio de las normas civiles por parte de entidades estatales, con la sola diferencia que en materia de contratación estatal el contrato es solemne y no consensual (arts. 39 y 41 de la ley 80 de 1993). Máxime cuando, como lo ha señalado la doctrina, la resolución de conflictos es un deber de la Administración contratante, la cual a la luz de la ley 80 de 1993 goza de cierta autonomía en la solución de sus eventuales litigios contractuales”.</w:t>
      </w:r>
    </w:p>
    <w:p w14:paraId="591D4467" w14:textId="77777777" w:rsidR="0089748D" w:rsidRPr="0089748D" w:rsidRDefault="0089748D" w:rsidP="0089748D">
      <w:pPr>
        <w:spacing w:after="0" w:line="240" w:lineRule="auto"/>
        <w:jc w:val="both"/>
        <w:rPr>
          <w:rFonts w:ascii="Verdana" w:eastAsia="Verdana" w:hAnsi="Verdana" w:cs="Verdana"/>
          <w:b/>
          <w:bCs/>
          <w:lang w:val="es-MX" w:bidi="es-ES"/>
        </w:rPr>
      </w:pPr>
    </w:p>
    <w:p w14:paraId="7470B370" w14:textId="77777777" w:rsidR="0089748D" w:rsidRPr="0089748D" w:rsidRDefault="0089748D" w:rsidP="0089748D">
      <w:pPr>
        <w:spacing w:after="0" w:line="240" w:lineRule="auto"/>
        <w:jc w:val="both"/>
        <w:rPr>
          <w:rFonts w:ascii="Verdana" w:eastAsia="Verdana" w:hAnsi="Verdana" w:cs="Verdana"/>
          <w:b/>
          <w:bCs/>
          <w:lang w:val="es-MX" w:bidi="es-ES"/>
        </w:rPr>
      </w:pPr>
      <w:r w:rsidRPr="0089748D">
        <w:rPr>
          <w:rFonts w:ascii="Verdana" w:eastAsia="Verdana" w:hAnsi="Verdana" w:cs="Verdana"/>
          <w:b/>
          <w:bCs/>
          <w:lang w:val="es-MX" w:bidi="es-ES"/>
        </w:rPr>
        <w:t>CONTRATO DE TRANSACCIÓN – Mecanismo alternativo de resolución de conflictos – Entidades Estatales</w:t>
      </w:r>
    </w:p>
    <w:p w14:paraId="4451A4E1" w14:textId="77777777" w:rsidR="0089748D" w:rsidRPr="0089748D" w:rsidRDefault="0089748D" w:rsidP="0089748D">
      <w:pPr>
        <w:spacing w:after="0" w:line="240" w:lineRule="auto"/>
        <w:jc w:val="both"/>
        <w:rPr>
          <w:rFonts w:ascii="Verdana" w:eastAsia="Verdana" w:hAnsi="Verdana" w:cs="Verdana"/>
          <w:bCs/>
          <w:sz w:val="20"/>
          <w:lang w:val="es-MX" w:bidi="es-ES"/>
        </w:rPr>
      </w:pPr>
    </w:p>
    <w:p w14:paraId="6AA1EA7A" w14:textId="6A924C93" w:rsidR="0089748D" w:rsidRPr="0089748D" w:rsidRDefault="0089748D" w:rsidP="0089748D">
      <w:pPr>
        <w:spacing w:after="0" w:line="240" w:lineRule="auto"/>
        <w:jc w:val="both"/>
        <w:rPr>
          <w:rFonts w:ascii="Verdana" w:eastAsia="Verdana" w:hAnsi="Verdana" w:cs="Verdana"/>
          <w:bCs/>
          <w:sz w:val="20"/>
          <w:lang w:val="es-ES_tradnl" w:bidi="es-ES"/>
        </w:rPr>
      </w:pPr>
      <w:r w:rsidRPr="0089748D">
        <w:rPr>
          <w:rFonts w:ascii="Verdana" w:eastAsia="Verdana" w:hAnsi="Verdana" w:cs="Verdana"/>
          <w:bCs/>
          <w:sz w:val="20"/>
          <w:lang w:val="es-ES_tradnl" w:bidi="es-ES"/>
        </w:rPr>
        <w:t>La transacción se ha destacado, así como un mecanismo alternativo de resolución de conflictos que aporta beneficios a las partes del contrato estatal, cuando se realiza de manera adecuada. En tal sentido, la jurisprudencia ha señalado que “</w:t>
      </w:r>
      <w:r w:rsidRPr="0089748D">
        <w:rPr>
          <w:rFonts w:ascii="Verdana" w:eastAsia="Verdana" w:hAnsi="Verdana" w:cs="Verdana"/>
          <w:bCs/>
          <w:sz w:val="20"/>
          <w:lang w:val="es-MX" w:bidi="es-ES"/>
        </w:rPr>
        <w:t xml:space="preserve">[…] </w:t>
      </w:r>
      <w:r w:rsidRPr="0089748D">
        <w:rPr>
          <w:rFonts w:ascii="Verdana" w:eastAsia="Verdana" w:hAnsi="Verdana" w:cs="Verdana"/>
          <w:bCs/>
          <w:sz w:val="20"/>
          <w:lang w:val="es-ES_tradnl" w:bidi="es-ES"/>
        </w:rPr>
        <w:t>uno de los principales efectos que genera el acuerdo transaccional es el de cosa juzgada, por el pacto de voluntades; en consecuencia, cuando se transa sobre la totalidad de los asuntos discutidos, las partes no pueden reavivar el conflicto acudiendo a la jurisdicción o, en caso de que haya un proceso judicial en curso, habrá lugar a la terminación anormal del mismo”. Adicionalmente, se ha indicado que la transacción es un modo válido de llegar a acuerdos sobre los aspectos económicos del contrato estatal, sin afectar los derechos colectivos a la moralidad administrativa y al patrimonio público. Específicamente, el Consejo de Estado también ha concebido la transacción como un mecanismo adecuado para restablecer el equilibrio económico del contrato, en cumplimiento del mandato contenido en el numeral 9 del artículo 4 de la Ley 80 de 1993.</w:t>
      </w:r>
    </w:p>
    <w:p w14:paraId="08A94AD1" w14:textId="77777777" w:rsidR="0089748D" w:rsidRPr="0089748D" w:rsidRDefault="0089748D" w:rsidP="0089748D">
      <w:pPr>
        <w:spacing w:after="0" w:line="240" w:lineRule="auto"/>
        <w:jc w:val="both"/>
        <w:rPr>
          <w:rFonts w:ascii="Verdana" w:eastAsia="Verdana" w:hAnsi="Verdana" w:cs="Verdana"/>
          <w:b/>
          <w:bCs/>
          <w:lang w:val="es-MX" w:bidi="es-ES"/>
        </w:rPr>
      </w:pPr>
    </w:p>
    <w:p w14:paraId="1AD4359D" w14:textId="7B14C951" w:rsidR="0089748D" w:rsidRPr="0089748D" w:rsidRDefault="0089748D" w:rsidP="0089748D">
      <w:pPr>
        <w:spacing w:after="0" w:line="240" w:lineRule="auto"/>
        <w:jc w:val="both"/>
        <w:rPr>
          <w:rFonts w:ascii="Verdana" w:eastAsia="Verdana" w:hAnsi="Verdana" w:cs="Verdana"/>
          <w:b/>
          <w:lang w:bidi="es-ES"/>
        </w:rPr>
      </w:pPr>
      <w:r w:rsidRPr="0089748D">
        <w:rPr>
          <w:rFonts w:ascii="Verdana" w:eastAsia="Verdana" w:hAnsi="Verdana" w:cs="Verdana"/>
          <w:b/>
          <w:bCs/>
          <w:lang w:val="es-MX" w:bidi="es-ES"/>
        </w:rPr>
        <w:t>LEY DE GARANTÍAS – Contratos de Transacción – Supuestos.</w:t>
      </w:r>
    </w:p>
    <w:p w14:paraId="7C2A583C" w14:textId="3ACA2755" w:rsidR="0089748D" w:rsidRDefault="0089748D" w:rsidP="0089748D">
      <w:pPr>
        <w:spacing w:after="0" w:line="240" w:lineRule="auto"/>
        <w:jc w:val="both"/>
        <w:rPr>
          <w:rFonts w:ascii="Verdana" w:eastAsia="Verdana" w:hAnsi="Verdana" w:cs="Verdana"/>
          <w:sz w:val="20"/>
          <w:lang w:bidi="es-ES"/>
        </w:rPr>
      </w:pPr>
    </w:p>
    <w:p w14:paraId="14DB0AB0" w14:textId="77777777" w:rsidR="0089748D" w:rsidRPr="0089748D" w:rsidRDefault="0089748D" w:rsidP="0089748D">
      <w:pPr>
        <w:spacing w:after="0" w:line="240" w:lineRule="auto"/>
        <w:jc w:val="both"/>
        <w:rPr>
          <w:rFonts w:ascii="Verdana" w:eastAsia="Verdana" w:hAnsi="Verdana" w:cs="Verdana"/>
          <w:sz w:val="20"/>
          <w:lang w:val="es-MX" w:bidi="es-ES"/>
        </w:rPr>
      </w:pPr>
      <w:r w:rsidRPr="0089748D">
        <w:rPr>
          <w:rFonts w:ascii="Verdana" w:eastAsia="Verdana" w:hAnsi="Verdana" w:cs="Verdana"/>
          <w:sz w:val="20"/>
          <w:lang w:val="es-MX" w:bidi="es-ES"/>
        </w:rPr>
        <w:t xml:space="preserve">Sin embargo, como lo expresó la Agencia en Concepto 275 del 9 de mayo de 2022, lo anterior no significa que todas las transacciones que están en condiciones de celebrar las entidades estatales necesariamente estén limitadas por la restricción del artículo 33. Por ejemplo, tratándose de transacciones tendientes a </w:t>
      </w:r>
      <w:r w:rsidRPr="0089748D">
        <w:rPr>
          <w:rFonts w:ascii="Verdana" w:eastAsia="Verdana" w:hAnsi="Verdana" w:cs="Verdana"/>
          <w:sz w:val="20"/>
          <w:lang w:val="es-ES_tradnl" w:bidi="es-ES"/>
        </w:rPr>
        <w:t>modificar o extinguir derechos u obligaciones</w:t>
      </w:r>
      <w:r w:rsidRPr="0089748D">
        <w:rPr>
          <w:rFonts w:ascii="Verdana" w:eastAsia="Verdana" w:hAnsi="Verdana" w:cs="Verdana"/>
          <w:sz w:val="20"/>
          <w:lang w:val="es-MX" w:bidi="es-ES"/>
        </w:rPr>
        <w:t xml:space="preserve"> derivados de contratos estatales vigentes, esta Agencia considera que bien podrían suscribirse, aun en vigencia de la referida prohibición, en el entendido que, en estos supuestos, antes que suscribirse un nuevo contrato de manera directa, lo que se hace es modificar el contenido de uno ya vigente, con el propósito de precaver eventuales litigios o controversias entre las partes. Lo mismo podría predicarse de las </w:t>
      </w:r>
      <w:r w:rsidRPr="0089748D">
        <w:rPr>
          <w:rFonts w:ascii="Verdana" w:eastAsia="Verdana" w:hAnsi="Verdana" w:cs="Verdana"/>
          <w:sz w:val="20"/>
          <w:lang w:val="es-MX" w:bidi="es-ES"/>
        </w:rPr>
        <w:lastRenderedPageBreak/>
        <w:t xml:space="preserve">transacciones realizadas mediante la suscripción de actas de liquidación bilateral, en las que tampoco existe la suscripción de un nuevo contrato, sino que se realizan concesiones recíprocas con el objeto de declarar </w:t>
      </w:r>
      <w:proofErr w:type="gramStart"/>
      <w:r w:rsidRPr="0089748D">
        <w:rPr>
          <w:rFonts w:ascii="Verdana" w:eastAsia="Verdana" w:hAnsi="Verdana" w:cs="Verdana"/>
          <w:sz w:val="20"/>
          <w:lang w:val="es-MX" w:bidi="es-ES"/>
        </w:rPr>
        <w:t>el paz</w:t>
      </w:r>
      <w:proofErr w:type="gramEnd"/>
      <w:r w:rsidRPr="0089748D">
        <w:rPr>
          <w:rFonts w:ascii="Verdana" w:eastAsia="Verdana" w:hAnsi="Verdana" w:cs="Verdana"/>
          <w:sz w:val="20"/>
          <w:lang w:val="es-MX" w:bidi="es-ES"/>
        </w:rPr>
        <w:t xml:space="preserve"> y salvo entre las partes. </w:t>
      </w:r>
    </w:p>
    <w:p w14:paraId="412AF903" w14:textId="6342FFDF" w:rsidR="0089748D" w:rsidRDefault="0089748D" w:rsidP="0089748D">
      <w:pPr>
        <w:spacing w:after="0" w:line="240" w:lineRule="auto"/>
        <w:jc w:val="both"/>
        <w:rPr>
          <w:rFonts w:ascii="Verdana" w:eastAsia="Verdana" w:hAnsi="Verdana" w:cs="Verdana"/>
          <w:sz w:val="20"/>
          <w:lang w:val="es-ES" w:bidi="es-ES"/>
        </w:rPr>
      </w:pPr>
      <w:r>
        <w:rPr>
          <w:rFonts w:ascii="Verdana" w:eastAsia="Verdana" w:hAnsi="Verdana" w:cs="Verdana"/>
          <w:sz w:val="20"/>
          <w:lang w:val="es-ES" w:bidi="es-ES"/>
        </w:rPr>
        <w:t>[…]</w:t>
      </w:r>
    </w:p>
    <w:p w14:paraId="513776F9" w14:textId="49579CE6" w:rsidR="0089748D" w:rsidRPr="0089748D" w:rsidRDefault="0089748D" w:rsidP="0089748D">
      <w:pPr>
        <w:spacing w:after="0" w:line="240" w:lineRule="auto"/>
        <w:jc w:val="both"/>
        <w:rPr>
          <w:rFonts w:ascii="Verdana" w:eastAsia="Verdana" w:hAnsi="Verdana" w:cs="Verdana"/>
          <w:sz w:val="20"/>
          <w:lang w:val="es-ES" w:bidi="es-ES"/>
        </w:rPr>
      </w:pPr>
      <w:r w:rsidRPr="0089748D">
        <w:rPr>
          <w:rFonts w:ascii="Verdana" w:eastAsia="Verdana" w:hAnsi="Verdana" w:cs="Verdana"/>
          <w:sz w:val="20"/>
          <w:lang w:val="es-ES" w:bidi="es-ES"/>
        </w:rPr>
        <w:t xml:space="preserve">De igual forma, la Agencia considera que, en estos casos, en los que se acude a la transacción para precaver un litigio o definir una controversia originada en un contrato estatal, no resultaría aplicable la restricción del artículo 33, en la medida en que no se está celebrando un nuevo negocio jurídico de manera directa, sino que se acude a </w:t>
      </w:r>
      <w:r w:rsidRPr="0089748D">
        <w:rPr>
          <w:rFonts w:ascii="Verdana" w:eastAsia="Verdana" w:hAnsi="Verdana" w:cs="Verdana"/>
          <w:sz w:val="20"/>
          <w:lang w:val="es-ES_tradnl" w:bidi="es-ES"/>
        </w:rPr>
        <w:t>un mecanismo alternativo de resolución de conflictos de carácter autocompositivo</w:t>
      </w:r>
      <w:r w:rsidRPr="0089748D">
        <w:rPr>
          <w:rFonts w:ascii="Verdana" w:eastAsia="Verdana" w:hAnsi="Verdana" w:cs="Verdana"/>
          <w:i/>
          <w:iCs/>
          <w:sz w:val="20"/>
          <w:lang w:val="es-ES_tradnl" w:bidi="es-ES"/>
        </w:rPr>
        <w:t xml:space="preserve"> </w:t>
      </w:r>
      <w:r w:rsidRPr="0089748D">
        <w:rPr>
          <w:rFonts w:ascii="Verdana" w:eastAsia="Verdana" w:hAnsi="Verdana" w:cs="Verdana"/>
          <w:sz w:val="20"/>
          <w:lang w:val="es-ES_tradnl" w:bidi="es-ES"/>
        </w:rPr>
        <w:t xml:space="preserve">para </w:t>
      </w:r>
      <w:r w:rsidRPr="0089748D">
        <w:rPr>
          <w:rFonts w:ascii="Verdana" w:eastAsia="Verdana" w:hAnsi="Verdana" w:cs="Verdana"/>
          <w:sz w:val="20"/>
          <w:lang w:val="es-ES" w:bidi="es-ES"/>
        </w:rPr>
        <w:t xml:space="preserve">modificar las condiciones de un contrato ya celebrado. Conforme a lo anterior, tampoco habría lugar a la aplicación de las excepciones establecidas en el artículo citado, en la medida en que estas transacciones no están cobijadas por la prohibición y, por lo tanto, tampoco por sus excepciones. </w:t>
      </w:r>
    </w:p>
    <w:p w14:paraId="7853B49A" w14:textId="38C08FE1" w:rsidR="0089748D" w:rsidRDefault="0089748D" w:rsidP="0089748D">
      <w:pPr>
        <w:spacing w:after="0" w:line="240" w:lineRule="auto"/>
        <w:jc w:val="both"/>
        <w:rPr>
          <w:rFonts w:ascii="Verdana" w:eastAsia="Verdana" w:hAnsi="Verdana" w:cs="Verdana"/>
          <w:sz w:val="20"/>
          <w:lang w:val="es-ES" w:bidi="es-ES"/>
        </w:rPr>
      </w:pPr>
    </w:p>
    <w:p w14:paraId="4E5C7165" w14:textId="753EEA36" w:rsidR="0089748D" w:rsidRDefault="0089748D" w:rsidP="0089748D">
      <w:pPr>
        <w:spacing w:after="0" w:line="240" w:lineRule="auto"/>
        <w:jc w:val="both"/>
        <w:rPr>
          <w:rFonts w:ascii="Verdana" w:eastAsia="Verdana" w:hAnsi="Verdana" w:cs="Verdana"/>
          <w:sz w:val="20"/>
          <w:lang w:val="es-ES" w:bidi="es-ES"/>
        </w:rPr>
      </w:pPr>
    </w:p>
    <w:p w14:paraId="09AC18D9" w14:textId="62B01A5C" w:rsidR="0089748D" w:rsidRDefault="0089748D" w:rsidP="0089748D">
      <w:pPr>
        <w:spacing w:after="0" w:line="240" w:lineRule="auto"/>
        <w:jc w:val="both"/>
        <w:rPr>
          <w:rFonts w:ascii="Verdana" w:eastAsia="Verdana" w:hAnsi="Verdana" w:cs="Verdana"/>
          <w:sz w:val="20"/>
          <w:lang w:val="es-ES" w:bidi="es-ES"/>
        </w:rPr>
      </w:pPr>
    </w:p>
    <w:p w14:paraId="18F032EF" w14:textId="43D0F6E0" w:rsidR="0089748D" w:rsidRDefault="0089748D" w:rsidP="0089748D">
      <w:pPr>
        <w:spacing w:after="0" w:line="240" w:lineRule="auto"/>
        <w:jc w:val="both"/>
        <w:rPr>
          <w:rFonts w:ascii="Verdana" w:eastAsia="Verdana" w:hAnsi="Verdana" w:cs="Verdana"/>
          <w:sz w:val="20"/>
          <w:lang w:val="es-ES" w:bidi="es-ES"/>
        </w:rPr>
      </w:pPr>
    </w:p>
    <w:p w14:paraId="429BD4E7" w14:textId="78F61FAE" w:rsidR="0089748D" w:rsidRDefault="0089748D" w:rsidP="0089748D">
      <w:pPr>
        <w:spacing w:after="0" w:line="240" w:lineRule="auto"/>
        <w:jc w:val="both"/>
        <w:rPr>
          <w:rFonts w:ascii="Verdana" w:eastAsia="Verdana" w:hAnsi="Verdana" w:cs="Verdana"/>
          <w:sz w:val="20"/>
          <w:lang w:val="es-ES" w:bidi="es-ES"/>
        </w:rPr>
      </w:pPr>
    </w:p>
    <w:p w14:paraId="152A4C00" w14:textId="0B445B15" w:rsidR="0089748D" w:rsidRDefault="0089748D" w:rsidP="0089748D">
      <w:pPr>
        <w:spacing w:after="0" w:line="240" w:lineRule="auto"/>
        <w:jc w:val="both"/>
        <w:rPr>
          <w:rFonts w:ascii="Verdana" w:eastAsia="Verdana" w:hAnsi="Verdana" w:cs="Verdana"/>
          <w:sz w:val="20"/>
          <w:lang w:val="es-ES" w:bidi="es-ES"/>
        </w:rPr>
      </w:pPr>
    </w:p>
    <w:p w14:paraId="5866FB36" w14:textId="2670A2FD" w:rsidR="0089748D" w:rsidRDefault="0089748D" w:rsidP="0089748D">
      <w:pPr>
        <w:spacing w:after="0" w:line="240" w:lineRule="auto"/>
        <w:jc w:val="both"/>
        <w:rPr>
          <w:rFonts w:ascii="Verdana" w:eastAsia="Verdana" w:hAnsi="Verdana" w:cs="Verdana"/>
          <w:sz w:val="20"/>
          <w:lang w:val="es-ES" w:bidi="es-ES"/>
        </w:rPr>
      </w:pPr>
    </w:p>
    <w:p w14:paraId="4A299761" w14:textId="6C689048" w:rsidR="0089748D" w:rsidRDefault="0089748D" w:rsidP="0089748D">
      <w:pPr>
        <w:spacing w:after="0" w:line="240" w:lineRule="auto"/>
        <w:jc w:val="both"/>
        <w:rPr>
          <w:rFonts w:ascii="Verdana" w:eastAsia="Verdana" w:hAnsi="Verdana" w:cs="Verdana"/>
          <w:sz w:val="20"/>
          <w:lang w:val="es-ES" w:bidi="es-ES"/>
        </w:rPr>
      </w:pPr>
    </w:p>
    <w:p w14:paraId="02741D23" w14:textId="47343CC2" w:rsidR="0089748D" w:rsidRDefault="0089748D" w:rsidP="0089748D">
      <w:pPr>
        <w:spacing w:after="0" w:line="240" w:lineRule="auto"/>
        <w:jc w:val="both"/>
        <w:rPr>
          <w:rFonts w:ascii="Verdana" w:eastAsia="Verdana" w:hAnsi="Verdana" w:cs="Verdana"/>
          <w:sz w:val="20"/>
          <w:lang w:val="es-ES" w:bidi="es-ES"/>
        </w:rPr>
      </w:pPr>
    </w:p>
    <w:p w14:paraId="3A0BC175" w14:textId="4658547B" w:rsidR="0089748D" w:rsidRDefault="0089748D" w:rsidP="0089748D">
      <w:pPr>
        <w:spacing w:after="0" w:line="240" w:lineRule="auto"/>
        <w:jc w:val="both"/>
        <w:rPr>
          <w:rFonts w:ascii="Verdana" w:eastAsia="Verdana" w:hAnsi="Verdana" w:cs="Verdana"/>
          <w:sz w:val="20"/>
          <w:lang w:val="es-ES" w:bidi="es-ES"/>
        </w:rPr>
      </w:pPr>
    </w:p>
    <w:p w14:paraId="45ADD7D6" w14:textId="7FF7C08B" w:rsidR="0089748D" w:rsidRDefault="0089748D" w:rsidP="0089748D">
      <w:pPr>
        <w:spacing w:after="0" w:line="240" w:lineRule="auto"/>
        <w:jc w:val="both"/>
        <w:rPr>
          <w:rFonts w:ascii="Verdana" w:eastAsia="Verdana" w:hAnsi="Verdana" w:cs="Verdana"/>
          <w:sz w:val="20"/>
          <w:lang w:val="es-ES" w:bidi="es-ES"/>
        </w:rPr>
      </w:pPr>
    </w:p>
    <w:p w14:paraId="5EA29393" w14:textId="50CCA578" w:rsidR="0089748D" w:rsidRDefault="0089748D" w:rsidP="0089748D">
      <w:pPr>
        <w:spacing w:after="0" w:line="240" w:lineRule="auto"/>
        <w:jc w:val="both"/>
        <w:rPr>
          <w:rFonts w:ascii="Verdana" w:eastAsia="Verdana" w:hAnsi="Verdana" w:cs="Verdana"/>
          <w:sz w:val="20"/>
          <w:lang w:val="es-ES" w:bidi="es-ES"/>
        </w:rPr>
      </w:pPr>
    </w:p>
    <w:p w14:paraId="55F4C528" w14:textId="75130624" w:rsidR="0089748D" w:rsidRDefault="0089748D" w:rsidP="0089748D">
      <w:pPr>
        <w:spacing w:after="0" w:line="240" w:lineRule="auto"/>
        <w:jc w:val="both"/>
        <w:rPr>
          <w:rFonts w:ascii="Verdana" w:eastAsia="Verdana" w:hAnsi="Verdana" w:cs="Verdana"/>
          <w:sz w:val="20"/>
          <w:lang w:val="es-ES" w:bidi="es-ES"/>
        </w:rPr>
      </w:pPr>
    </w:p>
    <w:p w14:paraId="75DF96A6" w14:textId="18860397" w:rsidR="0089748D" w:rsidRDefault="0089748D" w:rsidP="0089748D">
      <w:pPr>
        <w:spacing w:after="0" w:line="240" w:lineRule="auto"/>
        <w:jc w:val="both"/>
        <w:rPr>
          <w:rFonts w:ascii="Verdana" w:eastAsia="Verdana" w:hAnsi="Verdana" w:cs="Verdana"/>
          <w:sz w:val="20"/>
          <w:lang w:val="es-ES" w:bidi="es-ES"/>
        </w:rPr>
      </w:pPr>
    </w:p>
    <w:p w14:paraId="68447FEF" w14:textId="4DE5D9B5" w:rsidR="0089748D" w:rsidRDefault="0089748D" w:rsidP="0089748D">
      <w:pPr>
        <w:spacing w:after="0" w:line="240" w:lineRule="auto"/>
        <w:jc w:val="both"/>
        <w:rPr>
          <w:rFonts w:ascii="Verdana" w:eastAsia="Verdana" w:hAnsi="Verdana" w:cs="Verdana"/>
          <w:sz w:val="20"/>
          <w:lang w:val="es-ES" w:bidi="es-ES"/>
        </w:rPr>
      </w:pPr>
    </w:p>
    <w:p w14:paraId="05DDE560" w14:textId="6C2FFE4E" w:rsidR="0089748D" w:rsidRDefault="0089748D" w:rsidP="0089748D">
      <w:pPr>
        <w:spacing w:after="0" w:line="240" w:lineRule="auto"/>
        <w:jc w:val="both"/>
        <w:rPr>
          <w:rFonts w:ascii="Verdana" w:eastAsia="Verdana" w:hAnsi="Verdana" w:cs="Verdana"/>
          <w:sz w:val="20"/>
          <w:lang w:val="es-ES" w:bidi="es-ES"/>
        </w:rPr>
      </w:pPr>
    </w:p>
    <w:p w14:paraId="083BF066" w14:textId="708D2463" w:rsidR="0089748D" w:rsidRDefault="0089748D" w:rsidP="0089748D">
      <w:pPr>
        <w:spacing w:after="0" w:line="240" w:lineRule="auto"/>
        <w:jc w:val="both"/>
        <w:rPr>
          <w:rFonts w:ascii="Verdana" w:eastAsia="Verdana" w:hAnsi="Verdana" w:cs="Verdana"/>
          <w:sz w:val="20"/>
          <w:lang w:val="es-ES" w:bidi="es-ES"/>
        </w:rPr>
      </w:pPr>
    </w:p>
    <w:p w14:paraId="71B9DFF9" w14:textId="456832BE" w:rsidR="0089748D" w:rsidRDefault="0089748D" w:rsidP="0089748D">
      <w:pPr>
        <w:spacing w:after="0" w:line="240" w:lineRule="auto"/>
        <w:jc w:val="both"/>
        <w:rPr>
          <w:rFonts w:ascii="Verdana" w:eastAsia="Verdana" w:hAnsi="Verdana" w:cs="Verdana"/>
          <w:sz w:val="20"/>
          <w:lang w:val="es-ES" w:bidi="es-ES"/>
        </w:rPr>
      </w:pPr>
    </w:p>
    <w:p w14:paraId="496F7213" w14:textId="1FEC8737" w:rsidR="0089748D" w:rsidRDefault="0089748D" w:rsidP="0089748D">
      <w:pPr>
        <w:spacing w:after="0" w:line="240" w:lineRule="auto"/>
        <w:jc w:val="both"/>
        <w:rPr>
          <w:rFonts w:ascii="Verdana" w:eastAsia="Verdana" w:hAnsi="Verdana" w:cs="Verdana"/>
          <w:sz w:val="20"/>
          <w:lang w:val="es-ES" w:bidi="es-ES"/>
        </w:rPr>
      </w:pPr>
    </w:p>
    <w:p w14:paraId="500C05E6" w14:textId="6D74E884" w:rsidR="0089748D" w:rsidRDefault="0089748D" w:rsidP="0089748D">
      <w:pPr>
        <w:spacing w:after="0" w:line="240" w:lineRule="auto"/>
        <w:jc w:val="both"/>
        <w:rPr>
          <w:rFonts w:ascii="Verdana" w:eastAsia="Verdana" w:hAnsi="Verdana" w:cs="Verdana"/>
          <w:sz w:val="20"/>
          <w:lang w:val="es-ES" w:bidi="es-ES"/>
        </w:rPr>
      </w:pPr>
    </w:p>
    <w:p w14:paraId="3908FD80" w14:textId="7CA74895" w:rsidR="0089748D" w:rsidRDefault="0089748D" w:rsidP="0089748D">
      <w:pPr>
        <w:spacing w:after="0" w:line="240" w:lineRule="auto"/>
        <w:jc w:val="both"/>
        <w:rPr>
          <w:rFonts w:ascii="Verdana" w:eastAsia="Verdana" w:hAnsi="Verdana" w:cs="Verdana"/>
          <w:sz w:val="20"/>
          <w:lang w:val="es-ES" w:bidi="es-ES"/>
        </w:rPr>
      </w:pPr>
    </w:p>
    <w:p w14:paraId="38986A80" w14:textId="49DF45B3" w:rsidR="0089748D" w:rsidRDefault="0089748D" w:rsidP="0089748D">
      <w:pPr>
        <w:spacing w:after="0" w:line="240" w:lineRule="auto"/>
        <w:jc w:val="both"/>
        <w:rPr>
          <w:rFonts w:ascii="Verdana" w:eastAsia="Verdana" w:hAnsi="Verdana" w:cs="Verdana"/>
          <w:sz w:val="20"/>
          <w:lang w:val="es-ES" w:bidi="es-ES"/>
        </w:rPr>
      </w:pPr>
    </w:p>
    <w:p w14:paraId="1581C464" w14:textId="0078BDA5" w:rsidR="0089748D" w:rsidRDefault="0089748D" w:rsidP="0089748D">
      <w:pPr>
        <w:spacing w:after="0" w:line="240" w:lineRule="auto"/>
        <w:jc w:val="both"/>
        <w:rPr>
          <w:rFonts w:ascii="Verdana" w:eastAsia="Verdana" w:hAnsi="Verdana" w:cs="Verdana"/>
          <w:sz w:val="20"/>
          <w:lang w:val="es-ES" w:bidi="es-ES"/>
        </w:rPr>
      </w:pPr>
    </w:p>
    <w:p w14:paraId="33101837" w14:textId="2FD2965C" w:rsidR="0089748D" w:rsidRDefault="0089748D" w:rsidP="0089748D">
      <w:pPr>
        <w:spacing w:after="0" w:line="240" w:lineRule="auto"/>
        <w:jc w:val="both"/>
        <w:rPr>
          <w:rFonts w:ascii="Verdana" w:eastAsia="Verdana" w:hAnsi="Verdana" w:cs="Verdana"/>
          <w:sz w:val="20"/>
          <w:lang w:val="es-ES" w:bidi="es-ES"/>
        </w:rPr>
      </w:pPr>
    </w:p>
    <w:p w14:paraId="3CDF0ED4" w14:textId="4E39B4C1" w:rsidR="0089748D" w:rsidRDefault="0089748D" w:rsidP="0089748D">
      <w:pPr>
        <w:spacing w:after="0" w:line="240" w:lineRule="auto"/>
        <w:jc w:val="both"/>
        <w:rPr>
          <w:rFonts w:ascii="Verdana" w:eastAsia="Verdana" w:hAnsi="Verdana" w:cs="Verdana"/>
          <w:sz w:val="20"/>
          <w:lang w:val="es-ES" w:bidi="es-ES"/>
        </w:rPr>
      </w:pPr>
    </w:p>
    <w:p w14:paraId="16D82276" w14:textId="5EDEDB00" w:rsidR="0089748D" w:rsidRDefault="0089748D" w:rsidP="0089748D">
      <w:pPr>
        <w:spacing w:after="0" w:line="240" w:lineRule="auto"/>
        <w:jc w:val="both"/>
        <w:rPr>
          <w:rFonts w:ascii="Verdana" w:eastAsia="Verdana" w:hAnsi="Verdana" w:cs="Verdana"/>
          <w:sz w:val="20"/>
          <w:lang w:val="es-ES" w:bidi="es-ES"/>
        </w:rPr>
      </w:pPr>
    </w:p>
    <w:p w14:paraId="26846A6A" w14:textId="375FA045" w:rsidR="0089748D" w:rsidRDefault="0089748D" w:rsidP="0089748D">
      <w:pPr>
        <w:spacing w:after="0" w:line="240" w:lineRule="auto"/>
        <w:jc w:val="both"/>
        <w:rPr>
          <w:rFonts w:ascii="Verdana" w:eastAsia="Verdana" w:hAnsi="Verdana" w:cs="Verdana"/>
          <w:sz w:val="20"/>
          <w:lang w:val="es-ES" w:bidi="es-ES"/>
        </w:rPr>
      </w:pPr>
    </w:p>
    <w:p w14:paraId="6A945A6B" w14:textId="7192192D" w:rsidR="0089748D" w:rsidRDefault="0089748D" w:rsidP="0089748D">
      <w:pPr>
        <w:spacing w:after="0" w:line="240" w:lineRule="auto"/>
        <w:jc w:val="both"/>
        <w:rPr>
          <w:rFonts w:ascii="Verdana" w:eastAsia="Verdana" w:hAnsi="Verdana" w:cs="Verdana"/>
          <w:sz w:val="20"/>
          <w:lang w:val="es-ES" w:bidi="es-ES"/>
        </w:rPr>
      </w:pPr>
    </w:p>
    <w:p w14:paraId="0CDCD73A" w14:textId="35C72C69" w:rsidR="0089748D" w:rsidRDefault="0089748D" w:rsidP="0089748D">
      <w:pPr>
        <w:spacing w:after="0" w:line="240" w:lineRule="auto"/>
        <w:jc w:val="both"/>
        <w:rPr>
          <w:rFonts w:ascii="Verdana" w:eastAsia="Verdana" w:hAnsi="Verdana" w:cs="Verdana"/>
          <w:sz w:val="20"/>
          <w:lang w:val="es-ES" w:bidi="es-ES"/>
        </w:rPr>
      </w:pPr>
    </w:p>
    <w:p w14:paraId="34FF859F" w14:textId="59D21A89" w:rsidR="0089748D" w:rsidRDefault="0089748D" w:rsidP="0089748D">
      <w:pPr>
        <w:spacing w:after="0" w:line="240" w:lineRule="auto"/>
        <w:jc w:val="both"/>
        <w:rPr>
          <w:rFonts w:ascii="Verdana" w:eastAsia="Verdana" w:hAnsi="Verdana" w:cs="Verdana"/>
          <w:sz w:val="20"/>
          <w:lang w:val="es-ES" w:bidi="es-ES"/>
        </w:rPr>
      </w:pPr>
    </w:p>
    <w:p w14:paraId="6C50EFDB" w14:textId="1FBFA82D" w:rsidR="0089748D" w:rsidRDefault="0089748D" w:rsidP="0089748D">
      <w:pPr>
        <w:spacing w:after="0" w:line="240" w:lineRule="auto"/>
        <w:jc w:val="both"/>
        <w:rPr>
          <w:rFonts w:ascii="Verdana" w:eastAsia="Verdana" w:hAnsi="Verdana" w:cs="Verdana"/>
          <w:sz w:val="20"/>
          <w:lang w:val="es-ES" w:bidi="es-ES"/>
        </w:rPr>
      </w:pPr>
    </w:p>
    <w:p w14:paraId="16A387EA" w14:textId="0364BC9E" w:rsidR="0089748D" w:rsidRDefault="0089748D" w:rsidP="0089748D">
      <w:pPr>
        <w:spacing w:after="0" w:line="240" w:lineRule="auto"/>
        <w:jc w:val="both"/>
        <w:rPr>
          <w:rFonts w:ascii="Verdana" w:eastAsia="Verdana" w:hAnsi="Verdana" w:cs="Verdana"/>
          <w:sz w:val="20"/>
          <w:lang w:val="es-ES" w:bidi="es-ES"/>
        </w:rPr>
      </w:pPr>
    </w:p>
    <w:p w14:paraId="4AA4A5FB" w14:textId="77777777" w:rsidR="0089748D" w:rsidRPr="0089748D" w:rsidRDefault="0089748D" w:rsidP="0089748D">
      <w:pPr>
        <w:spacing w:after="0" w:line="240" w:lineRule="auto"/>
        <w:jc w:val="both"/>
        <w:rPr>
          <w:rFonts w:ascii="Verdana" w:eastAsia="Verdana" w:hAnsi="Verdana" w:cs="Verdana"/>
          <w:sz w:val="20"/>
          <w:lang w:val="es-ES" w:bidi="es-ES"/>
        </w:rPr>
      </w:pPr>
    </w:p>
    <w:p w14:paraId="74F53B63" w14:textId="13107754" w:rsidR="006B1D58" w:rsidRPr="0089748D" w:rsidRDefault="005D0889" w:rsidP="006B1D58">
      <w:pPr>
        <w:spacing w:after="0"/>
        <w:rPr>
          <w:rFonts w:ascii="Verdana" w:eastAsia="Calibri" w:hAnsi="Verdana" w:cs="Arial"/>
          <w:color w:val="000000"/>
        </w:rPr>
      </w:pPr>
      <w:r w:rsidRPr="005D0889">
        <w:rPr>
          <w:noProof/>
          <w:lang w:val="en-US"/>
        </w:rPr>
        <w:lastRenderedPageBreak/>
        <w:drawing>
          <wp:anchor distT="0" distB="0" distL="114300" distR="114300" simplePos="0" relativeHeight="251658240" behindDoc="0" locked="0" layoutInCell="1" allowOverlap="1" wp14:anchorId="42180AD5" wp14:editId="75F6D18F">
            <wp:simplePos x="0" y="0"/>
            <wp:positionH relativeFrom="column">
              <wp:posOffset>2816225</wp:posOffset>
            </wp:positionH>
            <wp:positionV relativeFrom="paragraph">
              <wp:posOffset>187036</wp:posOffset>
            </wp:positionV>
            <wp:extent cx="2846705" cy="78613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6705" cy="786130"/>
                    </a:xfrm>
                    <a:prstGeom prst="rect">
                      <a:avLst/>
                    </a:prstGeom>
                    <a:noFill/>
                    <a:ln>
                      <a:noFill/>
                    </a:ln>
                  </pic:spPr>
                </pic:pic>
              </a:graphicData>
            </a:graphic>
          </wp:anchor>
        </w:drawing>
      </w:r>
      <w:r w:rsidR="0089748D">
        <w:rPr>
          <w:rFonts w:ascii="Verdana" w:eastAsia="Verdana" w:hAnsi="Verdana" w:cs="Verdana"/>
        </w:rPr>
        <w:t>Bogotá D.C., 25 de mayo de 2026</w:t>
      </w:r>
      <w:r w:rsidR="006B1D58">
        <w:tab/>
      </w:r>
      <w:r w:rsidR="006B1D58">
        <w:br/>
      </w:r>
    </w:p>
    <w:p w14:paraId="7EF439B3" w14:textId="1DDD84B0" w:rsidR="006B1D58" w:rsidRPr="00580D2E" w:rsidRDefault="006B1D58" w:rsidP="006B1D58">
      <w:pPr>
        <w:spacing w:after="0" w:line="240" w:lineRule="auto"/>
        <w:jc w:val="both"/>
        <w:rPr>
          <w:rFonts w:ascii="Verdana" w:eastAsia="Calibri" w:hAnsi="Verdana" w:cs="Arial"/>
          <w:color w:val="000000"/>
          <w:lang w:val="es-ES"/>
        </w:rPr>
      </w:pPr>
    </w:p>
    <w:p w14:paraId="7A56883A" w14:textId="77777777" w:rsidR="006B1D58" w:rsidRPr="00816C87" w:rsidRDefault="006B1D58" w:rsidP="006B1D58">
      <w:pPr>
        <w:spacing w:after="0" w:line="240" w:lineRule="auto"/>
        <w:jc w:val="both"/>
        <w:rPr>
          <w:rFonts w:ascii="Verdana" w:eastAsia="Calibri" w:hAnsi="Verdana" w:cs="Arial"/>
          <w:lang w:val="es-ES" w:eastAsia="es-ES"/>
        </w:rPr>
      </w:pPr>
      <w:r w:rsidRPr="00816C87">
        <w:rPr>
          <w:rFonts w:ascii="Verdana" w:eastAsia="Calibri" w:hAnsi="Verdana" w:cs="Arial"/>
          <w:lang w:val="es-ES" w:eastAsia="es-ES"/>
        </w:rPr>
        <w:t>Señor</w:t>
      </w:r>
    </w:p>
    <w:p w14:paraId="64B5112E" w14:textId="77777777" w:rsidR="006B1D58" w:rsidRPr="00816C87" w:rsidRDefault="006B1D58" w:rsidP="006B1D58">
      <w:pPr>
        <w:spacing w:after="0" w:line="240" w:lineRule="auto"/>
        <w:rPr>
          <w:rFonts w:ascii="Verdana" w:eastAsia="Calibri" w:hAnsi="Verdana" w:cs="Arial"/>
          <w:b/>
          <w:lang w:val="es-ES" w:eastAsia="es-ES"/>
        </w:rPr>
      </w:pPr>
      <w:r w:rsidRPr="00816C87">
        <w:rPr>
          <w:rFonts w:ascii="Verdana" w:eastAsia="Calibri" w:hAnsi="Verdana" w:cs="Arial"/>
          <w:b/>
          <w:lang w:val="es-ES" w:eastAsia="es-ES"/>
        </w:rPr>
        <w:t>Carlos Mario Ordosgoitia Liñan</w:t>
      </w:r>
    </w:p>
    <w:p w14:paraId="1160F226" w14:textId="77777777" w:rsidR="006B1D58" w:rsidRPr="00816C87" w:rsidRDefault="006B1D58" w:rsidP="006B1D58">
      <w:pPr>
        <w:spacing w:after="0" w:line="240" w:lineRule="auto"/>
        <w:rPr>
          <w:rFonts w:ascii="Verdana" w:hAnsi="Verdana"/>
        </w:rPr>
      </w:pPr>
      <w:hyperlink r:id="rId12" w:history="1">
        <w:r w:rsidRPr="00816C87">
          <w:rPr>
            <w:rStyle w:val="Hipervnculo"/>
            <w:rFonts w:ascii="Verdana" w:hAnsi="Verdana"/>
          </w:rPr>
          <w:t>c.ordosgoitia@hotmail.com</w:t>
        </w:r>
      </w:hyperlink>
      <w:r w:rsidRPr="00816C87">
        <w:rPr>
          <w:rFonts w:ascii="Verdana" w:hAnsi="Verdana"/>
        </w:rPr>
        <w:t xml:space="preserve"> </w:t>
      </w:r>
    </w:p>
    <w:p w14:paraId="4F364683" w14:textId="77777777" w:rsidR="006B1D58" w:rsidRPr="00816C87" w:rsidRDefault="006B1D58" w:rsidP="006B1D58">
      <w:pPr>
        <w:spacing w:after="0" w:line="240" w:lineRule="auto"/>
        <w:rPr>
          <w:rFonts w:ascii="Verdana" w:eastAsia="Calibri" w:hAnsi="Verdana" w:cs="Arial"/>
          <w:lang w:val="es-ES" w:eastAsia="es-ES"/>
        </w:rPr>
      </w:pPr>
      <w:r w:rsidRPr="00816C87">
        <w:rPr>
          <w:rFonts w:ascii="Verdana" w:eastAsia="Calibri" w:hAnsi="Verdana" w:cs="Arial"/>
          <w:lang w:val="es-ES" w:eastAsia="es-ES"/>
        </w:rPr>
        <w:t xml:space="preserve">Cartagena, </w:t>
      </w:r>
      <w:proofErr w:type="spellStart"/>
      <w:r w:rsidRPr="00816C87">
        <w:rPr>
          <w:rFonts w:ascii="Verdana" w:eastAsia="Calibri" w:hAnsi="Verdana" w:cs="Arial"/>
          <w:lang w:val="es-ES" w:eastAsia="es-ES"/>
        </w:rPr>
        <w:t>Bólivar</w:t>
      </w:r>
      <w:proofErr w:type="spellEnd"/>
    </w:p>
    <w:p w14:paraId="703BFDF5" w14:textId="77777777" w:rsidR="006B1D58" w:rsidRDefault="006B1D58" w:rsidP="006B1D58">
      <w:pPr>
        <w:spacing w:after="0" w:line="240" w:lineRule="auto"/>
        <w:rPr>
          <w:rFonts w:ascii="Verdana" w:eastAsia="Calibri" w:hAnsi="Verdana" w:cs="Arial"/>
          <w:b/>
          <w:bCs/>
          <w:color w:val="000000"/>
          <w:lang w:val="es-ES_tradnl" w:eastAsia="es-ES_tradnl"/>
        </w:rPr>
      </w:pPr>
    </w:p>
    <w:p w14:paraId="488A8F33" w14:textId="77777777" w:rsidR="006B1D58" w:rsidRPr="00A12CB6" w:rsidRDefault="006B1D58" w:rsidP="006B1D58">
      <w:pPr>
        <w:spacing w:after="0" w:line="240" w:lineRule="auto"/>
        <w:rPr>
          <w:rFonts w:ascii="Verdana" w:eastAsia="Calibri" w:hAnsi="Verdana" w:cs="Times New Roman"/>
        </w:rPr>
      </w:pPr>
    </w:p>
    <w:p w14:paraId="06A46049" w14:textId="77777777" w:rsidR="006B1D58" w:rsidRPr="00A12CB6" w:rsidRDefault="006B1D58" w:rsidP="006B1D58">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C- 354 de 2026</w:t>
      </w:r>
    </w:p>
    <w:p w14:paraId="6B0E924E" w14:textId="77777777" w:rsidR="006B1D58" w:rsidRPr="00A12CB6" w:rsidRDefault="006B1D58" w:rsidP="006B1D58">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6B1D58" w:rsidRPr="00A12CB6" w14:paraId="25F0C441" w14:textId="77777777" w:rsidTr="00742817">
        <w:trPr>
          <w:trHeight w:val="645"/>
        </w:trPr>
        <w:tc>
          <w:tcPr>
            <w:tcW w:w="2685" w:type="dxa"/>
            <w:hideMark/>
          </w:tcPr>
          <w:p w14:paraId="290FA69C" w14:textId="77777777" w:rsidR="006B1D58" w:rsidRPr="00A12CB6" w:rsidRDefault="006B1D58" w:rsidP="00742817">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58777447" w14:textId="21531F44" w:rsidR="006B1D58" w:rsidRPr="00817856" w:rsidRDefault="006B1D58" w:rsidP="00742817">
            <w:pPr>
              <w:spacing w:line="276" w:lineRule="auto"/>
              <w:jc w:val="both"/>
              <w:rPr>
                <w:rFonts w:ascii="Verdana" w:hAnsi="Verdana" w:cs="Arial"/>
                <w:lang w:val="es-ES" w:eastAsia="es-ES_tradnl"/>
              </w:rPr>
            </w:pPr>
            <w:r w:rsidRPr="00891006">
              <w:rPr>
                <w:rFonts w:ascii="Verdana" w:hAnsi="Verdana" w:cs="Arial"/>
                <w:lang w:eastAsia="es-ES_tradnl"/>
              </w:rPr>
              <w:t xml:space="preserve">LEY DE GARANTÍAS ELECTORALES </w:t>
            </w:r>
            <w:r w:rsidRPr="00891006">
              <w:rPr>
                <w:rFonts w:ascii="Verdana" w:hAnsi="Verdana" w:cs="Arial"/>
                <w:bCs/>
                <w:lang w:eastAsia="es-ES_tradnl"/>
              </w:rPr>
              <w:t>‒</w:t>
            </w:r>
            <w:r w:rsidRPr="00891006">
              <w:rPr>
                <w:rFonts w:ascii="Verdana" w:hAnsi="Verdana" w:cs="Arial"/>
                <w:lang w:eastAsia="es-ES_tradnl"/>
              </w:rPr>
              <w:t xml:space="preserve"> Finalidad / LEY DE GARANTÍAS ELECTORALES </w:t>
            </w:r>
            <w:r w:rsidRPr="00891006">
              <w:rPr>
                <w:rFonts w:ascii="Verdana" w:hAnsi="Verdana" w:cs="Arial"/>
                <w:bCs/>
                <w:lang w:eastAsia="es-ES_tradnl"/>
              </w:rPr>
              <w:t>‒</w:t>
            </w:r>
            <w:r w:rsidRPr="00891006">
              <w:rPr>
                <w:rFonts w:ascii="Verdana" w:hAnsi="Verdana" w:cs="Arial"/>
                <w:lang w:eastAsia="es-ES_tradnl"/>
              </w:rPr>
              <w:t xml:space="preserve"> Tipos de restricciones </w:t>
            </w:r>
            <w:r w:rsidRPr="00891006">
              <w:rPr>
                <w:rFonts w:ascii="Verdana" w:hAnsi="Verdana" w:cs="Arial"/>
                <w:bCs/>
                <w:lang w:eastAsia="es-ES_tradnl"/>
              </w:rPr>
              <w:t>‒</w:t>
            </w:r>
            <w:r w:rsidRPr="00891006">
              <w:rPr>
                <w:rFonts w:ascii="Verdana" w:hAnsi="Verdana" w:cs="Arial"/>
                <w:lang w:eastAsia="es-ES_tradnl"/>
              </w:rPr>
              <w:t xml:space="preserve"> Ámbito temporal – celebración- límite / LEY DE GARANTÍAS ELECTORALES – Prohibición artículo 33 – Contratación directa – Alcance / LEY DE GARANTÍAS ELECTORALES – Prohibición del artículo 33 – Destinatarios</w:t>
            </w:r>
            <w:r>
              <w:rPr>
                <w:rFonts w:ascii="Verdana" w:hAnsi="Verdana" w:cs="Arial"/>
                <w:lang w:eastAsia="es-ES_tradnl"/>
              </w:rPr>
              <w:t xml:space="preserve"> /</w:t>
            </w:r>
            <w:r w:rsidRPr="00891006">
              <w:rPr>
                <w:rFonts w:ascii="Verdana" w:hAnsi="Verdana" w:cs="Arial"/>
                <w:lang w:eastAsia="es-ES_tradnl"/>
              </w:rPr>
              <w:t xml:space="preserve"> LEY DE GARANTÍAS ELECTORALES – Excepciones / </w:t>
            </w:r>
            <w:r>
              <w:rPr>
                <w:rFonts w:ascii="Verdana" w:hAnsi="Verdana" w:cs="Arial"/>
                <w:lang w:eastAsia="es-ES_tradnl"/>
              </w:rPr>
              <w:t>LEY DE GARANTÍAS ELECTORALES – Excepciones – Posturas de la Sala de Consulta y Servicio del Consejo de Estado /</w:t>
            </w:r>
            <w:r>
              <w:rPr>
                <w:rFonts w:ascii="Verdana" w:hAnsi="Verdana" w:cs="Arial"/>
                <w:lang w:val="es-MX" w:eastAsia="es-ES_tradnl"/>
              </w:rPr>
              <w:t xml:space="preserve"> </w:t>
            </w:r>
            <w:r w:rsidRPr="00816C87">
              <w:rPr>
                <w:rFonts w:ascii="Verdana" w:hAnsi="Verdana" w:cs="Arial"/>
                <w:bCs/>
                <w:lang w:val="es-MX" w:eastAsia="es-ES_tradnl"/>
              </w:rPr>
              <w:t>CONTRATO DE TRANSACCIÓN – Noción – Requisitos / CONTRATO DE TRANSACCIÓN – Mecanismo alternativo de resolución de conflictos – Entidades Estatales /</w:t>
            </w:r>
            <w:r>
              <w:rPr>
                <w:rFonts w:ascii="Verdana" w:hAnsi="Verdana" w:cs="Arial"/>
                <w:bCs/>
                <w:lang w:val="es-MX" w:eastAsia="es-ES_tradnl"/>
              </w:rPr>
              <w:t xml:space="preserve"> LEY DE GARANTÍAS – Contratos de Transacción – Supuestos </w:t>
            </w:r>
          </w:p>
        </w:tc>
        <w:tc>
          <w:tcPr>
            <w:tcW w:w="6237" w:type="dxa"/>
          </w:tcPr>
          <w:p w14:paraId="79B4BE2D" w14:textId="77777777" w:rsidR="006B1D58" w:rsidRPr="00A12CB6" w:rsidRDefault="006B1D58" w:rsidP="00742817">
            <w:pPr>
              <w:spacing w:line="256" w:lineRule="auto"/>
              <w:rPr>
                <w:rFonts w:ascii="Verdana" w:hAnsi="Verdana"/>
              </w:rPr>
            </w:pPr>
          </w:p>
        </w:tc>
      </w:tr>
    </w:tbl>
    <w:p w14:paraId="20A5A77D" w14:textId="77777777" w:rsidR="006B1D58" w:rsidRPr="00593A5F" w:rsidRDefault="006B1D58" w:rsidP="006B1D58">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1D58" w:rsidRPr="00816C87" w14:paraId="71E27389" w14:textId="77777777" w:rsidTr="00742817">
        <w:trPr>
          <w:trHeight w:val="538"/>
        </w:trPr>
        <w:tc>
          <w:tcPr>
            <w:tcW w:w="2689" w:type="dxa"/>
          </w:tcPr>
          <w:p w14:paraId="0E1730E4" w14:textId="77777777" w:rsidR="006B1D58" w:rsidRPr="008E6AD9" w:rsidRDefault="006B1D58" w:rsidP="00742817">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2ABB636F" w14:textId="77777777" w:rsidR="006B1D58" w:rsidRPr="00816C87" w:rsidRDefault="006B1D58" w:rsidP="00742817">
            <w:pPr>
              <w:spacing w:line="276" w:lineRule="auto"/>
              <w:jc w:val="both"/>
              <w:rPr>
                <w:rFonts w:ascii="Verdana" w:eastAsia="Calibri" w:hAnsi="Verdana" w:cs="Arial"/>
                <w:lang w:val="es-ES_tradnl" w:eastAsia="es-ES_tradnl"/>
              </w:rPr>
            </w:pPr>
            <w:r w:rsidRPr="00816C87">
              <w:rPr>
                <w:rFonts w:ascii="Verdana" w:eastAsia="Calibri" w:hAnsi="Verdana" w:cs="Arial"/>
                <w:lang w:val="es-ES_tradnl" w:eastAsia="es-ES_tradnl"/>
              </w:rPr>
              <w:t>Respuesta a la consulta con radicados No.</w:t>
            </w:r>
            <w:r w:rsidRPr="00816C87">
              <w:rPr>
                <w:rFonts w:ascii="Verdana" w:hAnsi="Verdana" w:cs="Segoe UI"/>
                <w:shd w:val="clear" w:color="auto" w:fill="FFFFFF"/>
              </w:rPr>
              <w:t xml:space="preserve"> 1_2026_04_16_005169 y </w:t>
            </w:r>
            <w:r w:rsidRPr="00816C87">
              <w:rPr>
                <w:rFonts w:ascii="Verdana" w:eastAsia="Calibri" w:hAnsi="Verdana" w:cs="Arial"/>
                <w:lang w:eastAsia="es-ES_tradnl"/>
              </w:rPr>
              <w:t>1_2026_04_16_005209</w:t>
            </w:r>
            <w:r>
              <w:rPr>
                <w:rFonts w:ascii="Verdana" w:eastAsia="Calibri" w:hAnsi="Verdana" w:cs="Arial"/>
                <w:lang w:eastAsia="es-ES_tradnl"/>
              </w:rPr>
              <w:t xml:space="preserve"> (acumulados)</w:t>
            </w:r>
          </w:p>
        </w:tc>
      </w:tr>
    </w:tbl>
    <w:p w14:paraId="17774349" w14:textId="77777777" w:rsidR="006B1D58" w:rsidRDefault="006B1D58" w:rsidP="006B1D58">
      <w:pPr>
        <w:spacing w:after="0" w:line="240" w:lineRule="auto"/>
        <w:jc w:val="both"/>
        <w:rPr>
          <w:rFonts w:ascii="Verdana" w:eastAsia="Calibri" w:hAnsi="Verdana" w:cs="Arial"/>
          <w:color w:val="000000"/>
          <w:lang w:val="es-ES_tradnl" w:eastAsia="es-ES_tradnl"/>
        </w:rPr>
      </w:pPr>
    </w:p>
    <w:p w14:paraId="555D0C61" w14:textId="77777777" w:rsidR="006B1D58" w:rsidRPr="00593A5F" w:rsidRDefault="006B1D58" w:rsidP="006B1D58">
      <w:pPr>
        <w:spacing w:after="0" w:line="240" w:lineRule="auto"/>
        <w:jc w:val="both"/>
        <w:rPr>
          <w:rFonts w:ascii="Verdana" w:eastAsia="Calibri" w:hAnsi="Verdana" w:cs="Arial"/>
          <w:color w:val="000000"/>
          <w:lang w:val="es-ES_tradnl" w:eastAsia="es-ES_tradnl"/>
        </w:rPr>
      </w:pPr>
    </w:p>
    <w:p w14:paraId="6DB0BC4D" w14:textId="77777777" w:rsidR="006B1D58" w:rsidRDefault="006B1D58" w:rsidP="006B1D58">
      <w:pPr>
        <w:spacing w:after="0" w:line="240" w:lineRule="auto"/>
        <w:jc w:val="both"/>
        <w:rPr>
          <w:rFonts w:ascii="Verdana" w:eastAsia="Calibri" w:hAnsi="Verdana" w:cs="Arial"/>
          <w:b/>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 xml:space="preserve">o Señor </w:t>
      </w:r>
      <w:proofErr w:type="spellStart"/>
      <w:r w:rsidRPr="00BB1E41">
        <w:rPr>
          <w:rFonts w:ascii="Verdana" w:eastAsia="Calibri" w:hAnsi="Verdana" w:cs="Arial"/>
          <w:lang w:val="es-ES" w:eastAsia="es-ES"/>
        </w:rPr>
        <w:t>Ordosgoitia</w:t>
      </w:r>
      <w:proofErr w:type="spellEnd"/>
      <w:r w:rsidRPr="00BB1E41">
        <w:rPr>
          <w:rFonts w:ascii="Verdana" w:eastAsia="Calibri" w:hAnsi="Verdana" w:cs="Arial"/>
          <w:lang w:val="es-ES" w:eastAsia="es-ES"/>
        </w:rPr>
        <w:t>:</w:t>
      </w:r>
    </w:p>
    <w:p w14:paraId="3034D8B9" w14:textId="77777777" w:rsidR="006B1D58" w:rsidRPr="00BB1E41" w:rsidRDefault="006B1D58" w:rsidP="006B1D58">
      <w:pPr>
        <w:spacing w:after="0" w:line="240" w:lineRule="auto"/>
        <w:jc w:val="both"/>
        <w:rPr>
          <w:rFonts w:ascii="Verdana" w:eastAsia="Calibri" w:hAnsi="Verdana" w:cs="Arial"/>
          <w:b/>
          <w:lang w:val="es-ES" w:eastAsia="es-ES"/>
        </w:rPr>
      </w:pPr>
    </w:p>
    <w:p w14:paraId="766B09B2" w14:textId="77777777" w:rsidR="006B1D58" w:rsidRPr="00BB1E41" w:rsidRDefault="006B1D58" w:rsidP="006B1D58">
      <w:pPr>
        <w:spacing w:after="120" w:line="276" w:lineRule="auto"/>
        <w:jc w:val="both"/>
        <w:rPr>
          <w:rFonts w:ascii="Verdana" w:eastAsia="Calibri" w:hAnsi="Verdana" w:cs="Arial"/>
          <w:bCs/>
          <w:color w:val="000000" w:themeColor="text1"/>
          <w:lang w:eastAsia="es-ES" w:bidi="es-ES"/>
        </w:rPr>
      </w:pPr>
      <w:r w:rsidRPr="00D677B5">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D677B5">
        <w:rPr>
          <w:rFonts w:ascii="Verdana" w:eastAsia="Calibri" w:hAnsi="Verdana" w:cs="Arial"/>
          <w:bCs/>
          <w:color w:val="000000" w:themeColor="text1"/>
          <w:lang w:eastAsia="es-ES"/>
        </w:rPr>
        <w:t xml:space="preserve">así como lo establecido por la Resolución 469 de 2025 expedida por esta Entidad, </w:t>
      </w:r>
      <w:r w:rsidRPr="00D677B5">
        <w:rPr>
          <w:rFonts w:ascii="Verdana" w:eastAsia="Calibri" w:hAnsi="Verdana" w:cs="Arial"/>
          <w:bCs/>
          <w:color w:val="000000" w:themeColor="text1"/>
          <w:lang w:val="es-ES" w:eastAsia="es-ES" w:bidi="es-ES"/>
        </w:rPr>
        <w:t>la Agencia Nacional de Contratación Pública – Colombia Compra Eficiente– respond</w:t>
      </w:r>
      <w:r>
        <w:rPr>
          <w:rFonts w:ascii="Verdana" w:eastAsia="Calibri" w:hAnsi="Verdana" w:cs="Arial"/>
          <w:bCs/>
          <w:color w:val="000000" w:themeColor="text1"/>
          <w:lang w:val="es-ES" w:eastAsia="es-ES" w:bidi="es-ES"/>
        </w:rPr>
        <w:t xml:space="preserve">e la solicitud de consulta del 16 de abril </w:t>
      </w:r>
      <w:r w:rsidRPr="00D677B5">
        <w:rPr>
          <w:rFonts w:ascii="Verdana" w:eastAsia="Calibri" w:hAnsi="Verdana" w:cs="Arial"/>
          <w:bCs/>
          <w:color w:val="000000" w:themeColor="text1"/>
          <w:lang w:val="es-ES" w:eastAsia="es-ES" w:bidi="es-ES"/>
        </w:rPr>
        <w:t>de 2026, en la cual manifiesta</w:t>
      </w:r>
      <w:r>
        <w:rPr>
          <w:rFonts w:ascii="Verdana" w:eastAsia="Calibri" w:hAnsi="Verdana" w:cs="Arial"/>
          <w:bCs/>
          <w:color w:val="000000" w:themeColor="text1"/>
          <w:lang w:val="es-ES" w:eastAsia="es-ES" w:bidi="es-ES"/>
        </w:rPr>
        <w:t>: “</w:t>
      </w:r>
      <w:r w:rsidRPr="00BB1E41">
        <w:rPr>
          <w:rFonts w:ascii="Verdana" w:eastAsia="Calibri" w:hAnsi="Verdana" w:cs="Arial"/>
          <w:bCs/>
          <w:color w:val="000000" w:themeColor="text1"/>
          <w:lang w:eastAsia="es-ES" w:bidi="es-ES"/>
        </w:rPr>
        <w:t xml:space="preserve">¿Pueden celebrarse </w:t>
      </w:r>
      <w:r w:rsidRPr="00BB1E41">
        <w:rPr>
          <w:rFonts w:ascii="Verdana" w:eastAsia="Calibri" w:hAnsi="Verdana" w:cs="Arial"/>
          <w:bCs/>
          <w:color w:val="000000" w:themeColor="text1"/>
          <w:lang w:eastAsia="es-ES" w:bidi="es-ES"/>
        </w:rPr>
        <w:lastRenderedPageBreak/>
        <w:t>contratos de transacción en el marco de las restricciones dispuestas por la contienda</w:t>
      </w:r>
      <w:r>
        <w:rPr>
          <w:rFonts w:ascii="Verdana" w:eastAsia="Calibri" w:hAnsi="Verdana" w:cs="Arial"/>
          <w:bCs/>
          <w:color w:val="000000" w:themeColor="text1"/>
          <w:lang w:eastAsia="es-ES" w:bidi="es-ES"/>
        </w:rPr>
        <w:t xml:space="preserve"> </w:t>
      </w:r>
      <w:r w:rsidRPr="00BB1E41">
        <w:rPr>
          <w:rFonts w:ascii="Verdana" w:eastAsia="Calibri" w:hAnsi="Verdana" w:cs="Arial"/>
          <w:bCs/>
          <w:color w:val="000000" w:themeColor="text1"/>
          <w:lang w:eastAsia="es-ES" w:bidi="es-ES"/>
        </w:rPr>
        <w:t>electoral de que trata la Ley 996 del 2005?</w:t>
      </w:r>
      <w:r>
        <w:rPr>
          <w:rFonts w:ascii="Verdana" w:eastAsia="Calibri" w:hAnsi="Verdana" w:cs="Arial"/>
          <w:bCs/>
          <w:color w:val="000000" w:themeColor="text1"/>
          <w:lang w:eastAsia="es-ES" w:bidi="es-ES"/>
        </w:rPr>
        <w:t>”</w:t>
      </w:r>
    </w:p>
    <w:p w14:paraId="035FDF5D" w14:textId="77777777" w:rsidR="006B1D58" w:rsidRPr="00A652FF" w:rsidRDefault="006B1D58" w:rsidP="006B1D58">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008A344" w14:textId="77777777" w:rsidR="006B1D58" w:rsidRPr="00423BE7" w:rsidRDefault="006B1D58" w:rsidP="006B1D58">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366C2F30" w14:textId="77777777" w:rsidR="006B1D58" w:rsidRPr="00593A5F" w:rsidRDefault="006B1D58" w:rsidP="006B1D58">
      <w:pPr>
        <w:spacing w:after="0" w:line="240" w:lineRule="auto"/>
        <w:ind w:firstLine="709"/>
        <w:jc w:val="both"/>
        <w:rPr>
          <w:rFonts w:ascii="Verdana" w:eastAsia="Calibri" w:hAnsi="Verdana" w:cs="Arial"/>
          <w:color w:val="000000"/>
          <w:lang w:val="es-ES" w:eastAsia="es-ES"/>
        </w:rPr>
      </w:pPr>
    </w:p>
    <w:p w14:paraId="6F5B02DA" w14:textId="77777777" w:rsidR="006B1D58" w:rsidRPr="00593A5F" w:rsidRDefault="006B1D58" w:rsidP="006B1D5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1894ACD" w14:textId="77777777" w:rsidR="006B1D58" w:rsidRPr="00593A5F" w:rsidRDefault="006B1D58" w:rsidP="006B1D58">
      <w:pPr>
        <w:tabs>
          <w:tab w:val="left" w:pos="426"/>
        </w:tabs>
        <w:spacing w:after="0" w:line="240" w:lineRule="auto"/>
        <w:jc w:val="both"/>
        <w:rPr>
          <w:rFonts w:ascii="Verdana" w:eastAsia="Century Gothic" w:hAnsi="Verdana" w:cs="Century Gothic"/>
          <w:lang w:val="es-ES"/>
        </w:rPr>
      </w:pPr>
    </w:p>
    <w:p w14:paraId="5B0759A3" w14:textId="77777777" w:rsidR="006B1D58" w:rsidRPr="00BC3F56" w:rsidRDefault="006B1D58" w:rsidP="006B1D58">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 ¿</w:t>
      </w:r>
      <w:r>
        <w:rPr>
          <w:rFonts w:ascii="Verdana" w:eastAsia="Calibri" w:hAnsi="Verdana" w:cs="Arial"/>
          <w:bCs/>
          <w:color w:val="000000" w:themeColor="text1"/>
          <w:lang w:val="es-ES" w:eastAsia="es-ES" w:bidi="es-ES"/>
        </w:rPr>
        <w:t xml:space="preserve">Es procedente la celebración </w:t>
      </w:r>
      <w:r w:rsidRPr="00BB1E41">
        <w:rPr>
          <w:rFonts w:ascii="Verdana" w:eastAsia="Century Gothic" w:hAnsi="Verdana" w:cs="Century Gothic"/>
          <w:bCs/>
        </w:rPr>
        <w:t>contratos de transacción en el marco de las restricciones dispuestas por la contienda electoral de que trata la Ley 996 del 2005</w:t>
      </w:r>
      <w:r>
        <w:rPr>
          <w:rFonts w:ascii="Verdana" w:eastAsia="Century Gothic" w:hAnsi="Verdana" w:cs="Century Gothic"/>
          <w:bCs/>
        </w:rPr>
        <w:t xml:space="preserve"> como herramienta de contingencias judiciales</w:t>
      </w:r>
      <w:r w:rsidRPr="00BB1E41">
        <w:rPr>
          <w:rFonts w:ascii="Verdana" w:eastAsia="Century Gothic" w:hAnsi="Verdana" w:cs="Century Gothic"/>
          <w:bCs/>
        </w:rPr>
        <w:t>?</w:t>
      </w:r>
    </w:p>
    <w:p w14:paraId="4406A0C6" w14:textId="77777777" w:rsidR="006B1D58" w:rsidRPr="004B140F" w:rsidRDefault="006B1D58" w:rsidP="006B1D58">
      <w:pPr>
        <w:spacing w:after="0" w:line="240" w:lineRule="auto"/>
        <w:jc w:val="both"/>
        <w:rPr>
          <w:rFonts w:ascii="Verdana" w:eastAsia="Calibri" w:hAnsi="Verdana" w:cs="Arial"/>
          <w:color w:val="7030A0"/>
        </w:rPr>
      </w:pPr>
    </w:p>
    <w:p w14:paraId="4D52AE9C" w14:textId="77777777" w:rsidR="006B1D58" w:rsidRPr="00593A5F" w:rsidRDefault="006B1D58" w:rsidP="006B1D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780178FA" w14:textId="77777777" w:rsidR="006B1D58" w:rsidRPr="00593A5F" w:rsidRDefault="006B1D58" w:rsidP="006B1D5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1D58" w:rsidRPr="00593A5F" w14:paraId="513943BD" w14:textId="77777777" w:rsidTr="00742817">
        <w:trPr>
          <w:jc w:val="center"/>
        </w:trPr>
        <w:tc>
          <w:tcPr>
            <w:tcW w:w="8828" w:type="dxa"/>
          </w:tcPr>
          <w:p w14:paraId="6B8AF4A5" w14:textId="77777777" w:rsidR="006B1D58" w:rsidRPr="00816C87" w:rsidRDefault="006B1D58" w:rsidP="00742817">
            <w:pPr>
              <w:spacing w:before="120" w:after="120" w:line="276" w:lineRule="auto"/>
              <w:jc w:val="both"/>
              <w:rPr>
                <w:rFonts w:ascii="Verdana" w:eastAsia="Calibri" w:hAnsi="Verdana" w:cs="Arial"/>
                <w:lang w:val="es-MX"/>
              </w:rPr>
            </w:pPr>
            <w:bookmarkStart w:id="1" w:name="_Hlk171694685"/>
            <w:r w:rsidRPr="00A47089">
              <w:rPr>
                <w:rFonts w:ascii="Verdana" w:eastAsia="Times New Roman" w:hAnsi="Verdana" w:cs="Arial"/>
                <w:bCs/>
                <w:lang w:eastAsia="x-none"/>
              </w:rPr>
              <w:t xml:space="preserve">Para dar solución al problema jurídico planteado en la consulta, </w:t>
            </w:r>
            <w:r>
              <w:rPr>
                <w:rFonts w:ascii="Verdana" w:eastAsia="Calibri" w:hAnsi="Verdana" w:cs="Arial"/>
                <w:lang w:val="es-MX"/>
              </w:rPr>
              <w:t xml:space="preserve">se señala que en </w:t>
            </w:r>
            <w:r w:rsidRPr="00816C87">
              <w:rPr>
                <w:rFonts w:ascii="Verdana" w:eastAsia="Calibri" w:hAnsi="Verdana" w:cs="Arial"/>
                <w:lang w:val="es-MX"/>
              </w:rPr>
              <w:t xml:space="preserve">lo referente a la restricción del artículo 33, la ausencia de pluralidad de oferentes propia del contrato de transacción constituye un asunto importante a considerar, en la medida en que de entrada genera interrogantes sobre la posibilidad de celebrar estos acuerdos en vigencia de esta prohibición. Esto </w:t>
            </w:r>
            <w:r w:rsidRPr="00816C87">
              <w:rPr>
                <w:rFonts w:ascii="Verdana" w:eastAsia="Calibri" w:hAnsi="Verdana" w:cs="Arial"/>
                <w:lang w:val="es-MX"/>
              </w:rPr>
              <w:lastRenderedPageBreak/>
              <w:t xml:space="preserve">considerando que, dada la naturaleza de estos contratos, dirigida a solucionar o precaver controversias que se tienen con sujetos determinados, necesariamente deben suscribirse de manera directa con quien existe el conflicto, sin que se presente posibilidad de pluralidad de oferentes.  </w:t>
            </w:r>
          </w:p>
          <w:p w14:paraId="4CD85873" w14:textId="77777777" w:rsidR="006B1D58" w:rsidRPr="00816C87" w:rsidRDefault="006B1D58" w:rsidP="00742817">
            <w:pPr>
              <w:spacing w:before="120" w:after="120" w:line="276" w:lineRule="auto"/>
              <w:ind w:firstLine="708"/>
              <w:jc w:val="both"/>
              <w:rPr>
                <w:rFonts w:ascii="Verdana" w:eastAsia="Calibri" w:hAnsi="Verdana" w:cs="Arial"/>
                <w:lang w:val="es-MX"/>
              </w:rPr>
            </w:pPr>
            <w:r w:rsidRPr="00816C87">
              <w:rPr>
                <w:rFonts w:ascii="Verdana" w:eastAsia="Calibri" w:hAnsi="Verdana" w:cs="Arial"/>
                <w:lang w:val="es-MX"/>
              </w:rPr>
              <w:t xml:space="preserve">Sin embargo, </w:t>
            </w:r>
            <w:r>
              <w:rPr>
                <w:rFonts w:ascii="Verdana" w:eastAsia="Calibri" w:hAnsi="Verdana" w:cs="Arial"/>
                <w:lang w:val="es-MX"/>
              </w:rPr>
              <w:t xml:space="preserve">como lo expresó la Agencia en Concepto 275 del 9 de mayo de 2022, </w:t>
            </w:r>
            <w:r w:rsidRPr="00816C87">
              <w:rPr>
                <w:rFonts w:ascii="Verdana" w:eastAsia="Calibri" w:hAnsi="Verdana" w:cs="Arial"/>
                <w:lang w:val="es-MX"/>
              </w:rPr>
              <w:t xml:space="preserve">lo anterior no significa que todas las transacciones que están en condiciones de celebrar las entidades estatales necesariamente estén limitadas por la restricción del artículo 33. Por ejemplo, tratándose de transacciones tendientes a </w:t>
            </w:r>
            <w:r w:rsidRPr="00816C87">
              <w:rPr>
                <w:rFonts w:ascii="Verdana" w:eastAsia="Calibri" w:hAnsi="Verdana" w:cs="Arial"/>
                <w:lang w:val="es-ES_tradnl"/>
              </w:rPr>
              <w:t>modificar o extinguir derechos u obligaciones</w:t>
            </w:r>
            <w:r w:rsidRPr="00816C87">
              <w:rPr>
                <w:rFonts w:ascii="Verdana" w:eastAsia="Calibri" w:hAnsi="Verdana" w:cs="Arial"/>
                <w:lang w:val="es-MX"/>
              </w:rPr>
              <w:t xml:space="preserve"> derivados de contratos estatales vigentes, esta Agencia considera que bien podrían suscribirse, aun en vigencia de la referida prohibición, en el entendido que, en estos supuestos, antes que suscribirse un nuevo contrato de manera directa, lo que se hace es modificar el contenido de uno ya vigente, con el propósito de precaver eventuales litigios o controversias entre las partes. Lo mismo podría predicarse de las transacciones realizadas mediante la suscripción de actas de liquidación bilateral, en las que tampoco existe la suscripción de un nuevo contrato, sino que se realizan concesiones recíprocas con el objeto de declarar </w:t>
            </w:r>
            <w:proofErr w:type="gramStart"/>
            <w:r w:rsidRPr="00816C87">
              <w:rPr>
                <w:rFonts w:ascii="Verdana" w:eastAsia="Calibri" w:hAnsi="Verdana" w:cs="Arial"/>
                <w:lang w:val="es-MX"/>
              </w:rPr>
              <w:t>el paz</w:t>
            </w:r>
            <w:proofErr w:type="gramEnd"/>
            <w:r w:rsidRPr="00816C87">
              <w:rPr>
                <w:rFonts w:ascii="Verdana" w:eastAsia="Calibri" w:hAnsi="Verdana" w:cs="Arial"/>
                <w:lang w:val="es-MX"/>
              </w:rPr>
              <w:t xml:space="preserve"> y salvo entre las partes. </w:t>
            </w:r>
          </w:p>
          <w:p w14:paraId="22C60D05" w14:textId="77777777" w:rsidR="006B1D58" w:rsidRPr="00816C87" w:rsidRDefault="006B1D58" w:rsidP="00742817">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t>Es necesario tener en cuenta que, respecto de la celebración de actos como adiciones, modificaciones, cesiones o prórrogas de contratos estatales en vigencia de la restricción del artículo 33, se ha pronunciad</w:t>
            </w:r>
            <w:r>
              <w:rPr>
                <w:rFonts w:ascii="Verdana" w:eastAsia="Arial" w:hAnsi="Verdana" w:cs="Arial"/>
                <w:lang w:val="es-ES"/>
              </w:rPr>
              <w:t>o esta Agencia en la Circular 06 de 2025</w:t>
            </w:r>
            <w:r w:rsidRPr="00816C87">
              <w:rPr>
                <w:rFonts w:ascii="Verdana" w:eastAsia="Arial" w:hAnsi="Verdana" w:cs="Arial"/>
                <w:lang w:val="es-ES"/>
              </w:rPr>
              <w:t>, al igual que en la Circular Externa Única vigente, en las que reiteradamente se ha avalado la posibilidad de que tales actuaciones tengan lugar en periodos prelectorales, sin que con ello se transgredan las restricciones explicadas, siempre que se cumplan los principios de planeación, transparencia y responsabilidad. Dicha postura parte de la base de que actuaciones como las prórrogas, modificaciones y adiciones de contratos vigentes, no suponen la celebración de un nuevo</w:t>
            </w:r>
            <w:r w:rsidRPr="00816C87">
              <w:rPr>
                <w:rFonts w:ascii="Verdana" w:eastAsia="Arial" w:hAnsi="Verdana" w:cs="Arial"/>
                <w:spacing w:val="1"/>
                <w:lang w:val="es-ES"/>
              </w:rPr>
              <w:t xml:space="preserve"> </w:t>
            </w:r>
            <w:r w:rsidRPr="00816C87">
              <w:rPr>
                <w:rFonts w:ascii="Verdana" w:eastAsia="Arial" w:hAnsi="Verdana" w:cs="Arial"/>
                <w:lang w:val="es-ES"/>
              </w:rPr>
              <w:t xml:space="preserve">contrato, por lo que no entrarían dentro del supuesto de contratación directa que prohíbe el artículo 33. </w:t>
            </w:r>
          </w:p>
          <w:p w14:paraId="22EE391B" w14:textId="77777777" w:rsidR="006B1D58" w:rsidRPr="00816C87" w:rsidRDefault="006B1D58" w:rsidP="00742817">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t>Estas consideraciones sobre la celebración de los actos jurídicos mencionados modificaciones, cesiones, y prórrogas se estiman relevantes para resolver la presente consulta</w:t>
            </w:r>
            <w:r w:rsidRPr="00816C87">
              <w:rPr>
                <w:rFonts w:ascii="Verdana" w:eastAsia="Arial" w:hAnsi="Verdana" w:cs="Arial"/>
                <w:i/>
                <w:iCs/>
                <w:lang w:val="es-ES"/>
              </w:rPr>
              <w:t xml:space="preserve">, </w:t>
            </w:r>
            <w:r w:rsidRPr="00816C87">
              <w:rPr>
                <w:rFonts w:ascii="Verdana" w:eastAsia="Arial" w:hAnsi="Verdana" w:cs="Arial"/>
                <w:lang w:val="es-ES"/>
              </w:rPr>
              <w:t xml:space="preserve">dado que, así como tales negocios jurídicos, celebrados respecto de contratos vigentes, no implican la celebración de un nuevo contrato de manera directa, tampoco lo implicaría la </w:t>
            </w:r>
            <w:r w:rsidRPr="00816C87">
              <w:rPr>
                <w:rFonts w:ascii="Verdana" w:eastAsia="Arial" w:hAnsi="Verdana" w:cs="Arial"/>
                <w:lang w:val="es-ES"/>
              </w:rPr>
              <w:lastRenderedPageBreak/>
              <w:t xml:space="preserve">suscripción de acuerdos transaccionales referidos a contratos cuya ejecución no ha finalizado y que fueron debidamente perfeccionados antes de la entrada en vigencia de las prohibiciones contenidas en la Ley de Garantías Electorales. En ese sentido, al presentarse </w:t>
            </w:r>
            <w:r w:rsidRPr="00816C87">
              <w:rPr>
                <w:rFonts w:ascii="Verdana" w:eastAsia="Arial" w:hAnsi="Verdana" w:cs="Arial"/>
                <w:i/>
                <w:iCs/>
                <w:lang w:val="es-ES"/>
              </w:rPr>
              <w:t>mutatis mutandis</w:t>
            </w:r>
            <w:r w:rsidRPr="00816C87">
              <w:rPr>
                <w:rFonts w:ascii="Verdana" w:eastAsia="Arial" w:hAnsi="Verdana" w:cs="Arial"/>
                <w:lang w:val="es-ES"/>
              </w:rPr>
              <w:t xml:space="preserve"> las mismas circunstancias respecto de los mencionados negocios jurídicos, la conclusión sobre la posibilidad de su celebración en vigencia de la restricción del artículo 33 habría de ser la misma. Esto significa que no está dentro de la prohibición citada los acuerdos transaccionales respecto de obligaciones o derechos derivados de contratos vigentes perfeccionados antes del inicio del período en que rige la prohibición. </w:t>
            </w:r>
          </w:p>
          <w:p w14:paraId="281194CE" w14:textId="77777777" w:rsidR="006B1D58" w:rsidRDefault="006B1D58" w:rsidP="00742817">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t xml:space="preserve">De igual forma, la Agencia considera que, en estos casos, en los que se </w:t>
            </w:r>
            <w:r w:rsidRPr="00F82770">
              <w:rPr>
                <w:rFonts w:ascii="Verdana" w:eastAsia="Arial" w:hAnsi="Verdana" w:cs="Arial"/>
                <w:lang w:val="es-ES"/>
              </w:rPr>
              <w:t xml:space="preserve">acude a la transacción para precaver un litigio o definir una controversia originada en un contrato estatal, no resultaría aplicable la restricción del artículo 33, en la medida en que no se está celebrando un nuevo negocio jurídico de manera directa, sino que se acude a </w:t>
            </w:r>
            <w:r w:rsidRPr="00F82770">
              <w:rPr>
                <w:rFonts w:ascii="Verdana" w:eastAsia="Calibri" w:hAnsi="Verdana" w:cs="Arial"/>
                <w:lang w:val="es-ES_tradnl"/>
              </w:rPr>
              <w:t>un mecanismo alternativo de resolución de conflictos de carácter autocompositivo</w:t>
            </w:r>
            <w:r w:rsidRPr="00F82770">
              <w:rPr>
                <w:rFonts w:ascii="Verdana" w:eastAsia="Calibri" w:hAnsi="Verdana" w:cs="Arial"/>
                <w:i/>
                <w:iCs/>
                <w:lang w:val="es-ES_tradnl"/>
              </w:rPr>
              <w:t xml:space="preserve"> </w:t>
            </w:r>
            <w:r w:rsidRPr="00F82770">
              <w:rPr>
                <w:rFonts w:ascii="Verdana" w:eastAsia="Calibri" w:hAnsi="Verdana" w:cs="Arial"/>
                <w:lang w:val="es-ES_tradnl"/>
              </w:rPr>
              <w:t xml:space="preserve">para </w:t>
            </w:r>
            <w:r w:rsidRPr="00F82770">
              <w:rPr>
                <w:rFonts w:ascii="Verdana" w:eastAsia="Arial" w:hAnsi="Verdana" w:cs="Arial"/>
                <w:lang w:val="es-ES"/>
              </w:rPr>
              <w:t xml:space="preserve">modificar las condiciones de un contrato ya celebrado. Conforme a lo anterior, tampoco habría lugar a la aplicación de las excepciones establecidas en el artículo citado, en la medida en que estas transacciones no están cobijadas por la prohibición y, por lo tanto, tampoco por sus excepciones. </w:t>
            </w:r>
          </w:p>
          <w:p w14:paraId="45866E10" w14:textId="77777777" w:rsidR="006B1D58" w:rsidRPr="00246239" w:rsidRDefault="006B1D58" w:rsidP="00742817">
            <w:pPr>
              <w:widowControl w:val="0"/>
              <w:autoSpaceDE w:val="0"/>
              <w:autoSpaceDN w:val="0"/>
              <w:spacing w:before="120" w:line="276" w:lineRule="auto"/>
              <w:ind w:right="49" w:firstLine="709"/>
              <w:jc w:val="both"/>
              <w:rPr>
                <w:rFonts w:ascii="Verdana" w:eastAsia="Arial" w:hAnsi="Verdana" w:cs="Arial"/>
              </w:rPr>
            </w:pPr>
            <w:r w:rsidRPr="00F82770">
              <w:rPr>
                <w:rFonts w:ascii="Verdana" w:eastAsia="Arial" w:hAnsi="Verdana" w:cs="Arial"/>
              </w:rPr>
              <w:t xml:space="preserve">En todo caso, la tesis expuesta no puede entenderse como una habilitación para anticipar o celebrar contratos bajo la denominación de transacción cuando, en la realidad jurídica y fáctica, sus objetos, finalidades o condiciones difieran sustancialmente de </w:t>
            </w:r>
            <w:r>
              <w:rPr>
                <w:rFonts w:ascii="Verdana" w:eastAsia="Arial" w:hAnsi="Verdana" w:cs="Arial"/>
              </w:rPr>
              <w:t>las propias de dicha institución, como puede ser adelantar contratos como forma de compromiso a un contrato que se está gestionando</w:t>
            </w:r>
            <w:r w:rsidRPr="00F82770">
              <w:rPr>
                <w:rFonts w:ascii="Verdana" w:eastAsia="Arial" w:hAnsi="Verdana" w:cs="Arial"/>
              </w:rPr>
              <w:t>. Admitir lo contrario</w:t>
            </w:r>
            <w:r>
              <w:rPr>
                <w:rFonts w:ascii="Verdana" w:eastAsia="Arial" w:hAnsi="Verdana" w:cs="Arial"/>
              </w:rPr>
              <w:t>,</w:t>
            </w:r>
            <w:r w:rsidRPr="00F82770">
              <w:rPr>
                <w:rFonts w:ascii="Verdana" w:eastAsia="Arial" w:hAnsi="Verdana" w:cs="Arial"/>
              </w:rPr>
              <w:t xml:space="preserve"> implicaría desnaturalizar el contrato de transacción, desbordando sus límites legales y propiciando el uso indebido de esta tipología negocial</w:t>
            </w:r>
            <w:r>
              <w:rPr>
                <w:rFonts w:ascii="Verdana" w:eastAsia="Arial" w:hAnsi="Verdana" w:cs="Arial"/>
              </w:rPr>
              <w:t xml:space="preserve"> para adelantar contrataciones de forma directa en el período de Ley de Garantías. </w:t>
            </w:r>
          </w:p>
        </w:tc>
      </w:tr>
    </w:tbl>
    <w:p w14:paraId="1CE88107" w14:textId="77777777" w:rsidR="006B1D58" w:rsidRPr="00593A5F" w:rsidRDefault="006B1D58" w:rsidP="006B1D58">
      <w:pPr>
        <w:tabs>
          <w:tab w:val="left" w:pos="142"/>
          <w:tab w:val="left" w:pos="284"/>
        </w:tabs>
        <w:spacing w:after="0" w:line="240" w:lineRule="auto"/>
        <w:jc w:val="both"/>
        <w:rPr>
          <w:rFonts w:ascii="Verdana" w:eastAsia="Century Gothic" w:hAnsi="Verdana" w:cs="Century Gothic"/>
          <w:b/>
          <w:bCs/>
          <w:lang w:val="es-ES"/>
        </w:rPr>
      </w:pPr>
    </w:p>
    <w:bookmarkEnd w:id="1"/>
    <w:p w14:paraId="1EAABB71" w14:textId="77777777" w:rsidR="006B1D58" w:rsidRPr="00593A5F" w:rsidRDefault="006B1D58" w:rsidP="006B1D58">
      <w:pPr>
        <w:pStyle w:val="Prrafodelista"/>
        <w:numPr>
          <w:ilvl w:val="0"/>
          <w:numId w:val="16"/>
        </w:numPr>
        <w:tabs>
          <w:tab w:val="left" w:pos="142"/>
          <w:tab w:val="left" w:pos="284"/>
        </w:tabs>
        <w:spacing w:after="0" w:line="240"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16E5A5FC" w14:textId="77777777" w:rsidR="006B1D58" w:rsidRPr="00593A5F" w:rsidRDefault="006B1D58" w:rsidP="006B1D58">
      <w:pPr>
        <w:spacing w:after="0" w:line="240" w:lineRule="auto"/>
        <w:jc w:val="both"/>
        <w:rPr>
          <w:rFonts w:ascii="Verdana" w:eastAsia="Calibri" w:hAnsi="Verdana" w:cs="Arial"/>
          <w:color w:val="7030A0"/>
          <w:lang w:val="es-ES"/>
        </w:rPr>
      </w:pPr>
    </w:p>
    <w:p w14:paraId="031D766A" w14:textId="77777777" w:rsidR="006B1D58" w:rsidRDefault="006B1D58" w:rsidP="006B1D58">
      <w:pPr>
        <w:spacing w:after="0" w:line="240"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C546706" w14:textId="77777777" w:rsidR="006B1D58" w:rsidRDefault="006B1D58" w:rsidP="006B1D58">
      <w:pPr>
        <w:spacing w:after="0" w:line="240" w:lineRule="auto"/>
        <w:jc w:val="both"/>
        <w:rPr>
          <w:rFonts w:ascii="Verdana" w:eastAsia="Calibri" w:hAnsi="Verdana" w:cs="Arial"/>
          <w:lang w:val="es-ES"/>
        </w:rPr>
      </w:pPr>
    </w:p>
    <w:p w14:paraId="6D011298" w14:textId="77777777" w:rsidR="006B1D58" w:rsidRPr="002D6B43" w:rsidRDefault="006B1D58" w:rsidP="006B1D58">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 xml:space="preserve">i. El ordenamiento jurídico colombiano contempla previsiones claras para evitar la obtención de beneficios personales en asuntos propios de la administración </w:t>
      </w:r>
      <w:r w:rsidRPr="002D6B43">
        <w:rPr>
          <w:rFonts w:ascii="Verdana" w:eastAsia="Calibri" w:hAnsi="Verdana" w:cs="Arial"/>
        </w:rPr>
        <w:lastRenderedPageBreak/>
        <w:t>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5D3331A6" w14:textId="77777777" w:rsidR="006B1D58" w:rsidRDefault="006B1D58" w:rsidP="006B1D58">
      <w:pPr>
        <w:tabs>
          <w:tab w:val="left" w:pos="426"/>
        </w:tabs>
        <w:spacing w:after="12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2"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2"/>
    </w:p>
    <w:p w14:paraId="1004A4D2" w14:textId="77777777" w:rsidR="006B1D58" w:rsidRPr="006B14B5" w:rsidRDefault="006B1D58" w:rsidP="006B1D58">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1D33B4E7" w14:textId="77777777" w:rsidR="006B1D58" w:rsidRPr="00E2397D" w:rsidRDefault="006B1D58" w:rsidP="006B1D58">
      <w:pPr>
        <w:spacing w:after="0" w:line="276" w:lineRule="auto"/>
        <w:ind w:right="709"/>
        <w:contextualSpacing/>
        <w:jc w:val="both"/>
        <w:rPr>
          <w:rFonts w:ascii="Verdana" w:eastAsia="Times New Roman" w:hAnsi="Verdana" w:cs="Arial"/>
          <w:lang w:val="es-ES" w:eastAsia="es-CO"/>
        </w:rPr>
      </w:pPr>
    </w:p>
    <w:p w14:paraId="63AFC6A0" w14:textId="77777777" w:rsidR="006B1D58" w:rsidRPr="00E2397D" w:rsidRDefault="006B1D58" w:rsidP="006B1D5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963D79E" w14:textId="77777777" w:rsidR="006B1D58" w:rsidRDefault="006B1D58" w:rsidP="006B1D58">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3653AD07" w14:textId="77777777" w:rsidR="006B1D58" w:rsidRPr="000B35C5" w:rsidRDefault="006B1D58" w:rsidP="006B1D58">
      <w:pPr>
        <w:spacing w:after="0" w:line="240" w:lineRule="auto"/>
        <w:ind w:left="709" w:right="709"/>
        <w:contextualSpacing/>
        <w:jc w:val="both"/>
        <w:rPr>
          <w:rFonts w:ascii="Verdana" w:eastAsia="Times New Roman" w:hAnsi="Verdana" w:cs="Arial"/>
          <w:sz w:val="12"/>
          <w:szCs w:val="12"/>
          <w:lang w:val="es-MX" w:eastAsia="es-CO"/>
        </w:rPr>
      </w:pPr>
    </w:p>
    <w:p w14:paraId="4321BD36" w14:textId="77777777" w:rsidR="006B1D58" w:rsidRPr="00E2397D" w:rsidRDefault="006B1D58" w:rsidP="006B1D5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E2397D">
        <w:rPr>
          <w:rFonts w:ascii="Verdana" w:eastAsia="Times New Roman" w:hAnsi="Verdana" w:cs="Arial"/>
          <w:sz w:val="20"/>
          <w:szCs w:val="20"/>
          <w:lang w:val="es-MX" w:eastAsia="es-CO"/>
        </w:rPr>
        <w:lastRenderedPageBreak/>
        <w:t>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00648807" w14:textId="77777777" w:rsidR="006B1D58" w:rsidRPr="00E2397D" w:rsidRDefault="006B1D58" w:rsidP="006B1D58">
      <w:pPr>
        <w:spacing w:after="0" w:line="276" w:lineRule="auto"/>
        <w:ind w:firstLine="709"/>
        <w:jc w:val="both"/>
        <w:rPr>
          <w:rFonts w:ascii="Verdana" w:eastAsia="Times New Roman" w:hAnsi="Verdana" w:cs="Arial"/>
          <w:lang w:val="es-MX" w:eastAsia="es-CO"/>
        </w:rPr>
      </w:pPr>
      <w:bookmarkStart w:id="3" w:name="_Hlk78818186"/>
    </w:p>
    <w:p w14:paraId="2BC32BFE" w14:textId="77777777" w:rsidR="006B1D58" w:rsidRPr="00E2397D" w:rsidRDefault="006B1D58" w:rsidP="006B1D58">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3"/>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797B72A2" w14:textId="77777777" w:rsidR="006B1D58" w:rsidRPr="00886C02" w:rsidRDefault="006B1D58" w:rsidP="006B1D58">
      <w:pPr>
        <w:spacing w:after="0" w:line="240" w:lineRule="auto"/>
        <w:ind w:firstLine="709"/>
        <w:jc w:val="both"/>
        <w:rPr>
          <w:rFonts w:ascii="Verdana" w:eastAsia="Times New Roman" w:hAnsi="Verdana" w:cs="Arial"/>
          <w:lang w:val="es-MX" w:eastAsia="es-CO"/>
        </w:rPr>
      </w:pPr>
    </w:p>
    <w:p w14:paraId="0FE9A465" w14:textId="77777777" w:rsidR="006B1D58" w:rsidRPr="00E2397D" w:rsidRDefault="006B1D58" w:rsidP="006B1D5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1546DC4" w14:textId="77777777" w:rsidR="006B1D58" w:rsidRPr="000B35C5" w:rsidRDefault="006B1D58" w:rsidP="006B1D58">
      <w:pPr>
        <w:spacing w:after="0" w:line="240" w:lineRule="auto"/>
        <w:ind w:right="709"/>
        <w:contextualSpacing/>
        <w:jc w:val="both"/>
        <w:rPr>
          <w:rFonts w:ascii="Verdana" w:eastAsia="Times New Roman" w:hAnsi="Verdana" w:cs="Arial"/>
          <w:sz w:val="12"/>
          <w:szCs w:val="12"/>
          <w:lang w:val="es-MX" w:eastAsia="es-CO"/>
        </w:rPr>
      </w:pPr>
    </w:p>
    <w:p w14:paraId="6F03BF15" w14:textId="77777777" w:rsidR="006B1D58" w:rsidRPr="00E2397D" w:rsidRDefault="006B1D58" w:rsidP="006B1D58">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7DC68262" w14:textId="77777777" w:rsidR="006B1D58" w:rsidRPr="00E2397D" w:rsidRDefault="006B1D58" w:rsidP="006B1D58">
      <w:pPr>
        <w:spacing w:after="0" w:line="276" w:lineRule="auto"/>
        <w:jc w:val="both"/>
        <w:rPr>
          <w:rFonts w:ascii="Verdana" w:eastAsia="Calibri" w:hAnsi="Verdana" w:cs="Arial"/>
          <w:bCs/>
          <w:lang w:val="es-ES_tradnl"/>
        </w:rPr>
      </w:pPr>
    </w:p>
    <w:p w14:paraId="4384F03F" w14:textId="77777777" w:rsidR="006B1D58" w:rsidRDefault="006B1D58" w:rsidP="006B1D58">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4" w:name="_Hlk77236098"/>
      <w:bookmarkStart w:id="5"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5E018A76" w14:textId="77777777" w:rsidR="006B1D58" w:rsidRPr="00E2397D" w:rsidRDefault="006B1D58" w:rsidP="006B1D58">
      <w:pPr>
        <w:spacing w:after="0" w:line="240" w:lineRule="auto"/>
        <w:ind w:firstLine="709"/>
        <w:jc w:val="both"/>
        <w:rPr>
          <w:rFonts w:ascii="Verdana" w:eastAsia="Arial" w:hAnsi="Verdana" w:cs="Arial"/>
          <w:lang w:val="es-ES" w:eastAsia="es-ES" w:bidi="es-ES"/>
        </w:rPr>
      </w:pPr>
    </w:p>
    <w:p w14:paraId="7C29A815" w14:textId="77777777" w:rsidR="006B1D58" w:rsidRPr="00E2397D" w:rsidRDefault="006B1D58" w:rsidP="006B1D58">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xml:space="preserve">. </w:t>
      </w:r>
      <w:bookmarkEnd w:id="4"/>
      <w:bookmarkEnd w:id="5"/>
      <w:r w:rsidRPr="00E2397D">
        <w:rPr>
          <w:rFonts w:ascii="Verdana" w:eastAsia="Arial" w:hAnsi="Verdana" w:cs="Arial"/>
          <w:lang w:val="es-ES" w:eastAsia="es-ES" w:bidi="es-ES"/>
        </w:rPr>
        <w:t>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p>
    <w:p w14:paraId="652217F3" w14:textId="77777777" w:rsidR="006B1D58" w:rsidRPr="00E2397D" w:rsidRDefault="006B1D58" w:rsidP="006B1D58">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67FDBBE3" w14:textId="77777777" w:rsidR="006B1D58" w:rsidRPr="00E2397D" w:rsidRDefault="006B1D58" w:rsidP="006B1D58">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w:t>
      </w:r>
      <w:r w:rsidRPr="00E2397D">
        <w:rPr>
          <w:rFonts w:ascii="Verdana" w:eastAsia="Calibri" w:hAnsi="Verdana" w:cs="Arial"/>
          <w:lang w:val="es-MX"/>
        </w:rPr>
        <w:lastRenderedPageBreak/>
        <w:t>miembros de sus juntas directivas, en o para reuniones de carácter proselitista</w:t>
      </w:r>
      <w:r w:rsidRPr="00E2397D">
        <w:rPr>
          <w:rFonts w:ascii="Verdana" w:eastAsia="Calibri" w:hAnsi="Verdana" w:cs="Arial"/>
        </w:rPr>
        <w:t>”</w:t>
      </w:r>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0C1DE1EA" w14:textId="77777777" w:rsidR="006B1D58" w:rsidRPr="00E2397D" w:rsidRDefault="006B1D58" w:rsidP="006B1D5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71707771" w14:textId="77777777" w:rsidR="006B1D58" w:rsidRPr="00E2397D" w:rsidRDefault="006B1D58" w:rsidP="006B1D5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02A3150D" w14:textId="77777777" w:rsidR="006B1D58" w:rsidRDefault="006B1D58" w:rsidP="006B1D58">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w:t>
      </w:r>
      <w:r w:rsidRPr="00E2397D">
        <w:rPr>
          <w:rFonts w:ascii="Verdana" w:eastAsia="Arial" w:hAnsi="Verdana" w:cs="Arial"/>
          <w:lang w:val="es-ES" w:eastAsia="es-ES" w:bidi="es-ES"/>
        </w:rPr>
        <w:lastRenderedPageBreak/>
        <w:t xml:space="preserve">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456B55E2" w14:textId="77777777" w:rsidR="006B1D58" w:rsidRDefault="006B1D58" w:rsidP="006B1D5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Ahora bien, 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41CAA7DB" w14:textId="77777777" w:rsidR="006B1D58" w:rsidRDefault="006B1D58" w:rsidP="006B1D5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1696447E" w14:textId="77777777" w:rsidR="006B1D58" w:rsidRDefault="006B1D58" w:rsidP="006B1D58">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w:t>
      </w:r>
      <w:r>
        <w:rPr>
          <w:rFonts w:ascii="Verdana" w:eastAsia="Times New Roman" w:hAnsi="Verdana" w:cs="Arial"/>
          <w:bCs/>
          <w:lang w:val="es-ES" w:eastAsia="es-CO"/>
        </w:rPr>
        <w:lastRenderedPageBreak/>
        <w:t xml:space="preserve">registro presupuestal, o en algunos casos, la firma del acta de inicio, si así se determinó. </w:t>
      </w:r>
    </w:p>
    <w:p w14:paraId="1DCE57A3" w14:textId="77777777" w:rsidR="006B1D58" w:rsidRPr="005B4B74" w:rsidRDefault="006B1D58" w:rsidP="006B1D58">
      <w:pPr>
        <w:spacing w:after="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004D518" w14:textId="77777777" w:rsidR="006B1D58" w:rsidRPr="00E2397D" w:rsidRDefault="006B1D58" w:rsidP="006B1D58">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246FBB22" w14:textId="77777777" w:rsidR="006B1D58" w:rsidRDefault="006B1D58" w:rsidP="006B1D58">
      <w:pPr>
        <w:widowControl w:val="0"/>
        <w:autoSpaceDE w:val="0"/>
        <w:autoSpaceDN w:val="0"/>
        <w:spacing w:after="0" w:line="240" w:lineRule="auto"/>
        <w:ind w:left="709" w:right="709"/>
        <w:jc w:val="both"/>
        <w:rPr>
          <w:rFonts w:ascii="Verdana" w:eastAsia="Arial" w:hAnsi="Verdana" w:cs="Arial"/>
          <w:lang w:val="es-ES"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D6AD0C7" w14:textId="77777777" w:rsidR="006B1D58" w:rsidRPr="00380CA4" w:rsidRDefault="006B1D58" w:rsidP="006B1D58">
      <w:pPr>
        <w:spacing w:after="0" w:line="240" w:lineRule="auto"/>
        <w:ind w:firstLine="709"/>
        <w:jc w:val="both"/>
        <w:rPr>
          <w:rFonts w:ascii="Verdana" w:eastAsia="Arial" w:hAnsi="Verdana" w:cs="Arial"/>
          <w:lang w:eastAsia="es-ES" w:bidi="es-ES"/>
        </w:rPr>
      </w:pPr>
    </w:p>
    <w:p w14:paraId="35D862CC" w14:textId="77777777" w:rsidR="006B1D58" w:rsidRPr="00380CA4" w:rsidRDefault="006B1D58" w:rsidP="006B1D58">
      <w:pPr>
        <w:spacing w:after="0" w:line="276" w:lineRule="auto"/>
        <w:jc w:val="both"/>
        <w:rPr>
          <w:rFonts w:ascii="Verdana" w:eastAsia="Times New Roman" w:hAnsi="Verdana" w:cs="Arial"/>
          <w:bCs/>
          <w:lang w:eastAsia="es-CO"/>
        </w:rPr>
      </w:pPr>
      <w:proofErr w:type="spellStart"/>
      <w:r>
        <w:rPr>
          <w:rFonts w:ascii="Verdana" w:eastAsia="Arial" w:hAnsi="Verdana" w:cs="Arial"/>
          <w:lang w:eastAsia="es-ES" w:bidi="es-ES"/>
        </w:rPr>
        <w:t>iii</w:t>
      </w:r>
      <w:proofErr w:type="spellEnd"/>
      <w:r>
        <w:rPr>
          <w:rFonts w:ascii="Verdana" w:eastAsia="Arial" w:hAnsi="Verdana" w:cs="Arial"/>
          <w:lang w:eastAsia="es-ES" w:bidi="es-ES"/>
        </w:rPr>
        <w:t>.</w:t>
      </w:r>
      <w:r w:rsidRPr="00380CA4">
        <w:rPr>
          <w:rFonts w:ascii="Verdana" w:eastAsia="Arial" w:hAnsi="Verdana" w:cs="Arial"/>
          <w:lang w:eastAsia="es-ES" w:bidi="es-ES"/>
        </w:rPr>
        <w:t xml:space="preserve"> </w:t>
      </w:r>
      <w:r w:rsidRPr="00380CA4">
        <w:rPr>
          <w:rFonts w:ascii="Verdana" w:eastAsia="Times New Roman" w:hAnsi="Verdana" w:cs="Arial"/>
          <w:bCs/>
          <w:lang w:eastAsia="x-none"/>
        </w:rPr>
        <w:t xml:space="preserve">El ámbito material de la prohibición contenida en el artículo 33 de la ley 996 de 2005 está delimitado por la expresión </w:t>
      </w:r>
      <w:r w:rsidRPr="00380CA4">
        <w:rPr>
          <w:rFonts w:ascii="Verdana" w:eastAsia="Calibri" w:hAnsi="Verdana" w:cs="Arial"/>
          <w:bCs/>
          <w:sz w:val="20"/>
          <w:szCs w:val="20"/>
        </w:rPr>
        <w:t>“</w:t>
      </w:r>
      <w:r w:rsidRPr="00380CA4">
        <w:rPr>
          <w:rFonts w:ascii="Verdana" w:eastAsia="Times New Roman" w:hAnsi="Verdana" w:cs="Arial"/>
          <w:bCs/>
          <w:lang w:eastAsia="x-none"/>
        </w:rPr>
        <w:t>queda prohibida la contratación directa</w:t>
      </w:r>
      <w:r w:rsidRPr="00380CA4">
        <w:rPr>
          <w:rFonts w:ascii="Verdana" w:eastAsia="Calibri" w:hAnsi="Verdana" w:cs="Arial"/>
          <w:sz w:val="20"/>
          <w:szCs w:val="20"/>
        </w:rPr>
        <w:t>”</w:t>
      </w:r>
      <w:r w:rsidRPr="00380CA4">
        <w:rPr>
          <w:rFonts w:ascii="Verdana" w:eastAsia="Times New Roman" w:hAnsi="Verdana" w:cs="Arial"/>
          <w:bCs/>
          <w:lang w:eastAsia="x-none"/>
        </w:rPr>
        <w:t xml:space="preserve">. </w:t>
      </w:r>
      <w:r w:rsidRPr="00380CA4">
        <w:rPr>
          <w:rFonts w:ascii="Verdana" w:eastAsia="Times New Roman" w:hAnsi="Verdana" w:cs="Arial"/>
          <w:lang w:eastAsia="es-CO"/>
        </w:rPr>
        <w:t xml:space="preserve"> A propósito de esta restricción de la Ley de Garantías Electorales, la Sala de Consulta y Servicio Civil del Consejo de Estado ha considerado que:</w:t>
      </w:r>
    </w:p>
    <w:p w14:paraId="4952F35E" w14:textId="77777777" w:rsidR="006B1D58" w:rsidRPr="00380CA4" w:rsidRDefault="006B1D58" w:rsidP="006B1D58">
      <w:pPr>
        <w:spacing w:after="0" w:line="240" w:lineRule="auto"/>
        <w:ind w:left="708" w:right="709"/>
        <w:jc w:val="both"/>
        <w:rPr>
          <w:rFonts w:ascii="Verdana" w:eastAsia="Calibri" w:hAnsi="Verdana" w:cs="Arial"/>
          <w:sz w:val="21"/>
          <w:szCs w:val="21"/>
        </w:rPr>
      </w:pPr>
    </w:p>
    <w:p w14:paraId="0E4F2D06" w14:textId="77777777" w:rsidR="006B1D58" w:rsidRPr="00380CA4" w:rsidRDefault="006B1D58" w:rsidP="006B1D58">
      <w:pPr>
        <w:spacing w:after="0" w:line="240" w:lineRule="auto"/>
        <w:ind w:left="709" w:right="709"/>
        <w:jc w:val="both"/>
        <w:rPr>
          <w:rFonts w:ascii="Verdana" w:eastAsia="Calibri" w:hAnsi="Verdana" w:cs="Arial"/>
          <w:sz w:val="20"/>
          <w:szCs w:val="20"/>
        </w:rPr>
      </w:pPr>
      <w:r w:rsidRPr="00380CA4">
        <w:rPr>
          <w:rFonts w:ascii="Verdana" w:eastAsia="Calibri" w:hAnsi="Verdana" w:cs="Arial"/>
          <w:sz w:val="20"/>
          <w:szCs w:val="20"/>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w:t>
      </w:r>
      <w:r w:rsidRPr="00380CA4">
        <w:rPr>
          <w:rFonts w:ascii="Verdana" w:eastAsia="Calibri" w:hAnsi="Verdana" w:cs="Arial"/>
          <w:sz w:val="20"/>
          <w:szCs w:val="20"/>
        </w:rPr>
        <w:lastRenderedPageBreak/>
        <w:t>los casos en que expresa y taxativamente señale la ley (numeral 4, artículo 2, ley 1150 de 2007), y cumpliendo siempre los principios que rigen la contratación pública</w:t>
      </w:r>
      <w:r w:rsidRPr="00380CA4">
        <w:rPr>
          <w:rFonts w:ascii="Verdana" w:eastAsia="Times New Roman" w:hAnsi="Verdana" w:cs="Arial"/>
          <w:sz w:val="20"/>
          <w:szCs w:val="20"/>
          <w:vertAlign w:val="superscript"/>
          <w:lang w:eastAsia="es-CO"/>
        </w:rPr>
        <w:footnoteReference w:id="12"/>
      </w:r>
      <w:r w:rsidRPr="00380CA4">
        <w:rPr>
          <w:rFonts w:ascii="Verdana" w:eastAsia="Calibri" w:hAnsi="Verdana" w:cs="Arial"/>
          <w:sz w:val="20"/>
          <w:szCs w:val="20"/>
        </w:rPr>
        <w:t>.</w:t>
      </w:r>
    </w:p>
    <w:p w14:paraId="0E7F0AC9" w14:textId="77777777" w:rsidR="006B1D58" w:rsidRPr="00380CA4" w:rsidRDefault="006B1D58" w:rsidP="006B1D58">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 xml:space="preserve">Esta Sala ha entendido </w:t>
      </w:r>
      <w:proofErr w:type="gramStart"/>
      <w:r w:rsidRPr="00380CA4">
        <w:rPr>
          <w:rFonts w:ascii="Verdana" w:eastAsia="Calibri" w:hAnsi="Verdana" w:cs="Arial"/>
          <w:sz w:val="20"/>
          <w:szCs w:val="20"/>
        </w:rPr>
        <w:t>que</w:t>
      </w:r>
      <w:proofErr w:type="gramEnd"/>
      <w:r w:rsidRPr="00380CA4">
        <w:rPr>
          <w:rFonts w:ascii="Verdana" w:eastAsia="Calibri" w:hAnsi="Verdana" w:cs="Arial"/>
          <w:sz w:val="20"/>
          <w:szCs w:val="20"/>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380CA4">
        <w:rPr>
          <w:rFonts w:ascii="Verdana" w:eastAsia="Times New Roman" w:hAnsi="Verdana" w:cs="Arial"/>
          <w:sz w:val="20"/>
          <w:szCs w:val="20"/>
          <w:vertAlign w:val="superscript"/>
        </w:rPr>
        <w:footnoteReference w:id="13"/>
      </w:r>
      <w:r w:rsidRPr="00380CA4">
        <w:rPr>
          <w:rFonts w:ascii="Verdana" w:eastAsia="Times New Roman" w:hAnsi="Verdana" w:cs="Arial"/>
          <w:sz w:val="20"/>
          <w:szCs w:val="20"/>
          <w:vertAlign w:val="superscript"/>
        </w:rPr>
        <w:t>.</w:t>
      </w:r>
      <w:r w:rsidRPr="00380CA4">
        <w:rPr>
          <w:rFonts w:ascii="Verdana" w:eastAsia="Calibri"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380CA4">
        <w:rPr>
          <w:rFonts w:ascii="Verdana" w:eastAsia="Times New Roman" w:hAnsi="Verdana" w:cs="Arial"/>
          <w:sz w:val="20"/>
          <w:szCs w:val="20"/>
          <w:vertAlign w:val="superscript"/>
          <w:lang w:eastAsia="es-CO"/>
        </w:rPr>
        <w:footnoteReference w:id="14"/>
      </w:r>
      <w:r w:rsidRPr="00380CA4">
        <w:rPr>
          <w:rFonts w:ascii="Verdana" w:eastAsia="Calibri" w:hAnsi="Verdana" w:cs="Arial"/>
          <w:sz w:val="20"/>
          <w:szCs w:val="20"/>
        </w:rPr>
        <w:t xml:space="preserve"> .</w:t>
      </w:r>
    </w:p>
    <w:p w14:paraId="3ACD7F10" w14:textId="77777777" w:rsidR="006B1D58" w:rsidRPr="00380CA4" w:rsidRDefault="006B1D58" w:rsidP="006B1D58">
      <w:pPr>
        <w:shd w:val="clear" w:color="auto" w:fill="FFFFFF"/>
        <w:spacing w:after="0" w:line="276" w:lineRule="auto"/>
        <w:ind w:firstLine="709"/>
        <w:jc w:val="both"/>
        <w:rPr>
          <w:rFonts w:ascii="Verdana" w:eastAsia="Times New Roman" w:hAnsi="Verdana" w:cs="Arial"/>
          <w:lang w:eastAsia="x-none"/>
        </w:rPr>
      </w:pPr>
    </w:p>
    <w:p w14:paraId="78904B92" w14:textId="77777777" w:rsidR="006B1D58" w:rsidRPr="00380CA4" w:rsidRDefault="006B1D58" w:rsidP="006B1D5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lang w:eastAsia="x-none"/>
        </w:rPr>
        <w:t xml:space="preserve">De acuerdo con el citado concepto, la prohibición del artículo 33 de la Ley de Garantías Electorales se refiere a </w:t>
      </w:r>
      <w:r w:rsidRPr="00380CA4">
        <w:rPr>
          <w:rFonts w:ascii="Verdana" w:eastAsia="Times New Roman" w:hAnsi="Verdana" w:cs="Arial"/>
          <w:sz w:val="19"/>
          <w:szCs w:val="19"/>
          <w:lang w:eastAsia="en-GB"/>
        </w:rPr>
        <w:t>“</w:t>
      </w:r>
      <w:r w:rsidRPr="00380CA4">
        <w:rPr>
          <w:rFonts w:ascii="Verdana" w:eastAsia="Times New Roman" w:hAnsi="Verdana" w:cs="Arial"/>
          <w:lang w:eastAsia="x-none"/>
        </w:rPr>
        <w:t>cualquier sistema que no implique convocatoria pública y posibilidad de pluralidad de oferentes</w:t>
      </w:r>
      <w:r w:rsidRPr="00380CA4">
        <w:rPr>
          <w:rFonts w:ascii="Verdana" w:eastAsia="Times New Roman" w:hAnsi="Verdana" w:cs="Arial"/>
          <w:lang w:eastAsia="en-GB"/>
        </w:rPr>
        <w:t>”</w:t>
      </w:r>
      <w:r w:rsidRPr="00380CA4">
        <w:rPr>
          <w:rFonts w:ascii="Verdana" w:eastAsia="Times New Roman" w:hAnsi="Verdana" w:cs="Arial"/>
          <w:lang w:eastAsia="x-none"/>
        </w:rPr>
        <w:t>, por lo que excluye las demás modalidades de contratación previstas en la Ley 1150 de 2007, es decir, la licitación pública, la selección abreviada, el concurso de méritos y la mínima cuantía</w:t>
      </w:r>
      <w:r w:rsidRPr="00380CA4" w:rsidDel="00A85D9F">
        <w:rPr>
          <w:rFonts w:ascii="Verdana" w:eastAsia="Times New Roman" w:hAnsi="Verdana" w:cs="Arial"/>
          <w:lang w:eastAsia="x-none"/>
        </w:rPr>
        <w:t xml:space="preserve"> </w:t>
      </w:r>
      <w:r w:rsidRPr="00380CA4">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380CA4">
        <w:rPr>
          <w:rFonts w:ascii="Verdana" w:eastAsia="Times New Roman" w:hAnsi="Verdana" w:cs="Arial"/>
          <w:vertAlign w:val="superscript"/>
          <w:lang w:eastAsia="x-none"/>
        </w:rPr>
        <w:footnoteReference w:id="15"/>
      </w:r>
      <w:r w:rsidRPr="00380CA4">
        <w:rPr>
          <w:rFonts w:ascii="Verdana" w:eastAsia="Times New Roman" w:hAnsi="Verdana" w:cs="Arial"/>
          <w:lang w:eastAsia="x-none"/>
        </w:rPr>
        <w:t xml:space="preserve"> y sistematizó las causales de contratación directa</w:t>
      </w:r>
      <w:r w:rsidRPr="00380CA4">
        <w:rPr>
          <w:rFonts w:ascii="Verdana" w:eastAsia="Times New Roman" w:hAnsi="Verdana" w:cs="Arial"/>
          <w:vertAlign w:val="superscript"/>
          <w:lang w:eastAsia="x-none"/>
        </w:rPr>
        <w:footnoteReference w:id="16"/>
      </w:r>
      <w:r w:rsidRPr="00380CA4">
        <w:rPr>
          <w:rFonts w:ascii="Verdana" w:eastAsia="Times New Roman" w:hAnsi="Verdana" w:cs="Arial"/>
          <w:lang w:eastAsia="x-none"/>
        </w:rPr>
        <w:t xml:space="preserve">, </w:t>
      </w:r>
      <w:r w:rsidRPr="00380CA4">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52B01A2C" w14:textId="77777777" w:rsidR="006B1D58" w:rsidRPr="00F04D58" w:rsidRDefault="006B1D58" w:rsidP="006B1D58">
      <w:pPr>
        <w:spacing w:after="120" w:line="276" w:lineRule="auto"/>
        <w:ind w:firstLine="708"/>
        <w:jc w:val="both"/>
        <w:rPr>
          <w:rFonts w:ascii="Verdana" w:eastAsia="Times New Roman" w:hAnsi="Verdana" w:cs="Arial"/>
          <w:lang w:eastAsia="en-GB"/>
        </w:rPr>
      </w:pPr>
      <w:r w:rsidRPr="00380CA4">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380CA4">
        <w:rPr>
          <w:rFonts w:ascii="Verdana" w:eastAsia="Times New Roman" w:hAnsi="Verdana" w:cs="Arial"/>
          <w:lang w:eastAsia="x-none"/>
        </w:rPr>
        <w:t>contratación directa</w:t>
      </w:r>
      <w:r>
        <w:rPr>
          <w:rFonts w:ascii="Verdana" w:eastAsia="Times New Roman" w:hAnsi="Verdana" w:cs="Arial"/>
          <w:lang w:eastAsia="en-GB"/>
        </w:rPr>
        <w:t>”</w:t>
      </w:r>
      <w:r w:rsidRPr="00380CA4">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380CA4">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w:t>
      </w:r>
      <w:r w:rsidRPr="00380CA4">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380CA4">
        <w:rPr>
          <w:rFonts w:ascii="Verdana" w:eastAsia="Times New Roman" w:hAnsi="Verdana" w:cs="Arial"/>
          <w:vertAlign w:val="superscript"/>
          <w:lang w:eastAsia="x-none"/>
        </w:rPr>
        <w:footnoteReference w:id="17"/>
      </w:r>
      <w:r w:rsidRPr="00380CA4">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380CA4">
        <w:rPr>
          <w:rFonts w:ascii="Verdana" w:eastAsia="Times New Roman" w:hAnsi="Verdana" w:cs="Arial"/>
          <w:lang w:eastAsia="x-none"/>
        </w:rPr>
        <w:t xml:space="preserve">. </w:t>
      </w:r>
    </w:p>
    <w:p w14:paraId="48E8E6D2" w14:textId="77777777" w:rsidR="006B1D58" w:rsidRPr="00380CA4" w:rsidRDefault="006B1D58" w:rsidP="006B1D58">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x-none"/>
        </w:rPr>
        <w:t>E</w:t>
      </w:r>
      <w:r w:rsidRPr="00380CA4">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380CA4">
        <w:rPr>
          <w:rFonts w:ascii="Verdana" w:eastAsia="Times New Roman" w:hAnsi="Verdana" w:cs="Arial"/>
          <w:vertAlign w:val="superscript"/>
          <w:lang w:eastAsia="x-none"/>
        </w:rPr>
        <w:footnoteReference w:id="18"/>
      </w:r>
      <w:r w:rsidRPr="00380CA4">
        <w:rPr>
          <w:rFonts w:ascii="Verdana" w:eastAsia="Times New Roman" w:hAnsi="Verdana" w:cs="Arial"/>
          <w:lang w:eastAsia="x-none"/>
        </w:rPr>
        <w:t xml:space="preserve">. </w:t>
      </w:r>
    </w:p>
    <w:p w14:paraId="29EBE227" w14:textId="77777777" w:rsidR="006B1D58" w:rsidRPr="00380CA4" w:rsidRDefault="006B1D58" w:rsidP="006B1D58">
      <w:pPr>
        <w:spacing w:after="120" w:line="276" w:lineRule="auto"/>
        <w:ind w:firstLine="708"/>
        <w:jc w:val="both"/>
        <w:rPr>
          <w:rFonts w:ascii="Verdana" w:eastAsia="Times New Roman" w:hAnsi="Verdana" w:cs="Arial"/>
          <w:bCs/>
          <w:lang w:eastAsia="es-CO"/>
        </w:rPr>
      </w:pPr>
      <w:r w:rsidRPr="00380CA4">
        <w:rPr>
          <w:rFonts w:ascii="Verdana" w:eastAsia="Times New Roman" w:hAnsi="Verdana" w:cs="Arial"/>
          <w:bCs/>
          <w:lang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w:t>
      </w:r>
      <w:r>
        <w:rPr>
          <w:rFonts w:ascii="Verdana" w:eastAsia="Times New Roman" w:hAnsi="Verdana" w:cs="Arial"/>
          <w:bCs/>
          <w:lang w:eastAsia="es-CO"/>
        </w:rPr>
        <w:t xml:space="preserve"> mayor precisión el término de “contratación directa”</w:t>
      </w:r>
      <w:r w:rsidRPr="00380CA4">
        <w:rPr>
          <w:rFonts w:ascii="Verdana" w:eastAsia="Times New Roman" w:hAnsi="Verdana" w:cs="Arial"/>
          <w:bCs/>
          <w:lang w:eastAsia="es-CO"/>
        </w:rPr>
        <w:t>.</w:t>
      </w:r>
    </w:p>
    <w:p w14:paraId="594FC02B" w14:textId="77777777" w:rsidR="006B1D58" w:rsidRPr="001052D1" w:rsidRDefault="006B1D58" w:rsidP="006B1D5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380CA4">
        <w:rPr>
          <w:rFonts w:ascii="Verdana" w:eastAsia="Times New Roman" w:hAnsi="Verdana" w:cs="Arial"/>
          <w:vertAlign w:val="superscript"/>
          <w:lang w:eastAsia="x-none"/>
        </w:rPr>
        <w:footnoteReference w:id="19"/>
      </w:r>
      <w:r w:rsidRPr="00380CA4">
        <w:rPr>
          <w:rFonts w:ascii="Verdana" w:eastAsia="Times New Roman" w:hAnsi="Verdana" w:cs="Arial"/>
          <w:bCs/>
          <w:lang w:eastAsia="x-none"/>
        </w:rPr>
        <w:t>.</w:t>
      </w:r>
      <w:r w:rsidRPr="00380CA4">
        <w:rPr>
          <w:rFonts w:ascii="Verdana" w:eastAsia="Times New Roman" w:hAnsi="Verdana" w:cs="Arial"/>
          <w:vertAlign w:val="superscript"/>
          <w:lang w:eastAsia="x-none"/>
        </w:rPr>
        <w:t xml:space="preserve"> </w:t>
      </w:r>
      <w:r w:rsidRPr="00380CA4">
        <w:rPr>
          <w:rFonts w:ascii="Verdana" w:eastAsia="Times New Roman" w:hAnsi="Verdana" w:cs="Arial"/>
          <w:bCs/>
          <w:lang w:eastAsia="x-none"/>
        </w:rPr>
        <w:t xml:space="preserve">De lo anterior se desprende que la restricción aplica, sin perjuicio de las excepciones establecidas en la misma ley, para celebrar cualquier contrato de forma directa, esto es, sin que exista un </w:t>
      </w:r>
      <w:r w:rsidRPr="00380CA4">
        <w:rPr>
          <w:rFonts w:ascii="Verdana" w:eastAsia="Times New Roman" w:hAnsi="Verdana" w:cs="Arial"/>
          <w:bCs/>
          <w:lang w:eastAsia="x-none"/>
        </w:rPr>
        <w:lastRenderedPageBreak/>
        <w:t>proceso abierto y competitivo.</w:t>
      </w:r>
      <w:r w:rsidRPr="00380CA4">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38C0ED4" w14:textId="77777777" w:rsidR="006B1D58" w:rsidRDefault="006B1D58" w:rsidP="006B1D5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380CA4">
        <w:rPr>
          <w:rFonts w:ascii="Verdana" w:eastAsia="Times New Roman" w:hAnsi="Verdana" w:cs="Arial"/>
          <w:bCs/>
          <w:lang w:eastAsia="x-none"/>
        </w:rPr>
        <w:t>ii</w:t>
      </w:r>
      <w:proofErr w:type="spellEnd"/>
      <w:r w:rsidRPr="00380CA4">
        <w:rPr>
          <w:rFonts w:ascii="Verdana" w:eastAsia="Times New Roman" w:hAnsi="Verdana" w:cs="Arial"/>
          <w:bCs/>
          <w:lang w:eastAsia="x-none"/>
        </w:rPr>
        <w:t xml:space="preserve">) los contratos de crédito público; </w:t>
      </w:r>
      <w:proofErr w:type="spellStart"/>
      <w:r w:rsidRPr="00380CA4">
        <w:rPr>
          <w:rFonts w:ascii="Verdana" w:eastAsia="Times New Roman" w:hAnsi="Verdana" w:cs="Arial"/>
          <w:bCs/>
          <w:lang w:eastAsia="x-none"/>
        </w:rPr>
        <w:t>iii</w:t>
      </w:r>
      <w:proofErr w:type="spellEnd"/>
      <w:r w:rsidRPr="00380CA4">
        <w:rPr>
          <w:rFonts w:ascii="Verdana" w:eastAsia="Times New Roman" w:hAnsi="Verdana" w:cs="Arial"/>
          <w:bCs/>
          <w:lang w:eastAsia="x-none"/>
        </w:rPr>
        <w:t xml:space="preserve">) los requeridos para cubrir las emergencias educativas, sanitarias y desastres; </w:t>
      </w:r>
      <w:proofErr w:type="spellStart"/>
      <w:r w:rsidRPr="00380CA4">
        <w:rPr>
          <w:rFonts w:ascii="Verdana" w:eastAsia="Times New Roman" w:hAnsi="Verdana" w:cs="Arial"/>
          <w:bCs/>
          <w:lang w:eastAsia="x-none"/>
        </w:rPr>
        <w:t>iv</w:t>
      </w:r>
      <w:proofErr w:type="spellEnd"/>
      <w:r w:rsidRPr="00380CA4">
        <w:rPr>
          <w:rFonts w:ascii="Verdana" w:eastAsia="Times New Roman" w:hAnsi="Verdana" w:cs="Arial"/>
          <w:bCs/>
          <w:lang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w:t>
      </w:r>
      <w:r>
        <w:rPr>
          <w:rFonts w:ascii="Verdana" w:eastAsia="Times New Roman" w:hAnsi="Verdana" w:cs="Arial"/>
          <w:bCs/>
          <w:lang w:eastAsia="x-none"/>
        </w:rPr>
        <w:t>s.</w:t>
      </w:r>
    </w:p>
    <w:p w14:paraId="0F21D9B9" w14:textId="77777777" w:rsidR="006B1D58" w:rsidRDefault="006B1D58" w:rsidP="006B1D58">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eastAsia="x-none"/>
        </w:rPr>
        <w:t>De acuerdo con dichas causales, e</w:t>
      </w:r>
      <w:r w:rsidRPr="00380CA4">
        <w:rPr>
          <w:rFonts w:ascii="Verdana" w:eastAsia="Times New Roman" w:hAnsi="Verdana" w:cs="Arial"/>
          <w:bCs/>
          <w:lang w:eastAsia="x-none"/>
        </w:rPr>
        <w:t>s.</w:t>
      </w:r>
      <w:r w:rsidRPr="00380CA4">
        <w:rPr>
          <w:rFonts w:ascii="Verdana" w:eastAsia="Times New Roman" w:hAnsi="Verdana" w:cs="Arial"/>
          <w:bCs/>
          <w:lang w:eastAsia="es-CO"/>
        </w:rPr>
        <w:t xml:space="preserve"> responsabilidad del respectivo ente del Estado, examinar en cada caso la naturaleza de las actividades que adelanta y determinar si las mismas se enmarcan en alguna de las mencionadas excepciones, de manera que se le permita realizar </w:t>
      </w:r>
      <w:r>
        <w:rPr>
          <w:rFonts w:ascii="Verdana" w:eastAsia="Times New Roman" w:hAnsi="Verdana" w:cs="Arial"/>
          <w:bCs/>
          <w:lang w:eastAsia="es-CO"/>
        </w:rPr>
        <w:t xml:space="preserve">la contratación que necesite de </w:t>
      </w:r>
      <w:r w:rsidRPr="00380CA4">
        <w:rPr>
          <w:rFonts w:ascii="Verdana" w:eastAsia="Times New Roman" w:hAnsi="Verdana" w:cs="Arial"/>
          <w:bCs/>
          <w:lang w:eastAsia="es-CO"/>
        </w:rPr>
        <w:t>forma directa.</w:t>
      </w:r>
      <w:r>
        <w:rPr>
          <w:rFonts w:ascii="Verdana" w:eastAsia="Times New Roman" w:hAnsi="Verdana" w:cs="Arial"/>
          <w:bCs/>
          <w:lang w:eastAsia="es-CO"/>
        </w:rPr>
        <w:t xml:space="preserve"> </w:t>
      </w:r>
    </w:p>
    <w:p w14:paraId="20AA479B" w14:textId="77777777" w:rsidR="006B1D58" w:rsidRDefault="006B1D58" w:rsidP="006B1D58">
      <w:pPr>
        <w:spacing w:after="12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esta labor es importante tener en cuenta, como lo anotó la Corte Constitucional, en Sentencia C-1153 de noviembre 11 de 2005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380CA4">
        <w:rPr>
          <w:rFonts w:ascii="Verdana" w:eastAsia="Calibri" w:hAnsi="Verdana" w:cs="Arial"/>
          <w:vertAlign w:val="superscript"/>
        </w:rPr>
        <w:footnoteReference w:id="20"/>
      </w:r>
      <w:r w:rsidRPr="00380CA4">
        <w:rPr>
          <w:rFonts w:ascii="Verdana" w:eastAsia="Times New Roman" w:hAnsi="Verdana" w:cs="Arial"/>
          <w:bCs/>
          <w:lang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r>
        <w:rPr>
          <w:rFonts w:ascii="Verdana" w:eastAsia="Times New Roman" w:hAnsi="Verdana" w:cs="Arial"/>
          <w:bCs/>
          <w:lang w:eastAsia="x-none"/>
        </w:rPr>
        <w:t>.</w:t>
      </w:r>
    </w:p>
    <w:p w14:paraId="3F89BE08" w14:textId="77777777" w:rsidR="006B1D58" w:rsidRPr="002A1E2D" w:rsidRDefault="006B1D58" w:rsidP="006B1D58">
      <w:pPr>
        <w:spacing w:after="120" w:line="276" w:lineRule="auto"/>
        <w:ind w:firstLine="708"/>
        <w:jc w:val="both"/>
        <w:rPr>
          <w:rFonts w:ascii="Verdana" w:eastAsia="Times New Roman" w:hAnsi="Verdana" w:cs="Arial"/>
          <w:bCs/>
          <w:lang w:eastAsia="x-none"/>
        </w:rPr>
      </w:pPr>
      <w:r w:rsidRPr="002A1E2D">
        <w:rPr>
          <w:rFonts w:ascii="Verdana" w:eastAsia="Times New Roman" w:hAnsi="Verdana" w:cs="Arial"/>
          <w:bCs/>
          <w:lang w:val="es-MX" w:eastAsia="x-none"/>
        </w:rPr>
        <w:lastRenderedPageBreak/>
        <w:t xml:space="preserve">Así mismo, la Corte Constitucional en la Sentencia C-1153 de 2005 señaló que la expresión </w:t>
      </w:r>
      <w:r w:rsidRPr="002A1E2D">
        <w:rPr>
          <w:rFonts w:ascii="Verdana" w:eastAsia="Times New Roman" w:hAnsi="Verdana" w:cs="Arial"/>
          <w:bCs/>
          <w:i/>
          <w:iCs/>
          <w:lang w:val="es-ES" w:eastAsia="x-none"/>
        </w:rPr>
        <w:t xml:space="preserve">“adicionalmente se exceptúan aquellos gastos inaplazables e imprescindibles que afecten el normal funcionamiento de la administración” </w:t>
      </w:r>
      <w:r w:rsidRPr="002A1E2D">
        <w:rPr>
          <w:rFonts w:ascii="Verdana" w:eastAsia="Times New Roman" w:hAnsi="Verdana" w:cs="Arial"/>
          <w:bCs/>
          <w:iCs/>
          <w:lang w:val="es-ES" w:eastAsia="x-none"/>
        </w:rPr>
        <w:t>regulada como excepción en el artículo 33</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2A1E2D">
        <w:rPr>
          <w:rFonts w:ascii="Verdana" w:eastAsia="Times New Roman" w:hAnsi="Verdana" w:cs="Arial"/>
          <w:bCs/>
          <w:i/>
          <w:iCs/>
          <w:lang w:val="es-ES" w:eastAsia="x-none"/>
        </w:rPr>
        <w:t xml:space="preserve"> </w:t>
      </w:r>
      <w:r w:rsidRPr="002A1E2D">
        <w:rPr>
          <w:rFonts w:ascii="Verdana" w:eastAsia="Times New Roman" w:hAnsi="Verdana" w:cs="Arial"/>
          <w:bCs/>
          <w:iCs/>
          <w:lang w:val="es-ES" w:eastAsia="x-none"/>
        </w:rPr>
        <w:t>Por tanto, dicha expresión fue declarada inexequible, razón por la cual no es posible que las entidades argumenten razones como esta para exceptuar la restricción del artículo 33.</w:t>
      </w:r>
    </w:p>
    <w:p w14:paraId="224BFFA4" w14:textId="77777777" w:rsidR="006B1D58" w:rsidRPr="00380CA4" w:rsidRDefault="006B1D58" w:rsidP="006B1D58">
      <w:pPr>
        <w:spacing w:after="0" w:line="276" w:lineRule="auto"/>
        <w:ind w:firstLine="708"/>
        <w:jc w:val="both"/>
        <w:rPr>
          <w:rFonts w:ascii="Verdana" w:eastAsia="Times New Roman" w:hAnsi="Verdana" w:cs="Arial"/>
          <w:bCs/>
          <w:lang w:eastAsia="x-none"/>
        </w:rPr>
      </w:pPr>
      <w:r w:rsidRPr="00380CA4">
        <w:rPr>
          <w:rFonts w:ascii="Verdana" w:eastAsia="Times New Roman" w:hAnsi="Verdana" w:cs="Arial"/>
          <w:bCs/>
          <w:lang w:eastAsia="x-none"/>
        </w:rPr>
        <w:t>En relación con los destinatarios de la restricción analizada, el artículo 33 de la Ley 996 de 2005 los señala expresamente, en el sentido de que son “todos los entes del Estado”, expresión que contempla a los diferentes organismos o entidades autorizadas por la ley para suscribir contratos.</w:t>
      </w:r>
      <w:r w:rsidRPr="00380CA4">
        <w:rPr>
          <w:rFonts w:ascii="Verdana" w:eastAsia="Calibri" w:hAnsi="Verdana" w:cs="Arial"/>
          <w:sz w:val="24"/>
        </w:rPr>
        <w:t xml:space="preserve"> </w:t>
      </w:r>
      <w:r w:rsidRPr="00380CA4">
        <w:rPr>
          <w:rFonts w:ascii="Verdana" w:eastAsia="Times New Roman" w:hAnsi="Verdana" w:cs="Arial"/>
          <w:bCs/>
          <w:lang w:eastAsia="x-none"/>
        </w:rPr>
        <w:t>En efecto, tal como lo ha sostenido el Consejo de Estado, el vocablo “todos” utilizado por el legislador comprende</w:t>
      </w:r>
      <w:r w:rsidRPr="00380CA4">
        <w:rPr>
          <w:rFonts w:ascii="Verdana" w:eastAsia="Calibri" w:hAnsi="Verdana" w:cs="Arial"/>
          <w:sz w:val="24"/>
        </w:rPr>
        <w:t xml:space="preserve"> </w:t>
      </w:r>
      <w:r w:rsidRPr="00380CA4">
        <w:rPr>
          <w:rFonts w:ascii="Verdana" w:eastAsia="Times New Roman" w:hAnsi="Verdana" w:cs="Arial"/>
          <w:bCs/>
          <w:lang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La Sala de Consulta y Servicio Civil del Consejo de Estado, en Concepto 1727 de fecha 20 de febrero de 2006, consideró que: </w:t>
      </w:r>
    </w:p>
    <w:p w14:paraId="589AFC09" w14:textId="77777777" w:rsidR="006B1D58" w:rsidRPr="00380CA4" w:rsidRDefault="006B1D58" w:rsidP="006B1D58">
      <w:pPr>
        <w:spacing w:after="0" w:line="240" w:lineRule="auto"/>
        <w:jc w:val="both"/>
        <w:rPr>
          <w:rFonts w:ascii="Verdana" w:eastAsia="Times New Roman" w:hAnsi="Verdana" w:cs="Arial"/>
          <w:bCs/>
          <w:lang w:eastAsia="x-none"/>
        </w:rPr>
      </w:pPr>
    </w:p>
    <w:p w14:paraId="4CC3CDB8" w14:textId="77777777" w:rsidR="006B1D58" w:rsidRPr="00625764" w:rsidRDefault="006B1D58" w:rsidP="006B1D58">
      <w:pPr>
        <w:spacing w:after="0" w:line="240" w:lineRule="auto"/>
        <w:ind w:left="708" w:right="709"/>
        <w:jc w:val="both"/>
        <w:rPr>
          <w:rFonts w:ascii="Verdana" w:eastAsia="Times New Roman" w:hAnsi="Verdana" w:cs="Arial"/>
          <w:bCs/>
          <w:sz w:val="20"/>
          <w:szCs w:val="20"/>
          <w:lang w:eastAsia="es-CO"/>
        </w:rPr>
      </w:pPr>
      <w:r w:rsidRPr="00625764">
        <w:rPr>
          <w:rFonts w:ascii="Verdana" w:eastAsia="Times New Roman" w:hAnsi="Verdana" w:cs="Arial"/>
          <w:bCs/>
          <w:sz w:val="20"/>
          <w:szCs w:val="20"/>
          <w:lang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25764">
        <w:rPr>
          <w:rFonts w:ascii="Verdana" w:eastAsia="Times New Roman" w:hAnsi="Verdana" w:cs="Arial"/>
          <w:bCs/>
          <w:sz w:val="20"/>
          <w:szCs w:val="20"/>
          <w:vertAlign w:val="superscript"/>
          <w:lang w:eastAsia="x-none"/>
        </w:rPr>
        <w:footnoteReference w:id="21"/>
      </w:r>
      <w:r w:rsidRPr="00625764">
        <w:rPr>
          <w:rFonts w:ascii="Verdana" w:eastAsia="Times New Roman" w:hAnsi="Verdana" w:cs="Arial"/>
          <w:bCs/>
          <w:sz w:val="20"/>
          <w:szCs w:val="20"/>
          <w:lang w:eastAsia="x-none"/>
        </w:rPr>
        <w:t>.</w:t>
      </w:r>
      <w:r w:rsidRPr="00625764">
        <w:rPr>
          <w:rFonts w:ascii="Verdana" w:eastAsia="Times New Roman" w:hAnsi="Verdana" w:cs="Arial"/>
          <w:bCs/>
          <w:sz w:val="20"/>
          <w:szCs w:val="20"/>
          <w:lang w:eastAsia="es-CO"/>
        </w:rPr>
        <w:t xml:space="preserve"> </w:t>
      </w:r>
    </w:p>
    <w:p w14:paraId="0EB7EDA1" w14:textId="77777777" w:rsidR="006B1D58" w:rsidRPr="00380CA4" w:rsidRDefault="006B1D58" w:rsidP="006B1D58">
      <w:pPr>
        <w:spacing w:after="0" w:line="240" w:lineRule="auto"/>
        <w:ind w:firstLine="708"/>
        <w:jc w:val="both"/>
        <w:rPr>
          <w:rFonts w:ascii="Verdana" w:eastAsia="Times New Roman" w:hAnsi="Verdana" w:cs="Arial"/>
          <w:bCs/>
          <w:lang w:eastAsia="es-CO"/>
        </w:rPr>
      </w:pPr>
    </w:p>
    <w:p w14:paraId="4123EE8A" w14:textId="77777777" w:rsidR="006B1D58" w:rsidRPr="00380CA4" w:rsidRDefault="006B1D58" w:rsidP="006B1D58">
      <w:pPr>
        <w:spacing w:after="0" w:line="276" w:lineRule="auto"/>
        <w:ind w:firstLine="708"/>
        <w:jc w:val="both"/>
        <w:rPr>
          <w:rFonts w:ascii="Verdana" w:eastAsia="Calibri" w:hAnsi="Verdana" w:cs="Arial"/>
        </w:rPr>
      </w:pPr>
      <w:r w:rsidRPr="00380CA4">
        <w:rPr>
          <w:rFonts w:ascii="Verdana" w:eastAsia="Times New Roman" w:hAnsi="Verdana" w:cs="Arial"/>
          <w:bCs/>
          <w:lang w:eastAsia="x-none"/>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380CA4">
        <w:rPr>
          <w:rFonts w:ascii="Verdana" w:eastAsia="Calibri" w:hAnsi="Verdana" w:cs="Arial"/>
          <w:sz w:val="24"/>
          <w:vertAlign w:val="superscript"/>
        </w:rPr>
        <w:footnoteReference w:id="22"/>
      </w:r>
      <w:r w:rsidRPr="00380CA4">
        <w:rPr>
          <w:rFonts w:ascii="Verdana" w:eastAsia="Times New Roman" w:hAnsi="Verdana" w:cs="Arial"/>
          <w:bCs/>
          <w:lang w:eastAsia="x-none"/>
        </w:rPr>
        <w:t>.</w:t>
      </w:r>
      <w:r w:rsidRPr="00380CA4">
        <w:rPr>
          <w:rFonts w:ascii="Verdana" w:eastAsia="Calibri" w:hAnsi="Verdana" w:cs="Arial"/>
        </w:rPr>
        <w:t xml:space="preserve"> Además, la Sala de Consulta y Servicio Civil del Consejo de Estado realizó la siguiente distinción, retomando el pronunciamiento de la misma sala del 20 de febrero de 2006, citado anteriormente:</w:t>
      </w:r>
    </w:p>
    <w:p w14:paraId="1A82EEB0" w14:textId="77777777" w:rsidR="006B1D58" w:rsidRPr="00380CA4" w:rsidRDefault="006B1D58" w:rsidP="006B1D58">
      <w:pPr>
        <w:spacing w:after="0" w:line="240" w:lineRule="auto"/>
        <w:jc w:val="both"/>
        <w:rPr>
          <w:rFonts w:ascii="Verdana" w:eastAsia="Calibri" w:hAnsi="Verdana" w:cs="Arial"/>
        </w:rPr>
      </w:pPr>
    </w:p>
    <w:p w14:paraId="2C0BA583" w14:textId="77777777" w:rsidR="006B1D58" w:rsidRPr="00380CA4" w:rsidRDefault="006B1D58" w:rsidP="006B1D58">
      <w:pPr>
        <w:spacing w:after="0" w:line="240" w:lineRule="auto"/>
        <w:ind w:left="708" w:right="709"/>
        <w:jc w:val="both"/>
        <w:rPr>
          <w:rFonts w:ascii="Verdana" w:eastAsia="Calibri" w:hAnsi="Verdana" w:cs="Arial"/>
          <w:sz w:val="20"/>
          <w:szCs w:val="20"/>
        </w:rPr>
      </w:pPr>
      <w:r w:rsidRPr="00380CA4">
        <w:rPr>
          <w:rFonts w:ascii="Verdana" w:eastAsia="Calibri" w:hAnsi="Verdana" w:cs="Arial"/>
          <w:sz w:val="20"/>
          <w:szCs w:val="20"/>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55D968AE" w14:textId="77777777" w:rsidR="006B1D58" w:rsidRPr="00380CA4" w:rsidRDefault="006B1D58" w:rsidP="006B1D58">
      <w:pPr>
        <w:spacing w:after="0" w:line="240" w:lineRule="auto"/>
        <w:ind w:left="708" w:right="709"/>
        <w:jc w:val="both"/>
        <w:rPr>
          <w:rFonts w:ascii="Verdana" w:eastAsia="Calibri" w:hAnsi="Verdana" w:cs="Arial"/>
          <w:sz w:val="20"/>
          <w:szCs w:val="20"/>
        </w:rPr>
      </w:pPr>
    </w:p>
    <w:p w14:paraId="1091D01A" w14:textId="77777777" w:rsidR="006B1D58" w:rsidRPr="00380CA4" w:rsidRDefault="006B1D58" w:rsidP="006B1D58">
      <w:pPr>
        <w:spacing w:after="0" w:line="240" w:lineRule="auto"/>
        <w:ind w:left="708" w:right="709"/>
        <w:jc w:val="both"/>
        <w:rPr>
          <w:rFonts w:ascii="Verdana" w:eastAsia="Calibri" w:hAnsi="Verdana" w:cs="Arial"/>
          <w:sz w:val="20"/>
          <w:szCs w:val="20"/>
        </w:rPr>
      </w:pPr>
      <w:r w:rsidRPr="00380CA4">
        <w:rPr>
          <w:rFonts w:ascii="Verdana" w:eastAsia="Times New Roman" w:hAnsi="Verdana" w:cs="Arial"/>
          <w:bCs/>
          <w:sz w:val="20"/>
          <w:szCs w:val="20"/>
          <w:lang w:eastAsia="x-none"/>
        </w:rPr>
        <w:t xml:space="preserve">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w:t>
      </w:r>
      <w:r w:rsidRPr="00380CA4">
        <w:rPr>
          <w:rFonts w:ascii="Verdana" w:eastAsia="Times New Roman" w:hAnsi="Verdana" w:cs="Arial"/>
          <w:bCs/>
          <w:sz w:val="20"/>
          <w:szCs w:val="20"/>
          <w:lang w:eastAsia="x-none"/>
        </w:rPr>
        <w:lastRenderedPageBreak/>
        <w:t>significaría la parálisis de tal actividad de interés público, lo que de ninguna manera es lo querido por la ley 996 de 2005</w:t>
      </w:r>
      <w:r w:rsidRPr="00380CA4">
        <w:rPr>
          <w:rFonts w:ascii="Verdana" w:eastAsia="Calibri" w:hAnsi="Verdana" w:cs="Arial"/>
          <w:sz w:val="20"/>
          <w:szCs w:val="20"/>
          <w:vertAlign w:val="superscript"/>
        </w:rPr>
        <w:footnoteReference w:id="23"/>
      </w:r>
      <w:r w:rsidRPr="00380CA4">
        <w:rPr>
          <w:rFonts w:ascii="Verdana" w:eastAsia="Times New Roman" w:hAnsi="Verdana" w:cs="Arial"/>
          <w:bCs/>
          <w:sz w:val="20"/>
          <w:szCs w:val="20"/>
          <w:lang w:eastAsia="x-none"/>
        </w:rPr>
        <w:t>.</w:t>
      </w:r>
    </w:p>
    <w:p w14:paraId="44E936B5" w14:textId="77777777" w:rsidR="006B1D58" w:rsidRPr="00380CA4" w:rsidRDefault="006B1D58" w:rsidP="006B1D58">
      <w:pPr>
        <w:spacing w:after="0" w:line="240" w:lineRule="auto"/>
        <w:jc w:val="both"/>
        <w:rPr>
          <w:rFonts w:ascii="Verdana" w:eastAsia="Calibri" w:hAnsi="Verdana" w:cs="Arial"/>
        </w:rPr>
      </w:pPr>
    </w:p>
    <w:p w14:paraId="41E49F9C" w14:textId="77777777" w:rsidR="006B1D58" w:rsidRDefault="006B1D58" w:rsidP="006B1D58">
      <w:pPr>
        <w:spacing w:after="0" w:line="276" w:lineRule="auto"/>
        <w:ind w:firstLine="709"/>
        <w:jc w:val="both"/>
        <w:rPr>
          <w:rFonts w:ascii="Verdana" w:eastAsiaTheme="minorEastAsia" w:hAnsi="Verdana" w:cs="Arial"/>
          <w:lang w:eastAsia="es-CO"/>
        </w:rPr>
      </w:pPr>
      <w:r w:rsidRPr="00380CA4">
        <w:rPr>
          <w:rFonts w:ascii="Verdana" w:eastAsia="Calibri" w:hAnsi="Verdana" w:cs="Arial"/>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w:t>
      </w:r>
      <w:r>
        <w:rPr>
          <w:rFonts w:ascii="Verdana" w:eastAsia="Calibri" w:hAnsi="Verdana" w:cs="Arial"/>
        </w:rPr>
        <w:t>l</w:t>
      </w:r>
      <w:r w:rsidRPr="00C15179">
        <w:rPr>
          <w:rFonts w:ascii="Verdana" w:eastAsia="Times New Roman" w:hAnsi="Verdana" w:cs="Arial"/>
          <w:bCs/>
          <w:lang w:val="es-ES" w:eastAsia="es-CO"/>
        </w:rPr>
        <w:t>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7ACC060D" w14:textId="77777777" w:rsidR="006B1D58" w:rsidRDefault="006B1D58" w:rsidP="006B1D58">
      <w:pPr>
        <w:spacing w:after="0" w:line="276" w:lineRule="auto"/>
        <w:ind w:left="709" w:right="709"/>
        <w:jc w:val="both"/>
        <w:rPr>
          <w:rFonts w:ascii="Verdana" w:eastAsia="Calibri" w:hAnsi="Verdana" w:cs="Arial"/>
          <w:sz w:val="20"/>
          <w:szCs w:val="20"/>
        </w:rPr>
      </w:pPr>
    </w:p>
    <w:p w14:paraId="00110D86" w14:textId="77777777" w:rsidR="006B1D58" w:rsidRDefault="006B1D58" w:rsidP="006B1D58">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29407744" w14:textId="77777777" w:rsidR="006B1D58" w:rsidRDefault="006B1D58" w:rsidP="006B1D58">
      <w:pPr>
        <w:spacing w:after="0" w:line="240" w:lineRule="auto"/>
        <w:ind w:left="709" w:right="709"/>
        <w:jc w:val="both"/>
        <w:rPr>
          <w:rFonts w:ascii="Verdana" w:eastAsia="Calibri" w:hAnsi="Verdana" w:cs="Arial"/>
          <w:sz w:val="20"/>
          <w:szCs w:val="20"/>
        </w:rPr>
      </w:pPr>
    </w:p>
    <w:p w14:paraId="292C3E47" w14:textId="77777777" w:rsidR="006B1D58" w:rsidRPr="00C15525" w:rsidRDefault="006B1D58" w:rsidP="006B1D58">
      <w:pPr>
        <w:spacing w:after="0" w:line="276" w:lineRule="auto"/>
        <w:ind w:firstLine="709"/>
        <w:jc w:val="both"/>
        <w:rPr>
          <w:rFonts w:ascii="Verdana" w:eastAsia="Arial" w:hAnsi="Verdana" w:cs="Arial"/>
          <w:lang w:val="es-ES" w:eastAsia="es-ES" w:bidi="es-ES"/>
        </w:rPr>
      </w:pPr>
      <w:r>
        <w:rPr>
          <w:rFonts w:ascii="Verdana" w:hAnsi="Verdana" w:cs="Arial"/>
          <w:lang w:val="es-ES_tradnl"/>
        </w:rPr>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215DF15A" w14:textId="77777777" w:rsidR="006B1D58" w:rsidRPr="00C15525" w:rsidRDefault="006B1D58" w:rsidP="006B1D58">
      <w:pPr>
        <w:widowControl w:val="0"/>
        <w:autoSpaceDE w:val="0"/>
        <w:autoSpaceDN w:val="0"/>
        <w:spacing w:after="0" w:line="240" w:lineRule="auto"/>
        <w:jc w:val="both"/>
        <w:rPr>
          <w:rFonts w:ascii="Verdana" w:eastAsia="Arial" w:hAnsi="Verdana" w:cs="Arial"/>
          <w:lang w:val="es-ES" w:eastAsia="es-ES" w:bidi="es-ES"/>
        </w:rPr>
      </w:pPr>
    </w:p>
    <w:p w14:paraId="2C00CF15" w14:textId="77777777" w:rsidR="006B1D58" w:rsidRPr="00C15525" w:rsidRDefault="006B1D58" w:rsidP="006B1D5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361513C0" w14:textId="77777777" w:rsidR="006B1D58" w:rsidRPr="00C15525" w:rsidRDefault="006B1D58" w:rsidP="006B1D58">
      <w:pPr>
        <w:widowControl w:val="0"/>
        <w:autoSpaceDE w:val="0"/>
        <w:autoSpaceDN w:val="0"/>
        <w:spacing w:after="0" w:line="240" w:lineRule="auto"/>
        <w:ind w:left="709" w:right="709"/>
        <w:jc w:val="both"/>
        <w:rPr>
          <w:rFonts w:ascii="Verdana" w:hAnsi="Verdana" w:cs="Arial"/>
          <w:sz w:val="20"/>
          <w:szCs w:val="20"/>
        </w:rPr>
      </w:pPr>
    </w:p>
    <w:p w14:paraId="61A36C4A" w14:textId="77777777" w:rsidR="006B1D58" w:rsidRPr="00C15525" w:rsidRDefault="006B1D58" w:rsidP="006B1D58">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557E2DEB" w14:textId="77777777" w:rsidR="006B1D58" w:rsidRPr="00C15525" w:rsidRDefault="006B1D58" w:rsidP="006B1D58">
      <w:pPr>
        <w:widowControl w:val="0"/>
        <w:autoSpaceDE w:val="0"/>
        <w:autoSpaceDN w:val="0"/>
        <w:spacing w:after="0" w:line="240" w:lineRule="auto"/>
        <w:ind w:left="709" w:right="709"/>
        <w:jc w:val="both"/>
        <w:rPr>
          <w:rFonts w:ascii="Verdana" w:hAnsi="Verdana" w:cs="Arial"/>
          <w:sz w:val="20"/>
          <w:szCs w:val="20"/>
        </w:rPr>
      </w:pPr>
    </w:p>
    <w:p w14:paraId="64B484CF" w14:textId="77777777" w:rsidR="006B1D58" w:rsidRPr="00C15525" w:rsidRDefault="006B1D58" w:rsidP="006B1D58">
      <w:pPr>
        <w:widowControl w:val="0"/>
        <w:autoSpaceDE w:val="0"/>
        <w:autoSpaceDN w:val="0"/>
        <w:spacing w:after="0" w:line="240" w:lineRule="auto"/>
        <w:ind w:left="709" w:right="709"/>
        <w:jc w:val="both"/>
        <w:rPr>
          <w:rFonts w:ascii="Verdana" w:hAnsi="Verdana" w:cs="Arial"/>
        </w:rPr>
      </w:pPr>
      <w:bookmarkStart w:id="6"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6"/>
      <w:r w:rsidRPr="00C15525">
        <w:rPr>
          <w:rFonts w:ascii="Verdana" w:hAnsi="Verdana" w:cs="Arial"/>
          <w:sz w:val="20"/>
          <w:szCs w:val="20"/>
          <w:vertAlign w:val="superscript"/>
        </w:rPr>
        <w:footnoteReference w:id="25"/>
      </w:r>
      <w:r w:rsidRPr="00C15525">
        <w:rPr>
          <w:rFonts w:ascii="Verdana" w:hAnsi="Verdana" w:cs="Arial"/>
          <w:sz w:val="20"/>
          <w:szCs w:val="20"/>
        </w:rPr>
        <w:t xml:space="preserve">. </w:t>
      </w:r>
    </w:p>
    <w:p w14:paraId="7C57DD60" w14:textId="77777777" w:rsidR="006B1D58" w:rsidRPr="00C15525" w:rsidRDefault="006B1D58" w:rsidP="006B1D58">
      <w:pPr>
        <w:widowControl w:val="0"/>
        <w:autoSpaceDE w:val="0"/>
        <w:autoSpaceDN w:val="0"/>
        <w:spacing w:after="0" w:line="240" w:lineRule="auto"/>
        <w:jc w:val="both"/>
        <w:rPr>
          <w:rFonts w:ascii="Verdana" w:eastAsia="Arial" w:hAnsi="Verdana" w:cs="Arial"/>
          <w:lang w:val="es-ES" w:eastAsia="es-ES" w:bidi="es-ES"/>
        </w:rPr>
      </w:pPr>
    </w:p>
    <w:p w14:paraId="51D4A675" w14:textId="77777777" w:rsidR="006B1D58" w:rsidRPr="000E03E2" w:rsidRDefault="006B1D58" w:rsidP="006B1D58">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6602B6A3" w14:textId="77777777" w:rsidR="006B1D58" w:rsidRPr="006177F8" w:rsidRDefault="006B1D58" w:rsidP="006B1D58">
      <w:pPr>
        <w:spacing w:after="120" w:line="276" w:lineRule="auto"/>
        <w:ind w:firstLine="708"/>
        <w:jc w:val="both"/>
        <w:rPr>
          <w:rFonts w:ascii="Verdana" w:eastAsia="Arial" w:hAnsi="Verdana" w:cs="Arial"/>
          <w:lang w:val="es-ES" w:eastAsia="es-ES" w:bidi="es-ES"/>
        </w:rPr>
      </w:pPr>
      <w:r>
        <w:rPr>
          <w:rFonts w:ascii="Verdana" w:hAnsi="Verdana" w:cs="Arial"/>
          <w:lang w:val="es-ES_tradnl"/>
        </w:rPr>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w:t>
      </w:r>
      <w:r>
        <w:rPr>
          <w:rFonts w:ascii="Verdana" w:eastAsia="Arial" w:hAnsi="Verdana" w:cs="Arial"/>
          <w:lang w:val="es-ES" w:eastAsia="es-ES" w:bidi="es-ES"/>
        </w:rPr>
        <w:lastRenderedPageBreak/>
        <w:t xml:space="preserve">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112566C8" w14:textId="77777777" w:rsidR="006B1D58" w:rsidRPr="006177F8" w:rsidRDefault="006B1D58" w:rsidP="006B1D58">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 xml:space="preserve">se ha pronunciado en el sentido de que </w:t>
      </w:r>
      <w:bookmarkStart w:id="7" w:name="_Hlk78820889"/>
      <w:r w:rsidRPr="006177F8">
        <w:rPr>
          <w:rFonts w:ascii="Verdana" w:eastAsia="Arial" w:hAnsi="Verdana" w:cs="Arial"/>
          <w:lang w:val="es-ES" w:eastAsia="es-ES" w:bidi="es-ES"/>
        </w:rPr>
        <w:t>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7"/>
      <w:r w:rsidRPr="006177F8">
        <w:rPr>
          <w:rFonts w:ascii="Verdana" w:eastAsia="Arial" w:hAnsi="Verdana" w:cs="Arial"/>
          <w:vertAlign w:val="superscript"/>
          <w:lang w:val="es-ES" w:eastAsia="es-ES" w:bidi="es-ES"/>
        </w:rPr>
        <w:footnoteReference w:id="26"/>
      </w:r>
      <w:r w:rsidRPr="006177F8">
        <w:rPr>
          <w:rFonts w:ascii="Verdana" w:eastAsia="Arial" w:hAnsi="Verdana" w:cs="Arial"/>
          <w:lang w:val="es-ES" w:eastAsia="es-ES" w:bidi="es-ES"/>
        </w:rPr>
        <w:t>. Al respecto, dicho Concepto expresa:</w:t>
      </w:r>
    </w:p>
    <w:p w14:paraId="62E4B8C8" w14:textId="77777777" w:rsidR="006B1D58" w:rsidRPr="006177F8" w:rsidRDefault="006B1D58" w:rsidP="006B1D58">
      <w:pPr>
        <w:spacing w:after="0" w:line="276" w:lineRule="auto"/>
        <w:ind w:firstLine="709"/>
        <w:jc w:val="both"/>
        <w:rPr>
          <w:rFonts w:ascii="Verdana" w:eastAsia="Arial" w:hAnsi="Verdana" w:cs="Arial"/>
          <w:lang w:val="es-ES" w:eastAsia="es-ES" w:bidi="es-ES"/>
        </w:rPr>
      </w:pPr>
    </w:p>
    <w:p w14:paraId="7B91BE59"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2140598A"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p>
    <w:p w14:paraId="3CB7CAB1"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71E7ADAF"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p>
    <w:p w14:paraId="5FFEF40E"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Los actos de ejecución que la administración deba expedir o realizar para dar cabal cumplimiento a lo ordenado en las providencias judiciales, se 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3"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r>
        <w:rPr>
          <w:rFonts w:ascii="Verdana" w:eastAsia="Arial" w:hAnsi="Verdana" w:cs="Arial"/>
          <w:sz w:val="20"/>
          <w:lang w:eastAsia="es-ES" w:bidi="es-ES"/>
        </w:rPr>
        <w:t xml:space="preserve">. </w:t>
      </w:r>
    </w:p>
    <w:p w14:paraId="52E5A310"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p>
    <w:p w14:paraId="4EAD7ED1" w14:textId="77777777" w:rsidR="006B1D58" w:rsidRPr="006177F8" w:rsidRDefault="006B1D58" w:rsidP="006B1D58">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4"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5"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6"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70E7083E" w14:textId="77777777" w:rsidR="006B1D58" w:rsidRPr="006177F8" w:rsidRDefault="006B1D58" w:rsidP="006B1D58">
      <w:pPr>
        <w:spacing w:after="0" w:line="240" w:lineRule="auto"/>
        <w:ind w:firstLine="709"/>
        <w:jc w:val="both"/>
        <w:rPr>
          <w:rFonts w:ascii="Verdana" w:eastAsia="Arial" w:hAnsi="Verdana" w:cs="Arial"/>
          <w:lang w:eastAsia="es-ES" w:bidi="es-ES"/>
        </w:rPr>
      </w:pPr>
    </w:p>
    <w:p w14:paraId="6A341713" w14:textId="77777777" w:rsidR="006B1D58" w:rsidRDefault="006B1D58" w:rsidP="006B1D58">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6B662B1C" w14:textId="77777777" w:rsidR="006B1D58" w:rsidRPr="00380CA4" w:rsidRDefault="006B1D58" w:rsidP="006B1D58">
      <w:pPr>
        <w:spacing w:after="120" w:line="276" w:lineRule="auto"/>
        <w:ind w:firstLine="709"/>
        <w:jc w:val="both"/>
        <w:rPr>
          <w:rFonts w:ascii="Verdana" w:eastAsia="Times New Roman" w:hAnsi="Verdana" w:cs="Arial"/>
          <w:bCs/>
          <w:lang w:eastAsia="x-none"/>
        </w:rPr>
      </w:pPr>
      <w:r w:rsidRPr="00380CA4">
        <w:rPr>
          <w:rFonts w:ascii="Verdana" w:eastAsia="Times New Roman" w:hAnsi="Verdana" w:cs="Arial"/>
          <w:lang w:eastAsia="es-CO"/>
        </w:rPr>
        <w:t>Sin perjuicio de estos pronunciamientos de la Sala de Consulta y Servicio Civil</w:t>
      </w:r>
      <w:r w:rsidRPr="00380CA4">
        <w:rPr>
          <w:rFonts w:ascii="Verdana" w:eastAsia="Calibri" w:hAnsi="Verdana" w:cs="Arial"/>
        </w:rPr>
        <w:t xml:space="preserve">, como la ha señalado esa misma Corporación, la restricción prevista en la Ley 996 de 2005 </w:t>
      </w:r>
      <w:r w:rsidRPr="00380CA4">
        <w:rPr>
          <w:rFonts w:ascii="Verdana" w:eastAsia="Times New Roman" w:hAnsi="Verdana" w:cs="Arial"/>
          <w:bCs/>
          <w:lang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 o por la ejecución de un cierto tipo de recursos en sus contrataciones, pues, la posibilidad de que los entes del Estado usen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990D100" w14:textId="77777777" w:rsidR="006B1D58" w:rsidRPr="00380CA4" w:rsidRDefault="006B1D58" w:rsidP="006B1D58">
      <w:pPr>
        <w:spacing w:after="0" w:line="276" w:lineRule="auto"/>
        <w:ind w:firstLine="709"/>
        <w:jc w:val="both"/>
        <w:rPr>
          <w:rFonts w:ascii="Verdana" w:eastAsia="Times New Roman" w:hAnsi="Verdana" w:cs="Arial"/>
          <w:bCs/>
          <w:lang w:eastAsia="x-none"/>
        </w:rPr>
      </w:pPr>
      <w:r w:rsidRPr="00380CA4">
        <w:rPr>
          <w:rFonts w:ascii="Verdana" w:eastAsia="Times New Roman" w:hAnsi="Verdana" w:cs="Arial"/>
          <w:bCs/>
          <w:lang w:eastAsia="x-none"/>
        </w:rPr>
        <w:t>Finalmente, se reitera, c</w:t>
      </w:r>
      <w:r w:rsidRPr="00380CA4">
        <w:rPr>
          <w:rFonts w:ascii="Verdana" w:eastAsia="Times New Roman" w:hAnsi="Verdana" w:cs="Arial"/>
          <w:bCs/>
          <w:lang w:eastAsia="es-CO"/>
        </w:rPr>
        <w:t xml:space="preserve">omo en otras oportunidades lo ha manifestado esta Agencia, que las prórrogas, modificaciones o adiciones de los contratos suscritos antes de la </w:t>
      </w:r>
      <w:proofErr w:type="gramStart"/>
      <w:r w:rsidRPr="00380CA4">
        <w:rPr>
          <w:rFonts w:ascii="Verdana" w:eastAsia="Times New Roman" w:hAnsi="Verdana" w:cs="Arial"/>
          <w:bCs/>
          <w:lang w:eastAsia="es-CO"/>
        </w:rPr>
        <w:t>entrada en vigencia</w:t>
      </w:r>
      <w:proofErr w:type="gramEnd"/>
      <w:r w:rsidRPr="00380CA4">
        <w:rPr>
          <w:rFonts w:ascii="Verdana" w:eastAsia="Times New Roman" w:hAnsi="Verdana" w:cs="Arial"/>
          <w:bCs/>
          <w:lang w:eastAsia="es-CO"/>
        </w:rPr>
        <w:t xml:space="preserve"> de las prohibiciones anotadas, así como </w:t>
      </w:r>
      <w:r w:rsidRPr="00380CA4">
        <w:rPr>
          <w:rFonts w:ascii="Verdana" w:eastAsia="Times New Roman" w:hAnsi="Verdana" w:cs="Arial"/>
          <w:bCs/>
          <w:lang w:eastAsia="es-CO"/>
        </w:rPr>
        <w:lastRenderedPageBreak/>
        <w:t xml:space="preserve">la cesión de </w:t>
      </w:r>
      <w:proofErr w:type="gramStart"/>
      <w:r w:rsidRPr="00380CA4">
        <w:rPr>
          <w:rFonts w:ascii="Verdana" w:eastAsia="Times New Roman" w:hAnsi="Verdana" w:cs="Arial"/>
          <w:bCs/>
          <w:lang w:eastAsia="es-CO"/>
        </w:rPr>
        <w:t>los mismos</w:t>
      </w:r>
      <w:proofErr w:type="gramEnd"/>
      <w:r w:rsidRPr="00380CA4">
        <w:rPr>
          <w:rFonts w:ascii="Verdana" w:eastAsia="Times New Roman" w:hAnsi="Verdana" w:cs="Arial"/>
          <w:bCs/>
          <w:lang w:eastAsia="es-CO"/>
        </w:rPr>
        <w:t>, pueden tener lugar en el período de aplicación de la Ley de Garantías, sin que ello haga nugatoria la restricción de la contratación directa y siempre que cumplan los principios de planeación, transparencia y responsabilidad</w:t>
      </w:r>
      <w:r w:rsidRPr="00380CA4">
        <w:rPr>
          <w:rFonts w:ascii="Verdana" w:eastAsia="Times New Roman" w:hAnsi="Verdana" w:cs="Arial"/>
          <w:bCs/>
          <w:vertAlign w:val="superscript"/>
          <w:lang w:eastAsia="es-CO"/>
        </w:rPr>
        <w:footnoteReference w:id="27"/>
      </w:r>
      <w:r w:rsidRPr="00380CA4">
        <w:rPr>
          <w:rFonts w:ascii="Verdana" w:eastAsia="Times New Roman" w:hAnsi="Verdana" w:cs="Arial"/>
          <w:bCs/>
          <w:lang w:eastAsia="es-CO"/>
        </w:rPr>
        <w:t>. Además, también es posible que contratos celebrados previamente se continúen ejecutando con normalidad.</w:t>
      </w:r>
    </w:p>
    <w:p w14:paraId="53AEC258" w14:textId="77777777" w:rsidR="006B1D58" w:rsidRDefault="006B1D58" w:rsidP="006B1D58">
      <w:pPr>
        <w:pStyle w:val="paragraph"/>
        <w:shd w:val="clear" w:color="auto" w:fill="FFFFFF"/>
        <w:spacing w:before="0" w:beforeAutospacing="0" w:after="0" w:afterAutospacing="0"/>
        <w:jc w:val="both"/>
        <w:textAlignment w:val="baseline"/>
        <w:rPr>
          <w:rFonts w:ascii="Verdana" w:eastAsia="Calibri" w:hAnsi="Verdana" w:cs="Arial"/>
          <w:bCs/>
          <w:color w:val="000000" w:themeColor="text1"/>
          <w:sz w:val="22"/>
          <w:szCs w:val="22"/>
        </w:rPr>
      </w:pPr>
    </w:p>
    <w:p w14:paraId="72627F89" w14:textId="77777777" w:rsidR="006B1D58" w:rsidRPr="00816C87" w:rsidRDefault="006B1D58" w:rsidP="006B1D58">
      <w:pPr>
        <w:spacing w:line="276" w:lineRule="auto"/>
        <w:jc w:val="both"/>
        <w:rPr>
          <w:rFonts w:ascii="Verdana" w:eastAsia="Calibri" w:hAnsi="Verdana" w:cs="Arial"/>
          <w:lang w:val="es-ES_tradnl"/>
        </w:rPr>
      </w:pPr>
      <w:proofErr w:type="spellStart"/>
      <w:r w:rsidRPr="00816C87">
        <w:rPr>
          <w:rFonts w:ascii="Verdana" w:eastAsia="Calibri" w:hAnsi="Verdana" w:cs="Arial"/>
        </w:rPr>
        <w:t>iv</w:t>
      </w:r>
      <w:proofErr w:type="spellEnd"/>
      <w:r w:rsidRPr="00816C87">
        <w:rPr>
          <w:rFonts w:ascii="Verdana" w:eastAsia="Calibri" w:hAnsi="Verdana" w:cs="Arial"/>
        </w:rPr>
        <w:t xml:space="preserve">. </w:t>
      </w:r>
      <w:r w:rsidRPr="00816C87">
        <w:rPr>
          <w:rFonts w:ascii="Verdana" w:eastAsia="Calibri" w:hAnsi="Verdana" w:cs="Arial"/>
          <w:lang w:val="es-ES_tradnl"/>
        </w:rPr>
        <w:t xml:space="preserve">La transacción es un mecanismo alternativo de resolución de conflictos de carácter </w:t>
      </w:r>
      <w:r w:rsidRPr="00816C87">
        <w:rPr>
          <w:rFonts w:ascii="Verdana" w:eastAsia="Calibri" w:hAnsi="Verdana" w:cs="Arial"/>
          <w:i/>
          <w:iCs/>
          <w:lang w:val="es-ES_tradnl"/>
        </w:rPr>
        <w:t>autocompositivo</w:t>
      </w:r>
      <w:r w:rsidRPr="00816C87">
        <w:rPr>
          <w:rFonts w:ascii="Verdana" w:eastAsia="Calibri" w:hAnsi="Verdana" w:cs="Arial"/>
          <w:lang w:val="es-ES_tradnl"/>
        </w:rPr>
        <w:t xml:space="preserve">, por el cual las partes involucradas en una controversia acuerdan directamente la forma de resolverla. Es decir, solucionan el conflicto por voluntad propia –efectuando concesiones recíprocas– y no por la imposición de un tercero. De ahí que la transacción revista los rasgos de un </w:t>
      </w:r>
      <w:r w:rsidRPr="00816C87">
        <w:rPr>
          <w:rFonts w:ascii="Verdana" w:eastAsia="Calibri" w:hAnsi="Verdana" w:cs="Arial"/>
          <w:i/>
          <w:iCs/>
          <w:lang w:val="es-ES_tradnl"/>
        </w:rPr>
        <w:t>negocio jurídico</w:t>
      </w:r>
      <w:r w:rsidRPr="00816C87">
        <w:rPr>
          <w:rFonts w:ascii="Verdana" w:eastAsia="Calibri" w:hAnsi="Verdana" w:cs="Arial"/>
          <w:lang w:val="es-ES_tradnl"/>
        </w:rPr>
        <w:t xml:space="preserve"> o </w:t>
      </w:r>
      <w:r w:rsidRPr="00816C87">
        <w:rPr>
          <w:rFonts w:ascii="Verdana" w:eastAsia="Calibri" w:hAnsi="Verdana" w:cs="Arial"/>
          <w:i/>
          <w:iCs/>
          <w:lang w:val="es-ES_tradnl"/>
        </w:rPr>
        <w:t>contrato</w:t>
      </w:r>
      <w:r w:rsidRPr="00816C87">
        <w:rPr>
          <w:rFonts w:ascii="Verdana" w:eastAsia="Calibri" w:hAnsi="Verdana" w:cs="Arial"/>
          <w:lang w:val="es-ES_tradnl"/>
        </w:rPr>
        <w:t>, pues es un acuerdo de voluntades para crear, modificar o extinguir derechos y obligaciones</w:t>
      </w:r>
      <w:r w:rsidRPr="00816C87">
        <w:rPr>
          <w:rFonts w:ascii="Verdana" w:eastAsia="Calibri" w:hAnsi="Verdana" w:cs="Arial"/>
          <w:vertAlign w:val="superscript"/>
          <w:lang w:val="es-ES_tradnl"/>
        </w:rPr>
        <w:footnoteReference w:id="28"/>
      </w:r>
      <w:r w:rsidRPr="00816C87">
        <w:rPr>
          <w:rFonts w:ascii="Verdana" w:eastAsia="Calibri" w:hAnsi="Verdana" w:cs="Arial"/>
          <w:lang w:val="es-ES_tradnl"/>
        </w:rPr>
        <w:t xml:space="preserve">. Esto diferencia a la transacción de los mecanismos </w:t>
      </w:r>
      <w:proofErr w:type="spellStart"/>
      <w:r w:rsidRPr="00816C87">
        <w:rPr>
          <w:rFonts w:ascii="Verdana" w:eastAsia="Calibri" w:hAnsi="Verdana" w:cs="Arial"/>
          <w:i/>
          <w:iCs/>
          <w:lang w:val="es-ES_tradnl"/>
        </w:rPr>
        <w:t>heterocompositivos</w:t>
      </w:r>
      <w:proofErr w:type="spellEnd"/>
      <w:r w:rsidRPr="00816C87">
        <w:rPr>
          <w:rFonts w:ascii="Verdana" w:eastAsia="Calibri" w:hAnsi="Verdana" w:cs="Arial"/>
          <w:lang w:val="es-ES_tradnl"/>
        </w:rPr>
        <w:t>, en los que un sujeto distinto a las partes decide con autoridad de cosa juzgada a cuál de ellas le asiste la razón.</w:t>
      </w:r>
    </w:p>
    <w:p w14:paraId="47C3953E" w14:textId="77777777" w:rsidR="006B1D58" w:rsidRPr="00816C87" w:rsidRDefault="006B1D58" w:rsidP="006B1D58">
      <w:pPr>
        <w:spacing w:before="120" w:after="0" w:line="276" w:lineRule="auto"/>
        <w:ind w:firstLine="709"/>
        <w:jc w:val="both"/>
        <w:rPr>
          <w:rFonts w:ascii="Verdana" w:eastAsia="Calibri" w:hAnsi="Verdana" w:cs="Arial"/>
          <w:lang w:val="es-ES"/>
        </w:rPr>
      </w:pPr>
      <w:r w:rsidRPr="3E1CBD6A">
        <w:rPr>
          <w:rFonts w:ascii="Verdana" w:eastAsia="Calibri" w:hAnsi="Verdana" w:cs="Arial"/>
          <w:lang w:val="es-ES"/>
        </w:rPr>
        <w:t xml:space="preserve">El artículo 2469 del Código Civil define la transacción como “[…] un contrato en que las partes terminan extrajudicialmente un litigio pendiente o precaven un litigio eventual”. Adicionalmente, los artículos 2470 a 2487 establecen los requisitos del contrato de transacción, entre los que se destacan los siguientes: i) solo procede sobre derechos inciertos y discutibles; </w:t>
      </w:r>
      <w:proofErr w:type="spellStart"/>
      <w:r w:rsidRPr="3E1CBD6A">
        <w:rPr>
          <w:rFonts w:ascii="Verdana" w:eastAsia="Calibri" w:hAnsi="Verdana" w:cs="Arial"/>
          <w:lang w:val="es-ES"/>
        </w:rPr>
        <w:t>ii</w:t>
      </w:r>
      <w:proofErr w:type="spellEnd"/>
      <w:r w:rsidRPr="3E1CBD6A">
        <w:rPr>
          <w:rFonts w:ascii="Verdana" w:eastAsia="Calibri" w:hAnsi="Verdana" w:cs="Arial"/>
          <w:lang w:val="es-ES"/>
        </w:rPr>
        <w:t xml:space="preserve">) las partes deben tener capacidad para disponer del objeto del negocio jurídico, lo que no obsta para que se otorgue poder mediante la celebración de un contrato de mandato; </w:t>
      </w:r>
      <w:proofErr w:type="spellStart"/>
      <w:r w:rsidRPr="3E1CBD6A">
        <w:rPr>
          <w:rFonts w:ascii="Verdana" w:eastAsia="Calibri" w:hAnsi="Verdana" w:cs="Arial"/>
          <w:lang w:val="es-ES"/>
        </w:rPr>
        <w:t>iii</w:t>
      </w:r>
      <w:proofErr w:type="spellEnd"/>
      <w:r w:rsidRPr="3E1CBD6A">
        <w:rPr>
          <w:rFonts w:ascii="Verdana" w:eastAsia="Calibri" w:hAnsi="Verdana" w:cs="Arial"/>
          <w:lang w:val="es-ES"/>
        </w:rPr>
        <w:t xml:space="preserve">) no puede versar sobre materias prohibidas, como el estado civil de las personas, derechos ajenos o que no existen y </w:t>
      </w:r>
      <w:proofErr w:type="spellStart"/>
      <w:r w:rsidRPr="3E1CBD6A">
        <w:rPr>
          <w:rFonts w:ascii="Verdana" w:eastAsia="Calibri" w:hAnsi="Verdana" w:cs="Arial"/>
          <w:lang w:val="es-ES"/>
        </w:rPr>
        <w:t>iv</w:t>
      </w:r>
      <w:proofErr w:type="spellEnd"/>
      <w:r w:rsidRPr="3E1CBD6A">
        <w:rPr>
          <w:rFonts w:ascii="Verdana" w:eastAsia="Calibri" w:hAnsi="Verdana" w:cs="Arial"/>
          <w:lang w:val="es-ES"/>
        </w:rPr>
        <w:t>) únicamente surte efecto entre las partes. Además, el numeral 3 del artículo 1625 del mismo Código prevé la transacción como uno de los modos de extinción de las obligaciones</w:t>
      </w:r>
      <w:r w:rsidRPr="3E1CBD6A">
        <w:rPr>
          <w:rFonts w:ascii="Verdana" w:eastAsia="Calibri" w:hAnsi="Verdana" w:cs="Arial"/>
          <w:vertAlign w:val="superscript"/>
          <w:lang w:val="es-ES"/>
        </w:rPr>
        <w:footnoteReference w:id="29"/>
      </w:r>
      <w:r w:rsidRPr="3E1CBD6A">
        <w:rPr>
          <w:rFonts w:ascii="Verdana" w:eastAsia="Calibri" w:hAnsi="Verdana" w:cs="Arial"/>
          <w:lang w:val="es-ES"/>
        </w:rPr>
        <w:t>.</w:t>
      </w:r>
    </w:p>
    <w:p w14:paraId="354149B6" w14:textId="77777777" w:rsidR="006B1D58" w:rsidRPr="00816C87" w:rsidRDefault="006B1D58" w:rsidP="006B1D58">
      <w:pPr>
        <w:spacing w:before="120" w:after="0" w:line="276" w:lineRule="auto"/>
        <w:ind w:firstLine="709"/>
        <w:jc w:val="both"/>
        <w:rPr>
          <w:rFonts w:ascii="Verdana" w:eastAsia="Calibri" w:hAnsi="Verdana" w:cs="Arial"/>
          <w:lang w:val="es-ES"/>
        </w:rPr>
      </w:pPr>
      <w:r w:rsidRPr="3E1CBD6A">
        <w:rPr>
          <w:rFonts w:ascii="Verdana" w:eastAsia="Calibri" w:hAnsi="Verdana" w:cs="Arial"/>
          <w:lang w:val="es-ES"/>
        </w:rPr>
        <w:lastRenderedPageBreak/>
        <w:t xml:space="preserve">Como mecanismo alternativo de resolución de conflictos, la transacción puede ser </w:t>
      </w:r>
      <w:r w:rsidRPr="3E1CBD6A">
        <w:rPr>
          <w:rFonts w:ascii="Verdana" w:eastAsia="Calibri" w:hAnsi="Verdana" w:cs="Arial"/>
          <w:i/>
          <w:iCs/>
          <w:lang w:val="es-ES"/>
        </w:rPr>
        <w:t>judicial</w:t>
      </w:r>
      <w:r w:rsidRPr="3E1CBD6A">
        <w:rPr>
          <w:rFonts w:ascii="Verdana" w:eastAsia="Calibri" w:hAnsi="Verdana" w:cs="Arial"/>
          <w:lang w:val="es-ES"/>
        </w:rPr>
        <w:t xml:space="preserve"> o </w:t>
      </w:r>
      <w:r w:rsidRPr="3E1CBD6A">
        <w:rPr>
          <w:rFonts w:ascii="Verdana" w:eastAsia="Calibri" w:hAnsi="Verdana" w:cs="Arial"/>
          <w:i/>
          <w:iCs/>
          <w:lang w:val="es-ES"/>
        </w:rPr>
        <w:t>extrajudicial</w:t>
      </w:r>
      <w:r w:rsidRPr="3E1CBD6A">
        <w:rPr>
          <w:rFonts w:ascii="Verdana" w:eastAsia="Calibri" w:hAnsi="Verdana" w:cs="Arial"/>
          <w:lang w:val="es-ES"/>
        </w:rPr>
        <w:t xml:space="preserve">, dependiendo de si se da o no para terminar un proceso judicial vigente. El artículo 2469 del Código Civil es el fundamento jurídico de la transacción extrajudicial, pues indica que mediante este contrato las partes “[…] terminan extrajudicialmente un litigio pendiente </w:t>
      </w:r>
      <w:r w:rsidRPr="3E1CBD6A">
        <w:rPr>
          <w:rFonts w:ascii="Verdana" w:eastAsia="Calibri" w:hAnsi="Verdana" w:cs="Arial"/>
          <w:i/>
          <w:iCs/>
          <w:lang w:val="es-ES"/>
        </w:rPr>
        <w:t>o precaven un litigio eventual</w:t>
      </w:r>
      <w:r w:rsidRPr="3E1CBD6A">
        <w:rPr>
          <w:rFonts w:ascii="Verdana" w:eastAsia="Calibri" w:hAnsi="Verdana" w:cs="Arial"/>
          <w:lang w:val="es-ES"/>
        </w:rPr>
        <w:t>” (cursiva fuera de texto). A su vez, los códigos procesales han reconocido la transacción judicial como forma de terminación anticipada de los litigios. Por ejemplo, el artículo 176 del Código de Procedimiento Administrativo y de lo Contencioso Administrativo –Ley 1437 de 2011– establece que el proceso judicial puede terminar por transacción</w:t>
      </w:r>
      <w:r w:rsidRPr="3E1CBD6A">
        <w:rPr>
          <w:rFonts w:ascii="Verdana" w:eastAsia="Calibri" w:hAnsi="Verdana" w:cs="Arial"/>
          <w:vertAlign w:val="superscript"/>
          <w:lang w:val="es-ES"/>
        </w:rPr>
        <w:footnoteReference w:id="30"/>
      </w:r>
      <w:r w:rsidRPr="3E1CBD6A">
        <w:rPr>
          <w:rFonts w:ascii="Verdana" w:eastAsia="Calibri" w:hAnsi="Verdana" w:cs="Arial"/>
          <w:lang w:val="es-ES"/>
        </w:rPr>
        <w:t>. De la misma manera, el artículo 103 del Estatuto de Arbitraje Nacional e Internacional –Ley 1563 de 2012– permite la terminación del proceso arbitral por transacción entre las partes</w:t>
      </w:r>
      <w:r w:rsidRPr="3E1CBD6A">
        <w:rPr>
          <w:rFonts w:ascii="Verdana" w:eastAsia="Calibri" w:hAnsi="Verdana" w:cs="Arial"/>
          <w:vertAlign w:val="superscript"/>
          <w:lang w:val="es-ES"/>
        </w:rPr>
        <w:footnoteReference w:id="31"/>
      </w:r>
      <w:r w:rsidRPr="3E1CBD6A">
        <w:rPr>
          <w:rFonts w:ascii="Verdana" w:eastAsia="Calibri" w:hAnsi="Verdana" w:cs="Arial"/>
          <w:lang w:val="es-ES"/>
        </w:rPr>
        <w:t>. El artículo 313 del Código General del Proceso –Ley 1564 de 2012–, por su parte, dispone que “Los representantes de la nación, departamentos y municipios no podrán transigir sin autorización del Gobierno Nacional, del gobernador o alcalde, según fuere el caso”; pero esta última norma –valga resaltar– solo aplica en los procesos jurisdiccionales conforme lo determina el objeto del mismo Código General del Proceso.</w:t>
      </w:r>
    </w:p>
    <w:p w14:paraId="24B58AF5" w14:textId="77777777" w:rsidR="006B1D58" w:rsidRPr="00816C87" w:rsidRDefault="006B1D58" w:rsidP="006B1D58">
      <w:pPr>
        <w:spacing w:before="120" w:after="0" w:line="276" w:lineRule="auto"/>
        <w:ind w:firstLine="709"/>
        <w:jc w:val="both"/>
        <w:rPr>
          <w:rFonts w:ascii="Verdana" w:eastAsia="Calibri" w:hAnsi="Verdana" w:cs="Arial"/>
          <w:lang w:val="es-ES_tradnl"/>
        </w:rPr>
      </w:pPr>
      <w:r w:rsidRPr="00816C87">
        <w:rPr>
          <w:rFonts w:ascii="Verdana" w:eastAsia="Calibri" w:hAnsi="Verdana" w:cs="Arial"/>
          <w:lang w:val="es-ES_tradnl"/>
        </w:rPr>
        <w:lastRenderedPageBreak/>
        <w:t>En el ámbito de la contratación estatal, la jurisprudencia del Consejo de Estado</w:t>
      </w:r>
      <w:r w:rsidRPr="00816C87">
        <w:rPr>
          <w:rFonts w:ascii="Verdana" w:eastAsia="Calibri" w:hAnsi="Verdana" w:cs="Arial"/>
          <w:vertAlign w:val="superscript"/>
          <w:lang w:val="es-ES_tradnl"/>
        </w:rPr>
        <w:footnoteReference w:id="32"/>
      </w:r>
      <w:r w:rsidRPr="00816C87">
        <w:rPr>
          <w:rFonts w:ascii="Verdana" w:eastAsia="Calibri" w:hAnsi="Verdana" w:cs="Arial"/>
          <w:lang w:val="es-ES_tradnl"/>
        </w:rPr>
        <w:t xml:space="preserve"> y la doctrina</w:t>
      </w:r>
      <w:r w:rsidRPr="00816C87">
        <w:rPr>
          <w:rFonts w:ascii="Verdana" w:eastAsia="Calibri" w:hAnsi="Verdana" w:cs="Arial"/>
          <w:vertAlign w:val="superscript"/>
          <w:lang w:val="es-ES_tradnl"/>
        </w:rPr>
        <w:footnoteReference w:id="33"/>
      </w:r>
      <w:r w:rsidRPr="00816C87">
        <w:rPr>
          <w:rFonts w:ascii="Verdana" w:eastAsia="Calibri" w:hAnsi="Verdana" w:cs="Arial"/>
          <w:lang w:val="es-ES_tradnl"/>
        </w:rPr>
        <w:t xml:space="preserve"> han reconocido la procedencia de la transacción extrajudicial, como mecanismo apropiado para precaver litigios eventuales o para resolver controversias entre las entidades estatales y sus contratistas. La Subdirección de Gestión Contractual está de acuerdo con dicha postura, pues tanto en las normas civiles como en el Estatuto General de Contratación de la Administración Pública, se encuentra la habilitación legal para que las entidades públicas celebren contratos de transacción. Más aún, los órganos del Estado que se rigen por la Ley 80 de 1993 y sus normas complementarias, no solo tienen la facultad de transigir, sino que además están obligados a resolver oportunamente las controversias contractuales, para evitar que los conflictos escalen y se generen consecuencias jurídicas y pecuniarias más gravosas para el erario. </w:t>
      </w:r>
    </w:p>
    <w:p w14:paraId="63A0A98D" w14:textId="77777777" w:rsidR="006B1D58" w:rsidRPr="00816C87" w:rsidRDefault="006B1D58" w:rsidP="006B1D58">
      <w:pPr>
        <w:spacing w:before="120" w:after="0" w:line="276" w:lineRule="auto"/>
        <w:ind w:firstLine="709"/>
        <w:jc w:val="both"/>
        <w:rPr>
          <w:rFonts w:ascii="Verdana" w:eastAsia="Calibri" w:hAnsi="Verdana" w:cs="Arial"/>
          <w:lang w:val="es-MX"/>
        </w:rPr>
      </w:pPr>
      <w:r w:rsidRPr="00816C87">
        <w:rPr>
          <w:rFonts w:ascii="Verdana" w:eastAsia="Calibri" w:hAnsi="Verdana" w:cs="Arial"/>
          <w:lang w:val="es-ES_tradnl"/>
        </w:rPr>
        <w:t xml:space="preserve">Para ilustrar mejor lo anterior, conviene señalar que la transacción se encuentra consagrada en varias disposiciones de la Ley 80 de 1993, como mecanismo alternativo de resolución de conflictos al que pueden acudir las entidades estatales y los contratistas para poner fin a sus diferencias o precaver litigios eventuales. Como muestra de ello, el numeral 9 del artículo 4 </w:t>
      </w:r>
      <w:r w:rsidRPr="00816C87">
        <w:rPr>
          <w:rFonts w:ascii="Verdana" w:eastAsia="Calibri" w:hAnsi="Verdana" w:cs="Arial"/>
          <w:i/>
          <w:iCs/>
          <w:lang w:val="es-ES_tradnl"/>
        </w:rPr>
        <w:t>ibidem</w:t>
      </w:r>
      <w:r w:rsidRPr="00816C87">
        <w:rPr>
          <w:rFonts w:ascii="Verdana" w:eastAsia="Calibri" w:hAnsi="Verdana" w:cs="Arial"/>
          <w:lang w:val="es-ES_tradnl"/>
        </w:rPr>
        <w:t xml:space="preserve"> estable</w:t>
      </w:r>
      <w:r>
        <w:rPr>
          <w:rFonts w:ascii="Verdana" w:eastAsia="Calibri" w:hAnsi="Verdana" w:cs="Arial"/>
          <w:lang w:val="es-ES_tradnl"/>
        </w:rPr>
        <w:t>ce que las entidades estatales “</w:t>
      </w:r>
      <w:r w:rsidRPr="00816C87">
        <w:rPr>
          <w:rFonts w:ascii="Verdana" w:eastAsia="Calibri" w:hAnsi="Verdana" w:cs="Arial"/>
          <w:lang w:val="es-ES_tradnl"/>
        </w:rPr>
        <w:t>Actuarán de tal modo que por causas a ellas imputables, no sobrevenga una mayor onerosidad en el cumplimiento de las oblig</w:t>
      </w:r>
      <w:r>
        <w:rPr>
          <w:rFonts w:ascii="Verdana" w:eastAsia="Calibri" w:hAnsi="Verdana" w:cs="Arial"/>
          <w:lang w:val="es-ES_tradnl"/>
        </w:rPr>
        <w:t>aciones a cargo del contratista” y que “</w:t>
      </w:r>
      <w:r w:rsidRPr="00816C87">
        <w:rPr>
          <w:rFonts w:ascii="Verdana" w:eastAsia="Calibri" w:hAnsi="Verdana" w:cs="Arial"/>
          <w:lang w:val="es-ES_tradnl"/>
        </w:rPr>
        <w:t>Con este fin, en el menor tiempo posible, corregirán los desajustes que pudieren presentarse y acordarán los mecanismos y procedimientos pertinentes para precaver o solucionar rápida y eficazmente las diferencias o situaciones litigi</w:t>
      </w:r>
      <w:r>
        <w:rPr>
          <w:rFonts w:ascii="Verdana" w:eastAsia="Calibri" w:hAnsi="Verdana" w:cs="Arial"/>
          <w:lang w:val="es-ES_tradnl"/>
        </w:rPr>
        <w:t>osas que llegaren a presentarse”</w:t>
      </w:r>
      <w:r w:rsidRPr="00816C87">
        <w:rPr>
          <w:rFonts w:ascii="Verdana" w:eastAsia="Calibri" w:hAnsi="Verdana" w:cs="Arial"/>
          <w:lang w:val="es-ES_tradnl"/>
        </w:rPr>
        <w:t>. En otras palabras, es deber de las entidades estatales buscar la solución oportuna de las controversias, para evitar que estas cada vez se tornen más complejas. Con ello se logran reducir los litigios y, por lo tanto, la congestión judicial. Además, la resolución rápida de una situación controversial impide que se incrementen los perjuicios de la parte afectada y que el Estado tenga que soportar condenas cuantiosas en el escenario jurisdiccional.</w:t>
      </w:r>
    </w:p>
    <w:p w14:paraId="25956A2E" w14:textId="77777777" w:rsidR="006B1D58" w:rsidRPr="00816C87" w:rsidRDefault="006B1D58" w:rsidP="006B1D58">
      <w:pPr>
        <w:spacing w:before="120" w:after="0" w:line="276" w:lineRule="auto"/>
        <w:ind w:firstLine="709"/>
        <w:jc w:val="both"/>
        <w:rPr>
          <w:rFonts w:ascii="Verdana" w:eastAsia="Calibri" w:hAnsi="Verdana" w:cs="Arial"/>
          <w:lang w:val="es-ES_tradnl"/>
        </w:rPr>
      </w:pPr>
      <w:r w:rsidRPr="00816C87">
        <w:rPr>
          <w:rFonts w:ascii="Verdana" w:eastAsia="Calibri" w:hAnsi="Verdana" w:cs="Arial"/>
          <w:lang w:val="es-ES_tradnl"/>
        </w:rPr>
        <w:lastRenderedPageBreak/>
        <w:t>Por otra parte, el artículo 60 de la Ley 80 de 1993 reconoce la procedencia de la transacción en la etapa de liquidación d</w:t>
      </w:r>
      <w:r>
        <w:rPr>
          <w:rFonts w:ascii="Verdana" w:eastAsia="Calibri" w:hAnsi="Verdana" w:cs="Arial"/>
          <w:lang w:val="es-ES_tradnl"/>
        </w:rPr>
        <w:t>el contrato, estableciendo que “</w:t>
      </w:r>
      <w:r w:rsidRPr="00816C87">
        <w:rPr>
          <w:rFonts w:ascii="Verdana" w:eastAsia="Calibri" w:hAnsi="Verdana" w:cs="Arial"/>
          <w:lang w:val="es-ES_tradnl"/>
        </w:rPr>
        <w:t>En el acta de liquidación constarán los acuerdos, conciliaciones y transacciones a que llegaren las partes para poner fin a las divergencias presentadas y</w:t>
      </w:r>
      <w:r>
        <w:rPr>
          <w:rFonts w:ascii="Verdana" w:eastAsia="Calibri" w:hAnsi="Verdana" w:cs="Arial"/>
          <w:lang w:val="es-ES_tradnl"/>
        </w:rPr>
        <w:t xml:space="preserve"> poder declararse a paz y salvo”</w:t>
      </w:r>
      <w:r w:rsidRPr="00816C87">
        <w:rPr>
          <w:rFonts w:ascii="Verdana" w:eastAsia="Calibri" w:hAnsi="Verdana" w:cs="Arial"/>
          <w:lang w:val="es-ES_tradnl"/>
        </w:rPr>
        <w:t>. Los beneficios de la transacción en el acta de liquidación bilateral han sido puestos de presente por la d</w:t>
      </w:r>
      <w:r>
        <w:rPr>
          <w:rFonts w:ascii="Verdana" w:eastAsia="Calibri" w:hAnsi="Verdana" w:cs="Arial"/>
          <w:lang w:val="es-ES_tradnl"/>
        </w:rPr>
        <w:t>octrina, afirmando que aquella “</w:t>
      </w:r>
      <w:r w:rsidRPr="00816C87">
        <w:rPr>
          <w:rFonts w:ascii="Verdana" w:eastAsia="Calibri" w:hAnsi="Verdana" w:cs="Arial"/>
          <w:lang w:val="es-ES_tradnl"/>
        </w:rPr>
        <w:t>[…] es un verdadero negocio jurídico que envuelve una transacción, es decir, con su suscripción, cada una de las partes puede tener certeza de la finalización de la relación negocial. Además, los principios de buena fe y del respeto del acto propio guían la ejecución de los contratos, por lo cual si una parte no manifestó explícitamente los motivos de su inconformidad no le es dable volver judicialmente sobre un acto en el que pareció expresar su conformidad con la forma en que quedó f</w:t>
      </w:r>
      <w:r>
        <w:rPr>
          <w:rFonts w:ascii="Verdana" w:eastAsia="Calibri" w:hAnsi="Verdana" w:cs="Arial"/>
          <w:lang w:val="es-ES_tradnl"/>
        </w:rPr>
        <w:t>iniquitada la relación negocial”</w:t>
      </w:r>
      <w:r w:rsidRPr="00816C87">
        <w:rPr>
          <w:rFonts w:ascii="Verdana" w:eastAsia="Calibri" w:hAnsi="Verdana" w:cs="Arial"/>
          <w:vertAlign w:val="superscript"/>
          <w:lang w:val="es-ES_tradnl"/>
        </w:rPr>
        <w:footnoteReference w:id="34"/>
      </w:r>
      <w:r w:rsidRPr="00816C87">
        <w:rPr>
          <w:rFonts w:ascii="Verdana" w:eastAsia="Calibri" w:hAnsi="Verdana" w:cs="Arial"/>
          <w:lang w:val="es-ES_tradnl"/>
        </w:rPr>
        <w:t xml:space="preserve">.    </w:t>
      </w:r>
    </w:p>
    <w:p w14:paraId="70172606" w14:textId="77777777" w:rsidR="006B1D58" w:rsidRPr="00816C87" w:rsidRDefault="006B1D58" w:rsidP="006B1D58">
      <w:pPr>
        <w:spacing w:before="120" w:after="0" w:line="276" w:lineRule="auto"/>
        <w:ind w:firstLine="709"/>
        <w:jc w:val="both"/>
        <w:rPr>
          <w:rFonts w:ascii="Verdana" w:eastAsia="Calibri" w:hAnsi="Verdana" w:cs="Arial"/>
          <w:lang w:val="es-ES_tradnl"/>
        </w:rPr>
      </w:pPr>
      <w:r w:rsidRPr="00816C87">
        <w:rPr>
          <w:rFonts w:ascii="Verdana" w:eastAsia="Calibri" w:hAnsi="Verdana" w:cs="Arial"/>
          <w:lang w:val="es-ES_tradnl"/>
        </w:rPr>
        <w:t xml:space="preserve"> Adicionalmente, el numeral 5 del artículo 25 de la Ley 80 de 1993 dispone que, en virtud del principi</w:t>
      </w:r>
      <w:r>
        <w:rPr>
          <w:rFonts w:ascii="Verdana" w:eastAsia="Calibri" w:hAnsi="Verdana" w:cs="Arial"/>
          <w:lang w:val="es-ES_tradnl"/>
        </w:rPr>
        <w:t>o de economía, deben adoptarse “</w:t>
      </w:r>
      <w:r w:rsidRPr="00816C87">
        <w:rPr>
          <w:rFonts w:ascii="Verdana" w:eastAsia="Calibri" w:hAnsi="Verdana" w:cs="Arial"/>
          <w:lang w:val="es-ES_tradnl"/>
        </w:rPr>
        <w:t>[…] procedimientos que garanticen la pronta solución de las diferencias y controversias que con motivo de la celebración y ejec</w:t>
      </w:r>
      <w:r>
        <w:rPr>
          <w:rFonts w:ascii="Verdana" w:eastAsia="Calibri" w:hAnsi="Verdana" w:cs="Arial"/>
          <w:lang w:val="es-ES_tradnl"/>
        </w:rPr>
        <w:t>ución del contrato se presenten”</w:t>
      </w:r>
      <w:r w:rsidRPr="00816C87">
        <w:rPr>
          <w:rFonts w:ascii="Verdana" w:eastAsia="Calibri" w:hAnsi="Verdana" w:cs="Arial"/>
          <w:lang w:val="es-ES_tradnl"/>
        </w:rPr>
        <w:t>. Por otra parte, los artículos 32 y 40 permiten a las entidades estatales celebrar todos los contratos que tengan su fuente en el ejercicio de la autonomía de la voluntad, así como en las normas civiles y comerciales. Siendo la transacción un contrato consagrado en el artículo 2469 del Código Civil, es un negocio jurídico que las entidades estatales pueden celebrar en el marco de la ejecución de otro contrato. Además, como se indicó, el artículo 1625, numeral 3, del Código Civil establece que la transacción es un modo de extinguir las obligaciones. Esta norma también resulta aplicable en la contratación estatal, en virtud de la remisión a las normas civiles que realiza el artículo 13 de la</w:t>
      </w:r>
      <w:r>
        <w:rPr>
          <w:rFonts w:ascii="Verdana" w:eastAsia="Calibri" w:hAnsi="Verdana" w:cs="Arial"/>
          <w:lang w:val="es-ES_tradnl"/>
        </w:rPr>
        <w:t xml:space="preserve"> Ley 80 de 1993, según el cual “</w:t>
      </w:r>
      <w:r w:rsidRPr="00816C87">
        <w:rPr>
          <w:rFonts w:ascii="Verdana" w:eastAsia="Calibri" w:hAnsi="Verdana" w:cs="Arial"/>
          <w:lang w:val="es-ES_tradnl"/>
        </w:rPr>
        <w:t>Los contratos que celebren las entidades a que se refiere el artículo 2o. del presente estatuto se regirán por las disposiciones comerciales y civiles pertinentes, salvo en las materias partic</w:t>
      </w:r>
      <w:r>
        <w:rPr>
          <w:rFonts w:ascii="Verdana" w:eastAsia="Calibri" w:hAnsi="Verdana" w:cs="Arial"/>
          <w:lang w:val="es-ES_tradnl"/>
        </w:rPr>
        <w:t>ularmente reguladas en esta ley”</w:t>
      </w:r>
      <w:r w:rsidRPr="00816C87">
        <w:rPr>
          <w:rFonts w:ascii="Verdana" w:eastAsia="Calibri" w:hAnsi="Verdana" w:cs="Arial"/>
          <w:lang w:val="es-ES_tradnl"/>
        </w:rPr>
        <w:t>.</w:t>
      </w:r>
    </w:p>
    <w:p w14:paraId="431AA0AD" w14:textId="77777777" w:rsidR="006B1D58" w:rsidRPr="00816C87" w:rsidRDefault="006B1D58" w:rsidP="006B1D58">
      <w:pPr>
        <w:spacing w:before="120" w:after="0" w:line="276" w:lineRule="auto"/>
        <w:ind w:firstLine="709"/>
        <w:jc w:val="both"/>
        <w:rPr>
          <w:rFonts w:ascii="Verdana" w:eastAsia="Calibri" w:hAnsi="Verdana" w:cs="Arial"/>
          <w:lang w:val="es-ES_tradnl"/>
        </w:rPr>
      </w:pPr>
      <w:r w:rsidRPr="00816C87">
        <w:rPr>
          <w:rFonts w:ascii="Verdana" w:eastAsia="Calibri" w:hAnsi="Verdana" w:cs="Arial"/>
          <w:lang w:val="es-ES_tradnl"/>
        </w:rPr>
        <w:t>Por tal razón, la Sección Tercera del Consejo de Estado ha sosten</w:t>
      </w:r>
      <w:r>
        <w:rPr>
          <w:rFonts w:ascii="Verdana" w:eastAsia="Calibri" w:hAnsi="Verdana" w:cs="Arial"/>
          <w:lang w:val="es-ES_tradnl"/>
        </w:rPr>
        <w:t>ido desde hace varios años que “</w:t>
      </w:r>
      <w:r w:rsidRPr="00816C87">
        <w:rPr>
          <w:rFonts w:ascii="Verdana" w:eastAsia="Calibri" w:hAnsi="Verdana" w:cs="Arial"/>
          <w:lang w:val="es-ES_tradnl"/>
        </w:rPr>
        <w:t xml:space="preserve">Con esta perspectiva, la Sala no ha dudado en la procedencia de la celebración de transacciones bajo el imperio de las normas civiles por parte de entidades estatales, con la sola diferencia que en materia de </w:t>
      </w:r>
      <w:r w:rsidRPr="00816C87">
        <w:rPr>
          <w:rFonts w:ascii="Verdana" w:eastAsia="Calibri" w:hAnsi="Verdana" w:cs="Arial"/>
          <w:lang w:val="es-ES_tradnl"/>
        </w:rPr>
        <w:lastRenderedPageBreak/>
        <w:t>contratación estatal el contrato es solemne y no consensual (arts. 39 y 41 de la ley 80 de 1993). Máxime cuando, como lo ha señalado la doctrina, la resolución de conflictos es un deber de la Administración contratante, la cual a la luz de la ley 80 de 1993 goza de cierta autonomía en la solución de sus ev</w:t>
      </w:r>
      <w:r>
        <w:rPr>
          <w:rFonts w:ascii="Verdana" w:eastAsia="Calibri" w:hAnsi="Verdana" w:cs="Arial"/>
          <w:lang w:val="es-ES_tradnl"/>
        </w:rPr>
        <w:t>entuales litigios contractuales”</w:t>
      </w:r>
      <w:r w:rsidRPr="00816C87">
        <w:rPr>
          <w:rFonts w:ascii="Verdana" w:eastAsia="Calibri" w:hAnsi="Verdana" w:cs="Arial"/>
          <w:vertAlign w:val="superscript"/>
          <w:lang w:val="es-ES_tradnl"/>
        </w:rPr>
        <w:footnoteReference w:id="35"/>
      </w:r>
      <w:r w:rsidRPr="00816C87">
        <w:rPr>
          <w:rFonts w:ascii="Verdana" w:eastAsia="Calibri" w:hAnsi="Verdana" w:cs="Arial"/>
          <w:lang w:val="es-ES_tradnl"/>
        </w:rPr>
        <w:t>.</w:t>
      </w:r>
    </w:p>
    <w:p w14:paraId="6F92E749" w14:textId="77777777" w:rsidR="006B1D58" w:rsidRPr="00816C87" w:rsidRDefault="006B1D58" w:rsidP="006B1D58">
      <w:pPr>
        <w:spacing w:before="120" w:after="0" w:line="276" w:lineRule="auto"/>
        <w:ind w:firstLine="709"/>
        <w:jc w:val="both"/>
        <w:rPr>
          <w:rFonts w:ascii="Verdana" w:eastAsia="Calibri" w:hAnsi="Verdana" w:cs="Arial"/>
          <w:lang w:val="es-ES_tradnl"/>
        </w:rPr>
      </w:pPr>
      <w:r w:rsidRPr="00816C87">
        <w:rPr>
          <w:rFonts w:ascii="Verdana" w:eastAsia="Calibri" w:hAnsi="Verdana" w:cs="Arial"/>
          <w:lang w:val="es-ES_tradnl"/>
        </w:rPr>
        <w:t xml:space="preserve">La transacción se ha destacado, así como un mecanismo alternativo de resolución de conflictos que aporta beneficios a las partes del contrato estatal, cuando se realiza de manera adecuada. En tal sentido, la </w:t>
      </w:r>
      <w:r>
        <w:rPr>
          <w:rFonts w:ascii="Verdana" w:eastAsia="Calibri" w:hAnsi="Verdana" w:cs="Arial"/>
          <w:lang w:val="es-ES_tradnl"/>
        </w:rPr>
        <w:t>jurisprudencia ha señalado que “</w:t>
      </w:r>
      <w:r w:rsidRPr="00816C87">
        <w:rPr>
          <w:rFonts w:ascii="Verdana" w:hAnsi="Verdana" w:cs="Arial"/>
          <w:lang w:val="es-MX"/>
        </w:rPr>
        <w:t xml:space="preserve">[…] </w:t>
      </w:r>
      <w:r w:rsidRPr="00816C87">
        <w:rPr>
          <w:rFonts w:ascii="Verdana" w:eastAsia="Calibri" w:hAnsi="Verdana" w:cs="Arial"/>
          <w:lang w:val="es-ES_tradnl"/>
        </w:rPr>
        <w:t xml:space="preserve">uno de los principales efectos que genera el acuerdo transaccional es el de cosa juzgada, por el pacto de voluntades; en consecuencia, cuando se transa sobre la totalidad de los asuntos discutidos, las partes no pueden reavivar el conflicto acudiendo a la jurisdicción o, en caso de que haya un proceso judicial en curso, habrá lugar a la terminación anormal del </w:t>
      </w:r>
      <w:r>
        <w:rPr>
          <w:rFonts w:ascii="Verdana" w:eastAsia="Calibri" w:hAnsi="Verdana" w:cs="Arial"/>
          <w:lang w:val="es-ES_tradnl"/>
        </w:rPr>
        <w:t>mismo”</w:t>
      </w:r>
      <w:r w:rsidRPr="00816C87">
        <w:rPr>
          <w:rFonts w:ascii="Verdana" w:eastAsia="Calibri" w:hAnsi="Verdana" w:cs="Arial"/>
          <w:vertAlign w:val="superscript"/>
          <w:lang w:val="es-ES_tradnl"/>
        </w:rPr>
        <w:footnoteReference w:id="36"/>
      </w:r>
      <w:r w:rsidRPr="00816C87">
        <w:rPr>
          <w:rFonts w:ascii="Verdana" w:eastAsia="Calibri" w:hAnsi="Verdana" w:cs="Arial"/>
          <w:lang w:val="es-ES_tradnl"/>
        </w:rPr>
        <w:t>. Adicionalmente, se ha indicado que la transacción es un modo válido de llegar a acuerdos sobre los aspectos económicos del contrato estatal</w:t>
      </w:r>
      <w:r w:rsidRPr="00816C87">
        <w:rPr>
          <w:rFonts w:ascii="Verdana" w:eastAsia="Calibri" w:hAnsi="Verdana" w:cs="Arial"/>
          <w:vertAlign w:val="superscript"/>
          <w:lang w:val="es-ES_tradnl"/>
        </w:rPr>
        <w:footnoteReference w:id="37"/>
      </w:r>
      <w:r w:rsidRPr="00816C87">
        <w:rPr>
          <w:rFonts w:ascii="Verdana" w:eastAsia="Calibri" w:hAnsi="Verdana" w:cs="Arial"/>
          <w:lang w:val="es-ES_tradnl"/>
        </w:rPr>
        <w:t>, sin afectar los derechos colectivos a la moralidad administrativa y al patrimonio público</w:t>
      </w:r>
      <w:r w:rsidRPr="00816C87">
        <w:rPr>
          <w:rFonts w:ascii="Verdana" w:eastAsia="Calibri" w:hAnsi="Verdana" w:cs="Arial"/>
          <w:vertAlign w:val="superscript"/>
          <w:lang w:val="es-ES_tradnl"/>
        </w:rPr>
        <w:footnoteReference w:id="38"/>
      </w:r>
      <w:r w:rsidRPr="00816C87">
        <w:rPr>
          <w:rFonts w:ascii="Verdana" w:eastAsia="Calibri" w:hAnsi="Verdana" w:cs="Arial"/>
          <w:lang w:val="es-ES_tradnl"/>
        </w:rPr>
        <w:t>. Específicamente, el Consejo de Estado también ha concebido la transacción como un mecanismo adecuado para restablecer el equilibrio económico del contrato, en cumplimiento del mandato contenido en el numeral 9 del artículo 4 de la Ley 80 de 1993</w:t>
      </w:r>
      <w:r w:rsidRPr="00816C87">
        <w:rPr>
          <w:rFonts w:ascii="Verdana" w:eastAsia="Calibri" w:hAnsi="Verdana" w:cs="Arial"/>
          <w:vertAlign w:val="superscript"/>
          <w:lang w:val="es-ES_tradnl"/>
        </w:rPr>
        <w:footnoteReference w:id="39"/>
      </w:r>
      <w:r w:rsidRPr="00816C87">
        <w:rPr>
          <w:rFonts w:ascii="Verdana" w:eastAsia="Calibri" w:hAnsi="Verdana" w:cs="Arial"/>
          <w:lang w:val="es-ES_tradnl"/>
        </w:rPr>
        <w:t xml:space="preserve">. </w:t>
      </w:r>
    </w:p>
    <w:p w14:paraId="71BFBE92" w14:textId="77777777" w:rsidR="006B1D58" w:rsidRPr="00816C87" w:rsidRDefault="006B1D58" w:rsidP="006B1D58">
      <w:pPr>
        <w:spacing w:before="120" w:after="0" w:line="276" w:lineRule="auto"/>
        <w:ind w:firstLine="709"/>
        <w:jc w:val="both"/>
        <w:rPr>
          <w:rFonts w:ascii="Verdana" w:eastAsia="Calibri" w:hAnsi="Verdana" w:cs="Arial"/>
          <w:lang w:val="es-ES"/>
        </w:rPr>
      </w:pPr>
      <w:r w:rsidRPr="3E1CBD6A">
        <w:rPr>
          <w:rFonts w:ascii="Verdana" w:eastAsia="Calibri" w:hAnsi="Verdana" w:cs="Arial"/>
          <w:lang w:val="es-ES"/>
        </w:rPr>
        <w:t>Sin embargo, para que la transacción reporte ventajas a las partes, debe satisfacer las exigencias decantadas por la jurisprudencia. Según el Consejo de Estado: “</w:t>
      </w:r>
      <w:r w:rsidRPr="3E1CBD6A">
        <w:rPr>
          <w:rFonts w:ascii="Verdana" w:hAnsi="Verdana" w:cs="Arial"/>
          <w:lang w:val="es-ES"/>
        </w:rPr>
        <w:t xml:space="preserve">[…] </w:t>
      </w:r>
      <w:r w:rsidRPr="3E1CBD6A">
        <w:rPr>
          <w:rFonts w:ascii="Verdana" w:eastAsia="Calibri" w:hAnsi="Verdana" w:cs="Arial"/>
          <w:lang w:val="es-ES"/>
        </w:rPr>
        <w:t>jurisprudencialmente se ha agregado como elemento esencial de la transacción, las concesiones o sacrificios recíprocos entre las partes”</w:t>
      </w:r>
      <w:r w:rsidRPr="3E1CBD6A">
        <w:rPr>
          <w:rFonts w:ascii="Verdana" w:eastAsia="Calibri" w:hAnsi="Verdana" w:cs="Arial"/>
          <w:vertAlign w:val="superscript"/>
          <w:lang w:val="es-ES"/>
        </w:rPr>
        <w:footnoteReference w:id="40"/>
      </w:r>
      <w:r w:rsidRPr="3E1CBD6A">
        <w:rPr>
          <w:rFonts w:ascii="Verdana" w:eastAsia="Calibri" w:hAnsi="Verdana" w:cs="Arial"/>
          <w:lang w:val="es-ES"/>
        </w:rPr>
        <w:t xml:space="preserve">, es decir, el arreglo directo no puede “[…] mostrarse abiertamente desproporcionado”. Este elemento también ha sido determinante para la justicia arbitral, pues en el evento en el que se celebre un contrato de transacción donde </w:t>
      </w:r>
      <w:r w:rsidRPr="3E1CBD6A">
        <w:rPr>
          <w:rFonts w:ascii="Verdana" w:eastAsia="Calibri" w:hAnsi="Verdana" w:cs="Arial"/>
          <w:lang w:val="es-ES"/>
        </w:rPr>
        <w:lastRenderedPageBreak/>
        <w:t>no se pactan concesiones recíprocas entre las partes, se está ante una figura jurídica diferente a la transacción</w:t>
      </w:r>
      <w:r w:rsidRPr="3E1CBD6A">
        <w:rPr>
          <w:rFonts w:ascii="Verdana" w:eastAsia="Calibri" w:hAnsi="Verdana" w:cs="Arial"/>
          <w:vertAlign w:val="superscript"/>
          <w:lang w:val="es-ES"/>
        </w:rPr>
        <w:footnoteReference w:id="41"/>
      </w:r>
      <w:r w:rsidRPr="3E1CBD6A">
        <w:rPr>
          <w:rFonts w:ascii="Verdana" w:eastAsia="Calibri" w:hAnsi="Verdana" w:cs="Arial"/>
          <w:lang w:val="es-ES"/>
        </w:rPr>
        <w:t>, como por ejemplo una modificación de común acuerdo del contrato estatal. Por lo tanto, el acuerdo transaccional no puede implicar un reconocimiento exorbitante para el contratista, que no tenga ningún sustento, ni una renuncia infundada para la entidad estatal a reclamar la indemnización de los perjuicios que le hayan sido causados. Debe ser, por el contrario, un arreglo basado en elementos objetivos que permitan justificar la utilización de este mecanismo</w:t>
      </w:r>
      <w:r w:rsidRPr="3E1CBD6A">
        <w:rPr>
          <w:rFonts w:ascii="Verdana" w:eastAsia="Calibri" w:hAnsi="Verdana" w:cs="Arial"/>
          <w:vertAlign w:val="superscript"/>
          <w:lang w:val="es-ES"/>
        </w:rPr>
        <w:footnoteReference w:id="42"/>
      </w:r>
      <w:r w:rsidRPr="3E1CBD6A">
        <w:rPr>
          <w:rFonts w:ascii="Verdana" w:eastAsia="Calibri" w:hAnsi="Verdana" w:cs="Arial"/>
          <w:lang w:val="es-ES"/>
        </w:rPr>
        <w:t xml:space="preserve">. </w:t>
      </w:r>
    </w:p>
    <w:p w14:paraId="63FEEC56" w14:textId="77777777" w:rsidR="006B1D58" w:rsidRPr="00816C87" w:rsidRDefault="006B1D58" w:rsidP="006B1D58">
      <w:pPr>
        <w:spacing w:before="120" w:after="0" w:line="276" w:lineRule="auto"/>
        <w:ind w:firstLine="708"/>
        <w:jc w:val="both"/>
        <w:rPr>
          <w:rFonts w:ascii="Verdana" w:eastAsia="Calibri" w:hAnsi="Verdana" w:cs="Arial"/>
          <w:lang w:val="es-MX"/>
        </w:rPr>
      </w:pPr>
      <w:r w:rsidRPr="00816C87">
        <w:rPr>
          <w:rFonts w:ascii="Verdana" w:eastAsia="Calibri" w:hAnsi="Verdana" w:cs="Arial"/>
          <w:lang w:val="es-MX"/>
        </w:rPr>
        <w:t xml:space="preserve">Por otra parte, aunque la transacción produce el efecto de cosa juzgada en última instancia, es factible demandar su nulidad o rescisión, de conformidad a los artículos 2476 a 2482 del Código Civil, así como por las causales generales de nulidad previstas en los artículos 1740 a 1756 </w:t>
      </w:r>
      <w:r w:rsidRPr="00816C87">
        <w:rPr>
          <w:rFonts w:ascii="Verdana" w:eastAsia="Calibri" w:hAnsi="Verdana" w:cs="Arial"/>
          <w:i/>
          <w:iCs/>
          <w:lang w:val="es-MX"/>
        </w:rPr>
        <w:t>ibidem</w:t>
      </w:r>
      <w:r w:rsidRPr="00816C87">
        <w:rPr>
          <w:rFonts w:ascii="Verdana" w:eastAsia="Calibri" w:hAnsi="Verdana" w:cs="Arial"/>
          <w:lang w:val="es-MX"/>
        </w:rPr>
        <w:t>. Teniendo en cuenta que el contrato de transacción se enmarca en la definición de contrato estatal –pues se trata de un acto jurídico generador de obligaciones celebrado por una entidad estatal</w:t>
      </w:r>
      <w:r w:rsidRPr="00816C87">
        <w:rPr>
          <w:rFonts w:ascii="Verdana" w:eastAsia="Calibri" w:hAnsi="Verdana" w:cs="Arial"/>
          <w:vertAlign w:val="superscript"/>
          <w:lang w:val="es-MX"/>
        </w:rPr>
        <w:footnoteReference w:id="43"/>
      </w:r>
      <w:r w:rsidRPr="00816C87">
        <w:rPr>
          <w:rFonts w:ascii="Verdana" w:eastAsia="Calibri" w:hAnsi="Verdana" w:cs="Arial"/>
          <w:lang w:val="es-MX"/>
        </w:rPr>
        <w:t>–, el medio de control que debe emplearse en este caso es el de controversias contractuales previsto en el artículo 141 del CPACA</w:t>
      </w:r>
      <w:r w:rsidRPr="00816C87">
        <w:rPr>
          <w:rFonts w:ascii="Verdana" w:eastAsia="Calibri" w:hAnsi="Verdana" w:cs="Arial"/>
          <w:vertAlign w:val="superscript"/>
          <w:lang w:val="es-MX"/>
        </w:rPr>
        <w:footnoteReference w:id="44"/>
      </w:r>
      <w:r w:rsidRPr="00816C87">
        <w:rPr>
          <w:rFonts w:ascii="Verdana" w:eastAsia="Calibri" w:hAnsi="Verdana" w:cs="Arial"/>
          <w:lang w:val="es-MX"/>
        </w:rPr>
        <w:t>.</w:t>
      </w:r>
    </w:p>
    <w:p w14:paraId="45BD7E7A" w14:textId="77777777" w:rsidR="006B1D58" w:rsidRPr="00816C87" w:rsidRDefault="006B1D58" w:rsidP="006B1D58">
      <w:pPr>
        <w:spacing w:before="120" w:after="0" w:line="276" w:lineRule="auto"/>
        <w:ind w:firstLine="708"/>
        <w:jc w:val="both"/>
        <w:rPr>
          <w:rFonts w:ascii="Verdana" w:eastAsia="Calibri" w:hAnsi="Verdana" w:cs="Arial"/>
          <w:lang w:val="es-MX"/>
        </w:rPr>
      </w:pPr>
      <w:r w:rsidRPr="00816C87">
        <w:rPr>
          <w:rFonts w:ascii="Verdana" w:eastAsia="Calibri" w:hAnsi="Verdana" w:cs="Arial"/>
          <w:lang w:val="es-MX"/>
        </w:rPr>
        <w:t>El contrato d</w:t>
      </w:r>
      <w:r>
        <w:rPr>
          <w:rFonts w:ascii="Verdana" w:eastAsia="Calibri" w:hAnsi="Verdana" w:cs="Arial"/>
          <w:lang w:val="es-MX"/>
        </w:rPr>
        <w:t>e transacción debe suscribirlo “</w:t>
      </w:r>
      <w:r w:rsidRPr="00816C87">
        <w:rPr>
          <w:rFonts w:ascii="Verdana" w:eastAsia="Calibri" w:hAnsi="Verdana" w:cs="Arial"/>
          <w:lang w:val="es-MX"/>
        </w:rPr>
        <w:t xml:space="preserve">[…] quien tenga la representación legal de la entidad, quien es el único que tiene la competencia para vincularla contractualmente y debe cumplir con las formalidades previstas </w:t>
      </w:r>
      <w:r w:rsidRPr="00816C87">
        <w:rPr>
          <w:rFonts w:ascii="Verdana" w:eastAsia="Calibri" w:hAnsi="Verdana" w:cs="Arial"/>
          <w:lang w:val="es-MX"/>
        </w:rPr>
        <w:lastRenderedPageBreak/>
        <w:t>en la ley para su procedencia, entre ellas las autorizaciones de ley</w:t>
      </w:r>
      <w:r>
        <w:rPr>
          <w:rFonts w:ascii="Verdana" w:eastAsia="Calibri" w:hAnsi="Verdana" w:cs="Arial"/>
          <w:lang w:val="es-MX"/>
        </w:rPr>
        <w:t>”</w:t>
      </w:r>
      <w:r w:rsidRPr="00816C87">
        <w:rPr>
          <w:rFonts w:ascii="Verdana" w:eastAsia="Calibri" w:hAnsi="Verdana" w:cs="Arial"/>
          <w:vertAlign w:val="superscript"/>
          <w:lang w:val="es-MX"/>
        </w:rPr>
        <w:footnoteReference w:id="45"/>
      </w:r>
      <w:r w:rsidRPr="00816C87">
        <w:rPr>
          <w:rFonts w:ascii="Verdana" w:eastAsia="Calibri" w:hAnsi="Verdana" w:cs="Arial"/>
          <w:lang w:val="es-MX"/>
        </w:rPr>
        <w:t>. No obstante, el artículo 313 del Código Ge</w:t>
      </w:r>
      <w:r>
        <w:rPr>
          <w:rFonts w:ascii="Verdana" w:eastAsia="Calibri" w:hAnsi="Verdana" w:cs="Arial"/>
          <w:lang w:val="es-MX"/>
        </w:rPr>
        <w:t>neral del Proceso, dispone que “</w:t>
      </w:r>
      <w:r w:rsidRPr="00816C87">
        <w:rPr>
          <w:rFonts w:ascii="Verdana" w:eastAsia="Calibri" w:hAnsi="Verdana" w:cs="Arial"/>
          <w:lang w:val="es-MX"/>
        </w:rPr>
        <w:t>Los representantes de la nación, departamentos y municipios no podrán transigir sin autorización del Gobierno Nacional, del gobernador</w:t>
      </w:r>
      <w:r>
        <w:rPr>
          <w:rFonts w:ascii="Verdana" w:eastAsia="Calibri" w:hAnsi="Verdana" w:cs="Arial"/>
          <w:lang w:val="es-MX"/>
        </w:rPr>
        <w:t xml:space="preserve"> o alcalde, según fuere el caso”</w:t>
      </w:r>
      <w:r w:rsidRPr="00816C87">
        <w:rPr>
          <w:rFonts w:ascii="Verdana" w:eastAsia="Calibri" w:hAnsi="Verdana" w:cs="Arial"/>
          <w:lang w:val="es-MX"/>
        </w:rPr>
        <w:t>; sin embargo, la norma solo aplica cuando la transacción se realiza en el trámite de un proceso jurisdiccional conforme lo determina el objeto del mismo Código General del Proceso.</w:t>
      </w:r>
    </w:p>
    <w:p w14:paraId="11A9E2FE" w14:textId="77777777" w:rsidR="006B1D58" w:rsidRPr="00816C87" w:rsidRDefault="006B1D58" w:rsidP="006B1D58">
      <w:pPr>
        <w:spacing w:before="120" w:after="0" w:line="276" w:lineRule="auto"/>
        <w:ind w:firstLine="708"/>
        <w:jc w:val="both"/>
        <w:rPr>
          <w:rFonts w:ascii="Verdana" w:eastAsia="Calibri" w:hAnsi="Verdana" w:cs="Arial"/>
          <w:lang w:val="es-MX"/>
        </w:rPr>
      </w:pPr>
      <w:r w:rsidRPr="00816C87">
        <w:rPr>
          <w:rFonts w:ascii="Verdana" w:eastAsia="Calibri" w:hAnsi="Verdana" w:cs="Arial"/>
          <w:lang w:val="es-MX"/>
        </w:rPr>
        <w:t xml:space="preserve">Conforme a lo anterior, la transacción es una modalidad contractual que en ejercicio de la autonomía de la voluntad pueden celebrar las entidades estatales con el objeto de precaver litigios eventuales, esto con sustento en la remisión general a las normas civiles y comerciales establecida en el artículo 13, 32 y 40 de la Ley 80 de 1993. De hecho, el acuerdo transaccional es un mecanismo mediante el cual las entidades estatales pueden cumplir con deberes que derivan de normas como los artículos 4.9 y 25.5 de la Ley 80 de 1993, que establecen que las entidades deben precaver eventuales litigios, y en general, actuar de manera tal que se solucionen de manera pronta las controversias que se presenten en la ejecución de los procesos contractuales. Esto sin mencionar el artículo 60 de la Ley 80 de 1993, que establecen el acta de liquidación bilateral como un documento en el que deben constar los </w:t>
      </w:r>
      <w:r>
        <w:rPr>
          <w:rFonts w:ascii="Verdana" w:eastAsia="Calibri" w:hAnsi="Verdana" w:cs="Arial"/>
          <w:i/>
          <w:iCs/>
          <w:lang w:val="es-MX"/>
        </w:rPr>
        <w:t>“</w:t>
      </w:r>
      <w:r w:rsidRPr="00816C87">
        <w:rPr>
          <w:rFonts w:ascii="Verdana" w:eastAsia="Calibri" w:hAnsi="Verdana" w:cs="Arial"/>
          <w:i/>
          <w:iCs/>
          <w:lang w:val="es-MX"/>
        </w:rPr>
        <w:t>[…] acuerdos, conciliaciones y transacciones</w:t>
      </w:r>
      <w:r>
        <w:rPr>
          <w:rFonts w:ascii="Verdana" w:eastAsia="Calibri" w:hAnsi="Verdana" w:cs="Arial"/>
          <w:i/>
          <w:iCs/>
          <w:lang w:val="es-MX"/>
        </w:rPr>
        <w:t>”</w:t>
      </w:r>
      <w:r w:rsidRPr="00816C87">
        <w:rPr>
          <w:rFonts w:ascii="Verdana" w:eastAsia="Calibri" w:hAnsi="Verdana" w:cs="Arial"/>
          <w:lang w:val="es-MX"/>
        </w:rPr>
        <w:t xml:space="preserve"> entre las partes de un contrato. </w:t>
      </w:r>
    </w:p>
    <w:p w14:paraId="3D75E77E" w14:textId="77777777" w:rsidR="006B1D58" w:rsidRPr="00816C87" w:rsidRDefault="006B1D58" w:rsidP="006B1D58">
      <w:pPr>
        <w:spacing w:before="120" w:after="0" w:line="276" w:lineRule="auto"/>
        <w:ind w:firstLine="708"/>
        <w:jc w:val="both"/>
        <w:rPr>
          <w:rFonts w:ascii="Verdana" w:eastAsia="Calibri" w:hAnsi="Verdana" w:cs="Arial"/>
          <w:lang w:val="es-MX"/>
        </w:rPr>
      </w:pPr>
      <w:r w:rsidRPr="00816C87">
        <w:rPr>
          <w:rFonts w:ascii="Verdana" w:eastAsia="Calibri" w:hAnsi="Verdana" w:cs="Arial"/>
          <w:lang w:val="es-MX"/>
        </w:rPr>
        <w:t xml:space="preserve">En cuanto a la posibilidad de que las entidades estatales suscriban transacciones en periodos preelectorales, debe advertirse que la misma estaría condicionada por las restricciones contractuales de la Ley de Garantías Electorales, comoquiera que, al tratarse de acuerdos sometidos a formalidades de la contratación pública, podrían serles aplicables algunas de las mencionadas prohibiciones. Esto supone que, la suscripción de un contrato de transacción en la víspera de </w:t>
      </w:r>
      <w:proofErr w:type="gramStart"/>
      <w:r w:rsidRPr="00816C87">
        <w:rPr>
          <w:rFonts w:ascii="Verdana" w:eastAsia="Calibri" w:hAnsi="Verdana" w:cs="Arial"/>
          <w:lang w:val="es-MX"/>
        </w:rPr>
        <w:t>comicios electorales</w:t>
      </w:r>
      <w:proofErr w:type="gramEnd"/>
      <w:r w:rsidRPr="00816C87">
        <w:rPr>
          <w:rFonts w:ascii="Verdana" w:eastAsia="Calibri" w:hAnsi="Verdana" w:cs="Arial"/>
          <w:lang w:val="es-MX"/>
        </w:rPr>
        <w:t xml:space="preserve"> solo resulta viable si, consultado el objeto y contenido de </w:t>
      </w:r>
      <w:proofErr w:type="gramStart"/>
      <w:r w:rsidRPr="00816C87">
        <w:rPr>
          <w:rFonts w:ascii="Verdana" w:eastAsia="Calibri" w:hAnsi="Verdana" w:cs="Arial"/>
          <w:lang w:val="es-MX"/>
        </w:rPr>
        <w:t>la misma</w:t>
      </w:r>
      <w:proofErr w:type="gramEnd"/>
      <w:r w:rsidRPr="00816C87">
        <w:rPr>
          <w:rFonts w:ascii="Verdana" w:eastAsia="Calibri" w:hAnsi="Verdana" w:cs="Arial"/>
          <w:lang w:val="es-MX"/>
        </w:rPr>
        <w:t xml:space="preserve">, se logra establecer que el acuerdo transaccional no se encuentra dentro del ámbito material de las restricciones explicadas en los numerales anteriores. Ahora, para establecer si la celebración de un determinado contrato de transacción se encuentra o no limitada por alguna de las restricciones de la Ley 996 de 2005, es preciso verificar si en virtud de las </w:t>
      </w:r>
      <w:r w:rsidRPr="00816C87">
        <w:rPr>
          <w:rFonts w:ascii="Verdana" w:eastAsia="Calibri" w:hAnsi="Verdana" w:cs="Arial"/>
          <w:lang w:val="es-MX"/>
        </w:rPr>
        <w:lastRenderedPageBreak/>
        <w:t xml:space="preserve">condiciones y particularidades </w:t>
      </w:r>
      <w:proofErr w:type="gramStart"/>
      <w:r w:rsidRPr="00816C87">
        <w:rPr>
          <w:rFonts w:ascii="Verdana" w:eastAsia="Calibri" w:hAnsi="Verdana" w:cs="Arial"/>
          <w:lang w:val="es-MX"/>
        </w:rPr>
        <w:t>del mismo</w:t>
      </w:r>
      <w:proofErr w:type="gramEnd"/>
      <w:r w:rsidRPr="00816C87">
        <w:rPr>
          <w:rFonts w:ascii="Verdana" w:eastAsia="Calibri" w:hAnsi="Verdana" w:cs="Arial"/>
          <w:lang w:val="es-MX"/>
        </w:rPr>
        <w:t xml:space="preserve"> le resultan aplicables las referidas prohibiciones. </w:t>
      </w:r>
    </w:p>
    <w:p w14:paraId="6F3E8F9B" w14:textId="77777777" w:rsidR="006B1D58" w:rsidRPr="00816C87" w:rsidRDefault="006B1D58" w:rsidP="006B1D58">
      <w:pPr>
        <w:spacing w:before="120" w:after="120" w:line="276" w:lineRule="auto"/>
        <w:ind w:firstLine="708"/>
        <w:jc w:val="both"/>
        <w:rPr>
          <w:rFonts w:ascii="Verdana" w:eastAsia="Calibri" w:hAnsi="Verdana" w:cs="Arial"/>
          <w:lang w:val="es-MX"/>
        </w:rPr>
      </w:pPr>
      <w:r w:rsidRPr="00816C87">
        <w:rPr>
          <w:rFonts w:ascii="Verdana" w:eastAsia="Calibri" w:hAnsi="Verdana" w:cs="Arial"/>
          <w:lang w:val="es-MX"/>
        </w:rPr>
        <w:t xml:space="preserve">En lo referente a la restricción del artículo 33, la ausencia de pluralidad de oferentes propia del contrato de transacción constituye un asunto importante a considerar, en la medida en que de entrada genera interrogantes sobre la posibilidad de celebrar estos acuerdos en vigencia de esta prohibición. Esto considerando que, dada la naturaleza de estos contratos, dirigida a solucionar o precaver controversias que se tienen con sujetos determinados, necesariamente deben suscribirse de manera directa con quien existe el conflicto, sin que se presente posibilidad de pluralidad de oferentes.  </w:t>
      </w:r>
    </w:p>
    <w:p w14:paraId="4E182E69" w14:textId="77777777" w:rsidR="006B1D58" w:rsidRPr="00816C87" w:rsidRDefault="006B1D58" w:rsidP="006B1D58">
      <w:pPr>
        <w:spacing w:before="120" w:after="120" w:line="276" w:lineRule="auto"/>
        <w:ind w:firstLine="708"/>
        <w:jc w:val="both"/>
        <w:rPr>
          <w:rFonts w:ascii="Verdana" w:eastAsia="Calibri" w:hAnsi="Verdana" w:cs="Arial"/>
          <w:lang w:val="es-MX"/>
        </w:rPr>
      </w:pPr>
      <w:r w:rsidRPr="00816C87">
        <w:rPr>
          <w:rFonts w:ascii="Verdana" w:eastAsia="Calibri" w:hAnsi="Verdana" w:cs="Arial"/>
          <w:lang w:val="es-MX"/>
        </w:rPr>
        <w:t xml:space="preserve">Sin embargo, </w:t>
      </w:r>
      <w:r>
        <w:rPr>
          <w:rFonts w:ascii="Verdana" w:eastAsia="Calibri" w:hAnsi="Verdana" w:cs="Arial"/>
          <w:lang w:val="es-MX"/>
        </w:rPr>
        <w:t xml:space="preserve">como lo expresó la Agencia en Concepto 275 del 9 de mayo de 2022, </w:t>
      </w:r>
      <w:r w:rsidRPr="00816C87">
        <w:rPr>
          <w:rFonts w:ascii="Verdana" w:eastAsia="Calibri" w:hAnsi="Verdana" w:cs="Arial"/>
          <w:lang w:val="es-MX"/>
        </w:rPr>
        <w:t xml:space="preserve">lo anterior no significa que todas las transacciones que están en condiciones de celebrar las entidades estatales necesariamente estén limitadas por la restricción del artículo 33. Por ejemplo, tratándose de transacciones tendientes a </w:t>
      </w:r>
      <w:r w:rsidRPr="00816C87">
        <w:rPr>
          <w:rFonts w:ascii="Verdana" w:eastAsia="Calibri" w:hAnsi="Verdana" w:cs="Arial"/>
          <w:lang w:val="es-ES_tradnl"/>
        </w:rPr>
        <w:t>modificar o extinguir derechos u obligaciones</w:t>
      </w:r>
      <w:r w:rsidRPr="00816C87">
        <w:rPr>
          <w:rFonts w:ascii="Verdana" w:eastAsia="Calibri" w:hAnsi="Verdana" w:cs="Arial"/>
          <w:lang w:val="es-MX"/>
        </w:rPr>
        <w:t xml:space="preserve"> derivados de contratos estatales vigentes, esta Agencia considera que bien podrían suscribirse, aun en vigencia de la referida prohibición, en el entendido que, en estos supuestos, antes que suscribirse un nuevo contrato de manera directa, lo que se hace es modificar el contenido de uno ya vigente, con el propósito de precaver eventuales litigios o controversias entre las partes. Lo mismo podría predicarse de las transacciones realizadas mediante la suscripción de actas de liquidación bilateral, en las que tampoco existe la suscripción de un nuevo contrato, sino que se realizan concesiones recíprocas con el objeto de declarar </w:t>
      </w:r>
      <w:proofErr w:type="gramStart"/>
      <w:r w:rsidRPr="00816C87">
        <w:rPr>
          <w:rFonts w:ascii="Verdana" w:eastAsia="Calibri" w:hAnsi="Verdana" w:cs="Arial"/>
          <w:lang w:val="es-MX"/>
        </w:rPr>
        <w:t>el paz</w:t>
      </w:r>
      <w:proofErr w:type="gramEnd"/>
      <w:r w:rsidRPr="00816C87">
        <w:rPr>
          <w:rFonts w:ascii="Verdana" w:eastAsia="Calibri" w:hAnsi="Verdana" w:cs="Arial"/>
          <w:lang w:val="es-MX"/>
        </w:rPr>
        <w:t xml:space="preserve"> y salvo entre las partes. </w:t>
      </w:r>
    </w:p>
    <w:p w14:paraId="10B94ACA" w14:textId="77777777" w:rsidR="006B1D58" w:rsidRPr="00816C87" w:rsidRDefault="006B1D58" w:rsidP="006B1D58">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t>Es necesario tener en cuenta que, respecto de la celebración de actos como adiciones, modificaciones, cesiones o prórrogas de contratos estatales en vigencia de la restricción del artículo 33, se ha pronunciad</w:t>
      </w:r>
      <w:r>
        <w:rPr>
          <w:rFonts w:ascii="Verdana" w:eastAsia="Arial" w:hAnsi="Verdana" w:cs="Arial"/>
          <w:lang w:val="es-ES"/>
        </w:rPr>
        <w:t>o esta Agencia en la Circular 06 de 2025</w:t>
      </w:r>
      <w:r w:rsidRPr="00816C87">
        <w:rPr>
          <w:rFonts w:ascii="Verdana" w:eastAsia="Arial" w:hAnsi="Verdana" w:cs="Arial"/>
          <w:lang w:val="es-ES"/>
        </w:rPr>
        <w:t>, al igual que en la Circular Externa Única vigente, en las que reiteradamente se ha avalado la posibilidad de que tales actuaciones tengan lugar en periodos prelectorales, sin que con ello se transgredan las restricciones explicadas, siempre que se cumplan los principios de planeación, transparencia y responsabilidad. Dicha postura parte de la base de que actuaciones como las prórrogas, modificaciones y adiciones de contratos vigentes, no suponen la celebración de un nuevo</w:t>
      </w:r>
      <w:r w:rsidRPr="00816C87">
        <w:rPr>
          <w:rFonts w:ascii="Verdana" w:eastAsia="Arial" w:hAnsi="Verdana" w:cs="Arial"/>
          <w:spacing w:val="1"/>
          <w:lang w:val="es-ES"/>
        </w:rPr>
        <w:t xml:space="preserve"> </w:t>
      </w:r>
      <w:r w:rsidRPr="00816C87">
        <w:rPr>
          <w:rFonts w:ascii="Verdana" w:eastAsia="Arial" w:hAnsi="Verdana" w:cs="Arial"/>
          <w:lang w:val="es-ES"/>
        </w:rPr>
        <w:t xml:space="preserve">contrato, por lo que no entrarían dentro del supuesto de contratación directa que prohíbe el artículo 33. </w:t>
      </w:r>
    </w:p>
    <w:p w14:paraId="2F76D64A" w14:textId="77777777" w:rsidR="006B1D58" w:rsidRPr="00816C87" w:rsidRDefault="006B1D58" w:rsidP="006B1D58">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lastRenderedPageBreak/>
        <w:t>Estas consideraciones sobre la celebración de los actos jurídicos mencionados modificaciones, cesiones, y prórrogas se estiman relevantes para resolver la presente consulta</w:t>
      </w:r>
      <w:r w:rsidRPr="00816C87">
        <w:rPr>
          <w:rFonts w:ascii="Verdana" w:eastAsia="Arial" w:hAnsi="Verdana" w:cs="Arial"/>
          <w:i/>
          <w:iCs/>
          <w:lang w:val="es-ES"/>
        </w:rPr>
        <w:t xml:space="preserve">, </w:t>
      </w:r>
      <w:r w:rsidRPr="00816C87">
        <w:rPr>
          <w:rFonts w:ascii="Verdana" w:eastAsia="Arial" w:hAnsi="Verdana" w:cs="Arial"/>
          <w:lang w:val="es-ES"/>
        </w:rPr>
        <w:t xml:space="preserve">dado que, así como tales negocios jurídicos, celebrados respecto de contratos vigentes, no implican la celebración de un nuevo contrato de manera directa, tampoco lo implicaría la suscripción de acuerdos transaccionales referidos a contratos cuya ejecución no ha finalizado y que fueron debidamente perfeccionados antes de la entrada en vigencia de las prohibiciones contenidas en la Ley de Garantías Electorales. En ese sentido, al presentarse </w:t>
      </w:r>
      <w:r w:rsidRPr="00816C87">
        <w:rPr>
          <w:rFonts w:ascii="Verdana" w:eastAsia="Arial" w:hAnsi="Verdana" w:cs="Arial"/>
          <w:i/>
          <w:iCs/>
          <w:lang w:val="es-ES"/>
        </w:rPr>
        <w:t>mutatis mutandis</w:t>
      </w:r>
      <w:r w:rsidRPr="00816C87">
        <w:rPr>
          <w:rFonts w:ascii="Verdana" w:eastAsia="Arial" w:hAnsi="Verdana" w:cs="Arial"/>
          <w:lang w:val="es-ES"/>
        </w:rPr>
        <w:t xml:space="preserve"> las mismas circunstancias respecto de los mencionados negocios jurídicos, la conclusión sobre la posibilidad de su celebración en vigencia de la restricción del artículo 33 habría de ser la misma. Esto significa que no está dentro de la prohibición citada los acuerdos transaccionales respecto de obligaciones o derechos derivados de contratos vigentes perfeccionados antes del inicio del período en que rige la prohibición. </w:t>
      </w:r>
    </w:p>
    <w:p w14:paraId="7D07A37B" w14:textId="77777777" w:rsidR="006B1D58" w:rsidRDefault="006B1D58" w:rsidP="006B1D58">
      <w:pPr>
        <w:widowControl w:val="0"/>
        <w:autoSpaceDE w:val="0"/>
        <w:autoSpaceDN w:val="0"/>
        <w:spacing w:before="120" w:after="120" w:line="276" w:lineRule="auto"/>
        <w:ind w:right="49" w:firstLine="709"/>
        <w:jc w:val="both"/>
        <w:rPr>
          <w:rFonts w:ascii="Verdana" w:eastAsia="Arial" w:hAnsi="Verdana" w:cs="Arial"/>
          <w:lang w:val="es-ES"/>
        </w:rPr>
      </w:pPr>
      <w:r w:rsidRPr="00816C87">
        <w:rPr>
          <w:rFonts w:ascii="Verdana" w:eastAsia="Arial" w:hAnsi="Verdana" w:cs="Arial"/>
          <w:lang w:val="es-ES"/>
        </w:rPr>
        <w:t xml:space="preserve">De igual forma, la Agencia considera que, en estos casos, en los que se </w:t>
      </w:r>
      <w:r w:rsidRPr="00F82770">
        <w:rPr>
          <w:rFonts w:ascii="Verdana" w:eastAsia="Arial" w:hAnsi="Verdana" w:cs="Arial"/>
          <w:lang w:val="es-ES"/>
        </w:rPr>
        <w:t xml:space="preserve">acude a la transacción para precaver un litigio o definir una controversia originada en un contrato estatal, no resultaría aplicable la restricción del artículo 33, en la medida en que no se está celebrando un nuevo negocio jurídico de manera directa, sino que se acude a </w:t>
      </w:r>
      <w:r w:rsidRPr="00F82770">
        <w:rPr>
          <w:rFonts w:ascii="Verdana" w:eastAsia="Calibri" w:hAnsi="Verdana" w:cs="Arial"/>
          <w:lang w:val="es-ES_tradnl"/>
        </w:rPr>
        <w:t>un mecanismo alternativo de resolución de conflictos de carácter autocompositivo</w:t>
      </w:r>
      <w:r w:rsidRPr="00F82770">
        <w:rPr>
          <w:rFonts w:ascii="Verdana" w:eastAsia="Calibri" w:hAnsi="Verdana" w:cs="Arial"/>
          <w:i/>
          <w:iCs/>
          <w:lang w:val="es-ES_tradnl"/>
        </w:rPr>
        <w:t xml:space="preserve"> </w:t>
      </w:r>
      <w:r w:rsidRPr="00F82770">
        <w:rPr>
          <w:rFonts w:ascii="Verdana" w:eastAsia="Calibri" w:hAnsi="Verdana" w:cs="Arial"/>
          <w:lang w:val="es-ES_tradnl"/>
        </w:rPr>
        <w:t xml:space="preserve">para </w:t>
      </w:r>
      <w:r w:rsidRPr="00F82770">
        <w:rPr>
          <w:rFonts w:ascii="Verdana" w:eastAsia="Arial" w:hAnsi="Verdana" w:cs="Arial"/>
          <w:lang w:val="es-ES"/>
        </w:rPr>
        <w:t xml:space="preserve">modificar las condiciones de un contrato ya celebrado. Conforme a lo anterior, tampoco habría lugar a la aplicación de las excepciones establecidas en el artículo citado, en la medida en que estas transacciones no están cobijadas por la prohibición y, por lo tanto, tampoco por sus excepciones. </w:t>
      </w:r>
    </w:p>
    <w:p w14:paraId="29179448" w14:textId="77777777" w:rsidR="006B1D58" w:rsidRPr="00F82770" w:rsidRDefault="006B1D58" w:rsidP="006B1D58">
      <w:pPr>
        <w:widowControl w:val="0"/>
        <w:autoSpaceDE w:val="0"/>
        <w:autoSpaceDN w:val="0"/>
        <w:spacing w:before="120" w:after="0" w:line="276" w:lineRule="auto"/>
        <w:ind w:right="49" w:firstLine="709"/>
        <w:jc w:val="both"/>
        <w:rPr>
          <w:rFonts w:ascii="Verdana" w:eastAsia="Arial" w:hAnsi="Verdana" w:cs="Arial"/>
        </w:rPr>
      </w:pPr>
      <w:r w:rsidRPr="00F82770">
        <w:rPr>
          <w:rFonts w:ascii="Verdana" w:eastAsia="Arial" w:hAnsi="Verdana" w:cs="Arial"/>
        </w:rPr>
        <w:t xml:space="preserve">En todo caso, la tesis expuesta no puede entenderse como una habilitación para anticipar o celebrar contratos bajo la denominación de transacción cuando, en la realidad jurídica y fáctica, sus objetos, finalidades o condiciones difieran sustancialmente de </w:t>
      </w:r>
      <w:r>
        <w:rPr>
          <w:rFonts w:ascii="Verdana" w:eastAsia="Arial" w:hAnsi="Verdana" w:cs="Arial"/>
        </w:rPr>
        <w:t>las propias de dicha institución, como puede ser adelantar contratos como forma de compromiso a un contrato que se está gestionando o tramitando</w:t>
      </w:r>
      <w:r w:rsidRPr="00F82770">
        <w:rPr>
          <w:rFonts w:ascii="Verdana" w:eastAsia="Arial" w:hAnsi="Verdana" w:cs="Arial"/>
        </w:rPr>
        <w:t>. Admitir lo contrario</w:t>
      </w:r>
      <w:r>
        <w:rPr>
          <w:rFonts w:ascii="Verdana" w:eastAsia="Arial" w:hAnsi="Verdana" w:cs="Arial"/>
        </w:rPr>
        <w:t>,</w:t>
      </w:r>
      <w:r w:rsidRPr="00F82770">
        <w:rPr>
          <w:rFonts w:ascii="Verdana" w:eastAsia="Arial" w:hAnsi="Verdana" w:cs="Arial"/>
        </w:rPr>
        <w:t xml:space="preserve"> implicaría desnaturalizar el contrato de transacción, desbordando sus límites legales y propiciando el uso indebido de esta tipología negocial</w:t>
      </w:r>
      <w:r>
        <w:rPr>
          <w:rFonts w:ascii="Verdana" w:eastAsia="Arial" w:hAnsi="Verdana" w:cs="Arial"/>
        </w:rPr>
        <w:t xml:space="preserve"> para adelantar contrataciones de forma directa en el período de Ley de Garantías. </w:t>
      </w:r>
    </w:p>
    <w:p w14:paraId="08A04588" w14:textId="77777777" w:rsidR="006B1D58" w:rsidRPr="00F82770" w:rsidRDefault="006B1D58" w:rsidP="006B1D58">
      <w:pPr>
        <w:pStyle w:val="paragraph"/>
        <w:shd w:val="clear" w:color="auto" w:fill="FFFFFF"/>
        <w:spacing w:before="0" w:beforeAutospacing="0" w:after="0" w:afterAutospacing="0" w:line="276" w:lineRule="auto"/>
        <w:jc w:val="both"/>
        <w:textAlignment w:val="baseline"/>
        <w:rPr>
          <w:rFonts w:ascii="Verdana" w:hAnsi="Verdana" w:cs="Arial"/>
          <w:bCs/>
          <w:sz w:val="22"/>
          <w:szCs w:val="22"/>
          <w:lang w:val="es-ES"/>
        </w:rPr>
      </w:pPr>
    </w:p>
    <w:p w14:paraId="07982ECD" w14:textId="77777777" w:rsidR="006B1D58" w:rsidRPr="00F4158D" w:rsidRDefault="006B1D58" w:rsidP="006B1D58">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lastRenderedPageBreak/>
        <w:t xml:space="preserve">v.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483161" w14:textId="77777777" w:rsidR="006B1D58" w:rsidRPr="00F4158D" w:rsidRDefault="006B1D58" w:rsidP="006B1D58">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09B5E50" w14:textId="77777777" w:rsidR="006B1D58" w:rsidRPr="00F4158D" w:rsidRDefault="006B1D58" w:rsidP="006B1D58">
      <w:pPr>
        <w:spacing w:after="0" w:line="240"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337DD125" w14:textId="77777777" w:rsidR="006B1D58" w:rsidRPr="00593A5F" w:rsidRDefault="006B1D58" w:rsidP="006B1D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CCD471D" w14:textId="77777777" w:rsidR="006B1D58" w:rsidRPr="00593A5F" w:rsidRDefault="006B1D58" w:rsidP="006B1D58">
      <w:pPr>
        <w:widowControl w:val="0"/>
        <w:autoSpaceDE w:val="0"/>
        <w:autoSpaceDN w:val="0"/>
        <w:spacing w:after="0" w:line="240"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B1D58" w:rsidRPr="002407CE" w14:paraId="4BEF9430" w14:textId="77777777" w:rsidTr="00742817">
        <w:trPr>
          <w:trHeight w:val="311"/>
          <w:jc w:val="center"/>
        </w:trPr>
        <w:tc>
          <w:tcPr>
            <w:tcW w:w="8647" w:type="dxa"/>
          </w:tcPr>
          <w:p w14:paraId="6A2E1918" w14:textId="77777777" w:rsidR="006B1D58" w:rsidRDefault="006B1D58" w:rsidP="00742817">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 127.</w:t>
            </w:r>
          </w:p>
          <w:p w14:paraId="0585ADC6" w14:textId="77777777" w:rsidR="006B1D58" w:rsidRDefault="006B1D58" w:rsidP="00742817">
            <w:pPr>
              <w:pStyle w:val="Prrafodelista"/>
              <w:numPr>
                <w:ilvl w:val="0"/>
                <w:numId w:val="17"/>
              </w:numPr>
              <w:spacing w:after="120" w:line="276" w:lineRule="auto"/>
              <w:contextualSpacing w:val="0"/>
              <w:rPr>
                <w:rFonts w:ascii="Verdana" w:hAnsi="Verdana" w:cs="Arial"/>
              </w:rPr>
            </w:pPr>
            <w:r w:rsidRPr="00BC3F56">
              <w:rPr>
                <w:rFonts w:ascii="Verdana" w:hAnsi="Verdana" w:cs="Arial"/>
              </w:rPr>
              <w:t>Código Civil, artículos</w:t>
            </w:r>
            <w:r>
              <w:rPr>
                <w:rFonts w:ascii="Verdana" w:hAnsi="Verdana" w:cs="Arial"/>
              </w:rPr>
              <w:t xml:space="preserve"> 1501, 1625, 1740 a 1756, 2469,</w:t>
            </w:r>
            <w:r w:rsidRPr="00236B8A">
              <w:rPr>
                <w:rFonts w:ascii="Verdana" w:eastAsia="Calibri" w:hAnsi="Verdana" w:cs="Arial"/>
                <w:lang w:val="es-MX"/>
              </w:rPr>
              <w:t xml:space="preserve"> </w:t>
            </w:r>
            <w:r w:rsidRPr="00236B8A">
              <w:rPr>
                <w:rFonts w:ascii="Verdana" w:hAnsi="Verdana" w:cs="Arial"/>
                <w:lang w:val="es-MX"/>
              </w:rPr>
              <w:t>24</w:t>
            </w:r>
            <w:r>
              <w:rPr>
                <w:rFonts w:ascii="Verdana" w:hAnsi="Verdana" w:cs="Arial"/>
                <w:lang w:val="es-MX"/>
              </w:rPr>
              <w:t xml:space="preserve">76 a 2482. </w:t>
            </w:r>
          </w:p>
          <w:p w14:paraId="746848A9" w14:textId="77777777" w:rsidR="006B1D58" w:rsidRPr="00236B8A" w:rsidRDefault="006B1D58" w:rsidP="00742817">
            <w:pPr>
              <w:pStyle w:val="Prrafodelista"/>
              <w:numPr>
                <w:ilvl w:val="0"/>
                <w:numId w:val="17"/>
              </w:numPr>
              <w:spacing w:after="120" w:line="276" w:lineRule="auto"/>
              <w:contextualSpacing w:val="0"/>
              <w:rPr>
                <w:rFonts w:ascii="Verdana" w:hAnsi="Verdana" w:cs="Arial"/>
              </w:rPr>
            </w:pPr>
            <w:r>
              <w:rPr>
                <w:rFonts w:ascii="Verdana" w:hAnsi="Verdana" w:cs="Arial"/>
              </w:rPr>
              <w:t xml:space="preserve">Ley 80 de 1993, artículos 4, 13, 25, 32, 40 y 60. </w:t>
            </w:r>
            <w:r w:rsidRPr="00236B8A">
              <w:rPr>
                <w:rFonts w:ascii="Verdana" w:hAnsi="Verdana" w:cs="Arial"/>
              </w:rPr>
              <w:t xml:space="preserve"> </w:t>
            </w:r>
          </w:p>
          <w:p w14:paraId="5FB88363" w14:textId="77777777" w:rsidR="006B1D58" w:rsidRDefault="006B1D58" w:rsidP="00742817">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449560E1" w14:textId="77777777" w:rsidR="006B1D58" w:rsidRDefault="006B1D58" w:rsidP="00742817">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1150 de 2007, artículo 11. </w:t>
            </w:r>
          </w:p>
          <w:p w14:paraId="31B27181" w14:textId="77777777" w:rsidR="006B1D58" w:rsidRDefault="006B1D58" w:rsidP="00742817">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1437 de 2011, artículos 141 y 176. </w:t>
            </w:r>
          </w:p>
          <w:p w14:paraId="25B92C92" w14:textId="77777777" w:rsidR="006B1D58" w:rsidRPr="00236B8A" w:rsidRDefault="006B1D58" w:rsidP="00742817">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 xml:space="preserve">Ley 1563 de 2012, artículo 103. </w:t>
            </w:r>
          </w:p>
        </w:tc>
      </w:tr>
    </w:tbl>
    <w:p w14:paraId="4114C34A" w14:textId="77777777" w:rsidR="006B1D58" w:rsidRPr="002407CE" w:rsidRDefault="006B1D58" w:rsidP="006B1D58">
      <w:pPr>
        <w:widowControl w:val="0"/>
        <w:autoSpaceDE w:val="0"/>
        <w:autoSpaceDN w:val="0"/>
        <w:spacing w:after="0" w:line="276" w:lineRule="auto"/>
        <w:jc w:val="both"/>
        <w:rPr>
          <w:rFonts w:ascii="Verdana" w:hAnsi="Verdana" w:cs="Arial"/>
        </w:rPr>
      </w:pPr>
    </w:p>
    <w:p w14:paraId="5494BD28" w14:textId="77777777" w:rsidR="006B1D58" w:rsidRPr="00593A5F" w:rsidRDefault="006B1D58" w:rsidP="006B1D5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929881D" w14:textId="77777777" w:rsidR="006B1D58" w:rsidRPr="00593A5F" w:rsidRDefault="006B1D58" w:rsidP="006B1D58">
      <w:pPr>
        <w:widowControl w:val="0"/>
        <w:autoSpaceDE w:val="0"/>
        <w:autoSpaceDN w:val="0"/>
        <w:spacing w:after="0" w:line="276" w:lineRule="auto"/>
        <w:jc w:val="both"/>
        <w:rPr>
          <w:rFonts w:ascii="Verdana" w:hAnsi="Verdana" w:cs="Arial"/>
        </w:rPr>
      </w:pPr>
    </w:p>
    <w:p w14:paraId="79579F8B" w14:textId="77777777" w:rsidR="006B1D58" w:rsidRPr="007D6CC8" w:rsidRDefault="006B1D58" w:rsidP="006B1D58">
      <w:pPr>
        <w:widowControl w:val="0"/>
        <w:autoSpaceDE w:val="0"/>
        <w:autoSpaceDN w:val="0"/>
        <w:spacing w:after="0" w:line="276" w:lineRule="auto"/>
        <w:jc w:val="both"/>
        <w:rPr>
          <w:rFonts w:ascii="Verdana" w:hAnsi="Verdana" w:cs="Arial"/>
          <w:shd w:val="clear" w:color="auto" w:fill="FFFFFF"/>
        </w:rPr>
      </w:pPr>
      <w:r w:rsidRPr="00380CA4">
        <w:rPr>
          <w:rFonts w:ascii="Verdana" w:eastAsia="Calibri" w:hAnsi="Verdana" w:cs="Times New Roman"/>
        </w:rPr>
        <w:t xml:space="preserve">Sobre la finalidad y propósito de la Ley de Garantías Electorales, la ANCP- CCE </w:t>
      </w:r>
      <w:r w:rsidRPr="00380CA4">
        <w:rPr>
          <w:rFonts w:ascii="Verdana" w:eastAsia="Calibri" w:hAnsi="Verdana" w:cs="Times New Roman"/>
        </w:rPr>
        <w:lastRenderedPageBreak/>
        <w:t>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C-1548 del 2 de diciembre de 2025, C-1773 del 5 de diciembre de 2025, C-1646 del 17 de diciembre de 2025, C-1703 del 29 de diciembre de 2025, C-068 del 27 de enero de 2026</w:t>
      </w:r>
      <w:r>
        <w:rPr>
          <w:rFonts w:ascii="Verdana" w:eastAsia="Calibri" w:hAnsi="Verdana" w:cs="Times New Roman"/>
        </w:rPr>
        <w:t xml:space="preserve">, C-111 del 6 de febrero de 2026, C-127 del 6 de febrero de 2026, </w:t>
      </w:r>
      <w:r w:rsidRPr="0061256A">
        <w:rPr>
          <w:rFonts w:ascii="Verdana" w:hAnsi="Verdana" w:cs="Arial"/>
          <w:shd w:val="clear" w:color="auto" w:fill="FFFFFF"/>
        </w:rPr>
        <w:t>C-137 del 17 de febrero de 2026, C-185 del 23 de febrero de 2026, C-322 del 4 de marz</w:t>
      </w:r>
      <w:r>
        <w:rPr>
          <w:rFonts w:ascii="Verdana" w:hAnsi="Verdana" w:cs="Arial"/>
          <w:shd w:val="clear" w:color="auto" w:fill="FFFFFF"/>
        </w:rPr>
        <w:t xml:space="preserve">o de 2026, C-263 del 27 de marzo de 2026, C-358 del 15 de abril de 2026, C-410 del 24 de abril de 2026, </w:t>
      </w:r>
      <w:r>
        <w:rPr>
          <w:rFonts w:ascii="Verdana" w:eastAsia="Calibri" w:hAnsi="Verdana" w:cs="Times New Roman"/>
        </w:rPr>
        <w:t xml:space="preserve">entre otros.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1907DA0" w14:textId="77777777" w:rsidR="006B1D58" w:rsidRPr="00185EE9" w:rsidRDefault="006B1D58" w:rsidP="006B1D58">
      <w:pPr>
        <w:spacing w:after="0" w:line="256" w:lineRule="auto"/>
        <w:jc w:val="both"/>
        <w:rPr>
          <w:rFonts w:ascii="Verdana" w:eastAsia="Calibri" w:hAnsi="Verdana" w:cs="Times New Roman"/>
        </w:rPr>
      </w:pPr>
      <w:hyperlink r:id="rId17"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0F302CC8" w14:textId="77777777" w:rsidR="006B1D58" w:rsidRPr="00096788" w:rsidRDefault="006B1D58" w:rsidP="006B1D58">
      <w:pPr>
        <w:widowControl w:val="0"/>
        <w:autoSpaceDE w:val="0"/>
        <w:autoSpaceDN w:val="0"/>
        <w:spacing w:after="0" w:line="276" w:lineRule="auto"/>
        <w:jc w:val="both"/>
        <w:rPr>
          <w:rFonts w:ascii="Verdana" w:hAnsi="Verdana" w:cs="Arial"/>
          <w:color w:val="000000" w:themeColor="text1"/>
          <w:shd w:val="clear" w:color="auto" w:fill="FFFFFF"/>
        </w:rPr>
      </w:pPr>
    </w:p>
    <w:p w14:paraId="4632BD56" w14:textId="77777777" w:rsidR="006B1D58" w:rsidRPr="00BC3F56" w:rsidRDefault="006B1D58" w:rsidP="006B1D58">
      <w:pPr>
        <w:spacing w:after="0" w:line="256" w:lineRule="auto"/>
        <w:jc w:val="both"/>
        <w:rPr>
          <w:rFonts w:ascii="Verdana" w:eastAsia="Calibri" w:hAnsi="Verdana" w:cs="Times New Roman"/>
        </w:rPr>
      </w:pPr>
      <w:r w:rsidRPr="00BC3F56">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BC3F56">
        <w:rPr>
          <w:rFonts w:ascii="Verdana" w:eastAsia="Calibri" w:hAnsi="Verdana" w:cs="Times New Roman"/>
          <w:b/>
          <w:bCs/>
        </w:rPr>
        <w:t>Curso de Contratación Pública Sostenible y Socialmente Responsable</w:t>
      </w:r>
      <w:r w:rsidRPr="00BC3F56">
        <w:rPr>
          <w:rFonts w:ascii="Verdana" w:eastAsia="Calibri" w:hAnsi="Verdana" w:cs="Times New Roman"/>
        </w:rPr>
        <w:t xml:space="preserve">, una herramienta clave para fortalecer las capacidades de todos los compradores públicos, proveedores, servidores públicos v para generar </w:t>
      </w:r>
      <w:r w:rsidRPr="00BC3F56">
        <w:rPr>
          <w:rFonts w:ascii="Verdana" w:eastAsia="Calibri" w:hAnsi="Verdana" w:cs="Times New Roman"/>
        </w:rPr>
        <w:lastRenderedPageBreak/>
        <w:t>mayor valor público. Accede al curso y aprende como implementar criterios sociales y ambientales en las diferentes etapas del proceso de contratación:</w:t>
      </w:r>
      <w:r w:rsidRPr="00BC3F56">
        <w:rPr>
          <w:rFonts w:ascii="Verdana" w:eastAsia="Calibri" w:hAnsi="Verdana" w:cs="Times New Roman"/>
        </w:rPr>
        <w:br/>
      </w:r>
      <w:hyperlink r:id="rId18" w:tgtFrame="_new" w:history="1">
        <w:r w:rsidRPr="00BC3F56">
          <w:rPr>
            <w:rFonts w:ascii="Verdana" w:eastAsia="Calibri" w:hAnsi="Verdana" w:cs="Times New Roman"/>
            <w:color w:val="0000FF"/>
            <w:u w:val="single"/>
          </w:rPr>
          <w:t>https://formacionvirtual.colombiacompra.gov.co/mod/page/view.php?id=3718</w:t>
        </w:r>
      </w:hyperlink>
    </w:p>
    <w:p w14:paraId="23966D6D" w14:textId="77777777" w:rsidR="006B1D58" w:rsidRPr="00BC3F56" w:rsidRDefault="006B1D58" w:rsidP="006B1D58">
      <w:pPr>
        <w:spacing w:after="0" w:line="256" w:lineRule="auto"/>
        <w:jc w:val="both"/>
        <w:rPr>
          <w:rFonts w:ascii="Verdana" w:eastAsia="Calibri" w:hAnsi="Verdana" w:cs="Times New Roman"/>
        </w:rPr>
      </w:pPr>
    </w:p>
    <w:p w14:paraId="5CF0B8A0" w14:textId="77777777" w:rsidR="006B1D58" w:rsidRPr="00BC3F56" w:rsidRDefault="006B1D58" w:rsidP="006B1D58">
      <w:pPr>
        <w:spacing w:after="0" w:line="256" w:lineRule="auto"/>
        <w:jc w:val="both"/>
        <w:rPr>
          <w:rFonts w:ascii="Verdana" w:eastAsia="Calibri" w:hAnsi="Verdana" w:cs="Times New Roman"/>
        </w:rPr>
      </w:pPr>
      <w:r w:rsidRPr="00BC3F56">
        <w:rPr>
          <w:rFonts w:ascii="Verdana" w:eastAsia="Calibri" w:hAnsi="Verdana" w:cs="Times New Roman"/>
        </w:rPr>
        <w:t xml:space="preserve">De otro lado, te contamos que esta Agencia ha da un paso decisivo en la estandarización y modernización del </w:t>
      </w:r>
      <w:r w:rsidRPr="00BC3F56">
        <w:rPr>
          <w:rFonts w:ascii="Verdana" w:eastAsia="Calibri" w:hAnsi="Verdana" w:cs="Times New Roman"/>
          <w:b/>
          <w:bCs/>
        </w:rPr>
        <w:t>sector  social</w:t>
      </w:r>
      <w:r w:rsidRPr="00BC3F56">
        <w:rPr>
          <w:rFonts w:ascii="Verdana" w:eastAsia="Calibri" w:hAnsi="Verdana" w:cs="Times New Roman"/>
        </w:rPr>
        <w:t xml:space="preserve"> con la expedición de las </w:t>
      </w:r>
      <w:r w:rsidRPr="00BC3F56">
        <w:rPr>
          <w:rFonts w:ascii="Verdana" w:eastAsia="Calibri" w:hAnsi="Verdana" w:cs="Times New Roman"/>
          <w:b/>
          <w:bCs/>
        </w:rPr>
        <w:t>Resoluciones 539, 540, 541, 952 y 953 de 2025</w:t>
      </w:r>
      <w:r w:rsidRPr="00BC3F56">
        <w:rPr>
          <w:rFonts w:ascii="Verdana" w:eastAsia="Calibri" w:hAnsi="Verdana" w:cs="Times New Roman"/>
        </w:rPr>
        <w:t xml:space="preserve">, </w:t>
      </w:r>
      <w:r w:rsidRPr="00BC3F56">
        <w:rPr>
          <w:rFonts w:ascii="Verdana" w:eastAsia="Calibri" w:hAnsi="Verdana" w:cs="Times New Roman"/>
          <w:b/>
          <w:bCs/>
        </w:rPr>
        <w:t>mediante las cuales adoptó Documentos Tipo</w:t>
      </w:r>
      <w:r w:rsidRPr="00BC3F56">
        <w:rPr>
          <w:rFonts w:ascii="Verdana" w:eastAsia="Calibri" w:hAnsi="Verdana" w:cs="Times New Roman"/>
        </w:rPr>
        <w:t xml:space="preserve"> para las modalidades de selección de</w:t>
      </w:r>
      <w:r w:rsidRPr="00BC3F56">
        <w:rPr>
          <w:rFonts w:ascii="Verdana" w:eastAsia="Calibri" w:hAnsi="Verdana" w:cs="Times New Roman"/>
          <w:b/>
          <w:bCs/>
        </w:rPr>
        <w:t xml:space="preserve"> licitación pública (versión 2), selección abreviada de menor cuantía, mínima cuantía, consultoría e interventoría</w:t>
      </w:r>
      <w:r w:rsidRPr="00BC3F56">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9" w:tgtFrame="_new" w:history="1">
        <w:r w:rsidRPr="00BC3F56">
          <w:rPr>
            <w:rFonts w:ascii="Verdana" w:eastAsia="Calibri" w:hAnsi="Verdana" w:cs="Times New Roman"/>
            <w:color w:val="0000FF"/>
            <w:u w:val="single"/>
          </w:rPr>
          <w:t>https://www.colombiacompra.gov.co/normativa-y-relatoria/documentos-tipo</w:t>
        </w:r>
      </w:hyperlink>
    </w:p>
    <w:p w14:paraId="19E7BDA6" w14:textId="77777777" w:rsidR="006B1D58" w:rsidRPr="00BC3F56" w:rsidRDefault="006B1D58" w:rsidP="006B1D58">
      <w:pPr>
        <w:spacing w:after="0" w:line="256" w:lineRule="auto"/>
        <w:jc w:val="both"/>
        <w:rPr>
          <w:rFonts w:ascii="Verdana" w:eastAsia="Calibri" w:hAnsi="Verdana" w:cs="Times New Roman"/>
        </w:rPr>
      </w:pPr>
    </w:p>
    <w:p w14:paraId="6A6355E1" w14:textId="77777777" w:rsidR="006B1D58" w:rsidRPr="00BC3F56" w:rsidRDefault="006B1D58" w:rsidP="006B1D58">
      <w:pPr>
        <w:spacing w:after="0" w:line="256" w:lineRule="auto"/>
        <w:jc w:val="both"/>
        <w:rPr>
          <w:rFonts w:ascii="Verdana" w:eastAsia="Calibri" w:hAnsi="Verdana" w:cs="Times New Roman"/>
        </w:rPr>
      </w:pPr>
      <w:r w:rsidRPr="00BC3F56">
        <w:rPr>
          <w:rFonts w:ascii="Verdana" w:eastAsia="Calibri" w:hAnsi="Verdana" w:cs="Times New Roman"/>
        </w:rPr>
        <w:t xml:space="preserve">Si quieres conocer más sobre la aplicación de Documentos Tipo puedes consultar la última versión de la </w:t>
      </w:r>
      <w:r w:rsidRPr="00BC3F56">
        <w:rPr>
          <w:rFonts w:ascii="Verdana" w:eastAsia="Calibri" w:hAnsi="Verdana" w:cs="Times New Roman"/>
          <w:b/>
          <w:bCs/>
        </w:rPr>
        <w:t>Guía para la comprensión e implementación de los Documentos Tipo de obra pública de infraestructura de transporte</w:t>
      </w:r>
      <w:r w:rsidRPr="00BC3F56">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BC3F56">
        <w:rPr>
          <w:rFonts w:ascii="Verdana" w:eastAsia="Calibri" w:hAnsi="Verdana" w:cs="Times New Roman"/>
        </w:rPr>
        <w:br/>
      </w:r>
      <w:hyperlink r:id="rId20" w:tgtFrame="_new" w:history="1">
        <w:r w:rsidRPr="00BC3F56">
          <w:rPr>
            <w:rFonts w:ascii="Verdana" w:eastAsia="Calibri" w:hAnsi="Verdana" w:cs="Times New Roman"/>
            <w:color w:val="0000FF"/>
            <w:u w:val="single"/>
          </w:rPr>
          <w:t>https://www.colombiacompra.gov.co/archivos/manual/guia-para-la-comprension-e-implementacion-de-los-documentos-tipo-de-obra-publica-de-infraestructura-de-transporte-bajo-las-diferentes-modalidades-de-contratacion-vigentes</w:t>
        </w:r>
      </w:hyperlink>
    </w:p>
    <w:p w14:paraId="7FE28B00" w14:textId="77777777" w:rsidR="006B1D58" w:rsidRPr="00BC3F56" w:rsidRDefault="006B1D58" w:rsidP="006B1D58">
      <w:pPr>
        <w:spacing w:after="0" w:line="240" w:lineRule="auto"/>
        <w:jc w:val="both"/>
        <w:rPr>
          <w:rFonts w:ascii="Verdana" w:hAnsi="Verdana"/>
        </w:rPr>
      </w:pPr>
    </w:p>
    <w:p w14:paraId="30FB7F47" w14:textId="77777777" w:rsidR="006B1D58" w:rsidRPr="00BC3F56" w:rsidRDefault="006B1D58" w:rsidP="006B1D58">
      <w:pPr>
        <w:spacing w:after="0"/>
        <w:jc w:val="both"/>
        <w:rPr>
          <w:rFonts w:ascii="Verdana" w:hAnsi="Verdana"/>
        </w:rPr>
      </w:pPr>
      <w:r w:rsidRPr="00BC3F56">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3B4E9F6F" w14:textId="77777777" w:rsidR="006B1D58" w:rsidRPr="00BC3F56" w:rsidRDefault="006B1D58" w:rsidP="006B1D58">
      <w:pPr>
        <w:spacing w:after="0"/>
        <w:jc w:val="both"/>
        <w:rPr>
          <w:rFonts w:ascii="Verdana" w:hAnsi="Verdana"/>
        </w:rPr>
      </w:pPr>
    </w:p>
    <w:p w14:paraId="52473A98" w14:textId="77777777" w:rsidR="006B1D58" w:rsidRPr="00BC3F56" w:rsidRDefault="006B1D58" w:rsidP="006B1D58">
      <w:pPr>
        <w:numPr>
          <w:ilvl w:val="0"/>
          <w:numId w:val="15"/>
        </w:numPr>
        <w:spacing w:after="0" w:line="240" w:lineRule="auto"/>
        <w:contextualSpacing/>
        <w:jc w:val="both"/>
        <w:rPr>
          <w:rFonts w:ascii="Verdana" w:eastAsia="Verdana" w:hAnsi="Verdana" w:cs="Verdana"/>
          <w:color w:val="4472C4" w:themeColor="accent1"/>
          <w:u w:val="single"/>
          <w:lang w:val="es-MX"/>
        </w:rPr>
      </w:pPr>
      <w:r w:rsidRPr="00BC3F56">
        <w:rPr>
          <w:rFonts w:ascii="Verdana" w:eastAsia="Verdana" w:hAnsi="Verdana" w:cs="Verdana"/>
          <w:lang w:val="es-MX"/>
        </w:rPr>
        <w:t xml:space="preserve">Línea nacional gratuita o servicio a la ciudadanía (Mesa de servicio): </w:t>
      </w:r>
      <w:r w:rsidRPr="00BC3F56">
        <w:rPr>
          <w:rFonts w:ascii="Verdana" w:hAnsi="Verdana"/>
          <w:color w:val="0000FF"/>
          <w:u w:val="single"/>
          <w:lang w:val="es-ES"/>
        </w:rPr>
        <w:t>01800 0520808</w:t>
      </w:r>
    </w:p>
    <w:p w14:paraId="119FA7D2" w14:textId="77777777" w:rsidR="006B1D58" w:rsidRPr="00BC3F56" w:rsidRDefault="006B1D58" w:rsidP="006B1D58">
      <w:pPr>
        <w:numPr>
          <w:ilvl w:val="0"/>
          <w:numId w:val="15"/>
        </w:numPr>
        <w:spacing w:after="0"/>
        <w:contextualSpacing/>
        <w:rPr>
          <w:rFonts w:ascii="Verdana" w:eastAsia="Verdana" w:hAnsi="Verdana" w:cs="Verdana"/>
          <w:color w:val="4472C4" w:themeColor="accent1"/>
          <w:u w:val="single"/>
          <w:lang w:val="es-MX"/>
        </w:rPr>
      </w:pPr>
      <w:r w:rsidRPr="00BC3F56">
        <w:rPr>
          <w:rFonts w:ascii="Verdana" w:eastAsia="Verdana" w:hAnsi="Verdana" w:cs="Verdana"/>
          <w:lang w:val="es-MX"/>
        </w:rPr>
        <w:t>Línea en Bogotá (Mesa de servicio</w:t>
      </w:r>
      <w:proofErr w:type="gramStart"/>
      <w:r w:rsidRPr="00BC3F56">
        <w:rPr>
          <w:rFonts w:ascii="Verdana" w:eastAsia="Verdana" w:hAnsi="Verdana" w:cs="Verdana"/>
          <w:lang w:val="es-MX"/>
        </w:rPr>
        <w:t>):</w:t>
      </w:r>
      <w:r w:rsidRPr="00BC3F56">
        <w:rPr>
          <w:rFonts w:ascii="Verdana" w:hAnsi="Verdana"/>
          <w:color w:val="0000FF"/>
          <w:u w:val="single"/>
          <w:lang w:val="es-ES"/>
        </w:rPr>
        <w:t>+</w:t>
      </w:r>
      <w:proofErr w:type="gramEnd"/>
      <w:r w:rsidRPr="00BC3F56">
        <w:rPr>
          <w:rFonts w:ascii="Verdana" w:hAnsi="Verdana"/>
          <w:color w:val="0000FF"/>
          <w:u w:val="single"/>
          <w:lang w:val="es-ES"/>
        </w:rPr>
        <w:t>57 601 7456788</w:t>
      </w:r>
    </w:p>
    <w:p w14:paraId="34F5EB85" w14:textId="77777777" w:rsidR="006B1D58" w:rsidRPr="00BC3F56" w:rsidRDefault="006B1D58" w:rsidP="006B1D58">
      <w:pPr>
        <w:numPr>
          <w:ilvl w:val="0"/>
          <w:numId w:val="15"/>
        </w:numPr>
        <w:spacing w:after="0"/>
        <w:contextualSpacing/>
        <w:rPr>
          <w:rFonts w:ascii="Verdana" w:eastAsia="Verdana" w:hAnsi="Verdana" w:cs="Verdana"/>
          <w:color w:val="0000FF"/>
          <w:u w:val="single"/>
          <w:lang w:val="es-MX"/>
        </w:rPr>
      </w:pPr>
      <w:r w:rsidRPr="00BC3F56">
        <w:rPr>
          <w:rFonts w:ascii="Verdana" w:eastAsia="Verdana" w:hAnsi="Verdana" w:cs="Verdana"/>
          <w:lang w:val="es-MX"/>
        </w:rPr>
        <w:lastRenderedPageBreak/>
        <w:t xml:space="preserve">Correo de radicación de correspondencia: </w:t>
      </w:r>
      <w:hyperlink r:id="rId21">
        <w:r w:rsidRPr="00BC3F56">
          <w:rPr>
            <w:rFonts w:ascii="Verdana" w:eastAsia="Verdana" w:hAnsi="Verdana" w:cs="Verdana"/>
            <w:color w:val="0000FF"/>
            <w:u w:val="single"/>
            <w:lang w:val="es-MX"/>
          </w:rPr>
          <w:t>ventanilladeradicacion@colombiacompra.gov.co</w:t>
        </w:r>
      </w:hyperlink>
    </w:p>
    <w:p w14:paraId="59592B0D" w14:textId="77777777" w:rsidR="006B1D58" w:rsidRPr="00BC3F56" w:rsidRDefault="006B1D58" w:rsidP="006B1D58">
      <w:pPr>
        <w:numPr>
          <w:ilvl w:val="0"/>
          <w:numId w:val="15"/>
        </w:numPr>
        <w:spacing w:after="0"/>
        <w:contextualSpacing/>
        <w:rPr>
          <w:rFonts w:ascii="Verdana" w:eastAsia="Verdana" w:hAnsi="Verdana" w:cs="Verdana"/>
          <w:color w:val="0000FF"/>
          <w:u w:val="single"/>
          <w:lang w:val="es-MX"/>
        </w:rPr>
      </w:pPr>
      <w:r w:rsidRPr="00BC3F56">
        <w:rPr>
          <w:rFonts w:ascii="Verdana" w:eastAsia="Verdana" w:hAnsi="Verdana" w:cs="Verdana"/>
          <w:lang w:val="es-ES"/>
        </w:rPr>
        <w:t>Formulario web para</w:t>
      </w:r>
      <w:r w:rsidRPr="00BC3F56">
        <w:rPr>
          <w:rFonts w:ascii="Verdana" w:eastAsia="Verdana" w:hAnsi="Verdana" w:cs="Verdana"/>
          <w:lang w:val="es"/>
        </w:rPr>
        <w:t xml:space="preserve"> PQRSD: </w:t>
      </w:r>
      <w:hyperlink r:id="rId22">
        <w:r w:rsidRPr="00BC3F56">
          <w:rPr>
            <w:rFonts w:ascii="Verdana" w:eastAsia="Verdana" w:hAnsi="Verdana" w:cs="Verdana"/>
            <w:color w:val="0000FF"/>
            <w:u w:val="single"/>
            <w:lang w:val="es-MX"/>
          </w:rPr>
          <w:t>https://www.colombiacompra.gov.co/pqrsd/informacion-importante-antes-de-formular-una-pqrsd</w:t>
        </w:r>
      </w:hyperlink>
    </w:p>
    <w:p w14:paraId="4CD5747A" w14:textId="77777777" w:rsidR="006B1D58" w:rsidRPr="00BC3F56" w:rsidRDefault="006B1D58" w:rsidP="006B1D58">
      <w:pPr>
        <w:spacing w:after="0" w:line="240" w:lineRule="auto"/>
        <w:ind w:left="720"/>
        <w:jc w:val="both"/>
        <w:rPr>
          <w:rFonts w:ascii="Verdana" w:hAnsi="Verdana"/>
        </w:rPr>
      </w:pPr>
    </w:p>
    <w:p w14:paraId="33E25598" w14:textId="77777777" w:rsidR="006B1D58" w:rsidRPr="00BC3F56" w:rsidRDefault="006B1D58" w:rsidP="006B1D58">
      <w:pPr>
        <w:spacing w:after="0" w:line="240" w:lineRule="auto"/>
        <w:rPr>
          <w:rFonts w:ascii="Verdana" w:hAnsi="Verdana"/>
        </w:rPr>
      </w:pPr>
      <w:r w:rsidRPr="00BC3F56">
        <w:rPr>
          <w:rFonts w:ascii="Verdana" w:hAnsi="Verdana"/>
        </w:rPr>
        <w:t xml:space="preserve">Evalúa el servicio que ofrece la Agencia por el canal de atención de PQRSD en el siguiente </w:t>
      </w:r>
      <w:proofErr w:type="gramStart"/>
      <w:r w:rsidRPr="00BC3F56">
        <w:rPr>
          <w:rFonts w:ascii="Verdana" w:hAnsi="Verdana"/>
        </w:rPr>
        <w:t>enlace :</w:t>
      </w:r>
      <w:proofErr w:type="gramEnd"/>
      <w:hyperlink r:id="rId23" w:tgtFrame="_blank" w:tooltip="https://forms.office.com/r/pphywvs2sz" w:history="1">
        <w:r w:rsidRPr="00BC3F56">
          <w:rPr>
            <w:rFonts w:ascii="Verdana" w:hAnsi="Verdana"/>
            <w:color w:val="0000FF"/>
            <w:u w:val="single"/>
          </w:rPr>
          <w:t>https://forms.office.com/r/pPHyWVs2SZ</w:t>
        </w:r>
      </w:hyperlink>
      <w:r w:rsidRPr="00BC3F56">
        <w:rPr>
          <w:rFonts w:ascii="Verdana" w:hAnsi="Verdana"/>
        </w:rPr>
        <w:t xml:space="preserve"> .¡Ayúdanos a mejorar porque el compromiso es de todos!</w:t>
      </w:r>
    </w:p>
    <w:p w14:paraId="0CFA89EE" w14:textId="77777777" w:rsidR="006B1D58" w:rsidRPr="00BC3F56" w:rsidRDefault="006B1D58" w:rsidP="006B1D58">
      <w:pPr>
        <w:spacing w:after="0" w:line="240" w:lineRule="auto"/>
        <w:rPr>
          <w:rFonts w:ascii="Verdana" w:hAnsi="Verdana"/>
        </w:rPr>
      </w:pPr>
    </w:p>
    <w:p w14:paraId="028A1D8C" w14:textId="77777777" w:rsidR="006B1D58" w:rsidRPr="00BC3F56" w:rsidRDefault="006B1D58" w:rsidP="006B1D58">
      <w:pPr>
        <w:spacing w:after="0" w:line="240" w:lineRule="auto"/>
        <w:jc w:val="both"/>
        <w:rPr>
          <w:rFonts w:ascii="Verdana" w:hAnsi="Verdana"/>
        </w:rPr>
      </w:pPr>
      <w:r w:rsidRPr="00BC3F56">
        <w:rPr>
          <w:rFonts w:ascii="Verdana" w:hAnsi="Verdana"/>
        </w:rPr>
        <w:t xml:space="preserve">Por último, lo invitamos a seguirnos en las redes sociales en las cuales se difunde información institucional: </w:t>
      </w:r>
    </w:p>
    <w:p w14:paraId="079C2C2D" w14:textId="77777777" w:rsidR="006B1D58" w:rsidRPr="00BC3F56" w:rsidRDefault="006B1D58" w:rsidP="006B1D58">
      <w:pPr>
        <w:spacing w:after="0" w:line="240" w:lineRule="auto"/>
        <w:jc w:val="both"/>
        <w:rPr>
          <w:rFonts w:ascii="Verdana" w:hAnsi="Verdana"/>
        </w:rPr>
      </w:pPr>
    </w:p>
    <w:p w14:paraId="0D576330" w14:textId="77777777" w:rsidR="006B1D58" w:rsidRPr="00BC3F56" w:rsidRDefault="006B1D58" w:rsidP="006B1D58">
      <w:pPr>
        <w:spacing w:after="0" w:line="240" w:lineRule="auto"/>
        <w:jc w:val="both"/>
        <w:rPr>
          <w:rFonts w:ascii="Verdana" w:hAnsi="Verdana"/>
        </w:rPr>
      </w:pPr>
      <w:r w:rsidRPr="00BC3F56">
        <w:rPr>
          <w:rFonts w:ascii="Verdana" w:hAnsi="Verdana"/>
        </w:rPr>
        <w:t xml:space="preserve">Twitter: </w:t>
      </w:r>
      <w:r w:rsidRPr="00BC3F56">
        <w:rPr>
          <w:rFonts w:ascii="Verdana" w:hAnsi="Verdana"/>
          <w:color w:val="0000FF"/>
          <w:u w:val="single"/>
        </w:rPr>
        <w:t>@colombiacompra</w:t>
      </w:r>
      <w:r w:rsidRPr="00BC3F56">
        <w:rPr>
          <w:rFonts w:ascii="Verdana" w:hAnsi="Verdana"/>
        </w:rPr>
        <w:t xml:space="preserve"> </w:t>
      </w:r>
    </w:p>
    <w:p w14:paraId="6C84F2AE" w14:textId="77777777" w:rsidR="006B1D58" w:rsidRPr="00BC3F56" w:rsidRDefault="006B1D58" w:rsidP="006B1D58">
      <w:pPr>
        <w:spacing w:after="0" w:line="240" w:lineRule="auto"/>
        <w:jc w:val="both"/>
        <w:rPr>
          <w:rFonts w:ascii="Verdana" w:hAnsi="Verdana"/>
        </w:rPr>
      </w:pPr>
      <w:r w:rsidRPr="00BC3F56">
        <w:rPr>
          <w:rFonts w:ascii="Verdana" w:hAnsi="Verdana"/>
        </w:rPr>
        <w:t xml:space="preserve">Facebook: </w:t>
      </w:r>
      <w:proofErr w:type="spellStart"/>
      <w:r w:rsidRPr="00BC3F56">
        <w:rPr>
          <w:rFonts w:ascii="Verdana" w:hAnsi="Verdana"/>
          <w:color w:val="0000FF"/>
          <w:u w:val="single"/>
        </w:rPr>
        <w:t>ColombiaCompraEficiente</w:t>
      </w:r>
      <w:proofErr w:type="spellEnd"/>
    </w:p>
    <w:p w14:paraId="435EEE62" w14:textId="77777777" w:rsidR="006B1D58" w:rsidRPr="00BC3F56" w:rsidRDefault="006B1D58" w:rsidP="006B1D58">
      <w:pPr>
        <w:spacing w:after="0" w:line="240" w:lineRule="auto"/>
        <w:jc w:val="both"/>
        <w:rPr>
          <w:rFonts w:ascii="Verdana" w:hAnsi="Verdana"/>
        </w:rPr>
      </w:pPr>
      <w:r w:rsidRPr="00BC3F56">
        <w:rPr>
          <w:rFonts w:ascii="Verdana" w:hAnsi="Verdana"/>
        </w:rPr>
        <w:t xml:space="preserve">LinkedIn: </w:t>
      </w:r>
      <w:r w:rsidRPr="00BC3F56">
        <w:rPr>
          <w:rFonts w:ascii="Verdana" w:hAnsi="Verdana"/>
          <w:color w:val="0000FF"/>
          <w:u w:val="single"/>
        </w:rPr>
        <w:t>Agencia Nacional de Contratación Pública - Colombia Compra Eficiente</w:t>
      </w:r>
      <w:r w:rsidRPr="00BC3F56">
        <w:rPr>
          <w:rFonts w:ascii="Verdana" w:hAnsi="Verdana"/>
        </w:rPr>
        <w:t xml:space="preserve"> Instagram: </w:t>
      </w:r>
      <w:r w:rsidRPr="00BC3F56">
        <w:rPr>
          <w:rFonts w:ascii="Verdana" w:hAnsi="Verdana"/>
          <w:color w:val="0000FF"/>
          <w:u w:val="single"/>
        </w:rPr>
        <w:t>@colombiacompraeficiente_cce</w:t>
      </w:r>
    </w:p>
    <w:p w14:paraId="2BEBEB36" w14:textId="77777777" w:rsidR="006B1D58" w:rsidRPr="00593A5F" w:rsidRDefault="006B1D58" w:rsidP="006B1D58">
      <w:pPr>
        <w:widowControl w:val="0"/>
        <w:autoSpaceDE w:val="0"/>
        <w:autoSpaceDN w:val="0"/>
        <w:spacing w:after="0" w:line="276" w:lineRule="auto"/>
        <w:jc w:val="both"/>
        <w:rPr>
          <w:rFonts w:ascii="Verdana" w:hAnsi="Verdana" w:cs="Arial"/>
        </w:rPr>
      </w:pPr>
    </w:p>
    <w:p w14:paraId="14AB46A5" w14:textId="77777777" w:rsidR="006B1D58" w:rsidRDefault="006B1D58" w:rsidP="006B1D58">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9C1DB1F" w14:textId="77777777" w:rsidR="006B1D58" w:rsidRPr="00CF5EF4" w:rsidRDefault="006B1D58" w:rsidP="006B1D58">
      <w:pPr>
        <w:spacing w:after="0" w:line="240" w:lineRule="auto"/>
        <w:rPr>
          <w:rFonts w:ascii="Verdana" w:hAnsi="Verdana" w:cs="Arial"/>
          <w:sz w:val="16"/>
          <w:szCs w:val="16"/>
          <w:lang w:eastAsia="es-CO"/>
        </w:rPr>
      </w:pPr>
    </w:p>
    <w:p w14:paraId="6CFFEA0F" w14:textId="278B6D98" w:rsidR="006B1D58" w:rsidRPr="00CF5EF4" w:rsidRDefault="0089748D" w:rsidP="006B1D58">
      <w:pPr>
        <w:spacing w:after="0" w:line="256" w:lineRule="auto"/>
        <w:jc w:val="center"/>
        <w:rPr>
          <w:rFonts w:ascii="Century Gothic" w:hAnsi="Century Gothic"/>
          <w:noProof/>
          <w:sz w:val="16"/>
          <w:szCs w:val="16"/>
          <w:lang w:val="en-US"/>
        </w:rPr>
      </w:pPr>
      <w:r w:rsidRPr="002C3AD6">
        <w:rPr>
          <w:rFonts w:ascii="Century Gothic" w:hAnsi="Century Gothic"/>
          <w:noProof/>
          <w:lang w:val="en-US"/>
        </w:rPr>
        <w:drawing>
          <wp:inline distT="0" distB="0" distL="0" distR="0" wp14:anchorId="2AF8242E" wp14:editId="0C90C8E3">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312722" cy="1229722"/>
                    </a:xfrm>
                    <a:prstGeom prst="rect">
                      <a:avLst/>
                    </a:prstGeom>
                  </pic:spPr>
                </pic:pic>
              </a:graphicData>
            </a:graphic>
          </wp:inline>
        </w:drawing>
      </w:r>
    </w:p>
    <w:p w14:paraId="30C32B53" w14:textId="77777777" w:rsidR="006B1D58" w:rsidRPr="00CF5EF4" w:rsidRDefault="006B1D58" w:rsidP="006B1D58">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6B1D58" w:rsidRPr="00286830" w14:paraId="7B98B547" w14:textId="77777777" w:rsidTr="00742817">
        <w:trPr>
          <w:trHeight w:val="409"/>
        </w:trPr>
        <w:tc>
          <w:tcPr>
            <w:tcW w:w="817" w:type="dxa"/>
            <w:tcBorders>
              <w:top w:val="nil"/>
              <w:left w:val="nil"/>
              <w:bottom w:val="nil"/>
              <w:right w:val="nil"/>
            </w:tcBorders>
            <w:vAlign w:val="center"/>
            <w:hideMark/>
          </w:tcPr>
          <w:p w14:paraId="4A61DBF4"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27400073"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5D5E0954"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6B1D58" w:rsidRPr="00286830" w14:paraId="417D8D83" w14:textId="77777777" w:rsidTr="00742817">
        <w:trPr>
          <w:trHeight w:val="409"/>
        </w:trPr>
        <w:tc>
          <w:tcPr>
            <w:tcW w:w="817" w:type="dxa"/>
            <w:tcBorders>
              <w:top w:val="nil"/>
              <w:left w:val="nil"/>
              <w:bottom w:val="nil"/>
              <w:right w:val="nil"/>
            </w:tcBorders>
            <w:vAlign w:val="center"/>
            <w:hideMark/>
          </w:tcPr>
          <w:p w14:paraId="2C6F55DC"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63DB682"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Alejandro</w:t>
            </w:r>
            <w:r>
              <w:rPr>
                <w:rFonts w:ascii="Verdana" w:eastAsia="Calibri" w:hAnsi="Verdana" w:cs="Times New Roman"/>
                <w:sz w:val="16"/>
                <w:szCs w:val="16"/>
              </w:rPr>
              <w:t xml:space="preserve"> R</w:t>
            </w:r>
            <w:r w:rsidRPr="00286830">
              <w:rPr>
                <w:rFonts w:ascii="Verdana" w:eastAsia="Calibri" w:hAnsi="Verdana" w:cs="Times New Roman"/>
                <w:sz w:val="16"/>
                <w:szCs w:val="16"/>
              </w:rPr>
              <w:t xml:space="preserve"> Sarmiento Cantillo</w:t>
            </w:r>
          </w:p>
          <w:p w14:paraId="488F6E0C"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6B1D58" w:rsidRPr="00286830" w14:paraId="76747502" w14:textId="77777777" w:rsidTr="00742817">
        <w:trPr>
          <w:trHeight w:val="389"/>
        </w:trPr>
        <w:tc>
          <w:tcPr>
            <w:tcW w:w="817" w:type="dxa"/>
            <w:tcBorders>
              <w:top w:val="nil"/>
              <w:left w:val="nil"/>
              <w:bottom w:val="nil"/>
              <w:right w:val="nil"/>
            </w:tcBorders>
            <w:vAlign w:val="center"/>
            <w:hideMark/>
          </w:tcPr>
          <w:p w14:paraId="08AABB8D"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8E9C559"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5B44B8DA" w14:textId="77777777" w:rsidR="006B1D58" w:rsidRPr="00286830" w:rsidRDefault="006B1D58" w:rsidP="00742817">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6CB9CA8E" w14:textId="77777777" w:rsidR="006B1D58" w:rsidRPr="000E2B93" w:rsidRDefault="006B1D58" w:rsidP="006B1D58">
      <w:pPr>
        <w:spacing w:after="0" w:line="240" w:lineRule="auto"/>
        <w:textAlignment w:val="baseline"/>
        <w:rPr>
          <w:rFonts w:ascii="Verdana" w:eastAsia="Verdana" w:hAnsi="Verdana" w:cs="Verdana"/>
          <w:lang w:eastAsia="es-CO"/>
        </w:rPr>
      </w:pPr>
    </w:p>
    <w:sectPr w:rsidR="006B1D58" w:rsidRPr="000E2B93"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7F3B2" w14:textId="77777777" w:rsidR="009C0D0B" w:rsidRDefault="009C0D0B" w:rsidP="004A1847">
      <w:pPr>
        <w:spacing w:after="0" w:line="240" w:lineRule="auto"/>
      </w:pPr>
      <w:r>
        <w:separator/>
      </w:r>
    </w:p>
  </w:endnote>
  <w:endnote w:type="continuationSeparator" w:id="0">
    <w:p w14:paraId="32BECF3E" w14:textId="77777777" w:rsidR="009C0D0B" w:rsidRDefault="009C0D0B" w:rsidP="004A1847">
      <w:pPr>
        <w:spacing w:after="0" w:line="240" w:lineRule="auto"/>
      </w:pPr>
      <w:r>
        <w:continuationSeparator/>
      </w:r>
    </w:p>
  </w:endnote>
  <w:endnote w:type="continuationNotice" w:id="1">
    <w:p w14:paraId="5FFC80AB" w14:textId="77777777" w:rsidR="009C0D0B" w:rsidRDefault="009C0D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05202B" w:rsidRDefault="0005202B">
    <w:pPr>
      <w:pStyle w:val="Piedepgina"/>
    </w:pPr>
  </w:p>
  <w:p w14:paraId="594D6D9F" w14:textId="2878F197" w:rsidR="0005202B" w:rsidRPr="00174B77" w:rsidRDefault="0005202B"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B7AE9" w:rsidRPr="004B7AE9">
      <w:rPr>
        <w:rFonts w:ascii="Verdana" w:eastAsiaTheme="minorEastAsia" w:hAnsi="Verdana"/>
        <w:b/>
        <w:bCs/>
        <w:noProof/>
        <w:sz w:val="16"/>
        <w:szCs w:val="16"/>
      </w:rPr>
      <w:t>37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05202B" w:rsidRDefault="0005202B"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05202B" w:rsidRPr="00E41027" w:rsidRDefault="0005202B"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05202B" w:rsidRDefault="0005202B"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3BD150" w14:textId="77777777" w:rsidR="009C0D0B" w:rsidRDefault="009C0D0B" w:rsidP="004A1847">
      <w:pPr>
        <w:spacing w:after="0" w:line="240" w:lineRule="auto"/>
      </w:pPr>
      <w:r>
        <w:separator/>
      </w:r>
    </w:p>
  </w:footnote>
  <w:footnote w:type="continuationSeparator" w:id="0">
    <w:p w14:paraId="3FF0581F" w14:textId="77777777" w:rsidR="009C0D0B" w:rsidRDefault="009C0D0B" w:rsidP="004A1847">
      <w:pPr>
        <w:spacing w:after="0" w:line="240" w:lineRule="auto"/>
      </w:pPr>
      <w:r>
        <w:continuationSeparator/>
      </w:r>
    </w:p>
  </w:footnote>
  <w:footnote w:type="continuationNotice" w:id="1">
    <w:p w14:paraId="56B38974" w14:textId="77777777" w:rsidR="009C0D0B" w:rsidRDefault="009C0D0B">
      <w:pPr>
        <w:spacing w:after="0" w:line="240" w:lineRule="auto"/>
      </w:pPr>
    </w:p>
  </w:footnote>
  <w:footnote w:id="2">
    <w:p w14:paraId="5AB71AB8"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3D88E19B" w14:textId="77777777" w:rsidR="006B1D58" w:rsidRPr="00F62D81" w:rsidRDefault="006B1D58" w:rsidP="006B1D58">
      <w:pPr>
        <w:pStyle w:val="Textonotapie"/>
        <w:ind w:firstLine="709"/>
        <w:jc w:val="both"/>
        <w:rPr>
          <w:rFonts w:ascii="Verdana" w:hAnsi="Verdana" w:cs="Arial"/>
          <w:sz w:val="16"/>
          <w:szCs w:val="16"/>
        </w:rPr>
      </w:pPr>
      <w:r w:rsidRPr="00F62D8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4743CC34"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Gaceta del Congreso de la República No. 71 del 2005.</w:t>
      </w:r>
    </w:p>
  </w:footnote>
  <w:footnote w:id="4">
    <w:p w14:paraId="0EFDB904" w14:textId="77777777" w:rsidR="006B1D58" w:rsidRPr="00F62D81" w:rsidRDefault="006B1D58" w:rsidP="006B1D58">
      <w:pPr>
        <w:pStyle w:val="Textonotapie"/>
        <w:ind w:firstLine="709"/>
        <w:jc w:val="both"/>
        <w:rPr>
          <w:rFonts w:ascii="Verdana" w:hAnsi="Verdana" w:cs="Arial"/>
          <w:sz w:val="16"/>
          <w:szCs w:val="16"/>
          <w:lang w:val="pt-BR"/>
        </w:rPr>
      </w:pPr>
      <w:r w:rsidRPr="00F62D81">
        <w:rPr>
          <w:rStyle w:val="Refdenotaalpie"/>
          <w:rFonts w:ascii="Verdana" w:hAnsi="Verdana" w:cs="Arial"/>
          <w:sz w:val="16"/>
          <w:szCs w:val="16"/>
        </w:rPr>
        <w:footnoteRef/>
      </w:r>
      <w:r w:rsidRPr="00F62D81">
        <w:rPr>
          <w:rFonts w:ascii="Verdana" w:hAnsi="Verdana" w:cs="Arial"/>
          <w:sz w:val="16"/>
          <w:szCs w:val="16"/>
          <w:lang w:val="pt-BR"/>
        </w:rPr>
        <w:t xml:space="preserve"> Corte Constitucional, Sentencia C- 1153 de 2005, M.P. Marco Gerardo Monroy Cabra.</w:t>
      </w:r>
    </w:p>
  </w:footnote>
  <w:footnote w:id="5">
    <w:p w14:paraId="36AF84ED" w14:textId="77777777" w:rsidR="006B1D58" w:rsidRPr="00F62D81" w:rsidRDefault="006B1D58" w:rsidP="006B1D58">
      <w:pPr>
        <w:pStyle w:val="Textonotapie"/>
        <w:ind w:firstLine="709"/>
        <w:jc w:val="both"/>
        <w:rPr>
          <w:rFonts w:ascii="Verdana" w:hAnsi="Verdana" w:cs="Arial"/>
          <w:sz w:val="16"/>
          <w:szCs w:val="16"/>
          <w:lang w:val="pt-BR"/>
        </w:rPr>
      </w:pPr>
      <w:r w:rsidRPr="00F62D81">
        <w:rPr>
          <w:rStyle w:val="Refdenotaalpie"/>
          <w:rFonts w:ascii="Verdana" w:hAnsi="Verdana" w:cs="Arial"/>
          <w:sz w:val="16"/>
          <w:szCs w:val="16"/>
        </w:rPr>
        <w:footnoteRef/>
      </w:r>
      <w:r w:rsidRPr="00F62D81">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068B53F7" w14:textId="77777777" w:rsidR="006B1D58" w:rsidRPr="00F62D81" w:rsidRDefault="006B1D58" w:rsidP="006B1D58">
      <w:pPr>
        <w:pStyle w:val="Textonotapie"/>
        <w:ind w:firstLine="709"/>
        <w:jc w:val="both"/>
        <w:rPr>
          <w:rFonts w:ascii="Verdana" w:hAnsi="Verdana" w:cs="Arial"/>
          <w:sz w:val="16"/>
          <w:szCs w:val="16"/>
          <w:lang w:val="es-CO"/>
        </w:rPr>
      </w:pPr>
      <w:r w:rsidRPr="00F62D81">
        <w:rPr>
          <w:rStyle w:val="Refdenotaalpie"/>
          <w:rFonts w:ascii="Verdana" w:hAnsi="Verdana" w:cs="Arial"/>
          <w:sz w:val="16"/>
          <w:szCs w:val="16"/>
        </w:rPr>
        <w:footnoteRef/>
      </w:r>
      <w:r w:rsidRPr="00F62D8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2A20D25F"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de fecha 24 de julio de 2013, radicado 2166, C. P. Álvaro Namén Vargas.  </w:t>
      </w:r>
    </w:p>
  </w:footnote>
  <w:footnote w:id="8">
    <w:p w14:paraId="48333D5C" w14:textId="77777777" w:rsidR="006B1D58" w:rsidRPr="00F62D81" w:rsidRDefault="006B1D58" w:rsidP="006B1D58">
      <w:pPr>
        <w:spacing w:after="0" w:line="240" w:lineRule="auto"/>
        <w:ind w:firstLine="709"/>
        <w:jc w:val="both"/>
        <w:rPr>
          <w:rFonts w:ascii="Verdana" w:eastAsia="Times New Roman"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eastAsia="Calibri" w:hAnsi="Verdana" w:cs="Arial"/>
          <w:color w:val="000000"/>
          <w:sz w:val="16"/>
          <w:szCs w:val="16"/>
        </w:rPr>
        <w:t>“</w:t>
      </w:r>
      <w:r w:rsidRPr="00F62D81">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0C5CAC2" w14:textId="77777777" w:rsidR="006B1D58" w:rsidRPr="00F62D81" w:rsidRDefault="006B1D58" w:rsidP="006B1D58">
      <w:pPr>
        <w:spacing w:after="0" w:line="240" w:lineRule="auto"/>
        <w:ind w:firstLine="709"/>
        <w:jc w:val="both"/>
        <w:rPr>
          <w:rFonts w:ascii="Verdana" w:eastAsia="Times New Roman" w:hAnsi="Verdana" w:cs="Arial"/>
          <w:sz w:val="16"/>
          <w:szCs w:val="16"/>
        </w:rPr>
      </w:pPr>
      <w:r w:rsidRPr="00F62D8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62D81">
        <w:rPr>
          <w:rFonts w:ascii="Verdana" w:eastAsia="Calibri" w:hAnsi="Verdana" w:cs="Arial"/>
          <w:color w:val="000000"/>
          <w:sz w:val="16"/>
          <w:szCs w:val="16"/>
        </w:rPr>
        <w:t>”</w:t>
      </w:r>
      <w:r w:rsidRPr="00F62D81">
        <w:rPr>
          <w:rFonts w:ascii="Verdana" w:eastAsia="Times New Roman" w:hAnsi="Verdana" w:cs="Arial"/>
          <w:sz w:val="16"/>
          <w:szCs w:val="16"/>
        </w:rPr>
        <w:t>.</w:t>
      </w:r>
    </w:p>
  </w:footnote>
  <w:footnote w:id="9">
    <w:p w14:paraId="6F007A98" w14:textId="77777777" w:rsidR="006B1D58" w:rsidRPr="00F62D81" w:rsidRDefault="006B1D58" w:rsidP="006B1D58">
      <w:pPr>
        <w:pStyle w:val="NormalWeb"/>
        <w:spacing w:before="0" w:beforeAutospacing="0" w:after="0" w:afterAutospacing="0"/>
        <w:ind w:firstLine="709"/>
        <w:jc w:val="both"/>
        <w:rPr>
          <w:rFonts w:ascii="Verdana" w:hAnsi="Verdana" w:cs="Arial"/>
          <w:sz w:val="16"/>
          <w:szCs w:val="16"/>
          <w:lang w:val="es-MX"/>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eastAsia="Calibri" w:hAnsi="Verdana" w:cs="Arial"/>
          <w:color w:val="000000"/>
          <w:sz w:val="16"/>
          <w:szCs w:val="16"/>
        </w:rPr>
        <w:t>“</w:t>
      </w:r>
      <w:r w:rsidRPr="00F62D81">
        <w:rPr>
          <w:rFonts w:ascii="Verdana" w:hAnsi="Verdana" w:cs="Arial"/>
          <w:sz w:val="16"/>
          <w:szCs w:val="16"/>
          <w:lang w:val="es-MX"/>
        </w:rPr>
        <w:t>Artículo 38. Prohibiciones para los servidores públicos. A los empleados del Estado les está prohibido: […]</w:t>
      </w:r>
    </w:p>
    <w:p w14:paraId="006C1ED2" w14:textId="77777777" w:rsidR="006B1D58" w:rsidRPr="00F62D81" w:rsidRDefault="006B1D58" w:rsidP="006B1D58">
      <w:pPr>
        <w:pStyle w:val="NormalWeb"/>
        <w:spacing w:before="0" w:beforeAutospacing="0" w:after="0" w:afterAutospacing="0"/>
        <w:ind w:firstLine="709"/>
        <w:jc w:val="both"/>
        <w:rPr>
          <w:rFonts w:ascii="Verdana" w:hAnsi="Verdana" w:cs="Arial"/>
          <w:sz w:val="16"/>
          <w:szCs w:val="16"/>
          <w:lang w:val="es-MX"/>
        </w:rPr>
      </w:pPr>
      <w:r w:rsidRPr="00F62D81">
        <w:rPr>
          <w:rStyle w:val="baj"/>
          <w:rFonts w:ascii="Verdana" w:hAnsi="Verdana" w:cs="Arial"/>
          <w:sz w:val="16"/>
          <w:szCs w:val="16"/>
          <w:lang w:val="es-MX"/>
        </w:rPr>
        <w:t>Parágrafo.</w:t>
      </w:r>
      <w:r w:rsidRPr="00F62D8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62D81">
        <w:rPr>
          <w:rFonts w:ascii="Verdana" w:eastAsia="Calibri" w:hAnsi="Verdana" w:cs="Arial"/>
          <w:color w:val="000000"/>
          <w:sz w:val="16"/>
          <w:szCs w:val="16"/>
        </w:rPr>
        <w:t>”</w:t>
      </w:r>
      <w:r w:rsidRPr="00F62D81">
        <w:rPr>
          <w:rFonts w:ascii="Verdana" w:hAnsi="Verdana" w:cs="Arial"/>
          <w:sz w:val="16"/>
          <w:szCs w:val="16"/>
          <w:lang w:val="es-MX"/>
        </w:rPr>
        <w:t>.</w:t>
      </w:r>
    </w:p>
  </w:footnote>
  <w:footnote w:id="10">
    <w:p w14:paraId="4EE70CAB" w14:textId="77777777" w:rsidR="006B1D58" w:rsidRPr="00F62D81" w:rsidRDefault="006B1D58" w:rsidP="006B1D58">
      <w:pPr>
        <w:pStyle w:val="Textonotapie"/>
        <w:ind w:firstLine="708"/>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Colombia Compra Eficiente. Circular Externa Única. Numeral 16.5. </w:t>
      </w:r>
    </w:p>
  </w:footnote>
  <w:footnote w:id="11">
    <w:p w14:paraId="10DDE6AC" w14:textId="77777777" w:rsidR="006B1D58" w:rsidRPr="00F62D81" w:rsidRDefault="006B1D58" w:rsidP="006B1D58">
      <w:pPr>
        <w:spacing w:after="0" w:line="240" w:lineRule="auto"/>
        <w:ind w:left="100" w:right="244" w:firstLine="608"/>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2BE71EAA" w14:textId="77777777" w:rsidR="006B1D58" w:rsidRPr="00F62D81" w:rsidRDefault="006B1D58" w:rsidP="006B1D58">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[25] </w:t>
      </w:r>
      <w:r w:rsidRPr="00F62D81">
        <w:rPr>
          <w:rFonts w:ascii="Verdana" w:hAnsi="Verdana" w:cs="Arial"/>
          <w:sz w:val="16"/>
          <w:szCs w:val="16"/>
        </w:rPr>
        <w:t>Cfr. Consejo de Estado. Sección Tercera. Sentencia de 3 de diciembre de 2007. Radicados: 24.715, 25.206, 25.409, 24.524, 27.834, 25.410, 26.105, 28.244, 31.447 -acumulados-“.</w:t>
      </w:r>
    </w:p>
  </w:footnote>
  <w:footnote w:id="13">
    <w:p w14:paraId="5C9032DA" w14:textId="77777777" w:rsidR="006B1D58" w:rsidRPr="00F62D81" w:rsidRDefault="006B1D58" w:rsidP="006B1D58">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[26] </w:t>
      </w:r>
      <w:r w:rsidRPr="00F62D81">
        <w:rPr>
          <w:rFonts w:ascii="Verdana" w:hAnsi="Verdana" w:cs="Arial"/>
          <w:sz w:val="16"/>
          <w:szCs w:val="16"/>
        </w:rPr>
        <w:t>Al respecto ver el concepto 1712 de 2 de febrero de 2006. Consejo de Estado Sala de Consulta y Servicio Civil”.</w:t>
      </w:r>
    </w:p>
  </w:footnote>
  <w:footnote w:id="14">
    <w:p w14:paraId="22FBBFE5"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2EFD80D8" w14:textId="77777777" w:rsidR="006B1D58" w:rsidRPr="00F62D81" w:rsidRDefault="006B1D58" w:rsidP="006B1D58">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sz w:val="16"/>
          <w:szCs w:val="16"/>
          <w:lang w:val="es-ES"/>
        </w:rPr>
        <w:t xml:space="preserve">Artículo 2. </w:t>
      </w:r>
    </w:p>
  </w:footnote>
  <w:footnote w:id="16">
    <w:p w14:paraId="4E44B157" w14:textId="77777777" w:rsidR="006B1D58" w:rsidRPr="00F62D81" w:rsidRDefault="006B1D58" w:rsidP="006B1D58">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Fonts w:ascii="Verdana" w:hAnsi="Verdana" w:cs="Arial"/>
          <w:sz w:val="16"/>
          <w:szCs w:val="16"/>
        </w:rPr>
        <w:t xml:space="preserve"> </w:t>
      </w:r>
      <w:r w:rsidRPr="00F62D81">
        <w:rPr>
          <w:rFonts w:ascii="Verdana" w:hAnsi="Verdana" w:cs="Arial"/>
          <w:i/>
          <w:sz w:val="16"/>
          <w:szCs w:val="16"/>
          <w:lang w:val="es-ES"/>
        </w:rPr>
        <w:t>Ídem</w:t>
      </w:r>
      <w:r w:rsidRPr="00F62D81">
        <w:rPr>
          <w:rFonts w:ascii="Verdana" w:hAnsi="Verdana" w:cs="Arial"/>
          <w:sz w:val="16"/>
          <w:szCs w:val="16"/>
          <w:lang w:val="es-ES"/>
        </w:rPr>
        <w:t>.</w:t>
      </w:r>
    </w:p>
  </w:footnote>
  <w:footnote w:id="17">
    <w:p w14:paraId="3C542C66" w14:textId="77777777" w:rsidR="006B1D58" w:rsidRPr="00F62D81" w:rsidRDefault="006B1D58" w:rsidP="006B1D58">
      <w:pPr>
        <w:pStyle w:val="Textonotapie"/>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Style w:val="Refdenotaalpie"/>
          <w:rFonts w:ascii="Verdana" w:hAnsi="Verdana" w:cs="Arial"/>
          <w:sz w:val="16"/>
          <w:szCs w:val="16"/>
        </w:rPr>
        <w:t xml:space="preserve"> </w:t>
      </w:r>
      <w:r w:rsidRPr="00F62D81">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04381E13" w14:textId="77777777" w:rsidR="006B1D58" w:rsidRPr="00F62D81" w:rsidRDefault="006B1D58" w:rsidP="006B1D58">
      <w:pPr>
        <w:shd w:val="clear" w:color="auto" w:fill="FFFFFF"/>
        <w:spacing w:after="0" w:line="240" w:lineRule="auto"/>
        <w:ind w:firstLine="709"/>
        <w:jc w:val="both"/>
        <w:rPr>
          <w:rFonts w:ascii="Verdana" w:hAnsi="Verdana" w:cs="Arial"/>
          <w:sz w:val="16"/>
          <w:szCs w:val="16"/>
          <w:lang w:val="es-ES"/>
        </w:rPr>
      </w:pPr>
      <w:r w:rsidRPr="00F62D81">
        <w:rPr>
          <w:rStyle w:val="Refdenotaalpie"/>
          <w:rFonts w:ascii="Verdana" w:hAnsi="Verdana" w:cs="Arial"/>
          <w:sz w:val="16"/>
          <w:szCs w:val="16"/>
        </w:rPr>
        <w:footnoteRef/>
      </w:r>
      <w:r w:rsidRPr="00F62D81">
        <w:rPr>
          <w:rStyle w:val="Refdenotaalpie"/>
          <w:rFonts w:ascii="Verdana" w:hAnsi="Verdana" w:cs="Arial"/>
          <w:sz w:val="16"/>
          <w:szCs w:val="16"/>
        </w:rPr>
        <w:t xml:space="preserve"> </w:t>
      </w:r>
      <w:r w:rsidRPr="00F62D81">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77E66A48"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08 de mayo de 2018. Exp. 2.382. C.P. Álvaro Namén Vargas.</w:t>
      </w:r>
    </w:p>
  </w:footnote>
  <w:footnote w:id="20">
    <w:p w14:paraId="5D8852E0" w14:textId="77777777" w:rsidR="006B1D58" w:rsidRPr="00F62D81" w:rsidRDefault="006B1D58" w:rsidP="006B1D58">
      <w:pPr>
        <w:pStyle w:val="Textonotapie"/>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51E04BFE" w14:textId="77777777" w:rsidR="006B1D58" w:rsidRPr="00F62D81" w:rsidRDefault="006B1D58" w:rsidP="006B1D58">
      <w:pPr>
        <w:spacing w:after="0" w:line="240" w:lineRule="auto"/>
        <w:ind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24D02957" w14:textId="77777777" w:rsidR="006B1D58" w:rsidRPr="00F62D81" w:rsidRDefault="006B1D58" w:rsidP="006B1D58">
      <w:pPr>
        <w:pStyle w:val="Textonotapie"/>
        <w:ind w:right="51" w:firstLine="709"/>
        <w:jc w:val="both"/>
        <w:rPr>
          <w:rFonts w:ascii="Verdana" w:eastAsia="Times New Roman" w:hAnsi="Verdana" w:cs="Arial"/>
          <w:bCs/>
          <w:sz w:val="16"/>
          <w:szCs w:val="16"/>
          <w:lang w:eastAsia="x-none"/>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6 de abril de 2006. Radicación Número: 11001-03-06-000-2006-00038-00 (1738). C.P. Enrique José Arboleda Perdomo:</w:t>
      </w:r>
      <w:r w:rsidRPr="00F62D81">
        <w:rPr>
          <w:rFonts w:ascii="Verdana" w:eastAsia="Times New Roman" w:hAnsi="Verdana" w:cs="Arial"/>
          <w:bCs/>
          <w:sz w:val="16"/>
          <w:szCs w:val="16"/>
          <w:lang w:eastAsia="x-none"/>
        </w:rPr>
        <w:t xml:space="preserve"> “</w:t>
      </w:r>
      <w:r w:rsidRPr="00F62D81">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62D81">
        <w:rPr>
          <w:rFonts w:ascii="Verdana" w:eastAsia="Times New Roman" w:hAnsi="Verdana" w:cs="Arial"/>
          <w:bCs/>
          <w:sz w:val="16"/>
          <w:szCs w:val="16"/>
          <w:lang w:eastAsia="x-none"/>
        </w:rPr>
        <w:t>”.</w:t>
      </w:r>
    </w:p>
  </w:footnote>
  <w:footnote w:id="23">
    <w:p w14:paraId="60CEAED1" w14:textId="77777777" w:rsidR="006B1D58" w:rsidRPr="00F62D81" w:rsidRDefault="006B1D58" w:rsidP="006B1D58">
      <w:pPr>
        <w:spacing w:after="0" w:line="240" w:lineRule="auto"/>
        <w:ind w:firstLine="708"/>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 6 de abril de 2006. Radicación Número: 11001-03-06-000-2006-00038-00(1738). Consejero Ponente: Enrique José Arboleda Perdomo. </w:t>
      </w:r>
    </w:p>
  </w:footnote>
  <w:footnote w:id="24">
    <w:p w14:paraId="74157B50" w14:textId="77777777" w:rsidR="006B1D58" w:rsidRPr="00F62D81" w:rsidRDefault="006B1D58" w:rsidP="006B1D58">
      <w:pPr>
        <w:pStyle w:val="Textonotapie"/>
        <w:ind w:right="51" w:firstLine="709"/>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Consejo de Estado. Sala de Consulta y Servicio Civil. Concepto del 20 de febrero de 2006. Rad. 1727. C.P. Enrique José Arboleda Perdomo. </w:t>
      </w:r>
    </w:p>
  </w:footnote>
  <w:footnote w:id="25">
    <w:p w14:paraId="7728A1C6" w14:textId="77777777" w:rsidR="006B1D58" w:rsidRPr="00F62D81" w:rsidRDefault="006B1D58" w:rsidP="006B1D58">
      <w:pPr>
        <w:pStyle w:val="Textonotapie"/>
        <w:ind w:firstLine="709"/>
        <w:rPr>
          <w:rFonts w:ascii="Verdana" w:hAnsi="Verdana"/>
          <w:sz w:val="16"/>
          <w:szCs w:val="16"/>
          <w:lang w:val="es-CO"/>
        </w:rPr>
      </w:pPr>
      <w:r w:rsidRPr="00F62D81">
        <w:rPr>
          <w:rStyle w:val="Refdenotaalpie"/>
          <w:rFonts w:ascii="Verdana" w:hAnsi="Verdana"/>
          <w:sz w:val="16"/>
          <w:szCs w:val="16"/>
        </w:rPr>
        <w:footnoteRef/>
      </w:r>
      <w:r w:rsidRPr="00F62D81">
        <w:rPr>
          <w:rFonts w:ascii="Verdana" w:hAnsi="Verdana"/>
          <w:sz w:val="16"/>
          <w:szCs w:val="16"/>
        </w:rPr>
        <w:t xml:space="preserve"> </w:t>
      </w:r>
      <w:r w:rsidRPr="00F62D81">
        <w:rPr>
          <w:rFonts w:ascii="Verdana" w:hAnsi="Verdana" w:cs="Arial"/>
          <w:sz w:val="16"/>
          <w:szCs w:val="16"/>
        </w:rPr>
        <w:t>Consejo de Estado. Sala de Consulta y Servicio Civil. Concepto de 6 de abril de 2006. Rad. 1738. C.P. Enrique José Arboleda Perdomo.</w:t>
      </w:r>
    </w:p>
  </w:footnote>
  <w:footnote w:id="26">
    <w:p w14:paraId="6CD3108E" w14:textId="77777777" w:rsidR="006B1D58" w:rsidRPr="00F62D81" w:rsidRDefault="006B1D58" w:rsidP="006B1D58">
      <w:pPr>
        <w:pStyle w:val="Textonotapie"/>
        <w:ind w:firstLine="709"/>
        <w:contextualSpacing/>
        <w:jc w:val="both"/>
        <w:rPr>
          <w:rFonts w:ascii="Verdana" w:hAnsi="Verdana" w:cs="Arial"/>
          <w:sz w:val="16"/>
          <w:szCs w:val="16"/>
        </w:rPr>
      </w:pPr>
      <w:r w:rsidRPr="00F62D81">
        <w:rPr>
          <w:rStyle w:val="Refdenotaalpie"/>
          <w:rFonts w:ascii="Verdana" w:hAnsi="Verdana" w:cs="Arial"/>
          <w:sz w:val="16"/>
          <w:szCs w:val="16"/>
        </w:rPr>
        <w:footnoteRef/>
      </w:r>
      <w:r w:rsidRPr="00F62D81">
        <w:rPr>
          <w:rFonts w:ascii="Verdana" w:hAnsi="Verdana" w:cs="Arial"/>
          <w:sz w:val="16"/>
          <w:szCs w:val="16"/>
        </w:rPr>
        <w:t xml:space="preserve"> </w:t>
      </w:r>
      <w:bookmarkStart w:id="8" w:name="_Hlk192533196"/>
      <w:r w:rsidRPr="00F62D81">
        <w:rPr>
          <w:rFonts w:ascii="Verdana" w:hAnsi="Verdana" w:cs="Arial"/>
          <w:sz w:val="16"/>
          <w:szCs w:val="16"/>
        </w:rPr>
        <w:t>Consejo de Estado. Sala de Consulta y Servicio Civil. Concepto del 15 de noviembre de 2007. Rad. 1863. C.P.: Luis Fernando Álvarez Jaramillo.</w:t>
      </w:r>
      <w:bookmarkEnd w:id="8"/>
    </w:p>
  </w:footnote>
  <w:footnote w:id="27">
    <w:p w14:paraId="782EF984" w14:textId="77777777" w:rsidR="006B1D58" w:rsidRPr="00CF5EF4" w:rsidRDefault="006B1D58" w:rsidP="006B1D58">
      <w:pPr>
        <w:pStyle w:val="Textonotapie"/>
        <w:ind w:firstLine="708"/>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Colombia Compra Eficiente. Circular Externa Única. Numeral 15.5.</w:t>
      </w:r>
    </w:p>
  </w:footnote>
  <w:footnote w:id="28">
    <w:p w14:paraId="3D272661" w14:textId="77777777" w:rsidR="006B1D58" w:rsidRPr="00CF5EF4" w:rsidRDefault="006B1D58" w:rsidP="006B1D58">
      <w:pPr>
        <w:pStyle w:val="Textonotapie"/>
        <w:ind w:firstLine="709"/>
        <w:jc w:val="both"/>
        <w:rPr>
          <w:rFonts w:ascii="Verdana" w:hAnsi="Verdana" w:cs="Arial"/>
          <w:b/>
          <w:bCs/>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Procuraduría General de la Nación. Los mecanismos alternativos de solución de conflictos en Colombia. MASC. Estudios, caracterización y compilación normativa y jurisprudencial. Tomo III, p. 53. En: </w:t>
      </w:r>
      <w:hyperlink r:id="rId1" w:history="1">
        <w:r w:rsidRPr="00CF5EF4">
          <w:rPr>
            <w:rStyle w:val="Hipervnculo"/>
            <w:rFonts w:ascii="Verdana" w:hAnsi="Verdana" w:cs="Arial"/>
            <w:sz w:val="16"/>
            <w:szCs w:val="16"/>
          </w:rPr>
          <w:t>https://www.procuraduria.gov.co/iemp/media/file/img/noticias/Los%20mecanismos%20alternativos%20%20de%20soluci%C3%B3n%20de%20conflictos%20en%20Colombia%20+%20MASC.pdf</w:t>
        </w:r>
      </w:hyperlink>
    </w:p>
  </w:footnote>
  <w:footnote w:id="29">
    <w:p w14:paraId="21F82098"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Style w:val="Refdenotaalpie"/>
          <w:rFonts w:ascii="Verdana" w:hAnsi="Verdana" w:cs="Arial"/>
          <w:color w:val="000000" w:themeColor="text1"/>
          <w:sz w:val="16"/>
          <w:szCs w:val="16"/>
        </w:rPr>
        <w:footnoteRef/>
      </w:r>
      <w:r w:rsidRPr="00CF5EF4">
        <w:rPr>
          <w:rFonts w:ascii="Verdana" w:hAnsi="Verdana" w:cs="Arial"/>
          <w:color w:val="000000" w:themeColor="text1"/>
          <w:sz w:val="16"/>
          <w:szCs w:val="16"/>
        </w:rPr>
        <w:t xml:space="preserve"> </w:t>
      </w:r>
      <w:r w:rsidRPr="00CF5EF4">
        <w:rPr>
          <w:rFonts w:ascii="Verdana" w:hAnsi="Verdana" w:cs="Arial"/>
          <w:color w:val="000000" w:themeColor="text1"/>
          <w:sz w:val="16"/>
          <w:szCs w:val="16"/>
          <w:lang w:val="es-ES"/>
        </w:rPr>
        <w:t>La redacción del artículo 1.625 es la siguiente: “</w:t>
      </w:r>
      <w:r w:rsidRPr="00CF5EF4">
        <w:rPr>
          <w:rFonts w:ascii="Verdana" w:hAnsi="Verdana" w:cs="Arial"/>
          <w:color w:val="000000" w:themeColor="text1"/>
          <w:sz w:val="16"/>
          <w:szCs w:val="16"/>
        </w:rPr>
        <w:t>Toda obligación puede extinguirse por una convención en que las partes interesadas, siendo capaces de disponer libremente de lo suyo, consientan en darla por nula.</w:t>
      </w:r>
    </w:p>
    <w:p w14:paraId="47073A64"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Las obligaciones se extinguen además en todo o en parte:</w:t>
      </w:r>
    </w:p>
    <w:p w14:paraId="7B57D9A1"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1o.) Por la solución o pago efectivo.</w:t>
      </w:r>
    </w:p>
    <w:p w14:paraId="7444E461"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2o.) Por la novación.</w:t>
      </w:r>
    </w:p>
    <w:p w14:paraId="11FA56DA"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3o.) Por la transacción.</w:t>
      </w:r>
    </w:p>
    <w:p w14:paraId="4BE2952E"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4o.) Por la remisión.</w:t>
      </w:r>
    </w:p>
    <w:p w14:paraId="4E81D117"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5o.) Por la compensación.</w:t>
      </w:r>
    </w:p>
    <w:p w14:paraId="653F2EDA"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6o.) Por la confusión.</w:t>
      </w:r>
    </w:p>
    <w:p w14:paraId="43F556AF"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7o.) Por la pérdida de la cosa que se debe.</w:t>
      </w:r>
    </w:p>
    <w:p w14:paraId="360B4A39"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8o.) Por la declaración de nulidad o por la rescisión.</w:t>
      </w:r>
    </w:p>
    <w:p w14:paraId="6A2B2D98"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9o.) Por el evento de la condición resolutoria.</w:t>
      </w:r>
    </w:p>
    <w:p w14:paraId="1581059A"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10.) Por la prescripción.</w:t>
      </w:r>
    </w:p>
    <w:p w14:paraId="11C08F35" w14:textId="77777777" w:rsidR="006B1D58" w:rsidRPr="00CF5EF4" w:rsidRDefault="006B1D58" w:rsidP="006B1D58">
      <w:pPr>
        <w:pStyle w:val="NormalWeb"/>
        <w:spacing w:before="0" w:beforeAutospacing="0" w:after="0" w:afterAutospacing="0"/>
        <w:ind w:firstLine="709"/>
        <w:jc w:val="both"/>
        <w:rPr>
          <w:rFonts w:ascii="Verdana" w:hAnsi="Verdana" w:cs="Arial"/>
          <w:color w:val="000000" w:themeColor="text1"/>
          <w:sz w:val="16"/>
          <w:szCs w:val="16"/>
        </w:rPr>
      </w:pPr>
      <w:r w:rsidRPr="00CF5EF4">
        <w:rPr>
          <w:rFonts w:ascii="Verdana" w:hAnsi="Verdana" w:cs="Arial"/>
          <w:color w:val="000000" w:themeColor="text1"/>
          <w:sz w:val="16"/>
          <w:szCs w:val="16"/>
        </w:rPr>
        <w:t>De la transacción y la prescripción se tratará al fin de este libro; de la condición resolutoria se ha tratado en el título De las obligaciones condicionales”.</w:t>
      </w:r>
    </w:p>
    <w:p w14:paraId="2342A8D1" w14:textId="77777777" w:rsidR="006B1D58" w:rsidRPr="00CF5EF4" w:rsidRDefault="006B1D58" w:rsidP="006B1D58">
      <w:pPr>
        <w:pStyle w:val="Textonotapie"/>
        <w:ind w:firstLine="709"/>
        <w:jc w:val="both"/>
        <w:rPr>
          <w:rFonts w:ascii="Verdana" w:hAnsi="Verdana" w:cs="Arial"/>
          <w:color w:val="000000" w:themeColor="text1"/>
          <w:sz w:val="16"/>
          <w:szCs w:val="16"/>
          <w:lang w:val="es-CO"/>
        </w:rPr>
      </w:pPr>
    </w:p>
  </w:footnote>
  <w:footnote w:id="30">
    <w:p w14:paraId="4F53151E" w14:textId="77777777" w:rsidR="006B1D58" w:rsidRPr="00CF5EF4" w:rsidRDefault="006B1D58" w:rsidP="006B1D58">
      <w:pPr>
        <w:pStyle w:val="Textonotapie"/>
        <w:ind w:firstLine="709"/>
        <w:jc w:val="both"/>
        <w:rPr>
          <w:rFonts w:ascii="Verdana" w:hAnsi="Verdana" w:cs="Arial"/>
          <w:sz w:val="16"/>
          <w:szCs w:val="16"/>
          <w:lang w:val="es-ES"/>
        </w:rPr>
      </w:pPr>
      <w:r w:rsidRPr="00CF5EF4">
        <w:rPr>
          <w:rStyle w:val="Refdenotaalpie"/>
          <w:rFonts w:ascii="Verdana" w:hAnsi="Verdana" w:cs="Arial"/>
          <w:sz w:val="16"/>
          <w:szCs w:val="16"/>
        </w:rPr>
        <w:footnoteRef/>
      </w:r>
      <w:r w:rsidRPr="00CF5EF4">
        <w:rPr>
          <w:rFonts w:ascii="Verdana" w:hAnsi="Verdana" w:cs="Arial"/>
          <w:sz w:val="16"/>
          <w:szCs w:val="16"/>
        </w:rPr>
        <w:t xml:space="preserve"> Así lo indica la norma: “</w:t>
      </w:r>
      <w:r w:rsidRPr="00CF5EF4">
        <w:rPr>
          <w:rFonts w:ascii="Verdana" w:hAnsi="Verdana" w:cs="Arial"/>
          <w:sz w:val="16"/>
          <w:szCs w:val="16"/>
          <w:lang w:val="es-ES"/>
        </w:rPr>
        <w:t>Cuando la pretensión comprenda aspectos que por su naturaleza son conciliables, para allanarse a la demanda la Nación requerirá autorización del Gobierno Nacional y las demás entidades públicas requerirán previa autorización expresa y escrita del Ministro, Jefe de Departamento Administrativo, Gobernador o Alcalde o de la autoridad que las represente o a cuyo Despacho estén vinculadas o adscritas. En los casos de órganos u organismos autónomos e independientes, tal autorización deberá expedirla el servidor de mayor jerarquía en la entidad”.</w:t>
      </w:r>
    </w:p>
    <w:p w14:paraId="415E0CC5" w14:textId="77777777" w:rsidR="006B1D58" w:rsidRPr="00CF5EF4" w:rsidRDefault="006B1D58" w:rsidP="006B1D58">
      <w:pPr>
        <w:pStyle w:val="Textonotapie"/>
        <w:ind w:firstLine="709"/>
        <w:jc w:val="both"/>
        <w:rPr>
          <w:rFonts w:ascii="Verdana" w:hAnsi="Verdana" w:cs="Arial"/>
          <w:sz w:val="16"/>
          <w:szCs w:val="16"/>
          <w:lang w:val="es-ES"/>
        </w:rPr>
      </w:pPr>
      <w:r w:rsidRPr="00CF5EF4">
        <w:rPr>
          <w:rFonts w:ascii="Verdana" w:hAnsi="Verdana" w:cs="Arial"/>
          <w:sz w:val="16"/>
          <w:szCs w:val="16"/>
          <w:lang w:val="es-ES"/>
        </w:rPr>
        <w:t>En el evento de allanamiento se dictará inmediatamente sentencia. Sin embargo, el juez podrá rechazar el allanamiento y decretar pruebas de oficio cuando advierta fraude o colusión o lo pida un tercero que intervenga en el proceso.</w:t>
      </w:r>
    </w:p>
    <w:p w14:paraId="501CB87C" w14:textId="77777777" w:rsidR="006B1D58" w:rsidRPr="00CF5EF4" w:rsidRDefault="006B1D58" w:rsidP="006B1D58">
      <w:pPr>
        <w:pStyle w:val="Textonotapie"/>
        <w:ind w:firstLine="709"/>
        <w:jc w:val="both"/>
        <w:rPr>
          <w:rFonts w:ascii="Verdana" w:hAnsi="Verdana" w:cs="Arial"/>
          <w:sz w:val="16"/>
          <w:szCs w:val="16"/>
          <w:lang w:val="es-ES"/>
        </w:rPr>
      </w:pPr>
      <w:r w:rsidRPr="00CF5EF4">
        <w:rPr>
          <w:rFonts w:ascii="Verdana" w:hAnsi="Verdana" w:cs="Arial"/>
          <w:sz w:val="16"/>
          <w:szCs w:val="16"/>
          <w:lang w:val="es-ES"/>
        </w:rPr>
        <w:t>Con las mismas formalidades anteriores podrá terminar el proceso por transacción”</w:t>
      </w:r>
    </w:p>
  </w:footnote>
  <w:footnote w:id="31">
    <w:p w14:paraId="78DE3B7E" w14:textId="77777777" w:rsidR="006B1D58" w:rsidRPr="00CF5EF4" w:rsidRDefault="006B1D58" w:rsidP="006B1D58">
      <w:pPr>
        <w:pStyle w:val="Textonotapie"/>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“Si durante las actuaciones arbitrales las partes llegan a una transacción o a una conciliación o mediación que resuelva el litigio, el tribunal dará por terminadas las actuaciones. Caso de que lo pidan ambas partes y el tribunal no se oponga, este verterá en un laudo los términos convenidos por aquellas.</w:t>
      </w:r>
    </w:p>
    <w:p w14:paraId="009D57CC" w14:textId="77777777" w:rsidR="006B1D58" w:rsidRPr="00CF5EF4" w:rsidRDefault="006B1D58" w:rsidP="006B1D58">
      <w:pPr>
        <w:pStyle w:val="Textonotapie"/>
        <w:ind w:firstLine="709"/>
        <w:jc w:val="both"/>
        <w:rPr>
          <w:rFonts w:ascii="Verdana" w:hAnsi="Verdana" w:cs="Arial"/>
          <w:sz w:val="16"/>
          <w:szCs w:val="16"/>
        </w:rPr>
      </w:pPr>
      <w:r w:rsidRPr="00CF5EF4">
        <w:rPr>
          <w:rFonts w:ascii="Verdana" w:hAnsi="Verdana" w:cs="Arial"/>
          <w:sz w:val="16"/>
          <w:szCs w:val="16"/>
        </w:rPr>
        <w:t>Dicho laudo tendrá los mismos efectos que cualquier otro laudo dictado sobre el fondo del litigio”.</w:t>
      </w:r>
    </w:p>
  </w:footnote>
  <w:footnote w:id="32">
    <w:p w14:paraId="2F3DECE0" w14:textId="77777777" w:rsidR="006B1D58" w:rsidRPr="00CF5EF4" w:rsidRDefault="006B1D58" w:rsidP="006B1D58">
      <w:pPr>
        <w:pStyle w:val="Textonotapie"/>
        <w:ind w:firstLine="709"/>
        <w:jc w:val="both"/>
        <w:rPr>
          <w:rFonts w:ascii="Verdana" w:hAnsi="Verdana" w:cs="Arial"/>
          <w:sz w:val="16"/>
          <w:szCs w:val="16"/>
          <w:lang w:val="es-ES"/>
        </w:rPr>
      </w:pPr>
      <w:r w:rsidRPr="00CF5EF4">
        <w:rPr>
          <w:rStyle w:val="Refdenotaalpie"/>
          <w:rFonts w:ascii="Verdana" w:hAnsi="Verdana" w:cs="Arial"/>
          <w:sz w:val="16"/>
          <w:szCs w:val="16"/>
        </w:rPr>
        <w:footnoteRef/>
      </w:r>
      <w:r w:rsidRPr="00CF5EF4">
        <w:rPr>
          <w:rFonts w:ascii="Verdana" w:hAnsi="Verdana" w:cs="Arial"/>
          <w:sz w:val="16"/>
          <w:szCs w:val="16"/>
        </w:rPr>
        <w:t xml:space="preserve"> </w:t>
      </w:r>
      <w:r w:rsidRPr="00CF5EF4">
        <w:rPr>
          <w:rFonts w:ascii="Verdana" w:hAnsi="Verdana" w:cs="Arial"/>
          <w:sz w:val="16"/>
          <w:szCs w:val="16"/>
          <w:lang w:val="es-ES"/>
        </w:rPr>
        <w:t>Entre las múltiples providencias de la Sección Tercera del Consejo de Estado que han aceptado la transacción como mecanismo de arreglo directo entre las partes en la contratación estatal, pueden consultarse las siguientes, que son las más recientes: Consejo de Estado. Sección Tercera. Auto del 2 de octubre de 2020. Consejero Ponente: Jaime Enrique Rodríguez Navas. Expediente: 64.066A. / Sentencia del 12 de agosto de 2019. Consejera Ponente: María Adriana Marín. Expediente: 38.603. / Auto del 8 de mayo de 2019. Consejero Ponente: Alberto Montaña Plata. Expediente: 41.868 / Sentencia del 2 de marzo de 2017. Consejero Ponente: Ramiro Pazos Guerrero. Expediente: 35.818.</w:t>
      </w:r>
    </w:p>
  </w:footnote>
  <w:footnote w:id="33">
    <w:p w14:paraId="75B516F4" w14:textId="77777777" w:rsidR="006B1D58" w:rsidRPr="00CF5EF4" w:rsidRDefault="006B1D58" w:rsidP="006B1D58">
      <w:pPr>
        <w:pStyle w:val="Textonotapie"/>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CARRILLO, Fernando y GÓMEZ, Iván. En: Procuraduría General de la Nación, Op. Cit., pp. 53-60.</w:t>
      </w:r>
    </w:p>
  </w:footnote>
  <w:footnote w:id="34">
    <w:p w14:paraId="3F3E8238" w14:textId="77777777" w:rsidR="006B1D58" w:rsidRPr="00CF5EF4" w:rsidRDefault="006B1D58" w:rsidP="006B1D58">
      <w:pPr>
        <w:pStyle w:val="Textonotapie"/>
        <w:ind w:firstLine="709"/>
        <w:jc w:val="both"/>
        <w:rPr>
          <w:rFonts w:ascii="Verdana" w:hAnsi="Verdana" w:cs="Arial"/>
          <w:sz w:val="16"/>
          <w:szCs w:val="16"/>
          <w:lang w:val="es-ES_tradnl"/>
        </w:rPr>
      </w:pPr>
      <w:r w:rsidRPr="00CF5EF4">
        <w:rPr>
          <w:rStyle w:val="Refdenotaalpie"/>
          <w:rFonts w:ascii="Verdana" w:hAnsi="Verdana" w:cs="Arial"/>
          <w:sz w:val="16"/>
          <w:szCs w:val="16"/>
        </w:rPr>
        <w:footnoteRef/>
      </w:r>
      <w:r w:rsidRPr="00CF5EF4">
        <w:rPr>
          <w:rFonts w:ascii="Verdana" w:hAnsi="Verdana" w:cs="Arial"/>
          <w:sz w:val="16"/>
          <w:szCs w:val="16"/>
        </w:rPr>
        <w:t xml:space="preserve"> EXPÓSITO VÉLEZ, Juan Carlos. La liquidación bilateral de los contratos estatales: un mecanismo alternativo de solución de conflictos. En: Revista Digital de Derecho Administrativo, No. 1, 2009, pp. 18-19. En: https://revistas.uexternado.edu.co/index.php/Deradm/article/view/2591</w:t>
      </w:r>
    </w:p>
  </w:footnote>
  <w:footnote w:id="35">
    <w:p w14:paraId="5C166C0B" w14:textId="77777777" w:rsidR="006B1D58" w:rsidRPr="00CF5EF4" w:rsidRDefault="006B1D58" w:rsidP="006B1D58">
      <w:pPr>
        <w:spacing w:after="0" w:line="240" w:lineRule="auto"/>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Sentencia del 19 de mayo de 2005. Consejera Ponente: María Elena Giraldo Gómez. Radicación número: 63001-23-31-000-2002-00719-02.</w:t>
      </w:r>
    </w:p>
  </w:footnote>
  <w:footnote w:id="36">
    <w:p w14:paraId="633BC9B2" w14:textId="77777777" w:rsidR="006B1D58" w:rsidRPr="00CF5EF4" w:rsidRDefault="006B1D58" w:rsidP="006B1D58">
      <w:pPr>
        <w:pStyle w:val="Textonotapie"/>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Auto del 25 de octubre de 2019. Consejero Ponente: Carlos Alberto Zambrano Barrera. Expediente: 64.054.</w:t>
      </w:r>
    </w:p>
  </w:footnote>
  <w:footnote w:id="37">
    <w:p w14:paraId="07B59A7E" w14:textId="77777777" w:rsidR="006B1D58" w:rsidRPr="00CF5EF4" w:rsidRDefault="006B1D58" w:rsidP="006B1D58">
      <w:pPr>
        <w:spacing w:after="0" w:line="240" w:lineRule="auto"/>
        <w:ind w:firstLine="709"/>
        <w:jc w:val="both"/>
        <w:rPr>
          <w:rFonts w:ascii="Verdana" w:hAnsi="Verdana" w:cs="Arial"/>
          <w:color w:val="000000"/>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Sentencia del 12 de agosto de 2019. Consejera Ponente: María Adriana Marín. Expediente: </w:t>
      </w:r>
      <w:r w:rsidRPr="00CF5EF4">
        <w:rPr>
          <w:rFonts w:ascii="Verdana" w:hAnsi="Verdana" w:cs="Arial"/>
          <w:color w:val="000000"/>
          <w:sz w:val="16"/>
          <w:szCs w:val="16"/>
        </w:rPr>
        <w:t>38.603.</w:t>
      </w:r>
    </w:p>
  </w:footnote>
  <w:footnote w:id="38">
    <w:p w14:paraId="5CF48BAB" w14:textId="77777777" w:rsidR="006B1D58" w:rsidRPr="00CF5EF4" w:rsidRDefault="006B1D58" w:rsidP="006B1D58">
      <w:pPr>
        <w:pStyle w:val="Textonotapie"/>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Sentencia del 19 de mayo de 2005. Consejera Ponente: María Elena Giraldo Gómez. Radicación número: 63001-23-31-000-2002-00719-02.</w:t>
      </w:r>
    </w:p>
  </w:footnote>
  <w:footnote w:id="39">
    <w:p w14:paraId="2C9F0C4B" w14:textId="77777777" w:rsidR="006B1D58" w:rsidRPr="00CF5EF4" w:rsidRDefault="006B1D58" w:rsidP="006B1D58">
      <w:pPr>
        <w:pStyle w:val="Textonotapie"/>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Auto del 14 de febrero de 2019. Consejera Ponente: Marta Nubia Velásquez Rico. Expediente: 60.049.</w:t>
      </w:r>
    </w:p>
  </w:footnote>
  <w:footnote w:id="40">
    <w:p w14:paraId="6CA765AC" w14:textId="77777777" w:rsidR="006B1D58" w:rsidRPr="00CF5EF4" w:rsidRDefault="006B1D58" w:rsidP="006B1D58">
      <w:pPr>
        <w:pStyle w:val="Textonotapie"/>
        <w:ind w:firstLine="708"/>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Consejo de Estado. Sección Tercera. Sentencia del 25 de junio de 2014. Consejero Ponente: Hernán Andrade Rincón. Expediente: 28.067.</w:t>
      </w:r>
    </w:p>
  </w:footnote>
  <w:footnote w:id="41">
    <w:p w14:paraId="6CF45BD0" w14:textId="77777777" w:rsidR="006B1D58" w:rsidRPr="00CF5EF4" w:rsidRDefault="006B1D58" w:rsidP="006B1D58">
      <w:pPr>
        <w:pStyle w:val="Textonotapie"/>
        <w:ind w:firstLine="708"/>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Laudo arbitral. Tren de Occidente S.A. contra la Agencia Nacional de Infraestructura. Laudo del 14 de febrero del 2014. En palabras del Tribunal «En cualquier caso, la simple renuncia de un derecho por una de las partes sin contraprestación de la otra, no configura un contrato de transacción, sino una categoría contractual diversa».</w:t>
      </w:r>
    </w:p>
  </w:footnote>
  <w:footnote w:id="42">
    <w:p w14:paraId="75731CCA" w14:textId="77777777" w:rsidR="006B1D58" w:rsidRPr="00CF5EF4" w:rsidRDefault="006B1D58" w:rsidP="006B1D58">
      <w:pPr>
        <w:spacing w:after="0"/>
        <w:ind w:firstLine="709"/>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eastAsia="Calibri" w:hAnsi="Verdana" w:cs="Arial"/>
          <w:color w:val="000000" w:themeColor="text1"/>
          <w:sz w:val="16"/>
          <w:szCs w:val="16"/>
          <w:lang w:val="es-ES_tradnl"/>
        </w:rPr>
        <w:t xml:space="preserve"> Con el fin de dar claridad sobre los eventos en los que no se está propiamente ante una transacción por falta de concesiones recíprocas, se presentan los siguientes ejemplos: i) En un acuerdo donde el contratista acepte realizar obras no previstas inicialmente en el contrato y la entidad contratante reconozca el valor de estas, no se está ante un contrato de transacción, pues la entidad no está concediendo o renunciando a algo. ii) El reconocimiento de gastos adicionales en los que haya incurrido un contratista no corresponde al pacto de concesiones recíprocas, pues se trata simplemente de un reajuste para continuar con la ejecución del contrato. Al respecto </w:t>
      </w:r>
      <w:r w:rsidRPr="00CF5EF4">
        <w:rPr>
          <w:rFonts w:ascii="Verdana" w:hAnsi="Verdana" w:cs="Arial"/>
          <w:sz w:val="16"/>
          <w:szCs w:val="16"/>
        </w:rPr>
        <w:t xml:space="preserve">véase: Laudo arbitral. Schrader Camargo Ingenieros Asociados S.A. contra Refinería de Cartagena S.A. Laudo del 28 de noviembre de 2018. </w:t>
      </w:r>
    </w:p>
  </w:footnote>
  <w:footnote w:id="43">
    <w:p w14:paraId="5C2476AE" w14:textId="77777777" w:rsidR="006B1D58" w:rsidRPr="00CF5EF4" w:rsidRDefault="006B1D58" w:rsidP="006B1D58">
      <w:pPr>
        <w:pStyle w:val="Textonotapie"/>
        <w:ind w:firstLine="708"/>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Ley 80 de 1993. Artículo 32.</w:t>
      </w:r>
    </w:p>
  </w:footnote>
  <w:footnote w:id="44">
    <w:p w14:paraId="7DE9D071" w14:textId="77777777" w:rsidR="006B1D58" w:rsidRPr="00CF5EF4" w:rsidRDefault="006B1D58" w:rsidP="006B1D58">
      <w:pPr>
        <w:pStyle w:val="Textonotapie"/>
        <w:ind w:firstLine="708"/>
        <w:jc w:val="both"/>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Artículo 141. Controversias Contractuales. Cualquiera de las partes de un contrato del Estado podrá pedir que se declare su existencia o su nulidad, que se ordene su revisión, que se declare su incumplimiento, que se declare la nulidad de los actos administrativos contractuales, que se condene al responsable a indemnizar los perjuicios, y que se hagan otras declaraciones y condenas. Así mismo, el interesado podrá solicitar la liquidación judicial del contrato cuando esta no se haya logrado de mutuo acuerdo y la entidad estatal no lo haya liquidado unilateralmente dentro de los dos (2) meses siguientes al vencimiento del plazo convenido para liquidar de mutuo acuerdo o, en su defecto, del término establecido por la ley […]</w:t>
      </w:r>
    </w:p>
  </w:footnote>
  <w:footnote w:id="45">
    <w:p w14:paraId="0DEE7A16" w14:textId="77777777" w:rsidR="006B1D58" w:rsidRPr="00CF5EF4" w:rsidRDefault="006B1D58" w:rsidP="006B1D58">
      <w:pPr>
        <w:pStyle w:val="Textonotapie"/>
        <w:ind w:firstLine="708"/>
        <w:rPr>
          <w:rFonts w:ascii="Verdana" w:hAnsi="Verdana" w:cs="Arial"/>
          <w:sz w:val="16"/>
          <w:szCs w:val="16"/>
        </w:rPr>
      </w:pPr>
      <w:r w:rsidRPr="00CF5EF4">
        <w:rPr>
          <w:rStyle w:val="Refdenotaalpie"/>
          <w:rFonts w:ascii="Verdana" w:hAnsi="Verdana" w:cs="Arial"/>
          <w:sz w:val="16"/>
          <w:szCs w:val="16"/>
        </w:rPr>
        <w:footnoteRef/>
      </w:r>
      <w:r w:rsidRPr="00CF5EF4">
        <w:rPr>
          <w:rFonts w:ascii="Verdana" w:hAnsi="Verdana" w:cs="Arial"/>
          <w:sz w:val="16"/>
          <w:szCs w:val="16"/>
        </w:rPr>
        <w:t xml:space="preserve"> Laudo arbitral. Tren de Occidente S.A. contra la Agencia Nacional de Infraestructura. Laudo del 14 de febrero del 2014.</w:t>
      </w:r>
    </w:p>
    <w:p w14:paraId="10CE5B5D" w14:textId="77777777" w:rsidR="006B1D58" w:rsidRPr="00CF5EF4" w:rsidRDefault="006B1D58" w:rsidP="006B1D58">
      <w:pPr>
        <w:pStyle w:val="Textonotapie"/>
        <w:ind w:firstLine="708"/>
        <w:rPr>
          <w:rFonts w:ascii="Verdana" w:hAnsi="Verdana" w:cs="Arial"/>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05202B" w:rsidRDefault="0005202B"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05202B" w:rsidRDefault="0005202B">
    <w:pPr>
      <w:pStyle w:val="Encabezado"/>
    </w:pPr>
  </w:p>
  <w:p w14:paraId="5E18350A" w14:textId="705F7B76" w:rsidR="0005202B" w:rsidRPr="004A305D" w:rsidRDefault="0005202B" w:rsidP="00B01B1A">
    <w:pPr>
      <w:spacing w:after="0" w:line="120" w:lineRule="auto"/>
      <w:rPr>
        <w:rFonts w:ascii="Century Gothic" w:eastAsia="Geo" w:hAnsi="Century Gothic" w:cs="Geo"/>
        <w:sz w:val="16"/>
        <w:szCs w:val="16"/>
        <w:lang w:eastAsia="es-CO"/>
      </w:rPr>
    </w:pPr>
  </w:p>
  <w:p w14:paraId="211B7F5D" w14:textId="77777777" w:rsidR="0005202B" w:rsidRDefault="0005202B" w:rsidP="00844AE9">
    <w:pPr>
      <w:spacing w:after="0" w:line="240" w:lineRule="auto"/>
      <w:rPr>
        <w:rFonts w:ascii="Verdana" w:hAnsi="Verdana"/>
        <w:sz w:val="24"/>
        <w:szCs w:val="24"/>
      </w:rPr>
    </w:pPr>
  </w:p>
  <w:p w14:paraId="5A0054B1" w14:textId="77777777" w:rsidR="0005202B" w:rsidRPr="00C925AC" w:rsidRDefault="0005202B" w:rsidP="00844AE9">
    <w:pPr>
      <w:spacing w:after="0" w:line="240" w:lineRule="auto"/>
      <w:rPr>
        <w:rFonts w:ascii="Verdana" w:hAnsi="Verdana"/>
        <w:sz w:val="24"/>
        <w:szCs w:val="24"/>
      </w:rPr>
    </w:pPr>
  </w:p>
  <w:p w14:paraId="1FD1C243" w14:textId="37C5500A" w:rsidR="0005202B" w:rsidRPr="00C925AC" w:rsidRDefault="0005202B"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bullet="t">
        <v:imagedata r:id="rId1" o:title="mso1B13"/>
      </v:shape>
    </w:pict>
  </w:numPicBullet>
  <w:abstractNum w:abstractNumId="0" w15:restartNumberingAfterBreak="0">
    <w:nsid w:val="F7634B6B"/>
    <w:multiLevelType w:val="hybridMultilevel"/>
    <w:tmpl w:val="92994A04"/>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6C0FB4E"/>
    <w:multiLevelType w:val="hybridMultilevel"/>
    <w:tmpl w:val="895AFCF9"/>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16F022D9"/>
    <w:multiLevelType w:val="hybridMultilevel"/>
    <w:tmpl w:val="EDA4693E"/>
    <w:lvl w:ilvl="0" w:tplc="405EC3D8">
      <w:start w:val="1"/>
      <w:numFmt w:val="low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4A6C115E"/>
    <w:multiLevelType w:val="hybridMultilevel"/>
    <w:tmpl w:val="5443360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8BCD79"/>
    <w:multiLevelType w:val="hybridMultilevel"/>
    <w:tmpl w:val="13FB668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1631992">
    <w:abstractNumId w:val="10"/>
  </w:num>
  <w:num w:numId="2" w16cid:durableId="1822388497">
    <w:abstractNumId w:val="3"/>
  </w:num>
  <w:num w:numId="3" w16cid:durableId="843015242">
    <w:abstractNumId w:val="8"/>
  </w:num>
  <w:num w:numId="4" w16cid:durableId="38896098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47731631">
    <w:abstractNumId w:val="3"/>
  </w:num>
  <w:num w:numId="6" w16cid:durableId="823548658">
    <w:abstractNumId w:val="19"/>
  </w:num>
  <w:num w:numId="7" w16cid:durableId="714545733">
    <w:abstractNumId w:val="9"/>
  </w:num>
  <w:num w:numId="8" w16cid:durableId="1044476766">
    <w:abstractNumId w:val="18"/>
  </w:num>
  <w:num w:numId="9" w16cid:durableId="1287083833">
    <w:abstractNumId w:val="11"/>
  </w:num>
  <w:num w:numId="10" w16cid:durableId="1946033603">
    <w:abstractNumId w:val="17"/>
  </w:num>
  <w:num w:numId="11" w16cid:durableId="132140171">
    <w:abstractNumId w:val="12"/>
  </w:num>
  <w:num w:numId="12" w16cid:durableId="392629163">
    <w:abstractNumId w:val="2"/>
  </w:num>
  <w:num w:numId="13" w16cid:durableId="81607796">
    <w:abstractNumId w:val="7"/>
  </w:num>
  <w:num w:numId="14" w16cid:durableId="1744133346">
    <w:abstractNumId w:val="21"/>
  </w:num>
  <w:num w:numId="15" w16cid:durableId="1567689015">
    <w:abstractNumId w:val="16"/>
  </w:num>
  <w:num w:numId="16" w16cid:durableId="1264265238">
    <w:abstractNumId w:val="1"/>
  </w:num>
  <w:num w:numId="17" w16cid:durableId="1788163588">
    <w:abstractNumId w:val="13"/>
  </w:num>
  <w:num w:numId="18" w16cid:durableId="2109736119">
    <w:abstractNumId w:val="14"/>
  </w:num>
  <w:num w:numId="19" w16cid:durableId="1529030079">
    <w:abstractNumId w:val="4"/>
  </w:num>
  <w:num w:numId="20" w16cid:durableId="892929455">
    <w:abstractNumId w:val="6"/>
  </w:num>
  <w:num w:numId="21" w16cid:durableId="173762394">
    <w:abstractNumId w:val="0"/>
  </w:num>
  <w:num w:numId="22" w16cid:durableId="1486895121">
    <w:abstractNumId w:val="5"/>
  </w:num>
  <w:num w:numId="23" w16cid:durableId="390661807">
    <w:abstractNumId w:val="20"/>
  </w:num>
  <w:num w:numId="24" w16cid:durableId="131649416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041D"/>
    <w:rsid w:val="00016F78"/>
    <w:rsid w:val="00031BC1"/>
    <w:rsid w:val="000452C6"/>
    <w:rsid w:val="00046945"/>
    <w:rsid w:val="0005202B"/>
    <w:rsid w:val="00061B2A"/>
    <w:rsid w:val="0006246F"/>
    <w:rsid w:val="00077D14"/>
    <w:rsid w:val="00081367"/>
    <w:rsid w:val="00082362"/>
    <w:rsid w:val="000825A6"/>
    <w:rsid w:val="00082AFE"/>
    <w:rsid w:val="00095DAE"/>
    <w:rsid w:val="000A02D4"/>
    <w:rsid w:val="000A1D28"/>
    <w:rsid w:val="000A3129"/>
    <w:rsid w:val="000A683E"/>
    <w:rsid w:val="000B19B9"/>
    <w:rsid w:val="000D0334"/>
    <w:rsid w:val="000D5DA7"/>
    <w:rsid w:val="000D6D48"/>
    <w:rsid w:val="000F6486"/>
    <w:rsid w:val="00102203"/>
    <w:rsid w:val="0011272A"/>
    <w:rsid w:val="001156CB"/>
    <w:rsid w:val="00116940"/>
    <w:rsid w:val="00125105"/>
    <w:rsid w:val="00127233"/>
    <w:rsid w:val="00127474"/>
    <w:rsid w:val="0013401F"/>
    <w:rsid w:val="0015699B"/>
    <w:rsid w:val="001A33BF"/>
    <w:rsid w:val="001D27C4"/>
    <w:rsid w:val="001E1005"/>
    <w:rsid w:val="001E194B"/>
    <w:rsid w:val="001E4177"/>
    <w:rsid w:val="001E5EA0"/>
    <w:rsid w:val="001F0B24"/>
    <w:rsid w:val="001F7DC6"/>
    <w:rsid w:val="0020079E"/>
    <w:rsid w:val="0020088C"/>
    <w:rsid w:val="0021277A"/>
    <w:rsid w:val="0022400B"/>
    <w:rsid w:val="00236B8A"/>
    <w:rsid w:val="002421BB"/>
    <w:rsid w:val="00246239"/>
    <w:rsid w:val="0024692A"/>
    <w:rsid w:val="0025796E"/>
    <w:rsid w:val="00261121"/>
    <w:rsid w:val="002707A2"/>
    <w:rsid w:val="002826F0"/>
    <w:rsid w:val="002845F4"/>
    <w:rsid w:val="002857D9"/>
    <w:rsid w:val="00293441"/>
    <w:rsid w:val="002951A0"/>
    <w:rsid w:val="002962BC"/>
    <w:rsid w:val="002A093D"/>
    <w:rsid w:val="002A0DD0"/>
    <w:rsid w:val="002A49AC"/>
    <w:rsid w:val="002A64FD"/>
    <w:rsid w:val="002A760C"/>
    <w:rsid w:val="002C27D0"/>
    <w:rsid w:val="002C5509"/>
    <w:rsid w:val="002C5725"/>
    <w:rsid w:val="002C7A84"/>
    <w:rsid w:val="002E2BF8"/>
    <w:rsid w:val="002E4FD9"/>
    <w:rsid w:val="002F3CDF"/>
    <w:rsid w:val="0030657A"/>
    <w:rsid w:val="00307DCF"/>
    <w:rsid w:val="00322A85"/>
    <w:rsid w:val="00324168"/>
    <w:rsid w:val="00330834"/>
    <w:rsid w:val="003318AB"/>
    <w:rsid w:val="00335987"/>
    <w:rsid w:val="003448F4"/>
    <w:rsid w:val="00355EA0"/>
    <w:rsid w:val="003604F5"/>
    <w:rsid w:val="00374F5E"/>
    <w:rsid w:val="00377E3E"/>
    <w:rsid w:val="00394C9E"/>
    <w:rsid w:val="003A130F"/>
    <w:rsid w:val="003A1A0B"/>
    <w:rsid w:val="003A779E"/>
    <w:rsid w:val="003C5B9E"/>
    <w:rsid w:val="003C64B8"/>
    <w:rsid w:val="003D0F4D"/>
    <w:rsid w:val="003D1CF9"/>
    <w:rsid w:val="003D5B0D"/>
    <w:rsid w:val="003E0499"/>
    <w:rsid w:val="003E0A60"/>
    <w:rsid w:val="003E4F80"/>
    <w:rsid w:val="003E6439"/>
    <w:rsid w:val="003E6637"/>
    <w:rsid w:val="003E6646"/>
    <w:rsid w:val="003F1AD6"/>
    <w:rsid w:val="003F3941"/>
    <w:rsid w:val="00406575"/>
    <w:rsid w:val="00414C74"/>
    <w:rsid w:val="004151A8"/>
    <w:rsid w:val="00417B5B"/>
    <w:rsid w:val="0042550E"/>
    <w:rsid w:val="0042722E"/>
    <w:rsid w:val="00437377"/>
    <w:rsid w:val="0044528D"/>
    <w:rsid w:val="004473CC"/>
    <w:rsid w:val="00455F82"/>
    <w:rsid w:val="00466302"/>
    <w:rsid w:val="00466E39"/>
    <w:rsid w:val="00473BEB"/>
    <w:rsid w:val="004A1847"/>
    <w:rsid w:val="004A305D"/>
    <w:rsid w:val="004B7AE9"/>
    <w:rsid w:val="004B7D74"/>
    <w:rsid w:val="004D3F95"/>
    <w:rsid w:val="004F21C4"/>
    <w:rsid w:val="004F685F"/>
    <w:rsid w:val="0050028B"/>
    <w:rsid w:val="00506CA6"/>
    <w:rsid w:val="00516D6A"/>
    <w:rsid w:val="0053199F"/>
    <w:rsid w:val="005566E8"/>
    <w:rsid w:val="00557199"/>
    <w:rsid w:val="00570D3F"/>
    <w:rsid w:val="00574867"/>
    <w:rsid w:val="00575D0A"/>
    <w:rsid w:val="00580BC6"/>
    <w:rsid w:val="00580D2E"/>
    <w:rsid w:val="0058142F"/>
    <w:rsid w:val="00591460"/>
    <w:rsid w:val="00597A19"/>
    <w:rsid w:val="005A39E6"/>
    <w:rsid w:val="005A65E0"/>
    <w:rsid w:val="005B0452"/>
    <w:rsid w:val="005C2A0C"/>
    <w:rsid w:val="005C3777"/>
    <w:rsid w:val="005C5CDC"/>
    <w:rsid w:val="005C6190"/>
    <w:rsid w:val="005C6BC8"/>
    <w:rsid w:val="005D0889"/>
    <w:rsid w:val="005D476C"/>
    <w:rsid w:val="005E288B"/>
    <w:rsid w:val="005E6B20"/>
    <w:rsid w:val="005F181C"/>
    <w:rsid w:val="005F1911"/>
    <w:rsid w:val="0060360B"/>
    <w:rsid w:val="0061375F"/>
    <w:rsid w:val="006200BF"/>
    <w:rsid w:val="006219F8"/>
    <w:rsid w:val="006302F7"/>
    <w:rsid w:val="00646B9F"/>
    <w:rsid w:val="006521E2"/>
    <w:rsid w:val="00662D62"/>
    <w:rsid w:val="00665485"/>
    <w:rsid w:val="00665D70"/>
    <w:rsid w:val="006900D9"/>
    <w:rsid w:val="006A6A7A"/>
    <w:rsid w:val="006B1D58"/>
    <w:rsid w:val="006C04F1"/>
    <w:rsid w:val="006D4D7F"/>
    <w:rsid w:val="006E4C4E"/>
    <w:rsid w:val="00700817"/>
    <w:rsid w:val="00706C16"/>
    <w:rsid w:val="00715041"/>
    <w:rsid w:val="00721364"/>
    <w:rsid w:val="0072640F"/>
    <w:rsid w:val="007317FA"/>
    <w:rsid w:val="007319C8"/>
    <w:rsid w:val="00731E59"/>
    <w:rsid w:val="007340C3"/>
    <w:rsid w:val="00737E18"/>
    <w:rsid w:val="0075235A"/>
    <w:rsid w:val="00756841"/>
    <w:rsid w:val="007649AB"/>
    <w:rsid w:val="00771D0C"/>
    <w:rsid w:val="007744FB"/>
    <w:rsid w:val="00777679"/>
    <w:rsid w:val="007829E1"/>
    <w:rsid w:val="007833AC"/>
    <w:rsid w:val="0078433B"/>
    <w:rsid w:val="00791D76"/>
    <w:rsid w:val="007A153F"/>
    <w:rsid w:val="007B268C"/>
    <w:rsid w:val="007B57B5"/>
    <w:rsid w:val="007B7171"/>
    <w:rsid w:val="007C0C0F"/>
    <w:rsid w:val="007C3DC2"/>
    <w:rsid w:val="007D3968"/>
    <w:rsid w:val="007E5497"/>
    <w:rsid w:val="00804180"/>
    <w:rsid w:val="00806F5F"/>
    <w:rsid w:val="00815B83"/>
    <w:rsid w:val="00816C87"/>
    <w:rsid w:val="00817856"/>
    <w:rsid w:val="00820169"/>
    <w:rsid w:val="00820278"/>
    <w:rsid w:val="008258C9"/>
    <w:rsid w:val="00826EE8"/>
    <w:rsid w:val="008377DE"/>
    <w:rsid w:val="00844AE9"/>
    <w:rsid w:val="008470B0"/>
    <w:rsid w:val="00867F95"/>
    <w:rsid w:val="008835B4"/>
    <w:rsid w:val="008843B6"/>
    <w:rsid w:val="00891928"/>
    <w:rsid w:val="008934CB"/>
    <w:rsid w:val="00895356"/>
    <w:rsid w:val="0089748D"/>
    <w:rsid w:val="008A2CD2"/>
    <w:rsid w:val="008A446D"/>
    <w:rsid w:val="008A7820"/>
    <w:rsid w:val="008B104D"/>
    <w:rsid w:val="008B25F1"/>
    <w:rsid w:val="008C309E"/>
    <w:rsid w:val="008C383D"/>
    <w:rsid w:val="008C571F"/>
    <w:rsid w:val="008C5A84"/>
    <w:rsid w:val="008D180B"/>
    <w:rsid w:val="008E72AF"/>
    <w:rsid w:val="008F0EA7"/>
    <w:rsid w:val="008F327E"/>
    <w:rsid w:val="00912380"/>
    <w:rsid w:val="0091294A"/>
    <w:rsid w:val="009216BA"/>
    <w:rsid w:val="00923EEF"/>
    <w:rsid w:val="009305DC"/>
    <w:rsid w:val="009419F9"/>
    <w:rsid w:val="0095685E"/>
    <w:rsid w:val="00961B09"/>
    <w:rsid w:val="00965334"/>
    <w:rsid w:val="0097093E"/>
    <w:rsid w:val="00990BF1"/>
    <w:rsid w:val="00991790"/>
    <w:rsid w:val="009A027F"/>
    <w:rsid w:val="009A0DFA"/>
    <w:rsid w:val="009A1C6F"/>
    <w:rsid w:val="009B2D26"/>
    <w:rsid w:val="009B7D9F"/>
    <w:rsid w:val="009C0D0B"/>
    <w:rsid w:val="009C66EE"/>
    <w:rsid w:val="009C71FA"/>
    <w:rsid w:val="009C72E7"/>
    <w:rsid w:val="009C7F7E"/>
    <w:rsid w:val="009D0BD0"/>
    <w:rsid w:val="009D3058"/>
    <w:rsid w:val="009E6333"/>
    <w:rsid w:val="009E746B"/>
    <w:rsid w:val="009F35DD"/>
    <w:rsid w:val="009F3A13"/>
    <w:rsid w:val="009F7251"/>
    <w:rsid w:val="00A07EBF"/>
    <w:rsid w:val="00A122D3"/>
    <w:rsid w:val="00A14468"/>
    <w:rsid w:val="00A17F13"/>
    <w:rsid w:val="00A20739"/>
    <w:rsid w:val="00A23AF9"/>
    <w:rsid w:val="00A33C78"/>
    <w:rsid w:val="00A47089"/>
    <w:rsid w:val="00A63F17"/>
    <w:rsid w:val="00A6584F"/>
    <w:rsid w:val="00A83161"/>
    <w:rsid w:val="00A86E5C"/>
    <w:rsid w:val="00AA3788"/>
    <w:rsid w:val="00AB0ADB"/>
    <w:rsid w:val="00AD67E7"/>
    <w:rsid w:val="00AF1B67"/>
    <w:rsid w:val="00AF619D"/>
    <w:rsid w:val="00B00C0E"/>
    <w:rsid w:val="00B01B1A"/>
    <w:rsid w:val="00B0381D"/>
    <w:rsid w:val="00B13627"/>
    <w:rsid w:val="00B13882"/>
    <w:rsid w:val="00B14F36"/>
    <w:rsid w:val="00B31A79"/>
    <w:rsid w:val="00B44A47"/>
    <w:rsid w:val="00B72CD3"/>
    <w:rsid w:val="00B72FFF"/>
    <w:rsid w:val="00B7443D"/>
    <w:rsid w:val="00B75F06"/>
    <w:rsid w:val="00B944AA"/>
    <w:rsid w:val="00B95ED8"/>
    <w:rsid w:val="00BA15D8"/>
    <w:rsid w:val="00BA7A2E"/>
    <w:rsid w:val="00BB1E41"/>
    <w:rsid w:val="00BC3D36"/>
    <w:rsid w:val="00BC3F56"/>
    <w:rsid w:val="00BD31E4"/>
    <w:rsid w:val="00BD343F"/>
    <w:rsid w:val="00BD54A6"/>
    <w:rsid w:val="00BD7F72"/>
    <w:rsid w:val="00BE378A"/>
    <w:rsid w:val="00BF6651"/>
    <w:rsid w:val="00BF7425"/>
    <w:rsid w:val="00C04FB3"/>
    <w:rsid w:val="00C11D8B"/>
    <w:rsid w:val="00C15139"/>
    <w:rsid w:val="00C330EB"/>
    <w:rsid w:val="00C50D69"/>
    <w:rsid w:val="00C5365C"/>
    <w:rsid w:val="00C67C8B"/>
    <w:rsid w:val="00C754BE"/>
    <w:rsid w:val="00C76B1C"/>
    <w:rsid w:val="00C77E63"/>
    <w:rsid w:val="00C819F9"/>
    <w:rsid w:val="00C84596"/>
    <w:rsid w:val="00C925AC"/>
    <w:rsid w:val="00C946BF"/>
    <w:rsid w:val="00C958D1"/>
    <w:rsid w:val="00CA0E68"/>
    <w:rsid w:val="00CB6357"/>
    <w:rsid w:val="00CB7450"/>
    <w:rsid w:val="00CC1B26"/>
    <w:rsid w:val="00CD6067"/>
    <w:rsid w:val="00CE4589"/>
    <w:rsid w:val="00CE72C3"/>
    <w:rsid w:val="00CF4861"/>
    <w:rsid w:val="00CF5EF4"/>
    <w:rsid w:val="00D078F7"/>
    <w:rsid w:val="00D13A78"/>
    <w:rsid w:val="00D13C5D"/>
    <w:rsid w:val="00D31EC6"/>
    <w:rsid w:val="00D350D3"/>
    <w:rsid w:val="00D361FD"/>
    <w:rsid w:val="00D423A2"/>
    <w:rsid w:val="00D42CBD"/>
    <w:rsid w:val="00D439FC"/>
    <w:rsid w:val="00D44E26"/>
    <w:rsid w:val="00D520D8"/>
    <w:rsid w:val="00D53F94"/>
    <w:rsid w:val="00D63AC2"/>
    <w:rsid w:val="00D677B5"/>
    <w:rsid w:val="00D70345"/>
    <w:rsid w:val="00D7383B"/>
    <w:rsid w:val="00D7788A"/>
    <w:rsid w:val="00DA231B"/>
    <w:rsid w:val="00DC39FC"/>
    <w:rsid w:val="00DD0992"/>
    <w:rsid w:val="00DD2614"/>
    <w:rsid w:val="00DF3F1B"/>
    <w:rsid w:val="00DF5254"/>
    <w:rsid w:val="00E02524"/>
    <w:rsid w:val="00E16408"/>
    <w:rsid w:val="00E20894"/>
    <w:rsid w:val="00E245AB"/>
    <w:rsid w:val="00E2764C"/>
    <w:rsid w:val="00E27F2E"/>
    <w:rsid w:val="00E434DE"/>
    <w:rsid w:val="00E47FE1"/>
    <w:rsid w:val="00E5016B"/>
    <w:rsid w:val="00E50AFE"/>
    <w:rsid w:val="00E56EE8"/>
    <w:rsid w:val="00E60AD8"/>
    <w:rsid w:val="00E66DD3"/>
    <w:rsid w:val="00E75C92"/>
    <w:rsid w:val="00E760D9"/>
    <w:rsid w:val="00E771DC"/>
    <w:rsid w:val="00E8252C"/>
    <w:rsid w:val="00E83EFE"/>
    <w:rsid w:val="00E8772A"/>
    <w:rsid w:val="00E90AC3"/>
    <w:rsid w:val="00E90F6B"/>
    <w:rsid w:val="00E92C27"/>
    <w:rsid w:val="00E96E56"/>
    <w:rsid w:val="00EA0E3D"/>
    <w:rsid w:val="00EA4B5D"/>
    <w:rsid w:val="00EC1DAC"/>
    <w:rsid w:val="00EC38A7"/>
    <w:rsid w:val="00EE1AA8"/>
    <w:rsid w:val="00F04FFA"/>
    <w:rsid w:val="00F05DC2"/>
    <w:rsid w:val="00F11A10"/>
    <w:rsid w:val="00F11E70"/>
    <w:rsid w:val="00F163B0"/>
    <w:rsid w:val="00F16BC8"/>
    <w:rsid w:val="00F238FA"/>
    <w:rsid w:val="00F23FEA"/>
    <w:rsid w:val="00F31A4A"/>
    <w:rsid w:val="00F31EDC"/>
    <w:rsid w:val="00F33CF0"/>
    <w:rsid w:val="00F462B3"/>
    <w:rsid w:val="00F5664F"/>
    <w:rsid w:val="00F624DD"/>
    <w:rsid w:val="00F666C4"/>
    <w:rsid w:val="00F7339B"/>
    <w:rsid w:val="00F76AFC"/>
    <w:rsid w:val="00F76B7B"/>
    <w:rsid w:val="00F82770"/>
    <w:rsid w:val="00FA3E17"/>
    <w:rsid w:val="00FA47C0"/>
    <w:rsid w:val="00FB2271"/>
    <w:rsid w:val="00FB3A0F"/>
    <w:rsid w:val="00FB40B6"/>
    <w:rsid w:val="00FB5DD1"/>
    <w:rsid w:val="00FC2B5D"/>
    <w:rsid w:val="00FD63E7"/>
    <w:rsid w:val="00FD7E93"/>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D58"/>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 w:type="character" w:styleId="Fuerte">
    <w:name w:val="Strong"/>
    <w:basedOn w:val="Fuentedeprrafopredeter"/>
    <w:uiPriority w:val="22"/>
    <w:qFormat/>
    <w:rsid w:val="004151A8"/>
    <w:rPr>
      <w:b/>
      <w:bCs/>
    </w:rPr>
  </w:style>
  <w:style w:type="character" w:styleId="nfasis">
    <w:name w:val="Emphasis"/>
    <w:basedOn w:val="Fuentedeprrafopredeter"/>
    <w:uiPriority w:val="20"/>
    <w:qFormat/>
    <w:rsid w:val="004151A8"/>
    <w:rPr>
      <w:i/>
      <w:iCs/>
    </w:rPr>
  </w:style>
  <w:style w:type="paragraph" w:styleId="Textodeglobo">
    <w:name w:val="Balloon Text"/>
    <w:basedOn w:val="Normal"/>
    <w:link w:val="TextodegloboCar"/>
    <w:uiPriority w:val="99"/>
    <w:semiHidden/>
    <w:unhideWhenUsed/>
    <w:rsid w:val="0061375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7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664887">
      <w:bodyDiv w:val="1"/>
      <w:marLeft w:val="0"/>
      <w:marRight w:val="0"/>
      <w:marTop w:val="0"/>
      <w:marBottom w:val="0"/>
      <w:divBdr>
        <w:top w:val="none" w:sz="0" w:space="0" w:color="auto"/>
        <w:left w:val="none" w:sz="0" w:space="0" w:color="auto"/>
        <w:bottom w:val="none" w:sz="0" w:space="0" w:color="auto"/>
        <w:right w:val="none" w:sz="0" w:space="0" w:color="auto"/>
      </w:divBdr>
      <w:divsChild>
        <w:div w:id="1014302957">
          <w:marLeft w:val="0"/>
          <w:marRight w:val="0"/>
          <w:marTop w:val="0"/>
          <w:marBottom w:val="0"/>
          <w:divBdr>
            <w:top w:val="none" w:sz="0" w:space="0" w:color="auto"/>
            <w:left w:val="none" w:sz="0" w:space="0" w:color="auto"/>
            <w:bottom w:val="none" w:sz="0" w:space="0" w:color="auto"/>
            <w:right w:val="none" w:sz="0" w:space="0" w:color="auto"/>
          </w:divBdr>
        </w:div>
      </w:divsChild>
    </w:div>
    <w:div w:id="88625773">
      <w:bodyDiv w:val="1"/>
      <w:marLeft w:val="0"/>
      <w:marRight w:val="0"/>
      <w:marTop w:val="0"/>
      <w:marBottom w:val="0"/>
      <w:divBdr>
        <w:top w:val="none" w:sz="0" w:space="0" w:color="auto"/>
        <w:left w:val="none" w:sz="0" w:space="0" w:color="auto"/>
        <w:bottom w:val="none" w:sz="0" w:space="0" w:color="auto"/>
        <w:right w:val="none" w:sz="0" w:space="0" w:color="auto"/>
      </w:divBdr>
    </w:div>
    <w:div w:id="264727878">
      <w:bodyDiv w:val="1"/>
      <w:marLeft w:val="0"/>
      <w:marRight w:val="0"/>
      <w:marTop w:val="0"/>
      <w:marBottom w:val="0"/>
      <w:divBdr>
        <w:top w:val="none" w:sz="0" w:space="0" w:color="auto"/>
        <w:left w:val="none" w:sz="0" w:space="0" w:color="auto"/>
        <w:bottom w:val="none" w:sz="0" w:space="0" w:color="auto"/>
        <w:right w:val="none" w:sz="0" w:space="0" w:color="auto"/>
      </w:divBdr>
      <w:divsChild>
        <w:div w:id="1634362215">
          <w:marLeft w:val="0"/>
          <w:marRight w:val="0"/>
          <w:marTop w:val="0"/>
          <w:marBottom w:val="0"/>
          <w:divBdr>
            <w:top w:val="none" w:sz="0" w:space="0" w:color="auto"/>
            <w:left w:val="none" w:sz="0" w:space="0" w:color="auto"/>
            <w:bottom w:val="none" w:sz="0" w:space="0" w:color="auto"/>
            <w:right w:val="none" w:sz="0" w:space="0" w:color="auto"/>
          </w:divBdr>
        </w:div>
      </w:divsChild>
    </w:div>
    <w:div w:id="278729725">
      <w:bodyDiv w:val="1"/>
      <w:marLeft w:val="0"/>
      <w:marRight w:val="0"/>
      <w:marTop w:val="0"/>
      <w:marBottom w:val="0"/>
      <w:divBdr>
        <w:top w:val="none" w:sz="0" w:space="0" w:color="auto"/>
        <w:left w:val="none" w:sz="0" w:space="0" w:color="auto"/>
        <w:bottom w:val="none" w:sz="0" w:space="0" w:color="auto"/>
        <w:right w:val="none" w:sz="0" w:space="0" w:color="auto"/>
      </w:divBdr>
      <w:divsChild>
        <w:div w:id="1992824514">
          <w:marLeft w:val="0"/>
          <w:marRight w:val="0"/>
          <w:marTop w:val="0"/>
          <w:marBottom w:val="0"/>
          <w:divBdr>
            <w:top w:val="none" w:sz="0" w:space="0" w:color="auto"/>
            <w:left w:val="none" w:sz="0" w:space="0" w:color="auto"/>
            <w:bottom w:val="none" w:sz="0" w:space="0" w:color="auto"/>
            <w:right w:val="none" w:sz="0" w:space="0" w:color="auto"/>
          </w:divBdr>
        </w:div>
      </w:divsChild>
    </w:div>
    <w:div w:id="290668246">
      <w:bodyDiv w:val="1"/>
      <w:marLeft w:val="0"/>
      <w:marRight w:val="0"/>
      <w:marTop w:val="0"/>
      <w:marBottom w:val="0"/>
      <w:divBdr>
        <w:top w:val="none" w:sz="0" w:space="0" w:color="auto"/>
        <w:left w:val="none" w:sz="0" w:space="0" w:color="auto"/>
        <w:bottom w:val="none" w:sz="0" w:space="0" w:color="auto"/>
        <w:right w:val="none" w:sz="0" w:space="0" w:color="auto"/>
      </w:divBdr>
      <w:divsChild>
        <w:div w:id="819032843">
          <w:marLeft w:val="0"/>
          <w:marRight w:val="0"/>
          <w:marTop w:val="0"/>
          <w:marBottom w:val="0"/>
          <w:divBdr>
            <w:top w:val="none" w:sz="0" w:space="0" w:color="auto"/>
            <w:left w:val="none" w:sz="0" w:space="0" w:color="auto"/>
            <w:bottom w:val="none" w:sz="0" w:space="0" w:color="auto"/>
            <w:right w:val="none" w:sz="0" w:space="0" w:color="auto"/>
          </w:divBdr>
        </w:div>
      </w:divsChild>
    </w:div>
    <w:div w:id="419258735">
      <w:bodyDiv w:val="1"/>
      <w:marLeft w:val="0"/>
      <w:marRight w:val="0"/>
      <w:marTop w:val="0"/>
      <w:marBottom w:val="0"/>
      <w:divBdr>
        <w:top w:val="none" w:sz="0" w:space="0" w:color="auto"/>
        <w:left w:val="none" w:sz="0" w:space="0" w:color="auto"/>
        <w:bottom w:val="none" w:sz="0" w:space="0" w:color="auto"/>
        <w:right w:val="none" w:sz="0" w:space="0" w:color="auto"/>
      </w:divBdr>
      <w:divsChild>
        <w:div w:id="1834755559">
          <w:marLeft w:val="0"/>
          <w:marRight w:val="0"/>
          <w:marTop w:val="0"/>
          <w:marBottom w:val="0"/>
          <w:divBdr>
            <w:top w:val="none" w:sz="0" w:space="0" w:color="auto"/>
            <w:left w:val="none" w:sz="0" w:space="0" w:color="auto"/>
            <w:bottom w:val="none" w:sz="0" w:space="0" w:color="auto"/>
            <w:right w:val="none" w:sz="0" w:space="0" w:color="auto"/>
          </w:divBdr>
        </w:div>
      </w:divsChild>
    </w:div>
    <w:div w:id="468741564">
      <w:bodyDiv w:val="1"/>
      <w:marLeft w:val="0"/>
      <w:marRight w:val="0"/>
      <w:marTop w:val="0"/>
      <w:marBottom w:val="0"/>
      <w:divBdr>
        <w:top w:val="none" w:sz="0" w:space="0" w:color="auto"/>
        <w:left w:val="none" w:sz="0" w:space="0" w:color="auto"/>
        <w:bottom w:val="none" w:sz="0" w:space="0" w:color="auto"/>
        <w:right w:val="none" w:sz="0" w:space="0" w:color="auto"/>
      </w:divBdr>
      <w:divsChild>
        <w:div w:id="692998847">
          <w:marLeft w:val="0"/>
          <w:marRight w:val="0"/>
          <w:marTop w:val="0"/>
          <w:marBottom w:val="0"/>
          <w:divBdr>
            <w:top w:val="none" w:sz="0" w:space="0" w:color="auto"/>
            <w:left w:val="none" w:sz="0" w:space="0" w:color="auto"/>
            <w:bottom w:val="none" w:sz="0" w:space="0" w:color="auto"/>
            <w:right w:val="none" w:sz="0" w:space="0" w:color="auto"/>
          </w:divBdr>
        </w:div>
      </w:divsChild>
    </w:div>
    <w:div w:id="494808525">
      <w:bodyDiv w:val="1"/>
      <w:marLeft w:val="0"/>
      <w:marRight w:val="0"/>
      <w:marTop w:val="0"/>
      <w:marBottom w:val="0"/>
      <w:divBdr>
        <w:top w:val="none" w:sz="0" w:space="0" w:color="auto"/>
        <w:left w:val="none" w:sz="0" w:space="0" w:color="auto"/>
        <w:bottom w:val="none" w:sz="0" w:space="0" w:color="auto"/>
        <w:right w:val="none" w:sz="0" w:space="0" w:color="auto"/>
      </w:divBdr>
      <w:divsChild>
        <w:div w:id="1682782366">
          <w:marLeft w:val="0"/>
          <w:marRight w:val="0"/>
          <w:marTop w:val="0"/>
          <w:marBottom w:val="0"/>
          <w:divBdr>
            <w:top w:val="none" w:sz="0" w:space="0" w:color="auto"/>
            <w:left w:val="none" w:sz="0" w:space="0" w:color="auto"/>
            <w:bottom w:val="none" w:sz="0" w:space="0" w:color="auto"/>
            <w:right w:val="none" w:sz="0" w:space="0" w:color="auto"/>
          </w:divBdr>
        </w:div>
      </w:divsChild>
    </w:div>
    <w:div w:id="544291271">
      <w:bodyDiv w:val="1"/>
      <w:marLeft w:val="0"/>
      <w:marRight w:val="0"/>
      <w:marTop w:val="0"/>
      <w:marBottom w:val="0"/>
      <w:divBdr>
        <w:top w:val="none" w:sz="0" w:space="0" w:color="auto"/>
        <w:left w:val="none" w:sz="0" w:space="0" w:color="auto"/>
        <w:bottom w:val="none" w:sz="0" w:space="0" w:color="auto"/>
        <w:right w:val="none" w:sz="0" w:space="0" w:color="auto"/>
      </w:divBdr>
      <w:divsChild>
        <w:div w:id="734931538">
          <w:marLeft w:val="0"/>
          <w:marRight w:val="0"/>
          <w:marTop w:val="0"/>
          <w:marBottom w:val="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2415040">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5783829">
      <w:bodyDiv w:val="1"/>
      <w:marLeft w:val="0"/>
      <w:marRight w:val="0"/>
      <w:marTop w:val="0"/>
      <w:marBottom w:val="0"/>
      <w:divBdr>
        <w:top w:val="none" w:sz="0" w:space="0" w:color="auto"/>
        <w:left w:val="none" w:sz="0" w:space="0" w:color="auto"/>
        <w:bottom w:val="none" w:sz="0" w:space="0" w:color="auto"/>
        <w:right w:val="none" w:sz="0" w:space="0" w:color="auto"/>
      </w:divBdr>
      <w:divsChild>
        <w:div w:id="540437323">
          <w:marLeft w:val="0"/>
          <w:marRight w:val="0"/>
          <w:marTop w:val="0"/>
          <w:marBottom w:val="0"/>
          <w:divBdr>
            <w:top w:val="none" w:sz="0" w:space="0" w:color="auto"/>
            <w:left w:val="none" w:sz="0" w:space="0" w:color="auto"/>
            <w:bottom w:val="none" w:sz="0" w:space="0" w:color="auto"/>
            <w:right w:val="none" w:sz="0" w:space="0" w:color="auto"/>
          </w:divBdr>
        </w:div>
      </w:divsChild>
    </w:div>
    <w:div w:id="995231916">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64515305">
      <w:bodyDiv w:val="1"/>
      <w:marLeft w:val="0"/>
      <w:marRight w:val="0"/>
      <w:marTop w:val="0"/>
      <w:marBottom w:val="0"/>
      <w:divBdr>
        <w:top w:val="none" w:sz="0" w:space="0" w:color="auto"/>
        <w:left w:val="none" w:sz="0" w:space="0" w:color="auto"/>
        <w:bottom w:val="none" w:sz="0" w:space="0" w:color="auto"/>
        <w:right w:val="none" w:sz="0" w:space="0" w:color="auto"/>
      </w:divBdr>
      <w:divsChild>
        <w:div w:id="737703769">
          <w:marLeft w:val="0"/>
          <w:marRight w:val="0"/>
          <w:marTop w:val="0"/>
          <w:marBottom w:val="0"/>
          <w:divBdr>
            <w:top w:val="none" w:sz="0" w:space="0" w:color="auto"/>
            <w:left w:val="none" w:sz="0" w:space="0" w:color="auto"/>
            <w:bottom w:val="none" w:sz="0" w:space="0" w:color="auto"/>
            <w:right w:val="none" w:sz="0" w:space="0" w:color="auto"/>
          </w:divBdr>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77057947">
      <w:bodyDiv w:val="1"/>
      <w:marLeft w:val="0"/>
      <w:marRight w:val="0"/>
      <w:marTop w:val="0"/>
      <w:marBottom w:val="0"/>
      <w:divBdr>
        <w:top w:val="none" w:sz="0" w:space="0" w:color="auto"/>
        <w:left w:val="none" w:sz="0" w:space="0" w:color="auto"/>
        <w:bottom w:val="none" w:sz="0" w:space="0" w:color="auto"/>
        <w:right w:val="none" w:sz="0" w:space="0" w:color="auto"/>
      </w:divBdr>
      <w:divsChild>
        <w:div w:id="663704293">
          <w:marLeft w:val="0"/>
          <w:marRight w:val="0"/>
          <w:marTop w:val="0"/>
          <w:marBottom w:val="0"/>
          <w:divBdr>
            <w:top w:val="none" w:sz="0" w:space="0" w:color="auto"/>
            <w:left w:val="none" w:sz="0" w:space="0" w:color="auto"/>
            <w:bottom w:val="none" w:sz="0" w:space="0" w:color="auto"/>
            <w:right w:val="none" w:sz="0" w:space="0" w:color="auto"/>
          </w:divBdr>
        </w:div>
      </w:divsChild>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87148157">
      <w:bodyDiv w:val="1"/>
      <w:marLeft w:val="0"/>
      <w:marRight w:val="0"/>
      <w:marTop w:val="0"/>
      <w:marBottom w:val="0"/>
      <w:divBdr>
        <w:top w:val="none" w:sz="0" w:space="0" w:color="auto"/>
        <w:left w:val="none" w:sz="0" w:space="0" w:color="auto"/>
        <w:bottom w:val="none" w:sz="0" w:space="0" w:color="auto"/>
        <w:right w:val="none" w:sz="0" w:space="0" w:color="auto"/>
      </w:divBdr>
      <w:divsChild>
        <w:div w:id="2098598528">
          <w:marLeft w:val="0"/>
          <w:marRight w:val="0"/>
          <w:marTop w:val="0"/>
          <w:marBottom w:val="0"/>
          <w:divBdr>
            <w:top w:val="none" w:sz="0" w:space="0" w:color="auto"/>
            <w:left w:val="none" w:sz="0" w:space="0" w:color="auto"/>
            <w:bottom w:val="none" w:sz="0" w:space="0" w:color="auto"/>
            <w:right w:val="none" w:sz="0" w:space="0" w:color="auto"/>
          </w:divBdr>
        </w:div>
      </w:divsChild>
    </w:div>
    <w:div w:id="1479764076">
      <w:bodyDiv w:val="1"/>
      <w:marLeft w:val="0"/>
      <w:marRight w:val="0"/>
      <w:marTop w:val="0"/>
      <w:marBottom w:val="0"/>
      <w:divBdr>
        <w:top w:val="none" w:sz="0" w:space="0" w:color="auto"/>
        <w:left w:val="none" w:sz="0" w:space="0" w:color="auto"/>
        <w:bottom w:val="none" w:sz="0" w:space="0" w:color="auto"/>
        <w:right w:val="none" w:sz="0" w:space="0" w:color="auto"/>
      </w:divBdr>
      <w:divsChild>
        <w:div w:id="58983323">
          <w:marLeft w:val="0"/>
          <w:marRight w:val="0"/>
          <w:marTop w:val="0"/>
          <w:marBottom w:val="0"/>
          <w:divBdr>
            <w:top w:val="none" w:sz="0" w:space="0" w:color="auto"/>
            <w:left w:val="none" w:sz="0" w:space="0" w:color="auto"/>
            <w:bottom w:val="none" w:sz="0" w:space="0" w:color="auto"/>
            <w:right w:val="none" w:sz="0" w:space="0" w:color="auto"/>
          </w:divBdr>
        </w:div>
      </w:divsChild>
    </w:div>
    <w:div w:id="1489788465">
      <w:bodyDiv w:val="1"/>
      <w:marLeft w:val="0"/>
      <w:marRight w:val="0"/>
      <w:marTop w:val="0"/>
      <w:marBottom w:val="0"/>
      <w:divBdr>
        <w:top w:val="none" w:sz="0" w:space="0" w:color="auto"/>
        <w:left w:val="none" w:sz="0" w:space="0" w:color="auto"/>
        <w:bottom w:val="none" w:sz="0" w:space="0" w:color="auto"/>
        <w:right w:val="none" w:sz="0" w:space="0" w:color="auto"/>
      </w:divBdr>
      <w:divsChild>
        <w:div w:id="913703278">
          <w:marLeft w:val="0"/>
          <w:marRight w:val="0"/>
          <w:marTop w:val="0"/>
          <w:marBottom w:val="0"/>
          <w:divBdr>
            <w:top w:val="none" w:sz="0" w:space="0" w:color="auto"/>
            <w:left w:val="none" w:sz="0" w:space="0" w:color="auto"/>
            <w:bottom w:val="none" w:sz="0" w:space="0" w:color="auto"/>
            <w:right w:val="none" w:sz="0" w:space="0" w:color="auto"/>
          </w:divBdr>
        </w:div>
      </w:divsChild>
    </w:div>
    <w:div w:id="1558398087">
      <w:bodyDiv w:val="1"/>
      <w:marLeft w:val="0"/>
      <w:marRight w:val="0"/>
      <w:marTop w:val="0"/>
      <w:marBottom w:val="0"/>
      <w:divBdr>
        <w:top w:val="none" w:sz="0" w:space="0" w:color="auto"/>
        <w:left w:val="none" w:sz="0" w:space="0" w:color="auto"/>
        <w:bottom w:val="none" w:sz="0" w:space="0" w:color="auto"/>
        <w:right w:val="none" w:sz="0" w:space="0" w:color="auto"/>
      </w:divBdr>
      <w:divsChild>
        <w:div w:id="1643585234">
          <w:marLeft w:val="0"/>
          <w:marRight w:val="0"/>
          <w:marTop w:val="0"/>
          <w:marBottom w:val="0"/>
          <w:divBdr>
            <w:top w:val="none" w:sz="0" w:space="0" w:color="auto"/>
            <w:left w:val="none" w:sz="0" w:space="0" w:color="auto"/>
            <w:bottom w:val="none" w:sz="0" w:space="0" w:color="auto"/>
            <w:right w:val="none" w:sz="0" w:space="0" w:color="auto"/>
          </w:divBdr>
        </w:div>
      </w:divsChild>
    </w:div>
    <w:div w:id="1754886305">
      <w:bodyDiv w:val="1"/>
      <w:marLeft w:val="0"/>
      <w:marRight w:val="0"/>
      <w:marTop w:val="0"/>
      <w:marBottom w:val="0"/>
      <w:divBdr>
        <w:top w:val="none" w:sz="0" w:space="0" w:color="auto"/>
        <w:left w:val="none" w:sz="0" w:space="0" w:color="auto"/>
        <w:bottom w:val="none" w:sz="0" w:space="0" w:color="auto"/>
        <w:right w:val="none" w:sz="0" w:space="0" w:color="auto"/>
      </w:divBdr>
      <w:divsChild>
        <w:div w:id="525680914">
          <w:marLeft w:val="0"/>
          <w:marRight w:val="0"/>
          <w:marTop w:val="0"/>
          <w:marBottom w:val="0"/>
          <w:divBdr>
            <w:top w:val="none" w:sz="0" w:space="0" w:color="auto"/>
            <w:left w:val="none" w:sz="0" w:space="0" w:color="auto"/>
            <w:bottom w:val="none" w:sz="0" w:space="0" w:color="auto"/>
            <w:right w:val="none" w:sz="0" w:space="0" w:color="auto"/>
          </w:divBdr>
        </w:div>
      </w:divsChild>
    </w:div>
    <w:div w:id="1860656450">
      <w:bodyDiv w:val="1"/>
      <w:marLeft w:val="0"/>
      <w:marRight w:val="0"/>
      <w:marTop w:val="0"/>
      <w:marBottom w:val="0"/>
      <w:divBdr>
        <w:top w:val="none" w:sz="0" w:space="0" w:color="auto"/>
        <w:left w:val="none" w:sz="0" w:space="0" w:color="auto"/>
        <w:bottom w:val="none" w:sz="0" w:space="0" w:color="auto"/>
        <w:right w:val="none" w:sz="0" w:space="0" w:color="auto"/>
      </w:divBdr>
    </w:div>
    <w:div w:id="1865633806">
      <w:bodyDiv w:val="1"/>
      <w:marLeft w:val="0"/>
      <w:marRight w:val="0"/>
      <w:marTop w:val="0"/>
      <w:marBottom w:val="0"/>
      <w:divBdr>
        <w:top w:val="none" w:sz="0" w:space="0" w:color="auto"/>
        <w:left w:val="none" w:sz="0" w:space="0" w:color="auto"/>
        <w:bottom w:val="none" w:sz="0" w:space="0" w:color="auto"/>
        <w:right w:val="none" w:sz="0" w:space="0" w:color="auto"/>
      </w:divBdr>
    </w:div>
    <w:div w:id="1874607864">
      <w:bodyDiv w:val="1"/>
      <w:marLeft w:val="0"/>
      <w:marRight w:val="0"/>
      <w:marTop w:val="0"/>
      <w:marBottom w:val="0"/>
      <w:divBdr>
        <w:top w:val="none" w:sz="0" w:space="0" w:color="auto"/>
        <w:left w:val="none" w:sz="0" w:space="0" w:color="auto"/>
        <w:bottom w:val="none" w:sz="0" w:space="0" w:color="auto"/>
        <w:right w:val="none" w:sz="0" w:space="0" w:color="auto"/>
      </w:divBdr>
      <w:divsChild>
        <w:div w:id="1158226532">
          <w:marLeft w:val="0"/>
          <w:marRight w:val="0"/>
          <w:marTop w:val="0"/>
          <w:marBottom w:val="0"/>
          <w:divBdr>
            <w:top w:val="none" w:sz="0" w:space="0" w:color="auto"/>
            <w:left w:val="none" w:sz="0" w:space="0" w:color="auto"/>
            <w:bottom w:val="none" w:sz="0" w:space="0" w:color="auto"/>
            <w:right w:val="none" w:sz="0" w:space="0" w:color="auto"/>
          </w:divBdr>
        </w:div>
      </w:divsChild>
    </w:div>
    <w:div w:id="2022974133">
      <w:bodyDiv w:val="1"/>
      <w:marLeft w:val="0"/>
      <w:marRight w:val="0"/>
      <w:marTop w:val="0"/>
      <w:marBottom w:val="0"/>
      <w:divBdr>
        <w:top w:val="none" w:sz="0" w:space="0" w:color="auto"/>
        <w:left w:val="none" w:sz="0" w:space="0" w:color="auto"/>
        <w:bottom w:val="none" w:sz="0" w:space="0" w:color="auto"/>
        <w:right w:val="none" w:sz="0" w:space="0" w:color="auto"/>
      </w:divBdr>
      <w:divsChild>
        <w:div w:id="1847477349">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formacionvirtual.colombiacompra.gov.co/mod/page/view.php?id=3718"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hyperlink" Target="mailto:c.ordosgoitia@hotmail.com" TargetMode="External"/><Relationship Id="rId17" Type="http://schemas.openxmlformats.org/officeDocument/2006/relationships/hyperlink" Target="https://relatoria.colombiacompra.gov.co/busqueda/conceptos"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uncionpublica.gov.co/eva/gestornormativo/norma.php?i=18232" TargetMode="External"/><Relationship Id="rId20"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hyperlink" Target="https://www.funcionpublica.gov.co/eva/gestornormativo/norma.php?i=18232"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colombiacompra.gov.co/normativa-y-relatoria/documentos-tip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18232"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procuraduria.gov.co/iemp/media/file/img/noticias/Los%20mecanismos%20alternativos%20%20de%20soluci%C3%B3n%20de%20conflictos%20en%20Colombia%20+%20MASC.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A56AB433-DDDD-4829-9313-B70F599AB3D5}">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24801F67-7928-4701-AF40-AAC3796D0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40</TotalTime>
  <Pages>37</Pages>
  <Words>12973</Words>
  <Characters>71353</Characters>
  <Application>Microsoft Office Word</Application>
  <DocSecurity>0</DocSecurity>
  <Lines>594</Lines>
  <Paragraphs>168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2026-05-22T22:16:00Z</dcterms:created>
  <dcterms:modified xsi:type="dcterms:W3CDTF">2026-05-25T22:51:00Z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