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0BC94" w14:textId="77777777" w:rsidR="00481562" w:rsidRDefault="00481562" w:rsidP="00481562">
      <w:pPr>
        <w:spacing w:after="0"/>
        <w:rPr>
          <w:rFonts w:ascii="Verdana" w:hAnsi="Verdana" w:cs="Arial"/>
          <w:b/>
          <w:color w:val="000000" w:themeColor="text1"/>
          <w:lang w:val="es-ES_tradnl"/>
        </w:rPr>
      </w:pPr>
      <w:bookmarkStart w:id="0" w:name="_Hlk143780582"/>
    </w:p>
    <w:p w14:paraId="06CF2DC5" w14:textId="77777777" w:rsidR="00481562" w:rsidRDefault="00481562" w:rsidP="00481562">
      <w:pPr>
        <w:spacing w:after="0"/>
        <w:contextualSpacing/>
        <w:jc w:val="both"/>
        <w:rPr>
          <w:rFonts w:ascii="Verdana" w:eastAsia="Calibri" w:hAnsi="Verdana" w:cs="Arial"/>
          <w:b/>
          <w:bCs/>
          <w:lang w:val="es-ES" w:eastAsia="es-ES"/>
        </w:rPr>
      </w:pPr>
      <w:r w:rsidRPr="009C44A9">
        <w:rPr>
          <w:rFonts w:ascii="Verdana" w:eastAsia="Calibri" w:hAnsi="Verdana" w:cs="Arial"/>
          <w:b/>
          <w:bCs/>
          <w:lang w:val="es-ES" w:eastAsia="es-ES"/>
        </w:rPr>
        <w:t>LEY DE GARANTÍAS– Requisitos de perfeccionamiento y ejecución</w:t>
      </w:r>
    </w:p>
    <w:p w14:paraId="551B944A" w14:textId="77777777" w:rsidR="00481562" w:rsidRPr="00782836" w:rsidRDefault="00481562" w:rsidP="00481562">
      <w:pPr>
        <w:spacing w:after="0"/>
        <w:contextualSpacing/>
        <w:jc w:val="both"/>
        <w:rPr>
          <w:rFonts w:ascii="Verdana" w:eastAsia="Calibri" w:hAnsi="Verdana" w:cs="Arial"/>
          <w:b/>
          <w:bCs/>
          <w:lang w:val="es-ES" w:eastAsia="es-ES"/>
        </w:rPr>
      </w:pPr>
    </w:p>
    <w:p w14:paraId="1E14BDCA" w14:textId="77777777" w:rsidR="00481562" w:rsidRDefault="00481562" w:rsidP="00481562">
      <w:pPr>
        <w:spacing w:after="0" w:line="240" w:lineRule="auto"/>
        <w:jc w:val="both"/>
        <w:rPr>
          <w:rFonts w:ascii="Verdana" w:eastAsia="Times New Roman" w:hAnsi="Verdana" w:cs="Arial"/>
          <w:sz w:val="20"/>
          <w:szCs w:val="20"/>
          <w:lang w:val="es-ES" w:eastAsia="es-CO"/>
        </w:rPr>
      </w:pPr>
      <w:r w:rsidRPr="00816FE1">
        <w:rPr>
          <w:rFonts w:ascii="Verdana" w:eastAsia="Times New Roman" w:hAnsi="Verdana" w:cs="Arial"/>
          <w:sz w:val="20"/>
          <w:szCs w:val="20"/>
          <w:lang w:val="es-ES" w:eastAsia="es-CO"/>
        </w:rPr>
        <w:t>La Ley 996 de 2005 también conocida como Ley de Garantías Electorales establece dos restricciones en particular la contratación estatal. Por un lado, 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 De otra parte,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1CC1BF3C" w14:textId="77777777" w:rsidR="00481562" w:rsidRPr="009233BB" w:rsidRDefault="00481562" w:rsidP="00481562">
      <w:pPr>
        <w:spacing w:after="0" w:line="240" w:lineRule="auto"/>
        <w:jc w:val="both"/>
        <w:rPr>
          <w:rFonts w:ascii="Calibri" w:eastAsia="Calibri" w:hAnsi="Calibri" w:cs="Times New Roman"/>
          <w:color w:val="ED7D31" w:themeColor="accent2"/>
          <w:lang w:val="es-ES"/>
        </w:rPr>
      </w:pPr>
    </w:p>
    <w:p w14:paraId="4FD213E6" w14:textId="77777777" w:rsidR="00481562" w:rsidRPr="00782836" w:rsidRDefault="00481562" w:rsidP="00481562">
      <w:pPr>
        <w:contextualSpacing/>
        <w:jc w:val="both"/>
        <w:rPr>
          <w:rFonts w:ascii="Verdana" w:eastAsia="Calibri" w:hAnsi="Verdana" w:cs="Arial"/>
          <w:b/>
          <w:bCs/>
          <w:lang w:val="es-ES" w:eastAsia="es-ES"/>
        </w:rPr>
      </w:pPr>
      <w:r w:rsidRPr="00782836">
        <w:rPr>
          <w:rFonts w:ascii="Verdana" w:eastAsia="Calibri" w:hAnsi="Verdana" w:cs="Arial"/>
          <w:b/>
          <w:bCs/>
          <w:lang w:val="es-ES" w:eastAsia="es-ES"/>
        </w:rPr>
        <w:t>LEY DE GARANTÍAS ELECTORALES ‒ Restricciones ‒ Contratación ‒ Tipos de elección</w:t>
      </w:r>
    </w:p>
    <w:p w14:paraId="495233BF" w14:textId="77777777" w:rsidR="00481562" w:rsidRPr="00782836" w:rsidRDefault="00481562" w:rsidP="00481562">
      <w:pPr>
        <w:spacing w:after="0" w:line="240" w:lineRule="auto"/>
        <w:jc w:val="both"/>
        <w:rPr>
          <w:rFonts w:ascii="Verdana" w:eastAsia="Calibri" w:hAnsi="Verdana" w:cs="Arial"/>
          <w:b/>
          <w:bCs/>
          <w:lang w:val="es-ES" w:eastAsia="es-ES"/>
        </w:rPr>
      </w:pPr>
    </w:p>
    <w:p w14:paraId="71981461" w14:textId="77777777" w:rsidR="00481562" w:rsidRPr="00782836" w:rsidRDefault="00481562" w:rsidP="00481562">
      <w:pPr>
        <w:spacing w:after="0" w:line="240" w:lineRule="auto"/>
        <w:jc w:val="both"/>
        <w:rPr>
          <w:rFonts w:ascii="Verdana" w:eastAsia="Arial" w:hAnsi="Verdana" w:cs="Arial"/>
          <w:sz w:val="20"/>
          <w:szCs w:val="20"/>
          <w:lang w:val="es-ES" w:eastAsia="es-ES" w:bidi="es-ES"/>
        </w:rPr>
      </w:pPr>
      <w:r w:rsidRPr="00782836">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782836">
        <w:rPr>
          <w:rFonts w:ascii="Verdana" w:eastAsia="Arial" w:hAnsi="Verdana" w:cs="Arial"/>
          <w:i/>
          <w:sz w:val="20"/>
          <w:szCs w:val="20"/>
          <w:lang w:val="es-ES" w:eastAsia="es-ES" w:bidi="es-ES"/>
        </w:rPr>
        <w:t>En primer lugar</w:t>
      </w:r>
      <w:r w:rsidRPr="00782836">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82836">
        <w:rPr>
          <w:rFonts w:ascii="Verdana" w:eastAsia="Arial" w:hAnsi="Verdana" w:cs="Arial"/>
          <w:i/>
          <w:sz w:val="20"/>
          <w:szCs w:val="20"/>
          <w:lang w:val="es-ES" w:eastAsia="es-ES" w:bidi="es-ES"/>
        </w:rPr>
        <w:t>En segundo lugar</w:t>
      </w:r>
      <w:r w:rsidRPr="00782836">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252BFF3" w14:textId="77777777" w:rsidR="00481562" w:rsidRPr="009233BB" w:rsidRDefault="00481562" w:rsidP="00481562">
      <w:pPr>
        <w:spacing w:after="0" w:line="240" w:lineRule="auto"/>
        <w:jc w:val="both"/>
        <w:rPr>
          <w:rFonts w:ascii="Verdana" w:eastAsia="Geomanist Light" w:hAnsi="Verdana" w:cs="Arial"/>
          <w:b/>
          <w:bCs/>
          <w:color w:val="ED7D31" w:themeColor="accent2"/>
          <w:lang w:val="es-ES"/>
        </w:rPr>
      </w:pPr>
    </w:p>
    <w:p w14:paraId="6B9AD113" w14:textId="77777777" w:rsidR="00481562" w:rsidRPr="003D4410" w:rsidRDefault="00481562" w:rsidP="00481562">
      <w:pPr>
        <w:spacing w:after="0" w:line="240" w:lineRule="auto"/>
        <w:jc w:val="both"/>
        <w:rPr>
          <w:rFonts w:ascii="Verdana" w:eastAsia="Calibri" w:hAnsi="Verdana" w:cs="Arial"/>
          <w:b/>
          <w:bCs/>
          <w:lang w:val="es-ES" w:eastAsia="es-ES"/>
        </w:rPr>
      </w:pPr>
      <w:r w:rsidRPr="003D4410">
        <w:rPr>
          <w:rFonts w:ascii="Verdana" w:eastAsia="Calibri" w:hAnsi="Verdana" w:cs="Arial"/>
          <w:b/>
          <w:bCs/>
          <w:lang w:val="es-ES" w:eastAsia="es-ES"/>
        </w:rPr>
        <w:t xml:space="preserve">LEY DE GARANTÍAS ELECTORALES ‒ Artículo 33 </w:t>
      </w:r>
    </w:p>
    <w:p w14:paraId="2D53B339" w14:textId="77777777" w:rsidR="00481562" w:rsidRPr="003D4410" w:rsidRDefault="00481562" w:rsidP="00481562">
      <w:pPr>
        <w:spacing w:after="0" w:line="240" w:lineRule="auto"/>
        <w:jc w:val="both"/>
        <w:rPr>
          <w:rFonts w:ascii="Verdana" w:eastAsia="Calibri" w:hAnsi="Verdana" w:cs="Arial"/>
          <w:b/>
          <w:bCs/>
          <w:lang w:val="es-ES" w:eastAsia="es-ES"/>
        </w:rPr>
      </w:pPr>
    </w:p>
    <w:p w14:paraId="7F0F6C24" w14:textId="77777777" w:rsidR="00481562" w:rsidRPr="003D4410" w:rsidRDefault="00481562" w:rsidP="00481562">
      <w:pPr>
        <w:spacing w:after="0" w:line="240" w:lineRule="auto"/>
        <w:jc w:val="both"/>
        <w:rPr>
          <w:rFonts w:ascii="Verdana" w:eastAsia="Calibri" w:hAnsi="Verdana" w:cs="Arial"/>
          <w:sz w:val="20"/>
          <w:szCs w:val="20"/>
          <w:lang w:val="es-ES"/>
        </w:rPr>
      </w:pPr>
      <w:r w:rsidRPr="003D4410">
        <w:rPr>
          <w:rFonts w:ascii="Verdana" w:eastAsia="Calibri" w:hAnsi="Verdana" w:cs="Arial"/>
          <w:sz w:val="20"/>
          <w:szCs w:val="20"/>
          <w:lang w:val="es-ES"/>
        </w:rPr>
        <w:t xml:space="preserve">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w:t>
      </w:r>
      <w:r w:rsidRPr="003D4410">
        <w:rPr>
          <w:rFonts w:ascii="Verdana" w:eastAsia="Calibri" w:hAnsi="Verdana" w:cs="Arial"/>
          <w:sz w:val="20"/>
          <w:szCs w:val="20"/>
          <w:lang w:val="es-ES"/>
        </w:rPr>
        <w:lastRenderedPageBreak/>
        <w:t>carreteras, infraestructura energética y de comunicaciones, en caso de que hayan sido objeto de atentados, acciones terroristas, desastres naturales o casos de fuerza mayor, y los que deban realizar las entidades sanitarias y hospitalarias.</w:t>
      </w:r>
    </w:p>
    <w:p w14:paraId="0DB4AA80" w14:textId="77777777" w:rsidR="00481562" w:rsidRPr="003D4410" w:rsidRDefault="00481562" w:rsidP="00481562">
      <w:pPr>
        <w:spacing w:after="0" w:line="240" w:lineRule="auto"/>
        <w:jc w:val="both"/>
        <w:rPr>
          <w:rFonts w:ascii="Verdana" w:eastAsia="Calibri" w:hAnsi="Verdana" w:cs="Arial"/>
          <w:sz w:val="20"/>
          <w:szCs w:val="20"/>
          <w:lang w:val="es-ES"/>
        </w:rPr>
      </w:pPr>
    </w:p>
    <w:p w14:paraId="66FDA912" w14:textId="77777777" w:rsidR="00481562" w:rsidRPr="003D4410" w:rsidRDefault="00481562" w:rsidP="00481562">
      <w:pPr>
        <w:contextualSpacing/>
        <w:jc w:val="both"/>
        <w:rPr>
          <w:rFonts w:ascii="Verdana" w:eastAsia="Calibri" w:hAnsi="Verdana" w:cs="Arial"/>
          <w:b/>
          <w:bCs/>
          <w:lang w:val="es-ES" w:eastAsia="es-ES"/>
        </w:rPr>
      </w:pPr>
      <w:r w:rsidRPr="003D4410">
        <w:rPr>
          <w:rFonts w:ascii="Verdana" w:eastAsia="Calibri" w:hAnsi="Verdana" w:cs="Arial"/>
          <w:b/>
          <w:bCs/>
          <w:lang w:val="es-ES" w:eastAsia="es-ES"/>
        </w:rPr>
        <w:t>LEY DE GARANTÍAS ELECTORALES ‒ Artículo 38 ‒ Parágrafo</w:t>
      </w:r>
    </w:p>
    <w:p w14:paraId="2C4BF6B3" w14:textId="77777777" w:rsidR="00481562" w:rsidRPr="003D4410" w:rsidRDefault="00481562" w:rsidP="00481562">
      <w:pPr>
        <w:spacing w:line="240" w:lineRule="auto"/>
        <w:contextualSpacing/>
        <w:jc w:val="both"/>
        <w:rPr>
          <w:rFonts w:ascii="Verdana" w:eastAsia="Calibri" w:hAnsi="Verdana" w:cs="Arial"/>
          <w:b/>
          <w:bCs/>
          <w:sz w:val="20"/>
          <w:szCs w:val="20"/>
          <w:lang w:val="es-ES" w:eastAsia="es-ES"/>
        </w:rPr>
      </w:pPr>
    </w:p>
    <w:p w14:paraId="7943FEBA" w14:textId="77777777" w:rsidR="00481562" w:rsidRDefault="00481562" w:rsidP="00481562">
      <w:pPr>
        <w:spacing w:after="0" w:line="240" w:lineRule="auto"/>
        <w:contextualSpacing/>
        <w:jc w:val="both"/>
        <w:rPr>
          <w:rFonts w:ascii="Verdana" w:eastAsia="Times New Roman" w:hAnsi="Verdana" w:cs="Arial"/>
          <w:sz w:val="20"/>
          <w:szCs w:val="20"/>
          <w:lang w:val="es-ES"/>
        </w:rPr>
      </w:pPr>
      <w:r w:rsidRPr="003D4410">
        <w:rPr>
          <w:rFonts w:ascii="Verdana" w:eastAsia="Times New Roman" w:hAnsi="Verdana" w:cs="Arial"/>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0900D45" w14:textId="77777777" w:rsidR="00481562" w:rsidRDefault="00481562" w:rsidP="00481562">
      <w:pPr>
        <w:spacing w:after="0" w:line="240" w:lineRule="auto"/>
        <w:contextualSpacing/>
        <w:jc w:val="both"/>
        <w:rPr>
          <w:rFonts w:ascii="Verdana" w:eastAsia="Times New Roman" w:hAnsi="Verdana" w:cs="Arial"/>
          <w:sz w:val="20"/>
          <w:szCs w:val="20"/>
          <w:lang w:val="es-ES"/>
        </w:rPr>
      </w:pPr>
    </w:p>
    <w:p w14:paraId="7159F8E3" w14:textId="77777777" w:rsidR="00481562" w:rsidRPr="00B6113F" w:rsidRDefault="00481562" w:rsidP="00481562">
      <w:pPr>
        <w:spacing w:after="0" w:line="240" w:lineRule="auto"/>
        <w:contextualSpacing/>
        <w:jc w:val="both"/>
        <w:rPr>
          <w:rFonts w:ascii="Verdana" w:eastAsia="Calibri" w:hAnsi="Verdana" w:cs="Arial"/>
          <w:b/>
          <w:bCs/>
          <w:lang w:val="es-ES" w:eastAsia="es-ES"/>
        </w:rPr>
      </w:pPr>
      <w:r w:rsidRPr="00B6113F">
        <w:rPr>
          <w:rFonts w:ascii="Verdana" w:eastAsia="Calibri" w:hAnsi="Verdana" w:cs="Arial"/>
          <w:b/>
          <w:bCs/>
          <w:lang w:val="es-ES" w:eastAsia="es-ES"/>
        </w:rPr>
        <w:t>LEY DE GARANTÍAS ELECTORALES ─ Prohibición ‒ Contratación directa ‒ Alcance</w:t>
      </w:r>
    </w:p>
    <w:p w14:paraId="23AE2117" w14:textId="77777777" w:rsidR="00481562" w:rsidRPr="009233BB" w:rsidRDefault="00481562" w:rsidP="00481562">
      <w:pPr>
        <w:spacing w:after="0" w:line="240" w:lineRule="auto"/>
        <w:jc w:val="both"/>
        <w:rPr>
          <w:rFonts w:ascii="Verdana" w:eastAsia="Arial" w:hAnsi="Verdana" w:cs="Arial"/>
          <w:color w:val="ED7D31" w:themeColor="accent2"/>
          <w:sz w:val="18"/>
          <w:szCs w:val="18"/>
          <w:lang w:val="es-ES" w:eastAsia="es-ES" w:bidi="es-ES"/>
        </w:rPr>
      </w:pPr>
    </w:p>
    <w:p w14:paraId="6A38364F" w14:textId="77777777" w:rsidR="00481562" w:rsidRDefault="00481562" w:rsidP="00481562">
      <w:pPr>
        <w:spacing w:line="240" w:lineRule="auto"/>
        <w:contextualSpacing/>
        <w:jc w:val="both"/>
        <w:rPr>
          <w:rFonts w:ascii="Verdana" w:eastAsia="Calibri" w:hAnsi="Verdana" w:cs="Arial"/>
          <w:sz w:val="20"/>
          <w:szCs w:val="20"/>
          <w:lang w:val="es-ES" w:eastAsia="es-ES"/>
        </w:rPr>
      </w:pPr>
      <w:r w:rsidRPr="005E492A">
        <w:rPr>
          <w:rFonts w:ascii="Verdana" w:eastAsia="Calibri" w:hAnsi="Verdana" w:cs="Arial"/>
          <w:sz w:val="20"/>
          <w:szCs w:val="20"/>
          <w:lang w:val="es-ES" w:eastAsia="es-ES"/>
        </w:rPr>
        <w:t xml:space="preserve">El ordenamiento jurídico dispone que la modalidad aplicable para la celebración de convenios interadministrativos es la contratación directa, conforme expresamente lo dispone el artículo 2.2.1.2.1.4.4. del Decreto 1082 de 2015. Esto resulta particularmente relevante para el particular, ya que, si bien los convenios interadministrativos a título gratuito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0988756E" w14:textId="77777777" w:rsidR="00481562" w:rsidRPr="005E492A" w:rsidRDefault="00481562" w:rsidP="00481562">
      <w:pPr>
        <w:spacing w:line="240" w:lineRule="auto"/>
        <w:contextualSpacing/>
        <w:jc w:val="both"/>
        <w:rPr>
          <w:rFonts w:ascii="Verdana" w:eastAsia="Calibri" w:hAnsi="Verdana" w:cs="Arial"/>
          <w:sz w:val="20"/>
          <w:szCs w:val="20"/>
          <w:lang w:val="es-ES" w:eastAsia="es-ES"/>
        </w:rPr>
      </w:pPr>
    </w:p>
    <w:p w14:paraId="530DB2AF" w14:textId="77777777" w:rsidR="00481562" w:rsidRDefault="00481562" w:rsidP="00481562">
      <w:pPr>
        <w:spacing w:after="0" w:line="240" w:lineRule="auto"/>
        <w:contextualSpacing/>
        <w:jc w:val="both"/>
        <w:rPr>
          <w:rFonts w:ascii="Verdana" w:eastAsia="Calibri" w:hAnsi="Verdana" w:cs="Arial"/>
          <w:b/>
          <w:bCs/>
          <w:lang w:val="es-ES" w:eastAsia="es-ES"/>
        </w:rPr>
      </w:pPr>
      <w:r w:rsidRPr="005E492A">
        <w:rPr>
          <w:rFonts w:ascii="Verdana" w:eastAsia="Calibri" w:hAnsi="Verdana" w:cs="Arial"/>
          <w:b/>
          <w:bCs/>
          <w:lang w:val="es-ES" w:eastAsia="es-ES"/>
        </w:rPr>
        <w:t xml:space="preserve">LEY DE GARANTÍAS ELECTORALES ─ Excepciones – Convenios a título gratuito  </w:t>
      </w:r>
    </w:p>
    <w:p w14:paraId="4F8CC67B" w14:textId="77777777" w:rsidR="00481562" w:rsidRPr="005E492A" w:rsidRDefault="00481562" w:rsidP="00481562">
      <w:pPr>
        <w:spacing w:after="0" w:line="240" w:lineRule="auto"/>
        <w:contextualSpacing/>
        <w:jc w:val="both"/>
        <w:rPr>
          <w:rFonts w:ascii="Verdana" w:eastAsia="Calibri" w:hAnsi="Verdana" w:cs="Arial"/>
          <w:b/>
          <w:bCs/>
          <w:lang w:val="es-ES" w:eastAsia="es-ES"/>
        </w:rPr>
      </w:pPr>
    </w:p>
    <w:p w14:paraId="66A72D87" w14:textId="77777777" w:rsidR="00481562" w:rsidRPr="00F32723" w:rsidRDefault="00481562" w:rsidP="00481562">
      <w:pPr>
        <w:spacing w:after="0" w:line="240" w:lineRule="auto"/>
        <w:contextualSpacing/>
        <w:jc w:val="both"/>
        <w:rPr>
          <w:rFonts w:ascii="Verdana" w:eastAsia="Times New Roman" w:hAnsi="Verdana" w:cs="Arial"/>
          <w:sz w:val="20"/>
          <w:szCs w:val="20"/>
          <w:lang w:val="es-ES"/>
        </w:rPr>
      </w:pPr>
      <w:r w:rsidRPr="00F32723">
        <w:rPr>
          <w:rFonts w:ascii="Verdana" w:eastAsia="Times New Roman" w:hAnsi="Verdana" w:cs="Arial"/>
          <w:sz w:val="20"/>
          <w:szCs w:val="20"/>
          <w:lang w:val="es-ES"/>
        </w:rPr>
        <w:t xml:space="preserve">En atención a esto, si bien, en principio, resulta viable celebrar de manera directa un convenio interadministrativo a título gratuito en vigencia de la restricción del artículo 38, esto no resulta válido cuando esté en vigencia la prohibición del artículo 33, ya que esta aplica de manera de manera general a la contratación directa y no contempla excepciones para convenio a título gratuito. En ese orden, una vez entrada en vigor la restricción del artículo 33 de la Ley 996 de 2005, solo resulta jurídicamente viable celebrar convenios interadministrativos a título gratuito, si respecto de estos se configura alguna de las excepciones establecidas en dicha disposición.   </w:t>
      </w:r>
    </w:p>
    <w:p w14:paraId="368A93DF" w14:textId="77777777" w:rsidR="00481562" w:rsidRPr="003D4410" w:rsidRDefault="00481562" w:rsidP="00481562">
      <w:pPr>
        <w:spacing w:after="0" w:line="240" w:lineRule="auto"/>
        <w:contextualSpacing/>
        <w:jc w:val="both"/>
        <w:rPr>
          <w:rFonts w:ascii="Verdana" w:eastAsia="Calibri" w:hAnsi="Verdana" w:cs="Arial"/>
          <w:b/>
          <w:bCs/>
          <w:sz w:val="20"/>
          <w:szCs w:val="20"/>
          <w:lang w:eastAsia="es-ES"/>
        </w:rPr>
      </w:pPr>
    </w:p>
    <w:p w14:paraId="7D57A734" w14:textId="77777777" w:rsidR="00481562" w:rsidRPr="003D4410" w:rsidRDefault="00481562" w:rsidP="00481562">
      <w:pPr>
        <w:spacing w:after="0" w:line="240" w:lineRule="auto"/>
        <w:contextualSpacing/>
        <w:jc w:val="both"/>
        <w:rPr>
          <w:rFonts w:ascii="Verdana" w:eastAsia="Calibri" w:hAnsi="Verdana" w:cs="Arial"/>
          <w:b/>
          <w:bCs/>
          <w:sz w:val="20"/>
          <w:szCs w:val="20"/>
          <w:lang w:val="es-ES" w:eastAsia="es-ES"/>
        </w:rPr>
      </w:pPr>
    </w:p>
    <w:p w14:paraId="26B663E3" w14:textId="77777777" w:rsidR="00481562" w:rsidRDefault="00481562" w:rsidP="00481562">
      <w:pPr>
        <w:spacing w:after="0"/>
        <w:rPr>
          <w:rFonts w:ascii="Verdana" w:eastAsia="Verdana" w:hAnsi="Verdana" w:cs="Verdana"/>
        </w:rPr>
      </w:pPr>
    </w:p>
    <w:p w14:paraId="3E22C7D1" w14:textId="77777777" w:rsidR="00481562" w:rsidRDefault="00481562" w:rsidP="00481562">
      <w:pPr>
        <w:spacing w:after="0"/>
        <w:rPr>
          <w:rFonts w:ascii="Verdana" w:eastAsia="Verdana" w:hAnsi="Verdana" w:cs="Verdana"/>
        </w:rPr>
      </w:pPr>
    </w:p>
    <w:p w14:paraId="57587A49" w14:textId="77777777" w:rsidR="00481562" w:rsidRDefault="00481562" w:rsidP="00481562">
      <w:pPr>
        <w:spacing w:after="0"/>
        <w:rPr>
          <w:rFonts w:ascii="Verdana" w:eastAsia="Verdana" w:hAnsi="Verdana" w:cs="Verdana"/>
        </w:rPr>
      </w:pPr>
    </w:p>
    <w:p w14:paraId="785828CB" w14:textId="77777777" w:rsidR="00481562" w:rsidRDefault="00481562" w:rsidP="00481562">
      <w:pPr>
        <w:spacing w:after="0"/>
        <w:rPr>
          <w:rFonts w:ascii="Verdana" w:eastAsia="Verdana" w:hAnsi="Verdana" w:cs="Verdana"/>
        </w:rPr>
      </w:pPr>
    </w:p>
    <w:p w14:paraId="6921F1A0" w14:textId="77777777" w:rsidR="00481562" w:rsidRDefault="00481562" w:rsidP="00481562">
      <w:pPr>
        <w:spacing w:after="0"/>
        <w:rPr>
          <w:rFonts w:ascii="Verdana" w:eastAsia="Verdana" w:hAnsi="Verdana" w:cs="Verdana"/>
        </w:rPr>
      </w:pPr>
    </w:p>
    <w:p w14:paraId="563F66F5" w14:textId="77777777" w:rsidR="00481562" w:rsidRDefault="00481562" w:rsidP="00481562">
      <w:pPr>
        <w:spacing w:after="0"/>
        <w:rPr>
          <w:rFonts w:ascii="Verdana" w:eastAsia="Verdana" w:hAnsi="Verdana" w:cs="Verdana"/>
        </w:rPr>
      </w:pPr>
    </w:p>
    <w:p w14:paraId="595DAB0E" w14:textId="77777777" w:rsidR="00481562" w:rsidRDefault="00481562" w:rsidP="00481562">
      <w:pPr>
        <w:spacing w:after="0"/>
        <w:rPr>
          <w:rFonts w:ascii="Verdana" w:eastAsia="Verdana" w:hAnsi="Verdana" w:cs="Verdana"/>
        </w:rPr>
      </w:pPr>
    </w:p>
    <w:p w14:paraId="109928A6" w14:textId="2278820F" w:rsidR="00481562" w:rsidRPr="00814970" w:rsidRDefault="00814970" w:rsidP="00481562">
      <w:pPr>
        <w:spacing w:after="0"/>
        <w:rPr>
          <w:rFonts w:ascii="Verdana" w:hAnsi="Verdana"/>
          <w:lang w:val="es-ES"/>
        </w:rPr>
      </w:pPr>
      <w:r w:rsidRPr="00814970">
        <w:rPr>
          <w:rFonts w:ascii="Verdana" w:hAnsi="Verdana"/>
        </w:rPr>
        <w:t>Bogotá D.C., 15 Abril 2026</w:t>
      </w:r>
    </w:p>
    <w:p w14:paraId="04A7B543" w14:textId="5DEB9EB7" w:rsidR="004F4B0B" w:rsidRDefault="004F4B0B" w:rsidP="00481562">
      <w:pPr>
        <w:spacing w:after="0"/>
        <w:rPr>
          <w:rFonts w:ascii="Verdana" w:hAnsi="Verdana"/>
          <w:color w:val="ED7D31" w:themeColor="accent2"/>
          <w:lang w:val="es-ES"/>
        </w:rPr>
      </w:pPr>
      <w:r>
        <w:rPr>
          <w:rFonts w:ascii="Verdana" w:hAnsi="Verdana"/>
          <w:color w:val="ED7D31" w:themeColor="accent2"/>
          <w:lang w:val="es-ES"/>
        </w:rPr>
        <w:t xml:space="preserve">                                                              </w:t>
      </w:r>
      <w:r w:rsidRPr="004F4B0B">
        <w:rPr>
          <w:rFonts w:ascii="Verdana" w:hAnsi="Verdana"/>
          <w:noProof/>
          <w:color w:val="ED7D31" w:themeColor="accent2"/>
          <w:lang w:val="es-ES"/>
        </w:rPr>
        <w:drawing>
          <wp:inline distT="0" distB="0" distL="0" distR="0" wp14:anchorId="4A973B2E" wp14:editId="1C425CA8">
            <wp:extent cx="2269612" cy="628650"/>
            <wp:effectExtent l="0" t="0" r="0" b="0"/>
            <wp:docPr id="11318517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2824" cy="637849"/>
                    </a:xfrm>
                    <a:prstGeom prst="rect">
                      <a:avLst/>
                    </a:prstGeom>
                    <a:noFill/>
                    <a:ln>
                      <a:noFill/>
                    </a:ln>
                  </pic:spPr>
                </pic:pic>
              </a:graphicData>
            </a:graphic>
          </wp:inline>
        </w:drawing>
      </w:r>
    </w:p>
    <w:p w14:paraId="549197B1" w14:textId="77777777" w:rsidR="004F4B0B" w:rsidRPr="006733BD" w:rsidRDefault="004F4B0B" w:rsidP="00481562">
      <w:pPr>
        <w:spacing w:after="0"/>
        <w:rPr>
          <w:rFonts w:ascii="Verdana" w:hAnsi="Verdana"/>
          <w:color w:val="ED7D31" w:themeColor="accent2"/>
          <w:lang w:val="es-ES"/>
        </w:rPr>
      </w:pPr>
    </w:p>
    <w:p w14:paraId="5EB926DE" w14:textId="77777777" w:rsidR="00481562" w:rsidRDefault="00481562" w:rsidP="00481562">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00150631" w14:textId="77777777" w:rsidR="00481562" w:rsidRDefault="00481562" w:rsidP="00481562">
      <w:pPr>
        <w:spacing w:after="0" w:line="240" w:lineRule="auto"/>
        <w:rPr>
          <w:rFonts w:ascii="Verdana" w:eastAsia="Calibri" w:hAnsi="Verdana" w:cs="Arial"/>
          <w:b/>
          <w:bCs/>
          <w:lang w:val="es-ES" w:eastAsia="es-ES"/>
        </w:rPr>
      </w:pPr>
      <w:r w:rsidRPr="00E96366">
        <w:rPr>
          <w:rFonts w:ascii="Verdana" w:eastAsia="Calibri" w:hAnsi="Verdana" w:cs="Arial"/>
          <w:b/>
          <w:bCs/>
          <w:lang w:val="es-ES" w:eastAsia="es-ES"/>
        </w:rPr>
        <w:t>Peticionario Anónimo</w:t>
      </w:r>
    </w:p>
    <w:p w14:paraId="419B3CB9" w14:textId="77777777" w:rsidR="00481562" w:rsidRDefault="00481562" w:rsidP="00481562">
      <w:pPr>
        <w:spacing w:after="0" w:line="240" w:lineRule="auto"/>
        <w:rPr>
          <w:rFonts w:ascii="Verdana" w:eastAsia="Times New Roman" w:hAnsi="Verdana" w:cs="Calibri"/>
          <w:lang w:eastAsia="es-CO"/>
        </w:rPr>
      </w:pPr>
      <w:hyperlink r:id="rId11" w:history="1">
        <w:r w:rsidRPr="005B1EA4">
          <w:rPr>
            <w:rStyle w:val="Hipervnculo"/>
            <w:rFonts w:ascii="Verdana" w:eastAsia="Times New Roman" w:hAnsi="Verdana" w:cs="Calibri"/>
            <w:lang w:eastAsia="es-CO"/>
          </w:rPr>
          <w:t>elasquitar23@hotmail.com</w:t>
        </w:r>
      </w:hyperlink>
    </w:p>
    <w:p w14:paraId="7B756484" w14:textId="77777777" w:rsidR="00481562" w:rsidRPr="005B1EA4" w:rsidRDefault="00481562" w:rsidP="00481562">
      <w:pPr>
        <w:spacing w:after="0" w:line="240" w:lineRule="auto"/>
        <w:rPr>
          <w:rFonts w:ascii="Verdana" w:eastAsia="Times New Roman" w:hAnsi="Verdana" w:cs="Calibri"/>
          <w:lang w:eastAsia="es-CO"/>
        </w:rPr>
      </w:pPr>
      <w:r>
        <w:rPr>
          <w:rFonts w:ascii="Verdana" w:eastAsia="Times New Roman" w:hAnsi="Verdana" w:cs="Calibri"/>
          <w:lang w:eastAsia="es-CO"/>
        </w:rPr>
        <w:t>Ciudad</w:t>
      </w:r>
    </w:p>
    <w:p w14:paraId="619E053A" w14:textId="77777777" w:rsidR="00481562" w:rsidRPr="00E96366" w:rsidRDefault="00481562" w:rsidP="00481562">
      <w:pPr>
        <w:spacing w:after="0" w:line="240" w:lineRule="auto"/>
        <w:rPr>
          <w:rFonts w:ascii="Verdana" w:eastAsia="Calibri" w:hAnsi="Verdana" w:cs="Arial"/>
          <w:b/>
          <w:bCs/>
          <w:lang w:val="es-ES" w:eastAsia="es-ES"/>
        </w:rPr>
      </w:pPr>
    </w:p>
    <w:p w14:paraId="56499439" w14:textId="77777777" w:rsidR="00481562" w:rsidRPr="006733BD" w:rsidRDefault="00481562" w:rsidP="00481562">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81562" w:rsidRPr="006733BD" w14:paraId="64F0E25F" w14:textId="77777777" w:rsidTr="006678BC">
        <w:trPr>
          <w:trHeight w:val="300"/>
        </w:trPr>
        <w:tc>
          <w:tcPr>
            <w:tcW w:w="2410" w:type="dxa"/>
          </w:tcPr>
          <w:p w14:paraId="5FC844A4" w14:textId="77777777" w:rsidR="00481562" w:rsidRPr="00A54BCB" w:rsidRDefault="00481562" w:rsidP="006678BC">
            <w:pPr>
              <w:ind w:left="-142"/>
              <w:jc w:val="both"/>
              <w:rPr>
                <w:rFonts w:ascii="Verdana" w:eastAsia="Calibri" w:hAnsi="Verdana" w:cs="Arial"/>
                <w:b/>
                <w:bCs/>
                <w:lang w:val="es-ES" w:eastAsia="es-ES_tradnl"/>
              </w:rPr>
            </w:pPr>
          </w:p>
        </w:tc>
        <w:tc>
          <w:tcPr>
            <w:tcW w:w="6100" w:type="dxa"/>
          </w:tcPr>
          <w:p w14:paraId="20FE4409" w14:textId="77777777" w:rsidR="00481562" w:rsidRPr="00A54BCB" w:rsidRDefault="00481562" w:rsidP="006678BC">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362</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5584DBCB" w14:textId="77777777" w:rsidR="00481562" w:rsidRPr="00A54BCB" w:rsidRDefault="00481562" w:rsidP="006678BC">
            <w:pPr>
              <w:ind w:left="3"/>
              <w:jc w:val="both"/>
              <w:rPr>
                <w:rFonts w:ascii="Verdana" w:eastAsia="Calibri" w:hAnsi="Verdana" w:cs="Arial"/>
                <w:b/>
                <w:bCs/>
                <w:lang w:val="es-ES" w:eastAsia="es-ES"/>
              </w:rPr>
            </w:pPr>
          </w:p>
        </w:tc>
      </w:tr>
      <w:tr w:rsidR="00481562" w:rsidRPr="006733BD" w14:paraId="49E302A8" w14:textId="77777777" w:rsidTr="006678BC">
        <w:trPr>
          <w:trHeight w:val="300"/>
        </w:trPr>
        <w:tc>
          <w:tcPr>
            <w:tcW w:w="2410" w:type="dxa"/>
          </w:tcPr>
          <w:p w14:paraId="0829385F" w14:textId="77777777" w:rsidR="00481562" w:rsidRPr="006733BD" w:rsidRDefault="00481562" w:rsidP="006678BC">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30645088" w14:textId="77777777" w:rsidR="00481562" w:rsidRDefault="00481562" w:rsidP="006678BC">
            <w:pPr>
              <w:spacing w:line="276" w:lineRule="auto"/>
              <w:jc w:val="both"/>
              <w:rPr>
                <w:rFonts w:ascii="Verdana" w:eastAsia="Calibri" w:hAnsi="Verdana" w:cs="Arial"/>
                <w:lang w:val="es-MX"/>
              </w:rPr>
            </w:pPr>
            <w:r w:rsidRPr="00E631A9">
              <w:rPr>
                <w:rFonts w:ascii="Verdana" w:eastAsia="Calibri" w:hAnsi="Verdana" w:cs="Arial"/>
                <w:lang w:val="es-ES" w:eastAsia="es-ES"/>
              </w:rPr>
              <w:t>LEY DE GARANTÍAS ELECTORALES ─ Definición ─ Finalidad ─ Restricciones ─ Destinatarios / LEY DE GARANTÍAS ELECTORALES ─ Prohibición ─ Contratación Directa ─ Alcance ─ Excepciones / LEY DE GARANTÍAS ELECTORALES ─ Prohibición ─</w:t>
            </w:r>
            <w:r>
              <w:rPr>
                <w:rFonts w:ascii="Verdana" w:eastAsia="Calibri" w:hAnsi="Verdana" w:cs="Arial"/>
                <w:lang w:val="es-ES" w:eastAsia="es-ES"/>
              </w:rPr>
              <w:t xml:space="preserve"> Convenios interadministrativos</w:t>
            </w:r>
            <w:r w:rsidRPr="00784FB9">
              <w:rPr>
                <w:rFonts w:ascii="Verdana" w:eastAsia="Calibri" w:hAnsi="Verdana" w:cs="Arial"/>
                <w:lang w:val="es-ES" w:eastAsia="es-ES"/>
              </w:rPr>
              <w:t xml:space="preserve"> </w:t>
            </w:r>
            <w:r w:rsidRPr="00E631A9">
              <w:rPr>
                <w:rFonts w:ascii="Verdana" w:eastAsia="Calibri" w:hAnsi="Verdana" w:cs="Arial"/>
                <w:lang w:val="es-ES" w:eastAsia="es-ES"/>
              </w:rPr>
              <w:t>─</w:t>
            </w:r>
            <w:r>
              <w:rPr>
                <w:rFonts w:ascii="Verdana" w:eastAsia="Calibri" w:hAnsi="Verdana" w:cs="Arial"/>
                <w:lang w:val="es-ES" w:eastAsia="es-ES"/>
              </w:rPr>
              <w:t xml:space="preserve"> </w:t>
            </w:r>
            <w:r>
              <w:rPr>
                <w:rFonts w:ascii="Verdana" w:eastAsia="Calibri" w:hAnsi="Verdana" w:cs="Arial"/>
                <w:lang w:val="es-MX"/>
              </w:rPr>
              <w:t xml:space="preserve">Excepciones – Convenios a título gratuito </w:t>
            </w:r>
          </w:p>
          <w:p w14:paraId="137237D8" w14:textId="77777777" w:rsidR="00481562" w:rsidRPr="00B21846" w:rsidRDefault="00481562" w:rsidP="006678BC">
            <w:pPr>
              <w:spacing w:line="276" w:lineRule="auto"/>
              <w:jc w:val="both"/>
              <w:rPr>
                <w:rFonts w:ascii="Verdana" w:eastAsia="Calibri" w:hAnsi="Verdana" w:cs="Arial"/>
                <w:lang w:val="es-ES" w:eastAsia="es-ES"/>
              </w:rPr>
            </w:pPr>
          </w:p>
          <w:p w14:paraId="1FD5030E" w14:textId="77777777" w:rsidR="00481562" w:rsidRPr="008F679F" w:rsidRDefault="00481562" w:rsidP="006678BC">
            <w:pPr>
              <w:tabs>
                <w:tab w:val="left" w:pos="3374"/>
              </w:tabs>
              <w:jc w:val="both"/>
              <w:rPr>
                <w:rFonts w:ascii="Verdana" w:eastAsia="Calibri" w:hAnsi="Verdana" w:cs="Arial"/>
                <w:color w:val="ED7D31" w:themeColor="accent2"/>
                <w:lang w:val="es-ES"/>
              </w:rPr>
            </w:pPr>
          </w:p>
        </w:tc>
      </w:tr>
      <w:tr w:rsidR="00481562" w:rsidRPr="00C5490E" w14:paraId="7D2CD77D" w14:textId="77777777" w:rsidTr="006678BC">
        <w:tc>
          <w:tcPr>
            <w:tcW w:w="2410" w:type="dxa"/>
          </w:tcPr>
          <w:p w14:paraId="24E9C751" w14:textId="77777777" w:rsidR="00481562" w:rsidRPr="006733BD" w:rsidRDefault="00481562" w:rsidP="006678BC">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37903190" w14:textId="77777777" w:rsidR="00481562" w:rsidRPr="00B21846" w:rsidRDefault="00481562" w:rsidP="006678BC">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1_2026_03_05_003074</w:t>
            </w:r>
          </w:p>
          <w:p w14:paraId="31CA3190" w14:textId="77777777" w:rsidR="00481562" w:rsidRPr="00E7030A" w:rsidRDefault="00481562" w:rsidP="006678BC">
            <w:pPr>
              <w:jc w:val="both"/>
              <w:rPr>
                <w:rFonts w:ascii="Verdana" w:hAnsi="Verdana"/>
                <w:lang w:val="es-ES"/>
              </w:rPr>
            </w:pPr>
          </w:p>
          <w:p w14:paraId="34DC2965" w14:textId="77777777" w:rsidR="00481562" w:rsidRPr="00C5490E" w:rsidRDefault="00481562" w:rsidP="006678BC">
            <w:pPr>
              <w:ind w:left="3"/>
              <w:jc w:val="both"/>
              <w:rPr>
                <w:rFonts w:ascii="Verdana" w:hAnsi="Verdana"/>
                <w:lang w:val="es-ES"/>
              </w:rPr>
            </w:pPr>
          </w:p>
        </w:tc>
      </w:tr>
    </w:tbl>
    <w:p w14:paraId="3C53C169" w14:textId="77777777" w:rsidR="00481562" w:rsidRPr="00C5490E" w:rsidRDefault="00481562" w:rsidP="00481562">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742F9B4E" w14:textId="77777777" w:rsidR="00481562" w:rsidRPr="00C5490E" w:rsidRDefault="00481562" w:rsidP="00481562">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6165E816" w14:textId="77777777" w:rsidR="00481562" w:rsidRDefault="00481562" w:rsidP="00481562">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5</w:t>
      </w:r>
      <w:r w:rsidRPr="00852F26">
        <w:rPr>
          <w:rFonts w:ascii="Verdana" w:eastAsia="Calibri" w:hAnsi="Verdana" w:cs="Arial"/>
          <w:lang w:val="es-ES" w:eastAsia="es-ES"/>
        </w:rPr>
        <w:t xml:space="preserve"> de </w:t>
      </w:r>
      <w:r>
        <w:rPr>
          <w:rFonts w:ascii="Verdana" w:eastAsia="Calibri" w:hAnsi="Verdana" w:cs="Arial"/>
          <w:lang w:val="es-ES" w:eastAsia="es-ES"/>
        </w:rPr>
        <w:t>Marzo</w:t>
      </w:r>
      <w:r w:rsidRPr="00852F26">
        <w:rPr>
          <w:rFonts w:ascii="Verdana" w:eastAsia="Calibri" w:hAnsi="Verdana" w:cs="Arial"/>
          <w:lang w:val="es-ES" w:eastAsia="es-ES"/>
        </w:rPr>
        <w:t xml:space="preserve"> de 2026, en la cual manifiesta lo siguiente:</w:t>
      </w:r>
    </w:p>
    <w:p w14:paraId="1D856B70" w14:textId="77777777" w:rsidR="00481562" w:rsidRPr="007C62E7" w:rsidRDefault="00481562" w:rsidP="00481562">
      <w:pPr>
        <w:spacing w:after="0" w:line="276" w:lineRule="auto"/>
        <w:jc w:val="both"/>
        <w:rPr>
          <w:rFonts w:ascii="Verdana" w:eastAsia="Calibri" w:hAnsi="Verdana" w:cs="Arial"/>
          <w:lang w:val="es-ES" w:eastAsia="es-ES"/>
        </w:rPr>
      </w:pPr>
    </w:p>
    <w:p w14:paraId="22775A31" w14:textId="77777777" w:rsidR="00481562" w:rsidRPr="00210689" w:rsidRDefault="00481562" w:rsidP="00481562">
      <w:pPr>
        <w:spacing w:after="0" w:line="300" w:lineRule="auto"/>
        <w:ind w:left="737" w:right="737"/>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210689">
        <w:rPr>
          <w:rFonts w:ascii="Verdana" w:eastAsia="Century Gothic" w:hAnsi="Verdana" w:cs="Century Gothic"/>
          <w:i/>
          <w:iCs/>
          <w:sz w:val="20"/>
          <w:szCs w:val="20"/>
          <w:lang w:val="es-ES"/>
        </w:rPr>
        <w:t>UNA ENTIDAD ESTATAL PUEDE SUSCRIBIR UN CONVENIO INTERADMNISTRATIVO A TITULO GRATUITO EN EL PERIODO RESTRICCION</w:t>
      </w:r>
      <w:r>
        <w:rPr>
          <w:rFonts w:ascii="Verdana" w:eastAsia="Century Gothic" w:hAnsi="Verdana" w:cs="Century Gothic"/>
          <w:i/>
          <w:iCs/>
          <w:sz w:val="20"/>
          <w:szCs w:val="20"/>
          <w:lang w:val="es-ES"/>
        </w:rPr>
        <w:t xml:space="preserve"> </w:t>
      </w:r>
      <w:r w:rsidRPr="00210689">
        <w:rPr>
          <w:rFonts w:ascii="Verdana" w:eastAsia="Century Gothic" w:hAnsi="Verdana" w:cs="Century Gothic"/>
          <w:i/>
          <w:iCs/>
          <w:sz w:val="20"/>
          <w:szCs w:val="20"/>
          <w:lang w:val="es-ES"/>
        </w:rPr>
        <w:t xml:space="preserve">ELECCIONES PRESIDENCIALES </w:t>
      </w:r>
      <w:proofErr w:type="gramStart"/>
      <w:r w:rsidRPr="00210689">
        <w:rPr>
          <w:rFonts w:ascii="Verdana" w:eastAsia="Century Gothic" w:hAnsi="Verdana" w:cs="Century Gothic"/>
          <w:i/>
          <w:iCs/>
          <w:sz w:val="20"/>
          <w:szCs w:val="20"/>
          <w:lang w:val="es-ES"/>
        </w:rPr>
        <w:t>DE ACUERDO A</w:t>
      </w:r>
      <w:proofErr w:type="gramEnd"/>
      <w:r w:rsidRPr="00210689">
        <w:rPr>
          <w:rFonts w:ascii="Verdana" w:eastAsia="Century Gothic" w:hAnsi="Verdana" w:cs="Century Gothic"/>
          <w:i/>
          <w:iCs/>
          <w:sz w:val="20"/>
          <w:szCs w:val="20"/>
          <w:lang w:val="es-ES"/>
        </w:rPr>
        <w:t xml:space="preserve"> LO ESTABELCIDO EN EL ARTICULO 33 DE LA LEY 996 DEL 2005.</w:t>
      </w:r>
      <w:r>
        <w:rPr>
          <w:rFonts w:ascii="Verdana" w:eastAsia="Century Gothic" w:hAnsi="Verdana" w:cs="Century Gothic"/>
          <w:i/>
          <w:iCs/>
          <w:sz w:val="20"/>
          <w:szCs w:val="20"/>
          <w:lang w:val="es-ES"/>
        </w:rPr>
        <w:t>”</w:t>
      </w:r>
    </w:p>
    <w:p w14:paraId="57CBCD9C" w14:textId="77777777" w:rsidR="00481562" w:rsidRDefault="00481562" w:rsidP="00481562">
      <w:pPr>
        <w:spacing w:after="120" w:line="276" w:lineRule="auto"/>
        <w:jc w:val="both"/>
        <w:rPr>
          <w:rFonts w:ascii="Verdana" w:eastAsia="Calibri" w:hAnsi="Verdana" w:cs="Arial"/>
          <w:lang w:val="es-ES" w:eastAsia="es-ES"/>
        </w:rPr>
      </w:pPr>
    </w:p>
    <w:p w14:paraId="409BC246" w14:textId="77777777" w:rsidR="00481562" w:rsidRPr="00CD496A" w:rsidRDefault="00481562" w:rsidP="00481562">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3278C0C9" w14:textId="77777777" w:rsidR="00481562" w:rsidRPr="00CD496A" w:rsidRDefault="00481562" w:rsidP="00481562">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D496A">
        <w:rPr>
          <w:rFonts w:ascii="Verdana" w:eastAsia="Calibri" w:hAnsi="Verdana" w:cs="Arial"/>
          <w:lang w:val="es-ES" w:eastAsia="es-ES"/>
        </w:rPr>
        <w:t xml:space="preserve"> problema jurídico de su consulta. </w:t>
      </w:r>
    </w:p>
    <w:p w14:paraId="5D88B230" w14:textId="77777777" w:rsidR="00481562" w:rsidRPr="00CD496A" w:rsidRDefault="00481562" w:rsidP="00481562">
      <w:pPr>
        <w:spacing w:after="0" w:line="276" w:lineRule="auto"/>
        <w:jc w:val="both"/>
        <w:rPr>
          <w:rFonts w:ascii="Verdana" w:eastAsia="Calibri" w:hAnsi="Verdana" w:cs="Arial"/>
          <w:lang w:val="es-ES" w:eastAsia="es-ES"/>
        </w:rPr>
      </w:pPr>
    </w:p>
    <w:p w14:paraId="6028CD1A" w14:textId="77777777" w:rsidR="00481562" w:rsidRDefault="00481562" w:rsidP="00481562">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18514D58" w14:textId="77777777" w:rsidR="00481562" w:rsidRPr="00884371" w:rsidRDefault="00481562" w:rsidP="00481562">
      <w:pPr>
        <w:tabs>
          <w:tab w:val="left" w:pos="142"/>
          <w:tab w:val="left" w:pos="284"/>
        </w:tabs>
        <w:spacing w:after="0" w:line="276" w:lineRule="auto"/>
        <w:contextualSpacing/>
        <w:jc w:val="both"/>
        <w:rPr>
          <w:rFonts w:ascii="Verdana" w:eastAsia="Century Gothic" w:hAnsi="Verdana" w:cs="Century Gothic"/>
          <w:b/>
          <w:lang w:val="es-ES"/>
        </w:rPr>
      </w:pPr>
    </w:p>
    <w:p w14:paraId="0210D5DB" w14:textId="77777777" w:rsidR="00481562" w:rsidRDefault="00481562" w:rsidP="00481562">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jurídicos: i)</w:t>
      </w:r>
      <w:r w:rsidRPr="004E5F4D">
        <w:rPr>
          <w:rFonts w:ascii="Verdana" w:eastAsia="Century Gothic" w:hAnsi="Verdana" w:cs="Century Gothic"/>
        </w:rPr>
        <w:t xml:space="preserve"> </w:t>
      </w:r>
      <w:r w:rsidRPr="00220B45">
        <w:rPr>
          <w:rFonts w:ascii="Verdana" w:eastAsia="Century Gothic" w:hAnsi="Verdana" w:cs="Century Gothic"/>
        </w:rPr>
        <w:t>¿Es jurídicamente viable que una entidad estatal suscriba un convenio interadministrativo a título gratuito durante el periodo de restricción previo a las elecciones presidenciales, conforme a lo dispuesto en el artículo 33 de la Ley 996 de 2005?</w:t>
      </w:r>
    </w:p>
    <w:p w14:paraId="5AE8DE77" w14:textId="77777777" w:rsidR="00481562" w:rsidRDefault="00481562" w:rsidP="00481562">
      <w:pPr>
        <w:spacing w:after="0" w:line="276" w:lineRule="auto"/>
        <w:jc w:val="both"/>
        <w:rPr>
          <w:rFonts w:ascii="Verdana" w:eastAsia="Century Gothic" w:hAnsi="Verdana" w:cs="Century Gothic"/>
        </w:rPr>
      </w:pPr>
    </w:p>
    <w:p w14:paraId="32AB6602" w14:textId="77777777" w:rsidR="00481562" w:rsidRPr="006733BD" w:rsidRDefault="00481562" w:rsidP="00481562">
      <w:pPr>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74751EFC" w14:textId="77777777" w:rsidR="00481562" w:rsidRPr="006733BD" w:rsidRDefault="00481562" w:rsidP="00481562">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1562" w:rsidRPr="006733BD" w14:paraId="33703843" w14:textId="77777777" w:rsidTr="006678BC">
        <w:tc>
          <w:tcPr>
            <w:tcW w:w="8828" w:type="dxa"/>
          </w:tcPr>
          <w:p w14:paraId="4C329598" w14:textId="77777777" w:rsidR="00481562" w:rsidRDefault="00481562" w:rsidP="006678BC">
            <w:pPr>
              <w:spacing w:before="120" w:after="120" w:line="276" w:lineRule="auto"/>
              <w:jc w:val="both"/>
              <w:rPr>
                <w:rFonts w:ascii="Verdana" w:eastAsia="Arial" w:hAnsi="Verdana" w:cs="Arial"/>
                <w:lang w:eastAsia="es-ES" w:bidi="es-ES"/>
              </w:rPr>
            </w:pPr>
            <w:r>
              <w:rPr>
                <w:rFonts w:ascii="Verdana" w:eastAsia="Calibri" w:hAnsi="Verdana" w:cs="Arial"/>
              </w:rPr>
              <w:t>L</w:t>
            </w:r>
            <w:r w:rsidRPr="00E7122C">
              <w:rPr>
                <w:rFonts w:ascii="Verdana" w:eastAsia="Calibri" w:hAnsi="Verdana" w:cs="Arial"/>
              </w:rPr>
              <w:t>a Ley 996 de 2005</w:t>
            </w:r>
            <w:r>
              <w:rPr>
                <w:rFonts w:ascii="Verdana" w:eastAsia="Calibri" w:hAnsi="Verdana" w:cs="Arial"/>
              </w:rPr>
              <w:t xml:space="preserve"> también conocida como </w:t>
            </w:r>
            <w:r w:rsidRPr="005148BF">
              <w:rPr>
                <w:rFonts w:ascii="Verdana" w:eastAsia="Century Gothic" w:hAnsi="Verdana" w:cs="Century Gothic"/>
              </w:rPr>
              <w:t>Ley de Garantías Electorales</w:t>
            </w:r>
            <w:r w:rsidRPr="00E7122C">
              <w:rPr>
                <w:rFonts w:ascii="Verdana" w:eastAsia="Calibri" w:hAnsi="Verdana" w:cs="Arial"/>
              </w:rPr>
              <w:t xml:space="preserve"> establece </w:t>
            </w:r>
            <w:r>
              <w:rPr>
                <w:rFonts w:ascii="Verdana" w:eastAsia="Calibri" w:hAnsi="Verdana" w:cs="Arial"/>
              </w:rPr>
              <w:t xml:space="preserve">dos </w:t>
            </w:r>
            <w:r w:rsidRPr="00E7122C">
              <w:rPr>
                <w:rFonts w:ascii="Verdana" w:eastAsia="Calibri" w:hAnsi="Verdana" w:cs="Arial"/>
              </w:rPr>
              <w:t xml:space="preserve">restricciones </w:t>
            </w:r>
            <w:r>
              <w:rPr>
                <w:rFonts w:ascii="Verdana" w:eastAsia="Calibri" w:hAnsi="Verdana" w:cs="Arial"/>
              </w:rPr>
              <w:t>en particular</w:t>
            </w:r>
            <w:r w:rsidRPr="00E7122C">
              <w:rPr>
                <w:rFonts w:ascii="Verdana" w:eastAsia="Calibri" w:hAnsi="Verdana" w:cs="Arial"/>
              </w:rPr>
              <w:t xml:space="preserve"> la </w:t>
            </w:r>
            <w:r w:rsidRPr="00215BCE">
              <w:rPr>
                <w:rFonts w:ascii="Verdana" w:eastAsia="Calibri" w:hAnsi="Verdana" w:cs="Arial"/>
              </w:rPr>
              <w:t>contratación estatal.</w:t>
            </w:r>
            <w:r>
              <w:rPr>
                <w:rFonts w:ascii="Verdana" w:eastAsia="Calibri" w:hAnsi="Verdana" w:cs="Arial"/>
              </w:rPr>
              <w:t xml:space="preserve"> </w:t>
            </w:r>
            <w:r>
              <w:rPr>
                <w:rFonts w:ascii="Verdana" w:eastAsia="Calibri" w:hAnsi="Verdana" w:cs="Arial"/>
                <w:lang w:val="es-ES"/>
              </w:rPr>
              <w:t>Por un lado</w:t>
            </w:r>
            <w:r w:rsidRPr="00215BCE">
              <w:rPr>
                <w:rFonts w:ascii="Verdana" w:eastAsia="Calibri" w:hAnsi="Verdana" w:cs="Arial"/>
                <w:lang w:val="es-ES"/>
              </w:rPr>
              <w:t xml:space="preserve">, </w:t>
            </w:r>
            <w:r w:rsidRPr="00215BCE">
              <w:rPr>
                <w:rFonts w:ascii="Verdana" w:eastAsia="Calibri" w:hAnsi="Verdana" w:cs="Arial"/>
              </w:rPr>
              <w:t xml:space="preserve">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w:t>
            </w:r>
            <w:r w:rsidRPr="00215BCE">
              <w:rPr>
                <w:rFonts w:ascii="Verdana" w:eastAsia="Calibri" w:hAnsi="Verdana" w:cs="Arial"/>
              </w:rPr>
              <w:lastRenderedPageBreak/>
              <w:t>desastres naturales o eventos de fuerza mayor, y los que deban celebrar las entidades sanitarias y hospitalarias.</w:t>
            </w:r>
            <w:r>
              <w:rPr>
                <w:rFonts w:ascii="Verdana" w:eastAsia="Calibri" w:hAnsi="Verdana" w:cs="Arial"/>
                <w:lang w:val="es-ES"/>
              </w:rPr>
              <w:t xml:space="preserve"> De otra parte</w:t>
            </w:r>
            <w:r w:rsidRPr="00215BCE">
              <w:rPr>
                <w:rFonts w:ascii="Verdana" w:eastAsia="Arial" w:hAnsi="Verdana" w:cs="Arial"/>
                <w:lang w:eastAsia="es-ES" w:bidi="es-ES"/>
              </w:rPr>
              <w:t>,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4BA1BF5C" w14:textId="77777777" w:rsidR="00481562" w:rsidRDefault="00481562" w:rsidP="006678BC">
            <w:pPr>
              <w:spacing w:before="120"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De esta manera, es importante tener en cuenta que, el ámbito temporal de las restricciones establecidas en </w:t>
            </w:r>
            <w:proofErr w:type="gramStart"/>
            <w:r>
              <w:rPr>
                <w:rFonts w:ascii="Verdana" w:eastAsia="Arial" w:hAnsi="Verdana" w:cs="Arial"/>
                <w:lang w:eastAsia="es-ES" w:bidi="es-ES"/>
              </w:rPr>
              <w:t>la  Ley</w:t>
            </w:r>
            <w:proofErr w:type="gramEnd"/>
            <w:r>
              <w:rPr>
                <w:rFonts w:ascii="Verdana" w:eastAsia="Arial" w:hAnsi="Verdana" w:cs="Arial"/>
                <w:lang w:eastAsia="es-ES" w:bidi="es-ES"/>
              </w:rPr>
              <w:t xml:space="preserve"> de Garantías Electorales en materia de contratación estatal siempre es el mismo en periodos preelectorales de las elecciones presidenciales, ya que rigen 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17370FC8" w14:textId="77777777" w:rsidR="00481562" w:rsidRDefault="00481562" w:rsidP="006678BC">
            <w:pPr>
              <w:spacing w:before="120" w:after="120" w:line="276" w:lineRule="auto"/>
              <w:ind w:firstLine="708"/>
              <w:jc w:val="both"/>
              <w:rPr>
                <w:rFonts w:ascii="Verdana" w:eastAsia="Times New Roman" w:hAnsi="Verdana" w:cs="Arial"/>
                <w:lang w:eastAsia="es-CO"/>
              </w:rPr>
            </w:pPr>
            <w:r w:rsidRPr="00FE74C4">
              <w:rPr>
                <w:rFonts w:ascii="Verdana" w:eastAsia="Times New Roman" w:hAnsi="Verdana" w:cs="Arial"/>
                <w:bCs/>
                <w:lang w:eastAsia="es-CO"/>
              </w:rPr>
              <w:t>Precisado lo anterior, para dar respuesta al problema jurídico planteado,</w:t>
            </w:r>
            <w:r>
              <w:rPr>
                <w:rFonts w:ascii="Verdana" w:eastAsia="Times New Roman" w:hAnsi="Verdana" w:cs="Arial"/>
                <w:bCs/>
                <w:lang w:eastAsia="es-CO"/>
              </w:rPr>
              <w:t xml:space="preserve"> </w:t>
            </w:r>
            <w:r w:rsidRPr="00215BCE">
              <w:rPr>
                <w:rFonts w:ascii="Verdana" w:eastAsia="Times New Roman" w:hAnsi="Verdana" w:cs="Arial"/>
                <w:bCs/>
                <w:lang w:eastAsia="es-CO"/>
              </w:rPr>
              <w:t>es importante tener en cuenta</w:t>
            </w:r>
            <w:r>
              <w:rPr>
                <w:rFonts w:ascii="Verdana" w:eastAsia="Times New Roman" w:hAnsi="Verdana" w:cs="Arial"/>
                <w:bCs/>
                <w:lang w:eastAsia="es-CO"/>
              </w:rPr>
              <w:t xml:space="preserve"> que, conforme explica </w:t>
            </w:r>
            <w:r w:rsidRPr="00215BCE">
              <w:rPr>
                <w:rFonts w:ascii="Verdana" w:eastAsia="Times New Roman" w:hAnsi="Verdana" w:cs="Arial"/>
                <w:bCs/>
                <w:lang w:eastAsia="es-CO"/>
              </w:rPr>
              <w:t>la</w:t>
            </w:r>
            <w:r w:rsidRPr="00215BCE">
              <w:rPr>
                <w:rFonts w:ascii="Verdana" w:hAnsi="Verdana" w:cs="Arial"/>
                <w:lang w:val="es-ES_tradnl"/>
              </w:rPr>
              <w:t xml:space="preserve"> Circular Externa No. 006 de 2025</w:t>
            </w:r>
            <w:r>
              <w:rPr>
                <w:rFonts w:ascii="Verdana" w:hAnsi="Verdana" w:cs="Arial"/>
                <w:lang w:val="es-ES_tradnl"/>
              </w:rPr>
              <w:t>,</w:t>
            </w:r>
            <w:r w:rsidRPr="00215BCE">
              <w:rPr>
                <w:rFonts w:ascii="Verdana" w:hAnsi="Verdana" w:cs="Arial"/>
                <w:lang w:val="es-ES_tradnl"/>
              </w:rPr>
              <w:t xml:space="preserve"> expedida por la ANCP-CCE, en sus literales </w:t>
            </w:r>
            <w:proofErr w:type="spellStart"/>
            <w:r w:rsidRPr="00215BCE">
              <w:rPr>
                <w:rFonts w:ascii="Verdana" w:hAnsi="Verdana" w:cs="Arial"/>
                <w:lang w:val="es-ES_tradnl"/>
              </w:rPr>
              <w:t>ii</w:t>
            </w:r>
            <w:proofErr w:type="spellEnd"/>
            <w:r w:rsidRPr="00215BCE">
              <w:rPr>
                <w:rFonts w:ascii="Verdana" w:hAnsi="Verdana" w:cs="Arial"/>
                <w:lang w:val="es-ES_tradnl"/>
              </w:rPr>
              <w:t xml:space="preserve">) y </w:t>
            </w:r>
            <w:proofErr w:type="spellStart"/>
            <w:r w:rsidRPr="00215BCE">
              <w:rPr>
                <w:rFonts w:ascii="Verdana" w:hAnsi="Verdana" w:cs="Arial"/>
                <w:lang w:val="es-ES_tradnl"/>
              </w:rPr>
              <w:t>iv</w:t>
            </w:r>
            <w:proofErr w:type="spellEnd"/>
            <w:r w:rsidRPr="00215BCE">
              <w:rPr>
                <w:rFonts w:ascii="Verdana" w:hAnsi="Verdana" w:cs="Arial"/>
                <w:lang w:val="es-ES_tradnl"/>
              </w:rPr>
              <w:t xml:space="preserve">) del numeral 2, el parágrafo del artículo 38 de la Ley 996 de 2005 cobija expresamente a los </w:t>
            </w:r>
            <w:r w:rsidRPr="00215BCE">
              <w:rPr>
                <w:rFonts w:ascii="Verdana" w:hAnsi="Verdana" w:cs="Arial"/>
                <w:i/>
                <w:iCs/>
                <w:lang w:val="es-ES_tradnl"/>
              </w:rPr>
              <w:t xml:space="preserve">convenios interadministrativos </w:t>
            </w:r>
            <w:r w:rsidRPr="00215BCE">
              <w:rPr>
                <w:rFonts w:ascii="Verdana" w:hAnsi="Verdana" w:cs="Arial"/>
                <w:lang w:val="es-ES_tradnl"/>
              </w:rPr>
              <w:t xml:space="preserve">en los que se contemple la ejecución de recursos públicos. </w:t>
            </w:r>
            <w:r w:rsidRPr="00215BCE">
              <w:rPr>
                <w:rFonts w:ascii="Verdana" w:eastAsia="Times New Roman" w:hAnsi="Verdana" w:cs="Arial"/>
                <w:lang w:eastAsia="es-CO"/>
              </w:rPr>
              <w:t xml:space="preserve">Esto significa que la prohibición no resulta aplicable a </w:t>
            </w:r>
            <w:r w:rsidRPr="00215BCE">
              <w:rPr>
                <w:rFonts w:ascii="Verdana" w:eastAsia="Times New Roman" w:hAnsi="Verdana" w:cs="Arial"/>
                <w:i/>
                <w:iCs/>
                <w:lang w:eastAsia="es-CO"/>
              </w:rPr>
              <w:t>convenios interadministrativos a título gratuito,</w:t>
            </w:r>
            <w:r w:rsidRPr="00215BCE">
              <w:rPr>
                <w:rFonts w:ascii="Verdana" w:eastAsia="Times New Roman" w:hAnsi="Verdana" w:cs="Arial"/>
                <w:lang w:eastAsia="es-CO"/>
              </w:rPr>
              <w:t xml:space="preserve"> los cuales pueden celebrarse válidamente durante la vigencia de la mencionada restricción. </w:t>
            </w:r>
          </w:p>
          <w:p w14:paraId="36651997" w14:textId="77777777" w:rsidR="00481562" w:rsidRDefault="00481562" w:rsidP="006678B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Sin perjuicio de lo anterior, es importante acotar que, la modalidad aplicable para la celebración de convenios interadministrativos es la contratación directa. En ese sentido, si bien los convenios interadministrativos que no contemplen la ejecución de recursos públicos no se encuentran cobijados por la restricción del parágrafo del artículo 38 de la Ley 996 de 2005, </w:t>
            </w:r>
            <w:r>
              <w:rPr>
                <w:rFonts w:ascii="Verdana" w:eastAsia="Times New Roman" w:hAnsi="Verdana" w:cs="Arial"/>
                <w:lang w:eastAsia="es-CO"/>
              </w:rPr>
              <w:lastRenderedPageBreak/>
              <w:t xml:space="preserve">si pueden estar cobijados por la prohibición a la contratación directa establecida por el artículo 33 de la Ley 996 de 2005. De esta manera, es posible afirmar que, en principio, resulta viable celebrar de manera directa un </w:t>
            </w:r>
            <w:r w:rsidRPr="00BD4175">
              <w:rPr>
                <w:rFonts w:ascii="Verdana" w:eastAsia="Times New Roman" w:hAnsi="Verdana" w:cs="Arial"/>
                <w:i/>
                <w:iCs/>
                <w:lang w:eastAsia="es-CO"/>
              </w:rPr>
              <w:t xml:space="preserve">convenio interadministrativo a </w:t>
            </w:r>
            <w:proofErr w:type="spellStart"/>
            <w:r w:rsidRPr="00BD4175">
              <w:rPr>
                <w:rFonts w:ascii="Verdana" w:eastAsia="Times New Roman" w:hAnsi="Verdana" w:cs="Arial"/>
                <w:i/>
                <w:iCs/>
                <w:lang w:eastAsia="es-CO"/>
              </w:rPr>
              <w:t>titulo</w:t>
            </w:r>
            <w:proofErr w:type="spellEnd"/>
            <w:r w:rsidRPr="00BD4175">
              <w:rPr>
                <w:rFonts w:ascii="Verdana" w:eastAsia="Times New Roman" w:hAnsi="Verdana" w:cs="Arial"/>
                <w:i/>
                <w:iCs/>
                <w:lang w:eastAsia="es-CO"/>
              </w:rPr>
              <w:t xml:space="preserve"> gratuito </w:t>
            </w:r>
            <w:r>
              <w:rPr>
                <w:rFonts w:ascii="Verdana" w:eastAsia="Times New Roman" w:hAnsi="Verdana" w:cs="Arial"/>
                <w:lang w:eastAsia="es-CO"/>
              </w:rPr>
              <w:t xml:space="preserve">en vigencia de la restricción del artículo 38, más no en vigencia de la restricción del artículo 33, salvo que se configure alguna de las excepciones establecidas por este último artículo. </w:t>
            </w:r>
          </w:p>
          <w:p w14:paraId="5F937698" w14:textId="77777777" w:rsidR="00481562" w:rsidRPr="00215BCE" w:rsidRDefault="00481562" w:rsidP="006678BC">
            <w:pPr>
              <w:spacing w:before="120" w:after="120" w:line="276" w:lineRule="auto"/>
              <w:ind w:firstLine="708"/>
              <w:jc w:val="both"/>
              <w:rPr>
                <w:rFonts w:ascii="Verdana" w:eastAsia="Calibri" w:hAnsi="Verdana" w:cs="Times New Roman"/>
                <w:lang w:val="es-ES"/>
              </w:rPr>
            </w:pPr>
            <w:r>
              <w:rPr>
                <w:rFonts w:ascii="Verdana" w:eastAsia="Times New Roman" w:hAnsi="Verdana" w:cs="Arial"/>
                <w:lang w:eastAsia="es-CO"/>
              </w:rPr>
              <w:t xml:space="preserve">  </w:t>
            </w:r>
            <w:r w:rsidRPr="00215BCE">
              <w:rPr>
                <w:rFonts w:ascii="Verdana" w:eastAsia="Calibri" w:hAnsi="Verdana" w:cs="Arial"/>
                <w:bCs/>
              </w:rPr>
              <w:t>Finalmente</w:t>
            </w:r>
            <w:r w:rsidRPr="00215BCE">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215BCE">
              <w:rPr>
                <w:rFonts w:ascii="Verdana" w:hAnsi="Verdana"/>
              </w:rPr>
              <w:t xml:space="preserve"> </w:t>
            </w:r>
          </w:p>
          <w:p w14:paraId="37397CA9" w14:textId="77777777" w:rsidR="00481562" w:rsidRPr="006F5750" w:rsidRDefault="00481562" w:rsidP="006678BC">
            <w:pPr>
              <w:spacing w:after="120" w:line="276" w:lineRule="auto"/>
              <w:jc w:val="both"/>
              <w:rPr>
                <w:rFonts w:ascii="Verdana" w:eastAsia="Calibri" w:hAnsi="Verdana" w:cs="Arial"/>
              </w:rPr>
            </w:pPr>
            <w:r w:rsidRPr="005B26C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32B2626" w14:textId="77777777" w:rsidR="00481562" w:rsidRDefault="00481562" w:rsidP="00481562">
      <w:pPr>
        <w:tabs>
          <w:tab w:val="left" w:pos="142"/>
          <w:tab w:val="left" w:pos="284"/>
        </w:tabs>
        <w:spacing w:after="0" w:line="276" w:lineRule="auto"/>
        <w:jc w:val="both"/>
        <w:rPr>
          <w:rFonts w:ascii="Verdana" w:eastAsia="Century Gothic" w:hAnsi="Verdana" w:cs="Century Gothic"/>
          <w:b/>
          <w:bCs/>
        </w:rPr>
      </w:pPr>
    </w:p>
    <w:p w14:paraId="59636867" w14:textId="77777777" w:rsidR="00481562" w:rsidRPr="00416686" w:rsidRDefault="00481562" w:rsidP="00481562">
      <w:pPr>
        <w:tabs>
          <w:tab w:val="left" w:pos="142"/>
          <w:tab w:val="left" w:pos="284"/>
        </w:tabs>
        <w:spacing w:after="0" w:line="276" w:lineRule="auto"/>
        <w:jc w:val="both"/>
        <w:rPr>
          <w:rFonts w:ascii="Verdana" w:eastAsia="Century Gothic" w:hAnsi="Verdana" w:cs="Century Gothic"/>
          <w:b/>
          <w:bCs/>
        </w:rPr>
      </w:pPr>
    </w:p>
    <w:p w14:paraId="55A92723" w14:textId="77777777" w:rsidR="00481562" w:rsidRPr="00B41D66" w:rsidRDefault="00481562" w:rsidP="00481562">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554F3CE2" w14:textId="77777777" w:rsidR="00481562" w:rsidRDefault="00481562" w:rsidP="00481562">
      <w:pPr>
        <w:tabs>
          <w:tab w:val="left" w:pos="142"/>
          <w:tab w:val="left" w:pos="284"/>
        </w:tabs>
        <w:spacing w:after="0" w:line="276" w:lineRule="auto"/>
        <w:jc w:val="both"/>
        <w:rPr>
          <w:rFonts w:ascii="Verdana" w:hAnsi="Verdana" w:cs="Arial"/>
          <w:color w:val="000000" w:themeColor="text1"/>
          <w:lang w:val="es-ES_tradnl"/>
        </w:rPr>
      </w:pPr>
    </w:p>
    <w:p w14:paraId="5BDF9BC4" w14:textId="77777777" w:rsidR="00481562" w:rsidRDefault="00481562" w:rsidP="00481562">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C679D19" w14:textId="77777777" w:rsidR="00481562" w:rsidRDefault="00481562" w:rsidP="00481562">
      <w:pPr>
        <w:spacing w:after="0" w:line="276" w:lineRule="auto"/>
        <w:jc w:val="both"/>
        <w:rPr>
          <w:rFonts w:ascii="Verdana" w:eastAsia="Calibri" w:hAnsi="Verdana" w:cs="Arial"/>
          <w:lang w:val="es-ES"/>
        </w:rPr>
      </w:pPr>
    </w:p>
    <w:p w14:paraId="1E029B54" w14:textId="77777777" w:rsidR="00481562" w:rsidRPr="005416E7" w:rsidRDefault="00481562" w:rsidP="00481562">
      <w:pPr>
        <w:tabs>
          <w:tab w:val="left" w:pos="426"/>
        </w:tabs>
        <w:spacing w:after="120" w:line="276" w:lineRule="auto"/>
        <w:jc w:val="both"/>
        <w:rPr>
          <w:rFonts w:ascii="Verdana" w:eastAsia="Verdana" w:hAnsi="Verdana" w:cs="Verdana"/>
          <w:color w:val="ED7D31" w:themeColor="accent2"/>
          <w:lang w:val="es-ES"/>
        </w:rPr>
      </w:pPr>
      <w:bookmarkStart w:id="1" w:name="_Hlk102983874"/>
      <w:bookmarkStart w:id="2" w:name="_Hlk102388095"/>
      <w:r w:rsidRPr="005416E7">
        <w:rPr>
          <w:rFonts w:ascii="Verdana" w:eastAsia="Calibri" w:hAnsi="Verdana" w:cs="Arial"/>
          <w:lang w:val="es-ES"/>
        </w:rPr>
        <w:t>i)</w:t>
      </w:r>
      <w:r w:rsidRPr="005416E7">
        <w:rPr>
          <w:rFonts w:ascii="Verdana" w:eastAsia="Verdana" w:hAnsi="Verdana" w:cs="Verdana"/>
          <w:lang w:val="es-ES"/>
        </w:rPr>
        <w:t xml:space="preserve"> </w:t>
      </w:r>
      <w:r w:rsidRPr="005416E7">
        <w:rPr>
          <w:rFonts w:ascii="Verdana" w:eastAsia="Calibri" w:hAnsi="Verdana" w:cs="Arial"/>
          <w:lang w:val="es-ES"/>
        </w:rPr>
        <w:t>El ordenamiento jurídico colombiano contempla medidas para evitar la obtención de beneficios personales en asuntos propios de la administración pública</w:t>
      </w:r>
      <w:r w:rsidRPr="005416E7">
        <w:rPr>
          <w:rFonts w:ascii="Verdana" w:eastAsia="Calibri" w:hAnsi="Verdana" w:cs="Arial"/>
          <w:i/>
          <w:lang w:val="es-ES"/>
        </w:rPr>
        <w:t xml:space="preserve">. </w:t>
      </w:r>
      <w:r w:rsidRPr="005416E7">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5416E7">
        <w:rPr>
          <w:rFonts w:ascii="Verdana" w:hAnsi="Verdana"/>
          <w:vertAlign w:val="superscript"/>
          <w:lang w:val="es-ES"/>
        </w:rPr>
        <w:footnoteReference w:id="1"/>
      </w:r>
      <w:r w:rsidRPr="005416E7">
        <w:rPr>
          <w:rFonts w:ascii="Verdana" w:eastAsia="Calibri" w:hAnsi="Verdana" w:cs="Arial"/>
          <w:lang w:val="es-ES"/>
        </w:rPr>
        <w:t>.</w:t>
      </w:r>
    </w:p>
    <w:p w14:paraId="650DB7C9" w14:textId="77777777" w:rsidR="00481562" w:rsidRPr="005416E7" w:rsidRDefault="00481562" w:rsidP="00481562">
      <w:pPr>
        <w:tabs>
          <w:tab w:val="left" w:pos="426"/>
        </w:tabs>
        <w:spacing w:after="120" w:line="276" w:lineRule="auto"/>
        <w:ind w:firstLine="709"/>
        <w:jc w:val="both"/>
        <w:rPr>
          <w:rFonts w:ascii="Verdana" w:eastAsia="Calibri" w:hAnsi="Verdana" w:cs="Arial"/>
          <w:lang w:val="es-ES"/>
        </w:rPr>
      </w:pPr>
      <w:r w:rsidRPr="005416E7">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416E7">
        <w:rPr>
          <w:rFonts w:ascii="Verdana" w:eastAsia="Times New Roman" w:hAnsi="Verdana" w:cs="Arial"/>
          <w:vertAlign w:val="superscript"/>
          <w:lang w:val="es-ES" w:eastAsia="es-CO"/>
        </w:rPr>
        <w:footnoteReference w:id="2"/>
      </w:r>
      <w:r w:rsidRPr="005416E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416E7">
        <w:rPr>
          <w:rFonts w:ascii="Verdana" w:eastAsia="Calibri" w:hAnsi="Verdana" w:cs="Arial"/>
          <w:lang w:val="es-ES"/>
        </w:rPr>
        <w:t xml:space="preserve"> </w:t>
      </w:r>
    </w:p>
    <w:p w14:paraId="5A5084CB" w14:textId="77777777" w:rsidR="00481562" w:rsidRPr="005416E7" w:rsidRDefault="00481562" w:rsidP="00481562">
      <w:pPr>
        <w:tabs>
          <w:tab w:val="left" w:pos="426"/>
        </w:tabs>
        <w:spacing w:after="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E03335D" w14:textId="77777777" w:rsidR="00481562" w:rsidRPr="005416E7" w:rsidRDefault="00481562" w:rsidP="00481562">
      <w:pPr>
        <w:spacing w:after="0" w:line="276" w:lineRule="auto"/>
        <w:ind w:right="709"/>
        <w:jc w:val="both"/>
        <w:rPr>
          <w:rFonts w:ascii="Verdana" w:eastAsia="Times New Roman" w:hAnsi="Verdana" w:cs="Arial"/>
          <w:lang w:val="es-ES" w:eastAsia="es-CO"/>
        </w:rPr>
      </w:pPr>
    </w:p>
    <w:p w14:paraId="3BD66BE6"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2BF62CB9"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p>
    <w:p w14:paraId="1E1E8AB4"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416E7">
        <w:rPr>
          <w:rFonts w:ascii="Verdana" w:eastAsia="Calibri" w:hAnsi="Verdana" w:cs="Arial"/>
          <w:sz w:val="20"/>
          <w:szCs w:val="20"/>
          <w:vertAlign w:val="superscript"/>
          <w:lang w:val="es-ES"/>
        </w:rPr>
        <w:footnoteReference w:id="3"/>
      </w:r>
    </w:p>
    <w:p w14:paraId="14BBD889" w14:textId="77777777" w:rsidR="00481562" w:rsidRPr="005416E7" w:rsidRDefault="00481562" w:rsidP="00481562">
      <w:pPr>
        <w:spacing w:after="0" w:line="276" w:lineRule="auto"/>
        <w:ind w:firstLine="709"/>
        <w:jc w:val="both"/>
        <w:rPr>
          <w:rFonts w:ascii="Verdana" w:eastAsia="Times New Roman" w:hAnsi="Verdana" w:cs="Arial"/>
          <w:color w:val="4472C4" w:themeColor="accent1"/>
          <w:lang w:val="es-ES" w:eastAsia="es-CO"/>
        </w:rPr>
      </w:pPr>
    </w:p>
    <w:p w14:paraId="056EBBA4" w14:textId="77777777" w:rsidR="00481562" w:rsidRPr="005416E7" w:rsidRDefault="00481562" w:rsidP="00481562">
      <w:pPr>
        <w:spacing w:after="0" w:line="276" w:lineRule="auto"/>
        <w:ind w:firstLine="709"/>
        <w:jc w:val="both"/>
        <w:rPr>
          <w:rFonts w:ascii="Verdana" w:eastAsia="Times New Roman" w:hAnsi="Verdana" w:cs="Arial"/>
          <w:lang w:val="es-ES" w:eastAsia="es-CO"/>
        </w:rPr>
      </w:pPr>
      <w:r w:rsidRPr="005416E7">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5416E7">
        <w:rPr>
          <w:rFonts w:ascii="Verdana" w:eastAsia="Times New Roman" w:hAnsi="Verdana" w:cs="Arial"/>
          <w:lang w:val="es-ES" w:eastAsia="es-CO"/>
        </w:rPr>
        <w:lastRenderedPageBreak/>
        <w:t>normas prohibitivas, deben interpretarse restrictivamente. En efecto, la Sala de Consulta y Servicio Civil del Consejo de Estado, precisó:</w:t>
      </w:r>
    </w:p>
    <w:p w14:paraId="04213B14" w14:textId="77777777" w:rsidR="00481562" w:rsidRPr="005416E7" w:rsidRDefault="00481562" w:rsidP="00481562">
      <w:pPr>
        <w:spacing w:after="0" w:line="276" w:lineRule="auto"/>
        <w:ind w:firstLine="709"/>
        <w:jc w:val="both"/>
        <w:rPr>
          <w:rFonts w:ascii="Verdana" w:eastAsia="Times New Roman" w:hAnsi="Verdana" w:cs="Arial"/>
          <w:color w:val="4472C4" w:themeColor="accent1"/>
          <w:lang w:val="es-ES" w:eastAsia="es-CO"/>
        </w:rPr>
      </w:pPr>
    </w:p>
    <w:p w14:paraId="09E42019" w14:textId="77777777" w:rsidR="00481562" w:rsidRPr="005416E7" w:rsidRDefault="00481562" w:rsidP="00481562">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color w:val="4472C4" w:themeColor="accent1"/>
          <w:sz w:val="20"/>
          <w:szCs w:val="20"/>
          <w:lang w:val="es-ES" w:eastAsia="es-CO"/>
        </w:rPr>
        <w:t>“</w:t>
      </w:r>
      <w:r w:rsidRPr="005416E7">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FB00A8B" w14:textId="77777777" w:rsidR="00481562" w:rsidRDefault="00481562" w:rsidP="00481562">
      <w:pPr>
        <w:spacing w:after="0" w:line="240" w:lineRule="auto"/>
        <w:ind w:left="709" w:right="709"/>
        <w:jc w:val="both"/>
        <w:rPr>
          <w:rFonts w:ascii="Verdana" w:eastAsia="Times New Roman" w:hAnsi="Verdana" w:cs="Arial"/>
          <w:sz w:val="20"/>
          <w:szCs w:val="20"/>
          <w:lang w:val="es-ES" w:eastAsia="es-CO"/>
        </w:rPr>
      </w:pPr>
    </w:p>
    <w:p w14:paraId="6F913775" w14:textId="77777777" w:rsidR="00481562" w:rsidRPr="005416E7" w:rsidRDefault="00481562" w:rsidP="00481562">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La jurisprudencia de la Corte Constitucional</w:t>
      </w:r>
      <w:r w:rsidRPr="005416E7">
        <w:rPr>
          <w:rFonts w:ascii="Verdana" w:eastAsia="Times New Roman" w:hAnsi="Verdana" w:cs="Arial"/>
          <w:sz w:val="20"/>
          <w:szCs w:val="20"/>
          <w:vertAlign w:val="superscript"/>
          <w:lang w:val="es-ES" w:eastAsia="es-CO"/>
        </w:rPr>
        <w:footnoteReference w:id="4"/>
      </w:r>
      <w:r w:rsidRPr="005416E7">
        <w:rPr>
          <w:rFonts w:ascii="Verdana" w:eastAsia="Times New Roman" w:hAnsi="Verdana" w:cs="Arial"/>
          <w:sz w:val="20"/>
          <w:szCs w:val="20"/>
          <w:lang w:val="es-ES" w:eastAsia="es-CO"/>
        </w:rPr>
        <w:t> y del Consejo de Estado</w:t>
      </w:r>
      <w:r w:rsidRPr="005416E7">
        <w:rPr>
          <w:rFonts w:ascii="Verdana" w:eastAsia="Times New Roman" w:hAnsi="Verdana" w:cs="Arial"/>
          <w:sz w:val="20"/>
          <w:szCs w:val="20"/>
          <w:vertAlign w:val="superscript"/>
          <w:lang w:val="es-ES" w:eastAsia="es-CO"/>
        </w:rPr>
        <w:footnoteReference w:id="5"/>
      </w:r>
      <w:r w:rsidRPr="005416E7">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416E7">
        <w:rPr>
          <w:rFonts w:ascii="Verdana" w:eastAsia="Times New Roman" w:hAnsi="Verdana" w:cs="Arial"/>
          <w:sz w:val="20"/>
          <w:szCs w:val="20"/>
          <w:vertAlign w:val="superscript"/>
          <w:lang w:val="es-ES" w:eastAsia="es-CO"/>
        </w:rPr>
        <w:footnoteReference w:id="6"/>
      </w:r>
      <w:r w:rsidRPr="005416E7">
        <w:rPr>
          <w:rFonts w:ascii="Verdana" w:eastAsia="Times New Roman" w:hAnsi="Verdana" w:cs="Arial"/>
          <w:sz w:val="20"/>
          <w:szCs w:val="20"/>
          <w:lang w:val="es-ES" w:eastAsia="es-CO"/>
        </w:rPr>
        <w:t>.</w:t>
      </w:r>
    </w:p>
    <w:p w14:paraId="31096FDA" w14:textId="77777777" w:rsidR="00481562" w:rsidRPr="005416E7" w:rsidRDefault="00481562" w:rsidP="00481562">
      <w:pPr>
        <w:spacing w:after="0" w:line="276" w:lineRule="auto"/>
        <w:jc w:val="both"/>
        <w:rPr>
          <w:rFonts w:ascii="Verdana" w:eastAsia="Calibri" w:hAnsi="Verdana" w:cs="Arial"/>
          <w:bCs/>
          <w:lang w:val="es-ES"/>
        </w:rPr>
      </w:pPr>
    </w:p>
    <w:p w14:paraId="5214CAD9" w14:textId="77777777" w:rsidR="00481562" w:rsidRPr="005416E7" w:rsidRDefault="00481562" w:rsidP="00481562">
      <w:pPr>
        <w:spacing w:after="0" w:line="276" w:lineRule="auto"/>
        <w:ind w:firstLine="709"/>
        <w:jc w:val="both"/>
        <w:rPr>
          <w:rFonts w:ascii="Verdana" w:eastAsia="Arial" w:hAnsi="Verdana" w:cs="Arial"/>
          <w:lang w:val="es-ES" w:eastAsia="es-ES" w:bidi="es-ES"/>
        </w:rPr>
      </w:pPr>
      <w:r w:rsidRPr="005416E7">
        <w:rPr>
          <w:rFonts w:ascii="Verdana" w:eastAsia="Times New Roman" w:hAnsi="Verdana" w:cs="Arial"/>
          <w:lang w:val="es-ES" w:eastAsia="es-CO"/>
        </w:rPr>
        <w:t>De</w:t>
      </w:r>
      <w:r w:rsidRPr="005416E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2B6B9B5" w14:textId="77777777" w:rsidR="00481562" w:rsidRPr="005416E7" w:rsidRDefault="00481562" w:rsidP="00481562">
      <w:pPr>
        <w:spacing w:after="0" w:line="276" w:lineRule="auto"/>
        <w:ind w:firstLine="709"/>
        <w:jc w:val="both"/>
        <w:rPr>
          <w:rFonts w:ascii="Verdana" w:eastAsia="Arial" w:hAnsi="Verdana" w:cs="Arial"/>
          <w:color w:val="4472C4" w:themeColor="accent1"/>
          <w:lang w:val="es-ES" w:eastAsia="es-ES" w:bidi="es-ES"/>
        </w:rPr>
      </w:pPr>
    </w:p>
    <w:p w14:paraId="36FF042F" w14:textId="77777777" w:rsidR="00481562" w:rsidRPr="005416E7" w:rsidRDefault="00481562" w:rsidP="00481562">
      <w:pPr>
        <w:spacing w:after="120" w:line="276" w:lineRule="auto"/>
        <w:jc w:val="both"/>
        <w:rPr>
          <w:rFonts w:ascii="Verdana" w:eastAsia="Arial" w:hAnsi="Verdana" w:cs="Arial"/>
          <w:lang w:val="es-ES" w:eastAsia="es-ES" w:bidi="es-ES"/>
        </w:rPr>
      </w:pPr>
      <w:proofErr w:type="spellStart"/>
      <w:r w:rsidRPr="005416E7">
        <w:rPr>
          <w:rFonts w:ascii="Verdana" w:eastAsia="Arial" w:hAnsi="Verdana" w:cs="Arial"/>
          <w:lang w:val="es-ES" w:eastAsia="es-ES" w:bidi="es-ES"/>
        </w:rPr>
        <w:t>ii</w:t>
      </w:r>
      <w:proofErr w:type="spellEnd"/>
      <w:r w:rsidRPr="005416E7">
        <w:rPr>
          <w:rFonts w:ascii="Verdana" w:eastAsia="Arial" w:hAnsi="Verdana" w:cs="Arial"/>
          <w:lang w:val="es-ES" w:eastAsia="es-ES" w:bidi="es-ES"/>
        </w:rPr>
        <w:t xml:space="preserve">) Las restricciones consagradas en la Ley de Garantías se dirigen a dos (2) tipos de campañas electorales diferenciadas: las presidenciales y las que se adelanten </w:t>
      </w:r>
      <w:r w:rsidRPr="005416E7">
        <w:rPr>
          <w:rFonts w:ascii="Verdana" w:eastAsia="Arial" w:hAnsi="Verdana" w:cs="Arial"/>
          <w:lang w:val="es-ES" w:eastAsia="es-ES" w:bidi="es-ES"/>
        </w:rPr>
        <w:lastRenderedPageBreak/>
        <w:t>para la elección de los demás cargos de elección popular, tanto a nivel nacional como territorial.</w:t>
      </w:r>
    </w:p>
    <w:p w14:paraId="70505817" w14:textId="77777777" w:rsidR="00481562" w:rsidRPr="005416E7" w:rsidRDefault="00481562" w:rsidP="00481562">
      <w:pPr>
        <w:spacing w:after="120" w:line="276" w:lineRule="auto"/>
        <w:ind w:firstLine="708"/>
        <w:jc w:val="both"/>
        <w:rPr>
          <w:rFonts w:ascii="Verdana" w:eastAsia="Calibri" w:hAnsi="Verdana" w:cs="Arial"/>
          <w:lang w:val="es-ES"/>
        </w:rPr>
      </w:pPr>
      <w:r w:rsidRPr="005416E7">
        <w:rPr>
          <w:rFonts w:ascii="Verdana" w:eastAsia="Calibri" w:hAnsi="Verdana" w:cs="Arial"/>
          <w:lang w:val="es-ES"/>
        </w:rPr>
        <w:t xml:space="preserve">Por un lado, el </w:t>
      </w:r>
      <w:r w:rsidRPr="005416E7">
        <w:rPr>
          <w:rFonts w:ascii="Verdana" w:eastAsia="Calibri" w:hAnsi="Verdana" w:cs="Arial"/>
          <w:i/>
          <w:iCs/>
          <w:lang w:val="es-ES"/>
        </w:rPr>
        <w:t xml:space="preserve">artículo 33 </w:t>
      </w:r>
      <w:r w:rsidRPr="005416E7">
        <w:rPr>
          <w:rFonts w:ascii="Verdana" w:eastAsia="Calibri" w:hAnsi="Verdana" w:cs="Arial"/>
          <w:lang w:val="es-ES"/>
        </w:rPr>
        <w:t xml:space="preserve">de la Ley 996 de 2005 prohíbe “(…) la contratación directa por parte de </w:t>
      </w:r>
      <w:r w:rsidRPr="005416E7">
        <w:rPr>
          <w:rFonts w:ascii="Verdana" w:eastAsia="Calibri" w:hAnsi="Verdana" w:cs="Arial"/>
          <w:i/>
          <w:iCs/>
          <w:lang w:val="es-ES"/>
        </w:rPr>
        <w:t>todos los entes del Estado</w:t>
      </w:r>
      <w:r w:rsidRPr="005416E7">
        <w:rPr>
          <w:rFonts w:ascii="Verdana" w:eastAsia="Calibri" w:hAnsi="Verdana" w:cs="Arial"/>
          <w:lang w:val="es-ES"/>
        </w:rPr>
        <w:t xml:space="preserve">” durante los cuatro (4) meses anteriores a las </w:t>
      </w:r>
      <w:r w:rsidRPr="005416E7">
        <w:rPr>
          <w:rFonts w:ascii="Verdana" w:eastAsia="Calibri" w:hAnsi="Verdana" w:cs="Arial"/>
          <w:i/>
          <w:iCs/>
          <w:lang w:val="es-ES"/>
        </w:rPr>
        <w:t>elecciones presidenciales</w:t>
      </w:r>
      <w:r w:rsidRPr="005416E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416E7">
        <w:rPr>
          <w:rFonts w:ascii="Verdana" w:eastAsia="Calibri" w:hAnsi="Verdana" w:cs="Arial"/>
          <w:vertAlign w:val="superscript"/>
          <w:lang w:val="es-ES"/>
        </w:rPr>
        <w:footnoteReference w:id="7"/>
      </w:r>
      <w:r w:rsidRPr="005416E7">
        <w:rPr>
          <w:rFonts w:ascii="Verdana" w:eastAsia="Calibri" w:hAnsi="Verdana" w:cs="Arial"/>
          <w:lang w:val="es-ES"/>
        </w:rPr>
        <w:t>.</w:t>
      </w:r>
    </w:p>
    <w:p w14:paraId="5550531B" w14:textId="77777777" w:rsidR="00481562" w:rsidRPr="005416E7" w:rsidRDefault="00481562" w:rsidP="00481562">
      <w:pPr>
        <w:widowControl w:val="0"/>
        <w:autoSpaceDE w:val="0"/>
        <w:autoSpaceDN w:val="0"/>
        <w:spacing w:after="120" w:line="276" w:lineRule="auto"/>
        <w:ind w:right="113" w:firstLine="709"/>
        <w:jc w:val="both"/>
        <w:rPr>
          <w:rFonts w:ascii="Verdana" w:eastAsia="Arial" w:hAnsi="Verdana" w:cs="Arial"/>
          <w:lang w:val="es-ES" w:eastAsia="es-ES" w:bidi="es-ES"/>
        </w:rPr>
      </w:pPr>
      <w:r w:rsidRPr="005416E7">
        <w:rPr>
          <w:rFonts w:ascii="Verdana" w:eastAsia="Calibri" w:hAnsi="Verdana" w:cs="Arial"/>
          <w:lang w:val="es-ES"/>
        </w:rPr>
        <w:t xml:space="preserve">Por otro lado, </w:t>
      </w:r>
      <w:r w:rsidRPr="005416E7">
        <w:rPr>
          <w:rFonts w:ascii="Verdana" w:eastAsia="Calibri" w:hAnsi="Verdana" w:cs="Arial"/>
          <w:i/>
          <w:iCs/>
          <w:lang w:val="es-ES"/>
        </w:rPr>
        <w:t xml:space="preserve">el parágrafo del artículo 38 </w:t>
      </w:r>
      <w:r w:rsidRPr="005416E7">
        <w:rPr>
          <w:rFonts w:ascii="Verdana" w:eastAsia="Calibri" w:hAnsi="Verdana" w:cs="Arial"/>
          <w:lang w:val="es-ES"/>
        </w:rPr>
        <w:t xml:space="preserve">de la Ley 996 de 2005 prevé una restricción, aplicable respecto de </w:t>
      </w:r>
      <w:r w:rsidRPr="005416E7">
        <w:rPr>
          <w:rFonts w:ascii="Verdana" w:eastAsia="Calibri" w:hAnsi="Verdana" w:cs="Arial"/>
          <w:i/>
          <w:iCs/>
          <w:lang w:val="es-ES"/>
        </w:rPr>
        <w:t>cualquier tipo de contienda electoral</w:t>
      </w:r>
      <w:r w:rsidRPr="005416E7">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416E7">
        <w:rPr>
          <w:rFonts w:ascii="Verdana" w:eastAsia="Calibri" w:hAnsi="Verdana" w:cs="Arial"/>
          <w:vertAlign w:val="superscript"/>
          <w:lang w:val="es-ES"/>
        </w:rPr>
        <w:footnoteReference w:id="8"/>
      </w:r>
      <w:r w:rsidRPr="005416E7">
        <w:rPr>
          <w:rFonts w:ascii="Verdana" w:eastAsia="Calibri" w:hAnsi="Verdana" w:cs="Arial"/>
          <w:lang w:val="es-ES"/>
        </w:rPr>
        <w:t>.</w:t>
      </w:r>
      <w:r w:rsidRPr="005416E7">
        <w:rPr>
          <w:rFonts w:ascii="Verdana" w:eastAsia="Arial" w:hAnsi="Verdana" w:cs="Arial"/>
          <w:lang w:val="es-ES" w:eastAsia="es-ES" w:bidi="es-ES"/>
        </w:rPr>
        <w:t xml:space="preserve"> </w:t>
      </w:r>
    </w:p>
    <w:p w14:paraId="05910A41" w14:textId="77777777" w:rsidR="00481562" w:rsidRPr="005416E7" w:rsidRDefault="00481562" w:rsidP="0048156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416E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843121E" w14:textId="77777777" w:rsidR="00481562" w:rsidRPr="005416E7" w:rsidRDefault="00481562" w:rsidP="0048156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01ACCB6" w14:textId="77777777" w:rsidR="00481562" w:rsidRPr="005416E7" w:rsidRDefault="00481562" w:rsidP="0048156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w:t>
      </w:r>
      <w:r w:rsidRPr="005416E7">
        <w:rPr>
          <w:rFonts w:ascii="Verdana" w:eastAsia="Arial" w:hAnsi="Verdana" w:cs="Arial"/>
          <w:sz w:val="20"/>
          <w:szCs w:val="20"/>
          <w:lang w:val="es-ES" w:eastAsia="es-ES" w:bidi="es-ES"/>
        </w:rPr>
        <w:lastRenderedPageBreak/>
        <w:t>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416E7">
        <w:rPr>
          <w:rFonts w:ascii="Verdana" w:eastAsia="Arial" w:hAnsi="Verdana" w:cs="Arial"/>
          <w:sz w:val="20"/>
          <w:szCs w:val="20"/>
          <w:vertAlign w:val="superscript"/>
          <w:lang w:val="es-ES" w:eastAsia="es-ES" w:bidi="es-ES"/>
        </w:rPr>
        <w:footnoteReference w:id="9"/>
      </w:r>
    </w:p>
    <w:p w14:paraId="0F2C245B" w14:textId="77777777" w:rsidR="00481562" w:rsidRPr="005416E7" w:rsidRDefault="00481562" w:rsidP="0048156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B7B806A" w14:textId="77777777" w:rsidR="00481562" w:rsidRDefault="00481562" w:rsidP="00481562">
      <w:pPr>
        <w:spacing w:after="120" w:line="276" w:lineRule="auto"/>
        <w:ind w:firstLine="709"/>
        <w:jc w:val="both"/>
        <w:rPr>
          <w:rFonts w:ascii="Verdana" w:eastAsia="Arial" w:hAnsi="Verdana" w:cs="Arial"/>
          <w:lang w:val="es-ES" w:eastAsia="es-ES" w:bidi="es-ES"/>
        </w:rPr>
      </w:pPr>
      <w:r w:rsidRPr="005416E7">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3BFA35AE" w14:textId="77777777" w:rsidR="00481562" w:rsidRDefault="00481562" w:rsidP="00481562">
      <w:pPr>
        <w:spacing w:after="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De esta manera, el ámbito temporal de las restricciones establecidas en la Ley de Garantías Electorales en materia de contratación estatal siempre es el mismo en periodos preelectorales de las elecciones presidenciales, ya que rigen 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08EA1F84" w14:textId="77777777" w:rsidR="00481562" w:rsidRPr="005416E7" w:rsidRDefault="00481562" w:rsidP="00481562">
      <w:pPr>
        <w:spacing w:after="0" w:line="276" w:lineRule="auto"/>
        <w:ind w:firstLine="709"/>
        <w:jc w:val="both"/>
        <w:rPr>
          <w:rFonts w:ascii="Verdana" w:eastAsia="Arial" w:hAnsi="Verdana" w:cs="Arial"/>
          <w:lang w:val="es-ES" w:eastAsia="es-ES" w:bidi="es-ES"/>
        </w:rPr>
      </w:pPr>
    </w:p>
    <w:p w14:paraId="18C7D37D" w14:textId="77777777" w:rsidR="00481562" w:rsidRPr="005416E7" w:rsidRDefault="00481562" w:rsidP="00481562">
      <w:pPr>
        <w:spacing w:after="0" w:line="276" w:lineRule="auto"/>
        <w:jc w:val="both"/>
        <w:rPr>
          <w:rFonts w:ascii="Verdana" w:eastAsia="Times New Roman" w:hAnsi="Verdana" w:cs="Arial"/>
          <w:lang w:val="es-MX" w:eastAsia="x-none"/>
        </w:rPr>
      </w:pPr>
      <w:proofErr w:type="spellStart"/>
      <w:r w:rsidRPr="005416E7">
        <w:rPr>
          <w:rFonts w:ascii="Verdana" w:eastAsia="Calibri" w:hAnsi="Verdana" w:cs="Arial"/>
          <w:lang w:val="es-ES"/>
        </w:rPr>
        <w:t>iii</w:t>
      </w:r>
      <w:proofErr w:type="spellEnd"/>
      <w:r w:rsidRPr="005416E7">
        <w:rPr>
          <w:rFonts w:ascii="Verdana" w:eastAsia="Calibri" w:hAnsi="Verdana" w:cs="Arial"/>
          <w:lang w:val="es-ES"/>
        </w:rPr>
        <w:t>) Para responder el problema jurídico planteado anteriormente,</w:t>
      </w:r>
      <w:r w:rsidRPr="005416E7">
        <w:rPr>
          <w:rFonts w:ascii="Verdana" w:eastAsia="Calibri" w:hAnsi="Verdana" w:cs="Arial"/>
          <w:lang w:val="es-ES" w:eastAsia="es-ES" w:bidi="es-ES"/>
        </w:rPr>
        <w:t xml:space="preserve"> es necesario hacer énfasis en el alcance que tiene la prohibición establecida en el parágrafo del artículo 38 de la Ley 996 de 2005. La mencionada norma dispone que “Los </w:t>
      </w:r>
      <w:r w:rsidRPr="005416E7">
        <w:rPr>
          <w:rFonts w:ascii="Verdana" w:eastAsia="Calibri" w:hAnsi="Verdana" w:cs="Arial"/>
          <w:lang w:val="es-ES" w:eastAsia="es-ES" w:bidi="es-ES"/>
        </w:rPr>
        <w:lastRenderedPageBreak/>
        <w:t xml:space="preserve">Gobernadores, Alcaldes, Municipales y/o Distritales, Secretarios, Gerentes y directores de Entidades Descentralizadas del Orden Municipal Departamental o Distrital, dentro de los (4) meses anteriores a las elecciones, no podrán celebrar </w:t>
      </w:r>
      <w:r w:rsidRPr="005416E7">
        <w:rPr>
          <w:rFonts w:ascii="Verdana" w:eastAsia="Calibri" w:hAnsi="Verdana" w:cs="Arial"/>
          <w:i/>
          <w:iCs/>
          <w:lang w:val="es-ES" w:eastAsia="es-ES" w:bidi="es-ES"/>
        </w:rPr>
        <w:t xml:space="preserve">convenios interadministrativos </w:t>
      </w:r>
      <w:r w:rsidRPr="005416E7">
        <w:rPr>
          <w:rFonts w:ascii="Verdana" w:eastAsia="Calibri" w:hAnsi="Verdana" w:cs="Arial"/>
          <w:lang w:val="es-ES" w:eastAsia="es-ES" w:bidi="es-ES"/>
        </w:rPr>
        <w:t xml:space="preserve">para la ejecución de recursos públicos”. </w:t>
      </w:r>
      <w:r w:rsidRPr="005416E7">
        <w:rPr>
          <w:rFonts w:ascii="Verdana" w:eastAsia="Times New Roman" w:hAnsi="Verdana" w:cs="Arial"/>
          <w:lang w:val="es-MX" w:eastAsia="x-none"/>
        </w:rPr>
        <w:t>(Énfasis fuera del texto original)</w:t>
      </w:r>
    </w:p>
    <w:p w14:paraId="45090F4B" w14:textId="77777777" w:rsidR="00481562" w:rsidRDefault="00481562" w:rsidP="00481562">
      <w:pPr>
        <w:spacing w:after="0" w:line="276" w:lineRule="auto"/>
        <w:ind w:left="709" w:right="709"/>
        <w:jc w:val="both"/>
        <w:rPr>
          <w:rFonts w:ascii="Verdana" w:eastAsia="Times New Roman" w:hAnsi="Verdana" w:cs="Arial"/>
          <w:sz w:val="20"/>
          <w:szCs w:val="20"/>
          <w:lang w:val="es-ES" w:eastAsia="es-ES"/>
        </w:rPr>
      </w:pPr>
    </w:p>
    <w:p w14:paraId="079C8285" w14:textId="77777777" w:rsidR="00481562" w:rsidRPr="005416E7" w:rsidRDefault="00481562" w:rsidP="00481562">
      <w:pPr>
        <w:spacing w:after="0" w:line="240" w:lineRule="auto"/>
        <w:ind w:left="709" w:right="709"/>
        <w:jc w:val="both"/>
        <w:rPr>
          <w:rFonts w:ascii="Verdana" w:hAnsi="Verdana" w:cs="Arial"/>
          <w:sz w:val="20"/>
          <w:szCs w:val="20"/>
          <w:lang w:eastAsia="es-ES"/>
        </w:rPr>
      </w:pPr>
      <w:r w:rsidRPr="005416E7">
        <w:rPr>
          <w:rFonts w:ascii="Verdana" w:eastAsia="Times New Roman" w:hAnsi="Verdana" w:cs="Arial"/>
          <w:sz w:val="20"/>
          <w:szCs w:val="20"/>
          <w:lang w:val="es-ES" w:eastAsia="es-ES"/>
        </w:rPr>
        <w:t xml:space="preserve">Para tales efectos, debe precisarse que </w:t>
      </w:r>
      <w:r w:rsidRPr="005416E7">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416E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5416E7">
        <w:rPr>
          <w:rFonts w:ascii="Verdana" w:hAnsi="Verdana" w:cs="Arial"/>
          <w:sz w:val="20"/>
          <w:szCs w:val="20"/>
          <w:vertAlign w:val="superscript"/>
          <w:lang w:eastAsia="es-ES"/>
        </w:rPr>
        <w:footnoteReference w:id="10"/>
      </w:r>
      <w:r w:rsidRPr="005416E7">
        <w:rPr>
          <w:rFonts w:ascii="Verdana" w:hAnsi="Verdana" w:cs="Arial"/>
          <w:sz w:val="20"/>
          <w:szCs w:val="20"/>
          <w:lang w:eastAsia="es-ES"/>
        </w:rPr>
        <w:t>.</w:t>
      </w:r>
    </w:p>
    <w:p w14:paraId="1A47ECBB" w14:textId="77777777" w:rsidR="00481562" w:rsidRDefault="00481562" w:rsidP="00481562">
      <w:pPr>
        <w:spacing w:after="0" w:line="276" w:lineRule="auto"/>
        <w:ind w:firstLine="709"/>
        <w:jc w:val="both"/>
        <w:rPr>
          <w:rFonts w:ascii="Verdana" w:hAnsi="Verdana" w:cs="Arial"/>
          <w:color w:val="000000" w:themeColor="text1"/>
          <w:lang w:val="es-ES_tradnl"/>
        </w:rPr>
      </w:pPr>
    </w:p>
    <w:p w14:paraId="54516F30" w14:textId="77777777" w:rsidR="00481562" w:rsidRPr="005416E7" w:rsidRDefault="00481562" w:rsidP="00481562">
      <w:pPr>
        <w:spacing w:after="120" w:line="276" w:lineRule="auto"/>
        <w:ind w:firstLine="709"/>
        <w:jc w:val="both"/>
        <w:rPr>
          <w:rFonts w:ascii="Verdana" w:hAnsi="Verdana" w:cs="Arial"/>
          <w:color w:val="000000" w:themeColor="text1"/>
          <w:lang w:val="es-ES_tradnl"/>
        </w:rPr>
      </w:pPr>
      <w:r w:rsidRPr="005416E7">
        <w:rPr>
          <w:rFonts w:ascii="Verdana" w:hAnsi="Verdana" w:cs="Arial"/>
          <w:color w:val="000000" w:themeColor="text1"/>
          <w:lang w:val="es-ES_tradnl"/>
        </w:rPr>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5323798D" w14:textId="77777777" w:rsidR="00481562" w:rsidRPr="005416E7" w:rsidRDefault="00481562" w:rsidP="00481562">
      <w:pPr>
        <w:spacing w:before="120" w:after="0" w:line="276" w:lineRule="auto"/>
        <w:ind w:firstLine="708"/>
        <w:jc w:val="both"/>
        <w:rPr>
          <w:rFonts w:ascii="Verdana" w:hAnsi="Verdana" w:cs="Arial"/>
          <w:lang w:val="es-ES_tradnl"/>
        </w:rPr>
      </w:pPr>
      <w:r w:rsidRPr="005416E7">
        <w:rPr>
          <w:rFonts w:ascii="Verdana" w:hAnsi="Verdana" w:cs="Arial"/>
          <w:lang w:val="es-ES"/>
        </w:rPr>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16E7">
        <w:rPr>
          <w:rFonts w:ascii="Verdana" w:hAnsi="Verdana" w:cs="Arial"/>
          <w:vertAlign w:val="superscript"/>
          <w:lang w:val="es-ES"/>
        </w:rPr>
        <w:footnoteReference w:id="11"/>
      </w:r>
      <w:r w:rsidRPr="005416E7">
        <w:rPr>
          <w:rFonts w:ascii="Verdana" w:hAnsi="Verdana" w:cs="Arial"/>
          <w:lang w:val="es-ES"/>
        </w:rPr>
        <w:t xml:space="preserve">. </w:t>
      </w:r>
    </w:p>
    <w:p w14:paraId="12FAEC65" w14:textId="77777777" w:rsidR="00481562" w:rsidRPr="005416E7" w:rsidRDefault="00481562" w:rsidP="00481562">
      <w:pPr>
        <w:spacing w:before="120" w:after="0" w:line="276" w:lineRule="auto"/>
        <w:ind w:firstLine="708"/>
        <w:jc w:val="both"/>
        <w:rPr>
          <w:rFonts w:ascii="Verdana" w:hAnsi="Verdana" w:cs="Arial"/>
          <w:lang w:val="es-ES"/>
        </w:rPr>
      </w:pPr>
      <w:r w:rsidRPr="005416E7">
        <w:rPr>
          <w:rFonts w:ascii="Verdana" w:hAnsi="Verdana" w:cs="Arial"/>
          <w:lang w:val="es-ES"/>
        </w:rPr>
        <w:t>De igual manera, es necesario tener en cuenta que para que un convenio interadministrativo exista debe cumplir con los siguientes elementos: acuerdo sobre el objeto y la contraprestación y que conste por escrito</w:t>
      </w:r>
      <w:r w:rsidRPr="005416E7">
        <w:rPr>
          <w:rFonts w:ascii="Verdana" w:hAnsi="Verdana" w:cs="Arial"/>
          <w:vertAlign w:val="superscript"/>
          <w:lang w:val="es-ES"/>
        </w:rPr>
        <w:footnoteReference w:id="12"/>
      </w:r>
      <w:r w:rsidRPr="005416E7">
        <w:rPr>
          <w:rFonts w:ascii="Verdana" w:hAnsi="Verdana" w:cs="Arial"/>
          <w:lang w:val="es-ES"/>
        </w:rPr>
        <w:t xml:space="preserve">. Entonces, si </w:t>
      </w:r>
      <w:r w:rsidRPr="005416E7">
        <w:rPr>
          <w:rFonts w:ascii="Verdana" w:hAnsi="Verdana" w:cs="Arial"/>
          <w:lang w:val="es-ES"/>
        </w:rPr>
        <w:lastRenderedPageBreak/>
        <w:t>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F4B8DD2" w14:textId="77777777" w:rsidR="00481562" w:rsidRPr="005416E7" w:rsidRDefault="00481562" w:rsidP="00481562">
      <w:pPr>
        <w:spacing w:before="120" w:after="0" w:line="276" w:lineRule="auto"/>
        <w:ind w:firstLine="708"/>
        <w:jc w:val="both"/>
        <w:rPr>
          <w:rFonts w:ascii="Verdana" w:eastAsia="Times New Roman" w:hAnsi="Verdana" w:cs="Arial"/>
          <w:lang w:val="es-MX" w:eastAsia="es-CO"/>
        </w:rPr>
      </w:pPr>
      <w:r w:rsidRPr="005416E7">
        <w:rPr>
          <w:rFonts w:ascii="Verdana" w:eastAsia="Arial" w:hAnsi="Verdana" w:cs="Arial"/>
          <w:lang w:val="es-MX" w:eastAsia="es-ES" w:bidi="es-ES"/>
        </w:rPr>
        <w:t>De esta manera, se</w:t>
      </w:r>
      <w:r w:rsidRPr="005416E7">
        <w:rPr>
          <w:rFonts w:ascii="Verdana" w:eastAsia="Times New Roman" w:hAnsi="Verdana" w:cs="Arial"/>
          <w:lang w:eastAsia="es-CO"/>
        </w:rPr>
        <w:t xml:space="preserve"> observa entonces que </w:t>
      </w:r>
      <w:r w:rsidRPr="005416E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5416E7">
        <w:rPr>
          <w:rFonts w:ascii="Verdana" w:eastAsia="Times New Roman" w:hAnsi="Verdana" w:cs="Arial"/>
          <w:i/>
          <w:iCs/>
          <w:lang w:val="es-MX" w:eastAsia="es-CO"/>
        </w:rPr>
        <w:t>convenios interadministrativos</w:t>
      </w:r>
      <w:r w:rsidRPr="005416E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5416E7">
        <w:rPr>
          <w:rFonts w:ascii="Verdana" w:eastAsia="Times New Roman" w:hAnsi="Verdana" w:cs="Arial"/>
          <w:i/>
          <w:lang w:val="es-MX" w:eastAsia="es-CO"/>
        </w:rPr>
        <w:t>ibidem</w:t>
      </w:r>
      <w:r w:rsidRPr="005416E7">
        <w:rPr>
          <w:rFonts w:ascii="Verdana" w:eastAsia="Times New Roman" w:hAnsi="Verdana" w:cs="Arial"/>
          <w:lang w:val="es-MX" w:eastAsia="es-CO"/>
        </w:rPr>
        <w:t xml:space="preserve">, no podrá celebrar tales </w:t>
      </w:r>
      <w:r w:rsidRPr="005416E7">
        <w:rPr>
          <w:rFonts w:ascii="Verdana" w:eastAsia="Times New Roman" w:hAnsi="Verdana" w:cs="Arial"/>
          <w:i/>
          <w:iCs/>
          <w:lang w:val="es-MX" w:eastAsia="es-CO"/>
        </w:rPr>
        <w:t>convenios</w:t>
      </w:r>
      <w:r w:rsidRPr="005416E7">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508C94CB" w14:textId="77777777" w:rsidR="00481562" w:rsidRPr="005416E7" w:rsidRDefault="00481562" w:rsidP="00481562">
      <w:pPr>
        <w:spacing w:before="120" w:after="0" w:line="276" w:lineRule="auto"/>
        <w:ind w:firstLine="708"/>
        <w:jc w:val="both"/>
        <w:rPr>
          <w:rFonts w:ascii="Verdana" w:eastAsia="Times New Roman" w:hAnsi="Verdana" w:cs="Arial"/>
          <w:i/>
          <w:iCs/>
          <w:lang w:eastAsia="es-CO"/>
        </w:rPr>
      </w:pPr>
      <w:r w:rsidRPr="005416E7">
        <w:rPr>
          <w:rFonts w:ascii="Verdana" w:hAnsi="Verdana" w:cs="Arial"/>
          <w:lang w:val="es-ES_tradnl"/>
        </w:rPr>
        <w:t xml:space="preserve">Ahora bien, con respecto al alcance de la prohibición en mención, la Circular Externa No. 006 de 2025 expedida por la ANCP-CCE, en sus literales </w:t>
      </w:r>
      <w:proofErr w:type="spellStart"/>
      <w:r w:rsidRPr="005416E7">
        <w:rPr>
          <w:rFonts w:ascii="Verdana" w:hAnsi="Verdana" w:cs="Arial"/>
          <w:lang w:val="es-ES_tradnl"/>
        </w:rPr>
        <w:t>ii</w:t>
      </w:r>
      <w:proofErr w:type="spellEnd"/>
      <w:r w:rsidRPr="005416E7">
        <w:rPr>
          <w:rFonts w:ascii="Verdana" w:hAnsi="Verdana" w:cs="Arial"/>
          <w:lang w:val="es-ES_tradnl"/>
        </w:rPr>
        <w:t xml:space="preserve">) y </w:t>
      </w:r>
      <w:proofErr w:type="spellStart"/>
      <w:r w:rsidRPr="005416E7">
        <w:rPr>
          <w:rFonts w:ascii="Verdana" w:hAnsi="Verdana" w:cs="Arial"/>
          <w:lang w:val="es-ES_tradnl"/>
        </w:rPr>
        <w:t>iv</w:t>
      </w:r>
      <w:proofErr w:type="spellEnd"/>
      <w:r w:rsidRPr="005416E7">
        <w:rPr>
          <w:rFonts w:ascii="Verdana" w:hAnsi="Verdana" w:cs="Arial"/>
          <w:lang w:val="es-ES_tradnl"/>
        </w:rPr>
        <w:t xml:space="preserve">)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aplicará a los sujetos allí celebrados </w:t>
      </w:r>
      <w:r w:rsidRPr="005416E7">
        <w:rPr>
          <w:rFonts w:ascii="Verdana" w:eastAsia="Times New Roman" w:hAnsi="Verdana" w:cs="Arial"/>
          <w:i/>
          <w:iCs/>
          <w:lang w:eastAsia="es-CO"/>
        </w:rPr>
        <w:t>“aunque se configure alguno de los supuestos de excepción que señaló el inciso final del artículo 33”.</w:t>
      </w:r>
    </w:p>
    <w:p w14:paraId="3C3511FA"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lang w:eastAsia="es-CO"/>
        </w:rPr>
        <w:t>convenios interadministrativos</w:t>
      </w:r>
      <w:r w:rsidRPr="005416E7">
        <w:rPr>
          <w:rFonts w:ascii="Verdana" w:eastAsia="Times New Roman" w:hAnsi="Verdana" w:cs="Arial"/>
          <w:lang w:eastAsia="es-CO"/>
        </w:rPr>
        <w:t xml:space="preserve"> en los que se contemple la </w:t>
      </w:r>
      <w:r w:rsidRPr="005416E7">
        <w:rPr>
          <w:rFonts w:ascii="Verdana" w:eastAsia="Times New Roman" w:hAnsi="Verdana" w:cs="Arial"/>
          <w:i/>
          <w:iCs/>
          <w:lang w:eastAsia="es-CO"/>
        </w:rPr>
        <w:t>ejecución de recursos públicos</w:t>
      </w:r>
      <w:r w:rsidRPr="005416E7">
        <w:rPr>
          <w:rFonts w:ascii="Verdana" w:eastAsia="Times New Roman" w:hAnsi="Verdana" w:cs="Arial"/>
          <w:lang w:eastAsia="es-CO"/>
        </w:rPr>
        <w:t xml:space="preserve">. Esto significa que la prohibición no resulta 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5AFF82AE"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Por lo tanto, conforme a lo dispuesto en la Circular referida, si se suscriben </w:t>
      </w:r>
      <w:r w:rsidRPr="005416E7">
        <w:rPr>
          <w:rFonts w:ascii="Verdana" w:eastAsia="Times New Roman" w:hAnsi="Verdana" w:cs="Arial"/>
          <w:i/>
          <w:iCs/>
          <w:lang w:eastAsia="es-CO"/>
        </w:rPr>
        <w:t>convenios interadministrativos para la ejecución de recursos públicos</w:t>
      </w:r>
      <w:r w:rsidRPr="005416E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5416E7">
        <w:rPr>
          <w:rFonts w:ascii="Verdana" w:eastAsia="Times New Roman" w:hAnsi="Verdana" w:cs="Arial"/>
          <w:i/>
          <w:iCs/>
          <w:lang w:eastAsia="es-CO"/>
        </w:rPr>
        <w:t>ibidem</w:t>
      </w:r>
      <w:r w:rsidRPr="005416E7">
        <w:rPr>
          <w:rFonts w:ascii="Verdana" w:eastAsia="Times New Roman" w:hAnsi="Verdana" w:cs="Arial"/>
          <w:lang w:eastAsia="es-CO"/>
        </w:rPr>
        <w:t>, independientemente de que se configure alguno de los supuestos de excepción que señaló el inciso final del artículo 33, es decir, que se trate de:</w:t>
      </w:r>
      <w:r w:rsidRPr="005416E7">
        <w:rPr>
          <w:rFonts w:ascii="Verdana" w:hAnsi="Verdana" w:cs="Arial"/>
          <w:bCs/>
          <w:lang w:val="es-MX" w:eastAsia="x-none"/>
        </w:rPr>
        <w:t xml:space="preserve"> i) la defensa y seguridad del Estado; </w:t>
      </w:r>
      <w:proofErr w:type="spellStart"/>
      <w:r w:rsidRPr="005416E7">
        <w:rPr>
          <w:rFonts w:ascii="Verdana" w:hAnsi="Verdana" w:cs="Arial"/>
          <w:bCs/>
          <w:lang w:val="es-MX" w:eastAsia="x-none"/>
        </w:rPr>
        <w:t>ii</w:t>
      </w:r>
      <w:proofErr w:type="spellEnd"/>
      <w:r w:rsidRPr="005416E7">
        <w:rPr>
          <w:rFonts w:ascii="Verdana" w:hAnsi="Verdana" w:cs="Arial"/>
          <w:bCs/>
          <w:lang w:val="es-MX" w:eastAsia="x-none"/>
        </w:rPr>
        <w:t xml:space="preserve">) los contratos de crédito público; </w:t>
      </w:r>
      <w:proofErr w:type="spellStart"/>
      <w:r w:rsidRPr="005416E7">
        <w:rPr>
          <w:rFonts w:ascii="Verdana" w:hAnsi="Verdana" w:cs="Arial"/>
          <w:bCs/>
          <w:lang w:val="es-MX" w:eastAsia="x-none"/>
        </w:rPr>
        <w:t>iii</w:t>
      </w:r>
      <w:proofErr w:type="spellEnd"/>
      <w:r w:rsidRPr="005416E7">
        <w:rPr>
          <w:rFonts w:ascii="Verdana" w:hAnsi="Verdana" w:cs="Arial"/>
          <w:bCs/>
          <w:lang w:val="es-MX" w:eastAsia="x-none"/>
        </w:rPr>
        <w:t xml:space="preserve">) los requeridos para cubrir las emergencias educativas, sanitarias y desastres; </w:t>
      </w:r>
      <w:proofErr w:type="spellStart"/>
      <w:r w:rsidRPr="005416E7">
        <w:rPr>
          <w:rFonts w:ascii="Verdana" w:hAnsi="Verdana" w:cs="Arial"/>
          <w:bCs/>
          <w:lang w:val="es-MX" w:eastAsia="x-none"/>
        </w:rPr>
        <w:t>iv</w:t>
      </w:r>
      <w:proofErr w:type="spellEnd"/>
      <w:r w:rsidRPr="005416E7">
        <w:rPr>
          <w:rFonts w:ascii="Verdana" w:hAnsi="Verdana" w:cs="Arial"/>
          <w:bCs/>
          <w:lang w:val="es-MX" w:eastAsia="x-none"/>
        </w:rPr>
        <w:t xml:space="preserve">) los utilizados para la reconstrucción de vías, puentes, carreteras, </w:t>
      </w:r>
      <w:r w:rsidRPr="005416E7">
        <w:rPr>
          <w:rFonts w:ascii="Verdana" w:hAnsi="Verdana" w:cs="Arial"/>
          <w:bCs/>
          <w:lang w:val="es-MX" w:eastAsia="x-none"/>
        </w:rPr>
        <w:lastRenderedPageBreak/>
        <w:t>infraestructura energética y de comunicaciones, en caso de que hayan sido objeto de atentados, acciones terroristas, desastres naturales o casos de fuerza mayor; y, v) los que deban realizar las entidades sanitarias y hospitalarias.</w:t>
      </w:r>
      <w:r w:rsidRPr="005416E7">
        <w:rPr>
          <w:rFonts w:ascii="Verdana" w:hAnsi="Verdana" w:cs="Arial"/>
          <w:bCs/>
          <w:lang w:val="es-MX" w:eastAsia="es-CO"/>
        </w:rPr>
        <w:t xml:space="preserve"> </w:t>
      </w:r>
      <w:r w:rsidRPr="005416E7">
        <w:rPr>
          <w:rFonts w:ascii="Verdana" w:eastAsia="Times New Roman" w:hAnsi="Verdana" w:cs="Arial"/>
          <w:lang w:eastAsia="es-CO"/>
        </w:rPr>
        <w:t xml:space="preserve">  </w:t>
      </w:r>
    </w:p>
    <w:p w14:paraId="17452568"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En este punto, teniendo en cuenta lo señalado en el contenido de su petición, vale la pena destacar que, </w:t>
      </w:r>
      <w:r w:rsidRPr="005416E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5416E7">
        <w:rPr>
          <w:rFonts w:ascii="Verdana" w:hAnsi="Verdana" w:cs="Arial"/>
        </w:rPr>
        <w:t>numeral 16.2 de la Circular Externa Única de 2022 expedida por la Agencia Nacional de Contratación Pública -Colombia Compra Eficiente-, concretamente, respecto de los siguientes apartes normativos</w:t>
      </w:r>
      <w:r w:rsidRPr="005416E7">
        <w:rPr>
          <w:rFonts w:ascii="Verdana" w:hAnsi="Verdana" w:cs="Arial"/>
          <w:vertAlign w:val="superscript"/>
        </w:rPr>
        <w:footnoteReference w:id="13"/>
      </w:r>
      <w:r w:rsidRPr="005416E7">
        <w:rPr>
          <w:rFonts w:ascii="Verdana" w:hAnsi="Verdana" w:cs="Arial"/>
        </w:rPr>
        <w:t xml:space="preserve">: </w:t>
      </w:r>
    </w:p>
    <w:p w14:paraId="52B8B23D" w14:textId="77777777" w:rsidR="00481562" w:rsidRDefault="00481562" w:rsidP="00481562">
      <w:pPr>
        <w:spacing w:after="0" w:line="240" w:lineRule="auto"/>
        <w:ind w:left="709" w:right="709"/>
        <w:jc w:val="both"/>
        <w:rPr>
          <w:rFonts w:ascii="Verdana" w:hAnsi="Verdana" w:cs="Arial"/>
          <w:sz w:val="20"/>
          <w:szCs w:val="20"/>
          <w:lang w:val="es-MX"/>
        </w:rPr>
      </w:pPr>
    </w:p>
    <w:p w14:paraId="129AB57D" w14:textId="77777777" w:rsidR="00481562" w:rsidRPr="005416E7" w:rsidRDefault="00481562" w:rsidP="00481562">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5416E7">
        <w:rPr>
          <w:rFonts w:ascii="Verdana" w:hAnsi="Verdana" w:cs="Arial"/>
          <w:sz w:val="20"/>
          <w:szCs w:val="20"/>
          <w:lang w:val="es-MX"/>
        </w:rPr>
        <w:t>i)</w:t>
      </w:r>
      <w:r w:rsidRPr="005416E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4314264" w14:textId="77777777" w:rsidR="00481562" w:rsidRPr="005416E7" w:rsidRDefault="00481562" w:rsidP="00481562">
      <w:pPr>
        <w:spacing w:after="0" w:line="240" w:lineRule="auto"/>
        <w:ind w:left="709" w:right="709"/>
        <w:jc w:val="both"/>
        <w:rPr>
          <w:rFonts w:ascii="Verdana" w:hAnsi="Verdana" w:cs="Arial"/>
          <w:sz w:val="20"/>
          <w:szCs w:val="20"/>
        </w:rPr>
      </w:pPr>
    </w:p>
    <w:p w14:paraId="00CCE933" w14:textId="77777777" w:rsidR="00481562" w:rsidRPr="005416E7" w:rsidRDefault="00481562" w:rsidP="00481562">
      <w:pPr>
        <w:spacing w:after="0" w:line="240" w:lineRule="auto"/>
        <w:ind w:left="709" w:right="709"/>
        <w:jc w:val="both"/>
        <w:rPr>
          <w:rFonts w:ascii="Verdana" w:hAnsi="Verdana" w:cs="Arial"/>
          <w:sz w:val="20"/>
          <w:szCs w:val="20"/>
        </w:rPr>
      </w:pPr>
      <w:proofErr w:type="spellStart"/>
      <w:r w:rsidRPr="005416E7">
        <w:rPr>
          <w:rFonts w:ascii="Verdana" w:hAnsi="Verdana" w:cs="Arial"/>
          <w:sz w:val="20"/>
          <w:szCs w:val="20"/>
        </w:rPr>
        <w:t>ii</w:t>
      </w:r>
      <w:proofErr w:type="spellEnd"/>
      <w:r w:rsidRPr="005416E7">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01AE819" w14:textId="77777777" w:rsidR="00481562" w:rsidRPr="005416E7" w:rsidRDefault="00481562" w:rsidP="00481562">
      <w:pPr>
        <w:spacing w:after="0" w:line="276" w:lineRule="auto"/>
        <w:ind w:left="709" w:right="709"/>
        <w:jc w:val="both"/>
        <w:rPr>
          <w:rFonts w:ascii="Verdana" w:hAnsi="Verdana" w:cs="Arial"/>
        </w:rPr>
      </w:pPr>
    </w:p>
    <w:p w14:paraId="3346E51F" w14:textId="77777777" w:rsidR="00481562" w:rsidRPr="005416E7" w:rsidRDefault="00481562" w:rsidP="00481562">
      <w:pPr>
        <w:spacing w:after="120" w:line="276" w:lineRule="auto"/>
        <w:ind w:firstLine="709"/>
        <w:jc w:val="both"/>
        <w:rPr>
          <w:rFonts w:ascii="Verdana" w:eastAsia="Arial" w:hAnsi="Verdana" w:cs="Arial"/>
          <w:i/>
          <w:iCs/>
          <w:lang w:eastAsia="es-ES" w:bidi="es-ES"/>
        </w:rPr>
      </w:pPr>
      <w:r w:rsidRPr="005416E7">
        <w:rPr>
          <w:rFonts w:ascii="Verdana" w:eastAsia="Arial" w:hAnsi="Verdana" w:cs="Arial"/>
          <w:lang w:val="es-MX" w:eastAsia="es-ES" w:bidi="es-ES"/>
        </w:rPr>
        <w:t xml:space="preserve">De conformidad con los argumentos de dicha providencia, se parte de la distinción entre los conceptos </w:t>
      </w:r>
      <w:r w:rsidRPr="005416E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5416E7">
        <w:rPr>
          <w:rFonts w:ascii="Verdana" w:hAnsi="Verdana"/>
          <w:sz w:val="24"/>
          <w:szCs w:val="24"/>
          <w:lang w:eastAsia="es-CO"/>
        </w:rPr>
        <w:t xml:space="preserve"> </w:t>
      </w:r>
      <w:r w:rsidRPr="005416E7">
        <w:rPr>
          <w:rFonts w:ascii="Verdana" w:eastAsia="Arial" w:hAnsi="Verdana" w:cs="Arial"/>
          <w:lang w:eastAsia="es-ES" w:bidi="es-ES"/>
        </w:rPr>
        <w:t xml:space="preserve">En este sentido, en relación con el parágrafo del artículo 38 de la Ley 996 de 2005 concluyó que </w:t>
      </w:r>
      <w:r w:rsidRPr="005416E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416E7">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5416E7">
        <w:rPr>
          <w:rFonts w:ascii="Verdana" w:eastAsia="Arial" w:hAnsi="Verdana" w:cs="Arial"/>
          <w:lang w:eastAsia="es-ES" w:bidi="es-ES"/>
        </w:rPr>
        <w:lastRenderedPageBreak/>
        <w:t xml:space="preserve">Única, argumentó que </w:t>
      </w:r>
      <w:r w:rsidRPr="005416E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1D093A1" w14:textId="77777777" w:rsidR="00481562" w:rsidRPr="005416E7" w:rsidRDefault="00481562" w:rsidP="00481562">
      <w:pPr>
        <w:spacing w:after="120" w:line="276" w:lineRule="auto"/>
        <w:ind w:firstLine="709"/>
        <w:jc w:val="both"/>
        <w:rPr>
          <w:rFonts w:ascii="Verdana" w:eastAsia="Arial" w:hAnsi="Verdana" w:cs="Arial"/>
          <w:lang w:eastAsia="es-ES" w:bidi="es-ES"/>
        </w:rPr>
      </w:pPr>
      <w:r w:rsidRPr="005416E7">
        <w:rPr>
          <w:rFonts w:ascii="Verdana" w:eastAsia="Arial" w:hAnsi="Verdana" w:cs="Arial"/>
          <w:lang w:eastAsia="es-ES" w:bidi="es-ES"/>
        </w:rPr>
        <w:t>De igual manera, mediante auto del 6 de noviembre de 2025, el Consejo de Estado, Subsección A de la Sección Tercera, decretó</w:t>
      </w:r>
      <w:r w:rsidRPr="005416E7">
        <w:rPr>
          <w:rFonts w:ascii="Verdana" w:eastAsia="Arial" w:hAnsi="Verdana" w:cs="Arial"/>
          <w:b/>
          <w:bCs/>
          <w:lang w:eastAsia="es-ES" w:bidi="es-ES"/>
        </w:rPr>
        <w:t xml:space="preserve"> </w:t>
      </w:r>
      <w:r w:rsidRPr="005416E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5416E7">
        <w:rPr>
          <w:rFonts w:ascii="Verdana" w:eastAsia="Arial" w:hAnsi="Verdana" w:cs="Arial"/>
          <w:vertAlign w:val="superscript"/>
          <w:lang w:eastAsia="es-ES" w:bidi="es-ES"/>
        </w:rPr>
        <w:footnoteReference w:id="14"/>
      </w:r>
      <w:r w:rsidRPr="005416E7">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9BC5842" w14:textId="77777777" w:rsidR="00481562" w:rsidRPr="005416E7" w:rsidRDefault="00481562" w:rsidP="00481562">
      <w:pPr>
        <w:spacing w:after="120" w:line="276" w:lineRule="auto"/>
        <w:ind w:firstLine="709"/>
        <w:jc w:val="both"/>
        <w:rPr>
          <w:rFonts w:ascii="Verdana" w:eastAsia="Times New Roman" w:hAnsi="Verdana" w:cs="Times New Roman"/>
          <w:lang w:eastAsia="es-ES"/>
        </w:rPr>
      </w:pPr>
      <w:r w:rsidRPr="005416E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5416E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992D4D6" w14:textId="77777777" w:rsidR="00481562" w:rsidRPr="005416E7" w:rsidRDefault="00481562" w:rsidP="00481562">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w:t>
      </w:r>
      <w:r w:rsidRPr="005416E7">
        <w:rPr>
          <w:rFonts w:ascii="Verdana" w:eastAsia="Times New Roman" w:hAnsi="Verdana" w:cs="Times New Roman"/>
          <w:lang w:eastAsia="es-ES"/>
        </w:rPr>
        <w:lastRenderedPageBreak/>
        <w:t>Garantías Electorales solo previó para convenios, cuando no es posible aplicar por analogía o extensión una norma que establece prohibiciones</w:t>
      </w:r>
      <w:r w:rsidRPr="005416E7">
        <w:rPr>
          <w:rStyle w:val="Refdenotaalpie"/>
          <w:rFonts w:ascii="Verdana" w:eastAsia="Times New Roman" w:hAnsi="Verdana" w:cs="Times New Roman"/>
          <w:lang w:eastAsia="es-ES"/>
        </w:rPr>
        <w:footnoteReference w:id="15"/>
      </w:r>
      <w:r w:rsidRPr="005416E7">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r>
        <w:rPr>
          <w:rFonts w:ascii="Verdana" w:eastAsia="Times New Roman" w:hAnsi="Verdana" w:cs="Times New Roman"/>
          <w:lang w:eastAsia="es-ES"/>
        </w:rPr>
        <w:t xml:space="preserve"> </w:t>
      </w:r>
      <w:r w:rsidRPr="005416E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0FBEF22" w14:textId="77777777" w:rsidR="00481562" w:rsidRDefault="00481562" w:rsidP="00481562">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w:t>
      </w:r>
      <w:r w:rsidRPr="005416E7">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5416E7">
        <w:rPr>
          <w:rFonts w:ascii="Verdana" w:eastAsia="Times New Roman" w:hAnsi="Verdana" w:cs="Arial"/>
          <w:i/>
          <w:iCs/>
          <w:lang w:eastAsia="es-CO"/>
        </w:rPr>
        <w:t>contratos interadministrativos</w:t>
      </w:r>
      <w:r w:rsidRPr="005416E7">
        <w:rPr>
          <w:rFonts w:ascii="Verdana" w:eastAsia="Times New Roman" w:hAnsi="Verdana" w:cs="Arial"/>
          <w:lang w:eastAsia="es-CO"/>
        </w:rPr>
        <w:t>, esta prohibición solo aplicaría a los convenios interadministrativos que impliquen la ejecución de recursos públicos</w:t>
      </w:r>
      <w:r w:rsidRPr="005416E7">
        <w:rPr>
          <w:rStyle w:val="Refdenotaalpie"/>
          <w:rFonts w:ascii="Verdana" w:eastAsia="Times New Roman" w:hAnsi="Verdana" w:cs="Arial"/>
          <w:lang w:eastAsia="es-CO"/>
        </w:rPr>
        <w:footnoteReference w:id="16"/>
      </w:r>
      <w:r w:rsidRPr="005416E7">
        <w:rPr>
          <w:rFonts w:ascii="Verdana" w:eastAsia="Times New Roman" w:hAnsi="Verdana" w:cs="Arial"/>
          <w:lang w:eastAsia="es-CO"/>
        </w:rPr>
        <w:t>.</w:t>
      </w:r>
    </w:p>
    <w:p w14:paraId="7C11B993" w14:textId="77777777" w:rsidR="00481562" w:rsidRDefault="00481562" w:rsidP="00481562">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Con todo, en aras de responder de manera precisa al objeto de la consulta, es necesario tener en cuenta que, el ordenamiento jurídico dispone que la modalidad aplicable para la celebración de convenios interadministrativos es la contratación directa, conforme expresamente lo dispone el artículo </w:t>
      </w:r>
      <w:r w:rsidRPr="00C53B15">
        <w:rPr>
          <w:rFonts w:ascii="Verdana" w:eastAsia="Times New Roman" w:hAnsi="Verdana" w:cs="Arial"/>
          <w:lang w:eastAsia="es-CO"/>
        </w:rPr>
        <w:t>2.2.1.2.1.4.4.</w:t>
      </w:r>
      <w:r>
        <w:rPr>
          <w:rFonts w:ascii="Verdana" w:eastAsia="Times New Roman" w:hAnsi="Verdana" w:cs="Arial"/>
          <w:lang w:eastAsia="es-CO"/>
        </w:rPr>
        <w:t xml:space="preserve"> del Decreto 1082 de 2015</w:t>
      </w:r>
      <w:r>
        <w:rPr>
          <w:rStyle w:val="Refdenotaalpie"/>
          <w:rFonts w:ascii="Verdana" w:eastAsia="Times New Roman" w:hAnsi="Verdana" w:cs="Arial"/>
          <w:lang w:eastAsia="es-CO"/>
        </w:rPr>
        <w:footnoteReference w:id="17"/>
      </w:r>
      <w:r>
        <w:rPr>
          <w:rFonts w:ascii="Verdana" w:eastAsia="Times New Roman" w:hAnsi="Verdana" w:cs="Arial"/>
          <w:lang w:eastAsia="es-CO"/>
        </w:rPr>
        <w:t xml:space="preserve">. Esto resulta particularmente </w:t>
      </w:r>
      <w:r>
        <w:rPr>
          <w:rFonts w:ascii="Verdana" w:eastAsia="Times New Roman" w:hAnsi="Verdana" w:cs="Arial"/>
          <w:lang w:eastAsia="es-CO"/>
        </w:rPr>
        <w:lastRenderedPageBreak/>
        <w:t xml:space="preserve">relevante para el particular, ya que, si bien los </w:t>
      </w:r>
      <w:r w:rsidRPr="00BD4175">
        <w:rPr>
          <w:rFonts w:ascii="Verdana" w:eastAsia="Times New Roman" w:hAnsi="Verdana" w:cs="Arial"/>
          <w:i/>
          <w:iCs/>
          <w:lang w:eastAsia="es-CO"/>
        </w:rPr>
        <w:t xml:space="preserve">convenios interadministrativos a </w:t>
      </w:r>
      <w:r w:rsidRPr="005259F2">
        <w:rPr>
          <w:rFonts w:ascii="Verdana" w:eastAsia="Times New Roman" w:hAnsi="Verdana" w:cs="Arial"/>
          <w:i/>
          <w:iCs/>
          <w:lang w:eastAsia="es-CO"/>
        </w:rPr>
        <w:t>título</w:t>
      </w:r>
      <w:r w:rsidRPr="00BD4175">
        <w:rPr>
          <w:rFonts w:ascii="Verdana" w:eastAsia="Times New Roman" w:hAnsi="Verdana" w:cs="Arial"/>
          <w:i/>
          <w:iCs/>
          <w:lang w:eastAsia="es-CO"/>
        </w:rPr>
        <w:t xml:space="preserve"> gratuito</w:t>
      </w:r>
      <w:r>
        <w:rPr>
          <w:rFonts w:ascii="Verdana" w:eastAsia="Times New Roman" w:hAnsi="Verdana" w:cs="Arial"/>
          <w:lang w:eastAsia="es-CO"/>
        </w:rPr>
        <w:t xml:space="preserve">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4F092E84" w14:textId="77777777" w:rsidR="00481562" w:rsidRDefault="00481562" w:rsidP="00481562">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atención a esto, si bien, en principio, resulta viable celebrar de manera directa un </w:t>
      </w:r>
      <w:r w:rsidRPr="00D76834">
        <w:rPr>
          <w:rFonts w:ascii="Verdana" w:eastAsia="Times New Roman" w:hAnsi="Verdana" w:cs="Arial"/>
          <w:i/>
          <w:iCs/>
          <w:lang w:eastAsia="es-CO"/>
        </w:rPr>
        <w:t xml:space="preserve">convenio interadministrativo a título gratuito </w:t>
      </w:r>
      <w:r>
        <w:rPr>
          <w:rFonts w:ascii="Verdana" w:eastAsia="Times New Roman" w:hAnsi="Verdana" w:cs="Arial"/>
          <w:lang w:eastAsia="es-CO"/>
        </w:rPr>
        <w:t xml:space="preserve">en vigencia de la restricción del artículo 38, esto no resulta válido cuando esté en vigencia la prohibición del artículo 33, ya que esta aplica de manera de manera general a la contratación directa y no contempla excepciones para convenio a </w:t>
      </w:r>
      <w:proofErr w:type="spellStart"/>
      <w:r>
        <w:rPr>
          <w:rFonts w:ascii="Verdana" w:eastAsia="Times New Roman" w:hAnsi="Verdana" w:cs="Arial"/>
          <w:lang w:eastAsia="es-CO"/>
        </w:rPr>
        <w:t>titulo</w:t>
      </w:r>
      <w:proofErr w:type="spellEnd"/>
      <w:r>
        <w:rPr>
          <w:rFonts w:ascii="Verdana" w:eastAsia="Times New Roman" w:hAnsi="Verdana" w:cs="Arial"/>
          <w:lang w:eastAsia="es-CO"/>
        </w:rPr>
        <w:t xml:space="preserve"> gratuito. En ese orden, una vez entrada en vigor la restricción del artículo 33 de la Ley 996 de 2005, solo resulta jurídicamente viable celebrar </w:t>
      </w:r>
      <w:r w:rsidRPr="00BD4175">
        <w:rPr>
          <w:rFonts w:ascii="Verdana" w:eastAsia="Times New Roman" w:hAnsi="Verdana" w:cs="Arial"/>
          <w:i/>
          <w:iCs/>
          <w:lang w:eastAsia="es-CO"/>
        </w:rPr>
        <w:t>convenios interadministrativos a título gratuito</w:t>
      </w:r>
      <w:r>
        <w:rPr>
          <w:rFonts w:ascii="Verdana" w:eastAsia="Times New Roman" w:hAnsi="Verdana" w:cs="Arial"/>
          <w:lang w:eastAsia="es-CO"/>
        </w:rPr>
        <w:t xml:space="preserve">, si respecto de estos se configura alguna de las excepciones establecidas en dicha disposición.  </w:t>
      </w:r>
    </w:p>
    <w:p w14:paraId="2E4A705F" w14:textId="77777777" w:rsidR="00481562" w:rsidRDefault="00481562" w:rsidP="00481562">
      <w:pPr>
        <w:spacing w:after="0" w:line="276" w:lineRule="auto"/>
        <w:ind w:firstLine="709"/>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78C5ADFF" w14:textId="77777777" w:rsidR="00481562" w:rsidRDefault="00481562" w:rsidP="00481562">
      <w:pPr>
        <w:spacing w:after="0" w:line="276" w:lineRule="auto"/>
        <w:ind w:firstLine="709"/>
        <w:jc w:val="both"/>
        <w:rPr>
          <w:rFonts w:ascii="Verdana" w:eastAsia="Times New Roman" w:hAnsi="Verdana" w:cs="Times New Roman"/>
          <w:lang w:eastAsia="es-ES"/>
        </w:rPr>
      </w:pPr>
    </w:p>
    <w:p w14:paraId="52B10666" w14:textId="77777777" w:rsidR="00481562" w:rsidRDefault="00481562" w:rsidP="00481562">
      <w:pPr>
        <w:spacing w:after="0" w:line="276" w:lineRule="auto"/>
        <w:ind w:firstLine="709"/>
        <w:jc w:val="both"/>
        <w:rPr>
          <w:rFonts w:ascii="Verdana" w:eastAsia="Times New Roman" w:hAnsi="Verdana" w:cs="Times New Roman"/>
          <w:lang w:eastAsia="es-ES"/>
        </w:rPr>
      </w:pPr>
    </w:p>
    <w:p w14:paraId="6C4F4D25" w14:textId="77777777" w:rsidR="00481562" w:rsidRDefault="00481562" w:rsidP="00481562">
      <w:pPr>
        <w:spacing w:after="0" w:line="276" w:lineRule="auto"/>
        <w:ind w:firstLine="709"/>
        <w:jc w:val="both"/>
        <w:rPr>
          <w:rFonts w:ascii="Verdana" w:eastAsia="Times New Roman" w:hAnsi="Verdana" w:cs="Times New Roman"/>
          <w:lang w:eastAsia="es-ES"/>
        </w:rPr>
      </w:pPr>
    </w:p>
    <w:p w14:paraId="394F7955" w14:textId="77777777" w:rsidR="00481562" w:rsidRDefault="00481562" w:rsidP="00481562">
      <w:pPr>
        <w:spacing w:after="0" w:line="276" w:lineRule="auto"/>
        <w:ind w:firstLine="709"/>
        <w:jc w:val="both"/>
        <w:rPr>
          <w:rFonts w:ascii="Verdana" w:eastAsia="Times New Roman" w:hAnsi="Verdana" w:cs="Times New Roman"/>
          <w:lang w:eastAsia="es-ES"/>
        </w:rPr>
      </w:pPr>
    </w:p>
    <w:p w14:paraId="38EE7324" w14:textId="77777777" w:rsidR="00481562" w:rsidRDefault="00481562" w:rsidP="00481562">
      <w:pPr>
        <w:spacing w:after="0" w:line="276" w:lineRule="auto"/>
        <w:ind w:firstLine="709"/>
        <w:jc w:val="both"/>
        <w:rPr>
          <w:rFonts w:ascii="Verdana" w:eastAsia="Times New Roman" w:hAnsi="Verdana" w:cs="Times New Roman"/>
          <w:lang w:eastAsia="es-ES"/>
        </w:rPr>
      </w:pPr>
    </w:p>
    <w:p w14:paraId="2EC40DF0" w14:textId="77777777" w:rsidR="00481562" w:rsidRDefault="00481562" w:rsidP="00481562">
      <w:pPr>
        <w:spacing w:after="0" w:line="276" w:lineRule="auto"/>
        <w:ind w:firstLine="709"/>
        <w:jc w:val="both"/>
        <w:rPr>
          <w:rFonts w:ascii="Verdana" w:eastAsia="Times New Roman" w:hAnsi="Verdana" w:cs="Times New Roman"/>
          <w:lang w:eastAsia="es-ES"/>
        </w:rPr>
      </w:pPr>
    </w:p>
    <w:p w14:paraId="32576C35" w14:textId="77777777" w:rsidR="00481562" w:rsidRDefault="00481562" w:rsidP="00481562">
      <w:pPr>
        <w:spacing w:after="0" w:line="276" w:lineRule="auto"/>
        <w:ind w:firstLine="709"/>
        <w:jc w:val="both"/>
        <w:rPr>
          <w:rFonts w:ascii="Verdana" w:eastAsia="Times New Roman" w:hAnsi="Verdana" w:cs="Times New Roman"/>
          <w:lang w:eastAsia="es-ES"/>
        </w:rPr>
      </w:pPr>
    </w:p>
    <w:p w14:paraId="5EDEF3AF" w14:textId="77777777" w:rsidR="00481562" w:rsidRDefault="00481562" w:rsidP="00481562">
      <w:pPr>
        <w:spacing w:after="0" w:line="276" w:lineRule="auto"/>
        <w:ind w:firstLine="709"/>
        <w:jc w:val="both"/>
        <w:rPr>
          <w:rFonts w:ascii="Verdana" w:eastAsia="Times New Roman" w:hAnsi="Verdana" w:cs="Times New Roman"/>
          <w:lang w:eastAsia="es-ES"/>
        </w:rPr>
      </w:pPr>
    </w:p>
    <w:p w14:paraId="2A3776E3" w14:textId="77777777" w:rsidR="00481562" w:rsidRPr="00230FF9" w:rsidRDefault="00481562" w:rsidP="00481562">
      <w:pPr>
        <w:spacing w:after="0" w:line="276" w:lineRule="auto"/>
        <w:ind w:firstLine="709"/>
        <w:jc w:val="both"/>
        <w:rPr>
          <w:rFonts w:ascii="Verdana" w:eastAsia="Times New Roman" w:hAnsi="Verdana" w:cs="Times New Roman"/>
          <w:lang w:eastAsia="es-ES"/>
        </w:rPr>
      </w:pPr>
    </w:p>
    <w:p w14:paraId="2CD8B50A" w14:textId="77777777" w:rsidR="00481562" w:rsidRDefault="00481562" w:rsidP="00481562">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0A5FA8E" w14:textId="77777777" w:rsidR="00481562" w:rsidRPr="00144EB3" w:rsidRDefault="00481562" w:rsidP="0048156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1562" w:rsidRPr="00144EB3" w14:paraId="609E6CD9" w14:textId="77777777" w:rsidTr="006678BC">
        <w:trPr>
          <w:trHeight w:val="2683"/>
        </w:trPr>
        <w:tc>
          <w:tcPr>
            <w:tcW w:w="8647" w:type="dxa"/>
          </w:tcPr>
          <w:p w14:paraId="4A89DCB9"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Constitución Política de Colombia. Artículo 127.</w:t>
            </w:r>
          </w:p>
          <w:p w14:paraId="25E57575"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bCs/>
                <w:lang w:val="es-ES" w:eastAsia="es-ES" w:bidi="es-ES"/>
              </w:rPr>
              <w:t>Ley 996 de 2005. Artículos 33 y 38.</w:t>
            </w:r>
          </w:p>
          <w:p w14:paraId="6ED7D195"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val="es-ES" w:eastAsia="es-MX"/>
              </w:rPr>
              <w:t xml:space="preserve">Ley 1150 de 2007. </w:t>
            </w:r>
            <w:r w:rsidRPr="00F72EC9">
              <w:rPr>
                <w:rFonts w:ascii="Verdana" w:eastAsia="Arial MT" w:hAnsi="Verdana" w:cs="Arial"/>
                <w:lang w:val="es-ES" w:eastAsia="es-ES" w:bidi="es-ES"/>
              </w:rPr>
              <w:t xml:space="preserve">Artículo 2, numeral 4. </w:t>
            </w:r>
          </w:p>
          <w:p w14:paraId="6890374A"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eastAsia="es-ES"/>
              </w:rPr>
              <w:t>Ley 1437 de 2011. Artículo 28.</w:t>
            </w:r>
          </w:p>
          <w:p w14:paraId="7FA5FCF4"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Corte Constitucional. Sentencia C- 1153 de 2005. M.P. Marco Gerardo Monroy Cabra.</w:t>
            </w:r>
          </w:p>
          <w:p w14:paraId="1DE60C23" w14:textId="77777777" w:rsidR="00481562"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 xml:space="preserve">Consejo de Estado. Sala de lo Contencioso Administrativo. Sección Primera. Sentencia del 3 de marzo de 2005, </w:t>
            </w:r>
            <w:proofErr w:type="spellStart"/>
            <w:r w:rsidRPr="00F72EC9">
              <w:rPr>
                <w:rFonts w:ascii="Verdana" w:eastAsia="Arial MT" w:hAnsi="Verdana" w:cs="Arial"/>
                <w:lang w:val="es-ES" w:eastAsia="es-ES" w:bidi="es-ES"/>
              </w:rPr>
              <w:t>Exp</w:t>
            </w:r>
            <w:proofErr w:type="spellEnd"/>
            <w:r w:rsidRPr="00F72EC9">
              <w:rPr>
                <w:rFonts w:ascii="Verdana" w:eastAsia="Arial MT" w:hAnsi="Verdana" w:cs="Arial"/>
                <w:lang w:val="es-ES" w:eastAsia="es-ES" w:bidi="es-ES"/>
              </w:rPr>
              <w:t>. 2004-00823-01(PI).</w:t>
            </w:r>
          </w:p>
          <w:p w14:paraId="1D6C58FC" w14:textId="77777777" w:rsidR="00481562" w:rsidRPr="004746CB" w:rsidRDefault="00481562" w:rsidP="00481562">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9D57B7">
              <w:rPr>
                <w:rFonts w:ascii="Verdana" w:eastAsia="Arial MT" w:hAnsi="Verdana" w:cs="Arial"/>
                <w:lang w:val="es-ES" w:eastAsia="es-ES" w:bidi="es-ES"/>
              </w:rPr>
              <w:t>Consejo de Estado, Sala de Consulta y Servicio Civil, Concepto de fecha 24 de julio de 2013, Rad. 2166, C. P. Álvaro Namén Vargas</w:t>
            </w:r>
          </w:p>
        </w:tc>
      </w:tr>
    </w:tbl>
    <w:p w14:paraId="38C2AE9A" w14:textId="77777777" w:rsidR="00481562" w:rsidRPr="00144EB3" w:rsidRDefault="00481562" w:rsidP="00481562">
      <w:pPr>
        <w:widowControl w:val="0"/>
        <w:autoSpaceDE w:val="0"/>
        <w:autoSpaceDN w:val="0"/>
        <w:spacing w:after="0" w:line="276" w:lineRule="auto"/>
        <w:jc w:val="both"/>
        <w:rPr>
          <w:rFonts w:ascii="Verdana" w:hAnsi="Verdana" w:cs="Arial"/>
          <w:color w:val="ED7D31" w:themeColor="accent2"/>
          <w:lang w:val="es-ES"/>
        </w:rPr>
      </w:pPr>
    </w:p>
    <w:p w14:paraId="1FB127C2" w14:textId="77777777" w:rsidR="00481562" w:rsidRPr="00144EB3" w:rsidRDefault="00481562" w:rsidP="00481562">
      <w:pPr>
        <w:spacing w:after="0" w:line="276" w:lineRule="auto"/>
        <w:jc w:val="both"/>
        <w:rPr>
          <w:rFonts w:ascii="Verdana" w:eastAsia="Aptos" w:hAnsi="Verdana" w:cs="Arial"/>
          <w:b/>
          <w:bCs/>
          <w:shd w:val="clear" w:color="auto" w:fill="FFFFFF"/>
        </w:rPr>
      </w:pPr>
    </w:p>
    <w:p w14:paraId="6A4F00D6" w14:textId="77777777" w:rsidR="00481562" w:rsidRDefault="00481562" w:rsidP="00481562">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73DFF6E4" w14:textId="77777777" w:rsidR="00481562" w:rsidRPr="00144EB3" w:rsidRDefault="00481562" w:rsidP="00481562">
      <w:pPr>
        <w:spacing w:after="0" w:line="276" w:lineRule="auto"/>
        <w:jc w:val="both"/>
        <w:rPr>
          <w:rFonts w:ascii="Verdana" w:eastAsia="Aptos" w:hAnsi="Verdana" w:cs="Arial"/>
          <w:b/>
          <w:bCs/>
          <w:shd w:val="clear" w:color="auto" w:fill="FFFFFF"/>
        </w:rPr>
      </w:pPr>
    </w:p>
    <w:p w14:paraId="720F9145" w14:textId="77777777" w:rsidR="00481562" w:rsidRPr="009233BB" w:rsidRDefault="00481562" w:rsidP="00481562">
      <w:pPr>
        <w:spacing w:after="0" w:line="276" w:lineRule="auto"/>
        <w:jc w:val="both"/>
        <w:rPr>
          <w:rFonts w:ascii="Verdana" w:hAnsi="Verdana"/>
          <w:color w:val="ED7D31" w:themeColor="accent2"/>
          <w:lang w:val="es-ES"/>
        </w:rPr>
      </w:pPr>
      <w:r w:rsidRPr="00351A60">
        <w:rPr>
          <w:rFonts w:ascii="Verdana" w:eastAsia="Calibri" w:hAnsi="Verdana" w:cs="Arial"/>
          <w:lang w:val="es-ES"/>
        </w:rPr>
        <w:t xml:space="preserve">La Agencia Nacional de Contratación Pública – Colombia Compra Eficiente se ha referido </w:t>
      </w:r>
      <w:r w:rsidRPr="00351A60">
        <w:rPr>
          <w:rFonts w:ascii="Verdana" w:hAnsi="Verdana" w:cs="Arial"/>
          <w:shd w:val="clear" w:color="auto" w:fill="FFFFFF"/>
          <w:lang w:val="es-ES"/>
        </w:rPr>
        <w:t xml:space="preserve">sobre la Ley de Garantías Electorales en los conceptos con radicado </w:t>
      </w:r>
      <w:r>
        <w:rPr>
          <w:rFonts w:ascii="Verdana" w:eastAsia="Calibri" w:hAnsi="Verdana" w:cs="Arial"/>
          <w:lang w:val="es-ES_tradnl" w:eastAsia="es-ES_tradnl"/>
        </w:rPr>
        <w:t xml:space="preserve">número </w:t>
      </w:r>
      <w:r w:rsidRPr="009375B1">
        <w:rPr>
          <w:rFonts w:ascii="Verdana" w:eastAsia="Calibri" w:hAnsi="Verdana" w:cs="Arial"/>
          <w:lang w:val="es-ES_tradnl" w:eastAsia="es-ES_tradnl"/>
        </w:rPr>
        <w:t>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C-068 del 9 de marzo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C-40 del 22 de marzo de 2023</w:t>
      </w:r>
      <w:r>
        <w:rPr>
          <w:rFonts w:ascii="Verdana" w:eastAsia="Calibri" w:hAnsi="Verdana" w:cs="Arial"/>
          <w:lang w:val="es-ES_tradnl" w:eastAsia="es-ES_tradnl"/>
        </w:rPr>
        <w:t>, C-317 del 25 de abril de 2025</w:t>
      </w:r>
      <w:r>
        <w:rPr>
          <w:rFonts w:ascii="Verdana" w:eastAsia="Calibri" w:hAnsi="Verdana" w:cs="Arial"/>
          <w:lang w:val="es-ES_tradnl" w:eastAsia="es-ES"/>
        </w:rPr>
        <w:t>, C-1675 del 23 de diciembre de 2025, C-1739 del 23 de diciembre de 2025 y C-1775 del 31 de diciembre de 2025, entre otros.</w:t>
      </w:r>
      <w:r>
        <w:rPr>
          <w:rFonts w:ascii="Verdana" w:hAnsi="Verdana" w:cs="Arial"/>
          <w:shd w:val="clear" w:color="auto" w:fill="FFFFFF"/>
          <w:lang w:val="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2" w:history="1">
        <w:r w:rsidRPr="00B8716D">
          <w:rPr>
            <w:rStyle w:val="Hipervnculo"/>
            <w:rFonts w:ascii="Verdana" w:hAnsi="Verdana" w:cs="Arial"/>
            <w:shd w:val="clear" w:color="auto" w:fill="FFFFFF"/>
            <w:lang w:val="es-ES"/>
          </w:rPr>
          <w:t>https://relatoria.colombiacompra.gov.co/busqueda/conceptos</w:t>
        </w:r>
      </w:hyperlink>
    </w:p>
    <w:p w14:paraId="5A44FB6D" w14:textId="77777777" w:rsidR="00481562" w:rsidRPr="00210CE9" w:rsidRDefault="00481562" w:rsidP="00481562">
      <w:pPr>
        <w:spacing w:after="0" w:line="276" w:lineRule="auto"/>
        <w:jc w:val="both"/>
        <w:rPr>
          <w:rFonts w:ascii="Verdana" w:eastAsia="Aptos" w:hAnsi="Verdana" w:cs="Arial"/>
          <w:b/>
          <w:bCs/>
          <w:shd w:val="clear" w:color="auto" w:fill="FFFFFF"/>
          <w:lang w:val="es-ES"/>
        </w:rPr>
      </w:pPr>
    </w:p>
    <w:p w14:paraId="236E6C13"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xml:space="preserve">, una herramienta clave para fortalecer las capacidades de todos los compradores públicos, proveedores, servidores públicos v para generar </w:t>
      </w:r>
      <w:r w:rsidRPr="00144EB3">
        <w:rPr>
          <w:rFonts w:ascii="Verdana" w:eastAsia="Calibri" w:hAnsi="Verdana" w:cs="Arial"/>
        </w:rPr>
        <w:lastRenderedPageBreak/>
        <w:t>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5E34E8D2" w14:textId="77777777" w:rsidR="00481562" w:rsidRDefault="00481562" w:rsidP="00481562">
      <w:pPr>
        <w:spacing w:after="0" w:line="240" w:lineRule="auto"/>
        <w:jc w:val="both"/>
        <w:rPr>
          <w:rFonts w:ascii="Verdana" w:eastAsia="Calibri" w:hAnsi="Verdana" w:cs="Arial"/>
        </w:rPr>
      </w:pPr>
    </w:p>
    <w:p w14:paraId="2ED4AAEA"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2FAD98B1" w14:textId="77777777" w:rsidR="00481562" w:rsidRPr="00144EB3" w:rsidRDefault="00481562" w:rsidP="00481562">
      <w:pPr>
        <w:spacing w:after="0" w:line="240" w:lineRule="auto"/>
        <w:jc w:val="both"/>
        <w:rPr>
          <w:rFonts w:ascii="Verdana" w:eastAsia="Calibri" w:hAnsi="Verdana" w:cs="Arial"/>
        </w:rPr>
      </w:pPr>
    </w:p>
    <w:p w14:paraId="31C7954B"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50B733AA"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1F45DD4C" w14:textId="77777777" w:rsidR="00481562" w:rsidRPr="00144EB3" w:rsidRDefault="00481562" w:rsidP="00481562">
      <w:pPr>
        <w:spacing w:after="0" w:line="240" w:lineRule="auto"/>
        <w:jc w:val="both"/>
        <w:rPr>
          <w:rFonts w:ascii="Verdana" w:eastAsia="Calibri" w:hAnsi="Verdana" w:cs="Arial"/>
          <w:shd w:val="clear" w:color="auto" w:fill="FFFFFF"/>
        </w:rPr>
      </w:pPr>
    </w:p>
    <w:p w14:paraId="56476C99"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0D1E0812"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54284FE3" w14:textId="77777777" w:rsidR="00481562" w:rsidRPr="00144EB3" w:rsidRDefault="00481562" w:rsidP="00481562">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298D9DE5"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38EF1948" w14:textId="77777777" w:rsidR="00481562" w:rsidRPr="00144EB3" w:rsidRDefault="00481562" w:rsidP="00481562">
      <w:pPr>
        <w:widowControl w:val="0"/>
        <w:autoSpaceDE w:val="0"/>
        <w:autoSpaceDN w:val="0"/>
        <w:spacing w:after="0" w:line="240" w:lineRule="auto"/>
        <w:jc w:val="both"/>
        <w:rPr>
          <w:rFonts w:ascii="Verdana" w:eastAsia="Calibri" w:hAnsi="Verdana" w:cs="Arial"/>
          <w:lang w:val="es-ES"/>
        </w:rPr>
      </w:pPr>
    </w:p>
    <w:p w14:paraId="47A9B6BF" w14:textId="77777777" w:rsidR="00481562" w:rsidRPr="00144EB3" w:rsidRDefault="00481562" w:rsidP="00481562">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D4A430" w14:textId="77777777" w:rsidR="00481562" w:rsidRPr="00144EB3" w:rsidRDefault="00481562" w:rsidP="00481562">
      <w:pPr>
        <w:spacing w:after="0" w:line="240" w:lineRule="auto"/>
        <w:jc w:val="both"/>
        <w:rPr>
          <w:rFonts w:ascii="Verdana" w:eastAsia="Verdana" w:hAnsi="Verdana" w:cs="Verdana"/>
        </w:rPr>
      </w:pPr>
    </w:p>
    <w:p w14:paraId="7CABA75E" w14:textId="77777777" w:rsidR="00481562" w:rsidRPr="00144EB3" w:rsidRDefault="00481562" w:rsidP="00481562">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6040AA7F" w14:textId="77777777" w:rsidR="00481562" w:rsidRPr="00144EB3" w:rsidRDefault="00481562" w:rsidP="00481562">
      <w:pPr>
        <w:spacing w:after="0" w:line="240" w:lineRule="auto"/>
        <w:rPr>
          <w:rFonts w:ascii="Verdana" w:eastAsia="Verdana" w:hAnsi="Verdana" w:cs="Verdana"/>
        </w:rPr>
      </w:pPr>
    </w:p>
    <w:p w14:paraId="2BD9B2F7" w14:textId="77777777" w:rsidR="00481562" w:rsidRPr="00144EB3" w:rsidRDefault="00481562" w:rsidP="00481562">
      <w:pPr>
        <w:spacing w:after="0" w:line="240" w:lineRule="auto"/>
        <w:jc w:val="both"/>
        <w:rPr>
          <w:rFonts w:ascii="Verdana" w:eastAsia="Verdana" w:hAnsi="Verdana" w:cs="Verdana"/>
          <w:lang w:val="es-MX"/>
        </w:rPr>
      </w:pPr>
      <w:r w:rsidRPr="00144EB3">
        <w:rPr>
          <w:rFonts w:ascii="Verdana" w:eastAsia="Verdana" w:hAnsi="Verdana" w:cs="Verdana"/>
          <w:lang w:val="es-MX"/>
        </w:rPr>
        <w:t>Cordialmente,</w:t>
      </w:r>
    </w:p>
    <w:p w14:paraId="59B365A0" w14:textId="59AB536C"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524E984B"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2C35680A"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17E5059A"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4814A0BD" w14:textId="4D67560F" w:rsidR="00481562" w:rsidRDefault="00647BA2" w:rsidP="00481562">
      <w:pPr>
        <w:spacing w:after="0" w:line="276" w:lineRule="auto"/>
        <w:jc w:val="center"/>
        <w:rPr>
          <w:rFonts w:ascii="Verdana" w:hAnsi="Verdana" w:cs="Arial"/>
          <w:lang w:val="es-ES" w:eastAsia="es-CO"/>
        </w:rPr>
      </w:pPr>
      <w:r w:rsidRPr="002C3AD6">
        <w:rPr>
          <w:rFonts w:ascii="Century Gothic" w:hAnsi="Century Gothic"/>
          <w:noProof/>
        </w:rPr>
        <w:drawing>
          <wp:inline distT="0" distB="0" distL="0" distR="0" wp14:anchorId="105D514C" wp14:editId="5567D628">
            <wp:extent cx="2771775" cy="10289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2794414" cy="1037320"/>
                    </a:xfrm>
                    <a:prstGeom prst="rect">
                      <a:avLst/>
                    </a:prstGeom>
                  </pic:spPr>
                </pic:pic>
              </a:graphicData>
            </a:graphic>
          </wp:inline>
        </w:drawing>
      </w:r>
    </w:p>
    <w:p w14:paraId="5A674A8D" w14:textId="77777777" w:rsidR="00481562" w:rsidRPr="008278B1" w:rsidRDefault="00481562" w:rsidP="0048156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1562" w:rsidRPr="008278B1" w14:paraId="221B63C2" w14:textId="77777777" w:rsidTr="006678BC">
        <w:trPr>
          <w:trHeight w:val="315"/>
        </w:trPr>
        <w:tc>
          <w:tcPr>
            <w:tcW w:w="893" w:type="dxa"/>
            <w:vAlign w:val="center"/>
            <w:hideMark/>
          </w:tcPr>
          <w:p w14:paraId="47A3DF89" w14:textId="77777777" w:rsidR="00481562" w:rsidRPr="008278B1" w:rsidRDefault="00481562" w:rsidP="006678BC">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4C35C37" w14:textId="77777777" w:rsidR="00481562" w:rsidRPr="00860461" w:rsidRDefault="00481562" w:rsidP="006678B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05B594D5" w14:textId="77777777" w:rsidR="00481562" w:rsidRPr="00860461" w:rsidRDefault="00481562" w:rsidP="006678B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481562" w:rsidRPr="00F84F36" w14:paraId="1DE038EC" w14:textId="77777777" w:rsidTr="006678BC">
        <w:trPr>
          <w:trHeight w:val="330"/>
        </w:trPr>
        <w:tc>
          <w:tcPr>
            <w:tcW w:w="893" w:type="dxa"/>
            <w:vAlign w:val="center"/>
            <w:hideMark/>
          </w:tcPr>
          <w:p w14:paraId="0FCEBBAF" w14:textId="77777777" w:rsidR="00481562" w:rsidRPr="0025661F" w:rsidRDefault="00481562" w:rsidP="006678BC">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02D084" w14:textId="77777777" w:rsidR="00481562" w:rsidRPr="00D62D2E" w:rsidRDefault="00481562" w:rsidP="006678BC">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4C06044F" w14:textId="77777777" w:rsidR="00481562" w:rsidRPr="0025661F" w:rsidRDefault="00481562" w:rsidP="006678BC">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481562" w:rsidRPr="00F84F36" w14:paraId="042A7DBC" w14:textId="77777777" w:rsidTr="006678BC">
        <w:trPr>
          <w:trHeight w:val="300"/>
        </w:trPr>
        <w:tc>
          <w:tcPr>
            <w:tcW w:w="893" w:type="dxa"/>
            <w:vAlign w:val="center"/>
          </w:tcPr>
          <w:p w14:paraId="3DF470A1" w14:textId="77777777" w:rsidR="00481562" w:rsidRPr="008278B1" w:rsidRDefault="00481562" w:rsidP="006678BC">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91A17C" w14:textId="77777777" w:rsidR="00481562" w:rsidRPr="008278B1" w:rsidRDefault="00481562" w:rsidP="006678B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EECF973" w14:textId="77777777" w:rsidR="00481562" w:rsidRPr="008278B1" w:rsidRDefault="00481562" w:rsidP="006678B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bookmarkEnd w:id="0"/>
    </w:tbl>
    <w:p w14:paraId="6D263750" w14:textId="143BEACC" w:rsidR="00481562" w:rsidRPr="00FD3EC3" w:rsidRDefault="00481562" w:rsidP="00481562">
      <w:pPr>
        <w:spacing w:after="0"/>
        <w:rPr>
          <w:rFonts w:ascii="Verdana" w:eastAsia="Verdana" w:hAnsi="Verdana" w:cs="Verdana"/>
          <w:lang w:val="es-ES"/>
        </w:rPr>
      </w:pPr>
    </w:p>
    <w:p w14:paraId="0F293BF4" w14:textId="73714AFD" w:rsidR="00127233" w:rsidRPr="00EF033E" w:rsidRDefault="00127233" w:rsidP="00EF033E"/>
    <w:sectPr w:rsidR="00127233" w:rsidRPr="00EF033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9F1AD" w14:textId="77777777" w:rsidR="00416EDB" w:rsidRDefault="00416EDB" w:rsidP="004A1847">
      <w:pPr>
        <w:spacing w:after="0" w:line="240" w:lineRule="auto"/>
      </w:pPr>
      <w:r>
        <w:separator/>
      </w:r>
    </w:p>
  </w:endnote>
  <w:endnote w:type="continuationSeparator" w:id="0">
    <w:p w14:paraId="78D3E481" w14:textId="77777777" w:rsidR="00416EDB" w:rsidRDefault="00416E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2661A" w14:textId="77777777" w:rsidR="00416EDB" w:rsidRDefault="00416EDB" w:rsidP="004A1847">
      <w:pPr>
        <w:spacing w:after="0" w:line="240" w:lineRule="auto"/>
      </w:pPr>
      <w:r>
        <w:separator/>
      </w:r>
    </w:p>
  </w:footnote>
  <w:footnote w:type="continuationSeparator" w:id="0">
    <w:p w14:paraId="4EFB70FE" w14:textId="77777777" w:rsidR="00416EDB" w:rsidRDefault="00416EDB" w:rsidP="004A1847">
      <w:pPr>
        <w:spacing w:after="0" w:line="240" w:lineRule="auto"/>
      </w:pPr>
      <w:r>
        <w:continuationSeparator/>
      </w:r>
    </w:p>
  </w:footnote>
  <w:footnote w:id="1">
    <w:p w14:paraId="50529134"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A99472B"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354BF6D7"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Gaceta del Congreso de la República No. 71 del 2005.</w:t>
      </w:r>
    </w:p>
  </w:footnote>
  <w:footnote w:id="3">
    <w:p w14:paraId="3E49751D" w14:textId="77777777" w:rsidR="00481562" w:rsidRPr="00C53B15" w:rsidRDefault="00481562" w:rsidP="00481562">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 C- 1153 de 2005, M.P. Marco Gerardo Monroy Cabra.</w:t>
      </w:r>
    </w:p>
  </w:footnote>
  <w:footnote w:id="4">
    <w:p w14:paraId="231EBFAA" w14:textId="77777777" w:rsidR="00481562" w:rsidRPr="00C53B15" w:rsidRDefault="00481562" w:rsidP="00481562">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DABA656" w14:textId="77777777" w:rsidR="00481562" w:rsidRPr="00C53B15" w:rsidRDefault="00481562" w:rsidP="00481562">
      <w:pPr>
        <w:pStyle w:val="Textonotapie"/>
        <w:ind w:firstLine="709"/>
        <w:contextualSpacing/>
        <w:jc w:val="both"/>
        <w:rPr>
          <w:rFonts w:ascii="Verdana" w:hAnsi="Verdana" w:cs="Arial"/>
          <w:sz w:val="16"/>
          <w:szCs w:val="16"/>
          <w:lang w:val="es-CO"/>
        </w:rPr>
      </w:pPr>
      <w:r w:rsidRPr="00C53B15">
        <w:rPr>
          <w:rStyle w:val="Refdenotaalpie"/>
          <w:rFonts w:ascii="Verdana" w:hAnsi="Verdana" w:cs="Arial"/>
          <w:sz w:val="16"/>
          <w:szCs w:val="16"/>
        </w:rPr>
        <w:footnoteRef/>
      </w:r>
      <w:r w:rsidRPr="00C53B1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D191951" w14:textId="77777777" w:rsidR="00481562" w:rsidRPr="00C53B15" w:rsidRDefault="00481562" w:rsidP="00481562">
      <w:pPr>
        <w:pStyle w:val="Textonotapie"/>
        <w:ind w:firstLine="708"/>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de fecha 24 de julio de 2013, Rad. 2166, C. P. Álvaro Namén Vargas.  </w:t>
      </w:r>
    </w:p>
  </w:footnote>
  <w:footnote w:id="7">
    <w:p w14:paraId="76ED1DCD" w14:textId="77777777" w:rsidR="00481562" w:rsidRPr="00C53B15" w:rsidRDefault="00481562" w:rsidP="00481562">
      <w:pPr>
        <w:spacing w:after="0" w:line="240" w:lineRule="auto"/>
        <w:ind w:firstLine="709"/>
        <w:contextualSpacing/>
        <w:jc w:val="both"/>
        <w:rPr>
          <w:rFonts w:ascii="Verdana" w:eastAsia="Times New Roman"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19D388A" w14:textId="77777777" w:rsidR="00481562" w:rsidRPr="00C53B15" w:rsidRDefault="00481562" w:rsidP="00481562">
      <w:pPr>
        <w:spacing w:after="0" w:line="240" w:lineRule="auto"/>
        <w:ind w:firstLine="709"/>
        <w:contextualSpacing/>
        <w:jc w:val="both"/>
        <w:rPr>
          <w:rFonts w:ascii="Verdana" w:eastAsia="Times New Roman" w:hAnsi="Verdana" w:cs="Arial"/>
          <w:sz w:val="16"/>
          <w:szCs w:val="16"/>
        </w:rPr>
      </w:pPr>
      <w:r w:rsidRPr="00C53B1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3B15">
        <w:rPr>
          <w:rFonts w:ascii="Verdana" w:eastAsia="Calibri" w:hAnsi="Verdana" w:cs="Arial"/>
          <w:color w:val="000000"/>
          <w:sz w:val="16"/>
          <w:szCs w:val="16"/>
        </w:rPr>
        <w:t>”</w:t>
      </w:r>
      <w:r w:rsidRPr="00C53B15">
        <w:rPr>
          <w:rFonts w:ascii="Verdana" w:eastAsia="Times New Roman" w:hAnsi="Verdana" w:cs="Arial"/>
          <w:sz w:val="16"/>
          <w:szCs w:val="16"/>
        </w:rPr>
        <w:t>.</w:t>
      </w:r>
    </w:p>
  </w:footnote>
  <w:footnote w:id="8">
    <w:p w14:paraId="078EAB60"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hAnsi="Verdana" w:cs="Arial"/>
          <w:sz w:val="16"/>
          <w:szCs w:val="16"/>
          <w:lang w:val="es-MX"/>
        </w:rPr>
        <w:t>Artículo 38. Prohibiciones para los servidores públicos. A los empleados del Estado les está prohibido: (…)</w:t>
      </w:r>
    </w:p>
    <w:p w14:paraId="07513FEC"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baj"/>
          <w:rFonts w:ascii="Verdana" w:hAnsi="Verdana" w:cs="Arial"/>
          <w:sz w:val="16"/>
          <w:szCs w:val="16"/>
          <w:lang w:val="es-MX"/>
        </w:rPr>
        <w:t>Parágrafo.</w:t>
      </w:r>
      <w:r w:rsidRPr="00C53B1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3B15">
        <w:rPr>
          <w:rFonts w:ascii="Verdana" w:eastAsia="Calibri" w:hAnsi="Verdana" w:cs="Arial"/>
          <w:color w:val="000000"/>
          <w:sz w:val="16"/>
          <w:szCs w:val="16"/>
        </w:rPr>
        <w:t>”</w:t>
      </w:r>
      <w:r w:rsidRPr="00C53B15">
        <w:rPr>
          <w:rFonts w:ascii="Verdana" w:hAnsi="Verdana" w:cs="Arial"/>
          <w:sz w:val="16"/>
          <w:szCs w:val="16"/>
          <w:lang w:val="es-MX"/>
        </w:rPr>
        <w:t>.</w:t>
      </w:r>
    </w:p>
    <w:p w14:paraId="530DE8A2"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57A27145" w14:textId="77777777" w:rsidR="00481562" w:rsidRPr="00C53B15" w:rsidRDefault="00481562" w:rsidP="00481562">
      <w:pPr>
        <w:spacing w:after="0" w:line="240" w:lineRule="auto"/>
        <w:ind w:left="100" w:right="244" w:firstLine="709"/>
        <w:contextualSpacing/>
        <w:jc w:val="both"/>
        <w:rPr>
          <w:rFonts w:ascii="Verdana" w:hAnsi="Verdana" w:cs="Arial"/>
          <w:sz w:val="16"/>
          <w:szCs w:val="16"/>
          <w:lang w:val="es-ES"/>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0DE04121"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hAnsi="Verdana" w:cs="Arial"/>
          <w:sz w:val="16"/>
          <w:szCs w:val="16"/>
        </w:rPr>
        <w:t>Consejo de Estado -Sección Tercera-. Sentencia del 21 de febrero de 2025. Radicación Número: 68.280. CP: José Roberto Sáchica Méndez.</w:t>
      </w:r>
    </w:p>
  </w:footnote>
  <w:footnote w:id="11">
    <w:p w14:paraId="6F2F5964"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sz w:val="16"/>
          <w:szCs w:val="16"/>
          <w:vertAlign w:val="superscript"/>
        </w:rPr>
        <w:t xml:space="preserve"> </w:t>
      </w:r>
      <w:r w:rsidRPr="00C53B1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06853955"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cs="Arial"/>
          <w:sz w:val="16"/>
          <w:szCs w:val="16"/>
          <w:vertAlign w:val="superscript"/>
        </w:rPr>
        <w:t xml:space="preserve"> </w:t>
      </w:r>
      <w:r w:rsidRPr="00C53B15">
        <w:rPr>
          <w:rFonts w:ascii="Verdana" w:hAnsi="Verdana" w:cs="Arial"/>
          <w:sz w:val="16"/>
          <w:szCs w:val="16"/>
        </w:rPr>
        <w:t>Ley 80 de 1993: “Artículo 41. Del perfeccionamiento del contrato. Los contratos del Estado se perfeccionan cuando se logre acuerdo sobre el objeto y la contraprestación y éste se eleve a escrito (…)”.</w:t>
      </w:r>
    </w:p>
  </w:footnote>
  <w:footnote w:id="13">
    <w:p w14:paraId="3FF529DA" w14:textId="77777777" w:rsidR="00481562" w:rsidRPr="00C53B15" w:rsidRDefault="00481562" w:rsidP="00481562">
      <w:pPr>
        <w:pStyle w:val="Textonotapie"/>
        <w:ind w:left="851" w:hanging="142"/>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lang w:val="es-CO"/>
        </w:rPr>
        <w:t xml:space="preserve"> Consejo de Estado, Sección Tercera. Auto del 4 de octubre de 2024. Exp. 70.313. C.P: Fredy Ibarra Martínez.</w:t>
      </w:r>
    </w:p>
  </w:footnote>
  <w:footnote w:id="14">
    <w:p w14:paraId="3B535DF9" w14:textId="77777777" w:rsidR="00481562" w:rsidRPr="00C53B15" w:rsidRDefault="00481562" w:rsidP="00481562">
      <w:pPr>
        <w:pStyle w:val="Textonotapie"/>
        <w:ind w:firstLine="709"/>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La parte resolutiva del auto dispone lo siguiente; “</w:t>
      </w:r>
      <w:r w:rsidRPr="00C53B15">
        <w:rPr>
          <w:rFonts w:ascii="Verdana" w:hAnsi="Verdana"/>
          <w:bCs/>
          <w:sz w:val="16"/>
          <w:szCs w:val="16"/>
          <w:lang w:val="es-CO"/>
        </w:rPr>
        <w:t>PRIMERO: DECRETAR la suspensión provisional de los apartes cuestionados del inciso segundo del numeral 16.2 de la Circular Externa</w:t>
      </w:r>
      <w:r w:rsidRPr="00C53B15">
        <w:rPr>
          <w:rFonts w:ascii="Verdana" w:hAnsi="Verdana"/>
          <w:sz w:val="16"/>
          <w:szCs w:val="16"/>
          <w:lang w:val="es-CO"/>
        </w:rPr>
        <w:t xml:space="preserve"> única, versión 3 del 27 de diciembre de 2023, expedida por la Agencia Nacional de Contratación Pública – Colombia Compra Eficiente, según el cual </w:t>
      </w:r>
      <w:r w:rsidRPr="00C53B1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53B15">
        <w:rPr>
          <w:rFonts w:ascii="Verdana" w:hAnsi="Verdana"/>
          <w:sz w:val="16"/>
          <w:szCs w:val="16"/>
          <w:lang w:val="es-CO"/>
        </w:rPr>
        <w:t xml:space="preserve">, por las razones expuestas en precedencia. </w:t>
      </w:r>
    </w:p>
    <w:p w14:paraId="0848E1C4" w14:textId="77777777" w:rsidR="00481562" w:rsidRPr="00C53B15" w:rsidRDefault="00481562" w:rsidP="00481562">
      <w:pPr>
        <w:pStyle w:val="Textonotapie"/>
        <w:ind w:firstLine="709"/>
        <w:contextualSpacing/>
        <w:jc w:val="both"/>
        <w:rPr>
          <w:rFonts w:ascii="Verdana" w:hAnsi="Verdana"/>
          <w:sz w:val="16"/>
          <w:szCs w:val="16"/>
          <w:lang w:val="es-CO"/>
        </w:rPr>
      </w:pPr>
      <w:r w:rsidRPr="00C53B15">
        <w:rPr>
          <w:rFonts w:ascii="Verdana" w:hAnsi="Verdana"/>
          <w:bCs/>
          <w:sz w:val="16"/>
          <w:szCs w:val="16"/>
          <w:lang w:val="es-CO"/>
        </w:rPr>
        <w:t>SEGUNDO: DECRETAR</w:t>
      </w:r>
      <w:r w:rsidRPr="00C53B15">
        <w:rPr>
          <w:rFonts w:ascii="Verdana" w:hAnsi="Verdana"/>
          <w:b/>
          <w:sz w:val="16"/>
          <w:szCs w:val="16"/>
          <w:lang w:val="es-CO"/>
        </w:rPr>
        <w:t xml:space="preserve"> </w:t>
      </w:r>
      <w:r w:rsidRPr="00C53B15">
        <w:rPr>
          <w:rFonts w:ascii="Verdana" w:hAnsi="Verdana"/>
          <w:sz w:val="16"/>
          <w:szCs w:val="16"/>
          <w:lang w:val="es-CO"/>
        </w:rPr>
        <w:t>la suspensión provisional de la expresión “</w:t>
      </w:r>
      <w:r w:rsidRPr="00C53B15">
        <w:rPr>
          <w:rFonts w:ascii="Verdana" w:hAnsi="Verdana"/>
          <w:i/>
          <w:sz w:val="16"/>
          <w:szCs w:val="16"/>
          <w:lang w:val="es-CO"/>
        </w:rPr>
        <w:t>contratos</w:t>
      </w:r>
      <w:r w:rsidRPr="00C53B15">
        <w:rPr>
          <w:rFonts w:ascii="Verdana" w:hAnsi="Verdana"/>
          <w:sz w:val="16"/>
          <w:szCs w:val="16"/>
          <w:lang w:val="es-CO"/>
        </w:rPr>
        <w:t xml:space="preserve">” y del párrafo </w:t>
      </w:r>
      <w:r w:rsidRPr="00C53B1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53B1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5">
    <w:p w14:paraId="6F09DA8A" w14:textId="77777777" w:rsidR="00481562" w:rsidRPr="00C53B15" w:rsidRDefault="00481562" w:rsidP="00481562">
      <w:pPr>
        <w:spacing w:after="0" w:line="240" w:lineRule="auto"/>
        <w:ind w:firstLine="709"/>
        <w:contextualSpacing/>
        <w:jc w:val="both"/>
        <w:rPr>
          <w:rFonts w:ascii="Verdana" w:eastAsia="Times New Roman" w:hAnsi="Verdana" w:cs="Times New Roman"/>
          <w:sz w:val="16"/>
          <w:szCs w:val="16"/>
          <w:lang w:eastAsia="es-ES"/>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53B15">
        <w:rPr>
          <w:rFonts w:ascii="Verdana" w:hAnsi="Verdana"/>
          <w:sz w:val="16"/>
          <w:szCs w:val="16"/>
        </w:rPr>
        <w:t xml:space="preserve">La parte de la providencia señala: </w:t>
      </w:r>
      <w:r w:rsidRPr="00C53B1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6811E521" w14:textId="77777777" w:rsidR="00481562" w:rsidRPr="00C53B15" w:rsidRDefault="00481562" w:rsidP="00481562">
      <w:pPr>
        <w:pStyle w:val="Textonotapie"/>
        <w:ind w:firstLine="709"/>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7">
    <w:p w14:paraId="11900CB7" w14:textId="77777777" w:rsidR="00481562" w:rsidRPr="00BD4175" w:rsidRDefault="00481562" w:rsidP="00481562">
      <w:pPr>
        <w:pStyle w:val="Textonotapie"/>
        <w:ind w:firstLine="708"/>
        <w:jc w:val="both"/>
        <w:rPr>
          <w:rFonts w:ascii="Verdana" w:hAnsi="Verdana"/>
          <w:sz w:val="16"/>
          <w:szCs w:val="16"/>
        </w:rPr>
      </w:pPr>
      <w:r w:rsidRPr="00BD4175">
        <w:rPr>
          <w:rStyle w:val="Refdenotaalpie"/>
          <w:rFonts w:ascii="Verdana" w:hAnsi="Verdana"/>
          <w:sz w:val="16"/>
          <w:szCs w:val="16"/>
        </w:rPr>
        <w:footnoteRef/>
      </w:r>
      <w:r w:rsidRPr="00BD4175">
        <w:rPr>
          <w:rFonts w:ascii="Verdana" w:hAnsi="Verdana"/>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E448745" w14:textId="77777777" w:rsidR="00481562" w:rsidRPr="00BD4175" w:rsidRDefault="00481562" w:rsidP="00481562">
      <w:pPr>
        <w:pStyle w:val="Textonotapie"/>
        <w:ind w:firstLine="708"/>
        <w:jc w:val="both"/>
        <w:rPr>
          <w:rFonts w:ascii="Verdana" w:hAnsi="Verdana"/>
          <w:sz w:val="16"/>
          <w:szCs w:val="16"/>
        </w:rPr>
      </w:pPr>
      <w:r w:rsidRPr="00BD4175">
        <w:rPr>
          <w:rFonts w:ascii="Verdana" w:hAnsi="Verdana"/>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r>
        <w:rPr>
          <w:rFonts w:ascii="Verdana" w:hAnsi="Verdana"/>
          <w:sz w:val="16"/>
          <w:szCs w:val="16"/>
        </w:rPr>
        <w:t>”</w:t>
      </w:r>
      <w:r w:rsidRPr="00BD4175">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1EBD8117"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DF8"/>
    <w:rsid w:val="00082362"/>
    <w:rsid w:val="000A683E"/>
    <w:rsid w:val="000B19B9"/>
    <w:rsid w:val="000D0334"/>
    <w:rsid w:val="000D5DA7"/>
    <w:rsid w:val="000F6486"/>
    <w:rsid w:val="00116940"/>
    <w:rsid w:val="00125105"/>
    <w:rsid w:val="00127233"/>
    <w:rsid w:val="0015699B"/>
    <w:rsid w:val="001A33BF"/>
    <w:rsid w:val="001E4177"/>
    <w:rsid w:val="001F0B24"/>
    <w:rsid w:val="001F45E0"/>
    <w:rsid w:val="001F7DC6"/>
    <w:rsid w:val="002005A3"/>
    <w:rsid w:val="0022400B"/>
    <w:rsid w:val="002421BB"/>
    <w:rsid w:val="0025796E"/>
    <w:rsid w:val="002707A2"/>
    <w:rsid w:val="002951A0"/>
    <w:rsid w:val="002962BC"/>
    <w:rsid w:val="002A093D"/>
    <w:rsid w:val="002A0DD0"/>
    <w:rsid w:val="002A49AC"/>
    <w:rsid w:val="002A64FD"/>
    <w:rsid w:val="002C7A84"/>
    <w:rsid w:val="002D7AD6"/>
    <w:rsid w:val="002E2BF8"/>
    <w:rsid w:val="002E4FD9"/>
    <w:rsid w:val="0030657A"/>
    <w:rsid w:val="00322A85"/>
    <w:rsid w:val="00322ED2"/>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6EDB"/>
    <w:rsid w:val="0042722E"/>
    <w:rsid w:val="0044528D"/>
    <w:rsid w:val="00466E39"/>
    <w:rsid w:val="00481562"/>
    <w:rsid w:val="004A1847"/>
    <w:rsid w:val="004A305D"/>
    <w:rsid w:val="004F21C4"/>
    <w:rsid w:val="004F4B0B"/>
    <w:rsid w:val="004F685F"/>
    <w:rsid w:val="005566E8"/>
    <w:rsid w:val="00574867"/>
    <w:rsid w:val="00591460"/>
    <w:rsid w:val="005A65E0"/>
    <w:rsid w:val="005C3777"/>
    <w:rsid w:val="005C5CDC"/>
    <w:rsid w:val="005D476C"/>
    <w:rsid w:val="005D554F"/>
    <w:rsid w:val="006200BF"/>
    <w:rsid w:val="006219F8"/>
    <w:rsid w:val="006302F7"/>
    <w:rsid w:val="00646B9F"/>
    <w:rsid w:val="00647BA2"/>
    <w:rsid w:val="00665D70"/>
    <w:rsid w:val="006900D9"/>
    <w:rsid w:val="00706C16"/>
    <w:rsid w:val="007340C3"/>
    <w:rsid w:val="0075235A"/>
    <w:rsid w:val="00756841"/>
    <w:rsid w:val="007649AB"/>
    <w:rsid w:val="00771D0C"/>
    <w:rsid w:val="007833AC"/>
    <w:rsid w:val="007904D2"/>
    <w:rsid w:val="007B268C"/>
    <w:rsid w:val="007B7171"/>
    <w:rsid w:val="007C0C0F"/>
    <w:rsid w:val="007C3DC2"/>
    <w:rsid w:val="007E5497"/>
    <w:rsid w:val="00806F5F"/>
    <w:rsid w:val="00814970"/>
    <w:rsid w:val="00820278"/>
    <w:rsid w:val="00820514"/>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0F28"/>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033E"/>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81562"/>
    <w:pPr>
      <w:spacing w:line="240" w:lineRule="exact"/>
    </w:pPr>
    <w:rPr>
      <w:vertAlign w:val="superscript"/>
    </w:rPr>
  </w:style>
  <w:style w:type="character" w:customStyle="1" w:styleId="baj">
    <w:name w:val="b_aj"/>
    <w:basedOn w:val="Fuentedeprrafopredeter"/>
    <w:rsid w:val="00481562"/>
  </w:style>
  <w:style w:type="character" w:customStyle="1" w:styleId="NormalWebCar">
    <w:name w:val="Normal (Web) Car"/>
    <w:link w:val="NormalWeb"/>
    <w:uiPriority w:val="99"/>
    <w:locked/>
    <w:rsid w:val="0048156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asquitar23@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8DF6A6-FCF6-4590-B71F-2B98793624E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19</Pages>
  <Words>6365</Words>
  <Characters>35008</Characters>
  <Application>Microsoft Office Word</Application>
  <DocSecurity>0</DocSecurity>
  <Lines>291</Lines>
  <Paragraphs>82</Paragraphs>
  <ScaleCrop>false</ScaleCrop>
  <Company/>
  <LinksUpToDate>false</LinksUpToDate>
  <CharactersWithSpaces>41291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8</cp:revision>
  <cp:lastPrinted>2023-01-10T21:18:00Z</cp:lastPrinted>
  <dcterms:created xsi:type="dcterms:W3CDTF">2026-04-15T14:41:00Z</dcterms:created>
  <dcterms:modified xsi:type="dcterms:W3CDTF">2026-04-29T20:25:00Z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