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9E768" w14:textId="77777777" w:rsidR="0083574D" w:rsidRPr="00C55BDE" w:rsidRDefault="0083574D" w:rsidP="0083574D">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88F68A2" w14:textId="77777777" w:rsidR="0083574D" w:rsidRPr="00C55BDE" w:rsidRDefault="0083574D" w:rsidP="0083574D">
      <w:pPr>
        <w:snapToGrid w:val="0"/>
        <w:contextualSpacing/>
        <w:jc w:val="both"/>
        <w:rPr>
          <w:rFonts w:ascii="Verdana" w:hAnsi="Verdana" w:cs="Arial"/>
          <w:b/>
          <w:bCs/>
          <w:lang w:val="es-ES" w:eastAsia="es-ES"/>
        </w:rPr>
      </w:pPr>
    </w:p>
    <w:p w14:paraId="50ADDF40" w14:textId="77777777" w:rsidR="0083574D" w:rsidRPr="00C55BDE" w:rsidRDefault="0083574D" w:rsidP="0083574D">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395A7045" w14:textId="77777777" w:rsidR="0083574D" w:rsidRPr="00C55BDE" w:rsidRDefault="0083574D" w:rsidP="0083574D">
      <w:pPr>
        <w:snapToGrid w:val="0"/>
        <w:contextualSpacing/>
        <w:jc w:val="both"/>
        <w:rPr>
          <w:rFonts w:ascii="Verdana" w:hAnsi="Verdana" w:cs="Arial"/>
          <w:b/>
          <w:bCs/>
          <w:lang w:val="es-ES" w:eastAsia="es-ES"/>
        </w:rPr>
      </w:pPr>
    </w:p>
    <w:p w14:paraId="5D91CE9F" w14:textId="77777777" w:rsidR="0083574D" w:rsidRPr="00C55BDE" w:rsidRDefault="0083574D" w:rsidP="0083574D">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3DB09582" w14:textId="77777777" w:rsidR="0083574D" w:rsidRPr="00C55BDE" w:rsidRDefault="0083574D" w:rsidP="0083574D">
      <w:pPr>
        <w:snapToGrid w:val="0"/>
        <w:spacing w:after="0" w:line="240" w:lineRule="auto"/>
        <w:contextualSpacing/>
        <w:jc w:val="both"/>
        <w:rPr>
          <w:rFonts w:ascii="Verdana" w:hAnsi="Verdana" w:cs="Arial"/>
          <w:sz w:val="20"/>
          <w:szCs w:val="20"/>
          <w:lang w:val="es-ES" w:eastAsia="es-ES"/>
        </w:rPr>
      </w:pPr>
    </w:p>
    <w:p w14:paraId="3A647DB5" w14:textId="77777777" w:rsidR="0083574D" w:rsidRPr="00C55BDE" w:rsidRDefault="0083574D" w:rsidP="0083574D">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376EA8" w14:textId="77777777" w:rsidR="0083574D" w:rsidRPr="00C55BDE" w:rsidRDefault="0083574D" w:rsidP="0083574D">
      <w:pPr>
        <w:snapToGrid w:val="0"/>
        <w:spacing w:after="0" w:line="240" w:lineRule="auto"/>
        <w:contextualSpacing/>
        <w:jc w:val="both"/>
        <w:rPr>
          <w:rFonts w:ascii="Verdana" w:hAnsi="Verdana" w:cs="Arial"/>
          <w:sz w:val="20"/>
          <w:szCs w:val="20"/>
          <w:lang w:val="es-ES"/>
        </w:rPr>
      </w:pPr>
    </w:p>
    <w:p w14:paraId="359CFE12" w14:textId="77777777" w:rsidR="0083574D" w:rsidRDefault="0083574D" w:rsidP="0083574D">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62CBC69D" w14:textId="77777777" w:rsidR="0083574D" w:rsidRDefault="0083574D" w:rsidP="0083574D">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3E8F5937" w14:textId="77777777" w:rsidR="0083574D" w:rsidRPr="00EB58E0" w:rsidRDefault="0083574D" w:rsidP="0083574D">
      <w:pPr>
        <w:spacing w:after="0"/>
        <w:jc w:val="both"/>
        <w:rPr>
          <w:rFonts w:ascii="Verdana" w:hAnsi="Verdana"/>
          <w:b/>
          <w:bCs/>
          <w:highlight w:val="yellow"/>
          <w:lang w:val="es-ES_tradnl"/>
        </w:rPr>
      </w:pPr>
      <w:r w:rsidRPr="00A858DF">
        <w:rPr>
          <w:rFonts w:ascii="Verdana" w:hAnsi="Verdana" w:cs="Arial"/>
          <w:b/>
          <w:bCs/>
          <w:lang w:val="es-MX" w:eastAsia="es-ES_tradnl"/>
        </w:rPr>
        <w:t>SERVICIOS POSTALES DE COLOMBIA– Naturaleza jurídica – Artículo</w:t>
      </w:r>
      <w:r w:rsidRPr="00C521DC">
        <w:rPr>
          <w:rFonts w:ascii="Verdana" w:hAnsi="Verdana" w:cs="Arial"/>
          <w:b/>
          <w:bCs/>
          <w:lang w:val="es-MX" w:eastAsia="es-ES_tradnl"/>
        </w:rPr>
        <w:t xml:space="preserve"> 15 de la Ley 1369 de 2009</w:t>
      </w:r>
    </w:p>
    <w:p w14:paraId="1C5E6734" w14:textId="77777777" w:rsidR="0083574D" w:rsidRDefault="0083574D" w:rsidP="0083574D">
      <w:pPr>
        <w:snapToGrid w:val="0"/>
        <w:spacing w:after="0" w:line="240" w:lineRule="auto"/>
        <w:contextualSpacing/>
        <w:jc w:val="both"/>
        <w:rPr>
          <w:rFonts w:ascii="Verdana" w:hAnsi="Verdana" w:cs="Arial"/>
          <w:sz w:val="20"/>
          <w:szCs w:val="20"/>
          <w:lang w:val="es-ES"/>
        </w:rPr>
      </w:pPr>
    </w:p>
    <w:p w14:paraId="6CA9EFA8" w14:textId="77777777" w:rsidR="0083574D" w:rsidRDefault="0083574D" w:rsidP="0083574D">
      <w:pPr>
        <w:snapToGrid w:val="0"/>
        <w:spacing w:after="0" w:line="240" w:lineRule="auto"/>
        <w:contextualSpacing/>
        <w:jc w:val="both"/>
        <w:rPr>
          <w:rFonts w:ascii="Verdana" w:hAnsi="Verdana" w:cs="Arial"/>
          <w:sz w:val="20"/>
          <w:szCs w:val="20"/>
          <w:lang w:val="es-ES"/>
        </w:rPr>
      </w:pPr>
      <w:r>
        <w:rPr>
          <w:rFonts w:ascii="Verdana" w:hAnsi="Verdana" w:cs="Arial"/>
          <w:sz w:val="20"/>
          <w:szCs w:val="20"/>
          <w:lang w:val="es-ES"/>
        </w:rPr>
        <w:t>L</w:t>
      </w:r>
      <w:r w:rsidRPr="00DA2A83">
        <w:rPr>
          <w:rFonts w:ascii="Verdana" w:hAnsi="Verdana" w:cs="Arial"/>
          <w:sz w:val="20"/>
          <w:szCs w:val="20"/>
          <w:lang w:val="es-ES"/>
        </w:rPr>
        <w:t>a Ley 1369 de 2009 establece el marco regulatorio para los servicios postales en Colombia, definiéndolos como un servicio público cuya titularidad recae en el Estado. El objeto principal de 4-72 es la prestación de estos servicios, que consisten en "el desarrollo de las actividades de recepción, clasificación, transporte y entrega de objetos postales a través de redes postales”. En su calidad de Operador Postal Oficial o Concesionario de Correo, 4-72 tiene la responsabilidad exclusiva de prestar el Servicio Postal Universal, la franquicia postal y el servicio de giros internacionales, entre otros.</w:t>
      </w:r>
    </w:p>
    <w:p w14:paraId="4E5C01F5" w14:textId="77777777" w:rsidR="0083574D" w:rsidRPr="00DA2A83" w:rsidRDefault="0083574D" w:rsidP="0083574D">
      <w:pPr>
        <w:snapToGrid w:val="0"/>
        <w:spacing w:after="0" w:line="240" w:lineRule="auto"/>
        <w:contextualSpacing/>
        <w:jc w:val="both"/>
        <w:rPr>
          <w:rFonts w:ascii="Verdana" w:hAnsi="Verdana" w:cs="Arial"/>
          <w:sz w:val="20"/>
          <w:szCs w:val="20"/>
          <w:lang w:val="es-ES"/>
        </w:rPr>
      </w:pPr>
    </w:p>
    <w:p w14:paraId="3AC3ECA5" w14:textId="77777777" w:rsidR="0083574D" w:rsidRDefault="0083574D" w:rsidP="0083574D">
      <w:pPr>
        <w:snapToGrid w:val="0"/>
        <w:spacing w:after="0" w:line="240" w:lineRule="auto"/>
        <w:contextualSpacing/>
        <w:jc w:val="both"/>
        <w:rPr>
          <w:rFonts w:ascii="Verdana" w:hAnsi="Verdana" w:cs="Arial"/>
          <w:sz w:val="20"/>
          <w:szCs w:val="20"/>
          <w:lang w:val="es-ES"/>
        </w:rPr>
      </w:pPr>
      <w:r w:rsidRPr="00DA2A83">
        <w:rPr>
          <w:rFonts w:ascii="Verdana" w:hAnsi="Verdana" w:cs="Arial"/>
          <w:sz w:val="20"/>
          <w:szCs w:val="20"/>
          <w:lang w:val="es-ES"/>
        </w:rPr>
        <w:t xml:space="preserve">Una función de especial relevancia, similar a la de otras entidades estatales que garantizan servicios esenciales para el funcionamiento del Estado, es la denominada </w:t>
      </w:r>
      <w:r w:rsidRPr="00DA2A83">
        <w:rPr>
          <w:rFonts w:ascii="Verdana" w:hAnsi="Verdana" w:cs="Arial"/>
          <w:sz w:val="20"/>
          <w:szCs w:val="20"/>
          <w:lang w:val="es-ES"/>
        </w:rPr>
        <w:lastRenderedPageBreak/>
        <w:t>"área de reserva". Según el artículo 15 de la Ley 1369 de 2009, 4-72 es: “[…] la única autorizada por la ley para prestar los servicios de correo a las entidades integrantes de la Rama Ejecutiva, Legislativa y Judicial del poder público”.</w:t>
      </w:r>
    </w:p>
    <w:p w14:paraId="095A4B37" w14:textId="77777777" w:rsidR="0083574D" w:rsidRPr="00DA2A83" w:rsidRDefault="0083574D" w:rsidP="0083574D">
      <w:pPr>
        <w:snapToGrid w:val="0"/>
        <w:spacing w:after="0" w:line="240" w:lineRule="auto"/>
        <w:contextualSpacing/>
        <w:jc w:val="both"/>
        <w:rPr>
          <w:rFonts w:ascii="Verdana" w:hAnsi="Verdana" w:cs="Arial"/>
          <w:sz w:val="20"/>
          <w:szCs w:val="20"/>
          <w:lang w:val="es-ES"/>
        </w:rPr>
      </w:pPr>
    </w:p>
    <w:p w14:paraId="68042537" w14:textId="77777777" w:rsidR="0083574D" w:rsidRDefault="0083574D" w:rsidP="0083574D">
      <w:pPr>
        <w:snapToGrid w:val="0"/>
        <w:spacing w:after="0" w:line="240" w:lineRule="auto"/>
        <w:contextualSpacing/>
        <w:jc w:val="both"/>
        <w:rPr>
          <w:rFonts w:ascii="Verdana" w:hAnsi="Verdana" w:cs="Arial"/>
          <w:sz w:val="20"/>
          <w:szCs w:val="20"/>
          <w:lang w:val="es-ES"/>
        </w:rPr>
      </w:pPr>
      <w:r w:rsidRPr="00DA2A83">
        <w:rPr>
          <w:rFonts w:ascii="Verdana" w:hAnsi="Verdana" w:cs="Arial"/>
          <w:sz w:val="20"/>
          <w:szCs w:val="20"/>
          <w:lang w:val="es-ES"/>
        </w:rPr>
        <w:t>En este contexto, la Ley 1369 de 2009 establece una obligación legal para las entidades de las Ramas Ejecutiva, Legislativa y Judicial de contratar los servicios de correo exclusivamente con Servicios Postales Nacionales S.A.S. Este mandato implica que dichos servicios no pueden ser contratados con terceros operadores, so pena de incurrir en las infracciones postales previstas en el artículo 37 de la misma ley.</w:t>
      </w:r>
    </w:p>
    <w:p w14:paraId="02149D94" w14:textId="77777777" w:rsidR="0083574D" w:rsidRPr="00DA2A83" w:rsidRDefault="0083574D" w:rsidP="0083574D">
      <w:pPr>
        <w:snapToGrid w:val="0"/>
        <w:spacing w:after="0" w:line="240" w:lineRule="auto"/>
        <w:contextualSpacing/>
        <w:jc w:val="both"/>
        <w:rPr>
          <w:rFonts w:ascii="Verdana" w:hAnsi="Verdana" w:cs="Arial"/>
          <w:sz w:val="20"/>
          <w:szCs w:val="20"/>
          <w:lang w:val="es-ES"/>
        </w:rPr>
      </w:pPr>
    </w:p>
    <w:p w14:paraId="6BEDEE23" w14:textId="77777777" w:rsidR="0083574D" w:rsidRPr="00DA2A83" w:rsidRDefault="0083574D" w:rsidP="0083574D">
      <w:pPr>
        <w:snapToGrid w:val="0"/>
        <w:spacing w:after="0" w:line="240" w:lineRule="auto"/>
        <w:contextualSpacing/>
        <w:jc w:val="both"/>
        <w:rPr>
          <w:rFonts w:ascii="Verdana" w:hAnsi="Verdana" w:cs="Arial"/>
          <w:sz w:val="20"/>
          <w:szCs w:val="20"/>
          <w:lang w:val="es-ES"/>
        </w:rPr>
      </w:pPr>
      <w:r w:rsidRPr="00DA2A83">
        <w:rPr>
          <w:rFonts w:ascii="Verdana" w:hAnsi="Verdana" w:cs="Arial"/>
          <w:sz w:val="20"/>
          <w:szCs w:val="20"/>
          <w:lang w:val="es-ES"/>
        </w:rPr>
        <w:t xml:space="preserve"> 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contratos con esta entidad tiene como finalidad garantizar la prestación de un servicio cuya ejecución ha sido atribuida de manera exclusiva por el legislador.</w:t>
      </w:r>
    </w:p>
    <w:p w14:paraId="21D5977A" w14:textId="77777777" w:rsidR="0083574D" w:rsidRDefault="0083574D" w:rsidP="0083574D">
      <w:pPr>
        <w:spacing w:after="0" w:line="240" w:lineRule="auto"/>
        <w:rPr>
          <w:rFonts w:ascii="Verdana" w:hAnsi="Verdana" w:cs="Arial"/>
          <w:b/>
          <w:lang w:eastAsia="es-CO"/>
        </w:rPr>
      </w:pPr>
    </w:p>
    <w:p w14:paraId="1A20D6F3" w14:textId="77777777" w:rsidR="0083574D" w:rsidRDefault="0083574D" w:rsidP="0083574D">
      <w:pPr>
        <w:spacing w:after="0" w:line="240" w:lineRule="auto"/>
        <w:rPr>
          <w:rFonts w:ascii="Verdana" w:hAnsi="Verdana" w:cs="Arial"/>
          <w:b/>
          <w:lang w:eastAsia="es-CO"/>
        </w:rPr>
      </w:pPr>
    </w:p>
    <w:p w14:paraId="78E2E185" w14:textId="77777777" w:rsidR="0083574D" w:rsidRDefault="0083574D" w:rsidP="0083574D">
      <w:pPr>
        <w:spacing w:after="0" w:line="240" w:lineRule="auto"/>
        <w:rPr>
          <w:rFonts w:ascii="Verdana" w:hAnsi="Verdana" w:cs="Arial"/>
          <w:b/>
          <w:lang w:eastAsia="es-CO"/>
        </w:rPr>
      </w:pPr>
    </w:p>
    <w:p w14:paraId="32F2A2D4" w14:textId="77777777" w:rsidR="0083574D" w:rsidRDefault="0083574D" w:rsidP="0083574D">
      <w:pPr>
        <w:spacing w:after="0" w:line="240" w:lineRule="auto"/>
        <w:rPr>
          <w:rFonts w:ascii="Verdana" w:hAnsi="Verdana" w:cs="Arial"/>
          <w:b/>
          <w:lang w:eastAsia="es-CO"/>
        </w:rPr>
      </w:pPr>
    </w:p>
    <w:p w14:paraId="215D6E11" w14:textId="77777777" w:rsidR="0083574D" w:rsidRDefault="0083574D" w:rsidP="0083574D">
      <w:pPr>
        <w:spacing w:after="0" w:line="240" w:lineRule="auto"/>
        <w:rPr>
          <w:rFonts w:ascii="Verdana" w:hAnsi="Verdana" w:cs="Arial"/>
          <w:b/>
          <w:lang w:eastAsia="es-CO"/>
        </w:rPr>
      </w:pPr>
    </w:p>
    <w:p w14:paraId="18544DDB" w14:textId="77777777" w:rsidR="0083574D" w:rsidRDefault="0083574D" w:rsidP="0083574D">
      <w:pPr>
        <w:spacing w:after="0" w:line="240" w:lineRule="auto"/>
        <w:rPr>
          <w:rFonts w:ascii="Verdana" w:hAnsi="Verdana" w:cs="Arial"/>
          <w:b/>
          <w:lang w:eastAsia="es-CO"/>
        </w:rPr>
      </w:pPr>
    </w:p>
    <w:p w14:paraId="753B8F91" w14:textId="77777777" w:rsidR="0083574D" w:rsidRDefault="0083574D" w:rsidP="0083574D">
      <w:pPr>
        <w:spacing w:after="0" w:line="240" w:lineRule="auto"/>
        <w:rPr>
          <w:rFonts w:ascii="Verdana" w:hAnsi="Verdana" w:cs="Arial"/>
          <w:b/>
          <w:lang w:eastAsia="es-CO"/>
        </w:rPr>
      </w:pPr>
    </w:p>
    <w:p w14:paraId="08FF92AF" w14:textId="77777777" w:rsidR="0083574D" w:rsidRDefault="0083574D" w:rsidP="0083574D">
      <w:pPr>
        <w:spacing w:after="0" w:line="240" w:lineRule="auto"/>
        <w:rPr>
          <w:rFonts w:ascii="Verdana" w:hAnsi="Verdana" w:cs="Arial"/>
          <w:b/>
          <w:lang w:eastAsia="es-CO"/>
        </w:rPr>
      </w:pPr>
    </w:p>
    <w:p w14:paraId="4FAAF15B" w14:textId="77777777" w:rsidR="0083574D" w:rsidRDefault="0083574D" w:rsidP="0083574D">
      <w:pPr>
        <w:spacing w:after="0" w:line="240" w:lineRule="auto"/>
        <w:rPr>
          <w:rFonts w:ascii="Verdana" w:hAnsi="Verdana" w:cs="Arial"/>
          <w:b/>
          <w:lang w:eastAsia="es-CO"/>
        </w:rPr>
      </w:pPr>
    </w:p>
    <w:p w14:paraId="6BFA0939" w14:textId="77777777" w:rsidR="0083574D" w:rsidRDefault="0083574D" w:rsidP="0083574D">
      <w:pPr>
        <w:spacing w:after="0" w:line="240" w:lineRule="auto"/>
        <w:rPr>
          <w:rFonts w:ascii="Verdana" w:hAnsi="Verdana" w:cs="Arial"/>
          <w:b/>
          <w:lang w:eastAsia="es-CO"/>
        </w:rPr>
      </w:pPr>
    </w:p>
    <w:p w14:paraId="7240AF63" w14:textId="77777777" w:rsidR="0083574D" w:rsidRDefault="0083574D" w:rsidP="0083574D">
      <w:pPr>
        <w:spacing w:after="0" w:line="240" w:lineRule="auto"/>
        <w:rPr>
          <w:rFonts w:ascii="Verdana" w:hAnsi="Verdana" w:cs="Arial"/>
          <w:b/>
          <w:lang w:eastAsia="es-CO"/>
        </w:rPr>
      </w:pPr>
    </w:p>
    <w:p w14:paraId="36956785" w14:textId="77777777" w:rsidR="0083574D" w:rsidRDefault="0083574D" w:rsidP="0083574D">
      <w:pPr>
        <w:spacing w:after="0" w:line="240" w:lineRule="auto"/>
        <w:rPr>
          <w:rFonts w:ascii="Verdana" w:eastAsia="Geomanist Light" w:hAnsi="Verdana" w:cs="Arial"/>
          <w:color w:val="000000" w:themeColor="text1"/>
          <w:lang w:val="es-MX"/>
        </w:rPr>
      </w:pPr>
    </w:p>
    <w:p w14:paraId="1CB12B37" w14:textId="77777777" w:rsidR="0083574D" w:rsidRDefault="0083574D" w:rsidP="0083574D">
      <w:pPr>
        <w:spacing w:after="0" w:line="240" w:lineRule="auto"/>
        <w:rPr>
          <w:rFonts w:ascii="Verdana" w:eastAsia="Geomanist Light" w:hAnsi="Verdana" w:cs="Arial"/>
        </w:rPr>
      </w:pPr>
    </w:p>
    <w:p w14:paraId="53D3A4E9" w14:textId="77777777" w:rsidR="0083574D" w:rsidRDefault="0083574D" w:rsidP="0083574D">
      <w:pPr>
        <w:spacing w:after="0" w:line="240" w:lineRule="auto"/>
        <w:rPr>
          <w:rFonts w:ascii="Verdana" w:eastAsia="Calibri" w:hAnsi="Verdana" w:cs="Arial"/>
          <w:bCs/>
          <w:sz w:val="20"/>
          <w:szCs w:val="20"/>
          <w:lang w:eastAsia="es-ES_tradnl"/>
        </w:rPr>
      </w:pPr>
    </w:p>
    <w:p w14:paraId="796A66DE" w14:textId="77777777" w:rsidR="0083574D" w:rsidRDefault="0083574D" w:rsidP="0083574D">
      <w:pPr>
        <w:spacing w:after="0" w:line="240" w:lineRule="auto"/>
        <w:rPr>
          <w:rFonts w:ascii="Verdana" w:eastAsia="Calibri" w:hAnsi="Verdana" w:cs="Arial"/>
          <w:bCs/>
          <w:sz w:val="20"/>
          <w:szCs w:val="20"/>
          <w:lang w:eastAsia="es-ES_tradnl"/>
        </w:rPr>
      </w:pPr>
    </w:p>
    <w:p w14:paraId="01F945E4" w14:textId="77777777" w:rsidR="0083574D" w:rsidRDefault="0083574D" w:rsidP="0083574D">
      <w:pPr>
        <w:spacing w:after="0" w:line="240" w:lineRule="auto"/>
        <w:rPr>
          <w:rFonts w:ascii="Verdana" w:eastAsia="Calibri" w:hAnsi="Verdana" w:cs="Arial"/>
          <w:bCs/>
          <w:sz w:val="20"/>
          <w:szCs w:val="20"/>
          <w:lang w:eastAsia="es-ES_tradnl"/>
        </w:rPr>
      </w:pPr>
    </w:p>
    <w:p w14:paraId="52FAFD64" w14:textId="77777777" w:rsidR="0083574D" w:rsidRDefault="0083574D" w:rsidP="0083574D">
      <w:pPr>
        <w:spacing w:after="0" w:line="240" w:lineRule="auto"/>
        <w:rPr>
          <w:rFonts w:ascii="Verdana" w:eastAsia="Calibri" w:hAnsi="Verdana" w:cs="Arial"/>
          <w:bCs/>
          <w:lang w:eastAsia="es-ES_tradnl"/>
        </w:rPr>
      </w:pPr>
    </w:p>
    <w:p w14:paraId="01D7BCB3" w14:textId="77777777" w:rsidR="0083574D" w:rsidRDefault="0083574D" w:rsidP="0083574D">
      <w:pPr>
        <w:spacing w:after="0" w:line="240" w:lineRule="auto"/>
        <w:rPr>
          <w:rFonts w:ascii="Verdana" w:eastAsia="Calibri" w:hAnsi="Verdana" w:cs="Arial"/>
          <w:bCs/>
          <w:lang w:eastAsia="es-ES_tradnl"/>
        </w:rPr>
      </w:pPr>
    </w:p>
    <w:p w14:paraId="4C6EE190" w14:textId="77777777" w:rsidR="0083574D" w:rsidRDefault="0083574D" w:rsidP="0083574D">
      <w:pPr>
        <w:spacing w:after="0" w:line="240" w:lineRule="auto"/>
        <w:rPr>
          <w:rFonts w:ascii="Verdana" w:eastAsia="Calibri" w:hAnsi="Verdana" w:cs="Arial"/>
          <w:bCs/>
          <w:lang w:eastAsia="es-ES_tradnl"/>
        </w:rPr>
      </w:pPr>
    </w:p>
    <w:p w14:paraId="54D0368B" w14:textId="77777777" w:rsidR="0083574D" w:rsidRDefault="0083574D" w:rsidP="0083574D">
      <w:pPr>
        <w:spacing w:after="0" w:line="240" w:lineRule="auto"/>
        <w:rPr>
          <w:rFonts w:ascii="Verdana" w:eastAsia="Calibri" w:hAnsi="Verdana" w:cs="Arial"/>
          <w:bCs/>
          <w:lang w:eastAsia="es-ES_tradnl"/>
        </w:rPr>
      </w:pPr>
    </w:p>
    <w:p w14:paraId="52C94C2F" w14:textId="77777777" w:rsidR="0083574D" w:rsidRDefault="0083574D" w:rsidP="0083574D">
      <w:pPr>
        <w:spacing w:after="0" w:line="240" w:lineRule="auto"/>
        <w:rPr>
          <w:rFonts w:ascii="Verdana" w:eastAsia="Calibri" w:hAnsi="Verdana" w:cs="Arial"/>
          <w:bCs/>
          <w:lang w:eastAsia="es-ES_tradnl"/>
        </w:rPr>
      </w:pPr>
    </w:p>
    <w:p w14:paraId="0F7C912D" w14:textId="77777777" w:rsidR="0083574D" w:rsidRDefault="0083574D" w:rsidP="0083574D">
      <w:pPr>
        <w:spacing w:after="0" w:line="240" w:lineRule="auto"/>
        <w:rPr>
          <w:rFonts w:ascii="Verdana" w:eastAsia="Calibri" w:hAnsi="Verdana" w:cs="Arial"/>
          <w:bCs/>
          <w:lang w:eastAsia="es-ES_tradnl"/>
        </w:rPr>
      </w:pPr>
    </w:p>
    <w:p w14:paraId="38DA269E" w14:textId="77777777" w:rsidR="0083574D" w:rsidRDefault="0083574D" w:rsidP="0083574D">
      <w:pPr>
        <w:spacing w:after="0" w:line="240" w:lineRule="auto"/>
        <w:rPr>
          <w:rFonts w:ascii="Verdana" w:eastAsia="Calibri" w:hAnsi="Verdana" w:cs="Arial"/>
          <w:bCs/>
          <w:lang w:eastAsia="es-ES_tradnl"/>
        </w:rPr>
      </w:pPr>
    </w:p>
    <w:p w14:paraId="240848E0" w14:textId="77777777" w:rsidR="0083574D" w:rsidRDefault="0083574D" w:rsidP="0083574D">
      <w:pPr>
        <w:spacing w:after="0" w:line="240" w:lineRule="auto"/>
        <w:rPr>
          <w:rFonts w:ascii="Verdana" w:eastAsia="Calibri" w:hAnsi="Verdana" w:cs="Arial"/>
          <w:bCs/>
          <w:lang w:eastAsia="es-ES_tradnl"/>
        </w:rPr>
      </w:pPr>
    </w:p>
    <w:p w14:paraId="6CE08C2B" w14:textId="77777777" w:rsidR="0083574D" w:rsidRDefault="0083574D" w:rsidP="0083574D">
      <w:pPr>
        <w:spacing w:after="0" w:line="240" w:lineRule="auto"/>
        <w:rPr>
          <w:rFonts w:ascii="Verdana" w:eastAsia="Calibri" w:hAnsi="Verdana" w:cs="Arial"/>
          <w:bCs/>
          <w:lang w:eastAsia="es-ES_tradnl"/>
        </w:rPr>
      </w:pPr>
    </w:p>
    <w:p w14:paraId="7D6E42CE" w14:textId="77777777" w:rsidR="0083574D" w:rsidRDefault="0083574D" w:rsidP="0083574D">
      <w:pPr>
        <w:spacing w:after="0" w:line="240" w:lineRule="auto"/>
        <w:rPr>
          <w:rFonts w:ascii="Verdana" w:eastAsia="Calibri" w:hAnsi="Verdana" w:cs="Arial"/>
          <w:bCs/>
          <w:lang w:eastAsia="es-ES_tradnl"/>
        </w:rPr>
      </w:pPr>
    </w:p>
    <w:p w14:paraId="0A05DC57" w14:textId="77777777" w:rsidR="0083574D" w:rsidRDefault="0083574D" w:rsidP="0083574D">
      <w:pPr>
        <w:spacing w:after="0" w:line="240" w:lineRule="auto"/>
        <w:rPr>
          <w:rFonts w:ascii="Verdana" w:eastAsia="Calibri" w:hAnsi="Verdana" w:cs="Arial"/>
          <w:bCs/>
          <w:lang w:eastAsia="es-ES_tradnl"/>
        </w:rPr>
      </w:pPr>
    </w:p>
    <w:p w14:paraId="1DE2A0B1" w14:textId="3164EDD3" w:rsidR="0083574D" w:rsidRPr="00915417" w:rsidRDefault="0083574D" w:rsidP="0083574D">
      <w:pPr>
        <w:spacing w:after="0" w:line="240" w:lineRule="auto"/>
        <w:rPr>
          <w:rFonts w:ascii="Verdana" w:eastAsia="Geomanist Light" w:hAnsi="Verdana" w:cs="Arial"/>
          <w:color w:val="201F1E"/>
        </w:rPr>
      </w:pPr>
      <w:r w:rsidRPr="005872EB">
        <w:rPr>
          <w:rFonts w:ascii="Verdana" w:eastAsia="Calibri" w:hAnsi="Verdana" w:cs="Arial"/>
          <w:bCs/>
          <w:lang w:eastAsia="es-ES_tradnl"/>
        </w:rPr>
        <w:lastRenderedPageBreak/>
        <w:t xml:space="preserve">Bogotá D.C., </w:t>
      </w:r>
      <w:r w:rsidR="00C665D9">
        <w:rPr>
          <w:rFonts w:ascii="Verdana" w:eastAsia="Calibri" w:hAnsi="Verdana" w:cs="Arial"/>
          <w:bCs/>
          <w:lang w:eastAsia="es-ES_tradnl"/>
        </w:rPr>
        <w:t>8 de mayo de 2026</w:t>
      </w:r>
    </w:p>
    <w:p w14:paraId="1A3B6ACA" w14:textId="77777777" w:rsidR="0083574D" w:rsidRPr="005872EB" w:rsidRDefault="0083574D" w:rsidP="0083574D">
      <w:pPr>
        <w:spacing w:after="0" w:line="240" w:lineRule="auto"/>
        <w:rPr>
          <w:rFonts w:ascii="Verdana" w:eastAsia="Calibri" w:hAnsi="Verdana" w:cs="Arial"/>
          <w:bCs/>
          <w:lang w:eastAsia="es-ES_tradnl"/>
        </w:rPr>
      </w:pPr>
    </w:p>
    <w:p w14:paraId="747C7B9B" w14:textId="362F4F32" w:rsidR="0083574D" w:rsidRDefault="00A82223" w:rsidP="00A82223">
      <w:pPr>
        <w:spacing w:after="0" w:line="240" w:lineRule="auto"/>
        <w:jc w:val="right"/>
        <w:rPr>
          <w:rFonts w:ascii="Verdana" w:eastAsia="Calibri" w:hAnsi="Verdana" w:cs="Arial"/>
          <w:b/>
          <w:bCs/>
          <w:lang w:eastAsia="es-ES_tradnl"/>
        </w:rPr>
      </w:pPr>
      <w:r w:rsidRPr="00A82223">
        <w:rPr>
          <w:rFonts w:ascii="Verdana" w:eastAsia="Calibri" w:hAnsi="Verdana" w:cs="Arial"/>
          <w:b/>
          <w:bCs/>
          <w:noProof/>
          <w:lang w:eastAsia="es-ES_tradnl"/>
        </w:rPr>
        <w:drawing>
          <wp:anchor distT="0" distB="0" distL="114300" distR="114300" simplePos="0" relativeHeight="251658240" behindDoc="0" locked="0" layoutInCell="1" allowOverlap="1" wp14:anchorId="43BF2B69" wp14:editId="3C9C9156">
            <wp:simplePos x="0" y="0"/>
            <wp:positionH relativeFrom="column">
              <wp:posOffset>3156585</wp:posOffset>
            </wp:positionH>
            <wp:positionV relativeFrom="paragraph">
              <wp:posOffset>3175</wp:posOffset>
            </wp:positionV>
            <wp:extent cx="2453640" cy="891540"/>
            <wp:effectExtent l="0" t="0" r="3810" b="3810"/>
            <wp:wrapSquare wrapText="bothSides"/>
            <wp:docPr id="7485960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3640" cy="891540"/>
                    </a:xfrm>
                    <a:prstGeom prst="rect">
                      <a:avLst/>
                    </a:prstGeom>
                    <a:noFill/>
                    <a:ln>
                      <a:noFill/>
                    </a:ln>
                  </pic:spPr>
                </pic:pic>
              </a:graphicData>
            </a:graphic>
          </wp:anchor>
        </w:drawing>
      </w:r>
    </w:p>
    <w:p w14:paraId="669EDA4C" w14:textId="77777777" w:rsidR="0083574D" w:rsidRDefault="0083574D" w:rsidP="0083574D">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77299283" w14:textId="77777777" w:rsidR="0083574D" w:rsidRDefault="0083574D" w:rsidP="0083574D">
      <w:pPr>
        <w:spacing w:after="0" w:line="240" w:lineRule="auto"/>
        <w:rPr>
          <w:rFonts w:ascii="Verdana" w:eastAsia="Calibri" w:hAnsi="Verdana" w:cs="Arial"/>
          <w:b/>
          <w:bCs/>
          <w:lang w:eastAsia="es-ES_tradnl"/>
        </w:rPr>
      </w:pPr>
      <w:r w:rsidRPr="0058517A">
        <w:rPr>
          <w:rFonts w:ascii="Verdana" w:eastAsia="Calibri" w:hAnsi="Verdana" w:cs="Arial"/>
          <w:b/>
          <w:bCs/>
          <w:lang w:eastAsia="es-ES_tradnl"/>
        </w:rPr>
        <w:t>Franklin E. Rodríguez G</w:t>
      </w:r>
    </w:p>
    <w:p w14:paraId="10E6A3EE" w14:textId="77777777" w:rsidR="0083574D" w:rsidRDefault="0083574D" w:rsidP="0083574D">
      <w:pPr>
        <w:spacing w:after="0" w:line="240" w:lineRule="auto"/>
        <w:rPr>
          <w:rFonts w:ascii="Verdana" w:eastAsia="Calibri" w:hAnsi="Verdana" w:cs="Arial"/>
          <w:b/>
          <w:bCs/>
          <w:lang w:eastAsia="es-ES_tradnl"/>
        </w:rPr>
      </w:pPr>
      <w:r w:rsidRPr="00412994">
        <w:rPr>
          <w:rFonts w:ascii="Verdana" w:eastAsia="Calibri" w:hAnsi="Verdana" w:cs="Arial"/>
          <w:b/>
          <w:bCs/>
          <w:lang w:eastAsia="es-ES_tradnl"/>
        </w:rPr>
        <w:t xml:space="preserve">GIT </w:t>
      </w:r>
      <w:r>
        <w:rPr>
          <w:rFonts w:ascii="Verdana" w:eastAsia="Calibri" w:hAnsi="Verdana" w:cs="Arial"/>
          <w:b/>
          <w:bCs/>
          <w:lang w:eastAsia="es-ES_tradnl"/>
        </w:rPr>
        <w:t>–</w:t>
      </w:r>
      <w:r w:rsidRPr="00412994">
        <w:rPr>
          <w:rFonts w:ascii="Verdana" w:eastAsia="Calibri" w:hAnsi="Verdana" w:cs="Arial"/>
          <w:b/>
          <w:bCs/>
          <w:lang w:eastAsia="es-ES_tradnl"/>
        </w:rPr>
        <w:t xml:space="preserve"> Administrativa</w:t>
      </w:r>
    </w:p>
    <w:p w14:paraId="7B2B8A25" w14:textId="77777777" w:rsidR="0083574D" w:rsidRPr="0058517A" w:rsidRDefault="0083574D" w:rsidP="0083574D">
      <w:pPr>
        <w:spacing w:after="0" w:line="240" w:lineRule="auto"/>
        <w:rPr>
          <w:rFonts w:ascii="Verdana" w:eastAsia="Calibri" w:hAnsi="Verdana" w:cs="Arial"/>
          <w:b/>
          <w:bCs/>
          <w:lang w:eastAsia="es-ES_tradnl"/>
        </w:rPr>
      </w:pPr>
      <w:r>
        <w:rPr>
          <w:rFonts w:ascii="Verdana" w:eastAsia="Calibri" w:hAnsi="Verdana" w:cs="Arial"/>
          <w:b/>
          <w:bCs/>
          <w:lang w:eastAsia="es-ES_tradnl"/>
        </w:rPr>
        <w:t>Agencia Nacional de Hidrocarburos</w:t>
      </w:r>
    </w:p>
    <w:p w14:paraId="505F9F7B" w14:textId="77777777" w:rsidR="0083574D" w:rsidRPr="00390B8D" w:rsidRDefault="0083574D" w:rsidP="0083574D">
      <w:pPr>
        <w:spacing w:after="0" w:line="240" w:lineRule="auto"/>
        <w:rPr>
          <w:rFonts w:ascii="Verdana" w:eastAsia="Calibri" w:hAnsi="Verdana" w:cs="Arial"/>
          <w:lang w:eastAsia="es-ES_tradnl"/>
        </w:rPr>
      </w:pPr>
      <w:hyperlink r:id="rId11" w:history="1">
        <w:r w:rsidRPr="00390B8D">
          <w:rPr>
            <w:rStyle w:val="Hipervnculo"/>
            <w:rFonts w:ascii="Verdana" w:eastAsia="Calibri" w:hAnsi="Verdana" w:cs="Arial"/>
            <w:lang w:eastAsia="es-ES_tradnl"/>
          </w:rPr>
          <w:t>franklin.rodriguez@anh.gov.co</w:t>
        </w:r>
      </w:hyperlink>
      <w:r w:rsidRPr="00390B8D">
        <w:rPr>
          <w:rFonts w:ascii="Verdana" w:eastAsia="Calibri" w:hAnsi="Verdana" w:cs="Arial"/>
          <w:lang w:eastAsia="es-ES_tradnl"/>
        </w:rPr>
        <w:t xml:space="preserve"> </w:t>
      </w:r>
    </w:p>
    <w:p w14:paraId="7F761D34" w14:textId="77777777" w:rsidR="0083574D" w:rsidRPr="00514983" w:rsidRDefault="0083574D" w:rsidP="0083574D">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714B46D4" w14:textId="77777777" w:rsidR="0083574D" w:rsidRDefault="0083574D" w:rsidP="0083574D">
      <w:pPr>
        <w:spacing w:after="0" w:line="240" w:lineRule="auto"/>
        <w:rPr>
          <w:rFonts w:ascii="Verdana" w:eastAsia="Calibri" w:hAnsi="Verdana" w:cs="Arial"/>
          <w:lang w:eastAsia="es-ES_tradnl"/>
        </w:rPr>
      </w:pPr>
    </w:p>
    <w:p w14:paraId="6FE9256E" w14:textId="77777777" w:rsidR="0083574D" w:rsidRPr="00514983" w:rsidRDefault="0083574D" w:rsidP="0083574D">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83574D" w:rsidRPr="00960F72" w14:paraId="424A95C4" w14:textId="77777777" w:rsidTr="00C3486D">
        <w:trPr>
          <w:trHeight w:val="190"/>
        </w:trPr>
        <w:tc>
          <w:tcPr>
            <w:tcW w:w="2552" w:type="dxa"/>
          </w:tcPr>
          <w:p w14:paraId="5E4DD4E3" w14:textId="77777777" w:rsidR="0083574D" w:rsidRPr="00960F72" w:rsidRDefault="0083574D" w:rsidP="00C3486D">
            <w:pPr>
              <w:jc w:val="both"/>
              <w:rPr>
                <w:rFonts w:ascii="Verdana" w:eastAsia="Calibri" w:hAnsi="Verdana" w:cs="Arial"/>
                <w:b/>
                <w:bCs/>
                <w:lang w:eastAsia="es-ES_tradnl"/>
              </w:rPr>
            </w:pPr>
          </w:p>
        </w:tc>
        <w:tc>
          <w:tcPr>
            <w:tcW w:w="6237" w:type="dxa"/>
          </w:tcPr>
          <w:p w14:paraId="6AECDFE7" w14:textId="77777777" w:rsidR="0083574D" w:rsidRPr="00960F72" w:rsidRDefault="0083574D" w:rsidP="00C3486D">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366 </w:t>
            </w:r>
            <w:r w:rsidRPr="00960F72">
              <w:rPr>
                <w:rFonts w:ascii="Verdana" w:eastAsia="Calibri" w:hAnsi="Verdana" w:cs="Arial"/>
                <w:b/>
                <w:bCs/>
                <w:lang w:eastAsia="es-ES"/>
              </w:rPr>
              <w:t>de 202</w:t>
            </w:r>
            <w:r>
              <w:rPr>
                <w:rFonts w:ascii="Verdana" w:eastAsia="Calibri" w:hAnsi="Verdana" w:cs="Arial"/>
                <w:b/>
                <w:bCs/>
                <w:lang w:eastAsia="es-ES"/>
              </w:rPr>
              <w:t>6</w:t>
            </w:r>
          </w:p>
          <w:p w14:paraId="1C56A026" w14:textId="77777777" w:rsidR="0083574D" w:rsidRPr="00960F72" w:rsidRDefault="0083574D" w:rsidP="00C3486D">
            <w:pPr>
              <w:jc w:val="both"/>
              <w:rPr>
                <w:rFonts w:ascii="Verdana" w:eastAsia="Calibri" w:hAnsi="Verdana" w:cs="Arial"/>
                <w:b/>
                <w:bCs/>
                <w:lang w:eastAsia="es-ES"/>
              </w:rPr>
            </w:pPr>
          </w:p>
        </w:tc>
      </w:tr>
      <w:tr w:rsidR="0083574D" w:rsidRPr="00960F72" w14:paraId="7A042BA8" w14:textId="77777777" w:rsidTr="00C3486D">
        <w:trPr>
          <w:trHeight w:val="884"/>
        </w:trPr>
        <w:tc>
          <w:tcPr>
            <w:tcW w:w="2552" w:type="dxa"/>
          </w:tcPr>
          <w:p w14:paraId="42605060" w14:textId="77777777" w:rsidR="0083574D" w:rsidRPr="00960F72" w:rsidRDefault="0083574D" w:rsidP="00C3486D">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237" w:type="dxa"/>
          </w:tcPr>
          <w:p w14:paraId="03F85A5B" w14:textId="77777777" w:rsidR="0083574D" w:rsidRPr="00A11406" w:rsidRDefault="0083574D" w:rsidP="00C3486D">
            <w:pPr>
              <w:spacing w:line="276" w:lineRule="auto"/>
              <w:jc w:val="both"/>
              <w:rPr>
                <w:rFonts w:ascii="Verdana" w:eastAsia="Calibri" w:hAnsi="Verdana" w:cs="Arial"/>
                <w:lang w:val="es-ES" w:eastAsia="es-ES"/>
              </w:rPr>
            </w:pPr>
            <w:r w:rsidRPr="00C15525">
              <w:rPr>
                <w:rFonts w:ascii="Verdana" w:hAnsi="Verdana" w:cs="Arial"/>
                <w:lang w:val="es-ES" w:eastAsia="es-ES"/>
              </w:rPr>
              <w:t>LEY DE GARANTÍAS ELECTORALES – Finalidad / LEY DE GARANTÍAS ELECTORALES ‒ Restricciones ‒ Contratación ‒ Tipos de elección</w:t>
            </w:r>
            <w:r>
              <w:rPr>
                <w:rFonts w:ascii="Verdana" w:hAnsi="Verdana" w:cs="Arial"/>
                <w:lang w:val="es-ES" w:eastAsia="es-ES"/>
              </w:rPr>
              <w:t xml:space="preserve"> </w:t>
            </w:r>
            <w:r w:rsidRPr="00C15525">
              <w:rPr>
                <w:rFonts w:ascii="Verdana" w:hAnsi="Verdana" w:cs="Arial"/>
                <w:lang w:val="es-MX" w:eastAsia="es-ES_tradnl"/>
              </w:rPr>
              <w:t xml:space="preserve">/ </w:t>
            </w:r>
            <w:r w:rsidRPr="00C521DC">
              <w:rPr>
                <w:rFonts w:ascii="Verdana" w:hAnsi="Verdana" w:cs="Arial"/>
                <w:lang w:val="es-MX" w:eastAsia="es-ES_tradnl"/>
              </w:rPr>
              <w:t>SERVICIOS POSTALES DE COLOMBIA</w:t>
            </w:r>
            <w:r>
              <w:rPr>
                <w:rFonts w:ascii="Verdana" w:hAnsi="Verdana" w:cs="Arial"/>
                <w:lang w:val="es-MX" w:eastAsia="es-ES_tradnl"/>
              </w:rPr>
              <w:t xml:space="preserve"> </w:t>
            </w:r>
            <w:r w:rsidRPr="00C521DC">
              <w:rPr>
                <w:rFonts w:ascii="Verdana" w:hAnsi="Verdana" w:cs="Arial"/>
                <w:lang w:val="es-MX" w:eastAsia="es-ES_tradnl"/>
              </w:rPr>
              <w:t>– Naturaleza jurídica – Artículo 15 de la Ley 1369 de 2009</w:t>
            </w:r>
          </w:p>
          <w:p w14:paraId="69AF029D" w14:textId="77777777" w:rsidR="0083574D" w:rsidRPr="001F1B6C" w:rsidRDefault="0083574D" w:rsidP="00C3486D">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83574D" w:rsidRPr="00960F72" w14:paraId="76ACAF22" w14:textId="77777777" w:rsidTr="00C3486D">
        <w:tc>
          <w:tcPr>
            <w:tcW w:w="2552" w:type="dxa"/>
          </w:tcPr>
          <w:p w14:paraId="0D0BB815" w14:textId="77777777" w:rsidR="0083574D" w:rsidRPr="008149BA" w:rsidRDefault="0083574D" w:rsidP="00C3486D">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237" w:type="dxa"/>
          </w:tcPr>
          <w:p w14:paraId="15A1AE69" w14:textId="77777777" w:rsidR="0083574D" w:rsidRPr="008149BA" w:rsidRDefault="0083574D" w:rsidP="00C3486D">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58517A">
              <w:rPr>
                <w:rFonts w:ascii="Verdana" w:hAnsi="Verdana" w:cs="Segoe UI"/>
                <w:color w:val="2B2B2B"/>
                <w:shd w:val="clear" w:color="auto" w:fill="FFFFFF"/>
              </w:rPr>
              <w:t>1_2026_03_26_004193</w:t>
            </w:r>
          </w:p>
        </w:tc>
      </w:tr>
    </w:tbl>
    <w:p w14:paraId="59C7A602" w14:textId="77777777" w:rsidR="0083574D" w:rsidRPr="00960F72" w:rsidRDefault="0083574D" w:rsidP="0083574D">
      <w:pPr>
        <w:spacing w:after="0" w:line="240" w:lineRule="auto"/>
        <w:jc w:val="both"/>
        <w:rPr>
          <w:rFonts w:ascii="Verdana" w:eastAsia="Calibri" w:hAnsi="Verdana" w:cs="Arial"/>
          <w:lang w:eastAsia="es-ES_tradnl"/>
        </w:rPr>
      </w:pPr>
    </w:p>
    <w:p w14:paraId="5B3881E7" w14:textId="77777777" w:rsidR="0083574D" w:rsidRPr="00960F72" w:rsidRDefault="0083574D" w:rsidP="0083574D">
      <w:pPr>
        <w:spacing w:after="0" w:line="240" w:lineRule="auto"/>
        <w:jc w:val="both"/>
        <w:rPr>
          <w:rFonts w:ascii="Verdana" w:eastAsia="Calibri" w:hAnsi="Verdana" w:cs="Arial"/>
          <w:lang w:eastAsia="es-ES_tradnl"/>
        </w:rPr>
      </w:pPr>
    </w:p>
    <w:p w14:paraId="21DC5954" w14:textId="77777777" w:rsidR="0083574D" w:rsidRPr="00960F72" w:rsidRDefault="0083574D" w:rsidP="0083574D">
      <w:pPr>
        <w:spacing w:after="0" w:line="276" w:lineRule="auto"/>
        <w:jc w:val="both"/>
        <w:rPr>
          <w:rFonts w:ascii="Verdana" w:eastAsia="Calibri" w:hAnsi="Verdana" w:cs="Arial"/>
          <w:lang w:eastAsia="es-ES"/>
        </w:rPr>
      </w:pPr>
      <w:r>
        <w:rPr>
          <w:rFonts w:ascii="Verdana" w:eastAsia="Calibri" w:hAnsi="Verdana" w:cs="Arial"/>
          <w:lang w:eastAsia="es-ES"/>
        </w:rPr>
        <w:t>Estimado señor Rodríguez:</w:t>
      </w:r>
    </w:p>
    <w:p w14:paraId="1D5BC043" w14:textId="77777777" w:rsidR="0083574D" w:rsidRPr="00960F72" w:rsidRDefault="0083574D" w:rsidP="0083574D">
      <w:pPr>
        <w:tabs>
          <w:tab w:val="left" w:pos="3768"/>
        </w:tabs>
        <w:spacing w:after="0" w:line="276" w:lineRule="auto"/>
        <w:jc w:val="both"/>
        <w:rPr>
          <w:rFonts w:ascii="Verdana" w:eastAsia="Calibri" w:hAnsi="Verdana" w:cs="Arial"/>
          <w:lang w:eastAsia="es-ES"/>
        </w:rPr>
      </w:pPr>
    </w:p>
    <w:p w14:paraId="63EB8E86" w14:textId="77777777" w:rsidR="0083574D" w:rsidRPr="00960F72" w:rsidRDefault="0083574D" w:rsidP="0083574D">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26 </w:t>
      </w:r>
      <w:r w:rsidRPr="00960F72">
        <w:rPr>
          <w:rFonts w:ascii="Verdana" w:eastAsia="Calibri" w:hAnsi="Verdana" w:cs="Arial"/>
          <w:lang w:eastAsia="es-ES"/>
        </w:rPr>
        <w:t xml:space="preserve">de </w:t>
      </w:r>
      <w:r>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5EC78FC2" w14:textId="77777777" w:rsidR="0083574D" w:rsidRPr="00960F72" w:rsidRDefault="0083574D" w:rsidP="0083574D">
      <w:pPr>
        <w:spacing w:after="0" w:line="276" w:lineRule="auto"/>
        <w:jc w:val="both"/>
        <w:rPr>
          <w:rFonts w:ascii="Verdana" w:eastAsia="Calibri" w:hAnsi="Verdana" w:cs="Arial"/>
          <w:lang w:eastAsia="es-ES"/>
        </w:rPr>
      </w:pPr>
    </w:p>
    <w:p w14:paraId="28E2E097"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E70314">
        <w:rPr>
          <w:rFonts w:ascii="Verdana" w:eastAsia="Calibri" w:hAnsi="Verdana" w:cs="Arial"/>
          <w:sz w:val="20"/>
          <w:szCs w:val="20"/>
          <w:lang w:eastAsia="es-ES"/>
        </w:rPr>
        <w:t>Hemos recibido el concepto C-247 de 2026, relacionado con la contratación directa con la Imprenta Nacional.</w:t>
      </w:r>
    </w:p>
    <w:p w14:paraId="22CED5E7"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 xml:space="preserve"> </w:t>
      </w:r>
    </w:p>
    <w:p w14:paraId="73F0B89C"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En la actualidad la necesidad de contratar el servicio de operador postal y encontramos varias coincidencias a la situación de la imprenta Nacional, a saber:</w:t>
      </w:r>
    </w:p>
    <w:p w14:paraId="74E733A0"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p>
    <w:p w14:paraId="64B4842C"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 xml:space="preserve">Con respecto al servicio de envíos, debe señalarse que el servicio Postal es un servicio público (At. 365 constitución Política), y su prestación está </w:t>
      </w:r>
      <w:r w:rsidRPr="00E70314">
        <w:rPr>
          <w:rFonts w:ascii="Verdana" w:eastAsia="Calibri" w:hAnsi="Verdana" w:cs="Arial"/>
          <w:sz w:val="20"/>
          <w:szCs w:val="20"/>
          <w:lang w:eastAsia="es-ES"/>
        </w:rPr>
        <w:lastRenderedPageBreak/>
        <w:t>sometida a la regulación, vigilancia y control del Estado, con sujeción a los principios de calidad, eficiencia y universalidad, entendida esta última, como el acceso progresivo a la población en todo el territorio nacional (Art. 1, L.1369/09).</w:t>
      </w:r>
    </w:p>
    <w:p w14:paraId="7C3F8058"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 xml:space="preserve"> </w:t>
      </w:r>
    </w:p>
    <w:p w14:paraId="2B2BB38B"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Se entiende por Servicios Postales: " ...el desarrollo de las actividades de recepción, clasificación, transporte y entrega de objetos postales a través de redes postales, dentro del país o para envíos hacia otros países o recepción desde el exterior. Son servicios postales, entre otros, los servicios de correo, los servicios postales de pago y los servicios de mensajería expresa (Art. 3 Núm. 2 Ley 1369 de 2009).</w:t>
      </w:r>
    </w:p>
    <w:p w14:paraId="4693B3D6" w14:textId="77777777" w:rsidR="0083574D" w:rsidRPr="00E70314" w:rsidRDefault="0083574D" w:rsidP="0083574D">
      <w:pPr>
        <w:spacing w:after="0" w:line="240" w:lineRule="auto"/>
        <w:ind w:right="709"/>
        <w:jc w:val="both"/>
        <w:rPr>
          <w:rFonts w:ascii="Verdana" w:eastAsia="Calibri" w:hAnsi="Verdana" w:cs="Arial"/>
          <w:sz w:val="20"/>
          <w:szCs w:val="20"/>
          <w:lang w:eastAsia="es-ES"/>
        </w:rPr>
      </w:pPr>
    </w:p>
    <w:p w14:paraId="2B66F881"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Que de conformidad con el artículo 15 de la Ley 1369 del 30 de diciembre de 2009, que señala:</w:t>
      </w:r>
    </w:p>
    <w:p w14:paraId="28582596"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p>
    <w:p w14:paraId="58A6B239"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"ARTÍCULO 15. AREA DE RESERVA. El Operador Postal Oficial o Concesionario de Correo será el único autorizado para prestar los servicios de correo a las entidades definidas como integrantes de la Rama Ejecutiva, Legislativa y Judicial del Poder Público (…)”</w:t>
      </w:r>
    </w:p>
    <w:p w14:paraId="0E102088"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p>
    <w:p w14:paraId="1BBCC37F" w14:textId="77777777" w:rsidR="0083574D" w:rsidRPr="00E70314"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El Operador Postal Oficial de correo, es la "Persona Jurídica habilitada por el Ministerio de Tecnología de la Información y las comunicaciones, que, mediante contrato de concesión, prestará el servicio postal de correo y mediante habilitación, los servicios de Mensajería expresan y servicios postales de pago, a nivel nacional e internacional" (Art.3, su numeral 4.1, L.1369/09).</w:t>
      </w:r>
    </w:p>
    <w:p w14:paraId="33A49A8E" w14:textId="77777777" w:rsidR="0083574D" w:rsidRPr="00E70314" w:rsidRDefault="0083574D" w:rsidP="0083574D">
      <w:pPr>
        <w:spacing w:after="0" w:line="240" w:lineRule="auto"/>
        <w:ind w:right="709"/>
        <w:jc w:val="both"/>
        <w:rPr>
          <w:rFonts w:ascii="Verdana" w:eastAsia="Calibri" w:hAnsi="Verdana" w:cs="Arial"/>
          <w:sz w:val="20"/>
          <w:szCs w:val="20"/>
          <w:lang w:eastAsia="es-ES"/>
        </w:rPr>
      </w:pPr>
    </w:p>
    <w:p w14:paraId="4CCA14FF" w14:textId="77777777" w:rsidR="0083574D" w:rsidRDefault="0083574D" w:rsidP="0083574D">
      <w:pPr>
        <w:spacing w:after="0" w:line="240" w:lineRule="auto"/>
        <w:ind w:left="709" w:right="709"/>
        <w:jc w:val="both"/>
        <w:rPr>
          <w:rFonts w:ascii="Verdana" w:eastAsia="Calibri" w:hAnsi="Verdana" w:cs="Arial"/>
          <w:sz w:val="20"/>
          <w:szCs w:val="20"/>
          <w:lang w:eastAsia="es-ES"/>
        </w:rPr>
      </w:pPr>
      <w:r w:rsidRPr="00E70314">
        <w:rPr>
          <w:rFonts w:ascii="Verdana" w:eastAsia="Calibri" w:hAnsi="Verdana" w:cs="Arial"/>
          <w:sz w:val="20"/>
          <w:szCs w:val="20"/>
          <w:lang w:eastAsia="es-ES"/>
        </w:rPr>
        <w:t>En la actualidad, el único Operador Postal Oficial de Colombia que presta este servicio es SERVICIOS POSTALES NACIONALES S.A.S., sociedad en la ·que tiene mayor participación del capital público (Decretos Nos. 2853 y 2854 de 2006).</w:t>
      </w:r>
    </w:p>
    <w:p w14:paraId="7F946B8D" w14:textId="77777777" w:rsidR="0083574D" w:rsidRDefault="0083574D" w:rsidP="0083574D">
      <w:pPr>
        <w:spacing w:after="0" w:line="240" w:lineRule="auto"/>
        <w:ind w:left="709" w:right="709"/>
        <w:jc w:val="both"/>
        <w:rPr>
          <w:rFonts w:ascii="Verdana" w:eastAsia="Calibri" w:hAnsi="Verdana" w:cs="Arial"/>
          <w:sz w:val="20"/>
          <w:szCs w:val="20"/>
          <w:lang w:eastAsia="es-ES"/>
        </w:rPr>
      </w:pPr>
    </w:p>
    <w:p w14:paraId="7BEEF628" w14:textId="77777777" w:rsidR="0083574D" w:rsidRDefault="0083574D" w:rsidP="0083574D">
      <w:pPr>
        <w:spacing w:after="0" w:line="240" w:lineRule="auto"/>
        <w:ind w:left="709" w:right="709"/>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19665924" w14:textId="77777777" w:rsidR="0083574D" w:rsidRDefault="0083574D" w:rsidP="0083574D">
      <w:pPr>
        <w:spacing w:after="0" w:line="240" w:lineRule="auto"/>
        <w:ind w:left="709" w:right="709"/>
        <w:jc w:val="both"/>
        <w:rPr>
          <w:rFonts w:ascii="Verdana" w:eastAsia="Calibri" w:hAnsi="Verdana" w:cs="Arial"/>
          <w:sz w:val="20"/>
          <w:szCs w:val="20"/>
          <w:lang w:eastAsia="es-ES"/>
        </w:rPr>
      </w:pPr>
    </w:p>
    <w:p w14:paraId="06767041" w14:textId="77777777" w:rsidR="0083574D" w:rsidRDefault="0083574D" w:rsidP="0083574D">
      <w:pPr>
        <w:spacing w:after="0" w:line="240" w:lineRule="auto"/>
        <w:ind w:left="709" w:right="709"/>
        <w:jc w:val="both"/>
        <w:rPr>
          <w:rFonts w:ascii="Verdana" w:eastAsia="Calibri" w:hAnsi="Verdana" w:cs="Arial"/>
          <w:sz w:val="20"/>
          <w:szCs w:val="20"/>
          <w:lang w:eastAsia="es-ES"/>
        </w:rPr>
      </w:pPr>
      <w:r w:rsidRPr="002A3C53">
        <w:rPr>
          <w:rFonts w:ascii="Verdana" w:eastAsia="Calibri" w:hAnsi="Verdana" w:cs="Arial"/>
          <w:sz w:val="20"/>
          <w:szCs w:val="20"/>
          <w:lang w:eastAsia="es-ES"/>
        </w:rPr>
        <w:t>¿Con base en la exposición anterior puede la Agencia Nacional de Hidrocarburos contratar a Servicios postales nacionales 4-72 mediante un contrato interadministrativo o cualquier otro medio?</w:t>
      </w:r>
      <w:r>
        <w:rPr>
          <w:rFonts w:ascii="Verdana" w:eastAsia="Calibri" w:hAnsi="Verdana" w:cs="Arial"/>
          <w:sz w:val="20"/>
          <w:szCs w:val="20"/>
          <w:lang w:eastAsia="es-ES"/>
        </w:rPr>
        <w:t xml:space="preserve">”. </w:t>
      </w:r>
    </w:p>
    <w:p w14:paraId="08BD2D9B" w14:textId="77777777" w:rsidR="0083574D" w:rsidRPr="00755387" w:rsidRDefault="0083574D" w:rsidP="0083574D">
      <w:pPr>
        <w:spacing w:after="0" w:line="276" w:lineRule="auto"/>
        <w:ind w:right="709"/>
        <w:jc w:val="both"/>
        <w:rPr>
          <w:rFonts w:ascii="Verdana" w:eastAsia="Calibri" w:hAnsi="Verdana" w:cs="Arial"/>
          <w:lang w:eastAsia="es-ES"/>
        </w:rPr>
      </w:pPr>
    </w:p>
    <w:p w14:paraId="5C8B4B6E" w14:textId="77777777" w:rsidR="0083574D" w:rsidRPr="00960F72" w:rsidRDefault="0083574D" w:rsidP="0083574D">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960F72">
        <w:rPr>
          <w:rFonts w:ascii="Verdana" w:eastAsia="Calibri" w:hAnsi="Verdana" w:cs="Arial"/>
          <w:lang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6D996AC" w14:textId="77777777" w:rsidR="0083574D" w:rsidRDefault="0083574D" w:rsidP="0083574D">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4762AE9" w14:textId="77777777" w:rsidR="0083574D" w:rsidRPr="00960F72" w:rsidRDefault="0083574D" w:rsidP="0083574D">
      <w:pPr>
        <w:spacing w:after="0" w:line="276" w:lineRule="auto"/>
        <w:ind w:firstLine="709"/>
        <w:jc w:val="both"/>
        <w:rPr>
          <w:rFonts w:ascii="Verdana" w:eastAsia="Calibri" w:hAnsi="Verdana" w:cs="Arial"/>
          <w:lang w:eastAsia="es-ES"/>
        </w:rPr>
      </w:pPr>
    </w:p>
    <w:p w14:paraId="0459121A" w14:textId="77777777" w:rsidR="0083574D" w:rsidRPr="00960F72" w:rsidRDefault="0083574D" w:rsidP="008357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81820AC" w14:textId="77777777" w:rsidR="0083574D" w:rsidRPr="00960F72" w:rsidRDefault="0083574D" w:rsidP="0083574D">
      <w:pPr>
        <w:tabs>
          <w:tab w:val="left" w:pos="426"/>
        </w:tabs>
        <w:spacing w:after="0" w:line="276" w:lineRule="auto"/>
        <w:jc w:val="both"/>
        <w:rPr>
          <w:rFonts w:ascii="Verdana" w:eastAsia="Century Gothic" w:hAnsi="Verdana" w:cs="Century Gothic"/>
        </w:rPr>
      </w:pPr>
    </w:p>
    <w:p w14:paraId="00AA4D4A" w14:textId="77777777" w:rsidR="0083574D" w:rsidRPr="00C15525" w:rsidRDefault="0083574D" w:rsidP="0083574D">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C15525">
        <w:rPr>
          <w:rFonts w:ascii="Verdana" w:eastAsia="Century Gothic" w:hAnsi="Verdana" w:cs="Century Gothic"/>
          <w:color w:val="000000" w:themeColor="text1"/>
        </w:rPr>
        <w:t xml:space="preserve">¿Las restricciones contempladas en </w:t>
      </w:r>
      <w:r w:rsidRPr="00C15525">
        <w:rPr>
          <w:rFonts w:ascii="Verdana" w:eastAsia="Times New Roman" w:hAnsi="Verdana" w:cs="Arial"/>
          <w:lang w:eastAsia="es-CO"/>
        </w:rPr>
        <w:t>los artículos 33 y 38 de la Ley de Garantías Electorales aplica a los co</w:t>
      </w:r>
      <w:r>
        <w:rPr>
          <w:rFonts w:ascii="Verdana" w:eastAsia="Times New Roman" w:hAnsi="Verdana" w:cs="Arial"/>
          <w:lang w:eastAsia="es-CO"/>
        </w:rPr>
        <w:t>ntratos</w:t>
      </w:r>
      <w:r w:rsidRPr="00C15525">
        <w:rPr>
          <w:rFonts w:ascii="Verdana" w:eastAsia="Times New Roman" w:hAnsi="Verdana" w:cs="Arial"/>
          <w:lang w:eastAsia="es-CO"/>
        </w:rPr>
        <w:t xml:space="preserve"> celebrados entre las entidades estatales y la </w:t>
      </w:r>
      <w:r w:rsidRPr="00EB58E0">
        <w:rPr>
          <w:rFonts w:ascii="Verdana" w:eastAsia="Times New Roman" w:hAnsi="Verdana" w:cs="Arial"/>
          <w:lang w:eastAsia="es-CO"/>
        </w:rPr>
        <w:t>sociedad Servicios Postales Nacionales S.A</w:t>
      </w:r>
      <w:r>
        <w:rPr>
          <w:rFonts w:ascii="Verdana" w:eastAsia="Times New Roman" w:hAnsi="Verdana" w:cs="Arial"/>
          <w:lang w:eastAsia="es-CO"/>
        </w:rPr>
        <w:t>.,</w:t>
      </w:r>
      <w:r w:rsidRPr="00EB58E0">
        <w:rPr>
          <w:rFonts w:ascii="Verdana" w:eastAsia="Times New Roman" w:hAnsi="Verdana" w:cs="Arial"/>
          <w:lang w:eastAsia="es-CO"/>
        </w:rPr>
        <w:t xml:space="preserve"> </w:t>
      </w:r>
      <w:r w:rsidRPr="00C15525">
        <w:rPr>
          <w:rFonts w:ascii="Verdana" w:eastAsia="Times New Roman" w:hAnsi="Verdana" w:cs="Arial"/>
          <w:lang w:eastAsia="es-CO"/>
        </w:rPr>
        <w:t>en cumplimiento</w:t>
      </w:r>
      <w:r w:rsidRPr="00EB58E0">
        <w:t xml:space="preserve"> </w:t>
      </w:r>
      <w:r>
        <w:rPr>
          <w:rFonts w:ascii="Verdana" w:eastAsia="Times New Roman" w:hAnsi="Verdana" w:cs="Arial"/>
          <w:lang w:eastAsia="es-CO"/>
        </w:rPr>
        <w:t xml:space="preserve">del </w:t>
      </w:r>
      <w:r w:rsidRPr="00EB58E0">
        <w:rPr>
          <w:rFonts w:ascii="Verdana" w:eastAsia="Times New Roman" w:hAnsi="Verdana" w:cs="Arial"/>
          <w:lang w:eastAsia="es-CO"/>
        </w:rPr>
        <w:t>artículo 15 de la Ley 1369 de 2009</w:t>
      </w:r>
      <w:r w:rsidRPr="00C15525">
        <w:rPr>
          <w:rFonts w:ascii="Verdana" w:hAnsi="Verdana"/>
          <w:iCs/>
        </w:rPr>
        <w:t>?</w:t>
      </w:r>
    </w:p>
    <w:p w14:paraId="2063CB74" w14:textId="77777777" w:rsidR="0083574D" w:rsidRPr="00960F72" w:rsidRDefault="0083574D" w:rsidP="0083574D">
      <w:pPr>
        <w:spacing w:after="0" w:line="276" w:lineRule="auto"/>
        <w:jc w:val="both"/>
        <w:rPr>
          <w:rFonts w:ascii="Verdana" w:eastAsia="Century Gothic" w:hAnsi="Verdana" w:cs="Century Gothic"/>
        </w:rPr>
      </w:pPr>
    </w:p>
    <w:p w14:paraId="2F80E421" w14:textId="77777777" w:rsidR="0083574D" w:rsidRDefault="0083574D" w:rsidP="008357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7EBC93CC" w14:textId="77777777" w:rsidR="0083574D" w:rsidRPr="00027E7B" w:rsidRDefault="0083574D" w:rsidP="0083574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3574D" w:rsidRPr="00960F72" w14:paraId="60D0AE6E" w14:textId="77777777" w:rsidTr="00C3486D">
        <w:tc>
          <w:tcPr>
            <w:tcW w:w="8828" w:type="dxa"/>
          </w:tcPr>
          <w:p w14:paraId="237EFE72" w14:textId="77777777" w:rsidR="0083574D" w:rsidRPr="00C15525" w:rsidRDefault="0083574D" w:rsidP="00C3486D">
            <w:pPr>
              <w:spacing w:after="120" w:line="276" w:lineRule="auto"/>
              <w:jc w:val="both"/>
              <w:rPr>
                <w:rFonts w:ascii="Verdana" w:eastAsia="Times New Roman" w:hAnsi="Verdana" w:cs="Arial"/>
                <w:lang w:eastAsia="es-CO"/>
              </w:rPr>
            </w:pPr>
            <w:r w:rsidRPr="00C15525">
              <w:rPr>
                <w:rFonts w:ascii="Verdana" w:eastAsia="Times New Roman" w:hAnsi="Verdana" w:cs="Arial"/>
                <w:lang w:eastAsia="es-CO"/>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9F42AE9" w14:textId="77777777" w:rsidR="0083574D" w:rsidRPr="00C15525" w:rsidRDefault="0083574D" w:rsidP="00C3486D">
            <w:pPr>
              <w:spacing w:after="120" w:line="276" w:lineRule="auto"/>
              <w:ind w:firstLine="743"/>
              <w:jc w:val="both"/>
              <w:rPr>
                <w:rFonts w:ascii="Verdana" w:eastAsia="Times New Roman" w:hAnsi="Verdana" w:cs="Arial"/>
                <w:lang w:eastAsia="es-CO"/>
              </w:rPr>
            </w:pPr>
            <w:r w:rsidRPr="00C15525">
              <w:rPr>
                <w:rFonts w:ascii="Verdana" w:eastAsia="Times New Roman" w:hAnsi="Verdana" w:cs="Arial"/>
                <w:lang w:eastAsia="es-CO"/>
              </w:rPr>
              <w:t xml:space="preserve">El artículo 33 de la Ley 996 de 2005 señala expresamente a los destinatarios de la prohibición, en el sentido de que son “todos los entes del </w:t>
            </w:r>
            <w:r w:rsidRPr="00C15525">
              <w:rPr>
                <w:rFonts w:ascii="Verdana" w:eastAsia="Times New Roman" w:hAnsi="Verdana" w:cs="Arial"/>
                <w:lang w:eastAsia="es-CO"/>
              </w:rPr>
              <w:lastRenderedPageBreak/>
              <w:t>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071F2223" w14:textId="77777777" w:rsidR="0083574D" w:rsidRPr="00EB58E0" w:rsidRDefault="0083574D" w:rsidP="00C3486D">
            <w:pPr>
              <w:spacing w:after="120" w:line="276" w:lineRule="auto"/>
              <w:ind w:firstLine="709"/>
              <w:jc w:val="both"/>
              <w:rPr>
                <w:rFonts w:ascii="Verdana" w:eastAsia="Times New Roman" w:hAnsi="Verdana" w:cs="Arial"/>
                <w:lang w:eastAsia="es-CO"/>
              </w:rPr>
            </w:pPr>
            <w:r w:rsidRPr="00C15525">
              <w:rPr>
                <w:rFonts w:ascii="Verdana" w:eastAsia="Times New Roman" w:hAnsi="Verdana" w:cs="Arial"/>
                <w:lang w:eastAsia="es-CO"/>
              </w:rPr>
              <w:t xml:space="preserve">Por su parte, el parágrafo del artículo 38 de la Ley 996 de 2005 prohíbe a los Alcaldes, Gobernadores, Secretarios, Gerentes y Directores de las entidades del orden municipal, departamental o distrital </w:t>
            </w:r>
            <w:r w:rsidRPr="00C15525">
              <w:rPr>
                <w:rFonts w:ascii="Verdana" w:eastAsia="Times New Roman" w:hAnsi="Verdana" w:cs="Arial"/>
                <w:i/>
                <w:iCs/>
                <w:lang w:eastAsia="es-CO"/>
              </w:rPr>
              <w:t>celebrar convenios interadministrativos para la ejecución de recursos públicos</w:t>
            </w:r>
            <w:r w:rsidRPr="00C15525">
              <w:rPr>
                <w:rFonts w:ascii="Verdana" w:eastAsia="Times New Roman" w:hAnsi="Verdana" w:cs="Arial"/>
                <w:lang w:eastAsia="es-CO"/>
              </w:rPr>
              <w:t xml:space="preserve">.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506D44FF" w14:textId="77777777" w:rsidR="0083574D" w:rsidRDefault="0083574D" w:rsidP="00C3486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Ahora bien, l</w:t>
            </w:r>
            <w:r w:rsidRPr="00EB58E0">
              <w:rPr>
                <w:rFonts w:ascii="Verdana" w:eastAsia="Times New Roman" w:hAnsi="Verdana" w:cs="Arial"/>
                <w:lang w:eastAsia="es-CO"/>
              </w:rPr>
              <w:t>a Ley 1369 de 2009 establece el marco regulatorio para los servicios postales en Colombia, definiéndolos como un servicio público cuya titularidad recae en el Estado. El objeto principal de 4-72 es la prestación de estos servicios, que consisten en "el desarrollo de las actividades de recepción, clasificación, transporte y entrega de objetos postales a través de redes postales</w:t>
            </w:r>
            <w:r>
              <w:rPr>
                <w:rFonts w:ascii="Verdana" w:eastAsia="Times New Roman" w:hAnsi="Verdana" w:cs="Arial"/>
                <w:lang w:eastAsia="es-CO"/>
              </w:rPr>
              <w:t>”.</w:t>
            </w:r>
            <w:r w:rsidRPr="00EB58E0">
              <w:rPr>
                <w:rFonts w:ascii="Verdana" w:eastAsia="Times New Roman" w:hAnsi="Verdana" w:cs="Arial"/>
                <w:lang w:eastAsia="es-CO"/>
              </w:rPr>
              <w:t xml:space="preserve"> En su calidad de Operador Postal Oficial o Concesionario de Correo, 4-72 tiene la responsabilidad exclusiva de prestar el Servicio Postal Universal, la franquicia postal y el servicio de giros internacionales, entre otros.</w:t>
            </w:r>
          </w:p>
          <w:p w14:paraId="0AFCD1E4" w14:textId="77777777" w:rsidR="0083574D" w:rsidRPr="00EB58E0" w:rsidRDefault="0083574D" w:rsidP="00C3486D">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Una función de especial relevancia, similar a la de otras entidades estatales que garantizan servicios esenciales para el funcionamiento del Estado, es la denominada "área de reserva".</w:t>
            </w:r>
            <w:r>
              <w:rPr>
                <w:rFonts w:ascii="Verdana" w:eastAsia="Times New Roman" w:hAnsi="Verdana" w:cs="Arial"/>
                <w:lang w:eastAsia="es-CO"/>
              </w:rPr>
              <w:t xml:space="preserve"> Como se explicó,</w:t>
            </w:r>
            <w:r w:rsidRPr="00EB58E0">
              <w:rPr>
                <w:rFonts w:ascii="Verdana" w:eastAsia="Times New Roman" w:hAnsi="Verdana" w:cs="Arial"/>
                <w:lang w:eastAsia="es-CO"/>
              </w:rPr>
              <w:t xml:space="preserve"> </w:t>
            </w:r>
            <w:r>
              <w:rPr>
                <w:rFonts w:ascii="Verdana" w:eastAsia="Times New Roman" w:hAnsi="Verdana" w:cs="Arial"/>
                <w:lang w:eastAsia="es-CO"/>
              </w:rPr>
              <w:t>s</w:t>
            </w:r>
            <w:r w:rsidRPr="00EB58E0">
              <w:rPr>
                <w:rFonts w:ascii="Verdana" w:eastAsia="Times New Roman" w:hAnsi="Verdana" w:cs="Arial"/>
                <w:lang w:eastAsia="es-CO"/>
              </w:rPr>
              <w:t>egún el artículo 15 de la Ley 1369 de 2009,</w:t>
            </w:r>
            <w:r w:rsidRPr="005619C2">
              <w:rPr>
                <w:rFonts w:ascii="Verdana" w:eastAsia="Times New Roman" w:hAnsi="Verdana" w:cs="Arial"/>
                <w:lang w:eastAsia="es-CO"/>
              </w:rPr>
              <w:t xml:space="preserve"> </w:t>
            </w:r>
            <w:r>
              <w:rPr>
                <w:rFonts w:ascii="Verdana" w:eastAsia="Times New Roman" w:hAnsi="Verdana" w:cs="Arial"/>
                <w:lang w:eastAsia="es-CO"/>
              </w:rPr>
              <w:t xml:space="preserve">el </w:t>
            </w:r>
            <w:r w:rsidRPr="00EB58E0">
              <w:rPr>
                <w:rFonts w:ascii="Verdana" w:eastAsia="Times New Roman" w:hAnsi="Verdana" w:cs="Arial"/>
                <w:lang w:eastAsia="es-CO"/>
              </w:rPr>
              <w:t>Concesionario de Correo 4-72 es:</w:t>
            </w:r>
            <w:r>
              <w:rPr>
                <w:rFonts w:ascii="Verdana" w:eastAsia="Times New Roman" w:hAnsi="Verdana" w:cs="Arial"/>
                <w:lang w:eastAsia="es-CO"/>
              </w:rPr>
              <w:t xml:space="preserve"> </w:t>
            </w:r>
            <w:r w:rsidRPr="00EB58E0">
              <w:rPr>
                <w:rFonts w:ascii="Verdana" w:eastAsia="Times New Roman" w:hAnsi="Verdana" w:cs="Arial"/>
                <w:lang w:eastAsia="es-CO"/>
              </w:rPr>
              <w:t>“[…] la única autorizada por la ley para prestar los servicios de correo a las entidades integrantes de la Rama Ejecutiva, Legislativa y Judicial del poder público</w:t>
            </w:r>
            <w:r>
              <w:rPr>
                <w:rFonts w:ascii="Verdana" w:eastAsia="Times New Roman" w:hAnsi="Verdana" w:cs="Arial"/>
                <w:lang w:eastAsia="es-CO"/>
              </w:rPr>
              <w:t>”</w:t>
            </w:r>
            <w:r w:rsidRPr="00EB58E0">
              <w:rPr>
                <w:rFonts w:ascii="Verdana" w:eastAsia="Times New Roman" w:hAnsi="Verdana" w:cs="Arial"/>
                <w:lang w:eastAsia="es-CO"/>
              </w:rPr>
              <w:t>.</w:t>
            </w:r>
          </w:p>
          <w:p w14:paraId="200CD6D8" w14:textId="77777777" w:rsidR="0083574D" w:rsidRDefault="0083574D" w:rsidP="00C3486D">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 xml:space="preserve">En este sentido, y en virtud de su naturaleza, la Ley 489 de 1998 es fundamental para determinar su estructura y régimen. El parágrafo 1° del artículo 38 de dicha ley establece que las sociedades públicas con participación estatal superior al 90% se someten al régimen previsto para las Empresas </w:t>
            </w:r>
            <w:r w:rsidRPr="00EB58E0">
              <w:rPr>
                <w:rFonts w:ascii="Verdana" w:eastAsia="Times New Roman" w:hAnsi="Verdana" w:cs="Arial"/>
                <w:lang w:eastAsia="es-CO"/>
              </w:rPr>
              <w:lastRenderedPageBreak/>
              <w:t>Industriales y Comerciales del Estado. En consecuencia, 4-72 se clasifica como una entidad pública descentralizada indirecta que forma parte de la Rama Ejecutiva del poder público, y su régimen jurídico, incluyendo el de sus actos y contratos, es el de una Empresa Industrial y Comercial del Estado, desarrollando sus actividades conforme a las reglas del derecho privado, con las excepciones que consagre la ley.</w:t>
            </w:r>
          </w:p>
          <w:p w14:paraId="279AED18" w14:textId="77777777" w:rsidR="0083574D" w:rsidRPr="00EB58E0" w:rsidRDefault="0083574D" w:rsidP="00C3486D">
            <w:pPr>
              <w:spacing w:after="120" w:line="276" w:lineRule="auto"/>
              <w:ind w:firstLine="709"/>
              <w:jc w:val="both"/>
              <w:rPr>
                <w:rFonts w:ascii="Verdana" w:eastAsia="Times New Roman" w:hAnsi="Verdana" w:cs="Arial"/>
                <w:lang w:eastAsia="es-CO"/>
              </w:rPr>
            </w:pPr>
            <w:r w:rsidRPr="003C496D">
              <w:rPr>
                <w:rFonts w:ascii="Verdana" w:eastAsia="Calibri" w:hAnsi="Verdana" w:cs="Arial"/>
                <w:bCs/>
                <w:color w:val="000000" w:themeColor="text1"/>
              </w:rPr>
              <w:t>Si bien, de conformidad con lo establecido en el artículo 14 de la Ley 1150 de 2007, modificado por el artículo 93 de la Ley 1474 del 2011, las empresas industriales y comerciales del Estado, con una participación pública superior al cincuenta por ciento (50%), sus filiales y las sociedades entre entidades públicas con participación mayoritaria del Estado superior al cincuenta por ciento (50%) que desarrollan actividades comerciales en competencia con el sector privado y/o público, nacional o internacional o en mercados regulados, se rigen por las disposiciones legales y reglamentarias aplicables a sus actividades económicas y comerciales, es decir, se rigen por las normas del derecho privado, esta circunstancia no las excluye de la aplicación de las restricciones establecidas en la Ley Garantías Electorales. Como se ha precisado, la restricción consagrada en la Ley de Garantías en materia de contratación directa y celebración de convenios interadministrativos para la ejecución de recursos públicos se aplican también a las Empresas Industriales y Comerciales del Estado, en la medida que el hecho de que estén exceptuadas del Estatuto General de Contratación de la Administración Pública no implica que sean exceptuadas de las demás normas del ordenamiento jurídico colombiano.</w:t>
            </w:r>
            <w:r w:rsidRPr="00C15525">
              <w:rPr>
                <w:rFonts w:ascii="Verdana" w:eastAsia="Calibri" w:hAnsi="Verdana" w:cs="Arial"/>
                <w:bCs/>
                <w:color w:val="000000" w:themeColor="text1"/>
              </w:rPr>
              <w:t xml:space="preserve">   </w:t>
            </w:r>
          </w:p>
          <w:p w14:paraId="7D867646" w14:textId="77777777" w:rsidR="0083574D" w:rsidRPr="00C723BE" w:rsidRDefault="0083574D" w:rsidP="00C3486D">
            <w:pPr>
              <w:spacing w:after="120" w:line="276" w:lineRule="auto"/>
              <w:jc w:val="both"/>
              <w:rPr>
                <w:rFonts w:ascii="Verdana" w:hAnsi="Verdana"/>
              </w:rPr>
            </w:pPr>
            <w:r>
              <w:rPr>
                <w:rFonts w:ascii="Verdana" w:eastAsia="Times New Roman" w:hAnsi="Verdana" w:cs="Arial"/>
                <w:lang w:eastAsia="es-CO"/>
              </w:rPr>
              <w:t xml:space="preserve">      </w:t>
            </w:r>
            <w:r>
              <w:rPr>
                <w:rFonts w:ascii="Verdana" w:hAnsi="Verdana"/>
              </w:rPr>
              <w:t xml:space="preserve"> No obstante lo anterior</w:t>
            </w:r>
            <w:r w:rsidRPr="00C723BE">
              <w:rPr>
                <w:rFonts w:ascii="Verdana" w:hAnsi="Verdana"/>
              </w:rPr>
              <w:t>, la Ley 1369 de 2009 establece una obligación legal para las entidades de las Ramas Ejecutiva, Legislativa y Judicial de contratar los servicios de correo exclusivamente con Servicios Postales Nacionales S.A.S. Este mandato implica que dichos servicios no pueden ser contratados con terceros operadores, so pena de incurrir en las infracciones postales previstas en el artículo 37 de la misma ley.</w:t>
            </w:r>
          </w:p>
          <w:p w14:paraId="2A74635A" w14:textId="77777777" w:rsidR="0083574D" w:rsidRPr="00C723BE" w:rsidRDefault="0083574D" w:rsidP="00C3486D">
            <w:pPr>
              <w:spacing w:after="160" w:line="278" w:lineRule="auto"/>
              <w:jc w:val="both"/>
              <w:rPr>
                <w:rFonts w:ascii="Verdana" w:hAnsi="Verdana"/>
              </w:rPr>
            </w:pPr>
            <w:r>
              <w:rPr>
                <w:rFonts w:ascii="Verdana" w:hAnsi="Verdana"/>
              </w:rPr>
              <w:t xml:space="preserve">      </w:t>
            </w:r>
            <w:r w:rsidRPr="00C723BE">
              <w:rPr>
                <w:rFonts w:ascii="Verdana" w:hAnsi="Verdana"/>
              </w:rPr>
              <w:t xml:space="preserve">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w:t>
            </w:r>
            <w:r w:rsidRPr="00C723BE">
              <w:rPr>
                <w:rFonts w:ascii="Verdana" w:hAnsi="Verdana"/>
              </w:rPr>
              <w:lastRenderedPageBreak/>
              <w:t>contratos con esta entidad tiene como finalidad garantizar la prestación de un servicio cuya ejecución ha sido atribuida de manera exclusiva por el legislador.</w:t>
            </w:r>
          </w:p>
          <w:p w14:paraId="4E143A5A" w14:textId="77777777" w:rsidR="0083574D" w:rsidRDefault="0083574D" w:rsidP="00C3486D">
            <w:pPr>
              <w:spacing w:after="160" w:line="278" w:lineRule="auto"/>
              <w:jc w:val="both"/>
              <w:rPr>
                <w:rFonts w:ascii="Verdana" w:hAnsi="Verdana"/>
              </w:rPr>
            </w:pPr>
            <w:r>
              <w:rPr>
                <w:rFonts w:ascii="Verdana" w:hAnsi="Verdana"/>
              </w:rPr>
              <w:t xml:space="preserve">         </w:t>
            </w:r>
            <w:r w:rsidRPr="00C723BE">
              <w:rPr>
                <w:rFonts w:ascii="Verdana" w:hAnsi="Verdana"/>
              </w:rPr>
              <w:t>Desde esta perspectiva, la celebración de contratos interadministrativos con Servicios Postales Nacionales S.A.S. para la prestación de los servicios de correo responde al cumplimiento de una obligación legal establecida en la Ley 1369 de 2009, y no al ejercicio de la autonomía contractual de la entidad. Por ello, su celebración se enmarca en el cumplimiento de un mandato normativo específico que determina el operador habilitado para prestar dicho servicio a las entidades públicas.</w:t>
            </w:r>
            <w:r>
              <w:rPr>
                <w:rFonts w:ascii="Verdana" w:hAnsi="Verdana"/>
              </w:rPr>
              <w:t xml:space="preserve"> Por tanto</w:t>
            </w:r>
            <w:r w:rsidRPr="00C723BE">
              <w:rPr>
                <w:rFonts w:ascii="Verdana" w:hAnsi="Verdana"/>
              </w:rPr>
              <w:t>, la contratación de los servicios de correo con Servicios Postales Nacionales S.A.S., en cumplimiento de lo dispuesto en el artículo 15 de la Ley 1369 de 2009, constituye la materialización de una obligación legal prevista por el legislador para las entidades públicas.</w:t>
            </w:r>
          </w:p>
          <w:p w14:paraId="790F738C" w14:textId="77777777" w:rsidR="0083574D" w:rsidRPr="00C31CD4" w:rsidRDefault="0083574D" w:rsidP="00C3486D">
            <w:pPr>
              <w:spacing w:line="276" w:lineRule="auto"/>
              <w:ind w:firstLine="360"/>
              <w:contextualSpacing/>
              <w:jc w:val="both"/>
              <w:rPr>
                <w:rFonts w:ascii="Verdana" w:hAnsi="Verdana"/>
              </w:rPr>
            </w:pPr>
            <w:r w:rsidRPr="00C15525">
              <w:rPr>
                <w:rFonts w:ascii="Verdana" w:eastAsia="Arial" w:hAnsi="Verdana" w:cs="Arial"/>
                <w:lang w:eastAsia="es-ES" w:bidi="es-ES"/>
              </w:rPr>
              <w:t>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w:t>
            </w:r>
            <w:r>
              <w:rPr>
                <w:rFonts w:ascii="Verdana" w:eastAsia="Arial" w:hAnsi="Verdana" w:cs="Arial"/>
                <w:lang w:eastAsia="es-ES" w:bidi="es-ES"/>
              </w:rPr>
              <w:t xml:space="preserve">  </w:t>
            </w:r>
            <w:r w:rsidRPr="00C723BE">
              <w:rPr>
                <w:rFonts w:ascii="Verdana" w:hAnsi="Verdana"/>
              </w:rPr>
              <w:t xml:space="preserve"> artículo 15 de la Ley 1369 de 2009</w:t>
            </w:r>
            <w:r w:rsidRPr="00C15525">
              <w:rPr>
                <w:rFonts w:ascii="Verdana" w:eastAsia="Arial" w:hAnsi="Verdana" w:cs="Arial"/>
                <w:lang w:eastAsia="es-ES" w:bidi="es-ES"/>
              </w:rPr>
              <w:t xml:space="preserve">.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0C09371" w14:textId="77777777" w:rsidR="0083574D" w:rsidRPr="00960F72" w:rsidRDefault="0083574D" w:rsidP="0083574D">
      <w:pPr>
        <w:tabs>
          <w:tab w:val="left" w:pos="142"/>
          <w:tab w:val="left" w:pos="284"/>
        </w:tabs>
        <w:spacing w:after="0" w:line="276" w:lineRule="auto"/>
        <w:jc w:val="both"/>
        <w:rPr>
          <w:rFonts w:ascii="Verdana" w:eastAsia="Century Gothic" w:hAnsi="Verdana" w:cs="Century Gothic"/>
          <w:b/>
          <w:bCs/>
        </w:rPr>
      </w:pPr>
    </w:p>
    <w:p w14:paraId="36E53BF4" w14:textId="77777777" w:rsidR="0083574D" w:rsidRDefault="0083574D" w:rsidP="008357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1339DAAE" w14:textId="77777777" w:rsidR="0083574D" w:rsidRDefault="0083574D" w:rsidP="0083574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D87134A" w14:textId="77777777" w:rsidR="0083574D" w:rsidRDefault="0083574D" w:rsidP="0083574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1FBBBB3" w14:textId="77777777" w:rsidR="0083574D" w:rsidRPr="000C6D8F" w:rsidRDefault="0083574D" w:rsidP="0083574D">
      <w:pPr>
        <w:spacing w:after="0" w:line="276" w:lineRule="auto"/>
        <w:jc w:val="both"/>
        <w:rPr>
          <w:rFonts w:ascii="Verdana" w:eastAsia="Calibri" w:hAnsi="Verdana" w:cs="Arial"/>
          <w:lang w:val="es-ES"/>
        </w:rPr>
      </w:pPr>
    </w:p>
    <w:p w14:paraId="215C9640" w14:textId="77777777" w:rsidR="0083574D" w:rsidRDefault="0083574D" w:rsidP="0083574D">
      <w:pPr>
        <w:spacing w:after="0" w:line="276" w:lineRule="auto"/>
        <w:jc w:val="both"/>
        <w:rPr>
          <w:rFonts w:ascii="Verdana" w:eastAsia="Calibri" w:hAnsi="Verdana" w:cs="Arial"/>
          <w:color w:val="000000" w:themeColor="text1"/>
          <w:lang w:val="es-ES"/>
        </w:rPr>
      </w:pPr>
      <w:r w:rsidRPr="00C15525">
        <w:rPr>
          <w:rFonts w:ascii="Verdana" w:eastAsia="Calibri" w:hAnsi="Verdana" w:cs="Arial"/>
          <w:color w:val="000000" w:themeColor="text1"/>
          <w:lang w:val="es-ES"/>
        </w:rPr>
        <w:t xml:space="preserve">Lo anterior se sustenta en las siguientes consideraciones: </w:t>
      </w:r>
    </w:p>
    <w:p w14:paraId="77FCCF04" w14:textId="77777777" w:rsidR="0083574D" w:rsidRPr="00C15525" w:rsidRDefault="0083574D" w:rsidP="0083574D">
      <w:pPr>
        <w:spacing w:after="0" w:line="276" w:lineRule="auto"/>
        <w:jc w:val="both"/>
        <w:rPr>
          <w:rFonts w:ascii="Verdana" w:eastAsia="Calibri" w:hAnsi="Verdana" w:cs="Arial"/>
          <w:color w:val="000000" w:themeColor="text1"/>
          <w:lang w:val="es-ES"/>
        </w:rPr>
      </w:pPr>
    </w:p>
    <w:p w14:paraId="389ECE61" w14:textId="77777777" w:rsidR="0083574D" w:rsidRPr="00C15525" w:rsidRDefault="0083574D" w:rsidP="0083574D">
      <w:pPr>
        <w:tabs>
          <w:tab w:val="left" w:pos="426"/>
        </w:tabs>
        <w:spacing w:after="120" w:line="276" w:lineRule="auto"/>
        <w:jc w:val="both"/>
        <w:rPr>
          <w:rFonts w:ascii="Verdana" w:eastAsia="Times New Roman" w:hAnsi="Verdana" w:cs="Arial"/>
          <w:lang w:eastAsia="es-CO"/>
        </w:rPr>
      </w:pPr>
      <w:r w:rsidRPr="00C15525">
        <w:rPr>
          <w:rFonts w:ascii="Verdana" w:eastAsia="Calibri" w:hAnsi="Verdana" w:cs="Arial"/>
          <w:color w:val="000000" w:themeColor="text1"/>
        </w:rPr>
        <w:t xml:space="preserve">i. </w:t>
      </w:r>
      <w:r w:rsidRPr="00C15525">
        <w:rPr>
          <w:rFonts w:ascii="Verdana" w:eastAsia="Calibri" w:hAnsi="Verdana" w:cs="Arial"/>
        </w:rPr>
        <w:t>El ordenamiento jurídico colombiano contempla previsiones claras para evitar la obtención de beneficios personales en asuntos propios de la administración pública</w:t>
      </w:r>
      <w:r w:rsidRPr="00C15525">
        <w:rPr>
          <w:rFonts w:ascii="Verdana" w:eastAsia="Calibri" w:hAnsi="Verdana" w:cs="Arial"/>
          <w:i/>
        </w:rPr>
        <w:t xml:space="preserve">. </w:t>
      </w:r>
      <w:r w:rsidRPr="00C15525">
        <w:rPr>
          <w:rFonts w:ascii="Verdana" w:eastAsia="Calibri" w:hAnsi="Verdana" w:cs="Arial"/>
        </w:rPr>
        <w:t xml:space="preserve">Por ejemplo, el artículo 127 de la Constitución Política establece una prohibición contractual a los servidores públicos y en cuanto a aspectos políticos </w:t>
      </w:r>
      <w:r w:rsidRPr="00C15525">
        <w:rPr>
          <w:rFonts w:ascii="Verdana" w:eastAsia="Calibri" w:hAnsi="Verdana" w:cs="Arial"/>
        </w:rPr>
        <w:lastRenderedPageBreak/>
        <w:t>consagra restricciones a ciertos empleados del Estado, incluso en época no electoral</w:t>
      </w:r>
      <w:r w:rsidRPr="00C15525">
        <w:rPr>
          <w:rFonts w:ascii="Verdana" w:eastAsia="Calibri" w:hAnsi="Verdana" w:cs="Arial"/>
          <w:vertAlign w:val="superscript"/>
        </w:rPr>
        <w:footnoteReference w:id="2"/>
      </w:r>
      <w:r w:rsidRPr="00C15525">
        <w:rPr>
          <w:rFonts w:ascii="Verdana" w:eastAsia="Calibri" w:hAnsi="Verdana" w:cs="Arial"/>
        </w:rPr>
        <w:t xml:space="preserve">. </w:t>
      </w:r>
    </w:p>
    <w:p w14:paraId="3F6037E1" w14:textId="77777777" w:rsidR="0083574D" w:rsidRPr="00C15525" w:rsidRDefault="0083574D" w:rsidP="0083574D">
      <w:pPr>
        <w:tabs>
          <w:tab w:val="left" w:pos="426"/>
        </w:tabs>
        <w:spacing w:after="0" w:line="276" w:lineRule="auto"/>
        <w:ind w:firstLine="709"/>
        <w:jc w:val="both"/>
        <w:rPr>
          <w:rFonts w:ascii="Verdana" w:eastAsia="Times New Roman" w:hAnsi="Verdana" w:cs="Arial"/>
          <w:lang w:val="es-MX" w:eastAsia="es-CO"/>
        </w:rPr>
      </w:pPr>
      <w:r w:rsidRPr="00C15525">
        <w:rPr>
          <w:rFonts w:ascii="Verdana" w:eastAsia="Times New Roman" w:hAnsi="Verdana" w:cs="Arial"/>
          <w:lang w:eastAsia="es-CO"/>
        </w:rPr>
        <w:t>En el mismo sentido</w:t>
      </w:r>
      <w:r w:rsidRPr="00C15525">
        <w:rPr>
          <w:rFonts w:ascii="Verdana" w:eastAsia="Times New Roman" w:hAnsi="Verdana" w:cs="Arial"/>
          <w:lang w:val="es-MX" w:eastAsia="es-CO"/>
        </w:rPr>
        <w:t xml:space="preserve">, </w:t>
      </w:r>
      <w:bookmarkStart w:id="1" w:name="_Hlk99576829"/>
      <w:r w:rsidRPr="00C15525">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15525">
        <w:rPr>
          <w:rFonts w:ascii="Verdana" w:eastAsia="Times New Roman" w:hAnsi="Verdana" w:cs="Arial"/>
          <w:vertAlign w:val="superscript"/>
          <w:lang w:val="es-MX" w:eastAsia="es-CO"/>
        </w:rPr>
        <w:footnoteReference w:id="3"/>
      </w:r>
      <w:r w:rsidRPr="00C1552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15525">
        <w:rPr>
          <w:rFonts w:ascii="Verdana" w:eastAsia="Calibri" w:hAnsi="Verdana" w:cs="Arial"/>
          <w:lang w:val="es-ES_tradnl"/>
        </w:rPr>
        <w:t xml:space="preserve"> </w:t>
      </w:r>
      <w:bookmarkEnd w:id="1"/>
      <w:r w:rsidRPr="00C15525">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94C8801" w14:textId="77777777" w:rsidR="0083574D" w:rsidRPr="00C15525" w:rsidRDefault="0083574D" w:rsidP="0083574D">
      <w:pPr>
        <w:spacing w:after="0" w:line="276" w:lineRule="auto"/>
        <w:ind w:right="709"/>
        <w:contextualSpacing/>
        <w:jc w:val="both"/>
        <w:rPr>
          <w:rFonts w:ascii="Verdana" w:eastAsia="Times New Roman" w:hAnsi="Verdana" w:cs="Arial"/>
          <w:sz w:val="21"/>
          <w:szCs w:val="21"/>
          <w:lang w:val="es-ES" w:eastAsia="es-CO"/>
        </w:rPr>
      </w:pPr>
    </w:p>
    <w:p w14:paraId="380A8354" w14:textId="77777777" w:rsidR="0083574D" w:rsidRPr="00C15525" w:rsidRDefault="0083574D" w:rsidP="0083574D">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ES" w:eastAsia="es-CO"/>
        </w:rPr>
        <w:t xml:space="preserve">“[…] </w:t>
      </w:r>
      <w:r w:rsidRPr="00C1552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65CF5C0" w14:textId="77777777" w:rsidR="0083574D" w:rsidRPr="00C15525" w:rsidRDefault="0083574D" w:rsidP="0083574D">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 </w:t>
      </w:r>
    </w:p>
    <w:p w14:paraId="374C7E1F" w14:textId="77777777" w:rsidR="0083574D" w:rsidRPr="00C15525" w:rsidRDefault="0083574D" w:rsidP="0083574D">
      <w:pPr>
        <w:spacing w:after="0" w:line="240" w:lineRule="auto"/>
        <w:ind w:left="709" w:right="709"/>
        <w:contextualSpacing/>
        <w:jc w:val="both"/>
        <w:rPr>
          <w:rFonts w:ascii="Verdana" w:eastAsia="Times New Roman" w:hAnsi="Verdana" w:cs="Arial"/>
          <w:sz w:val="12"/>
          <w:szCs w:val="12"/>
          <w:lang w:val="es-MX" w:eastAsia="es-CO"/>
        </w:rPr>
      </w:pPr>
    </w:p>
    <w:p w14:paraId="0C8F4E05" w14:textId="77777777" w:rsidR="0083574D" w:rsidRPr="00C15525" w:rsidRDefault="0083574D" w:rsidP="0083574D">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15525">
        <w:rPr>
          <w:rFonts w:ascii="Verdana" w:eastAsia="Calibri" w:hAnsi="Verdana" w:cs="Arial"/>
          <w:sz w:val="20"/>
          <w:szCs w:val="20"/>
          <w:vertAlign w:val="superscript"/>
          <w:lang w:val="es-MX"/>
        </w:rPr>
        <w:footnoteReference w:id="4"/>
      </w:r>
      <w:r w:rsidRPr="00C15525">
        <w:rPr>
          <w:rFonts w:ascii="Verdana" w:eastAsia="Times New Roman" w:hAnsi="Verdana" w:cs="Arial"/>
          <w:sz w:val="20"/>
          <w:szCs w:val="20"/>
          <w:lang w:val="es-MX" w:eastAsia="es-CO"/>
        </w:rPr>
        <w:t>.</w:t>
      </w:r>
    </w:p>
    <w:p w14:paraId="70B0D8BA" w14:textId="77777777" w:rsidR="0083574D" w:rsidRPr="00AE340C" w:rsidRDefault="0083574D" w:rsidP="0083574D">
      <w:pPr>
        <w:spacing w:after="0" w:line="276" w:lineRule="auto"/>
        <w:ind w:left="709" w:right="709"/>
        <w:contextualSpacing/>
        <w:jc w:val="both"/>
        <w:rPr>
          <w:rFonts w:ascii="Verdana" w:eastAsia="Times New Roman" w:hAnsi="Verdana" w:cs="Arial"/>
          <w:lang w:val="es-MX" w:eastAsia="es-CO"/>
        </w:rPr>
      </w:pPr>
    </w:p>
    <w:p w14:paraId="4B773947" w14:textId="77777777" w:rsidR="0083574D" w:rsidRPr="00C15525" w:rsidRDefault="0083574D" w:rsidP="0083574D">
      <w:pPr>
        <w:spacing w:after="0" w:line="276" w:lineRule="auto"/>
        <w:ind w:firstLine="709"/>
        <w:jc w:val="both"/>
        <w:rPr>
          <w:rFonts w:ascii="Verdana" w:eastAsia="Times New Roman" w:hAnsi="Verdana" w:cs="Arial"/>
          <w:lang w:val="es-MX" w:eastAsia="es-CO"/>
        </w:rPr>
      </w:pPr>
      <w:bookmarkStart w:id="2" w:name="_Hlk78818186"/>
      <w:r w:rsidRPr="00C15525">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C1552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37DD2D3D" w14:textId="77777777" w:rsidR="0083574D" w:rsidRPr="00C15525" w:rsidRDefault="0083574D" w:rsidP="0083574D">
      <w:pPr>
        <w:spacing w:line="276" w:lineRule="auto"/>
        <w:ind w:firstLine="709"/>
        <w:contextualSpacing/>
        <w:jc w:val="both"/>
        <w:rPr>
          <w:rFonts w:ascii="Verdana" w:eastAsia="Times New Roman" w:hAnsi="Verdana" w:cs="Arial"/>
          <w:lang w:val="es-MX" w:eastAsia="es-CO"/>
        </w:rPr>
      </w:pPr>
    </w:p>
    <w:p w14:paraId="3B1D4BD6" w14:textId="77777777" w:rsidR="0083574D" w:rsidRPr="00C15525" w:rsidRDefault="0083574D" w:rsidP="0083574D">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DF31FF0" w14:textId="77777777" w:rsidR="0083574D" w:rsidRPr="00C15525" w:rsidRDefault="0083574D" w:rsidP="0083574D">
      <w:pPr>
        <w:spacing w:after="0" w:line="240" w:lineRule="auto"/>
        <w:ind w:right="709"/>
        <w:contextualSpacing/>
        <w:jc w:val="both"/>
        <w:rPr>
          <w:rFonts w:ascii="Verdana" w:eastAsia="Times New Roman" w:hAnsi="Verdana" w:cs="Arial"/>
          <w:sz w:val="12"/>
          <w:szCs w:val="12"/>
          <w:lang w:val="es-MX" w:eastAsia="es-CO"/>
        </w:rPr>
      </w:pPr>
    </w:p>
    <w:p w14:paraId="231D3A2B" w14:textId="77777777" w:rsidR="0083574D" w:rsidRPr="00C15525" w:rsidRDefault="0083574D" w:rsidP="0083574D">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La jurisprudencia de la Corte Constitucional</w:t>
      </w:r>
      <w:r w:rsidRPr="00C15525">
        <w:rPr>
          <w:rFonts w:ascii="Verdana" w:eastAsia="Times New Roman" w:hAnsi="Verdana" w:cs="Arial"/>
          <w:sz w:val="20"/>
          <w:szCs w:val="20"/>
          <w:vertAlign w:val="superscript"/>
          <w:lang w:val="es-MX" w:eastAsia="es-CO"/>
        </w:rPr>
        <w:footnoteReference w:id="5"/>
      </w:r>
      <w:r w:rsidRPr="00C15525">
        <w:rPr>
          <w:rFonts w:ascii="Verdana" w:eastAsia="Times New Roman" w:hAnsi="Verdana" w:cs="Arial"/>
          <w:sz w:val="20"/>
          <w:szCs w:val="20"/>
          <w:lang w:val="es-MX" w:eastAsia="es-CO"/>
        </w:rPr>
        <w:t> y del Consejo de Estado</w:t>
      </w:r>
      <w:r w:rsidRPr="00C15525">
        <w:rPr>
          <w:rFonts w:ascii="Verdana" w:eastAsia="Times New Roman" w:hAnsi="Verdana" w:cs="Arial"/>
          <w:sz w:val="20"/>
          <w:szCs w:val="20"/>
          <w:vertAlign w:val="superscript"/>
          <w:lang w:val="es-MX" w:eastAsia="es-CO"/>
        </w:rPr>
        <w:footnoteReference w:id="6"/>
      </w:r>
      <w:r w:rsidRPr="00C1552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15525">
        <w:rPr>
          <w:rFonts w:ascii="Verdana" w:eastAsia="Times New Roman" w:hAnsi="Verdana" w:cs="Arial"/>
          <w:sz w:val="20"/>
          <w:szCs w:val="20"/>
          <w:vertAlign w:val="superscript"/>
          <w:lang w:val="es-MX" w:eastAsia="es-CO"/>
        </w:rPr>
        <w:footnoteReference w:id="7"/>
      </w:r>
      <w:r w:rsidRPr="00C15525">
        <w:rPr>
          <w:rFonts w:ascii="Verdana" w:eastAsia="Times New Roman" w:hAnsi="Verdana" w:cs="Arial"/>
          <w:sz w:val="20"/>
          <w:szCs w:val="20"/>
          <w:lang w:val="es-MX" w:eastAsia="es-CO"/>
        </w:rPr>
        <w:t>.</w:t>
      </w:r>
    </w:p>
    <w:p w14:paraId="334D4064" w14:textId="77777777" w:rsidR="0083574D" w:rsidRPr="00C15525" w:rsidRDefault="0083574D" w:rsidP="0083574D">
      <w:pPr>
        <w:spacing w:after="0" w:line="276" w:lineRule="auto"/>
        <w:ind w:right="709"/>
        <w:contextualSpacing/>
        <w:jc w:val="both"/>
        <w:rPr>
          <w:rFonts w:ascii="Verdana" w:eastAsia="Times New Roman" w:hAnsi="Verdana" w:cs="Arial"/>
          <w:sz w:val="21"/>
          <w:szCs w:val="21"/>
          <w:lang w:val="es-MX" w:eastAsia="es-CO"/>
        </w:rPr>
      </w:pPr>
    </w:p>
    <w:p w14:paraId="35ABFBB8" w14:textId="77777777" w:rsidR="0083574D" w:rsidRPr="00C15525" w:rsidRDefault="0083574D" w:rsidP="0083574D">
      <w:pPr>
        <w:spacing w:after="120" w:line="276" w:lineRule="auto"/>
        <w:jc w:val="both"/>
        <w:rPr>
          <w:rFonts w:ascii="Verdana" w:eastAsia="Arial" w:hAnsi="Verdana" w:cs="Arial"/>
          <w:lang w:val="es-ES" w:eastAsia="es-ES" w:bidi="es-ES"/>
        </w:rPr>
      </w:pPr>
      <w:r w:rsidRPr="00C15525">
        <w:rPr>
          <w:rFonts w:ascii="Verdana" w:eastAsia="Times New Roman" w:hAnsi="Verdana" w:cs="Arial"/>
          <w:lang w:val="es-MX" w:eastAsia="es-CO"/>
        </w:rPr>
        <w:tab/>
        <w:t>De</w:t>
      </w:r>
      <w:r w:rsidRPr="00C15525">
        <w:rPr>
          <w:rFonts w:ascii="Verdana" w:eastAsia="Arial" w:hAnsi="Verdana" w:cs="Arial"/>
          <w:lang w:val="es-ES" w:eastAsia="es-ES" w:bidi="es-ES"/>
        </w:rPr>
        <w:t xml:space="preserve"> conformidad con lo anterior, </w:t>
      </w:r>
      <w:bookmarkStart w:id="3" w:name="_Hlk77236098"/>
      <w:bookmarkStart w:id="4" w:name="_Hlk100679383"/>
      <w:r w:rsidRPr="00C15525">
        <w:rPr>
          <w:rFonts w:ascii="Verdana" w:eastAsia="Arial" w:hAnsi="Verdana" w:cs="Arial"/>
          <w:lang w:val="es-ES" w:eastAsia="es-ES" w:bidi="es-ES"/>
        </w:rPr>
        <w:t xml:space="preserve">la Ley de Garantías Electorales fijó una serie de regulaciones y prohibiciones dirigidas a los servidores públicos. Con la </w:t>
      </w:r>
      <w:r w:rsidRPr="00C15525">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21E48EF2" w14:textId="77777777" w:rsidR="0083574D" w:rsidRPr="00C15525" w:rsidRDefault="0083574D" w:rsidP="0083574D">
      <w:pPr>
        <w:spacing w:after="120" w:line="276" w:lineRule="auto"/>
        <w:ind w:firstLine="708"/>
        <w:jc w:val="both"/>
        <w:rPr>
          <w:rFonts w:ascii="Verdana" w:eastAsia="Calibri" w:hAnsi="Verdana" w:cs="Arial"/>
        </w:rPr>
      </w:pPr>
      <w:r w:rsidRPr="00C15525">
        <w:rPr>
          <w:rFonts w:ascii="Verdana" w:eastAsia="Calibri" w:hAnsi="Verdana" w:cs="Arial"/>
          <w:i/>
          <w:iCs/>
        </w:rPr>
        <w:t>Por un lado</w:t>
      </w:r>
      <w:r w:rsidRPr="00C15525">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15525">
        <w:rPr>
          <w:vertAlign w:val="superscript"/>
        </w:rPr>
        <w:footnoteReference w:id="8"/>
      </w:r>
      <w:r w:rsidRPr="00C15525">
        <w:rPr>
          <w:rFonts w:ascii="Verdana" w:eastAsia="Calibri" w:hAnsi="Verdana" w:cs="Arial"/>
        </w:rPr>
        <w:t>.</w:t>
      </w:r>
    </w:p>
    <w:p w14:paraId="584CB03B" w14:textId="77777777" w:rsidR="0083574D" w:rsidRPr="00C15525" w:rsidRDefault="0083574D" w:rsidP="0083574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15525">
        <w:rPr>
          <w:rFonts w:ascii="Verdana" w:eastAsia="Calibri" w:hAnsi="Verdana" w:cs="Arial"/>
          <w:i/>
          <w:iCs/>
        </w:rPr>
        <w:t>Por otro</w:t>
      </w:r>
      <w:r w:rsidRPr="00C15525">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1552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15525">
        <w:rPr>
          <w:rFonts w:ascii="Verdana" w:eastAsia="Calibri" w:hAnsi="Verdana" w:cs="Arial"/>
          <w:sz w:val="19"/>
          <w:szCs w:val="19"/>
        </w:rPr>
        <w:t>”</w:t>
      </w:r>
      <w:bookmarkEnd w:id="4"/>
      <w:r w:rsidRPr="00C15525">
        <w:rPr>
          <w:rFonts w:ascii="Verdana" w:eastAsia="Calibri" w:hAnsi="Verdana" w:cs="Arial"/>
          <w:sz w:val="19"/>
          <w:szCs w:val="19"/>
          <w:vertAlign w:val="superscript"/>
        </w:rPr>
        <w:footnoteReference w:id="9"/>
      </w:r>
      <w:r w:rsidRPr="00C15525">
        <w:rPr>
          <w:rFonts w:ascii="Verdana" w:eastAsia="Calibri" w:hAnsi="Verdana" w:cs="Arial"/>
          <w:lang w:val="es-MX"/>
        </w:rPr>
        <w:t>.</w:t>
      </w:r>
      <w:r w:rsidRPr="00C15525">
        <w:rPr>
          <w:rFonts w:ascii="Verdana" w:eastAsia="Arial" w:hAnsi="Verdana" w:cs="Arial"/>
          <w:lang w:val="es-ES" w:eastAsia="es-ES" w:bidi="es-ES"/>
        </w:rPr>
        <w:t xml:space="preserve"> La Sala de Consulta y Servicio Civil del Consejo de Estado ha </w:t>
      </w:r>
      <w:r w:rsidRPr="00C15525">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1111AADE" w14:textId="77777777" w:rsidR="0083574D" w:rsidRPr="00C15525" w:rsidRDefault="0083574D" w:rsidP="0083574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DD4BB8C" w14:textId="77777777" w:rsidR="0083574D" w:rsidRPr="00C15525" w:rsidRDefault="0083574D" w:rsidP="0083574D">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C1552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C15525">
        <w:rPr>
          <w:rFonts w:ascii="Verdana" w:eastAsia="Arial" w:hAnsi="Verdana" w:cs="Arial"/>
          <w:sz w:val="20"/>
          <w:szCs w:val="20"/>
          <w:lang w:val="es-ES" w:eastAsia="es-ES" w:bidi="es-ES"/>
        </w:rPr>
        <w:t>se integran parcialmente</w:t>
      </w:r>
      <w:bookmarkEnd w:id="7"/>
      <w:r w:rsidRPr="00C15525">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15525">
        <w:rPr>
          <w:rFonts w:ascii="Verdana" w:eastAsia="Arial" w:hAnsi="Verdana" w:cs="Arial"/>
          <w:sz w:val="20"/>
          <w:szCs w:val="20"/>
          <w:vertAlign w:val="superscript"/>
          <w:lang w:val="es-ES" w:eastAsia="es-ES" w:bidi="es-ES"/>
        </w:rPr>
        <w:footnoteReference w:id="10"/>
      </w:r>
      <w:r w:rsidRPr="00C15525">
        <w:rPr>
          <w:rFonts w:ascii="Verdana" w:eastAsia="Arial" w:hAnsi="Verdana" w:cs="Arial"/>
          <w:sz w:val="20"/>
          <w:szCs w:val="20"/>
          <w:lang w:val="es-ES" w:eastAsia="es-ES" w:bidi="es-ES"/>
        </w:rPr>
        <w:t>.</w:t>
      </w:r>
    </w:p>
    <w:p w14:paraId="152BCCD8" w14:textId="77777777" w:rsidR="0083574D" w:rsidRPr="00C15525" w:rsidRDefault="0083574D" w:rsidP="0083574D">
      <w:pPr>
        <w:widowControl w:val="0"/>
        <w:autoSpaceDE w:val="0"/>
        <w:autoSpaceDN w:val="0"/>
        <w:spacing w:line="276" w:lineRule="auto"/>
        <w:contextualSpacing/>
        <w:rPr>
          <w:rFonts w:ascii="Verdana" w:eastAsia="Arial" w:hAnsi="Verdana" w:cs="Arial"/>
          <w:lang w:val="es-ES" w:eastAsia="es-ES" w:bidi="es-ES"/>
        </w:rPr>
      </w:pPr>
    </w:p>
    <w:p w14:paraId="4C5E2BFF" w14:textId="77777777" w:rsidR="0083574D" w:rsidRPr="00C15525" w:rsidRDefault="0083574D" w:rsidP="0083574D">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C15525">
        <w:rPr>
          <w:rFonts w:ascii="Verdana" w:eastAsia="Arial" w:hAnsi="Verdana" w:cs="Arial"/>
          <w:lang w:val="es-ES" w:eastAsia="es-ES" w:bidi="es-ES"/>
        </w:rPr>
        <w:t xml:space="preserve">la Ley 996 de 2005 establece dos (2) tipos de restricciones en materia de contratación, las cuales coinciden parcialmente. </w:t>
      </w:r>
      <w:r w:rsidRPr="00C15525">
        <w:rPr>
          <w:rFonts w:ascii="Verdana" w:eastAsia="Arial" w:hAnsi="Verdana" w:cs="Arial"/>
          <w:i/>
          <w:lang w:val="es-ES" w:eastAsia="es-ES" w:bidi="es-ES"/>
        </w:rPr>
        <w:t>En primer lugar</w:t>
      </w:r>
      <w:r w:rsidRPr="00C1552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15525">
        <w:rPr>
          <w:rFonts w:ascii="Verdana" w:eastAsia="Arial" w:hAnsi="Verdana" w:cs="Arial"/>
          <w:i/>
          <w:lang w:val="es-ES" w:eastAsia="es-ES" w:bidi="es-ES"/>
        </w:rPr>
        <w:t>En segundo lugar</w:t>
      </w:r>
      <w:r w:rsidRPr="00C15525">
        <w:rPr>
          <w:rFonts w:ascii="Verdana" w:eastAsia="Arial" w:hAnsi="Verdana" w:cs="Arial"/>
          <w:lang w:val="es-ES" w:eastAsia="es-ES" w:bidi="es-ES"/>
        </w:rPr>
        <w:t xml:space="preserve">, también se encuentra la prohibición del parágrafo del artículo 38, el cual debe aplicarse respecto de cualquier tipo de </w:t>
      </w:r>
      <w:r w:rsidRPr="00C15525">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8"/>
    </w:p>
    <w:bookmarkEnd w:id="9"/>
    <w:p w14:paraId="53CAB1F3" w14:textId="77777777" w:rsidR="0083574D" w:rsidRPr="00C15525" w:rsidRDefault="0083574D" w:rsidP="0083574D">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221988BA" w14:textId="77777777" w:rsidR="0083574D" w:rsidRPr="00C15525" w:rsidRDefault="0083574D" w:rsidP="0083574D">
      <w:pPr>
        <w:spacing w:after="0" w:line="276" w:lineRule="auto"/>
        <w:ind w:firstLine="708"/>
        <w:jc w:val="both"/>
        <w:rPr>
          <w:rFonts w:ascii="Verdana" w:eastAsia="Arial" w:hAnsi="Verdana" w:cs="Arial"/>
          <w:lang w:val="es-ES" w:eastAsia="es-ES" w:bidi="es-ES"/>
        </w:rPr>
      </w:pPr>
      <w:r w:rsidRPr="00C15525">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489F0C0E" w14:textId="77777777" w:rsidR="0083574D" w:rsidRPr="00C15525" w:rsidRDefault="0083574D" w:rsidP="0083574D">
      <w:pPr>
        <w:spacing w:after="0" w:line="276" w:lineRule="auto"/>
        <w:jc w:val="both"/>
        <w:rPr>
          <w:rFonts w:ascii="Verdana" w:eastAsia="Arial" w:hAnsi="Verdana" w:cs="Arial"/>
          <w:lang w:val="es-ES" w:eastAsia="es-ES" w:bidi="es-ES"/>
        </w:rPr>
      </w:pPr>
    </w:p>
    <w:p w14:paraId="189E4FAD" w14:textId="77777777" w:rsidR="0083574D" w:rsidRPr="00C15525" w:rsidRDefault="0083574D" w:rsidP="0083574D">
      <w:pPr>
        <w:spacing w:after="0" w:line="276" w:lineRule="auto"/>
        <w:jc w:val="both"/>
        <w:rPr>
          <w:rFonts w:ascii="Verdana" w:hAnsi="Verdana" w:cs="Arial"/>
          <w:bCs/>
          <w:lang w:val="es-MX" w:eastAsia="es-CO"/>
        </w:rPr>
      </w:pPr>
      <w:r w:rsidRPr="00C15525">
        <w:rPr>
          <w:rFonts w:ascii="Verdana" w:eastAsia="Arial" w:hAnsi="Verdana" w:cs="Arial"/>
          <w:lang w:val="es-ES" w:eastAsia="es-ES" w:bidi="es-ES"/>
        </w:rPr>
        <w:t xml:space="preserve">ii. </w:t>
      </w:r>
      <w:r w:rsidRPr="00C15525">
        <w:rPr>
          <w:rFonts w:ascii="Verdana" w:hAnsi="Verdana" w:cs="Arial"/>
          <w:bCs/>
          <w:lang w:val="es-MX" w:eastAsia="x-none"/>
        </w:rPr>
        <w:t xml:space="preserve">El ámbito material de la prohibición contenida en el artículo 33 de la </w:t>
      </w:r>
      <w:r>
        <w:rPr>
          <w:rFonts w:ascii="Verdana" w:hAnsi="Verdana" w:cs="Arial"/>
          <w:bCs/>
          <w:lang w:val="es-MX" w:eastAsia="x-none"/>
        </w:rPr>
        <w:t>L</w:t>
      </w:r>
      <w:r w:rsidRPr="00C15525">
        <w:rPr>
          <w:rFonts w:ascii="Verdana" w:hAnsi="Verdana" w:cs="Arial"/>
          <w:bCs/>
          <w:lang w:val="es-MX" w:eastAsia="x-none"/>
        </w:rPr>
        <w:t xml:space="preserve">ey 996 de 2005 está delimitado por la expresión </w:t>
      </w:r>
      <w:r w:rsidRPr="00C15525">
        <w:rPr>
          <w:rFonts w:ascii="Verdana" w:eastAsia="Calibri" w:hAnsi="Verdana" w:cs="Arial"/>
          <w:bCs/>
          <w:sz w:val="20"/>
          <w:szCs w:val="20"/>
          <w:lang w:val="es-MX"/>
        </w:rPr>
        <w:t>“</w:t>
      </w:r>
      <w:r w:rsidRPr="00C15525">
        <w:rPr>
          <w:rFonts w:ascii="Verdana" w:hAnsi="Verdana" w:cs="Arial"/>
          <w:bCs/>
          <w:lang w:val="es-MX" w:eastAsia="x-none"/>
        </w:rPr>
        <w:t>queda prohibida la contratación directa</w:t>
      </w:r>
      <w:r w:rsidRPr="00C15525">
        <w:rPr>
          <w:rFonts w:ascii="Verdana" w:hAnsi="Verdana" w:cs="Arial"/>
          <w:sz w:val="20"/>
          <w:szCs w:val="20"/>
          <w:lang w:val="es-MX"/>
        </w:rPr>
        <w:t>”</w:t>
      </w:r>
      <w:r w:rsidRPr="00C15525">
        <w:rPr>
          <w:rFonts w:ascii="Verdana" w:hAnsi="Verdana" w:cs="Arial"/>
          <w:bCs/>
          <w:lang w:val="es-MX" w:eastAsia="x-none"/>
        </w:rPr>
        <w:t xml:space="preserve">. </w:t>
      </w:r>
      <w:r w:rsidRPr="00C15525">
        <w:rPr>
          <w:rFonts w:ascii="Verdana" w:hAnsi="Verdana" w:cs="Arial"/>
          <w:lang w:val="es-MX" w:eastAsia="es-CO"/>
        </w:rPr>
        <w:t xml:space="preserve"> A propósito de </w:t>
      </w:r>
      <w:r w:rsidRPr="00C15525">
        <w:rPr>
          <w:rFonts w:ascii="Verdana" w:hAnsi="Verdana" w:cs="Arial"/>
          <w:lang w:eastAsia="es-CO"/>
        </w:rPr>
        <w:t>esta restricción de la Ley de Garantías Electorales, la Sala de Consulta y Servicio Civil del Consejo de Estado ha considerado que:</w:t>
      </w:r>
    </w:p>
    <w:p w14:paraId="0C636A7B" w14:textId="77777777" w:rsidR="0083574D" w:rsidRPr="00C15525" w:rsidRDefault="0083574D" w:rsidP="0083574D">
      <w:pPr>
        <w:spacing w:after="0" w:line="276" w:lineRule="auto"/>
        <w:ind w:left="708" w:right="709"/>
        <w:jc w:val="both"/>
        <w:rPr>
          <w:rFonts w:ascii="Verdana" w:hAnsi="Verdana" w:cs="Arial"/>
          <w:lang w:val="es-MX"/>
        </w:rPr>
      </w:pPr>
    </w:p>
    <w:p w14:paraId="5CF8A0DC" w14:textId="77777777" w:rsidR="0083574D" w:rsidRPr="00C15525" w:rsidRDefault="0083574D" w:rsidP="0083574D">
      <w:pPr>
        <w:spacing w:after="120"/>
        <w:ind w:left="709" w:right="709"/>
        <w:jc w:val="both"/>
        <w:rPr>
          <w:rFonts w:ascii="Verdana" w:hAnsi="Verdana" w:cs="Arial"/>
          <w:sz w:val="20"/>
          <w:szCs w:val="20"/>
          <w:lang w:val="es-MX"/>
        </w:rPr>
      </w:pPr>
      <w:r w:rsidRPr="00C15525">
        <w:rPr>
          <w:rFonts w:ascii="Verdana" w:hAnsi="Verdana" w:cs="Arial"/>
          <w:sz w:val="18"/>
          <w:szCs w:val="18"/>
          <w:lang w:val="es-MX"/>
        </w:rPr>
        <w:t>“</w:t>
      </w:r>
      <w:r w:rsidRPr="00C15525">
        <w:rPr>
          <w:rFonts w:ascii="Verdana"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C15525">
        <w:rPr>
          <w:rFonts w:ascii="Verdana" w:hAnsi="Verdana" w:cs="Arial"/>
          <w:sz w:val="20"/>
          <w:szCs w:val="20"/>
          <w:lang w:val="es-MX"/>
        </w:rPr>
        <w:lastRenderedPageBreak/>
        <w:t>2, ley 1150 de 2007), y cumpliendo siempre los principios que rigen la contratación pública</w:t>
      </w:r>
      <w:r w:rsidRPr="00C15525">
        <w:rPr>
          <w:rFonts w:ascii="Verdana" w:hAnsi="Verdana" w:cs="Arial"/>
          <w:sz w:val="20"/>
          <w:szCs w:val="20"/>
          <w:vertAlign w:val="superscript"/>
          <w:lang w:eastAsia="es-CO"/>
        </w:rPr>
        <w:footnoteReference w:id="11"/>
      </w:r>
      <w:r w:rsidRPr="00C15525">
        <w:rPr>
          <w:rFonts w:ascii="Verdana" w:hAnsi="Verdana" w:cs="Arial"/>
          <w:sz w:val="20"/>
          <w:szCs w:val="20"/>
          <w:lang w:val="es-MX"/>
        </w:rPr>
        <w:t>.</w:t>
      </w:r>
    </w:p>
    <w:p w14:paraId="49401042" w14:textId="77777777" w:rsidR="0083574D" w:rsidRPr="00C15525" w:rsidRDefault="0083574D" w:rsidP="0083574D">
      <w:pPr>
        <w:spacing w:after="0"/>
        <w:ind w:left="708" w:right="709"/>
        <w:jc w:val="both"/>
        <w:rPr>
          <w:rFonts w:ascii="Verdana" w:hAnsi="Verdana" w:cs="Arial"/>
          <w:sz w:val="20"/>
          <w:szCs w:val="20"/>
          <w:lang w:val="es-MX"/>
        </w:rPr>
      </w:pPr>
      <w:r w:rsidRPr="00C15525">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15525">
        <w:rPr>
          <w:rFonts w:ascii="Verdana" w:hAnsi="Verdana" w:cs="Arial"/>
          <w:sz w:val="20"/>
          <w:szCs w:val="20"/>
          <w:vertAlign w:val="superscript"/>
          <w:lang w:val="es-MX"/>
        </w:rPr>
        <w:footnoteReference w:id="12"/>
      </w:r>
      <w:r w:rsidRPr="00C15525">
        <w:rPr>
          <w:rFonts w:ascii="Verdana" w:hAnsi="Verdana" w:cs="Arial"/>
          <w:sz w:val="20"/>
          <w:szCs w:val="20"/>
          <w:vertAlign w:val="superscript"/>
          <w:lang w:val="es-MX"/>
        </w:rPr>
        <w:t>.</w:t>
      </w:r>
      <w:r w:rsidRPr="00C15525">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15525">
        <w:rPr>
          <w:rFonts w:ascii="Verdana" w:hAnsi="Verdana" w:cs="Arial"/>
          <w:sz w:val="20"/>
          <w:szCs w:val="20"/>
          <w:vertAlign w:val="superscript"/>
          <w:lang w:eastAsia="es-CO"/>
        </w:rPr>
        <w:footnoteReference w:id="13"/>
      </w:r>
      <w:r w:rsidRPr="00C15525">
        <w:rPr>
          <w:rFonts w:ascii="Verdana" w:hAnsi="Verdana" w:cs="Arial"/>
          <w:sz w:val="20"/>
          <w:szCs w:val="20"/>
          <w:lang w:val="es-MX"/>
        </w:rPr>
        <w:t>.</w:t>
      </w:r>
    </w:p>
    <w:p w14:paraId="39BC82E0" w14:textId="77777777" w:rsidR="0083574D" w:rsidRPr="00C15525" w:rsidRDefault="0083574D" w:rsidP="0083574D">
      <w:pPr>
        <w:shd w:val="clear" w:color="auto" w:fill="FFFFFF"/>
        <w:spacing w:after="0" w:line="276" w:lineRule="auto"/>
        <w:ind w:firstLine="709"/>
        <w:jc w:val="both"/>
        <w:rPr>
          <w:rFonts w:ascii="Verdana" w:hAnsi="Verdana" w:cs="Arial"/>
          <w:lang w:eastAsia="x-none"/>
        </w:rPr>
      </w:pPr>
    </w:p>
    <w:p w14:paraId="0FF5AF7C" w14:textId="77777777" w:rsidR="0083574D" w:rsidRPr="00C15525" w:rsidRDefault="0083574D" w:rsidP="0083574D">
      <w:pPr>
        <w:spacing w:after="120" w:line="276" w:lineRule="auto"/>
        <w:ind w:firstLine="708"/>
        <w:jc w:val="both"/>
        <w:rPr>
          <w:rFonts w:ascii="Verdana" w:hAnsi="Verdana" w:cs="Arial"/>
          <w:bCs/>
          <w:lang w:eastAsia="x-none"/>
        </w:rPr>
      </w:pPr>
      <w:r w:rsidRPr="00C15525">
        <w:rPr>
          <w:rFonts w:ascii="Verdana" w:hAnsi="Verdana" w:cs="Arial"/>
          <w:lang w:eastAsia="x-none"/>
        </w:rPr>
        <w:t xml:space="preserve">De acuerdo con el citado concepto, la prohibición del artículo 33 de la Ley de Garantías Electorales se refiere a </w:t>
      </w:r>
      <w:r w:rsidRPr="00C15525">
        <w:rPr>
          <w:rFonts w:ascii="Verdana" w:hAnsi="Verdana" w:cs="Arial"/>
          <w:sz w:val="19"/>
          <w:szCs w:val="19"/>
          <w:lang w:eastAsia="en-GB"/>
        </w:rPr>
        <w:t>“</w:t>
      </w:r>
      <w:r w:rsidRPr="00C15525">
        <w:rPr>
          <w:rFonts w:ascii="Verdana" w:hAnsi="Verdana" w:cs="Arial"/>
          <w:lang w:eastAsia="x-none"/>
        </w:rPr>
        <w:t>cualquier sistema que no implique convocatoria pública y posibilidad de pluralidad de oferentes</w:t>
      </w:r>
      <w:r w:rsidRPr="00C15525">
        <w:rPr>
          <w:rFonts w:ascii="Verdana" w:hAnsi="Verdana" w:cs="Arial"/>
          <w:lang w:eastAsia="en-GB"/>
        </w:rPr>
        <w:t>”</w:t>
      </w:r>
      <w:r w:rsidRPr="00C15525">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C15525">
        <w:rPr>
          <w:rFonts w:ascii="Verdana" w:hAnsi="Verdana" w:cs="Arial"/>
          <w:vertAlign w:val="superscript"/>
          <w:lang w:val="en-GB" w:eastAsia="x-none"/>
        </w:rPr>
        <w:footnoteReference w:id="14"/>
      </w:r>
      <w:r w:rsidRPr="00C15525">
        <w:rPr>
          <w:rFonts w:ascii="Verdana" w:hAnsi="Verdana" w:cs="Arial"/>
          <w:lang w:eastAsia="x-none"/>
        </w:rPr>
        <w:t xml:space="preserve"> y sistematizó las causales de contratación directa</w:t>
      </w:r>
      <w:r w:rsidRPr="00C15525">
        <w:rPr>
          <w:rFonts w:ascii="Verdana" w:hAnsi="Verdana" w:cs="Arial"/>
          <w:vertAlign w:val="superscript"/>
          <w:lang w:val="en-GB" w:eastAsia="x-none"/>
        </w:rPr>
        <w:footnoteReference w:id="15"/>
      </w:r>
      <w:r w:rsidRPr="00C15525">
        <w:rPr>
          <w:rFonts w:ascii="Verdana" w:hAnsi="Verdana" w:cs="Arial"/>
          <w:lang w:eastAsia="x-none"/>
        </w:rPr>
        <w:t xml:space="preserve">. </w:t>
      </w:r>
    </w:p>
    <w:p w14:paraId="5F59CEEF" w14:textId="77777777" w:rsidR="0083574D" w:rsidRPr="00C15525" w:rsidRDefault="0083574D" w:rsidP="0083574D">
      <w:pPr>
        <w:spacing w:after="120" w:line="276" w:lineRule="auto"/>
        <w:ind w:firstLine="708"/>
        <w:jc w:val="both"/>
        <w:rPr>
          <w:rFonts w:ascii="Verdana" w:hAnsi="Verdana" w:cs="Arial"/>
          <w:lang w:val="es-MX" w:eastAsia="x-none"/>
        </w:rPr>
      </w:pPr>
      <w:r w:rsidRPr="00C15525">
        <w:rPr>
          <w:rFonts w:ascii="Verdana" w:hAnsi="Verdana" w:cs="Arial"/>
          <w:lang w:eastAsia="x-none"/>
        </w:rPr>
        <w:t xml:space="preserve">De esta forma, con fundamento en la evolución de la normativa sobre la contratación pública, se ha depurado la noción de </w:t>
      </w:r>
      <w:r w:rsidRPr="00C15525">
        <w:rPr>
          <w:rFonts w:ascii="Verdana" w:hAnsi="Verdana" w:cs="Arial"/>
          <w:sz w:val="19"/>
          <w:szCs w:val="19"/>
          <w:lang w:eastAsia="en-GB"/>
        </w:rPr>
        <w:t>“</w:t>
      </w:r>
      <w:r w:rsidRPr="00C15525">
        <w:rPr>
          <w:rFonts w:ascii="Verdana" w:hAnsi="Verdana" w:cs="Arial"/>
          <w:lang w:eastAsia="x-none"/>
        </w:rPr>
        <w:t>contratación directa</w:t>
      </w:r>
      <w:r w:rsidRPr="00C15525">
        <w:rPr>
          <w:rFonts w:ascii="Verdana" w:hAnsi="Verdana" w:cs="Arial"/>
          <w:lang w:eastAsia="en-GB"/>
        </w:rPr>
        <w:t>”</w:t>
      </w:r>
      <w:r w:rsidRPr="00C15525">
        <w:rPr>
          <w:rFonts w:ascii="Verdana"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C15525">
        <w:rPr>
          <w:rFonts w:ascii="Verdana" w:hAnsi="Verdana" w:cs="Arial"/>
          <w:lang w:eastAsia="x-none"/>
        </w:rPr>
        <w:lastRenderedPageBreak/>
        <w:t>especiales e, incluso, en el derecho privado</w:t>
      </w:r>
      <w:r w:rsidRPr="00C15525">
        <w:rPr>
          <w:rFonts w:ascii="Verdana" w:hAnsi="Verdana" w:cs="Arial"/>
          <w:vertAlign w:val="superscript"/>
          <w:lang w:val="en-GB" w:eastAsia="x-none"/>
        </w:rPr>
        <w:footnoteReference w:id="16"/>
      </w:r>
      <w:r w:rsidRPr="00C15525">
        <w:rPr>
          <w:rFonts w:ascii="Verdana" w:hAnsi="Verdana" w:cs="Arial"/>
          <w:lang w:eastAsia="x-none"/>
        </w:rPr>
        <w:t>, han establecido sistemas de contratación que implican convocatoria pública y participación de varios oferentes</w:t>
      </w:r>
      <w:r w:rsidRPr="00C15525">
        <w:rPr>
          <w:rFonts w:ascii="Verdana" w:hAnsi="Verdana" w:cs="Arial"/>
          <w:lang w:eastAsia="en-GB"/>
        </w:rPr>
        <w:t>”</w:t>
      </w:r>
      <w:r w:rsidRPr="00C15525">
        <w:rPr>
          <w:rFonts w:ascii="Verdana" w:hAnsi="Verdana" w:cs="Arial"/>
          <w:lang w:eastAsia="x-none"/>
        </w:rPr>
        <w:t xml:space="preserve">. </w:t>
      </w:r>
    </w:p>
    <w:p w14:paraId="13648B15" w14:textId="77777777" w:rsidR="0083574D" w:rsidRPr="00C15525" w:rsidRDefault="0083574D" w:rsidP="0083574D">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E</w:t>
      </w:r>
      <w:r w:rsidRPr="00C15525">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15525">
        <w:rPr>
          <w:rFonts w:ascii="Verdana" w:hAnsi="Verdana" w:cs="Arial"/>
          <w:vertAlign w:val="superscript"/>
          <w:lang w:eastAsia="x-none"/>
        </w:rPr>
        <w:footnoteReference w:id="17"/>
      </w:r>
      <w:r w:rsidRPr="00C15525">
        <w:rPr>
          <w:rFonts w:ascii="Verdana" w:hAnsi="Verdana" w:cs="Arial"/>
          <w:lang w:eastAsia="x-none"/>
        </w:rPr>
        <w:t xml:space="preserve">. </w:t>
      </w:r>
    </w:p>
    <w:p w14:paraId="13385975" w14:textId="77777777" w:rsidR="0083574D" w:rsidRPr="00C15525" w:rsidRDefault="0083574D" w:rsidP="0083574D">
      <w:pPr>
        <w:spacing w:after="120" w:line="276" w:lineRule="auto"/>
        <w:ind w:firstLine="708"/>
        <w:jc w:val="both"/>
        <w:rPr>
          <w:rFonts w:ascii="Verdana" w:hAnsi="Verdana" w:cs="Arial"/>
          <w:bCs/>
          <w:lang w:val="es-MX" w:eastAsia="es-CO"/>
        </w:rPr>
      </w:pPr>
      <w:r w:rsidRPr="00C15525">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3CC9326" w14:textId="77777777" w:rsidR="0083574D" w:rsidRPr="00C15525" w:rsidRDefault="0083574D" w:rsidP="0083574D">
      <w:pPr>
        <w:spacing w:after="12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15525">
        <w:rPr>
          <w:rFonts w:ascii="Verdana" w:hAnsi="Verdana" w:cs="Arial"/>
          <w:vertAlign w:val="superscript"/>
          <w:lang w:eastAsia="x-none"/>
        </w:rPr>
        <w:footnoteReference w:id="18"/>
      </w:r>
      <w:r w:rsidRPr="00C15525">
        <w:rPr>
          <w:rFonts w:ascii="Verdana" w:hAnsi="Verdana" w:cs="Arial"/>
          <w:bCs/>
          <w:lang w:val="es-MX" w:eastAsia="x-none"/>
        </w:rPr>
        <w:t>.</w:t>
      </w:r>
      <w:r w:rsidRPr="00C15525">
        <w:rPr>
          <w:rFonts w:ascii="Verdana" w:hAnsi="Verdana" w:cs="Arial"/>
          <w:vertAlign w:val="superscript"/>
          <w:lang w:val="es-MX" w:eastAsia="x-none"/>
        </w:rPr>
        <w:t xml:space="preserve"> </w:t>
      </w:r>
    </w:p>
    <w:p w14:paraId="0A361B1C" w14:textId="77777777" w:rsidR="0083574D" w:rsidRPr="00C15525" w:rsidRDefault="0083574D" w:rsidP="0083574D">
      <w:pPr>
        <w:spacing w:after="120" w:line="276" w:lineRule="auto"/>
        <w:ind w:firstLine="708"/>
        <w:jc w:val="both"/>
        <w:rPr>
          <w:rFonts w:ascii="Verdana" w:hAnsi="Verdana" w:cs="Arial"/>
          <w:lang w:eastAsia="x-none"/>
        </w:rPr>
      </w:pPr>
      <w:r w:rsidRPr="00C15525">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15525">
        <w:rPr>
          <w:rFonts w:ascii="Verdana" w:hAnsi="Verdana" w:cs="Arial"/>
          <w:lang w:eastAsia="x-none"/>
        </w:rPr>
        <w:t xml:space="preserve"> Por tanto, no son materia de la prohibición las demás modalidades de selección previstas </w:t>
      </w:r>
      <w:r w:rsidRPr="00C15525">
        <w:rPr>
          <w:rFonts w:ascii="Verdana" w:hAnsi="Verdana" w:cs="Arial"/>
          <w:lang w:eastAsia="x-none"/>
        </w:rPr>
        <w:lastRenderedPageBreak/>
        <w:t>en la Ley 1150 de 2007, es decir, la licitación pública, el concurso de méritos y la selección abreviada, razón por la cual en ese período preelectoral de que trata la disposición pueden las entidades públicas seguir contratando bajo estos sistemas.</w:t>
      </w:r>
    </w:p>
    <w:p w14:paraId="58BAAFDA" w14:textId="77777777" w:rsidR="0083574D" w:rsidRPr="00C15525" w:rsidRDefault="0083574D" w:rsidP="0083574D">
      <w:pPr>
        <w:spacing w:after="120" w:line="276" w:lineRule="auto"/>
        <w:ind w:firstLine="708"/>
        <w:jc w:val="both"/>
        <w:rPr>
          <w:rFonts w:ascii="Verdana" w:hAnsi="Verdana" w:cs="Arial"/>
          <w:bCs/>
          <w:lang w:val="es-MX" w:eastAsia="x-none"/>
        </w:rPr>
      </w:pPr>
      <w:bookmarkStart w:id="11" w:name="_Hlk77237094"/>
      <w:r w:rsidRPr="00C15525">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1"/>
    </w:p>
    <w:p w14:paraId="0CF91E42" w14:textId="77777777" w:rsidR="0083574D" w:rsidRPr="00C15525" w:rsidRDefault="0083574D" w:rsidP="0083574D">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C0A7835" w14:textId="77777777" w:rsidR="0083574D" w:rsidRPr="00C15525" w:rsidRDefault="0083574D" w:rsidP="0083574D">
      <w:pPr>
        <w:spacing w:after="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En esta labor es importante tener en cuenta, como lo anotó la Corte Constitucional, en Sentencia C-1153 de noviembre 11 de 2005 </w:t>
      </w:r>
      <w:bookmarkStart w:id="12" w:name="_Hlk74309042"/>
      <w:r w:rsidRPr="00C15525">
        <w:rPr>
          <w:rFonts w:ascii="Verdana" w:hAnsi="Verdana" w:cs="Arial"/>
          <w:bCs/>
          <w:lang w:val="es-MX" w:eastAsia="x-none"/>
        </w:rPr>
        <w:t>que “</w:t>
      </w:r>
      <w:bookmarkEnd w:id="12"/>
      <w:r w:rsidRPr="00C15525">
        <w:rPr>
          <w:rFonts w:ascii="Verdana" w:hAnsi="Verdana" w:cs="Arial"/>
          <w:bCs/>
          <w:lang w:val="es-MX" w:eastAsia="x-none"/>
        </w:rPr>
        <w:t xml:space="preserve">si bien la limitación garantiza la igualdad de condiciones, también es necesario que tal limitación que pretende la igualdad </w:t>
      </w:r>
      <w:bookmarkStart w:id="13" w:name="_Hlk75768308"/>
      <w:r w:rsidRPr="00C15525">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15525">
        <w:rPr>
          <w:rFonts w:ascii="Verdana" w:hAnsi="Verdana" w:cs="Arial"/>
          <w:vertAlign w:val="superscript"/>
          <w:lang w:val="es-MX"/>
        </w:rPr>
        <w:footnoteReference w:id="19"/>
      </w:r>
      <w:r w:rsidRPr="00C15525">
        <w:rPr>
          <w:rFonts w:ascii="Verdana" w:hAnsi="Verdana" w:cs="Arial"/>
          <w:bCs/>
          <w:lang w:val="es-MX" w:eastAsia="x-none"/>
        </w:rPr>
        <w:t xml:space="preserve">. De ahí que la Corte haya señalado que las excepciones a la restricción protegen diversos tipos de </w:t>
      </w:r>
      <w:r w:rsidRPr="00C15525">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3"/>
    </w:p>
    <w:p w14:paraId="48B265DD" w14:textId="77777777" w:rsidR="0083574D" w:rsidRPr="00C15525" w:rsidRDefault="0083574D" w:rsidP="0083574D">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C15525">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C15525">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C15525">
        <w:rPr>
          <w:rFonts w:ascii="Verdana" w:hAnsi="Verdana" w:cs="Arial"/>
          <w:i/>
          <w:color w:val="000000" w:themeColor="text1"/>
          <w:lang w:val="es-ES"/>
        </w:rPr>
        <w:t xml:space="preserve">Las excepciones aplicables a la restricción de contratación pública. </w:t>
      </w:r>
      <w:r w:rsidRPr="00C15525">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C15525">
        <w:rPr>
          <w:rFonts w:ascii="Verdana" w:hAnsi="Verdana" w:cs="Arial"/>
          <w:color w:val="000000" w:themeColor="text1"/>
          <w:shd w:val="clear" w:color="auto" w:fill="FFFFFF"/>
          <w:vertAlign w:val="superscript"/>
          <w:lang w:val="es-ES"/>
        </w:rPr>
        <w:footnoteReference w:id="20"/>
      </w:r>
      <w:r w:rsidRPr="00C15525">
        <w:rPr>
          <w:rFonts w:ascii="Verdana" w:hAnsi="Verdana" w:cs="Arial"/>
          <w:color w:val="000000" w:themeColor="text1"/>
          <w:shd w:val="clear" w:color="auto" w:fill="FFFFFF"/>
          <w:lang w:val="es-ES"/>
        </w:rPr>
        <w:t>.</w:t>
      </w:r>
    </w:p>
    <w:p w14:paraId="7EFABC9A" w14:textId="77777777" w:rsidR="0083574D" w:rsidRPr="00C15525" w:rsidRDefault="0083574D" w:rsidP="0083574D">
      <w:pPr>
        <w:tabs>
          <w:tab w:val="left" w:pos="426"/>
        </w:tabs>
        <w:spacing w:after="0" w:line="276" w:lineRule="auto"/>
        <w:ind w:firstLine="709"/>
        <w:jc w:val="both"/>
        <w:rPr>
          <w:rFonts w:ascii="Verdana" w:hAnsi="Verdana" w:cs="Arial"/>
          <w:bCs/>
          <w:color w:val="000000" w:themeColor="text1"/>
          <w:lang w:val="es-ES"/>
        </w:rPr>
      </w:pPr>
      <w:r w:rsidRPr="00C15525">
        <w:rPr>
          <w:rFonts w:ascii="Verdana" w:hAnsi="Verdana" w:cs="Arial"/>
          <w:bCs/>
          <w:color w:val="000000" w:themeColor="text1"/>
          <w:lang w:val="es-ES"/>
        </w:rPr>
        <w:t xml:space="preserve">Lo anterior implica que las excepciones al artículo 33 en comento deben interpretarse y aplicarse de manera </w:t>
      </w:r>
      <w:r w:rsidRPr="00C15525">
        <w:rPr>
          <w:rFonts w:ascii="Verdana" w:hAnsi="Verdana" w:cs="Arial"/>
          <w:bCs/>
          <w:i/>
          <w:iCs/>
          <w:color w:val="000000" w:themeColor="text1"/>
          <w:lang w:val="es-ES"/>
        </w:rPr>
        <w:t>estricta</w:t>
      </w:r>
      <w:r w:rsidRPr="00C15525">
        <w:rPr>
          <w:rFonts w:ascii="Verdana" w:hAnsi="Verdana" w:cs="Arial"/>
          <w:bCs/>
          <w:color w:val="000000" w:themeColor="text1"/>
          <w:lang w:val="es-ES"/>
        </w:rPr>
        <w:t>. En otras palabras, no es factible hacer interpretaciones extensivas</w:t>
      </w:r>
      <w:r w:rsidRPr="00C15525">
        <w:rPr>
          <w:rFonts w:ascii="Verdana" w:hAnsi="Verdana" w:cs="Arial"/>
          <w:bCs/>
          <w:i/>
          <w:iCs/>
          <w:color w:val="000000" w:themeColor="text1"/>
          <w:lang w:val="es-ES"/>
        </w:rPr>
        <w:t xml:space="preserve"> </w:t>
      </w:r>
      <w:r w:rsidRPr="00C1552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742260AB" w14:textId="77777777" w:rsidR="0083574D" w:rsidRPr="00C15525" w:rsidRDefault="0083574D" w:rsidP="0083574D">
      <w:pPr>
        <w:tabs>
          <w:tab w:val="left" w:pos="426"/>
        </w:tabs>
        <w:spacing w:after="0" w:line="276" w:lineRule="auto"/>
        <w:jc w:val="both"/>
        <w:rPr>
          <w:rFonts w:ascii="Verdana" w:eastAsia="Arial" w:hAnsi="Verdana" w:cs="Arial"/>
          <w:lang w:val="es-MX" w:eastAsia="es-ES" w:bidi="es-ES"/>
        </w:rPr>
      </w:pPr>
    </w:p>
    <w:p w14:paraId="65E382B8" w14:textId="77777777" w:rsidR="0083574D" w:rsidRPr="00C15525" w:rsidRDefault="0083574D" w:rsidP="0083574D">
      <w:pPr>
        <w:tabs>
          <w:tab w:val="left" w:pos="426"/>
        </w:tabs>
        <w:spacing w:after="0" w:line="276" w:lineRule="auto"/>
        <w:jc w:val="both"/>
        <w:rPr>
          <w:rFonts w:ascii="Verdana" w:hAnsi="Verdana" w:cs="Arial"/>
          <w:bCs/>
          <w:color w:val="000000" w:themeColor="text1"/>
          <w:lang w:val="es-ES"/>
        </w:rPr>
      </w:pPr>
      <w:r w:rsidRPr="00C15525">
        <w:rPr>
          <w:rFonts w:ascii="Verdana" w:eastAsia="Arial" w:hAnsi="Verdana" w:cs="Arial"/>
          <w:lang w:val="es-MX" w:eastAsia="es-ES" w:bidi="es-ES"/>
        </w:rPr>
        <w:t xml:space="preserve">iii. </w:t>
      </w:r>
      <w:r w:rsidRPr="00C15525">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15525">
        <w:rPr>
          <w:rFonts w:ascii="Verdana" w:hAnsi="Verdana" w:cs="Arial"/>
          <w:lang w:val="es-MX"/>
        </w:rPr>
        <w:t xml:space="preserve"> </w:t>
      </w:r>
      <w:r w:rsidRPr="00C15525">
        <w:rPr>
          <w:rFonts w:ascii="Verdana" w:hAnsi="Verdana" w:cs="Arial"/>
          <w:bCs/>
          <w:lang w:val="es-MX" w:eastAsia="x-none"/>
        </w:rPr>
        <w:t>En efecto, tal como lo ha sostenido el Consejo de Estado, el vocablo “todos” utilizado por el legislador comprende</w:t>
      </w:r>
      <w:r w:rsidRPr="00C15525">
        <w:rPr>
          <w:rFonts w:ascii="Verdana" w:hAnsi="Verdana" w:cs="Arial"/>
          <w:lang w:val="es-MX"/>
        </w:rPr>
        <w:t xml:space="preserve"> </w:t>
      </w:r>
      <w:r w:rsidRPr="00C15525">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sidRPr="00C15525">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641ABDC2" w14:textId="77777777" w:rsidR="0083574D" w:rsidRPr="00C15525" w:rsidRDefault="0083574D" w:rsidP="0083574D">
      <w:pPr>
        <w:spacing w:after="0" w:line="276" w:lineRule="auto"/>
        <w:ind w:firstLine="708"/>
        <w:jc w:val="both"/>
        <w:rPr>
          <w:rFonts w:ascii="Verdana" w:hAnsi="Verdana" w:cs="Arial"/>
          <w:bCs/>
          <w:lang w:val="es-MX" w:eastAsia="x-none"/>
        </w:rPr>
      </w:pPr>
    </w:p>
    <w:p w14:paraId="70EEB169" w14:textId="77777777" w:rsidR="0083574D" w:rsidRPr="00C15525" w:rsidRDefault="0083574D" w:rsidP="0083574D">
      <w:pPr>
        <w:spacing w:after="0" w:line="240" w:lineRule="auto"/>
        <w:ind w:left="708" w:right="709"/>
        <w:jc w:val="both"/>
        <w:rPr>
          <w:rFonts w:ascii="Verdana" w:hAnsi="Verdana" w:cs="Arial"/>
          <w:bCs/>
          <w:sz w:val="20"/>
          <w:szCs w:val="20"/>
          <w:lang w:val="es-MX" w:eastAsia="es-CO"/>
        </w:rPr>
      </w:pPr>
      <w:r w:rsidRPr="00C15525">
        <w:rPr>
          <w:rFonts w:ascii="Verdana" w:hAnsi="Verdana" w:cs="Arial"/>
          <w:bCs/>
          <w:sz w:val="20"/>
          <w:szCs w:val="20"/>
          <w:lang w:val="es-MX" w:eastAsia="x-none"/>
        </w:rPr>
        <w:t xml:space="preserve">“El artículo 33 de la ley 996 de 2005, </w:t>
      </w:r>
      <w:bookmarkStart w:id="14" w:name="_Hlk75787147"/>
      <w:r w:rsidRPr="00C15525">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15525">
        <w:rPr>
          <w:rFonts w:ascii="Verdana" w:hAnsi="Verdana" w:cs="Arial"/>
          <w:bCs/>
          <w:sz w:val="20"/>
          <w:szCs w:val="20"/>
          <w:vertAlign w:val="superscript"/>
          <w:lang w:val="es-MX" w:eastAsia="x-none"/>
        </w:rPr>
        <w:footnoteReference w:id="21"/>
      </w:r>
      <w:r w:rsidRPr="00C15525">
        <w:rPr>
          <w:rFonts w:ascii="Verdana" w:hAnsi="Verdana" w:cs="Arial"/>
          <w:bCs/>
          <w:sz w:val="20"/>
          <w:szCs w:val="20"/>
          <w:lang w:val="es-MX" w:eastAsia="x-none"/>
        </w:rPr>
        <w:t>.</w:t>
      </w:r>
      <w:r w:rsidRPr="00C15525">
        <w:rPr>
          <w:rFonts w:ascii="Verdana" w:hAnsi="Verdana" w:cs="Arial"/>
          <w:bCs/>
          <w:sz w:val="20"/>
          <w:szCs w:val="20"/>
          <w:lang w:val="es-MX" w:eastAsia="es-CO"/>
        </w:rPr>
        <w:t xml:space="preserve"> </w:t>
      </w:r>
    </w:p>
    <w:p w14:paraId="1019059B" w14:textId="77777777" w:rsidR="0083574D" w:rsidRPr="00C15525" w:rsidRDefault="0083574D" w:rsidP="0083574D">
      <w:pPr>
        <w:spacing w:after="0" w:line="276" w:lineRule="auto"/>
        <w:ind w:firstLine="708"/>
        <w:jc w:val="both"/>
        <w:rPr>
          <w:rFonts w:ascii="Verdana" w:hAnsi="Verdana" w:cs="Arial"/>
          <w:bCs/>
          <w:lang w:val="es-MX" w:eastAsia="es-CO"/>
        </w:rPr>
      </w:pPr>
    </w:p>
    <w:p w14:paraId="2AF8B38C" w14:textId="77777777" w:rsidR="0083574D" w:rsidRPr="00C15525" w:rsidRDefault="0083574D" w:rsidP="0083574D">
      <w:pPr>
        <w:spacing w:after="0" w:line="276" w:lineRule="auto"/>
        <w:ind w:firstLine="708"/>
        <w:jc w:val="both"/>
        <w:rPr>
          <w:rFonts w:ascii="Verdana" w:hAnsi="Verdana" w:cs="Arial"/>
          <w:lang w:val="es-MX"/>
        </w:rPr>
      </w:pPr>
      <w:r w:rsidRPr="00C15525">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5" w:name="_Hlk75758868"/>
      <w:bookmarkStart w:id="16" w:name="_Hlk75741220"/>
      <w:r w:rsidRPr="00C15525">
        <w:rPr>
          <w:rFonts w:ascii="Verdana" w:hAnsi="Verdana" w:cs="Arial"/>
          <w:vertAlign w:val="superscript"/>
          <w:lang w:val="es-MX"/>
        </w:rPr>
        <w:footnoteReference w:id="22"/>
      </w:r>
      <w:bookmarkEnd w:id="15"/>
      <w:bookmarkEnd w:id="16"/>
      <w:r w:rsidRPr="00C15525">
        <w:rPr>
          <w:rFonts w:ascii="Verdana" w:hAnsi="Verdana" w:cs="Arial"/>
          <w:bCs/>
          <w:lang w:val="es-MX" w:eastAsia="x-none"/>
        </w:rPr>
        <w:t>.</w:t>
      </w:r>
      <w:r w:rsidRPr="00C15525">
        <w:rPr>
          <w:rFonts w:ascii="Verdana" w:hAnsi="Verdana" w:cs="Arial"/>
          <w:lang w:val="es-MX"/>
        </w:rPr>
        <w:t xml:space="preserve"> Sin embargo, debe precisarse el siguiente aspecto que distinguió la Sala de Consulta y Servicio Civil:</w:t>
      </w:r>
    </w:p>
    <w:p w14:paraId="220CCA18" w14:textId="77777777" w:rsidR="0083574D" w:rsidRPr="00C15525" w:rsidRDefault="0083574D" w:rsidP="0083574D">
      <w:pPr>
        <w:spacing w:after="0" w:line="276" w:lineRule="auto"/>
        <w:jc w:val="both"/>
        <w:rPr>
          <w:rFonts w:ascii="Verdana" w:hAnsi="Verdana" w:cs="Arial"/>
          <w:lang w:val="es-MX"/>
        </w:rPr>
      </w:pPr>
    </w:p>
    <w:p w14:paraId="5FB1B217" w14:textId="77777777" w:rsidR="0083574D" w:rsidRPr="00C15525" w:rsidRDefault="0083574D" w:rsidP="0083574D">
      <w:pPr>
        <w:spacing w:after="0" w:line="240" w:lineRule="auto"/>
        <w:ind w:left="708" w:right="709"/>
        <w:jc w:val="both"/>
        <w:rPr>
          <w:rFonts w:ascii="Verdana" w:hAnsi="Verdana" w:cs="Arial"/>
          <w:sz w:val="20"/>
          <w:szCs w:val="20"/>
          <w:lang w:val="es-MX"/>
        </w:rPr>
      </w:pPr>
      <w:bookmarkStart w:id="18" w:name="_Hlk75811446"/>
      <w:r w:rsidRPr="00C15525">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C15525">
        <w:rPr>
          <w:rFonts w:ascii="Verdana" w:hAnsi="Verdana" w:cs="Arial"/>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8"/>
      <w:r w:rsidRPr="00C15525">
        <w:rPr>
          <w:rFonts w:ascii="Verdana" w:hAnsi="Verdana" w:cs="Arial"/>
          <w:sz w:val="20"/>
          <w:szCs w:val="20"/>
          <w:lang w:val="es-MX"/>
        </w:rPr>
        <w:t>”</w:t>
      </w:r>
      <w:r w:rsidRPr="00C15525">
        <w:rPr>
          <w:vertAlign w:val="superscript"/>
        </w:rPr>
        <w:footnoteReference w:id="23"/>
      </w:r>
      <w:r w:rsidRPr="00C15525">
        <w:rPr>
          <w:rFonts w:ascii="Verdana" w:hAnsi="Verdana" w:cs="Arial"/>
          <w:bCs/>
          <w:sz w:val="20"/>
          <w:szCs w:val="20"/>
          <w:lang w:val="es-MX" w:eastAsia="x-none"/>
        </w:rPr>
        <w:t>.</w:t>
      </w:r>
    </w:p>
    <w:p w14:paraId="3F09FF1D" w14:textId="77777777" w:rsidR="0083574D" w:rsidRPr="00C15525" w:rsidRDefault="0083574D" w:rsidP="0083574D">
      <w:pPr>
        <w:spacing w:after="0" w:line="276" w:lineRule="auto"/>
        <w:jc w:val="both"/>
        <w:rPr>
          <w:rFonts w:ascii="Verdana" w:hAnsi="Verdana" w:cs="Arial"/>
          <w:lang w:val="es-MX"/>
        </w:rPr>
      </w:pPr>
    </w:p>
    <w:p w14:paraId="7D8CBE71" w14:textId="77777777" w:rsidR="0083574D" w:rsidRPr="00CA0AD2" w:rsidRDefault="0083574D" w:rsidP="0083574D">
      <w:pPr>
        <w:spacing w:after="120" w:line="276" w:lineRule="auto"/>
        <w:ind w:firstLine="709"/>
        <w:jc w:val="both"/>
        <w:rPr>
          <w:rFonts w:ascii="Verdana" w:hAnsi="Verdana" w:cs="Arial"/>
          <w:lang w:val="es-MX"/>
        </w:rPr>
      </w:pPr>
      <w:r w:rsidRPr="00C15525">
        <w:rPr>
          <w:rFonts w:ascii="Verdana" w:hAnsi="Verdana" w:cs="Arial"/>
          <w:lang w:val="es-MX"/>
        </w:rPr>
        <w:t>Aplicando este razonamiento,</w:t>
      </w:r>
      <w:bookmarkStart w:id="19" w:name="_Hlk75811096"/>
      <w:r w:rsidRPr="00C15525">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9"/>
      <w:r w:rsidRPr="00C15525">
        <w:rPr>
          <w:rFonts w:ascii="Verdana" w:hAnsi="Verdana" w:cs="Arial"/>
          <w:lang w:val="es-MX"/>
        </w:rPr>
        <w:t>”</w:t>
      </w:r>
      <w:r w:rsidRPr="00C15525">
        <w:rPr>
          <w:rFonts w:ascii="Verdana" w:hAnsi="Verdana" w:cs="Arial"/>
          <w:vertAlign w:val="superscript"/>
          <w:lang w:val="es-MX"/>
        </w:rPr>
        <w:t xml:space="preserve"> </w:t>
      </w:r>
      <w:r w:rsidRPr="00280228">
        <w:rPr>
          <w:vertAlign w:val="superscript"/>
        </w:rPr>
        <w:footnoteReference w:id="24"/>
      </w:r>
      <w:r w:rsidRPr="00C15525">
        <w:rPr>
          <w:rFonts w:ascii="Verdana" w:hAnsi="Verdana" w:cs="Arial"/>
          <w:lang w:val="es-MX"/>
        </w:rPr>
        <w:t>.</w:t>
      </w:r>
    </w:p>
    <w:p w14:paraId="1B72FD20" w14:textId="77777777" w:rsidR="0083574D" w:rsidRPr="00C15525" w:rsidRDefault="0083574D" w:rsidP="0083574D">
      <w:pPr>
        <w:spacing w:after="120" w:line="276" w:lineRule="auto"/>
        <w:ind w:firstLine="708"/>
        <w:jc w:val="both"/>
        <w:rPr>
          <w:rFonts w:ascii="Verdana" w:hAnsi="Verdana" w:cs="Arial"/>
          <w:bCs/>
          <w:lang w:val="es-MX" w:eastAsia="x-none"/>
        </w:rPr>
      </w:pPr>
      <w:bookmarkStart w:id="20" w:name="_Hlk77237229"/>
      <w:bookmarkEnd w:id="14"/>
      <w:r w:rsidRPr="00C15525">
        <w:rPr>
          <w:rFonts w:ascii="Verdana" w:hAnsi="Verdana" w:cs="Arial"/>
          <w:lang w:val="es-MX"/>
        </w:rPr>
        <w:t>Por lo tanto, la restricción prevista en la Ley 996 de 200</w:t>
      </w:r>
      <w:bookmarkStart w:id="21" w:name="_Hlk75741539"/>
      <w:r w:rsidRPr="00C15525">
        <w:rPr>
          <w:rFonts w:ascii="Verdana" w:hAnsi="Verdana" w:cs="Arial"/>
          <w:lang w:val="es-MX"/>
        </w:rPr>
        <w:t xml:space="preserve">5, </w:t>
      </w:r>
      <w:r w:rsidRPr="00C15525">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256562B5" w14:textId="77777777" w:rsidR="0083574D" w:rsidRPr="00C15525" w:rsidRDefault="0083574D" w:rsidP="0083574D">
      <w:pPr>
        <w:spacing w:after="120" w:line="276" w:lineRule="auto"/>
        <w:jc w:val="both"/>
        <w:rPr>
          <w:rFonts w:ascii="Verdana" w:hAnsi="Verdana" w:cs="Arial"/>
          <w:lang w:val="es-ES"/>
        </w:rPr>
      </w:pPr>
      <w:r>
        <w:rPr>
          <w:rFonts w:ascii="Verdana" w:eastAsia="Calibri" w:hAnsi="Verdana" w:cs="Arial"/>
        </w:rPr>
        <w:t>i</w:t>
      </w:r>
      <w:r w:rsidRPr="00C15525">
        <w:rPr>
          <w:rFonts w:ascii="Verdana" w:eastAsia="Calibri" w:hAnsi="Verdana" w:cs="Arial"/>
        </w:rPr>
        <w:t xml:space="preserve">v. </w:t>
      </w:r>
      <w:bookmarkEnd w:id="20"/>
      <w:bookmarkEnd w:id="21"/>
      <w:r>
        <w:rPr>
          <w:rFonts w:ascii="Verdana" w:hAnsi="Verdana" w:cs="Arial"/>
          <w:lang w:val="es-ES"/>
        </w:rPr>
        <w:t>R</w:t>
      </w:r>
      <w:r w:rsidRPr="00C15525">
        <w:rPr>
          <w:rFonts w:ascii="Verdana" w:hAnsi="Verdana" w:cs="Arial"/>
          <w:lang w:val="es-ES"/>
        </w:rPr>
        <w:t xml:space="preserve">especto del alcance del parágrafo </w:t>
      </w:r>
      <w:r w:rsidRPr="00C15525">
        <w:rPr>
          <w:rFonts w:ascii="Verdana" w:hAnsi="Verdana" w:cs="Arial"/>
        </w:rPr>
        <w:t>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C15525">
        <w:rPr>
          <w:rFonts w:ascii="Verdana" w:eastAsia="Times New Roman" w:hAnsi="Verdana" w:cs="Arial"/>
          <w:lang w:val="es-MX" w:eastAsia="x-none"/>
        </w:rPr>
        <w:t xml:space="preserve"> </w:t>
      </w:r>
    </w:p>
    <w:p w14:paraId="3D88886E" w14:textId="77777777" w:rsidR="0083574D" w:rsidRPr="00C15525" w:rsidRDefault="0083574D" w:rsidP="0083574D">
      <w:pPr>
        <w:spacing w:after="120" w:line="276" w:lineRule="auto"/>
        <w:ind w:firstLine="709"/>
        <w:jc w:val="both"/>
        <w:rPr>
          <w:rFonts w:ascii="Verdana" w:hAnsi="Verdana" w:cs="Arial"/>
          <w:lang w:eastAsia="es-ES"/>
        </w:rPr>
      </w:pPr>
      <w:r w:rsidRPr="00C15525">
        <w:rPr>
          <w:rFonts w:ascii="Verdana" w:eastAsia="Times New Roman" w:hAnsi="Verdana" w:cs="Arial"/>
          <w:lang w:val="es-ES" w:eastAsia="es-ES"/>
        </w:rPr>
        <w:lastRenderedPageBreak/>
        <w:t xml:space="preserve">Para tales efectos, debe precisarse que </w:t>
      </w:r>
      <w:r w:rsidRPr="00C1552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1552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15525">
        <w:rPr>
          <w:rFonts w:ascii="Verdana" w:hAnsi="Verdana" w:cs="Arial"/>
          <w:vertAlign w:val="superscript"/>
          <w:lang w:eastAsia="es-ES"/>
        </w:rPr>
        <w:footnoteReference w:id="25"/>
      </w:r>
      <w:r w:rsidRPr="00C15525">
        <w:rPr>
          <w:rFonts w:ascii="Verdana" w:hAnsi="Verdana" w:cs="Arial"/>
          <w:lang w:eastAsia="es-ES"/>
        </w:rPr>
        <w:t>.</w:t>
      </w:r>
    </w:p>
    <w:p w14:paraId="39E6B329" w14:textId="77777777" w:rsidR="0083574D" w:rsidRPr="00C15525" w:rsidRDefault="0083574D" w:rsidP="0083574D">
      <w:pPr>
        <w:spacing w:after="120" w:line="276" w:lineRule="auto"/>
        <w:ind w:firstLine="709"/>
        <w:jc w:val="both"/>
        <w:rPr>
          <w:rFonts w:ascii="Verdana" w:hAnsi="Verdana" w:cs="Arial"/>
          <w:color w:val="000000" w:themeColor="text1"/>
          <w:lang w:val="es-ES_tradnl"/>
        </w:rPr>
      </w:pPr>
      <w:r w:rsidRPr="00C15525">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2740582" w14:textId="77777777" w:rsidR="0083574D" w:rsidRPr="00C15525" w:rsidRDefault="0083574D" w:rsidP="0083574D">
      <w:pPr>
        <w:spacing w:before="120" w:after="0" w:line="276" w:lineRule="auto"/>
        <w:ind w:firstLine="708"/>
        <w:jc w:val="both"/>
        <w:rPr>
          <w:rFonts w:ascii="Verdana" w:eastAsia="Times New Roman" w:hAnsi="Verdana" w:cs="Arial"/>
          <w:lang w:val="es-MX" w:eastAsia="es-CO"/>
        </w:rPr>
      </w:pPr>
      <w:r w:rsidRPr="00C15525">
        <w:rPr>
          <w:rFonts w:ascii="Verdana" w:eastAsia="Arial" w:hAnsi="Verdana" w:cs="Arial"/>
          <w:lang w:val="es-MX" w:eastAsia="es-ES" w:bidi="es-ES"/>
        </w:rPr>
        <w:t>De esta manera, se</w:t>
      </w:r>
      <w:r w:rsidRPr="00C15525">
        <w:rPr>
          <w:rFonts w:ascii="Verdana" w:eastAsia="Times New Roman" w:hAnsi="Verdana" w:cs="Arial"/>
          <w:lang w:eastAsia="es-CO"/>
        </w:rPr>
        <w:t xml:space="preserve"> observa entonces que </w:t>
      </w:r>
      <w:r w:rsidRPr="00C15525">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15525">
        <w:rPr>
          <w:rFonts w:ascii="Verdana" w:eastAsia="Times New Roman" w:hAnsi="Verdana" w:cs="Arial"/>
          <w:i/>
          <w:iCs/>
          <w:lang w:val="es-MX" w:eastAsia="es-CO"/>
        </w:rPr>
        <w:t>convenios interadministrativos</w:t>
      </w:r>
      <w:r w:rsidRPr="00C1552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15525">
        <w:rPr>
          <w:rFonts w:ascii="Verdana" w:eastAsia="Times New Roman" w:hAnsi="Verdana" w:cs="Arial"/>
          <w:i/>
          <w:lang w:val="es-MX" w:eastAsia="es-CO"/>
        </w:rPr>
        <w:t>ibidem</w:t>
      </w:r>
      <w:r w:rsidRPr="00C15525">
        <w:rPr>
          <w:rFonts w:ascii="Verdana" w:eastAsia="Times New Roman" w:hAnsi="Verdana" w:cs="Arial"/>
          <w:lang w:val="es-MX" w:eastAsia="es-CO"/>
        </w:rPr>
        <w:t xml:space="preserve">, no podrá celebrar tales </w:t>
      </w:r>
      <w:r w:rsidRPr="00C15525">
        <w:rPr>
          <w:rFonts w:ascii="Verdana" w:eastAsia="Times New Roman" w:hAnsi="Verdana" w:cs="Arial"/>
          <w:i/>
          <w:iCs/>
          <w:lang w:val="es-MX" w:eastAsia="es-CO"/>
        </w:rPr>
        <w:t>convenios</w:t>
      </w:r>
      <w:r w:rsidRPr="00C1552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8042F5C" w14:textId="77777777" w:rsidR="0083574D" w:rsidRPr="00C15525" w:rsidRDefault="0083574D" w:rsidP="0083574D">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Respecto del alcance de esta prohibición la Circular Externa No. 006 de 2025 expedida por la ANCP-CCE, en los literales ii) y iv)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15525">
        <w:rPr>
          <w:rFonts w:ascii="Verdana" w:eastAsia="Times New Roman" w:hAnsi="Verdana" w:cs="Arial"/>
          <w:i/>
          <w:iCs/>
          <w:lang w:eastAsia="es-CO"/>
        </w:rPr>
        <w:t>“aunque se configure alguno de los supuestos de excepción que señaló el inciso final del artículo 33</w:t>
      </w:r>
      <w:r w:rsidRPr="00C15525">
        <w:rPr>
          <w:rFonts w:ascii="Verdana" w:eastAsia="Times New Roman" w:hAnsi="Verdana" w:cs="Arial"/>
          <w:lang w:eastAsia="es-CO"/>
        </w:rPr>
        <w:t xml:space="preserve">”. </w:t>
      </w:r>
    </w:p>
    <w:p w14:paraId="73999BCF" w14:textId="77777777" w:rsidR="0083574D" w:rsidRPr="00C15525" w:rsidRDefault="0083574D" w:rsidP="0083574D">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lastRenderedPageBreak/>
        <w:t xml:space="preserve">De esta manera, conforme a lo dispuesto en la Circular referida, si se suscriben </w:t>
      </w:r>
      <w:r w:rsidRPr="00C15525">
        <w:rPr>
          <w:rFonts w:ascii="Verdana" w:eastAsia="Times New Roman" w:hAnsi="Verdana" w:cs="Arial"/>
          <w:i/>
          <w:iCs/>
          <w:lang w:eastAsia="es-CO"/>
        </w:rPr>
        <w:t>convenios interadministrativos para la ejecución de recursos públicos</w:t>
      </w:r>
      <w:r w:rsidRPr="00C1552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15525">
        <w:rPr>
          <w:rFonts w:ascii="Verdana" w:eastAsia="Times New Roman" w:hAnsi="Verdana" w:cs="Arial"/>
          <w:i/>
          <w:iCs/>
          <w:lang w:eastAsia="es-CO"/>
        </w:rPr>
        <w:t>ibidem</w:t>
      </w:r>
      <w:r w:rsidRPr="00C15525">
        <w:rPr>
          <w:rFonts w:ascii="Verdana" w:eastAsia="Times New Roman" w:hAnsi="Verdana" w:cs="Arial"/>
          <w:lang w:eastAsia="es-CO"/>
        </w:rPr>
        <w:t>, independientemente de que se configure alguno de los supuestos de excepción que señaló el inciso final del artículo 33, es decir, que se trate de:</w:t>
      </w:r>
      <w:r w:rsidRPr="00C15525">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w:t>
      </w:r>
      <w:r w:rsidRPr="00C15525">
        <w:rPr>
          <w:rFonts w:ascii="Verdana" w:eastAsia="Times New Roman" w:hAnsi="Verdana" w:cs="Arial"/>
          <w:lang w:eastAsia="es-CO"/>
        </w:rPr>
        <w:t xml:space="preserve">  </w:t>
      </w:r>
    </w:p>
    <w:p w14:paraId="66FB47A9" w14:textId="77777777" w:rsidR="0083574D" w:rsidRPr="00C15525" w:rsidRDefault="0083574D" w:rsidP="0083574D">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En este punto, vale la pena destacar que </w:t>
      </w:r>
      <w:r w:rsidRPr="00C15525">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15525">
        <w:rPr>
          <w:rFonts w:ascii="Verdana" w:hAnsi="Verdana" w:cs="Arial"/>
        </w:rPr>
        <w:t>numeral 16.2 de la Circular Externa Única de 2022 expedida por la Agencia Nacional de Contratación Pública – Colombia Compra Eficiente, concretamente, respecto de los siguientes apartes normativos</w:t>
      </w:r>
      <w:r w:rsidRPr="00C15525">
        <w:rPr>
          <w:rFonts w:ascii="Verdana" w:hAnsi="Verdana" w:cs="Arial"/>
          <w:vertAlign w:val="superscript"/>
        </w:rPr>
        <w:footnoteReference w:id="26"/>
      </w:r>
      <w:r w:rsidRPr="00C15525">
        <w:rPr>
          <w:rFonts w:ascii="Verdana" w:hAnsi="Verdana" w:cs="Arial"/>
        </w:rPr>
        <w:t xml:space="preserve">: </w:t>
      </w:r>
    </w:p>
    <w:p w14:paraId="50F91B26" w14:textId="77777777" w:rsidR="0083574D" w:rsidRPr="00C15525" w:rsidRDefault="0083574D" w:rsidP="0083574D">
      <w:pPr>
        <w:spacing w:after="0" w:line="276" w:lineRule="auto"/>
        <w:ind w:firstLine="709"/>
        <w:jc w:val="both"/>
        <w:rPr>
          <w:rFonts w:ascii="Verdana" w:hAnsi="Verdana" w:cs="Arial"/>
        </w:rPr>
      </w:pPr>
    </w:p>
    <w:p w14:paraId="7F936B33" w14:textId="77777777" w:rsidR="0083574D" w:rsidRPr="00C15525" w:rsidRDefault="0083574D" w:rsidP="0083574D">
      <w:pPr>
        <w:spacing w:after="120" w:line="240" w:lineRule="auto"/>
        <w:ind w:left="709" w:right="709"/>
        <w:jc w:val="both"/>
        <w:rPr>
          <w:rFonts w:ascii="Verdana" w:hAnsi="Verdana" w:cs="Arial"/>
          <w:sz w:val="20"/>
          <w:szCs w:val="20"/>
        </w:rPr>
      </w:pPr>
      <w:r w:rsidRPr="00C15525">
        <w:rPr>
          <w:rFonts w:ascii="Verdana" w:hAnsi="Verdana" w:cs="Arial"/>
          <w:sz w:val="20"/>
          <w:szCs w:val="20"/>
          <w:lang w:val="es-MX"/>
        </w:rPr>
        <w:t>“i)</w:t>
      </w:r>
      <w:r w:rsidRPr="00C1552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5848108" w14:textId="77777777" w:rsidR="0083574D" w:rsidRPr="00C15525" w:rsidRDefault="0083574D" w:rsidP="0083574D">
      <w:pPr>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756F356" w14:textId="77777777" w:rsidR="0083574D" w:rsidRPr="00C15525" w:rsidRDefault="0083574D" w:rsidP="0083574D">
      <w:pPr>
        <w:spacing w:after="0" w:line="276" w:lineRule="auto"/>
        <w:ind w:left="709" w:right="709"/>
        <w:jc w:val="both"/>
        <w:rPr>
          <w:rFonts w:ascii="Verdana" w:hAnsi="Verdana" w:cs="Arial"/>
        </w:rPr>
      </w:pPr>
    </w:p>
    <w:p w14:paraId="3DC20581" w14:textId="77777777" w:rsidR="0083574D" w:rsidRPr="00C15525" w:rsidRDefault="0083574D" w:rsidP="0083574D">
      <w:pPr>
        <w:spacing w:after="120" w:line="276" w:lineRule="auto"/>
        <w:ind w:firstLine="709"/>
        <w:jc w:val="both"/>
        <w:rPr>
          <w:rFonts w:ascii="Verdana" w:eastAsia="Arial" w:hAnsi="Verdana" w:cs="Arial"/>
          <w:i/>
          <w:iCs/>
          <w:lang w:eastAsia="es-ES" w:bidi="es-ES"/>
        </w:rPr>
      </w:pPr>
      <w:r w:rsidRPr="00C15525">
        <w:rPr>
          <w:rFonts w:ascii="Verdana" w:eastAsia="Arial" w:hAnsi="Verdana" w:cs="Arial"/>
          <w:lang w:val="es-MX" w:eastAsia="es-ES" w:bidi="es-ES"/>
        </w:rPr>
        <w:lastRenderedPageBreak/>
        <w:t xml:space="preserve">De conformidad con los argumentos de dicha providencia, se parte de la distinción entre los conceptos </w:t>
      </w:r>
      <w:r w:rsidRPr="00C1552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15525">
        <w:rPr>
          <w:rFonts w:ascii="Verdana" w:hAnsi="Verdana"/>
          <w:sz w:val="24"/>
          <w:szCs w:val="24"/>
          <w:lang w:eastAsia="es-CO"/>
        </w:rPr>
        <w:t xml:space="preserve"> </w:t>
      </w:r>
      <w:r w:rsidRPr="00C15525">
        <w:rPr>
          <w:rFonts w:ascii="Verdana" w:eastAsia="Arial" w:hAnsi="Verdana" w:cs="Arial"/>
          <w:lang w:eastAsia="es-ES" w:bidi="es-ES"/>
        </w:rPr>
        <w:t xml:space="preserve">En este sentido, en relación con el parágrafo del artículo 38 de la Ley 996 de 2005 concluyó que </w:t>
      </w:r>
      <w:r w:rsidRPr="00C1552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1552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15525">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15525">
        <w:rPr>
          <w:rFonts w:ascii="Verdana" w:eastAsia="Arial" w:hAnsi="Verdana" w:cs="Arial"/>
          <w:lang w:eastAsia="es-ES" w:bidi="es-ES"/>
        </w:rPr>
        <w:t>”</w:t>
      </w:r>
      <w:r w:rsidRPr="00C15525">
        <w:rPr>
          <w:rFonts w:ascii="Verdana" w:eastAsia="Arial" w:hAnsi="Verdana" w:cs="Arial"/>
          <w:i/>
          <w:iCs/>
          <w:lang w:eastAsia="es-ES" w:bidi="es-ES"/>
        </w:rPr>
        <w:t xml:space="preserve">. </w:t>
      </w:r>
    </w:p>
    <w:p w14:paraId="575A08D8" w14:textId="77777777" w:rsidR="0083574D" w:rsidRPr="00C15525" w:rsidRDefault="0083574D" w:rsidP="0083574D">
      <w:pPr>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De igual manera, mediante auto del 6 de noviembre de 2025, el Consejo de Estado, Subsección A de la Sección Tercera, decretó</w:t>
      </w:r>
      <w:r w:rsidRPr="00C15525">
        <w:rPr>
          <w:rFonts w:ascii="Verdana" w:eastAsia="Arial" w:hAnsi="Verdana" w:cs="Arial"/>
          <w:b/>
          <w:bCs/>
          <w:lang w:eastAsia="es-ES" w:bidi="es-ES"/>
        </w:rPr>
        <w:t xml:space="preserve"> </w:t>
      </w:r>
      <w:r w:rsidRPr="00C1552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15525">
        <w:rPr>
          <w:rFonts w:ascii="Verdana" w:eastAsia="Arial" w:hAnsi="Verdana" w:cs="Arial"/>
          <w:vertAlign w:val="superscript"/>
          <w:lang w:eastAsia="es-ES" w:bidi="es-ES"/>
        </w:rPr>
        <w:footnoteReference w:id="27"/>
      </w:r>
      <w:r w:rsidRPr="00C1552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w:t>
      </w:r>
      <w:r w:rsidRPr="00C15525">
        <w:rPr>
          <w:rFonts w:ascii="Verdana" w:eastAsia="Arial" w:hAnsi="Verdana" w:cs="Arial"/>
          <w:lang w:eastAsia="es-ES" w:bidi="es-ES"/>
        </w:rPr>
        <w:lastRenderedPageBreak/>
        <w:t xml:space="preserve">2005, por manera que se excluye la analogía legis o iuris y la interpretación extensiva y reiteró los argumentos sobre la diferencia entre contratos y convenios interadministrativos. </w:t>
      </w:r>
    </w:p>
    <w:p w14:paraId="34121E49" w14:textId="77777777" w:rsidR="0083574D" w:rsidRPr="00C15525" w:rsidRDefault="0083574D" w:rsidP="0083574D">
      <w:pPr>
        <w:spacing w:after="120" w:line="276" w:lineRule="auto"/>
        <w:ind w:firstLine="709"/>
        <w:jc w:val="both"/>
        <w:rPr>
          <w:rFonts w:ascii="Verdana" w:eastAsia="Times New Roman" w:hAnsi="Verdana" w:cs="Times New Roman"/>
          <w:lang w:eastAsia="es-ES"/>
        </w:rPr>
      </w:pPr>
      <w:r w:rsidRPr="00C1552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1552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620ABDD" w14:textId="77777777" w:rsidR="0083574D" w:rsidRPr="00C15525" w:rsidRDefault="0083574D" w:rsidP="0083574D">
      <w:pPr>
        <w:spacing w:after="120" w:line="276" w:lineRule="auto"/>
        <w:ind w:firstLine="709"/>
        <w:jc w:val="both"/>
        <w:rPr>
          <w:rFonts w:ascii="Verdana" w:eastAsia="Times New Roman" w:hAnsi="Verdana" w:cs="Times New Roman"/>
          <w:lang w:eastAsia="es-ES"/>
        </w:rPr>
      </w:pPr>
      <w:r w:rsidRPr="00C15525">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15525">
        <w:rPr>
          <w:rFonts w:ascii="Verdana" w:eastAsia="Times New Roman" w:hAnsi="Verdana" w:cs="Times New Roman"/>
          <w:vertAlign w:val="superscript"/>
          <w:lang w:eastAsia="es-ES"/>
        </w:rPr>
        <w:footnoteReference w:id="28"/>
      </w:r>
      <w:r w:rsidRPr="00C15525">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E6E12DB" w14:textId="77777777" w:rsidR="0083574D" w:rsidRPr="00C15525" w:rsidRDefault="0083574D" w:rsidP="0083574D">
      <w:pPr>
        <w:spacing w:after="120" w:line="276" w:lineRule="auto"/>
        <w:ind w:firstLine="709"/>
        <w:jc w:val="both"/>
        <w:rPr>
          <w:rFonts w:ascii="Verdana" w:eastAsia="Times New Roman" w:hAnsi="Verdana" w:cs="Arial"/>
          <w:lang w:eastAsia="es-CO"/>
        </w:rPr>
      </w:pPr>
      <w:r w:rsidRPr="00C1552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1552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w:t>
      </w:r>
      <w:r w:rsidRPr="00C15525">
        <w:rPr>
          <w:rFonts w:ascii="Verdana" w:eastAsia="Times New Roman" w:hAnsi="Verdana" w:cs="Arial"/>
          <w:lang w:eastAsia="es-CO"/>
        </w:rPr>
        <w:lastRenderedPageBreak/>
        <w:t xml:space="preserve">octubre de 2025, en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sidRPr="00C15525">
        <w:rPr>
          <w:rFonts w:ascii="Verdana" w:eastAsia="Times New Roman" w:hAnsi="Verdana" w:cs="Arial"/>
          <w:lang w:eastAsia="es-CO"/>
        </w:rPr>
        <w:t>, esta prohibición solo aplicaría a los convenios interadministrativos que impliquen la ejecución de recursos públicos</w:t>
      </w:r>
      <w:r w:rsidRPr="00C15525">
        <w:rPr>
          <w:rFonts w:ascii="Verdana" w:eastAsia="Times New Roman" w:hAnsi="Verdana" w:cs="Arial"/>
          <w:vertAlign w:val="superscript"/>
          <w:lang w:eastAsia="es-CO"/>
        </w:rPr>
        <w:footnoteReference w:id="29"/>
      </w:r>
      <w:r w:rsidRPr="00C15525">
        <w:rPr>
          <w:rFonts w:ascii="Verdana" w:eastAsia="Times New Roman" w:hAnsi="Verdana" w:cs="Arial"/>
          <w:lang w:eastAsia="es-CO"/>
        </w:rPr>
        <w:t>.</w:t>
      </w:r>
    </w:p>
    <w:p w14:paraId="7FD61FAA" w14:textId="77777777" w:rsidR="0083574D" w:rsidRPr="00CA2012" w:rsidRDefault="0083574D" w:rsidP="0083574D">
      <w:pPr>
        <w:spacing w:after="120" w:line="276" w:lineRule="auto"/>
        <w:ind w:firstLine="709"/>
        <w:jc w:val="both"/>
        <w:rPr>
          <w:rFonts w:ascii="Verdana" w:eastAsia="Times New Roman" w:hAnsi="Verdana" w:cs="Arial"/>
          <w:lang w:eastAsia="es-CO" w:bidi="es-ES"/>
        </w:rPr>
      </w:pPr>
      <w:r w:rsidRPr="00C15525">
        <w:rPr>
          <w:rFonts w:ascii="Verdana" w:eastAsia="Times New Roman" w:hAnsi="Verdana" w:cs="Arial"/>
          <w:lang w:eastAsia="es-CO" w:bidi="es-ES"/>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C15525">
        <w:rPr>
          <w:rFonts w:ascii="Verdana" w:eastAsia="Times New Roman" w:hAnsi="Verdana" w:cs="Arial"/>
          <w:vertAlign w:val="superscript"/>
          <w:lang w:eastAsia="es-CO" w:bidi="es-ES"/>
        </w:rPr>
        <w:footnoteReference w:id="30"/>
      </w:r>
      <w:r w:rsidRPr="00C15525">
        <w:rPr>
          <w:rFonts w:ascii="Verdana" w:eastAsia="Times New Roman" w:hAnsi="Verdana" w:cs="Arial"/>
          <w:lang w:eastAsia="es-CO" w:bidi="es-ES"/>
        </w:rPr>
        <w:t>.</w:t>
      </w:r>
    </w:p>
    <w:p w14:paraId="5489C13B" w14:textId="77777777" w:rsidR="0083574D" w:rsidRPr="00CA2012" w:rsidRDefault="0083574D" w:rsidP="0083574D">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CA2012">
        <w:rPr>
          <w:rFonts w:ascii="Verdana" w:eastAsia="Calibri" w:hAnsi="Verdana" w:cs="Arial"/>
          <w:bCs/>
          <w:color w:val="000000" w:themeColor="text1"/>
        </w:rPr>
        <w:t>Precisado lo anterior, para efectos de dar respuesta al problema jurídico planteado, resulta necesario hacer referencia a la naturaleza jurídica de Servicios Postales Nacionales S.A.S. y a sus funciones dentro del marco normativo que regula el servicio postal en Colombia, particularmente la Ley 1369 de 2009</w:t>
      </w:r>
      <w:r>
        <w:rPr>
          <w:rFonts w:ascii="Verdana" w:eastAsia="Calibri" w:hAnsi="Verdana" w:cs="Arial"/>
          <w:bCs/>
          <w:color w:val="000000" w:themeColor="text1"/>
        </w:rPr>
        <w:t xml:space="preserve">. </w:t>
      </w:r>
      <w:r w:rsidRPr="00CA2012">
        <w:rPr>
          <w:rFonts w:ascii="Verdana" w:eastAsia="Calibri" w:hAnsi="Verdana" w:cs="Arial"/>
          <w:bCs/>
          <w:color w:val="000000" w:themeColor="text1"/>
        </w:rPr>
        <w:t>El artículo 15 de la Ley 1369 de 2009 establece el denominado “Área de Reserva”, señalando que el Operador Postal Oficial o Concesionario de Correo será el único autorizado para prestar los servicios de correo a las entidades que integran las ramas Ejecutiva, Legislativa y Judicial del poder público. La misma disposición reconoce como Operador Postal Oficial a Servicios Postales Nacionales S.A.S. (4-72), sociedad que presta dicho servicio en virtud de un contrato de concesión celebrado con el Estado.</w:t>
      </w:r>
    </w:p>
    <w:p w14:paraId="43C6D3AB" w14:textId="77777777" w:rsidR="0083574D" w:rsidRPr="00CA2012" w:rsidRDefault="0083574D" w:rsidP="0083574D">
      <w:pPr>
        <w:spacing w:after="120" w:line="276" w:lineRule="auto"/>
        <w:ind w:firstLine="708"/>
        <w:jc w:val="both"/>
        <w:rPr>
          <w:rFonts w:ascii="Verdana" w:eastAsia="Calibri" w:hAnsi="Verdana" w:cs="Arial"/>
          <w:bCs/>
          <w:color w:val="000000" w:themeColor="text1"/>
        </w:rPr>
      </w:pPr>
      <w:r w:rsidRPr="00CA2012">
        <w:rPr>
          <w:rFonts w:ascii="Verdana" w:eastAsia="Calibri" w:hAnsi="Verdana" w:cs="Arial"/>
          <w:bCs/>
          <w:color w:val="000000" w:themeColor="text1"/>
        </w:rPr>
        <w:t xml:space="preserve">En este sentido, Servicios Postales Nacionales S.A.S. es una sociedad de naturaleza pública vinculada al sector de Tecnologías de la Información y las Comunicaciones, encargada de la prestación del servicio postal oficial y de la ejecución de las actividades comprendidas dentro del servicio de correo en el territorio nacional, en cumplimiento de las disposiciones contenidas en la Ley </w:t>
      </w:r>
      <w:r w:rsidRPr="00CA2012">
        <w:rPr>
          <w:rFonts w:ascii="Verdana" w:eastAsia="Calibri" w:hAnsi="Verdana" w:cs="Arial"/>
          <w:bCs/>
          <w:color w:val="000000" w:themeColor="text1"/>
        </w:rPr>
        <w:lastRenderedPageBreak/>
        <w:t>1369 de 2009 y demás normas que regulan el sector postal.</w:t>
      </w:r>
      <w:r>
        <w:rPr>
          <w:rFonts w:ascii="Verdana" w:eastAsia="Calibri" w:hAnsi="Verdana" w:cs="Arial"/>
          <w:bCs/>
          <w:color w:val="000000" w:themeColor="text1"/>
        </w:rPr>
        <w:t xml:space="preserve"> </w:t>
      </w:r>
      <w:r w:rsidRPr="00CA2012">
        <w:rPr>
          <w:rFonts w:ascii="Verdana" w:eastAsia="Calibri" w:hAnsi="Verdana" w:cs="Arial"/>
          <w:bCs/>
          <w:color w:val="000000" w:themeColor="text1"/>
        </w:rPr>
        <w:t>Así, dentro del régimen postal colombiano se distingue entre los servicios de correo, cuya prestación a las entidades públicas se encuentra reservada al Operador Postal Oficial, y los servicios de mensajería expresa, que pueden ser prestados por otros operadores debidamente habilitados en el mercado. En consecuencia, la prestación de los servicios de correo dirigidos a las entidades públicas corresponde de manera exclusiva a Servicios Postales Nacionales S.A.S., en virtud del mandato legal establecido por el legislador.</w:t>
      </w:r>
    </w:p>
    <w:p w14:paraId="3DB31BCA" w14:textId="77777777" w:rsidR="0083574D" w:rsidRPr="00C15525" w:rsidRDefault="0083574D" w:rsidP="0083574D">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Conforme a lo anterior</w:t>
      </w:r>
      <w:r w:rsidRPr="00CA2012">
        <w:rPr>
          <w:rFonts w:ascii="Verdana" w:eastAsia="Calibri" w:hAnsi="Verdana" w:cs="Arial"/>
          <w:bCs/>
          <w:color w:val="000000" w:themeColor="text1"/>
        </w:rPr>
        <w:t>, Servicios Postales Nacionales S.A.S., en su calidad de Operador Postal Oficial reconocido por la Ley 1369 de 2009, es la entidad habilitada para prestar los servicios de correo a las entidades públicas que integran las ramas del poder público, en el marco del régimen jurídico especial que regula el servicio postal en Colombia.</w:t>
      </w:r>
      <w:r w:rsidRPr="00C15525">
        <w:rPr>
          <w:rFonts w:ascii="Arial" w:hAnsi="Arial" w:cs="Arial"/>
        </w:rPr>
        <w:t xml:space="preserve"> </w:t>
      </w:r>
    </w:p>
    <w:p w14:paraId="1B3DF7F7" w14:textId="77777777" w:rsidR="0083574D" w:rsidRDefault="0083574D" w:rsidP="0083574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este contexto, l</w:t>
      </w:r>
      <w:r w:rsidRPr="00EB58E0">
        <w:rPr>
          <w:rFonts w:ascii="Verdana" w:eastAsia="Times New Roman" w:hAnsi="Verdana" w:cs="Arial"/>
          <w:lang w:eastAsia="es-CO"/>
        </w:rPr>
        <w:t>a Ley 1369 de 2009 establece el marco regulatorio para los servicios postales en Colombia, definiéndolos como un servicio público cuya titularidad recae en el Estado. El objeto principal de 4-72 es la prestación de estos servicios, que consisten en "el desarrollo de las actividades de recepción, clasificación, transporte y entrega de objetos postales a través de redes postales</w:t>
      </w:r>
      <w:r>
        <w:rPr>
          <w:rFonts w:ascii="Verdana" w:eastAsia="Times New Roman" w:hAnsi="Verdana" w:cs="Arial"/>
          <w:lang w:eastAsia="es-CO"/>
        </w:rPr>
        <w:t>”.</w:t>
      </w:r>
      <w:r w:rsidRPr="00EB58E0">
        <w:rPr>
          <w:rFonts w:ascii="Verdana" w:eastAsia="Times New Roman" w:hAnsi="Verdana" w:cs="Arial"/>
          <w:lang w:eastAsia="es-CO"/>
        </w:rPr>
        <w:t xml:space="preserve"> En su calidad de Operador Postal Oficial o Concesionario de Correo, 4-72 tiene la responsabilidad </w:t>
      </w:r>
      <w:r w:rsidRPr="0061509D">
        <w:rPr>
          <w:rFonts w:ascii="Verdana" w:eastAsia="Times New Roman" w:hAnsi="Verdana" w:cs="Arial"/>
          <w:i/>
          <w:iCs/>
          <w:lang w:eastAsia="es-CO"/>
        </w:rPr>
        <w:t xml:space="preserve">exclusiva </w:t>
      </w:r>
      <w:r w:rsidRPr="00EB58E0">
        <w:rPr>
          <w:rFonts w:ascii="Verdana" w:eastAsia="Times New Roman" w:hAnsi="Verdana" w:cs="Arial"/>
          <w:lang w:eastAsia="es-CO"/>
        </w:rPr>
        <w:t>de prestar el Servicio Postal Universal, la franquicia postal y el servicio de giros internacionales, entre otros.</w:t>
      </w:r>
    </w:p>
    <w:p w14:paraId="335E8191" w14:textId="77777777" w:rsidR="0083574D" w:rsidRPr="00EB58E0" w:rsidRDefault="0083574D" w:rsidP="0083574D">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Una función de especial relevancia, similar a la de otras entidades estatales que garantizan servicios esenciales para el funcionamiento del Estado, es la denominada "área de reserva".</w:t>
      </w:r>
      <w:r>
        <w:rPr>
          <w:rFonts w:ascii="Verdana" w:eastAsia="Times New Roman" w:hAnsi="Verdana" w:cs="Arial"/>
          <w:lang w:eastAsia="es-CO"/>
        </w:rPr>
        <w:t xml:space="preserve"> Como se explicó,</w:t>
      </w:r>
      <w:r w:rsidRPr="00EB58E0">
        <w:rPr>
          <w:rFonts w:ascii="Verdana" w:eastAsia="Times New Roman" w:hAnsi="Verdana" w:cs="Arial"/>
          <w:lang w:eastAsia="es-CO"/>
        </w:rPr>
        <w:t xml:space="preserve"> </w:t>
      </w:r>
      <w:r>
        <w:rPr>
          <w:rFonts w:ascii="Verdana" w:eastAsia="Times New Roman" w:hAnsi="Verdana" w:cs="Arial"/>
          <w:lang w:eastAsia="es-CO"/>
        </w:rPr>
        <w:t>s</w:t>
      </w:r>
      <w:r w:rsidRPr="00EB58E0">
        <w:rPr>
          <w:rFonts w:ascii="Verdana" w:eastAsia="Times New Roman" w:hAnsi="Verdana" w:cs="Arial"/>
          <w:lang w:eastAsia="es-CO"/>
        </w:rPr>
        <w:t>egún el artículo 15 de la Ley 1369 de 2009,</w:t>
      </w:r>
      <w:r w:rsidRPr="005619C2">
        <w:rPr>
          <w:rFonts w:ascii="Verdana" w:eastAsia="Times New Roman" w:hAnsi="Verdana" w:cs="Arial"/>
          <w:lang w:eastAsia="es-CO"/>
        </w:rPr>
        <w:t xml:space="preserve"> </w:t>
      </w:r>
      <w:r>
        <w:rPr>
          <w:rFonts w:ascii="Verdana" w:eastAsia="Times New Roman" w:hAnsi="Verdana" w:cs="Arial"/>
          <w:lang w:eastAsia="es-CO"/>
        </w:rPr>
        <w:t xml:space="preserve">el </w:t>
      </w:r>
      <w:r w:rsidRPr="00EB58E0">
        <w:rPr>
          <w:rFonts w:ascii="Verdana" w:eastAsia="Times New Roman" w:hAnsi="Verdana" w:cs="Arial"/>
          <w:lang w:eastAsia="es-CO"/>
        </w:rPr>
        <w:t>Concesionario de Correo 4-72 es:</w:t>
      </w:r>
      <w:r>
        <w:rPr>
          <w:rFonts w:ascii="Verdana" w:eastAsia="Times New Roman" w:hAnsi="Verdana" w:cs="Arial"/>
          <w:lang w:eastAsia="es-CO"/>
        </w:rPr>
        <w:t xml:space="preserve"> </w:t>
      </w:r>
      <w:r w:rsidRPr="00EB58E0">
        <w:rPr>
          <w:rFonts w:ascii="Verdana" w:eastAsia="Times New Roman" w:hAnsi="Verdana" w:cs="Arial"/>
          <w:lang w:eastAsia="es-CO"/>
        </w:rPr>
        <w:t>“[…] la única autorizada por la ley para prestar los servicios de correo a las entidades integrantes de la Rama Ejecutiva, Legislativa y Judicial del poder público</w:t>
      </w:r>
      <w:r>
        <w:rPr>
          <w:rFonts w:ascii="Verdana" w:eastAsia="Times New Roman" w:hAnsi="Verdana" w:cs="Arial"/>
          <w:lang w:eastAsia="es-CO"/>
        </w:rPr>
        <w:t>”</w:t>
      </w:r>
      <w:r w:rsidRPr="00EB58E0">
        <w:rPr>
          <w:rFonts w:ascii="Verdana" w:eastAsia="Times New Roman" w:hAnsi="Verdana" w:cs="Arial"/>
          <w:lang w:eastAsia="es-CO"/>
        </w:rPr>
        <w:t>.</w:t>
      </w:r>
    </w:p>
    <w:p w14:paraId="4B9D726A" w14:textId="77777777" w:rsidR="0083574D" w:rsidRDefault="0083574D" w:rsidP="0083574D">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 xml:space="preserve">En este sentido, y en virtud de su naturaleza, la Ley 489 de 1998 es fundamental para determinar su estructura y régimen. El parágrafo 1° del artículo 38 de dicha ley establece que las sociedades públicas con participación estatal superior al 90% se someten al régimen previsto para las Empresas Industriales y Comerciales del Estado. En consecuencia, 4-72 se clasifica como una entidad pública descentralizada indirecta que forma parte de la Rama Ejecutiva del poder público, y su régimen jurídico, incluyendo el de sus actos y contratos, es el de una Empresa Industrial y Comercial del Estado, desarrollando </w:t>
      </w:r>
      <w:r w:rsidRPr="00EB58E0">
        <w:rPr>
          <w:rFonts w:ascii="Verdana" w:eastAsia="Times New Roman" w:hAnsi="Verdana" w:cs="Arial"/>
          <w:lang w:eastAsia="es-CO"/>
        </w:rPr>
        <w:lastRenderedPageBreak/>
        <w:t>sus actividades conforme a las reglas del derecho privado, con las excepciones que consagre la ley.</w:t>
      </w:r>
    </w:p>
    <w:p w14:paraId="723B2512" w14:textId="77777777" w:rsidR="0083574D" w:rsidRPr="00EB58E0" w:rsidRDefault="0083574D" w:rsidP="0083574D">
      <w:pPr>
        <w:spacing w:after="120" w:line="276" w:lineRule="auto"/>
        <w:ind w:firstLine="709"/>
        <w:jc w:val="both"/>
        <w:rPr>
          <w:rFonts w:ascii="Verdana" w:eastAsia="Times New Roman" w:hAnsi="Verdana" w:cs="Arial"/>
          <w:lang w:eastAsia="es-CO"/>
        </w:rPr>
      </w:pPr>
      <w:r w:rsidRPr="003C496D">
        <w:rPr>
          <w:rFonts w:ascii="Verdana" w:eastAsia="Calibri" w:hAnsi="Verdana" w:cs="Arial"/>
          <w:bCs/>
          <w:color w:val="000000" w:themeColor="text1"/>
        </w:rPr>
        <w:t>Si bien, de conformidad con lo establecido en el artículo 14 de la Ley 1150 de 2007, modificado por el artículo 93 de la Ley 1474 del 2011, las empresas industriales y comerciales del Estado, con una participación pública superior al cincuenta por ciento (50%), sus filiales y las sociedades entre entidades públicas con participación mayoritaria del Estado superior al cincuenta por ciento (50%) que desarrollan actividades comerciales en competencia con el sector privado y/o público, nacional o internacional o en mercados regulados, se rigen por las disposiciones legales y reglamentarias aplicables a sus actividades económicas y comerciales, es decir, se rigen por las normas del derecho privado, esta circunstancia no las excluye de la aplicación de las restricciones establecidas en la Ley Garantías Electorales. Como se ha precisado, la restricción consagrada en la Ley de Garantías en materia de contratación directa y celebración de convenios interadministrativos para la ejecución de recursos públicos se aplican también a las Empresas Industriales y Comerciales del Estado, en la medida que el hecho de que estén exceptuadas del Estatuto General de Contratación de la Administración Pública no implica que sean exceptuadas de las demás normas del ordenamiento jurídico colombiano.</w:t>
      </w:r>
      <w:r w:rsidRPr="00C15525">
        <w:rPr>
          <w:rFonts w:ascii="Verdana" w:eastAsia="Calibri" w:hAnsi="Verdana" w:cs="Arial"/>
          <w:bCs/>
          <w:color w:val="000000" w:themeColor="text1"/>
        </w:rPr>
        <w:t xml:space="preserve">   </w:t>
      </w:r>
    </w:p>
    <w:p w14:paraId="620A1833" w14:textId="77777777" w:rsidR="0083574D" w:rsidRPr="00C723BE" w:rsidRDefault="0083574D" w:rsidP="0083574D">
      <w:pPr>
        <w:spacing w:after="120" w:line="276" w:lineRule="auto"/>
        <w:jc w:val="both"/>
        <w:rPr>
          <w:rFonts w:ascii="Verdana" w:hAnsi="Verdana"/>
        </w:rPr>
      </w:pPr>
      <w:r>
        <w:rPr>
          <w:rFonts w:ascii="Verdana" w:eastAsia="Times New Roman" w:hAnsi="Verdana" w:cs="Arial"/>
          <w:lang w:eastAsia="es-CO"/>
        </w:rPr>
        <w:t xml:space="preserve">      </w:t>
      </w:r>
      <w:r>
        <w:rPr>
          <w:rFonts w:ascii="Verdana" w:hAnsi="Verdana"/>
        </w:rPr>
        <w:t xml:space="preserve"> No obstante lo anterior</w:t>
      </w:r>
      <w:r w:rsidRPr="00C723BE">
        <w:rPr>
          <w:rFonts w:ascii="Verdana" w:hAnsi="Verdana"/>
        </w:rPr>
        <w:t>, la Ley 1369 de 2009 establece una obligación legal para las entidades de las Ramas Ejecutiva, Legislativa y Judicial de contratar los servicios de correo exclusivamente con Servicios Postales Nacionales S.A.S. Este mandato implica que dichos servicios no pueden ser contratados con terceros operadores, so pena de incurrir en las infracciones postales previstas en el artículo 37 de la misma ley.</w:t>
      </w:r>
    </w:p>
    <w:p w14:paraId="384F55B0" w14:textId="77777777" w:rsidR="0083574D" w:rsidRPr="00C723BE" w:rsidRDefault="0083574D" w:rsidP="0083574D">
      <w:pPr>
        <w:spacing w:line="278" w:lineRule="auto"/>
        <w:jc w:val="both"/>
        <w:rPr>
          <w:rFonts w:ascii="Verdana" w:hAnsi="Verdana"/>
        </w:rPr>
      </w:pPr>
      <w:r>
        <w:rPr>
          <w:rFonts w:ascii="Verdana" w:hAnsi="Verdana"/>
        </w:rPr>
        <w:t xml:space="preserve">      </w:t>
      </w:r>
      <w:r w:rsidRPr="00C723BE">
        <w:rPr>
          <w:rFonts w:ascii="Verdana" w:hAnsi="Verdana"/>
        </w:rPr>
        <w:t>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contratos con esta entidad tiene como finalidad garantizar la prestación de un servicio cuya ejecución ha sido atribuida de manera exclusiva por el legislador.</w:t>
      </w:r>
    </w:p>
    <w:p w14:paraId="56970FC3" w14:textId="77777777" w:rsidR="0083574D" w:rsidRDefault="0083574D" w:rsidP="0083574D">
      <w:pPr>
        <w:spacing w:line="278" w:lineRule="auto"/>
        <w:jc w:val="both"/>
        <w:rPr>
          <w:rFonts w:ascii="Verdana" w:hAnsi="Verdana"/>
        </w:rPr>
      </w:pPr>
      <w:r>
        <w:rPr>
          <w:rFonts w:ascii="Verdana" w:hAnsi="Verdana"/>
        </w:rPr>
        <w:t xml:space="preserve">         </w:t>
      </w:r>
      <w:r w:rsidRPr="00C723BE">
        <w:rPr>
          <w:rFonts w:ascii="Verdana" w:hAnsi="Verdana"/>
        </w:rPr>
        <w:t xml:space="preserve">Desde esta perspectiva, la celebración de contratos interadministrativos con Servicios Postales Nacionales S.A.S. para la prestación de los servicios de correo responde al cumplimiento de una obligación legal establecida en la Ley 1369 de 2009, y no al ejercicio de la autonomía contractual de la entidad. Por </w:t>
      </w:r>
      <w:r w:rsidRPr="00C723BE">
        <w:rPr>
          <w:rFonts w:ascii="Verdana" w:hAnsi="Verdana"/>
        </w:rPr>
        <w:lastRenderedPageBreak/>
        <w:t>ello, su celebración se enmarca en el cumplimiento de un mandato normativo específico que determina el operador habilitado para prestar dicho servicio a las entidades públicas.</w:t>
      </w:r>
      <w:r>
        <w:rPr>
          <w:rFonts w:ascii="Verdana" w:hAnsi="Verdana"/>
        </w:rPr>
        <w:t xml:space="preserve"> Por tanto</w:t>
      </w:r>
      <w:r w:rsidRPr="00C723BE">
        <w:rPr>
          <w:rFonts w:ascii="Verdana" w:hAnsi="Verdana"/>
        </w:rPr>
        <w:t>, la contratación de los servicios de correo con Servicios Postales Nacionales S.A.S., en cumplimiento de lo dispuesto en el artículo 15 de la Ley 1369 de 2009, constituye la materialización de una obligación legal prevista por el legislador para las entidades públicas.</w:t>
      </w:r>
    </w:p>
    <w:p w14:paraId="7C4488F9" w14:textId="77777777" w:rsidR="0083574D" w:rsidRPr="00C15525" w:rsidRDefault="0083574D" w:rsidP="0083574D">
      <w:pPr>
        <w:spacing w:line="278" w:lineRule="auto"/>
        <w:jc w:val="both"/>
        <w:rPr>
          <w:rFonts w:ascii="Verdana" w:hAnsi="Verdana"/>
        </w:rPr>
      </w:pPr>
      <w:r>
        <w:rPr>
          <w:rFonts w:ascii="Verdana" w:eastAsia="Arial" w:hAnsi="Verdana" w:cs="Arial"/>
          <w:lang w:val="es-ES" w:eastAsia="es-ES" w:bidi="es-ES"/>
        </w:rPr>
        <w:t xml:space="preserve">      Sobre el particular, </w:t>
      </w:r>
      <w:r w:rsidRPr="00C15525">
        <w:rPr>
          <w:rFonts w:ascii="Verdana" w:eastAsia="Arial" w:hAnsi="Verdana" w:cs="Arial"/>
          <w:lang w:val="es-ES" w:eastAsia="es-ES" w:bidi="es-ES"/>
        </w:rPr>
        <w:t>resulta pertinente traer a colación el pronunciamiento de la Sala de Consulta y Servicio Civil del Consejo de Estado, el cual precisó</w:t>
      </w:r>
      <w:r>
        <w:rPr>
          <w:rFonts w:ascii="Verdana" w:eastAsia="Arial" w:hAnsi="Verdana" w:cs="Arial"/>
          <w:lang w:val="es-ES" w:eastAsia="es-ES" w:bidi="es-ES"/>
        </w:rPr>
        <w:t xml:space="preserve"> en un caso similar al expuesto,</w:t>
      </w:r>
      <w:r w:rsidRPr="00C15525">
        <w:rPr>
          <w:rFonts w:ascii="Verdana" w:eastAsia="Arial" w:hAnsi="Verdana" w:cs="Arial"/>
          <w:lang w:val="es-ES" w:eastAsia="es-ES" w:bidi="es-ES"/>
        </w:rPr>
        <w:t xml:space="preserve"> respecto del artículo 5 de la Ley 109 de 1994, que cuando excepcionalmente el contrato o convenio interadministrativo es ordenado por una ley, su celebración no resultaría violatoria de la restricción a la contratación directa contenida en la Ley 996 de 2005</w:t>
      </w:r>
      <w:r>
        <w:rPr>
          <w:rFonts w:ascii="Verdana" w:eastAsia="Arial" w:hAnsi="Verdana" w:cs="Arial"/>
          <w:lang w:val="es-ES" w:eastAsia="es-ES" w:bidi="es-ES"/>
        </w:rPr>
        <w:t>.</w:t>
      </w:r>
    </w:p>
    <w:p w14:paraId="6C47B031" w14:textId="77777777" w:rsidR="0083574D" w:rsidRPr="00C15525" w:rsidRDefault="0083574D" w:rsidP="0083574D">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Bajo esta perspectiva, y a la luz del concepto del Consejo de Estado, puede sostenerse que los contratos que se celebren con </w:t>
      </w:r>
      <w:r w:rsidRPr="00C723BE">
        <w:rPr>
          <w:rFonts w:ascii="Verdana" w:hAnsi="Verdana"/>
        </w:rPr>
        <w:t>el Operador Postal Oficial Servicios Postales Nacionales S.A.S. (4-72)</w:t>
      </w:r>
      <w:r w:rsidRPr="00C15525">
        <w:rPr>
          <w:rFonts w:ascii="Verdana" w:eastAsia="Arial" w:hAnsi="Verdana" w:cs="Arial"/>
          <w:lang w:eastAsia="es-ES" w:bidi="es-ES"/>
        </w:rPr>
        <w:t xml:space="preserve"> en cumplimiento de lo dispuesto en el </w:t>
      </w:r>
      <w:r w:rsidRPr="00C723BE">
        <w:rPr>
          <w:rFonts w:ascii="Verdana" w:hAnsi="Verdana"/>
        </w:rPr>
        <w:t>artículo 15 de la Ley 1369 de 2009</w:t>
      </w:r>
      <w:r>
        <w:rPr>
          <w:rFonts w:ascii="Verdana" w:hAnsi="Verdana"/>
        </w:rPr>
        <w:t>,</w:t>
      </w:r>
      <w:r w:rsidRPr="00C15525">
        <w:rPr>
          <w:rFonts w:ascii="Verdana" w:eastAsia="Arial" w:hAnsi="Verdana" w:cs="Arial"/>
          <w:lang w:eastAsia="es-ES" w:bidi="es-ES"/>
        </w:rPr>
        <w:t xml:space="preserve"> no se encontrarían sometidos a las restricciones previstas en la Ley 996 de 2005, en la medida en que su celebración obedece al cumplimiento de un mandato legal expreso.</w:t>
      </w:r>
    </w:p>
    <w:p w14:paraId="153F2BD5" w14:textId="77777777" w:rsidR="0083574D" w:rsidRDefault="0083574D" w:rsidP="0083574D">
      <w:pPr>
        <w:spacing w:after="120" w:line="276" w:lineRule="auto"/>
        <w:ind w:firstLine="708"/>
        <w:jc w:val="both"/>
        <w:rPr>
          <w:rFonts w:ascii="Verdana" w:eastAsia="Calibri" w:hAnsi="Verdana" w:cs="Arial"/>
          <w:bCs/>
          <w:color w:val="000000" w:themeColor="text1"/>
          <w:lang w:val="es-ES" w:eastAsia="es-ES" w:bidi="es-ES"/>
        </w:rPr>
      </w:pPr>
      <w:r w:rsidRPr="00C15525">
        <w:rPr>
          <w:rFonts w:ascii="Verdana" w:eastAsia="Arial" w:hAnsi="Verdana" w:cs="Arial"/>
          <w:lang w:eastAsia="es-ES" w:bidi="es-ES"/>
        </w:rPr>
        <w:t>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w:t>
      </w:r>
      <w:r>
        <w:rPr>
          <w:rFonts w:ascii="Verdana" w:eastAsia="Arial" w:hAnsi="Verdana" w:cs="Arial"/>
          <w:lang w:eastAsia="es-ES" w:bidi="es-ES"/>
        </w:rPr>
        <w:t xml:space="preserve">  </w:t>
      </w:r>
      <w:r w:rsidRPr="00C723BE">
        <w:rPr>
          <w:rFonts w:ascii="Verdana" w:hAnsi="Verdana"/>
        </w:rPr>
        <w:t xml:space="preserve"> artículo 15 de la Ley 1369 de 2009</w:t>
      </w:r>
      <w:r w:rsidRPr="00C15525">
        <w:rPr>
          <w:rFonts w:ascii="Verdana" w:eastAsia="Arial" w:hAnsi="Verdana" w:cs="Arial"/>
          <w:lang w:eastAsia="es-ES" w:bidi="es-ES"/>
        </w:rPr>
        <w:t xml:space="preserve">.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38150BD" w14:textId="77777777" w:rsidR="0083574D" w:rsidRPr="00C15525" w:rsidRDefault="0083574D" w:rsidP="0083574D">
      <w:pPr>
        <w:spacing w:after="120" w:line="276" w:lineRule="auto"/>
        <w:ind w:firstLine="708"/>
        <w:jc w:val="both"/>
        <w:rPr>
          <w:rFonts w:ascii="Verdana" w:eastAsia="Calibri" w:hAnsi="Verdana" w:cs="Arial"/>
          <w:bCs/>
          <w:color w:val="000000" w:themeColor="text1"/>
        </w:rPr>
      </w:pPr>
      <w:r w:rsidRPr="00C15525">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C15525">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03032BA5" w14:textId="77777777" w:rsidR="0083574D" w:rsidRPr="00C15525" w:rsidRDefault="0083574D" w:rsidP="0083574D">
      <w:pPr>
        <w:tabs>
          <w:tab w:val="left" w:pos="709"/>
        </w:tabs>
        <w:spacing w:after="120" w:line="276" w:lineRule="auto"/>
        <w:jc w:val="both"/>
        <w:rPr>
          <w:rFonts w:ascii="Verdana" w:eastAsia="Calibri" w:hAnsi="Verdana" w:cs="Arial"/>
          <w:color w:val="000000" w:themeColor="text1"/>
        </w:rPr>
      </w:pPr>
    </w:p>
    <w:p w14:paraId="2BAE0946" w14:textId="77777777" w:rsidR="0083574D" w:rsidRPr="00C15525" w:rsidRDefault="0083574D" w:rsidP="0083574D">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Referencias normativas:</w:t>
      </w:r>
    </w:p>
    <w:p w14:paraId="4EA67BFA" w14:textId="77777777" w:rsidR="0083574D" w:rsidRPr="00C15525" w:rsidRDefault="0083574D" w:rsidP="0083574D">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3574D" w:rsidRPr="00C15525" w14:paraId="52FAEE7D" w14:textId="77777777" w:rsidTr="00C3486D">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63EF037B" w14:textId="77777777" w:rsidR="0083574D" w:rsidRPr="00C15525" w:rsidRDefault="0083574D" w:rsidP="0083574D">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Constitución Política de Colombia, artículos 6, 127, 190 y 197.</w:t>
            </w:r>
          </w:p>
          <w:p w14:paraId="63656178" w14:textId="77777777" w:rsidR="0083574D" w:rsidRPr="00C15525" w:rsidRDefault="0083574D" w:rsidP="0083574D">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80 de 1993, artículos 2 y 42.</w:t>
            </w:r>
          </w:p>
          <w:p w14:paraId="435925FD" w14:textId="77777777" w:rsidR="0083574D" w:rsidRPr="00C15525" w:rsidRDefault="0083574D" w:rsidP="0083574D">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996 de 2005, artículos 33 y 38.</w:t>
            </w:r>
          </w:p>
          <w:p w14:paraId="4E133C3E" w14:textId="77777777" w:rsidR="0083574D" w:rsidRPr="00C15525" w:rsidRDefault="0083574D" w:rsidP="0083574D">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723BE">
              <w:rPr>
                <w:rFonts w:ascii="Verdana" w:hAnsi="Verdana"/>
              </w:rPr>
              <w:t>Ley 1369 de 2009</w:t>
            </w:r>
            <w:r>
              <w:rPr>
                <w:rFonts w:ascii="Verdana" w:hAnsi="Verdana"/>
              </w:rPr>
              <w:t xml:space="preserve">, </w:t>
            </w:r>
            <w:r w:rsidRPr="00C723BE">
              <w:rPr>
                <w:rFonts w:ascii="Verdana" w:hAnsi="Verdana"/>
              </w:rPr>
              <w:t>artículo 15</w:t>
            </w:r>
            <w:r>
              <w:rPr>
                <w:rFonts w:ascii="Verdana" w:hAnsi="Verdana"/>
              </w:rPr>
              <w:t>.</w:t>
            </w:r>
          </w:p>
        </w:tc>
      </w:tr>
    </w:tbl>
    <w:p w14:paraId="7F9C14B0" w14:textId="77777777" w:rsidR="0083574D" w:rsidRPr="00C15525" w:rsidRDefault="0083574D" w:rsidP="0083574D">
      <w:pPr>
        <w:widowControl w:val="0"/>
        <w:autoSpaceDE w:val="0"/>
        <w:autoSpaceDN w:val="0"/>
        <w:spacing w:after="0" w:line="276" w:lineRule="auto"/>
        <w:jc w:val="both"/>
        <w:rPr>
          <w:rFonts w:ascii="Verdana" w:hAnsi="Verdana" w:cs="Arial"/>
        </w:rPr>
      </w:pPr>
    </w:p>
    <w:p w14:paraId="21D297A1" w14:textId="77777777" w:rsidR="0083574D" w:rsidRPr="00C15525" w:rsidRDefault="0083574D" w:rsidP="0083574D">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Doctrina de la Agencia Nacional de Contratación Pública:</w:t>
      </w:r>
    </w:p>
    <w:p w14:paraId="270FC059" w14:textId="77777777" w:rsidR="0083574D" w:rsidRPr="00C15525" w:rsidRDefault="0083574D" w:rsidP="0083574D">
      <w:pPr>
        <w:widowControl w:val="0"/>
        <w:autoSpaceDE w:val="0"/>
        <w:autoSpaceDN w:val="0"/>
        <w:spacing w:after="0" w:line="276" w:lineRule="auto"/>
        <w:jc w:val="both"/>
        <w:rPr>
          <w:rFonts w:ascii="Verdana" w:hAnsi="Verdana" w:cs="Arial"/>
        </w:rPr>
      </w:pPr>
    </w:p>
    <w:p w14:paraId="2252ED67" w14:textId="77777777" w:rsidR="0083574D" w:rsidRDefault="0083574D" w:rsidP="0083574D">
      <w:pPr>
        <w:widowControl w:val="0"/>
        <w:autoSpaceDE w:val="0"/>
        <w:autoSpaceDN w:val="0"/>
        <w:spacing w:after="0" w:line="276" w:lineRule="auto"/>
        <w:jc w:val="both"/>
        <w:rPr>
          <w:rFonts w:ascii="Verdana" w:hAnsi="Verdana" w:cs="Arial"/>
          <w:color w:val="FF0000"/>
          <w:shd w:val="clear" w:color="auto" w:fill="FFFFFF"/>
          <w:lang w:val="es-ES"/>
        </w:rPr>
      </w:pPr>
      <w:r w:rsidRPr="00C15525">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w:t>
      </w:r>
      <w:r>
        <w:rPr>
          <w:rFonts w:ascii="Verdana" w:hAnsi="Verdana" w:cs="Arial"/>
          <w:shd w:val="clear" w:color="auto" w:fill="FFFFFF"/>
        </w:rPr>
        <w:t>,</w:t>
      </w:r>
      <w:r w:rsidRPr="00C15525">
        <w:rPr>
          <w:rFonts w:ascii="Verdana" w:hAnsi="Verdana" w:cs="Arial"/>
          <w:shd w:val="clear" w:color="auto" w:fill="FFFFFF"/>
        </w:rPr>
        <w:t xml:space="preserve"> C-1350 del 1˚ de octubre de 2025</w:t>
      </w:r>
      <w:r>
        <w:rPr>
          <w:rFonts w:ascii="Verdana" w:hAnsi="Verdana" w:cs="Arial"/>
          <w:shd w:val="clear" w:color="auto" w:fill="FFFFFF"/>
        </w:rPr>
        <w:t xml:space="preserve"> y C-189 del 2026</w:t>
      </w:r>
      <w:r w:rsidRPr="00C15525">
        <w:rPr>
          <w:rFonts w:ascii="Verdana" w:hAnsi="Verdana"/>
        </w:rPr>
        <w:t>.</w:t>
      </w:r>
      <w:r w:rsidRPr="00C15525">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C15525">
          <w:rPr>
            <w:rFonts w:ascii="Verdana" w:hAnsi="Verdana" w:cs="Arial"/>
            <w:color w:val="0000FF"/>
            <w:u w:val="single"/>
            <w:shd w:val="clear" w:color="auto" w:fill="FFFFFF"/>
          </w:rPr>
          <w:t>https://relatoria.colombiacompra.gov.co/busqueda/conceptos</w:t>
        </w:r>
      </w:hyperlink>
      <w:r w:rsidRPr="00C15525">
        <w:rPr>
          <w:rFonts w:ascii="Verdana" w:hAnsi="Verdana" w:cs="Arial"/>
          <w:shd w:val="clear" w:color="auto" w:fill="FFFFFF"/>
        </w:rPr>
        <w:t xml:space="preserve">. </w:t>
      </w:r>
      <w:r w:rsidRPr="00C15525">
        <w:rPr>
          <w:rFonts w:ascii="Verdana" w:hAnsi="Verdana" w:cs="Arial"/>
          <w:color w:val="FF0000"/>
          <w:shd w:val="clear" w:color="auto" w:fill="FFFFFF"/>
          <w:lang w:val="es-ES"/>
        </w:rPr>
        <w:t xml:space="preserve"> </w:t>
      </w:r>
    </w:p>
    <w:p w14:paraId="626A3E71" w14:textId="77777777" w:rsidR="0083574D" w:rsidRPr="00C15525" w:rsidRDefault="0083574D" w:rsidP="0083574D">
      <w:pPr>
        <w:widowControl w:val="0"/>
        <w:autoSpaceDE w:val="0"/>
        <w:autoSpaceDN w:val="0"/>
        <w:spacing w:after="0" w:line="276" w:lineRule="auto"/>
        <w:jc w:val="both"/>
        <w:rPr>
          <w:shd w:val="clear" w:color="auto" w:fill="FFFFFF"/>
        </w:rPr>
      </w:pPr>
    </w:p>
    <w:p w14:paraId="20EA4D78" w14:textId="77777777" w:rsidR="0083574D" w:rsidRPr="007B743D" w:rsidRDefault="0083574D" w:rsidP="0083574D">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3" w:tgtFrame="_new" w:history="1">
        <w:r w:rsidRPr="007B743D">
          <w:rPr>
            <w:rFonts w:ascii="Verdana" w:hAnsi="Verdana"/>
            <w:color w:val="0000FF"/>
            <w:u w:val="single"/>
          </w:rPr>
          <w:t>https://formacionvirtual.colombiacompra.gov.co/mod/page/view.php?id=3718</w:t>
        </w:r>
      </w:hyperlink>
    </w:p>
    <w:p w14:paraId="57AAB4F5" w14:textId="77777777" w:rsidR="0083574D" w:rsidRPr="007B743D" w:rsidRDefault="0083574D" w:rsidP="0083574D">
      <w:pPr>
        <w:jc w:val="both"/>
        <w:rPr>
          <w:rFonts w:ascii="Verdana" w:hAnsi="Verdana"/>
        </w:rPr>
      </w:pPr>
      <w:r w:rsidRPr="007B743D">
        <w:rPr>
          <w:rFonts w:ascii="Verdana" w:hAnsi="Verdana"/>
        </w:rPr>
        <w:lastRenderedPageBreak/>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B743D">
          <w:rPr>
            <w:rFonts w:ascii="Verdana" w:hAnsi="Verdana"/>
            <w:color w:val="0000FF"/>
            <w:u w:val="single"/>
          </w:rPr>
          <w:t>https://www.colombiacompra.gov.co/normativa-y-relatoria/documentos-tipo</w:t>
        </w:r>
      </w:hyperlink>
    </w:p>
    <w:p w14:paraId="4AECF5F7" w14:textId="77777777" w:rsidR="0083574D" w:rsidRPr="007B743D" w:rsidRDefault="0083574D" w:rsidP="0083574D">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B743D">
        <w:rPr>
          <w:rFonts w:ascii="Verdana" w:hAnsi="Verdana"/>
        </w:rPr>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5"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FA4F232" w14:textId="77777777" w:rsidR="0083574D" w:rsidRDefault="0083574D" w:rsidP="0083574D">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75EC76D3" w14:textId="77777777" w:rsidR="0083574D" w:rsidRPr="00915417" w:rsidRDefault="0083574D" w:rsidP="0083574D">
      <w:pPr>
        <w:widowControl w:val="0"/>
        <w:autoSpaceDE w:val="0"/>
        <w:autoSpaceDN w:val="0"/>
        <w:spacing w:after="0" w:line="276" w:lineRule="auto"/>
        <w:jc w:val="both"/>
        <w:rPr>
          <w:rFonts w:ascii="Verdana" w:hAnsi="Verdana" w:cs="Arial"/>
        </w:rPr>
      </w:pPr>
      <w:r w:rsidRPr="0091541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9776DD" w14:textId="77777777" w:rsidR="0083574D" w:rsidRPr="00915417" w:rsidRDefault="0083574D" w:rsidP="0083574D">
      <w:pPr>
        <w:widowControl w:val="0"/>
        <w:autoSpaceDE w:val="0"/>
        <w:autoSpaceDN w:val="0"/>
        <w:spacing w:after="0" w:line="276" w:lineRule="auto"/>
        <w:jc w:val="both"/>
        <w:rPr>
          <w:rFonts w:ascii="Verdana" w:hAnsi="Verdana" w:cs="Arial"/>
        </w:rPr>
      </w:pPr>
    </w:p>
    <w:p w14:paraId="4CB7B9A7" w14:textId="77777777" w:rsidR="0083574D" w:rsidRPr="00915417" w:rsidRDefault="0083574D" w:rsidP="0083574D">
      <w:pPr>
        <w:spacing w:after="0" w:line="276" w:lineRule="auto"/>
        <w:rPr>
          <w:rFonts w:ascii="Verdana" w:hAnsi="Verdana" w:cs="Arial"/>
          <w:lang w:eastAsia="es-CO"/>
        </w:rPr>
      </w:pPr>
      <w:r w:rsidRPr="00915417">
        <w:rPr>
          <w:rFonts w:ascii="Verdana" w:eastAsia="Times New Roman" w:hAnsi="Verdana" w:cs="Arial"/>
          <w:lang w:eastAsia="es-CO"/>
        </w:rPr>
        <w:t>Atentamente,</w:t>
      </w:r>
      <w:r w:rsidRPr="00915417">
        <w:rPr>
          <w:rFonts w:ascii="Verdana" w:hAnsi="Verdana" w:cs="Arial"/>
          <w:lang w:eastAsia="es-CO"/>
        </w:rPr>
        <w:t xml:space="preserve"> </w:t>
      </w:r>
    </w:p>
    <w:p w14:paraId="7C9C1D8B" w14:textId="3867B291" w:rsidR="0083574D" w:rsidRPr="00387468" w:rsidRDefault="00387468" w:rsidP="00387468">
      <w:pPr>
        <w:spacing w:line="276" w:lineRule="auto"/>
        <w:jc w:val="center"/>
        <w:rPr>
          <w:rFonts w:ascii="Verdana" w:hAnsi="Verdana" w:cs="Arial"/>
          <w:color w:val="000000"/>
          <w:lang w:eastAsia="es-CO"/>
        </w:rPr>
      </w:pPr>
      <w:r>
        <w:rPr>
          <w:noProof/>
        </w:rPr>
        <w:drawing>
          <wp:inline distT="0" distB="0" distL="0" distR="0" wp14:anchorId="25C98386" wp14:editId="3EC783A5">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3574D" w:rsidRPr="009B7987" w14:paraId="1393B6AE" w14:textId="77777777" w:rsidTr="00C3486D">
        <w:trPr>
          <w:trHeight w:val="315"/>
        </w:trPr>
        <w:tc>
          <w:tcPr>
            <w:tcW w:w="893" w:type="dxa"/>
            <w:vAlign w:val="center"/>
            <w:hideMark/>
          </w:tcPr>
          <w:p w14:paraId="0C265D2D" w14:textId="77777777" w:rsidR="0083574D" w:rsidRPr="009B7987" w:rsidRDefault="0083574D" w:rsidP="00C3486D">
            <w:pPr>
              <w:contextualSpacing/>
              <w:rPr>
                <w:rFonts w:ascii="Verdana" w:hAnsi="Verdana" w:cs="Arial"/>
                <w:sz w:val="16"/>
                <w:szCs w:val="16"/>
                <w:lang w:eastAsia="es-ES"/>
              </w:rPr>
            </w:pPr>
            <w:r w:rsidRPr="009B7987">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36D14E9B" w14:textId="77777777" w:rsidR="0083574D" w:rsidRPr="009B7987" w:rsidRDefault="0083574D" w:rsidP="00C3486D">
            <w:pPr>
              <w:contextualSpacing/>
              <w:rPr>
                <w:rFonts w:ascii="Verdana" w:hAnsi="Verdana"/>
                <w:sz w:val="16"/>
                <w:szCs w:val="16"/>
              </w:rPr>
            </w:pPr>
            <w:r w:rsidRPr="009B7987">
              <w:rPr>
                <w:rFonts w:ascii="Verdana" w:hAnsi="Verdana"/>
                <w:sz w:val="16"/>
                <w:szCs w:val="16"/>
              </w:rPr>
              <w:t>Tatiana Baquero Iguarán</w:t>
            </w:r>
          </w:p>
          <w:p w14:paraId="16C1602F" w14:textId="77777777" w:rsidR="0083574D" w:rsidRPr="009B7987" w:rsidRDefault="0083574D" w:rsidP="00C3486D">
            <w:pPr>
              <w:contextualSpacing/>
              <w:rPr>
                <w:rFonts w:ascii="Verdana" w:eastAsia="Arial" w:hAnsi="Verdana" w:cs="Arial"/>
                <w:sz w:val="16"/>
                <w:szCs w:val="16"/>
              </w:rPr>
            </w:pPr>
            <w:r w:rsidRPr="009B7987">
              <w:rPr>
                <w:rFonts w:ascii="Verdana" w:hAnsi="Verdana"/>
                <w:sz w:val="16"/>
                <w:szCs w:val="16"/>
              </w:rPr>
              <w:t>Contratista de la Subdirección de Gestión Contractual</w:t>
            </w:r>
          </w:p>
        </w:tc>
      </w:tr>
      <w:tr w:rsidR="0083574D" w:rsidRPr="009B7987" w14:paraId="27125FC8" w14:textId="77777777" w:rsidTr="00C3486D">
        <w:trPr>
          <w:trHeight w:val="330"/>
        </w:trPr>
        <w:tc>
          <w:tcPr>
            <w:tcW w:w="893" w:type="dxa"/>
            <w:vAlign w:val="center"/>
            <w:hideMark/>
          </w:tcPr>
          <w:p w14:paraId="24D3EF41" w14:textId="77777777" w:rsidR="0083574D" w:rsidRPr="009B7987" w:rsidRDefault="0083574D" w:rsidP="00C3486D">
            <w:pPr>
              <w:contextualSpacing/>
              <w:rPr>
                <w:rFonts w:ascii="Verdana" w:hAnsi="Verdana" w:cs="Arial"/>
                <w:sz w:val="16"/>
                <w:szCs w:val="16"/>
                <w:lang w:eastAsia="es-ES"/>
              </w:rPr>
            </w:pPr>
            <w:r w:rsidRPr="009B798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8E535F" w14:textId="77777777" w:rsidR="0083574D" w:rsidRPr="002D273E" w:rsidRDefault="0083574D" w:rsidP="00C3486D">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Diana Lucía Saavedra Castañeda</w:t>
            </w:r>
          </w:p>
          <w:p w14:paraId="7C215DA4" w14:textId="77777777" w:rsidR="0083574D" w:rsidRPr="008B52DA" w:rsidRDefault="0083574D" w:rsidP="00C3486D">
            <w:pPr>
              <w:spacing w:before="100" w:beforeAutospacing="1" w:afterAutospacing="1"/>
              <w:contextualSpacing/>
              <w:textAlignment w:val="baseline"/>
              <w:rPr>
                <w:rFonts w:ascii="Verdana" w:eastAsia="Times New Roman" w:hAnsi="Verdana" w:cs="Arial"/>
                <w:sz w:val="16"/>
                <w:szCs w:val="16"/>
                <w:lang w:eastAsia="es-ES_tradnl"/>
              </w:rPr>
            </w:pPr>
            <w:r w:rsidRPr="002D273E">
              <w:rPr>
                <w:rFonts w:ascii="Verdana" w:eastAsia="Times New Roman" w:hAnsi="Verdana" w:cs="Arial"/>
                <w:sz w:val="16"/>
                <w:szCs w:val="16"/>
                <w:lang w:val="es-ES" w:eastAsia="es-ES_tradnl"/>
              </w:rPr>
              <w:t>Contratista de la Subdirección de Gestión Contractual</w:t>
            </w:r>
            <w:r w:rsidRPr="009B7987">
              <w:rPr>
                <w:rFonts w:ascii="Verdana" w:eastAsia="Times New Roman" w:hAnsi="Verdana" w:cs="Arial"/>
                <w:sz w:val="16"/>
                <w:szCs w:val="16"/>
                <w:lang w:eastAsia="es-ES_tradnl"/>
              </w:rPr>
              <w:t xml:space="preserve"> </w:t>
            </w:r>
          </w:p>
        </w:tc>
      </w:tr>
      <w:tr w:rsidR="0083574D" w:rsidRPr="009B7987" w14:paraId="33147D05" w14:textId="77777777" w:rsidTr="00C3486D">
        <w:trPr>
          <w:trHeight w:val="300"/>
        </w:trPr>
        <w:tc>
          <w:tcPr>
            <w:tcW w:w="893" w:type="dxa"/>
            <w:vAlign w:val="center"/>
          </w:tcPr>
          <w:p w14:paraId="06F1313C" w14:textId="77777777" w:rsidR="0083574D" w:rsidRPr="009B7987" w:rsidRDefault="0083574D" w:rsidP="00C3486D">
            <w:pPr>
              <w:contextualSpacing/>
              <w:rPr>
                <w:rFonts w:ascii="Verdana" w:hAnsi="Verdana" w:cs="Arial"/>
                <w:sz w:val="16"/>
                <w:szCs w:val="16"/>
                <w:lang w:eastAsia="es-ES"/>
              </w:rPr>
            </w:pPr>
            <w:r w:rsidRPr="009B798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DFA7966" w14:textId="77777777" w:rsidR="0083574D" w:rsidRPr="009B7987" w:rsidRDefault="0083574D" w:rsidP="00C3486D">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Carolina Quintero Gacharná</w:t>
            </w:r>
          </w:p>
          <w:p w14:paraId="3D103D82" w14:textId="77777777" w:rsidR="0083574D" w:rsidRPr="009B7987" w:rsidRDefault="0083574D" w:rsidP="00C3486D">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Subdirectora de Gestión Contractual ANCP – CCE</w:t>
            </w:r>
          </w:p>
        </w:tc>
      </w:tr>
    </w:tbl>
    <w:p w14:paraId="340CE5A9" w14:textId="77777777" w:rsidR="0083574D" w:rsidRPr="009B7987" w:rsidRDefault="0083574D" w:rsidP="0083574D">
      <w:pPr>
        <w:spacing w:after="0" w:line="240" w:lineRule="auto"/>
        <w:rPr>
          <w:rFonts w:ascii="Verdana" w:eastAsia="Times New Roman" w:hAnsi="Verdana" w:cs="Arial"/>
          <w:sz w:val="24"/>
          <w:szCs w:val="24"/>
          <w:lang w:eastAsia="es-ES"/>
        </w:rPr>
      </w:pPr>
    </w:p>
    <w:p w14:paraId="6DD34AC0" w14:textId="77777777" w:rsidR="0083574D" w:rsidRPr="009B7987" w:rsidRDefault="0083574D" w:rsidP="0083574D"/>
    <w:p w14:paraId="5DE79718" w14:textId="77777777" w:rsidR="0083574D" w:rsidRPr="000E2B93" w:rsidRDefault="0083574D" w:rsidP="0083574D">
      <w:pPr>
        <w:spacing w:after="0" w:line="240" w:lineRule="auto"/>
        <w:jc w:val="both"/>
        <w:textAlignment w:val="baseline"/>
        <w:rPr>
          <w:rFonts w:ascii="Verdana" w:eastAsia="Verdana" w:hAnsi="Verdana" w:cs="Verdana"/>
          <w:lang w:eastAsia="es-CO"/>
        </w:rPr>
      </w:pPr>
    </w:p>
    <w:p w14:paraId="189C4A90" w14:textId="5D806A9B" w:rsidR="0083574D" w:rsidRPr="000E2B93" w:rsidRDefault="0083574D" w:rsidP="0083574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3EE53DCB" w14:textId="77777777" w:rsidR="0083574D" w:rsidRPr="0015699B" w:rsidRDefault="0083574D" w:rsidP="0083574D">
      <w:pPr>
        <w:spacing w:after="0" w:line="240" w:lineRule="auto"/>
        <w:ind w:left="1080"/>
        <w:jc w:val="both"/>
        <w:textAlignment w:val="baseline"/>
        <w:rPr>
          <w:rFonts w:ascii="Verdana" w:eastAsia="Verdana" w:hAnsi="Verdana" w:cs="Verdana"/>
          <w:lang w:eastAsia="es-CO"/>
        </w:rPr>
      </w:pPr>
    </w:p>
    <w:p w14:paraId="32616CEB" w14:textId="77777777" w:rsidR="00794876" w:rsidRPr="0083574D" w:rsidRDefault="00794876" w:rsidP="0083574D"/>
    <w:sectPr w:rsidR="00794876" w:rsidRPr="0083574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24586" w14:textId="77777777" w:rsidR="00AE0BB9" w:rsidRDefault="00AE0BB9" w:rsidP="004A1847">
      <w:pPr>
        <w:spacing w:after="0" w:line="240" w:lineRule="auto"/>
      </w:pPr>
      <w:r>
        <w:separator/>
      </w:r>
    </w:p>
  </w:endnote>
  <w:endnote w:type="continuationSeparator" w:id="0">
    <w:p w14:paraId="47006F67" w14:textId="77777777" w:rsidR="00AE0BB9" w:rsidRDefault="00AE0BB9" w:rsidP="004A1847">
      <w:pPr>
        <w:spacing w:after="0" w:line="240" w:lineRule="auto"/>
      </w:pPr>
      <w:r>
        <w:continuationSeparator/>
      </w:r>
    </w:p>
  </w:endnote>
  <w:endnote w:type="continuationNotice" w:id="1">
    <w:p w14:paraId="0B380DBC" w14:textId="77777777" w:rsidR="00AE0BB9" w:rsidRDefault="00AE0B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3A762" w14:textId="77777777" w:rsidR="00AE0BB9" w:rsidRDefault="00AE0BB9" w:rsidP="004A1847">
      <w:pPr>
        <w:spacing w:after="0" w:line="240" w:lineRule="auto"/>
      </w:pPr>
      <w:r>
        <w:separator/>
      </w:r>
    </w:p>
  </w:footnote>
  <w:footnote w:type="continuationSeparator" w:id="0">
    <w:p w14:paraId="297A9358" w14:textId="77777777" w:rsidR="00AE0BB9" w:rsidRDefault="00AE0BB9" w:rsidP="004A1847">
      <w:pPr>
        <w:spacing w:after="0" w:line="240" w:lineRule="auto"/>
      </w:pPr>
      <w:r>
        <w:continuationSeparator/>
      </w:r>
    </w:p>
  </w:footnote>
  <w:footnote w:type="continuationNotice" w:id="1">
    <w:p w14:paraId="092F5B40" w14:textId="77777777" w:rsidR="00AE0BB9" w:rsidRDefault="00AE0BB9">
      <w:pPr>
        <w:spacing w:after="0" w:line="240" w:lineRule="auto"/>
      </w:pPr>
    </w:p>
  </w:footnote>
  <w:footnote w:id="2">
    <w:p w14:paraId="1627C52F"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EC465F5" w14:textId="77777777" w:rsidR="0083574D" w:rsidRPr="00C70B85" w:rsidRDefault="0083574D" w:rsidP="0083574D">
      <w:pPr>
        <w:pStyle w:val="Textonotapie"/>
        <w:ind w:firstLine="709"/>
        <w:jc w:val="both"/>
        <w:rPr>
          <w:rFonts w:ascii="Verdana" w:hAnsi="Verdana" w:cs="Arial"/>
          <w:sz w:val="16"/>
          <w:szCs w:val="16"/>
        </w:rPr>
      </w:pPr>
      <w:r w:rsidRPr="00C70B8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1F881F3A"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Gaceta del Congreso de la República No. 71 del 2005.</w:t>
      </w:r>
    </w:p>
  </w:footnote>
  <w:footnote w:id="4">
    <w:p w14:paraId="4422C8E4" w14:textId="77777777" w:rsidR="0083574D" w:rsidRPr="00AC1EB4" w:rsidRDefault="0083574D" w:rsidP="0083574D">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 C- 1153 de 2005, M.P. Marco Gerardo Monroy Cabra.</w:t>
      </w:r>
    </w:p>
  </w:footnote>
  <w:footnote w:id="5">
    <w:p w14:paraId="05819DFC" w14:textId="77777777" w:rsidR="0083574D" w:rsidRPr="00AC1EB4" w:rsidRDefault="0083574D" w:rsidP="0083574D">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8968724" w14:textId="77777777" w:rsidR="0083574D" w:rsidRPr="00C70B85" w:rsidRDefault="0083574D" w:rsidP="0083574D">
      <w:pPr>
        <w:pStyle w:val="Textonotapie"/>
        <w:ind w:firstLine="709"/>
        <w:jc w:val="both"/>
        <w:rPr>
          <w:rFonts w:ascii="Verdana" w:hAnsi="Verdana" w:cs="Arial"/>
          <w:sz w:val="16"/>
          <w:szCs w:val="16"/>
          <w:lang w:val="es-CO"/>
        </w:rPr>
      </w:pPr>
      <w:r w:rsidRPr="00C70B85">
        <w:rPr>
          <w:rStyle w:val="Refdenotaalpie"/>
          <w:rFonts w:ascii="Verdana" w:hAnsi="Verdana" w:cs="Arial"/>
          <w:sz w:val="16"/>
          <w:szCs w:val="16"/>
        </w:rPr>
        <w:footnoteRef/>
      </w:r>
      <w:r w:rsidRPr="00C70B8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1CB4B91"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0F1ECB33" w14:textId="77777777" w:rsidR="0083574D" w:rsidRPr="00C70B85" w:rsidRDefault="0083574D" w:rsidP="0083574D">
      <w:pPr>
        <w:spacing w:line="240" w:lineRule="auto"/>
        <w:ind w:firstLine="709"/>
        <w:contextualSpacing/>
        <w:jc w:val="both"/>
        <w:rPr>
          <w:rFonts w:ascii="Verdana" w:eastAsia="Times New Roman"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5" w:name="33"/>
      <w:r w:rsidRPr="00C70B85">
        <w:rPr>
          <w:rFonts w:ascii="Verdana" w:eastAsia="Times New Roman" w:hAnsi="Verdana" w:cs="Arial"/>
          <w:sz w:val="16"/>
          <w:szCs w:val="16"/>
        </w:rPr>
        <w:t>Artículo 33. Restricciones a la contratación pública.</w:t>
      </w:r>
      <w:bookmarkEnd w:id="5"/>
      <w:r w:rsidRPr="00C70B8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B662EFB" w14:textId="77777777" w:rsidR="0083574D" w:rsidRPr="00C70B85" w:rsidRDefault="0083574D" w:rsidP="0083574D">
      <w:pPr>
        <w:spacing w:line="240" w:lineRule="auto"/>
        <w:ind w:firstLine="709"/>
        <w:contextualSpacing/>
        <w:jc w:val="both"/>
        <w:rPr>
          <w:rFonts w:ascii="Verdana" w:eastAsia="Times New Roman" w:hAnsi="Verdana" w:cs="Arial"/>
          <w:sz w:val="16"/>
          <w:szCs w:val="16"/>
        </w:rPr>
      </w:pPr>
      <w:r w:rsidRPr="00C70B8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70B85">
        <w:rPr>
          <w:rFonts w:ascii="Verdana" w:eastAsia="Calibri" w:hAnsi="Verdana" w:cs="Arial"/>
          <w:color w:val="000000"/>
          <w:sz w:val="16"/>
          <w:szCs w:val="16"/>
        </w:rPr>
        <w:t>”</w:t>
      </w:r>
      <w:r w:rsidRPr="00C70B85">
        <w:rPr>
          <w:rFonts w:ascii="Verdana" w:eastAsia="Times New Roman" w:hAnsi="Verdana" w:cs="Arial"/>
          <w:sz w:val="16"/>
          <w:szCs w:val="16"/>
        </w:rPr>
        <w:t>.</w:t>
      </w:r>
    </w:p>
  </w:footnote>
  <w:footnote w:id="9">
    <w:p w14:paraId="0A2529A8" w14:textId="77777777" w:rsidR="0083574D" w:rsidRPr="00C70B85" w:rsidRDefault="0083574D" w:rsidP="0083574D">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6" w:name="38"/>
      <w:r w:rsidRPr="00C70B85">
        <w:rPr>
          <w:rFonts w:ascii="Verdana" w:hAnsi="Verdana" w:cs="Arial"/>
          <w:sz w:val="16"/>
          <w:szCs w:val="16"/>
          <w:lang w:val="es-MX"/>
        </w:rPr>
        <w:t>Artículo 38. Prohibiciones para los servidores públicos. A los empleados del Estado les está prohibido:</w:t>
      </w:r>
      <w:bookmarkEnd w:id="6"/>
    </w:p>
    <w:p w14:paraId="4EBBB6AC" w14:textId="77777777" w:rsidR="0083574D" w:rsidRPr="00C70B85" w:rsidRDefault="0083574D" w:rsidP="0083574D">
      <w:pPr>
        <w:pStyle w:val="NormalWeb"/>
        <w:spacing w:before="0" w:beforeAutospacing="0" w:after="0" w:afterAutospacing="0"/>
        <w:ind w:firstLine="709"/>
        <w:contextualSpacing/>
        <w:jc w:val="both"/>
        <w:rPr>
          <w:rFonts w:ascii="Verdana" w:hAnsi="Verdana" w:cs="Arial"/>
          <w:sz w:val="16"/>
          <w:szCs w:val="16"/>
          <w:lang w:val="es-MX"/>
        </w:rPr>
      </w:pPr>
      <w:r w:rsidRPr="00C70B85">
        <w:rPr>
          <w:rFonts w:ascii="Verdana" w:hAnsi="Verdana" w:cs="Arial"/>
          <w:sz w:val="16"/>
          <w:szCs w:val="16"/>
          <w:lang w:val="es-MX"/>
        </w:rPr>
        <w:t>[…]</w:t>
      </w:r>
    </w:p>
    <w:p w14:paraId="125BB782" w14:textId="77777777" w:rsidR="0083574D" w:rsidRPr="00C70B85" w:rsidRDefault="0083574D" w:rsidP="0083574D">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baj"/>
          <w:rFonts w:ascii="Verdana" w:eastAsiaTheme="minorEastAsia" w:hAnsi="Verdana" w:cs="Arial"/>
          <w:sz w:val="16"/>
          <w:szCs w:val="16"/>
          <w:lang w:val="es-MX"/>
        </w:rPr>
        <w:t>Parágrafo.</w:t>
      </w:r>
      <w:r w:rsidRPr="00C70B8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70B85">
        <w:rPr>
          <w:rFonts w:ascii="Verdana" w:eastAsia="Calibri" w:hAnsi="Verdana" w:cs="Arial"/>
          <w:color w:val="000000"/>
          <w:sz w:val="16"/>
          <w:szCs w:val="16"/>
        </w:rPr>
        <w:t>”</w:t>
      </w:r>
      <w:r w:rsidRPr="00C70B85">
        <w:rPr>
          <w:rFonts w:ascii="Verdana" w:hAnsi="Verdana" w:cs="Arial"/>
          <w:sz w:val="16"/>
          <w:szCs w:val="16"/>
          <w:lang w:val="es-MX"/>
        </w:rPr>
        <w:t>.</w:t>
      </w:r>
    </w:p>
  </w:footnote>
  <w:footnote w:id="10">
    <w:p w14:paraId="639BB397" w14:textId="77777777" w:rsidR="0083574D" w:rsidRPr="00C70B85" w:rsidRDefault="0083574D" w:rsidP="0083574D">
      <w:pPr>
        <w:spacing w:after="0" w:line="240" w:lineRule="auto"/>
        <w:ind w:left="100" w:right="244" w:firstLine="709"/>
        <w:contextualSpacing/>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7459EFD" w14:textId="77777777" w:rsidR="0083574D" w:rsidRPr="00C70B85" w:rsidRDefault="0083574D" w:rsidP="0083574D">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[25] </w:t>
      </w:r>
      <w:r w:rsidRPr="00C70B85">
        <w:rPr>
          <w:rFonts w:ascii="Verdana" w:hAnsi="Verdana" w:cs="Arial"/>
          <w:sz w:val="16"/>
          <w:szCs w:val="16"/>
        </w:rPr>
        <w:t>Cfr. Consejo de Estado. Sección Tercera. Sentencia de 3 de diciembre de 2007. Radicados: 24.715, 25.206, 25.409, 24.524, 27.834, 25.410, 26.105, 28.244, 31.447 -acumulados-”.</w:t>
      </w:r>
    </w:p>
  </w:footnote>
  <w:footnote w:id="12">
    <w:p w14:paraId="74F148C4" w14:textId="77777777" w:rsidR="0083574D" w:rsidRPr="00C70B85" w:rsidRDefault="0083574D" w:rsidP="0083574D">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[26] </w:t>
      </w:r>
      <w:r w:rsidRPr="00C70B85">
        <w:rPr>
          <w:rFonts w:ascii="Verdana" w:hAnsi="Verdana" w:cs="Arial"/>
          <w:sz w:val="16"/>
          <w:szCs w:val="16"/>
        </w:rPr>
        <w:t>Al respecto ver el concepto 1712 de 2 de febrero de 2006. Consejo de Estado Sala de Consulta y Servicio Civil”.</w:t>
      </w:r>
    </w:p>
  </w:footnote>
  <w:footnote w:id="13">
    <w:p w14:paraId="678186E1"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6F20535B" w14:textId="77777777" w:rsidR="0083574D" w:rsidRPr="00C70B85" w:rsidRDefault="0083574D" w:rsidP="0083574D">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Artículo 2. </w:t>
      </w:r>
    </w:p>
  </w:footnote>
  <w:footnote w:id="15">
    <w:p w14:paraId="462AC04C" w14:textId="77777777" w:rsidR="0083574D" w:rsidRPr="00C70B85" w:rsidRDefault="0083574D" w:rsidP="0083574D">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i/>
          <w:sz w:val="16"/>
          <w:szCs w:val="16"/>
          <w:lang w:val="es-ES"/>
        </w:rPr>
        <w:t>Ibidem</w:t>
      </w:r>
      <w:r w:rsidRPr="00C70B85">
        <w:rPr>
          <w:rFonts w:ascii="Verdana" w:hAnsi="Verdana" w:cs="Arial"/>
          <w:sz w:val="16"/>
          <w:szCs w:val="16"/>
          <w:lang w:val="es-ES"/>
        </w:rPr>
        <w:t>.</w:t>
      </w:r>
    </w:p>
  </w:footnote>
  <w:footnote w:id="16">
    <w:p w14:paraId="711FEF5C" w14:textId="77777777" w:rsidR="0083574D" w:rsidRPr="00C70B85" w:rsidRDefault="0083574D" w:rsidP="0083574D">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712E8EC3" w14:textId="77777777" w:rsidR="0083574D" w:rsidRPr="00C70B85" w:rsidRDefault="0083574D" w:rsidP="0083574D">
      <w:pPr>
        <w:shd w:val="clear" w:color="auto" w:fill="FFFFFF"/>
        <w:spacing w:after="0"/>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2227AFE0"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08 de mayo de 2018. Exp. 2.382. C.P. Álvaro Namén Vargas.</w:t>
      </w:r>
    </w:p>
  </w:footnote>
  <w:footnote w:id="19">
    <w:p w14:paraId="6792E08A"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08BD08DE" w14:textId="77777777" w:rsidR="0083574D" w:rsidRPr="00C70B85" w:rsidRDefault="0083574D" w:rsidP="0083574D">
      <w:pPr>
        <w:pStyle w:val="Textonotapie"/>
        <w:ind w:firstLine="708"/>
        <w:contextualSpacing/>
        <w:jc w:val="both"/>
        <w:rPr>
          <w:rFonts w:ascii="Verdana" w:hAnsi="Verdana" w:cs="Arial"/>
          <w:color w:val="000000" w:themeColor="text1"/>
          <w:sz w:val="16"/>
          <w:szCs w:val="16"/>
        </w:rPr>
      </w:pPr>
      <w:r w:rsidRPr="00C70B85">
        <w:rPr>
          <w:rStyle w:val="Refdenotaalpie"/>
          <w:rFonts w:ascii="Verdana" w:hAnsi="Verdana" w:cs="Arial"/>
          <w:color w:val="000000" w:themeColor="text1"/>
          <w:sz w:val="16"/>
          <w:szCs w:val="16"/>
        </w:rPr>
        <w:footnoteRef/>
      </w:r>
      <w:r w:rsidRPr="00C70B85">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5709F45B" w14:textId="77777777" w:rsidR="0083574D" w:rsidRPr="00C70B85" w:rsidRDefault="0083574D" w:rsidP="0083574D">
      <w:pPr>
        <w:spacing w:after="0"/>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33F01A61" w14:textId="77777777" w:rsidR="0083574D" w:rsidRPr="00C70B85" w:rsidRDefault="0083574D" w:rsidP="0083574D">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bookmarkStart w:id="17" w:name="_Hlk75633115"/>
      <w:r w:rsidRPr="00C70B85">
        <w:rPr>
          <w:rFonts w:ascii="Verdana" w:hAnsi="Verdana" w:cs="Arial"/>
          <w:sz w:val="16"/>
          <w:szCs w:val="16"/>
        </w:rPr>
        <w:t xml:space="preserve">Consejo de Estado. Sala de Consulta y Servicio Civil. Concepto </w:t>
      </w:r>
      <w:bookmarkEnd w:id="17"/>
      <w:r w:rsidRPr="00C70B85">
        <w:rPr>
          <w:rFonts w:ascii="Verdana" w:hAnsi="Verdana" w:cs="Arial"/>
          <w:sz w:val="16"/>
          <w:szCs w:val="16"/>
        </w:rPr>
        <w:t>de 6 de abril de 2006. Radicación Número: 11001-03-06-000-2006-00038-00(1738). Consejero Ponente: Enrique José Arboleda Perdomo:</w:t>
      </w:r>
      <w:r w:rsidRPr="00C70B85">
        <w:rPr>
          <w:rFonts w:ascii="Verdana" w:eastAsia="Times New Roman" w:hAnsi="Verdana" w:cs="Arial"/>
          <w:bCs/>
          <w:sz w:val="16"/>
          <w:szCs w:val="16"/>
          <w:lang w:eastAsia="x-none"/>
        </w:rPr>
        <w:t xml:space="preserve"> “</w:t>
      </w:r>
      <w:r w:rsidRPr="00C70B8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70B85">
        <w:rPr>
          <w:rFonts w:ascii="Verdana" w:eastAsia="Times New Roman" w:hAnsi="Verdana" w:cs="Arial"/>
          <w:bCs/>
          <w:sz w:val="16"/>
          <w:szCs w:val="16"/>
          <w:lang w:eastAsia="x-none"/>
        </w:rPr>
        <w:t>”.</w:t>
      </w:r>
    </w:p>
  </w:footnote>
  <w:footnote w:id="23">
    <w:p w14:paraId="1D30D47B" w14:textId="77777777" w:rsidR="0083574D" w:rsidRPr="00C70B85" w:rsidRDefault="0083574D" w:rsidP="0083574D">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4">
    <w:p w14:paraId="755432F8" w14:textId="77777777" w:rsidR="0083574D" w:rsidRPr="00C70B85" w:rsidRDefault="0083574D" w:rsidP="0083574D">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w:t>
      </w:r>
      <w:r w:rsidRPr="00C70B85">
        <w:rPr>
          <w:rFonts w:ascii="Verdana" w:hAnsi="Verdana" w:cs="Arial"/>
          <w:i/>
          <w:iCs/>
          <w:sz w:val="16"/>
          <w:szCs w:val="16"/>
        </w:rPr>
        <w:t>ibidem</w:t>
      </w:r>
      <w:r w:rsidRPr="00C70B85">
        <w:rPr>
          <w:rFonts w:ascii="Verdana" w:hAnsi="Verdana" w:cs="Arial"/>
          <w:sz w:val="16"/>
          <w:szCs w:val="16"/>
        </w:rPr>
        <w:t>.</w:t>
      </w:r>
    </w:p>
  </w:footnote>
  <w:footnote w:id="25">
    <w:p w14:paraId="3A344E74"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hAnsi="Verdana" w:cs="Arial"/>
          <w:sz w:val="16"/>
          <w:szCs w:val="16"/>
        </w:rPr>
        <w:t>Consejo de Estado -Sección Tercera-. Sentencia del 21 de febrero de 2025. Radicación Número: 68.280. CP: José Roberto Sáchica Méndez.</w:t>
      </w:r>
    </w:p>
  </w:footnote>
  <w:footnote w:id="26">
    <w:p w14:paraId="03B28373" w14:textId="77777777" w:rsidR="0083574D" w:rsidRPr="00C70B85" w:rsidRDefault="0083574D" w:rsidP="0083574D">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lang w:val="es-CO"/>
        </w:rPr>
        <w:t xml:space="preserve"> Consejo de Estado, Sección Tercera. Auto del 4 de octubre de 2024. Exp. 70.313. C.P: Fredy Ibarra Martínez.</w:t>
      </w:r>
    </w:p>
  </w:footnote>
  <w:footnote w:id="27">
    <w:p w14:paraId="726974F1" w14:textId="77777777" w:rsidR="0083574D" w:rsidRPr="00C70B85" w:rsidRDefault="0083574D" w:rsidP="0083574D">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La parte resolutiva del auto dispone lo siguiente; “</w:t>
      </w:r>
      <w:r w:rsidRPr="00C70B85">
        <w:rPr>
          <w:rFonts w:ascii="Verdana" w:hAnsi="Verdana"/>
          <w:b/>
          <w:sz w:val="16"/>
          <w:szCs w:val="16"/>
          <w:lang w:val="es-CO"/>
        </w:rPr>
        <w:t xml:space="preserve">PRIMERO: DECRETAR </w:t>
      </w:r>
      <w:r w:rsidRPr="00C70B85">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70B8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70B85">
        <w:rPr>
          <w:rFonts w:ascii="Verdana" w:hAnsi="Verdana"/>
          <w:sz w:val="16"/>
          <w:szCs w:val="16"/>
          <w:lang w:val="es-CO"/>
        </w:rPr>
        <w:t xml:space="preserve">, por las razones expuestas en precedencia. </w:t>
      </w:r>
    </w:p>
    <w:p w14:paraId="52B83B29" w14:textId="77777777" w:rsidR="0083574D" w:rsidRPr="00C70B85" w:rsidRDefault="0083574D" w:rsidP="0083574D">
      <w:pPr>
        <w:pStyle w:val="Textonotapie"/>
        <w:ind w:firstLine="709"/>
        <w:jc w:val="both"/>
        <w:rPr>
          <w:rFonts w:ascii="Verdana" w:hAnsi="Verdana"/>
          <w:sz w:val="16"/>
          <w:szCs w:val="16"/>
          <w:lang w:val="es-CO"/>
        </w:rPr>
      </w:pPr>
      <w:r w:rsidRPr="00C70B85">
        <w:rPr>
          <w:rFonts w:ascii="Verdana" w:hAnsi="Verdana"/>
          <w:b/>
          <w:sz w:val="16"/>
          <w:szCs w:val="16"/>
          <w:lang w:val="es-CO"/>
        </w:rPr>
        <w:t xml:space="preserve">SEGUNDO: DECRETAR </w:t>
      </w:r>
      <w:r w:rsidRPr="00C70B85">
        <w:rPr>
          <w:rFonts w:ascii="Verdana" w:hAnsi="Verdana"/>
          <w:sz w:val="16"/>
          <w:szCs w:val="16"/>
          <w:lang w:val="es-CO"/>
        </w:rPr>
        <w:t>la suspensión provisional de la expresión “</w:t>
      </w:r>
      <w:r w:rsidRPr="00C70B85">
        <w:rPr>
          <w:rFonts w:ascii="Verdana" w:hAnsi="Verdana"/>
          <w:i/>
          <w:sz w:val="16"/>
          <w:szCs w:val="16"/>
          <w:lang w:val="es-CO"/>
        </w:rPr>
        <w:t>contratos</w:t>
      </w:r>
      <w:r w:rsidRPr="00C70B85">
        <w:rPr>
          <w:rFonts w:ascii="Verdana" w:hAnsi="Verdana"/>
          <w:sz w:val="16"/>
          <w:szCs w:val="16"/>
          <w:lang w:val="es-CO"/>
        </w:rPr>
        <w:t xml:space="preserve">” y del párrafo </w:t>
      </w:r>
      <w:r w:rsidRPr="00C70B8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70B8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28">
    <w:p w14:paraId="00C2663F" w14:textId="77777777" w:rsidR="0083574D" w:rsidRPr="00C70B85" w:rsidRDefault="0083574D" w:rsidP="0083574D">
      <w:pPr>
        <w:spacing w:line="240" w:lineRule="auto"/>
        <w:ind w:firstLine="709"/>
        <w:contextualSpacing/>
        <w:jc w:val="both"/>
        <w:rPr>
          <w:rFonts w:ascii="Verdana" w:eastAsia="Times New Roman" w:hAnsi="Verdana" w:cs="Times New Roman"/>
          <w:sz w:val="16"/>
          <w:szCs w:val="16"/>
          <w:lang w:eastAsia="es-ES"/>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70B85">
        <w:rPr>
          <w:rFonts w:ascii="Verdana" w:hAnsi="Verdana"/>
          <w:sz w:val="16"/>
          <w:szCs w:val="16"/>
        </w:rPr>
        <w:t xml:space="preserve">La parte de la providencia señala: </w:t>
      </w:r>
      <w:r w:rsidRPr="00C70B8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9">
    <w:p w14:paraId="3CD923E7" w14:textId="77777777" w:rsidR="0083574D" w:rsidRPr="00C70B85" w:rsidRDefault="0083574D" w:rsidP="0083574D">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0">
    <w:p w14:paraId="7143246A" w14:textId="77777777" w:rsidR="0083574D" w:rsidRPr="00C70B85" w:rsidRDefault="0083574D" w:rsidP="0083574D">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100"/>
    <w:rsid w:val="00024BB7"/>
    <w:rsid w:val="00025D04"/>
    <w:rsid w:val="00046945"/>
    <w:rsid w:val="00061B2A"/>
    <w:rsid w:val="00082362"/>
    <w:rsid w:val="000A683E"/>
    <w:rsid w:val="000B19B9"/>
    <w:rsid w:val="000D0334"/>
    <w:rsid w:val="000D5DA7"/>
    <w:rsid w:val="000F6486"/>
    <w:rsid w:val="0010487C"/>
    <w:rsid w:val="00116940"/>
    <w:rsid w:val="001227B1"/>
    <w:rsid w:val="00125105"/>
    <w:rsid w:val="00127233"/>
    <w:rsid w:val="00135A19"/>
    <w:rsid w:val="0015699B"/>
    <w:rsid w:val="00167D23"/>
    <w:rsid w:val="001A33BF"/>
    <w:rsid w:val="001B60F9"/>
    <w:rsid w:val="001C0FAD"/>
    <w:rsid w:val="001D74FA"/>
    <w:rsid w:val="001E4177"/>
    <w:rsid w:val="001F0B24"/>
    <w:rsid w:val="001F2BC7"/>
    <w:rsid w:val="001F7DC6"/>
    <w:rsid w:val="0022400B"/>
    <w:rsid w:val="002421BB"/>
    <w:rsid w:val="002422EB"/>
    <w:rsid w:val="002535EC"/>
    <w:rsid w:val="0025796E"/>
    <w:rsid w:val="002707A2"/>
    <w:rsid w:val="002711AE"/>
    <w:rsid w:val="0028195A"/>
    <w:rsid w:val="002951A0"/>
    <w:rsid w:val="002962BC"/>
    <w:rsid w:val="002A093D"/>
    <w:rsid w:val="002A0DD0"/>
    <w:rsid w:val="002A3C53"/>
    <w:rsid w:val="002A49AC"/>
    <w:rsid w:val="002A64FD"/>
    <w:rsid w:val="002C7A84"/>
    <w:rsid w:val="002E2BF8"/>
    <w:rsid w:val="002E4FD9"/>
    <w:rsid w:val="0030657A"/>
    <w:rsid w:val="00322A85"/>
    <w:rsid w:val="00324168"/>
    <w:rsid w:val="00330834"/>
    <w:rsid w:val="003448F4"/>
    <w:rsid w:val="00362958"/>
    <w:rsid w:val="00374F5E"/>
    <w:rsid w:val="0037799F"/>
    <w:rsid w:val="00377E3E"/>
    <w:rsid w:val="00387468"/>
    <w:rsid w:val="00390B8D"/>
    <w:rsid w:val="00395083"/>
    <w:rsid w:val="003A4313"/>
    <w:rsid w:val="003A779E"/>
    <w:rsid w:val="003B601B"/>
    <w:rsid w:val="003C496D"/>
    <w:rsid w:val="003D0F4D"/>
    <w:rsid w:val="003D5B0D"/>
    <w:rsid w:val="003E0499"/>
    <w:rsid w:val="003E46F7"/>
    <w:rsid w:val="003E4F80"/>
    <w:rsid w:val="003E6439"/>
    <w:rsid w:val="003F1DD5"/>
    <w:rsid w:val="003F3941"/>
    <w:rsid w:val="00403B94"/>
    <w:rsid w:val="00403F58"/>
    <w:rsid w:val="00406575"/>
    <w:rsid w:val="00412994"/>
    <w:rsid w:val="00414C74"/>
    <w:rsid w:val="0042722E"/>
    <w:rsid w:val="0044528D"/>
    <w:rsid w:val="00466E39"/>
    <w:rsid w:val="004A1847"/>
    <w:rsid w:val="004A305D"/>
    <w:rsid w:val="004B2840"/>
    <w:rsid w:val="004F21C4"/>
    <w:rsid w:val="004F685F"/>
    <w:rsid w:val="005449CA"/>
    <w:rsid w:val="00554DBA"/>
    <w:rsid w:val="005566E8"/>
    <w:rsid w:val="005619C2"/>
    <w:rsid w:val="00564072"/>
    <w:rsid w:val="005662E6"/>
    <w:rsid w:val="00574867"/>
    <w:rsid w:val="0058517A"/>
    <w:rsid w:val="005872EB"/>
    <w:rsid w:val="00591460"/>
    <w:rsid w:val="005A65E0"/>
    <w:rsid w:val="005C3777"/>
    <w:rsid w:val="005C5CDC"/>
    <w:rsid w:val="005D476C"/>
    <w:rsid w:val="0061509D"/>
    <w:rsid w:val="006200BF"/>
    <w:rsid w:val="006219F8"/>
    <w:rsid w:val="006302F7"/>
    <w:rsid w:val="00636021"/>
    <w:rsid w:val="00646B9F"/>
    <w:rsid w:val="00665D70"/>
    <w:rsid w:val="006853E4"/>
    <w:rsid w:val="006900D9"/>
    <w:rsid w:val="00696370"/>
    <w:rsid w:val="006F69F0"/>
    <w:rsid w:val="00706C16"/>
    <w:rsid w:val="007340C3"/>
    <w:rsid w:val="0075235A"/>
    <w:rsid w:val="00756841"/>
    <w:rsid w:val="007649AB"/>
    <w:rsid w:val="00771D0C"/>
    <w:rsid w:val="007833AC"/>
    <w:rsid w:val="00794876"/>
    <w:rsid w:val="007B0496"/>
    <w:rsid w:val="007B268C"/>
    <w:rsid w:val="007B328E"/>
    <w:rsid w:val="007B7171"/>
    <w:rsid w:val="007C0C0F"/>
    <w:rsid w:val="007C3DC2"/>
    <w:rsid w:val="007D7E50"/>
    <w:rsid w:val="007E5497"/>
    <w:rsid w:val="00806F5F"/>
    <w:rsid w:val="00820278"/>
    <w:rsid w:val="008258C9"/>
    <w:rsid w:val="0083574D"/>
    <w:rsid w:val="00844AE9"/>
    <w:rsid w:val="00857C1A"/>
    <w:rsid w:val="008644C8"/>
    <w:rsid w:val="00867F95"/>
    <w:rsid w:val="00883885"/>
    <w:rsid w:val="008843B6"/>
    <w:rsid w:val="00891928"/>
    <w:rsid w:val="008A446D"/>
    <w:rsid w:val="008B25F1"/>
    <w:rsid w:val="008D180B"/>
    <w:rsid w:val="008F0EA7"/>
    <w:rsid w:val="00923EEF"/>
    <w:rsid w:val="009419F9"/>
    <w:rsid w:val="0095685E"/>
    <w:rsid w:val="00961B09"/>
    <w:rsid w:val="00965334"/>
    <w:rsid w:val="0097093E"/>
    <w:rsid w:val="009810F1"/>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3284"/>
    <w:rsid w:val="00A5713E"/>
    <w:rsid w:val="00A658F4"/>
    <w:rsid w:val="00A711B9"/>
    <w:rsid w:val="00A82223"/>
    <w:rsid w:val="00AB0ADB"/>
    <w:rsid w:val="00AC77CD"/>
    <w:rsid w:val="00AE0BB9"/>
    <w:rsid w:val="00AE7143"/>
    <w:rsid w:val="00B00C0E"/>
    <w:rsid w:val="00B01B1A"/>
    <w:rsid w:val="00B0381D"/>
    <w:rsid w:val="00B44A47"/>
    <w:rsid w:val="00B72CD3"/>
    <w:rsid w:val="00B72FFF"/>
    <w:rsid w:val="00BA67FD"/>
    <w:rsid w:val="00BC3D36"/>
    <w:rsid w:val="00BD54A6"/>
    <w:rsid w:val="00BD7F72"/>
    <w:rsid w:val="00BF71C7"/>
    <w:rsid w:val="00BF7425"/>
    <w:rsid w:val="00C00185"/>
    <w:rsid w:val="00C03B8D"/>
    <w:rsid w:val="00C04FB3"/>
    <w:rsid w:val="00C0740D"/>
    <w:rsid w:val="00C11D8B"/>
    <w:rsid w:val="00C15139"/>
    <w:rsid w:val="00C25DAB"/>
    <w:rsid w:val="00C330EB"/>
    <w:rsid w:val="00C50D69"/>
    <w:rsid w:val="00C5365C"/>
    <w:rsid w:val="00C665D9"/>
    <w:rsid w:val="00C754BE"/>
    <w:rsid w:val="00C76B1C"/>
    <w:rsid w:val="00C925AC"/>
    <w:rsid w:val="00CA0AD2"/>
    <w:rsid w:val="00CB6357"/>
    <w:rsid w:val="00CC1B26"/>
    <w:rsid w:val="00CC48C2"/>
    <w:rsid w:val="00CD35DF"/>
    <w:rsid w:val="00D351B3"/>
    <w:rsid w:val="00D361FD"/>
    <w:rsid w:val="00D423A2"/>
    <w:rsid w:val="00D44E26"/>
    <w:rsid w:val="00D520D8"/>
    <w:rsid w:val="00D63AC2"/>
    <w:rsid w:val="00D7383B"/>
    <w:rsid w:val="00D75434"/>
    <w:rsid w:val="00D7788A"/>
    <w:rsid w:val="00D933F5"/>
    <w:rsid w:val="00DA231B"/>
    <w:rsid w:val="00DA2A83"/>
    <w:rsid w:val="00DC39FC"/>
    <w:rsid w:val="00DF5254"/>
    <w:rsid w:val="00E02524"/>
    <w:rsid w:val="00E033EB"/>
    <w:rsid w:val="00E16408"/>
    <w:rsid w:val="00E20894"/>
    <w:rsid w:val="00E245AB"/>
    <w:rsid w:val="00E2764C"/>
    <w:rsid w:val="00E27F2E"/>
    <w:rsid w:val="00E50AFE"/>
    <w:rsid w:val="00E70314"/>
    <w:rsid w:val="00E75C92"/>
    <w:rsid w:val="00E771DC"/>
    <w:rsid w:val="00E8772A"/>
    <w:rsid w:val="00E90F6B"/>
    <w:rsid w:val="00E92C27"/>
    <w:rsid w:val="00EA0E3D"/>
    <w:rsid w:val="00EC38A7"/>
    <w:rsid w:val="00EE038A"/>
    <w:rsid w:val="00EE1AA8"/>
    <w:rsid w:val="00F01880"/>
    <w:rsid w:val="00F23FEA"/>
    <w:rsid w:val="00F31EDC"/>
    <w:rsid w:val="00F462B3"/>
    <w:rsid w:val="00F53F01"/>
    <w:rsid w:val="00F5664F"/>
    <w:rsid w:val="00F666C4"/>
    <w:rsid w:val="00F752E6"/>
    <w:rsid w:val="00F76AFC"/>
    <w:rsid w:val="00F80DFC"/>
    <w:rsid w:val="00FA2965"/>
    <w:rsid w:val="00FA47C0"/>
    <w:rsid w:val="00FB5DD1"/>
    <w:rsid w:val="00FC2B5D"/>
    <w:rsid w:val="00FD0013"/>
    <w:rsid w:val="00FD24A7"/>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anklin.rodriguez@anh.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30</Pages>
  <Words>9868</Words>
  <Characters>54277</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5</cp:revision>
  <cp:lastPrinted>2023-01-10T21:18:00Z</cp:lastPrinted>
  <dcterms:created xsi:type="dcterms:W3CDTF">2026-05-11T03:59:00Z</dcterms:created>
  <dcterms:modified xsi:type="dcterms:W3CDTF">2026-05-11T04:04:00Z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