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3BE91" w14:textId="77777777" w:rsidR="005647C7" w:rsidRDefault="005647C7" w:rsidP="005647C7">
      <w:pPr>
        <w:spacing w:after="0"/>
        <w:jc w:val="both"/>
        <w:rPr>
          <w:rFonts w:ascii="Verdana" w:hAnsi="Verdana" w:cs="Arial"/>
          <w:b/>
          <w:bCs/>
          <w:color w:val="000000" w:themeColor="text1"/>
        </w:rPr>
      </w:pPr>
      <w:bookmarkStart w:id="0" w:name="_Hlk214366482"/>
      <w:bookmarkStart w:id="1" w:name="_Hlk143780582"/>
      <w:r w:rsidRPr="005647C7">
        <w:rPr>
          <w:rFonts w:ascii="Verdana" w:hAnsi="Verdana" w:cs="Arial"/>
          <w:b/>
          <w:bCs/>
          <w:color w:val="000000" w:themeColor="text1"/>
        </w:rPr>
        <w:t xml:space="preserve">LEY DE GARANTÍAS ELECTORALES – Propósito </w:t>
      </w:r>
    </w:p>
    <w:p w14:paraId="0893210D" w14:textId="77777777" w:rsidR="00BB5CCD" w:rsidRDefault="00BB5CCD" w:rsidP="005647C7">
      <w:pPr>
        <w:spacing w:after="0"/>
        <w:jc w:val="both"/>
        <w:rPr>
          <w:rFonts w:ascii="Verdana" w:hAnsi="Verdana" w:cs="Arial"/>
          <w:b/>
          <w:bCs/>
          <w:color w:val="000000" w:themeColor="text1"/>
        </w:rPr>
      </w:pPr>
    </w:p>
    <w:p w14:paraId="6077DE84" w14:textId="553AAB70" w:rsidR="00BB5CCD" w:rsidRPr="00BB5CCD" w:rsidRDefault="00BB5CCD" w:rsidP="00BB5CCD">
      <w:pPr>
        <w:tabs>
          <w:tab w:val="left" w:pos="426"/>
        </w:tabs>
        <w:spacing w:after="0" w:line="240" w:lineRule="auto"/>
        <w:jc w:val="both"/>
        <w:rPr>
          <w:rFonts w:ascii="Verdana" w:eastAsia="Calibri" w:hAnsi="Verdana" w:cs="Arial"/>
          <w:noProof/>
          <w:sz w:val="20"/>
          <w:szCs w:val="20"/>
          <w:lang w:val="es-ES_tradnl"/>
        </w:rPr>
      </w:pPr>
      <w:r w:rsidRPr="00BB5CCD">
        <w:rPr>
          <w:rFonts w:ascii="Verdana" w:eastAsia="Times New Roman" w:hAnsi="Verdana" w:cs="Arial"/>
          <w:bCs/>
          <w:sz w:val="20"/>
          <w:szCs w:val="20"/>
          <w:lang w:eastAsia="es-CO"/>
        </w:rPr>
        <w:t xml:space="preserve">[…] </w:t>
      </w:r>
      <w:r w:rsidRPr="00BB5CCD">
        <w:rPr>
          <w:rFonts w:ascii="Verdana" w:eastAsia="Times New Roman" w:hAnsi="Verdana" w:cs="Arial"/>
          <w:bCs/>
          <w:sz w:val="20"/>
          <w:szCs w:val="20"/>
          <w:lang w:eastAsia="es-CO"/>
        </w:rPr>
        <w:t>la Ley 996 de 2005, conocida como “Ley de Garantías Electorales”</w:t>
      </w:r>
      <w:r w:rsidRPr="00BB5CCD">
        <w:rPr>
          <w:rFonts w:ascii="Verdana" w:eastAsia="Times New Roman" w:hAnsi="Verdana" w:cs="Arial"/>
          <w:bCs/>
          <w:sz w:val="20"/>
          <w:szCs w:val="20"/>
          <w:lang w:eastAsia="es-CO"/>
        </w:rPr>
        <w:t xml:space="preserve"> […] </w:t>
      </w:r>
      <w:r w:rsidRPr="00BB5CCD">
        <w:rPr>
          <w:rFonts w:ascii="Verdana" w:eastAsia="Times New Roman" w:hAnsi="Verdana" w:cs="Arial"/>
          <w:bCs/>
          <w:sz w:val="20"/>
          <w:szCs w:val="20"/>
          <w:lang w:eastAsia="es-CO"/>
        </w:rPr>
        <w:t>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BB5CCD">
        <w:rPr>
          <w:rFonts w:ascii="Verdana" w:eastAsia="Calibri" w:hAnsi="Verdana" w:cs="Arial"/>
          <w:noProof/>
          <w:sz w:val="20"/>
          <w:szCs w:val="20"/>
          <w:lang w:val="es-ES_tradnl"/>
        </w:rPr>
        <w:t xml:space="preserve"> </w:t>
      </w:r>
    </w:p>
    <w:p w14:paraId="16F5214E" w14:textId="71A04C36" w:rsidR="00BB5CCD" w:rsidRDefault="00BB5CCD" w:rsidP="005647C7">
      <w:pPr>
        <w:spacing w:after="0"/>
        <w:jc w:val="both"/>
        <w:rPr>
          <w:rFonts w:ascii="Verdana" w:hAnsi="Verdana" w:cs="Arial"/>
          <w:b/>
          <w:bCs/>
          <w:color w:val="000000" w:themeColor="text1"/>
        </w:rPr>
      </w:pPr>
    </w:p>
    <w:p w14:paraId="6D8F5D02" w14:textId="77777777" w:rsidR="005647C7" w:rsidRDefault="005647C7" w:rsidP="005647C7">
      <w:pPr>
        <w:spacing w:after="0"/>
        <w:jc w:val="both"/>
        <w:rPr>
          <w:rFonts w:ascii="Verdana" w:hAnsi="Verdana" w:cs="Arial"/>
          <w:b/>
          <w:bCs/>
          <w:color w:val="000000" w:themeColor="text1"/>
        </w:rPr>
      </w:pPr>
      <w:r w:rsidRPr="00BB5CCD">
        <w:rPr>
          <w:rFonts w:ascii="Verdana" w:hAnsi="Verdana" w:cs="Arial"/>
          <w:b/>
          <w:bCs/>
          <w:color w:val="000000" w:themeColor="text1"/>
        </w:rPr>
        <w:t xml:space="preserve">LEY DE GARANTÍAS ELECTORALES – Prohibiciones – Restricciones </w:t>
      </w:r>
    </w:p>
    <w:p w14:paraId="2C3A4B54" w14:textId="77777777" w:rsidR="00BB5CCD" w:rsidRDefault="00BB5CCD" w:rsidP="005647C7">
      <w:pPr>
        <w:spacing w:after="0"/>
        <w:jc w:val="both"/>
        <w:rPr>
          <w:rFonts w:ascii="Verdana" w:hAnsi="Verdana" w:cs="Arial"/>
          <w:b/>
          <w:bCs/>
          <w:color w:val="000000" w:themeColor="text1"/>
        </w:rPr>
      </w:pPr>
    </w:p>
    <w:p w14:paraId="34C77209" w14:textId="74C56EDB" w:rsidR="00BB5CCD" w:rsidRPr="00BB5CCD" w:rsidRDefault="00BB5CCD" w:rsidP="00BB5CCD">
      <w:pPr>
        <w:spacing w:after="0" w:line="240" w:lineRule="auto"/>
        <w:jc w:val="both"/>
        <w:rPr>
          <w:rFonts w:ascii="Verdana" w:eastAsia="Arial" w:hAnsi="Verdana" w:cs="Arial"/>
          <w:sz w:val="20"/>
          <w:szCs w:val="20"/>
          <w:lang w:val="es-ES" w:eastAsia="es-ES" w:bidi="es-ES"/>
        </w:rPr>
      </w:pPr>
      <w:r w:rsidRPr="00BB5CCD">
        <w:rPr>
          <w:rFonts w:ascii="Verdana" w:eastAsia="Arial" w:hAnsi="Verdana" w:cs="Arial"/>
          <w:sz w:val="20"/>
          <w:szCs w:val="20"/>
          <w:lang w:val="es-ES" w:eastAsia="es-ES" w:bidi="es-ES"/>
        </w:rPr>
        <w:t xml:space="preserve">[…] </w:t>
      </w:r>
      <w:r w:rsidRPr="00BB5CCD">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65D7EFF" w14:textId="77777777" w:rsidR="00BB5CCD" w:rsidRDefault="00BB5CCD" w:rsidP="00BB5CCD">
      <w:pPr>
        <w:spacing w:after="0" w:line="240" w:lineRule="auto"/>
        <w:jc w:val="both"/>
        <w:rPr>
          <w:rFonts w:ascii="Verdana" w:eastAsia="Arial" w:hAnsi="Verdana" w:cs="Arial"/>
          <w:sz w:val="20"/>
          <w:szCs w:val="20"/>
          <w:lang w:val="es-ES" w:eastAsia="es-ES" w:bidi="es-ES"/>
        </w:rPr>
      </w:pPr>
    </w:p>
    <w:p w14:paraId="626EA63F" w14:textId="516121E0" w:rsidR="00BB5CCD" w:rsidRPr="00BB5CCD" w:rsidRDefault="00BB5CCD" w:rsidP="00BB5CCD">
      <w:pPr>
        <w:spacing w:after="0" w:line="240" w:lineRule="auto"/>
        <w:jc w:val="both"/>
        <w:rPr>
          <w:rFonts w:ascii="Verdana" w:eastAsia="Arial" w:hAnsi="Verdana" w:cs="Arial"/>
          <w:sz w:val="20"/>
          <w:szCs w:val="20"/>
          <w:lang w:val="es-ES" w:eastAsia="es-ES" w:bidi="es-ES"/>
        </w:rPr>
      </w:pPr>
      <w:r w:rsidRPr="00BB5CCD">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22C2B9D2" w14:textId="77777777" w:rsidR="00BB5CCD" w:rsidRDefault="00BB5CCD" w:rsidP="00BB5CCD">
      <w:pPr>
        <w:spacing w:after="0" w:line="240" w:lineRule="auto"/>
        <w:jc w:val="both"/>
        <w:rPr>
          <w:rFonts w:ascii="Verdana" w:eastAsia="Calibri" w:hAnsi="Verdana" w:cs="Arial"/>
          <w:sz w:val="20"/>
          <w:szCs w:val="20"/>
        </w:rPr>
      </w:pPr>
    </w:p>
    <w:p w14:paraId="49ECBD11" w14:textId="1BDDB057" w:rsidR="00BB5CCD" w:rsidRPr="00BB5CCD" w:rsidRDefault="00BB5CCD" w:rsidP="00BB5CCD">
      <w:pPr>
        <w:spacing w:after="0" w:line="240" w:lineRule="auto"/>
        <w:jc w:val="both"/>
        <w:rPr>
          <w:rFonts w:ascii="Verdana" w:eastAsia="Calibri" w:hAnsi="Verdana" w:cs="Arial"/>
          <w:sz w:val="20"/>
          <w:szCs w:val="20"/>
        </w:rPr>
      </w:pPr>
      <w:r w:rsidRPr="00BB5CCD">
        <w:rPr>
          <w:rFonts w:ascii="Verdana" w:eastAsia="Calibri" w:hAnsi="Verdana" w:cs="Arial"/>
          <w:sz w:val="20"/>
          <w:szCs w:val="20"/>
        </w:rPr>
        <w:t>Por un lado, el artículo 33 de la Ley 996 de 2005 prohíbe “</w:t>
      </w:r>
      <w:r w:rsidRPr="00BB5CCD">
        <w:rPr>
          <w:rFonts w:ascii="Verdana" w:eastAsia="Calibri" w:hAnsi="Verdana" w:cs="Arial"/>
          <w:bCs/>
          <w:sz w:val="20"/>
          <w:szCs w:val="20"/>
        </w:rPr>
        <w:t xml:space="preserve">(…) </w:t>
      </w:r>
      <w:r w:rsidRPr="00BB5CCD">
        <w:rPr>
          <w:rFonts w:ascii="Verdana" w:eastAsia="Calibri" w:hAnsi="Verdana" w:cs="Arial"/>
          <w:sz w:val="20"/>
          <w:szCs w:val="20"/>
        </w:rPr>
        <w:t>la contratación directa por parte de todos los entes del Estado</w:t>
      </w:r>
      <w:r w:rsidRPr="00BB5CCD">
        <w:rPr>
          <w:rFonts w:ascii="Verdana" w:eastAsia="Calibri" w:hAnsi="Verdana" w:cs="Arial"/>
          <w:bCs/>
          <w:sz w:val="20"/>
          <w:szCs w:val="20"/>
        </w:rPr>
        <w:t>”</w:t>
      </w:r>
      <w:r w:rsidRPr="00BB5CCD">
        <w:rPr>
          <w:rFonts w:ascii="Verdana" w:eastAsia="Calibri" w:hAnsi="Verdana" w:cs="Arial"/>
          <w:sz w:val="20"/>
          <w:szCs w:val="20"/>
        </w:rPr>
        <w:t xml:space="preserve"> durante los cuatro (4) meses anteriores a las elecciones presidenciales, salvo </w:t>
      </w:r>
      <w:r w:rsidRPr="00BB5CCD">
        <w:rPr>
          <w:rFonts w:ascii="Verdana" w:eastAsia="Calibri" w:hAnsi="Verdana" w:cs="Arial"/>
          <w:bCs/>
          <w:sz w:val="20"/>
          <w:szCs w:val="20"/>
        </w:rPr>
        <w:t xml:space="preserve">“(…) </w:t>
      </w:r>
      <w:r w:rsidRPr="00BB5CCD">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B5CCD">
        <w:rPr>
          <w:rFonts w:ascii="Verdana" w:eastAsia="Calibri" w:hAnsi="Verdana" w:cs="Arial"/>
          <w:bCs/>
          <w:sz w:val="20"/>
          <w:szCs w:val="20"/>
        </w:rPr>
        <w:t>”</w:t>
      </w:r>
      <w:r w:rsidRPr="00BB5CCD">
        <w:rPr>
          <w:rFonts w:ascii="Verdana" w:eastAsia="Calibri" w:hAnsi="Verdana" w:cs="Arial"/>
          <w:sz w:val="20"/>
          <w:szCs w:val="20"/>
        </w:rPr>
        <w:t>.</w:t>
      </w:r>
    </w:p>
    <w:p w14:paraId="20E444C7" w14:textId="77777777" w:rsidR="00BB5CCD" w:rsidRDefault="00BB5CCD" w:rsidP="00BB5CCD">
      <w:pPr>
        <w:widowControl w:val="0"/>
        <w:autoSpaceDE w:val="0"/>
        <w:autoSpaceDN w:val="0"/>
        <w:spacing w:after="0" w:line="240" w:lineRule="auto"/>
        <w:jc w:val="both"/>
        <w:rPr>
          <w:rFonts w:ascii="Verdana" w:eastAsia="Calibri" w:hAnsi="Verdana" w:cs="Arial"/>
          <w:sz w:val="20"/>
          <w:szCs w:val="20"/>
        </w:rPr>
      </w:pPr>
    </w:p>
    <w:p w14:paraId="1A1E0A86" w14:textId="235F7A51" w:rsidR="00BB5CCD" w:rsidRPr="00BB5CCD" w:rsidRDefault="00BB5CCD" w:rsidP="00BB5CCD">
      <w:pPr>
        <w:widowControl w:val="0"/>
        <w:autoSpaceDE w:val="0"/>
        <w:autoSpaceDN w:val="0"/>
        <w:spacing w:after="0" w:line="240" w:lineRule="auto"/>
        <w:jc w:val="both"/>
        <w:rPr>
          <w:rFonts w:ascii="Verdana" w:eastAsia="Arial" w:hAnsi="Verdana" w:cs="Arial"/>
          <w:sz w:val="20"/>
          <w:szCs w:val="20"/>
          <w:lang w:val="es-ES" w:eastAsia="es-ES" w:bidi="es-ES"/>
        </w:rPr>
      </w:pPr>
      <w:r w:rsidRPr="00BB5CCD">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BB5CCD">
        <w:rPr>
          <w:rFonts w:ascii="Verdana" w:eastAsia="Calibri" w:hAnsi="Verdana" w:cs="Arial"/>
          <w:bCs/>
          <w:sz w:val="20"/>
          <w:szCs w:val="20"/>
        </w:rPr>
        <w:t xml:space="preserve">“(…) </w:t>
      </w:r>
      <w:r w:rsidRPr="00BB5CCD">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B5CCD">
        <w:rPr>
          <w:rFonts w:ascii="Verdana" w:eastAsia="Calibri" w:hAnsi="Verdana" w:cs="Arial"/>
          <w:bCs/>
          <w:sz w:val="20"/>
          <w:szCs w:val="20"/>
        </w:rPr>
        <w:t>”</w:t>
      </w:r>
      <w:r w:rsidRPr="00BB5CCD">
        <w:rPr>
          <w:rFonts w:ascii="Verdana" w:eastAsia="Calibri" w:hAnsi="Verdana" w:cs="Arial"/>
          <w:sz w:val="20"/>
          <w:szCs w:val="20"/>
        </w:rPr>
        <w:t>.</w:t>
      </w:r>
      <w:r w:rsidRPr="00BB5CCD">
        <w:rPr>
          <w:rFonts w:ascii="Verdana" w:eastAsia="Arial" w:hAnsi="Verdana" w:cs="Arial"/>
          <w:sz w:val="20"/>
          <w:szCs w:val="20"/>
          <w:lang w:val="es-ES" w:eastAsia="es-ES" w:bidi="es-ES"/>
        </w:rPr>
        <w:t xml:space="preserve"> </w:t>
      </w:r>
    </w:p>
    <w:p w14:paraId="6EC64E23" w14:textId="77777777" w:rsidR="00BB5CCD" w:rsidRPr="00BB5CCD" w:rsidRDefault="00BB5CCD" w:rsidP="005647C7">
      <w:pPr>
        <w:spacing w:after="0"/>
        <w:jc w:val="both"/>
        <w:rPr>
          <w:rFonts w:ascii="Verdana" w:hAnsi="Verdana" w:cs="Arial"/>
          <w:b/>
          <w:bCs/>
          <w:color w:val="000000" w:themeColor="text1"/>
          <w:lang w:val="es-ES"/>
        </w:rPr>
      </w:pPr>
    </w:p>
    <w:p w14:paraId="60D61492" w14:textId="77777777" w:rsidR="00BB5CCD" w:rsidRDefault="005647C7" w:rsidP="005647C7">
      <w:pPr>
        <w:spacing w:after="0"/>
        <w:jc w:val="both"/>
        <w:rPr>
          <w:rFonts w:ascii="Verdana" w:hAnsi="Verdana" w:cs="Arial"/>
          <w:color w:val="000000" w:themeColor="text1"/>
        </w:rPr>
      </w:pPr>
      <w:r w:rsidRPr="00BB5CCD">
        <w:rPr>
          <w:rFonts w:ascii="Verdana" w:hAnsi="Verdana" w:cs="Arial"/>
          <w:b/>
          <w:bCs/>
          <w:color w:val="000000" w:themeColor="text1"/>
        </w:rPr>
        <w:t>LEY DE GARANTÍAS ELECTORALES – Artículo 33 – Ámbito material</w:t>
      </w:r>
    </w:p>
    <w:p w14:paraId="212A796D" w14:textId="77777777" w:rsidR="00BB5CCD" w:rsidRDefault="00BB5CCD" w:rsidP="005647C7">
      <w:pPr>
        <w:spacing w:after="0"/>
        <w:jc w:val="both"/>
        <w:rPr>
          <w:rFonts w:ascii="Verdana" w:hAnsi="Verdana" w:cs="Arial"/>
          <w:color w:val="000000" w:themeColor="text1"/>
        </w:rPr>
      </w:pPr>
    </w:p>
    <w:p w14:paraId="77A07F33" w14:textId="1ACF2FE6" w:rsidR="00BB5CCD" w:rsidRDefault="00BB5CCD" w:rsidP="00BB5CCD">
      <w:pPr>
        <w:spacing w:after="0" w:line="240" w:lineRule="auto"/>
        <w:jc w:val="both"/>
        <w:rPr>
          <w:rFonts w:ascii="Verdana" w:hAnsi="Verdana" w:cs="Arial"/>
          <w:sz w:val="20"/>
          <w:szCs w:val="20"/>
          <w:lang w:eastAsia="x-none"/>
        </w:rPr>
      </w:pPr>
      <w:r w:rsidRPr="00BB5CCD">
        <w:rPr>
          <w:rFonts w:ascii="Verdana" w:hAnsi="Verdana" w:cs="Arial"/>
          <w:bCs/>
          <w:sz w:val="20"/>
          <w:szCs w:val="20"/>
          <w:lang w:eastAsia="x-none"/>
        </w:rPr>
        <w:t xml:space="preserve">El ámbito material de la prohibición contenida en el artículo 33 de la Ley 996 de 2005 está delimitado por la expresión </w:t>
      </w:r>
      <w:r w:rsidRPr="00BB5CCD">
        <w:rPr>
          <w:rFonts w:ascii="Verdana" w:eastAsia="Calibri" w:hAnsi="Verdana" w:cs="Arial"/>
          <w:bCs/>
          <w:i/>
          <w:iCs/>
          <w:sz w:val="20"/>
          <w:szCs w:val="20"/>
        </w:rPr>
        <w:t>“</w:t>
      </w:r>
      <w:r w:rsidRPr="00BB5CCD">
        <w:rPr>
          <w:rFonts w:ascii="Verdana" w:hAnsi="Verdana" w:cs="Arial"/>
          <w:bCs/>
          <w:i/>
          <w:iCs/>
          <w:sz w:val="20"/>
          <w:szCs w:val="20"/>
          <w:lang w:eastAsia="x-none"/>
        </w:rPr>
        <w:t>queda prohibida la contratación directa</w:t>
      </w:r>
      <w:r w:rsidRPr="00BB5CCD">
        <w:rPr>
          <w:rFonts w:ascii="Verdana" w:hAnsi="Verdana" w:cs="Arial"/>
          <w:sz w:val="20"/>
          <w:szCs w:val="20"/>
        </w:rPr>
        <w:t>”</w:t>
      </w:r>
      <w:r w:rsidRPr="00BB5CCD">
        <w:rPr>
          <w:rFonts w:ascii="Verdana" w:hAnsi="Verdana" w:cs="Arial"/>
          <w:sz w:val="20"/>
          <w:szCs w:val="20"/>
        </w:rPr>
        <w:t xml:space="preserve"> […] </w:t>
      </w:r>
      <w:r w:rsidRPr="00BB5CCD">
        <w:rPr>
          <w:rFonts w:ascii="Verdana" w:hAnsi="Verdana" w:cs="Arial"/>
          <w:sz w:val="20"/>
          <w:szCs w:val="20"/>
          <w:lang w:eastAsia="x-none"/>
        </w:rPr>
        <w:t xml:space="preserve">por lo que </w:t>
      </w:r>
      <w:r w:rsidRPr="00BB5CCD">
        <w:rPr>
          <w:rFonts w:ascii="Verdana" w:hAnsi="Verdana" w:cs="Arial"/>
          <w:sz w:val="20"/>
          <w:szCs w:val="20"/>
          <w:lang w:eastAsia="x-none"/>
        </w:rPr>
        <w:lastRenderedPageBreak/>
        <w:t xml:space="preserve">excluye las demás modalidades de contratación previstas en la Ley 1150 de 2007, es decir, la licitación pública, la selección abreviada, el concurso de méritos </w:t>
      </w:r>
      <w:r w:rsidRPr="00BB5CCD">
        <w:rPr>
          <w:rFonts w:ascii="Verdana" w:hAnsi="Verdana" w:cs="Arial"/>
          <w:sz w:val="20"/>
          <w:szCs w:val="20"/>
          <w:lang w:val="es-ES_tradnl" w:eastAsia="x-none"/>
        </w:rPr>
        <w:t>y la mínima cuantía</w:t>
      </w:r>
      <w:r w:rsidRPr="00BB5CCD" w:rsidDel="00A85D9F">
        <w:rPr>
          <w:rFonts w:ascii="Verdana" w:hAnsi="Verdana" w:cs="Arial"/>
          <w:sz w:val="20"/>
          <w:szCs w:val="20"/>
          <w:lang w:eastAsia="x-none"/>
        </w:rPr>
        <w:t xml:space="preserve"> </w:t>
      </w:r>
      <w:r w:rsidRPr="00BB5CCD">
        <w:rPr>
          <w:rFonts w:ascii="Verdana" w:hAnsi="Verdana" w:cs="Arial"/>
          <w:sz w:val="20"/>
          <w:szCs w:val="20"/>
          <w:lang w:eastAsia="x-none"/>
        </w:rPr>
        <w:t>u otros previstos sistemas abiertos y competitivos dispuestos en normas especiales.</w:t>
      </w:r>
    </w:p>
    <w:p w14:paraId="691BD73D" w14:textId="77777777" w:rsidR="00BB5CCD" w:rsidRDefault="00BB5CCD" w:rsidP="00BB5CCD">
      <w:pPr>
        <w:spacing w:after="0" w:line="240" w:lineRule="auto"/>
        <w:jc w:val="both"/>
        <w:rPr>
          <w:rFonts w:ascii="Verdana" w:hAnsi="Verdana" w:cs="Arial"/>
          <w:sz w:val="20"/>
          <w:szCs w:val="20"/>
          <w:lang w:eastAsia="x-none"/>
        </w:rPr>
      </w:pPr>
    </w:p>
    <w:p w14:paraId="33C501A1" w14:textId="5567A613" w:rsidR="00BB5CCD" w:rsidRDefault="00BB5CCD" w:rsidP="00BB5CCD">
      <w:pPr>
        <w:spacing w:after="0" w:line="240" w:lineRule="auto"/>
        <w:jc w:val="both"/>
        <w:rPr>
          <w:rFonts w:ascii="Verdana" w:hAnsi="Verdana" w:cs="Arial"/>
          <w:sz w:val="20"/>
          <w:szCs w:val="20"/>
        </w:rPr>
      </w:pPr>
      <w:r>
        <w:rPr>
          <w:rFonts w:ascii="Verdana" w:hAnsi="Verdana" w:cs="Arial"/>
          <w:sz w:val="20"/>
          <w:szCs w:val="20"/>
        </w:rPr>
        <w:t>[…]</w:t>
      </w:r>
    </w:p>
    <w:p w14:paraId="34EA2BA8" w14:textId="77777777" w:rsidR="00BB5CCD" w:rsidRDefault="00BB5CCD" w:rsidP="00BB5CCD">
      <w:pPr>
        <w:spacing w:after="0" w:line="240" w:lineRule="auto"/>
        <w:jc w:val="both"/>
        <w:rPr>
          <w:rFonts w:ascii="Verdana" w:hAnsi="Verdana" w:cs="Arial"/>
          <w:sz w:val="20"/>
          <w:szCs w:val="20"/>
        </w:rPr>
      </w:pPr>
    </w:p>
    <w:p w14:paraId="49764460" w14:textId="59458A23" w:rsidR="00BB5CCD" w:rsidRPr="00BB5CCD" w:rsidRDefault="00BB5CCD" w:rsidP="00BB5CCD">
      <w:pPr>
        <w:spacing w:after="0" w:line="240" w:lineRule="auto"/>
        <w:jc w:val="both"/>
        <w:rPr>
          <w:rFonts w:ascii="Verdana" w:hAnsi="Verdana" w:cs="Arial"/>
          <w:sz w:val="20"/>
          <w:szCs w:val="20"/>
          <w:vertAlign w:val="superscript"/>
          <w:lang w:eastAsia="x-none"/>
        </w:rPr>
      </w:pPr>
      <w:r w:rsidRPr="00BB5CCD">
        <w:rPr>
          <w:rFonts w:ascii="Verdana" w:hAnsi="Verdana" w:cs="Arial"/>
          <w:bCs/>
          <w:sz w:val="20"/>
          <w:szCs w:val="20"/>
          <w:lang w:eastAsia="x-none"/>
        </w:rPr>
        <w:t xml:space="preserve">[…] </w:t>
      </w:r>
      <w:r w:rsidRPr="00BB5CCD">
        <w:rPr>
          <w:rFonts w:ascii="Verdana" w:hAnsi="Verdana" w:cs="Arial"/>
          <w:bCs/>
          <w:sz w:val="20"/>
          <w:szCs w:val="20"/>
          <w:lang w:eastAsia="x-none"/>
        </w:rPr>
        <w:t>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BB5CCD">
        <w:rPr>
          <w:rFonts w:ascii="Verdana" w:hAnsi="Verdana" w:cs="Arial"/>
          <w:sz w:val="20"/>
          <w:szCs w:val="20"/>
          <w:lang w:eastAsia="x-none"/>
        </w:rPr>
        <w:t>.</w:t>
      </w:r>
      <w:r w:rsidRPr="00BB5CCD">
        <w:rPr>
          <w:rFonts w:ascii="Verdana" w:hAnsi="Verdana" w:cs="Arial"/>
          <w:sz w:val="20"/>
          <w:szCs w:val="20"/>
          <w:vertAlign w:val="superscript"/>
          <w:lang w:eastAsia="x-none"/>
        </w:rPr>
        <w:t xml:space="preserve"> </w:t>
      </w:r>
    </w:p>
    <w:p w14:paraId="35FB580E" w14:textId="77777777" w:rsidR="00BB5CCD" w:rsidRDefault="00BB5CCD" w:rsidP="00BB5CCD">
      <w:pPr>
        <w:spacing w:after="0" w:line="240" w:lineRule="auto"/>
        <w:jc w:val="both"/>
        <w:rPr>
          <w:rFonts w:ascii="Verdana" w:hAnsi="Verdana" w:cs="Arial"/>
          <w:sz w:val="20"/>
          <w:szCs w:val="20"/>
          <w:lang w:eastAsia="x-none"/>
        </w:rPr>
      </w:pPr>
    </w:p>
    <w:p w14:paraId="5929E673" w14:textId="2EB6CDA1" w:rsidR="00BB5CCD" w:rsidRPr="00BB5CCD" w:rsidRDefault="00BB5CCD" w:rsidP="00BB5CCD">
      <w:pPr>
        <w:spacing w:after="0" w:line="240" w:lineRule="auto"/>
        <w:jc w:val="both"/>
        <w:rPr>
          <w:rFonts w:ascii="Verdana" w:hAnsi="Verdana" w:cs="Arial"/>
          <w:sz w:val="20"/>
          <w:szCs w:val="20"/>
          <w:lang w:eastAsia="x-none"/>
        </w:rPr>
      </w:pPr>
      <w:r w:rsidRPr="00BB5CCD">
        <w:rPr>
          <w:rFonts w:ascii="Verdana" w:hAnsi="Verdana" w:cs="Arial"/>
          <w:sz w:val="20"/>
          <w:szCs w:val="20"/>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p>
    <w:p w14:paraId="20ADDFFA" w14:textId="77777777" w:rsidR="00BB5CCD" w:rsidRPr="00BB5CCD" w:rsidRDefault="00BB5CCD" w:rsidP="00BB5CCD">
      <w:pPr>
        <w:spacing w:after="0" w:line="240" w:lineRule="auto"/>
        <w:jc w:val="both"/>
        <w:rPr>
          <w:rFonts w:ascii="Verdana" w:hAnsi="Verdana" w:cs="Arial"/>
          <w:sz w:val="20"/>
          <w:szCs w:val="20"/>
        </w:rPr>
      </w:pPr>
    </w:p>
    <w:p w14:paraId="1A3BE46F" w14:textId="54676DFE" w:rsidR="005647C7" w:rsidRPr="000605C7" w:rsidRDefault="005647C7" w:rsidP="005647C7">
      <w:pPr>
        <w:spacing w:after="0"/>
        <w:jc w:val="both"/>
        <w:rPr>
          <w:rFonts w:ascii="Verdana" w:hAnsi="Verdana" w:cs="Arial"/>
          <w:b/>
          <w:bCs/>
          <w:color w:val="000000" w:themeColor="text1"/>
        </w:rPr>
      </w:pPr>
      <w:r w:rsidRPr="000605C7">
        <w:rPr>
          <w:rFonts w:ascii="Verdana" w:hAnsi="Verdana" w:cs="Arial"/>
          <w:b/>
          <w:bCs/>
          <w:color w:val="000000" w:themeColor="text1"/>
        </w:rPr>
        <w:t xml:space="preserve">LEY DE GARANTÍAS ELECTORALES – Destinatarios </w:t>
      </w:r>
    </w:p>
    <w:p w14:paraId="698F72B3" w14:textId="77777777" w:rsidR="000605C7" w:rsidRDefault="000605C7" w:rsidP="005647C7">
      <w:pPr>
        <w:spacing w:after="0"/>
        <w:jc w:val="both"/>
        <w:rPr>
          <w:rFonts w:ascii="Verdana" w:hAnsi="Verdana" w:cs="Arial"/>
          <w:color w:val="000000" w:themeColor="text1"/>
        </w:rPr>
      </w:pPr>
    </w:p>
    <w:p w14:paraId="44BF3E5D" w14:textId="0216DF85" w:rsidR="000605C7" w:rsidRPr="000605C7" w:rsidRDefault="000605C7" w:rsidP="000605C7">
      <w:pPr>
        <w:spacing w:after="0" w:line="240" w:lineRule="auto"/>
        <w:jc w:val="both"/>
        <w:rPr>
          <w:rFonts w:ascii="Verdana" w:hAnsi="Verdana" w:cs="Arial"/>
          <w:color w:val="000000" w:themeColor="text1"/>
          <w:sz w:val="20"/>
          <w:szCs w:val="20"/>
          <w:lang w:val="es-MX"/>
        </w:rPr>
      </w:pPr>
      <w:r w:rsidRPr="000605C7">
        <w:rPr>
          <w:rFonts w:ascii="Verdana" w:hAnsi="Verdana" w:cs="Arial"/>
          <w:color w:val="000000" w:themeColor="text1"/>
          <w:sz w:val="20"/>
          <w:szCs w:val="20"/>
        </w:rPr>
        <w:t xml:space="preserve">[…] </w:t>
      </w:r>
      <w:r w:rsidRPr="000605C7">
        <w:rPr>
          <w:rFonts w:ascii="Verdana" w:hAnsi="Verdana" w:cs="Arial"/>
          <w:color w:val="000000" w:themeColor="text1"/>
          <w:sz w:val="20"/>
          <w:szCs w:val="20"/>
          <w:lang w:val="es-MX"/>
        </w:rPr>
        <w:t>en relación con los destinatarios de las restricciones, el artículo 33 de la Ley 996 de 2005 los señala expresamente, en el sentido de que son “</w:t>
      </w:r>
      <w:r w:rsidRPr="000605C7">
        <w:rPr>
          <w:rFonts w:ascii="Verdana" w:hAnsi="Verdana" w:cs="Arial"/>
          <w:i/>
          <w:color w:val="000000" w:themeColor="text1"/>
          <w:sz w:val="20"/>
          <w:szCs w:val="20"/>
          <w:lang w:val="es-MX"/>
        </w:rPr>
        <w:t>todos los entes del Estado</w:t>
      </w:r>
      <w:r w:rsidRPr="000605C7">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6E68669" w14:textId="77777777" w:rsidR="000605C7" w:rsidRPr="000605C7" w:rsidRDefault="000605C7" w:rsidP="005647C7">
      <w:pPr>
        <w:spacing w:after="0"/>
        <w:jc w:val="both"/>
        <w:rPr>
          <w:rFonts w:ascii="Verdana" w:hAnsi="Verdana" w:cs="Arial"/>
          <w:color w:val="000000" w:themeColor="text1"/>
          <w:lang w:val="es-MX"/>
        </w:rPr>
      </w:pPr>
    </w:p>
    <w:p w14:paraId="0CC0217C" w14:textId="77777777" w:rsidR="005647C7" w:rsidRPr="000605C7" w:rsidRDefault="005647C7" w:rsidP="005647C7">
      <w:pPr>
        <w:spacing w:after="0"/>
        <w:jc w:val="both"/>
        <w:rPr>
          <w:rFonts w:ascii="Verdana" w:hAnsi="Verdana" w:cs="Arial"/>
          <w:b/>
          <w:bCs/>
          <w:color w:val="000000" w:themeColor="text1"/>
        </w:rPr>
      </w:pPr>
      <w:r w:rsidRPr="000605C7">
        <w:rPr>
          <w:rFonts w:ascii="Verdana" w:hAnsi="Verdana" w:cs="Arial"/>
          <w:b/>
          <w:bCs/>
          <w:color w:val="000000" w:themeColor="text1"/>
        </w:rPr>
        <w:t xml:space="preserve">LEY DE GARANTÍAS ELECTORALES – Excepciones </w:t>
      </w:r>
    </w:p>
    <w:p w14:paraId="1930C16B" w14:textId="77777777" w:rsidR="000605C7" w:rsidRDefault="000605C7" w:rsidP="005647C7">
      <w:pPr>
        <w:spacing w:after="0"/>
        <w:jc w:val="both"/>
        <w:rPr>
          <w:rFonts w:ascii="Verdana" w:hAnsi="Verdana" w:cs="Arial"/>
          <w:color w:val="000000" w:themeColor="text1"/>
        </w:rPr>
      </w:pPr>
    </w:p>
    <w:p w14:paraId="540485DB" w14:textId="77777777" w:rsidR="00A54C80" w:rsidRPr="00A54C80" w:rsidRDefault="00A54C80" w:rsidP="00A54C80">
      <w:pPr>
        <w:spacing w:after="0" w:line="240" w:lineRule="auto"/>
        <w:jc w:val="both"/>
        <w:rPr>
          <w:rFonts w:ascii="Verdana" w:hAnsi="Verdana" w:cs="Arial"/>
          <w:bCs/>
          <w:sz w:val="20"/>
          <w:szCs w:val="20"/>
          <w:lang w:eastAsia="x-none"/>
        </w:rPr>
      </w:pPr>
      <w:r w:rsidRPr="00A54C80">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A54C80">
        <w:rPr>
          <w:rFonts w:ascii="Verdana" w:eastAsia="Times New Roman" w:hAnsi="Verdana" w:cs="Arial"/>
          <w:bCs/>
          <w:sz w:val="20"/>
          <w:szCs w:val="20"/>
          <w:lang w:val="es-ES" w:eastAsia="es-CO" w:bidi="es-ES"/>
        </w:rPr>
        <w:t>ii</w:t>
      </w:r>
      <w:proofErr w:type="spellEnd"/>
      <w:r w:rsidRPr="00A54C80">
        <w:rPr>
          <w:rFonts w:ascii="Verdana" w:eastAsia="Times New Roman" w:hAnsi="Verdana" w:cs="Arial"/>
          <w:bCs/>
          <w:sz w:val="20"/>
          <w:szCs w:val="20"/>
          <w:lang w:val="es-ES" w:eastAsia="es-CO" w:bidi="es-ES"/>
        </w:rPr>
        <w:t xml:space="preserve">) los contratos de crédito público; </w:t>
      </w:r>
      <w:proofErr w:type="spellStart"/>
      <w:r w:rsidRPr="00A54C80">
        <w:rPr>
          <w:rFonts w:ascii="Verdana" w:eastAsia="Times New Roman" w:hAnsi="Verdana" w:cs="Arial"/>
          <w:bCs/>
          <w:sz w:val="20"/>
          <w:szCs w:val="20"/>
          <w:lang w:val="es-ES" w:eastAsia="es-CO" w:bidi="es-ES"/>
        </w:rPr>
        <w:t>iii</w:t>
      </w:r>
      <w:proofErr w:type="spellEnd"/>
      <w:r w:rsidRPr="00A54C80">
        <w:rPr>
          <w:rFonts w:ascii="Verdana" w:eastAsia="Times New Roman" w:hAnsi="Verdana" w:cs="Arial"/>
          <w:bCs/>
          <w:sz w:val="20"/>
          <w:szCs w:val="20"/>
          <w:lang w:val="es-ES" w:eastAsia="es-CO" w:bidi="es-ES"/>
        </w:rPr>
        <w:t xml:space="preserve">) los requeridos para cubrir las emergencias educativas, sanitarias y desastres; </w:t>
      </w:r>
      <w:proofErr w:type="spellStart"/>
      <w:r w:rsidRPr="00A54C80">
        <w:rPr>
          <w:rFonts w:ascii="Verdana" w:eastAsia="Times New Roman" w:hAnsi="Verdana" w:cs="Arial"/>
          <w:bCs/>
          <w:sz w:val="20"/>
          <w:szCs w:val="20"/>
          <w:lang w:val="es-ES" w:eastAsia="es-CO" w:bidi="es-ES"/>
        </w:rPr>
        <w:t>iv</w:t>
      </w:r>
      <w:proofErr w:type="spellEnd"/>
      <w:r w:rsidRPr="00A54C80">
        <w:rPr>
          <w:rFonts w:ascii="Verdana" w:eastAsia="Times New Roman" w:hAnsi="Verdana" w:cs="Arial"/>
          <w:bCs/>
          <w:sz w:val="20"/>
          <w:szCs w:val="20"/>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A54C80">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44783E8D" w14:textId="77777777" w:rsidR="00A54C80" w:rsidRDefault="00A54C80" w:rsidP="005647C7">
      <w:pPr>
        <w:spacing w:after="0"/>
        <w:jc w:val="both"/>
        <w:rPr>
          <w:rFonts w:ascii="Verdana" w:hAnsi="Verdana" w:cs="Arial"/>
          <w:color w:val="000000" w:themeColor="text1"/>
        </w:rPr>
      </w:pPr>
    </w:p>
    <w:p w14:paraId="50A2C3E5" w14:textId="1055D12E" w:rsidR="005647C7" w:rsidRDefault="005647C7" w:rsidP="00A54C80">
      <w:pPr>
        <w:spacing w:after="0" w:line="240" w:lineRule="auto"/>
        <w:jc w:val="both"/>
        <w:rPr>
          <w:rFonts w:ascii="Verdana" w:eastAsia="Calibri" w:hAnsi="Verdana" w:cs="Arial"/>
          <w:b/>
          <w:bCs/>
          <w:lang w:val="es-ES"/>
        </w:rPr>
      </w:pPr>
      <w:r w:rsidRPr="00A54C80">
        <w:rPr>
          <w:rFonts w:ascii="Verdana" w:eastAsia="Calibri" w:hAnsi="Verdana" w:cs="Arial"/>
          <w:b/>
          <w:bCs/>
          <w:lang w:val="es-ES"/>
        </w:rPr>
        <w:t xml:space="preserve">UNIVERSIDADES PÚBLICAS – ESTABLECIMIENTO PÚBLICO EDUCATIVO – Diferencias – aplicación de la Ley 996 de 2005 </w:t>
      </w:r>
    </w:p>
    <w:p w14:paraId="75BB67C4" w14:textId="77777777" w:rsidR="00A54C80" w:rsidRDefault="00A54C80" w:rsidP="005647C7">
      <w:pPr>
        <w:spacing w:after="0"/>
        <w:jc w:val="both"/>
        <w:rPr>
          <w:rFonts w:ascii="Verdana" w:eastAsia="Calibri" w:hAnsi="Verdana" w:cs="Arial"/>
          <w:b/>
          <w:bCs/>
          <w:lang w:val="es-ES"/>
        </w:rPr>
      </w:pPr>
    </w:p>
    <w:p w14:paraId="63DBB6CA" w14:textId="1C1FE884" w:rsidR="00A54C80" w:rsidRPr="00A54C80" w:rsidRDefault="00A54C80" w:rsidP="00A54C80">
      <w:pPr>
        <w:spacing w:after="0" w:line="240" w:lineRule="auto"/>
        <w:jc w:val="both"/>
        <w:rPr>
          <w:rFonts w:ascii="Verdana" w:hAnsi="Verdana" w:cs="Arial"/>
          <w:sz w:val="20"/>
          <w:szCs w:val="20"/>
          <w:lang w:val="es-MX"/>
        </w:rPr>
      </w:pPr>
      <w:r w:rsidRPr="00A54C80">
        <w:rPr>
          <w:rFonts w:ascii="Verdana" w:hAnsi="Verdana" w:cs="Arial"/>
          <w:sz w:val="20"/>
          <w:szCs w:val="20"/>
          <w:lang w:val="es-MX"/>
        </w:rPr>
        <w:t xml:space="preserve">[…] </w:t>
      </w:r>
      <w:r w:rsidRPr="00A54C80">
        <w:rPr>
          <w:rFonts w:ascii="Verdana" w:hAnsi="Verdana" w:cs="Arial"/>
          <w:sz w:val="20"/>
          <w:szCs w:val="20"/>
          <w:lang w:val="es-MX"/>
        </w:rPr>
        <w:t>se expidió la Ley 30 de 1992, mediante la cual se regularon aspectos como la naturaleza jurídica de las universidades estatales y oficiales, la forma de organizarse y el régimen de contratación aplicable. Así mismo, en el artículo 57 se consignó que e</w:t>
      </w:r>
      <w:r w:rsidRPr="00A54C80">
        <w:rPr>
          <w:rFonts w:ascii="Verdana" w:hAnsi="Verdana" w:cs="Arial"/>
          <w:sz w:val="20"/>
          <w:szCs w:val="20"/>
        </w:rPr>
        <w:t xml:space="preserve">l carácter especial del régimen de las universidades estatales u oficiales comprende, entre otros aspectos, el régimen de contratación. En concordancia con esto, el artículo 93 estableció que los contratos que </w:t>
      </w:r>
      <w:r w:rsidRPr="00A54C80">
        <w:rPr>
          <w:rFonts w:ascii="Verdana" w:hAnsi="Verdana" w:cs="Arial"/>
          <w:sz w:val="20"/>
          <w:szCs w:val="20"/>
          <w:lang w:val="es-MX"/>
        </w:rPr>
        <w:t xml:space="preserve">celebren las universidades estatales u oficiales se regirán por las normas del derecho privado. </w:t>
      </w:r>
    </w:p>
    <w:p w14:paraId="419881AE" w14:textId="77777777" w:rsidR="00A54C80" w:rsidRPr="00A54C80" w:rsidRDefault="00A54C80" w:rsidP="00A54C80">
      <w:pPr>
        <w:spacing w:after="0" w:line="240" w:lineRule="auto"/>
        <w:jc w:val="both"/>
        <w:rPr>
          <w:rFonts w:ascii="Verdana" w:eastAsia="Arial" w:hAnsi="Verdana" w:cs="Arial"/>
          <w:sz w:val="20"/>
          <w:szCs w:val="20"/>
          <w:lang w:val="es-ES"/>
        </w:rPr>
      </w:pPr>
    </w:p>
    <w:p w14:paraId="5A5A2BCC" w14:textId="4FC487BF" w:rsidR="00A54C80" w:rsidRPr="00A54C80" w:rsidRDefault="00A54C80" w:rsidP="00A54C80">
      <w:pPr>
        <w:spacing w:after="0" w:line="240" w:lineRule="auto"/>
        <w:jc w:val="both"/>
        <w:rPr>
          <w:rFonts w:ascii="Verdana" w:hAnsi="Verdana" w:cs="Arial"/>
          <w:sz w:val="20"/>
          <w:szCs w:val="20"/>
          <w:lang w:val="es-MX"/>
        </w:rPr>
      </w:pPr>
      <w:r w:rsidRPr="00A54C80">
        <w:rPr>
          <w:rFonts w:ascii="Verdana" w:eastAsia="Arial" w:hAnsi="Verdana" w:cs="Arial"/>
          <w:sz w:val="20"/>
          <w:szCs w:val="20"/>
          <w:lang w:val="es-ES"/>
        </w:rPr>
        <w:t xml:space="preserve">De otro lado, la Ley 489 de 1998, al desarrollar la estructura y organización de la Administración Pública, establece que los entes universitarios hacen parte integral de esta, catalogándolos como entidades públicas de carácter autónomo a las que aplica un régimen especial.  </w:t>
      </w:r>
    </w:p>
    <w:p w14:paraId="631C4D0B" w14:textId="77777777" w:rsidR="00A54C80" w:rsidRPr="00A54C80" w:rsidRDefault="00A54C80" w:rsidP="00A54C80">
      <w:pPr>
        <w:spacing w:after="0" w:line="240" w:lineRule="auto"/>
        <w:jc w:val="both"/>
        <w:rPr>
          <w:rFonts w:ascii="Verdana" w:hAnsi="Verdana" w:cs="Arial"/>
          <w:color w:val="000000" w:themeColor="text1"/>
          <w:sz w:val="20"/>
          <w:szCs w:val="20"/>
          <w:lang w:val="es-MX"/>
        </w:rPr>
      </w:pPr>
    </w:p>
    <w:p w14:paraId="0699F8F7" w14:textId="3867044A" w:rsidR="00A54C80" w:rsidRPr="00A54C80" w:rsidRDefault="00A54C80" w:rsidP="00A54C80">
      <w:pPr>
        <w:spacing w:after="0" w:line="240" w:lineRule="auto"/>
        <w:jc w:val="both"/>
        <w:rPr>
          <w:rFonts w:ascii="Verdana" w:hAnsi="Verdana" w:cs="Arial"/>
          <w:color w:val="000000" w:themeColor="text1"/>
          <w:sz w:val="20"/>
          <w:szCs w:val="20"/>
          <w:lang w:val="es-MX"/>
        </w:rPr>
      </w:pPr>
      <w:r w:rsidRPr="00A54C80">
        <w:rPr>
          <w:rFonts w:ascii="Verdana" w:hAnsi="Verdana" w:cs="Arial"/>
          <w:color w:val="000000" w:themeColor="text1"/>
          <w:sz w:val="20"/>
          <w:szCs w:val="20"/>
          <w:lang w:val="es-MX"/>
        </w:rPr>
        <w:t xml:space="preserve">[…] </w:t>
      </w:r>
    </w:p>
    <w:p w14:paraId="73EF24E3" w14:textId="77777777" w:rsidR="00A54C80" w:rsidRPr="00A54C80" w:rsidRDefault="00A54C80" w:rsidP="00A54C80">
      <w:pPr>
        <w:spacing w:after="0" w:line="240" w:lineRule="auto"/>
        <w:jc w:val="both"/>
        <w:rPr>
          <w:rFonts w:ascii="Verdana" w:hAnsi="Verdana" w:cs="Arial"/>
          <w:bCs/>
          <w:color w:val="000000" w:themeColor="text1"/>
          <w:sz w:val="20"/>
          <w:szCs w:val="20"/>
          <w:lang w:eastAsia="es-ES_tradnl"/>
        </w:rPr>
      </w:pPr>
    </w:p>
    <w:p w14:paraId="36678EC5" w14:textId="3514A448" w:rsidR="00A54C80" w:rsidRPr="00A54C80" w:rsidRDefault="00A54C80" w:rsidP="00A54C80">
      <w:pPr>
        <w:spacing w:after="0" w:line="240" w:lineRule="auto"/>
        <w:jc w:val="both"/>
        <w:rPr>
          <w:rFonts w:ascii="Verdana" w:hAnsi="Verdana" w:cs="Arial"/>
          <w:color w:val="000000"/>
          <w:sz w:val="20"/>
          <w:szCs w:val="20"/>
        </w:rPr>
      </w:pPr>
      <w:r w:rsidRPr="00A54C80">
        <w:rPr>
          <w:rFonts w:ascii="Verdana" w:hAnsi="Verdana" w:cs="Arial"/>
          <w:bCs/>
          <w:color w:val="000000" w:themeColor="text1"/>
          <w:sz w:val="20"/>
          <w:szCs w:val="20"/>
          <w:lang w:eastAsia="es-ES_tradnl"/>
        </w:rPr>
        <w:t>No obstante, es preciso advertir que no todas las instituciones de educación superior públicas obedecen a la naturaleza jurídica de entes universitarios autónomos o universidades públicas, comoquiera que el parágrafo 1 del artículo 57 de la Ley 30 de 1992 establece que las “</w:t>
      </w:r>
      <w:r w:rsidRPr="00A54C80">
        <w:rPr>
          <w:rFonts w:ascii="Verdana" w:hAnsi="Verdana" w:cs="Arial"/>
          <w:color w:val="000000"/>
          <w:sz w:val="20"/>
          <w:szCs w:val="20"/>
        </w:rPr>
        <w:t>Las instituciones estatales u oficiales de Educación Superior que no tengan el carácter de universidad (…) deberán organizarse como Establecimientos Públicos del orden Nacional, Departamental, Distrital o Municipal”. </w:t>
      </w:r>
    </w:p>
    <w:p w14:paraId="259DE2DB" w14:textId="77777777" w:rsidR="00A54C80" w:rsidRPr="00A54C80" w:rsidRDefault="00A54C80" w:rsidP="00A54C80">
      <w:pPr>
        <w:pStyle w:val="NormalWeb"/>
        <w:spacing w:before="0" w:beforeAutospacing="0" w:after="0" w:afterAutospacing="0"/>
        <w:jc w:val="both"/>
        <w:rPr>
          <w:rFonts w:ascii="Verdana" w:hAnsi="Verdana" w:cs="Arial"/>
          <w:color w:val="000000"/>
          <w:sz w:val="20"/>
          <w:szCs w:val="20"/>
        </w:rPr>
      </w:pPr>
    </w:p>
    <w:p w14:paraId="54EA4BCF" w14:textId="4C8BADF8" w:rsidR="00A54C80" w:rsidRPr="00A54C80" w:rsidRDefault="00A54C80" w:rsidP="00A54C80">
      <w:pPr>
        <w:pStyle w:val="NormalWeb"/>
        <w:spacing w:before="0" w:beforeAutospacing="0" w:after="0" w:afterAutospacing="0"/>
        <w:jc w:val="both"/>
        <w:rPr>
          <w:rFonts w:ascii="Verdana" w:hAnsi="Verdana" w:cs="Arial"/>
          <w:color w:val="000000"/>
          <w:sz w:val="20"/>
          <w:szCs w:val="20"/>
        </w:rPr>
      </w:pPr>
      <w:r w:rsidRPr="00A54C80">
        <w:rPr>
          <w:rFonts w:ascii="Verdana" w:hAnsi="Verdana" w:cs="Arial"/>
          <w:color w:val="000000"/>
          <w:sz w:val="20"/>
          <w:szCs w:val="20"/>
        </w:rPr>
        <w:t xml:space="preserve">[…] </w:t>
      </w:r>
      <w:r w:rsidRPr="00A54C80">
        <w:rPr>
          <w:rFonts w:ascii="Verdana" w:hAnsi="Verdana" w:cs="Arial"/>
          <w:bCs/>
          <w:color w:val="000000" w:themeColor="text1"/>
          <w:sz w:val="20"/>
          <w:szCs w:val="20"/>
          <w:lang w:eastAsia="es-ES_tradnl"/>
        </w:rPr>
        <w:t xml:space="preserve">Los establecimientos públicos </w:t>
      </w:r>
      <w:r w:rsidRPr="00A54C80">
        <w:rPr>
          <w:rFonts w:ascii="Verdana" w:hAnsi="Verdana" w:cs="Arial"/>
          <w:bCs/>
          <w:color w:val="000000"/>
          <w:sz w:val="20"/>
          <w:szCs w:val="20"/>
        </w:rPr>
        <w:t>son definidos</w:t>
      </w:r>
      <w:r w:rsidRPr="00A54C80">
        <w:rPr>
          <w:rFonts w:ascii="Verdana" w:hAnsi="Verdana" w:cs="Arial"/>
          <w:color w:val="000000"/>
          <w:sz w:val="20"/>
          <w:szCs w:val="20"/>
        </w:rPr>
        <w:t xml:space="preserve"> por el artículo 70 de la Ley 489 de 1998 como “(…) organismos encargados principalmente de atender funciones administrativas y de prestar servicios públicos conforme a las reglas del Derecho Público”. Dicha norma además establece como atributos de este tipo de entidades: la personería jurídica, la autonomía administrativa y financiera y patrimonio independiente. Por su parte, el artículo 68 de la Ley 489 de 1998, al definir las entidades descentralizadas, expresamente contempla a los establecimientos públicos, lo que supone que, al margen de la autonomía de la que gozan, “(…) están sujetas al control político y a la suprema dirección del órgano de la administración al cual están adscritas”. De esto se colige que, a diferencia de las universidades públicas, las instituciones de educación superior constituidas como establecimientos públicos sí son consideradas entidades descentralizadas, por lo que no están excluidos del control de tutela propio de la descentralización. </w:t>
      </w:r>
    </w:p>
    <w:p w14:paraId="524F7015" w14:textId="77777777" w:rsidR="00A54C80" w:rsidRPr="00A54C80" w:rsidRDefault="00A54C80" w:rsidP="00A54C80">
      <w:pPr>
        <w:spacing w:after="0" w:line="240" w:lineRule="auto"/>
        <w:jc w:val="both"/>
        <w:rPr>
          <w:rFonts w:ascii="Verdana" w:hAnsi="Verdana" w:cs="Arial"/>
          <w:color w:val="000000"/>
          <w:sz w:val="20"/>
          <w:szCs w:val="20"/>
        </w:rPr>
      </w:pPr>
    </w:p>
    <w:p w14:paraId="7CD05BAD" w14:textId="133423D5" w:rsidR="00A54C80" w:rsidRPr="00A54C80" w:rsidRDefault="00A54C80" w:rsidP="00A54C80">
      <w:pPr>
        <w:spacing w:after="0" w:line="240" w:lineRule="auto"/>
        <w:jc w:val="both"/>
        <w:rPr>
          <w:rFonts w:ascii="Verdana" w:hAnsi="Verdana" w:cs="Arial"/>
          <w:color w:val="000000"/>
          <w:sz w:val="20"/>
          <w:szCs w:val="20"/>
        </w:rPr>
      </w:pPr>
      <w:r w:rsidRPr="00A54C80">
        <w:rPr>
          <w:rFonts w:ascii="Verdana" w:hAnsi="Verdana" w:cs="Arial"/>
          <w:color w:val="000000"/>
          <w:sz w:val="20"/>
          <w:szCs w:val="20"/>
        </w:rPr>
        <w:t>En cuanto al régimen contractual de los establecimientos públicos, el artículo 81 de la Ley 489 de 1998 prevé que “Los contratos que celebren (…) se rigen por las normas del Estatuto Contractual de las entidades estatales contenido en la Ley 80 de 1993 y las disposiciones que lo complementen, adicionen o modifiquen, sin perjuicio de lo dispuesto en las normas especiales”.</w:t>
      </w:r>
    </w:p>
    <w:p w14:paraId="0309349D" w14:textId="77777777" w:rsidR="00A54C80" w:rsidRPr="00A54C80" w:rsidRDefault="00A54C80" w:rsidP="00A54C80">
      <w:pPr>
        <w:spacing w:after="0" w:line="240" w:lineRule="auto"/>
        <w:jc w:val="both"/>
        <w:rPr>
          <w:rFonts w:ascii="Verdana" w:hAnsi="Verdana" w:cs="Arial"/>
          <w:color w:val="000000"/>
          <w:sz w:val="20"/>
          <w:szCs w:val="20"/>
        </w:rPr>
      </w:pPr>
    </w:p>
    <w:p w14:paraId="67EAF59E" w14:textId="3E815791" w:rsidR="00A54C80" w:rsidRPr="00A54C80" w:rsidRDefault="00A54C80" w:rsidP="00A54C80">
      <w:pPr>
        <w:spacing w:after="0" w:line="240" w:lineRule="auto"/>
        <w:jc w:val="both"/>
        <w:rPr>
          <w:rFonts w:ascii="Verdana" w:hAnsi="Verdana" w:cs="Arial"/>
          <w:b/>
          <w:bCs/>
          <w:color w:val="000000" w:themeColor="text1"/>
          <w:sz w:val="20"/>
          <w:szCs w:val="20"/>
        </w:rPr>
      </w:pPr>
      <w:r w:rsidRPr="00A54C80">
        <w:rPr>
          <w:rFonts w:ascii="Verdana" w:hAnsi="Verdana" w:cs="Arial"/>
          <w:color w:val="000000"/>
          <w:sz w:val="20"/>
          <w:szCs w:val="20"/>
        </w:rPr>
        <w:t xml:space="preserve">[…] </w:t>
      </w:r>
      <w:r w:rsidRPr="00A54C80">
        <w:rPr>
          <w:rFonts w:ascii="Verdana" w:hAnsi="Verdana" w:cs="Arial"/>
          <w:bCs/>
          <w:color w:val="000000" w:themeColor="text1"/>
          <w:sz w:val="20"/>
          <w:szCs w:val="20"/>
          <w:lang w:eastAsia="es-ES_tradnl"/>
        </w:rPr>
        <w:t>las universidades públicas al igual que las instituciones de educación superior con naturaleza jurídica de establecimiento público, al encontrarse dentro de los destinatarios de la prohibición establecida en el artículo 33, independientemente de sus regímenes de contratación diferentes, en principio, tienen restringida la posibilidad de celebrar contratos de manera directa, durante los cuatro (4) meses anteriores a las elecciones presidenciales, periodo que se extenderá hasta la finalización de la segunda vuelta, cuando sea este el caso.</w:t>
      </w:r>
    </w:p>
    <w:p w14:paraId="7A55894D" w14:textId="77777777" w:rsidR="00A54C80" w:rsidRPr="00A54C80" w:rsidRDefault="00A54C80" w:rsidP="005647C7">
      <w:pPr>
        <w:spacing w:after="0"/>
        <w:jc w:val="both"/>
        <w:rPr>
          <w:rFonts w:ascii="Verdana" w:eastAsia="Calibri" w:hAnsi="Verdana" w:cs="Arial"/>
          <w:sz w:val="20"/>
          <w:szCs w:val="20"/>
          <w:lang w:val="es-ES"/>
        </w:rPr>
      </w:pPr>
    </w:p>
    <w:p w14:paraId="7833C755" w14:textId="17D5A632" w:rsidR="005647C7" w:rsidRPr="00A54C80" w:rsidRDefault="005647C7" w:rsidP="00A54C80">
      <w:pPr>
        <w:spacing w:after="0" w:line="240" w:lineRule="auto"/>
        <w:jc w:val="both"/>
        <w:rPr>
          <w:rFonts w:ascii="Verdana" w:eastAsia="Calibri" w:hAnsi="Verdana" w:cs="Arial"/>
          <w:b/>
          <w:bCs/>
          <w:lang w:val="es-ES"/>
        </w:rPr>
      </w:pPr>
      <w:r w:rsidRPr="00A54C80">
        <w:rPr>
          <w:rFonts w:ascii="Verdana" w:eastAsia="Calibri" w:hAnsi="Verdana" w:cs="Arial"/>
          <w:b/>
          <w:bCs/>
          <w:lang w:val="es-ES"/>
        </w:rPr>
        <w:t>LEY DE GARANTÍAS ELECTORALES – Excepciones emergencias sanitarias – Entidades sanitarias y hospitalarias</w:t>
      </w:r>
    </w:p>
    <w:p w14:paraId="289D078D" w14:textId="77777777" w:rsidR="00A54C80" w:rsidRDefault="00A54C80" w:rsidP="005647C7">
      <w:pPr>
        <w:spacing w:after="0"/>
        <w:jc w:val="both"/>
        <w:rPr>
          <w:rFonts w:ascii="Verdana" w:eastAsia="Calibri" w:hAnsi="Verdana" w:cs="Arial"/>
          <w:lang w:val="es-ES"/>
        </w:rPr>
      </w:pPr>
    </w:p>
    <w:p w14:paraId="0E95F0E8" w14:textId="77777777" w:rsidR="00A54C80" w:rsidRPr="00C55490" w:rsidRDefault="00A54C80" w:rsidP="00C55490">
      <w:pPr>
        <w:pStyle w:val="NormalWeb"/>
        <w:spacing w:before="0" w:beforeAutospacing="0" w:after="0" w:afterAutospacing="0"/>
        <w:jc w:val="both"/>
        <w:rPr>
          <w:rFonts w:ascii="Verdana" w:hAnsi="Verdana" w:cs="Arial"/>
          <w:color w:val="000000"/>
          <w:sz w:val="20"/>
          <w:szCs w:val="20"/>
        </w:rPr>
      </w:pPr>
      <w:r w:rsidRPr="00C55490">
        <w:rPr>
          <w:rFonts w:ascii="Verdana" w:hAnsi="Verdana" w:cs="Arial"/>
          <w:color w:val="000000"/>
          <w:sz w:val="20"/>
          <w:szCs w:val="20"/>
        </w:rPr>
        <w:t xml:space="preserve">En el marco de las excepciones consagradas en el artículo 33 de la Ley 996 de 2005, se encuentran las relativas a i) la defensa y seguridad del Estado; </w:t>
      </w:r>
      <w:proofErr w:type="spellStart"/>
      <w:r w:rsidRPr="00C55490">
        <w:rPr>
          <w:rFonts w:ascii="Verdana" w:hAnsi="Verdana" w:cs="Arial"/>
          <w:color w:val="000000"/>
          <w:sz w:val="20"/>
          <w:szCs w:val="20"/>
        </w:rPr>
        <w:t>ii</w:t>
      </w:r>
      <w:proofErr w:type="spellEnd"/>
      <w:r w:rsidRPr="00C55490">
        <w:rPr>
          <w:rFonts w:ascii="Verdana" w:hAnsi="Verdana" w:cs="Arial"/>
          <w:color w:val="000000"/>
          <w:sz w:val="20"/>
          <w:szCs w:val="20"/>
        </w:rPr>
        <w:t xml:space="preserve">) los contratos de crédito público; </w:t>
      </w:r>
      <w:proofErr w:type="spellStart"/>
      <w:r w:rsidRPr="00C55490">
        <w:rPr>
          <w:rFonts w:ascii="Verdana" w:hAnsi="Verdana" w:cs="Arial"/>
          <w:color w:val="000000"/>
          <w:sz w:val="20"/>
          <w:szCs w:val="20"/>
        </w:rPr>
        <w:t>iii</w:t>
      </w:r>
      <w:proofErr w:type="spellEnd"/>
      <w:r w:rsidRPr="00C55490">
        <w:rPr>
          <w:rFonts w:ascii="Verdana" w:hAnsi="Verdana" w:cs="Arial"/>
          <w:color w:val="000000"/>
          <w:sz w:val="20"/>
          <w:szCs w:val="20"/>
        </w:rPr>
        <w:t xml:space="preserve">) los requeridos para cubrir las emergencias educativas, sanitarias y desastres; </w:t>
      </w:r>
      <w:proofErr w:type="spellStart"/>
      <w:r w:rsidRPr="00C55490">
        <w:rPr>
          <w:rFonts w:ascii="Verdana" w:hAnsi="Verdana" w:cs="Arial"/>
          <w:color w:val="000000"/>
          <w:sz w:val="20"/>
          <w:szCs w:val="20"/>
        </w:rPr>
        <w:t>iv</w:t>
      </w:r>
      <w:proofErr w:type="spellEnd"/>
      <w:r w:rsidRPr="00C55490">
        <w:rPr>
          <w:rFonts w:ascii="Verdana" w:hAnsi="Verdana" w:cs="Arial"/>
          <w:color w:val="000000"/>
          <w:sz w:val="20"/>
          <w:szCs w:val="20"/>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7BA56820" w14:textId="77777777" w:rsidR="00C55490" w:rsidRDefault="00C55490" w:rsidP="00C55490">
      <w:pPr>
        <w:pStyle w:val="NormalWeb"/>
        <w:spacing w:before="0" w:beforeAutospacing="0" w:after="0" w:afterAutospacing="0"/>
        <w:jc w:val="both"/>
        <w:rPr>
          <w:rFonts w:ascii="Verdana" w:hAnsi="Verdana" w:cs="Arial"/>
          <w:color w:val="000000"/>
          <w:sz w:val="20"/>
          <w:szCs w:val="20"/>
        </w:rPr>
      </w:pPr>
    </w:p>
    <w:p w14:paraId="2947AFC7" w14:textId="15ABD209" w:rsidR="00A54C80" w:rsidRPr="00C55490" w:rsidRDefault="00A54C80" w:rsidP="00C55490">
      <w:pPr>
        <w:pStyle w:val="NormalWeb"/>
        <w:spacing w:before="0" w:beforeAutospacing="0" w:after="0" w:afterAutospacing="0"/>
        <w:jc w:val="both"/>
        <w:rPr>
          <w:rFonts w:ascii="Verdana" w:hAnsi="Verdana" w:cs="Arial"/>
          <w:color w:val="000000"/>
          <w:sz w:val="20"/>
          <w:szCs w:val="20"/>
        </w:rPr>
      </w:pPr>
      <w:r w:rsidRPr="00C55490">
        <w:rPr>
          <w:rFonts w:ascii="Verdana" w:hAnsi="Verdana" w:cs="Arial"/>
          <w:color w:val="000000"/>
          <w:sz w:val="20"/>
          <w:szCs w:val="20"/>
        </w:rPr>
        <w:t xml:space="preserve">Respecto del segundo supuesto de excepción, la entidad estatal, en este caso, la Universidad de Nariño quien tiene a su cargo la dirección y administración del fondo de salud de la universidad, deberá definir si la contratación requerida se enmarca en la excepción correspondiente a una emergencia sanitaria, dado que en tal como lo dispone el artículo 33 queda prohibida la contratación directa de cualquier ente del estado. </w:t>
      </w:r>
    </w:p>
    <w:p w14:paraId="15E6FB06" w14:textId="77777777" w:rsidR="00C55490" w:rsidRDefault="00C55490" w:rsidP="00C55490">
      <w:pPr>
        <w:spacing w:after="0" w:line="240" w:lineRule="auto"/>
        <w:jc w:val="both"/>
        <w:rPr>
          <w:rFonts w:ascii="Verdana" w:hAnsi="Verdana" w:cs="Arial"/>
          <w:bCs/>
          <w:sz w:val="20"/>
          <w:szCs w:val="20"/>
        </w:rPr>
      </w:pPr>
    </w:p>
    <w:p w14:paraId="3E2F2150" w14:textId="5CC8941D" w:rsidR="00A54C80" w:rsidRPr="00C55490" w:rsidRDefault="00A54C80" w:rsidP="00C55490">
      <w:pPr>
        <w:spacing w:after="0" w:line="240" w:lineRule="auto"/>
        <w:jc w:val="both"/>
        <w:rPr>
          <w:rFonts w:ascii="Verdana" w:hAnsi="Verdana" w:cs="Arial"/>
          <w:bCs/>
          <w:sz w:val="20"/>
          <w:szCs w:val="20"/>
        </w:rPr>
      </w:pPr>
      <w:r w:rsidRPr="00C55490">
        <w:rPr>
          <w:rFonts w:ascii="Verdana" w:hAnsi="Verdana" w:cs="Arial"/>
          <w:bCs/>
          <w:sz w:val="20"/>
          <w:szCs w:val="20"/>
        </w:rPr>
        <w:t>En tal sentido, cuando una entidad de régimen especial, como es el caso de los entes universitarios, requiera adelantar un proceso de contratación durante el período de restricción temporal de la contratación directa establecido en el artículo 33 de la Ley 996 de 2005, deberá aplicar lo que se haya establecido en su manual de contratación, situación que debe revisar cada entidad estatal, en cada caso concreto.</w:t>
      </w:r>
    </w:p>
    <w:p w14:paraId="5F01A29F" w14:textId="77777777" w:rsidR="00C55490" w:rsidRDefault="00C55490" w:rsidP="00C55490">
      <w:pPr>
        <w:spacing w:after="0" w:line="240" w:lineRule="auto"/>
        <w:jc w:val="both"/>
        <w:rPr>
          <w:rFonts w:ascii="Verdana" w:hAnsi="Verdana" w:cs="Arial"/>
          <w:bCs/>
          <w:sz w:val="20"/>
          <w:szCs w:val="20"/>
          <w:lang w:val="es-ES"/>
        </w:rPr>
      </w:pPr>
    </w:p>
    <w:p w14:paraId="311DC07F" w14:textId="1398910F" w:rsidR="00A54C80" w:rsidRPr="00C55490" w:rsidRDefault="00A54C80" w:rsidP="00C55490">
      <w:pPr>
        <w:spacing w:after="0" w:line="240" w:lineRule="auto"/>
        <w:jc w:val="both"/>
        <w:rPr>
          <w:rFonts w:ascii="Verdana" w:hAnsi="Verdana" w:cs="Arial"/>
          <w:bCs/>
          <w:sz w:val="20"/>
          <w:szCs w:val="20"/>
        </w:rPr>
      </w:pPr>
      <w:r w:rsidRPr="00C55490">
        <w:rPr>
          <w:rFonts w:ascii="Verdana" w:hAnsi="Verdana" w:cs="Arial"/>
          <w:bCs/>
          <w:sz w:val="20"/>
          <w:szCs w:val="20"/>
          <w:lang w:val="es-ES"/>
        </w:rPr>
        <w:t>Si en dicho documento llegara a existir algún vacío respecto del procedimiento para la aplicación de la Ley de Garantías Electorales, le corresponde a la entidad estatal de régimen especial llenar el vacío que se le presenta conforme a su manual de contratación y los procedimientos allí establecidos. Los manuales de contratación de cada entidad deben estar orientados a que en los procesos de contratación se garanticen los objetivos del sistema de compra pública incluyendo la eficacia, economía, promoción de la competencia, rendición de cuentas, manejo del riesgo, publicidad y transparencia.</w:t>
      </w:r>
    </w:p>
    <w:p w14:paraId="72BE8378" w14:textId="77777777" w:rsidR="00C55490" w:rsidRDefault="00C55490" w:rsidP="00C55490">
      <w:pPr>
        <w:pStyle w:val="paragraph"/>
        <w:shd w:val="clear" w:color="auto" w:fill="FFFFFF"/>
        <w:spacing w:before="0" w:beforeAutospacing="0" w:after="0" w:afterAutospacing="0"/>
        <w:jc w:val="both"/>
        <w:textAlignment w:val="baseline"/>
        <w:rPr>
          <w:rFonts w:ascii="Verdana" w:hAnsi="Verdana" w:cs="Arial"/>
          <w:color w:val="000000"/>
          <w:sz w:val="20"/>
          <w:szCs w:val="20"/>
        </w:rPr>
      </w:pPr>
    </w:p>
    <w:p w14:paraId="5D6E9815" w14:textId="5938CA87" w:rsidR="00A54C80" w:rsidRPr="00C55490" w:rsidRDefault="00A54C80" w:rsidP="00C55490">
      <w:pPr>
        <w:pStyle w:val="paragraph"/>
        <w:shd w:val="clear" w:color="auto" w:fill="FFFFFF"/>
        <w:spacing w:before="0" w:beforeAutospacing="0" w:after="0" w:afterAutospacing="0"/>
        <w:jc w:val="both"/>
        <w:textAlignment w:val="baseline"/>
        <w:rPr>
          <w:rFonts w:ascii="Verdana" w:hAnsi="Verdana" w:cs="Arial"/>
          <w:color w:val="000000" w:themeColor="text1"/>
          <w:sz w:val="20"/>
          <w:szCs w:val="20"/>
        </w:rPr>
      </w:pPr>
      <w:r w:rsidRPr="00C55490">
        <w:rPr>
          <w:rFonts w:ascii="Verdana" w:hAnsi="Verdana" w:cs="Arial"/>
          <w:color w:val="000000"/>
          <w:sz w:val="20"/>
          <w:szCs w:val="20"/>
        </w:rPr>
        <w:t xml:space="preserve">En cuanto a la quinta excepción, </w:t>
      </w:r>
      <w:r w:rsidRPr="00C55490">
        <w:rPr>
          <w:rFonts w:ascii="Verdana" w:hAnsi="Verdana" w:cs="Arial"/>
          <w:bCs/>
          <w:color w:val="000000" w:themeColor="text1"/>
          <w:sz w:val="20"/>
          <w:szCs w:val="20"/>
        </w:rPr>
        <w:t>relacionada con la contratación por parte de entidades sanitarias y hospitalarias,</w:t>
      </w:r>
      <w:r w:rsidRPr="00C55490">
        <w:rPr>
          <w:rFonts w:ascii="Verdana" w:hAnsi="Verdana" w:cs="Arial"/>
          <w:color w:val="000000" w:themeColor="text1"/>
          <w:sz w:val="20"/>
          <w:szCs w:val="20"/>
        </w:rPr>
        <w:t xml:space="preserve"> </w:t>
      </w:r>
      <w:r w:rsidRPr="00C55490">
        <w:rPr>
          <w:rFonts w:ascii="Verdana" w:eastAsia="Arial" w:hAnsi="Verdana" w:cs="Arial"/>
          <w:bCs/>
          <w:color w:val="000000" w:themeColor="text1"/>
          <w:sz w:val="20"/>
          <w:szCs w:val="20"/>
        </w:rPr>
        <w:t xml:space="preserve">el artículo 2.8.8.1.1.3 del Decreto 780 de 2016, “Por medio del cual se expide el Decreto Único Reglamentario del Sector Salud y Protección Social”, definió a las </w:t>
      </w:r>
      <w:r w:rsidRPr="00C55490">
        <w:rPr>
          <w:rFonts w:ascii="Verdana" w:eastAsia="Arial" w:hAnsi="Verdana" w:cs="Arial"/>
          <w:bCs/>
          <w:i/>
          <w:iCs/>
          <w:color w:val="000000" w:themeColor="text1"/>
          <w:sz w:val="20"/>
          <w:szCs w:val="20"/>
        </w:rPr>
        <w:t>entidades sanitarias</w:t>
      </w:r>
      <w:r w:rsidRPr="00C55490">
        <w:rPr>
          <w:rFonts w:ascii="Verdana" w:eastAsia="Arial" w:hAnsi="Verdana" w:cs="Arial"/>
          <w:bCs/>
          <w:color w:val="000000" w:themeColor="text1"/>
          <w:sz w:val="20"/>
          <w:szCs w:val="20"/>
        </w:rPr>
        <w:t xml:space="preserve"> como las “Entidades del Estado que prestan servicios sanitarios o de sanidad con el propósito de preservar la salud humana y la salud pública”. El artículo citado también define las </w:t>
      </w:r>
      <w:r w:rsidRPr="00C55490">
        <w:rPr>
          <w:rFonts w:ascii="Verdana" w:eastAsia="Arial" w:hAnsi="Verdana" w:cs="Arial"/>
          <w:bCs/>
          <w:i/>
          <w:iCs/>
          <w:color w:val="000000" w:themeColor="text1"/>
          <w:sz w:val="20"/>
          <w:szCs w:val="20"/>
        </w:rPr>
        <w:t>autoridades sanitarias</w:t>
      </w:r>
      <w:r w:rsidRPr="00C55490">
        <w:rPr>
          <w:rFonts w:ascii="Verdana" w:eastAsia="Arial" w:hAnsi="Verdana" w:cs="Arial"/>
          <w:bCs/>
          <w:color w:val="000000" w:themeColor="text1"/>
          <w:sz w:val="20"/>
          <w:szCs w:val="20"/>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para efectos de la aplicación de la excepción, se debe verificar que se cumplan los requisitos del artículo 33 de la Ley 996 de 2005. </w:t>
      </w:r>
    </w:p>
    <w:p w14:paraId="05F83C1B" w14:textId="77777777" w:rsidR="00C55490" w:rsidRDefault="00C55490" w:rsidP="00C55490">
      <w:pPr>
        <w:spacing w:after="0" w:line="240" w:lineRule="auto"/>
        <w:jc w:val="both"/>
        <w:rPr>
          <w:rFonts w:ascii="Verdana" w:eastAsia="Arial" w:hAnsi="Verdana" w:cs="Arial"/>
          <w:bCs/>
          <w:color w:val="000000" w:themeColor="text1"/>
          <w:sz w:val="20"/>
          <w:szCs w:val="20"/>
        </w:rPr>
      </w:pPr>
    </w:p>
    <w:p w14:paraId="76CD568F" w14:textId="11C6780D" w:rsidR="00A54C80" w:rsidRPr="00C55490" w:rsidRDefault="00A54C80" w:rsidP="00C55490">
      <w:pPr>
        <w:spacing w:after="0" w:line="240" w:lineRule="auto"/>
        <w:jc w:val="both"/>
        <w:rPr>
          <w:rFonts w:ascii="Verdana" w:eastAsia="Arial" w:hAnsi="Verdana" w:cs="Arial"/>
          <w:bCs/>
          <w:color w:val="000000" w:themeColor="text1"/>
          <w:sz w:val="20"/>
          <w:szCs w:val="20"/>
        </w:rPr>
      </w:pPr>
      <w:r w:rsidRPr="00C55490">
        <w:rPr>
          <w:rFonts w:ascii="Verdana" w:eastAsia="Arial" w:hAnsi="Verdana" w:cs="Arial"/>
          <w:bCs/>
          <w:color w:val="000000" w:themeColor="text1"/>
          <w:sz w:val="20"/>
          <w:szCs w:val="20"/>
        </w:rPr>
        <w:t xml:space="preserve">Sobre lo anterior, el Consejo de Estado ha señalado que “las entidades que presten servicios tendientes a preservar la salud pública o humana deben ser consideradas como entidades sanitarias y en principio estarían exceptuadas de la prohibición de contratación directa”.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w:t>
      </w:r>
    </w:p>
    <w:p w14:paraId="230274FB" w14:textId="77777777" w:rsidR="00C55490" w:rsidRDefault="00C55490" w:rsidP="00C55490">
      <w:pPr>
        <w:spacing w:after="0" w:line="240" w:lineRule="auto"/>
        <w:jc w:val="both"/>
        <w:rPr>
          <w:rFonts w:ascii="Verdana" w:eastAsia="Arial" w:hAnsi="Verdana" w:cs="Arial"/>
          <w:bCs/>
          <w:color w:val="000000" w:themeColor="text1"/>
          <w:sz w:val="20"/>
          <w:szCs w:val="20"/>
        </w:rPr>
      </w:pPr>
    </w:p>
    <w:p w14:paraId="3E7EB299" w14:textId="1F267FD3" w:rsidR="00A54C80" w:rsidRPr="00C55490" w:rsidRDefault="00A54C80" w:rsidP="00C55490">
      <w:pPr>
        <w:spacing w:after="0" w:line="240" w:lineRule="auto"/>
        <w:jc w:val="both"/>
        <w:rPr>
          <w:rFonts w:ascii="Verdana" w:eastAsia="Arial" w:hAnsi="Verdana" w:cs="Arial"/>
          <w:bCs/>
          <w:color w:val="000000" w:themeColor="text1"/>
          <w:sz w:val="20"/>
          <w:szCs w:val="20"/>
        </w:rPr>
      </w:pPr>
      <w:r w:rsidRPr="00C55490">
        <w:rPr>
          <w:rFonts w:ascii="Verdana" w:eastAsia="Arial" w:hAnsi="Verdana" w:cs="Arial"/>
          <w:bCs/>
          <w:color w:val="000000" w:themeColor="text1"/>
          <w:sz w:val="20"/>
          <w:szCs w:val="20"/>
        </w:rPr>
        <w:t xml:space="preserve">Conforme con lo expuesto, las entidades que requieran adelantar procesos de contratación directa durante el periodo de garantías electorales deberán analizar, primero, si se configuran los supuestos establecidos en </w:t>
      </w:r>
      <w:r w:rsidRPr="00C55490">
        <w:rPr>
          <w:rFonts w:ascii="Verdana" w:eastAsia="Arial" w:hAnsi="Verdana" w:cs="Arial"/>
          <w:bCs/>
          <w:i/>
          <w:iCs/>
          <w:color w:val="000000" w:themeColor="text1"/>
          <w:sz w:val="20"/>
          <w:szCs w:val="20"/>
        </w:rPr>
        <w:t>el artículo 33</w:t>
      </w:r>
      <w:r w:rsidRPr="00C55490">
        <w:rPr>
          <w:rFonts w:ascii="Verdana" w:eastAsia="Arial" w:hAnsi="Verdana" w:cs="Arial"/>
          <w:bCs/>
          <w:color w:val="000000" w:themeColor="text1"/>
          <w:sz w:val="20"/>
          <w:szCs w:val="20"/>
        </w:rPr>
        <w:t xml:space="preserve"> de la Ley 996 de 2005, es decir, si se trata de cualquier entidad pública que pretenda adelantar un proceso no competitivo. Adicionalmente, será pertinente analizar si se configura alguna de las excepciones previstas en la norma. </w:t>
      </w:r>
    </w:p>
    <w:p w14:paraId="4F4E0D01" w14:textId="77777777" w:rsidR="00C55490" w:rsidRDefault="00C55490" w:rsidP="00C55490">
      <w:pPr>
        <w:spacing w:after="0" w:line="240" w:lineRule="auto"/>
        <w:jc w:val="both"/>
        <w:rPr>
          <w:rFonts w:ascii="Verdana" w:eastAsia="Calibri" w:hAnsi="Verdana" w:cs="Arial"/>
          <w:sz w:val="20"/>
          <w:szCs w:val="20"/>
        </w:rPr>
      </w:pPr>
    </w:p>
    <w:p w14:paraId="1D965ACC" w14:textId="304E84EC" w:rsidR="00A54C80" w:rsidRPr="00C55490" w:rsidRDefault="00A54C80" w:rsidP="00C55490">
      <w:pPr>
        <w:spacing w:after="0" w:line="240" w:lineRule="auto"/>
        <w:jc w:val="both"/>
        <w:rPr>
          <w:rFonts w:ascii="Verdana" w:eastAsia="Calibri" w:hAnsi="Verdana" w:cs="Arial"/>
          <w:sz w:val="20"/>
          <w:szCs w:val="20"/>
          <w:lang w:val="es-ES" w:eastAsia="es-ES"/>
        </w:rPr>
      </w:pPr>
      <w:r w:rsidRPr="00C55490">
        <w:rPr>
          <w:rFonts w:ascii="Verdana" w:eastAsia="Calibri" w:hAnsi="Verdana" w:cs="Arial"/>
          <w:sz w:val="20"/>
          <w:szCs w:val="20"/>
        </w:rPr>
        <w:t>En particular, cada Entidad Estatal deberá realizar el correspondiente análisis para definir 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C55490">
        <w:rPr>
          <w:rFonts w:ascii="Verdana" w:hAnsi="Verdana" w:cs="Arial"/>
          <w:sz w:val="20"/>
          <w:szCs w:val="20"/>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0B8F2BF4" w14:textId="77777777" w:rsidR="00A54C80" w:rsidRPr="00A54C80" w:rsidRDefault="00A54C80" w:rsidP="005647C7">
      <w:pPr>
        <w:spacing w:after="0"/>
        <w:jc w:val="both"/>
        <w:rPr>
          <w:rFonts w:ascii="Verdana" w:eastAsia="Verdana" w:hAnsi="Verdana" w:cs="Verdana"/>
          <w:lang w:val="es-ES"/>
        </w:rPr>
      </w:pPr>
    </w:p>
    <w:p w14:paraId="595A5BC1" w14:textId="77777777" w:rsidR="005647C7" w:rsidRDefault="005647C7" w:rsidP="00EB33F0">
      <w:pPr>
        <w:spacing w:after="0"/>
        <w:rPr>
          <w:rFonts w:ascii="Verdana" w:eastAsia="Verdana" w:hAnsi="Verdana" w:cs="Verdana"/>
        </w:rPr>
      </w:pPr>
    </w:p>
    <w:p w14:paraId="6FADDB72" w14:textId="77777777" w:rsidR="005647C7" w:rsidRDefault="005647C7" w:rsidP="00EB33F0">
      <w:pPr>
        <w:spacing w:after="0"/>
        <w:rPr>
          <w:rFonts w:ascii="Verdana" w:eastAsia="Verdana" w:hAnsi="Verdana" w:cs="Verdana"/>
        </w:rPr>
      </w:pPr>
    </w:p>
    <w:p w14:paraId="5B321537" w14:textId="77777777" w:rsidR="005647C7" w:rsidRDefault="005647C7" w:rsidP="00EB33F0">
      <w:pPr>
        <w:spacing w:after="0"/>
        <w:rPr>
          <w:rFonts w:ascii="Verdana" w:eastAsia="Verdana" w:hAnsi="Verdana" w:cs="Verdana"/>
        </w:rPr>
      </w:pPr>
    </w:p>
    <w:p w14:paraId="2FBEE5F9" w14:textId="7BC8A36A" w:rsidR="00EC5EC3" w:rsidRDefault="00EC5EC3" w:rsidP="00EB33F0">
      <w:pPr>
        <w:spacing w:after="0"/>
        <w:rPr>
          <w:rFonts w:ascii="Verdana" w:eastAsia="Verdana" w:hAnsi="Verdana" w:cs="Verdana"/>
        </w:rPr>
      </w:pPr>
      <w:r w:rsidRPr="30821638">
        <w:rPr>
          <w:rFonts w:ascii="Verdana" w:eastAsia="Verdana" w:hAnsi="Verdana" w:cs="Verdana"/>
        </w:rPr>
        <w:t xml:space="preserve">Bogotá D.C., </w:t>
      </w:r>
      <w:r w:rsidR="00EB33F0">
        <w:rPr>
          <w:rFonts w:ascii="Verdana" w:eastAsia="Verdana" w:hAnsi="Verdana" w:cs="Verdana"/>
        </w:rPr>
        <w:t xml:space="preserve">16 </w:t>
      </w:r>
      <w:proofErr w:type="gramStart"/>
      <w:r w:rsidR="00EB33F0">
        <w:rPr>
          <w:rFonts w:ascii="Verdana" w:eastAsia="Verdana" w:hAnsi="Verdana" w:cs="Verdana"/>
        </w:rPr>
        <w:t>Abril</w:t>
      </w:r>
      <w:proofErr w:type="gramEnd"/>
      <w:r w:rsidR="00EB33F0">
        <w:rPr>
          <w:rFonts w:ascii="Verdana" w:eastAsia="Verdana" w:hAnsi="Verdana" w:cs="Verdana"/>
        </w:rPr>
        <w:t xml:space="preserve"> 2026</w:t>
      </w:r>
    </w:p>
    <w:p w14:paraId="7A3487B0" w14:textId="6B9F94E0" w:rsidR="00EB33F0" w:rsidRDefault="00EB33F0" w:rsidP="00EB33F0">
      <w:pPr>
        <w:spacing w:after="0"/>
        <w:jc w:val="right"/>
        <w:rPr>
          <w:rFonts w:ascii="Verdana" w:eastAsia="Verdana" w:hAnsi="Verdana" w:cs="Verdana"/>
        </w:rPr>
      </w:pPr>
      <w:r w:rsidRPr="00EB33F0">
        <w:rPr>
          <w:rFonts w:ascii="Verdana" w:eastAsia="Verdana" w:hAnsi="Verdana" w:cs="Verdana"/>
        </w:rPr>
        <w:drawing>
          <wp:inline distT="0" distB="0" distL="0" distR="0" wp14:anchorId="641F40D2" wp14:editId="49155A1A">
            <wp:extent cx="2001520" cy="461175"/>
            <wp:effectExtent l="0" t="0" r="0" b="0"/>
            <wp:docPr id="207060232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602325" name=""/>
                    <pic:cNvPicPr/>
                  </pic:nvPicPr>
                  <pic:blipFill>
                    <a:blip r:embed="rId10"/>
                    <a:stretch>
                      <a:fillRect/>
                    </a:stretch>
                  </pic:blipFill>
                  <pic:spPr>
                    <a:xfrm>
                      <a:off x="0" y="0"/>
                      <a:ext cx="2041497" cy="470386"/>
                    </a:xfrm>
                    <a:prstGeom prst="rect">
                      <a:avLst/>
                    </a:prstGeom>
                  </pic:spPr>
                </pic:pic>
              </a:graphicData>
            </a:graphic>
          </wp:inline>
        </w:drawing>
      </w:r>
    </w:p>
    <w:p w14:paraId="49895860" w14:textId="77777777" w:rsidR="00EC5EC3" w:rsidRDefault="00EC5EC3" w:rsidP="00EC5EC3">
      <w:pPr>
        <w:spacing w:after="0" w:line="240" w:lineRule="auto"/>
        <w:jc w:val="both"/>
        <w:rPr>
          <w:rFonts w:ascii="Verdana" w:eastAsia="Calibri" w:hAnsi="Verdana" w:cs="Arial"/>
          <w:b/>
          <w:bCs/>
          <w:lang w:eastAsia="es-ES"/>
        </w:rPr>
      </w:pPr>
      <w:r>
        <w:rPr>
          <w:rFonts w:ascii="Verdana" w:eastAsia="Calibri" w:hAnsi="Verdana" w:cs="Arial"/>
          <w:b/>
          <w:bCs/>
          <w:lang w:eastAsia="es-ES"/>
        </w:rPr>
        <w:t>Señor</w:t>
      </w:r>
    </w:p>
    <w:p w14:paraId="35102953" w14:textId="77777777" w:rsidR="00EC5EC3" w:rsidRPr="00EC5EC3" w:rsidRDefault="00EC5EC3" w:rsidP="00EC5EC3">
      <w:pPr>
        <w:spacing w:after="0" w:line="240" w:lineRule="auto"/>
        <w:jc w:val="both"/>
        <w:rPr>
          <w:rFonts w:ascii="Verdana" w:eastAsia="Calibri" w:hAnsi="Verdana" w:cs="Arial"/>
          <w:b/>
          <w:bCs/>
          <w:lang w:eastAsia="es-ES"/>
        </w:rPr>
      </w:pPr>
      <w:r w:rsidRPr="00EC5EC3">
        <w:rPr>
          <w:rFonts w:ascii="Verdana" w:eastAsia="Calibri" w:hAnsi="Verdana" w:cs="Arial"/>
          <w:b/>
          <w:bCs/>
          <w:lang w:eastAsia="es-ES"/>
        </w:rPr>
        <w:t>Daniel Alejandro Estrella Ojeda</w:t>
      </w:r>
    </w:p>
    <w:p w14:paraId="480E35CF" w14:textId="77777777" w:rsidR="00EC5EC3" w:rsidRPr="008E66D8" w:rsidRDefault="00EC5EC3" w:rsidP="00EC5EC3">
      <w:pPr>
        <w:spacing w:after="0" w:line="240" w:lineRule="auto"/>
        <w:jc w:val="both"/>
        <w:rPr>
          <w:rFonts w:ascii="Verdana" w:hAnsi="Verdana"/>
          <w:b/>
          <w:bCs/>
        </w:rPr>
      </w:pPr>
      <w:hyperlink r:id="rId11" w:history="1">
        <w:r w:rsidRPr="008E66D8">
          <w:rPr>
            <w:rStyle w:val="Hipervnculo"/>
            <w:rFonts w:ascii="Verdana" w:hAnsi="Verdana"/>
            <w:b/>
            <w:bCs/>
          </w:rPr>
          <w:t>danielestrella.th@gmail.com</w:t>
        </w:r>
      </w:hyperlink>
    </w:p>
    <w:p w14:paraId="64332C2D" w14:textId="77777777" w:rsidR="00EC5EC3" w:rsidRPr="003F658D" w:rsidRDefault="00EC5EC3" w:rsidP="00EC5EC3">
      <w:pPr>
        <w:spacing w:after="0" w:line="240" w:lineRule="auto"/>
        <w:jc w:val="both"/>
        <w:rPr>
          <w:rFonts w:ascii="Verdana" w:hAnsi="Verdana"/>
          <w:lang w:val="it-CH"/>
        </w:rPr>
      </w:pPr>
      <w:r>
        <w:rPr>
          <w:rFonts w:ascii="Verdana" w:hAnsi="Verdana"/>
          <w:lang w:val="it-CH"/>
        </w:rPr>
        <w:t xml:space="preserve">Pasto – Nariño </w:t>
      </w:r>
    </w:p>
    <w:p w14:paraId="1A329C5B" w14:textId="77777777" w:rsidR="00EC5EC3" w:rsidRPr="0099386F" w:rsidRDefault="00EC5EC3" w:rsidP="00EC5EC3">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EC5EC3" w:rsidRPr="005644FE" w14:paraId="4DBA4D1B" w14:textId="77777777">
        <w:trPr>
          <w:trHeight w:val="162"/>
        </w:trPr>
        <w:tc>
          <w:tcPr>
            <w:tcW w:w="3119" w:type="dxa"/>
          </w:tcPr>
          <w:p w14:paraId="22A51904" w14:textId="77777777" w:rsidR="00EC5EC3" w:rsidRPr="003F658D" w:rsidRDefault="00EC5EC3">
            <w:pPr>
              <w:jc w:val="both"/>
              <w:rPr>
                <w:rFonts w:ascii="Verdana" w:eastAsia="Calibri" w:hAnsi="Verdana" w:cs="Arial"/>
                <w:b/>
                <w:bCs/>
                <w:color w:val="7030A0"/>
                <w:lang w:val="it-CH" w:eastAsia="es-ES_tradnl"/>
              </w:rPr>
            </w:pPr>
          </w:p>
        </w:tc>
        <w:tc>
          <w:tcPr>
            <w:tcW w:w="5670" w:type="dxa"/>
          </w:tcPr>
          <w:p w14:paraId="32BD6CA5" w14:textId="77777777" w:rsidR="00EC5EC3" w:rsidRPr="005644FE" w:rsidRDefault="00EC5EC3">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w:t>
            </w:r>
            <w:r>
              <w:rPr>
                <w:rFonts w:ascii="Verdana" w:eastAsia="Calibri" w:hAnsi="Verdana" w:cs="Arial"/>
                <w:b/>
                <w:bCs/>
                <w:lang w:eastAsia="es-ES"/>
              </w:rPr>
              <w:t>371 de 2026</w:t>
            </w:r>
          </w:p>
          <w:p w14:paraId="27FDC6A4" w14:textId="77777777" w:rsidR="00EC5EC3" w:rsidRPr="005644FE" w:rsidRDefault="00EC5EC3">
            <w:pPr>
              <w:jc w:val="both"/>
              <w:rPr>
                <w:rFonts w:ascii="Verdana" w:eastAsia="Calibri" w:hAnsi="Verdana" w:cs="Arial"/>
                <w:b/>
                <w:bCs/>
                <w:color w:val="7030A0"/>
                <w:lang w:eastAsia="es-ES"/>
              </w:rPr>
            </w:pPr>
          </w:p>
        </w:tc>
      </w:tr>
      <w:tr w:rsidR="00EC5EC3" w:rsidRPr="005644FE" w14:paraId="597DC61C" w14:textId="77777777">
        <w:trPr>
          <w:trHeight w:val="884"/>
        </w:trPr>
        <w:tc>
          <w:tcPr>
            <w:tcW w:w="3119" w:type="dxa"/>
          </w:tcPr>
          <w:p w14:paraId="7F2CE23E" w14:textId="77777777" w:rsidR="00EC5EC3" w:rsidRPr="005644FE" w:rsidRDefault="00EC5EC3">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77F051C4" w14:textId="77777777" w:rsidR="00EC5EC3" w:rsidRPr="007573A1" w:rsidRDefault="00EC5EC3">
            <w:pPr>
              <w:spacing w:line="276" w:lineRule="auto"/>
              <w:jc w:val="both"/>
              <w:rPr>
                <w:rFonts w:ascii="Verdana" w:eastAsia="Calibri" w:hAnsi="Verdana" w:cs="Arial"/>
                <w:lang w:val="es-ES" w:eastAsia="es-ES"/>
              </w:rPr>
            </w:pPr>
            <w:r w:rsidRPr="007573A1">
              <w:rPr>
                <w:rFonts w:ascii="Verdana" w:hAnsi="Verdana" w:cs="Arial"/>
                <w:color w:val="000000" w:themeColor="text1"/>
              </w:rPr>
              <w:t xml:space="preserve">LEY DE GARANTÍAS ELECTORALES – Propósito / LEY DE GARANTÍAS ELECTORALES – Prohibiciones – Restricciones / LEY DE GARANTÍAS ELECTORALES – Artículo 33 – Ámbito material / LEY DE GARANTÍAS ELECTORALES – Destinatarios / LEY DE GARANTÍAS ELECTORALES – Excepciones / </w:t>
            </w:r>
            <w:r w:rsidRPr="007573A1">
              <w:rPr>
                <w:rFonts w:ascii="Verdana" w:hAnsi="Verdana"/>
                <w:color w:val="000000" w:themeColor="text1"/>
              </w:rPr>
              <w:t xml:space="preserve">LEY DE GARANTÍAS ELECTORALES - </w:t>
            </w:r>
            <w:r w:rsidRPr="007573A1">
              <w:rPr>
                <w:rFonts w:ascii="Verdana" w:eastAsia="Calibri" w:hAnsi="Verdana" w:cs="Arial"/>
                <w:lang w:val="es-ES"/>
              </w:rPr>
              <w:t xml:space="preserve">UNIVERSIDADES PÚBLICAS – ESTABLECIMIENTO PÚBLICO EDUCATIVO – Diferencias – aplicación de la Ley 996 de 2005 / LEY DE GARANTÍAS ELECTORALES – Excepciones emergencias sanitarias – Entidades sanitarias y hospitalarias </w:t>
            </w:r>
          </w:p>
        </w:tc>
      </w:tr>
      <w:tr w:rsidR="00EC5EC3" w:rsidRPr="005644FE" w14:paraId="1047927E" w14:textId="77777777">
        <w:tc>
          <w:tcPr>
            <w:tcW w:w="3119" w:type="dxa"/>
          </w:tcPr>
          <w:p w14:paraId="49260E64" w14:textId="77777777" w:rsidR="00EC5EC3" w:rsidRPr="005644FE" w:rsidRDefault="00EC5EC3">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5402F396" w14:textId="46EBAB1A" w:rsidR="00EC5EC3" w:rsidRPr="00F04657" w:rsidRDefault="00EC5EC3">
            <w:pPr>
              <w:jc w:val="both"/>
              <w:rPr>
                <w:rFonts w:ascii="Verdana" w:eastAsia="Calibri" w:hAnsi="Verdana" w:cs="Arial"/>
                <w:lang w:eastAsia="es-ES"/>
              </w:rPr>
            </w:pPr>
            <w:r w:rsidRPr="74C89D8F">
              <w:rPr>
                <w:rFonts w:ascii="Verdana" w:eastAsia="Calibri" w:hAnsi="Verdana" w:cs="Arial"/>
                <w:lang w:eastAsia="es-ES"/>
              </w:rPr>
              <w:t>Respuesta a consulta con radicado 1_2026_03_05_003139</w:t>
            </w:r>
            <w:r w:rsidR="0D2035FD" w:rsidRPr="65F4977B">
              <w:rPr>
                <w:rFonts w:ascii="Verdana" w:eastAsia="Calibri" w:hAnsi="Verdana" w:cs="Arial"/>
                <w:lang w:eastAsia="es-ES"/>
              </w:rPr>
              <w:t xml:space="preserve"> </w:t>
            </w:r>
            <w:r w:rsidR="0D2035FD" w:rsidRPr="74C89D8F">
              <w:rPr>
                <w:rFonts w:ascii="Verdana" w:eastAsia="Verdana" w:hAnsi="Verdana" w:cs="Verdana"/>
              </w:rPr>
              <w:t>1_2026_03_05_003080 (Acumuladas)</w:t>
            </w:r>
          </w:p>
        </w:tc>
      </w:tr>
    </w:tbl>
    <w:p w14:paraId="24CBACD0" w14:textId="77777777" w:rsidR="00EC5EC3" w:rsidRPr="005644FE" w:rsidRDefault="00EC5EC3" w:rsidP="00EC5EC3">
      <w:pPr>
        <w:spacing w:after="0" w:line="276" w:lineRule="auto"/>
        <w:jc w:val="both"/>
        <w:rPr>
          <w:rFonts w:ascii="Verdana" w:eastAsia="Calibri" w:hAnsi="Verdana" w:cs="Arial"/>
          <w:lang w:eastAsia="es-ES_tradnl"/>
        </w:rPr>
      </w:pPr>
      <w:r>
        <w:rPr>
          <w:rFonts w:ascii="Verdana" w:eastAsia="Calibri" w:hAnsi="Verdana" w:cs="Arial"/>
          <w:lang w:eastAsia="es-ES_tradnl"/>
        </w:rPr>
        <w:t xml:space="preserve"> </w:t>
      </w:r>
    </w:p>
    <w:p w14:paraId="34B17484" w14:textId="77777777" w:rsidR="00EC5EC3" w:rsidRPr="005644FE" w:rsidRDefault="00EC5EC3" w:rsidP="00EC5EC3">
      <w:pPr>
        <w:spacing w:after="0" w:line="276" w:lineRule="auto"/>
        <w:jc w:val="both"/>
        <w:rPr>
          <w:rFonts w:ascii="Verdana" w:eastAsia="Calibri" w:hAnsi="Verdana" w:cs="Arial"/>
          <w:lang w:eastAsia="es-ES"/>
        </w:rPr>
      </w:pPr>
      <w:r>
        <w:rPr>
          <w:rFonts w:ascii="Verdana" w:eastAsia="Calibri" w:hAnsi="Verdana" w:cs="Arial"/>
          <w:lang w:eastAsia="es-ES"/>
        </w:rPr>
        <w:t xml:space="preserve">Estimado señor Estrella: </w:t>
      </w:r>
    </w:p>
    <w:p w14:paraId="16CFB456" w14:textId="77777777" w:rsidR="00EC5EC3" w:rsidRPr="00E02524" w:rsidRDefault="00EC5EC3" w:rsidP="00EC5EC3">
      <w:pPr>
        <w:spacing w:after="0" w:line="276" w:lineRule="auto"/>
        <w:jc w:val="both"/>
        <w:rPr>
          <w:rFonts w:ascii="Verdana" w:hAnsi="Verdana"/>
          <w:lang w:val="es-MX"/>
        </w:rPr>
      </w:pPr>
    </w:p>
    <w:p w14:paraId="39460C8D" w14:textId="794AD561" w:rsidR="00EC5EC3" w:rsidRDefault="00EC5EC3" w:rsidP="00EC5EC3">
      <w:pPr>
        <w:spacing w:after="12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por los artículos 3, numeral 5º, y 11, numeral 8º, del Decreto Ley 4170 de 2011</w:t>
      </w:r>
      <w:r>
        <w:rPr>
          <w:rFonts w:ascii="Verdana" w:eastAsia="Calibri" w:hAnsi="Verdana" w:cs="Arial"/>
          <w:lang w:eastAsia="es-ES"/>
        </w:rPr>
        <w:t xml:space="preserve"> y </w:t>
      </w:r>
      <w:r w:rsidRPr="00E02524">
        <w:rPr>
          <w:rFonts w:ascii="Verdana" w:hAnsi="Verdana"/>
        </w:rPr>
        <w:t>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responde su</w:t>
      </w:r>
      <w:r w:rsidR="000C46D6">
        <w:rPr>
          <w:rFonts w:ascii="Verdana" w:eastAsia="Calibri" w:hAnsi="Verdana" w:cs="Arial"/>
          <w:lang w:eastAsia="es-ES"/>
        </w:rPr>
        <w:t>s</w:t>
      </w:r>
      <w:r w:rsidRPr="005644FE">
        <w:rPr>
          <w:rFonts w:ascii="Verdana" w:eastAsia="Calibri" w:hAnsi="Verdana" w:cs="Arial"/>
          <w:lang w:eastAsia="es-ES"/>
        </w:rPr>
        <w:t xml:space="preserve"> solicitud</w:t>
      </w:r>
      <w:r w:rsidR="000C46D6">
        <w:rPr>
          <w:rFonts w:ascii="Verdana" w:eastAsia="Calibri" w:hAnsi="Verdana" w:cs="Arial"/>
          <w:lang w:eastAsia="es-ES"/>
        </w:rPr>
        <w:t>es</w:t>
      </w:r>
      <w:r w:rsidRPr="005644FE">
        <w:rPr>
          <w:rFonts w:ascii="Verdana" w:eastAsia="Calibri" w:hAnsi="Verdana" w:cs="Arial"/>
          <w:lang w:eastAsia="es-ES"/>
        </w:rPr>
        <w:t xml:space="preserve"> de consulta de fecha </w:t>
      </w:r>
      <w:r>
        <w:rPr>
          <w:rFonts w:ascii="Verdana" w:eastAsia="Calibri" w:hAnsi="Verdana" w:cs="Arial"/>
          <w:lang w:eastAsia="es-ES"/>
        </w:rPr>
        <w:t xml:space="preserve">5 de marzo de 2026, </w:t>
      </w:r>
      <w:r w:rsidRPr="005644FE">
        <w:rPr>
          <w:rFonts w:ascii="Verdana" w:eastAsia="Calibri" w:hAnsi="Verdana" w:cs="Arial"/>
          <w:lang w:eastAsia="es-ES"/>
        </w:rPr>
        <w:t>en la cual manifiesta lo siguiente:</w:t>
      </w:r>
    </w:p>
    <w:p w14:paraId="4F5C57BC" w14:textId="77777777" w:rsidR="00EC5EC3" w:rsidRPr="00C16480" w:rsidRDefault="00EC5EC3" w:rsidP="00EC5EC3">
      <w:pPr>
        <w:spacing w:after="120" w:line="276" w:lineRule="auto"/>
        <w:jc w:val="both"/>
        <w:rPr>
          <w:rFonts w:ascii="Verdana" w:eastAsia="Calibri" w:hAnsi="Verdana" w:cs="Arial"/>
          <w:lang w:eastAsia="es-ES"/>
        </w:rPr>
      </w:pPr>
      <w:r w:rsidRPr="00E02524">
        <w:rPr>
          <w:rFonts w:ascii="Verdana" w:hAnsi="Verdana"/>
        </w:rPr>
        <w:t xml:space="preserve">PETICIÓN REALIZADA </w:t>
      </w:r>
    </w:p>
    <w:p w14:paraId="249EB153" w14:textId="77777777" w:rsidR="00EC5EC3" w:rsidRPr="008E5B36" w:rsidRDefault="00EC5EC3" w:rsidP="00EC5EC3">
      <w:pPr>
        <w:spacing w:after="0" w:line="240" w:lineRule="auto"/>
        <w:jc w:val="both"/>
        <w:rPr>
          <w:rFonts w:ascii="Verdana" w:hAnsi="Verdana"/>
        </w:rPr>
      </w:pPr>
    </w:p>
    <w:p w14:paraId="26DE40BD" w14:textId="7F8A5396" w:rsidR="00EC5EC3" w:rsidRDefault="00EC5EC3" w:rsidP="00517548">
      <w:pPr>
        <w:spacing w:after="0" w:line="240" w:lineRule="auto"/>
        <w:ind w:left="709" w:right="709"/>
        <w:jc w:val="both"/>
        <w:rPr>
          <w:rFonts w:ascii="Verdana" w:hAnsi="Verdana"/>
          <w:sz w:val="20"/>
          <w:szCs w:val="20"/>
        </w:rPr>
      </w:pPr>
      <w:r>
        <w:rPr>
          <w:rFonts w:ascii="Verdana" w:hAnsi="Verdana"/>
          <w:sz w:val="20"/>
          <w:szCs w:val="20"/>
        </w:rPr>
        <w:t xml:space="preserve">“(…) </w:t>
      </w:r>
      <w:r w:rsidRPr="008E66D8">
        <w:rPr>
          <w:rFonts w:ascii="Verdana" w:hAnsi="Verdana"/>
          <w:sz w:val="20"/>
          <w:szCs w:val="20"/>
        </w:rPr>
        <w:t>me permito elevar la presente consulta ante su entidad, respecto del alcance que ostenta el artículo 33 de la Ley 996 de 2005, con relación a los Fondos de Salud de Universidades Estatales</w:t>
      </w:r>
      <w:r>
        <w:rPr>
          <w:rFonts w:ascii="Verdana" w:hAnsi="Verdana"/>
          <w:sz w:val="20"/>
          <w:szCs w:val="20"/>
        </w:rPr>
        <w:t>.</w:t>
      </w:r>
    </w:p>
    <w:p w14:paraId="37666528" w14:textId="77777777" w:rsidR="00EC5EC3" w:rsidRDefault="00EC5EC3" w:rsidP="00EC5EC3">
      <w:pPr>
        <w:spacing w:after="0" w:line="240" w:lineRule="auto"/>
        <w:ind w:left="709" w:right="709"/>
        <w:jc w:val="both"/>
        <w:rPr>
          <w:rFonts w:ascii="Verdana" w:hAnsi="Verdana"/>
          <w:sz w:val="20"/>
          <w:szCs w:val="20"/>
        </w:rPr>
      </w:pPr>
      <w:r>
        <w:rPr>
          <w:rFonts w:ascii="Verdana" w:hAnsi="Verdana"/>
          <w:sz w:val="20"/>
          <w:szCs w:val="20"/>
        </w:rPr>
        <w:t>(…)</w:t>
      </w:r>
    </w:p>
    <w:p w14:paraId="6E4388D8" w14:textId="77777777" w:rsidR="00EC5EC3" w:rsidRDefault="00EC5EC3" w:rsidP="00EC5EC3">
      <w:pPr>
        <w:spacing w:after="0" w:line="240" w:lineRule="auto"/>
        <w:ind w:left="709" w:right="709"/>
        <w:jc w:val="both"/>
        <w:rPr>
          <w:rFonts w:ascii="Verdana" w:hAnsi="Verdana"/>
          <w:sz w:val="20"/>
          <w:szCs w:val="20"/>
        </w:rPr>
      </w:pPr>
    </w:p>
    <w:p w14:paraId="2FE5B417" w14:textId="77777777" w:rsidR="00EC5EC3" w:rsidRDefault="00EC5EC3" w:rsidP="00EC5EC3">
      <w:pPr>
        <w:spacing w:after="0" w:line="240" w:lineRule="auto"/>
        <w:ind w:left="709" w:right="709"/>
        <w:jc w:val="both"/>
        <w:rPr>
          <w:rFonts w:ascii="Verdana" w:hAnsi="Verdana"/>
          <w:sz w:val="20"/>
          <w:szCs w:val="20"/>
        </w:rPr>
      </w:pPr>
      <w:r w:rsidRPr="008E66D8">
        <w:rPr>
          <w:rFonts w:ascii="Verdana" w:hAnsi="Verdana"/>
          <w:sz w:val="20"/>
          <w:szCs w:val="20"/>
        </w:rPr>
        <w:t xml:space="preserve">1. Informar si, el Fondo de Salud antes descrito, se encuentra excluido de la aplicabilidad a la restricción de la modalidad de contratación directa, en periodo de aplicabilidad de Ley de Garantías. </w:t>
      </w:r>
    </w:p>
    <w:p w14:paraId="1A3AA64E" w14:textId="77777777" w:rsidR="00EC5EC3" w:rsidRDefault="00EC5EC3" w:rsidP="00EC5EC3">
      <w:pPr>
        <w:spacing w:after="0" w:line="240" w:lineRule="auto"/>
        <w:ind w:left="709" w:right="709"/>
        <w:jc w:val="both"/>
        <w:rPr>
          <w:rFonts w:ascii="Verdana" w:hAnsi="Verdana"/>
          <w:sz w:val="20"/>
          <w:szCs w:val="20"/>
        </w:rPr>
      </w:pPr>
      <w:r w:rsidRPr="008E66D8">
        <w:rPr>
          <w:rFonts w:ascii="Verdana" w:hAnsi="Verdana"/>
          <w:sz w:val="20"/>
          <w:szCs w:val="20"/>
        </w:rPr>
        <w:t xml:space="preserve">2. Informar cual </w:t>
      </w:r>
      <w:r>
        <w:rPr>
          <w:rFonts w:ascii="Verdana" w:hAnsi="Verdana"/>
          <w:sz w:val="20"/>
          <w:szCs w:val="20"/>
        </w:rPr>
        <w:t xml:space="preserve">(sic) </w:t>
      </w:r>
      <w:r w:rsidRPr="008E66D8">
        <w:rPr>
          <w:rFonts w:ascii="Verdana" w:hAnsi="Verdana"/>
          <w:sz w:val="20"/>
          <w:szCs w:val="20"/>
        </w:rPr>
        <w:t xml:space="preserve">es el alcance de la excepción “(…) Queda exceptuado lo referente a (…) los que deban realizar las entidades sanitarias y hospitalarias.” Descrita en el </w:t>
      </w:r>
      <w:proofErr w:type="spellStart"/>
      <w:r w:rsidRPr="008E66D8">
        <w:rPr>
          <w:rFonts w:ascii="Verdana" w:hAnsi="Verdana"/>
          <w:sz w:val="20"/>
          <w:szCs w:val="20"/>
        </w:rPr>
        <w:t>articulo</w:t>
      </w:r>
      <w:proofErr w:type="spellEnd"/>
      <w:r w:rsidRPr="008E66D8">
        <w:rPr>
          <w:rFonts w:ascii="Verdana" w:hAnsi="Verdana"/>
          <w:sz w:val="20"/>
          <w:szCs w:val="20"/>
        </w:rPr>
        <w:t xml:space="preserve"> </w:t>
      </w:r>
      <w:r>
        <w:rPr>
          <w:rFonts w:ascii="Verdana" w:hAnsi="Verdana"/>
          <w:sz w:val="20"/>
          <w:szCs w:val="20"/>
        </w:rPr>
        <w:t xml:space="preserve">(sic) </w:t>
      </w:r>
      <w:r w:rsidRPr="008E66D8">
        <w:rPr>
          <w:rFonts w:ascii="Verdana" w:hAnsi="Verdana"/>
          <w:sz w:val="20"/>
          <w:szCs w:val="20"/>
        </w:rPr>
        <w:t xml:space="preserve">33 de la Ley 996 de 2005. </w:t>
      </w:r>
    </w:p>
    <w:p w14:paraId="570AD0E8" w14:textId="77777777" w:rsidR="00EC5EC3" w:rsidRDefault="00EC5EC3" w:rsidP="00EC5EC3">
      <w:pPr>
        <w:spacing w:after="0" w:line="240" w:lineRule="auto"/>
        <w:ind w:left="709" w:right="709"/>
        <w:jc w:val="both"/>
        <w:rPr>
          <w:rFonts w:ascii="Verdana" w:hAnsi="Verdana"/>
          <w:sz w:val="20"/>
          <w:szCs w:val="20"/>
        </w:rPr>
      </w:pPr>
      <w:r w:rsidRPr="008E66D8">
        <w:rPr>
          <w:rFonts w:ascii="Verdana" w:hAnsi="Verdana"/>
          <w:sz w:val="20"/>
          <w:szCs w:val="20"/>
        </w:rPr>
        <w:t xml:space="preserve">3. Informar si, en el marco de la excepción y su alcance, es posible que se permita al Fondo de Salud Universitario, ejercer las debidas contrataciones, exclusivamente, en el marco del funcionamiento de dicho ente, resguardando así el Derecho Fundamental a la Salud. </w:t>
      </w:r>
    </w:p>
    <w:p w14:paraId="54FD3490" w14:textId="77777777" w:rsidR="00EC5EC3" w:rsidRPr="00B07F38" w:rsidRDefault="00EC5EC3" w:rsidP="00EC5EC3">
      <w:pPr>
        <w:spacing w:after="0" w:line="240" w:lineRule="auto"/>
        <w:ind w:left="709" w:right="709"/>
        <w:jc w:val="both"/>
        <w:rPr>
          <w:rFonts w:ascii="Verdana" w:hAnsi="Verdana"/>
          <w:sz w:val="20"/>
          <w:szCs w:val="20"/>
        </w:rPr>
      </w:pPr>
      <w:r w:rsidRPr="008E66D8">
        <w:rPr>
          <w:rFonts w:ascii="Verdana" w:hAnsi="Verdana"/>
          <w:sz w:val="20"/>
          <w:szCs w:val="20"/>
        </w:rPr>
        <w:t>4. En caso de que se considere, desde su Agencia, que no se encuentra el Fondo de Salud Universitario dentro de la excepción mencionada, dilucidar cual sería el procedimiento de contratación idóneo para elementos como medicamentos, en el entendido de que al Universidad Estatal ostenta un régimen de contratación exceptuado</w:t>
      </w:r>
      <w:r w:rsidRPr="00B07F38">
        <w:rPr>
          <w:rFonts w:ascii="Verdana" w:hAnsi="Verdana"/>
          <w:sz w:val="20"/>
          <w:szCs w:val="20"/>
        </w:rPr>
        <w:t xml:space="preserve"> (…)”.</w:t>
      </w:r>
    </w:p>
    <w:p w14:paraId="10D661D1" w14:textId="77777777" w:rsidR="00EC5EC3" w:rsidRPr="00647D77" w:rsidRDefault="00EC5EC3" w:rsidP="00EC5EC3">
      <w:pPr>
        <w:spacing w:after="0" w:line="276" w:lineRule="auto"/>
        <w:ind w:left="567" w:right="760"/>
        <w:jc w:val="both"/>
        <w:rPr>
          <w:rFonts w:ascii="Verdana" w:hAnsi="Verdana"/>
        </w:rPr>
      </w:pPr>
    </w:p>
    <w:p w14:paraId="0B7338D0" w14:textId="77777777" w:rsidR="00EC5EC3" w:rsidRPr="00F64722" w:rsidRDefault="00EC5EC3" w:rsidP="00EC5EC3">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lang w:eastAsia="es-ES"/>
        </w:rPr>
        <w:t xml:space="preserve">la Agencia Nacional de Contratación Pública - </w:t>
      </w:r>
      <w:r w:rsidRPr="005644FE">
        <w:rPr>
          <w:rFonts w:ascii="Verdana" w:eastAsia="Calibri" w:hAnsi="Verdana" w:cs="Arial"/>
          <w:color w:val="000000"/>
          <w:lang w:eastAsia="es-ES"/>
        </w:rPr>
        <w:t xml:space="preserve">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3119468F" w14:textId="0055ACD8" w:rsidR="00EC5EC3" w:rsidRDefault="00EC5EC3" w:rsidP="00C55490">
      <w:pPr>
        <w:spacing w:after="120" w:line="276" w:lineRule="auto"/>
        <w:ind w:firstLine="709"/>
        <w:jc w:val="both"/>
        <w:rPr>
          <w:rFonts w:ascii="Verdana" w:eastAsia="Calibri" w:hAnsi="Verdana" w:cs="Arial"/>
          <w:lang w:eastAsia="es-ES"/>
        </w:rPr>
      </w:pPr>
      <w:r w:rsidRPr="00B75E8F">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w:t>
      </w:r>
      <w:r w:rsidRPr="00C52681">
        <w:rPr>
          <w:rFonts w:ascii="Verdana" w:eastAsia="Calibri" w:hAnsi="Verdana" w:cs="Arial"/>
          <w:color w:val="000000"/>
          <w:lang w:eastAsia="es-ES"/>
        </w:rPr>
        <w:t>petición, pero señalando algunas consideraciones sobre las normas generales relacionadas al problema jurídico de su consulta.</w:t>
      </w:r>
      <w:r w:rsidRPr="00C52681">
        <w:rPr>
          <w:rFonts w:ascii="Verdana" w:eastAsia="Calibri" w:hAnsi="Verdana" w:cs="Arial"/>
          <w:lang w:eastAsia="es-ES"/>
        </w:rPr>
        <w:t xml:space="preserve">  </w:t>
      </w:r>
    </w:p>
    <w:p w14:paraId="01481AC0" w14:textId="77777777" w:rsidR="00C55490" w:rsidRPr="00C52681" w:rsidRDefault="00C55490" w:rsidP="00C55490">
      <w:pPr>
        <w:spacing w:after="120" w:line="276" w:lineRule="auto"/>
        <w:ind w:firstLine="709"/>
        <w:jc w:val="both"/>
        <w:rPr>
          <w:rFonts w:ascii="Verdana" w:eastAsia="Calibri" w:hAnsi="Verdana" w:cs="Arial"/>
          <w:lang w:eastAsia="es-ES"/>
        </w:rPr>
      </w:pPr>
    </w:p>
    <w:p w14:paraId="31B49E56" w14:textId="77777777" w:rsidR="00EC5EC3" w:rsidRPr="00C52681" w:rsidRDefault="00EC5EC3" w:rsidP="00EC5EC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C52681">
        <w:rPr>
          <w:rFonts w:ascii="Verdana" w:eastAsia="Century Gothic" w:hAnsi="Verdana" w:cs="Century Gothic"/>
          <w:b/>
          <w:bCs/>
        </w:rPr>
        <w:t>Problema planteado:</w:t>
      </w:r>
    </w:p>
    <w:p w14:paraId="792B2088" w14:textId="77777777" w:rsidR="00EC5EC3" w:rsidRDefault="00EC5EC3" w:rsidP="00EC5EC3">
      <w:pPr>
        <w:spacing w:after="0" w:line="240" w:lineRule="auto"/>
        <w:jc w:val="both"/>
        <w:rPr>
          <w:rFonts w:ascii="Verdana" w:eastAsia="Calibri" w:hAnsi="Verdana" w:cs="Arial"/>
          <w:color w:val="000000"/>
          <w:lang w:eastAsia="es-ES"/>
        </w:rPr>
      </w:pPr>
    </w:p>
    <w:p w14:paraId="068BF2B4" w14:textId="77777777" w:rsidR="00EC5EC3" w:rsidRPr="00F76FC0" w:rsidRDefault="00EC5EC3" w:rsidP="00EC5EC3">
      <w:pPr>
        <w:spacing w:after="120" w:line="276" w:lineRule="auto"/>
        <w:jc w:val="both"/>
        <w:rPr>
          <w:rFonts w:ascii="Verdana" w:hAnsi="Verdana" w:cs="Arial"/>
        </w:rPr>
      </w:pPr>
      <w:r w:rsidRPr="00C52681">
        <w:rPr>
          <w:rFonts w:ascii="Verdana" w:eastAsia="Calibri" w:hAnsi="Verdana" w:cs="Arial"/>
          <w:color w:val="000000"/>
          <w:lang w:eastAsia="es-ES"/>
        </w:rPr>
        <w:t>De acuerdo con el contenido de su solicitud, esta Agencia resolverá el siguiente problema jurídico: ¿</w:t>
      </w:r>
      <w:r w:rsidRPr="00C52681">
        <w:rPr>
          <w:rFonts w:ascii="Verdana" w:hAnsi="Verdana"/>
          <w:lang w:val="es-ES"/>
        </w:rPr>
        <w:t xml:space="preserve">Cuál es alcance </w:t>
      </w:r>
      <w:r>
        <w:rPr>
          <w:rFonts w:ascii="Verdana" w:hAnsi="Verdana"/>
          <w:lang w:val="es-ES"/>
        </w:rPr>
        <w:t xml:space="preserve">de la Ley 996 de 2005 conocida como la Ley de Garantías Electorales y cuál es su incidencia en la contratación por parte de los fondos de salud pública de las universidades oficiales o públicas? </w:t>
      </w:r>
    </w:p>
    <w:p w14:paraId="41EA8914" w14:textId="77777777" w:rsidR="00EC5EC3" w:rsidRPr="00C97CA6" w:rsidRDefault="00EC5EC3" w:rsidP="00EC5EC3">
      <w:pPr>
        <w:spacing w:after="0" w:line="276" w:lineRule="auto"/>
        <w:jc w:val="both"/>
        <w:rPr>
          <w:rFonts w:ascii="Verdana" w:eastAsia="Century Gothic" w:hAnsi="Verdana" w:cs="Century Gothic"/>
        </w:rPr>
      </w:pPr>
      <w:r>
        <w:rPr>
          <w:rFonts w:ascii="Verdana" w:hAnsi="Verdana" w:cs="Arial"/>
        </w:rPr>
        <w:t xml:space="preserve"> </w:t>
      </w:r>
      <w:r w:rsidRPr="00B33011">
        <w:rPr>
          <w:rFonts w:ascii="Verdana" w:eastAsia="Century Gothic" w:hAnsi="Verdana" w:cs="Century Gothic"/>
          <w:b/>
          <w:bCs/>
        </w:rPr>
        <w:t>2. Respuesta:</w:t>
      </w:r>
    </w:p>
    <w:p w14:paraId="5D99AC1D" w14:textId="77777777" w:rsidR="00EC5EC3" w:rsidRPr="005644FE" w:rsidRDefault="00EC5EC3" w:rsidP="00EC5EC3">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C5EC3" w:rsidRPr="005644FE" w14:paraId="5A2B0474" w14:textId="77777777">
        <w:tc>
          <w:tcPr>
            <w:tcW w:w="8828" w:type="dxa"/>
          </w:tcPr>
          <w:p w14:paraId="6B6CCB4B" w14:textId="77777777" w:rsidR="00EC5EC3" w:rsidRDefault="00EC5EC3">
            <w:pPr>
              <w:spacing w:after="120" w:line="276" w:lineRule="auto"/>
              <w:jc w:val="both"/>
              <w:rPr>
                <w:rFonts w:ascii="Verdana" w:eastAsia="Calibri" w:hAnsi="Verdana" w:cs="Arial"/>
                <w:lang w:eastAsia="es-ES"/>
              </w:rPr>
            </w:pPr>
            <w:r w:rsidRPr="006A09E3">
              <w:rPr>
                <w:rFonts w:ascii="Verdana" w:eastAsia="Calibri" w:hAnsi="Verdana" w:cs="Arial"/>
                <w:lang w:eastAsia="es-ES"/>
              </w:rPr>
              <w:t xml:space="preserve">Las restricciones contenidas en el artículo 33 de la Ley 996 de 2005 aplica para “la contratación directa” de todos los entes del Estado, </w:t>
            </w:r>
            <w:r w:rsidRPr="006A09E3">
              <w:rPr>
                <w:rFonts w:ascii="Verdana" w:hAnsi="Verdana" w:cs="Arial"/>
                <w:color w:val="000000" w:themeColor="text1"/>
                <w:lang w:val="es-MX"/>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6A09E3">
              <w:rPr>
                <w:rFonts w:ascii="Verdana" w:eastAsia="Calibri" w:hAnsi="Verdana" w:cs="Arial"/>
                <w:lang w:eastAsia="es-ES"/>
              </w:rPr>
              <w:t xml:space="preserve"> Se trata de la prohibición de </w:t>
            </w:r>
            <w:r w:rsidRPr="006A09E3">
              <w:rPr>
                <w:rFonts w:ascii="Verdana" w:hAnsi="Verdana" w:cs="Arial"/>
                <w:bCs/>
                <w:lang w:eastAsia="x-none"/>
              </w:rPr>
              <w:t>aquellos contratos en los que no exista un proceso abierto y competitivo.</w:t>
            </w:r>
            <w:r w:rsidRPr="006A09E3">
              <w:rPr>
                <w:rFonts w:ascii="Verdana" w:hAnsi="Verdana" w:cs="Arial"/>
                <w:lang w:eastAsia="x-none"/>
              </w:rPr>
              <w:t xml:space="preserve"> Por lo tanto, no son materia de la prohibición las demás modalidades de selección previstas en la Ley 1150 de 2007, esto es, la licitación pública, el concurso de méritos, la selección abreviada y la contratación de mínima cuantía. Adicionalmente, la celebración de la contratación directa </w:t>
            </w:r>
            <w:r w:rsidRPr="006A09E3">
              <w:rPr>
                <w:rFonts w:ascii="Verdana" w:eastAsia="Calibri" w:hAnsi="Verdana" w:cs="Arial"/>
                <w:lang w:eastAsia="es-ES"/>
              </w:rPr>
              <w:t xml:space="preserve">no se encuentra condicionada por la ejecución de recursos en el marco de los respectivos contratos o el origen de estos, de manera que aplica las restricciones independientemente de que el contrato implique o no la ejecución de recursos o si los recursos destinados son de naturaleza pública o privada. </w:t>
            </w:r>
          </w:p>
          <w:p w14:paraId="47BFF8A0" w14:textId="77777777" w:rsidR="00EC5EC3" w:rsidRDefault="00EC5EC3">
            <w:pPr>
              <w:spacing w:after="120" w:line="276" w:lineRule="auto"/>
              <w:ind w:firstLine="709"/>
              <w:jc w:val="both"/>
              <w:rPr>
                <w:rFonts w:ascii="Verdana" w:hAnsi="Verdana" w:cs="Arial"/>
                <w:lang w:val="es-MX"/>
              </w:rPr>
            </w:pPr>
            <w:r>
              <w:rPr>
                <w:rFonts w:ascii="Verdana" w:eastAsia="Calibri" w:hAnsi="Verdana" w:cs="Arial"/>
                <w:lang w:eastAsia="es-ES"/>
              </w:rPr>
              <w:t xml:space="preserve">Respecto de los entes universitarios, </w:t>
            </w:r>
            <w:r w:rsidRPr="00D74F46">
              <w:rPr>
                <w:rFonts w:ascii="Verdana" w:hAnsi="Verdana" w:cs="Arial"/>
                <w:lang w:val="es-MX"/>
              </w:rPr>
              <w:t>se expidió la Ley 30 de 1992, mediante la cual se regularon aspectos como la naturaleza jurídica de las universidades estatales y oficiales, la forma de organizarse y el régimen de contratación aplicable. Así mismo, en el artículo 57 se consignó que e</w:t>
            </w:r>
            <w:r w:rsidRPr="00D74F46">
              <w:rPr>
                <w:rFonts w:ascii="Verdana" w:hAnsi="Verdana" w:cs="Arial"/>
              </w:rPr>
              <w:t>l carácter especial del régimen de las universidades estatales u oficiales comprende, entre otros aspectos, el régimen de contratación</w:t>
            </w:r>
            <w:r>
              <w:rPr>
                <w:rFonts w:ascii="Verdana" w:hAnsi="Verdana" w:cs="Arial"/>
              </w:rPr>
              <w:t xml:space="preserve">. </w:t>
            </w:r>
            <w:r w:rsidRPr="00D74F46">
              <w:rPr>
                <w:rFonts w:ascii="Verdana" w:hAnsi="Verdana" w:cs="Arial"/>
              </w:rPr>
              <w:t xml:space="preserve">En concordancia con esto, el artículo 93 estableció que los contratos que </w:t>
            </w:r>
            <w:r w:rsidRPr="00D74F46">
              <w:rPr>
                <w:rFonts w:ascii="Verdana" w:hAnsi="Verdana" w:cs="Arial"/>
                <w:lang w:val="es-MX"/>
              </w:rPr>
              <w:t>celebren las universidades estatales u oficiales se regirán por las normas del derecho privado</w:t>
            </w:r>
            <w:r>
              <w:rPr>
                <w:rFonts w:ascii="Verdana" w:hAnsi="Verdana" w:cs="Arial"/>
                <w:lang w:val="es-MX"/>
              </w:rPr>
              <w:t>.</w:t>
            </w:r>
          </w:p>
          <w:p w14:paraId="2AB2000C" w14:textId="77777777" w:rsidR="00EC5EC3" w:rsidRDefault="00EC5EC3">
            <w:pPr>
              <w:spacing w:after="120" w:line="276" w:lineRule="auto"/>
              <w:ind w:firstLine="709"/>
              <w:jc w:val="both"/>
              <w:rPr>
                <w:rFonts w:ascii="Verdana" w:hAnsi="Verdana" w:cs="Arial"/>
                <w:color w:val="000000"/>
                <w:lang w:eastAsia="es-CO"/>
              </w:rPr>
            </w:pPr>
            <w:r w:rsidRPr="00D74F46">
              <w:rPr>
                <w:rFonts w:ascii="Verdana" w:eastAsia="Arial" w:hAnsi="Verdana" w:cs="Arial"/>
                <w:lang w:val="es-ES"/>
              </w:rPr>
              <w:t xml:space="preserve">De otro lado, la Ley 489 de 1998, al desarrollar la estructura y organización de la Administración Pública, establece que los entes universitarios hacen parte integral de esta, catalogándolos como entidades públicas de carácter autónomo a las que aplica un régimen especial. </w:t>
            </w:r>
            <w:r w:rsidRPr="00D74F46">
              <w:rPr>
                <w:rFonts w:ascii="Verdana" w:hAnsi="Verdana" w:cs="Arial"/>
                <w:color w:val="000000"/>
                <w:lang w:eastAsia="es-CO"/>
              </w:rPr>
              <w:t xml:space="preserve">De acuerdo </w:t>
            </w:r>
            <w:r>
              <w:rPr>
                <w:rFonts w:ascii="Verdana" w:hAnsi="Verdana" w:cs="Arial"/>
                <w:color w:val="000000"/>
                <w:lang w:eastAsia="es-CO"/>
              </w:rPr>
              <w:t xml:space="preserve">con las </w:t>
            </w:r>
            <w:r w:rsidRPr="00D74F46">
              <w:rPr>
                <w:rFonts w:ascii="Verdana" w:hAnsi="Verdana" w:cs="Arial"/>
                <w:color w:val="000000"/>
                <w:lang w:eastAsia="es-CO"/>
              </w:rPr>
              <w:t xml:space="preserve">restricciones contractuales establecidas por </w:t>
            </w:r>
            <w:r>
              <w:rPr>
                <w:rFonts w:ascii="Verdana" w:hAnsi="Verdana" w:cs="Arial"/>
                <w:color w:val="000000"/>
              </w:rPr>
              <w:t xml:space="preserve">el artículo 33 de </w:t>
            </w:r>
            <w:r w:rsidRPr="00D74F46">
              <w:rPr>
                <w:rFonts w:ascii="Verdana" w:hAnsi="Verdana" w:cs="Arial"/>
                <w:color w:val="000000"/>
                <w:lang w:eastAsia="es-CO"/>
              </w:rPr>
              <w:t xml:space="preserve">la Ley 996 de </w:t>
            </w:r>
            <w:r w:rsidRPr="00D74F46">
              <w:rPr>
                <w:rFonts w:ascii="Verdana" w:hAnsi="Verdana" w:cs="Arial"/>
                <w:color w:val="000000"/>
              </w:rPr>
              <w:t>2005, resulta</w:t>
            </w:r>
            <w:r w:rsidRPr="00D74F46">
              <w:rPr>
                <w:rFonts w:ascii="Verdana" w:hAnsi="Verdana" w:cs="Arial"/>
                <w:color w:val="000000"/>
                <w:lang w:eastAsia="es-CO"/>
              </w:rPr>
              <w:t xml:space="preserve"> palmario que tanto universidades públicas como</w:t>
            </w:r>
            <w:r>
              <w:rPr>
                <w:rFonts w:ascii="Verdana" w:hAnsi="Verdana" w:cs="Arial"/>
                <w:color w:val="000000"/>
              </w:rPr>
              <w:t xml:space="preserve"> los</w:t>
            </w:r>
            <w:r w:rsidRPr="00D74F46">
              <w:rPr>
                <w:rFonts w:ascii="Verdana" w:hAnsi="Verdana" w:cs="Arial"/>
                <w:color w:val="000000"/>
                <w:lang w:eastAsia="es-CO"/>
              </w:rPr>
              <w:t xml:space="preserve"> establecimientos públicos educativos, dada su irrefutable calidad de </w:t>
            </w:r>
            <w:r>
              <w:rPr>
                <w:rFonts w:ascii="Verdana" w:hAnsi="Verdana" w:cs="Arial"/>
                <w:color w:val="000000"/>
              </w:rPr>
              <w:t>“</w:t>
            </w:r>
            <w:r w:rsidRPr="00D74F46">
              <w:rPr>
                <w:rFonts w:ascii="Verdana" w:hAnsi="Verdana" w:cs="Arial"/>
                <w:color w:val="000000"/>
                <w:lang w:eastAsia="es-CO"/>
              </w:rPr>
              <w:t>entes del Estado</w:t>
            </w:r>
            <w:r>
              <w:rPr>
                <w:rFonts w:ascii="Verdana" w:hAnsi="Verdana" w:cs="Arial"/>
                <w:color w:val="000000"/>
              </w:rPr>
              <w:t>”</w:t>
            </w:r>
            <w:r w:rsidRPr="00D74F46">
              <w:rPr>
                <w:rFonts w:ascii="Verdana" w:hAnsi="Verdana" w:cs="Arial"/>
                <w:color w:val="000000"/>
                <w:lang w:eastAsia="es-CO"/>
              </w:rPr>
              <w:t>, se encuentran dentro del ámbito material de la restricción del artículo 33.</w:t>
            </w:r>
          </w:p>
          <w:p w14:paraId="09B891BF" w14:textId="77777777" w:rsidR="00EC5EC3" w:rsidRDefault="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 xml:space="preserve">Ahora bien, de conformidad con lo previsto en el parágrafo 2 del artículo 57 de la Ley 30 de 1992, modificado por el artículo 2 de la Ley 647 de 2001, permite que las universidades públicas u oficiales creen los fondos de salud o de seguridad social. </w:t>
            </w:r>
          </w:p>
          <w:p w14:paraId="08BC0782" w14:textId="77777777" w:rsidR="00EC5EC3" w:rsidRDefault="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 xml:space="preserve">Dicho fondo, según lo dispuesto en el parágrafo 2 indica en términos generales que la organización, dirección y funcionamiento estará a cargo de la Universidad como dependencia especializada, lo cual implica que esta figura no cuenta con capacidad jurídica para contratar y por ende es, a través de la Universidad, la llamada a celebrar los contratos requeridos para la prestación del servicio de salud dirigido al personal académico, los servidores administrativos, docentes, pensionados o jubilados.   </w:t>
            </w:r>
          </w:p>
          <w:p w14:paraId="3078C5C4" w14:textId="77777777" w:rsidR="00EC5EC3" w:rsidRDefault="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 xml:space="preserve">Respecto del segundo supuesto de excepción contenido en el artículo 33 de la Ley 996 de 2005, esto es cubrir las emergencias sanitarias, la entidad estatal, en este caso, la Universidad de Nariño quien tiene a su cargo la dirección y administración del fondo de salud de la universidad, deberá definir si la contratación requerida se enmarca en la excepción correspondiente a una emergencia sanitaria, dado que en tal como lo dispone el artículo 33 queda prohibida la contratación directa de cualquier ente del estado. </w:t>
            </w:r>
          </w:p>
          <w:p w14:paraId="2447CB3E" w14:textId="77777777" w:rsidR="00EC5EC3" w:rsidRDefault="00EC5EC3">
            <w:pPr>
              <w:spacing w:after="120" w:line="276" w:lineRule="auto"/>
              <w:ind w:firstLine="709"/>
              <w:jc w:val="both"/>
              <w:rPr>
                <w:rFonts w:ascii="Verdana" w:hAnsi="Verdana" w:cs="Arial"/>
                <w:bCs/>
              </w:rPr>
            </w:pPr>
            <w:r w:rsidRPr="00621BBB">
              <w:rPr>
                <w:rFonts w:ascii="Verdana" w:hAnsi="Verdana" w:cs="Arial"/>
                <w:bCs/>
              </w:rPr>
              <w:t>En tal sentido, cuando una entidad de régimen especial, como es el caso de los entes universitarios, requiera adelantar un proceso de contratación durante el período de restricción temporal de la contratación directa establecido en el artículo 33 de la Ley 996 de 2005, deberá aplicar lo que se haya establecido en su manual de contratación, situación que debe revisar cada entidad estatal, en cada caso concreto.</w:t>
            </w:r>
          </w:p>
          <w:p w14:paraId="714CD799" w14:textId="77777777" w:rsidR="00EC5EC3" w:rsidRPr="001205AF" w:rsidRDefault="00EC5EC3">
            <w:pPr>
              <w:pStyle w:val="paragraph"/>
              <w:shd w:val="clear" w:color="auto" w:fill="FFFFFF"/>
              <w:spacing w:before="0" w:beforeAutospacing="0" w:after="120" w:afterAutospacing="0" w:line="276" w:lineRule="auto"/>
              <w:ind w:firstLine="708"/>
              <w:jc w:val="both"/>
              <w:textAlignment w:val="baseline"/>
              <w:rPr>
                <w:rFonts w:ascii="Verdana" w:hAnsi="Verdana" w:cs="Arial"/>
                <w:color w:val="000000" w:themeColor="text1"/>
                <w:sz w:val="22"/>
                <w:szCs w:val="22"/>
              </w:rPr>
            </w:pPr>
            <w:r w:rsidRPr="001205AF">
              <w:rPr>
                <w:rFonts w:ascii="Verdana" w:hAnsi="Verdana" w:cs="Arial"/>
                <w:color w:val="000000"/>
                <w:sz w:val="22"/>
                <w:szCs w:val="22"/>
              </w:rPr>
              <w:t xml:space="preserve">En cuanto a la quinta excepción, </w:t>
            </w:r>
            <w:r w:rsidRPr="001205AF">
              <w:rPr>
                <w:rFonts w:ascii="Verdana" w:hAnsi="Verdana" w:cs="Arial"/>
                <w:bCs/>
                <w:color w:val="000000" w:themeColor="text1"/>
                <w:sz w:val="22"/>
                <w:szCs w:val="22"/>
              </w:rPr>
              <w:t>relacionada con la contratación por parte de entidades sanitarias y hospitalarias</w:t>
            </w:r>
            <w:r>
              <w:rPr>
                <w:rFonts w:ascii="Verdana" w:hAnsi="Verdana" w:cs="Arial"/>
                <w:bCs/>
                <w:color w:val="000000" w:themeColor="text1"/>
                <w:sz w:val="22"/>
                <w:szCs w:val="22"/>
              </w:rPr>
              <w:t>,</w:t>
            </w:r>
            <w:r w:rsidRPr="001205AF">
              <w:rPr>
                <w:rFonts w:ascii="Verdana" w:hAnsi="Verdana" w:cs="Arial"/>
                <w:color w:val="000000" w:themeColor="text1"/>
                <w:sz w:val="22"/>
                <w:szCs w:val="22"/>
              </w:rPr>
              <w:t xml:space="preserve"> </w:t>
            </w:r>
            <w:r w:rsidRPr="001205AF">
              <w:rPr>
                <w:rFonts w:ascii="Verdana" w:eastAsia="Arial" w:hAnsi="Verdana" w:cs="Arial"/>
                <w:bCs/>
                <w:color w:val="000000" w:themeColor="text1"/>
                <w:sz w:val="22"/>
                <w:szCs w:val="22"/>
              </w:rPr>
              <w:t xml:space="preserve">el artículo 2.8.8.1.1.3 del Decreto 780 de 2016, “Por medio del cual se expide el Decreto Único Reglamentario del Sector Salud y Protección Social”, definió a las </w:t>
            </w:r>
            <w:r w:rsidRPr="001205AF">
              <w:rPr>
                <w:rFonts w:ascii="Verdana" w:eastAsia="Arial" w:hAnsi="Verdana" w:cs="Arial"/>
                <w:bCs/>
                <w:i/>
                <w:iCs/>
                <w:color w:val="000000" w:themeColor="text1"/>
                <w:sz w:val="22"/>
                <w:szCs w:val="22"/>
              </w:rPr>
              <w:t>entidades sanitarias</w:t>
            </w:r>
            <w:r w:rsidRPr="001205AF">
              <w:rPr>
                <w:rFonts w:ascii="Verdana" w:eastAsia="Arial" w:hAnsi="Verdana" w:cs="Arial"/>
                <w:bCs/>
                <w:color w:val="000000" w:themeColor="text1"/>
                <w:sz w:val="22"/>
                <w:szCs w:val="22"/>
              </w:rPr>
              <w:t xml:space="preserve"> como las “Entidades del Estado que prestan servicios sanitarios o de sanidad con el propósito de preservar la salud humana y la salud pública”. El artículo citado también define las </w:t>
            </w:r>
            <w:r w:rsidRPr="001205AF">
              <w:rPr>
                <w:rFonts w:ascii="Verdana" w:eastAsia="Arial" w:hAnsi="Verdana" w:cs="Arial"/>
                <w:bCs/>
                <w:i/>
                <w:iCs/>
                <w:color w:val="000000" w:themeColor="text1"/>
                <w:sz w:val="22"/>
                <w:szCs w:val="22"/>
              </w:rPr>
              <w:t>autoridades sanitarias</w:t>
            </w:r>
            <w:r w:rsidRPr="001205AF">
              <w:rPr>
                <w:rFonts w:ascii="Verdana" w:eastAsia="Arial" w:hAnsi="Verdana" w:cs="Arial"/>
                <w:bCs/>
                <w:color w:val="000000" w:themeColor="text1"/>
                <w:sz w:val="22"/>
                <w:szCs w:val="22"/>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 De esta forma, para efectos de la aplicación de la excepción, se debe verificar que se cumplan los requisitos del artículo 33 de la Ley 996 de 2005. </w:t>
            </w:r>
          </w:p>
          <w:p w14:paraId="2BF7ECC3" w14:textId="77777777" w:rsidR="00EC5EC3" w:rsidRPr="00017D8E" w:rsidRDefault="00EC5EC3">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 </w:t>
            </w:r>
          </w:p>
          <w:p w14:paraId="6142C922" w14:textId="77777777" w:rsidR="00EC5EC3" w:rsidRPr="00BF0071" w:rsidRDefault="00EC5EC3">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w:t>
            </w:r>
            <w:r>
              <w:rPr>
                <w:rFonts w:ascii="Verdana" w:eastAsia="Calibri" w:hAnsi="Verdana" w:cs="Arial"/>
              </w:rPr>
              <w:t xml:space="preserve">definir </w:t>
            </w:r>
            <w:r w:rsidRPr="00FF007A">
              <w:rPr>
                <w:rFonts w:ascii="Verdana" w:eastAsia="Calibri" w:hAnsi="Verdana" w:cs="Arial"/>
              </w:rPr>
              <w:t>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r>
              <w:rPr>
                <w:rFonts w:ascii="Verdana" w:hAnsi="Verdana" w:cs="Arial"/>
                <w:lang w:eastAsia="es-CO"/>
              </w:rPr>
              <w:t>.</w:t>
            </w:r>
          </w:p>
        </w:tc>
      </w:tr>
    </w:tbl>
    <w:p w14:paraId="3F56AD95" w14:textId="77777777" w:rsidR="00EC5EC3" w:rsidRDefault="00EC5EC3" w:rsidP="00EC5EC3">
      <w:pPr>
        <w:tabs>
          <w:tab w:val="left" w:pos="142"/>
          <w:tab w:val="left" w:pos="284"/>
        </w:tabs>
        <w:spacing w:after="0" w:line="276" w:lineRule="auto"/>
        <w:jc w:val="both"/>
        <w:rPr>
          <w:rFonts w:ascii="Verdana" w:eastAsia="Century Gothic" w:hAnsi="Verdana" w:cs="Century Gothic"/>
          <w:b/>
          <w:bCs/>
        </w:rPr>
      </w:pPr>
    </w:p>
    <w:p w14:paraId="7B4E05FE" w14:textId="77777777" w:rsidR="00EC5EC3" w:rsidRPr="005644FE" w:rsidRDefault="00EC5EC3" w:rsidP="00EC5EC3">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7B48CB72" w14:textId="77777777" w:rsidR="00EC5EC3" w:rsidRPr="005644FE" w:rsidRDefault="00EC5EC3" w:rsidP="00EC5EC3">
      <w:pPr>
        <w:pStyle w:val="Prrafodelista"/>
        <w:tabs>
          <w:tab w:val="left" w:pos="142"/>
          <w:tab w:val="left" w:pos="284"/>
        </w:tabs>
        <w:spacing w:after="0" w:line="240" w:lineRule="auto"/>
        <w:ind w:left="0"/>
        <w:contextualSpacing w:val="0"/>
        <w:jc w:val="both"/>
        <w:rPr>
          <w:rFonts w:ascii="Verdana" w:eastAsia="Calibri" w:hAnsi="Verdana" w:cs="Arial"/>
        </w:rPr>
      </w:pPr>
    </w:p>
    <w:p w14:paraId="32B1BD17" w14:textId="77777777" w:rsidR="00EC5EC3" w:rsidRDefault="00EC5EC3" w:rsidP="00EC5EC3">
      <w:pPr>
        <w:tabs>
          <w:tab w:val="left" w:pos="142"/>
          <w:tab w:val="left" w:pos="284"/>
          <w:tab w:val="left" w:pos="6975"/>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p>
    <w:p w14:paraId="67AFEBC0" w14:textId="77777777" w:rsidR="00EC5EC3" w:rsidRDefault="00EC5EC3" w:rsidP="00EC5EC3">
      <w:pPr>
        <w:tabs>
          <w:tab w:val="left" w:pos="142"/>
          <w:tab w:val="left" w:pos="284"/>
          <w:tab w:val="left" w:pos="6975"/>
        </w:tabs>
        <w:spacing w:after="0" w:line="276" w:lineRule="auto"/>
        <w:jc w:val="both"/>
        <w:rPr>
          <w:rFonts w:ascii="Verdana" w:eastAsia="Calibri" w:hAnsi="Verdana" w:cs="Arial"/>
        </w:rPr>
      </w:pPr>
    </w:p>
    <w:p w14:paraId="62F42121" w14:textId="77777777" w:rsidR="00EC5EC3" w:rsidRPr="009D221F" w:rsidRDefault="00EC5EC3" w:rsidP="00EC5EC3">
      <w:pPr>
        <w:tabs>
          <w:tab w:val="left" w:pos="142"/>
          <w:tab w:val="left" w:pos="284"/>
          <w:tab w:val="left" w:pos="6912"/>
        </w:tabs>
        <w:spacing w:after="120" w:line="276" w:lineRule="auto"/>
        <w:jc w:val="both"/>
        <w:rPr>
          <w:rFonts w:ascii="Verdana" w:eastAsia="Times New Roman" w:hAnsi="Verdana" w:cs="Arial"/>
          <w:bCs/>
          <w:lang w:eastAsia="es-CO"/>
        </w:rPr>
      </w:pPr>
      <w:r>
        <w:rPr>
          <w:rFonts w:ascii="Verdana" w:eastAsia="Times New Roman" w:hAnsi="Verdana" w:cs="Arial"/>
          <w:bCs/>
          <w:lang w:eastAsia="es-CO"/>
        </w:rPr>
        <w:t xml:space="preserve">i) </w:t>
      </w:r>
      <w:r w:rsidRPr="002D6B92">
        <w:rPr>
          <w:rFonts w:ascii="Verdana" w:eastAsia="Times New Roman" w:hAnsi="Verdana" w:cs="Arial"/>
          <w:bCs/>
          <w:lang w:eastAsia="es-CO"/>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4AA7DCE8" w14:textId="77777777" w:rsidR="00EC5EC3" w:rsidRDefault="00EC5EC3" w:rsidP="00EC5EC3">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xml:space="preserve">, se suma al andamiaje de orden constitucional y legal que se ha ocupado de evitar la injerencia inadecuada de intereses particulares en el ejercicio de la función pública. Esta </w:t>
      </w:r>
      <w:r>
        <w:rPr>
          <w:rFonts w:ascii="Verdana" w:eastAsia="Times New Roman" w:hAnsi="Verdana" w:cs="Arial"/>
          <w:bCs/>
          <w:lang w:eastAsia="es-CO"/>
        </w:rPr>
        <w:t>L</w:t>
      </w:r>
      <w:r w:rsidRPr="00F10E52">
        <w:rPr>
          <w:rFonts w:ascii="Verdana" w:eastAsia="Times New Roman" w:hAnsi="Verdana" w:cs="Arial"/>
          <w:bCs/>
          <w:lang w:eastAsia="es-CO"/>
        </w:rPr>
        <w:t>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24D29C08" w14:textId="77777777" w:rsidR="00EC5EC3" w:rsidRPr="00F10E52" w:rsidRDefault="00EC5EC3" w:rsidP="00EC5EC3">
      <w:pPr>
        <w:tabs>
          <w:tab w:val="left" w:pos="426"/>
        </w:tabs>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3EB89A06" w14:textId="77777777" w:rsidR="00EC5EC3" w:rsidRPr="007777F3" w:rsidRDefault="00EC5EC3" w:rsidP="00EC5EC3">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AF9BE15" w14:textId="77777777" w:rsidR="00EC5EC3" w:rsidRPr="009E6EDF" w:rsidRDefault="00EC5EC3" w:rsidP="00EC5EC3">
      <w:pPr>
        <w:spacing w:after="0" w:line="240" w:lineRule="auto"/>
        <w:ind w:left="709" w:right="709"/>
        <w:jc w:val="both"/>
        <w:rPr>
          <w:rFonts w:ascii="Verdana" w:eastAsia="Times New Roman" w:hAnsi="Verdana" w:cs="Arial"/>
          <w:bCs/>
          <w:sz w:val="20"/>
          <w:szCs w:val="20"/>
          <w:lang w:eastAsia="es-CO"/>
        </w:rPr>
      </w:pPr>
    </w:p>
    <w:p w14:paraId="69FE06AA" w14:textId="77777777" w:rsidR="00EC5EC3" w:rsidRPr="00E80F85" w:rsidRDefault="00EC5EC3" w:rsidP="00EC5EC3">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bookmarkStart w:id="2" w:name="_Hlk78818186"/>
    </w:p>
    <w:p w14:paraId="51529C32" w14:textId="77777777" w:rsidR="00EC5EC3" w:rsidRDefault="00EC5EC3" w:rsidP="00EC5EC3">
      <w:pPr>
        <w:spacing w:after="0" w:line="240" w:lineRule="auto"/>
        <w:ind w:firstLine="709"/>
        <w:jc w:val="both"/>
        <w:rPr>
          <w:rFonts w:ascii="Verdana" w:eastAsia="Times New Roman" w:hAnsi="Verdana" w:cs="Arial"/>
          <w:bCs/>
          <w:lang w:eastAsia="es-CO"/>
        </w:rPr>
      </w:pPr>
    </w:p>
    <w:p w14:paraId="693F0E57" w14:textId="77777777" w:rsidR="00EC5EC3" w:rsidRDefault="00EC5EC3" w:rsidP="00EC5EC3">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 xml:space="preserve">Por ello, varias de las disposiciones de la Ley 996 de 2005, al contener normas prohibitivas, no admiten una interpretación amplia, sino que deben interpretarse restrictivamente. </w:t>
      </w:r>
    </w:p>
    <w:p w14:paraId="71F78391" w14:textId="557772C7" w:rsidR="00EC5EC3" w:rsidRPr="002D6B92" w:rsidRDefault="00EC5EC3" w:rsidP="00EC5EC3">
      <w:pPr>
        <w:spacing w:after="12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efecto, la Sala de Consulta y Servicio Civil del Consejo de Estado al analizar la referida ley, precisó lo siguiente:</w:t>
      </w:r>
    </w:p>
    <w:p w14:paraId="3F7F539A" w14:textId="77777777" w:rsidR="00EC5EC3" w:rsidRPr="009B20C5" w:rsidRDefault="00EC5EC3" w:rsidP="00EC5EC3">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9B20C5">
        <w:rPr>
          <w:rFonts w:ascii="Verdana" w:eastAsia="Times New Roman" w:hAnsi="Verdana" w:cs="Arial"/>
          <w:bCs/>
          <w:sz w:val="20"/>
          <w:szCs w:val="20"/>
          <w:lang w:eastAsia="es-CO"/>
        </w:rPr>
        <w:t>legis</w:t>
      </w:r>
      <w:proofErr w:type="spellEnd"/>
      <w:r w:rsidRPr="009B20C5">
        <w:rPr>
          <w:rFonts w:ascii="Verdana" w:eastAsia="Times New Roman" w:hAnsi="Verdana" w:cs="Arial"/>
          <w:bCs/>
          <w:sz w:val="20"/>
          <w:szCs w:val="20"/>
          <w:lang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12B71397" w14:textId="77777777" w:rsidR="00EC5EC3" w:rsidRDefault="00EC5EC3" w:rsidP="00EC5EC3">
      <w:pPr>
        <w:spacing w:after="0" w:line="240" w:lineRule="auto"/>
        <w:ind w:left="709" w:right="709"/>
        <w:jc w:val="both"/>
        <w:rPr>
          <w:rFonts w:ascii="Verdana" w:eastAsia="Times New Roman" w:hAnsi="Verdana" w:cs="Arial"/>
          <w:bCs/>
          <w:sz w:val="20"/>
          <w:szCs w:val="20"/>
          <w:lang w:eastAsia="es-CO"/>
        </w:rPr>
      </w:pPr>
    </w:p>
    <w:p w14:paraId="147736C3" w14:textId="77777777" w:rsidR="00EC5EC3" w:rsidRPr="009B20C5" w:rsidRDefault="00EC5EC3" w:rsidP="00EC5EC3">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3C7CA571" w14:textId="77777777" w:rsidR="00EC5EC3" w:rsidRDefault="00EC5EC3" w:rsidP="00EC5EC3">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14E3A849" w14:textId="77777777" w:rsidR="00EC5EC3" w:rsidRDefault="00EC5EC3" w:rsidP="00EC5EC3">
      <w:pPr>
        <w:spacing w:after="120" w:line="276" w:lineRule="auto"/>
        <w:ind w:firstLine="709"/>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CBBAFE3" w14:textId="77777777" w:rsidR="00EC5EC3" w:rsidRPr="00F10E52" w:rsidRDefault="00EC5EC3" w:rsidP="00EC5EC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4757A095" w14:textId="77777777" w:rsidR="00EC5EC3" w:rsidRPr="00F10E52" w:rsidRDefault="00EC5EC3" w:rsidP="00EC5EC3">
      <w:pPr>
        <w:spacing w:after="120" w:line="276" w:lineRule="auto"/>
        <w:ind w:firstLine="709"/>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07B85D8F" w14:textId="77777777" w:rsidR="00EC5EC3" w:rsidRDefault="00EC5EC3" w:rsidP="00EC5EC3">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46E9D9DE" w14:textId="77777777" w:rsidR="00EC5EC3" w:rsidRPr="006A51F6" w:rsidRDefault="00EC5EC3" w:rsidP="00EC5EC3">
      <w:pPr>
        <w:widowControl w:val="0"/>
        <w:autoSpaceDE w:val="0"/>
        <w:autoSpaceDN w:val="0"/>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457E5DA" w14:textId="77777777" w:rsidR="00EC5EC3" w:rsidRDefault="00EC5EC3" w:rsidP="00EC5EC3">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r w:rsidRPr="009B20C5">
        <w:rPr>
          <w:rFonts w:ascii="Verdana" w:eastAsia="Arial" w:hAnsi="Verdana" w:cs="Arial"/>
          <w:bCs/>
          <w:sz w:val="20"/>
          <w:szCs w:val="20"/>
          <w:lang w:val="es-ES" w:eastAsia="es-ES" w:bidi="es-ES"/>
        </w:rPr>
        <w:t xml:space="preserve">En cambio, para elecciones en general, excluyendo las correspondientes a </w:t>
      </w:r>
      <w:proofErr w:type="gramStart"/>
      <w:r w:rsidRPr="009B20C5">
        <w:rPr>
          <w:rFonts w:ascii="Verdana" w:eastAsia="Arial" w:hAnsi="Verdana" w:cs="Arial"/>
          <w:bCs/>
          <w:sz w:val="20"/>
          <w:szCs w:val="20"/>
          <w:lang w:val="es-ES" w:eastAsia="es-ES" w:bidi="es-ES"/>
        </w:rPr>
        <w:t>Presidente</w:t>
      </w:r>
      <w:proofErr w:type="gramEnd"/>
      <w:r w:rsidRPr="009B20C5">
        <w:rPr>
          <w:rFonts w:ascii="Verdana" w:eastAsia="Arial" w:hAnsi="Verdana" w:cs="Arial"/>
          <w:bCs/>
          <w:sz w:val="20"/>
          <w:szCs w:val="20"/>
          <w:lang w:val="es-ES" w:eastAsia="es-ES" w:bidi="es-ES"/>
        </w:rPr>
        <w:t xml:space="preserv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0B19AB9F" w14:textId="77777777" w:rsidR="00EC5EC3" w:rsidRPr="00647D77" w:rsidRDefault="00EC5EC3" w:rsidP="00EC5EC3">
      <w:pPr>
        <w:widowControl w:val="0"/>
        <w:autoSpaceDE w:val="0"/>
        <w:autoSpaceDN w:val="0"/>
        <w:spacing w:after="0" w:line="240" w:lineRule="auto"/>
        <w:ind w:left="709" w:right="709"/>
        <w:jc w:val="both"/>
        <w:rPr>
          <w:rFonts w:ascii="Verdana" w:eastAsia="Arial" w:hAnsi="Verdana" w:cs="Arial"/>
          <w:lang w:val="es-ES" w:eastAsia="es-ES" w:bidi="es-ES"/>
        </w:rPr>
      </w:pPr>
    </w:p>
    <w:p w14:paraId="72D9BAEA" w14:textId="77777777" w:rsidR="00EC5EC3" w:rsidRPr="00F10E52" w:rsidRDefault="00EC5EC3" w:rsidP="00EC5EC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25E4A024" w14:textId="77777777" w:rsidR="00EC5EC3" w:rsidRPr="00F10E52" w:rsidRDefault="00EC5EC3" w:rsidP="00EC5EC3">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4EE045BE" w14:textId="77777777" w:rsidR="00EC5EC3" w:rsidRDefault="00EC5EC3" w:rsidP="00EC5EC3">
      <w:pPr>
        <w:spacing w:after="120" w:line="276" w:lineRule="auto"/>
        <w:ind w:firstLine="709"/>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F10E52">
        <w:rPr>
          <w:rFonts w:ascii="Verdana" w:eastAsia="Arial" w:hAnsi="Verdana" w:cs="Arial"/>
          <w:lang w:val="es-ES" w:eastAsia="es-ES" w:bidi="es-ES"/>
        </w:rPr>
        <w:t>Presidente</w:t>
      </w:r>
      <w:proofErr w:type="gramEnd"/>
      <w:r w:rsidRPr="00F10E52">
        <w:rPr>
          <w:rFonts w:ascii="Verdana" w:eastAsia="Arial" w:hAnsi="Verdana" w:cs="Arial"/>
          <w:lang w:val="es-ES" w:eastAsia="es-ES" w:bidi="es-ES"/>
        </w:rPr>
        <w:t xml:space="preserve"> o el </w:t>
      </w:r>
      <w:proofErr w:type="gramStart"/>
      <w:r w:rsidRPr="00F10E52">
        <w:rPr>
          <w:rFonts w:ascii="Verdana" w:eastAsia="Arial" w:hAnsi="Verdana" w:cs="Arial"/>
          <w:lang w:val="es-ES" w:eastAsia="es-ES" w:bidi="es-ES"/>
        </w:rPr>
        <w:t>Vicepresidente</w:t>
      </w:r>
      <w:proofErr w:type="gramEnd"/>
      <w:r w:rsidRPr="00F10E52">
        <w:rPr>
          <w:rFonts w:ascii="Verdana" w:eastAsia="Arial" w:hAnsi="Verdana" w:cs="Arial"/>
          <w:lang w:val="es-ES" w:eastAsia="es-ES" w:bidi="es-ES"/>
        </w:rPr>
        <w:t xml:space="preserve"> desde que éstos –estando en ejercicio de su cargo– manifiesten el interés de ser candidato presidencial, lo cual debe ocurrir seis </w:t>
      </w:r>
      <w:r>
        <w:rPr>
          <w:rFonts w:ascii="Verdana" w:eastAsia="Arial" w:hAnsi="Verdana" w:cs="Arial"/>
          <w:lang w:val="es-ES" w:eastAsia="es-ES" w:bidi="es-ES"/>
        </w:rPr>
        <w:t xml:space="preserve">(6) </w:t>
      </w:r>
      <w:r w:rsidRPr="00F10E52">
        <w:rPr>
          <w:rFonts w:ascii="Verdana" w:eastAsia="Arial" w:hAnsi="Verdana" w:cs="Arial"/>
          <w:lang w:val="es-ES" w:eastAsia="es-ES" w:bidi="es-ES"/>
        </w:rPr>
        <w:t xml:space="preserve">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CE05A80" w14:textId="77777777" w:rsidR="00EC5EC3" w:rsidRDefault="00EC5EC3" w:rsidP="00EC5EC3">
      <w:pPr>
        <w:spacing w:after="120" w:line="276" w:lineRule="auto"/>
        <w:ind w:firstLine="709"/>
        <w:jc w:val="both"/>
        <w:rPr>
          <w:rFonts w:ascii="Verdana" w:eastAsia="Times New Roman" w:hAnsi="Verdana" w:cs="Arial"/>
          <w:lang w:val="es-ES" w:eastAsia="es-CO"/>
        </w:rPr>
      </w:pPr>
      <w:r w:rsidRPr="00647D77">
        <w:rPr>
          <w:rFonts w:ascii="Verdana" w:eastAsia="Times New Roman" w:hAnsi="Verdana" w:cs="Arial"/>
          <w:lang w:val="es-ES" w:eastAsia="es-CO"/>
        </w:rPr>
        <w:t xml:space="preserve">Teniendo en cuenta lo anterior, a continuación, se hará un análisis sobre la aplicación de la prohibición contenida en el artículo 33 </w:t>
      </w:r>
      <w:r w:rsidRPr="00647D77">
        <w:rPr>
          <w:rFonts w:ascii="Verdana" w:eastAsia="Times New Roman" w:hAnsi="Verdana" w:cs="Arial"/>
          <w:bCs/>
          <w:lang w:val="es-ES" w:eastAsia="es-CO"/>
        </w:rPr>
        <w:t>de la Ley de Garantías Electorales</w:t>
      </w:r>
      <w:r w:rsidRPr="00647D77">
        <w:rPr>
          <w:rFonts w:ascii="Verdana" w:eastAsia="Times New Roman" w:hAnsi="Verdana" w:cs="Arial"/>
          <w:lang w:val="es-ES" w:eastAsia="es-CO"/>
        </w:rPr>
        <w:t>, relacionada con su ámbito de aplicación</w:t>
      </w:r>
      <w:r w:rsidRPr="00647D77">
        <w:rPr>
          <w:rFonts w:ascii="Verdana" w:eastAsia="Times New Roman" w:hAnsi="Verdana" w:cs="Arial"/>
          <w:bCs/>
          <w:lang w:val="es-ES" w:eastAsia="es-CO"/>
        </w:rPr>
        <w:t xml:space="preserve">, </w:t>
      </w:r>
      <w:r w:rsidRPr="00647D77">
        <w:rPr>
          <w:rFonts w:ascii="Verdana" w:eastAsia="Times New Roman" w:hAnsi="Verdana" w:cs="Arial"/>
          <w:lang w:val="es-ES" w:eastAsia="es-CO"/>
        </w:rPr>
        <w:t>sus destinatarios</w:t>
      </w:r>
      <w:r w:rsidRPr="00647D77">
        <w:rPr>
          <w:rFonts w:ascii="Verdana" w:eastAsia="Times New Roman" w:hAnsi="Verdana" w:cs="Arial"/>
          <w:bCs/>
          <w:lang w:val="es-ES" w:eastAsia="es-CO"/>
        </w:rPr>
        <w:t xml:space="preserve"> y sus excepciones</w:t>
      </w:r>
      <w:r w:rsidRPr="00647D77">
        <w:rPr>
          <w:rFonts w:ascii="Verdana" w:eastAsia="Times New Roman" w:hAnsi="Verdana" w:cs="Arial"/>
          <w:lang w:val="es-ES" w:eastAsia="es-CO"/>
        </w:rPr>
        <w:t>.</w:t>
      </w:r>
      <w:r>
        <w:rPr>
          <w:rFonts w:ascii="Verdana" w:eastAsia="Times New Roman" w:hAnsi="Verdana" w:cs="Arial"/>
          <w:bCs/>
          <w:lang w:val="es-ES" w:eastAsia="es-CO"/>
        </w:rPr>
        <w:t xml:space="preserve"> </w:t>
      </w:r>
    </w:p>
    <w:p w14:paraId="15FC9720" w14:textId="77777777" w:rsidR="00EC5EC3" w:rsidRPr="00C16480" w:rsidRDefault="00EC5EC3" w:rsidP="00EC5EC3">
      <w:pPr>
        <w:spacing w:after="120" w:line="276" w:lineRule="auto"/>
        <w:ind w:firstLine="709"/>
        <w:jc w:val="both"/>
        <w:rPr>
          <w:rFonts w:ascii="Verdana" w:eastAsia="Times New Roman" w:hAnsi="Verdana" w:cs="Arial"/>
          <w:lang w:val="es-ES" w:eastAsia="es-CO"/>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w:t>
      </w:r>
      <w:r>
        <w:rPr>
          <w:rFonts w:ascii="Verdana" w:hAnsi="Verdana" w:cs="Arial"/>
          <w:bCs/>
          <w:lang w:eastAsia="x-none"/>
        </w:rPr>
        <w:t>L</w:t>
      </w:r>
      <w:r w:rsidRPr="00195E24">
        <w:rPr>
          <w:rFonts w:ascii="Verdana" w:hAnsi="Verdana" w:cs="Arial"/>
          <w:bCs/>
          <w:lang w:eastAsia="x-none"/>
        </w:rPr>
        <w:t xml:space="preserve">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163E6A10" w14:textId="77777777" w:rsidR="00EC5EC3" w:rsidRPr="005800D0" w:rsidRDefault="00EC5EC3" w:rsidP="00EC5EC3">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7377AD91" w14:textId="77777777" w:rsidR="00EC5EC3" w:rsidRDefault="00EC5EC3" w:rsidP="00EC5EC3">
      <w:pPr>
        <w:spacing w:after="0" w:line="240" w:lineRule="auto"/>
        <w:ind w:left="709" w:right="709"/>
        <w:jc w:val="both"/>
        <w:rPr>
          <w:rFonts w:ascii="Verdana" w:hAnsi="Verdana" w:cs="Arial"/>
          <w:sz w:val="20"/>
          <w:szCs w:val="20"/>
        </w:rPr>
      </w:pPr>
    </w:p>
    <w:p w14:paraId="514A9800" w14:textId="77777777" w:rsidR="00EC5EC3" w:rsidRPr="005703BF" w:rsidRDefault="00EC5EC3" w:rsidP="00EC5EC3">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w:t>
      </w:r>
      <w:proofErr w:type="gramStart"/>
      <w:r w:rsidRPr="005800D0">
        <w:rPr>
          <w:rFonts w:ascii="Verdana" w:hAnsi="Verdana" w:cs="Arial"/>
          <w:sz w:val="20"/>
          <w:szCs w:val="20"/>
        </w:rPr>
        <w:t>que</w:t>
      </w:r>
      <w:proofErr w:type="gramEnd"/>
      <w:r w:rsidRPr="005800D0">
        <w:rPr>
          <w:rFonts w:ascii="Verdana" w:hAnsi="Verdana" w:cs="Arial"/>
          <w:sz w:val="20"/>
          <w:szCs w:val="20"/>
        </w:rPr>
        <w:t xml:space="preserv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35B60973" w14:textId="77777777" w:rsidR="00EC5EC3" w:rsidRDefault="00EC5EC3" w:rsidP="00EC5EC3">
      <w:pPr>
        <w:spacing w:after="0" w:line="240" w:lineRule="auto"/>
        <w:ind w:firstLine="709"/>
        <w:jc w:val="both"/>
        <w:rPr>
          <w:rFonts w:ascii="Verdana" w:hAnsi="Verdana" w:cs="Arial"/>
          <w:lang w:eastAsia="x-none"/>
        </w:rPr>
      </w:pPr>
      <w:bookmarkStart w:id="14" w:name="_Hlk94521748"/>
    </w:p>
    <w:p w14:paraId="23954544" w14:textId="77777777" w:rsidR="00EC5EC3" w:rsidRPr="00195E24" w:rsidRDefault="00EC5EC3" w:rsidP="00EC5EC3">
      <w:pPr>
        <w:spacing w:after="120" w:line="276" w:lineRule="auto"/>
        <w:ind w:firstLine="709"/>
        <w:jc w:val="both"/>
        <w:rPr>
          <w:rFonts w:ascii="Verdana" w:hAnsi="Verdana" w:cs="Arial"/>
          <w:bCs/>
          <w:lang w:eastAsia="x-none"/>
        </w:rPr>
      </w:pPr>
      <w:r w:rsidRPr="00195E24">
        <w:rPr>
          <w:rFonts w:ascii="Verdana" w:hAnsi="Verdana" w:cs="Arial"/>
          <w:lang w:eastAsia="x-none"/>
        </w:rPr>
        <w:t xml:space="preserve">De acuerdo con el citado concepto, la prohibición del artículo 33 de la Ley de Garantías Electorales se refiere a </w:t>
      </w:r>
      <w:r w:rsidRPr="007E27D9">
        <w:rPr>
          <w:rFonts w:ascii="Verdana" w:hAnsi="Verdana" w:cs="Arial"/>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 xml:space="preserve">u otros previstos </w:t>
      </w:r>
      <w:r w:rsidRPr="00130C72">
        <w:rPr>
          <w:rFonts w:ascii="Verdana" w:hAnsi="Verdana" w:cs="Arial"/>
          <w:lang w:eastAsia="x-none"/>
        </w:rPr>
        <w:t>sistemas abiertos y competitivos dispuestos en normas especiales.</w:t>
      </w:r>
      <w:r w:rsidRPr="00195E24">
        <w:rPr>
          <w:rFonts w:ascii="Verdana" w:hAnsi="Verdana" w:cs="Arial"/>
          <w:lang w:eastAsia="x-none"/>
        </w:rPr>
        <w:t xml:space="preserve">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308EF5EE" w14:textId="77777777" w:rsidR="00EC5EC3" w:rsidRPr="00195E24" w:rsidRDefault="00EC5EC3" w:rsidP="00EC5EC3">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7E27D9">
        <w:rPr>
          <w:rFonts w:ascii="Verdana" w:hAnsi="Verdana" w:cs="Arial"/>
          <w:i/>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777D7616" w14:textId="77777777" w:rsidR="00EC5EC3" w:rsidRPr="00195E24" w:rsidRDefault="00EC5EC3" w:rsidP="00EC5EC3">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232826E6" w14:textId="77777777" w:rsidR="00EC5EC3" w:rsidRPr="00CE0712" w:rsidRDefault="00EC5EC3" w:rsidP="00EC5EC3">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5669179A" w14:textId="77777777" w:rsidR="00EC5EC3" w:rsidRDefault="00EC5EC3" w:rsidP="00EC5EC3">
      <w:pPr>
        <w:spacing w:after="120" w:line="276" w:lineRule="auto"/>
        <w:ind w:firstLine="709"/>
        <w:jc w:val="both"/>
        <w:rPr>
          <w:rFonts w:ascii="Verdana" w:hAnsi="Verdana" w:cs="Arial"/>
          <w:vertAlign w:val="superscript"/>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7E27D9">
        <w:rPr>
          <w:rFonts w:ascii="Verdana" w:hAnsi="Verdana" w:cs="Arial"/>
          <w:vertAlign w:val="superscript"/>
          <w:lang w:eastAsia="x-none"/>
        </w:rPr>
        <w:footnoteReference w:id="17"/>
      </w:r>
      <w:r w:rsidRPr="007E27D9">
        <w:rPr>
          <w:rFonts w:ascii="Verdana" w:hAnsi="Verdana" w:cs="Arial"/>
          <w:lang w:eastAsia="x-none"/>
        </w:rPr>
        <w:t>.</w:t>
      </w:r>
      <w:r w:rsidRPr="007E27D9">
        <w:rPr>
          <w:rFonts w:ascii="Verdana" w:hAnsi="Verdana" w:cs="Arial"/>
          <w:vertAlign w:val="superscript"/>
          <w:lang w:eastAsia="x-none"/>
        </w:rPr>
        <w:t xml:space="preserve"> </w:t>
      </w:r>
    </w:p>
    <w:p w14:paraId="18BB44D1" w14:textId="77777777" w:rsidR="00EC5EC3" w:rsidRDefault="00EC5EC3" w:rsidP="00EC5EC3">
      <w:pPr>
        <w:spacing w:after="120" w:line="276" w:lineRule="auto"/>
        <w:ind w:firstLine="709"/>
        <w:jc w:val="both"/>
        <w:rPr>
          <w:rFonts w:ascii="Verdana" w:hAnsi="Verdana" w:cs="Arial"/>
          <w:lang w:eastAsia="x-none"/>
        </w:rPr>
      </w:pPr>
      <w:r w:rsidRPr="00AD17FF">
        <w:rPr>
          <w:rFonts w:ascii="Verdana" w:hAnsi="Verdana" w:cs="Arial"/>
          <w:lang w:eastAsia="x-none"/>
        </w:rPr>
        <w:t>Lo anterior supone que, en aquellos procedimientos que contemplen convocatorias o invitaciones para contratar que se limiten a aquellas personas que previamente se hayan inscrito en una lista de precalificados o de interesados, lo determinante para considerar que dicho sistema no constituye “contratación directa”, es que la convocatoria para inscribirse en forma previa se haga de manera pública, y que se permita la participación de una pluralidad de oferentes. Esta circunstancia no se extiende a la contratación directa aplicable en algunos regímenes especiales con listas de precalificados, ya que a efecto de que no se configure la contratación directa, la selección del futuro contratista debe darse en términos de competencia</w:t>
      </w:r>
      <w:r>
        <w:rPr>
          <w:rStyle w:val="Refdenotaalpie"/>
          <w:rFonts w:ascii="Verdana" w:hAnsi="Verdana" w:cs="Arial"/>
          <w:lang w:eastAsia="x-none"/>
        </w:rPr>
        <w:footnoteReference w:id="18"/>
      </w:r>
      <w:r w:rsidRPr="00AD17FF">
        <w:rPr>
          <w:rFonts w:ascii="Verdana" w:hAnsi="Verdana" w:cs="Arial"/>
          <w:lang w:eastAsia="x-none"/>
        </w:rPr>
        <w:t>.</w:t>
      </w:r>
    </w:p>
    <w:p w14:paraId="634BBF8B" w14:textId="77777777" w:rsidR="00EC5EC3" w:rsidRDefault="00EC5EC3" w:rsidP="00EC5EC3">
      <w:pPr>
        <w:spacing w:after="120" w:line="276" w:lineRule="auto"/>
        <w:ind w:firstLine="709"/>
        <w:jc w:val="both"/>
        <w:rPr>
          <w:rFonts w:ascii="Verdana" w:hAnsi="Verdana" w:cs="Arial"/>
          <w:lang w:eastAsia="x-none"/>
        </w:rPr>
      </w:pPr>
      <w:r>
        <w:rPr>
          <w:rFonts w:ascii="Verdana" w:hAnsi="Verdana" w:cs="Arial"/>
          <w:lang w:eastAsia="x-none"/>
        </w:rPr>
        <w:t xml:space="preserve">En este sentido la Agencia Nacional de Contratación Pública </w:t>
      </w:r>
      <w:r w:rsidRPr="00066B32">
        <w:rPr>
          <w:rFonts w:ascii="Verdana" w:hAnsi="Verdana" w:cs="Arial"/>
          <w:lang w:eastAsia="x-none"/>
        </w:rPr>
        <w:t xml:space="preserve">– Colombia </w:t>
      </w:r>
      <w:r w:rsidRPr="00360AB5">
        <w:rPr>
          <w:rFonts w:ascii="Verdana" w:hAnsi="Verdana" w:cs="Arial"/>
          <w:lang w:eastAsia="x-none"/>
        </w:rPr>
        <w:t>Compra Eficiente,</w:t>
      </w:r>
      <w:r w:rsidRPr="001D6D08">
        <w:rPr>
          <w:rFonts w:ascii="Verdana" w:hAnsi="Verdana" w:cs="Arial"/>
          <w:lang w:eastAsia="x-none"/>
        </w:rPr>
        <w:t xml:space="preserve"> en </w:t>
      </w:r>
      <w:r w:rsidRPr="00A53A1E">
        <w:rPr>
          <w:rFonts w:ascii="Verdana" w:hAnsi="Verdana" w:cs="Arial"/>
          <w:lang w:eastAsia="x-none"/>
        </w:rPr>
        <w:t>el</w:t>
      </w:r>
      <w:r>
        <w:rPr>
          <w:rFonts w:ascii="Verdana" w:hAnsi="Verdana" w:cs="Arial"/>
          <w:lang w:eastAsia="x-none"/>
        </w:rPr>
        <w:t xml:space="preserve"> concepto </w:t>
      </w:r>
      <w:r w:rsidRPr="004A2E70">
        <w:rPr>
          <w:rFonts w:ascii="Verdana" w:eastAsia="Verdana" w:hAnsi="Verdana" w:cs="Verdana"/>
          <w:bCs/>
        </w:rPr>
        <w:t>C-048 de 2026</w:t>
      </w:r>
      <w:r w:rsidRPr="004A2E70">
        <w:rPr>
          <w:rStyle w:val="Refdenotaalpie"/>
          <w:rFonts w:ascii="Verdana" w:eastAsia="Verdana" w:hAnsi="Verdana" w:cs="Verdana"/>
          <w:bCs/>
        </w:rPr>
        <w:footnoteReference w:id="19"/>
      </w:r>
      <w:r w:rsidRPr="00130C72">
        <w:rPr>
          <w:rFonts w:ascii="Verdana" w:eastAsia="Verdana" w:hAnsi="Verdana" w:cs="Verdana"/>
          <w:bCs/>
        </w:rPr>
        <w:t>,</w:t>
      </w:r>
      <w:r>
        <w:rPr>
          <w:rFonts w:ascii="Verdana" w:eastAsia="Verdana" w:hAnsi="Verdana" w:cs="Verdana"/>
          <w:bCs/>
        </w:rPr>
        <w:t xml:space="preserve"> reitera la anterior postura al sostener que</w:t>
      </w:r>
      <w:r w:rsidRPr="004A2E70">
        <w:rPr>
          <w:rFonts w:ascii="Verdana" w:eastAsia="Verdana" w:hAnsi="Verdana" w:cs="Verdana"/>
          <w:bCs/>
        </w:rPr>
        <w:t xml:space="preserve"> </w:t>
      </w:r>
      <w:r w:rsidRPr="00647D77">
        <w:rPr>
          <w:rFonts w:ascii="Verdana" w:eastAsia="Verdana" w:hAnsi="Verdana" w:cs="Verdana"/>
          <w:i/>
        </w:rPr>
        <w:t>“</w:t>
      </w:r>
      <w:r w:rsidRPr="00095A89">
        <w:rPr>
          <w:rFonts w:ascii="Verdana" w:eastAsia="Times New Roman" w:hAnsi="Verdana" w:cs="Arial"/>
          <w:bCs/>
          <w:lang w:eastAsia="x-none"/>
        </w:rPr>
        <w:t xml:space="preserve">para determinar la aplicación de la restricción prevista en el artículo 33 de la Ley de Garantías Electorales en aquellos sistemas de contratación en los cuales se invita a presentar propuesta […] seleccionados de un banco de proveedores, resulta fundamental que se cumplan los dos criterios señalados. De un lado, es indispensable que tanto la inscripción en la lista de precalificados o en el banco de proveedores como el acceso a la etapa de presentación de ofertas se encuentren precedidos de mecanismos de convocatoria pública que garanticen la participación real de una pluralidad de oferentes, en condiciones de igualdad y transparencia. De otro lado, la selección del contratista debe estar sometida a criterios objetivos de tal manera que la escogencia del contratista sea el resultado de un ejercicio de comparación de propuestas en competencia y no de decisiones discrecionales de la entidad”. </w:t>
      </w:r>
    </w:p>
    <w:p w14:paraId="6C002B7C" w14:textId="77777777" w:rsidR="00EC5EC3" w:rsidRPr="00095A89" w:rsidRDefault="00EC5EC3" w:rsidP="00EC5EC3">
      <w:pPr>
        <w:spacing w:after="120" w:line="276" w:lineRule="auto"/>
        <w:ind w:firstLine="709"/>
        <w:jc w:val="both"/>
        <w:rPr>
          <w:rFonts w:ascii="Verdana" w:hAnsi="Verdana" w:cs="Arial"/>
          <w:lang w:eastAsia="x-none"/>
        </w:rPr>
      </w:pPr>
      <w:r w:rsidRPr="00095A89">
        <w:rPr>
          <w:rFonts w:ascii="Verdana" w:eastAsia="Verdana" w:hAnsi="Verdana" w:cs="Verdana"/>
          <w:bCs/>
        </w:rPr>
        <w:t>“</w:t>
      </w:r>
      <w:r w:rsidRPr="00095A89">
        <w:rPr>
          <w:rFonts w:ascii="Verdana" w:eastAsia="Times New Roman" w:hAnsi="Verdana" w:cs="Arial"/>
          <w:bCs/>
          <w:lang w:eastAsia="x-none"/>
        </w:rPr>
        <w:t xml:space="preserve">En todo caso, las entidades sometidas a regímenes especiales o al derecho privado son responsables de evaluar, en cada caso concreto, si la implementación de sistemas como listas de precalificados, bancos de proveedores o esquemas de invitación cerrada comporta efectivamente la realización de una convocatoria pública y asegura la participación real de una pluralidad de oferentes. Dicha valoración debe efectuarse a la luz de las reglas previstas en sus respectivos manuales de contratación, lo cual exige un análisis del procedimiento adoptado, de manera que se garantice que la selección del contratista se derive de un escenario de competencia efectiva y no de mecanismos que, bajo una apariencia de pluralidad de oferentes, habiliten contrataciones que se encuentra bajo el ámbito de aplicación del artículo 33 de la Ley de Garantías Electorales”.  </w:t>
      </w:r>
    </w:p>
    <w:bookmarkEnd w:id="16"/>
    <w:p w14:paraId="5D9114C7" w14:textId="77777777" w:rsidR="00EC5EC3" w:rsidRDefault="00EC5EC3" w:rsidP="00EC5EC3">
      <w:pPr>
        <w:spacing w:after="120" w:line="276" w:lineRule="auto"/>
        <w:ind w:firstLine="709"/>
        <w:jc w:val="both"/>
        <w:rPr>
          <w:rFonts w:ascii="Verdana" w:hAnsi="Verdana" w:cs="Arial"/>
          <w:lang w:eastAsia="x-none"/>
        </w:rPr>
      </w:pPr>
      <w:r w:rsidRPr="00195E24">
        <w:rPr>
          <w:rFonts w:ascii="Verdana" w:hAnsi="Verdana" w:cs="Arial"/>
          <w:bCs/>
          <w:lang w:eastAsia="x-none"/>
        </w:rPr>
        <w:t xml:space="preserve">De lo anterior se desprende que la restricción aplica, sin perjuicio de las excepciones establecidas en la misma </w:t>
      </w:r>
      <w:r w:rsidRPr="00130C72">
        <w:rPr>
          <w:rFonts w:ascii="Verdana" w:hAnsi="Verdana" w:cs="Arial"/>
          <w:bCs/>
          <w:lang w:eastAsia="x-none"/>
        </w:rPr>
        <w:t>L</w:t>
      </w:r>
      <w:r w:rsidRPr="00195E24">
        <w:rPr>
          <w:rFonts w:ascii="Verdana" w:hAnsi="Verdana" w:cs="Arial"/>
          <w:bCs/>
          <w:lang w:eastAsia="x-none"/>
        </w:rPr>
        <w:t>ey</w:t>
      </w:r>
      <w:r w:rsidRPr="00671D27">
        <w:rPr>
          <w:rFonts w:ascii="Verdana" w:hAnsi="Verdana" w:cs="Arial"/>
          <w:bCs/>
          <w:lang w:eastAsia="x-none"/>
        </w:rPr>
        <w:t>, para celebrar cualquier contrato de forma directa, esto es, sin que exista un proceso abierto y competitivo.</w:t>
      </w:r>
      <w:r w:rsidRPr="00671D27">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w:t>
      </w:r>
      <w:r w:rsidRPr="00195E24">
        <w:rPr>
          <w:rFonts w:ascii="Verdana" w:hAnsi="Verdana" w:cs="Arial"/>
          <w:lang w:eastAsia="x-none"/>
        </w:rPr>
        <w:t xml:space="preserve"> período preelectoral de que trata la disposición las entidades públicas pueden seguir contratando bajo estos sistemas</w:t>
      </w:r>
      <w:r w:rsidRPr="007E27D9">
        <w:rPr>
          <w:rFonts w:ascii="Verdana" w:hAnsi="Verdana" w:cs="Arial"/>
          <w:lang w:eastAsia="x-none"/>
        </w:rPr>
        <w:t>.</w:t>
      </w:r>
      <w:r>
        <w:rPr>
          <w:rFonts w:ascii="Verdana" w:hAnsi="Verdana" w:cs="Arial"/>
          <w:lang w:eastAsia="x-none"/>
        </w:rPr>
        <w:t xml:space="preserve"> </w:t>
      </w:r>
    </w:p>
    <w:p w14:paraId="21D70351" w14:textId="77777777" w:rsidR="00EC5EC3" w:rsidRDefault="00EC5EC3" w:rsidP="00EC5EC3">
      <w:pPr>
        <w:spacing w:after="120" w:line="276" w:lineRule="auto"/>
        <w:ind w:firstLine="709"/>
        <w:jc w:val="both"/>
        <w:rPr>
          <w:rFonts w:ascii="Verdana" w:eastAsia="Arial" w:hAnsi="Verdana" w:cs="Arial"/>
          <w:color w:val="1A1A1A" w:themeColor="background1" w:themeShade="1A"/>
          <w:lang w:val="es-ES_tradnl"/>
        </w:rPr>
      </w:pPr>
      <w:r>
        <w:rPr>
          <w:rFonts w:ascii="Verdana" w:hAnsi="Verdana" w:cs="Arial"/>
          <w:lang w:eastAsia="x-none"/>
        </w:rPr>
        <w:t xml:space="preserve">De acuerdo con lo anterior, la celebración del contrato entre una entidad pública y una persona jurídica de naturaleza privada podrá realizarse en el periodo de restricciones electorales de que trata el artículo 33 de la Ley 996 de 2005 siempre que dicha contratación se derive de un proceso de selección distinto a la contratación directa. </w:t>
      </w:r>
      <w:r>
        <w:rPr>
          <w:rFonts w:ascii="Verdana" w:hAnsi="Verdana" w:cs="Arial"/>
          <w:color w:val="1A1A1A" w:themeColor="background1" w:themeShade="1A"/>
          <w:shd w:val="clear" w:color="auto" w:fill="FFFFFF"/>
          <w:lang w:val="es-ES_tradnl"/>
        </w:rPr>
        <w:t>Por lo tanto,</w:t>
      </w:r>
      <w:r w:rsidRPr="008363F8">
        <w:rPr>
          <w:rFonts w:ascii="Verdana" w:hAnsi="Verdana" w:cs="Arial"/>
          <w:color w:val="1A1A1A" w:themeColor="background1" w:themeShade="1A"/>
          <w:shd w:val="clear" w:color="auto" w:fill="FFFFFF"/>
          <w:lang w:val="es-ES_tradnl"/>
        </w:rPr>
        <w:t xml:space="preserve"> en principio </w:t>
      </w:r>
      <w:r>
        <w:rPr>
          <w:rFonts w:ascii="Verdana" w:hAnsi="Verdana" w:cs="Arial"/>
          <w:color w:val="1A1A1A" w:themeColor="background1" w:themeShade="1A"/>
          <w:shd w:val="clear" w:color="auto" w:fill="FFFFFF"/>
          <w:lang w:val="es-ES_tradnl"/>
        </w:rPr>
        <w:t>lo que</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color w:val="1A1A1A" w:themeColor="background1" w:themeShade="1A"/>
          <w:shd w:val="clear" w:color="auto" w:fill="FFFFFF"/>
          <w:lang w:val="es-ES_tradnl"/>
        </w:rPr>
        <w:t xml:space="preserve">está prohibida </w:t>
      </w:r>
      <w:r>
        <w:rPr>
          <w:rFonts w:ascii="Verdana" w:hAnsi="Verdana" w:cs="Arial"/>
          <w:color w:val="1A1A1A" w:themeColor="background1" w:themeShade="1A"/>
          <w:shd w:val="clear" w:color="auto" w:fill="FFFFFF"/>
          <w:lang w:val="es-ES_tradnl"/>
        </w:rPr>
        <w:t>es</w:t>
      </w:r>
      <w:r w:rsidRPr="00AD294A">
        <w:rPr>
          <w:rFonts w:ascii="Verdana" w:hAnsi="Verdana" w:cs="Arial"/>
          <w:color w:val="1A1A1A" w:themeColor="background1" w:themeShade="1A"/>
          <w:shd w:val="clear" w:color="auto" w:fill="FFFFFF"/>
          <w:lang w:val="es-ES_tradnl"/>
        </w:rPr>
        <w:t xml:space="preserve"> </w:t>
      </w:r>
      <w:r w:rsidRPr="008363F8">
        <w:rPr>
          <w:rFonts w:ascii="Verdana" w:hAnsi="Verdana" w:cs="Arial"/>
          <w:i/>
          <w:iCs/>
          <w:color w:val="1A1A1A" w:themeColor="background1" w:themeShade="1A"/>
          <w:shd w:val="clear" w:color="auto" w:fill="FFFFFF"/>
          <w:lang w:val="es-ES_tradnl"/>
        </w:rPr>
        <w:t>la contratación directa</w:t>
      </w:r>
      <w:r w:rsidRPr="008363F8">
        <w:rPr>
          <w:rFonts w:ascii="Verdana" w:hAnsi="Verdana" w:cs="Arial"/>
          <w:color w:val="1A1A1A" w:themeColor="background1" w:themeShade="1A"/>
          <w:shd w:val="clear" w:color="auto" w:fill="FFFFFF"/>
          <w:lang w:val="es-ES_tradnl"/>
        </w:rPr>
        <w:t xml:space="preserve">, salvo que </w:t>
      </w:r>
      <w:r>
        <w:rPr>
          <w:rFonts w:ascii="Verdana" w:hAnsi="Verdana" w:cs="Arial"/>
          <w:color w:val="1A1A1A" w:themeColor="background1" w:themeShade="1A"/>
          <w:shd w:val="clear" w:color="auto" w:fill="FFFFFF"/>
          <w:lang w:val="es-ES_tradnl"/>
        </w:rPr>
        <w:t>la contratación que se va a realizar se encuadre en alguna de las excepciones consagradas en el mismo artículo. Lo que está permitido en dicha época son los contratos que se</w:t>
      </w:r>
      <w:r w:rsidRPr="00AD294A">
        <w:rPr>
          <w:rFonts w:ascii="Verdana" w:hAnsi="Verdana" w:cs="Arial"/>
          <w:color w:val="1A1A1A" w:themeColor="background1" w:themeShade="1A"/>
          <w:shd w:val="clear" w:color="auto" w:fill="FFFFFF"/>
          <w:lang w:val="es-ES_tradnl"/>
        </w:rPr>
        <w:t xml:space="preserve"> celebr</w:t>
      </w:r>
      <w:r>
        <w:rPr>
          <w:rFonts w:ascii="Verdana" w:hAnsi="Verdana" w:cs="Arial"/>
          <w:color w:val="1A1A1A" w:themeColor="background1" w:themeShade="1A"/>
          <w:shd w:val="clear" w:color="auto" w:fill="FFFFFF"/>
          <w:lang w:val="es-ES_tradnl"/>
        </w:rPr>
        <w:t xml:space="preserve">en </w:t>
      </w:r>
      <w:r w:rsidRPr="008363F8">
        <w:rPr>
          <w:rFonts w:ascii="Verdana" w:hAnsi="Verdana" w:cs="Arial"/>
          <w:i/>
          <w:iCs/>
          <w:color w:val="1A1A1A" w:themeColor="background1" w:themeShade="1A"/>
          <w:shd w:val="clear" w:color="auto" w:fill="FFFFFF"/>
          <w:lang w:val="es-ES_tradnl"/>
        </w:rPr>
        <w:t>de manera competitiva</w:t>
      </w:r>
      <w:r>
        <w:rPr>
          <w:rFonts w:ascii="Verdana" w:hAnsi="Verdana" w:cs="Arial"/>
          <w:i/>
          <w:iCs/>
          <w:color w:val="1A1A1A" w:themeColor="background1" w:themeShade="1A"/>
          <w:shd w:val="clear" w:color="auto" w:fill="FFFFFF"/>
          <w:lang w:val="es-ES_tradnl"/>
        </w:rPr>
        <w:t xml:space="preserve">. </w:t>
      </w:r>
    </w:p>
    <w:p w14:paraId="50A6F8EA" w14:textId="77777777" w:rsidR="00EC5EC3" w:rsidRPr="00012D64" w:rsidRDefault="00EC5EC3" w:rsidP="00EC5EC3">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0A81595" w14:textId="77777777" w:rsidR="00EC5EC3" w:rsidRDefault="00EC5EC3" w:rsidP="00EC5EC3">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0"/>
      </w:r>
      <w:r w:rsidRPr="73D21086">
        <w:rPr>
          <w:rFonts w:ascii="Verdana" w:hAnsi="Verdana" w:cs="Arial"/>
          <w:color w:val="000000" w:themeColor="text1"/>
          <w:lang w:val="es-MX"/>
        </w:rPr>
        <w:t xml:space="preserve">. </w:t>
      </w:r>
    </w:p>
    <w:p w14:paraId="3B50B02C" w14:textId="77777777" w:rsidR="00EC5EC3" w:rsidRPr="002D6B92" w:rsidRDefault="00EC5EC3" w:rsidP="00EC5EC3">
      <w:pPr>
        <w:spacing w:after="120" w:line="276" w:lineRule="auto"/>
        <w:ind w:firstLine="709"/>
        <w:jc w:val="both"/>
        <w:rPr>
          <w:rFonts w:ascii="Verdana" w:hAnsi="Verdana" w:cs="Arial"/>
          <w:color w:val="000000" w:themeColor="text1"/>
          <w:lang w:val="es-MX"/>
        </w:rPr>
      </w:pPr>
      <w:r w:rsidRPr="73D21086">
        <w:rPr>
          <w:rFonts w:ascii="Verdana" w:hAnsi="Verdana" w:cs="Arial"/>
          <w:color w:val="000000" w:themeColor="text1"/>
          <w:lang w:val="es-MX"/>
        </w:rPr>
        <w:t>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r w:rsidRPr="00CE0D82">
        <w:rPr>
          <w:rFonts w:ascii="Verdana" w:hAnsi="Verdana" w:cs="Arial"/>
          <w:color w:val="000000" w:themeColor="text1"/>
          <w:vertAlign w:val="superscript"/>
          <w:lang w:val="es-MX"/>
        </w:rPr>
        <w:footnoteReference w:id="21"/>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218366EC" w14:textId="77777777" w:rsidR="00EC5EC3" w:rsidRDefault="00EC5EC3" w:rsidP="00EC5EC3">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9102488" w14:textId="77777777" w:rsidR="00EC5EC3" w:rsidRDefault="00EC5EC3" w:rsidP="00EC5EC3">
      <w:pPr>
        <w:spacing w:after="0" w:line="240" w:lineRule="auto"/>
        <w:ind w:left="709" w:right="709"/>
        <w:jc w:val="both"/>
        <w:rPr>
          <w:rFonts w:ascii="Verdana" w:hAnsi="Verdana" w:cs="Arial"/>
          <w:color w:val="000000" w:themeColor="text1"/>
          <w:sz w:val="20"/>
          <w:szCs w:val="20"/>
          <w:lang w:val="es-MX"/>
        </w:rPr>
      </w:pPr>
    </w:p>
    <w:p w14:paraId="0B56431C" w14:textId="77777777" w:rsidR="00EC5EC3" w:rsidRPr="00435A6A" w:rsidRDefault="00EC5EC3" w:rsidP="00EC5EC3">
      <w:pPr>
        <w:spacing w:after="0" w:line="240" w:lineRule="auto"/>
        <w:ind w:left="709" w:right="709"/>
        <w:jc w:val="both"/>
        <w:rPr>
          <w:rFonts w:ascii="Verdana" w:hAnsi="Verdana" w:cs="Arial"/>
          <w:color w:val="000000" w:themeColor="text1"/>
          <w:sz w:val="20"/>
          <w:szCs w:val="20"/>
          <w:lang w:val="es-MX" w:eastAsia="x-none"/>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2"/>
      </w:r>
      <w:r w:rsidRPr="005800D0">
        <w:rPr>
          <w:rFonts w:ascii="Verdana" w:hAnsi="Verdana" w:cs="Arial"/>
          <w:color w:val="000000" w:themeColor="text1"/>
          <w:sz w:val="20"/>
          <w:szCs w:val="20"/>
          <w:lang w:val="es-MX" w:eastAsia="x-none"/>
        </w:rPr>
        <w:t>.</w:t>
      </w:r>
    </w:p>
    <w:p w14:paraId="07594A83" w14:textId="77777777" w:rsidR="00EC5EC3" w:rsidRDefault="00EC5EC3" w:rsidP="00EC5EC3">
      <w:pPr>
        <w:spacing w:after="0" w:line="240" w:lineRule="auto"/>
        <w:jc w:val="both"/>
        <w:rPr>
          <w:rFonts w:ascii="Verdana" w:hAnsi="Verdana" w:cs="Arial"/>
          <w:color w:val="000000" w:themeColor="text1"/>
          <w:lang w:val="es-MX"/>
        </w:rPr>
      </w:pPr>
    </w:p>
    <w:p w14:paraId="078C460E" w14:textId="77777777" w:rsidR="00EC5EC3" w:rsidRDefault="00EC5EC3" w:rsidP="00EC5EC3">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3"/>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2B683EFC" w14:textId="77777777" w:rsidR="00EC5EC3" w:rsidRPr="00195E24" w:rsidRDefault="00EC5EC3" w:rsidP="00EC5EC3">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p>
    <w:p w14:paraId="5945105A" w14:textId="77777777" w:rsidR="00EC5EC3" w:rsidRPr="00CE0712" w:rsidRDefault="00EC5EC3" w:rsidP="00EC5EC3">
      <w:pPr>
        <w:spacing w:after="120"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49913F7C" w14:textId="77777777" w:rsidR="00EC5EC3" w:rsidRDefault="00EC5EC3" w:rsidP="00EC5EC3">
      <w:pPr>
        <w:spacing w:after="120" w:line="276" w:lineRule="auto"/>
        <w:ind w:firstLine="709"/>
        <w:jc w:val="both"/>
        <w:rPr>
          <w:rFonts w:ascii="Verdana" w:hAnsi="Verdana" w:cs="Arial"/>
          <w:bCs/>
          <w:lang w:eastAsia="x-none"/>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w:t>
      </w:r>
      <w:proofErr w:type="spellStart"/>
      <w:r w:rsidRPr="00E36918">
        <w:rPr>
          <w:rFonts w:ascii="Verdana" w:eastAsia="Times New Roman" w:hAnsi="Verdana" w:cs="Arial"/>
          <w:bCs/>
          <w:lang w:val="es-ES" w:eastAsia="es-CO" w:bidi="es-ES"/>
        </w:rPr>
        <w:t>ii</w:t>
      </w:r>
      <w:proofErr w:type="spellEnd"/>
      <w:r w:rsidRPr="00E36918">
        <w:rPr>
          <w:rFonts w:ascii="Verdana" w:eastAsia="Times New Roman" w:hAnsi="Verdana" w:cs="Arial"/>
          <w:bCs/>
          <w:lang w:val="es-ES" w:eastAsia="es-CO" w:bidi="es-ES"/>
        </w:rPr>
        <w:t xml:space="preserve">) los contratos de crédito público; </w:t>
      </w:r>
      <w:proofErr w:type="spellStart"/>
      <w:r w:rsidRPr="00E36918">
        <w:rPr>
          <w:rFonts w:ascii="Verdana" w:eastAsia="Times New Roman" w:hAnsi="Verdana" w:cs="Arial"/>
          <w:bCs/>
          <w:lang w:val="es-ES" w:eastAsia="es-CO" w:bidi="es-ES"/>
        </w:rPr>
        <w:t>iii</w:t>
      </w:r>
      <w:proofErr w:type="spellEnd"/>
      <w:r w:rsidRPr="00E36918">
        <w:rPr>
          <w:rFonts w:ascii="Verdana" w:eastAsia="Times New Roman" w:hAnsi="Verdana" w:cs="Arial"/>
          <w:bCs/>
          <w:lang w:val="es-ES" w:eastAsia="es-CO" w:bidi="es-ES"/>
        </w:rPr>
        <w:t xml:space="preserve">) los requeridos para cubrir las emergencias educativas, sanitarias y desastres; </w:t>
      </w:r>
      <w:proofErr w:type="spellStart"/>
      <w:r w:rsidRPr="00E36918">
        <w:rPr>
          <w:rFonts w:ascii="Verdana" w:eastAsia="Times New Roman" w:hAnsi="Verdana" w:cs="Arial"/>
          <w:bCs/>
          <w:lang w:val="es-ES" w:eastAsia="es-CO" w:bidi="es-ES"/>
        </w:rPr>
        <w:t>iv</w:t>
      </w:r>
      <w:proofErr w:type="spellEnd"/>
      <w:r w:rsidRPr="00E36918">
        <w:rPr>
          <w:rFonts w:ascii="Verdana" w:eastAsia="Times New Roman" w:hAnsi="Verdana" w:cs="Arial"/>
          <w:bCs/>
          <w:lang w:val="es-ES" w:eastAsia="es-CO" w:bidi="es-ES"/>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p>
    <w:p w14:paraId="643D5C60" w14:textId="77777777" w:rsidR="00EC5EC3" w:rsidRDefault="00EC5EC3" w:rsidP="00EC5EC3">
      <w:pPr>
        <w:spacing w:after="120" w:line="276" w:lineRule="auto"/>
        <w:ind w:firstLine="709"/>
        <w:jc w:val="both"/>
        <w:rPr>
          <w:rFonts w:ascii="Verdana" w:hAnsi="Verdana" w:cs="Arial"/>
          <w:bCs/>
          <w:lang w:val="es-MX" w:eastAsia="x-none"/>
        </w:rPr>
      </w:pPr>
      <w:r w:rsidRPr="00F8199A">
        <w:rPr>
          <w:rFonts w:ascii="Verdana" w:hAnsi="Verdana" w:cs="Arial"/>
          <w:bCs/>
          <w:lang w:val="es-MX" w:eastAsia="x-none"/>
        </w:rPr>
        <w:t xml:space="preserve">En esta labor es importante tener en cuenta, como lo anotó la Corte Constitucional, en Sentencia C-1153 de noviembre 11 de 2005 </w:t>
      </w:r>
      <w:bookmarkStart w:id="18" w:name="_Hlk74309042"/>
      <w:r w:rsidRPr="00F8199A">
        <w:rPr>
          <w:rFonts w:ascii="Verdana" w:hAnsi="Verdana" w:cs="Arial"/>
          <w:bCs/>
          <w:lang w:val="es-MX" w:eastAsia="x-none"/>
        </w:rPr>
        <w:t xml:space="preserve">que </w:t>
      </w:r>
      <w:r>
        <w:rPr>
          <w:rFonts w:ascii="Verdana" w:hAnsi="Verdana" w:cs="Arial"/>
          <w:bCs/>
          <w:lang w:val="es-MX" w:eastAsia="x-none"/>
        </w:rPr>
        <w:t>“</w:t>
      </w:r>
      <w:bookmarkEnd w:id="18"/>
      <w:r w:rsidRPr="00F8199A">
        <w:rPr>
          <w:rFonts w:ascii="Verdana" w:hAnsi="Verdana" w:cs="Arial"/>
          <w:bCs/>
          <w:lang w:val="es-MX" w:eastAsia="x-none"/>
        </w:rPr>
        <w:t xml:space="preserve">si bien la limitación garantiza la igualdad de condiciones, también es necesario que tal limitación que pretende la igualdad </w:t>
      </w:r>
      <w:bookmarkStart w:id="19" w:name="_Hlk75768308"/>
      <w:r w:rsidRPr="00F8199A">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Pr>
          <w:rFonts w:ascii="Verdana" w:hAnsi="Verdana" w:cs="Arial"/>
          <w:bCs/>
          <w:lang w:val="es-MX" w:eastAsia="x-none"/>
        </w:rPr>
        <w:t>”</w:t>
      </w:r>
      <w:r w:rsidRPr="00F8199A">
        <w:rPr>
          <w:rFonts w:ascii="Verdana" w:hAnsi="Verdana" w:cs="Arial"/>
          <w:vertAlign w:val="superscript"/>
          <w:lang w:val="es-MX"/>
        </w:rPr>
        <w:footnoteReference w:id="24"/>
      </w:r>
      <w:r w:rsidRPr="00F8199A">
        <w:rPr>
          <w:rFonts w:ascii="Verdana"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9"/>
    </w:p>
    <w:p w14:paraId="210DB109" w14:textId="77777777" w:rsidR="00EC5EC3" w:rsidRPr="0004207F" w:rsidRDefault="00EC5EC3" w:rsidP="00EC5EC3">
      <w:pPr>
        <w:shd w:val="clear" w:color="auto" w:fill="FFFFFF" w:themeFill="background1"/>
        <w:spacing w:after="120" w:line="276" w:lineRule="auto"/>
        <w:ind w:firstLine="709"/>
        <w:jc w:val="both"/>
        <w:rPr>
          <w:rFonts w:ascii="Verdana" w:hAnsi="Verdana" w:cs="Arial"/>
          <w:lang w:val="es-ES" w:eastAsia="es-CO"/>
        </w:rPr>
      </w:pPr>
      <w:r w:rsidRPr="2E79A5E2">
        <w:rPr>
          <w:rFonts w:ascii="Verdana" w:hAnsi="Verdana" w:cs="Arial"/>
          <w:lang w:val="es-ES" w:eastAsia="es-CO"/>
        </w:rPr>
        <w:t xml:space="preserve">A su vez, la Corte Constitucional, al analizar la constitucionalidad de la Ley de Garantías Electorales, consideró que las prohibiciones consagradas en los artículos 32 y 33 de la ley mencionada no pueden ir en detrimento de intereses públicos. Por lo anterior, la Alta Corte consideró que las excepciones para la prohibición de contratación se encontraban justificadas, declarando su </w:t>
      </w:r>
      <w:proofErr w:type="spellStart"/>
      <w:r w:rsidRPr="2E79A5E2">
        <w:rPr>
          <w:rFonts w:ascii="Verdana" w:hAnsi="Verdana" w:cs="Arial"/>
          <w:lang w:val="es-ES" w:eastAsia="es-CO"/>
        </w:rPr>
        <w:t>exequibilidad</w:t>
      </w:r>
      <w:proofErr w:type="spellEnd"/>
      <w:r w:rsidRPr="2E79A5E2">
        <w:rPr>
          <w:rFonts w:ascii="Verdana" w:hAnsi="Verdana" w:cs="Arial"/>
          <w:lang w:val="es-ES" w:eastAsia="es-CO"/>
        </w:rPr>
        <w:t>. Así, por ejemplo, la Corte Constitucional explicó que “</w:t>
      </w:r>
      <w:r>
        <w:rPr>
          <w:rFonts w:ascii="Verdana" w:hAnsi="Verdana" w:cs="Arial"/>
          <w:lang w:val="es-ES" w:eastAsia="es-CO"/>
        </w:rPr>
        <w:t>(…)</w:t>
      </w:r>
      <w:r w:rsidRPr="2E79A5E2">
        <w:rPr>
          <w:rFonts w:ascii="Verdana" w:hAnsi="Verdana" w:cs="Arial"/>
          <w:lang w:val="es-ES" w:eastAsia="es-CO"/>
        </w:rPr>
        <w:t xml:space="preserve"> las excepciones de limitación protegen diversos tipos de urgencias de defensa, salud, educación, infraestructura vial y de servicios públicos y ecológicas tienden a no limitar desproporcionadamente la acción del Estado en el cumplimiento de sus fines, en procura de la igualdad entre candidatos como garantía electoral”</w:t>
      </w:r>
      <w:r w:rsidRPr="2E79A5E2">
        <w:rPr>
          <w:rStyle w:val="Refdenotaalpie"/>
          <w:rFonts w:ascii="Verdana" w:hAnsi="Verdana" w:cs="Arial"/>
          <w:lang w:val="es-ES" w:eastAsia="es-CO"/>
        </w:rPr>
        <w:footnoteReference w:id="25"/>
      </w:r>
      <w:r w:rsidRPr="2E79A5E2">
        <w:rPr>
          <w:rFonts w:ascii="Verdana" w:hAnsi="Verdana" w:cs="Arial"/>
          <w:lang w:val="es-ES" w:eastAsia="es-CO"/>
        </w:rPr>
        <w:t xml:space="preserve">. </w:t>
      </w:r>
    </w:p>
    <w:p w14:paraId="254D57CD" w14:textId="77777777" w:rsidR="00EC5EC3" w:rsidRPr="0004207F" w:rsidRDefault="00EC5EC3" w:rsidP="00EC5EC3">
      <w:pPr>
        <w:spacing w:after="120" w:line="276" w:lineRule="auto"/>
        <w:ind w:firstLine="709"/>
        <w:jc w:val="both"/>
        <w:rPr>
          <w:rFonts w:ascii="Verdana" w:hAnsi="Verdana" w:cs="Arial"/>
          <w:lang w:val="es-ES" w:eastAsia="es-CO"/>
        </w:rPr>
      </w:pPr>
      <w:r>
        <w:rPr>
          <w:rFonts w:ascii="Verdana" w:hAnsi="Verdana" w:cs="Arial"/>
          <w:bCs/>
          <w:lang w:val="es-MX" w:eastAsia="x-none"/>
        </w:rPr>
        <w:t>Igualmente,</w:t>
      </w:r>
      <w:r w:rsidRPr="0004207F">
        <w:rPr>
          <w:rFonts w:ascii="Verdana" w:hAnsi="Verdana" w:cs="Arial"/>
          <w:bCs/>
          <w:lang w:val="es-MX" w:eastAsia="x-none"/>
        </w:rPr>
        <w:t xml:space="preserve"> </w:t>
      </w:r>
      <w:r>
        <w:rPr>
          <w:rFonts w:ascii="Verdana" w:hAnsi="Verdana" w:cs="Arial"/>
          <w:bCs/>
          <w:lang w:val="es-MX" w:eastAsia="x-none"/>
        </w:rPr>
        <w:t>l</w:t>
      </w:r>
      <w:r w:rsidRPr="0004207F">
        <w:rPr>
          <w:rFonts w:ascii="Verdana" w:hAnsi="Verdana" w:cs="Arial"/>
          <w:bCs/>
          <w:lang w:val="es-MX" w:eastAsia="x-none"/>
        </w:rPr>
        <w:t>a Sala de Consulta y Servicio Civil del Consejo de Estado, en Concepto del 4 de febrero de 2010, explica que “</w:t>
      </w:r>
      <w:r>
        <w:rPr>
          <w:rFonts w:ascii="Verdana" w:hAnsi="Verdana" w:cs="Arial"/>
          <w:bCs/>
          <w:lang w:val="es-MX" w:eastAsia="x-none"/>
        </w:rPr>
        <w:t>(…)</w:t>
      </w:r>
      <w:r w:rsidRPr="0004207F">
        <w:rPr>
          <w:rFonts w:ascii="Verdana" w:hAnsi="Verdana" w:cs="Arial"/>
          <w:bCs/>
          <w:lang w:val="es-MX" w:eastAsia="x-none"/>
        </w:rPr>
        <w:t xml:space="preserve"> Las excepciones establecidas en los artículos 32 y 33 en comento, guardan relación, exclusivamente, con algunos servicios públicos que por su naturaleza no admiten postergaciones en la atención de sus necesidades de personal, bienes y servicios </w:t>
      </w:r>
      <w:r>
        <w:rPr>
          <w:rFonts w:ascii="Verdana" w:hAnsi="Verdana" w:cs="Arial"/>
          <w:bCs/>
          <w:lang w:val="es-MX" w:eastAsia="x-none"/>
        </w:rPr>
        <w:t>(…)</w:t>
      </w:r>
      <w:r w:rsidRPr="0004207F">
        <w:rPr>
          <w:rFonts w:ascii="Verdana" w:hAnsi="Verdana" w:cs="Arial"/>
          <w:bCs/>
          <w:lang w:val="es-MX" w:eastAsia="x-none"/>
        </w:rPr>
        <w:t>”</w:t>
      </w:r>
      <w:r w:rsidRPr="0004207F">
        <w:rPr>
          <w:rStyle w:val="Refdenotaalpie"/>
          <w:rFonts w:ascii="Verdana" w:hAnsi="Verdana" w:cs="Arial"/>
          <w:lang w:val="es-ES_tradnl" w:eastAsia="es-CO"/>
        </w:rPr>
        <w:footnoteReference w:id="26"/>
      </w:r>
      <w:r w:rsidRPr="0004207F">
        <w:rPr>
          <w:rFonts w:ascii="Verdana" w:hAnsi="Verdana" w:cs="Arial"/>
          <w:bCs/>
          <w:lang w:val="es-MX" w:eastAsia="x-none"/>
        </w:rPr>
        <w:t>.</w:t>
      </w:r>
    </w:p>
    <w:p w14:paraId="232E096C" w14:textId="77777777" w:rsidR="00EC5EC3" w:rsidRDefault="00EC5EC3" w:rsidP="00EC5EC3">
      <w:pPr>
        <w:shd w:val="clear" w:color="auto" w:fill="FFFFFF"/>
        <w:spacing w:after="120" w:line="276" w:lineRule="auto"/>
        <w:ind w:firstLine="709"/>
        <w:jc w:val="both"/>
        <w:rPr>
          <w:rFonts w:ascii="Verdana" w:hAnsi="Verdana" w:cs="Arial"/>
          <w:bCs/>
          <w:lang w:val="es-ES_tradnl"/>
        </w:rPr>
      </w:pPr>
      <w:r w:rsidRPr="0004207F">
        <w:rPr>
          <w:rFonts w:ascii="Verdana" w:hAnsi="Verdana" w:cs="Arial"/>
          <w:bCs/>
          <w:lang w:val="es-ES_tradnl"/>
        </w:rPr>
        <w:t>Por tanto, las excepciones a la prohibición contenida en el inciso segundo de artículo 33 de la ley de garantías electorales tienen por finalidad garantizar la prestación ininterrumpida de algunos servicios públicos que, dada su importancia en el orden interno, se verían irrazonablemente afectados por la restricción explicada. Lo anterior implica que las excepciones al artículo 33 en comento deben interpretarse y aplicarse de manera restrictiva. En otras palabras, que no sería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w:t>
      </w:r>
    </w:p>
    <w:p w14:paraId="382C45AF" w14:textId="77777777" w:rsidR="00EC5EC3" w:rsidRPr="004824B3" w:rsidRDefault="00EC5EC3" w:rsidP="00EC5EC3">
      <w:pPr>
        <w:shd w:val="clear" w:color="auto" w:fill="FFFFFF"/>
        <w:spacing w:after="120" w:line="276" w:lineRule="auto"/>
        <w:ind w:firstLine="709"/>
        <w:jc w:val="both"/>
        <w:rPr>
          <w:rFonts w:ascii="Verdana" w:hAnsi="Verdana" w:cs="Arial"/>
          <w:bCs/>
          <w:lang w:val="es-ES_tradnl"/>
        </w:rPr>
      </w:pPr>
      <w:r w:rsidRPr="004824B3">
        <w:rPr>
          <w:rFonts w:ascii="Verdana" w:hAnsi="Verdana" w:cs="Arial"/>
          <w:bCs/>
          <w:lang w:val="es-ES_tradnl"/>
        </w:rPr>
        <w:t xml:space="preserve">Ahora bien, resulta importante indicar que </w:t>
      </w:r>
      <w:r w:rsidRPr="004824B3">
        <w:rPr>
          <w:rFonts w:ascii="Verdana" w:hAnsi="Verdana" w:cs="Arial"/>
        </w:rPr>
        <w:t>la Constitución Política de Colombia consagra en el artículo 69, por una parte, una garantía de autonomía para que las universidades establezcan sus directivas y sus estatutos de acuerdo con la ley; y por otra, la posibilidad de que cuenten con un régimen especial que corresponde dictar al Congreso</w:t>
      </w:r>
      <w:r>
        <w:rPr>
          <w:rStyle w:val="Refdenotaalpie"/>
          <w:rFonts w:ascii="Verdana" w:hAnsi="Verdana" w:cs="Arial"/>
        </w:rPr>
        <w:footnoteReference w:id="27"/>
      </w:r>
      <w:r w:rsidRPr="004824B3">
        <w:rPr>
          <w:rFonts w:ascii="Verdana" w:hAnsi="Verdana" w:cs="Arial"/>
          <w:vertAlign w:val="subscript"/>
        </w:rPr>
        <w:t>.</w:t>
      </w:r>
    </w:p>
    <w:p w14:paraId="157A0F10" w14:textId="77777777" w:rsidR="00EC5EC3" w:rsidRPr="00D74F46" w:rsidRDefault="00EC5EC3" w:rsidP="00EC5EC3">
      <w:pPr>
        <w:spacing w:after="120" w:line="276" w:lineRule="auto"/>
        <w:ind w:firstLine="708"/>
        <w:jc w:val="both"/>
        <w:rPr>
          <w:rFonts w:ascii="Verdana" w:hAnsi="Verdana" w:cs="Arial"/>
          <w:lang w:val="es-MX"/>
        </w:rPr>
      </w:pPr>
      <w:r w:rsidRPr="00D74F46">
        <w:rPr>
          <w:rFonts w:ascii="Verdana" w:hAnsi="Verdana" w:cs="Arial"/>
          <w:lang w:val="es-MX"/>
        </w:rPr>
        <w:t>En desarrollo de lo anterior, se expidió la Ley 30 de 1992, mediante la cual se regularon aspectos como la naturaleza jurídica de las universidades estatales y oficiales, la forma de organizarse y el régimen de contratación aplicable. Así mismo, en el artículo 57 se consignó que e</w:t>
      </w:r>
      <w:r w:rsidRPr="00D74F46">
        <w:rPr>
          <w:rFonts w:ascii="Verdana" w:hAnsi="Verdana" w:cs="Arial"/>
        </w:rPr>
        <w:t>l carácter especial del régimen de las universidades estatales u oficiales comprende, entre otros aspectos, el régimen de contratación</w:t>
      </w:r>
      <w:r>
        <w:rPr>
          <w:rStyle w:val="Refdenotaalpie"/>
          <w:rFonts w:ascii="Verdana" w:hAnsi="Verdana" w:cs="Arial"/>
        </w:rPr>
        <w:footnoteReference w:id="28"/>
      </w:r>
      <w:r w:rsidRPr="00D74F46">
        <w:rPr>
          <w:rFonts w:ascii="Verdana" w:hAnsi="Verdana" w:cs="Arial"/>
        </w:rPr>
        <w:t xml:space="preserve">. En concordancia con esto, el artículo 93 estableció que los contratos que </w:t>
      </w:r>
      <w:r w:rsidRPr="00D74F46">
        <w:rPr>
          <w:rFonts w:ascii="Verdana" w:hAnsi="Verdana" w:cs="Arial"/>
          <w:lang w:val="es-MX"/>
        </w:rPr>
        <w:t>celebren las universidades estatales u oficiales se regirán por las normas del derecho privado</w:t>
      </w:r>
      <w:r>
        <w:rPr>
          <w:rStyle w:val="Refdenotaalpie"/>
          <w:rFonts w:ascii="Verdana" w:hAnsi="Verdana" w:cs="Arial"/>
          <w:lang w:val="es-MX"/>
        </w:rPr>
        <w:footnoteReference w:id="29"/>
      </w:r>
      <w:r w:rsidRPr="00D74F46">
        <w:rPr>
          <w:rFonts w:ascii="Verdana" w:hAnsi="Verdana" w:cs="Arial"/>
          <w:lang w:val="es-MX"/>
        </w:rPr>
        <w:t xml:space="preserve">. </w:t>
      </w:r>
    </w:p>
    <w:p w14:paraId="06A08D0B" w14:textId="77777777" w:rsidR="00EC5EC3" w:rsidRPr="00D74F46" w:rsidRDefault="00EC5EC3" w:rsidP="00EC5EC3">
      <w:pPr>
        <w:widowControl w:val="0"/>
        <w:autoSpaceDE w:val="0"/>
        <w:autoSpaceDN w:val="0"/>
        <w:spacing w:after="120" w:line="276" w:lineRule="auto"/>
        <w:ind w:right="102" w:firstLine="708"/>
        <w:jc w:val="both"/>
        <w:rPr>
          <w:rFonts w:ascii="Verdana" w:eastAsia="Arial" w:hAnsi="Verdana" w:cs="Arial"/>
          <w:lang w:val="es-ES"/>
        </w:rPr>
      </w:pPr>
      <w:r w:rsidRPr="00D74F46">
        <w:rPr>
          <w:rFonts w:ascii="Verdana" w:eastAsia="Arial" w:hAnsi="Verdana" w:cs="Arial"/>
          <w:lang w:val="es-ES"/>
        </w:rPr>
        <w:t>De otro lado, la Ley 489 de 1998, al desarrollar la estructura y organización de la Administración Pública, establece que los entes universitarios hacen parte integral de esta</w:t>
      </w:r>
      <w:r>
        <w:rPr>
          <w:rStyle w:val="Refdenotaalpie"/>
          <w:rFonts w:ascii="Verdana" w:eastAsia="Arial" w:hAnsi="Verdana" w:cs="Arial"/>
          <w:lang w:val="es-ES"/>
        </w:rPr>
        <w:footnoteReference w:id="30"/>
      </w:r>
      <w:r w:rsidRPr="00D74F46">
        <w:rPr>
          <w:rFonts w:ascii="Verdana" w:eastAsia="Arial" w:hAnsi="Verdana" w:cs="Arial"/>
          <w:lang w:val="es-ES"/>
        </w:rPr>
        <w:t>, catalogándolos como entidades públicas de carácter autónomo a las que aplica un régimen especial.  Al respecto, en la sentencia C-1019 de 2012, la Corte Constitucional señaló:</w:t>
      </w:r>
    </w:p>
    <w:p w14:paraId="584F8343" w14:textId="77777777" w:rsidR="00EC5EC3" w:rsidRPr="00B07E90" w:rsidRDefault="00EC5EC3" w:rsidP="00EC5EC3">
      <w:pPr>
        <w:widowControl w:val="0"/>
        <w:autoSpaceDE w:val="0"/>
        <w:autoSpaceDN w:val="0"/>
        <w:spacing w:after="0" w:line="240" w:lineRule="auto"/>
        <w:ind w:left="709" w:right="709"/>
        <w:jc w:val="both"/>
        <w:rPr>
          <w:rFonts w:ascii="Verdana" w:eastAsia="Arial" w:hAnsi="Verdana" w:cs="Arial"/>
          <w:sz w:val="20"/>
          <w:szCs w:val="20"/>
          <w:lang w:val="es-ES"/>
        </w:rPr>
      </w:pPr>
      <w:r>
        <w:rPr>
          <w:rFonts w:ascii="Verdana" w:eastAsia="Arial" w:hAnsi="Verdana" w:cs="Arial"/>
          <w:sz w:val="20"/>
          <w:szCs w:val="20"/>
          <w:lang w:val="es-ES"/>
        </w:rPr>
        <w:t xml:space="preserve">(…) </w:t>
      </w:r>
      <w:r w:rsidRPr="00B07E90">
        <w:rPr>
          <w:rFonts w:ascii="Verdana" w:eastAsia="Arial" w:hAnsi="Verdana" w:cs="Arial"/>
          <w:sz w:val="20"/>
          <w:szCs w:val="20"/>
          <w:lang w:val="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Pr="00B07E90">
        <w:rPr>
          <w:rFonts w:ascii="Verdana" w:eastAsia="Arial" w:hAnsi="Verdana" w:cs="Arial"/>
          <w:spacing w:val="49"/>
          <w:sz w:val="20"/>
          <w:szCs w:val="20"/>
          <w:lang w:val="es-ES"/>
        </w:rPr>
        <w:t xml:space="preserve"> </w:t>
      </w:r>
      <w:r w:rsidRPr="00B07E90">
        <w:rPr>
          <w:rFonts w:ascii="Verdana" w:eastAsia="Arial" w:hAnsi="Verdana" w:cs="Arial"/>
          <w:sz w:val="20"/>
          <w:szCs w:val="20"/>
          <w:lang w:val="es-ES"/>
        </w:rPr>
        <w:t>exige el cumplimiento de la obligación de colaboración armónica consagrado en el artículo 113 de la C.P. para el cumplimiento de las funciones del Estado.</w:t>
      </w:r>
    </w:p>
    <w:p w14:paraId="7D6B77E1" w14:textId="77777777" w:rsidR="00EC5EC3" w:rsidRDefault="00EC5EC3" w:rsidP="00EC5EC3">
      <w:pPr>
        <w:widowControl w:val="0"/>
        <w:autoSpaceDE w:val="0"/>
        <w:autoSpaceDN w:val="0"/>
        <w:spacing w:after="0" w:line="240" w:lineRule="auto"/>
        <w:ind w:left="709" w:right="709"/>
        <w:jc w:val="both"/>
        <w:rPr>
          <w:rFonts w:ascii="Verdana" w:eastAsia="Arial" w:hAnsi="Verdana" w:cs="Arial"/>
          <w:sz w:val="20"/>
          <w:szCs w:val="20"/>
          <w:lang w:val="es-ES"/>
        </w:rPr>
      </w:pPr>
    </w:p>
    <w:p w14:paraId="1EE2EB13" w14:textId="77777777" w:rsidR="00EC5EC3" w:rsidRPr="00B07E90" w:rsidRDefault="00EC5EC3" w:rsidP="00EC5EC3">
      <w:pPr>
        <w:widowControl w:val="0"/>
        <w:autoSpaceDE w:val="0"/>
        <w:autoSpaceDN w:val="0"/>
        <w:spacing w:after="0" w:line="240" w:lineRule="auto"/>
        <w:ind w:left="709" w:right="709"/>
        <w:jc w:val="both"/>
        <w:rPr>
          <w:rFonts w:ascii="Verdana" w:eastAsia="Arial" w:hAnsi="Verdana" w:cs="Arial"/>
          <w:sz w:val="20"/>
          <w:szCs w:val="20"/>
        </w:rPr>
      </w:pPr>
      <w:r w:rsidRPr="75F73934">
        <w:rPr>
          <w:rFonts w:ascii="Verdana" w:eastAsia="Arial" w:hAnsi="Verdana" w:cs="Arial"/>
          <w:sz w:val="20"/>
          <w:szCs w:val="20"/>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75F73934">
        <w:rPr>
          <w:rStyle w:val="Refdenotaalpie"/>
          <w:rFonts w:ascii="Verdana" w:eastAsia="Arial" w:hAnsi="Verdana" w:cs="Arial"/>
          <w:sz w:val="20"/>
          <w:szCs w:val="20"/>
        </w:rPr>
        <w:footnoteReference w:id="31"/>
      </w:r>
      <w:r w:rsidRPr="75F73934">
        <w:rPr>
          <w:rFonts w:ascii="Verdana" w:eastAsia="Arial" w:hAnsi="Verdana" w:cs="Arial"/>
          <w:sz w:val="20"/>
          <w:szCs w:val="20"/>
        </w:rPr>
        <w:t>. De esta manera se pretende preservar a las universidades públicas y oficiales, de las injerencias e interferencias arbitrarias e indebidas del poder</w:t>
      </w:r>
      <w:r w:rsidRPr="75F73934">
        <w:rPr>
          <w:rFonts w:ascii="Verdana" w:eastAsia="Arial" w:hAnsi="Verdana" w:cs="Arial"/>
          <w:spacing w:val="-6"/>
          <w:sz w:val="20"/>
          <w:szCs w:val="20"/>
        </w:rPr>
        <w:t xml:space="preserve"> </w:t>
      </w:r>
      <w:r w:rsidRPr="75F73934">
        <w:rPr>
          <w:rFonts w:ascii="Verdana" w:eastAsia="Arial" w:hAnsi="Verdana" w:cs="Arial"/>
          <w:sz w:val="20"/>
          <w:szCs w:val="20"/>
        </w:rPr>
        <w:t>político (…)</w:t>
      </w:r>
      <w:r w:rsidRPr="75F73934">
        <w:rPr>
          <w:rStyle w:val="Refdenotaalpie"/>
          <w:rFonts w:ascii="Verdana" w:eastAsia="Arial" w:hAnsi="Verdana" w:cs="Arial"/>
          <w:sz w:val="20"/>
          <w:szCs w:val="20"/>
        </w:rPr>
        <w:footnoteReference w:id="32"/>
      </w:r>
      <w:r w:rsidRPr="75F73934">
        <w:rPr>
          <w:rFonts w:ascii="Verdana" w:eastAsia="Arial" w:hAnsi="Verdana" w:cs="Arial"/>
          <w:sz w:val="20"/>
          <w:szCs w:val="20"/>
        </w:rPr>
        <w:t>.</w:t>
      </w:r>
    </w:p>
    <w:p w14:paraId="026106F5" w14:textId="77777777" w:rsidR="00EC5EC3" w:rsidRPr="00D74F46" w:rsidRDefault="00EC5EC3" w:rsidP="00EC5EC3">
      <w:pPr>
        <w:widowControl w:val="0"/>
        <w:autoSpaceDE w:val="0"/>
        <w:autoSpaceDN w:val="0"/>
        <w:spacing w:after="0" w:line="240" w:lineRule="auto"/>
        <w:ind w:left="709" w:right="709"/>
        <w:jc w:val="both"/>
        <w:rPr>
          <w:rFonts w:ascii="Verdana" w:eastAsia="Arial" w:hAnsi="Verdana" w:cs="Arial"/>
          <w:lang w:val="es-ES"/>
        </w:rPr>
      </w:pPr>
    </w:p>
    <w:p w14:paraId="5F548A51" w14:textId="77777777" w:rsidR="00EC5EC3" w:rsidRPr="00D74F46" w:rsidRDefault="00EC5EC3" w:rsidP="00EC5EC3">
      <w:pPr>
        <w:widowControl w:val="0"/>
        <w:autoSpaceDE w:val="0"/>
        <w:autoSpaceDN w:val="0"/>
        <w:spacing w:after="120" w:line="276" w:lineRule="auto"/>
        <w:ind w:left="181" w:right="108" w:firstLine="527"/>
        <w:jc w:val="both"/>
        <w:rPr>
          <w:rFonts w:ascii="Verdana" w:eastAsia="Arial" w:hAnsi="Verdana" w:cs="Arial"/>
          <w:lang w:val="es-ES"/>
        </w:rPr>
      </w:pPr>
      <w:r w:rsidRPr="00D74F46">
        <w:rPr>
          <w:rFonts w:ascii="Verdana" w:eastAsia="Arial" w:hAnsi="Verdana" w:cs="Arial"/>
          <w:lang w:val="es-ES"/>
        </w:rPr>
        <w:t>En armonía con lo anterior, se ha considerado que los entes universitarios no son entidades que hagan parte de la rama ejecutiva, ni pueden, por tanto, considerarse entidades descentralizadas, sino que gozan de un régimen especial. Lo anterior fue señalado por el Consejo de Estado de la siguiente manera</w:t>
      </w:r>
      <w:r>
        <w:rPr>
          <w:rStyle w:val="Refdenotaalpie"/>
          <w:rFonts w:ascii="Verdana" w:eastAsia="Arial" w:hAnsi="Verdana" w:cs="Arial"/>
          <w:lang w:val="es-ES"/>
        </w:rPr>
        <w:footnoteReference w:id="33"/>
      </w:r>
      <w:r w:rsidRPr="00D74F46">
        <w:rPr>
          <w:rFonts w:ascii="Verdana" w:eastAsia="Arial" w:hAnsi="Verdana" w:cs="Arial"/>
          <w:lang w:val="es-ES"/>
        </w:rPr>
        <w:t>:</w:t>
      </w:r>
    </w:p>
    <w:p w14:paraId="494B30CD" w14:textId="77777777" w:rsidR="00EC5EC3" w:rsidRPr="00B07E90" w:rsidRDefault="00EC5EC3" w:rsidP="00EC5EC3">
      <w:pPr>
        <w:widowControl w:val="0"/>
        <w:autoSpaceDE w:val="0"/>
        <w:autoSpaceDN w:val="0"/>
        <w:spacing w:after="0" w:line="240" w:lineRule="auto"/>
        <w:ind w:left="748" w:right="534"/>
        <w:jc w:val="both"/>
        <w:rPr>
          <w:rFonts w:ascii="Verdana" w:eastAsia="Arial" w:hAnsi="Verdana" w:cs="Arial"/>
          <w:sz w:val="20"/>
          <w:szCs w:val="20"/>
          <w:lang w:val="es-ES"/>
        </w:rPr>
      </w:pPr>
      <w:r w:rsidRPr="00B07E90">
        <w:rPr>
          <w:rFonts w:ascii="Verdana" w:eastAsia="Arial" w:hAnsi="Verdana" w:cs="Arial"/>
          <w:sz w:val="20"/>
          <w:szCs w:val="20"/>
          <w:lang w:val="es-ES"/>
        </w:rPr>
        <w:t>(…) Ahora bien, en la disposición legal [art. 57 de la Ley 30/92] se menciona que las universidades estatales u oficiales están vinculadas al Ministerio de Educación Nacional en lo que se refiere a las políticas y planeación del sector educativo, en donde la jurisprudencia constitucional ha dejado en claro que es únicamente para efectos de coordinar y planear el desarrollo de directrices educativas, y no como organismos supeditados al poder ejecutivo, de manera que deben actuar con independencia del mismo, sin estar sujetas a un control de tutela como el concebido para los establecimientos públicos, concepto que por sí mismo niega la autonomía.</w:t>
      </w:r>
    </w:p>
    <w:p w14:paraId="649BFE1D" w14:textId="77777777" w:rsidR="00EC5EC3" w:rsidRDefault="00EC5EC3" w:rsidP="00EC5EC3">
      <w:pPr>
        <w:widowControl w:val="0"/>
        <w:autoSpaceDE w:val="0"/>
        <w:autoSpaceDN w:val="0"/>
        <w:spacing w:after="0" w:line="240" w:lineRule="auto"/>
        <w:ind w:left="748"/>
        <w:rPr>
          <w:rFonts w:ascii="Verdana" w:eastAsia="Arial" w:hAnsi="Verdana" w:cs="Arial"/>
          <w:sz w:val="20"/>
          <w:szCs w:val="20"/>
          <w:lang w:val="es-ES"/>
        </w:rPr>
      </w:pPr>
    </w:p>
    <w:p w14:paraId="4F708FFA" w14:textId="77777777" w:rsidR="00EC5EC3" w:rsidRPr="00B07E90" w:rsidRDefault="00EC5EC3" w:rsidP="00EC5EC3">
      <w:pPr>
        <w:widowControl w:val="0"/>
        <w:autoSpaceDE w:val="0"/>
        <w:autoSpaceDN w:val="0"/>
        <w:spacing w:after="0" w:line="240" w:lineRule="auto"/>
        <w:ind w:left="748"/>
        <w:rPr>
          <w:rFonts w:ascii="Verdana" w:eastAsia="Arial" w:hAnsi="Verdana" w:cs="Arial"/>
          <w:sz w:val="20"/>
          <w:szCs w:val="20"/>
          <w:lang w:val="es-ES"/>
        </w:rPr>
      </w:pPr>
      <w:r w:rsidRPr="00B07E90">
        <w:rPr>
          <w:rFonts w:ascii="Verdana" w:eastAsia="Arial" w:hAnsi="Verdana" w:cs="Arial"/>
          <w:sz w:val="20"/>
          <w:szCs w:val="20"/>
          <w:lang w:val="es-ES"/>
        </w:rPr>
        <w:t>[…]</w:t>
      </w:r>
    </w:p>
    <w:p w14:paraId="2C5043D0" w14:textId="77777777" w:rsidR="00EC5EC3" w:rsidRDefault="00EC5EC3" w:rsidP="00EC5EC3">
      <w:pPr>
        <w:widowControl w:val="0"/>
        <w:autoSpaceDE w:val="0"/>
        <w:autoSpaceDN w:val="0"/>
        <w:spacing w:after="0" w:line="240" w:lineRule="auto"/>
        <w:ind w:left="748" w:right="531"/>
        <w:jc w:val="both"/>
        <w:rPr>
          <w:rFonts w:ascii="Verdana" w:eastAsia="Arial" w:hAnsi="Verdana" w:cs="Arial"/>
          <w:sz w:val="20"/>
          <w:szCs w:val="20"/>
          <w:lang w:val="es-ES"/>
        </w:rPr>
      </w:pPr>
    </w:p>
    <w:p w14:paraId="1E463BCF" w14:textId="77777777" w:rsidR="00EC5EC3" w:rsidRPr="00B07E90" w:rsidRDefault="00EC5EC3" w:rsidP="00EC5EC3">
      <w:pPr>
        <w:widowControl w:val="0"/>
        <w:autoSpaceDE w:val="0"/>
        <w:autoSpaceDN w:val="0"/>
        <w:spacing w:after="0" w:line="240" w:lineRule="auto"/>
        <w:ind w:left="748" w:right="531"/>
        <w:jc w:val="both"/>
        <w:rPr>
          <w:rFonts w:ascii="Verdana" w:eastAsia="Arial" w:hAnsi="Verdana" w:cs="Arial"/>
          <w:sz w:val="20"/>
          <w:szCs w:val="20"/>
          <w:lang w:val="es-ES"/>
        </w:rPr>
      </w:pPr>
      <w:r w:rsidRPr="00B07E90">
        <w:rPr>
          <w:rFonts w:ascii="Verdana" w:eastAsia="Arial" w:hAnsi="Verdana" w:cs="Arial"/>
          <w:sz w:val="20"/>
          <w:szCs w:val="20"/>
          <w:lang w:val="es-ES"/>
        </w:rPr>
        <w:t>La situación se modificó con el actual marco constitucional en donde se estableció [art. 69] la garantía a la autonomía universitaria, para que pudieran darse sus directivas y regirse por sus propios estatutos, de acuerdo con el régimen especial que previera la Ley para las universidades del Estado, por lo cual se despojaban del control de tutela que ejercía el ejecutivo sobre ellas, con el fin de garantizar la independencia académica en la educación superior, sin ningún tipo de injerencia del poder público.</w:t>
      </w:r>
    </w:p>
    <w:p w14:paraId="0771455A" w14:textId="77777777" w:rsidR="00EC5EC3" w:rsidRDefault="00EC5EC3" w:rsidP="00EC5EC3">
      <w:pPr>
        <w:widowControl w:val="0"/>
        <w:autoSpaceDE w:val="0"/>
        <w:autoSpaceDN w:val="0"/>
        <w:spacing w:after="0" w:line="240" w:lineRule="auto"/>
        <w:ind w:left="748" w:right="535"/>
        <w:jc w:val="both"/>
        <w:rPr>
          <w:rFonts w:ascii="Verdana" w:eastAsia="Arial" w:hAnsi="Verdana" w:cs="Arial"/>
          <w:sz w:val="20"/>
          <w:szCs w:val="20"/>
          <w:lang w:val="es-ES"/>
        </w:rPr>
      </w:pPr>
    </w:p>
    <w:p w14:paraId="1F7E364F" w14:textId="77777777" w:rsidR="00EC5EC3" w:rsidRPr="00B07E90" w:rsidRDefault="00EC5EC3" w:rsidP="00EC5EC3">
      <w:pPr>
        <w:widowControl w:val="0"/>
        <w:autoSpaceDE w:val="0"/>
        <w:autoSpaceDN w:val="0"/>
        <w:spacing w:after="0" w:line="240" w:lineRule="auto"/>
        <w:ind w:left="748" w:right="535"/>
        <w:jc w:val="both"/>
        <w:rPr>
          <w:rFonts w:ascii="Verdana" w:eastAsia="Arial" w:hAnsi="Verdana" w:cs="Arial"/>
          <w:sz w:val="20"/>
          <w:szCs w:val="20"/>
          <w:lang w:val="es-ES"/>
        </w:rPr>
      </w:pPr>
      <w:r w:rsidRPr="00B07E90">
        <w:rPr>
          <w:rFonts w:ascii="Verdana" w:eastAsia="Arial" w:hAnsi="Verdana" w:cs="Arial"/>
          <w:sz w:val="20"/>
          <w:szCs w:val="20"/>
          <w:lang w:val="es-ES"/>
        </w:rPr>
        <w:t>Lo anterior hizo que dejaran de pertenecer a la rama ejecutiva y por supuesto no hicieran parte de las demás [legislativa y judicial], al convertirse en organismos autónomos que cumplen funciones estatales de trascendental importancia para la nación, sin perder la calidad de entidades públicas</w:t>
      </w:r>
      <w:r>
        <w:rPr>
          <w:rFonts w:ascii="Verdana" w:eastAsia="Arial" w:hAnsi="Verdana" w:cs="Arial"/>
          <w:sz w:val="20"/>
          <w:szCs w:val="20"/>
          <w:lang w:val="es-ES"/>
        </w:rPr>
        <w:t xml:space="preserve"> (…)”. </w:t>
      </w:r>
    </w:p>
    <w:p w14:paraId="47F63969" w14:textId="77777777" w:rsidR="00EC5EC3" w:rsidRPr="00D74F46" w:rsidRDefault="00EC5EC3" w:rsidP="00EC5EC3">
      <w:pPr>
        <w:widowControl w:val="0"/>
        <w:autoSpaceDE w:val="0"/>
        <w:autoSpaceDN w:val="0"/>
        <w:spacing w:after="0" w:line="240" w:lineRule="auto"/>
        <w:ind w:left="748" w:right="533"/>
        <w:jc w:val="both"/>
        <w:rPr>
          <w:rFonts w:ascii="Verdana" w:eastAsia="Arial" w:hAnsi="Verdana" w:cs="Arial"/>
          <w:lang w:val="es-ES"/>
        </w:rPr>
      </w:pPr>
    </w:p>
    <w:p w14:paraId="4C053A46" w14:textId="77777777" w:rsidR="00EC5EC3" w:rsidRPr="00D74F46" w:rsidRDefault="00EC5EC3" w:rsidP="00EC5EC3">
      <w:pPr>
        <w:widowControl w:val="0"/>
        <w:autoSpaceDE w:val="0"/>
        <w:autoSpaceDN w:val="0"/>
        <w:spacing w:after="120" w:line="276" w:lineRule="auto"/>
        <w:ind w:left="180" w:right="108" w:firstLine="528"/>
        <w:jc w:val="both"/>
        <w:rPr>
          <w:rFonts w:ascii="Verdana" w:eastAsia="Arial" w:hAnsi="Verdana" w:cs="Arial"/>
          <w:lang w:val="es-ES"/>
        </w:rPr>
      </w:pPr>
      <w:r w:rsidRPr="00D74F46">
        <w:rPr>
          <w:rFonts w:ascii="Verdana" w:eastAsia="Arial" w:hAnsi="Verdana" w:cs="Arial"/>
          <w:lang w:val="es-ES"/>
        </w:rPr>
        <w:t>De este modo, la diferenciación entre universidades públicas y entidades descentralizadas radica, entre otras cosas, en la autonomía de la que aquellas gozan. Esto, en la medida en que a las universidades públicas no les aplica un elemento característico de la descentralización denominado control de tutela, sobre el cual, en sentencia C–727 del 21 de junio de 2000, la Corte Constitucional señaló:</w:t>
      </w:r>
    </w:p>
    <w:p w14:paraId="7F99740E" w14:textId="77777777" w:rsidR="00EC5EC3" w:rsidRPr="00B07E90" w:rsidRDefault="00EC5EC3" w:rsidP="00EC5EC3">
      <w:pPr>
        <w:widowControl w:val="0"/>
        <w:autoSpaceDE w:val="0"/>
        <w:autoSpaceDN w:val="0"/>
        <w:spacing w:after="0" w:line="240" w:lineRule="auto"/>
        <w:ind w:left="748" w:right="533"/>
        <w:jc w:val="both"/>
        <w:rPr>
          <w:rFonts w:ascii="Verdana" w:eastAsia="Arial" w:hAnsi="Verdana" w:cs="Arial"/>
          <w:sz w:val="20"/>
          <w:szCs w:val="20"/>
          <w:lang w:val="es-ES"/>
        </w:rPr>
      </w:pPr>
      <w:r>
        <w:rPr>
          <w:rFonts w:ascii="Verdana" w:eastAsia="Arial" w:hAnsi="Verdana" w:cs="Arial"/>
          <w:sz w:val="20"/>
          <w:szCs w:val="20"/>
          <w:lang w:val="es-ES"/>
        </w:rPr>
        <w:t>“</w:t>
      </w:r>
      <w:r w:rsidRPr="00B07E90">
        <w:rPr>
          <w:rFonts w:ascii="Verdana" w:eastAsia="Arial" w:hAnsi="Verdana" w:cs="Arial"/>
          <w:sz w:val="20"/>
          <w:szCs w:val="20"/>
          <w:lang w:val="es-ES"/>
        </w:rPr>
        <w:t>(…) La descentralización es una forma de organización administrativa propia de los Estados de forma unitaria, que atenúa la centralización permitiendo la transferencia de competencias a organismos distintos del poder central, que adquieren autonomía en la gestión de las respectivas funciones. No obstante, esta transferencia no implica la ruptura total del vínculo entre el poder central y la entidad descentralizada, sino que, en aras de garantizar el principio de coordinación que gobierna la función administrativa, dicho vínculo permanece vigente a través del llamado control de tutela, existente en nuestra organización administrativa respecto de los entes funcionalmente descentralizados, con definidos perfiles jurídicos, desde la reforma constitucional y administrativa operada en 1968</w:t>
      </w:r>
      <w:r>
        <w:rPr>
          <w:rFonts w:ascii="Verdana" w:eastAsia="Arial" w:hAnsi="Verdana" w:cs="Arial"/>
          <w:sz w:val="20"/>
          <w:szCs w:val="20"/>
          <w:lang w:val="es-ES"/>
        </w:rPr>
        <w:t>”.</w:t>
      </w:r>
    </w:p>
    <w:p w14:paraId="3D063B1E" w14:textId="77777777" w:rsidR="00EC5EC3" w:rsidRDefault="00EC5EC3" w:rsidP="00EC5EC3">
      <w:pPr>
        <w:widowControl w:val="0"/>
        <w:autoSpaceDE w:val="0"/>
        <w:autoSpaceDN w:val="0"/>
        <w:spacing w:after="0" w:line="240" w:lineRule="auto"/>
        <w:ind w:firstLine="709"/>
        <w:jc w:val="both"/>
        <w:rPr>
          <w:rFonts w:ascii="Verdana" w:eastAsia="Arial" w:hAnsi="Verdana" w:cs="Arial"/>
          <w:lang w:val="es-ES"/>
        </w:rPr>
      </w:pPr>
    </w:p>
    <w:p w14:paraId="3316B575" w14:textId="77777777" w:rsidR="00EC5EC3" w:rsidRPr="00D74F46" w:rsidRDefault="00EC5EC3" w:rsidP="00EC5EC3">
      <w:pPr>
        <w:widowControl w:val="0"/>
        <w:autoSpaceDE w:val="0"/>
        <w:autoSpaceDN w:val="0"/>
        <w:spacing w:after="120" w:line="276" w:lineRule="auto"/>
        <w:ind w:firstLine="709"/>
        <w:jc w:val="both"/>
        <w:rPr>
          <w:rFonts w:ascii="Verdana" w:hAnsi="Verdana" w:cs="Arial"/>
          <w:color w:val="000000"/>
        </w:rPr>
      </w:pPr>
      <w:r w:rsidRPr="00D74F46">
        <w:rPr>
          <w:rFonts w:ascii="Verdana" w:eastAsia="Arial" w:hAnsi="Verdana" w:cs="Arial"/>
          <w:lang w:val="es-ES"/>
        </w:rPr>
        <w:t xml:space="preserve">En suma, la descentralización involucra el ejercicio de un control de tutela que no puede aplicarse a los entes universitarios autónomos, motivo por el cual, si bien son entes del Estado, no son ni pueden ser asimiladas a entidades descentralizadas y tampoco encuadran en el concepto de entidad territorial. </w:t>
      </w:r>
      <w:r w:rsidRPr="00D74F46">
        <w:rPr>
          <w:rFonts w:ascii="Verdana" w:hAnsi="Verdana" w:cs="Arial"/>
          <w:bCs/>
          <w:color w:val="000000" w:themeColor="text1"/>
          <w:lang w:eastAsia="es-ES_tradnl"/>
        </w:rPr>
        <w:t xml:space="preserve">No obstante, es preciso advertir que no todas las instituciones de educación superior públicas obedecen a la naturaleza jurídica de entes universitarios autónomos o universidades públicas, comoquiera que el parágrafo 1 del artículo 57 de la Ley 30 de 1992 establece que las </w:t>
      </w:r>
      <w:r>
        <w:rPr>
          <w:rFonts w:ascii="Verdana" w:hAnsi="Verdana" w:cs="Arial"/>
          <w:bCs/>
          <w:color w:val="000000" w:themeColor="text1"/>
          <w:lang w:eastAsia="es-ES_tradnl"/>
        </w:rPr>
        <w:t>“</w:t>
      </w:r>
      <w:r w:rsidRPr="00D74F46">
        <w:rPr>
          <w:rFonts w:ascii="Verdana" w:hAnsi="Verdana" w:cs="Arial"/>
          <w:color w:val="000000"/>
        </w:rPr>
        <w:t xml:space="preserve">Las instituciones estatales u oficiales de Educación Superior que no tengan el carácter de universidad </w:t>
      </w:r>
      <w:r>
        <w:rPr>
          <w:rFonts w:ascii="Verdana" w:hAnsi="Verdana" w:cs="Arial"/>
          <w:color w:val="000000"/>
        </w:rPr>
        <w:t>(…)</w:t>
      </w:r>
      <w:r w:rsidRPr="00D74F46">
        <w:rPr>
          <w:rFonts w:ascii="Verdana" w:hAnsi="Verdana" w:cs="Arial"/>
          <w:color w:val="000000"/>
        </w:rPr>
        <w:t xml:space="preserve"> deberán organizarse como Establecimientos Públicos del orden Nacional, Departamental, Distrital o Municipal</w:t>
      </w:r>
      <w:r>
        <w:rPr>
          <w:rFonts w:ascii="Verdana" w:hAnsi="Verdana" w:cs="Arial"/>
          <w:color w:val="000000"/>
        </w:rPr>
        <w:t>”</w:t>
      </w:r>
      <w:r w:rsidRPr="00D74F46">
        <w:rPr>
          <w:rFonts w:ascii="Verdana" w:hAnsi="Verdana" w:cs="Arial"/>
          <w:color w:val="000000"/>
        </w:rPr>
        <w:t xml:space="preserve">. Esta norma además es referida en la Ley 749 de 2002 </w:t>
      </w:r>
      <w:r>
        <w:rPr>
          <w:rFonts w:ascii="Verdana" w:hAnsi="Verdana" w:cs="Arial"/>
          <w:color w:val="000000"/>
        </w:rPr>
        <w:t>“</w:t>
      </w:r>
      <w:r w:rsidRPr="00D74F46">
        <w:rPr>
          <w:rFonts w:ascii="Verdana" w:hAnsi="Verdana" w:cs="Arial"/>
          <w:color w:val="000000"/>
        </w:rPr>
        <w:t>por la cual se organiza el servicio público de la educación superior en las modalidades de formación técnica profesional y tecnológica, y se dictan otras disposiciones</w:t>
      </w:r>
      <w:r>
        <w:rPr>
          <w:rFonts w:ascii="Verdana" w:hAnsi="Verdana" w:cs="Arial"/>
          <w:color w:val="000000"/>
        </w:rPr>
        <w:t>”</w:t>
      </w:r>
      <w:r w:rsidRPr="00D74F46">
        <w:rPr>
          <w:rFonts w:ascii="Verdana" w:hAnsi="Verdana" w:cs="Arial"/>
          <w:color w:val="000000"/>
        </w:rPr>
        <w:t>, en cuyo artículo 18 se prevé que «Las instituciones técnicas profesionales y tecnológicas de educación superior estatales u oficiales, son establecimientos públicos de conformidad con el artículo 57 de la Ley 30 de 1992</w:t>
      </w:r>
      <w:r>
        <w:rPr>
          <w:rFonts w:ascii="Verdana" w:hAnsi="Verdana" w:cs="Arial"/>
          <w:color w:val="000000"/>
        </w:rPr>
        <w:t>”</w:t>
      </w:r>
      <w:r w:rsidRPr="00D74F46">
        <w:rPr>
          <w:rFonts w:ascii="Verdana" w:hAnsi="Verdana" w:cs="Arial"/>
          <w:color w:val="000000"/>
        </w:rPr>
        <w:t>.</w:t>
      </w:r>
    </w:p>
    <w:p w14:paraId="093C0EE4" w14:textId="77777777" w:rsidR="00EC5EC3" w:rsidRPr="00D74F46"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sidRPr="00D74F46">
        <w:rPr>
          <w:rFonts w:ascii="Verdana" w:hAnsi="Verdana" w:cs="Arial"/>
          <w:bCs/>
          <w:color w:val="000000" w:themeColor="text1"/>
          <w:sz w:val="22"/>
          <w:szCs w:val="22"/>
          <w:lang w:eastAsia="es-ES_tradnl"/>
        </w:rPr>
        <w:t xml:space="preserve">Los establecimientos públicos </w:t>
      </w:r>
      <w:r w:rsidRPr="00D74F46">
        <w:rPr>
          <w:rFonts w:ascii="Verdana" w:hAnsi="Verdana" w:cs="Arial"/>
          <w:bCs/>
          <w:color w:val="000000"/>
          <w:sz w:val="22"/>
          <w:szCs w:val="22"/>
        </w:rPr>
        <w:t>son definidos</w:t>
      </w:r>
      <w:r w:rsidRPr="00D74F46">
        <w:rPr>
          <w:rFonts w:ascii="Verdana" w:hAnsi="Verdana" w:cs="Arial"/>
          <w:color w:val="000000"/>
          <w:sz w:val="22"/>
          <w:szCs w:val="22"/>
        </w:rPr>
        <w:t xml:space="preserve"> por el artículo 70 de la Ley 489 de 1998 como </w:t>
      </w:r>
      <w:r>
        <w:rPr>
          <w:rFonts w:ascii="Verdana" w:hAnsi="Verdana" w:cs="Arial"/>
          <w:color w:val="000000"/>
          <w:sz w:val="22"/>
          <w:szCs w:val="22"/>
        </w:rPr>
        <w:t>“(…)</w:t>
      </w:r>
      <w:r w:rsidRPr="00D74F46">
        <w:rPr>
          <w:rFonts w:ascii="Verdana" w:hAnsi="Verdana" w:cs="Arial"/>
          <w:color w:val="000000"/>
          <w:sz w:val="22"/>
          <w:szCs w:val="22"/>
        </w:rPr>
        <w:t xml:space="preserve"> organismos encargados principalmente de atender funciones administrativas y de prestar servicios públicos conforme a las reglas del Derecho Público</w:t>
      </w:r>
      <w:r>
        <w:rPr>
          <w:rFonts w:ascii="Verdana" w:hAnsi="Verdana" w:cs="Arial"/>
          <w:color w:val="000000"/>
          <w:sz w:val="22"/>
          <w:szCs w:val="22"/>
        </w:rPr>
        <w:t>”</w:t>
      </w:r>
      <w:r w:rsidRPr="00D74F46">
        <w:rPr>
          <w:rFonts w:ascii="Verdana" w:hAnsi="Verdana" w:cs="Arial"/>
          <w:color w:val="000000"/>
          <w:sz w:val="22"/>
          <w:szCs w:val="22"/>
        </w:rPr>
        <w:t xml:space="preserve">. Dicha norma además establece como atributos de este tipo de entidades: la personería jurídica, la autonomía administrativa y financiera y patrimonio independiente. Por su parte, el artículo 68 de la Ley 489 de 1998, al definir las entidades descentralizadas, expresamente contempla a los establecimientos públicos, lo que supone que, al margen de la autonomía de la que gozan, </w:t>
      </w:r>
      <w:r>
        <w:rPr>
          <w:rFonts w:ascii="Verdana" w:hAnsi="Verdana" w:cs="Arial"/>
          <w:color w:val="000000"/>
          <w:sz w:val="22"/>
          <w:szCs w:val="22"/>
        </w:rPr>
        <w:t xml:space="preserve">“(…) </w:t>
      </w:r>
      <w:r w:rsidRPr="00D74F46">
        <w:rPr>
          <w:rFonts w:ascii="Verdana" w:hAnsi="Verdana" w:cs="Arial"/>
          <w:color w:val="000000"/>
          <w:sz w:val="22"/>
          <w:szCs w:val="22"/>
        </w:rPr>
        <w:t>están sujetas al control político y a la suprema dirección del órgano de la administración al cual están adscritas</w:t>
      </w:r>
      <w:r>
        <w:rPr>
          <w:rFonts w:ascii="Verdana" w:hAnsi="Verdana" w:cs="Arial"/>
          <w:color w:val="000000"/>
          <w:sz w:val="22"/>
          <w:szCs w:val="22"/>
        </w:rPr>
        <w:t>”</w:t>
      </w:r>
      <w:r w:rsidRPr="00D74F46">
        <w:rPr>
          <w:rFonts w:ascii="Verdana" w:hAnsi="Verdana" w:cs="Arial"/>
          <w:color w:val="000000"/>
          <w:sz w:val="22"/>
          <w:szCs w:val="22"/>
        </w:rPr>
        <w:t xml:space="preserve">. De esto se colige que, a diferencia de las universidades públicas, las instituciones de educación superior constituidas como establecimientos públicos sí son consideradas entidades descentralizadas, por lo que no están excluidos del control de tutela propio de la descentralización. </w:t>
      </w:r>
    </w:p>
    <w:p w14:paraId="6013FBF2" w14:textId="77777777" w:rsidR="00EC5EC3" w:rsidRPr="00D74F46"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sidRPr="00D74F46">
        <w:rPr>
          <w:rFonts w:ascii="Verdana" w:hAnsi="Verdana" w:cs="Arial"/>
          <w:color w:val="000000"/>
          <w:sz w:val="22"/>
          <w:szCs w:val="22"/>
        </w:rPr>
        <w:t xml:space="preserve">En cuanto al régimen contractual de los establecimientos públicos, el artículo 81 de la Ley 489 de 1998 prevé que </w:t>
      </w:r>
      <w:r>
        <w:rPr>
          <w:rFonts w:ascii="Verdana" w:hAnsi="Verdana" w:cs="Arial"/>
          <w:color w:val="000000"/>
          <w:sz w:val="22"/>
          <w:szCs w:val="22"/>
        </w:rPr>
        <w:t>“</w:t>
      </w:r>
      <w:r w:rsidRPr="00D74F46">
        <w:rPr>
          <w:rFonts w:ascii="Verdana" w:hAnsi="Verdana" w:cs="Arial"/>
          <w:color w:val="000000"/>
          <w:sz w:val="22"/>
          <w:szCs w:val="22"/>
        </w:rPr>
        <w:t xml:space="preserve">Los contratos que celebren </w:t>
      </w:r>
      <w:r>
        <w:rPr>
          <w:rFonts w:ascii="Verdana" w:hAnsi="Verdana" w:cs="Arial"/>
          <w:color w:val="000000"/>
          <w:sz w:val="22"/>
          <w:szCs w:val="22"/>
        </w:rPr>
        <w:t xml:space="preserve">(…) </w:t>
      </w:r>
      <w:r w:rsidRPr="00D74F46">
        <w:rPr>
          <w:rFonts w:ascii="Verdana" w:hAnsi="Verdana" w:cs="Arial"/>
          <w:color w:val="000000"/>
          <w:sz w:val="22"/>
          <w:szCs w:val="22"/>
        </w:rPr>
        <w:t>se rigen por las normas del Estatuto Contractual de las entidades estatales contenido en la Ley 80 de 1993 y las disposiciones que lo complementen, adicionen o modifiquen, sin perjuicio de lo dispuesto en las normas especiales</w:t>
      </w:r>
      <w:r>
        <w:rPr>
          <w:rFonts w:ascii="Verdana" w:hAnsi="Verdana" w:cs="Arial"/>
          <w:color w:val="000000"/>
          <w:sz w:val="22"/>
          <w:szCs w:val="22"/>
        </w:rPr>
        <w:t>”</w:t>
      </w:r>
      <w:r w:rsidRPr="00D74F46">
        <w:rPr>
          <w:rFonts w:ascii="Verdana" w:hAnsi="Verdana" w:cs="Arial"/>
          <w:color w:val="000000"/>
          <w:sz w:val="22"/>
          <w:szCs w:val="22"/>
        </w:rPr>
        <w:t xml:space="preserve">. </w:t>
      </w:r>
      <w:r w:rsidRPr="00D74F46">
        <w:rPr>
          <w:rFonts w:ascii="Verdana" w:hAnsi="Verdana" w:cs="Arial"/>
          <w:bCs/>
          <w:color w:val="000000" w:themeColor="text1"/>
          <w:sz w:val="22"/>
          <w:szCs w:val="22"/>
          <w:lang w:eastAsia="es-ES_tradnl"/>
        </w:rPr>
        <w:t>Esto es concordante con el artículo 2-1 de la Ley 80 de 1993</w:t>
      </w:r>
      <w:r w:rsidRPr="00D74F46">
        <w:rPr>
          <w:rStyle w:val="Refdenotaalpie"/>
          <w:rFonts w:ascii="Verdana" w:hAnsi="Verdana" w:cs="Arial"/>
          <w:bCs/>
          <w:color w:val="000000" w:themeColor="text1"/>
          <w:sz w:val="22"/>
          <w:szCs w:val="22"/>
          <w:lang w:eastAsia="es-ES_tradnl"/>
        </w:rPr>
        <w:footnoteReference w:id="34"/>
      </w:r>
      <w:r w:rsidRPr="00D74F46">
        <w:rPr>
          <w:rFonts w:ascii="Verdana" w:hAnsi="Verdana" w:cs="Arial"/>
          <w:bCs/>
          <w:color w:val="000000" w:themeColor="text1"/>
          <w:sz w:val="22"/>
          <w:szCs w:val="22"/>
          <w:lang w:eastAsia="es-ES_tradnl"/>
        </w:rPr>
        <w:t xml:space="preserve">, que, al enlistar a los establecimientos públicos dentro de las entidades estatales, incluye a este tipo de entidades dentro del ámbito de aplicación del régimen general de contratación público. Así, el régimen contractual constituye otra importante diferencia entre las </w:t>
      </w:r>
      <w:proofErr w:type="gramStart"/>
      <w:r w:rsidRPr="00D74F46">
        <w:rPr>
          <w:rFonts w:ascii="Verdana" w:hAnsi="Verdana" w:cs="Arial"/>
          <w:bCs/>
          <w:color w:val="000000" w:themeColor="text1"/>
          <w:sz w:val="22"/>
          <w:szCs w:val="22"/>
          <w:lang w:eastAsia="es-ES_tradnl"/>
        </w:rPr>
        <w:t>universidades públicas y los establecimientos públicos</w:t>
      </w:r>
      <w:proofErr w:type="gramEnd"/>
      <w:r w:rsidRPr="00D74F46">
        <w:rPr>
          <w:rFonts w:ascii="Verdana" w:hAnsi="Verdana" w:cs="Arial"/>
          <w:bCs/>
          <w:color w:val="000000" w:themeColor="text1"/>
          <w:sz w:val="22"/>
          <w:szCs w:val="22"/>
          <w:lang w:eastAsia="es-ES_tradnl"/>
        </w:rPr>
        <w:t xml:space="preserve"> de educación superior, al estar las primeras sometidas a regímenes de derecho privado, en virtud de lo señalado en el artículo 93 de la Ley 30 de 1992, que únicamente se refiere a </w:t>
      </w:r>
      <w:r>
        <w:rPr>
          <w:rFonts w:ascii="Verdana" w:hAnsi="Verdana" w:cs="Arial"/>
          <w:bCs/>
          <w:color w:val="000000" w:themeColor="text1"/>
          <w:sz w:val="22"/>
          <w:szCs w:val="22"/>
          <w:lang w:eastAsia="es-ES_tradnl"/>
        </w:rPr>
        <w:t>“</w:t>
      </w:r>
      <w:r w:rsidRPr="00D74F46">
        <w:rPr>
          <w:rFonts w:ascii="Verdana" w:hAnsi="Verdana" w:cs="Arial"/>
          <w:sz w:val="22"/>
          <w:szCs w:val="22"/>
        </w:rPr>
        <w:t>universidades</w:t>
      </w:r>
      <w:r w:rsidRPr="00D74F46">
        <w:rPr>
          <w:rFonts w:ascii="Verdana" w:hAnsi="Verdana" w:cs="Arial"/>
          <w:bCs/>
          <w:color w:val="000000" w:themeColor="text1"/>
          <w:sz w:val="22"/>
          <w:szCs w:val="22"/>
          <w:lang w:eastAsia="es-ES_tradnl"/>
        </w:rPr>
        <w:t xml:space="preserve"> estatales u oficiales</w:t>
      </w:r>
      <w:r>
        <w:rPr>
          <w:rFonts w:ascii="Verdana" w:hAnsi="Verdana" w:cs="Arial"/>
          <w:bCs/>
          <w:color w:val="000000" w:themeColor="text1"/>
          <w:sz w:val="22"/>
          <w:szCs w:val="22"/>
          <w:lang w:eastAsia="es-ES_tradnl"/>
        </w:rPr>
        <w:t>”</w:t>
      </w:r>
      <w:r w:rsidRPr="00D74F46">
        <w:rPr>
          <w:rFonts w:ascii="Verdana" w:hAnsi="Verdana" w:cs="Arial"/>
          <w:bCs/>
          <w:color w:val="000000" w:themeColor="text1"/>
          <w:sz w:val="22"/>
          <w:szCs w:val="22"/>
          <w:lang w:eastAsia="es-ES_tradnl"/>
        </w:rPr>
        <w:t>, más no a los establecimientos públicos de los que habla el artículo 57 de dicha ley en su parágrafo 1.</w:t>
      </w:r>
    </w:p>
    <w:p w14:paraId="79B558D0" w14:textId="77777777" w:rsidR="00EC5EC3" w:rsidRPr="00D74F46"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sidRPr="00D74F46">
        <w:rPr>
          <w:rFonts w:ascii="Verdana" w:hAnsi="Verdana" w:cs="Arial"/>
          <w:color w:val="000000"/>
          <w:sz w:val="22"/>
          <w:szCs w:val="22"/>
        </w:rPr>
        <w:t xml:space="preserve">Lo anterior resulta relevante para efectos de la consulta, en la medida en que es determinante para establecer el alcance de las prohibiciones contenidas en la Ley de Garantías Electorales. De acuerdo con lo explicado sobre las restricciones contractuales establecidas por </w:t>
      </w:r>
      <w:r>
        <w:rPr>
          <w:rFonts w:ascii="Verdana" w:hAnsi="Verdana" w:cs="Arial"/>
          <w:color w:val="000000"/>
          <w:sz w:val="22"/>
          <w:szCs w:val="22"/>
        </w:rPr>
        <w:t xml:space="preserve">el artículo 33 de </w:t>
      </w:r>
      <w:r w:rsidRPr="00D74F46">
        <w:rPr>
          <w:rFonts w:ascii="Verdana" w:hAnsi="Verdana" w:cs="Arial"/>
          <w:color w:val="000000"/>
          <w:sz w:val="22"/>
          <w:szCs w:val="22"/>
        </w:rPr>
        <w:t>la Ley 996 de 2005, resulta palmario que tanto universidades públicas como</w:t>
      </w:r>
      <w:r>
        <w:rPr>
          <w:rFonts w:ascii="Verdana" w:hAnsi="Verdana" w:cs="Arial"/>
          <w:color w:val="000000"/>
          <w:sz w:val="22"/>
          <w:szCs w:val="22"/>
        </w:rPr>
        <w:t xml:space="preserve"> los</w:t>
      </w:r>
      <w:r w:rsidRPr="00D74F46">
        <w:rPr>
          <w:rFonts w:ascii="Verdana" w:hAnsi="Verdana" w:cs="Arial"/>
          <w:color w:val="000000"/>
          <w:sz w:val="22"/>
          <w:szCs w:val="22"/>
        </w:rPr>
        <w:t xml:space="preserve"> establecimientos públicos educativos, dada su irrefutable calidad de </w:t>
      </w:r>
      <w:r>
        <w:rPr>
          <w:rFonts w:ascii="Verdana" w:hAnsi="Verdana" w:cs="Arial"/>
          <w:color w:val="000000"/>
          <w:sz w:val="22"/>
          <w:szCs w:val="22"/>
        </w:rPr>
        <w:t>“</w:t>
      </w:r>
      <w:r w:rsidRPr="00D74F46">
        <w:rPr>
          <w:rFonts w:ascii="Verdana" w:hAnsi="Verdana" w:cs="Arial"/>
          <w:color w:val="000000"/>
          <w:sz w:val="22"/>
          <w:szCs w:val="22"/>
        </w:rPr>
        <w:t>entes del Estado</w:t>
      </w:r>
      <w:r>
        <w:rPr>
          <w:rFonts w:ascii="Verdana" w:hAnsi="Verdana" w:cs="Arial"/>
          <w:color w:val="000000"/>
          <w:sz w:val="22"/>
          <w:szCs w:val="22"/>
        </w:rPr>
        <w:t>”</w:t>
      </w:r>
      <w:r w:rsidRPr="00D74F46">
        <w:rPr>
          <w:rFonts w:ascii="Verdana" w:hAnsi="Verdana" w:cs="Arial"/>
          <w:color w:val="000000"/>
          <w:sz w:val="22"/>
          <w:szCs w:val="22"/>
        </w:rPr>
        <w:t>, se encuentran dentro del ámbito material de la restricción del artículo 33. Sin embargo, la diferencia en la naturaleza jurídica de ambos tipos de entidades hace que la conclusión sobre sobre la aplicabilidad de la restricción del artículo 38 sea una para los entes universitarios autónomos y otra para los establecimientos públicos de educación superior.</w:t>
      </w:r>
    </w:p>
    <w:p w14:paraId="3D1D24F7" w14:textId="77777777" w:rsidR="00EC5EC3" w:rsidRPr="00D74F46"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sidRPr="00D74F46">
        <w:rPr>
          <w:rFonts w:ascii="Verdana" w:hAnsi="Verdana" w:cs="Arial"/>
          <w:color w:val="000000"/>
          <w:sz w:val="22"/>
          <w:szCs w:val="22"/>
        </w:rPr>
        <w:t xml:space="preserve"> Conforme se estableció </w:t>
      </w:r>
      <w:r w:rsidRPr="00D74F46">
        <w:rPr>
          <w:rFonts w:ascii="Verdana" w:hAnsi="Verdana" w:cs="Arial"/>
          <w:i/>
          <w:iCs/>
          <w:color w:val="000000"/>
          <w:sz w:val="22"/>
          <w:szCs w:val="22"/>
        </w:rPr>
        <w:t>supra</w:t>
      </w:r>
      <w:r w:rsidRPr="00D74F46">
        <w:rPr>
          <w:rFonts w:ascii="Verdana" w:hAnsi="Verdana" w:cs="Arial"/>
          <w:color w:val="000000"/>
          <w:sz w:val="22"/>
          <w:szCs w:val="22"/>
        </w:rPr>
        <w:t xml:space="preserve">, la restricción que deriva del primer inciso del parágrafo del artículo 38 tiene como destinatarios a los entes territoriales y sus entidades descentralizadas, lo que excluye de la prohibición a los entes universitarios </w:t>
      </w:r>
      <w:r>
        <w:rPr>
          <w:rFonts w:ascii="Verdana" w:hAnsi="Verdana" w:cs="Arial"/>
          <w:color w:val="000000"/>
          <w:sz w:val="22"/>
          <w:szCs w:val="22"/>
        </w:rPr>
        <w:t xml:space="preserve">por cuanto </w:t>
      </w:r>
      <w:r w:rsidRPr="00D74F46">
        <w:rPr>
          <w:rFonts w:ascii="Verdana" w:hAnsi="Verdana" w:cs="Arial"/>
          <w:color w:val="000000"/>
          <w:sz w:val="22"/>
          <w:szCs w:val="22"/>
        </w:rPr>
        <w:t>no son considerad</w:t>
      </w:r>
      <w:r>
        <w:rPr>
          <w:rFonts w:ascii="Verdana" w:hAnsi="Verdana" w:cs="Arial"/>
          <w:color w:val="000000"/>
          <w:sz w:val="22"/>
          <w:szCs w:val="22"/>
        </w:rPr>
        <w:t>as</w:t>
      </w:r>
      <w:r w:rsidRPr="00D74F46">
        <w:rPr>
          <w:rFonts w:ascii="Verdana" w:hAnsi="Verdana" w:cs="Arial"/>
          <w:color w:val="000000"/>
          <w:sz w:val="22"/>
          <w:szCs w:val="22"/>
        </w:rPr>
        <w:t xml:space="preserve"> entidades descentralizadas y mucho menos entidades territoriales. Caso contrario ocurre con las instituciones de educación superior constituidas como establecimientos públicos, quienes s</w:t>
      </w:r>
      <w:r>
        <w:rPr>
          <w:rFonts w:ascii="Verdana" w:hAnsi="Verdana" w:cs="Arial"/>
          <w:color w:val="000000"/>
          <w:sz w:val="22"/>
          <w:szCs w:val="22"/>
        </w:rPr>
        <w:t>í</w:t>
      </w:r>
      <w:r w:rsidRPr="00D74F46">
        <w:rPr>
          <w:rFonts w:ascii="Verdana" w:hAnsi="Verdana" w:cs="Arial"/>
          <w:color w:val="000000"/>
          <w:sz w:val="22"/>
          <w:szCs w:val="22"/>
        </w:rPr>
        <w:t xml:space="preserve"> constituyen entidades descentralizadas a luz de lo dispuesto en el artículo 68 de la Ley 489 de 1998 y de conformidad con el parágrafo 1 del artículo 57 de la Ley 30 de 1992, pueden estar inscritos en los órdenes nacional, departamental, distrital o municipal, lo que hace forzoso concluir que establecimientos públicos educativos de estos tres últimos órdenes, si estarían cobijados por la restricción del artículo 38, al ser entidades descentralizadas del nivel territorial, sujetos a los que expresamente alude el texto de la restricción como destinatarios de la misma. del nivel territorial–departamental, municipal o distrital–.</w:t>
      </w:r>
    </w:p>
    <w:p w14:paraId="221FE5E2" w14:textId="77777777" w:rsidR="00EC5EC3" w:rsidRPr="00D74F46" w:rsidRDefault="00EC5EC3" w:rsidP="00EC5EC3">
      <w:pPr>
        <w:pStyle w:val="NormalWeb"/>
        <w:spacing w:before="0" w:beforeAutospacing="0" w:after="120" w:afterAutospacing="0" w:line="276" w:lineRule="auto"/>
        <w:ind w:firstLine="708"/>
        <w:jc w:val="both"/>
        <w:rPr>
          <w:rFonts w:ascii="Verdana" w:hAnsi="Verdana" w:cs="Arial"/>
          <w:bCs/>
          <w:color w:val="000000" w:themeColor="text1"/>
          <w:sz w:val="22"/>
          <w:szCs w:val="22"/>
          <w:lang w:eastAsia="es-ES_tradnl"/>
        </w:rPr>
      </w:pPr>
      <w:r w:rsidRPr="00D74F46">
        <w:rPr>
          <w:rFonts w:ascii="Verdana" w:hAnsi="Verdana" w:cs="Arial"/>
          <w:bCs/>
          <w:color w:val="000000" w:themeColor="text1"/>
          <w:sz w:val="22"/>
          <w:szCs w:val="22"/>
          <w:lang w:eastAsia="es-ES_tradnl"/>
        </w:rPr>
        <w:t xml:space="preserve">Recapitulando, por un lado, es posible afirmar entonces que, las universidades públicas al igual que las instituciones de educación superior con naturaleza jurídica de establecimiento público, al encontrarse dentro de los destinatarios de la prohibición establecida en el artículo 33, independientemente de sus regímenes de contratación diferentes, en principio, tienen restringida la posibilidad de celebrar contratos de manera directa, durante los cuatro (4) meses anteriores a las elecciones presidenciales, periodo que se extenderá hasta la finalización de la segunda vuelta, cuando sea este el caso.  Por otro lado, se concluye también que, los establecimientos públicos educativos territoriales, dada su calidad de entidades descentralizadas de los órdenes departamental, municipal o distrital, tienen vedada la celebración de convenios interadministrativos en los que se destinen recursos públicos, durante los cuatro (4) meses anteriores a elecciones.   </w:t>
      </w:r>
    </w:p>
    <w:p w14:paraId="3CC2D3E3" w14:textId="77777777" w:rsidR="00EC5EC3"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 xml:space="preserve">Ahora bien, de conformidad con lo previsto en el parágrafo 2 del artículo 57 de la Ley 30 de 1992, modificado por el artículo 2 de la Ley 647 de 2001, permite que las universidades públicas u oficiales creen los fondos de salud o de seguridad social. </w:t>
      </w:r>
    </w:p>
    <w:p w14:paraId="19477B91" w14:textId="77777777" w:rsidR="00EC5EC3"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 xml:space="preserve">Dicho fondo, según lo dispuesto en el parágrafo 2 indica en términos generales que la organización, dirección y funcionamiento estará a cargo de la Universidad como dependencia especializada, lo cual implica que esta figura no cuenta con capacidad jurídica para contratar y por ende es, a través de la Universidad, la llamada a celebrar los contratos requeridos para la prestación del servicio de salud dirigido al personal académico, los servidores administrativos, docentes, pensionados o jubilados.   </w:t>
      </w:r>
    </w:p>
    <w:p w14:paraId="665C23D1" w14:textId="77777777" w:rsidR="00EC5EC3"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En el marco de las excepciones consagradas en el artículo 33 de la Ley 996 de 2005, se encuentran las relativas a i)</w:t>
      </w:r>
      <w:r w:rsidRPr="00894E42">
        <w:rPr>
          <w:rFonts w:ascii="Verdana" w:hAnsi="Verdana" w:cs="Arial"/>
          <w:color w:val="000000"/>
          <w:sz w:val="22"/>
          <w:szCs w:val="22"/>
        </w:rPr>
        <w:t xml:space="preserve"> la defensa y seguridad del Estado; </w:t>
      </w:r>
      <w:proofErr w:type="spellStart"/>
      <w:r w:rsidRPr="00894E42">
        <w:rPr>
          <w:rFonts w:ascii="Verdana" w:hAnsi="Verdana" w:cs="Arial"/>
          <w:color w:val="000000"/>
          <w:sz w:val="22"/>
          <w:szCs w:val="22"/>
        </w:rPr>
        <w:t>ii</w:t>
      </w:r>
      <w:proofErr w:type="spellEnd"/>
      <w:r w:rsidRPr="00894E42">
        <w:rPr>
          <w:rFonts w:ascii="Verdana" w:hAnsi="Verdana" w:cs="Arial"/>
          <w:color w:val="000000"/>
          <w:sz w:val="22"/>
          <w:szCs w:val="22"/>
        </w:rPr>
        <w:t xml:space="preserve">) los contratos de crédito público; </w:t>
      </w:r>
      <w:proofErr w:type="spellStart"/>
      <w:r w:rsidRPr="00894E42">
        <w:rPr>
          <w:rFonts w:ascii="Verdana" w:hAnsi="Verdana" w:cs="Arial"/>
          <w:color w:val="000000"/>
          <w:sz w:val="22"/>
          <w:szCs w:val="22"/>
        </w:rPr>
        <w:t>iii</w:t>
      </w:r>
      <w:proofErr w:type="spellEnd"/>
      <w:r w:rsidRPr="00894E42">
        <w:rPr>
          <w:rFonts w:ascii="Verdana" w:hAnsi="Verdana" w:cs="Arial"/>
          <w:color w:val="000000"/>
          <w:sz w:val="22"/>
          <w:szCs w:val="22"/>
        </w:rPr>
        <w:t xml:space="preserve">) los requeridos para cubrir las emergencias educativas, sanitarias y desastres; </w:t>
      </w:r>
      <w:proofErr w:type="spellStart"/>
      <w:r w:rsidRPr="00894E42">
        <w:rPr>
          <w:rFonts w:ascii="Verdana" w:hAnsi="Verdana" w:cs="Arial"/>
          <w:color w:val="000000"/>
          <w:sz w:val="22"/>
          <w:szCs w:val="22"/>
        </w:rPr>
        <w:t>iv</w:t>
      </w:r>
      <w:proofErr w:type="spellEnd"/>
      <w:r w:rsidRPr="00894E42">
        <w:rPr>
          <w:rFonts w:ascii="Verdana" w:hAnsi="Verdana" w:cs="Arial"/>
          <w:color w:val="000000"/>
          <w:sz w:val="22"/>
          <w:szCs w:val="22"/>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77D70754" w14:textId="77777777" w:rsidR="00EC5EC3" w:rsidRDefault="00EC5EC3" w:rsidP="00EC5EC3">
      <w:pPr>
        <w:pStyle w:val="NormalWeb"/>
        <w:spacing w:before="0" w:beforeAutospacing="0" w:after="120" w:afterAutospacing="0" w:line="276" w:lineRule="auto"/>
        <w:ind w:firstLine="708"/>
        <w:jc w:val="both"/>
        <w:rPr>
          <w:rFonts w:ascii="Verdana" w:hAnsi="Verdana" w:cs="Arial"/>
          <w:color w:val="000000"/>
          <w:sz w:val="22"/>
          <w:szCs w:val="22"/>
        </w:rPr>
      </w:pPr>
      <w:r>
        <w:rPr>
          <w:rFonts w:ascii="Verdana" w:hAnsi="Verdana" w:cs="Arial"/>
          <w:color w:val="000000"/>
          <w:sz w:val="22"/>
          <w:szCs w:val="22"/>
        </w:rPr>
        <w:t>Respecto del segundo supuesto de excepción, la entidad estatal, en este caso, la Universidad de Nariño quien tiene a su cargo la dirección y administración del fondo de salud de la universidad</w:t>
      </w:r>
      <w:r>
        <w:rPr>
          <w:rStyle w:val="Refdenotaalpie"/>
          <w:rFonts w:ascii="Verdana" w:hAnsi="Verdana" w:cs="Arial"/>
          <w:color w:val="000000"/>
          <w:sz w:val="22"/>
          <w:szCs w:val="22"/>
        </w:rPr>
        <w:footnoteReference w:id="35"/>
      </w:r>
      <w:r>
        <w:rPr>
          <w:rFonts w:ascii="Verdana" w:hAnsi="Verdana" w:cs="Arial"/>
          <w:color w:val="000000"/>
          <w:sz w:val="22"/>
          <w:szCs w:val="22"/>
        </w:rPr>
        <w:t xml:space="preserve">, deberá definir si la contratación requerida se enmarca en la excepción correspondiente a una emergencia sanitaria, dado que en tal como lo dispone el artículo 33 queda prohibida la contratación directa de cualquier ente del estado. </w:t>
      </w:r>
    </w:p>
    <w:p w14:paraId="0F410BC4" w14:textId="77777777" w:rsidR="00EC5EC3" w:rsidRDefault="00EC5EC3" w:rsidP="00EC5EC3">
      <w:pPr>
        <w:spacing w:after="120" w:line="276" w:lineRule="auto"/>
        <w:ind w:firstLine="709"/>
        <w:jc w:val="both"/>
        <w:rPr>
          <w:rFonts w:ascii="Verdana" w:hAnsi="Verdana" w:cs="Arial"/>
          <w:bCs/>
        </w:rPr>
      </w:pPr>
      <w:r w:rsidRPr="00621BBB">
        <w:rPr>
          <w:rFonts w:ascii="Verdana" w:hAnsi="Verdana" w:cs="Arial"/>
          <w:bCs/>
        </w:rPr>
        <w:t>En tal sentido, cuando una entidad de régimen especial, como es el caso de los entes universitarios, requiera adelantar un proceso de contratación durante el período de restricción temporal de la contratación directa establecido en el artículo 33 de la Ley 996 de 2005, deberá aplicar lo que se haya establecido en su manual de contratación, situación que debe revisar cada entidad estatal, en cada caso concreto.</w:t>
      </w:r>
    </w:p>
    <w:p w14:paraId="4D6D278F" w14:textId="77777777" w:rsidR="00EC5EC3" w:rsidRPr="00621BBB" w:rsidRDefault="00EC5EC3" w:rsidP="00EC5EC3">
      <w:pPr>
        <w:spacing w:after="120" w:line="276" w:lineRule="auto"/>
        <w:ind w:firstLine="709"/>
        <w:jc w:val="both"/>
        <w:rPr>
          <w:rFonts w:ascii="Verdana" w:hAnsi="Verdana" w:cs="Arial"/>
          <w:bCs/>
        </w:rPr>
      </w:pPr>
      <w:r w:rsidRPr="00621BBB">
        <w:rPr>
          <w:rFonts w:ascii="Verdana" w:hAnsi="Verdana" w:cs="Arial"/>
          <w:bCs/>
          <w:lang w:val="es-ES"/>
        </w:rPr>
        <w:t>Si en dicho documento llegara a existir algún vacío respecto del procedimiento para la aplicación de la Ley de Garantías Electorales, le corresponde a la entidad estatal de régimen especial llenar el vacío que se le presenta conforme a su manual de contratación y los procedimientos allí establecidos. Los manuales de contratación de cada entidad deben estar orientados a que en los procesos de contratación se garanticen los objetivos del sistema de compra pública incluyendo la eficacia, economía, promoción de la competencia, rendición de cuentas, manejo del riesgo, publicidad y transparencia</w:t>
      </w:r>
      <w:r w:rsidRPr="00621BBB">
        <w:rPr>
          <w:rFonts w:ascii="Verdana" w:hAnsi="Verdana" w:cs="Arial"/>
          <w:bCs/>
          <w:vertAlign w:val="superscript"/>
          <w:lang w:val="es-ES"/>
        </w:rPr>
        <w:footnoteReference w:id="36"/>
      </w:r>
      <w:r w:rsidRPr="00621BBB">
        <w:rPr>
          <w:rFonts w:ascii="Verdana" w:hAnsi="Verdana" w:cs="Arial"/>
          <w:bCs/>
          <w:lang w:val="es-ES"/>
        </w:rPr>
        <w:t>.</w:t>
      </w:r>
    </w:p>
    <w:p w14:paraId="6F936C1E" w14:textId="77777777" w:rsidR="00EC5EC3" w:rsidRPr="001205AF" w:rsidRDefault="00EC5EC3" w:rsidP="00EC5EC3">
      <w:pPr>
        <w:pStyle w:val="paragraph"/>
        <w:shd w:val="clear" w:color="auto" w:fill="FFFFFF"/>
        <w:spacing w:before="0" w:beforeAutospacing="0" w:after="120" w:afterAutospacing="0" w:line="276" w:lineRule="auto"/>
        <w:ind w:firstLine="708"/>
        <w:jc w:val="both"/>
        <w:textAlignment w:val="baseline"/>
        <w:rPr>
          <w:rFonts w:ascii="Verdana" w:hAnsi="Verdana" w:cs="Arial"/>
          <w:color w:val="000000" w:themeColor="text1"/>
          <w:sz w:val="22"/>
          <w:szCs w:val="22"/>
        </w:rPr>
      </w:pPr>
      <w:r w:rsidRPr="001205AF">
        <w:rPr>
          <w:rFonts w:ascii="Verdana" w:hAnsi="Verdana" w:cs="Arial"/>
          <w:color w:val="000000"/>
          <w:sz w:val="22"/>
          <w:szCs w:val="22"/>
        </w:rPr>
        <w:t xml:space="preserve">En cuanto a la quinta excepción, </w:t>
      </w:r>
      <w:r w:rsidRPr="001205AF">
        <w:rPr>
          <w:rFonts w:ascii="Verdana" w:hAnsi="Verdana" w:cs="Arial"/>
          <w:bCs/>
          <w:color w:val="000000" w:themeColor="text1"/>
          <w:sz w:val="22"/>
          <w:szCs w:val="22"/>
        </w:rPr>
        <w:t>relacionada con la contratación por parte de entidades sanitarias y hospitalarias</w:t>
      </w:r>
      <w:r>
        <w:rPr>
          <w:rFonts w:ascii="Verdana" w:hAnsi="Verdana" w:cs="Arial"/>
          <w:bCs/>
          <w:color w:val="000000" w:themeColor="text1"/>
          <w:sz w:val="22"/>
          <w:szCs w:val="22"/>
        </w:rPr>
        <w:t>,</w:t>
      </w:r>
      <w:r w:rsidRPr="001205AF">
        <w:rPr>
          <w:rFonts w:ascii="Verdana" w:hAnsi="Verdana" w:cs="Arial"/>
          <w:color w:val="000000" w:themeColor="text1"/>
          <w:sz w:val="22"/>
          <w:szCs w:val="22"/>
        </w:rPr>
        <w:t xml:space="preserve"> </w:t>
      </w:r>
      <w:r w:rsidRPr="001205AF">
        <w:rPr>
          <w:rFonts w:ascii="Verdana" w:eastAsia="Arial" w:hAnsi="Verdana" w:cs="Arial"/>
          <w:bCs/>
          <w:color w:val="000000" w:themeColor="text1"/>
          <w:sz w:val="22"/>
          <w:szCs w:val="22"/>
        </w:rPr>
        <w:t xml:space="preserve">el artículo 2.8.8.1.1.3 del Decreto 780 de 2016, “Por medio del cual se expide el Decreto Único Reglamentario del Sector Salud y Protección Social”, definió a las </w:t>
      </w:r>
      <w:r w:rsidRPr="001205AF">
        <w:rPr>
          <w:rFonts w:ascii="Verdana" w:eastAsia="Arial" w:hAnsi="Verdana" w:cs="Arial"/>
          <w:bCs/>
          <w:i/>
          <w:iCs/>
          <w:color w:val="000000" w:themeColor="text1"/>
          <w:sz w:val="22"/>
          <w:szCs w:val="22"/>
        </w:rPr>
        <w:t>entidades sanitarias</w:t>
      </w:r>
      <w:r w:rsidRPr="001205AF">
        <w:rPr>
          <w:rFonts w:ascii="Verdana" w:eastAsia="Arial" w:hAnsi="Verdana" w:cs="Arial"/>
          <w:bCs/>
          <w:color w:val="000000" w:themeColor="text1"/>
          <w:sz w:val="22"/>
          <w:szCs w:val="22"/>
        </w:rPr>
        <w:t xml:space="preserve"> como las “Entidades del Estado que prestan servicios sanitarios o de sanidad con el propósito de preservar la salud humana y la salud pública”. El artículo citado también define las </w:t>
      </w:r>
      <w:r w:rsidRPr="001205AF">
        <w:rPr>
          <w:rFonts w:ascii="Verdana" w:eastAsia="Arial" w:hAnsi="Verdana" w:cs="Arial"/>
          <w:bCs/>
          <w:i/>
          <w:iCs/>
          <w:color w:val="000000" w:themeColor="text1"/>
          <w:sz w:val="22"/>
          <w:szCs w:val="22"/>
        </w:rPr>
        <w:t>autoridades sanitarias</w:t>
      </w:r>
      <w:r w:rsidRPr="001205AF">
        <w:rPr>
          <w:rFonts w:ascii="Verdana" w:eastAsia="Arial" w:hAnsi="Verdana" w:cs="Arial"/>
          <w:bCs/>
          <w:color w:val="000000" w:themeColor="text1"/>
          <w:sz w:val="22"/>
          <w:szCs w:val="22"/>
        </w:rPr>
        <w:t xml:space="preserve"> como las “Entidades jurídicas de carácter público con atribuciones para ejercer funciones de rectoría, regulación, inspección, vigilancia y control de los sectores público y privado en salud y adoptar medidas de prevención y seguimiento que garanticen la protección de la salud pública”</w:t>
      </w:r>
      <w:r w:rsidRPr="001205AF">
        <w:rPr>
          <w:rFonts w:ascii="Verdana" w:eastAsia="Arial" w:hAnsi="Verdana" w:cs="Arial"/>
          <w:bCs/>
          <w:color w:val="000000" w:themeColor="text1"/>
          <w:sz w:val="22"/>
          <w:szCs w:val="22"/>
          <w:vertAlign w:val="superscript"/>
        </w:rPr>
        <w:footnoteReference w:id="37"/>
      </w:r>
      <w:r w:rsidRPr="001205AF">
        <w:rPr>
          <w:rFonts w:ascii="Verdana" w:eastAsia="Arial" w:hAnsi="Verdana" w:cs="Arial"/>
          <w:bCs/>
          <w:color w:val="000000" w:themeColor="text1"/>
          <w:sz w:val="22"/>
          <w:szCs w:val="22"/>
        </w:rPr>
        <w:t xml:space="preserve">. De esta forma, para efectos de la aplicación de la excepción, se debe verificar que se cumplan los requisitos del artículo 33 de la Ley 996 de 2005. </w:t>
      </w:r>
    </w:p>
    <w:p w14:paraId="05A7AC92" w14:textId="77777777" w:rsidR="00EC5EC3" w:rsidRPr="00017D8E" w:rsidRDefault="00EC5EC3" w:rsidP="00EC5EC3">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Sobre lo anterior, el Consejo de Estado ha señalado que “las entidades que presten servicios tendientes a preservar la salud </w:t>
      </w:r>
      <w:r>
        <w:rPr>
          <w:rFonts w:ascii="Verdana" w:eastAsia="Arial" w:hAnsi="Verdana" w:cs="Arial"/>
          <w:bCs/>
          <w:color w:val="000000" w:themeColor="text1"/>
        </w:rPr>
        <w:t>pública</w:t>
      </w:r>
      <w:r w:rsidRPr="00FF007A">
        <w:rPr>
          <w:rFonts w:ascii="Verdana" w:eastAsia="Arial" w:hAnsi="Verdana" w:cs="Arial"/>
          <w:bCs/>
          <w:color w:val="000000" w:themeColor="text1"/>
        </w:rPr>
        <w:t xml:space="preserve"> o humana deben ser consideradas como entidades sanitarias y en principio estarían exceptuadas de la prohibición de contratación directa”</w:t>
      </w:r>
      <w:r w:rsidRPr="00FF007A">
        <w:rPr>
          <w:rStyle w:val="Refdenotaalpie"/>
          <w:rFonts w:ascii="Verdana" w:eastAsia="Arial" w:hAnsi="Verdana" w:cs="Arial"/>
          <w:bCs/>
          <w:color w:val="000000" w:themeColor="text1"/>
        </w:rPr>
        <w:footnoteReference w:id="38"/>
      </w:r>
      <w:r w:rsidRPr="00FF007A">
        <w:rPr>
          <w:rFonts w:ascii="Verdana" w:eastAsia="Arial" w:hAnsi="Verdana" w:cs="Arial"/>
          <w:bCs/>
          <w:color w:val="000000" w:themeColor="text1"/>
        </w:rPr>
        <w:t>. Sobre la excepción dirigida a las entidades hospitalarias de carácter público resaltó que “debe ser entendida solo en aquellos eventos en que ocurran emergencias sanitarias o de salubridad que requieran la atención o prestación inmediata y oportuna de los servicios de salud”, pues las excepciones buscan que la red hospitalaria no limite su actuación en la prestación del servicio de salud en eventos catastróficos o de urgencia que se presenten. En consecuencia, sostuvo que las excepciones no se extienden a “los contratos que habitual y ordinariamente celebran las entidades territoriales con las entidades hospitalarias, ya que dichos órganos deben planear y desarrollar su gestión contractual con suficiente antelación para que no sea cobijada por la prohibición de contratación que establece la ley de garantías”</w:t>
      </w:r>
      <w:r w:rsidRPr="00FF007A">
        <w:rPr>
          <w:rStyle w:val="Refdenotaalpie"/>
          <w:rFonts w:ascii="Verdana" w:eastAsia="Arial" w:hAnsi="Verdana" w:cs="Arial"/>
          <w:bCs/>
          <w:color w:val="000000" w:themeColor="text1"/>
        </w:rPr>
        <w:footnoteReference w:id="39"/>
      </w:r>
      <w:r w:rsidRPr="00FF007A">
        <w:rPr>
          <w:rFonts w:ascii="Verdana" w:eastAsia="Arial" w:hAnsi="Verdana" w:cs="Arial"/>
          <w:bCs/>
          <w:color w:val="000000" w:themeColor="text1"/>
        </w:rPr>
        <w:t xml:space="preserve">. </w:t>
      </w:r>
    </w:p>
    <w:p w14:paraId="0C93FF49" w14:textId="77777777" w:rsidR="00EC5EC3" w:rsidRDefault="00EC5EC3" w:rsidP="00EC5EC3">
      <w:pPr>
        <w:spacing w:after="120" w:line="276" w:lineRule="auto"/>
        <w:ind w:firstLine="709"/>
        <w:jc w:val="both"/>
        <w:rPr>
          <w:rFonts w:ascii="Verdana" w:eastAsia="Arial" w:hAnsi="Verdana" w:cs="Arial"/>
          <w:bCs/>
          <w:color w:val="000000" w:themeColor="text1"/>
        </w:rPr>
      </w:pPr>
      <w:r w:rsidRPr="00FF007A">
        <w:rPr>
          <w:rFonts w:ascii="Verdana" w:eastAsia="Arial" w:hAnsi="Verdana" w:cs="Arial"/>
          <w:bCs/>
          <w:color w:val="000000" w:themeColor="text1"/>
        </w:rPr>
        <w:t xml:space="preserve">Conforme con lo expuesto, las entidades que requieran adelantar procesos de contratación directa durante el periodo de garantías electorales deberán analizar, primero, </w:t>
      </w:r>
      <w:r w:rsidRPr="006E6949">
        <w:rPr>
          <w:rFonts w:ascii="Verdana" w:eastAsia="Arial" w:hAnsi="Verdana" w:cs="Arial"/>
          <w:bCs/>
          <w:color w:val="000000" w:themeColor="text1"/>
        </w:rPr>
        <w:t xml:space="preserve">si se configuran los supuestos establecidos en </w:t>
      </w:r>
      <w:r w:rsidRPr="006E6949">
        <w:rPr>
          <w:rFonts w:ascii="Verdana" w:eastAsia="Arial" w:hAnsi="Verdana" w:cs="Arial"/>
          <w:bCs/>
          <w:i/>
          <w:iCs/>
          <w:color w:val="000000" w:themeColor="text1"/>
        </w:rPr>
        <w:t>el artículo 33</w:t>
      </w:r>
      <w:r w:rsidRPr="006E6949">
        <w:rPr>
          <w:rFonts w:ascii="Verdana" w:eastAsia="Arial" w:hAnsi="Verdana" w:cs="Arial"/>
          <w:bCs/>
          <w:color w:val="000000" w:themeColor="text1"/>
        </w:rPr>
        <w:t xml:space="preserve"> de la Ley 996 de 2005, es decir, si se trata de cualquier entidad pública que pretenda adelantar un proceso no competitivo. Adicionalmente, será pertinente analizar si se configura alguna de las excepciones previstas en la norma. </w:t>
      </w:r>
    </w:p>
    <w:p w14:paraId="24B5475F" w14:textId="77777777" w:rsidR="00EC5EC3" w:rsidRDefault="00EC5EC3" w:rsidP="00EC5EC3">
      <w:pPr>
        <w:spacing w:after="120" w:line="276" w:lineRule="auto"/>
        <w:ind w:firstLine="709"/>
        <w:jc w:val="both"/>
        <w:rPr>
          <w:rFonts w:ascii="Verdana" w:eastAsia="Calibri" w:hAnsi="Verdana" w:cs="Arial"/>
          <w:lang w:val="es-ES" w:eastAsia="es-ES"/>
        </w:rPr>
      </w:pPr>
      <w:r w:rsidRPr="00FF007A">
        <w:rPr>
          <w:rFonts w:ascii="Verdana" w:eastAsia="Calibri" w:hAnsi="Verdana" w:cs="Arial"/>
        </w:rPr>
        <w:t xml:space="preserve">En particular, </w:t>
      </w:r>
      <w:r>
        <w:rPr>
          <w:rFonts w:ascii="Verdana" w:eastAsia="Calibri" w:hAnsi="Verdana" w:cs="Arial"/>
        </w:rPr>
        <w:t>cada</w:t>
      </w:r>
      <w:r w:rsidRPr="00FF007A">
        <w:rPr>
          <w:rFonts w:ascii="Verdana" w:eastAsia="Calibri" w:hAnsi="Verdana" w:cs="Arial"/>
        </w:rPr>
        <w:t xml:space="preserve"> Entidad Estatal </w:t>
      </w:r>
      <w:r>
        <w:rPr>
          <w:rFonts w:ascii="Verdana" w:eastAsia="Calibri" w:hAnsi="Verdana" w:cs="Arial"/>
        </w:rPr>
        <w:t xml:space="preserve">deberá </w:t>
      </w:r>
      <w:r w:rsidRPr="00FF007A">
        <w:rPr>
          <w:rFonts w:ascii="Verdana" w:eastAsia="Calibri" w:hAnsi="Verdana" w:cs="Arial"/>
        </w:rPr>
        <w:t xml:space="preserve">realizar el correspondiente análisis para </w:t>
      </w:r>
      <w:r>
        <w:rPr>
          <w:rFonts w:ascii="Verdana" w:eastAsia="Calibri" w:hAnsi="Verdana" w:cs="Arial"/>
        </w:rPr>
        <w:t xml:space="preserve">definir </w:t>
      </w:r>
      <w:r w:rsidRPr="00FF007A">
        <w:rPr>
          <w:rFonts w:ascii="Verdana" w:eastAsia="Calibri" w:hAnsi="Verdana" w:cs="Arial"/>
        </w:rPr>
        <w:t>si aplica o no una determinada excepción a la prohibición del artículo 33 de la Ley de Garantías Electorales, según la situación fáctica y jurídica particular del caso concreto, para lo cual las consideraciones expuestas en el presente concepto constituyen un instrumento orientador. De ser es procedente la excepción, la entidad podrá realizar la contratación directa justificando las razones que avalan su procedencia</w:t>
      </w:r>
      <w:r w:rsidRPr="00FF007A">
        <w:rPr>
          <w:rFonts w:ascii="Verdana" w:hAnsi="Verdana" w:cs="Arial"/>
          <w:lang w:eastAsia="es-CO"/>
        </w:rPr>
        <w:t>. Por el contrario, si el estudio determina que no aplica excepción alguna estará vedada la celebración de contratos de manera directa. Lo anterior, sin perjuicio de la prohibición establecida en el parágrafo del artículo 38 de la Ley de Garantías Electorales.</w:t>
      </w:r>
    </w:p>
    <w:p w14:paraId="597FD5A9" w14:textId="77777777" w:rsidR="00EC5EC3" w:rsidRDefault="00EC5EC3" w:rsidP="00EC5EC3">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8349F8B" w14:textId="77777777" w:rsidR="00EC5EC3" w:rsidRPr="001450CA" w:rsidRDefault="00EC5EC3" w:rsidP="00EC5EC3">
      <w:pPr>
        <w:spacing w:after="120" w:line="276" w:lineRule="auto"/>
        <w:ind w:firstLine="709"/>
        <w:jc w:val="both"/>
        <w:rPr>
          <w:rFonts w:ascii="Verdana" w:eastAsia="Times New Roman" w:hAnsi="Verdana" w:cs="Arial"/>
          <w:lang w:eastAsia="es-CO"/>
        </w:rPr>
      </w:pPr>
      <w:r w:rsidRPr="001450CA">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5D96798" w14:textId="77777777" w:rsidR="00EC5EC3" w:rsidRDefault="00EC5EC3" w:rsidP="00EC5EC3">
      <w:pPr>
        <w:spacing w:after="0" w:line="276" w:lineRule="auto"/>
        <w:jc w:val="both"/>
        <w:rPr>
          <w:rFonts w:ascii="Verdana" w:eastAsia="Century Gothic" w:hAnsi="Verdana" w:cs="Century Gothic"/>
          <w:b/>
          <w:bCs/>
        </w:rPr>
      </w:pPr>
      <w:bookmarkStart w:id="20" w:name="_Hlk204854194"/>
      <w:r w:rsidRPr="00237877">
        <w:rPr>
          <w:rFonts w:ascii="Verdana" w:hAnsi="Verdana" w:cs="Arial"/>
          <w:b/>
          <w:color w:val="000000" w:themeColor="text1"/>
        </w:rPr>
        <w:t>4.</w:t>
      </w:r>
      <w:r>
        <w:rPr>
          <w:rFonts w:ascii="Verdana" w:hAnsi="Verdana" w:cs="Arial"/>
          <w:bCs/>
          <w:color w:val="000000" w:themeColor="text1"/>
        </w:rPr>
        <w:t xml:space="preserve"> </w:t>
      </w:r>
      <w:r w:rsidRPr="005644FE">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20"/>
    </w:p>
    <w:p w14:paraId="706812B9" w14:textId="77777777" w:rsidR="00EC5EC3" w:rsidRPr="000B6E79" w:rsidRDefault="00EC5EC3" w:rsidP="00EC5EC3">
      <w:pPr>
        <w:spacing w:after="0" w:line="276" w:lineRule="auto"/>
        <w:jc w:val="both"/>
        <w:rPr>
          <w:rFonts w:ascii="Verdana" w:hAnsi="Verdana" w:cs="Arial"/>
          <w:bCs/>
          <w:color w:val="000000" w:themeColor="text1"/>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C5EC3" w:rsidRPr="002D2C18" w14:paraId="4C92EF30" w14:textId="77777777">
        <w:trPr>
          <w:trHeight w:val="56"/>
          <w:jc w:val="center"/>
        </w:trPr>
        <w:tc>
          <w:tcPr>
            <w:tcW w:w="8647" w:type="dxa"/>
          </w:tcPr>
          <w:p w14:paraId="63A3419C" w14:textId="77777777" w:rsidR="00EC5EC3" w:rsidRDefault="00EC5EC3">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Constitución Política. Artículo</w:t>
            </w:r>
            <w:r>
              <w:rPr>
                <w:rFonts w:ascii="Verdana" w:hAnsi="Verdana" w:cs="Arial"/>
                <w:lang w:eastAsia="es-ES"/>
              </w:rPr>
              <w:t>s 69,</w:t>
            </w:r>
            <w:r w:rsidRPr="00071DB3">
              <w:rPr>
                <w:rFonts w:ascii="Verdana" w:hAnsi="Verdana" w:cs="Arial"/>
                <w:lang w:eastAsia="es-ES"/>
              </w:rPr>
              <w:t xml:space="preserve"> 127.</w:t>
            </w:r>
          </w:p>
          <w:p w14:paraId="0918E800"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30 de 1992. Artículo 57.</w:t>
            </w:r>
          </w:p>
          <w:p w14:paraId="1B88F1D0"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489 de 1998. Artículos 68, 70, 93.</w:t>
            </w:r>
          </w:p>
          <w:p w14:paraId="6FB179AC" w14:textId="77777777" w:rsidR="00EC5EC3" w:rsidRPr="00071DB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Ley 467 de 2001. Artículo 2. </w:t>
            </w:r>
          </w:p>
          <w:p w14:paraId="0695B5C5"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Ley 996 de 2005. Artículos 33 y 38.</w:t>
            </w:r>
          </w:p>
          <w:p w14:paraId="386B0AD4"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 xml:space="preserve">Decreto 780 de 2016. Artículo </w:t>
            </w:r>
            <w:r w:rsidRPr="001205AF">
              <w:rPr>
                <w:rFonts w:ascii="Verdana" w:eastAsia="Arial" w:hAnsi="Verdana" w:cs="Arial"/>
                <w:bCs/>
                <w:color w:val="000000" w:themeColor="text1"/>
              </w:rPr>
              <w:t>2.8.8.1.1.3</w:t>
            </w:r>
            <w:r>
              <w:rPr>
                <w:rFonts w:ascii="Verdana" w:eastAsia="Arial" w:hAnsi="Verdana" w:cs="Arial"/>
                <w:bCs/>
                <w:color w:val="000000" w:themeColor="text1"/>
              </w:rPr>
              <w:t>.</w:t>
            </w:r>
          </w:p>
          <w:p w14:paraId="7D8B2CB2" w14:textId="77777777" w:rsidR="00EC5EC3" w:rsidRDefault="00EC5EC3">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 xml:space="preserve">Consejo de Estado. Sala de lo Contencioso Administrativo. Sección Primera. Sentencia de 3 de marzo de 2005. Radicado: 25001-23-15-000-2004-00823-01 (PI). C.P: Camilo Arciniegas Andrade. </w:t>
            </w:r>
          </w:p>
          <w:p w14:paraId="5F3EA604" w14:textId="77777777" w:rsidR="00EC5EC3" w:rsidRDefault="00EC5EC3">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Consejo de Estado. Sala de lo Contencioso Administrativo Sección Tercera. Sentencia de 22 de enero de 2002, expediente número 2001-0148-01</w:t>
            </w:r>
            <w:r>
              <w:rPr>
                <w:rFonts w:ascii="Verdana" w:hAnsi="Verdana" w:cs="Arial"/>
                <w:lang w:eastAsia="es-ES"/>
              </w:rPr>
              <w:t>.</w:t>
            </w:r>
          </w:p>
          <w:p w14:paraId="0173E350" w14:textId="77777777" w:rsidR="00EC5EC3" w:rsidRDefault="00EC5EC3">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Consejo de Estado. Sala de lo Contencioso Administrativo</w:t>
            </w:r>
            <w:r>
              <w:rPr>
                <w:rFonts w:ascii="Verdana" w:hAnsi="Verdana" w:cs="Arial"/>
                <w:lang w:eastAsia="es-ES"/>
              </w:rPr>
              <w:t>.</w:t>
            </w:r>
            <w:r w:rsidRPr="00071DB3">
              <w:rPr>
                <w:rFonts w:ascii="Verdana" w:hAnsi="Verdana" w:cs="Arial"/>
                <w:lang w:eastAsia="es-ES"/>
              </w:rPr>
              <w:t xml:space="preserve"> Sección Tercera. Sentencia de 20 de noviembre de 2001, expediente número 2001-0130-01(PI)</w:t>
            </w:r>
            <w:r>
              <w:rPr>
                <w:rFonts w:ascii="Verdana" w:hAnsi="Verdana" w:cs="Arial"/>
                <w:lang w:eastAsia="es-ES"/>
              </w:rPr>
              <w:t>.</w:t>
            </w:r>
          </w:p>
          <w:p w14:paraId="55E43134"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 xml:space="preserve">Consejo de Estado, Sala de Consulta y Servicio Civil. 24 de julio de 2013. Radicado: 11001-03-06-000-2013-00407-00 (2166). C.P. Álvaro Namén Vargas.  </w:t>
            </w:r>
          </w:p>
          <w:p w14:paraId="2E407A20"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17 de febrero de 2015. Radicado: 11001-03-06-000-2015-00164-00 (2269). C.P. William Zambrano Cetina.</w:t>
            </w:r>
          </w:p>
          <w:p w14:paraId="7A99E195"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2 de septiembre de 2013. Radicación número: 11001-03-06-000-2013-00412-00 (2168). C.P: Álvaro Namén Vargas.</w:t>
            </w:r>
          </w:p>
          <w:p w14:paraId="7C7007AA"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8 de mayo de 2018. Radicación Número: 11001-03-06-000-2018-00095-00 (2382). C.P: Álvaro Namén Vargas.</w:t>
            </w:r>
          </w:p>
          <w:p w14:paraId="70E2EC62"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20 de febrero de 2006. Radicación Número: 11001-03-06-000-2006-00026-00 (1727). C.P: Enrique José Arboleda Perdomo</w:t>
            </w:r>
            <w:r>
              <w:rPr>
                <w:rFonts w:ascii="Verdana" w:hAnsi="Verdana" w:cs="Arial"/>
                <w:lang w:eastAsia="es-ES"/>
              </w:rPr>
              <w:t>.</w:t>
            </w:r>
          </w:p>
          <w:p w14:paraId="4C934D88"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 6 de abril de 2006. Radicación Número: 11001-03-06-000-2006-00038-00 (1738). C.P: Enrique José Arboleda Perdomo</w:t>
            </w:r>
            <w:r>
              <w:rPr>
                <w:rFonts w:ascii="Verdana" w:hAnsi="Verdana" w:cs="Arial"/>
                <w:lang w:eastAsia="es-ES"/>
              </w:rPr>
              <w:t>.</w:t>
            </w:r>
          </w:p>
          <w:p w14:paraId="4A1243D4"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18 de febrero 2010. Rad. 11001-03-06-000-2010-00006-00 (1985). C.P. Enrique José Arboleda Perdomo.</w:t>
            </w:r>
          </w:p>
          <w:p w14:paraId="39C10BA9"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 xml:space="preserve">Consejo de Estado. Sala de lo Contencioso Administrativo. Sección Cuarta. Sentencia del 16 de diciembre de 2008. </w:t>
            </w:r>
            <w:proofErr w:type="spellStart"/>
            <w:r w:rsidRPr="00051C50">
              <w:rPr>
                <w:rFonts w:ascii="Verdana" w:hAnsi="Verdana" w:cs="Arial"/>
                <w:lang w:eastAsia="es-ES"/>
              </w:rPr>
              <w:t>Exp</w:t>
            </w:r>
            <w:proofErr w:type="spellEnd"/>
            <w:r w:rsidRPr="00051C50">
              <w:rPr>
                <w:rFonts w:ascii="Verdana" w:hAnsi="Verdana" w:cs="Arial"/>
                <w:lang w:eastAsia="es-ES"/>
              </w:rPr>
              <w:t>. 16.297. C.P. Martha Teresa Briceño de Valencia.</w:t>
            </w:r>
          </w:p>
          <w:p w14:paraId="3DE91E99" w14:textId="77777777" w:rsidR="00EC5EC3" w:rsidRPr="00051C50"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Consejo de Estado. Sala de Consulta y Servicio Civil. Concepto del 12 de junio de 2018. Radicación: 11001-03-06-000-2018-0043-00. (2371). C.P: Oscar Darío Amaya Navas.</w:t>
            </w:r>
          </w:p>
          <w:p w14:paraId="3347A302" w14:textId="77777777" w:rsidR="00EC5EC3" w:rsidRPr="00071DB3" w:rsidRDefault="00EC5EC3">
            <w:pPr>
              <w:pStyle w:val="Prrafodelista"/>
              <w:numPr>
                <w:ilvl w:val="0"/>
                <w:numId w:val="17"/>
              </w:numPr>
              <w:spacing w:line="276" w:lineRule="auto"/>
              <w:ind w:left="714" w:hanging="357"/>
              <w:jc w:val="both"/>
              <w:rPr>
                <w:rFonts w:ascii="Verdana" w:hAnsi="Verdana" w:cs="Arial"/>
                <w:lang w:eastAsia="es-ES"/>
              </w:rPr>
            </w:pPr>
            <w:r w:rsidRPr="00071DB3">
              <w:rPr>
                <w:rFonts w:ascii="Verdana" w:hAnsi="Verdana" w:cs="Arial"/>
                <w:lang w:eastAsia="es-ES"/>
              </w:rPr>
              <w:t>Corte Constitucional. Sentencia C- 1153 de 2005, M.P: Marco Gerardo Monroy Cabra.</w:t>
            </w:r>
            <w:r w:rsidRPr="00071DB3">
              <w:rPr>
                <w:rFonts w:ascii="Verdana" w:hAnsi="Verdana" w:cs="Arial"/>
                <w:lang w:eastAsia="es-ES"/>
              </w:rPr>
              <w:tab/>
            </w:r>
          </w:p>
          <w:p w14:paraId="5E454BE2" w14:textId="77777777" w:rsidR="00EC5EC3" w:rsidRDefault="00EC5EC3">
            <w:pPr>
              <w:pStyle w:val="Prrafodelista"/>
              <w:numPr>
                <w:ilvl w:val="0"/>
                <w:numId w:val="17"/>
              </w:numPr>
              <w:spacing w:after="120" w:line="276" w:lineRule="auto"/>
              <w:jc w:val="both"/>
              <w:rPr>
                <w:rFonts w:ascii="Verdana" w:hAnsi="Verdana" w:cs="Arial"/>
                <w:lang w:eastAsia="es-ES"/>
              </w:rPr>
            </w:pPr>
            <w:r w:rsidRPr="00071DB3">
              <w:rPr>
                <w:rFonts w:ascii="Verdana" w:hAnsi="Verdana" w:cs="Arial"/>
                <w:lang w:eastAsia="es-ES"/>
              </w:rPr>
              <w:t>Corte Constitucional. Sentencia C-233 de 4 de abril de 2002. M.P: Álvaro Tafur Galvis</w:t>
            </w:r>
            <w:r>
              <w:rPr>
                <w:rFonts w:ascii="Verdana" w:hAnsi="Verdana" w:cs="Arial"/>
                <w:lang w:eastAsia="es-ES"/>
              </w:rPr>
              <w:t>.</w:t>
            </w:r>
          </w:p>
          <w:p w14:paraId="237CF3DF"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C-551 de 9 de julio de 2003. M.P: Eduardo Montealegre Lynnet</w:t>
            </w:r>
            <w:r>
              <w:rPr>
                <w:rFonts w:ascii="Verdana" w:hAnsi="Verdana" w:cs="Arial"/>
                <w:lang w:eastAsia="es-ES"/>
              </w:rPr>
              <w:t>.</w:t>
            </w:r>
          </w:p>
          <w:p w14:paraId="0BA47287"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C-353 de 20 de mayo de 2009. M.P: Jorge Iván Palacio </w:t>
            </w:r>
            <w:proofErr w:type="spellStart"/>
            <w:r w:rsidRPr="00071DB3">
              <w:rPr>
                <w:rFonts w:ascii="Verdana" w:hAnsi="Verdana" w:cs="Arial"/>
                <w:lang w:eastAsia="es-ES"/>
              </w:rPr>
              <w:t>Palacio</w:t>
            </w:r>
            <w:proofErr w:type="spellEnd"/>
            <w:r>
              <w:rPr>
                <w:rFonts w:ascii="Verdana" w:hAnsi="Verdana" w:cs="Arial"/>
                <w:lang w:eastAsia="es-ES"/>
              </w:rPr>
              <w:t>.</w:t>
            </w:r>
          </w:p>
          <w:p w14:paraId="3ECA6794" w14:textId="77777777" w:rsidR="00EC5EC3" w:rsidRDefault="00EC5EC3">
            <w:pPr>
              <w:pStyle w:val="Prrafodelista"/>
              <w:numPr>
                <w:ilvl w:val="0"/>
                <w:numId w:val="17"/>
              </w:numPr>
              <w:spacing w:after="120" w:line="276" w:lineRule="auto"/>
              <w:jc w:val="both"/>
              <w:rPr>
                <w:rFonts w:ascii="Verdana" w:hAnsi="Verdana" w:cs="Arial"/>
                <w:lang w:eastAsia="es-ES"/>
              </w:rPr>
            </w:pPr>
            <w:r>
              <w:rPr>
                <w:rFonts w:ascii="Verdana" w:hAnsi="Verdana" w:cs="Arial"/>
                <w:lang w:eastAsia="es-ES"/>
              </w:rPr>
              <w:t>Corte Constitucional. Sentencia</w:t>
            </w:r>
            <w:r w:rsidRPr="00071DB3">
              <w:rPr>
                <w:rFonts w:ascii="Verdana" w:hAnsi="Verdana" w:cs="Arial"/>
                <w:lang w:eastAsia="es-ES"/>
              </w:rPr>
              <w:t xml:space="preserve"> C-541 de 30 de junio de 2010. M.P: Gabriel Eduardo Mendoza Martelo</w:t>
            </w:r>
            <w:r>
              <w:rPr>
                <w:rFonts w:ascii="Verdana" w:hAnsi="Verdana" w:cs="Arial"/>
                <w:lang w:eastAsia="es-ES"/>
              </w:rPr>
              <w:t>.</w:t>
            </w:r>
          </w:p>
          <w:p w14:paraId="75F47DFE"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Corte Constitucional. Sentencia C-121 de 2003. M.P. Clara Inés Vargas Hernández.</w:t>
            </w:r>
          </w:p>
          <w:p w14:paraId="3F926253" w14:textId="77777777" w:rsidR="00EC5EC3"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cs="Arial"/>
                <w:lang w:eastAsia="es-ES"/>
              </w:rPr>
              <w:t>Corte Constitucional. Sentencia C-1019 del 28 de noviembre de 2012. M.P. Mauricio González.</w:t>
            </w:r>
          </w:p>
          <w:p w14:paraId="6DD2D71A" w14:textId="77777777" w:rsidR="00EC5EC3" w:rsidRPr="00051C50" w:rsidRDefault="00EC5EC3">
            <w:pPr>
              <w:pStyle w:val="Prrafodelista"/>
              <w:numPr>
                <w:ilvl w:val="0"/>
                <w:numId w:val="17"/>
              </w:numPr>
              <w:spacing w:after="120" w:line="276" w:lineRule="auto"/>
              <w:jc w:val="both"/>
              <w:rPr>
                <w:rFonts w:ascii="Verdana" w:hAnsi="Verdana" w:cs="Arial"/>
                <w:lang w:eastAsia="es-ES"/>
              </w:rPr>
            </w:pPr>
            <w:r w:rsidRPr="00051C50">
              <w:rPr>
                <w:rFonts w:ascii="Verdana" w:hAnsi="Verdana"/>
              </w:rPr>
              <w:t xml:space="preserve">Agencia Nacional de Contratación Pública – Colombia Compra Eficiente. Circular Externa 006 del 25 de septiembre de 2025. Disponible en </w:t>
            </w:r>
            <w:hyperlink r:id="rId12" w:history="1">
              <w:r w:rsidRPr="00051C50">
                <w:rPr>
                  <w:rStyle w:val="Hipervnculo"/>
                  <w:rFonts w:ascii="Verdana" w:hAnsi="Verdana"/>
                  <w:lang w:val="es-CO"/>
                </w:rPr>
                <w:t>006-de-2025-Circular-Externa-L996-ajustado-comentarios-BM-BID-Rev-ARSC-V3.d-1.pdf</w:t>
              </w:r>
            </w:hyperlink>
          </w:p>
        </w:tc>
      </w:tr>
    </w:tbl>
    <w:p w14:paraId="3BEEF043" w14:textId="77777777" w:rsidR="00EC5EC3" w:rsidRDefault="00EC5EC3" w:rsidP="00EC5EC3">
      <w:pPr>
        <w:tabs>
          <w:tab w:val="left" w:pos="142"/>
          <w:tab w:val="left" w:pos="284"/>
          <w:tab w:val="left" w:pos="3828"/>
        </w:tabs>
        <w:spacing w:after="0" w:line="276" w:lineRule="auto"/>
        <w:jc w:val="both"/>
        <w:rPr>
          <w:rFonts w:ascii="Verdana" w:eastAsia="Century Gothic" w:hAnsi="Verdana" w:cs="Century Gothic"/>
          <w:b/>
          <w:bCs/>
        </w:rPr>
      </w:pPr>
    </w:p>
    <w:p w14:paraId="5883FC6D" w14:textId="77777777" w:rsidR="00EC5EC3" w:rsidRPr="0091091D" w:rsidRDefault="00EC5EC3" w:rsidP="00EC5EC3">
      <w:pPr>
        <w:tabs>
          <w:tab w:val="left" w:pos="142"/>
          <w:tab w:val="left" w:pos="284"/>
          <w:tab w:val="left" w:pos="3828"/>
        </w:tabs>
        <w:spacing w:after="0" w:line="276" w:lineRule="auto"/>
        <w:jc w:val="both"/>
        <w:rPr>
          <w:rFonts w:ascii="Verdana" w:eastAsia="Century Gothic" w:hAnsi="Verdana" w:cs="Century Gothic"/>
          <w:b/>
          <w:bCs/>
        </w:rPr>
      </w:pPr>
      <w:r w:rsidRPr="0091091D">
        <w:rPr>
          <w:rFonts w:ascii="Verdana" w:eastAsia="Century Gothic" w:hAnsi="Verdana" w:cs="Century Gothic"/>
          <w:b/>
          <w:bCs/>
        </w:rPr>
        <w:t>5. Doctrina de la Agencia Nacional de Contratación Pública:</w:t>
      </w:r>
    </w:p>
    <w:p w14:paraId="5A77C361" w14:textId="77777777" w:rsidR="00EC5EC3" w:rsidRPr="007A3DD4" w:rsidRDefault="00EC5EC3" w:rsidP="00EC5EC3">
      <w:pPr>
        <w:widowControl w:val="0"/>
        <w:autoSpaceDE w:val="0"/>
        <w:autoSpaceDN w:val="0"/>
        <w:spacing w:after="0" w:line="240" w:lineRule="auto"/>
        <w:jc w:val="both"/>
        <w:rPr>
          <w:rStyle w:val="normaltextrun"/>
          <w:rFonts w:ascii="Verdana" w:hAnsi="Verdana" w:cs="Arial"/>
          <w:shd w:val="clear" w:color="auto" w:fill="FFFFFF"/>
        </w:rPr>
      </w:pPr>
    </w:p>
    <w:p w14:paraId="3F8F3BA7" w14:textId="77777777" w:rsidR="00EC5EC3" w:rsidRPr="00147D6A" w:rsidRDefault="00EC5EC3" w:rsidP="00EC5EC3">
      <w:pPr>
        <w:widowControl w:val="0"/>
        <w:autoSpaceDE w:val="0"/>
        <w:autoSpaceDN w:val="0"/>
        <w:spacing w:after="120" w:line="276" w:lineRule="auto"/>
        <w:jc w:val="both"/>
        <w:rPr>
          <w:rFonts w:ascii="Verdana" w:hAnsi="Verdana" w:cs="Arial"/>
          <w:shd w:val="clear" w:color="auto" w:fill="FFFFFF"/>
        </w:rPr>
      </w:pPr>
      <w:r w:rsidRPr="00147D6A">
        <w:rPr>
          <w:rFonts w:ascii="Verdana" w:hAnsi="Verdana" w:cs="Arial"/>
          <w:shd w:val="clear" w:color="auto" w:fill="FFFFFF"/>
        </w:rPr>
        <w:t xml:space="preserve">Esta Subdirección se ha pronunciado sobre la Ley de Garantías Electorales en  los conceptos C-681 del 7 de diciembre de 2021, C-686 del 21 de diciembre de 2021, C-134 del 7 de abril de 2022, C-697 del 3 de enero de 2022, C-180 del 21 de marzo de 2025, C-317 del 25 de abril de 2025, C-510 del 4 de junio de 2025, C -635 del 27 de junio de 2025, C–750 de 17 de julio 2025, C-868 del 12 de agosto de 2025, C-1124 del 18 de septiembre de 2025, C-1174 del 29 de septiembre de 2025, C-1491 del 20 de noviembre de 2025, C- 1492 del </w:t>
      </w:r>
      <w:r w:rsidRPr="00147D6A">
        <w:rPr>
          <w:rFonts w:ascii="Verdana" w:hAnsi="Verdana"/>
        </w:rPr>
        <w:t>21 de noviembre del 2025, C-1629, C-1646 del 17 de diciembre de 2025, C-1662 del 22 de diciembre de 2025</w:t>
      </w:r>
      <w:r w:rsidRPr="00147D6A">
        <w:rPr>
          <w:rStyle w:val="normaltextrun"/>
          <w:rFonts w:ascii="Verdana" w:hAnsi="Verdana" w:cs="Arial"/>
          <w:shd w:val="clear" w:color="auto" w:fill="FFFFFF"/>
          <w:lang w:val="es-ES"/>
        </w:rPr>
        <w:t>, C-063 del 23 de febrero de 2026, C-160 del 24 de febrero de 2026, C-108 del 4 de marzo de 2026, C-177 del 16 de marzo de 2026, entre otros.</w:t>
      </w:r>
      <w:r w:rsidRPr="00147D6A">
        <w:rPr>
          <w:rFonts w:ascii="Verdana" w:hAnsi="Verdana" w:cs="Arial"/>
          <w:shd w:val="clear" w:color="auto" w:fill="FFFFFF"/>
          <w:lang w:val="es-ES"/>
        </w:rPr>
        <w:t xml:space="preserve"> </w:t>
      </w:r>
      <w:r w:rsidRPr="00147D6A">
        <w:rPr>
          <w:rFonts w:ascii="Verdana" w:hAnsi="Verdana" w:cs="Arial"/>
        </w:rPr>
        <w:t xml:space="preserve">Estos y otros </w:t>
      </w:r>
      <w:r w:rsidRPr="00147D6A">
        <w:rPr>
          <w:rFonts w:ascii="Verdana" w:hAnsi="Verdana"/>
        </w:rPr>
        <w:t>conceptos se encuentran disponibles para consulta en el Sistema de relatoría de la Agencia, al cual se puede acceder a través del siguiente enlace:</w:t>
      </w:r>
      <w:r w:rsidRPr="00147D6A">
        <w:rPr>
          <w:rFonts w:ascii="Verdana" w:hAnsi="Verdana" w:cs="Arial"/>
          <w:shd w:val="clear" w:color="auto" w:fill="FFFFFF"/>
        </w:rPr>
        <w:t xml:space="preserve"> </w:t>
      </w:r>
      <w:hyperlink r:id="rId13" w:history="1">
        <w:r w:rsidRPr="00147D6A">
          <w:rPr>
            <w:rFonts w:ascii="Verdana" w:hAnsi="Verdana" w:cs="Arial"/>
            <w:color w:val="0563C1" w:themeColor="hyperlink"/>
            <w:u w:val="single"/>
            <w:shd w:val="clear" w:color="auto" w:fill="FFFFFF"/>
          </w:rPr>
          <w:t>https://relatoria.colombiacompra.gov.co/busqueda/conceptos</w:t>
        </w:r>
      </w:hyperlink>
      <w:r w:rsidRPr="00147D6A">
        <w:rPr>
          <w:rFonts w:ascii="Verdana" w:hAnsi="Verdana" w:cs="Arial"/>
          <w:shd w:val="clear" w:color="auto" w:fill="FFFFFF"/>
        </w:rPr>
        <w:t>.</w:t>
      </w:r>
      <w:r w:rsidRPr="00147D6A">
        <w:rPr>
          <w:rFonts w:ascii="Verdana" w:hAnsi="Verdana" w:cs="Arial"/>
          <w:color w:val="FF0000"/>
          <w:shd w:val="clear" w:color="auto" w:fill="FFFFFF"/>
        </w:rPr>
        <w:t xml:space="preserve"> </w:t>
      </w:r>
      <w:r w:rsidRPr="00147D6A">
        <w:rPr>
          <w:rFonts w:ascii="Verdana" w:hAnsi="Verdana" w:cs="Arial"/>
          <w:color w:val="000000" w:themeColor="text1"/>
          <w:shd w:val="clear" w:color="auto" w:fill="FFFFFF"/>
        </w:rPr>
        <w:t>  </w:t>
      </w:r>
    </w:p>
    <w:p w14:paraId="74F04038" w14:textId="77777777" w:rsidR="00EC5EC3" w:rsidRDefault="00EC5EC3" w:rsidP="00EC5EC3">
      <w:pPr>
        <w:widowControl w:val="0"/>
        <w:autoSpaceDE w:val="0"/>
        <w:autoSpaceDN w:val="0"/>
        <w:spacing w:after="120" w:line="276" w:lineRule="auto"/>
        <w:jc w:val="both"/>
        <w:rPr>
          <w:rFonts w:ascii="Verdana" w:hAnsi="Verdana" w:cs="Arial"/>
        </w:rPr>
      </w:pPr>
      <w:r w:rsidRPr="00147D6A">
        <w:rPr>
          <w:rFonts w:ascii="Verdana" w:hAnsi="Verdana"/>
        </w:rPr>
        <w:t>La sostenibilidad no es una opción, es una obligación. Por ello</w:t>
      </w:r>
      <w:r w:rsidRPr="009A385A">
        <w:rPr>
          <w:rFonts w:ascii="Verdana" w:hAnsi="Verdana"/>
        </w:rPr>
        <w:t xml:space="preserve">,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4" w:tgtFrame="_new" w:history="1">
        <w:r w:rsidRPr="008746BD">
          <w:rPr>
            <w:rStyle w:val="Hipervnculo"/>
            <w:rFonts w:ascii="Verdana" w:hAnsi="Verdana"/>
          </w:rPr>
          <w:t>https://formacionvirtual.colombiacompra.gov.co/mod/page/view.php?id=3718</w:t>
        </w:r>
      </w:hyperlink>
    </w:p>
    <w:p w14:paraId="3FDC9A48" w14:textId="77777777" w:rsidR="00EC5EC3" w:rsidRDefault="00EC5EC3" w:rsidP="00EC5EC3">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da</w:t>
      </w:r>
      <w:r>
        <w:rPr>
          <w:rFonts w:ascii="Verdana" w:hAnsi="Verdana"/>
        </w:rPr>
        <w:t>do</w:t>
      </w:r>
      <w:r w:rsidRPr="00635F16">
        <w:rPr>
          <w:rFonts w:ascii="Verdana" w:hAnsi="Verdana"/>
        </w:rPr>
        <w:t xml:space="preserve">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w:t>
      </w:r>
      <w:r w:rsidRPr="008746BD">
        <w:rPr>
          <w:rFonts w:ascii="Verdana" w:hAnsi="Verdana"/>
        </w:rPr>
        <w:t xml:space="preserve">Consulta y descarga los documentos aquí: </w:t>
      </w:r>
      <w:hyperlink r:id="rId15" w:tgtFrame="_new" w:history="1">
        <w:r w:rsidRPr="008746BD">
          <w:rPr>
            <w:rStyle w:val="Hipervnculo"/>
            <w:rFonts w:ascii="Verdana" w:hAnsi="Verdana"/>
          </w:rPr>
          <w:t>https://www.colombiacompra.gov.co/normativa-y-relatoria/documentos-tipo</w:t>
        </w:r>
      </w:hyperlink>
    </w:p>
    <w:p w14:paraId="0D179267" w14:textId="77777777" w:rsidR="00EC5EC3" w:rsidRDefault="00EC5EC3" w:rsidP="00EC5EC3">
      <w:pPr>
        <w:widowControl w:val="0"/>
        <w:autoSpaceDE w:val="0"/>
        <w:autoSpaceDN w:val="0"/>
        <w:spacing w:after="120" w:line="276" w:lineRule="auto"/>
        <w:jc w:val="both"/>
        <w:rPr>
          <w:rStyle w:val="Hipervnculo"/>
          <w:rFonts w:ascii="Verdana" w:hAnsi="Verdana" w:cs="Arial"/>
          <w:color w:val="auto"/>
          <w:u w:val="none"/>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8746BD">
        <w:rPr>
          <w:rFonts w:ascii="Verdana" w:hAnsi="Verdana"/>
        </w:rPr>
        <w:t>Además se incluyeron lineamientos que orientan la implementación de los criterios ambientales y sociales incluidos en los documentos tipo: Consulta la guía aquí:</w:t>
      </w:r>
      <w:r w:rsidRPr="008746BD">
        <w:rPr>
          <w:rFonts w:ascii="Verdana" w:hAnsi="Verdana"/>
        </w:rPr>
        <w:br/>
      </w:r>
      <w:hyperlink r:id="rId16" w:tgtFrame="_new" w:history="1">
        <w:r w:rsidRPr="008746BD">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C582F84" w14:textId="77777777" w:rsidR="00EC5EC3" w:rsidRPr="007A3DD4" w:rsidRDefault="00EC5EC3" w:rsidP="00EC5EC3">
      <w:pPr>
        <w:widowControl w:val="0"/>
        <w:autoSpaceDE w:val="0"/>
        <w:autoSpaceDN w:val="0"/>
        <w:spacing w:after="120" w:line="276" w:lineRule="auto"/>
        <w:jc w:val="both"/>
        <w:rPr>
          <w:rFonts w:ascii="Verdana" w:hAnsi="Verdana" w:cs="Arial"/>
        </w:rPr>
      </w:pPr>
      <w:r w:rsidRPr="001A68FB">
        <w:rPr>
          <w:rFonts w:ascii="Verdana" w:hAnsi="Verdana"/>
        </w:rPr>
        <w:t>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w:t>
      </w:r>
      <w:r w:rsidRPr="00116940">
        <w:rPr>
          <w:rFonts w:ascii="Verdana" w:hAnsi="Verdana"/>
        </w:rPr>
        <w:t xml:space="preserve"> </w:t>
      </w:r>
    </w:p>
    <w:p w14:paraId="3E23BA56" w14:textId="77777777" w:rsidR="00EC5EC3" w:rsidRPr="00116940" w:rsidRDefault="00EC5EC3" w:rsidP="00EC5EC3">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7BB057D8" w14:textId="77777777" w:rsidR="00EC5EC3" w:rsidRPr="00116940" w:rsidRDefault="00EC5EC3" w:rsidP="00EC5EC3">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3726FB2C" w14:textId="77777777" w:rsidR="00EC5EC3" w:rsidRPr="00116940" w:rsidRDefault="00EC5EC3" w:rsidP="00EC5EC3">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6D7E8AA4" w14:textId="77777777" w:rsidR="00EC5EC3" w:rsidRPr="00116940" w:rsidRDefault="00EC5EC3" w:rsidP="00EC5EC3">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2A99B69B" w14:textId="77777777" w:rsidR="00EC5EC3" w:rsidRPr="00116940" w:rsidRDefault="00EC5EC3" w:rsidP="00EC5EC3">
      <w:pPr>
        <w:spacing w:after="0" w:line="276" w:lineRule="auto"/>
        <w:ind w:left="720"/>
        <w:jc w:val="both"/>
        <w:rPr>
          <w:rFonts w:ascii="Verdana" w:hAnsi="Verdana"/>
        </w:rPr>
      </w:pPr>
    </w:p>
    <w:p w14:paraId="65FF2A0E" w14:textId="77777777" w:rsidR="00EC5EC3" w:rsidRDefault="00EC5EC3" w:rsidP="00EC5EC3">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9" w:history="1">
        <w:r w:rsidRPr="008746BD">
          <w:rPr>
            <w:rStyle w:val="Hipervnculo"/>
            <w:rFonts w:ascii="Verdana" w:eastAsia="Verdana" w:hAnsi="Verdana" w:cs="Verdana"/>
            <w:lang w:val="es-MX"/>
          </w:rPr>
          <w:t>https://forms.office.com/r/pPHyWVs2SZ</w:t>
        </w:r>
      </w:hyperlink>
      <w:r w:rsidRPr="008746B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08FD3B73" w14:textId="77777777" w:rsidR="00EC5EC3" w:rsidRDefault="00EC5EC3" w:rsidP="00EC5EC3">
      <w:pPr>
        <w:spacing w:after="0" w:line="276" w:lineRule="auto"/>
        <w:jc w:val="both"/>
        <w:rPr>
          <w:rFonts w:ascii="Verdana" w:hAnsi="Verdana"/>
        </w:rPr>
      </w:pPr>
    </w:p>
    <w:p w14:paraId="75DE4E84" w14:textId="77777777" w:rsidR="00EC5EC3" w:rsidRPr="00116940" w:rsidRDefault="00EC5EC3" w:rsidP="00EC5EC3">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C771071" w14:textId="77777777" w:rsidR="00EC5EC3" w:rsidRPr="008746BD" w:rsidRDefault="00EC5EC3" w:rsidP="00EC5EC3">
      <w:pPr>
        <w:spacing w:after="0" w:line="276" w:lineRule="auto"/>
        <w:jc w:val="both"/>
        <w:rPr>
          <w:rFonts w:ascii="Verdana" w:hAnsi="Verdana"/>
        </w:rPr>
      </w:pPr>
    </w:p>
    <w:p w14:paraId="2EBEADDF" w14:textId="77777777" w:rsidR="00EC5EC3" w:rsidRPr="00116940" w:rsidRDefault="00EC5EC3" w:rsidP="00EC5EC3">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421105D" w14:textId="77777777" w:rsidR="00EC5EC3" w:rsidRPr="00116940" w:rsidRDefault="00EC5EC3" w:rsidP="00EC5EC3">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637D9D25" w14:textId="77777777" w:rsidR="00EC5EC3" w:rsidRPr="00116940" w:rsidRDefault="00EC5EC3" w:rsidP="00EC5EC3">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5027AB7" w14:textId="77777777" w:rsidR="00EC5EC3" w:rsidRDefault="00EC5EC3" w:rsidP="00EC5EC3">
      <w:pPr>
        <w:spacing w:after="0" w:line="276" w:lineRule="auto"/>
        <w:jc w:val="both"/>
        <w:rPr>
          <w:rFonts w:ascii="Verdana" w:hAnsi="Verdana"/>
          <w:lang w:val="es-MX"/>
        </w:rPr>
      </w:pPr>
    </w:p>
    <w:p w14:paraId="2B2ABC5D" w14:textId="77777777" w:rsidR="00EC5EC3" w:rsidRPr="00330029" w:rsidRDefault="00EC5EC3" w:rsidP="00EC5EC3">
      <w:pPr>
        <w:spacing w:after="0" w:line="276" w:lineRule="auto"/>
        <w:jc w:val="both"/>
        <w:rPr>
          <w:rFonts w:ascii="Verdana" w:hAnsi="Verdana"/>
          <w:lang w:val="es-MX"/>
        </w:rPr>
      </w:pPr>
      <w:r w:rsidRPr="00E02524">
        <w:rPr>
          <w:rFonts w:ascii="Verdana" w:hAnsi="Verdana"/>
          <w:lang w:val="es-MX"/>
        </w:rPr>
        <w:t>Cordialmente,</w:t>
      </w:r>
    </w:p>
    <w:p w14:paraId="1E35A4AB" w14:textId="436A4D29" w:rsidR="00EC5EC3" w:rsidRDefault="00EB33F0" w:rsidP="00EB33F0">
      <w:pPr>
        <w:spacing w:after="0" w:line="256" w:lineRule="auto"/>
        <w:jc w:val="center"/>
        <w:rPr>
          <w:rFonts w:ascii="Verdana" w:eastAsia="Calibri" w:hAnsi="Verdana" w:cs="Times New Roman"/>
        </w:rPr>
      </w:pPr>
      <w:r w:rsidRPr="0065791A">
        <w:rPr>
          <w:rFonts w:ascii="Century Gothic" w:hAnsi="Century Gothic"/>
          <w:noProof/>
        </w:rPr>
        <w:drawing>
          <wp:inline distT="0" distB="0" distL="0" distR="0" wp14:anchorId="470D7352" wp14:editId="7B6A4EF0">
            <wp:extent cx="3132814" cy="147604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pic:nvPicPr>
                  <pic:blipFill>
                    <a:blip r:embed="rId20"/>
                    <a:stretch>
                      <a:fillRect/>
                    </a:stretch>
                  </pic:blipFill>
                  <pic:spPr>
                    <a:xfrm>
                      <a:off x="0" y="0"/>
                      <a:ext cx="3197783" cy="1506650"/>
                    </a:xfrm>
                    <a:prstGeom prst="rect">
                      <a:avLst/>
                    </a:prstGeom>
                  </pic:spPr>
                </pic:pic>
              </a:graphicData>
            </a:graphic>
          </wp:inline>
        </w:drawing>
      </w:r>
    </w:p>
    <w:p w14:paraId="0AFAF6BC" w14:textId="77777777" w:rsidR="00EC5EC3" w:rsidRDefault="00EC5EC3" w:rsidP="00EC5EC3">
      <w:pPr>
        <w:spacing w:after="0" w:line="256" w:lineRule="auto"/>
        <w:jc w:val="center"/>
        <w:rPr>
          <w:rFonts w:ascii="Verdana" w:eastAsia="Calibri" w:hAnsi="Verdana" w:cs="Times New Roman"/>
        </w:rPr>
      </w:pP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EC5EC3" w:rsidRPr="005644FE" w14:paraId="5CE3E24B" w14:textId="77777777">
        <w:trPr>
          <w:trHeight w:val="288"/>
        </w:trPr>
        <w:tc>
          <w:tcPr>
            <w:tcW w:w="893" w:type="dxa"/>
            <w:vAlign w:val="center"/>
            <w:hideMark/>
          </w:tcPr>
          <w:p w14:paraId="58D85021" w14:textId="77777777" w:rsidR="00EC5EC3" w:rsidRPr="005644FE" w:rsidRDefault="00EC5EC3">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D86E6EA" w14:textId="77777777" w:rsidR="00EC5EC3" w:rsidRPr="005644FE" w:rsidRDefault="00EC5EC3">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3B55928C" w14:textId="77777777" w:rsidR="00EC5EC3" w:rsidRPr="005644FE" w:rsidRDefault="00EC5EC3">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EC5EC3" w:rsidRPr="005644FE" w14:paraId="5AFF858C" w14:textId="77777777">
        <w:trPr>
          <w:trHeight w:val="330"/>
        </w:trPr>
        <w:tc>
          <w:tcPr>
            <w:tcW w:w="893" w:type="dxa"/>
            <w:vAlign w:val="center"/>
            <w:hideMark/>
          </w:tcPr>
          <w:p w14:paraId="2D6D447E" w14:textId="77777777" w:rsidR="00EC5EC3" w:rsidRPr="005644FE" w:rsidRDefault="00EC5EC3">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53E9692B" w14:textId="77777777" w:rsidR="00EC5EC3" w:rsidRPr="00147D6A" w:rsidRDefault="00EC5EC3">
            <w:pPr>
              <w:pStyle w:val="paragraph"/>
              <w:spacing w:before="0" w:beforeAutospacing="0" w:after="0" w:afterAutospacing="0"/>
              <w:contextualSpacing/>
              <w:textAlignment w:val="baseline"/>
              <w:rPr>
                <w:rStyle w:val="normaltextrun"/>
                <w:rFonts w:ascii="Verdana" w:hAnsi="Verdana"/>
                <w:sz w:val="16"/>
                <w:szCs w:val="16"/>
              </w:rPr>
            </w:pPr>
            <w:r w:rsidRPr="00147D6A">
              <w:rPr>
                <w:rStyle w:val="normaltextrun"/>
                <w:rFonts w:ascii="Verdana" w:hAnsi="Verdana"/>
                <w:sz w:val="16"/>
                <w:szCs w:val="16"/>
              </w:rPr>
              <w:t xml:space="preserve">Adriana </w:t>
            </w:r>
            <w:proofErr w:type="spellStart"/>
            <w:r w:rsidRPr="00147D6A">
              <w:rPr>
                <w:rStyle w:val="normaltextrun"/>
                <w:rFonts w:ascii="Verdana" w:hAnsi="Verdana"/>
                <w:sz w:val="16"/>
                <w:szCs w:val="16"/>
              </w:rPr>
              <w:t>Katerine</w:t>
            </w:r>
            <w:proofErr w:type="spellEnd"/>
            <w:r w:rsidRPr="00147D6A">
              <w:rPr>
                <w:rStyle w:val="normaltextrun"/>
                <w:rFonts w:ascii="Verdana" w:hAnsi="Verdana"/>
                <w:sz w:val="16"/>
                <w:szCs w:val="16"/>
              </w:rPr>
              <w:t xml:space="preserve"> López</w:t>
            </w:r>
            <w:r>
              <w:rPr>
                <w:rStyle w:val="normaltextrun"/>
                <w:rFonts w:ascii="Verdana" w:hAnsi="Verdana"/>
                <w:sz w:val="16"/>
                <w:szCs w:val="16"/>
              </w:rPr>
              <w:t xml:space="preserve"> Rodríguez. </w:t>
            </w:r>
          </w:p>
          <w:p w14:paraId="3C7476D4" w14:textId="77777777" w:rsidR="00EC5EC3" w:rsidRPr="00147D6A" w:rsidRDefault="00EC5EC3">
            <w:pPr>
              <w:pStyle w:val="paragraph"/>
              <w:spacing w:before="0" w:beforeAutospacing="0" w:after="0" w:afterAutospacing="0"/>
              <w:contextualSpacing/>
              <w:textAlignment w:val="baseline"/>
              <w:rPr>
                <w:rFonts w:ascii="Verdana" w:hAnsi="Verdana" w:cs="Segoe UI"/>
                <w:sz w:val="16"/>
                <w:szCs w:val="16"/>
              </w:rPr>
            </w:pPr>
            <w:r w:rsidRPr="00147D6A">
              <w:rPr>
                <w:rStyle w:val="normaltextrun"/>
                <w:rFonts w:ascii="Verdana" w:hAnsi="Verdana"/>
                <w:sz w:val="16"/>
                <w:szCs w:val="16"/>
              </w:rPr>
              <w:t xml:space="preserve">Contratista Subdirección Gestión Contractual  </w:t>
            </w:r>
          </w:p>
        </w:tc>
      </w:tr>
      <w:tr w:rsidR="00EC5EC3" w:rsidRPr="005644FE" w14:paraId="47E6F14B" w14:textId="77777777">
        <w:trPr>
          <w:trHeight w:val="300"/>
        </w:trPr>
        <w:tc>
          <w:tcPr>
            <w:tcW w:w="893" w:type="dxa"/>
            <w:vAlign w:val="center"/>
          </w:tcPr>
          <w:p w14:paraId="17B3203B" w14:textId="77777777" w:rsidR="00EC5EC3" w:rsidRPr="005644FE" w:rsidRDefault="00EC5EC3">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DE83F24" w14:textId="77777777" w:rsidR="00EC5EC3" w:rsidRPr="00147D6A" w:rsidRDefault="00EC5EC3">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Carolina Quintero Gacharná</w:t>
            </w:r>
          </w:p>
          <w:p w14:paraId="61CB1B66" w14:textId="77777777" w:rsidR="00EC5EC3" w:rsidRPr="00147D6A" w:rsidRDefault="00EC5EC3">
            <w:pPr>
              <w:contextualSpacing/>
              <w:rPr>
                <w:rFonts w:ascii="Verdana" w:eastAsia="Calibri" w:hAnsi="Verdana" w:cs="Arial"/>
                <w:sz w:val="16"/>
                <w:szCs w:val="16"/>
                <w:lang w:eastAsia="es-ES"/>
              </w:rPr>
            </w:pPr>
            <w:r w:rsidRPr="00147D6A">
              <w:rPr>
                <w:rFonts w:ascii="Verdana" w:eastAsia="Calibri" w:hAnsi="Verdana" w:cs="Arial"/>
                <w:sz w:val="16"/>
                <w:szCs w:val="16"/>
                <w:lang w:eastAsia="es-ES"/>
              </w:rPr>
              <w:t>Subdirectora de Gestión Contractual ANCP – CCE</w:t>
            </w:r>
          </w:p>
        </w:tc>
      </w:tr>
      <w:bookmarkEnd w:id="0"/>
      <w:bookmarkEnd w:id="1"/>
    </w:tbl>
    <w:p w14:paraId="01C3B0E7" w14:textId="77777777" w:rsidR="00EC5EC3" w:rsidRPr="0024624F" w:rsidRDefault="00EC5EC3" w:rsidP="00EC5EC3">
      <w:pPr>
        <w:spacing w:after="0"/>
        <w:rPr>
          <w:rFonts w:ascii="Verdana" w:eastAsia="Verdana" w:hAnsi="Verdana" w:cs="Verdana"/>
        </w:rPr>
      </w:pPr>
    </w:p>
    <w:p w14:paraId="0F293BF4" w14:textId="79DCF4A7" w:rsidR="00127233" w:rsidRPr="005E05EF" w:rsidRDefault="00127233" w:rsidP="005E05EF"/>
    <w:sectPr w:rsidR="00127233" w:rsidRPr="005E05EF"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DB9C4" w14:textId="77777777" w:rsidR="009C0175" w:rsidRDefault="009C0175" w:rsidP="004A1847">
      <w:pPr>
        <w:spacing w:after="0" w:line="240" w:lineRule="auto"/>
      </w:pPr>
      <w:r>
        <w:separator/>
      </w:r>
    </w:p>
  </w:endnote>
  <w:endnote w:type="continuationSeparator" w:id="0">
    <w:p w14:paraId="4BB9C901" w14:textId="77777777" w:rsidR="009C0175" w:rsidRDefault="009C0175"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6FEAB" w14:textId="77777777" w:rsidR="009C0175" w:rsidRDefault="009C0175" w:rsidP="004A1847">
      <w:pPr>
        <w:spacing w:after="0" w:line="240" w:lineRule="auto"/>
      </w:pPr>
      <w:r>
        <w:separator/>
      </w:r>
    </w:p>
  </w:footnote>
  <w:footnote w:type="continuationSeparator" w:id="0">
    <w:p w14:paraId="2F3EBC10" w14:textId="77777777" w:rsidR="009C0175" w:rsidRDefault="009C0175" w:rsidP="004A1847">
      <w:pPr>
        <w:spacing w:after="0" w:line="240" w:lineRule="auto"/>
      </w:pPr>
      <w:r>
        <w:continuationSeparator/>
      </w:r>
    </w:p>
  </w:footnote>
  <w:footnote w:id="1">
    <w:p w14:paraId="63AEB2CE" w14:textId="77777777" w:rsidR="00EC5EC3" w:rsidRPr="00C32EC0" w:rsidRDefault="00EC5EC3" w:rsidP="00EC5EC3">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400E770E" w14:textId="77777777" w:rsidR="00EC5EC3" w:rsidRPr="00C32EC0" w:rsidRDefault="00EC5EC3" w:rsidP="00EC5EC3">
      <w:pPr>
        <w:pStyle w:val="Textonotapie"/>
        <w:ind w:firstLine="709"/>
        <w:jc w:val="both"/>
        <w:rPr>
          <w:rFonts w:ascii="Verdana" w:hAnsi="Verdana" w:cs="Arial"/>
          <w:sz w:val="16"/>
          <w:szCs w:val="16"/>
        </w:rPr>
      </w:pPr>
      <w:r w:rsidRPr="00C32EC0">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05FA3559" w14:textId="77777777" w:rsidR="00EC5EC3" w:rsidRPr="00C32EC0" w:rsidRDefault="00EC5EC3" w:rsidP="00EC5EC3">
      <w:pPr>
        <w:pStyle w:val="Textonotapie"/>
        <w:ind w:firstLine="709"/>
        <w:jc w:val="both"/>
        <w:rPr>
          <w:rFonts w:ascii="Verdana" w:hAnsi="Verdana" w:cs="Arial"/>
          <w:sz w:val="16"/>
          <w:szCs w:val="16"/>
        </w:rPr>
      </w:pPr>
    </w:p>
  </w:footnote>
  <w:footnote w:id="2">
    <w:p w14:paraId="6ADD41F7" w14:textId="77777777" w:rsidR="00EC5EC3" w:rsidRPr="00C32EC0" w:rsidRDefault="00EC5EC3" w:rsidP="00EC5EC3">
      <w:pPr>
        <w:pStyle w:val="Textonotapie"/>
        <w:ind w:firstLine="709"/>
        <w:jc w:val="both"/>
        <w:rPr>
          <w:rFonts w:ascii="Verdana" w:hAnsi="Verdana" w:cs="Arial"/>
          <w:sz w:val="16"/>
          <w:szCs w:val="16"/>
        </w:rPr>
      </w:pPr>
      <w:r w:rsidRPr="00C32EC0">
        <w:rPr>
          <w:rStyle w:val="Refdenotaalpie"/>
          <w:rFonts w:ascii="Verdana" w:hAnsi="Verdana" w:cs="Arial"/>
          <w:sz w:val="16"/>
          <w:szCs w:val="16"/>
        </w:rPr>
        <w:footnoteRef/>
      </w:r>
      <w:r w:rsidRPr="00C32EC0">
        <w:rPr>
          <w:rFonts w:ascii="Verdana" w:hAnsi="Verdana" w:cs="Arial"/>
          <w:sz w:val="16"/>
          <w:szCs w:val="16"/>
        </w:rPr>
        <w:t xml:space="preserve"> Gaceta del Congreso de la República No. 71 del 2005.</w:t>
      </w:r>
    </w:p>
    <w:p w14:paraId="45388822" w14:textId="77777777" w:rsidR="00EC5EC3" w:rsidRPr="00C32EC0" w:rsidRDefault="00EC5EC3" w:rsidP="00EC5EC3">
      <w:pPr>
        <w:pStyle w:val="Textonotapie"/>
        <w:ind w:firstLine="709"/>
        <w:jc w:val="both"/>
        <w:rPr>
          <w:rFonts w:ascii="Verdana" w:hAnsi="Verdana" w:cs="Arial"/>
          <w:sz w:val="16"/>
          <w:szCs w:val="16"/>
        </w:rPr>
      </w:pPr>
    </w:p>
  </w:footnote>
  <w:footnote w:id="3">
    <w:p w14:paraId="24CB4D4E" w14:textId="77777777" w:rsidR="00EC5EC3" w:rsidRPr="00C32EC0" w:rsidRDefault="00EC5EC3" w:rsidP="00EC5EC3">
      <w:pPr>
        <w:pStyle w:val="Textonotapie"/>
        <w:tabs>
          <w:tab w:val="left" w:pos="8145"/>
        </w:tabs>
        <w:ind w:firstLine="709"/>
        <w:jc w:val="both"/>
        <w:rPr>
          <w:rFonts w:ascii="Verdana" w:hAnsi="Verdana" w:cs="Arial"/>
          <w:sz w:val="16"/>
          <w:szCs w:val="16"/>
          <w:lang w:val="pt-PT"/>
        </w:rPr>
      </w:pPr>
      <w:r w:rsidRPr="00C32EC0">
        <w:rPr>
          <w:rStyle w:val="Refdenotaalpie"/>
          <w:rFonts w:ascii="Verdana" w:hAnsi="Verdana" w:cs="Arial"/>
          <w:sz w:val="16"/>
          <w:szCs w:val="16"/>
        </w:rPr>
        <w:footnoteRef/>
      </w:r>
      <w:r w:rsidRPr="00C32EC0">
        <w:rPr>
          <w:rFonts w:ascii="Verdana" w:hAnsi="Verdana" w:cs="Arial"/>
          <w:sz w:val="16"/>
          <w:szCs w:val="16"/>
          <w:lang w:val="pt-PT"/>
        </w:rPr>
        <w:t xml:space="preserve"> </w:t>
      </w:r>
      <w:r w:rsidRPr="00C32EC0">
        <w:rPr>
          <w:rFonts w:ascii="Verdana" w:hAnsi="Verdana" w:cs="Arial"/>
          <w:sz w:val="16"/>
          <w:szCs w:val="16"/>
          <w:lang w:val="pt-PT"/>
        </w:rPr>
        <w:t>Corte Constitucional. Sentencia C- 1153 de 2005, M.P: Marco Gerardo Monroy Cabra.</w:t>
      </w:r>
      <w:r w:rsidRPr="00C32EC0">
        <w:rPr>
          <w:rFonts w:ascii="Verdana" w:hAnsi="Verdana" w:cs="Arial"/>
          <w:sz w:val="16"/>
          <w:szCs w:val="16"/>
          <w:lang w:val="pt-PT"/>
        </w:rPr>
        <w:tab/>
      </w:r>
    </w:p>
    <w:p w14:paraId="266171B8" w14:textId="77777777" w:rsidR="00EC5EC3" w:rsidRPr="00C32EC0" w:rsidRDefault="00EC5EC3" w:rsidP="00EC5EC3">
      <w:pPr>
        <w:pStyle w:val="Textonotapie"/>
        <w:tabs>
          <w:tab w:val="left" w:pos="8145"/>
        </w:tabs>
        <w:ind w:firstLine="709"/>
        <w:jc w:val="both"/>
        <w:rPr>
          <w:rFonts w:ascii="Verdana" w:hAnsi="Verdana" w:cs="Arial"/>
          <w:sz w:val="16"/>
          <w:szCs w:val="16"/>
          <w:lang w:val="pt-PT"/>
        </w:rPr>
      </w:pPr>
    </w:p>
  </w:footnote>
  <w:footnote w:id="4">
    <w:p w14:paraId="03546528" w14:textId="77777777" w:rsidR="00EC5EC3" w:rsidRPr="003E253F" w:rsidRDefault="00EC5EC3" w:rsidP="00EC5EC3">
      <w:pPr>
        <w:pStyle w:val="Textonotapie"/>
        <w:ind w:firstLine="709"/>
        <w:jc w:val="both"/>
        <w:rPr>
          <w:rFonts w:ascii="Verdana" w:hAnsi="Verdana" w:cs="Arial"/>
          <w:sz w:val="14"/>
          <w:szCs w:val="14"/>
          <w:lang w:val="pt-PT"/>
        </w:rPr>
      </w:pPr>
      <w:r w:rsidRPr="003E253F">
        <w:rPr>
          <w:rStyle w:val="Refdenotaalpie"/>
          <w:rFonts w:ascii="Verdana" w:hAnsi="Verdana" w:cs="Arial"/>
          <w:sz w:val="14"/>
          <w:szCs w:val="14"/>
        </w:rPr>
        <w:footnoteRef/>
      </w:r>
      <w:r w:rsidRPr="003E253F">
        <w:rPr>
          <w:rFonts w:ascii="Verdana" w:hAnsi="Verdana" w:cs="Arial"/>
          <w:sz w:val="14"/>
          <w:szCs w:val="14"/>
          <w:lang w:val="pt-PT"/>
        </w:rPr>
        <w:t xml:space="preserve"> </w:t>
      </w:r>
      <w:r w:rsidRPr="003E253F">
        <w:rPr>
          <w:rFonts w:ascii="Verdana" w:hAnsi="Verdana" w:cs="Arial"/>
          <w:sz w:val="14"/>
          <w:szCs w:val="14"/>
          <w:lang w:val="es-CO"/>
        </w:rPr>
        <w:t xml:space="preserve">Corte Constitucional. Sentencias: C-233 de 4 de abril de 2002. M.P: Álvaro Tafur Galvis; C-551 de 9 de julio de 2003. M.P: Eduardo Montealegre Lynnet; C-353 de 20 de mayo de 2009. M.P: Jorge Iván Palacio </w:t>
      </w:r>
      <w:proofErr w:type="spellStart"/>
      <w:r w:rsidRPr="003E253F">
        <w:rPr>
          <w:rFonts w:ascii="Verdana" w:hAnsi="Verdana" w:cs="Arial"/>
          <w:sz w:val="14"/>
          <w:szCs w:val="14"/>
          <w:lang w:val="es-CO"/>
        </w:rPr>
        <w:t>Palacio</w:t>
      </w:r>
      <w:proofErr w:type="spellEnd"/>
      <w:r w:rsidRPr="003E253F">
        <w:rPr>
          <w:rFonts w:ascii="Verdana" w:hAnsi="Verdana" w:cs="Arial"/>
          <w:sz w:val="14"/>
          <w:szCs w:val="14"/>
          <w:lang w:val="es-CO"/>
        </w:rPr>
        <w:t>; C-541 de 30 de junio de 2010. M.P: Gabriel Eduardo Mendoza Martelo; entre otras.</w:t>
      </w:r>
    </w:p>
    <w:p w14:paraId="57B963AE" w14:textId="77777777" w:rsidR="00EC5EC3" w:rsidRPr="003E253F" w:rsidRDefault="00EC5EC3" w:rsidP="00EC5EC3">
      <w:pPr>
        <w:pStyle w:val="Textonotapie"/>
        <w:ind w:firstLine="709"/>
        <w:jc w:val="both"/>
        <w:rPr>
          <w:rFonts w:ascii="Verdana" w:hAnsi="Verdana" w:cs="Arial"/>
          <w:sz w:val="14"/>
          <w:szCs w:val="14"/>
          <w:lang w:val="pt-PT"/>
        </w:rPr>
      </w:pPr>
    </w:p>
  </w:footnote>
  <w:footnote w:id="5">
    <w:p w14:paraId="7E31F43C" w14:textId="77777777" w:rsidR="00EC5EC3" w:rsidRPr="003E253F" w:rsidRDefault="00EC5EC3" w:rsidP="00EC5EC3">
      <w:pPr>
        <w:pStyle w:val="Textonotapie"/>
        <w:ind w:firstLine="709"/>
        <w:jc w:val="both"/>
        <w:rPr>
          <w:rFonts w:ascii="Verdana" w:hAnsi="Verdana" w:cs="Arial"/>
          <w:sz w:val="14"/>
          <w:szCs w:val="14"/>
          <w:lang w:val="es-CO"/>
        </w:rPr>
      </w:pPr>
      <w:r w:rsidRPr="003E253F">
        <w:rPr>
          <w:rStyle w:val="Refdenotaalpie"/>
          <w:rFonts w:ascii="Verdana" w:hAnsi="Verdana" w:cs="Arial"/>
          <w:sz w:val="14"/>
          <w:szCs w:val="14"/>
        </w:rPr>
        <w:footnoteRef/>
      </w:r>
      <w:r w:rsidRPr="003E253F">
        <w:rPr>
          <w:rFonts w:ascii="Verdana" w:hAnsi="Verdana" w:cs="Arial"/>
          <w:sz w:val="14"/>
          <w:szCs w:val="14"/>
          <w:lang w:val="es-CO"/>
        </w:rPr>
        <w:t xml:space="preserve"> Consejo de Estado. Sala de lo Contencioso Administrativo. Sección Primera. Sentencia de 3 de marzo de 2005. Radicado: </w:t>
      </w:r>
      <w:r w:rsidRPr="003E253F">
        <w:rPr>
          <w:rFonts w:ascii="Verdana" w:hAnsi="Verdana" w:cs="Arial"/>
          <w:sz w:val="14"/>
          <w:szCs w:val="14"/>
          <w:lang w:val="es-ES"/>
        </w:rPr>
        <w:t xml:space="preserve">25001-23-15-000-2004-00823-01 (PI). </w:t>
      </w:r>
      <w:r w:rsidRPr="003E253F">
        <w:rPr>
          <w:rFonts w:ascii="Verdana" w:hAnsi="Verdana" w:cs="Arial"/>
          <w:sz w:val="14"/>
          <w:szCs w:val="14"/>
          <w:lang w:val="es-CO"/>
        </w:rPr>
        <w:t>C.P: Camilo Arciniegas Andrade. Ver también, de la Sección Tercera. Sentencia de 22 de enero de 2002, expediente número 2001-0148-01 y, Sección Tercera. Sentencia de 20 de noviembre de 2001, expediente número 2001-0130-01(PI), entre otras.</w:t>
      </w:r>
    </w:p>
    <w:p w14:paraId="5D739376" w14:textId="77777777" w:rsidR="00EC5EC3" w:rsidRPr="00647D77" w:rsidRDefault="00EC5EC3" w:rsidP="00EC5EC3">
      <w:pPr>
        <w:pStyle w:val="Textonotapie"/>
        <w:ind w:firstLine="709"/>
        <w:jc w:val="both"/>
        <w:rPr>
          <w:rFonts w:ascii="Verdana" w:hAnsi="Verdana" w:cs="Arial"/>
          <w:sz w:val="14"/>
          <w:szCs w:val="14"/>
          <w:lang w:val="es-CO"/>
        </w:rPr>
      </w:pPr>
    </w:p>
  </w:footnote>
  <w:footnote w:id="6">
    <w:p w14:paraId="35ED04D6" w14:textId="77777777" w:rsidR="00EC5EC3" w:rsidRPr="003E253F" w:rsidRDefault="00EC5EC3" w:rsidP="00EC5EC3">
      <w:pPr>
        <w:pStyle w:val="Textonotapie"/>
        <w:ind w:firstLine="709"/>
        <w:jc w:val="both"/>
        <w:rPr>
          <w:rFonts w:ascii="Verdana"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Consejo de Estado, Sala de Consulta y Servicio Civil. 24 de julio de 2013. Radicado: </w:t>
      </w:r>
      <w:r w:rsidRPr="003E253F">
        <w:rPr>
          <w:rFonts w:ascii="Verdana" w:hAnsi="Verdana" w:cs="Arial"/>
          <w:sz w:val="14"/>
          <w:szCs w:val="14"/>
          <w:lang w:val="es-CO"/>
        </w:rPr>
        <w:t xml:space="preserve">11001-03-06-000-2013-00407-00 </w:t>
      </w:r>
      <w:r w:rsidRPr="003E253F">
        <w:rPr>
          <w:rFonts w:ascii="Verdana" w:hAnsi="Verdana" w:cs="Arial"/>
          <w:sz w:val="14"/>
          <w:szCs w:val="14"/>
        </w:rPr>
        <w:t xml:space="preserve">(2166). C.P. Álvaro Namén Vargas.  </w:t>
      </w:r>
    </w:p>
    <w:p w14:paraId="60DF5FF4" w14:textId="77777777" w:rsidR="00EC5EC3" w:rsidRPr="003E253F" w:rsidRDefault="00EC5EC3" w:rsidP="00EC5EC3">
      <w:pPr>
        <w:pStyle w:val="Textonotapie"/>
        <w:ind w:firstLine="709"/>
        <w:jc w:val="both"/>
        <w:rPr>
          <w:rFonts w:ascii="Verdana" w:hAnsi="Verdana" w:cs="Arial"/>
          <w:sz w:val="14"/>
          <w:szCs w:val="14"/>
        </w:rPr>
      </w:pPr>
    </w:p>
  </w:footnote>
  <w:footnote w:id="7">
    <w:p w14:paraId="74710827" w14:textId="77777777" w:rsidR="00EC5EC3" w:rsidRPr="003E253F" w:rsidRDefault="00EC5EC3" w:rsidP="00EC5EC3">
      <w:pPr>
        <w:spacing w:after="0" w:line="240" w:lineRule="auto"/>
        <w:ind w:firstLine="709"/>
        <w:jc w:val="both"/>
        <w:rPr>
          <w:rFonts w:ascii="Verdana" w:eastAsia="Times New Roman" w:hAnsi="Verdana" w:cs="Arial"/>
          <w:sz w:val="14"/>
          <w:szCs w:val="14"/>
        </w:rPr>
      </w:pPr>
      <w:r w:rsidRPr="003E253F">
        <w:rPr>
          <w:rStyle w:val="Refdenotaalpie"/>
          <w:rFonts w:ascii="Verdana" w:hAnsi="Verdana" w:cs="Arial"/>
          <w:sz w:val="14"/>
          <w:szCs w:val="14"/>
        </w:rPr>
        <w:footnoteRef/>
      </w:r>
      <w:r w:rsidRPr="003E253F">
        <w:rPr>
          <w:rFonts w:ascii="Verdana" w:hAnsi="Verdana" w:cs="Arial"/>
          <w:sz w:val="14"/>
          <w:szCs w:val="14"/>
        </w:rPr>
        <w:t xml:space="preserve"> </w:t>
      </w:r>
      <w:bookmarkStart w:id="4" w:name="33"/>
      <w:r w:rsidRPr="003E253F">
        <w:rPr>
          <w:rFonts w:ascii="Verdana" w:eastAsia="Calibri" w:hAnsi="Verdana" w:cs="Arial"/>
          <w:color w:val="000000"/>
          <w:sz w:val="14"/>
          <w:szCs w:val="14"/>
        </w:rPr>
        <w:t>“</w:t>
      </w:r>
      <w:r w:rsidRPr="003E253F">
        <w:rPr>
          <w:rFonts w:ascii="Verdana" w:eastAsia="Times New Roman" w:hAnsi="Verdana" w:cs="Arial"/>
          <w:sz w:val="14"/>
          <w:szCs w:val="14"/>
        </w:rPr>
        <w:t>Artículo 33. Restricciones a la contratación pública.</w:t>
      </w:r>
      <w:bookmarkEnd w:id="4"/>
      <w:r w:rsidRPr="003E253F">
        <w:rPr>
          <w:rFonts w:ascii="Verdana" w:eastAsia="Times New Roman" w:hAnsi="Verdana" w:cs="Arial"/>
          <w:sz w:val="14"/>
          <w:szCs w:val="14"/>
        </w:rPr>
        <w:t> Durante los cuatro (4) meses anteriores a la elección presidencial y hasta la realización de la elección en la segunda vuelta, si fuere el caso, queda prohibida la contratación directa por parte de todos los entes del Estado.</w:t>
      </w:r>
    </w:p>
    <w:p w14:paraId="2F52AB51" w14:textId="77777777" w:rsidR="00EC5EC3" w:rsidRPr="00647D77" w:rsidRDefault="00EC5EC3" w:rsidP="00EC5EC3">
      <w:pPr>
        <w:spacing w:after="0" w:line="240" w:lineRule="auto"/>
        <w:ind w:firstLine="709"/>
        <w:jc w:val="both"/>
        <w:rPr>
          <w:rFonts w:ascii="Verdana" w:eastAsia="Times New Roman" w:hAnsi="Verdana" w:cs="Arial"/>
          <w:sz w:val="14"/>
          <w:szCs w:val="14"/>
        </w:rPr>
      </w:pPr>
      <w:r w:rsidRPr="003E253F">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647D77">
        <w:rPr>
          <w:rFonts w:ascii="Verdana" w:eastAsia="Times New Roman" w:hAnsi="Verdana" w:cs="Arial"/>
          <w:sz w:val="14"/>
          <w:szCs w:val="14"/>
        </w:rPr>
        <w:t>.</w:t>
      </w:r>
    </w:p>
    <w:p w14:paraId="118312AD" w14:textId="77777777" w:rsidR="00EC5EC3" w:rsidRPr="00647D77" w:rsidRDefault="00EC5EC3" w:rsidP="00EC5EC3">
      <w:pPr>
        <w:spacing w:after="0" w:line="240" w:lineRule="auto"/>
        <w:ind w:firstLine="709"/>
        <w:jc w:val="both"/>
        <w:rPr>
          <w:rFonts w:ascii="Verdana" w:eastAsia="Times New Roman" w:hAnsi="Verdana" w:cs="Arial"/>
          <w:sz w:val="14"/>
          <w:szCs w:val="14"/>
        </w:rPr>
      </w:pPr>
    </w:p>
  </w:footnote>
  <w:footnote w:id="8">
    <w:p w14:paraId="6C703EED" w14:textId="77777777" w:rsidR="00EC5EC3" w:rsidRPr="003E253F" w:rsidRDefault="00EC5EC3" w:rsidP="00EC5EC3">
      <w:pPr>
        <w:pStyle w:val="NormalWeb"/>
        <w:spacing w:before="0" w:beforeAutospacing="0" w:after="0" w:afterAutospacing="0"/>
        <w:ind w:firstLine="709"/>
        <w:jc w:val="both"/>
        <w:rPr>
          <w:rFonts w:ascii="Verdana" w:hAnsi="Verdana" w:cs="Arial"/>
          <w:sz w:val="14"/>
          <w:szCs w:val="14"/>
          <w:lang w:val="es-MX"/>
        </w:rPr>
      </w:pPr>
      <w:r w:rsidRPr="003E253F">
        <w:rPr>
          <w:rStyle w:val="Refdenotaalpie"/>
          <w:rFonts w:ascii="Verdana" w:eastAsiaTheme="majorEastAsia" w:hAnsi="Verdana" w:cs="Arial"/>
          <w:sz w:val="14"/>
          <w:szCs w:val="14"/>
        </w:rPr>
        <w:footnoteRef/>
      </w:r>
      <w:r w:rsidRPr="003E253F">
        <w:rPr>
          <w:rFonts w:ascii="Verdana" w:hAnsi="Verdana" w:cs="Arial"/>
          <w:sz w:val="14"/>
          <w:szCs w:val="14"/>
        </w:rPr>
        <w:t xml:space="preserve"> </w:t>
      </w:r>
      <w:bookmarkStart w:id="5" w:name="38"/>
      <w:r w:rsidRPr="003E253F">
        <w:rPr>
          <w:rFonts w:ascii="Verdana" w:eastAsia="Calibri" w:hAnsi="Verdana" w:cs="Arial"/>
          <w:color w:val="000000"/>
          <w:sz w:val="14"/>
          <w:szCs w:val="14"/>
        </w:rPr>
        <w:t>“</w:t>
      </w:r>
      <w:r w:rsidRPr="003E253F">
        <w:rPr>
          <w:rFonts w:ascii="Verdana" w:hAnsi="Verdana" w:cs="Arial"/>
          <w:sz w:val="14"/>
          <w:szCs w:val="14"/>
          <w:lang w:val="es-MX"/>
        </w:rPr>
        <w:t>Artículo 38. Prohibiciones para los servidores públicos. A los empleados del Estado les está prohibido:</w:t>
      </w:r>
      <w:bookmarkEnd w:id="5"/>
    </w:p>
    <w:p w14:paraId="292B0043" w14:textId="77777777" w:rsidR="00EC5EC3" w:rsidRPr="003E253F" w:rsidRDefault="00EC5EC3" w:rsidP="00EC5EC3">
      <w:pPr>
        <w:pStyle w:val="NormalWeb"/>
        <w:spacing w:before="0" w:beforeAutospacing="0" w:after="0" w:afterAutospacing="0"/>
        <w:ind w:firstLine="709"/>
        <w:jc w:val="both"/>
        <w:rPr>
          <w:rFonts w:ascii="Verdana" w:hAnsi="Verdana" w:cs="Arial"/>
          <w:sz w:val="14"/>
          <w:szCs w:val="14"/>
          <w:lang w:val="es-MX"/>
        </w:rPr>
      </w:pPr>
      <w:r w:rsidRPr="003E253F">
        <w:rPr>
          <w:rFonts w:ascii="Verdana" w:hAnsi="Verdana" w:cs="Arial"/>
          <w:sz w:val="14"/>
          <w:szCs w:val="14"/>
          <w:lang w:val="es-MX"/>
        </w:rPr>
        <w:t>(…)</w:t>
      </w:r>
    </w:p>
    <w:p w14:paraId="71B5CF0C" w14:textId="77777777" w:rsidR="00EC5EC3" w:rsidRDefault="00EC5EC3" w:rsidP="00EC5EC3">
      <w:pPr>
        <w:pStyle w:val="NormalWeb"/>
        <w:spacing w:before="0" w:beforeAutospacing="0" w:after="0" w:afterAutospacing="0"/>
        <w:ind w:firstLine="709"/>
        <w:jc w:val="both"/>
        <w:rPr>
          <w:rFonts w:ascii="Verdana" w:eastAsia="Calibri" w:hAnsi="Verdana" w:cs="Arial"/>
          <w:color w:val="000000"/>
          <w:sz w:val="14"/>
          <w:szCs w:val="14"/>
        </w:rPr>
      </w:pPr>
      <w:r w:rsidRPr="003E253F">
        <w:rPr>
          <w:rStyle w:val="baj"/>
          <w:rFonts w:ascii="Verdana" w:hAnsi="Verdana" w:cs="Arial"/>
          <w:sz w:val="14"/>
          <w:szCs w:val="14"/>
          <w:lang w:val="es-MX"/>
        </w:rPr>
        <w:t>Parágrafo.</w:t>
      </w:r>
      <w:r w:rsidRPr="003E253F">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3E253F">
        <w:rPr>
          <w:rFonts w:ascii="Verdana" w:eastAsia="Calibri" w:hAnsi="Verdana" w:cs="Arial"/>
          <w:color w:val="000000"/>
          <w:sz w:val="14"/>
          <w:szCs w:val="14"/>
        </w:rPr>
        <w:t>”.</w:t>
      </w:r>
    </w:p>
    <w:p w14:paraId="66D4EEDA" w14:textId="77777777" w:rsidR="00EC5EC3" w:rsidRPr="003E253F" w:rsidRDefault="00EC5EC3" w:rsidP="00EC5EC3">
      <w:pPr>
        <w:pStyle w:val="NormalWeb"/>
        <w:spacing w:before="0" w:beforeAutospacing="0" w:after="0" w:afterAutospacing="0"/>
        <w:ind w:firstLine="709"/>
        <w:jc w:val="both"/>
        <w:rPr>
          <w:rFonts w:ascii="Verdana" w:eastAsia="Calibri" w:hAnsi="Verdana" w:cs="Arial"/>
          <w:color w:val="000000"/>
          <w:sz w:val="14"/>
          <w:szCs w:val="14"/>
        </w:rPr>
      </w:pPr>
    </w:p>
  </w:footnote>
  <w:footnote w:id="9">
    <w:p w14:paraId="11DC05D4" w14:textId="77777777" w:rsidR="00EC5EC3" w:rsidRPr="005703BF" w:rsidRDefault="00EC5EC3" w:rsidP="00EC5EC3">
      <w:pPr>
        <w:tabs>
          <w:tab w:val="left" w:pos="2127"/>
        </w:tabs>
        <w:spacing w:after="0" w:line="240" w:lineRule="auto"/>
        <w:ind w:left="100" w:right="244"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17 de febrero de 2015. Radicado: 11001-03-06-000-2015-00164-00 (2269). C.P. William Zambrano Cetina.</w:t>
      </w:r>
    </w:p>
    <w:p w14:paraId="40D84752" w14:textId="77777777" w:rsidR="00EC5EC3" w:rsidRPr="005703BF" w:rsidRDefault="00EC5EC3" w:rsidP="00EC5EC3">
      <w:pPr>
        <w:spacing w:after="0" w:line="240" w:lineRule="auto"/>
        <w:ind w:left="100" w:right="244" w:firstLine="709"/>
        <w:jc w:val="both"/>
        <w:rPr>
          <w:rFonts w:ascii="Verdana" w:hAnsi="Verdana" w:cs="Arial"/>
          <w:sz w:val="16"/>
          <w:szCs w:val="16"/>
          <w:lang w:val="es-ES"/>
        </w:rPr>
      </w:pPr>
    </w:p>
  </w:footnote>
  <w:footnote w:id="10">
    <w:p w14:paraId="4434DC32" w14:textId="77777777" w:rsidR="00EC5EC3" w:rsidRPr="005703BF" w:rsidRDefault="00EC5EC3" w:rsidP="00EC5EC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[25] </w:t>
      </w:r>
      <w:r w:rsidRPr="005703BF">
        <w:rPr>
          <w:rFonts w:ascii="Verdana" w:hAnsi="Verdana" w:cs="Arial"/>
          <w:sz w:val="16"/>
          <w:szCs w:val="16"/>
        </w:rPr>
        <w:t>Cfr. Consejo de Estado. Sección Tercera. Sentencia de 3 de diciembre de 2007. Radicados: 24.715, 25.206, 25.409, 24.524, 27.834, 25.410, 26.105, 28.244, 31.447 -acumulados</w:t>
      </w:r>
      <w:proofErr w:type="gramStart"/>
      <w:r w:rsidRPr="005703BF">
        <w:rPr>
          <w:rFonts w:ascii="Verdana" w:hAnsi="Verdana" w:cs="Arial"/>
          <w:sz w:val="16"/>
          <w:szCs w:val="16"/>
        </w:rPr>
        <w:t>-“</w:t>
      </w:r>
      <w:proofErr w:type="gramEnd"/>
      <w:r w:rsidRPr="005703BF">
        <w:rPr>
          <w:rFonts w:ascii="Verdana" w:hAnsi="Verdana" w:cs="Arial"/>
          <w:sz w:val="16"/>
          <w:szCs w:val="16"/>
        </w:rPr>
        <w:t>.</w:t>
      </w:r>
    </w:p>
    <w:p w14:paraId="3AF047FA" w14:textId="77777777" w:rsidR="00EC5EC3" w:rsidRPr="005703BF" w:rsidRDefault="00EC5EC3" w:rsidP="00EC5EC3">
      <w:pPr>
        <w:pStyle w:val="Textonotapie"/>
        <w:ind w:firstLine="709"/>
        <w:jc w:val="both"/>
        <w:rPr>
          <w:rFonts w:ascii="Verdana" w:hAnsi="Verdana" w:cs="Arial"/>
          <w:sz w:val="16"/>
          <w:szCs w:val="16"/>
        </w:rPr>
      </w:pPr>
    </w:p>
  </w:footnote>
  <w:footnote w:id="11">
    <w:p w14:paraId="2F06052F" w14:textId="77777777" w:rsidR="00EC5EC3" w:rsidRPr="005703BF" w:rsidRDefault="00EC5EC3" w:rsidP="00EC5EC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w:t>
      </w:r>
      <w:bookmarkStart w:id="13" w:name="_Hlk74294506"/>
      <w:r w:rsidRPr="005703BF">
        <w:rPr>
          <w:rFonts w:ascii="Verdana" w:hAnsi="Verdana" w:cs="Arial"/>
          <w:sz w:val="16"/>
          <w:szCs w:val="16"/>
        </w:rPr>
        <w:t>“</w:t>
      </w:r>
      <w:r w:rsidRPr="005703BF">
        <w:rPr>
          <w:rFonts w:ascii="Verdana" w:hAnsi="Verdana" w:cs="Arial"/>
          <w:sz w:val="16"/>
          <w:szCs w:val="16"/>
          <w:lang w:val="es-ES"/>
        </w:rPr>
        <w:t xml:space="preserve">[26] </w:t>
      </w:r>
      <w:bookmarkEnd w:id="13"/>
      <w:r w:rsidRPr="005703BF">
        <w:rPr>
          <w:rFonts w:ascii="Verdana" w:hAnsi="Verdana" w:cs="Arial"/>
          <w:sz w:val="16"/>
          <w:szCs w:val="16"/>
        </w:rPr>
        <w:t>Al respecto ver el concepto 1712 de 2 de febrero de 2006. Consejo de Estado Sala de Consulta y Servicio Civil”.</w:t>
      </w:r>
    </w:p>
    <w:p w14:paraId="15019ADE" w14:textId="77777777" w:rsidR="00EC5EC3" w:rsidRPr="005703BF" w:rsidRDefault="00EC5EC3" w:rsidP="00EC5EC3">
      <w:pPr>
        <w:pStyle w:val="Textonotapie"/>
        <w:ind w:firstLine="709"/>
        <w:jc w:val="both"/>
        <w:rPr>
          <w:rFonts w:ascii="Verdana" w:hAnsi="Verdana" w:cs="Arial"/>
          <w:sz w:val="16"/>
          <w:szCs w:val="16"/>
        </w:rPr>
      </w:pPr>
    </w:p>
  </w:footnote>
  <w:footnote w:id="12">
    <w:p w14:paraId="799EF25D" w14:textId="77777777" w:rsidR="00EC5EC3" w:rsidRPr="005703BF" w:rsidRDefault="00EC5EC3" w:rsidP="00EC5EC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2 de septiembre de 2013. Radicación número: 11001-03-06-000-2013-00412-00 (2168). C.P: Álvaro Namén Vargas.</w:t>
      </w:r>
    </w:p>
  </w:footnote>
  <w:footnote w:id="13">
    <w:p w14:paraId="61C4D112" w14:textId="77777777" w:rsidR="00EC5EC3" w:rsidRPr="005703BF" w:rsidRDefault="00EC5EC3" w:rsidP="00EC5EC3">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sz w:val="16"/>
          <w:szCs w:val="16"/>
          <w:lang w:val="es-ES"/>
        </w:rPr>
        <w:t xml:space="preserve">Artículo 2. </w:t>
      </w:r>
    </w:p>
    <w:p w14:paraId="56957FF9" w14:textId="77777777" w:rsidR="00EC5EC3" w:rsidRPr="005703BF" w:rsidRDefault="00EC5EC3" w:rsidP="00EC5EC3">
      <w:pPr>
        <w:pStyle w:val="Textonotapie"/>
        <w:ind w:firstLine="709"/>
        <w:jc w:val="both"/>
        <w:rPr>
          <w:rFonts w:ascii="Verdana" w:hAnsi="Verdana" w:cs="Arial"/>
          <w:sz w:val="16"/>
          <w:szCs w:val="16"/>
          <w:lang w:val="es-ES"/>
        </w:rPr>
      </w:pPr>
    </w:p>
  </w:footnote>
  <w:footnote w:id="14">
    <w:p w14:paraId="405B4488" w14:textId="77777777" w:rsidR="00EC5EC3" w:rsidRPr="005703BF" w:rsidRDefault="00EC5EC3" w:rsidP="00EC5EC3">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Fonts w:ascii="Verdana" w:hAnsi="Verdana" w:cs="Arial"/>
          <w:sz w:val="16"/>
          <w:szCs w:val="16"/>
        </w:rPr>
        <w:t xml:space="preserve"> </w:t>
      </w:r>
      <w:r w:rsidRPr="005703BF">
        <w:rPr>
          <w:rFonts w:ascii="Verdana" w:hAnsi="Verdana" w:cs="Arial"/>
          <w:i/>
          <w:sz w:val="16"/>
          <w:szCs w:val="16"/>
          <w:lang w:val="es-ES"/>
        </w:rPr>
        <w:t>Ídem</w:t>
      </w:r>
      <w:r w:rsidRPr="005703BF">
        <w:rPr>
          <w:rFonts w:ascii="Verdana" w:hAnsi="Verdana" w:cs="Arial"/>
          <w:sz w:val="16"/>
          <w:szCs w:val="16"/>
          <w:lang w:val="es-ES"/>
        </w:rPr>
        <w:t>.</w:t>
      </w:r>
    </w:p>
    <w:p w14:paraId="0860DD6B" w14:textId="77777777" w:rsidR="00EC5EC3" w:rsidRPr="005703BF" w:rsidRDefault="00EC5EC3" w:rsidP="00EC5EC3">
      <w:pPr>
        <w:pStyle w:val="Textonotapie"/>
        <w:ind w:firstLine="709"/>
        <w:jc w:val="both"/>
        <w:rPr>
          <w:rFonts w:ascii="Verdana" w:hAnsi="Verdana" w:cs="Arial"/>
          <w:sz w:val="16"/>
          <w:szCs w:val="16"/>
          <w:lang w:val="es-ES"/>
        </w:rPr>
      </w:pPr>
    </w:p>
  </w:footnote>
  <w:footnote w:id="15">
    <w:p w14:paraId="071AF458" w14:textId="77777777" w:rsidR="00EC5EC3" w:rsidRPr="005703BF" w:rsidRDefault="00EC5EC3" w:rsidP="00EC5EC3">
      <w:pPr>
        <w:pStyle w:val="Textonotapie"/>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 xml:space="preserve">[…] A este respecto, cabe recordar que el artículo 860 del Código de Comercio regula la licitación en el derecho privado. </w:t>
      </w:r>
    </w:p>
    <w:p w14:paraId="301C765D" w14:textId="77777777" w:rsidR="00EC5EC3" w:rsidRPr="005703BF" w:rsidRDefault="00EC5EC3" w:rsidP="00EC5EC3">
      <w:pPr>
        <w:pStyle w:val="Textonotapie"/>
        <w:ind w:firstLine="709"/>
        <w:jc w:val="both"/>
        <w:rPr>
          <w:rFonts w:ascii="Verdana" w:hAnsi="Verdana" w:cs="Arial"/>
          <w:sz w:val="16"/>
          <w:szCs w:val="16"/>
          <w:lang w:val="es-ES"/>
        </w:rPr>
      </w:pPr>
    </w:p>
  </w:footnote>
  <w:footnote w:id="16">
    <w:p w14:paraId="4EF58F92" w14:textId="77777777" w:rsidR="00EC5EC3" w:rsidRPr="005703BF" w:rsidRDefault="00EC5EC3" w:rsidP="00EC5EC3">
      <w:pPr>
        <w:shd w:val="clear" w:color="auto" w:fill="FFFFFF"/>
        <w:spacing w:after="0" w:line="240" w:lineRule="auto"/>
        <w:ind w:firstLine="709"/>
        <w:jc w:val="both"/>
        <w:rPr>
          <w:rFonts w:ascii="Verdana" w:hAnsi="Verdana" w:cs="Arial"/>
          <w:sz w:val="16"/>
          <w:szCs w:val="16"/>
          <w:lang w:val="es-ES"/>
        </w:rPr>
      </w:pPr>
      <w:r w:rsidRPr="005703BF">
        <w:rPr>
          <w:rStyle w:val="Refdenotaalpie"/>
          <w:rFonts w:ascii="Verdana" w:hAnsi="Verdana" w:cs="Arial"/>
          <w:sz w:val="16"/>
          <w:szCs w:val="16"/>
        </w:rPr>
        <w:footnoteRef/>
      </w:r>
      <w:r w:rsidRPr="005703BF">
        <w:rPr>
          <w:rStyle w:val="Refdenotaalpie"/>
          <w:rFonts w:ascii="Verdana" w:hAnsi="Verdana" w:cs="Arial"/>
          <w:sz w:val="16"/>
          <w:szCs w:val="16"/>
        </w:rPr>
        <w:t xml:space="preserve"> </w:t>
      </w:r>
      <w:r w:rsidRPr="005703BF">
        <w:rPr>
          <w:rFonts w:ascii="Verdana" w:hAnsi="Verdana" w:cs="Arial"/>
          <w:sz w:val="16"/>
          <w:szCs w:val="16"/>
          <w:lang w:val="es-ES"/>
        </w:rPr>
        <w:t>Consejo de Estado. Sala de Consulta y Servicio Civil, Concepto de 8 de mayo de 2018. Radicación Número: 11001-03-06-000-2018-00095-00 (2382). C.P: Álvaro Namén Vargas.</w:t>
      </w:r>
    </w:p>
    <w:p w14:paraId="3D91C050" w14:textId="77777777" w:rsidR="00EC5EC3" w:rsidRPr="005703BF" w:rsidRDefault="00EC5EC3" w:rsidP="00EC5EC3">
      <w:pPr>
        <w:shd w:val="clear" w:color="auto" w:fill="FFFFFF"/>
        <w:spacing w:after="0" w:line="240" w:lineRule="auto"/>
        <w:ind w:firstLine="709"/>
        <w:jc w:val="both"/>
        <w:rPr>
          <w:rFonts w:ascii="Verdana" w:hAnsi="Verdana" w:cs="Arial"/>
          <w:sz w:val="16"/>
          <w:szCs w:val="16"/>
          <w:lang w:val="es-ES"/>
        </w:rPr>
      </w:pPr>
    </w:p>
  </w:footnote>
  <w:footnote w:id="17">
    <w:p w14:paraId="1B8B8299" w14:textId="77777777" w:rsidR="00EC5EC3" w:rsidRPr="005703BF" w:rsidRDefault="00EC5EC3" w:rsidP="00EC5EC3">
      <w:pPr>
        <w:pStyle w:val="Textonotapie"/>
        <w:ind w:firstLine="709"/>
        <w:jc w:val="both"/>
        <w:rPr>
          <w:rFonts w:ascii="Verdana" w:hAnsi="Verdana" w:cs="Arial"/>
          <w:sz w:val="16"/>
          <w:szCs w:val="16"/>
        </w:rPr>
      </w:pPr>
      <w:r w:rsidRPr="005703BF">
        <w:rPr>
          <w:rStyle w:val="Refdenotaalpie"/>
          <w:rFonts w:ascii="Verdana" w:hAnsi="Verdana" w:cs="Arial"/>
          <w:sz w:val="16"/>
          <w:szCs w:val="16"/>
        </w:rPr>
        <w:footnoteRef/>
      </w:r>
      <w:r w:rsidRPr="005703BF">
        <w:rPr>
          <w:rFonts w:ascii="Verdana" w:hAnsi="Verdana" w:cs="Arial"/>
          <w:sz w:val="16"/>
          <w:szCs w:val="16"/>
        </w:rPr>
        <w:t xml:space="preserve"> Consejo de Estado. Sala de Consulta y Servicio Civil. Concepto del 08 de mayo de 2018. </w:t>
      </w:r>
      <w:proofErr w:type="spellStart"/>
      <w:r w:rsidRPr="005703BF">
        <w:rPr>
          <w:rFonts w:ascii="Verdana" w:hAnsi="Verdana" w:cs="Arial"/>
          <w:sz w:val="16"/>
          <w:szCs w:val="16"/>
        </w:rPr>
        <w:t>Exp</w:t>
      </w:r>
      <w:proofErr w:type="spellEnd"/>
      <w:r w:rsidRPr="005703BF">
        <w:rPr>
          <w:rFonts w:ascii="Verdana" w:hAnsi="Verdana" w:cs="Arial"/>
          <w:sz w:val="16"/>
          <w:szCs w:val="16"/>
        </w:rPr>
        <w:t>. 2.382. C.P. Álvaro Namén Vargas.</w:t>
      </w:r>
    </w:p>
    <w:p w14:paraId="521DF0A3" w14:textId="77777777" w:rsidR="00EC5EC3" w:rsidRPr="005703BF" w:rsidRDefault="00EC5EC3" w:rsidP="00EC5EC3">
      <w:pPr>
        <w:pStyle w:val="Textonotapie"/>
        <w:ind w:firstLine="709"/>
        <w:jc w:val="both"/>
        <w:rPr>
          <w:rFonts w:ascii="Verdana" w:hAnsi="Verdana" w:cs="Arial"/>
          <w:sz w:val="16"/>
          <w:szCs w:val="16"/>
        </w:rPr>
      </w:pPr>
    </w:p>
  </w:footnote>
  <w:footnote w:id="18">
    <w:p w14:paraId="61A57AE0" w14:textId="77777777" w:rsidR="00EC5EC3" w:rsidRPr="005703BF" w:rsidRDefault="00EC5EC3" w:rsidP="00EC5EC3">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Circular Externa 006 del 25 de septiembre de 2025. Disponible en </w:t>
      </w:r>
      <w:hyperlink r:id="rId1" w:history="1">
        <w:r w:rsidRPr="005703BF">
          <w:rPr>
            <w:rStyle w:val="Hipervnculo"/>
            <w:rFonts w:ascii="Verdana" w:hAnsi="Verdana"/>
            <w:sz w:val="16"/>
            <w:szCs w:val="16"/>
            <w:lang w:val="es-CO"/>
          </w:rPr>
          <w:t>006-de-2025-Circular-Externa-L996-ajustado-comentarios-BM-BID-Rev-ARSC-V3.d-1.pdf</w:t>
        </w:r>
      </w:hyperlink>
    </w:p>
    <w:p w14:paraId="2467BF2A" w14:textId="77777777" w:rsidR="00EC5EC3" w:rsidRPr="005703BF" w:rsidRDefault="00EC5EC3" w:rsidP="00EC5EC3">
      <w:pPr>
        <w:pStyle w:val="Textonotapie"/>
        <w:ind w:firstLine="709"/>
        <w:jc w:val="both"/>
        <w:rPr>
          <w:rFonts w:ascii="Verdana" w:hAnsi="Verdana"/>
          <w:sz w:val="16"/>
          <w:szCs w:val="16"/>
          <w:lang w:val="es-ES"/>
        </w:rPr>
      </w:pPr>
    </w:p>
  </w:footnote>
  <w:footnote w:id="19">
    <w:p w14:paraId="3B1D754A" w14:textId="77777777" w:rsidR="00EC5EC3" w:rsidRPr="005703BF" w:rsidRDefault="00EC5EC3" w:rsidP="00EC5EC3">
      <w:pPr>
        <w:pStyle w:val="Textonotapie"/>
        <w:ind w:firstLine="709"/>
        <w:jc w:val="both"/>
        <w:rPr>
          <w:rFonts w:ascii="Verdana" w:hAnsi="Verdana"/>
          <w:sz w:val="16"/>
          <w:szCs w:val="16"/>
          <w:lang w:val="es-ES"/>
        </w:rPr>
      </w:pPr>
      <w:r w:rsidRPr="005703BF">
        <w:rPr>
          <w:rStyle w:val="Refdenotaalpie"/>
          <w:rFonts w:ascii="Verdana" w:hAnsi="Verdana"/>
          <w:sz w:val="16"/>
          <w:szCs w:val="16"/>
        </w:rPr>
        <w:footnoteRef/>
      </w:r>
      <w:r w:rsidRPr="005703BF">
        <w:rPr>
          <w:rFonts w:ascii="Verdana" w:hAnsi="Verdana"/>
          <w:sz w:val="16"/>
          <w:szCs w:val="16"/>
        </w:rPr>
        <w:t xml:space="preserve"> </w:t>
      </w:r>
      <w:r w:rsidRPr="005703BF">
        <w:rPr>
          <w:rFonts w:ascii="Verdana" w:hAnsi="Verdana"/>
          <w:sz w:val="16"/>
          <w:szCs w:val="16"/>
          <w:lang w:val="es-ES"/>
        </w:rPr>
        <w:t xml:space="preserve">Agencia Nacional de Contratación Pública - Colombia Compra Eficiente. Concepto </w:t>
      </w:r>
      <w:hyperlink r:id="rId2" w:history="1">
        <w:r w:rsidRPr="005703BF">
          <w:rPr>
            <w:rStyle w:val="Hipervnculo"/>
            <w:rFonts w:ascii="Verdana" w:hAnsi="Verdana"/>
            <w:sz w:val="16"/>
            <w:szCs w:val="16"/>
          </w:rPr>
          <w:t xml:space="preserve">C-048 de 2026 – </w:t>
        </w:r>
        <w:proofErr w:type="spellStart"/>
        <w:r w:rsidRPr="005703BF">
          <w:rPr>
            <w:rStyle w:val="Hipervnculo"/>
            <w:rFonts w:ascii="Verdana" w:hAnsi="Verdana"/>
            <w:sz w:val="16"/>
            <w:szCs w:val="16"/>
          </w:rPr>
          <w:t>Relatoria</w:t>
        </w:r>
        <w:proofErr w:type="spellEnd"/>
        <w:r w:rsidRPr="005703BF">
          <w:rPr>
            <w:rStyle w:val="Hipervnculo"/>
            <w:rFonts w:ascii="Verdana" w:hAnsi="Verdana"/>
            <w:sz w:val="16"/>
            <w:szCs w:val="16"/>
          </w:rPr>
          <w:t xml:space="preserve"> ANCP-CCE</w:t>
        </w:r>
      </w:hyperlink>
      <w:r w:rsidRPr="005703BF">
        <w:rPr>
          <w:rFonts w:ascii="Verdana" w:hAnsi="Verdana"/>
          <w:sz w:val="16"/>
          <w:szCs w:val="16"/>
          <w:lang w:val="es-ES"/>
        </w:rPr>
        <w:t>.</w:t>
      </w:r>
    </w:p>
  </w:footnote>
  <w:footnote w:id="20">
    <w:p w14:paraId="74297936" w14:textId="77777777" w:rsidR="00EC5EC3" w:rsidRPr="007269D0" w:rsidRDefault="00EC5EC3" w:rsidP="00EC5EC3">
      <w:pPr>
        <w:spacing w:after="0" w:line="240" w:lineRule="auto"/>
        <w:ind w:firstLine="709"/>
        <w:jc w:val="both"/>
        <w:rPr>
          <w:rFonts w:ascii="Verdana" w:hAnsi="Verdana" w:cs="Arial"/>
          <w:color w:val="000000" w:themeColor="text1"/>
          <w:sz w:val="16"/>
          <w:szCs w:val="16"/>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761C0AF1" w14:textId="77777777" w:rsidR="00EC5EC3" w:rsidRPr="007269D0" w:rsidRDefault="00EC5EC3" w:rsidP="00EC5EC3">
      <w:pPr>
        <w:spacing w:after="0" w:line="240" w:lineRule="auto"/>
        <w:ind w:firstLine="709"/>
        <w:jc w:val="both"/>
        <w:rPr>
          <w:rFonts w:ascii="Verdana" w:hAnsi="Verdana" w:cs="Arial"/>
          <w:color w:val="000000" w:themeColor="text1"/>
          <w:sz w:val="16"/>
          <w:szCs w:val="16"/>
        </w:rPr>
      </w:pPr>
    </w:p>
  </w:footnote>
  <w:footnote w:id="21">
    <w:p w14:paraId="2CDCC958" w14:textId="77777777" w:rsidR="00EC5EC3" w:rsidRPr="007269D0" w:rsidRDefault="00EC5EC3" w:rsidP="00EC5EC3">
      <w:pPr>
        <w:pStyle w:val="Textonotapie"/>
        <w:ind w:firstLine="709"/>
        <w:jc w:val="both"/>
        <w:rPr>
          <w:rFonts w:ascii="Verdana" w:eastAsia="Times New Roman" w:hAnsi="Verdana" w:cs="Arial"/>
          <w:color w:val="000000" w:themeColor="text1"/>
          <w:sz w:val="16"/>
          <w:szCs w:val="16"/>
          <w:lang w:eastAsia="x-none"/>
        </w:rPr>
      </w:pPr>
      <w:r w:rsidRPr="007269D0">
        <w:rPr>
          <w:rStyle w:val="Refdenotaalpie"/>
          <w:rFonts w:ascii="Verdana" w:hAnsi="Verdana" w:cs="Arial"/>
          <w:color w:val="000000" w:themeColor="text1"/>
          <w:sz w:val="16"/>
          <w:szCs w:val="16"/>
        </w:rPr>
        <w:footnoteRef/>
      </w:r>
      <w:r w:rsidRPr="007269D0">
        <w:rPr>
          <w:rFonts w:ascii="Verdana" w:hAnsi="Verdana" w:cs="Arial"/>
          <w:color w:val="000000" w:themeColor="text1"/>
          <w:sz w:val="16"/>
          <w:szCs w:val="16"/>
        </w:rPr>
        <w:t xml:space="preserve"> Consejo de Estado. Sala de Consulta y Servicio Civil. Concepto de 6 de abril de 2006. Radicación Número: 11001-03-06-000-2006-00038-00 (1738). C.P: Enrique José Arboleda Perdomo:</w:t>
      </w:r>
      <w:r w:rsidRPr="007269D0">
        <w:rPr>
          <w:rFonts w:ascii="Verdana" w:eastAsia="Times New Roman" w:hAnsi="Verdana" w:cs="Arial"/>
          <w:color w:val="000000" w:themeColor="text1"/>
          <w:sz w:val="16"/>
          <w:szCs w:val="16"/>
          <w:lang w:eastAsia="x-none"/>
        </w:rPr>
        <w:t xml:space="preserve"> </w:t>
      </w:r>
      <w:bookmarkStart w:id="17" w:name="_Hlk97890572"/>
      <w:r w:rsidRPr="007269D0">
        <w:rPr>
          <w:rFonts w:ascii="Verdana" w:eastAsia="Times New Roman" w:hAnsi="Verdana" w:cs="Arial"/>
          <w:color w:val="000000" w:themeColor="text1"/>
          <w:sz w:val="16"/>
          <w:szCs w:val="16"/>
          <w:lang w:eastAsia="x-none"/>
        </w:rPr>
        <w:t>“</w:t>
      </w:r>
      <w:r w:rsidRPr="007269D0">
        <w:rPr>
          <w:rFonts w:ascii="Verdana" w:hAnsi="Verdana" w:cs="Arial"/>
          <w:color w:val="000000" w:themeColor="text1"/>
          <w:sz w:val="16"/>
          <w:szCs w:val="16"/>
        </w:rPr>
        <w:t xml:space="preserve">Si bien en el tema del concepto del que se extractaron </w:t>
      </w:r>
      <w:bookmarkEnd w:id="17"/>
      <w:r w:rsidRPr="007269D0">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269D0">
        <w:rPr>
          <w:rFonts w:ascii="Verdana" w:eastAsia="Times New Roman" w:hAnsi="Verdana" w:cs="Arial"/>
          <w:color w:val="000000" w:themeColor="text1"/>
          <w:sz w:val="16"/>
          <w:szCs w:val="16"/>
          <w:lang w:eastAsia="x-none"/>
        </w:rPr>
        <w:t>”.</w:t>
      </w:r>
    </w:p>
    <w:p w14:paraId="2D25104F" w14:textId="77777777" w:rsidR="00EC5EC3" w:rsidRPr="007269D0" w:rsidRDefault="00EC5EC3" w:rsidP="00EC5EC3">
      <w:pPr>
        <w:pStyle w:val="Textonotapie"/>
        <w:ind w:firstLine="709"/>
        <w:jc w:val="both"/>
        <w:rPr>
          <w:rFonts w:ascii="Verdana" w:hAnsi="Verdana" w:cs="Arial"/>
          <w:color w:val="000000" w:themeColor="text1"/>
          <w:sz w:val="16"/>
          <w:szCs w:val="16"/>
        </w:rPr>
      </w:pPr>
    </w:p>
  </w:footnote>
  <w:footnote w:id="22">
    <w:p w14:paraId="01EF6A4A" w14:textId="77777777" w:rsidR="00EC5EC3" w:rsidRPr="003E253F" w:rsidRDefault="00EC5EC3" w:rsidP="00EC5EC3">
      <w:pPr>
        <w:spacing w:after="0" w:line="240" w:lineRule="auto"/>
        <w:ind w:firstLine="709"/>
        <w:jc w:val="both"/>
        <w:rPr>
          <w:rFonts w:ascii="Verdana" w:hAnsi="Verdana" w:cs="Arial"/>
          <w:color w:val="000000" w:themeColor="text1"/>
          <w:sz w:val="14"/>
          <w:szCs w:val="14"/>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Concepto de 6 de abril de 2006. Radicación Número: 11001-03-06-000-2006-00038-00(1738). C.P: Enrique José Arboleda Perdomo. </w:t>
      </w:r>
    </w:p>
    <w:p w14:paraId="58CD4637" w14:textId="77777777" w:rsidR="00EC5EC3" w:rsidRPr="003E253F" w:rsidRDefault="00EC5EC3" w:rsidP="00EC5EC3">
      <w:pPr>
        <w:spacing w:after="0" w:line="240" w:lineRule="auto"/>
        <w:ind w:firstLine="709"/>
        <w:jc w:val="both"/>
        <w:rPr>
          <w:rFonts w:ascii="Verdana" w:hAnsi="Verdana" w:cs="Arial"/>
          <w:color w:val="000000" w:themeColor="text1"/>
          <w:sz w:val="14"/>
          <w:szCs w:val="14"/>
        </w:rPr>
      </w:pPr>
    </w:p>
  </w:footnote>
  <w:footnote w:id="23">
    <w:p w14:paraId="560B81B3" w14:textId="77777777" w:rsidR="00EC5EC3" w:rsidRPr="003E253F" w:rsidRDefault="00EC5EC3" w:rsidP="00EC5EC3">
      <w:pPr>
        <w:pStyle w:val="Textonotapie"/>
        <w:ind w:firstLine="709"/>
        <w:jc w:val="both"/>
        <w:rPr>
          <w:rFonts w:ascii="Verdana" w:hAnsi="Verdana" w:cs="Arial"/>
          <w:color w:val="000000" w:themeColor="text1"/>
          <w:sz w:val="14"/>
          <w:szCs w:val="14"/>
        </w:rPr>
      </w:pPr>
      <w:r w:rsidRPr="003E253F">
        <w:rPr>
          <w:rStyle w:val="Refdenotaalpie"/>
          <w:rFonts w:ascii="Verdana" w:hAnsi="Verdana" w:cs="Arial"/>
          <w:color w:val="000000" w:themeColor="text1"/>
          <w:sz w:val="14"/>
          <w:szCs w:val="14"/>
        </w:rPr>
        <w:footnoteRef/>
      </w:r>
      <w:r w:rsidRPr="003E253F">
        <w:rPr>
          <w:rFonts w:ascii="Verdana" w:hAnsi="Verdana" w:cs="Arial"/>
          <w:color w:val="000000" w:themeColor="text1"/>
          <w:sz w:val="14"/>
          <w:szCs w:val="14"/>
        </w:rPr>
        <w:t xml:space="preserve"> Consejo de Estado. Sala de Consulta y Servicio Civil, ídem.</w:t>
      </w:r>
    </w:p>
    <w:p w14:paraId="127B9914" w14:textId="77777777" w:rsidR="00EC5EC3" w:rsidRPr="003E253F" w:rsidRDefault="00EC5EC3" w:rsidP="00EC5EC3">
      <w:pPr>
        <w:pStyle w:val="Textonotapie"/>
        <w:ind w:firstLine="709"/>
        <w:jc w:val="both"/>
        <w:rPr>
          <w:rFonts w:ascii="Verdana" w:hAnsi="Verdana" w:cs="Arial"/>
          <w:color w:val="000000" w:themeColor="text1"/>
          <w:sz w:val="14"/>
          <w:szCs w:val="14"/>
        </w:rPr>
      </w:pPr>
    </w:p>
  </w:footnote>
  <w:footnote w:id="24">
    <w:p w14:paraId="2AAC6112" w14:textId="77777777" w:rsidR="00EC5EC3" w:rsidRPr="006E3E52" w:rsidRDefault="00EC5EC3" w:rsidP="00EC5EC3">
      <w:pPr>
        <w:pStyle w:val="Textonotapie"/>
        <w:ind w:firstLine="709"/>
        <w:jc w:val="both"/>
        <w:rPr>
          <w:rFonts w:ascii="Verdana" w:hAnsi="Verdana" w:cs="Arial"/>
          <w:sz w:val="16"/>
          <w:szCs w:val="16"/>
        </w:rPr>
      </w:pPr>
      <w:r w:rsidRPr="006E3E52">
        <w:rPr>
          <w:rStyle w:val="Refdenotaalpie"/>
          <w:rFonts w:ascii="Verdana" w:hAnsi="Verdana" w:cs="Arial"/>
          <w:sz w:val="16"/>
          <w:szCs w:val="16"/>
        </w:rPr>
        <w:footnoteRef/>
      </w:r>
      <w:r w:rsidRPr="006E3E52">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w:t>
      </w:r>
      <w:proofErr w:type="spellStart"/>
      <w:r w:rsidRPr="006E3E52">
        <w:rPr>
          <w:rFonts w:ascii="Verdana" w:hAnsi="Verdana" w:cs="Arial"/>
          <w:sz w:val="16"/>
          <w:szCs w:val="16"/>
        </w:rPr>
        <w:t>N°</w:t>
      </w:r>
      <w:proofErr w:type="spellEnd"/>
      <w:r w:rsidRPr="006E3E52">
        <w:rPr>
          <w:rFonts w:ascii="Verdana" w:hAnsi="Verdana" w:cs="Arial"/>
          <w:sz w:val="16"/>
          <w:szCs w:val="16"/>
        </w:rPr>
        <w:t xml:space="preserve"> 216/05 Senado, </w:t>
      </w:r>
      <w:proofErr w:type="spellStart"/>
      <w:r w:rsidRPr="006E3E52">
        <w:rPr>
          <w:rFonts w:ascii="Verdana" w:hAnsi="Verdana" w:cs="Arial"/>
          <w:sz w:val="16"/>
          <w:szCs w:val="16"/>
        </w:rPr>
        <w:t>N°</w:t>
      </w:r>
      <w:proofErr w:type="spellEnd"/>
      <w:r w:rsidRPr="006E3E52">
        <w:rPr>
          <w:rFonts w:ascii="Verdana" w:hAnsi="Verdana" w:cs="Arial"/>
          <w:sz w:val="16"/>
          <w:szCs w:val="16"/>
        </w:rPr>
        <w:t xml:space="preserve"> 235-Cámara que dio lugar a la Ley de Garantías Electorales.</w:t>
      </w:r>
    </w:p>
    <w:p w14:paraId="3214A9FC" w14:textId="77777777" w:rsidR="00EC5EC3" w:rsidRPr="006E3E52" w:rsidRDefault="00EC5EC3" w:rsidP="00EC5EC3">
      <w:pPr>
        <w:pStyle w:val="Textonotapie"/>
        <w:ind w:firstLine="709"/>
        <w:jc w:val="both"/>
        <w:rPr>
          <w:rFonts w:ascii="Verdana" w:hAnsi="Verdana" w:cs="Arial"/>
          <w:sz w:val="16"/>
          <w:szCs w:val="16"/>
        </w:rPr>
      </w:pPr>
    </w:p>
  </w:footnote>
  <w:footnote w:id="25">
    <w:p w14:paraId="5DC9F619" w14:textId="77777777" w:rsidR="00EC5EC3" w:rsidRPr="004824B3" w:rsidRDefault="00EC5EC3" w:rsidP="00EC5EC3">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Corte Constitucional. Sentencia C-1153 de 2005 M.P. Marco Gerardo Monroy Cabra. </w:t>
      </w:r>
    </w:p>
    <w:p w14:paraId="27F2F6D9" w14:textId="77777777" w:rsidR="00EC5EC3" w:rsidRPr="004824B3" w:rsidRDefault="00EC5EC3" w:rsidP="00EC5EC3">
      <w:pPr>
        <w:pStyle w:val="Textonotapie"/>
        <w:ind w:firstLine="709"/>
        <w:jc w:val="both"/>
        <w:rPr>
          <w:rFonts w:ascii="Verdana" w:hAnsi="Verdana" w:cs="Arial"/>
          <w:sz w:val="16"/>
          <w:szCs w:val="16"/>
        </w:rPr>
      </w:pPr>
    </w:p>
  </w:footnote>
  <w:footnote w:id="26">
    <w:p w14:paraId="2EF4AD89" w14:textId="77777777" w:rsidR="00EC5EC3" w:rsidRPr="004824B3" w:rsidRDefault="00EC5EC3" w:rsidP="00EC5EC3">
      <w:pPr>
        <w:pStyle w:val="Textonotapie"/>
        <w:ind w:firstLine="709"/>
        <w:jc w:val="both"/>
        <w:rPr>
          <w:rFonts w:ascii="Verdana" w:hAnsi="Verdana" w:cs="Arial"/>
          <w:sz w:val="16"/>
          <w:szCs w:val="16"/>
        </w:rPr>
      </w:pPr>
      <w:r w:rsidRPr="004824B3">
        <w:rPr>
          <w:rStyle w:val="Refdenotaalpie"/>
          <w:rFonts w:ascii="Verdana" w:hAnsi="Verdana" w:cs="Arial"/>
          <w:sz w:val="16"/>
          <w:szCs w:val="16"/>
        </w:rPr>
        <w:footnoteRef/>
      </w:r>
      <w:r w:rsidRPr="004824B3">
        <w:rPr>
          <w:rFonts w:ascii="Verdana" w:hAnsi="Verdana" w:cs="Arial"/>
          <w:sz w:val="16"/>
          <w:szCs w:val="16"/>
        </w:rPr>
        <w:t xml:space="preserve"> Consejo de Estado. Sala de Consulta y Servicio Civil. Concepto del 18 de febrero 2010. Rad. 11001-03-06-000-2010-00006-00 (1985). C.P. Enrique José Arboleda Perdomo.</w:t>
      </w:r>
    </w:p>
    <w:p w14:paraId="7BB23E47" w14:textId="77777777" w:rsidR="00EC5EC3" w:rsidRPr="004824B3" w:rsidRDefault="00EC5EC3" w:rsidP="00EC5EC3">
      <w:pPr>
        <w:pStyle w:val="Textonotapie"/>
        <w:ind w:firstLine="709"/>
        <w:jc w:val="both"/>
        <w:rPr>
          <w:rFonts w:ascii="Verdana" w:hAnsi="Verdana" w:cs="Arial"/>
          <w:sz w:val="16"/>
          <w:szCs w:val="16"/>
        </w:rPr>
      </w:pPr>
    </w:p>
  </w:footnote>
  <w:footnote w:id="27">
    <w:p w14:paraId="000C1E03" w14:textId="77777777" w:rsidR="00EC5EC3" w:rsidRPr="00B07E90" w:rsidRDefault="00EC5EC3" w:rsidP="00EC5EC3">
      <w:pPr>
        <w:spacing w:after="0" w:line="240" w:lineRule="auto"/>
        <w:ind w:firstLine="709"/>
        <w:jc w:val="both"/>
        <w:rPr>
          <w:rFonts w:ascii="Verdana" w:hAnsi="Verdana"/>
          <w:sz w:val="16"/>
          <w:szCs w:val="16"/>
          <w:lang w:val="es-MX"/>
        </w:rPr>
      </w:pPr>
      <w:r w:rsidRPr="00B07E90">
        <w:rPr>
          <w:rStyle w:val="Refdenotaalpie"/>
          <w:rFonts w:ascii="Verdana" w:hAnsi="Verdana"/>
          <w:sz w:val="16"/>
          <w:szCs w:val="16"/>
        </w:rPr>
        <w:footnoteRef/>
      </w:r>
      <w:r w:rsidRPr="00B07E90">
        <w:rPr>
          <w:rFonts w:ascii="Verdana" w:hAnsi="Verdana"/>
          <w:sz w:val="16"/>
          <w:szCs w:val="16"/>
        </w:rPr>
        <w:t xml:space="preserve"> </w:t>
      </w:r>
      <w:r w:rsidRPr="00B07E90">
        <w:rPr>
          <w:rFonts w:ascii="Verdana" w:hAnsi="Verdana"/>
          <w:sz w:val="16"/>
          <w:szCs w:val="16"/>
          <w:lang w:val="es-MX"/>
        </w:rPr>
        <w:t>Artículo 69. Se garantiza la autonomía universitaria. Las universidades podrán darse sus directivas y regirse por sus propios estatutos, de acuerdo con la ley. La ley establecerá un régimen especial para las universidades del Estado».</w:t>
      </w:r>
    </w:p>
    <w:p w14:paraId="6BE80213" w14:textId="77777777" w:rsidR="00EC5EC3" w:rsidRPr="00B07E90" w:rsidRDefault="00EC5EC3" w:rsidP="00EC5EC3">
      <w:pPr>
        <w:pStyle w:val="Textonotapie"/>
      </w:pPr>
    </w:p>
  </w:footnote>
  <w:footnote w:id="28">
    <w:p w14:paraId="3EA47A74" w14:textId="77777777" w:rsidR="00EC5EC3" w:rsidRPr="00D8676B" w:rsidRDefault="00EC5EC3" w:rsidP="00EC5EC3">
      <w:pPr>
        <w:pStyle w:val="Textonotapie"/>
        <w:ind w:firstLine="709"/>
        <w:jc w:val="both"/>
        <w:rPr>
          <w:rFonts w:ascii="Verdana" w:hAnsi="Verdana"/>
          <w:sz w:val="16"/>
          <w:szCs w:val="16"/>
          <w:lang w:val="es-CO"/>
        </w:rPr>
      </w:pPr>
      <w:r w:rsidRPr="00D8676B">
        <w:rPr>
          <w:rStyle w:val="Refdenotaalpie"/>
          <w:rFonts w:ascii="Verdana" w:hAnsi="Verdana"/>
          <w:sz w:val="16"/>
          <w:szCs w:val="16"/>
        </w:rPr>
        <w:footnoteRef/>
      </w:r>
      <w:r w:rsidRPr="00D8676B">
        <w:rPr>
          <w:rFonts w:ascii="Verdana" w:hAnsi="Verdana"/>
          <w:sz w:val="16"/>
          <w:szCs w:val="16"/>
        </w:rPr>
        <w:t xml:space="preserve"> </w:t>
      </w:r>
      <w:r>
        <w:rPr>
          <w:rFonts w:ascii="Verdana" w:hAnsi="Verdana"/>
          <w:b/>
          <w:bCs/>
          <w:sz w:val="16"/>
          <w:szCs w:val="16"/>
        </w:rPr>
        <w:t>Artículo</w:t>
      </w:r>
      <w:r w:rsidRPr="00D8676B">
        <w:rPr>
          <w:rFonts w:ascii="Verdana" w:hAnsi="Verdana"/>
          <w:b/>
          <w:bCs/>
          <w:sz w:val="16"/>
          <w:szCs w:val="16"/>
          <w:lang w:val="es-CO"/>
        </w:rPr>
        <w:t xml:space="preserve"> 57.</w:t>
      </w:r>
      <w:r w:rsidRPr="00D8676B">
        <w:rPr>
          <w:rFonts w:ascii="Verdana" w:hAnsi="Verdana"/>
          <w:sz w:val="16"/>
          <w:szCs w:val="16"/>
          <w:lang w:val="es-CO"/>
        </w:rPr>
        <w:t> Las universidades estatales u oficiales deben organizarse como entes universitarios autónomos, con régimen especial y vinculados al Ministerio de Educación Nacional en lo que se refiere a las políticas y la planeación del sector educativo. </w:t>
      </w:r>
    </w:p>
    <w:p w14:paraId="46FA9CD1"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  </w:t>
      </w:r>
    </w:p>
    <w:p w14:paraId="175ECE40"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Los entes universitarios autónomos tendrán las siguientes características: Personería jurídica, autonomía académica, administrativa y financiera, patrimonio independiente y podrán elaborar y manejar su presupuesto de acuerdo con las funciones que le corresponden. </w:t>
      </w:r>
    </w:p>
    <w:p w14:paraId="2B1B3C4D"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  </w:t>
      </w:r>
    </w:p>
    <w:p w14:paraId="4EE521A6"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 xml:space="preserve">El carácter especial del régimen de las universidades estatales u </w:t>
      </w:r>
      <w:proofErr w:type="gramStart"/>
      <w:r w:rsidRPr="00D8676B">
        <w:rPr>
          <w:rFonts w:ascii="Verdana" w:hAnsi="Verdana"/>
          <w:sz w:val="16"/>
          <w:szCs w:val="16"/>
          <w:lang w:val="es-CO"/>
        </w:rPr>
        <w:t>oficiales,</w:t>
      </w:r>
      <w:proofErr w:type="gramEnd"/>
      <w:r w:rsidRPr="00D8676B">
        <w:rPr>
          <w:rFonts w:ascii="Verdana" w:hAnsi="Verdana"/>
          <w:sz w:val="16"/>
          <w:szCs w:val="16"/>
          <w:lang w:val="es-CO"/>
        </w:rPr>
        <w:t xml:space="preserve">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 </w:t>
      </w:r>
    </w:p>
    <w:p w14:paraId="4748C8AD"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  </w:t>
      </w:r>
    </w:p>
    <w:p w14:paraId="4E4779DA"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b/>
          <w:bCs/>
          <w:sz w:val="16"/>
          <w:szCs w:val="16"/>
          <w:lang w:val="es-CO"/>
        </w:rPr>
        <w:t>Parágrafo 1°.</w:t>
      </w:r>
      <w:r w:rsidRPr="00D8676B">
        <w:rPr>
          <w:rFonts w:ascii="Verdana" w:hAnsi="Verdana"/>
          <w:sz w:val="16"/>
          <w:szCs w:val="16"/>
          <w:lang w:val="es-CO"/>
        </w:rPr>
        <w:t xml:space="preserve"> Las instituciones estatales u oficiales de Educación Superior que no tengan el carácter de universidad según lo previsto en la presente </w:t>
      </w:r>
      <w:proofErr w:type="gramStart"/>
      <w:r w:rsidRPr="00D8676B">
        <w:rPr>
          <w:rFonts w:ascii="Verdana" w:hAnsi="Verdana"/>
          <w:sz w:val="16"/>
          <w:szCs w:val="16"/>
          <w:lang w:val="es-CO"/>
        </w:rPr>
        <w:t>Ley,</w:t>
      </w:r>
      <w:proofErr w:type="gramEnd"/>
      <w:r w:rsidRPr="00D8676B">
        <w:rPr>
          <w:rFonts w:ascii="Verdana" w:hAnsi="Verdana"/>
          <w:sz w:val="16"/>
          <w:szCs w:val="16"/>
          <w:lang w:val="es-CO"/>
        </w:rPr>
        <w:t xml:space="preserve"> deberán organizarse como Establecimientos Públicos del orden Nacional, Departamental, Distrital o Municipal. </w:t>
      </w:r>
    </w:p>
    <w:p w14:paraId="271A7457"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  </w:t>
      </w:r>
    </w:p>
    <w:p w14:paraId="3CEE06C5"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b/>
          <w:bCs/>
          <w:sz w:val="16"/>
          <w:szCs w:val="16"/>
          <w:lang w:val="es-CO"/>
        </w:rPr>
        <w:t>Parágrafo 2°</w:t>
      </w:r>
      <w:r w:rsidRPr="00D8676B">
        <w:rPr>
          <w:rFonts w:ascii="Verdana" w:hAnsi="Verdana"/>
          <w:sz w:val="16"/>
          <w:szCs w:val="16"/>
          <w:lang w:val="es-CO"/>
        </w:rPr>
        <w:t xml:space="preserve">. El sistema propio de seguridad social en salud de que trata este </w:t>
      </w:r>
      <w:proofErr w:type="gramStart"/>
      <w:r w:rsidRPr="00D8676B">
        <w:rPr>
          <w:rFonts w:ascii="Verdana" w:hAnsi="Verdana"/>
          <w:sz w:val="16"/>
          <w:szCs w:val="16"/>
          <w:lang w:val="es-CO"/>
        </w:rPr>
        <w:t>artículo,</w:t>
      </w:r>
      <w:proofErr w:type="gramEnd"/>
      <w:r w:rsidRPr="00D8676B">
        <w:rPr>
          <w:rFonts w:ascii="Verdana" w:hAnsi="Verdana"/>
          <w:sz w:val="16"/>
          <w:szCs w:val="16"/>
          <w:lang w:val="es-CO"/>
        </w:rPr>
        <w:t xml:space="preserve"> se regirá por las siguientes reglas básicas: </w:t>
      </w:r>
    </w:p>
    <w:p w14:paraId="12869341"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a)</w:t>
      </w:r>
      <w:r>
        <w:rPr>
          <w:rFonts w:ascii="Verdana" w:hAnsi="Verdana"/>
          <w:sz w:val="16"/>
          <w:szCs w:val="16"/>
          <w:lang w:val="es-CO"/>
        </w:rPr>
        <w:t xml:space="preserve"> </w:t>
      </w:r>
      <w:r w:rsidRPr="00D8676B">
        <w:rPr>
          <w:rFonts w:ascii="Verdana" w:hAnsi="Verdana"/>
          <w:sz w:val="16"/>
          <w:szCs w:val="16"/>
          <w:lang w:val="es-CO"/>
        </w:rPr>
        <w:t xml:space="preserve">Organización, dirección y funcionamiento. Será organizado por la Universidad como una dependencia especializada de la misma, con la estructura de dirección y funcionamiento que igualmente se establezca </w:t>
      </w:r>
      <w:proofErr w:type="spellStart"/>
      <w:r w:rsidRPr="00D8676B">
        <w:rPr>
          <w:rFonts w:ascii="Verdana" w:hAnsi="Verdana"/>
          <w:sz w:val="16"/>
          <w:szCs w:val="16"/>
          <w:lang w:val="es-CO"/>
        </w:rPr>
        <w:t>parael</w:t>
      </w:r>
      <w:proofErr w:type="spellEnd"/>
      <w:r w:rsidRPr="00D8676B">
        <w:rPr>
          <w:rFonts w:ascii="Verdana" w:hAnsi="Verdana"/>
          <w:sz w:val="16"/>
          <w:szCs w:val="16"/>
          <w:lang w:val="es-CO"/>
        </w:rPr>
        <w:t xml:space="preserve"> efecto. Sin embargo, las universidades podrán abstenerse de organizarlo, para que sus servidores administrativos y docentes y sus pensionados o jubilados elijan libremente su afiliación a las entidades promotoras de salud previstas por la Ley 100 de 1993;</w:t>
      </w:r>
    </w:p>
    <w:p w14:paraId="4FCBD65D"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b)</w:t>
      </w:r>
      <w:r>
        <w:rPr>
          <w:rFonts w:ascii="Verdana" w:hAnsi="Verdana"/>
          <w:sz w:val="16"/>
          <w:szCs w:val="16"/>
          <w:lang w:val="es-CO"/>
        </w:rPr>
        <w:t xml:space="preserve"> </w:t>
      </w:r>
      <w:r w:rsidRPr="00D8676B">
        <w:rPr>
          <w:rFonts w:ascii="Verdana" w:hAnsi="Verdana"/>
          <w:sz w:val="16"/>
          <w:szCs w:val="16"/>
          <w:lang w:val="es-CO"/>
        </w:rPr>
        <w:t>Administración y financiamiento. El sistema se administrará por la propia Universidad que lo organice y se financiará con las cotizaciones que se establezcan en los términos y entro de los límites máximos previstos en el inciso 1° del artículo 204 de la Ley 100 de 1993. El sistema podrá prestar directamente servicios de salud y/o contratarlos con otras instituciones prestadoras de servicios de salud;</w:t>
      </w:r>
    </w:p>
    <w:p w14:paraId="59EB9F00"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c)Afiliados. Únicamente podrá tener como afiliados a los miembros del personal académico, a los empleados y trabajadores, y a los pensionados y jubilados de la respectiva Universidad. Se garantizará el principio de libre afiliación y la afiliación se considerará equivalente para los fines del tránsito del sistema general de la Ley 100 de 1993 al sistema propio de las universidades o viceversa, sin que sean permitidas afiliaciones simultáneas;</w:t>
      </w:r>
    </w:p>
    <w:p w14:paraId="3F3FAE73"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d)Beneficiarios y plan de beneficios. Se tendrán en cuenta los contenidos esenciales previstos en el Capítulo III de la Ley 100 de 1993;</w:t>
      </w:r>
    </w:p>
    <w:p w14:paraId="09143764" w14:textId="77777777" w:rsidR="00EC5EC3" w:rsidRPr="00D8676B" w:rsidRDefault="00EC5EC3" w:rsidP="00EC5EC3">
      <w:pPr>
        <w:pStyle w:val="Textonotapie"/>
        <w:ind w:firstLine="709"/>
        <w:jc w:val="both"/>
        <w:rPr>
          <w:rFonts w:ascii="Verdana" w:hAnsi="Verdana"/>
          <w:sz w:val="16"/>
          <w:szCs w:val="16"/>
          <w:lang w:val="es-CO"/>
        </w:rPr>
      </w:pPr>
      <w:r w:rsidRPr="00D8676B">
        <w:rPr>
          <w:rFonts w:ascii="Verdana" w:hAnsi="Verdana"/>
          <w:sz w:val="16"/>
          <w:szCs w:val="16"/>
          <w:lang w:val="es-CO"/>
        </w:rPr>
        <w:t>e) Aporte de solidaridad. Los sistemas efectuarán el aporte de solidaridad de que trata el artículo 204 de la Ley 100 de 1993</w:t>
      </w:r>
    </w:p>
    <w:p w14:paraId="679DA0FC" w14:textId="77777777" w:rsidR="00EC5EC3" w:rsidRPr="00D8676B" w:rsidRDefault="00EC5EC3" w:rsidP="00EC5EC3">
      <w:pPr>
        <w:pStyle w:val="Textonotapie"/>
        <w:rPr>
          <w:lang w:val="es-CO"/>
        </w:rPr>
      </w:pPr>
      <w:r w:rsidRPr="00D8676B">
        <w:rPr>
          <w:lang w:val="es-CO"/>
        </w:rPr>
        <w:t>  </w:t>
      </w:r>
    </w:p>
  </w:footnote>
  <w:footnote w:id="29">
    <w:p w14:paraId="2535E374" w14:textId="77777777" w:rsidR="00EC5EC3" w:rsidRPr="00894E42" w:rsidRDefault="00EC5EC3" w:rsidP="00EC5EC3">
      <w:pPr>
        <w:spacing w:after="0" w:line="240" w:lineRule="auto"/>
        <w:ind w:right="110" w:firstLine="708"/>
        <w:jc w:val="both"/>
        <w:rPr>
          <w:rFonts w:ascii="Verdana" w:hAnsi="Verdana" w:cs="Arial"/>
          <w:sz w:val="16"/>
          <w:szCs w:val="16"/>
        </w:rPr>
      </w:pPr>
      <w:r w:rsidRPr="00894E42">
        <w:rPr>
          <w:rStyle w:val="Refdenotaalpie"/>
          <w:rFonts w:ascii="Verdana" w:hAnsi="Verdana"/>
          <w:sz w:val="16"/>
          <w:szCs w:val="16"/>
        </w:rPr>
        <w:footnoteRef/>
      </w:r>
      <w:r w:rsidRPr="00894E42">
        <w:rPr>
          <w:rFonts w:ascii="Verdana" w:hAnsi="Verdana"/>
          <w:sz w:val="16"/>
          <w:szCs w:val="16"/>
        </w:rPr>
        <w:t xml:space="preserve"> </w:t>
      </w:r>
      <w:r w:rsidRPr="00894E42">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894E42">
        <w:rPr>
          <w:rFonts w:ascii="Verdana" w:hAnsi="Verdana" w:cs="Arial"/>
          <w:spacing w:val="-16"/>
          <w:sz w:val="16"/>
          <w:szCs w:val="16"/>
        </w:rPr>
        <w:t xml:space="preserve"> </w:t>
      </w:r>
      <w:r w:rsidRPr="00894E42">
        <w:rPr>
          <w:rFonts w:ascii="Verdana" w:hAnsi="Verdana" w:cs="Arial"/>
          <w:sz w:val="16"/>
          <w:szCs w:val="16"/>
        </w:rPr>
        <w:t>contratos».</w:t>
      </w:r>
    </w:p>
    <w:p w14:paraId="496F7710" w14:textId="77777777" w:rsidR="00EC5EC3" w:rsidRPr="00B07E90" w:rsidRDefault="00EC5EC3" w:rsidP="00EC5EC3">
      <w:pPr>
        <w:pStyle w:val="Textonotapie"/>
      </w:pPr>
    </w:p>
  </w:footnote>
  <w:footnote w:id="30">
    <w:p w14:paraId="54376D8A" w14:textId="77777777" w:rsidR="00EC5EC3" w:rsidRPr="00894E42" w:rsidRDefault="00EC5EC3" w:rsidP="00EC5EC3">
      <w:pPr>
        <w:spacing w:after="0" w:line="240" w:lineRule="auto"/>
        <w:ind w:right="108" w:firstLine="709"/>
        <w:jc w:val="both"/>
        <w:rPr>
          <w:rFonts w:ascii="Verdana" w:hAnsi="Verdana" w:cs="Arial"/>
          <w:sz w:val="16"/>
          <w:szCs w:val="16"/>
        </w:rPr>
      </w:pPr>
      <w:r w:rsidRPr="00894E42">
        <w:rPr>
          <w:rStyle w:val="Refdenotaalpie"/>
          <w:rFonts w:ascii="Verdana" w:hAnsi="Verdana"/>
          <w:sz w:val="16"/>
          <w:szCs w:val="16"/>
        </w:rPr>
        <w:footnoteRef/>
      </w:r>
      <w:r w:rsidRPr="00894E42">
        <w:rPr>
          <w:rFonts w:ascii="Verdana" w:hAnsi="Verdana"/>
          <w:sz w:val="16"/>
          <w:szCs w:val="16"/>
        </w:rPr>
        <w:t xml:space="preserve"> </w:t>
      </w:r>
      <w:r w:rsidRPr="00894E42">
        <w:rPr>
          <w:rFonts w:ascii="Verdana" w:hAnsi="Verdana" w:cs="Arial"/>
          <w:sz w:val="16"/>
          <w:szCs w:val="16"/>
        </w:rPr>
        <w:t>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6D7220F8" w14:textId="77777777" w:rsidR="00EC5EC3" w:rsidRPr="00894E42" w:rsidRDefault="00EC5EC3" w:rsidP="00EC5EC3">
      <w:pPr>
        <w:pStyle w:val="Textonotapie"/>
        <w:rPr>
          <w:rFonts w:ascii="Verdana" w:hAnsi="Verdana"/>
          <w:sz w:val="16"/>
          <w:szCs w:val="16"/>
          <w:lang w:val="es-CO"/>
        </w:rPr>
      </w:pPr>
    </w:p>
  </w:footnote>
  <w:footnote w:id="31">
    <w:p w14:paraId="4E67C221" w14:textId="77777777" w:rsidR="00EC5EC3" w:rsidRPr="00894E42" w:rsidRDefault="00EC5EC3" w:rsidP="00EC5EC3">
      <w:pPr>
        <w:pStyle w:val="Textonotapie"/>
        <w:ind w:firstLine="709"/>
        <w:rPr>
          <w:rFonts w:ascii="Verdana" w:hAnsi="Verdana" w:cs="Arial"/>
          <w:sz w:val="16"/>
          <w:szCs w:val="16"/>
        </w:rPr>
      </w:pPr>
      <w:r w:rsidRPr="00894E42">
        <w:rPr>
          <w:rStyle w:val="Refdenotaalpie"/>
          <w:rFonts w:ascii="Verdana" w:hAnsi="Verdana"/>
          <w:sz w:val="16"/>
          <w:szCs w:val="16"/>
        </w:rPr>
        <w:footnoteRef/>
      </w:r>
      <w:r w:rsidRPr="00894E42">
        <w:rPr>
          <w:rFonts w:ascii="Verdana" w:hAnsi="Verdana"/>
          <w:sz w:val="16"/>
          <w:szCs w:val="16"/>
        </w:rPr>
        <w:t xml:space="preserve"> </w:t>
      </w:r>
      <w:r w:rsidRPr="00894E42">
        <w:rPr>
          <w:rFonts w:ascii="Verdana" w:hAnsi="Verdana" w:cs="Arial"/>
          <w:sz w:val="16"/>
          <w:szCs w:val="16"/>
        </w:rPr>
        <w:t>Corte Constitucional. Sentencia C-121 de 2003. M.P. Clara Inés Vargas Hernández.</w:t>
      </w:r>
    </w:p>
    <w:p w14:paraId="7D8F4586" w14:textId="77777777" w:rsidR="00EC5EC3" w:rsidRPr="00894E42" w:rsidRDefault="00EC5EC3" w:rsidP="00EC5EC3">
      <w:pPr>
        <w:pStyle w:val="Textonotapie"/>
        <w:ind w:firstLine="709"/>
        <w:rPr>
          <w:rFonts w:ascii="Verdana" w:hAnsi="Verdana"/>
          <w:sz w:val="16"/>
          <w:szCs w:val="16"/>
          <w:lang w:val="es-ES"/>
        </w:rPr>
      </w:pPr>
    </w:p>
  </w:footnote>
  <w:footnote w:id="32">
    <w:p w14:paraId="7C6B2834" w14:textId="77777777" w:rsidR="00EC5EC3" w:rsidRPr="00894E42" w:rsidRDefault="00EC5EC3" w:rsidP="00EC5EC3">
      <w:pPr>
        <w:ind w:left="-1" w:right="110" w:firstLine="709"/>
        <w:jc w:val="both"/>
        <w:rPr>
          <w:rFonts w:ascii="Verdana" w:hAnsi="Verdana" w:cs="Arial"/>
          <w:sz w:val="16"/>
          <w:szCs w:val="16"/>
        </w:rPr>
      </w:pPr>
      <w:r w:rsidRPr="00894E42">
        <w:rPr>
          <w:rStyle w:val="Refdenotaalpie"/>
          <w:rFonts w:ascii="Verdana" w:hAnsi="Verdana"/>
          <w:sz w:val="16"/>
          <w:szCs w:val="16"/>
        </w:rPr>
        <w:footnoteRef/>
      </w:r>
      <w:r w:rsidRPr="00894E42">
        <w:rPr>
          <w:rFonts w:ascii="Verdana" w:hAnsi="Verdana"/>
          <w:sz w:val="16"/>
          <w:szCs w:val="16"/>
        </w:rPr>
        <w:t xml:space="preserve"> </w:t>
      </w:r>
      <w:r w:rsidRPr="00894E42">
        <w:rPr>
          <w:rFonts w:ascii="Verdana" w:hAnsi="Verdana" w:cs="Arial"/>
          <w:sz w:val="16"/>
          <w:szCs w:val="16"/>
        </w:rPr>
        <w:t>Corte</w:t>
      </w:r>
      <w:r w:rsidRPr="00894E42">
        <w:rPr>
          <w:rFonts w:ascii="Verdana" w:hAnsi="Verdana" w:cs="Arial"/>
          <w:spacing w:val="10"/>
          <w:sz w:val="16"/>
          <w:szCs w:val="16"/>
        </w:rPr>
        <w:t xml:space="preserve"> </w:t>
      </w:r>
      <w:r w:rsidRPr="00894E42">
        <w:rPr>
          <w:rFonts w:ascii="Verdana" w:hAnsi="Verdana" w:cs="Arial"/>
          <w:sz w:val="16"/>
          <w:szCs w:val="16"/>
        </w:rPr>
        <w:t>Constitucional.</w:t>
      </w:r>
      <w:r w:rsidRPr="00894E42">
        <w:rPr>
          <w:rFonts w:ascii="Verdana" w:hAnsi="Verdana" w:cs="Arial"/>
          <w:spacing w:val="11"/>
          <w:sz w:val="16"/>
          <w:szCs w:val="16"/>
        </w:rPr>
        <w:t xml:space="preserve"> </w:t>
      </w:r>
      <w:r w:rsidRPr="00894E42">
        <w:rPr>
          <w:rFonts w:ascii="Verdana" w:hAnsi="Verdana" w:cs="Arial"/>
          <w:sz w:val="16"/>
          <w:szCs w:val="16"/>
        </w:rPr>
        <w:t>Sentencia</w:t>
      </w:r>
      <w:r w:rsidRPr="00894E42">
        <w:rPr>
          <w:rFonts w:ascii="Verdana" w:hAnsi="Verdana" w:cs="Arial"/>
          <w:spacing w:val="10"/>
          <w:sz w:val="16"/>
          <w:szCs w:val="16"/>
        </w:rPr>
        <w:t xml:space="preserve"> </w:t>
      </w:r>
      <w:r w:rsidRPr="00894E42">
        <w:rPr>
          <w:rFonts w:ascii="Verdana" w:hAnsi="Verdana" w:cs="Arial"/>
          <w:sz w:val="16"/>
          <w:szCs w:val="16"/>
        </w:rPr>
        <w:t>C-1019</w:t>
      </w:r>
      <w:r w:rsidRPr="00894E42">
        <w:rPr>
          <w:rFonts w:ascii="Verdana" w:hAnsi="Verdana" w:cs="Arial"/>
          <w:spacing w:val="10"/>
          <w:sz w:val="16"/>
          <w:szCs w:val="16"/>
        </w:rPr>
        <w:t xml:space="preserve"> </w:t>
      </w:r>
      <w:r w:rsidRPr="00894E42">
        <w:rPr>
          <w:rFonts w:ascii="Verdana" w:hAnsi="Verdana" w:cs="Arial"/>
          <w:sz w:val="16"/>
          <w:szCs w:val="16"/>
        </w:rPr>
        <w:t>del</w:t>
      </w:r>
      <w:r w:rsidRPr="00894E42">
        <w:rPr>
          <w:rFonts w:ascii="Verdana" w:hAnsi="Verdana" w:cs="Arial"/>
          <w:spacing w:val="9"/>
          <w:sz w:val="16"/>
          <w:szCs w:val="16"/>
        </w:rPr>
        <w:t xml:space="preserve"> </w:t>
      </w:r>
      <w:r w:rsidRPr="00894E42">
        <w:rPr>
          <w:rFonts w:ascii="Verdana" w:hAnsi="Verdana" w:cs="Arial"/>
          <w:sz w:val="16"/>
          <w:szCs w:val="16"/>
        </w:rPr>
        <w:t>28</w:t>
      </w:r>
      <w:r w:rsidRPr="00894E42">
        <w:rPr>
          <w:rFonts w:ascii="Verdana" w:hAnsi="Verdana" w:cs="Arial"/>
          <w:spacing w:val="10"/>
          <w:sz w:val="16"/>
          <w:szCs w:val="16"/>
        </w:rPr>
        <w:t xml:space="preserve"> </w:t>
      </w:r>
      <w:r w:rsidRPr="00894E42">
        <w:rPr>
          <w:rFonts w:ascii="Verdana" w:hAnsi="Verdana" w:cs="Arial"/>
          <w:sz w:val="16"/>
          <w:szCs w:val="16"/>
        </w:rPr>
        <w:t>de</w:t>
      </w:r>
      <w:r w:rsidRPr="00894E42">
        <w:rPr>
          <w:rFonts w:ascii="Verdana" w:hAnsi="Verdana" w:cs="Arial"/>
          <w:spacing w:val="10"/>
          <w:sz w:val="16"/>
          <w:szCs w:val="16"/>
        </w:rPr>
        <w:t xml:space="preserve"> </w:t>
      </w:r>
      <w:r w:rsidRPr="00894E42">
        <w:rPr>
          <w:rFonts w:ascii="Verdana" w:hAnsi="Verdana" w:cs="Arial"/>
          <w:sz w:val="16"/>
          <w:szCs w:val="16"/>
        </w:rPr>
        <w:t>noviembre</w:t>
      </w:r>
      <w:r w:rsidRPr="00894E42">
        <w:rPr>
          <w:rFonts w:ascii="Verdana" w:hAnsi="Verdana" w:cs="Arial"/>
          <w:spacing w:val="10"/>
          <w:sz w:val="16"/>
          <w:szCs w:val="16"/>
        </w:rPr>
        <w:t xml:space="preserve"> </w:t>
      </w:r>
      <w:r w:rsidRPr="00894E42">
        <w:rPr>
          <w:rFonts w:ascii="Verdana" w:hAnsi="Verdana" w:cs="Arial"/>
          <w:sz w:val="16"/>
          <w:szCs w:val="16"/>
        </w:rPr>
        <w:t>de</w:t>
      </w:r>
      <w:r w:rsidRPr="00894E42">
        <w:rPr>
          <w:rFonts w:ascii="Verdana" w:hAnsi="Verdana" w:cs="Arial"/>
          <w:spacing w:val="10"/>
          <w:sz w:val="16"/>
          <w:szCs w:val="16"/>
        </w:rPr>
        <w:t xml:space="preserve"> </w:t>
      </w:r>
      <w:r w:rsidRPr="00894E42">
        <w:rPr>
          <w:rFonts w:ascii="Verdana" w:hAnsi="Verdana" w:cs="Arial"/>
          <w:sz w:val="16"/>
          <w:szCs w:val="16"/>
        </w:rPr>
        <w:t>2012.</w:t>
      </w:r>
      <w:r w:rsidRPr="00894E42">
        <w:rPr>
          <w:rFonts w:ascii="Verdana" w:hAnsi="Verdana" w:cs="Arial"/>
          <w:spacing w:val="10"/>
          <w:sz w:val="16"/>
          <w:szCs w:val="16"/>
        </w:rPr>
        <w:t xml:space="preserve"> </w:t>
      </w:r>
      <w:r w:rsidRPr="00894E42">
        <w:rPr>
          <w:rFonts w:ascii="Verdana" w:hAnsi="Verdana" w:cs="Arial"/>
          <w:sz w:val="16"/>
          <w:szCs w:val="16"/>
        </w:rPr>
        <w:t>M.P.</w:t>
      </w:r>
      <w:r w:rsidRPr="00894E42">
        <w:rPr>
          <w:rFonts w:ascii="Verdana" w:hAnsi="Verdana" w:cs="Arial"/>
          <w:spacing w:val="10"/>
          <w:sz w:val="16"/>
          <w:szCs w:val="16"/>
        </w:rPr>
        <w:t xml:space="preserve"> </w:t>
      </w:r>
      <w:r w:rsidRPr="00894E42">
        <w:rPr>
          <w:rFonts w:ascii="Verdana" w:hAnsi="Verdana" w:cs="Arial"/>
          <w:sz w:val="16"/>
          <w:szCs w:val="16"/>
        </w:rPr>
        <w:t>Mauricio</w:t>
      </w:r>
      <w:r w:rsidRPr="00894E42">
        <w:rPr>
          <w:rFonts w:ascii="Verdana" w:hAnsi="Verdana" w:cs="Arial"/>
          <w:spacing w:val="8"/>
          <w:sz w:val="16"/>
          <w:szCs w:val="16"/>
        </w:rPr>
        <w:t xml:space="preserve"> </w:t>
      </w:r>
      <w:r w:rsidRPr="00894E42">
        <w:rPr>
          <w:rFonts w:ascii="Verdana" w:hAnsi="Verdana" w:cs="Arial"/>
          <w:sz w:val="16"/>
          <w:szCs w:val="16"/>
        </w:rPr>
        <w:t>González.</w:t>
      </w:r>
    </w:p>
  </w:footnote>
  <w:footnote w:id="33">
    <w:p w14:paraId="35F23CEA" w14:textId="77777777" w:rsidR="00EC5EC3" w:rsidRPr="00894E42" w:rsidRDefault="00EC5EC3" w:rsidP="00EC5EC3">
      <w:pPr>
        <w:pStyle w:val="Textonotapie"/>
        <w:ind w:firstLine="708"/>
        <w:jc w:val="both"/>
        <w:rPr>
          <w:rFonts w:ascii="Verdana" w:hAnsi="Verdana" w:cs="Arial"/>
          <w:sz w:val="16"/>
          <w:szCs w:val="16"/>
          <w:lang w:val="es-ES_tradnl"/>
        </w:rPr>
      </w:pPr>
      <w:r w:rsidRPr="00894E42">
        <w:rPr>
          <w:rStyle w:val="Refdenotaalpie"/>
          <w:rFonts w:ascii="Verdana" w:hAnsi="Verdana"/>
          <w:sz w:val="16"/>
          <w:szCs w:val="16"/>
        </w:rPr>
        <w:footnoteRef/>
      </w:r>
      <w:r w:rsidRPr="00894E42">
        <w:rPr>
          <w:rFonts w:ascii="Verdana" w:hAnsi="Verdana"/>
          <w:sz w:val="16"/>
          <w:szCs w:val="16"/>
        </w:rPr>
        <w:t xml:space="preserve"> </w:t>
      </w:r>
      <w:r w:rsidRPr="00894E42">
        <w:rPr>
          <w:rFonts w:ascii="Verdana" w:hAnsi="Verdana" w:cs="Arial"/>
          <w:sz w:val="16"/>
          <w:szCs w:val="16"/>
        </w:rPr>
        <w:t xml:space="preserve">Consejo de Estado. Sala de lo Contencioso Administrativo. Sección Cuarta. Sentencia del 16 de diciembre de 2008. </w:t>
      </w:r>
      <w:proofErr w:type="spellStart"/>
      <w:r w:rsidRPr="00894E42">
        <w:rPr>
          <w:rFonts w:ascii="Verdana" w:hAnsi="Verdana" w:cs="Arial"/>
          <w:sz w:val="16"/>
          <w:szCs w:val="16"/>
        </w:rPr>
        <w:t>Exp</w:t>
      </w:r>
      <w:proofErr w:type="spellEnd"/>
      <w:r w:rsidRPr="00894E42">
        <w:rPr>
          <w:rFonts w:ascii="Verdana" w:hAnsi="Verdana" w:cs="Arial"/>
          <w:sz w:val="16"/>
          <w:szCs w:val="16"/>
        </w:rPr>
        <w:t>. 16.297. C.P. Martha Teresa Briceño de Valencia.</w:t>
      </w:r>
    </w:p>
    <w:p w14:paraId="2917B7BF" w14:textId="77777777" w:rsidR="00EC5EC3" w:rsidRPr="00894E42" w:rsidRDefault="00EC5EC3" w:rsidP="00EC5EC3">
      <w:pPr>
        <w:pStyle w:val="Textonotapie"/>
        <w:jc w:val="both"/>
        <w:rPr>
          <w:rFonts w:ascii="Verdana" w:hAnsi="Verdana" w:cs="Arial"/>
          <w:sz w:val="16"/>
          <w:szCs w:val="16"/>
        </w:rPr>
      </w:pPr>
    </w:p>
    <w:p w14:paraId="0DF0F2F5" w14:textId="77777777" w:rsidR="00EC5EC3" w:rsidRPr="00894E42" w:rsidRDefault="00EC5EC3" w:rsidP="00EC5EC3">
      <w:pPr>
        <w:pStyle w:val="Textonotapie"/>
        <w:rPr>
          <w:rFonts w:ascii="Verdana" w:hAnsi="Verdana"/>
          <w:sz w:val="16"/>
          <w:szCs w:val="16"/>
          <w:lang w:val="es-ES"/>
        </w:rPr>
      </w:pPr>
    </w:p>
  </w:footnote>
  <w:footnote w:id="34">
    <w:p w14:paraId="6FA548F0" w14:textId="77777777" w:rsidR="00EC5EC3" w:rsidRPr="00DE4852" w:rsidRDefault="00EC5EC3" w:rsidP="00EC5EC3">
      <w:pPr>
        <w:pStyle w:val="Textonotapie"/>
        <w:ind w:firstLine="709"/>
        <w:jc w:val="both"/>
        <w:rPr>
          <w:rFonts w:ascii="Verdana" w:hAnsi="Verdana" w:cs="Arial"/>
          <w:sz w:val="16"/>
          <w:szCs w:val="16"/>
        </w:rPr>
      </w:pPr>
      <w:r w:rsidRPr="00DE4852">
        <w:rPr>
          <w:rStyle w:val="Refdenotaalpie"/>
          <w:rFonts w:ascii="Verdana" w:hAnsi="Verdana" w:cs="Arial"/>
          <w:sz w:val="16"/>
          <w:szCs w:val="16"/>
        </w:rPr>
        <w:footnoteRef/>
      </w:r>
      <w:r w:rsidRPr="00DE4852">
        <w:rPr>
          <w:rFonts w:ascii="Verdana" w:hAnsi="Verdana" w:cs="Arial"/>
          <w:sz w:val="16"/>
          <w:szCs w:val="16"/>
        </w:rPr>
        <w:t xml:space="preserve"> «Artículo 2o. De la definición de entidades, servidores y servicios públicos. Para los solos efectos de esta ley:</w:t>
      </w:r>
    </w:p>
    <w:p w14:paraId="32EC1846" w14:textId="77777777" w:rsidR="00EC5EC3" w:rsidRPr="00DE4852" w:rsidRDefault="00EC5EC3" w:rsidP="00EC5EC3">
      <w:pPr>
        <w:pStyle w:val="Textonotapie"/>
        <w:ind w:firstLine="708"/>
        <w:jc w:val="both"/>
        <w:rPr>
          <w:rFonts w:ascii="Verdana" w:hAnsi="Verdana" w:cs="Arial"/>
          <w:sz w:val="16"/>
          <w:szCs w:val="16"/>
        </w:rPr>
      </w:pPr>
      <w:r w:rsidRPr="00DE4852">
        <w:rPr>
          <w:rFonts w:ascii="Verdana" w:hAnsi="Verdana" w:cs="Arial"/>
          <w:sz w:val="16"/>
          <w:szCs w:val="16"/>
        </w:rPr>
        <w:t>»1o. Se denominan entidades estatales:</w:t>
      </w:r>
    </w:p>
    <w:p w14:paraId="266BFD4A" w14:textId="77777777" w:rsidR="00EC5EC3" w:rsidRPr="00DE4852" w:rsidRDefault="00EC5EC3" w:rsidP="00EC5EC3">
      <w:pPr>
        <w:pStyle w:val="Textonotapie"/>
        <w:jc w:val="both"/>
        <w:rPr>
          <w:rFonts w:ascii="Verdana" w:hAnsi="Verdana" w:cs="Arial"/>
          <w:sz w:val="16"/>
          <w:szCs w:val="16"/>
        </w:rPr>
      </w:pPr>
      <w:r w:rsidRPr="00DE4852">
        <w:rPr>
          <w:rFonts w:ascii="Verdana" w:hAnsi="Verdana" w:cs="Arial"/>
          <w:sz w:val="16"/>
          <w:szCs w:val="16"/>
        </w:rPr>
        <w:t xml:space="preserve"> </w:t>
      </w:r>
      <w:r w:rsidRPr="00DE4852">
        <w:rPr>
          <w:rFonts w:ascii="Verdana" w:hAnsi="Verdana" w:cs="Arial"/>
          <w:sz w:val="16"/>
          <w:szCs w:val="16"/>
        </w:rPr>
        <w:tab/>
        <w:t xml:space="preserve">»a) La Nación, las regiones, los departamentos, las provincias, el distrito capital y los distritos especiales, las áreas metropolitanas, las asociaciones de municipios, los territorios indígenas y los municipios; </w:t>
      </w:r>
      <w:r w:rsidRPr="00DE4852">
        <w:rPr>
          <w:rFonts w:ascii="Verdana" w:hAnsi="Verdana" w:cs="Arial"/>
          <w:i/>
          <w:iCs/>
          <w:sz w:val="16"/>
          <w:szCs w:val="16"/>
          <w:u w:val="single"/>
        </w:rPr>
        <w:t>los establecimientos públicos</w:t>
      </w:r>
      <w:r w:rsidRPr="00DE4852">
        <w:rPr>
          <w:rFonts w:ascii="Verdana" w:hAnsi="Verdana" w:cs="Arial"/>
          <w:sz w:val="16"/>
          <w:szCs w:val="16"/>
        </w:rPr>
        <w:t>,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 [Énfasis fuera de texto].</w:t>
      </w:r>
    </w:p>
    <w:p w14:paraId="17E0BAC7" w14:textId="77777777" w:rsidR="00EC5EC3" w:rsidRPr="00DE4852" w:rsidRDefault="00EC5EC3" w:rsidP="00EC5EC3">
      <w:pPr>
        <w:pStyle w:val="Textonotapie"/>
        <w:jc w:val="both"/>
        <w:rPr>
          <w:rFonts w:ascii="Verdana" w:hAnsi="Verdana" w:cs="Arial"/>
          <w:sz w:val="16"/>
          <w:szCs w:val="16"/>
        </w:rPr>
      </w:pPr>
    </w:p>
  </w:footnote>
  <w:footnote w:id="35">
    <w:p w14:paraId="236A354B" w14:textId="77777777" w:rsidR="00EC5EC3" w:rsidRDefault="00EC5EC3" w:rsidP="00EC5EC3">
      <w:pPr>
        <w:pStyle w:val="Textonotapie"/>
        <w:ind w:firstLine="709"/>
        <w:jc w:val="both"/>
        <w:rPr>
          <w:rFonts w:ascii="Verdana" w:hAnsi="Verdana"/>
          <w:sz w:val="16"/>
          <w:szCs w:val="16"/>
          <w:lang w:val="es-CO"/>
        </w:rPr>
      </w:pPr>
      <w:r w:rsidRPr="007428AD">
        <w:rPr>
          <w:rStyle w:val="Refdenotaalpie"/>
          <w:rFonts w:ascii="Verdana" w:hAnsi="Verdana"/>
          <w:sz w:val="16"/>
          <w:szCs w:val="16"/>
        </w:rPr>
        <w:footnoteRef/>
      </w:r>
      <w:r w:rsidRPr="007428AD">
        <w:rPr>
          <w:rFonts w:ascii="Verdana" w:hAnsi="Verdana"/>
          <w:sz w:val="16"/>
          <w:szCs w:val="16"/>
        </w:rPr>
        <w:t xml:space="preserve"> </w:t>
      </w:r>
      <w:r w:rsidRPr="007428AD">
        <w:rPr>
          <w:rFonts w:ascii="Verdana" w:hAnsi="Verdana"/>
          <w:sz w:val="16"/>
          <w:szCs w:val="16"/>
          <w:lang w:val="es-ES"/>
        </w:rPr>
        <w:t xml:space="preserve">Acuerdo 080 del 23 de diciembre de 2019. </w:t>
      </w:r>
      <w:r w:rsidRPr="00147D6A">
        <w:rPr>
          <w:rFonts w:ascii="Verdana" w:hAnsi="Verdana"/>
          <w:sz w:val="16"/>
          <w:szCs w:val="16"/>
          <w:lang w:val="es-CO"/>
        </w:rPr>
        <w:t>POR EL CUAL SE ADOPTA EL ESTATUTO GENERAL DE LA UNIVERSIDAD DE NARIÑO</w:t>
      </w:r>
      <w:r>
        <w:rPr>
          <w:rFonts w:ascii="Verdana" w:hAnsi="Verdana"/>
          <w:sz w:val="16"/>
          <w:szCs w:val="16"/>
          <w:lang w:val="es-CO"/>
        </w:rPr>
        <w:t xml:space="preserve">. </w:t>
      </w:r>
      <w:r w:rsidRPr="007428AD">
        <w:rPr>
          <w:rFonts w:ascii="Verdana" w:hAnsi="Verdana"/>
          <w:sz w:val="16"/>
          <w:szCs w:val="16"/>
          <w:lang w:val="es-ES"/>
        </w:rPr>
        <w:t xml:space="preserve">Artículo 131. </w:t>
      </w:r>
      <w:r w:rsidRPr="007428AD">
        <w:rPr>
          <w:rFonts w:ascii="Verdana" w:hAnsi="Verdana"/>
          <w:sz w:val="16"/>
          <w:szCs w:val="16"/>
          <w:lang w:val="es-CO"/>
        </w:rPr>
        <w:t xml:space="preserve">Transformación de Dependencias Las siguientes dependencias actualmente existentes se organizarán como unidades especiales: 1. Liceo Integrado de Bachillerato de la Universidad de Nariño. 2. Fondo de Seguridad Social en Salud. 3. Escuela de Auxiliares de Enfermería. 4. Cursos Preuniversitarios. 5. Archivo Histórico del Departamento de Nariño. 6. Centro de Idiomas. 7. Unidad de Televisión. 8. Laboratorios especializados. 9. Granjas </w:t>
      </w:r>
    </w:p>
    <w:p w14:paraId="3C8B3F49" w14:textId="77777777" w:rsidR="00EC5EC3" w:rsidRDefault="00EC5EC3" w:rsidP="00EC5EC3">
      <w:pPr>
        <w:pStyle w:val="Textonotapie"/>
        <w:ind w:firstLine="709"/>
        <w:jc w:val="both"/>
        <w:rPr>
          <w:rFonts w:ascii="Verdana" w:hAnsi="Verdana"/>
          <w:sz w:val="16"/>
          <w:szCs w:val="16"/>
          <w:lang w:val="es-CO"/>
        </w:rPr>
      </w:pPr>
      <w:r w:rsidRPr="007428AD">
        <w:rPr>
          <w:rFonts w:ascii="Verdana" w:hAnsi="Verdana"/>
          <w:sz w:val="16"/>
          <w:szCs w:val="16"/>
          <w:lang w:val="es-CO"/>
        </w:rPr>
        <w:t>PARÁGRAFO: Hasta tanto se expida el acuerdo de creación, las unidades especiales antes descritas se adscriben a la Vicerrectoría Académica, excepto el Fondo de Seguridad Social en Salud, que se adscribe a la rectoría.</w:t>
      </w:r>
    </w:p>
    <w:p w14:paraId="4507A079" w14:textId="77777777" w:rsidR="00EC5EC3" w:rsidRPr="007428AD" w:rsidRDefault="00EC5EC3" w:rsidP="00EC5EC3">
      <w:pPr>
        <w:pStyle w:val="Textonotapie"/>
        <w:ind w:firstLine="709"/>
        <w:jc w:val="both"/>
        <w:rPr>
          <w:rFonts w:ascii="Verdana" w:hAnsi="Verdana"/>
          <w:sz w:val="16"/>
          <w:szCs w:val="16"/>
          <w:lang w:val="es-ES"/>
        </w:rPr>
      </w:pPr>
    </w:p>
  </w:footnote>
  <w:footnote w:id="36">
    <w:p w14:paraId="50A40A56" w14:textId="77777777" w:rsidR="00EC5EC3" w:rsidRPr="007428AD" w:rsidRDefault="00EC5EC3" w:rsidP="00EC5EC3">
      <w:pPr>
        <w:pStyle w:val="Textonotapie"/>
        <w:jc w:val="both"/>
        <w:rPr>
          <w:rFonts w:ascii="Verdana" w:hAnsi="Verdana" w:cs="Arial"/>
          <w:color w:val="000000" w:themeColor="text1"/>
          <w:sz w:val="16"/>
          <w:szCs w:val="16"/>
        </w:rPr>
      </w:pPr>
      <w:r w:rsidRPr="007428AD">
        <w:rPr>
          <w:rFonts w:ascii="Verdana" w:hAnsi="Verdana" w:cs="Arial"/>
          <w:color w:val="000000" w:themeColor="text1"/>
          <w:sz w:val="16"/>
          <w:szCs w:val="16"/>
        </w:rPr>
        <w:tab/>
      </w:r>
      <w:r w:rsidRPr="007428AD">
        <w:rPr>
          <w:rStyle w:val="Refdenotaalpie"/>
          <w:rFonts w:ascii="Verdana" w:hAnsi="Verdana" w:cs="Arial"/>
          <w:color w:val="000000" w:themeColor="text1"/>
          <w:sz w:val="16"/>
          <w:szCs w:val="16"/>
        </w:rPr>
        <w:footnoteRef/>
      </w:r>
      <w:r w:rsidRPr="007428AD">
        <w:rPr>
          <w:rFonts w:ascii="Verdana" w:hAnsi="Verdana" w:cs="Arial"/>
          <w:color w:val="000000" w:themeColor="text1"/>
          <w:sz w:val="16"/>
          <w:szCs w:val="16"/>
        </w:rPr>
        <w:t xml:space="preserve"> Agencia Nacional de Contratación Pública- Colombia Compra Eficiente. Concepto No</w:t>
      </w:r>
      <w:r w:rsidRPr="007428AD">
        <w:rPr>
          <w:rFonts w:ascii="Verdana" w:hAnsi="Verdana" w:cs="Arial"/>
          <w:b/>
          <w:color w:val="000000" w:themeColor="text1"/>
          <w:sz w:val="16"/>
          <w:szCs w:val="16"/>
        </w:rPr>
        <w:t xml:space="preserve">. </w:t>
      </w:r>
      <w:r w:rsidRPr="007428AD">
        <w:rPr>
          <w:rFonts w:ascii="Verdana" w:hAnsi="Verdana" w:cs="Arial"/>
          <w:color w:val="000000" w:themeColor="text1"/>
          <w:sz w:val="16"/>
          <w:szCs w:val="16"/>
        </w:rPr>
        <w:t>4201912000006055 del 20 de octubre de 2019.</w:t>
      </w:r>
    </w:p>
    <w:p w14:paraId="402D70EA" w14:textId="77777777" w:rsidR="00EC5EC3" w:rsidRPr="007428AD" w:rsidRDefault="00EC5EC3" w:rsidP="00EC5EC3">
      <w:pPr>
        <w:pStyle w:val="Textonotapie"/>
        <w:ind w:firstLine="708"/>
        <w:jc w:val="both"/>
        <w:rPr>
          <w:rFonts w:ascii="Verdana" w:hAnsi="Verdana" w:cs="Arial"/>
          <w:b/>
          <w:color w:val="000000" w:themeColor="text1"/>
          <w:sz w:val="16"/>
          <w:szCs w:val="16"/>
        </w:rPr>
      </w:pPr>
    </w:p>
  </w:footnote>
  <w:footnote w:id="37">
    <w:p w14:paraId="2A519B86" w14:textId="77777777" w:rsidR="00EC5EC3" w:rsidRPr="001205AF" w:rsidRDefault="00EC5EC3" w:rsidP="00EC5EC3">
      <w:pPr>
        <w:pStyle w:val="Textonotapie"/>
        <w:ind w:firstLine="708"/>
        <w:contextualSpacing/>
        <w:jc w:val="both"/>
        <w:rPr>
          <w:rFonts w:ascii="Verdana" w:hAnsi="Verdana" w:cs="Arial"/>
          <w:color w:val="000000" w:themeColor="text1"/>
          <w:sz w:val="16"/>
          <w:szCs w:val="16"/>
          <w:lang w:val="es-CO"/>
        </w:rPr>
      </w:pPr>
      <w:r w:rsidRPr="001205AF">
        <w:rPr>
          <w:rStyle w:val="Refdenotaalpie"/>
          <w:rFonts w:ascii="Verdana" w:hAnsi="Verdana" w:cs="Arial"/>
          <w:color w:val="000000" w:themeColor="text1"/>
          <w:sz w:val="16"/>
          <w:szCs w:val="16"/>
          <w:lang w:val="es-CO"/>
        </w:rPr>
        <w:footnoteRef/>
      </w:r>
      <w:r w:rsidRPr="001205AF">
        <w:rPr>
          <w:rFonts w:ascii="Verdana" w:hAnsi="Verdana" w:cs="Arial"/>
          <w:color w:val="000000" w:themeColor="text1"/>
          <w:sz w:val="16"/>
          <w:szCs w:val="16"/>
          <w:lang w:val="es-CO"/>
        </w:rPr>
        <w:t xml:space="preserve"> El artículo 2.8.8.1.4.2 del Decreto 780 de 2016 dispone que “Para efectos de la aplicación del presente Capítulo, entiéndase por Autoridades Sanitarias del </w:t>
      </w:r>
      <w:proofErr w:type="spellStart"/>
      <w:r w:rsidRPr="001205AF">
        <w:rPr>
          <w:rFonts w:ascii="Verdana" w:hAnsi="Verdana" w:cs="Arial"/>
          <w:color w:val="000000" w:themeColor="text1"/>
          <w:sz w:val="16"/>
          <w:szCs w:val="16"/>
          <w:lang w:val="es-CO"/>
        </w:rPr>
        <w:t>Sivigila</w:t>
      </w:r>
      <w:proofErr w:type="spellEnd"/>
      <w:r w:rsidRPr="001205AF">
        <w:rPr>
          <w:rFonts w:ascii="Verdana" w:hAnsi="Verdana" w:cs="Arial"/>
          <w:color w:val="000000" w:themeColor="text1"/>
          <w:sz w:val="16"/>
          <w:szCs w:val="16"/>
          <w:lang w:val="es-CO"/>
        </w:rPr>
        <w:t xml:space="preserve">, el Ministerio de Salud y Protección Social; el Instituto Nacional de Salud (INS); el Instituto Nacional de Vigilancia de Medicamentos y Alimentos (Invima), las Direcciones Territoriales de Salud, </w:t>
      </w:r>
      <w:r w:rsidRPr="001205AF">
        <w:rPr>
          <w:rFonts w:ascii="Verdana" w:hAnsi="Verdana" w:cs="Arial"/>
          <w:i/>
          <w:iCs/>
          <w:color w:val="000000" w:themeColor="text1"/>
          <w:sz w:val="16"/>
          <w:szCs w:val="16"/>
          <w:lang w:val="es-CO"/>
        </w:rPr>
        <w:t>y todas aquellas entidades que de acuerdo con la ley ejerzan funciones de vigilancia y control sanitario</w:t>
      </w:r>
      <w:r w:rsidRPr="001205AF">
        <w:rPr>
          <w:rFonts w:ascii="Verdana" w:hAnsi="Verdana" w:cs="Arial"/>
          <w:color w:val="000000" w:themeColor="text1"/>
          <w:sz w:val="16"/>
          <w:szCs w:val="16"/>
          <w:lang w:val="es-CO"/>
        </w:rPr>
        <w:t xml:space="preserve">, las cuales deben adoptar medidas sanitarias que garanticen la protección de la salud pública y el cumplimiento de lo dispuesto en esta norma, así como adelantar los procedimientos y aplicar las sanciones a que hubiere lugar» (Énfasis fuera de texto).  </w:t>
      </w:r>
    </w:p>
    <w:p w14:paraId="17C82758" w14:textId="77777777" w:rsidR="00EC5EC3" w:rsidRPr="001205AF" w:rsidRDefault="00EC5EC3" w:rsidP="00EC5EC3">
      <w:pPr>
        <w:pStyle w:val="Textonotapie"/>
        <w:ind w:firstLine="708"/>
        <w:contextualSpacing/>
        <w:jc w:val="both"/>
        <w:rPr>
          <w:rFonts w:ascii="Verdana" w:hAnsi="Verdana" w:cs="Arial"/>
          <w:color w:val="000000" w:themeColor="text1"/>
          <w:sz w:val="16"/>
          <w:szCs w:val="16"/>
          <w:lang w:val="es-CO"/>
        </w:rPr>
      </w:pPr>
    </w:p>
  </w:footnote>
  <w:footnote w:id="38">
    <w:p w14:paraId="749A0F44" w14:textId="77777777" w:rsidR="00EC5EC3" w:rsidRPr="001205AF" w:rsidRDefault="00EC5EC3" w:rsidP="00EC5EC3">
      <w:pPr>
        <w:pStyle w:val="Textonotapie"/>
        <w:ind w:firstLine="708"/>
        <w:contextualSpacing/>
        <w:jc w:val="both"/>
        <w:rPr>
          <w:rFonts w:ascii="Verdana" w:hAnsi="Verdana"/>
          <w:sz w:val="16"/>
          <w:szCs w:val="16"/>
          <w:lang w:val="es-CO"/>
        </w:rPr>
      </w:pPr>
      <w:r w:rsidRPr="001205AF">
        <w:rPr>
          <w:rStyle w:val="Refdenotaalpie"/>
          <w:rFonts w:ascii="Verdana" w:hAnsi="Verdana"/>
          <w:sz w:val="16"/>
          <w:szCs w:val="16"/>
          <w:lang w:val="es-CO"/>
        </w:rPr>
        <w:footnoteRef/>
      </w:r>
      <w:r w:rsidRPr="001205AF">
        <w:rPr>
          <w:rFonts w:ascii="Verdana" w:hAnsi="Verdana"/>
          <w:sz w:val="16"/>
          <w:szCs w:val="16"/>
          <w:lang w:val="es-CO"/>
        </w:rPr>
        <w:t xml:space="preserve"> Consejo de Estado. Sala de Consulta y Servicio Civil. Concepto del 12 de junio de 2018. Radicación: 11001-03-06-000-2018-0043-00. (2371). C.P: Oscar Darío Amaya Navas. </w:t>
      </w:r>
    </w:p>
    <w:p w14:paraId="55489BAA" w14:textId="77777777" w:rsidR="00EC5EC3" w:rsidRPr="001205AF" w:rsidRDefault="00EC5EC3" w:rsidP="00EC5EC3">
      <w:pPr>
        <w:pStyle w:val="Textonotapie"/>
        <w:ind w:firstLine="708"/>
        <w:contextualSpacing/>
        <w:jc w:val="both"/>
        <w:rPr>
          <w:rFonts w:ascii="Verdana" w:hAnsi="Verdana"/>
          <w:sz w:val="16"/>
          <w:szCs w:val="16"/>
          <w:lang w:val="es-CO"/>
        </w:rPr>
      </w:pPr>
    </w:p>
  </w:footnote>
  <w:footnote w:id="39">
    <w:p w14:paraId="5D889B41" w14:textId="77777777" w:rsidR="00EC5EC3" w:rsidRPr="001205AF" w:rsidRDefault="00EC5EC3" w:rsidP="00EC5EC3">
      <w:pPr>
        <w:pStyle w:val="Textonotapie"/>
        <w:ind w:firstLine="708"/>
        <w:contextualSpacing/>
        <w:rPr>
          <w:rFonts w:ascii="Verdana" w:hAnsi="Verdana"/>
          <w:sz w:val="16"/>
          <w:szCs w:val="16"/>
          <w:lang w:val="es-CO"/>
        </w:rPr>
      </w:pPr>
      <w:r w:rsidRPr="001205AF">
        <w:rPr>
          <w:rStyle w:val="Refdenotaalpie"/>
          <w:rFonts w:ascii="Verdana" w:hAnsi="Verdana"/>
          <w:sz w:val="16"/>
          <w:szCs w:val="16"/>
          <w:lang w:val="es-CO"/>
        </w:rPr>
        <w:footnoteRef/>
      </w:r>
      <w:r w:rsidRPr="001205AF">
        <w:rPr>
          <w:rFonts w:ascii="Verdana" w:hAnsi="Verdana"/>
          <w:sz w:val="16"/>
          <w:szCs w:val="16"/>
          <w:lang w:val="es-CO"/>
        </w:rPr>
        <w:t xml:space="preserve"> Ibidem.</w:t>
      </w:r>
    </w:p>
    <w:p w14:paraId="5CB8E5ED" w14:textId="77777777" w:rsidR="00EC5EC3" w:rsidRPr="001E43AD" w:rsidRDefault="00EC5EC3" w:rsidP="00EC5EC3">
      <w:pPr>
        <w:pStyle w:val="Textonotapie"/>
        <w:ind w:firstLine="708"/>
        <w:contextualSpacing/>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92EC0BC6"/>
    <w:lvl w:ilvl="0">
      <w:start w:val="1"/>
      <w:numFmt w:val="decimal"/>
      <w:lvlText w:val="%1."/>
      <w:lvlJc w:val="left"/>
      <w:pPr>
        <w:ind w:left="6601" w:hanging="360"/>
      </w:pPr>
      <w:rPr>
        <w:b/>
        <w:color w:val="000000" w:themeColor="text1"/>
        <w:lang w:val="es-CO"/>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FBC25EC"/>
    <w:multiLevelType w:val="hybridMultilevel"/>
    <w:tmpl w:val="3F7C01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13584315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F32"/>
    <w:rsid w:val="000605C7"/>
    <w:rsid w:val="00061B2A"/>
    <w:rsid w:val="00082362"/>
    <w:rsid w:val="000A683E"/>
    <w:rsid w:val="000B19B9"/>
    <w:rsid w:val="000C46D6"/>
    <w:rsid w:val="000D0334"/>
    <w:rsid w:val="000D5DA7"/>
    <w:rsid w:val="000F6486"/>
    <w:rsid w:val="00116940"/>
    <w:rsid w:val="00125105"/>
    <w:rsid w:val="00127233"/>
    <w:rsid w:val="0015699B"/>
    <w:rsid w:val="0018188D"/>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15A30"/>
    <w:rsid w:val="00322A85"/>
    <w:rsid w:val="00324168"/>
    <w:rsid w:val="003256F3"/>
    <w:rsid w:val="00330834"/>
    <w:rsid w:val="003448F4"/>
    <w:rsid w:val="00374F5E"/>
    <w:rsid w:val="00377E3E"/>
    <w:rsid w:val="00387CE9"/>
    <w:rsid w:val="003A589C"/>
    <w:rsid w:val="003A779E"/>
    <w:rsid w:val="003D0F4D"/>
    <w:rsid w:val="003D5B0D"/>
    <w:rsid w:val="003E0499"/>
    <w:rsid w:val="003E4F80"/>
    <w:rsid w:val="003E6439"/>
    <w:rsid w:val="003F3941"/>
    <w:rsid w:val="00406575"/>
    <w:rsid w:val="00414C74"/>
    <w:rsid w:val="0042623C"/>
    <w:rsid w:val="0042722E"/>
    <w:rsid w:val="0044528D"/>
    <w:rsid w:val="004621D2"/>
    <w:rsid w:val="00466514"/>
    <w:rsid w:val="00466E39"/>
    <w:rsid w:val="004907EE"/>
    <w:rsid w:val="004A1847"/>
    <w:rsid w:val="004A305D"/>
    <w:rsid w:val="004F21C4"/>
    <w:rsid w:val="004F685F"/>
    <w:rsid w:val="00517548"/>
    <w:rsid w:val="005566E8"/>
    <w:rsid w:val="005647C7"/>
    <w:rsid w:val="00574867"/>
    <w:rsid w:val="00582A86"/>
    <w:rsid w:val="00590FB8"/>
    <w:rsid w:val="00591460"/>
    <w:rsid w:val="005A65E0"/>
    <w:rsid w:val="005C3777"/>
    <w:rsid w:val="005C5CDC"/>
    <w:rsid w:val="005D476C"/>
    <w:rsid w:val="005E05EF"/>
    <w:rsid w:val="0061092B"/>
    <w:rsid w:val="006200BF"/>
    <w:rsid w:val="006219F8"/>
    <w:rsid w:val="006302F7"/>
    <w:rsid w:val="00646B9F"/>
    <w:rsid w:val="00665D70"/>
    <w:rsid w:val="006900D9"/>
    <w:rsid w:val="00706C16"/>
    <w:rsid w:val="00722FCC"/>
    <w:rsid w:val="007340C3"/>
    <w:rsid w:val="0075235A"/>
    <w:rsid w:val="00756841"/>
    <w:rsid w:val="007627FB"/>
    <w:rsid w:val="007649AB"/>
    <w:rsid w:val="00771D0C"/>
    <w:rsid w:val="007833AC"/>
    <w:rsid w:val="007978C8"/>
    <w:rsid w:val="007A07BB"/>
    <w:rsid w:val="007B268C"/>
    <w:rsid w:val="007B7171"/>
    <w:rsid w:val="007C0C0F"/>
    <w:rsid w:val="007C3DC2"/>
    <w:rsid w:val="007E5497"/>
    <w:rsid w:val="00806F5F"/>
    <w:rsid w:val="00820278"/>
    <w:rsid w:val="008258C9"/>
    <w:rsid w:val="00844AE9"/>
    <w:rsid w:val="008506A4"/>
    <w:rsid w:val="00854218"/>
    <w:rsid w:val="00867F95"/>
    <w:rsid w:val="008843B6"/>
    <w:rsid w:val="00891928"/>
    <w:rsid w:val="008A446D"/>
    <w:rsid w:val="008B25F1"/>
    <w:rsid w:val="008D180B"/>
    <w:rsid w:val="008F0EA7"/>
    <w:rsid w:val="00915284"/>
    <w:rsid w:val="00923EEF"/>
    <w:rsid w:val="009419F9"/>
    <w:rsid w:val="0095685E"/>
    <w:rsid w:val="00961B09"/>
    <w:rsid w:val="00965334"/>
    <w:rsid w:val="0097093E"/>
    <w:rsid w:val="009A0DFA"/>
    <w:rsid w:val="009A1C6F"/>
    <w:rsid w:val="009A31BF"/>
    <w:rsid w:val="009B2D26"/>
    <w:rsid w:val="009C0175"/>
    <w:rsid w:val="009C71FA"/>
    <w:rsid w:val="009C72E7"/>
    <w:rsid w:val="009C7F7E"/>
    <w:rsid w:val="009D3058"/>
    <w:rsid w:val="009F3A13"/>
    <w:rsid w:val="00A122D3"/>
    <w:rsid w:val="00A14468"/>
    <w:rsid w:val="00A17F13"/>
    <w:rsid w:val="00A20739"/>
    <w:rsid w:val="00A23AF9"/>
    <w:rsid w:val="00A33C78"/>
    <w:rsid w:val="00A54340"/>
    <w:rsid w:val="00A54C80"/>
    <w:rsid w:val="00A76C6A"/>
    <w:rsid w:val="00AB0ADB"/>
    <w:rsid w:val="00AD5C66"/>
    <w:rsid w:val="00B00C0E"/>
    <w:rsid w:val="00B01B1A"/>
    <w:rsid w:val="00B0381D"/>
    <w:rsid w:val="00B31E92"/>
    <w:rsid w:val="00B44A47"/>
    <w:rsid w:val="00B72CD3"/>
    <w:rsid w:val="00B72FFF"/>
    <w:rsid w:val="00B774AD"/>
    <w:rsid w:val="00B85744"/>
    <w:rsid w:val="00BB5CCD"/>
    <w:rsid w:val="00BC3D36"/>
    <w:rsid w:val="00BD54A6"/>
    <w:rsid w:val="00BD7F72"/>
    <w:rsid w:val="00BE6277"/>
    <w:rsid w:val="00BF7425"/>
    <w:rsid w:val="00C04FB3"/>
    <w:rsid w:val="00C11D8B"/>
    <w:rsid w:val="00C15139"/>
    <w:rsid w:val="00C330EB"/>
    <w:rsid w:val="00C50D69"/>
    <w:rsid w:val="00C5365C"/>
    <w:rsid w:val="00C55490"/>
    <w:rsid w:val="00C754BE"/>
    <w:rsid w:val="00C76B1C"/>
    <w:rsid w:val="00C925AC"/>
    <w:rsid w:val="00CB6357"/>
    <w:rsid w:val="00CC1B26"/>
    <w:rsid w:val="00CF3468"/>
    <w:rsid w:val="00D361FD"/>
    <w:rsid w:val="00D423A2"/>
    <w:rsid w:val="00D44E26"/>
    <w:rsid w:val="00D520D8"/>
    <w:rsid w:val="00D63AC2"/>
    <w:rsid w:val="00D703C8"/>
    <w:rsid w:val="00D7383B"/>
    <w:rsid w:val="00D7460A"/>
    <w:rsid w:val="00D7788A"/>
    <w:rsid w:val="00D81D88"/>
    <w:rsid w:val="00D86C07"/>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B33F0"/>
    <w:rsid w:val="00EC38A7"/>
    <w:rsid w:val="00EC5EC3"/>
    <w:rsid w:val="00EE1AA8"/>
    <w:rsid w:val="00F05E7B"/>
    <w:rsid w:val="00F23FEA"/>
    <w:rsid w:val="00F30765"/>
    <w:rsid w:val="00F31EDC"/>
    <w:rsid w:val="00F462B3"/>
    <w:rsid w:val="00F5664F"/>
    <w:rsid w:val="00F666C4"/>
    <w:rsid w:val="00F76AFC"/>
    <w:rsid w:val="00FA47C0"/>
    <w:rsid w:val="00FB5DD1"/>
    <w:rsid w:val="00FC2B5D"/>
    <w:rsid w:val="00FF1449"/>
    <w:rsid w:val="00FF7963"/>
    <w:rsid w:val="071B8F93"/>
    <w:rsid w:val="07C73DD1"/>
    <w:rsid w:val="09908A09"/>
    <w:rsid w:val="0D2035FD"/>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5F4977B"/>
    <w:rsid w:val="69614A15"/>
    <w:rsid w:val="74BA017B"/>
    <w:rsid w:val="74C89D8F"/>
    <w:rsid w:val="75F73934"/>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21E2B02-8619-4131-AE33-5C9F950C97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C5EC3"/>
    <w:rPr>
      <w:rFonts w:ascii="Geomanist Light" w:hAnsi="Geomanist Light"/>
      <w:lang w:val="es-ES"/>
    </w:rPr>
  </w:style>
  <w:style w:type="paragraph" w:customStyle="1" w:styleId="Appelnotedebasde">
    <w:name w:val="Appel note de bas de..."/>
    <w:basedOn w:val="Normal"/>
    <w:link w:val="Refdenotaalpie"/>
    <w:uiPriority w:val="99"/>
    <w:rsid w:val="00EC5EC3"/>
    <w:pPr>
      <w:spacing w:line="240" w:lineRule="exact"/>
    </w:pPr>
    <w:rPr>
      <w:vertAlign w:val="superscript"/>
    </w:rPr>
  </w:style>
  <w:style w:type="character" w:customStyle="1" w:styleId="NormalWebCar">
    <w:name w:val="Normal (Web) Car"/>
    <w:link w:val="NormalWeb"/>
    <w:uiPriority w:val="99"/>
    <w:locked/>
    <w:rsid w:val="00EC5EC3"/>
    <w:rPr>
      <w:rFonts w:ascii="Times New Roman" w:eastAsia="Times New Roman" w:hAnsi="Times New Roman" w:cs="Times New Roman"/>
      <w:sz w:val="24"/>
      <w:szCs w:val="24"/>
      <w:lang w:eastAsia="es-CO"/>
    </w:rPr>
  </w:style>
  <w:style w:type="character" w:customStyle="1" w:styleId="baj">
    <w:name w:val="b_aj"/>
    <w:basedOn w:val="Fuentedeprrafopredeter"/>
    <w:rsid w:val="00EC5E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colombiacompra.gov.co/wp-content/uploads/2025/09/006-de-2025-Circular-Externa-L996-ajustado-comentarios-BM-BID-Rev-ARSC-V3.d-1.pdf"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elestrella.th@gmail.com"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relatoria.colombiacompra.gov.co/conceptos/c-048-de-2026/" TargetMode="External"/><Relationship Id="rId1" Type="http://schemas.openxmlformats.org/officeDocument/2006/relationships/hyperlink" Target="https://colombiacompra.gov.co/wp-content/uploads/2025/09/006-de-2025-Circular-Externa-L996-ajustado-comentarios-BM-BID-Rev-ARSC-V3.d-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33A1051-DCD0-4EBA-876E-5420B2AB9D36}"/>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28</TotalTime>
  <Pages>37</Pages>
  <Words>12790</Words>
  <Characters>70348</Characters>
  <Application>Microsoft Office Word</Application>
  <DocSecurity>0</DocSecurity>
  <Lines>586</Lines>
  <Paragraphs>165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82973</CharactersWithSpaces>
  <SharedDoc>false</SharedDoc>
  <HLinks>
    <vt:vector size="66" baseType="variant">
      <vt:variant>
        <vt:i4>4456513</vt:i4>
      </vt:variant>
      <vt:variant>
        <vt:i4>24</vt:i4>
      </vt:variant>
      <vt:variant>
        <vt:i4>0</vt:i4>
      </vt:variant>
      <vt:variant>
        <vt:i4>5</vt:i4>
      </vt:variant>
      <vt:variant>
        <vt:lpwstr>https://forms.office.com/r/pPHyWVs2SZ</vt:lpwstr>
      </vt:variant>
      <vt:variant>
        <vt:lpwstr/>
      </vt:variant>
      <vt:variant>
        <vt:i4>3407926</vt:i4>
      </vt:variant>
      <vt:variant>
        <vt:i4>21</vt:i4>
      </vt:variant>
      <vt:variant>
        <vt:i4>0</vt:i4>
      </vt:variant>
      <vt:variant>
        <vt:i4>5</vt:i4>
      </vt:variant>
      <vt:variant>
        <vt:lpwstr>https://www.colombiacompra.gov.co/pqrsd/informacion-importante-antes-de-formular-una-pqrsd</vt:lpwstr>
      </vt:variant>
      <vt:variant>
        <vt:lpwstr/>
      </vt:variant>
      <vt:variant>
        <vt:i4>4980779</vt:i4>
      </vt:variant>
      <vt:variant>
        <vt:i4>18</vt:i4>
      </vt:variant>
      <vt:variant>
        <vt:i4>0</vt:i4>
      </vt:variant>
      <vt:variant>
        <vt:i4>5</vt:i4>
      </vt:variant>
      <vt:variant>
        <vt:lpwstr>mailto:ventanilladeradicacion@colombiacompra.gov.co</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3407907</vt:i4>
      </vt:variant>
      <vt:variant>
        <vt:i4>3</vt:i4>
      </vt:variant>
      <vt:variant>
        <vt:i4>0</vt:i4>
      </vt:variant>
      <vt:variant>
        <vt:i4>5</vt:i4>
      </vt:variant>
      <vt:variant>
        <vt:lpwstr>https://colombiacompra.gov.co/wp-content/uploads/2025/09/006-de-2025-Circular-Externa-L996-ajustado-comentarios-BM-BID-Rev-ARSC-V3.d-1.pdf</vt:lpwstr>
      </vt:variant>
      <vt:variant>
        <vt:lpwstr/>
      </vt:variant>
      <vt:variant>
        <vt:i4>3604563</vt:i4>
      </vt:variant>
      <vt:variant>
        <vt:i4>0</vt:i4>
      </vt:variant>
      <vt:variant>
        <vt:i4>0</vt:i4>
      </vt:variant>
      <vt:variant>
        <vt:i4>5</vt:i4>
      </vt:variant>
      <vt:variant>
        <vt:lpwstr>mailto:danielestrella.th@gmail.com</vt:lpwstr>
      </vt:variant>
      <vt:variant>
        <vt:lpwstr/>
      </vt:variant>
      <vt:variant>
        <vt:i4>6225925</vt:i4>
      </vt:variant>
      <vt:variant>
        <vt:i4>3</vt:i4>
      </vt:variant>
      <vt:variant>
        <vt:i4>0</vt:i4>
      </vt:variant>
      <vt:variant>
        <vt:i4>5</vt:i4>
      </vt:variant>
      <vt:variant>
        <vt:lpwstr>https://relatoria.colombiacompra.gov.co/conceptos/c-048-de-2026/</vt:lpwstr>
      </vt:variant>
      <vt:variant>
        <vt:lpwstr/>
      </vt:variant>
      <vt:variant>
        <vt:i4>3407907</vt:i4>
      </vt:variant>
      <vt:variant>
        <vt:i4>0</vt:i4>
      </vt:variant>
      <vt:variant>
        <vt:i4>0</vt:i4>
      </vt:variant>
      <vt:variant>
        <vt:i4>5</vt:i4>
      </vt:variant>
      <vt:variant>
        <vt:lpwstr>https://colombiacompra.gov.co/wp-content/uploads/2025/09/006-de-2025-Circular-Externa-L996-ajustado-comentarios-BM-BID-Rev-ARSC-V3.d-1.pdf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5</cp:revision>
  <cp:lastPrinted>2023-01-10T21:18:00Z</cp:lastPrinted>
  <dcterms:created xsi:type="dcterms:W3CDTF">2026-04-16T19:54:00Z</dcterms:created>
  <dcterms:modified xsi:type="dcterms:W3CDTF">2026-04-17T03:57:00Z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