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B090F8" w14:textId="77777777" w:rsidR="00682729" w:rsidRPr="0041488A" w:rsidRDefault="00682729" w:rsidP="00682729">
      <w:pPr>
        <w:spacing w:after="0" w:line="240" w:lineRule="auto"/>
        <w:jc w:val="both"/>
        <w:rPr>
          <w:rFonts w:ascii="Verdana" w:eastAsia="Verdana" w:hAnsi="Verdana" w:cs="Verdana"/>
          <w:b/>
          <w:lang w:val="es-ES"/>
        </w:rPr>
      </w:pPr>
      <w:r w:rsidRPr="0041488A">
        <w:rPr>
          <w:rFonts w:ascii="Verdana" w:eastAsia="Verdana" w:hAnsi="Verdana" w:cs="Verdana"/>
          <w:b/>
          <w:lang w:val="es-ES"/>
        </w:rPr>
        <w:t>INSTITUCIONES EDUCATIVAS – Naturaleza jurídica – Capacidad para contratar – Régimen contractual</w:t>
      </w:r>
    </w:p>
    <w:p w14:paraId="2B5E8122" w14:textId="77777777" w:rsidR="006E35AB" w:rsidRPr="0041488A" w:rsidRDefault="006E35AB" w:rsidP="006E35AB">
      <w:pPr>
        <w:spacing w:after="0" w:line="240" w:lineRule="auto"/>
        <w:jc w:val="both"/>
        <w:rPr>
          <w:rFonts w:ascii="Verdana" w:eastAsia="Verdana" w:hAnsi="Verdana" w:cs="Verdana"/>
          <w:b/>
          <w:lang w:val="es-ES"/>
        </w:rPr>
      </w:pPr>
    </w:p>
    <w:p w14:paraId="638CC8F8" w14:textId="77777777" w:rsidR="006E35AB" w:rsidRDefault="006E35AB" w:rsidP="006E35AB">
      <w:pPr>
        <w:spacing w:after="0" w:line="240" w:lineRule="auto"/>
        <w:jc w:val="both"/>
        <w:rPr>
          <w:rFonts w:ascii="Verdana" w:eastAsia="Verdana" w:hAnsi="Verdana" w:cs="Verdana"/>
          <w:sz w:val="20"/>
          <w:lang w:val="es-MX"/>
        </w:rPr>
      </w:pPr>
      <w:r w:rsidRPr="0041488A">
        <w:rPr>
          <w:rFonts w:ascii="Verdana" w:eastAsia="Verdana" w:hAnsi="Verdana" w:cs="Verdana"/>
          <w:sz w:val="20"/>
          <w:lang w:val="es-MX"/>
        </w:rPr>
        <w:t>Conforme a lo anterior, las instituciones educativas pertenecen a la entidad territorial que haya efectuado su reconocimiento de carácter oficial. No obstante, carecen de personería jurídica, pero tienen capacidad para contratar y se concreta en la competencia que le otorgó el legislador en la Ley 715 de 2001 para administrar los fondos de servicios educativos, siendo cuentas contables que les permiten a las instituciones realizar la gestión y ejecución presupuestal de los recursos que reciben los establecimientos educativos.</w:t>
      </w:r>
    </w:p>
    <w:p w14:paraId="2B06C735" w14:textId="77777777" w:rsidR="006E35AB" w:rsidRPr="0041488A" w:rsidRDefault="006E35AB" w:rsidP="006E35AB">
      <w:pPr>
        <w:spacing w:after="0" w:line="240" w:lineRule="auto"/>
        <w:jc w:val="both"/>
        <w:rPr>
          <w:rFonts w:ascii="Verdana" w:eastAsia="Verdana" w:hAnsi="Verdana" w:cs="Verdana"/>
          <w:sz w:val="20"/>
          <w:lang w:val="es-MX"/>
        </w:rPr>
      </w:pPr>
      <w:r>
        <w:rPr>
          <w:rFonts w:ascii="Verdana" w:eastAsia="Verdana" w:hAnsi="Verdana" w:cs="Verdana"/>
          <w:sz w:val="20"/>
          <w:lang w:val="es-MX"/>
        </w:rPr>
        <w:t>[…]</w:t>
      </w:r>
    </w:p>
    <w:p w14:paraId="3E15126C" w14:textId="77777777" w:rsidR="006E35AB" w:rsidRDefault="006E35AB" w:rsidP="006E35AB">
      <w:pPr>
        <w:spacing w:after="0" w:line="240" w:lineRule="auto"/>
        <w:jc w:val="both"/>
        <w:rPr>
          <w:rFonts w:ascii="Verdana" w:eastAsia="Verdana" w:hAnsi="Verdana" w:cs="Verdana"/>
          <w:sz w:val="20"/>
          <w:lang w:val="es-MX"/>
        </w:rPr>
      </w:pPr>
      <w:r w:rsidRPr="0041488A">
        <w:rPr>
          <w:rFonts w:ascii="Verdana" w:eastAsia="Verdana" w:hAnsi="Verdana" w:cs="Verdana"/>
          <w:sz w:val="20"/>
          <w:lang w:val="es-MX"/>
        </w:rPr>
        <w:t>Respecto de la capacidad para contratar con la que cuentan las instituciones educativas por medio de los fondos de servicios educativos, hay que precisar que cuando se trata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p>
    <w:p w14:paraId="49708EBA" w14:textId="77777777" w:rsidR="006E35AB" w:rsidRPr="005173E3" w:rsidRDefault="006E35AB" w:rsidP="006E35AB">
      <w:pPr>
        <w:spacing w:after="0" w:line="240" w:lineRule="auto"/>
        <w:jc w:val="both"/>
        <w:rPr>
          <w:rFonts w:ascii="Verdana" w:eastAsia="Aptos" w:hAnsi="Verdana" w:cs="Arial"/>
          <w:color w:val="EE0000"/>
          <w:sz w:val="20"/>
          <w:szCs w:val="20"/>
          <w:lang w:val="es-MX"/>
        </w:rPr>
      </w:pPr>
    </w:p>
    <w:p w14:paraId="7E205912" w14:textId="77777777" w:rsidR="006E35AB" w:rsidRPr="0041488A" w:rsidRDefault="006E35AB" w:rsidP="006E35AB">
      <w:pPr>
        <w:spacing w:after="0" w:line="240" w:lineRule="auto"/>
        <w:jc w:val="both"/>
        <w:rPr>
          <w:rFonts w:ascii="Verdana" w:eastAsia="Verdana" w:hAnsi="Verdana" w:cs="Verdana"/>
          <w:b/>
          <w:lang w:val="es-ES"/>
        </w:rPr>
      </w:pPr>
      <w:r w:rsidRPr="0041488A">
        <w:rPr>
          <w:rFonts w:ascii="Verdana" w:eastAsia="Verdana" w:hAnsi="Verdana" w:cs="Verdana"/>
          <w:b/>
          <w:lang w:val="es-ES"/>
        </w:rPr>
        <w:t>FONDOS DE SERVICIOS EDUCATIVOS – Noción – Artículo 2.3.1.6.3.4 - Decreto 1075 de 2015</w:t>
      </w:r>
    </w:p>
    <w:p w14:paraId="3A061022" w14:textId="77777777" w:rsidR="006E35AB" w:rsidRPr="0041488A" w:rsidRDefault="006E35AB" w:rsidP="006E35AB">
      <w:pPr>
        <w:spacing w:after="0" w:line="240" w:lineRule="auto"/>
        <w:jc w:val="both"/>
        <w:rPr>
          <w:rFonts w:ascii="Verdana" w:eastAsia="Verdana" w:hAnsi="Verdana" w:cs="Verdana"/>
          <w:b/>
          <w:sz w:val="20"/>
          <w:lang w:val="es-MX"/>
        </w:rPr>
      </w:pPr>
    </w:p>
    <w:p w14:paraId="15A5C74A" w14:textId="77777777" w:rsidR="006E35AB" w:rsidRPr="0041488A" w:rsidRDefault="006E35AB" w:rsidP="006E35AB">
      <w:pPr>
        <w:spacing w:after="0" w:line="240" w:lineRule="auto"/>
        <w:jc w:val="both"/>
        <w:rPr>
          <w:rFonts w:ascii="Verdana" w:eastAsia="Verdana" w:hAnsi="Verdana" w:cs="Verdana"/>
          <w:sz w:val="20"/>
          <w:lang w:val="es-MX"/>
        </w:rPr>
      </w:pPr>
      <w:r w:rsidRPr="0041488A">
        <w:rPr>
          <w:rFonts w:ascii="Verdana" w:eastAsia="Verdana" w:hAnsi="Verdana" w:cs="Verdana"/>
          <w:sz w:val="20"/>
          <w:lang w:val="es-MX"/>
        </w:rPr>
        <w:t>Los fondos de servicios educativos tampoco cuentan con personería jurídica según lo previsto en el artículo 2.3.1.6.3.4 del Decreto 1075 de 2015, Decreto Único Reglamentario del Sector Educación: “Artículo 2.3.1.6.3.4. Ordenación del gasto. Los fondos de servicios educativos carecen de personería jurídica. El rector o director rural es el ordenador del gasto del Fondo de Servicios Educativos y su ejercicio no implica representación legal”.</w:t>
      </w:r>
    </w:p>
    <w:p w14:paraId="579B52E9" w14:textId="77777777" w:rsidR="006E35AB" w:rsidRPr="0076466E" w:rsidRDefault="006E35AB" w:rsidP="006E35AB">
      <w:pPr>
        <w:spacing w:after="0"/>
        <w:jc w:val="both"/>
        <w:rPr>
          <w:rFonts w:ascii="Verdana" w:eastAsia="Verdana" w:hAnsi="Verdana" w:cs="Verdana"/>
          <w:color w:val="EE0000"/>
          <w:sz w:val="20"/>
          <w:szCs w:val="20"/>
          <w:lang w:val="es-ES"/>
        </w:rPr>
      </w:pPr>
    </w:p>
    <w:p w14:paraId="3722C4CB" w14:textId="1B95EC4A" w:rsidR="006E35AB" w:rsidRDefault="006E35AB" w:rsidP="006E35AB">
      <w:pPr>
        <w:spacing w:after="0" w:line="240" w:lineRule="auto"/>
        <w:jc w:val="both"/>
        <w:rPr>
          <w:rFonts w:ascii="Verdana" w:eastAsia="Verdana" w:hAnsi="Verdana" w:cs="Verdana"/>
          <w:b/>
          <w:lang w:val="es-ES"/>
        </w:rPr>
      </w:pPr>
      <w:r w:rsidRPr="0041488A">
        <w:rPr>
          <w:rFonts w:ascii="Verdana" w:eastAsia="Verdana" w:hAnsi="Verdana" w:cs="Verdana"/>
          <w:b/>
          <w:lang w:val="es-ES"/>
        </w:rPr>
        <w:t>FONDOS DE SERVICIOS E</w:t>
      </w:r>
      <w:r>
        <w:rPr>
          <w:rFonts w:ascii="Verdana" w:eastAsia="Verdana" w:hAnsi="Verdana" w:cs="Verdana"/>
          <w:b/>
          <w:lang w:val="es-ES"/>
        </w:rPr>
        <w:t xml:space="preserve">DUCATIVOS – Consejo Directivo </w:t>
      </w:r>
    </w:p>
    <w:p w14:paraId="66542D1A" w14:textId="77777777" w:rsidR="00682729" w:rsidRPr="0041488A" w:rsidRDefault="00682729" w:rsidP="006E35AB">
      <w:pPr>
        <w:spacing w:after="0" w:line="240" w:lineRule="auto"/>
        <w:jc w:val="both"/>
        <w:rPr>
          <w:rFonts w:ascii="Verdana" w:eastAsia="Verdana" w:hAnsi="Verdana" w:cs="Verdana"/>
          <w:b/>
          <w:lang w:val="es-ES"/>
        </w:rPr>
      </w:pPr>
    </w:p>
    <w:p w14:paraId="4BE47E15" w14:textId="77777777" w:rsidR="006E35AB" w:rsidRDefault="006E35AB" w:rsidP="006E35AB">
      <w:pPr>
        <w:spacing w:after="0" w:line="240" w:lineRule="auto"/>
        <w:jc w:val="both"/>
        <w:rPr>
          <w:rFonts w:ascii="Verdana" w:eastAsia="Verdana" w:hAnsi="Verdana" w:cs="Verdana"/>
          <w:sz w:val="20"/>
          <w:lang w:val="es-MX"/>
        </w:rPr>
      </w:pPr>
      <w:r w:rsidRPr="0041488A">
        <w:rPr>
          <w:rFonts w:ascii="Verdana" w:eastAsia="Verdana" w:hAnsi="Verdana" w:cs="Verdana"/>
          <w:sz w:val="20"/>
          <w:lang w:val="es-MX"/>
        </w:rPr>
        <w:t xml:space="preserve">Esto significa que la contratación que realicen las instituciones educativas, siempre que se ubique por debajo del referido umbral, no aplicará las reglas del EGCAP, sino a las determinadas por el reglamento expedido por el consejo directivo de la institución educativa conforme al artículo 13 de la Ley 715 de 2001, que implica que tales reglamentos se expidan de conformidad con los principios de igualdad, moralidad, imparcialidad y publicidad,  así como de acuerdo con la experiencia y el análisis concreto de las necesidades del establecimiento, determinando los trámites, garantías y constancias que deben cumplirse para que el rector o director celebre cualquier acto o contrato que cree, extinga o modifique obligaciones con cargo al respectivo fondo de servicios educativos. </w:t>
      </w:r>
    </w:p>
    <w:p w14:paraId="17C5B968" w14:textId="77777777" w:rsidR="006E35AB" w:rsidRPr="0041488A" w:rsidRDefault="006E35AB" w:rsidP="006E35AB">
      <w:pPr>
        <w:spacing w:after="0" w:line="240" w:lineRule="auto"/>
        <w:jc w:val="both"/>
        <w:rPr>
          <w:rFonts w:ascii="Verdana" w:eastAsia="Verdana" w:hAnsi="Verdana" w:cs="Verdana"/>
          <w:sz w:val="20"/>
          <w:lang w:val="es-MX"/>
        </w:rPr>
      </w:pPr>
    </w:p>
    <w:p w14:paraId="17669317" w14:textId="77777777" w:rsidR="006E35AB" w:rsidRPr="004A7900" w:rsidRDefault="006E35AB" w:rsidP="006E35AB">
      <w:pPr>
        <w:spacing w:after="0" w:line="240" w:lineRule="auto"/>
        <w:jc w:val="both"/>
        <w:rPr>
          <w:rFonts w:ascii="Verdana" w:eastAsia="Verdana" w:hAnsi="Verdana" w:cs="Verdana"/>
          <w:sz w:val="20"/>
        </w:rPr>
      </w:pPr>
      <w:r w:rsidRPr="0041488A">
        <w:rPr>
          <w:rFonts w:ascii="Verdana" w:eastAsia="Verdana" w:hAnsi="Verdana" w:cs="Verdana"/>
          <w:sz w:val="20"/>
        </w:rPr>
        <w:t xml:space="preserve">En ese sentido, tratándose de la contratación realizada por dichas instituciones por debajo de la cuantía de veinte (20) salarios mínimos legales mensuales vigentes, es el consejo directivo quien tiene la competencia para establecer las reglas conforme a las cuales debe realizarse la adquisición de bienes, obras y servicios, incluidos los </w:t>
      </w:r>
      <w:r w:rsidRPr="0041488A">
        <w:rPr>
          <w:rFonts w:ascii="Verdana" w:eastAsia="Verdana" w:hAnsi="Verdana" w:cs="Verdana"/>
          <w:sz w:val="20"/>
        </w:rPr>
        <w:lastRenderedPageBreak/>
        <w:t xml:space="preserve">procedimientos, mecanismos, requisitos y formalidades que deben respetarse en estos procesos de contratación. </w:t>
      </w:r>
    </w:p>
    <w:p w14:paraId="552597B2" w14:textId="77777777" w:rsidR="006E35AB" w:rsidRPr="0076466E" w:rsidRDefault="006E35AB" w:rsidP="006E35AB">
      <w:pPr>
        <w:spacing w:after="0"/>
        <w:jc w:val="both"/>
        <w:rPr>
          <w:rFonts w:ascii="Verdana" w:eastAsia="Verdana" w:hAnsi="Verdana" w:cs="Verdana"/>
          <w:color w:val="EE0000"/>
          <w:sz w:val="20"/>
          <w:szCs w:val="20"/>
          <w:lang w:val="es-ES"/>
        </w:rPr>
      </w:pPr>
    </w:p>
    <w:p w14:paraId="1E39664D" w14:textId="77777777" w:rsidR="006E35AB" w:rsidRPr="00F47E0F" w:rsidRDefault="006E35AB" w:rsidP="006E35AB">
      <w:pPr>
        <w:spacing w:after="0" w:line="240" w:lineRule="auto"/>
        <w:jc w:val="both"/>
        <w:rPr>
          <w:rFonts w:ascii="Verdana" w:eastAsia="Aptos" w:hAnsi="Verdana" w:cs="Times New Roman"/>
          <w:b/>
          <w:bCs/>
          <w:kern w:val="2"/>
          <w14:ligatures w14:val="standardContextual"/>
        </w:rPr>
      </w:pPr>
      <w:r w:rsidRPr="00F47E0F">
        <w:rPr>
          <w:rFonts w:ascii="Verdana" w:eastAsia="Aptos" w:hAnsi="Verdana" w:cs="Times New Roman"/>
          <w:b/>
          <w:bCs/>
          <w:kern w:val="2"/>
          <w14:ligatures w14:val="standardContextual"/>
        </w:rPr>
        <w:t xml:space="preserve">ENTIDADES CON RÉGIMEN ESPECIAL DE CONTRATACIÓN – Deber de publicidad – SECOP II – Actividad contractual </w:t>
      </w:r>
    </w:p>
    <w:p w14:paraId="43B7D129" w14:textId="77777777" w:rsidR="006E35AB" w:rsidRPr="00F47E0F" w:rsidRDefault="006E35AB" w:rsidP="006E35AB">
      <w:pPr>
        <w:spacing w:after="0" w:line="278" w:lineRule="auto"/>
        <w:jc w:val="both"/>
        <w:rPr>
          <w:rFonts w:ascii="Verdana" w:eastAsia="Aptos" w:hAnsi="Verdana" w:cs="Times New Roman"/>
          <w:b/>
          <w:bCs/>
          <w:kern w:val="2"/>
          <w14:ligatures w14:val="standardContextual"/>
        </w:rPr>
      </w:pPr>
    </w:p>
    <w:p w14:paraId="7DDFF818" w14:textId="77777777" w:rsidR="006E35AB" w:rsidRPr="00F47E0F" w:rsidRDefault="006E35AB" w:rsidP="006E35AB">
      <w:pPr>
        <w:spacing w:after="0" w:line="240" w:lineRule="auto"/>
        <w:jc w:val="both"/>
        <w:rPr>
          <w:rFonts w:ascii="Verdana" w:eastAsia="Aptos" w:hAnsi="Verdana" w:cs="Times New Roman"/>
          <w:kern w:val="2"/>
          <w:sz w:val="20"/>
          <w:szCs w:val="20"/>
          <w14:ligatures w14:val="standardContextual"/>
        </w:rPr>
      </w:pPr>
      <w:r w:rsidRPr="00F47E0F">
        <w:rPr>
          <w:rFonts w:ascii="Verdana" w:eastAsia="Aptos" w:hAnsi="Verdana" w:cs="Times New Roman"/>
          <w:kern w:val="2"/>
          <w:sz w:val="20"/>
          <w:szCs w:val="20"/>
          <w14:ligatures w14:val="standardContextual"/>
        </w:rPr>
        <w:t>[…] las Entidades Estatales, conforme al artículo 2.2.1.1.1.7.1 del Decreto 1082 de 2015, tienen la obligación de publicar en el SECOP “[…] los Documentos del Proceso y los actos administrativos del Proceso de Contratación, dentro de los tres (3) días siguientes a su expedición […]”. Sin embargo, en lo referente a las Entidades exceptuadas del EGCAP, es decir aquellas que se rigen por disposiciones especiales y el derecho privado, debe señalarse que en virtud de lo dispuesto en el artículo 53 de la Ley 2195 de 2022, mediante el cual se adiciona el artículo 13 a la Ley 1150 de 2007, asigna a dichas entidades la obligación de publicar los documentos relacionados con su actividad contractual en el SECOP II o la plataforma transaccional que haga sus veces.</w:t>
      </w:r>
    </w:p>
    <w:p w14:paraId="143DA7A2" w14:textId="77777777" w:rsidR="006E35AB" w:rsidRPr="00F47E0F" w:rsidRDefault="006E35AB" w:rsidP="006E35AB">
      <w:pPr>
        <w:spacing w:after="0" w:line="278" w:lineRule="auto"/>
        <w:jc w:val="both"/>
        <w:rPr>
          <w:rFonts w:ascii="Verdana" w:eastAsia="Aptos" w:hAnsi="Verdana" w:cs="Times New Roman"/>
          <w:kern w:val="2"/>
          <w:sz w:val="20"/>
          <w:szCs w:val="20"/>
          <w14:ligatures w14:val="standardContextual"/>
        </w:rPr>
      </w:pPr>
      <w:r w:rsidRPr="00F47E0F">
        <w:rPr>
          <w:rFonts w:ascii="Verdana" w:eastAsia="Aptos" w:hAnsi="Verdana" w:cs="Times New Roman"/>
          <w:kern w:val="2"/>
          <w:sz w:val="20"/>
          <w:szCs w:val="20"/>
          <w14:ligatures w14:val="standardContextual"/>
        </w:rPr>
        <w:t>[…]</w:t>
      </w:r>
    </w:p>
    <w:p w14:paraId="1C54AF85" w14:textId="77777777" w:rsidR="006E35AB" w:rsidRPr="00F47E0F" w:rsidRDefault="006E35AB" w:rsidP="006E35AB">
      <w:pPr>
        <w:spacing w:after="0" w:line="240" w:lineRule="auto"/>
        <w:jc w:val="both"/>
        <w:rPr>
          <w:rFonts w:ascii="Verdana" w:eastAsia="Aptos" w:hAnsi="Verdana" w:cs="Times New Roman"/>
          <w:kern w:val="2"/>
          <w:sz w:val="20"/>
          <w:szCs w:val="20"/>
          <w14:ligatures w14:val="standardContextual"/>
        </w:rPr>
      </w:pPr>
      <w:r w:rsidRPr="00F47E0F">
        <w:rPr>
          <w:rFonts w:ascii="Verdana" w:eastAsia="Aptos" w:hAnsi="Verdana" w:cs="Times New Roman"/>
          <w:kern w:val="2"/>
          <w:sz w:val="20"/>
          <w:szCs w:val="20"/>
          <w14:ligatures w14:val="standardContextual"/>
        </w:rPr>
        <w:t>[…]debe entenderse que la contratación a la que se refiere el artículo 53 de la Ley 2195 de 2024, es aquella realizada con recursos públicos, cuya información es la que debe publicarse en el SECOP II, acorde con la interpretación sistemática que permite armonizar la referida norma con todo el contexto normativo que establece que en dicha plataforma se debe publicar sólo la información relativa a la actividad contractual con dineros públicos. Así las cosas, la Agencia Nacional de Contratación Pública – Colombia Compra Eficiente considera que la modificación introducida por el artículo 53 de la Ley 2195 de 2022 no afecta la interpretación adoptada hasta el momento, en el sentido de que la publicación de la información oficial de la contratación en el SECOP II debe realizarse si los negocios jurídicos adelantados fueron financiados con recursos públicos.</w:t>
      </w:r>
    </w:p>
    <w:p w14:paraId="77DE4799" w14:textId="77777777" w:rsidR="006E35AB" w:rsidRPr="00686C9E" w:rsidRDefault="006E35AB" w:rsidP="006E35AB">
      <w:pPr>
        <w:spacing w:after="0"/>
        <w:jc w:val="both"/>
        <w:rPr>
          <w:rFonts w:ascii="Verdana" w:eastAsia="Verdana" w:hAnsi="Verdana" w:cs="Verdana"/>
          <w:color w:val="EE0000"/>
          <w:sz w:val="20"/>
          <w:szCs w:val="20"/>
        </w:rPr>
      </w:pPr>
    </w:p>
    <w:p w14:paraId="256DA0F6" w14:textId="77777777" w:rsidR="006E35AB" w:rsidRDefault="006E35AB" w:rsidP="006E35AB">
      <w:pPr>
        <w:spacing w:after="0"/>
        <w:jc w:val="both"/>
        <w:rPr>
          <w:rFonts w:ascii="Verdana" w:eastAsia="Verdana" w:hAnsi="Verdana" w:cs="Verdana"/>
          <w:color w:val="EE0000"/>
          <w:sz w:val="20"/>
          <w:szCs w:val="20"/>
          <w:lang w:val="es-ES"/>
        </w:rPr>
      </w:pPr>
    </w:p>
    <w:p w14:paraId="79C4B1E4" w14:textId="77777777" w:rsidR="006E35AB" w:rsidRDefault="006E35AB" w:rsidP="006E35AB">
      <w:pPr>
        <w:spacing w:after="0"/>
        <w:jc w:val="both"/>
        <w:rPr>
          <w:rFonts w:ascii="Verdana" w:eastAsia="Verdana" w:hAnsi="Verdana" w:cs="Verdana"/>
          <w:color w:val="EE0000"/>
          <w:sz w:val="20"/>
          <w:szCs w:val="20"/>
          <w:lang w:val="es-ES"/>
        </w:rPr>
      </w:pPr>
    </w:p>
    <w:p w14:paraId="09E95E55" w14:textId="77777777" w:rsidR="006E35AB" w:rsidRDefault="006E35AB" w:rsidP="006E35AB">
      <w:pPr>
        <w:spacing w:after="0"/>
        <w:jc w:val="both"/>
        <w:rPr>
          <w:rFonts w:ascii="Verdana" w:eastAsia="Verdana" w:hAnsi="Verdana" w:cs="Verdana"/>
          <w:color w:val="EE0000"/>
          <w:sz w:val="20"/>
          <w:szCs w:val="20"/>
          <w:lang w:val="es-ES"/>
        </w:rPr>
      </w:pPr>
    </w:p>
    <w:p w14:paraId="58D4A8F0" w14:textId="77777777" w:rsidR="006E35AB" w:rsidRDefault="006E35AB" w:rsidP="006E35AB">
      <w:pPr>
        <w:spacing w:after="0"/>
        <w:jc w:val="both"/>
        <w:rPr>
          <w:rFonts w:ascii="Verdana" w:eastAsia="Verdana" w:hAnsi="Verdana" w:cs="Verdana"/>
          <w:color w:val="EE0000"/>
          <w:sz w:val="20"/>
          <w:szCs w:val="20"/>
          <w:lang w:val="es-ES"/>
        </w:rPr>
      </w:pPr>
    </w:p>
    <w:p w14:paraId="7161D2A8" w14:textId="77777777" w:rsidR="006E35AB" w:rsidRDefault="006E35AB" w:rsidP="006E35AB">
      <w:pPr>
        <w:spacing w:after="0"/>
        <w:jc w:val="both"/>
        <w:rPr>
          <w:rFonts w:ascii="Verdana" w:eastAsia="Verdana" w:hAnsi="Verdana" w:cs="Verdana"/>
          <w:color w:val="EE0000"/>
          <w:sz w:val="20"/>
          <w:szCs w:val="20"/>
          <w:lang w:val="es-ES"/>
        </w:rPr>
      </w:pPr>
    </w:p>
    <w:p w14:paraId="50DB5E35" w14:textId="77777777" w:rsidR="006E35AB" w:rsidRDefault="006E35AB" w:rsidP="006E35AB">
      <w:pPr>
        <w:spacing w:after="0"/>
        <w:jc w:val="both"/>
        <w:rPr>
          <w:rFonts w:ascii="Verdana" w:eastAsia="Verdana" w:hAnsi="Verdana" w:cs="Verdana"/>
          <w:color w:val="EE0000"/>
          <w:sz w:val="20"/>
          <w:szCs w:val="20"/>
          <w:lang w:val="es-ES"/>
        </w:rPr>
      </w:pPr>
    </w:p>
    <w:p w14:paraId="0AB9F5BE" w14:textId="77777777" w:rsidR="006E35AB" w:rsidRDefault="006E35AB" w:rsidP="006E35AB">
      <w:pPr>
        <w:spacing w:after="0"/>
        <w:jc w:val="both"/>
        <w:rPr>
          <w:rFonts w:ascii="Verdana" w:eastAsia="Verdana" w:hAnsi="Verdana" w:cs="Verdana"/>
          <w:color w:val="EE0000"/>
          <w:sz w:val="20"/>
          <w:szCs w:val="20"/>
          <w:lang w:val="es-ES"/>
        </w:rPr>
      </w:pPr>
    </w:p>
    <w:p w14:paraId="1B152F60" w14:textId="77777777" w:rsidR="006E35AB" w:rsidRDefault="006E35AB" w:rsidP="006E35AB">
      <w:pPr>
        <w:spacing w:after="0"/>
        <w:jc w:val="both"/>
        <w:rPr>
          <w:rFonts w:ascii="Verdana" w:eastAsia="Verdana" w:hAnsi="Verdana" w:cs="Verdana"/>
          <w:color w:val="EE0000"/>
          <w:sz w:val="20"/>
          <w:szCs w:val="20"/>
          <w:lang w:val="es-ES"/>
        </w:rPr>
      </w:pPr>
    </w:p>
    <w:p w14:paraId="16C735F1" w14:textId="77777777" w:rsidR="006E35AB" w:rsidRDefault="006E35AB" w:rsidP="006E35AB">
      <w:pPr>
        <w:spacing w:after="0"/>
        <w:jc w:val="both"/>
        <w:rPr>
          <w:rFonts w:ascii="Verdana" w:eastAsia="Verdana" w:hAnsi="Verdana" w:cs="Verdana"/>
          <w:color w:val="EE0000"/>
          <w:sz w:val="20"/>
          <w:szCs w:val="20"/>
          <w:lang w:val="es-ES"/>
        </w:rPr>
      </w:pPr>
    </w:p>
    <w:p w14:paraId="736D1DA3" w14:textId="77777777" w:rsidR="006E35AB" w:rsidRDefault="006E35AB" w:rsidP="006E35AB">
      <w:pPr>
        <w:spacing w:after="0"/>
        <w:jc w:val="both"/>
        <w:rPr>
          <w:rFonts w:ascii="Verdana" w:eastAsia="Verdana" w:hAnsi="Verdana" w:cs="Verdana"/>
          <w:color w:val="EE0000"/>
          <w:sz w:val="20"/>
          <w:szCs w:val="20"/>
          <w:lang w:val="es-ES"/>
        </w:rPr>
      </w:pPr>
    </w:p>
    <w:p w14:paraId="3C16F42B" w14:textId="77777777" w:rsidR="006E35AB" w:rsidRDefault="006E35AB" w:rsidP="006E35AB">
      <w:pPr>
        <w:spacing w:after="0"/>
        <w:jc w:val="both"/>
        <w:rPr>
          <w:rFonts w:ascii="Verdana" w:eastAsia="Verdana" w:hAnsi="Verdana" w:cs="Verdana"/>
          <w:color w:val="EE0000"/>
          <w:sz w:val="20"/>
          <w:szCs w:val="20"/>
          <w:lang w:val="es-ES"/>
        </w:rPr>
      </w:pPr>
    </w:p>
    <w:p w14:paraId="57A1FC7F" w14:textId="77777777" w:rsidR="006E35AB" w:rsidRDefault="006E35AB" w:rsidP="006E35AB">
      <w:pPr>
        <w:spacing w:after="0"/>
        <w:jc w:val="both"/>
        <w:rPr>
          <w:rFonts w:ascii="Verdana" w:eastAsia="Verdana" w:hAnsi="Verdana" w:cs="Verdana"/>
          <w:color w:val="EE0000"/>
          <w:sz w:val="20"/>
          <w:szCs w:val="20"/>
          <w:lang w:val="es-ES"/>
        </w:rPr>
      </w:pPr>
    </w:p>
    <w:p w14:paraId="7C607D08" w14:textId="77777777" w:rsidR="006E35AB" w:rsidRDefault="006E35AB" w:rsidP="006E35AB">
      <w:pPr>
        <w:spacing w:after="0"/>
        <w:jc w:val="both"/>
        <w:rPr>
          <w:rFonts w:ascii="Verdana" w:eastAsia="Verdana" w:hAnsi="Verdana" w:cs="Verdana"/>
          <w:color w:val="EE0000"/>
          <w:sz w:val="20"/>
          <w:szCs w:val="20"/>
          <w:lang w:val="es-ES"/>
        </w:rPr>
      </w:pPr>
    </w:p>
    <w:p w14:paraId="1CA9A780" w14:textId="77777777" w:rsidR="006E35AB" w:rsidRDefault="006E35AB" w:rsidP="006E35AB">
      <w:pPr>
        <w:spacing w:after="0"/>
        <w:jc w:val="both"/>
        <w:rPr>
          <w:rFonts w:ascii="Verdana" w:eastAsia="Verdana" w:hAnsi="Verdana" w:cs="Verdana"/>
          <w:color w:val="EE0000"/>
          <w:sz w:val="20"/>
          <w:szCs w:val="20"/>
          <w:lang w:val="es-ES"/>
        </w:rPr>
      </w:pPr>
    </w:p>
    <w:p w14:paraId="2A87CE14" w14:textId="77777777" w:rsidR="00682729" w:rsidRDefault="00682729" w:rsidP="006E35AB">
      <w:pPr>
        <w:spacing w:after="0"/>
        <w:jc w:val="both"/>
        <w:rPr>
          <w:rFonts w:ascii="Verdana" w:eastAsia="Verdana" w:hAnsi="Verdana" w:cs="Verdana"/>
          <w:color w:val="EE0000"/>
          <w:sz w:val="20"/>
          <w:szCs w:val="20"/>
          <w:lang w:val="es-ES"/>
        </w:rPr>
      </w:pPr>
    </w:p>
    <w:p w14:paraId="21D9A657" w14:textId="77777777" w:rsidR="00682729" w:rsidRDefault="00682729" w:rsidP="006E35AB">
      <w:pPr>
        <w:spacing w:after="0"/>
        <w:jc w:val="both"/>
        <w:rPr>
          <w:rFonts w:ascii="Verdana" w:eastAsia="Verdana" w:hAnsi="Verdana" w:cs="Verdana"/>
          <w:color w:val="EE0000"/>
          <w:sz w:val="20"/>
          <w:szCs w:val="20"/>
          <w:lang w:val="es-ES"/>
        </w:rPr>
      </w:pPr>
    </w:p>
    <w:p w14:paraId="338B9C43" w14:textId="77777777" w:rsidR="006E35AB" w:rsidRPr="0076466E" w:rsidRDefault="006E35AB" w:rsidP="006E35AB">
      <w:pPr>
        <w:spacing w:after="0"/>
        <w:jc w:val="both"/>
        <w:rPr>
          <w:rFonts w:ascii="Verdana" w:eastAsia="Verdana" w:hAnsi="Verdana" w:cs="Verdana"/>
          <w:color w:val="EE0000"/>
          <w:sz w:val="20"/>
          <w:szCs w:val="20"/>
          <w:lang w:val="es-ES"/>
        </w:rPr>
      </w:pPr>
    </w:p>
    <w:p w14:paraId="0DF68A1D" w14:textId="4BB1A21B" w:rsidR="006E35AB" w:rsidRPr="0076466E" w:rsidRDefault="006E35AB" w:rsidP="006E35AB">
      <w:pPr>
        <w:spacing w:after="0"/>
        <w:rPr>
          <w:rFonts w:ascii="Verdana" w:hAnsi="Verdana"/>
        </w:rPr>
      </w:pPr>
      <w:r w:rsidRPr="0076466E">
        <w:rPr>
          <w:rFonts w:ascii="Verdana" w:hAnsi="Verdana"/>
        </w:rPr>
        <w:lastRenderedPageBreak/>
        <w:t xml:space="preserve">Bogotá D.C., </w:t>
      </w:r>
      <w:r w:rsidR="00C1396D">
        <w:rPr>
          <w:rFonts w:ascii="Verdana" w:hAnsi="Verdana"/>
        </w:rPr>
        <w:t>15 Abri 2026</w:t>
      </w:r>
    </w:p>
    <w:p w14:paraId="461D30DC" w14:textId="50BF26FE" w:rsidR="006E35AB" w:rsidRPr="0076466E" w:rsidRDefault="00E426CB" w:rsidP="006E35AB">
      <w:pPr>
        <w:spacing w:after="0"/>
        <w:rPr>
          <w:rFonts w:ascii="Verdana" w:hAnsi="Verdana"/>
          <w:color w:val="EE0000"/>
          <w:lang w:val="es-ES"/>
        </w:rPr>
      </w:pPr>
      <w:r w:rsidRPr="00E426CB">
        <w:rPr>
          <w:rFonts w:ascii="Verdana" w:eastAsia="Calibri" w:hAnsi="Verdana" w:cs="Arial"/>
          <w:lang w:val="es-ES" w:eastAsia="es-ES"/>
        </w:rPr>
        <w:drawing>
          <wp:anchor distT="0" distB="0" distL="114300" distR="114300" simplePos="0" relativeHeight="251660288" behindDoc="1" locked="0" layoutInCell="1" allowOverlap="1" wp14:anchorId="5E20DE32" wp14:editId="5047BB8F">
            <wp:simplePos x="0" y="0"/>
            <wp:positionH relativeFrom="margin">
              <wp:align>right</wp:align>
            </wp:positionH>
            <wp:positionV relativeFrom="paragraph">
              <wp:posOffset>178435</wp:posOffset>
            </wp:positionV>
            <wp:extent cx="2457450" cy="676275"/>
            <wp:effectExtent l="0" t="0" r="0" b="9525"/>
            <wp:wrapNone/>
            <wp:docPr id="16044265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426527" name=""/>
                    <pic:cNvPicPr/>
                  </pic:nvPicPr>
                  <pic:blipFill>
                    <a:blip r:embed="rId10">
                      <a:extLst>
                        <a:ext uri="{28A0092B-C50C-407E-A947-70E740481C1C}">
                          <a14:useLocalDpi xmlns:a14="http://schemas.microsoft.com/office/drawing/2010/main" val="0"/>
                        </a:ext>
                      </a:extLst>
                    </a:blip>
                    <a:stretch>
                      <a:fillRect/>
                    </a:stretch>
                  </pic:blipFill>
                  <pic:spPr>
                    <a:xfrm>
                      <a:off x="0" y="0"/>
                      <a:ext cx="2457450" cy="676275"/>
                    </a:xfrm>
                    <a:prstGeom prst="rect">
                      <a:avLst/>
                    </a:prstGeom>
                  </pic:spPr>
                </pic:pic>
              </a:graphicData>
            </a:graphic>
          </wp:anchor>
        </w:drawing>
      </w:r>
    </w:p>
    <w:p w14:paraId="68E835D8" w14:textId="6BC07115" w:rsidR="006E35AB" w:rsidRPr="009500E6" w:rsidRDefault="006E35AB" w:rsidP="006E35AB">
      <w:pPr>
        <w:spacing w:after="0" w:line="240" w:lineRule="auto"/>
        <w:rPr>
          <w:rFonts w:ascii="Verdana" w:hAnsi="Verdana"/>
          <w:lang w:val="es-ES"/>
        </w:rPr>
      </w:pPr>
      <w:r w:rsidRPr="009500E6">
        <w:rPr>
          <w:rFonts w:ascii="Verdana" w:eastAsia="Calibri" w:hAnsi="Verdana" w:cs="Arial"/>
          <w:lang w:val="es-ES" w:eastAsia="es-ES"/>
        </w:rPr>
        <w:t>Señor</w:t>
      </w:r>
      <w:r>
        <w:rPr>
          <w:rFonts w:ascii="Verdana" w:eastAsia="Calibri" w:hAnsi="Verdana" w:cs="Arial"/>
          <w:lang w:val="es-ES" w:eastAsia="es-ES"/>
        </w:rPr>
        <w:t>a</w:t>
      </w:r>
    </w:p>
    <w:p w14:paraId="2F669C13" w14:textId="77777777" w:rsidR="006E35AB" w:rsidRPr="009500E6" w:rsidRDefault="006E35AB" w:rsidP="006E35AB">
      <w:pPr>
        <w:spacing w:after="0"/>
        <w:rPr>
          <w:rFonts w:ascii="Verdana" w:eastAsia="Calibri" w:hAnsi="Verdana" w:cs="Arial"/>
          <w:lang w:eastAsia="es-ES"/>
        </w:rPr>
      </w:pPr>
      <w:r>
        <w:rPr>
          <w:rFonts w:ascii="Verdana" w:eastAsia="Calibri" w:hAnsi="Verdana" w:cs="Arial"/>
          <w:b/>
          <w:bCs/>
          <w:lang w:eastAsia="es-ES"/>
        </w:rPr>
        <w:t>Margarita María Rivas Ortíz</w:t>
      </w:r>
    </w:p>
    <w:p w14:paraId="0E7E615E" w14:textId="77777777" w:rsidR="006E35AB" w:rsidRPr="00976931" w:rsidRDefault="006E35AB" w:rsidP="006E35AB">
      <w:pPr>
        <w:spacing w:after="0"/>
        <w:rPr>
          <w:rFonts w:ascii="Verdana" w:eastAsia="Calibri" w:hAnsi="Verdana" w:cs="Arial"/>
          <w:color w:val="EE0000"/>
          <w:lang w:eastAsia="es-ES"/>
        </w:rPr>
      </w:pPr>
      <w:hyperlink r:id="rId11" w:history="1">
        <w:r w:rsidRPr="00976931">
          <w:rPr>
            <w:rStyle w:val="Hipervnculo"/>
            <w:rFonts w:ascii="Verdana" w:hAnsi="Verdana"/>
          </w:rPr>
          <w:t>maggi_2612@hotmail.com</w:t>
        </w:r>
      </w:hyperlink>
      <w:r w:rsidRPr="00976931">
        <w:rPr>
          <w:rFonts w:ascii="Verdana" w:hAnsi="Verdana"/>
        </w:rPr>
        <w:t xml:space="preserve"> </w:t>
      </w:r>
    </w:p>
    <w:p w14:paraId="216A0C2C" w14:textId="77777777" w:rsidR="006E35AB" w:rsidRPr="00194C6F" w:rsidRDefault="006E35AB" w:rsidP="006E35AB">
      <w:pPr>
        <w:spacing w:after="0"/>
        <w:rPr>
          <w:rFonts w:ascii="Verdana" w:eastAsia="Calibri" w:hAnsi="Verdana" w:cs="Arial"/>
          <w:lang w:eastAsia="es-ES"/>
        </w:rPr>
      </w:pPr>
      <w:r>
        <w:rPr>
          <w:rFonts w:ascii="Verdana" w:eastAsia="Calibri" w:hAnsi="Verdana" w:cs="Arial"/>
          <w:lang w:eastAsia="es-ES"/>
        </w:rPr>
        <w:t>Medellín, Antioquia</w:t>
      </w:r>
    </w:p>
    <w:p w14:paraId="7C61B039" w14:textId="77777777" w:rsidR="006E35AB" w:rsidRPr="0076466E" w:rsidRDefault="006E35AB" w:rsidP="006E35AB">
      <w:pPr>
        <w:spacing w:after="0"/>
        <w:rPr>
          <w:rFonts w:ascii="Verdana" w:eastAsia="Calibri" w:hAnsi="Verdana" w:cs="Arial"/>
          <w:color w:val="EE0000"/>
          <w:lang w:val="es-ES" w:eastAsia="es-ES"/>
        </w:rPr>
      </w:pPr>
    </w:p>
    <w:p w14:paraId="4AB27C68" w14:textId="77777777" w:rsidR="006E35AB" w:rsidRPr="0076466E" w:rsidRDefault="006E35AB" w:rsidP="006E35AB">
      <w:pPr>
        <w:spacing w:after="0" w:line="240" w:lineRule="auto"/>
        <w:rPr>
          <w:rFonts w:ascii="Verdana" w:eastAsia="Calibri" w:hAnsi="Verdana" w:cs="Arial"/>
          <w:b/>
          <w:bCs/>
          <w:color w:val="EE000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6E35AB" w:rsidRPr="0076466E" w14:paraId="1CFB8981" w14:textId="77777777" w:rsidTr="00CE6C17">
        <w:trPr>
          <w:trHeight w:val="300"/>
        </w:trPr>
        <w:tc>
          <w:tcPr>
            <w:tcW w:w="2410" w:type="dxa"/>
          </w:tcPr>
          <w:p w14:paraId="3C5B8BCE" w14:textId="77777777" w:rsidR="006E35AB" w:rsidRPr="0076466E" w:rsidRDefault="006E35AB" w:rsidP="00CE6C17">
            <w:pPr>
              <w:ind w:left="-142"/>
              <w:jc w:val="both"/>
              <w:rPr>
                <w:rFonts w:ascii="Verdana" w:eastAsia="Calibri" w:hAnsi="Verdana" w:cs="Arial"/>
                <w:b/>
                <w:bCs/>
                <w:lang w:val="es-ES" w:eastAsia="es-ES_tradnl"/>
              </w:rPr>
            </w:pPr>
          </w:p>
        </w:tc>
        <w:tc>
          <w:tcPr>
            <w:tcW w:w="6100" w:type="dxa"/>
          </w:tcPr>
          <w:p w14:paraId="1F0F3880" w14:textId="77777777" w:rsidR="006E35AB" w:rsidRPr="0076466E" w:rsidRDefault="006E35AB" w:rsidP="00CE6C17">
            <w:pPr>
              <w:ind w:left="3"/>
              <w:jc w:val="both"/>
              <w:rPr>
                <w:rFonts w:ascii="Verdana" w:eastAsia="Calibri" w:hAnsi="Verdana" w:cs="Arial"/>
                <w:b/>
                <w:bCs/>
                <w:lang w:val="es-ES" w:eastAsia="es-ES"/>
              </w:rPr>
            </w:pPr>
            <w:r w:rsidRPr="0076466E">
              <w:rPr>
                <w:rFonts w:ascii="Verdana" w:eastAsia="Calibri" w:hAnsi="Verdana" w:cs="Arial"/>
                <w:b/>
                <w:bCs/>
                <w:lang w:val="es-ES" w:eastAsia="es-ES"/>
              </w:rPr>
              <w:t>Concepto C-3</w:t>
            </w:r>
            <w:r>
              <w:rPr>
                <w:rFonts w:ascii="Verdana" w:eastAsia="Calibri" w:hAnsi="Verdana" w:cs="Arial"/>
                <w:b/>
                <w:bCs/>
                <w:lang w:val="es-ES" w:eastAsia="es-ES"/>
              </w:rPr>
              <w:t>80</w:t>
            </w:r>
            <w:r w:rsidRPr="0076466E">
              <w:rPr>
                <w:rFonts w:ascii="Verdana" w:eastAsia="Calibri" w:hAnsi="Verdana" w:cs="Arial"/>
                <w:b/>
                <w:bCs/>
                <w:lang w:val="es-ES" w:eastAsia="es-ES"/>
              </w:rPr>
              <w:t xml:space="preserve"> de 2026</w:t>
            </w:r>
          </w:p>
          <w:p w14:paraId="25F75819" w14:textId="77777777" w:rsidR="006E35AB" w:rsidRPr="0076466E" w:rsidRDefault="006E35AB" w:rsidP="00CE6C17">
            <w:pPr>
              <w:ind w:left="3"/>
              <w:jc w:val="both"/>
              <w:rPr>
                <w:rFonts w:ascii="Verdana" w:eastAsia="Calibri" w:hAnsi="Verdana" w:cs="Arial"/>
                <w:b/>
                <w:bCs/>
                <w:lang w:val="es-ES" w:eastAsia="es-ES"/>
              </w:rPr>
            </w:pPr>
          </w:p>
        </w:tc>
      </w:tr>
      <w:tr w:rsidR="006E35AB" w:rsidRPr="0076466E" w14:paraId="24570995" w14:textId="77777777" w:rsidTr="00CE6C17">
        <w:trPr>
          <w:trHeight w:val="300"/>
        </w:trPr>
        <w:tc>
          <w:tcPr>
            <w:tcW w:w="2410" w:type="dxa"/>
          </w:tcPr>
          <w:p w14:paraId="78D6EC35" w14:textId="77777777" w:rsidR="006E35AB" w:rsidRPr="00994EE6" w:rsidRDefault="006E35AB" w:rsidP="00CE6C17">
            <w:pPr>
              <w:ind w:left="424" w:firstLine="137"/>
              <w:jc w:val="both"/>
              <w:rPr>
                <w:rFonts w:ascii="Verdana" w:eastAsia="Calibri" w:hAnsi="Verdana" w:cs="Arial"/>
                <w:lang w:val="es-ES" w:eastAsia="es-ES_tradnl"/>
              </w:rPr>
            </w:pPr>
            <w:r w:rsidRPr="00994EE6">
              <w:rPr>
                <w:rFonts w:ascii="Verdana" w:eastAsia="Calibri" w:hAnsi="Verdana" w:cs="Arial"/>
                <w:b/>
                <w:lang w:val="es-ES" w:eastAsia="es-ES_tradnl"/>
              </w:rPr>
              <w:t>Temas:</w:t>
            </w:r>
            <w:r w:rsidRPr="00994EE6">
              <w:rPr>
                <w:rFonts w:ascii="Verdana" w:eastAsia="Calibri" w:hAnsi="Verdana" w:cs="Arial"/>
                <w:lang w:val="es-ES" w:eastAsia="es-ES_tradnl"/>
              </w:rPr>
              <w:t xml:space="preserve">                  </w:t>
            </w:r>
          </w:p>
        </w:tc>
        <w:tc>
          <w:tcPr>
            <w:tcW w:w="6100" w:type="dxa"/>
          </w:tcPr>
          <w:p w14:paraId="68309EFE" w14:textId="77777777" w:rsidR="006E35AB" w:rsidRPr="00994EE6" w:rsidRDefault="006E35AB" w:rsidP="00CE6C17">
            <w:pPr>
              <w:jc w:val="both"/>
              <w:rPr>
                <w:rFonts w:ascii="Verdana" w:eastAsia="Calibri" w:hAnsi="Verdana" w:cs="Arial"/>
                <w:lang w:val="es-ES" w:eastAsia="es-ES"/>
              </w:rPr>
            </w:pPr>
            <w:r w:rsidRPr="00994EE6">
              <w:rPr>
                <w:rFonts w:ascii="Verdana" w:eastAsia="Calibri" w:hAnsi="Verdana" w:cs="Arial"/>
                <w:lang w:val="es-ES" w:eastAsia="es-ES"/>
              </w:rPr>
              <w:t xml:space="preserve">INSTITUCIONES EDUCATIVAS – Naturaleza jurídica – Capacidad para contratar – Régimen contractual / FONDOS DE SERVICIOS EDUCATIVOS – Noción – Artículo 2.3.1.6.3.4 - Decreto 1075 de 2015 / FONDOS DE SERVICIOS EDUCATIVOS – Consejo Directivo / ENTIDADES CON RÉGIMEN ESPECIAL DE CONTRATACIÓN – Deber de publicidad – SECOP II – Actividad contractual </w:t>
            </w:r>
          </w:p>
          <w:p w14:paraId="2C506C49" w14:textId="77777777" w:rsidR="006E35AB" w:rsidRPr="00994EE6" w:rsidRDefault="006E35AB" w:rsidP="00CE6C17">
            <w:pPr>
              <w:jc w:val="both"/>
              <w:rPr>
                <w:rFonts w:ascii="Verdana" w:hAnsi="Verdana"/>
              </w:rPr>
            </w:pPr>
          </w:p>
        </w:tc>
      </w:tr>
      <w:tr w:rsidR="006E35AB" w:rsidRPr="0076466E" w14:paraId="247DB41E" w14:textId="77777777" w:rsidTr="00CE6C17">
        <w:trPr>
          <w:trHeight w:val="80"/>
        </w:trPr>
        <w:tc>
          <w:tcPr>
            <w:tcW w:w="2410" w:type="dxa"/>
          </w:tcPr>
          <w:p w14:paraId="3A176389" w14:textId="77777777" w:rsidR="006E35AB" w:rsidRPr="00FC6CCA" w:rsidRDefault="006E35AB" w:rsidP="00CE6C17">
            <w:pPr>
              <w:ind w:left="561"/>
              <w:jc w:val="both"/>
              <w:rPr>
                <w:rFonts w:ascii="Verdana" w:eastAsia="Calibri" w:hAnsi="Verdana" w:cs="Arial"/>
                <w:b/>
                <w:lang w:val="es-ES" w:eastAsia="es-ES_tradnl"/>
              </w:rPr>
            </w:pPr>
            <w:r w:rsidRPr="00FC6CCA">
              <w:rPr>
                <w:rFonts w:ascii="Verdana" w:eastAsia="Calibri" w:hAnsi="Verdana" w:cs="Arial"/>
                <w:b/>
                <w:lang w:val="es-ES" w:eastAsia="es-ES_tradnl"/>
              </w:rPr>
              <w:t>Radicación:</w:t>
            </w:r>
            <w:r w:rsidRPr="00FC6CCA">
              <w:rPr>
                <w:rFonts w:ascii="Verdana" w:eastAsia="Calibri" w:hAnsi="Verdana" w:cs="Arial"/>
                <w:lang w:val="es-ES" w:eastAsia="es-ES_tradnl"/>
              </w:rPr>
              <w:t xml:space="preserve">              </w:t>
            </w:r>
          </w:p>
        </w:tc>
        <w:tc>
          <w:tcPr>
            <w:tcW w:w="6100" w:type="dxa"/>
          </w:tcPr>
          <w:p w14:paraId="2E524068" w14:textId="77777777" w:rsidR="006E35AB" w:rsidRPr="00FC6CCA" w:rsidRDefault="006E35AB" w:rsidP="00CE6C17">
            <w:pPr>
              <w:ind w:left="3"/>
              <w:jc w:val="both"/>
              <w:rPr>
                <w:rFonts w:ascii="Verdana" w:hAnsi="Verdana"/>
                <w:lang w:val="es-ES"/>
              </w:rPr>
            </w:pPr>
            <w:r w:rsidRPr="00215AF1">
              <w:rPr>
                <w:rFonts w:ascii="Verdana" w:eastAsia="Calibri" w:hAnsi="Verdana" w:cs="Arial"/>
                <w:lang w:val="es-ES" w:eastAsia="es-ES"/>
              </w:rPr>
              <w:t xml:space="preserve">Respuesta a consulta con radicado No. </w:t>
            </w:r>
            <w:r w:rsidRPr="00975D65">
              <w:rPr>
                <w:rFonts w:ascii="Verdana" w:eastAsia="Calibri" w:hAnsi="Verdana" w:cs="Arial"/>
                <w:lang w:val="es-ES" w:eastAsia="es-ES"/>
              </w:rPr>
              <w:t>1_2026_03_06_003220</w:t>
            </w:r>
            <w:r>
              <w:rPr>
                <w:rFonts w:ascii="Verdana" w:eastAsia="Calibri" w:hAnsi="Verdana" w:cs="Arial"/>
                <w:lang w:val="es-ES" w:eastAsia="es-ES"/>
              </w:rPr>
              <w:t xml:space="preserve"> </w:t>
            </w:r>
            <w:r w:rsidRPr="00215AF1">
              <w:rPr>
                <w:rFonts w:ascii="Verdana" w:eastAsia="Calibri" w:hAnsi="Verdana" w:cs="Arial"/>
                <w:lang w:val="es-ES" w:eastAsia="es-ES"/>
              </w:rPr>
              <w:t xml:space="preserve">acumulada con </w:t>
            </w:r>
            <w:r w:rsidRPr="00975D65">
              <w:rPr>
                <w:rFonts w:ascii="Verdana" w:eastAsia="Calibri" w:hAnsi="Verdana" w:cs="Arial"/>
                <w:lang w:val="es-ES" w:eastAsia="es-ES"/>
              </w:rPr>
              <w:t>1_2026_03_06_003221</w:t>
            </w:r>
          </w:p>
        </w:tc>
      </w:tr>
    </w:tbl>
    <w:p w14:paraId="0573B0AE" w14:textId="77777777" w:rsidR="006E35AB" w:rsidRPr="0076466E" w:rsidRDefault="006E35AB" w:rsidP="006E35AB">
      <w:pPr>
        <w:spacing w:after="0" w:line="276" w:lineRule="auto"/>
        <w:jc w:val="both"/>
        <w:rPr>
          <w:rFonts w:ascii="Verdana" w:eastAsia="Calibri" w:hAnsi="Verdana" w:cs="Arial"/>
          <w:color w:val="EE0000"/>
          <w:lang w:val="es-ES" w:eastAsia="es-ES"/>
        </w:rPr>
      </w:pPr>
    </w:p>
    <w:p w14:paraId="424DA527" w14:textId="77777777" w:rsidR="006E35AB" w:rsidRPr="0076466E" w:rsidRDefault="006E35AB" w:rsidP="006E35AB">
      <w:pPr>
        <w:spacing w:after="0" w:line="276" w:lineRule="auto"/>
        <w:jc w:val="both"/>
        <w:rPr>
          <w:rFonts w:ascii="Verdana" w:eastAsia="Calibri" w:hAnsi="Verdana" w:cs="Arial"/>
          <w:color w:val="EE0000"/>
          <w:lang w:val="es-ES" w:eastAsia="es-ES"/>
        </w:rPr>
      </w:pPr>
    </w:p>
    <w:p w14:paraId="37C5ADDF" w14:textId="77777777" w:rsidR="006E35AB" w:rsidRDefault="006E35AB" w:rsidP="006E35AB">
      <w:pPr>
        <w:spacing w:after="0" w:line="276" w:lineRule="auto"/>
        <w:jc w:val="both"/>
        <w:rPr>
          <w:rFonts w:ascii="Verdana" w:eastAsia="Calibri" w:hAnsi="Verdana" w:cs="Arial"/>
          <w:lang w:val="es-ES" w:eastAsia="es-ES"/>
        </w:rPr>
      </w:pPr>
      <w:r w:rsidRPr="00846380">
        <w:rPr>
          <w:rFonts w:ascii="Verdana" w:eastAsia="Calibri" w:hAnsi="Verdana" w:cs="Arial"/>
          <w:lang w:val="es-ES" w:eastAsia="es-ES"/>
        </w:rPr>
        <w:t>Estimad</w:t>
      </w:r>
      <w:r>
        <w:rPr>
          <w:rFonts w:ascii="Verdana" w:eastAsia="Calibri" w:hAnsi="Verdana" w:cs="Arial"/>
          <w:lang w:val="es-ES" w:eastAsia="es-ES"/>
        </w:rPr>
        <w:t>a</w:t>
      </w:r>
      <w:r w:rsidRPr="00846380">
        <w:rPr>
          <w:rFonts w:ascii="Verdana" w:eastAsia="Calibri" w:hAnsi="Verdana" w:cs="Arial"/>
          <w:lang w:val="es-ES" w:eastAsia="es-ES"/>
        </w:rPr>
        <w:t xml:space="preserve"> señor</w:t>
      </w:r>
      <w:r>
        <w:rPr>
          <w:rFonts w:ascii="Verdana" w:eastAsia="Calibri" w:hAnsi="Verdana" w:cs="Arial"/>
          <w:lang w:val="es-ES" w:eastAsia="es-ES"/>
        </w:rPr>
        <w:t>a</w:t>
      </w:r>
      <w:r w:rsidRPr="00846380">
        <w:rPr>
          <w:rFonts w:ascii="Verdana" w:eastAsia="Calibri" w:hAnsi="Verdana" w:cs="Arial"/>
          <w:lang w:val="es-ES" w:eastAsia="es-ES"/>
        </w:rPr>
        <w:t xml:space="preserve"> </w:t>
      </w:r>
      <w:r>
        <w:rPr>
          <w:rFonts w:ascii="Verdana" w:eastAsia="Calibri" w:hAnsi="Verdana" w:cs="Arial"/>
          <w:lang w:val="es-ES" w:eastAsia="es-ES"/>
        </w:rPr>
        <w:t>Rivas</w:t>
      </w:r>
      <w:r w:rsidRPr="00846380">
        <w:rPr>
          <w:rFonts w:ascii="Verdana" w:eastAsia="Calibri" w:hAnsi="Verdana" w:cs="Arial"/>
          <w:lang w:val="es-ES" w:eastAsia="es-ES"/>
        </w:rPr>
        <w:t>,</w:t>
      </w:r>
    </w:p>
    <w:p w14:paraId="35AC22A6" w14:textId="77777777" w:rsidR="006E35AB" w:rsidRPr="00846380" w:rsidRDefault="006E35AB" w:rsidP="006E35AB">
      <w:pPr>
        <w:spacing w:after="0" w:line="276" w:lineRule="auto"/>
        <w:jc w:val="both"/>
        <w:rPr>
          <w:rFonts w:ascii="Verdana" w:eastAsia="Calibri" w:hAnsi="Verdana" w:cs="Arial"/>
          <w:lang w:val="es-ES" w:eastAsia="es-ES"/>
        </w:rPr>
      </w:pPr>
      <w:r w:rsidRPr="00846380">
        <w:rPr>
          <w:rFonts w:ascii="Verdana" w:eastAsia="Calibri" w:hAnsi="Verdana" w:cs="Arial"/>
          <w:lang w:val="es-ES" w:eastAsia="es-ES"/>
        </w:rPr>
        <w:t xml:space="preserve"> </w:t>
      </w:r>
    </w:p>
    <w:p w14:paraId="27B9FD98" w14:textId="77777777" w:rsidR="006E35AB" w:rsidRPr="00E60A71" w:rsidRDefault="006E35AB" w:rsidP="006E35AB">
      <w:pPr>
        <w:tabs>
          <w:tab w:val="left" w:pos="3768"/>
        </w:tabs>
        <w:spacing w:after="0" w:line="276" w:lineRule="auto"/>
        <w:jc w:val="both"/>
        <w:rPr>
          <w:rFonts w:ascii="Verdana" w:eastAsia="Calibri" w:hAnsi="Verdana" w:cs="Arial"/>
          <w:lang w:eastAsia="es-ES"/>
        </w:rPr>
      </w:pPr>
      <w:r w:rsidRPr="00F94748">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w:t>
      </w:r>
      <w:r w:rsidRPr="00E60A71">
        <w:rPr>
          <w:rFonts w:ascii="Verdana" w:eastAsia="Calibri" w:hAnsi="Verdana" w:cs="Arial"/>
          <w:lang w:eastAsia="es-ES"/>
        </w:rPr>
        <w:t xml:space="preserve">Contratación Pública – Colombia Compra Eficiente– responde sus solicitudes de consulta de fecha 06 de marzo de 2026, en la cual manifiesta lo siguiente: </w:t>
      </w:r>
    </w:p>
    <w:p w14:paraId="2542680B" w14:textId="77777777" w:rsidR="006E35AB" w:rsidRPr="00E60A71" w:rsidRDefault="006E35AB" w:rsidP="006E35AB">
      <w:pPr>
        <w:tabs>
          <w:tab w:val="left" w:pos="142"/>
          <w:tab w:val="left" w:pos="284"/>
        </w:tabs>
        <w:spacing w:after="0" w:line="276" w:lineRule="auto"/>
        <w:contextualSpacing/>
        <w:jc w:val="both"/>
        <w:rPr>
          <w:rFonts w:ascii="Verdana" w:eastAsia="Century Gothic" w:hAnsi="Verdana" w:cs="Century Gothic"/>
          <w:b/>
          <w:bCs/>
        </w:rPr>
      </w:pPr>
    </w:p>
    <w:p w14:paraId="7F9E2DD5" w14:textId="77777777" w:rsidR="006E35AB" w:rsidRPr="00E60A71" w:rsidRDefault="006E35AB" w:rsidP="006E35AB">
      <w:pPr>
        <w:spacing w:after="0" w:line="240" w:lineRule="auto"/>
        <w:ind w:left="709" w:right="709"/>
        <w:jc w:val="both"/>
        <w:rPr>
          <w:rFonts w:ascii="Verdana" w:eastAsia="Calibri" w:hAnsi="Verdana" w:cs="Arial"/>
          <w:sz w:val="20"/>
          <w:szCs w:val="20"/>
          <w:lang w:eastAsia="es-ES"/>
        </w:rPr>
      </w:pPr>
      <w:r w:rsidRPr="00E60A71">
        <w:rPr>
          <w:rFonts w:ascii="Verdana" w:eastAsia="Century Gothic" w:hAnsi="Verdana" w:cs="Century Gothic"/>
          <w:i/>
          <w:iCs/>
          <w:sz w:val="20"/>
          <w:szCs w:val="20"/>
          <w:lang w:val="es-ES"/>
        </w:rPr>
        <w:t>“</w:t>
      </w:r>
      <w:r w:rsidRPr="00E60A71">
        <w:rPr>
          <w:rFonts w:ascii="Verdana" w:eastAsia="Calibri" w:hAnsi="Verdana" w:cs="Arial"/>
          <w:sz w:val="20"/>
          <w:szCs w:val="20"/>
          <w:lang w:eastAsia="es-ES"/>
        </w:rPr>
        <w:t xml:space="preserve">[…] 1. </w:t>
      </w:r>
      <w:r w:rsidRPr="00746A94">
        <w:rPr>
          <w:rFonts w:ascii="Verdana" w:eastAsia="Calibri" w:hAnsi="Verdana" w:cs="Arial"/>
          <w:sz w:val="20"/>
          <w:szCs w:val="20"/>
          <w:lang w:eastAsia="es-ES"/>
        </w:rPr>
        <w:t xml:space="preserve">Momento a partir del cual se cuentan los tres (3) días hábiles para realizar la publicación en SECOP II con fines de publicidad. </w:t>
      </w:r>
      <w:r w:rsidRPr="00E60A71">
        <w:rPr>
          <w:rFonts w:ascii="Verdana" w:eastAsia="Calibri" w:hAnsi="Verdana" w:cs="Arial"/>
          <w:sz w:val="20"/>
          <w:szCs w:val="20"/>
          <w:lang w:eastAsia="es-ES"/>
        </w:rPr>
        <w:t>Teniendo en cuenta que en los procesos adelantados por las Instituciones Educativas se elaboran documentos como estudios previos, invitación pública, evaluación de ofertas y contrato, etc. surge la duda respecto a cuál es el documento que determina el inicio del conteo del plazo para la publicación en SECOP II.</w:t>
      </w:r>
    </w:p>
    <w:p w14:paraId="72513B4A" w14:textId="77777777" w:rsidR="006E35AB" w:rsidRPr="00E60A71" w:rsidRDefault="006E35AB" w:rsidP="006E35AB">
      <w:pPr>
        <w:spacing w:after="0" w:line="240" w:lineRule="auto"/>
        <w:ind w:left="709" w:right="709"/>
        <w:jc w:val="both"/>
        <w:rPr>
          <w:rFonts w:ascii="Verdana" w:eastAsia="Calibri" w:hAnsi="Verdana" w:cs="Arial"/>
          <w:sz w:val="20"/>
          <w:szCs w:val="20"/>
          <w:lang w:eastAsia="es-ES"/>
        </w:rPr>
      </w:pPr>
    </w:p>
    <w:p w14:paraId="315C69EA" w14:textId="77777777" w:rsidR="006E35AB" w:rsidRDefault="006E35AB" w:rsidP="006E35AB">
      <w:pPr>
        <w:spacing w:after="0" w:line="240" w:lineRule="auto"/>
        <w:ind w:left="709" w:right="709"/>
        <w:jc w:val="both"/>
        <w:rPr>
          <w:rFonts w:ascii="Verdana" w:eastAsia="Calibri" w:hAnsi="Verdana" w:cs="Arial"/>
          <w:sz w:val="20"/>
          <w:szCs w:val="20"/>
          <w:lang w:eastAsia="es-ES"/>
        </w:rPr>
      </w:pPr>
      <w:r w:rsidRPr="00E60A71">
        <w:rPr>
          <w:rFonts w:ascii="Verdana" w:eastAsia="Calibri" w:hAnsi="Verdana" w:cs="Arial"/>
          <w:sz w:val="20"/>
          <w:szCs w:val="20"/>
          <w:lang w:eastAsia="es-ES"/>
        </w:rPr>
        <w:lastRenderedPageBreak/>
        <w:t>En particular, solicitamos darnos claridad si el término de los tres (3) días hábiles debe contarse:</w:t>
      </w:r>
    </w:p>
    <w:p w14:paraId="4157FC5E" w14:textId="77777777" w:rsidR="006E35AB" w:rsidRPr="001C3593" w:rsidRDefault="006E35AB" w:rsidP="006E35AB">
      <w:pPr>
        <w:spacing w:after="0" w:line="240" w:lineRule="auto"/>
        <w:ind w:left="709" w:right="709"/>
        <w:jc w:val="both"/>
        <w:rPr>
          <w:rFonts w:ascii="Verdana" w:eastAsia="Calibri" w:hAnsi="Verdana" w:cs="Arial"/>
          <w:sz w:val="20"/>
          <w:szCs w:val="20"/>
          <w:lang w:eastAsia="es-ES"/>
        </w:rPr>
      </w:pPr>
    </w:p>
    <w:p w14:paraId="67796B20" w14:textId="77777777" w:rsidR="006E35AB" w:rsidRPr="001C3593" w:rsidRDefault="006E35AB" w:rsidP="006E35AB">
      <w:pPr>
        <w:spacing w:after="0" w:line="240" w:lineRule="auto"/>
        <w:ind w:left="709" w:right="709"/>
        <w:jc w:val="both"/>
        <w:rPr>
          <w:rFonts w:ascii="Verdana" w:eastAsia="Calibri" w:hAnsi="Verdana" w:cs="Arial"/>
          <w:sz w:val="20"/>
          <w:szCs w:val="20"/>
          <w:lang w:eastAsia="es-ES"/>
        </w:rPr>
      </w:pPr>
      <w:r w:rsidRPr="001C3593">
        <w:rPr>
          <w:rFonts w:ascii="Verdana" w:eastAsia="Calibri" w:hAnsi="Verdana" w:cs="Arial"/>
          <w:sz w:val="20"/>
          <w:szCs w:val="20"/>
          <w:lang w:eastAsia="es-ES"/>
        </w:rPr>
        <w:t xml:space="preserve">A partir de la expedición del Estudio Previo o a partir de la suscripción del Contrato, considerando que la publicación en SECOP II se realiza exclusivamente con fines de publicidad y no como etapa de convocatoria dentro de la plataforma. </w:t>
      </w:r>
    </w:p>
    <w:p w14:paraId="380FA7AE" w14:textId="77777777" w:rsidR="006E35AB" w:rsidRPr="00E60A71" w:rsidRDefault="006E35AB" w:rsidP="006E35AB">
      <w:pPr>
        <w:spacing w:after="0" w:line="240" w:lineRule="auto"/>
        <w:ind w:left="709" w:right="709"/>
        <w:jc w:val="both"/>
        <w:rPr>
          <w:rFonts w:ascii="Verdana" w:eastAsia="Calibri" w:hAnsi="Verdana" w:cs="Arial"/>
          <w:sz w:val="20"/>
          <w:szCs w:val="20"/>
          <w:lang w:eastAsia="es-ES"/>
        </w:rPr>
      </w:pPr>
    </w:p>
    <w:p w14:paraId="4BA09E1E" w14:textId="77777777" w:rsidR="006E35AB" w:rsidRPr="00E60A71" w:rsidRDefault="006E35AB" w:rsidP="006E35AB">
      <w:pPr>
        <w:spacing w:after="0" w:line="240" w:lineRule="auto"/>
        <w:ind w:left="709" w:right="709"/>
        <w:jc w:val="both"/>
        <w:rPr>
          <w:rFonts w:ascii="Verdana" w:eastAsia="Calibri" w:hAnsi="Verdana" w:cs="Arial"/>
          <w:sz w:val="20"/>
          <w:szCs w:val="20"/>
          <w:lang w:eastAsia="es-ES"/>
        </w:rPr>
      </w:pPr>
      <w:r w:rsidRPr="00E60A71">
        <w:rPr>
          <w:rFonts w:ascii="Verdana" w:eastAsia="Calibri" w:hAnsi="Verdana" w:cs="Arial"/>
          <w:sz w:val="20"/>
          <w:szCs w:val="20"/>
          <w:lang w:eastAsia="es-ES"/>
        </w:rPr>
        <w:t>Esta aclaración resulta relevante, ya que cuando la publicación se realiza desde documentos previos como la invitación o el estudio previo, se generan interpretaciones por parte de terceros que consideran que la plataforma constituye un canal de recepción de ofertas, lo cual no corresponde a la naturaleza de estos procesos adelantados bajo régimen especial.</w:t>
      </w:r>
    </w:p>
    <w:p w14:paraId="6BDED1EB" w14:textId="77777777" w:rsidR="006E35AB" w:rsidRPr="00D86642" w:rsidRDefault="006E35AB" w:rsidP="006E35AB">
      <w:pPr>
        <w:spacing w:after="0" w:line="240" w:lineRule="auto"/>
        <w:ind w:left="709" w:right="709"/>
        <w:jc w:val="both"/>
        <w:rPr>
          <w:rFonts w:ascii="Verdana" w:eastAsia="Calibri" w:hAnsi="Verdana" w:cs="Arial"/>
          <w:sz w:val="20"/>
          <w:szCs w:val="20"/>
          <w:lang w:eastAsia="es-ES"/>
        </w:rPr>
      </w:pPr>
    </w:p>
    <w:p w14:paraId="5E280939" w14:textId="77777777" w:rsidR="006E35AB" w:rsidRPr="00D86642" w:rsidRDefault="006E35AB" w:rsidP="006E35AB">
      <w:pPr>
        <w:spacing w:after="0" w:line="240" w:lineRule="auto"/>
        <w:ind w:left="709" w:right="709"/>
        <w:jc w:val="both"/>
        <w:rPr>
          <w:rFonts w:ascii="Verdana" w:eastAsia="Calibri" w:hAnsi="Verdana" w:cs="Arial"/>
          <w:sz w:val="20"/>
          <w:szCs w:val="20"/>
          <w:lang w:eastAsia="es-ES"/>
        </w:rPr>
      </w:pPr>
      <w:r w:rsidRPr="00D86642">
        <w:rPr>
          <w:rFonts w:ascii="Verdana" w:eastAsia="Calibri" w:hAnsi="Verdana" w:cs="Arial"/>
          <w:sz w:val="20"/>
          <w:szCs w:val="20"/>
          <w:lang w:eastAsia="es-ES"/>
        </w:rPr>
        <w:t>Obligación de incluir enlaces directos a cada proceso de SECOP en la página web institucional</w:t>
      </w:r>
      <w:r w:rsidRPr="00D86642">
        <w:rPr>
          <w:rFonts w:ascii="Verdana" w:eastAsia="Calibri" w:hAnsi="Verdana" w:cs="Arial"/>
          <w:b/>
          <w:bCs/>
          <w:sz w:val="20"/>
          <w:szCs w:val="20"/>
          <w:lang w:eastAsia="es-ES"/>
        </w:rPr>
        <w:t xml:space="preserve">. </w:t>
      </w:r>
    </w:p>
    <w:p w14:paraId="40F6BC6E" w14:textId="77777777" w:rsidR="006E35AB" w:rsidRPr="00746A94" w:rsidRDefault="006E35AB" w:rsidP="006E35AB">
      <w:pPr>
        <w:spacing w:after="0" w:line="240" w:lineRule="auto"/>
        <w:ind w:left="709" w:right="709"/>
        <w:jc w:val="both"/>
        <w:rPr>
          <w:rFonts w:ascii="Verdana" w:eastAsia="Calibri" w:hAnsi="Verdana" w:cs="Arial"/>
          <w:sz w:val="20"/>
          <w:szCs w:val="20"/>
          <w:lang w:eastAsia="es-ES"/>
        </w:rPr>
      </w:pPr>
    </w:p>
    <w:p w14:paraId="54A790F1" w14:textId="77777777" w:rsidR="006E35AB" w:rsidRPr="00E60A71" w:rsidRDefault="006E35AB" w:rsidP="006E35AB">
      <w:pPr>
        <w:spacing w:after="0" w:line="240" w:lineRule="auto"/>
        <w:ind w:left="709" w:right="709"/>
        <w:jc w:val="both"/>
        <w:rPr>
          <w:rFonts w:ascii="Verdana" w:eastAsia="Calibri" w:hAnsi="Verdana" w:cs="Arial"/>
          <w:sz w:val="20"/>
          <w:szCs w:val="20"/>
          <w:lang w:eastAsia="es-ES"/>
        </w:rPr>
      </w:pPr>
      <w:r w:rsidRPr="00E60A71">
        <w:rPr>
          <w:rFonts w:ascii="Verdana" w:eastAsia="Calibri" w:hAnsi="Verdana" w:cs="Arial"/>
          <w:sz w:val="20"/>
          <w:szCs w:val="20"/>
          <w:lang w:eastAsia="es-ES"/>
        </w:rPr>
        <w:t>Las Instituciones Educativas oficiales, publicamos en nuestras páginas web institucionales, todo el expediente contractual, documentos como: Estudio Previo, Invitación pública, Acta de Cierre, Evaluación de Ofertas, Resolución, Contrato, liquidación, entre otros. Con el propósito de garantizar la transparencia y permitir la participación de oferentes.</w:t>
      </w:r>
    </w:p>
    <w:p w14:paraId="3B70443E" w14:textId="77777777" w:rsidR="006E35AB" w:rsidRPr="00E60A71" w:rsidRDefault="006E35AB" w:rsidP="006E35AB">
      <w:pPr>
        <w:spacing w:after="0" w:line="240" w:lineRule="auto"/>
        <w:ind w:left="709" w:right="709"/>
        <w:jc w:val="both"/>
        <w:rPr>
          <w:rFonts w:ascii="Verdana" w:eastAsia="Calibri" w:hAnsi="Verdana" w:cs="Arial"/>
          <w:sz w:val="20"/>
          <w:szCs w:val="20"/>
          <w:lang w:eastAsia="es-ES"/>
        </w:rPr>
      </w:pPr>
    </w:p>
    <w:p w14:paraId="5CF6DE6E" w14:textId="77777777" w:rsidR="006E35AB" w:rsidRPr="00E60A71" w:rsidRDefault="006E35AB" w:rsidP="006E35AB">
      <w:pPr>
        <w:spacing w:after="0" w:line="240" w:lineRule="auto"/>
        <w:ind w:left="709" w:right="709"/>
        <w:jc w:val="both"/>
        <w:rPr>
          <w:rFonts w:ascii="Verdana" w:eastAsia="Calibri" w:hAnsi="Verdana" w:cs="Arial"/>
          <w:sz w:val="20"/>
          <w:szCs w:val="20"/>
          <w:lang w:eastAsia="es-ES"/>
        </w:rPr>
      </w:pPr>
      <w:r w:rsidRPr="00D86642">
        <w:rPr>
          <w:rFonts w:ascii="Verdana" w:eastAsia="Calibri" w:hAnsi="Verdana" w:cs="Arial"/>
          <w:sz w:val="20"/>
          <w:szCs w:val="20"/>
          <w:lang w:eastAsia="es-ES"/>
        </w:rPr>
        <w:t xml:space="preserve">Adicionalmente, las instituciones cuentan en su página web con un enlace general al SECOP II, en cumplimiento de los lineamientos del Índice de Transparencia y Acceso a la Información (ITA). </w:t>
      </w:r>
    </w:p>
    <w:p w14:paraId="05C00EFC" w14:textId="77777777" w:rsidR="006E35AB" w:rsidRPr="00D86642" w:rsidRDefault="006E35AB" w:rsidP="006E35AB">
      <w:pPr>
        <w:spacing w:after="0" w:line="240" w:lineRule="auto"/>
        <w:ind w:left="709" w:right="709"/>
        <w:jc w:val="both"/>
        <w:rPr>
          <w:rFonts w:ascii="Verdana" w:eastAsia="Calibri" w:hAnsi="Verdana" w:cs="Arial"/>
          <w:sz w:val="20"/>
          <w:szCs w:val="20"/>
          <w:lang w:eastAsia="es-ES"/>
        </w:rPr>
      </w:pPr>
    </w:p>
    <w:p w14:paraId="340B980A" w14:textId="77777777" w:rsidR="006E35AB" w:rsidRPr="00E60A71" w:rsidRDefault="006E35AB" w:rsidP="006E35AB">
      <w:pPr>
        <w:spacing w:after="0" w:line="240" w:lineRule="auto"/>
        <w:ind w:left="709" w:right="709"/>
        <w:jc w:val="both"/>
        <w:rPr>
          <w:rFonts w:ascii="Verdana" w:eastAsia="Calibri" w:hAnsi="Verdana" w:cs="Arial"/>
          <w:sz w:val="20"/>
          <w:szCs w:val="20"/>
          <w:lang w:eastAsia="es-ES"/>
        </w:rPr>
      </w:pPr>
      <w:r w:rsidRPr="00E60A71">
        <w:rPr>
          <w:rFonts w:ascii="Verdana" w:eastAsia="Calibri" w:hAnsi="Verdana" w:cs="Arial"/>
          <w:sz w:val="20"/>
          <w:szCs w:val="20"/>
          <w:lang w:eastAsia="es-ES"/>
        </w:rPr>
        <w:t>El SECOP II por su parte, publicamos los mismos documentos adjuntando la propuesta económica u ofertas recibidas.</w:t>
      </w:r>
    </w:p>
    <w:p w14:paraId="3BD47DD7" w14:textId="77777777" w:rsidR="006E35AB" w:rsidRPr="00E60A71" w:rsidRDefault="006E35AB" w:rsidP="006E35AB">
      <w:pPr>
        <w:spacing w:after="0" w:line="240" w:lineRule="auto"/>
        <w:ind w:left="709" w:right="709"/>
        <w:jc w:val="both"/>
        <w:rPr>
          <w:rFonts w:ascii="Verdana" w:eastAsia="Calibri" w:hAnsi="Verdana" w:cs="Arial"/>
          <w:sz w:val="20"/>
          <w:szCs w:val="20"/>
          <w:lang w:eastAsia="es-ES"/>
        </w:rPr>
      </w:pPr>
    </w:p>
    <w:p w14:paraId="61EC8283" w14:textId="77777777" w:rsidR="006E35AB" w:rsidRPr="00E60A71" w:rsidRDefault="006E35AB" w:rsidP="006E35AB">
      <w:pPr>
        <w:spacing w:after="0" w:line="240" w:lineRule="auto"/>
        <w:ind w:left="709" w:right="709"/>
        <w:jc w:val="both"/>
        <w:rPr>
          <w:rFonts w:ascii="Verdana" w:eastAsia="Calibri" w:hAnsi="Verdana" w:cs="Arial"/>
          <w:sz w:val="20"/>
          <w:szCs w:val="20"/>
          <w:lang w:eastAsia="es-ES"/>
        </w:rPr>
      </w:pPr>
      <w:r w:rsidRPr="002F7C9C">
        <w:rPr>
          <w:rFonts w:ascii="Verdana" w:eastAsia="Calibri" w:hAnsi="Verdana" w:cs="Arial"/>
          <w:sz w:val="20"/>
          <w:szCs w:val="20"/>
          <w:lang w:eastAsia="es-ES"/>
        </w:rPr>
        <w:t xml:space="preserve">En ese sentido, respetuosamente solicitamos se aclare si existe alguna disposición normativa de carácter obligatorio que establezca que las entidades deban incluir un enlace directo a cada proceso específico de SECOP dentro de la página web institucional, además de la publicación que ya se realiza en el SECOP II. </w:t>
      </w:r>
    </w:p>
    <w:p w14:paraId="4957BA86" w14:textId="77777777" w:rsidR="006E35AB" w:rsidRPr="002F7C9C" w:rsidRDefault="006E35AB" w:rsidP="006E35AB">
      <w:pPr>
        <w:spacing w:after="0" w:line="240" w:lineRule="auto"/>
        <w:ind w:left="709" w:right="709"/>
        <w:jc w:val="both"/>
        <w:rPr>
          <w:rFonts w:ascii="Verdana" w:eastAsia="Calibri" w:hAnsi="Verdana" w:cs="Arial"/>
          <w:sz w:val="20"/>
          <w:szCs w:val="20"/>
          <w:lang w:eastAsia="es-ES"/>
        </w:rPr>
      </w:pPr>
    </w:p>
    <w:p w14:paraId="459B85D7" w14:textId="77777777" w:rsidR="006E35AB" w:rsidRPr="00E60A71" w:rsidRDefault="006E35AB" w:rsidP="006E35AB">
      <w:pPr>
        <w:spacing w:after="0" w:line="240" w:lineRule="auto"/>
        <w:ind w:left="709" w:right="709"/>
        <w:jc w:val="both"/>
        <w:rPr>
          <w:rFonts w:ascii="Verdana" w:eastAsia="Calibri" w:hAnsi="Verdana" w:cs="Arial"/>
          <w:sz w:val="20"/>
          <w:szCs w:val="20"/>
          <w:lang w:eastAsia="es-ES"/>
        </w:rPr>
      </w:pPr>
      <w:r w:rsidRPr="00E60A71">
        <w:rPr>
          <w:rFonts w:ascii="Verdana" w:eastAsia="Calibri" w:hAnsi="Verdana" w:cs="Arial"/>
          <w:sz w:val="20"/>
          <w:szCs w:val="20"/>
          <w:lang w:eastAsia="es-ES"/>
        </w:rPr>
        <w:t>De igual forma, solicitamos se precise si las Secretarías de Educación territoriales, en su calidad de entidades sectoriales, pueden establecer exigencias adicionales en materia de publicidad contractual distintas a las previstas en la normativa nacional aplicable, particularmente en, Ley 80 de 1993, Decreto 1082 de 2015, Ley 1712 de 2014, Lineamientos emitidos por Colombia Compra Eficiente.</w:t>
      </w:r>
    </w:p>
    <w:p w14:paraId="7A6A56CE" w14:textId="77777777" w:rsidR="006E35AB" w:rsidRPr="00E60A71" w:rsidRDefault="006E35AB" w:rsidP="006E35AB">
      <w:pPr>
        <w:spacing w:after="0" w:line="240" w:lineRule="auto"/>
        <w:ind w:left="709" w:right="709"/>
        <w:jc w:val="both"/>
        <w:rPr>
          <w:rFonts w:ascii="Verdana" w:eastAsia="Calibri" w:hAnsi="Verdana" w:cs="Arial"/>
          <w:sz w:val="20"/>
          <w:szCs w:val="20"/>
          <w:lang w:eastAsia="es-ES"/>
        </w:rPr>
      </w:pPr>
    </w:p>
    <w:p w14:paraId="5C910489" w14:textId="77777777" w:rsidR="006E35AB" w:rsidRDefault="006E35AB" w:rsidP="006E35AB">
      <w:pPr>
        <w:tabs>
          <w:tab w:val="left" w:pos="1624"/>
        </w:tabs>
        <w:spacing w:after="0" w:line="240" w:lineRule="auto"/>
        <w:ind w:left="709" w:right="709"/>
        <w:jc w:val="both"/>
        <w:rPr>
          <w:rFonts w:ascii="Verdana" w:eastAsia="Calibri" w:hAnsi="Verdana" w:cs="Arial"/>
          <w:sz w:val="20"/>
          <w:szCs w:val="20"/>
          <w:lang w:eastAsia="es-ES"/>
        </w:rPr>
      </w:pPr>
      <w:r w:rsidRPr="00E60A71">
        <w:rPr>
          <w:rFonts w:ascii="Verdana" w:eastAsia="Calibri" w:hAnsi="Verdana" w:cs="Arial"/>
          <w:sz w:val="20"/>
          <w:szCs w:val="20"/>
          <w:lang w:eastAsia="es-ES"/>
        </w:rPr>
        <w:t xml:space="preserve">Las Instituciones Educativas cumplen con la normativa vigente en materia de transparencia y contratación pública, publicando la información </w:t>
      </w:r>
      <w:r w:rsidRPr="00E60A71">
        <w:rPr>
          <w:rFonts w:ascii="Verdana" w:eastAsia="Calibri" w:hAnsi="Verdana" w:cs="Arial"/>
          <w:sz w:val="20"/>
          <w:szCs w:val="20"/>
          <w:lang w:eastAsia="es-ES"/>
        </w:rPr>
        <w:lastRenderedPageBreak/>
        <w:t>contractual en la página web institucional y registrando los procesos en el Sistema Electrónico para la Contratación Pública – SECOP II. […]”</w:t>
      </w:r>
    </w:p>
    <w:p w14:paraId="4267E498" w14:textId="77777777" w:rsidR="006E35AB" w:rsidRPr="00E60A71" w:rsidRDefault="006E35AB" w:rsidP="006E35AB">
      <w:pPr>
        <w:tabs>
          <w:tab w:val="left" w:pos="1624"/>
        </w:tabs>
        <w:spacing w:after="0" w:line="240" w:lineRule="auto"/>
        <w:ind w:left="709" w:right="709"/>
        <w:jc w:val="both"/>
        <w:rPr>
          <w:rFonts w:ascii="Verdana" w:eastAsia="Calibri" w:hAnsi="Verdana" w:cs="Arial"/>
          <w:sz w:val="20"/>
          <w:szCs w:val="20"/>
          <w:lang w:eastAsia="es-ES"/>
        </w:rPr>
      </w:pPr>
    </w:p>
    <w:p w14:paraId="26B9797B" w14:textId="77777777" w:rsidR="006E35AB" w:rsidRPr="00E60A71" w:rsidRDefault="006E35AB" w:rsidP="006E35AB">
      <w:pPr>
        <w:spacing w:after="120" w:line="276" w:lineRule="auto"/>
        <w:ind w:firstLine="708"/>
        <w:jc w:val="both"/>
        <w:rPr>
          <w:rFonts w:ascii="Verdana" w:eastAsia="Calibri" w:hAnsi="Verdana" w:cs="Arial"/>
          <w:lang w:val="es-ES" w:eastAsia="es-ES"/>
        </w:rPr>
      </w:pPr>
      <w:r w:rsidRPr="00E60A71">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60A71">
        <w:rPr>
          <w:rFonts w:ascii="Verdana" w:hAnsi="Verdana"/>
          <w:lang w:val="es-ES"/>
        </w:rPr>
        <w:tab/>
      </w:r>
    </w:p>
    <w:p w14:paraId="34762A7E" w14:textId="77777777" w:rsidR="006E35AB" w:rsidRPr="00E60A71" w:rsidRDefault="006E35AB" w:rsidP="006E35AB">
      <w:pPr>
        <w:spacing w:after="0" w:line="276" w:lineRule="auto"/>
        <w:ind w:firstLine="709"/>
        <w:jc w:val="both"/>
        <w:rPr>
          <w:rFonts w:ascii="Verdana" w:eastAsia="Calibri" w:hAnsi="Verdana" w:cs="Arial"/>
          <w:lang w:val="es-ES" w:eastAsia="es-ES"/>
        </w:rPr>
      </w:pPr>
      <w:r w:rsidRPr="00E60A71">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w:t>
      </w:r>
      <w:r w:rsidRPr="00E60A71">
        <w:rPr>
          <w:rFonts w:ascii="Verdana" w:eastAsia="Calibri" w:hAnsi="Verdana" w:cs="Arial"/>
          <w:lang w:eastAsia="es-ES"/>
        </w:rPr>
        <w:t xml:space="preserve">pero señalando algunas </w:t>
      </w:r>
      <w:r w:rsidRPr="00E60A71">
        <w:rPr>
          <w:rFonts w:ascii="Verdana" w:eastAsia="Calibri" w:hAnsi="Verdana" w:cs="Arial"/>
          <w:lang w:val="es-ES" w:eastAsia="es-ES"/>
        </w:rPr>
        <w:t xml:space="preserve">consideraciones sobre las normas generales relacionadas con el problema jurídico de su consulta. </w:t>
      </w:r>
    </w:p>
    <w:p w14:paraId="3448F034" w14:textId="77777777" w:rsidR="006E35AB" w:rsidRPr="004304FB" w:rsidRDefault="006E35AB" w:rsidP="006E35AB">
      <w:pPr>
        <w:spacing w:after="0" w:line="276" w:lineRule="auto"/>
        <w:ind w:firstLine="709"/>
        <w:jc w:val="both"/>
        <w:rPr>
          <w:rFonts w:ascii="Verdana" w:eastAsia="Calibri" w:hAnsi="Verdana" w:cs="Arial"/>
          <w:color w:val="EE0000"/>
          <w:lang w:val="es-ES" w:eastAsia="es-ES"/>
        </w:rPr>
      </w:pPr>
    </w:p>
    <w:p w14:paraId="6D33B8DB" w14:textId="77777777" w:rsidR="006E35AB" w:rsidRPr="009E3A4A" w:rsidRDefault="006E35AB" w:rsidP="006E35AB">
      <w:pPr>
        <w:tabs>
          <w:tab w:val="left" w:pos="142"/>
          <w:tab w:val="left" w:pos="284"/>
        </w:tabs>
        <w:spacing w:after="0" w:line="276" w:lineRule="auto"/>
        <w:contextualSpacing/>
        <w:jc w:val="both"/>
        <w:rPr>
          <w:rFonts w:ascii="Verdana" w:eastAsia="Century Gothic" w:hAnsi="Verdana" w:cs="Century Gothic"/>
          <w:b/>
          <w:lang w:val="es-ES"/>
        </w:rPr>
      </w:pPr>
      <w:r w:rsidRPr="009E3A4A">
        <w:rPr>
          <w:rFonts w:ascii="Verdana" w:eastAsia="Century Gothic" w:hAnsi="Verdana" w:cs="Century Gothic"/>
          <w:b/>
          <w:lang w:val="es-ES"/>
        </w:rPr>
        <w:t>1. Problema planteado:</w:t>
      </w:r>
    </w:p>
    <w:p w14:paraId="74478BB6" w14:textId="77777777" w:rsidR="006E35AB" w:rsidRPr="009E3A4A" w:rsidRDefault="006E35AB" w:rsidP="006E35AB">
      <w:pPr>
        <w:tabs>
          <w:tab w:val="left" w:pos="426"/>
        </w:tabs>
        <w:spacing w:after="0" w:line="276" w:lineRule="auto"/>
        <w:jc w:val="both"/>
        <w:rPr>
          <w:rFonts w:ascii="Verdana" w:eastAsia="Century Gothic" w:hAnsi="Verdana" w:cs="Century Gothic"/>
          <w:lang w:val="es-ES"/>
        </w:rPr>
      </w:pPr>
    </w:p>
    <w:p w14:paraId="77C7C385" w14:textId="77777777" w:rsidR="006E35AB" w:rsidRDefault="006E35AB" w:rsidP="006E35AB">
      <w:pPr>
        <w:spacing w:after="0" w:line="276" w:lineRule="auto"/>
        <w:jc w:val="both"/>
        <w:rPr>
          <w:rFonts w:ascii="Verdana" w:eastAsia="Century Gothic" w:hAnsi="Verdana" w:cs="Century Gothic"/>
        </w:rPr>
      </w:pPr>
      <w:r w:rsidRPr="009E3A4A">
        <w:rPr>
          <w:rFonts w:ascii="Verdana" w:eastAsia="Century Gothic" w:hAnsi="Verdana" w:cs="Century Gothic"/>
          <w:lang w:val="es-ES"/>
        </w:rPr>
        <w:t xml:space="preserve">De acuerdo </w:t>
      </w:r>
      <w:r w:rsidRPr="005663E0">
        <w:rPr>
          <w:rFonts w:ascii="Verdana" w:eastAsia="Century Gothic" w:hAnsi="Verdana" w:cs="Century Gothic"/>
          <w:lang w:val="es-ES"/>
        </w:rPr>
        <w:t xml:space="preserve">con el contenido de su solicitud, esta Agencia resolverá el siguiente problema jurídico: </w:t>
      </w:r>
      <w:r w:rsidRPr="00104A74">
        <w:rPr>
          <w:rFonts w:ascii="Verdana" w:eastAsia="Century Gothic" w:hAnsi="Verdana" w:cs="Century Gothic"/>
        </w:rPr>
        <w:t>¿Cuál es el alcance del principio de publicidad en la contratación de las instituciones educativas y cuáles son sus implicaciones en la publicación y el término para hacerlo?</w:t>
      </w:r>
    </w:p>
    <w:p w14:paraId="45A4AFA4" w14:textId="77777777" w:rsidR="006E35AB" w:rsidRPr="0076466E" w:rsidRDefault="006E35AB" w:rsidP="006E35AB">
      <w:pPr>
        <w:spacing w:after="0" w:line="276" w:lineRule="auto"/>
        <w:jc w:val="both"/>
        <w:rPr>
          <w:rFonts w:ascii="Verdana" w:eastAsia="Century Gothic" w:hAnsi="Verdana" w:cs="Century Gothic"/>
          <w:color w:val="EE0000"/>
        </w:rPr>
      </w:pPr>
    </w:p>
    <w:p w14:paraId="59F2F6D3" w14:textId="77777777" w:rsidR="006E35AB" w:rsidRPr="00057770" w:rsidRDefault="006E35AB" w:rsidP="006E35AB">
      <w:pPr>
        <w:tabs>
          <w:tab w:val="left" w:pos="142"/>
          <w:tab w:val="left" w:pos="284"/>
        </w:tabs>
        <w:spacing w:after="0" w:line="276" w:lineRule="auto"/>
        <w:jc w:val="both"/>
        <w:rPr>
          <w:rFonts w:ascii="Verdana" w:eastAsia="Century Gothic" w:hAnsi="Verdana" w:cs="Century Gothic"/>
          <w:b/>
          <w:lang w:val="es-ES"/>
        </w:rPr>
      </w:pPr>
      <w:r w:rsidRPr="00057770">
        <w:rPr>
          <w:rFonts w:ascii="Verdana" w:eastAsia="Century Gothic" w:hAnsi="Verdana" w:cs="Century Gothic"/>
          <w:b/>
          <w:lang w:val="es-ES"/>
        </w:rPr>
        <w:t>2. Respuesta:</w:t>
      </w:r>
    </w:p>
    <w:p w14:paraId="58F3EB18" w14:textId="77777777" w:rsidR="006E35AB" w:rsidRPr="0076466E" w:rsidRDefault="006E35AB" w:rsidP="006E35AB">
      <w:pPr>
        <w:tabs>
          <w:tab w:val="left" w:pos="142"/>
          <w:tab w:val="left" w:pos="284"/>
        </w:tabs>
        <w:spacing w:after="0" w:line="276" w:lineRule="auto"/>
        <w:jc w:val="both"/>
        <w:rPr>
          <w:rFonts w:ascii="Verdana" w:eastAsia="Century Gothic" w:hAnsi="Verdana" w:cs="Century Gothic"/>
          <w:b/>
          <w:bCs/>
          <w:color w:val="EE0000"/>
          <w:lang w:val="es-ES"/>
        </w:rPr>
      </w:pPr>
    </w:p>
    <w:tbl>
      <w:tblPr>
        <w:tblStyle w:val="Tablaconcuadrcula"/>
        <w:tblW w:w="885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52"/>
      </w:tblGrid>
      <w:tr w:rsidR="006E35AB" w:rsidRPr="0076466E" w14:paraId="08A9C508" w14:textId="77777777" w:rsidTr="00CE6C17">
        <w:tc>
          <w:tcPr>
            <w:tcW w:w="8852" w:type="dxa"/>
          </w:tcPr>
          <w:p w14:paraId="208EEDE2" w14:textId="77777777" w:rsidR="006E35AB" w:rsidRDefault="006E35AB" w:rsidP="00CE6C17">
            <w:pPr>
              <w:spacing w:before="120" w:after="120" w:line="276" w:lineRule="auto"/>
              <w:jc w:val="both"/>
              <w:rPr>
                <w:rFonts w:ascii="Verdana" w:eastAsia="Calibri" w:hAnsi="Verdana" w:cs="Arial"/>
              </w:rPr>
            </w:pPr>
            <w:r w:rsidRPr="00946693">
              <w:rPr>
                <w:rFonts w:ascii="Verdana" w:eastAsia="Calibri" w:hAnsi="Verdana" w:cs="Arial"/>
              </w:rPr>
              <w:t xml:space="preserve">De conformidad con el artículo 13 de la Ley 1150 de 2007, modificado por el artículo 53 de la Ley 2195 de 2022, las entidades de régimen especial se encuentran obligadas a realizar la publicación de la actividad contractual que se financie con recursos públicos a través del SECOP II. Este mandato legal busca garantizar la transparencia y el acceso a la información pública, obligando a estas entidades a cargar todos los documentos de su gestión, </w:t>
            </w:r>
            <w:r w:rsidRPr="00946693">
              <w:rPr>
                <w:rFonts w:ascii="Verdana" w:eastAsia="Calibri" w:hAnsi="Verdana" w:cs="Arial"/>
              </w:rPr>
              <w:lastRenderedPageBreak/>
              <w:t>desde la etapa precontractual hasta la postcontractual, sin que sea válido el uso exclusivo de portales propios.</w:t>
            </w:r>
          </w:p>
          <w:p w14:paraId="2648BBBD" w14:textId="77777777" w:rsidR="006E35AB" w:rsidRPr="00AC09D5" w:rsidRDefault="006E35AB" w:rsidP="00CE6C17">
            <w:pPr>
              <w:spacing w:before="120" w:after="120" w:line="276" w:lineRule="auto"/>
              <w:jc w:val="both"/>
              <w:rPr>
                <w:rFonts w:ascii="Verdana" w:eastAsia="Calibri" w:hAnsi="Verdana" w:cs="Arial"/>
              </w:rPr>
            </w:pPr>
            <w:r>
              <w:rPr>
                <w:rFonts w:ascii="Verdana" w:eastAsia="Calibri" w:hAnsi="Verdana" w:cs="Arial"/>
              </w:rPr>
              <w:t xml:space="preserve">            Ahora bien, en atención al problema jurídico planteado, </w:t>
            </w:r>
            <w:r w:rsidRPr="00F47E0F">
              <w:rPr>
                <w:rFonts w:ascii="Verdana" w:eastAsia="Calibri" w:hAnsi="Verdana" w:cs="Arial"/>
              </w:rPr>
              <w:t>e</w:t>
            </w:r>
            <w:r w:rsidRPr="00F47E0F">
              <w:rPr>
                <w:rFonts w:ascii="Verdana" w:eastAsia="Calibri" w:hAnsi="Verdana" w:cs="Arial"/>
                <w:lang w:val="es-ES" w:eastAsia="es-ES"/>
              </w:rPr>
              <w:t xml:space="preserve">sta Agencia considera que, la obligación de publicar en el SECOP II todos los documentos relacionados con la actividad contractual de las entidades con regímenes especiales contenida en el artículo 53 de la Ley 2195 de 2022 debe interpretarse de forma sistemática con los preceptos que existen sobre la materia, como, entre otros, el </w:t>
            </w:r>
            <w:r w:rsidRPr="00F47E0F">
              <w:rPr>
                <w:rFonts w:ascii="Verdana" w:eastAsia="Calibri" w:hAnsi="Verdana" w:cs="Arial"/>
                <w:shd w:val="clear" w:color="auto" w:fill="FFFFFF"/>
              </w:rPr>
              <w:t xml:space="preserve">artículo 2.2.1.1.1.7.1 del Decreto 1082 de 2015 que menciona que tienen la obligación de publicar en el SECOP “[…] los Documentos del Proceso y los actos administrativos del Proceso de Contratación, dentro de los tres (3) días </w:t>
            </w:r>
            <w:r w:rsidRPr="00F47E0F">
              <w:rPr>
                <w:rFonts w:ascii="Verdana" w:eastAsia="Calibri" w:hAnsi="Verdana" w:cs="Arial"/>
                <w:lang w:val="es-ES"/>
              </w:rPr>
              <w:t>siguientes</w:t>
            </w:r>
            <w:r w:rsidRPr="00F47E0F">
              <w:rPr>
                <w:rFonts w:ascii="Verdana" w:eastAsia="Calibri" w:hAnsi="Verdana" w:cs="Arial"/>
                <w:shd w:val="clear" w:color="auto" w:fill="FFFFFF"/>
              </w:rPr>
              <w:t xml:space="preserve"> a su expedición […]. </w:t>
            </w:r>
            <w:r w:rsidRPr="00F47E0F">
              <w:rPr>
                <w:rFonts w:ascii="Verdana" w:eastAsia="Arial" w:hAnsi="Verdana" w:cs="Arial"/>
                <w:lang w:val="es-ES" w:eastAsia="es-ES_tradnl"/>
              </w:rPr>
              <w:t xml:space="preserve">La expresión </w:t>
            </w:r>
            <w:r w:rsidRPr="00F47E0F">
              <w:rPr>
                <w:rFonts w:ascii="Verdana" w:eastAsia="Arial" w:hAnsi="Verdana" w:cs="Arial"/>
                <w:i/>
                <w:iCs/>
                <w:lang w:val="es-ES" w:eastAsia="es-ES_tradnl"/>
              </w:rPr>
              <w:t>Documentos del Proceso</w:t>
            </w:r>
            <w:r w:rsidRPr="00F47E0F">
              <w:rPr>
                <w:rFonts w:ascii="Verdana" w:eastAsia="Arial" w:hAnsi="Verdana" w:cs="Arial"/>
                <w:lang w:val="es-ES" w:eastAsia="es-ES_tradnl"/>
              </w:rPr>
              <w:t xml:space="preserve">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w:t>
            </w:r>
            <w:r w:rsidRPr="00AC09D5">
              <w:rPr>
                <w:rFonts w:ascii="Verdana" w:eastAsia="Arial" w:hAnsi="Verdana" w:cs="Arial"/>
                <w:lang w:val="es-ES" w:eastAsia="es-ES_tradnl"/>
              </w:rPr>
              <w:t xml:space="preserve">Estatal durante el Proceso de Contratación”. </w:t>
            </w:r>
          </w:p>
          <w:p w14:paraId="4F5703D2" w14:textId="77777777" w:rsidR="006E35AB" w:rsidRPr="00420426" w:rsidRDefault="006E35AB" w:rsidP="00CE6C17">
            <w:pPr>
              <w:spacing w:before="120" w:after="120" w:line="276" w:lineRule="auto"/>
              <w:ind w:firstLine="709"/>
              <w:jc w:val="both"/>
              <w:rPr>
                <w:rFonts w:ascii="Verdana" w:eastAsia="Calibri" w:hAnsi="Verdana" w:cs="Arial"/>
              </w:rPr>
            </w:pPr>
            <w:r w:rsidRPr="00AC09D5">
              <w:rPr>
                <w:rFonts w:ascii="Verdana" w:eastAsia="Calibri" w:hAnsi="Verdana" w:cs="Arial"/>
              </w:rPr>
              <w:t>En relación con el término de tres (3) días hábiles para la publicación el ordenamiento jurídico no establece que deba contarse desde la elaboración de un documento determinado. En los procesos de instituciones educativas bajo regímenes especiales, sin perjuicio de ello, se recomienda realizar la publicación de manera integral, incorporando desde el inicio del cargue todos los documentos del proceso en atención al principio de transparencia y a la trazabilidad de la información.</w:t>
            </w:r>
            <w:r>
              <w:rPr>
                <w:rFonts w:ascii="Verdana" w:eastAsia="Calibri" w:hAnsi="Verdana" w:cs="Arial"/>
              </w:rPr>
              <w:t xml:space="preserve"> </w:t>
            </w:r>
            <w:r w:rsidRPr="005D2220">
              <w:rPr>
                <w:rFonts w:ascii="Verdana" w:eastAsia="Calibri" w:hAnsi="Verdana" w:cs="Arial"/>
              </w:rPr>
              <w:t xml:space="preserve">En cuanto a la obligación de incluir enlaces directos a cada proceso contractual en la página web institucional, la normativa vigente </w:t>
            </w:r>
            <w:r>
              <w:rPr>
                <w:rFonts w:ascii="Verdana" w:eastAsia="Calibri" w:hAnsi="Verdana" w:cs="Arial"/>
              </w:rPr>
              <w:t>no</w:t>
            </w:r>
            <w:r w:rsidRPr="005D2220">
              <w:rPr>
                <w:rFonts w:ascii="Verdana" w:eastAsia="Calibri" w:hAnsi="Verdana" w:cs="Arial"/>
              </w:rPr>
              <w:t xml:space="preserve"> exi</w:t>
            </w:r>
            <w:r>
              <w:rPr>
                <w:rFonts w:ascii="Verdana" w:eastAsia="Calibri" w:hAnsi="Verdana" w:cs="Arial"/>
              </w:rPr>
              <w:t>ge</w:t>
            </w:r>
            <w:r w:rsidRPr="005D2220">
              <w:rPr>
                <w:rFonts w:ascii="Verdana" w:eastAsia="Calibri" w:hAnsi="Verdana" w:cs="Arial"/>
              </w:rPr>
              <w:t xml:space="preserve"> la incorporación de enlaces individualizados por proceso al SECOP II en los portales institucionales, siempre que se garantice el acceso efectivo a la información contractual</w:t>
            </w:r>
            <w:r>
              <w:rPr>
                <w:rFonts w:ascii="Verdana" w:eastAsia="Calibri" w:hAnsi="Verdana" w:cs="Arial"/>
              </w:rPr>
              <w:t>.</w:t>
            </w:r>
          </w:p>
          <w:p w14:paraId="583A780A" w14:textId="77777777" w:rsidR="006E35AB" w:rsidRDefault="006E35AB" w:rsidP="00CE6C17">
            <w:pPr>
              <w:spacing w:before="120" w:after="120" w:line="276" w:lineRule="auto"/>
              <w:ind w:firstLine="709"/>
              <w:jc w:val="both"/>
              <w:rPr>
                <w:rFonts w:ascii="Verdana" w:eastAsia="Calibri" w:hAnsi="Verdana" w:cs="Arial"/>
              </w:rPr>
            </w:pPr>
            <w:r w:rsidRPr="00420426">
              <w:rPr>
                <w:rFonts w:ascii="Verdana" w:eastAsia="Calibri" w:hAnsi="Verdana" w:cs="Arial"/>
              </w:rPr>
              <w:t>Sin perjuicio de lo anterior, el ejercicio de la autonomía administrativa y contractual de las entidades de régimen especial debe realizarse con sujeción plena a las normas constitucionales y legales que regulan los deberes, responsabilidades. En particular, dichas entidades están obligadas a observar los principios de la función administrativa, así como los demás deberes regulados en el ordenamiento jurídico.</w:t>
            </w:r>
          </w:p>
          <w:p w14:paraId="561BEEEC" w14:textId="77777777" w:rsidR="006E35AB" w:rsidRPr="0076466E" w:rsidRDefault="006E35AB" w:rsidP="00CE6C17">
            <w:pPr>
              <w:spacing w:before="120" w:after="120" w:line="276" w:lineRule="auto"/>
              <w:ind w:firstLine="709"/>
              <w:jc w:val="both"/>
              <w:rPr>
                <w:rFonts w:ascii="Verdana" w:eastAsia="Calibri" w:hAnsi="Verdana" w:cs="Arial"/>
                <w:color w:val="EE0000"/>
              </w:rPr>
            </w:pPr>
            <w:r w:rsidRPr="00702DD7">
              <w:rPr>
                <w:rFonts w:ascii="Verdana" w:eastAsia="Calibri" w:hAnsi="Verdana" w:cs="Arial"/>
              </w:rPr>
              <w:lastRenderedPageBreak/>
              <w:t>Finalmente debe advertirse que el análisis requerido para resolver problemas específicos a la gestión contractual de las universidades públicas en vigencia de la Ley de Garantías Electorales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tbl>
    <w:p w14:paraId="73F86998" w14:textId="77777777" w:rsidR="006E35AB" w:rsidRPr="0076466E" w:rsidRDefault="006E35AB" w:rsidP="006E35AB">
      <w:pPr>
        <w:tabs>
          <w:tab w:val="left" w:pos="142"/>
          <w:tab w:val="left" w:pos="284"/>
        </w:tabs>
        <w:spacing w:after="0" w:line="276" w:lineRule="auto"/>
        <w:jc w:val="both"/>
        <w:rPr>
          <w:rFonts w:ascii="Verdana" w:eastAsia="Century Gothic" w:hAnsi="Verdana" w:cs="Century Gothic"/>
          <w:b/>
          <w:bCs/>
          <w:color w:val="EE0000"/>
          <w:lang w:val="es-ES"/>
        </w:rPr>
      </w:pPr>
    </w:p>
    <w:p w14:paraId="1BF7D412" w14:textId="77777777" w:rsidR="006E35AB" w:rsidRPr="00057770" w:rsidRDefault="006E35AB" w:rsidP="006E35AB">
      <w:pPr>
        <w:tabs>
          <w:tab w:val="left" w:pos="142"/>
          <w:tab w:val="left" w:pos="284"/>
        </w:tabs>
        <w:spacing w:after="0" w:line="276" w:lineRule="auto"/>
        <w:jc w:val="both"/>
        <w:rPr>
          <w:rFonts w:ascii="Verdana" w:eastAsia="Century Gothic" w:hAnsi="Verdana" w:cs="Century Gothic"/>
          <w:b/>
          <w:lang w:val="es-ES"/>
        </w:rPr>
      </w:pPr>
      <w:r w:rsidRPr="00057770">
        <w:rPr>
          <w:rFonts w:ascii="Verdana" w:eastAsia="Century Gothic" w:hAnsi="Verdana" w:cs="Century Gothic"/>
          <w:b/>
          <w:lang w:val="es-ES"/>
        </w:rPr>
        <w:t>3. Razones de la respuesta:</w:t>
      </w:r>
    </w:p>
    <w:p w14:paraId="0D8F8717" w14:textId="77777777" w:rsidR="006E35AB" w:rsidRPr="00057770" w:rsidRDefault="006E35AB" w:rsidP="006E35AB">
      <w:pPr>
        <w:tabs>
          <w:tab w:val="left" w:pos="142"/>
          <w:tab w:val="left" w:pos="284"/>
        </w:tabs>
        <w:spacing w:after="0" w:line="276" w:lineRule="auto"/>
        <w:jc w:val="both"/>
        <w:rPr>
          <w:rFonts w:ascii="Verdana" w:eastAsia="Century Gothic" w:hAnsi="Verdana" w:cs="Century Gothic"/>
          <w:b/>
          <w:lang w:val="es-ES"/>
        </w:rPr>
      </w:pPr>
    </w:p>
    <w:p w14:paraId="563E3AF2" w14:textId="77777777" w:rsidR="006E35AB" w:rsidRPr="00057770" w:rsidRDefault="006E35AB" w:rsidP="006E35AB">
      <w:pPr>
        <w:spacing w:after="0" w:line="276" w:lineRule="auto"/>
        <w:jc w:val="both"/>
        <w:rPr>
          <w:rFonts w:ascii="Verdana" w:eastAsia="Calibri" w:hAnsi="Verdana" w:cs="Arial"/>
          <w:lang w:val="es-ES"/>
        </w:rPr>
      </w:pPr>
      <w:r w:rsidRPr="00057770">
        <w:rPr>
          <w:rFonts w:ascii="Verdana" w:eastAsia="Calibri" w:hAnsi="Verdana" w:cs="Arial"/>
          <w:lang w:val="es-ES"/>
        </w:rPr>
        <w:t>Lo anterior se sustenta en las siguientes consideraciones:</w:t>
      </w:r>
      <w:bookmarkStart w:id="0" w:name="_Hlk102983874"/>
      <w:bookmarkStart w:id="1" w:name="_Hlk102388095"/>
    </w:p>
    <w:p w14:paraId="2C683B98" w14:textId="77777777" w:rsidR="006E35AB" w:rsidRPr="00CB7F4D" w:rsidRDefault="006E35AB" w:rsidP="006E35AB">
      <w:pPr>
        <w:spacing w:after="0" w:line="276" w:lineRule="auto"/>
        <w:jc w:val="both"/>
        <w:rPr>
          <w:rFonts w:ascii="Verdana" w:eastAsia="Calibri" w:hAnsi="Verdana" w:cs="Arial"/>
          <w:lang w:val="es-ES"/>
        </w:rPr>
      </w:pPr>
    </w:p>
    <w:p w14:paraId="35C2FC5A" w14:textId="77777777" w:rsidR="006E35AB" w:rsidRPr="009E2CDE" w:rsidRDefault="006E35AB" w:rsidP="006E35AB">
      <w:pPr>
        <w:spacing w:after="120" w:line="276" w:lineRule="auto"/>
        <w:jc w:val="both"/>
        <w:rPr>
          <w:rFonts w:ascii="Verdana" w:hAnsi="Verdana" w:cs="Arial"/>
          <w:lang w:val="es-MX"/>
          <w14:ligatures w14:val="standardContextual"/>
        </w:rPr>
      </w:pPr>
      <w:r w:rsidRPr="009E2CDE">
        <w:rPr>
          <w:rFonts w:ascii="Verdana" w:eastAsia="Calibri" w:hAnsi="Verdana" w:cs="Arial"/>
        </w:rPr>
        <w:t xml:space="preserve">i. </w:t>
      </w:r>
      <w:bookmarkStart w:id="2" w:name="_Hlk198934308"/>
      <w:r w:rsidRPr="009E2CDE">
        <w:rPr>
          <w:rFonts w:ascii="Verdana" w:hAnsi="Verdana" w:cs="Arial"/>
          <w:lang w:val="es-MX"/>
          <w14:ligatures w14:val="standardContextual"/>
        </w:rPr>
        <w:t>Las Leyes 60 de 1993 y 715 de 200</w:t>
      </w:r>
      <w:bookmarkEnd w:id="2"/>
      <w:r w:rsidRPr="009E2CDE">
        <w:rPr>
          <w:rFonts w:ascii="Verdana" w:hAnsi="Verdana" w:cs="Arial"/>
          <w:lang w:val="es-MX"/>
          <w14:ligatures w14:val="standardContextual"/>
        </w:rPr>
        <w:t xml:space="preserve">1 descentralizaron el sistema educativo en Colombia, asignándoles a los departamentos, distritos y municipios las competencias y los recursos para dirigir las instituciones educativas. Es decir, el sistema educativo está descentralizado por las competencias propias que se les ha otorgado a las entidades territoriales para administrar las instituciones educativas, que pueden ser de los diferentes niveles, pero estas no son entidades descentralizadas. </w:t>
      </w:r>
    </w:p>
    <w:p w14:paraId="1457E323" w14:textId="77777777" w:rsidR="006E35AB" w:rsidRPr="009E2CDE" w:rsidRDefault="006E35AB" w:rsidP="006E35AB">
      <w:pPr>
        <w:spacing w:after="120" w:line="276" w:lineRule="auto"/>
        <w:ind w:firstLine="709"/>
        <w:jc w:val="both"/>
        <w:rPr>
          <w:rFonts w:ascii="Verdana" w:hAnsi="Verdana" w:cs="Arial"/>
          <w:lang w:val="es-MX"/>
          <w14:ligatures w14:val="standardContextual"/>
        </w:rPr>
      </w:pPr>
      <w:r w:rsidRPr="009E2CDE">
        <w:rPr>
          <w:rFonts w:ascii="Verdana" w:hAnsi="Verdana" w:cs="Arial"/>
          <w:lang w:val="es-MX"/>
          <w14:ligatures w14:val="standardContextual"/>
        </w:rPr>
        <w:t>Conforme a lo anterior, las instituciones educativas pertenecen a la entidad territorial que haya efectuado su reconocimiento de carácter oficial. No obstante, carecen de personería jurídica, pero tienen capacidad para contratar y se concreta en la competencia que le otorgó el legislador en la Ley 715 de 2001 para administrar los fondos de servicios educativos, siendo cuentas contables que les permiten a las instituciones realizar la gestión y ejecución presupuestal de los recursos que reciben los establecimientos educativos</w:t>
      </w:r>
      <w:r w:rsidRPr="009E2CDE">
        <w:rPr>
          <w:rFonts w:ascii="Verdana" w:hAnsi="Verdana" w:cs="Arial"/>
          <w:vertAlign w:val="superscript"/>
          <w:lang w:val="es-MX"/>
          <w14:ligatures w14:val="standardContextual"/>
        </w:rPr>
        <w:footnoteReference w:id="1"/>
      </w:r>
      <w:r w:rsidRPr="009E2CDE">
        <w:rPr>
          <w:rFonts w:ascii="Verdana" w:hAnsi="Verdana" w:cs="Arial"/>
          <w:lang w:val="es-MX"/>
          <w14:ligatures w14:val="standardContextual"/>
        </w:rPr>
        <w:t>.</w:t>
      </w:r>
    </w:p>
    <w:p w14:paraId="0AB17269" w14:textId="77777777" w:rsidR="006E35AB" w:rsidRPr="009E2CDE" w:rsidRDefault="006E35AB" w:rsidP="006E35AB">
      <w:pPr>
        <w:spacing w:after="120" w:line="276" w:lineRule="auto"/>
        <w:ind w:firstLine="709"/>
        <w:jc w:val="both"/>
        <w:rPr>
          <w:rFonts w:ascii="Verdana" w:hAnsi="Verdana" w:cs="Arial"/>
          <w:lang w:val="es-MX"/>
          <w14:ligatures w14:val="standardContextual"/>
        </w:rPr>
      </w:pPr>
      <w:r w:rsidRPr="009E2CDE">
        <w:rPr>
          <w:rFonts w:ascii="Verdana" w:hAnsi="Verdana" w:cs="Arial"/>
          <w:lang w:val="es-MX"/>
          <w14:ligatures w14:val="standardContextual"/>
        </w:rPr>
        <w:lastRenderedPageBreak/>
        <w:t xml:space="preserve">Los fondos de servicios educativos tampoco cuentan con personería jurídica según lo previsto en el artículo </w:t>
      </w:r>
      <w:bookmarkStart w:id="4" w:name="_Hlk198934350"/>
      <w:r w:rsidRPr="009E2CDE">
        <w:rPr>
          <w:rFonts w:ascii="Verdana" w:hAnsi="Verdana" w:cs="Arial"/>
          <w:lang w:val="es-MX"/>
          <w14:ligatures w14:val="standardContextual"/>
        </w:rPr>
        <w:t xml:space="preserve">2.3.1.6.3.4 </w:t>
      </w:r>
      <w:bookmarkEnd w:id="4"/>
      <w:r w:rsidRPr="009E2CDE">
        <w:rPr>
          <w:rFonts w:ascii="Verdana" w:hAnsi="Verdana" w:cs="Arial"/>
          <w:lang w:val="es-MX"/>
          <w14:ligatures w14:val="standardContextual"/>
        </w:rPr>
        <w:t xml:space="preserve">del </w:t>
      </w:r>
      <w:bookmarkStart w:id="5" w:name="_Hlk198934340"/>
      <w:r w:rsidRPr="009E2CDE">
        <w:rPr>
          <w:rFonts w:ascii="Verdana" w:hAnsi="Verdana" w:cs="Arial"/>
          <w:lang w:val="es-MX"/>
          <w14:ligatures w14:val="standardContextual"/>
        </w:rPr>
        <w:t>Decreto 1075 de 2015</w:t>
      </w:r>
      <w:bookmarkEnd w:id="5"/>
      <w:r w:rsidRPr="009E2CDE">
        <w:rPr>
          <w:rFonts w:ascii="Verdana" w:hAnsi="Verdana" w:cs="Arial"/>
          <w:lang w:val="es-MX"/>
          <w14:ligatures w14:val="standardContextual"/>
        </w:rPr>
        <w:t>, Decreto Único Reglamentario del Sector Educación: “Artículo 2.3.1.6.3.4. Ordenación del gasto. Los fondos de servicios educativos carecen de personería jurídica. El rector o director rural es el ordenador del gasto del Fondo de Servicios Educativos y su ejercicio no implica representación legal”</w:t>
      </w:r>
      <w:r w:rsidRPr="009E2CDE">
        <w:rPr>
          <w:rFonts w:ascii="Verdana" w:hAnsi="Verdana" w:cs="Arial"/>
          <w:vertAlign w:val="superscript"/>
          <w:lang w:val="es-MX"/>
          <w14:ligatures w14:val="standardContextual"/>
        </w:rPr>
        <w:footnoteReference w:id="2"/>
      </w:r>
      <w:r w:rsidRPr="009E2CDE">
        <w:rPr>
          <w:rFonts w:ascii="Verdana" w:hAnsi="Verdana" w:cs="Arial"/>
          <w:lang w:val="es-MX"/>
          <w14:ligatures w14:val="standardContextual"/>
        </w:rPr>
        <w:t>.</w:t>
      </w:r>
    </w:p>
    <w:p w14:paraId="547EDE91" w14:textId="77777777" w:rsidR="006E35AB" w:rsidRPr="009E2CDE" w:rsidRDefault="006E35AB" w:rsidP="006E35AB">
      <w:pPr>
        <w:spacing w:after="120" w:line="276" w:lineRule="auto"/>
        <w:ind w:firstLine="709"/>
        <w:jc w:val="both"/>
        <w:rPr>
          <w:rFonts w:ascii="Verdana" w:hAnsi="Verdana" w:cs="Arial"/>
          <w:lang w:val="es-MX"/>
          <w14:ligatures w14:val="standardContextual"/>
        </w:rPr>
      </w:pPr>
      <w:bookmarkStart w:id="6" w:name="_Hlk114553994"/>
      <w:r w:rsidRPr="009E2CDE">
        <w:rPr>
          <w:rFonts w:ascii="Verdana" w:hAnsi="Verdana" w:cs="Arial"/>
          <w:lang w:val="es-MX"/>
          <w14:ligatures w14:val="standardContextual"/>
        </w:rPr>
        <w:t>Respecto de la capacidad para contratar con la que cuentan las instituciones educativas por medio de los fondos de servicios educativos, hay que precisar que cuando se trata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r w:rsidRPr="009E2CDE">
        <w:rPr>
          <w:rFonts w:ascii="Verdana" w:hAnsi="Verdana" w:cs="Arial"/>
          <w:vertAlign w:val="superscript"/>
          <w:lang w:val="es-MX"/>
          <w14:ligatures w14:val="standardContextual"/>
        </w:rPr>
        <w:footnoteReference w:id="3"/>
      </w:r>
      <w:r w:rsidRPr="009E2CDE">
        <w:rPr>
          <w:rFonts w:ascii="Verdana" w:hAnsi="Verdana" w:cs="Arial"/>
          <w:lang w:val="es-MX"/>
          <w14:ligatures w14:val="standardContextual"/>
        </w:rPr>
        <w:t xml:space="preserve">. </w:t>
      </w:r>
    </w:p>
    <w:p w14:paraId="222D31E6" w14:textId="77777777" w:rsidR="006E35AB" w:rsidRPr="009E2CDE" w:rsidRDefault="006E35AB" w:rsidP="006E35AB">
      <w:pPr>
        <w:spacing w:after="120" w:line="276" w:lineRule="auto"/>
        <w:ind w:firstLine="709"/>
        <w:jc w:val="both"/>
        <w:rPr>
          <w:rFonts w:ascii="Verdana" w:hAnsi="Verdana" w:cs="Arial"/>
          <w:lang w:val="es-MX"/>
          <w14:ligatures w14:val="standardContextual"/>
        </w:rPr>
      </w:pPr>
      <w:r w:rsidRPr="009E2CDE">
        <w:rPr>
          <w:rFonts w:ascii="Verdana" w:hAnsi="Verdana" w:cs="Arial"/>
          <w:lang w:val="es-MX"/>
          <w14:ligatures w14:val="standardContextual"/>
        </w:rPr>
        <w:t xml:space="preserve">Esto significa que la contratación que realicen las instituciones educativas, siempre que se ubique por debajo del referido umbral, no aplicará las reglas del EGCAP, sino a las determinadas por el reglamento expedido por el consejo directivo de la institución educativa conforme al artículo 13 de la Ley 715 de 2001, que implica que tales reglamentos se expidan de conformidad con los </w:t>
      </w:r>
      <w:r w:rsidRPr="009E2CDE">
        <w:rPr>
          <w:rFonts w:ascii="Verdana" w:hAnsi="Verdana" w:cs="Arial"/>
          <w:lang w:val="es-MX"/>
          <w14:ligatures w14:val="standardContextual"/>
        </w:rPr>
        <w:lastRenderedPageBreak/>
        <w:t xml:space="preserve">principios de igualdad, moralidad, imparcialidad y publicidad,  así como de acuerdo con la experiencia y el análisis concreto de las necesidades del establecimiento, determinando los trámites, garantías y constancias que deben cumplirse para que el rector o director celebre cualquier acto o contrato que cree, extinga o modifique obligaciones con cargo al respectivo fondo de servicios educativos. </w:t>
      </w:r>
    </w:p>
    <w:p w14:paraId="3AE01A80" w14:textId="77777777" w:rsidR="006E35AB" w:rsidRPr="009E2CDE" w:rsidRDefault="006E35AB" w:rsidP="006E35AB">
      <w:pPr>
        <w:spacing w:after="120" w:line="276" w:lineRule="auto"/>
        <w:ind w:firstLine="709"/>
        <w:jc w:val="both"/>
        <w:rPr>
          <w:rFonts w:ascii="Verdana" w:eastAsia="Times New Roman" w:hAnsi="Verdana" w:cs="Arial"/>
          <w:lang w:eastAsia="es-MX"/>
          <w14:ligatures w14:val="standardContextual"/>
        </w:rPr>
      </w:pPr>
      <w:bookmarkStart w:id="7" w:name="_Hlk114554080"/>
      <w:bookmarkEnd w:id="6"/>
      <w:r w:rsidRPr="009E2CDE">
        <w:rPr>
          <w:rFonts w:ascii="Verdana" w:eastAsia="Times New Roman" w:hAnsi="Verdana" w:cs="Arial"/>
          <w:lang w:eastAsia="es-MX"/>
          <w14:ligatures w14:val="standardContextual"/>
        </w:rPr>
        <w:t xml:space="preserve">En ese sentido, tratándose de la contratación realizada por dichas instituciones por debajo de la cuantía de veinte (20) salarios mínimos legales mensuales vigentes, es el consejo directivo quien tiene la competencia para establecer las reglas conforme a las cuales debe realizarse la adquisición de bienes, obras y servicios, incluidos los procedimientos, mecanismos, requisitos y formalidades que deben respetarse en estos procesos de contratación. </w:t>
      </w:r>
    </w:p>
    <w:p w14:paraId="42656117" w14:textId="77777777" w:rsidR="006E35AB" w:rsidRPr="009E2CDE" w:rsidRDefault="006E35AB" w:rsidP="006E35AB">
      <w:pPr>
        <w:spacing w:after="120" w:line="276" w:lineRule="auto"/>
        <w:ind w:firstLine="709"/>
        <w:jc w:val="both"/>
        <w:rPr>
          <w:rFonts w:ascii="Verdana" w:eastAsia="Times New Roman" w:hAnsi="Verdana" w:cs="Arial"/>
          <w:lang w:eastAsia="es-MX"/>
          <w14:ligatures w14:val="standardContextual"/>
        </w:rPr>
      </w:pPr>
      <w:r w:rsidRPr="009E2CDE">
        <w:rPr>
          <w:rFonts w:ascii="Verdana" w:eastAsia="Times New Roman" w:hAnsi="Verdana" w:cs="Arial"/>
          <w:lang w:eastAsia="es-MX"/>
          <w14:ligatures w14:val="standardContextual"/>
        </w:rPr>
        <w:t>Por el contrario, cuando la celebración de contratos a que haya lugar con recursos del fondo de servicios educativos supere la cuantía de los veinte (20) salarios mínimos legales mensuales vigentes, debe hacerse con estricta sujeción a lo dispuesto en la Ley 80 de 1993. Es decir, las reglas a las que deben sujetarse los procedimientos dentro de los que se enmarque esta contratación son las del EGCAP, procediendo la aplicación de las modalidades de selección definidas en la Ley 1150 de 2007, así como los requisitos y formalidades establecidos en el Decreto 1082 del 2015 y demás normas aplicables.</w:t>
      </w:r>
    </w:p>
    <w:bookmarkEnd w:id="7"/>
    <w:p w14:paraId="464A78DC" w14:textId="77777777" w:rsidR="006E35AB" w:rsidRPr="009E2CDE" w:rsidRDefault="006E35AB" w:rsidP="006E35AB">
      <w:pPr>
        <w:spacing w:before="120" w:after="0" w:line="276" w:lineRule="auto"/>
        <w:ind w:firstLine="709"/>
        <w:jc w:val="both"/>
        <w:rPr>
          <w:rFonts w:ascii="Verdana" w:eastAsia="Times New Roman" w:hAnsi="Verdana" w:cs="Arial"/>
          <w:lang w:eastAsia="es-MX"/>
          <w14:ligatures w14:val="standardContextual"/>
        </w:rPr>
      </w:pPr>
      <w:r w:rsidRPr="009E2CDE">
        <w:rPr>
          <w:rFonts w:ascii="Verdana" w:eastAsia="Times New Roman" w:hAnsi="Verdana" w:cs="Arial"/>
          <w:lang w:eastAsia="es-MX"/>
          <w14:ligatures w14:val="standardContextual"/>
        </w:rPr>
        <w:t xml:space="preserve">En lo que respecta al régimen sustantivo de los contratos estatales sometidos a la Ley 80 de 1993, el inciso primero del artículo 13 dispone que: “Los contratos que celebren las entidades a que se refiere el artículo 2o. del presente estatuto se regirán por las disposiciones comerciales y civiles pertinentes, salvo en las materias particularmente reguladas en esta ley”. En concordancia con los artículos 32 y 40 </w:t>
      </w:r>
      <w:r w:rsidRPr="009E2CDE">
        <w:rPr>
          <w:rFonts w:ascii="Verdana" w:eastAsia="Times New Roman" w:hAnsi="Verdana" w:cs="Arial"/>
          <w:i/>
          <w:iCs/>
          <w:lang w:eastAsia="es-MX"/>
          <w14:ligatures w14:val="standardContextual"/>
        </w:rPr>
        <w:t>ibídem</w:t>
      </w:r>
      <w:r w:rsidRPr="009E2CDE">
        <w:rPr>
          <w:rFonts w:ascii="Verdana" w:eastAsia="Times New Roman" w:hAnsi="Verdana" w:cs="Arial"/>
          <w:vertAlign w:val="superscript"/>
          <w:lang w:eastAsia="es-MX"/>
          <w14:ligatures w14:val="standardContextual"/>
        </w:rPr>
        <w:footnoteReference w:id="4"/>
      </w:r>
      <w:r w:rsidRPr="009E2CDE">
        <w:rPr>
          <w:rFonts w:ascii="Verdana" w:eastAsia="Times New Roman" w:hAnsi="Verdana" w:cs="Arial"/>
          <w:lang w:eastAsia="es-MX"/>
          <w14:ligatures w14:val="standardContextual"/>
        </w:rPr>
        <w:t xml:space="preserve">, esto significa que los contratos de las entidades sometidas al EGCAP se rigen generalmente por el derecho privado y, excepcionalmente, por el derecho público, pues las normas civiles y </w:t>
      </w:r>
      <w:r w:rsidRPr="009E2CDE">
        <w:rPr>
          <w:rFonts w:ascii="Verdana" w:eastAsia="Times New Roman" w:hAnsi="Verdana" w:cs="Arial"/>
          <w:lang w:eastAsia="es-MX"/>
          <w14:ligatures w14:val="standardContextual"/>
        </w:rPr>
        <w:lastRenderedPageBreak/>
        <w:t>comerciales son el derecho común de los contratos estatales</w:t>
      </w:r>
      <w:r w:rsidRPr="009E2CDE">
        <w:rPr>
          <w:rFonts w:ascii="Verdana" w:eastAsia="Times New Roman" w:hAnsi="Verdana" w:cs="Arial"/>
          <w:vertAlign w:val="superscript"/>
          <w:lang w:eastAsia="es-MX"/>
          <w14:ligatures w14:val="standardContextual"/>
        </w:rPr>
        <w:footnoteReference w:id="5"/>
      </w:r>
      <w:r w:rsidRPr="009E2CDE">
        <w:rPr>
          <w:rFonts w:ascii="Verdana" w:eastAsia="Times New Roman" w:hAnsi="Verdana" w:cs="Arial"/>
          <w:lang w:eastAsia="es-MX"/>
          <w14:ligatures w14:val="standardContextual"/>
        </w:rPr>
        <w:t>. Así lo ha entendido la doctrina:</w:t>
      </w:r>
    </w:p>
    <w:p w14:paraId="320B7108" w14:textId="77777777" w:rsidR="006E35AB" w:rsidRPr="009E2CDE" w:rsidRDefault="006E35AB" w:rsidP="006E35AB">
      <w:pPr>
        <w:spacing w:after="0" w:line="276" w:lineRule="auto"/>
        <w:ind w:firstLine="709"/>
        <w:contextualSpacing/>
        <w:jc w:val="both"/>
        <w:rPr>
          <w:rFonts w:ascii="Verdana" w:eastAsia="Times New Roman" w:hAnsi="Verdana" w:cs="Arial"/>
          <w:lang w:eastAsia="es-MX"/>
          <w14:ligatures w14:val="standardContextual"/>
        </w:rPr>
      </w:pPr>
    </w:p>
    <w:p w14:paraId="7BFC02F7" w14:textId="77777777" w:rsidR="006E35AB" w:rsidRPr="009E2CDE" w:rsidRDefault="006E35AB" w:rsidP="006E35AB">
      <w:pPr>
        <w:spacing w:after="0" w:line="240" w:lineRule="auto"/>
        <w:ind w:left="709" w:right="709"/>
        <w:contextualSpacing/>
        <w:jc w:val="both"/>
        <w:rPr>
          <w:rFonts w:ascii="Verdana" w:eastAsia="Times New Roman" w:hAnsi="Verdana" w:cs="Arial"/>
          <w:sz w:val="20"/>
          <w:szCs w:val="20"/>
          <w:lang w:eastAsia="es-MX"/>
          <w14:ligatures w14:val="standardContextual"/>
        </w:rPr>
      </w:pPr>
      <w:r w:rsidRPr="009E2CDE">
        <w:rPr>
          <w:rFonts w:ascii="Verdana" w:eastAsia="Times New Roman" w:hAnsi="Verdana" w:cs="Arial"/>
          <w:sz w:val="20"/>
          <w:szCs w:val="20"/>
          <w:lang w:eastAsia="es-MX"/>
          <w14:ligatures w14:val="standardContextual"/>
        </w:rPr>
        <w:t>“[…] no hace otra cosa que aprovechar ciertos principios rectores de las contratación general que aunque tengan su consagración en códigos de derecho privado como el civil y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Extremos éstos que de derecho privado no tienen sino […] el nombre y que la tradición, desde su origen romano se acostumbró a calificarlos así y a no preocuparse por su cuestionamiento. En otras palabras, extremos como los indicados […] son […] de derecho propio, aplicables a toda relación contractual, con prescindencia de los sujetos involucrados en la misma”</w:t>
      </w:r>
      <w:r w:rsidRPr="009E2CDE">
        <w:rPr>
          <w:rFonts w:ascii="Verdana" w:eastAsia="Times New Roman" w:hAnsi="Verdana" w:cs="Arial"/>
          <w:sz w:val="20"/>
          <w:szCs w:val="20"/>
          <w:vertAlign w:val="superscript"/>
          <w:lang w:eastAsia="es-MX"/>
          <w14:ligatures w14:val="standardContextual"/>
        </w:rPr>
        <w:footnoteReference w:id="6"/>
      </w:r>
      <w:r w:rsidRPr="009E2CDE">
        <w:rPr>
          <w:rFonts w:ascii="Verdana" w:eastAsia="Times New Roman" w:hAnsi="Verdana" w:cs="Arial"/>
          <w:sz w:val="20"/>
          <w:szCs w:val="20"/>
          <w:lang w:eastAsia="es-MX"/>
          <w14:ligatures w14:val="standardContextual"/>
        </w:rPr>
        <w:t xml:space="preserve">. </w:t>
      </w:r>
    </w:p>
    <w:p w14:paraId="0E0AAD61" w14:textId="77777777" w:rsidR="006E35AB" w:rsidRPr="009E2CDE" w:rsidRDefault="006E35AB" w:rsidP="006E35AB">
      <w:pPr>
        <w:spacing w:after="0" w:line="276" w:lineRule="auto"/>
        <w:ind w:left="709" w:right="709"/>
        <w:contextualSpacing/>
        <w:jc w:val="both"/>
        <w:rPr>
          <w:rFonts w:ascii="Verdana" w:eastAsia="Times New Roman" w:hAnsi="Verdana" w:cs="Arial"/>
          <w:lang w:eastAsia="es-MX"/>
          <w14:ligatures w14:val="standardContextual"/>
        </w:rPr>
      </w:pPr>
      <w:r w:rsidRPr="009E2CDE">
        <w:rPr>
          <w:rFonts w:ascii="Verdana" w:eastAsia="Times New Roman" w:hAnsi="Verdana" w:cs="Arial"/>
          <w:lang w:eastAsia="es-MX"/>
          <w14:ligatures w14:val="standardContextual"/>
        </w:rPr>
        <w:t xml:space="preserve"> </w:t>
      </w:r>
    </w:p>
    <w:p w14:paraId="4AAA083A" w14:textId="77777777" w:rsidR="006E35AB" w:rsidRPr="009E2CDE" w:rsidRDefault="006E35AB" w:rsidP="006E35AB">
      <w:pPr>
        <w:spacing w:after="120" w:line="276" w:lineRule="auto"/>
        <w:jc w:val="both"/>
        <w:rPr>
          <w:rFonts w:ascii="Verdana" w:eastAsia="Times New Roman" w:hAnsi="Verdana" w:cs="Arial"/>
          <w:lang w:eastAsia="es-MX"/>
          <w14:ligatures w14:val="standardContextual"/>
        </w:rPr>
      </w:pPr>
      <w:r w:rsidRPr="009E2CDE">
        <w:rPr>
          <w:rFonts w:ascii="Verdana" w:eastAsia="Times New Roman" w:hAnsi="Verdana" w:cs="Arial"/>
          <w:lang w:eastAsia="es-MX"/>
          <w14:ligatures w14:val="standardContextual"/>
        </w:rPr>
        <w:tab/>
        <w:t>Ello no implica una privatización fuerte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EGCAP, es posible aplicar las normas civiles y comerciales.</w:t>
      </w:r>
    </w:p>
    <w:p w14:paraId="780A766E" w14:textId="77777777" w:rsidR="006E35AB" w:rsidRPr="009E2CDE" w:rsidRDefault="006E35AB" w:rsidP="006E35AB">
      <w:pPr>
        <w:spacing w:after="120" w:line="276" w:lineRule="auto"/>
        <w:jc w:val="both"/>
        <w:rPr>
          <w:rFonts w:ascii="Verdana" w:eastAsia="Times New Roman" w:hAnsi="Verdana" w:cs="Arial"/>
          <w:lang w:eastAsia="es-MX"/>
          <w14:ligatures w14:val="standardContextual"/>
        </w:rPr>
      </w:pPr>
      <w:r w:rsidRPr="009E2CDE">
        <w:rPr>
          <w:rFonts w:ascii="Verdana" w:eastAsia="Times New Roman" w:hAnsi="Verdana" w:cs="Arial"/>
          <w:lang w:eastAsia="es-MX"/>
          <w14:ligatures w14:val="standardContextual"/>
        </w:rPr>
        <w:tab/>
        <w:t xml:space="preserve">En lo que respecta a los contratos exceptuados de la Ley 80 de 1993, si bien el régimen sustantivo no se rige por los citados artículos 13, 32 y 40 del Estatuto General de Contratación de la Administración Pública, es necesario aplicar las normas generales de las obligaciones y de los contratos dispuestas en el Código Civil y de Comercio. Esto en la medida que, como se explicó, el derecho privado es aplicable a todo contrato con independencia de los sujetos, especialmente en lo relacionado con los requisitos de consentimiento válido, objeto y causa lícitos, capacidad, elementos esenciales según la naturaleza de cada contrato, responsabilidad, naturaleza de las obligaciones emanadas de los mismos, etc., pues contiene las reglas comunes de la materia. </w:t>
      </w:r>
    </w:p>
    <w:p w14:paraId="446E403D" w14:textId="77777777" w:rsidR="006E35AB" w:rsidRPr="009E2CDE" w:rsidRDefault="006E35AB" w:rsidP="006E35AB">
      <w:pPr>
        <w:spacing w:after="120" w:line="276" w:lineRule="auto"/>
        <w:jc w:val="both"/>
        <w:rPr>
          <w:rFonts w:ascii="Verdana" w:eastAsia="Times New Roman" w:hAnsi="Verdana" w:cs="Arial"/>
          <w:lang w:eastAsia="es-MX"/>
          <w14:ligatures w14:val="standardContextual"/>
        </w:rPr>
      </w:pPr>
      <w:r w:rsidRPr="009E2CDE">
        <w:rPr>
          <w:rFonts w:ascii="Verdana" w:eastAsia="Times New Roman" w:hAnsi="Verdana" w:cs="Arial"/>
          <w:lang w:eastAsia="es-MX"/>
          <w14:ligatures w14:val="standardContextual"/>
        </w:rPr>
        <w:lastRenderedPageBreak/>
        <w:tab/>
        <w:t xml:space="preserve">En consecuencia, cuando los contratos no superen los veinte (20) salarios mínimos legales mensuales vigentes, el régimen sustantivo de los contratos celebrados con recursos del fondo de servicios educativos también se rige por el derecho privado. Dado que el artículo 13 de la Ley 715 de 2001, en concordancia con el artículo </w:t>
      </w:r>
      <w:bookmarkStart w:id="10" w:name="_Hlk198934507"/>
      <w:r w:rsidRPr="009E2CDE">
        <w:rPr>
          <w:rFonts w:ascii="Verdana" w:eastAsia="Times New Roman" w:hAnsi="Verdana" w:cs="Arial"/>
          <w:lang w:eastAsia="es-MX"/>
          <w14:ligatures w14:val="standardContextual"/>
        </w:rPr>
        <w:t>2.3.1.6.3.17.</w:t>
      </w:r>
      <w:bookmarkEnd w:id="10"/>
      <w:r w:rsidRPr="009E2CDE">
        <w:rPr>
          <w:rFonts w:ascii="Verdana" w:eastAsia="Times New Roman" w:hAnsi="Verdana" w:cs="Arial"/>
          <w:lang w:eastAsia="es-MX"/>
          <w14:ligatures w14:val="standardContextual"/>
        </w:rPr>
        <w:t xml:space="preserve"> del Decreto 1075 de 2015, permite que el consejo directivo regule “[…] los trámites, garantías y constancias que deben cumplirse para que el rector o director celebre cualquier acto o contrato que cree, extinga o modifique obligaciones que deban registrarse en el Fondo […]”, el reglamento que defina los procedimientos aplicables complementa las normas civiles y comerciales, sin que este acto administrativo pueda modificar o derogar estas últimas por tratarse de aspectos regulados en la ley. </w:t>
      </w:r>
    </w:p>
    <w:p w14:paraId="54A33BC0" w14:textId="77777777" w:rsidR="006E35AB" w:rsidRDefault="006E35AB" w:rsidP="006E35AB">
      <w:pPr>
        <w:spacing w:after="120" w:line="276" w:lineRule="auto"/>
        <w:ind w:firstLine="709"/>
        <w:jc w:val="both"/>
        <w:rPr>
          <w:rFonts w:ascii="Verdana" w:eastAsia="Times New Roman" w:hAnsi="Verdana" w:cs="Arial"/>
          <w:lang w:eastAsia="es-MX"/>
          <w14:ligatures w14:val="standardContextual"/>
        </w:rPr>
      </w:pPr>
      <w:r w:rsidRPr="009E2CDE">
        <w:rPr>
          <w:rFonts w:ascii="Verdana" w:eastAsia="Times New Roman" w:hAnsi="Verdana" w:cs="Arial"/>
          <w:lang w:eastAsia="es-MX"/>
          <w14:ligatures w14:val="standardContextual"/>
        </w:rPr>
        <w:t>Naturalmente, los contratos mencionados en el párrafo precedente no se rigen exclusivamente por las normas civiles y comerciales, pues además del reglamento del consejo directivo, el artículo 13 de la Ley 1150 de 2007 dispone que la contratación exceptuada del EGCAP también se rige por los principios de la función administrativa, los principios de la gestión fiscal y el régimen de inhabilidades e incompatibilidades previsto para la contratación estatal</w:t>
      </w:r>
      <w:r w:rsidRPr="009E2CDE">
        <w:rPr>
          <w:rFonts w:ascii="Verdana" w:eastAsia="Times New Roman" w:hAnsi="Verdana" w:cs="Arial"/>
          <w:vertAlign w:val="superscript"/>
          <w:lang w:eastAsia="es-MX"/>
          <w14:ligatures w14:val="standardContextual"/>
        </w:rPr>
        <w:footnoteReference w:id="7"/>
      </w:r>
      <w:r w:rsidRPr="009E2CDE">
        <w:rPr>
          <w:rFonts w:ascii="Verdana" w:eastAsia="Times New Roman" w:hAnsi="Verdana" w:cs="Arial"/>
          <w:lang w:eastAsia="es-MX"/>
          <w14:ligatures w14:val="standardContextual"/>
        </w:rPr>
        <w:t xml:space="preserve">. </w:t>
      </w:r>
    </w:p>
    <w:p w14:paraId="15381B8E" w14:textId="77777777" w:rsidR="006E35AB" w:rsidRPr="0014463E" w:rsidRDefault="006E35AB" w:rsidP="006E35AB">
      <w:pPr>
        <w:tabs>
          <w:tab w:val="left" w:pos="709"/>
        </w:tabs>
        <w:spacing w:before="120" w:after="120" w:line="276" w:lineRule="auto"/>
        <w:jc w:val="both"/>
        <w:rPr>
          <w:rFonts w:ascii="Verdana" w:eastAsia="Calibri" w:hAnsi="Verdana" w:cs="Arial"/>
          <w:shd w:val="clear" w:color="auto" w:fill="FFFFFF"/>
        </w:rPr>
      </w:pPr>
      <w:r w:rsidRPr="00F2184E">
        <w:rPr>
          <w:rFonts w:ascii="Verdana" w:eastAsia="Times New Roman" w:hAnsi="Verdana" w:cs="Arial"/>
          <w:lang w:eastAsia="es-MX"/>
          <w14:ligatures w14:val="standardContextual"/>
        </w:rPr>
        <w:t xml:space="preserve">ii. </w:t>
      </w:r>
      <w:r w:rsidRPr="0014463E">
        <w:rPr>
          <w:rFonts w:ascii="Verdana" w:eastAsia="Times New Roman" w:hAnsi="Verdana" w:cs="Arial"/>
          <w:lang w:eastAsia="es-MX"/>
          <w14:ligatures w14:val="standardContextual"/>
        </w:rPr>
        <w:t xml:space="preserve">Por otra parte, </w:t>
      </w:r>
      <w:r w:rsidRPr="0014463E">
        <w:rPr>
          <w:rFonts w:ascii="Verdana" w:eastAsia="Aptos" w:hAnsi="Verdana" w:cs="Arial"/>
          <w:bCs/>
        </w:rPr>
        <w:t xml:space="preserve">es preciso indicar que </w:t>
      </w:r>
      <w:r w:rsidRPr="0014463E">
        <w:rPr>
          <w:rFonts w:ascii="Verdana" w:eastAsia="Calibri" w:hAnsi="Verdana" w:cs="Arial"/>
          <w:shd w:val="clear" w:color="auto" w:fill="FFFFFF"/>
        </w:rPr>
        <w:t xml:space="preserve">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w:t>
      </w:r>
      <w:r w:rsidRPr="0014463E">
        <w:rPr>
          <w:rFonts w:ascii="Verdana" w:eastAsia="Calibri" w:hAnsi="Verdana" w:cs="Arial"/>
          <w:i/>
          <w:iCs/>
          <w:u w:val="single"/>
          <w:shd w:val="clear" w:color="auto" w:fill="FFFFFF"/>
        </w:rPr>
        <w:t>realizada con dineros públicos</w:t>
      </w:r>
      <w:r w:rsidRPr="0014463E">
        <w:rPr>
          <w:rFonts w:ascii="Verdana" w:eastAsia="Calibri" w:hAnsi="Verdana" w:cs="Arial"/>
          <w:shd w:val="clear" w:color="auto" w:fill="FFFFFF"/>
        </w:rPr>
        <w:t>, para lo cual establecerá los patrones a que haya lugar y se encargará de su difusión a través de canales electrónicos”</w:t>
      </w:r>
      <w:r w:rsidRPr="0014463E">
        <w:rPr>
          <w:rFonts w:ascii="Aptos" w:eastAsia="Aptos" w:hAnsi="Aptos" w:cs="Times New Roman"/>
          <w:color w:val="000000"/>
          <w:vertAlign w:val="superscript"/>
          <w:lang w:val="es-ES_tradnl"/>
        </w:rPr>
        <w:footnoteReference w:id="8"/>
      </w:r>
      <w:r w:rsidRPr="0014463E">
        <w:rPr>
          <w:rFonts w:ascii="Verdana" w:eastAsia="Calibri" w:hAnsi="Verdana" w:cs="Arial"/>
          <w:color w:val="000000"/>
          <w:lang w:val="es-ES_tradnl"/>
        </w:rPr>
        <w:t>. [Énfasis fuera de texto]</w:t>
      </w:r>
    </w:p>
    <w:p w14:paraId="2485D228" w14:textId="77777777" w:rsidR="006E35AB" w:rsidRPr="0014463E" w:rsidRDefault="006E35AB" w:rsidP="006E35AB">
      <w:pPr>
        <w:spacing w:before="120" w:after="120" w:line="276" w:lineRule="auto"/>
        <w:ind w:firstLine="709"/>
        <w:jc w:val="both"/>
        <w:rPr>
          <w:rFonts w:ascii="Verdana" w:eastAsia="Calibri" w:hAnsi="Verdana" w:cs="Arial"/>
          <w:color w:val="000000"/>
          <w:lang w:val="es-ES_tradnl"/>
        </w:rPr>
      </w:pPr>
      <w:r w:rsidRPr="0014463E">
        <w:rPr>
          <w:rFonts w:ascii="Verdana" w:eastAsia="Calibri" w:hAnsi="Verdana" w:cs="Arial"/>
          <w:shd w:val="clear" w:color="auto" w:fill="FFFFFF"/>
        </w:rPr>
        <w:lastRenderedPageBreak/>
        <w:t>En ese sentido, la Ley 1712 de 2014 –ley estatutaria que regula la transparencia y el derecho de acceso a la información y a los documentos públicos–; identifica como principios que orientan el derecho de acceso a la información pública, el</w:t>
      </w:r>
      <w:r w:rsidRPr="0014463E">
        <w:rPr>
          <w:rFonts w:ascii="Verdana" w:eastAsia="Calibri" w:hAnsi="Verdana" w:cs="Arial"/>
          <w:color w:val="000000"/>
          <w:lang w:val="es-ES_tradnl"/>
        </w:rPr>
        <w:t xml:space="preserve">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14463E">
        <w:rPr>
          <w:rFonts w:ascii="Aptos" w:eastAsia="Aptos" w:hAnsi="Aptos" w:cs="Times New Roman"/>
          <w:color w:val="000000"/>
          <w:vertAlign w:val="superscript"/>
          <w:lang w:val="es-ES_tradnl"/>
        </w:rPr>
        <w:footnoteReference w:id="9"/>
      </w:r>
      <w:r w:rsidRPr="0014463E">
        <w:rPr>
          <w:rFonts w:ascii="Verdana" w:eastAsia="Calibri" w:hAnsi="Verdana" w:cs="Arial"/>
          <w:color w:val="000000"/>
          <w:lang w:val="es-ES_tradnl"/>
        </w:rPr>
        <w:t>. El principio de transparencia en la información alude al deber de los sujetos de proporcionar y facilitar el acceso a la misma en los términos más amplios posibles, y a través de los medios y procedimientos legales. La Ley estatutaria citada establece, en el literal e) del artículo 9, que los sujetos obligados, que son todas las entidades públicas</w:t>
      </w:r>
      <w:r w:rsidRPr="0014463E">
        <w:rPr>
          <w:rFonts w:ascii="Aptos" w:eastAsia="Aptos" w:hAnsi="Aptos" w:cs="Times New Roman"/>
          <w:color w:val="000000"/>
          <w:vertAlign w:val="superscript"/>
          <w:lang w:val="es-ES_tradnl"/>
        </w:rPr>
        <w:footnoteReference w:id="10"/>
      </w:r>
      <w:r w:rsidRPr="0014463E">
        <w:rPr>
          <w:rFonts w:ascii="Verdana" w:eastAsia="Calibri" w:hAnsi="Verdana" w:cs="Arial"/>
          <w:color w:val="000000"/>
          <w:lang w:val="es-ES_tradnl"/>
        </w:rPr>
        <w:t>, deben publicar la información relativa a su contratación. Esta obligación fue desarrollada por el Decreto Único Reglamentario 1082 de 2015</w:t>
      </w:r>
      <w:r w:rsidRPr="0014463E">
        <w:rPr>
          <w:rFonts w:ascii="Aptos" w:eastAsia="Aptos" w:hAnsi="Aptos" w:cs="Times New Roman"/>
          <w:color w:val="000000"/>
          <w:vertAlign w:val="superscript"/>
          <w:lang w:val="es-ES_tradnl"/>
        </w:rPr>
        <w:footnoteReference w:id="11"/>
      </w:r>
      <w:r w:rsidRPr="0014463E">
        <w:rPr>
          <w:rFonts w:ascii="Verdana" w:eastAsia="Calibri" w:hAnsi="Verdana" w:cs="Arial"/>
          <w:color w:val="000000"/>
          <w:lang w:val="es-ES_tradnl"/>
        </w:rPr>
        <w:t>, el cual dispuso que la publicación de la información contractual de los sujetos obligados, que contratan con cargo a recursos públicos, debe hacerse en el SECOP.</w:t>
      </w:r>
    </w:p>
    <w:p w14:paraId="3CDC0B85" w14:textId="77777777" w:rsidR="006E35AB" w:rsidRPr="0014463E" w:rsidRDefault="006E35AB" w:rsidP="006E35AB">
      <w:pPr>
        <w:spacing w:before="120" w:after="0" w:line="276" w:lineRule="auto"/>
        <w:ind w:firstLine="708"/>
        <w:contextualSpacing/>
        <w:jc w:val="both"/>
        <w:rPr>
          <w:rFonts w:ascii="Verdana" w:eastAsia="Times New Roman" w:hAnsi="Verdana" w:cs="Arial"/>
          <w:color w:val="000000"/>
          <w:szCs w:val="24"/>
          <w:lang w:val="es-ES_tradnl" w:eastAsia="es-ES_tradnl"/>
        </w:rPr>
      </w:pPr>
      <w:r w:rsidRPr="0014463E">
        <w:rPr>
          <w:rFonts w:ascii="Verdana" w:eastAsia="Times New Roman" w:hAnsi="Verdana" w:cs="Arial"/>
          <w:color w:val="000000"/>
          <w:szCs w:val="24"/>
          <w:lang w:val="es-ES_tradnl" w:eastAsia="es-ES_tradnl"/>
        </w:rPr>
        <w:t xml:space="preserve">Asimismo, de acuerdo con el literal g) del artículo 11 de la misma ley, todos los destinatarios de la ley de transparencia deben garantizar la publicidad </w:t>
      </w:r>
      <w:r w:rsidRPr="0014463E">
        <w:rPr>
          <w:rFonts w:ascii="Verdana" w:eastAsia="Times New Roman" w:hAnsi="Verdana" w:cs="Arial"/>
          <w:color w:val="000000"/>
          <w:szCs w:val="24"/>
          <w:lang w:val="es-ES_tradnl" w:eastAsia="es-ES_tradnl"/>
        </w:rPr>
        <w:lastRenderedPageBreak/>
        <w:t xml:space="preserve">de “sus procedimientos, lineamientos, políticas en materia de adquisiciones y compras, así como todos los datos de adjudicación y ejecución de contratos, incluidos concursos y licitaciones”, y esta información también debe estar en el SECOP. </w:t>
      </w:r>
      <w:r w:rsidRPr="0014463E">
        <w:rPr>
          <w:rFonts w:ascii="Verdana" w:eastAsia="Calibri" w:hAnsi="Verdana" w:cs="Arial"/>
          <w:color w:val="000000"/>
          <w:szCs w:val="24"/>
          <w:lang w:val="es-ES_tradnl" w:eastAsia="es-ES_tradn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14463E">
        <w:rPr>
          <w:rFonts w:ascii="Aptos" w:eastAsia="Calibri" w:hAnsi="Aptos" w:cs="Times New Roman"/>
          <w:vertAlign w:val="superscript"/>
          <w:lang w:val="es-ES_tradnl" w:eastAsia="es-ES_tradnl"/>
        </w:rPr>
        <w:footnoteReference w:id="12"/>
      </w:r>
      <w:r w:rsidRPr="0014463E">
        <w:rPr>
          <w:rFonts w:ascii="Verdana" w:eastAsia="Calibri" w:hAnsi="Verdana" w:cs="Arial"/>
          <w:color w:val="000000"/>
          <w:szCs w:val="24"/>
          <w:lang w:val="es-ES_tradnl" w:eastAsia="es-ES_tradnl"/>
        </w:rPr>
        <w:t>.</w:t>
      </w:r>
    </w:p>
    <w:p w14:paraId="60B2AFA0" w14:textId="77777777" w:rsidR="006E35AB" w:rsidRPr="00F85E2F" w:rsidRDefault="006E35AB" w:rsidP="006E35AB">
      <w:pPr>
        <w:tabs>
          <w:tab w:val="left" w:pos="709"/>
        </w:tabs>
        <w:spacing w:before="120" w:after="120" w:line="276" w:lineRule="auto"/>
        <w:jc w:val="both"/>
        <w:rPr>
          <w:rFonts w:ascii="Verdana" w:eastAsia="Calibri" w:hAnsi="Verdana" w:cs="Arial"/>
          <w:shd w:val="clear" w:color="auto" w:fill="FFFFFF"/>
        </w:rPr>
      </w:pPr>
      <w:r w:rsidRPr="0014463E">
        <w:rPr>
          <w:rFonts w:ascii="Verdana" w:eastAsia="Calibri" w:hAnsi="Verdana" w:cs="Arial"/>
          <w:shd w:val="clear" w:color="auto" w:fill="FFFFFF"/>
        </w:rPr>
        <w:tab/>
        <w:t>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 Sin embargo, en lo referente a las Entidades exceptuadas del EGCAP, es decir aquellas que se rigen por disposiciones especiales y el derecho privado, debe señalarse que en virtud de lo dispuesto en el artículo 53 de la Ley 2195 de 2022</w:t>
      </w:r>
      <w:r w:rsidRPr="0014463E">
        <w:rPr>
          <w:rFonts w:ascii="Aptos" w:eastAsia="Aptos" w:hAnsi="Aptos" w:cs="Times New Roman"/>
          <w:shd w:val="clear" w:color="auto" w:fill="FFFFFF"/>
          <w:vertAlign w:val="superscript"/>
        </w:rPr>
        <w:footnoteReference w:id="13"/>
      </w:r>
      <w:r w:rsidRPr="0014463E">
        <w:rPr>
          <w:rFonts w:ascii="Verdana" w:eastAsia="Calibri" w:hAnsi="Verdana" w:cs="Arial"/>
          <w:shd w:val="clear" w:color="auto" w:fill="FFFFFF"/>
        </w:rPr>
        <w:t xml:space="preserve">, mediante el cual se adiciona el artículo 13 a la Ley 1150 de 2007, asigna </w:t>
      </w:r>
      <w:r w:rsidRPr="00F85E2F">
        <w:rPr>
          <w:rFonts w:ascii="Verdana" w:eastAsia="Calibri" w:hAnsi="Verdana" w:cs="Arial"/>
          <w:shd w:val="clear" w:color="auto" w:fill="FFFFFF"/>
        </w:rPr>
        <w:t>a dichas entidades la obligación de publicar los documentos relacionados con su actividad contractual en el SECOP II o la plataforma transaccional que haga sus veces.</w:t>
      </w:r>
    </w:p>
    <w:p w14:paraId="420883D0" w14:textId="77777777" w:rsidR="006E35AB" w:rsidRPr="00F85E2F" w:rsidRDefault="006E35AB" w:rsidP="006E35AB">
      <w:pPr>
        <w:spacing w:before="120" w:after="120" w:line="276" w:lineRule="auto"/>
        <w:ind w:firstLine="709"/>
        <w:jc w:val="both"/>
        <w:rPr>
          <w:rFonts w:ascii="Verdana" w:eastAsia="Calibri" w:hAnsi="Verdana" w:cs="Arial"/>
          <w:lang w:val="es-ES" w:eastAsia="es-ES"/>
        </w:rPr>
      </w:pPr>
      <w:r w:rsidRPr="00F85E2F">
        <w:rPr>
          <w:rFonts w:ascii="Verdana" w:eastAsia="Calibri" w:hAnsi="Verdana" w:cs="Arial"/>
          <w:lang w:val="es-ES" w:eastAsia="es-ES"/>
        </w:rPr>
        <w:t xml:space="preserve">Esta Agencia considera que, la obligación de publicar en el SECOP II todos los documentos relacionados con la actividad contractual de las entidades con regímenes especiales contenida en el artículo 53 de la Ley 2195 de 2022 debe interpretarse de forma sistemática con los preceptos que existen sobre la </w:t>
      </w:r>
      <w:r w:rsidRPr="00F85E2F">
        <w:rPr>
          <w:rFonts w:ascii="Verdana" w:eastAsia="Calibri" w:hAnsi="Verdana" w:cs="Arial"/>
          <w:lang w:val="es-ES" w:eastAsia="es-ES"/>
        </w:rPr>
        <w:lastRenderedPageBreak/>
        <w:t>materia, como, entre otros, los siguientes enunciados normativos: i) los artículos 74 y 209 de la Constitución, ii) el artículo 3, literal c) de la Ley 1150 de 2007, iii) los artículos 3, 9, literal e) y 11, literal g), de la Ley 1712 de 2014, y iv) los artículos 7 al 10 del Decreto 103 de 2015 –compilado en los artículos 2.1.1.1.1. al 2.1.1.6.1. del Decreto 1081 de 2015–.</w:t>
      </w:r>
    </w:p>
    <w:p w14:paraId="5BB5919C" w14:textId="77777777" w:rsidR="006E35AB" w:rsidRPr="00F47E0F" w:rsidRDefault="006E35AB" w:rsidP="006E35AB">
      <w:pPr>
        <w:spacing w:before="120" w:after="120" w:line="276" w:lineRule="auto"/>
        <w:ind w:firstLine="709"/>
        <w:jc w:val="both"/>
        <w:rPr>
          <w:rFonts w:ascii="Verdana" w:eastAsia="Calibri" w:hAnsi="Verdana" w:cs="Arial"/>
          <w:shd w:val="clear" w:color="auto" w:fill="FFFFFF"/>
          <w:lang w:val="es-ES"/>
        </w:rPr>
      </w:pPr>
      <w:r w:rsidRPr="00F85E2F">
        <w:rPr>
          <w:rFonts w:ascii="Verdana" w:eastAsia="Calibri" w:hAnsi="Verdana" w:cs="Arial"/>
          <w:noProof/>
          <w:lang w:val="es-ES_tradnl"/>
        </w:rPr>
        <w:t xml:space="preserve">Así las cosas, dado que el artículo 53 de la Ley 2195 de 2022 complementó las disposiciones ya establecidas en la Ley 1150 de 2007, la lectura que se haga de dicho artículo debe efectuarse de forma </w:t>
      </w:r>
      <w:r w:rsidRPr="00F85E2F">
        <w:rPr>
          <w:rFonts w:ascii="Verdana" w:eastAsia="Calibri" w:hAnsi="Verdana" w:cs="Arial"/>
          <w:i/>
          <w:iCs/>
          <w:noProof/>
          <w:lang w:val="es-ES_tradnl"/>
        </w:rPr>
        <w:t xml:space="preserve">sistemática. </w:t>
      </w:r>
      <w:r w:rsidRPr="00F85E2F">
        <w:rPr>
          <w:rFonts w:ascii="Verdana" w:eastAsia="Calibri" w:hAnsi="Verdana" w:cs="Arial"/>
          <w:noProof/>
          <w:lang w:val="es-ES_tradnl"/>
        </w:rPr>
        <w:t xml:space="preserve">En ese sentido, debe señalarse que la </w:t>
      </w:r>
      <w:r w:rsidRPr="00F85E2F">
        <w:rPr>
          <w:rFonts w:ascii="Verdana" w:eastAsia="Calibri" w:hAnsi="Verdana" w:cs="Arial"/>
          <w:lang w:val="es-ES_tradnl" w:eastAsia="es-CO"/>
        </w:rPr>
        <w:t xml:space="preserve">contratación con cargo a recursos públicos es un concepto al que alude expresamente la Ley 1150 de 2007, incluso desde el mismo título, pues este indica que dicha ley es </w:t>
      </w:r>
      <w:r w:rsidRPr="00F85E2F">
        <w:rPr>
          <w:rFonts w:ascii="Verdana" w:eastAsia="Calibri" w:hAnsi="Verdana" w:cs="Arial"/>
          <w:lang w:val="es-ES_tradnl"/>
        </w:rPr>
        <w:t>“</w:t>
      </w:r>
      <w:r w:rsidRPr="00F85E2F">
        <w:rPr>
          <w:rFonts w:ascii="Verdana" w:eastAsia="Calibri" w:hAnsi="Verdana" w:cs="Arial"/>
        </w:rPr>
        <w:t>Por medio de la cual se introducen medidas para la eficiencia y la transparencia en la Ley </w:t>
      </w:r>
      <w:hyperlink r:id="rId12" w:anchor="1" w:history="1">
        <w:r w:rsidRPr="00F85E2F">
          <w:rPr>
            <w:rFonts w:ascii="Verdana" w:eastAsia="Calibri" w:hAnsi="Verdana" w:cs="Arial"/>
          </w:rPr>
          <w:t>80</w:t>
        </w:r>
      </w:hyperlink>
      <w:r w:rsidRPr="00F85E2F">
        <w:rPr>
          <w:rFonts w:ascii="Verdana" w:eastAsia="Calibri" w:hAnsi="Verdana" w:cs="Arial"/>
        </w:rPr>
        <w:t> de 1993 y se dictan otras disposiciones generales sobre la contratación con Recursos Públicos</w:t>
      </w:r>
      <w:r w:rsidRPr="00F85E2F">
        <w:rPr>
          <w:rFonts w:ascii="Verdana" w:eastAsia="Calibri" w:hAnsi="Verdana" w:cs="Arial"/>
          <w:lang w:val="es-ES_tradnl"/>
        </w:rPr>
        <w:t>”</w:t>
      </w:r>
      <w:r w:rsidRPr="00F85E2F">
        <w:rPr>
          <w:rFonts w:ascii="Verdana" w:eastAsia="Calibri" w:hAnsi="Verdana" w:cs="Arial"/>
        </w:rPr>
        <w:t>.</w:t>
      </w:r>
      <w:r w:rsidRPr="00F85E2F">
        <w:rPr>
          <w:rFonts w:ascii="Verdana" w:eastAsia="Calibri" w:hAnsi="Verdana" w:cs="Arial"/>
          <w:lang w:val="es-ES_tradnl" w:eastAsia="es-CO"/>
        </w:rPr>
        <w:t xml:space="preserve"> Asimismo, la terminología contratación con cargo recursos públicos</w:t>
      </w:r>
      <w:r w:rsidRPr="00F85E2F">
        <w:rPr>
          <w:rFonts w:ascii="Verdana" w:eastAsia="Calibri" w:hAnsi="Verdana" w:cs="Arial"/>
          <w:i/>
          <w:iCs/>
          <w:lang w:val="es-ES_tradnl" w:eastAsia="es-CO"/>
        </w:rPr>
        <w:t xml:space="preserve"> </w:t>
      </w:r>
      <w:r w:rsidRPr="00F85E2F">
        <w:rPr>
          <w:rFonts w:ascii="Verdana" w:eastAsia="Calibri" w:hAnsi="Verdana" w:cs="Arial"/>
          <w:lang w:val="es-ES_tradnl" w:eastAsia="es-CO"/>
        </w:rPr>
        <w:t>se encuentra en el artículo primero, al definir el ámbito de aplicación de sus disposiciones</w:t>
      </w:r>
      <w:r w:rsidRPr="00F85E2F">
        <w:rPr>
          <w:rFonts w:ascii="Aptos" w:eastAsia="Aptos" w:hAnsi="Aptos" w:cs="Times New Roman"/>
          <w:vertAlign w:val="superscript"/>
          <w:lang w:val="es-ES_tradnl" w:eastAsia="es-CO"/>
        </w:rPr>
        <w:footnoteReference w:id="14"/>
      </w:r>
      <w:r w:rsidRPr="00F85E2F">
        <w:rPr>
          <w:rFonts w:ascii="Verdana" w:eastAsia="Calibri" w:hAnsi="Verdana" w:cs="Arial"/>
          <w:lang w:val="es-ES_tradnl" w:eastAsia="es-CO"/>
        </w:rPr>
        <w:t xml:space="preserve"> y en el literal c) del artículo 3 –del que surge el deber de publicar en el SECOP–, que expresamente </w:t>
      </w:r>
      <w:r w:rsidRPr="00F85E2F">
        <w:rPr>
          <w:rFonts w:ascii="Verdana" w:eastAsia="Calibri" w:hAnsi="Verdana" w:cs="Arial"/>
          <w:shd w:val="clear" w:color="auto" w:fill="FFFFFF"/>
          <w:lang w:val="es-ES"/>
        </w:rPr>
        <w:t xml:space="preserve">establece que ese aparte del artículo se aplica a la “contratación realizada con dineros públicos”. </w:t>
      </w:r>
      <w:r w:rsidRPr="00F85E2F">
        <w:rPr>
          <w:rFonts w:ascii="Verdana" w:eastAsia="Calibri" w:hAnsi="Verdana" w:cs="Arial"/>
          <w:shd w:val="clear" w:color="auto" w:fill="FFFFFF"/>
        </w:rPr>
        <w:t>Esta interpretación concuerda con el ámbito al que se encuentran destinadas las disposiciones del Título II de dicha norma, titulado “Disposiciones Generales Para La Contratación Con Recursos Públicos”, en el cual se ubica el artículo 13 que fue modificado por el artículo 53 de la Ley 2195 de 2022.</w:t>
      </w:r>
    </w:p>
    <w:p w14:paraId="5F9FFFB6" w14:textId="77777777" w:rsidR="006E35AB" w:rsidRPr="006E33BC" w:rsidRDefault="006E35AB" w:rsidP="006E35AB">
      <w:pPr>
        <w:spacing w:after="0" w:line="276" w:lineRule="auto"/>
        <w:ind w:firstLine="708"/>
        <w:contextualSpacing/>
        <w:jc w:val="both"/>
        <w:rPr>
          <w:rFonts w:ascii="Verdana" w:eastAsia="Calibri" w:hAnsi="Verdana" w:cs="Arial"/>
        </w:rPr>
      </w:pPr>
      <w:r w:rsidRPr="006E33BC">
        <w:rPr>
          <w:rFonts w:ascii="Verdana" w:eastAsia="Calibri" w:hAnsi="Verdana" w:cs="Arial"/>
          <w:lang w:val="es-ES_tradnl" w:eastAsia="es-CO"/>
        </w:rPr>
        <w:t xml:space="preserve">Por otro lado, </w:t>
      </w:r>
      <w:r w:rsidRPr="006E33BC">
        <w:rPr>
          <w:rFonts w:ascii="Verdana" w:eastAsia="Calibri" w:hAnsi="Verdana" w:cs="Arial"/>
        </w:rPr>
        <w:t xml:space="preserve">el Decreto 103 de 2015, mediante el cual se reglamentó la Ley 1712 de 2014, y que fue compilado </w:t>
      </w:r>
      <w:r w:rsidRPr="006E33BC">
        <w:rPr>
          <w:rFonts w:ascii="Verdana" w:eastAsia="Calibri" w:hAnsi="Verdana" w:cs="Arial"/>
          <w:shd w:val="clear" w:color="auto" w:fill="FFFFFF"/>
        </w:rPr>
        <w:t xml:space="preserve">en los artículos 2.1.1.1.1. al 2.1.1.6.1. del Decreto 1081 de 2015–.  </w:t>
      </w:r>
      <w:r w:rsidRPr="006E33BC">
        <w:rPr>
          <w:rFonts w:ascii="Verdana" w:eastAsia="Calibri" w:hAnsi="Verdana" w:cs="Arial"/>
        </w:rPr>
        <w:t>señala:</w:t>
      </w:r>
    </w:p>
    <w:p w14:paraId="1821D47E" w14:textId="77777777" w:rsidR="006E35AB" w:rsidRPr="006E33BC" w:rsidRDefault="006E35AB" w:rsidP="006E35AB">
      <w:pPr>
        <w:spacing w:after="0" w:line="276" w:lineRule="auto"/>
        <w:ind w:firstLine="784"/>
        <w:contextualSpacing/>
        <w:jc w:val="both"/>
        <w:rPr>
          <w:rFonts w:ascii="Verdana" w:eastAsia="Calibri" w:hAnsi="Verdana" w:cs="Arial"/>
        </w:rPr>
      </w:pPr>
    </w:p>
    <w:p w14:paraId="64E1A469" w14:textId="77777777" w:rsidR="006E35AB" w:rsidRPr="006E33BC" w:rsidRDefault="006E35AB" w:rsidP="006E35AB">
      <w:pPr>
        <w:spacing w:after="0" w:line="240" w:lineRule="auto"/>
        <w:ind w:left="709" w:right="709"/>
        <w:jc w:val="both"/>
        <w:rPr>
          <w:rFonts w:ascii="Verdana" w:eastAsia="Times New Roman" w:hAnsi="Verdana" w:cs="Arial"/>
          <w:sz w:val="21"/>
          <w:szCs w:val="21"/>
          <w:lang w:eastAsia="es-CO"/>
        </w:rPr>
      </w:pPr>
      <w:r w:rsidRPr="006E33BC">
        <w:rPr>
          <w:rFonts w:ascii="Verdana" w:eastAsia="Times New Roman" w:hAnsi="Verdana" w:cs="Arial"/>
          <w:sz w:val="21"/>
          <w:szCs w:val="21"/>
          <w:lang w:eastAsia="es-CO"/>
        </w:rPr>
        <w:t>“Artículo 7°.</w:t>
      </w:r>
      <w:r w:rsidRPr="006E33BC">
        <w:rPr>
          <w:rFonts w:ascii="Verdana" w:eastAsia="Times New Roman" w:hAnsi="Verdana" w:cs="Arial"/>
          <w:i/>
          <w:iCs/>
          <w:sz w:val="21"/>
          <w:szCs w:val="21"/>
          <w:lang w:eastAsia="es-CO"/>
        </w:rPr>
        <w:t xml:space="preserve"> Publicación de la información contractual. </w:t>
      </w:r>
      <w:r w:rsidRPr="006E33BC">
        <w:rPr>
          <w:rFonts w:ascii="Verdana" w:eastAsia="Times New Roman" w:hAnsi="Verdana" w:cs="Arial"/>
          <w:sz w:val="21"/>
          <w:szCs w:val="21"/>
          <w:lang w:eastAsia="es-CO"/>
        </w:rPr>
        <w:t xml:space="preserve">De conformidad con el literal (c) del artículo 3° de la Ley 1150 de 2007, el sistema de información del Estado en el cual los sujetos obligados que contratan </w:t>
      </w:r>
      <w:r w:rsidRPr="006E33BC">
        <w:rPr>
          <w:rFonts w:ascii="Verdana" w:eastAsia="Times New Roman" w:hAnsi="Verdana" w:cs="Arial"/>
          <w:i/>
          <w:iCs/>
          <w:sz w:val="21"/>
          <w:szCs w:val="21"/>
          <w:lang w:eastAsia="es-CO"/>
        </w:rPr>
        <w:t>con cargo a recursos públicos</w:t>
      </w:r>
      <w:r w:rsidRPr="006E33BC">
        <w:rPr>
          <w:rFonts w:ascii="Verdana" w:eastAsia="Times New Roman" w:hAnsi="Verdana" w:cs="Arial"/>
          <w:sz w:val="21"/>
          <w:szCs w:val="21"/>
          <w:lang w:eastAsia="es-CO"/>
        </w:rPr>
        <w:t xml:space="preserve"> deben cumplir la obligación de publicar la información de su gestión contractual es el Sistema Electrónico para la Contratación Pública (Secop). </w:t>
      </w:r>
    </w:p>
    <w:p w14:paraId="3F6D4AA7" w14:textId="77777777" w:rsidR="006E35AB" w:rsidRPr="006E33BC" w:rsidRDefault="006E35AB" w:rsidP="006E35AB">
      <w:pPr>
        <w:spacing w:before="120" w:after="0" w:line="240" w:lineRule="auto"/>
        <w:ind w:left="709" w:right="709"/>
        <w:jc w:val="both"/>
        <w:rPr>
          <w:rFonts w:ascii="Verdana" w:eastAsia="Times New Roman" w:hAnsi="Verdana" w:cs="Arial"/>
          <w:sz w:val="21"/>
          <w:szCs w:val="21"/>
          <w:lang w:eastAsia="es-CO"/>
        </w:rPr>
      </w:pPr>
      <w:r w:rsidRPr="006E33BC">
        <w:rPr>
          <w:rFonts w:ascii="Verdana" w:eastAsia="Times New Roman" w:hAnsi="Verdana" w:cs="Arial"/>
          <w:sz w:val="21"/>
          <w:szCs w:val="21"/>
          <w:lang w:eastAsia="es-CO"/>
        </w:rPr>
        <w:lastRenderedPageBreak/>
        <w:t xml:space="preserve">Los sujetos obligados que contratan </w:t>
      </w:r>
      <w:r w:rsidRPr="006E33BC">
        <w:rPr>
          <w:rFonts w:ascii="Verdana" w:eastAsia="Times New Roman" w:hAnsi="Verdana" w:cs="Arial"/>
          <w:i/>
          <w:iCs/>
          <w:sz w:val="21"/>
          <w:szCs w:val="21"/>
          <w:lang w:eastAsia="es-CO"/>
        </w:rPr>
        <w:t>con cargo a recursos públicos</w:t>
      </w:r>
      <w:r w:rsidRPr="006E33BC">
        <w:rPr>
          <w:rFonts w:ascii="Verdana" w:eastAsia="Times New Roman" w:hAnsi="Verdana" w:cs="Arial"/>
          <w:sz w:val="21"/>
          <w:szCs w:val="21"/>
          <w:lang w:eastAsia="es-CO"/>
        </w:rPr>
        <w:t xml:space="preserve"> deben publicar la información de su gestión contractual en el plazo previsto en el artículo 19 del Decreto 1510 de 2013, o el que lo modifique, sustituya o adicione. </w:t>
      </w:r>
    </w:p>
    <w:p w14:paraId="5ED5C1D5" w14:textId="77777777" w:rsidR="006E35AB" w:rsidRPr="00E15F30" w:rsidRDefault="006E35AB" w:rsidP="006E35AB">
      <w:pPr>
        <w:spacing w:before="120" w:after="0" w:line="240" w:lineRule="auto"/>
        <w:ind w:left="709" w:right="709"/>
        <w:jc w:val="both"/>
        <w:rPr>
          <w:rFonts w:ascii="Verdana" w:eastAsia="Times New Roman" w:hAnsi="Verdana" w:cs="Arial"/>
          <w:sz w:val="21"/>
          <w:szCs w:val="21"/>
          <w:lang w:eastAsia="es-CO"/>
        </w:rPr>
      </w:pPr>
      <w:r w:rsidRPr="00E15F30">
        <w:rPr>
          <w:rFonts w:ascii="Verdana" w:eastAsia="Times New Roman" w:hAnsi="Verdana" w:cs="Arial"/>
          <w:sz w:val="21"/>
          <w:szCs w:val="21"/>
          <w:lang w:eastAsia="es-CO"/>
        </w:rPr>
        <w:t>Los sujetos obligados que contratan con recursos públicos y recursos privados deben publicar la información de su gestión contractual con cargo a recursos públicos en el Sistema Electrónico para la Contratación Pública (Secop)”. [Énfasis fuera del texto original]</w:t>
      </w:r>
    </w:p>
    <w:p w14:paraId="4979E810" w14:textId="77777777" w:rsidR="006E35AB" w:rsidRPr="00E15F30" w:rsidRDefault="006E35AB" w:rsidP="006E35AB">
      <w:pPr>
        <w:spacing w:after="0" w:line="276" w:lineRule="auto"/>
        <w:ind w:left="709" w:right="709" w:firstLine="150"/>
        <w:contextualSpacing/>
        <w:jc w:val="both"/>
        <w:rPr>
          <w:rFonts w:ascii="Verdana" w:eastAsia="Times New Roman" w:hAnsi="Verdana" w:cs="Arial"/>
          <w:lang w:eastAsia="es-CO"/>
        </w:rPr>
      </w:pPr>
    </w:p>
    <w:p w14:paraId="64C885ED" w14:textId="77777777" w:rsidR="006E35AB" w:rsidRPr="00E15F30" w:rsidRDefault="006E35AB" w:rsidP="006E35AB">
      <w:pPr>
        <w:spacing w:before="120" w:after="120" w:line="276" w:lineRule="auto"/>
        <w:ind w:firstLine="709"/>
        <w:jc w:val="both"/>
        <w:rPr>
          <w:rFonts w:ascii="Verdana" w:eastAsia="Calibri" w:hAnsi="Verdana" w:cs="Arial"/>
          <w:lang w:val="es-ES_tradnl" w:eastAsia="es-ES_tradnl"/>
        </w:rPr>
      </w:pPr>
      <w:bookmarkStart w:id="11" w:name="_Hlk110869205"/>
      <w:r w:rsidRPr="00E15F30">
        <w:rPr>
          <w:rFonts w:ascii="Verdana" w:eastAsia="Calibri" w:hAnsi="Verdana" w:cs="Arial"/>
          <w:lang w:val="es-ES_tradnl" w:eastAsia="es-ES_tradnl"/>
        </w:rPr>
        <w:t xml:space="preserve">De las normas antes citadas es posible establecer que la obligación de publicar la actividad contractual siempre ha estado encaminada a que se publique aquella información relacionada con la ejecución de dineros públicos. Por tal razón, puede concluirse, a la luz de las disposiciones que regulan la materia, que el artículo 53 de la Ley 2195 de 2022 –al ampliar la obligación de las entidades con regímenes especiales de publicar su actividad contractual en el SECOP II– se refiere a aquella actividad contractual cuya fuente de financiación </w:t>
      </w:r>
      <w:r w:rsidRPr="00E15F30">
        <w:rPr>
          <w:rFonts w:ascii="Verdana" w:eastAsia="Calibri" w:hAnsi="Verdana" w:cs="Arial"/>
          <w:shd w:val="clear" w:color="auto" w:fill="FFFFFF"/>
        </w:rPr>
        <w:t>provenga</w:t>
      </w:r>
      <w:r w:rsidRPr="00E15F30">
        <w:rPr>
          <w:rFonts w:ascii="Verdana" w:eastAsia="Calibri" w:hAnsi="Verdana" w:cs="Arial"/>
          <w:lang w:val="es-ES_tradnl" w:eastAsia="es-ES_tradnl"/>
        </w:rPr>
        <w:t xml:space="preserve"> de recursos públicos. </w:t>
      </w:r>
    </w:p>
    <w:bookmarkEnd w:id="11"/>
    <w:p w14:paraId="7BC6C650" w14:textId="77777777" w:rsidR="006E35AB" w:rsidRPr="00E15F30" w:rsidRDefault="006E35AB" w:rsidP="006E35AB">
      <w:pPr>
        <w:spacing w:after="120" w:line="276" w:lineRule="auto"/>
        <w:ind w:firstLine="708"/>
        <w:contextualSpacing/>
        <w:jc w:val="both"/>
        <w:rPr>
          <w:rFonts w:ascii="Verdana" w:eastAsia="Calibri" w:hAnsi="Verdana" w:cs="Arial"/>
          <w:lang w:val="es-ES"/>
        </w:rPr>
      </w:pPr>
      <w:r w:rsidRPr="00E15F30">
        <w:rPr>
          <w:rFonts w:ascii="Verdana" w:eastAsia="Calibri" w:hAnsi="Verdana" w:cs="Arial"/>
          <w:shd w:val="clear" w:color="auto" w:fill="FFFFFF"/>
          <w:lang w:val="es-ES"/>
        </w:rPr>
        <w:t xml:space="preserve">En consonancia con la interpretación antes expuesta, </w:t>
      </w:r>
      <w:r w:rsidRPr="00E15F30">
        <w:rPr>
          <w:rFonts w:ascii="Verdana" w:eastAsia="Calibri" w:hAnsi="Verdana" w:cs="Arial"/>
          <w:lang w:val="es-ES"/>
        </w:rPr>
        <w:t>la Circular 002 del 23 de agosto de 2024</w:t>
      </w:r>
      <w:r w:rsidRPr="00E15F30">
        <w:rPr>
          <w:rFonts w:ascii="Aptos" w:eastAsia="Aptos" w:hAnsi="Aptos" w:cs="Times New Roman"/>
          <w:vertAlign w:val="superscript"/>
          <w:lang w:val="es-ES"/>
        </w:rPr>
        <w:footnoteReference w:id="15"/>
      </w:r>
      <w:r w:rsidRPr="00E15F30">
        <w:rPr>
          <w:rFonts w:ascii="Verdana" w:eastAsia="Calibri" w:hAnsi="Verdana" w:cs="Arial"/>
          <w:lang w:val="es-ES"/>
        </w:rPr>
        <w:t>, expedida por la Agencia Nacional de Contratación Pública – Colombia Compra Eficiente, a través de la cual se dictan lineamientos para la aplicación del artículo 53 de la Ley 2195 de 2022, en el literal d) –denominado “Procedencia de los recursos como punto de partida para la publicación en el SECOP II”–, señala:</w:t>
      </w:r>
    </w:p>
    <w:p w14:paraId="13B2D683" w14:textId="77777777" w:rsidR="006E35AB" w:rsidRPr="00E15F30" w:rsidRDefault="006E35AB" w:rsidP="006E35AB">
      <w:pPr>
        <w:spacing w:after="0" w:line="276" w:lineRule="auto"/>
        <w:ind w:left="709" w:right="709"/>
        <w:jc w:val="both"/>
        <w:rPr>
          <w:rFonts w:ascii="Verdana" w:eastAsia="Calibri" w:hAnsi="Verdana" w:cs="Arial"/>
          <w:sz w:val="20"/>
          <w:szCs w:val="20"/>
          <w:lang w:val="es-ES_tradnl" w:eastAsia="es-ES_tradnl"/>
        </w:rPr>
      </w:pPr>
    </w:p>
    <w:p w14:paraId="4EDC2559" w14:textId="77777777" w:rsidR="006E35AB" w:rsidRPr="00E15F30" w:rsidRDefault="006E35AB" w:rsidP="006E35AB">
      <w:pPr>
        <w:spacing w:after="0" w:line="240" w:lineRule="auto"/>
        <w:ind w:left="709" w:right="709"/>
        <w:jc w:val="both"/>
        <w:rPr>
          <w:rFonts w:ascii="Verdana" w:eastAsia="Calibri" w:hAnsi="Verdana" w:cs="Arial"/>
          <w:sz w:val="20"/>
          <w:szCs w:val="20"/>
          <w:lang w:val="es-ES" w:eastAsia="es-ES"/>
        </w:rPr>
      </w:pPr>
      <w:r w:rsidRPr="00E15F30">
        <w:rPr>
          <w:rFonts w:ascii="Verdana" w:eastAsia="Calibri" w:hAnsi="Verdana" w:cs="Arial"/>
          <w:sz w:val="20"/>
          <w:szCs w:val="20"/>
          <w:lang w:val="es-ES" w:eastAsia="es-ES"/>
        </w:rPr>
        <w:t>“La obligación de publicar la actividad contractual siempre ha estado encaminada a que se publique aquella información relacionada con la ejecución de los dineros públicos. Por tal razón, puede concluirse, a la luz de las disposiciones que regulan la materia, que el artículo 53 -al ampliar la obligación de las entidades con regímenes especiales de publicar su actividad contractual en el SECOP II- se refiere a aquella actividad contractual cuya fuente de financiación provenga de recursos públicos […]”</w:t>
      </w:r>
    </w:p>
    <w:p w14:paraId="6E91A54A" w14:textId="77777777" w:rsidR="006E35AB" w:rsidRPr="00E15F30" w:rsidRDefault="006E35AB" w:rsidP="006E35AB">
      <w:pPr>
        <w:spacing w:after="0" w:line="276" w:lineRule="auto"/>
        <w:ind w:firstLine="709"/>
        <w:contextualSpacing/>
        <w:jc w:val="both"/>
        <w:rPr>
          <w:rFonts w:ascii="Verdana" w:eastAsia="Calibri" w:hAnsi="Verdana" w:cs="Arial"/>
          <w:lang w:val="es-ES_tradnl" w:eastAsia="es-ES_tradnl"/>
        </w:rPr>
      </w:pPr>
    </w:p>
    <w:p w14:paraId="647EFF8B" w14:textId="77777777" w:rsidR="006E35AB" w:rsidRPr="00E15F30" w:rsidRDefault="006E35AB" w:rsidP="006E35AB">
      <w:pPr>
        <w:spacing w:after="120" w:line="276" w:lineRule="auto"/>
        <w:ind w:firstLine="709"/>
        <w:jc w:val="both"/>
        <w:rPr>
          <w:rFonts w:ascii="Verdana" w:eastAsia="Calibri" w:hAnsi="Verdana" w:cs="Arial"/>
          <w:shd w:val="clear" w:color="auto" w:fill="FFFFFF"/>
        </w:rPr>
      </w:pPr>
      <w:r w:rsidRPr="00E15F30">
        <w:rPr>
          <w:rFonts w:ascii="Verdana" w:eastAsia="Calibri" w:hAnsi="Verdana" w:cs="Arial"/>
          <w:lang w:val="es-ES"/>
        </w:rPr>
        <w:t xml:space="preserve">De conformidad con lo anterior, debe entenderse que la contratación a la que se refiere el artículo 53 de la Ley 2195 de 2024, es aquella realizada con recursos públicos, cuya información es la que debe publicarse en el SECOP II, </w:t>
      </w:r>
      <w:r w:rsidRPr="00E15F30">
        <w:rPr>
          <w:rFonts w:ascii="Verdana" w:eastAsia="Calibri" w:hAnsi="Verdana" w:cs="Arial"/>
          <w:lang w:val="es-ES"/>
        </w:rPr>
        <w:lastRenderedPageBreak/>
        <w:t xml:space="preserve">acorde con la interpretación sistemática que permite armonizar la referida norma con todo el contexto normativo que establece que en dicha plataforma se debe publicar sólo la información relativa a la actividad contractual financiada dineros públicos. </w:t>
      </w:r>
      <w:r w:rsidRPr="00E15F30">
        <w:rPr>
          <w:rFonts w:ascii="Verdana" w:eastAsia="Calibri" w:hAnsi="Verdana" w:cs="Arial"/>
          <w:shd w:val="clear" w:color="auto" w:fill="FFFFFF"/>
        </w:rPr>
        <w:t xml:space="preserve">En consideración a esto, resulta claro que la obligatoriedad de publicar la actividad contractual establecida en el artículo 13 de la Ley 1150 de 2007, adicionado por el artículo 53 de la Ley 2195 de 2022, se refiere a la contratación financiada con recursos públicos, deviniendo en potestativa la publicación de la contratación </w:t>
      </w:r>
      <w:r w:rsidRPr="00E15F30">
        <w:rPr>
          <w:rFonts w:ascii="Verdana" w:eastAsia="Calibri" w:hAnsi="Verdana" w:cs="Arial"/>
          <w:shd w:val="clear" w:color="auto" w:fill="FFFFFF"/>
          <w:lang w:val="es-ES"/>
        </w:rPr>
        <w:t xml:space="preserve">desarrollada con otro tipo de recursos. </w:t>
      </w:r>
    </w:p>
    <w:p w14:paraId="771E547B" w14:textId="77777777" w:rsidR="006E35AB" w:rsidRPr="00E15F30" w:rsidRDefault="006E35AB" w:rsidP="006E35AB">
      <w:pPr>
        <w:tabs>
          <w:tab w:val="left" w:pos="709"/>
        </w:tabs>
        <w:spacing w:before="120" w:after="120" w:line="276" w:lineRule="auto"/>
        <w:contextualSpacing/>
        <w:jc w:val="both"/>
        <w:rPr>
          <w:rFonts w:ascii="Verdana" w:eastAsia="Aptos" w:hAnsi="Verdana" w:cs="Arial"/>
          <w:shd w:val="clear" w:color="auto" w:fill="FFFFFF"/>
        </w:rPr>
      </w:pPr>
      <w:r w:rsidRPr="00E15F30">
        <w:rPr>
          <w:rFonts w:ascii="Verdana" w:eastAsia="Aptos" w:hAnsi="Verdana" w:cs="Arial"/>
          <w:shd w:val="clear" w:color="auto" w:fill="FFFFFF"/>
        </w:rPr>
        <w:tab/>
        <w:t xml:space="preserve">En todo caso, corresponde a cada entidad de régimen especial de contratación dar cumplimiento al deber de publicación que les asiste en relación con su actividad contractual en cumplimiento del artículo 53 de la Ley 2195 de 2022. </w:t>
      </w:r>
    </w:p>
    <w:p w14:paraId="619BDC7B" w14:textId="77777777" w:rsidR="006E35AB" w:rsidRDefault="006E35AB" w:rsidP="006E35AB">
      <w:pPr>
        <w:spacing w:after="120" w:line="276" w:lineRule="auto"/>
        <w:jc w:val="both"/>
        <w:rPr>
          <w:rFonts w:ascii="Verdana" w:eastAsia="Times New Roman" w:hAnsi="Verdana" w:cs="Arial"/>
          <w:lang w:val="es-ES" w:eastAsia="es-ES_tradnl"/>
        </w:rPr>
      </w:pPr>
    </w:p>
    <w:p w14:paraId="336646CE" w14:textId="77777777" w:rsidR="006E35AB" w:rsidRPr="00826650" w:rsidRDefault="006E35AB" w:rsidP="006E35AB">
      <w:pPr>
        <w:spacing w:after="120" w:line="276" w:lineRule="auto"/>
        <w:jc w:val="both"/>
        <w:rPr>
          <w:rFonts w:ascii="Verdana" w:eastAsia="Times New Roman" w:hAnsi="Verdana" w:cs="Arial"/>
          <w:lang w:eastAsia="es-MX"/>
          <w14:ligatures w14:val="standardContextual"/>
        </w:rPr>
      </w:pPr>
      <w:r w:rsidRPr="00826650">
        <w:rPr>
          <w:rFonts w:ascii="Verdana" w:eastAsia="Calibri" w:hAnsi="Verdana" w:cs="Arial"/>
        </w:rPr>
        <w:t xml:space="preserve">iii. 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p>
    <w:p w14:paraId="75B72ACB" w14:textId="77777777" w:rsidR="006E35AB" w:rsidRPr="00CB7F4D" w:rsidRDefault="006E35AB" w:rsidP="006E35AB">
      <w:pPr>
        <w:spacing w:after="0" w:line="276" w:lineRule="auto"/>
        <w:ind w:firstLine="708"/>
        <w:jc w:val="both"/>
        <w:rPr>
          <w:rFonts w:ascii="Verdana" w:eastAsia="Times New Roman" w:hAnsi="Verdana" w:cs="Times New Roman"/>
          <w:lang w:eastAsia="es-ES"/>
        </w:rPr>
      </w:pPr>
      <w:r w:rsidRPr="00826650">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0"/>
      <w:bookmarkEnd w:id="1"/>
    </w:p>
    <w:p w14:paraId="0EF1A569" w14:textId="77777777" w:rsidR="006E35AB" w:rsidRPr="00816AA4" w:rsidRDefault="006E35AB" w:rsidP="006E35AB">
      <w:pPr>
        <w:spacing w:after="0" w:line="276" w:lineRule="auto"/>
        <w:ind w:firstLine="709"/>
        <w:jc w:val="both"/>
        <w:rPr>
          <w:rFonts w:ascii="Verdana" w:eastAsia="Times New Roman" w:hAnsi="Verdana" w:cs="Times New Roman"/>
          <w:lang w:eastAsia="es-ES"/>
        </w:rPr>
      </w:pPr>
    </w:p>
    <w:p w14:paraId="676363C4" w14:textId="77777777" w:rsidR="006E35AB" w:rsidRDefault="006E35AB" w:rsidP="006E35AB">
      <w:pPr>
        <w:spacing w:after="0" w:line="276" w:lineRule="auto"/>
        <w:jc w:val="both"/>
        <w:rPr>
          <w:rFonts w:ascii="Verdana" w:eastAsia="Century Gothic" w:hAnsi="Verdana" w:cs="Century Gothic"/>
          <w:b/>
          <w:lang w:val="es-ES"/>
        </w:rPr>
      </w:pPr>
      <w:r w:rsidRPr="00816AA4">
        <w:rPr>
          <w:rFonts w:ascii="Verdana" w:eastAsia="Century Gothic" w:hAnsi="Verdana" w:cs="Century Gothic"/>
          <w:b/>
          <w:lang w:val="es-ES"/>
        </w:rPr>
        <w:t>4. Referencias normativas, jurisprudenciales y otras fuentes:</w:t>
      </w:r>
    </w:p>
    <w:p w14:paraId="6AF74000" w14:textId="77777777" w:rsidR="006E35AB" w:rsidRPr="00816AA4" w:rsidRDefault="006E35AB" w:rsidP="006E35AB">
      <w:pPr>
        <w:spacing w:after="0" w:line="276" w:lineRule="auto"/>
        <w:jc w:val="both"/>
        <w:rPr>
          <w:rFonts w:ascii="Verdana" w:eastAsia="Century Gothic" w:hAnsi="Verdana" w:cs="Century Gothic"/>
          <w:b/>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E35AB" w:rsidRPr="0076466E" w14:paraId="78414452" w14:textId="77777777" w:rsidTr="00CE6C17">
        <w:trPr>
          <w:trHeight w:val="1689"/>
        </w:trPr>
        <w:tc>
          <w:tcPr>
            <w:tcW w:w="8647" w:type="dxa"/>
          </w:tcPr>
          <w:p w14:paraId="2A5F2C20" w14:textId="77777777" w:rsidR="006E35AB" w:rsidRPr="0084775B" w:rsidRDefault="006E35AB" w:rsidP="00CE6C17">
            <w:pPr>
              <w:widowControl w:val="0"/>
              <w:numPr>
                <w:ilvl w:val="0"/>
                <w:numId w:val="16"/>
              </w:numPr>
              <w:autoSpaceDE w:val="0"/>
              <w:autoSpaceDN w:val="0"/>
              <w:spacing w:line="276" w:lineRule="auto"/>
              <w:jc w:val="both"/>
              <w:rPr>
                <w:rFonts w:ascii="Verdana" w:eastAsia="Arial MT" w:hAnsi="Verdana" w:cs="Arial"/>
                <w:bCs/>
                <w:lang w:eastAsia="es-ES" w:bidi="es-ES"/>
              </w:rPr>
            </w:pPr>
            <w:r w:rsidRPr="0084775B">
              <w:rPr>
                <w:rFonts w:ascii="Verdana" w:eastAsia="Arial MT" w:hAnsi="Verdana" w:cs="Arial"/>
                <w:bCs/>
                <w:lang w:eastAsia="es-ES" w:bidi="es-ES"/>
              </w:rPr>
              <w:lastRenderedPageBreak/>
              <w:t>Constitución Política de Colombia. Artículos 209 y 267</w:t>
            </w:r>
          </w:p>
          <w:p w14:paraId="202C7F4D" w14:textId="77777777" w:rsidR="006E35AB" w:rsidRPr="0084775B" w:rsidRDefault="006E35AB" w:rsidP="00CE6C17">
            <w:pPr>
              <w:widowControl w:val="0"/>
              <w:numPr>
                <w:ilvl w:val="0"/>
                <w:numId w:val="16"/>
              </w:numPr>
              <w:autoSpaceDE w:val="0"/>
              <w:autoSpaceDN w:val="0"/>
              <w:spacing w:line="276" w:lineRule="auto"/>
              <w:jc w:val="both"/>
              <w:rPr>
                <w:rFonts w:ascii="Verdana" w:eastAsia="Arial MT" w:hAnsi="Verdana" w:cs="Arial"/>
                <w:bCs/>
                <w:lang w:eastAsia="es-ES" w:bidi="es-ES"/>
              </w:rPr>
            </w:pPr>
            <w:r w:rsidRPr="0084775B">
              <w:rPr>
                <w:rFonts w:ascii="Verdana" w:eastAsia="Arial MT" w:hAnsi="Verdana" w:cs="Arial"/>
                <w:bCs/>
                <w:lang w:eastAsia="es-ES" w:bidi="es-ES"/>
              </w:rPr>
              <w:t>Ley 80 de 1993. Artículos 13, 32 y 40</w:t>
            </w:r>
          </w:p>
          <w:p w14:paraId="661C5EDF" w14:textId="77777777" w:rsidR="006E35AB" w:rsidRPr="0084775B" w:rsidRDefault="006E35AB" w:rsidP="00CE6C17">
            <w:pPr>
              <w:widowControl w:val="0"/>
              <w:numPr>
                <w:ilvl w:val="0"/>
                <w:numId w:val="16"/>
              </w:numPr>
              <w:autoSpaceDE w:val="0"/>
              <w:autoSpaceDN w:val="0"/>
              <w:spacing w:line="276" w:lineRule="auto"/>
              <w:jc w:val="both"/>
              <w:rPr>
                <w:rFonts w:ascii="Verdana" w:eastAsia="Arial MT" w:hAnsi="Verdana" w:cs="Arial"/>
                <w:bCs/>
                <w:lang w:eastAsia="es-ES" w:bidi="es-ES"/>
              </w:rPr>
            </w:pPr>
            <w:r w:rsidRPr="0084775B">
              <w:rPr>
                <w:rFonts w:ascii="Verdana" w:eastAsia="Arial MT" w:hAnsi="Verdana" w:cs="Arial"/>
                <w:bCs/>
                <w:lang w:eastAsia="es-ES" w:bidi="es-ES"/>
              </w:rPr>
              <w:t>Ley 715 de 2001. Artículo 13.</w:t>
            </w:r>
          </w:p>
          <w:p w14:paraId="6970902A" w14:textId="77777777" w:rsidR="006E35AB" w:rsidRPr="0084775B" w:rsidRDefault="006E35AB" w:rsidP="00CE6C17">
            <w:pPr>
              <w:widowControl w:val="0"/>
              <w:numPr>
                <w:ilvl w:val="0"/>
                <w:numId w:val="16"/>
              </w:numPr>
              <w:autoSpaceDE w:val="0"/>
              <w:autoSpaceDN w:val="0"/>
              <w:spacing w:line="276" w:lineRule="auto"/>
              <w:jc w:val="both"/>
              <w:rPr>
                <w:rFonts w:ascii="Verdana" w:eastAsia="Arial MT" w:hAnsi="Verdana" w:cs="Arial"/>
                <w:bCs/>
                <w:lang w:eastAsia="es-ES" w:bidi="es-ES"/>
              </w:rPr>
            </w:pPr>
            <w:r w:rsidRPr="0084775B">
              <w:rPr>
                <w:rFonts w:ascii="Verdana" w:eastAsia="Arial MT" w:hAnsi="Verdana" w:cs="Arial"/>
                <w:bCs/>
                <w:lang w:eastAsia="es-ES" w:bidi="es-ES"/>
              </w:rPr>
              <w:t>Ley 1150 de 2007. Artículos 3 y 13.</w:t>
            </w:r>
          </w:p>
          <w:p w14:paraId="1E577E77" w14:textId="77777777" w:rsidR="006E35AB" w:rsidRPr="0084775B" w:rsidRDefault="006E35AB" w:rsidP="00CE6C17">
            <w:pPr>
              <w:widowControl w:val="0"/>
              <w:numPr>
                <w:ilvl w:val="0"/>
                <w:numId w:val="16"/>
              </w:numPr>
              <w:autoSpaceDE w:val="0"/>
              <w:autoSpaceDN w:val="0"/>
              <w:spacing w:line="276" w:lineRule="auto"/>
              <w:jc w:val="both"/>
              <w:rPr>
                <w:rFonts w:ascii="Verdana" w:eastAsia="Arial MT" w:hAnsi="Verdana" w:cs="Arial"/>
                <w:bCs/>
                <w:lang w:eastAsia="es-ES" w:bidi="es-ES"/>
              </w:rPr>
            </w:pPr>
            <w:r w:rsidRPr="0084775B">
              <w:rPr>
                <w:rFonts w:ascii="Verdana" w:eastAsia="Arial MT" w:hAnsi="Verdana" w:cs="Arial"/>
                <w:bCs/>
                <w:lang w:eastAsia="es-ES" w:bidi="es-ES"/>
              </w:rPr>
              <w:t>Decreto 4791 de 2008. Artículos 2, 13</w:t>
            </w:r>
          </w:p>
          <w:p w14:paraId="1D9B6197" w14:textId="77777777" w:rsidR="006E35AB" w:rsidRPr="0084775B" w:rsidRDefault="006E35AB" w:rsidP="00CE6C17">
            <w:pPr>
              <w:widowControl w:val="0"/>
              <w:numPr>
                <w:ilvl w:val="0"/>
                <w:numId w:val="16"/>
              </w:numPr>
              <w:autoSpaceDE w:val="0"/>
              <w:autoSpaceDN w:val="0"/>
              <w:spacing w:line="276" w:lineRule="auto"/>
              <w:jc w:val="both"/>
              <w:rPr>
                <w:rFonts w:ascii="Verdana" w:eastAsia="Arial MT" w:hAnsi="Verdana" w:cs="Arial"/>
                <w:bCs/>
                <w:lang w:eastAsia="es-ES" w:bidi="es-ES"/>
              </w:rPr>
            </w:pPr>
            <w:r w:rsidRPr="0084775B">
              <w:rPr>
                <w:rFonts w:ascii="Verdana" w:eastAsia="Arial MT" w:hAnsi="Verdana" w:cs="Arial"/>
                <w:bCs/>
                <w:lang w:eastAsia="es-ES" w:bidi="es-ES"/>
              </w:rPr>
              <w:t>Decreto 1075 de 2015. Artículos 2.3.1.6.3.4, 2.3.1.6.3.5</w:t>
            </w:r>
          </w:p>
          <w:p w14:paraId="6CFBA6D5" w14:textId="77777777" w:rsidR="006E35AB" w:rsidRPr="0084775B" w:rsidRDefault="006E35AB" w:rsidP="00CE6C17">
            <w:pPr>
              <w:widowControl w:val="0"/>
              <w:numPr>
                <w:ilvl w:val="0"/>
                <w:numId w:val="16"/>
              </w:numPr>
              <w:autoSpaceDE w:val="0"/>
              <w:autoSpaceDN w:val="0"/>
              <w:spacing w:line="276" w:lineRule="auto"/>
              <w:jc w:val="both"/>
              <w:rPr>
                <w:rFonts w:ascii="Verdana" w:eastAsia="Arial MT" w:hAnsi="Verdana" w:cs="Arial"/>
                <w:bCs/>
                <w:lang w:eastAsia="es-ES" w:bidi="es-ES"/>
              </w:rPr>
            </w:pPr>
            <w:r w:rsidRPr="0084775B">
              <w:rPr>
                <w:rFonts w:ascii="Verdana" w:eastAsia="Arial MT" w:hAnsi="Verdana" w:cs="Arial"/>
                <w:bCs/>
                <w:lang w:eastAsia="es-ES" w:bidi="es-ES"/>
              </w:rPr>
              <w:t>Decreto 1082 de 2015. Artículo 2.2.1.1.1.7.1.</w:t>
            </w:r>
          </w:p>
          <w:p w14:paraId="0D3C3670" w14:textId="77777777" w:rsidR="006E35AB" w:rsidRPr="0084775B" w:rsidRDefault="006E35AB" w:rsidP="00CE6C17">
            <w:pPr>
              <w:widowControl w:val="0"/>
              <w:numPr>
                <w:ilvl w:val="0"/>
                <w:numId w:val="16"/>
              </w:numPr>
              <w:autoSpaceDE w:val="0"/>
              <w:autoSpaceDN w:val="0"/>
              <w:spacing w:line="276" w:lineRule="auto"/>
              <w:jc w:val="both"/>
              <w:rPr>
                <w:rFonts w:ascii="Verdana" w:eastAsia="Arial MT" w:hAnsi="Verdana" w:cs="Arial"/>
                <w:bCs/>
                <w:lang w:eastAsia="es-ES" w:bidi="es-ES"/>
              </w:rPr>
            </w:pPr>
            <w:r w:rsidRPr="0084775B">
              <w:rPr>
                <w:rFonts w:ascii="Verdana" w:eastAsia="Arial MT" w:hAnsi="Verdana" w:cs="Arial"/>
                <w:bCs/>
                <w:lang w:eastAsia="es-ES" w:bidi="es-ES"/>
              </w:rPr>
              <w:t>Ley 2195 de 2024. Artículo 53.</w:t>
            </w:r>
          </w:p>
          <w:p w14:paraId="5A01204E" w14:textId="77777777" w:rsidR="006E35AB" w:rsidRPr="0076466E" w:rsidRDefault="006E35AB" w:rsidP="00CE6C17">
            <w:pPr>
              <w:widowControl w:val="0"/>
              <w:numPr>
                <w:ilvl w:val="0"/>
                <w:numId w:val="16"/>
              </w:numPr>
              <w:autoSpaceDE w:val="0"/>
              <w:autoSpaceDN w:val="0"/>
              <w:spacing w:line="276" w:lineRule="auto"/>
              <w:jc w:val="both"/>
              <w:rPr>
                <w:rFonts w:ascii="Verdana" w:eastAsia="Arial MT" w:hAnsi="Verdana" w:cs="Arial"/>
                <w:bCs/>
                <w:color w:val="EE0000"/>
                <w:lang w:eastAsia="es-ES" w:bidi="es-ES"/>
              </w:rPr>
            </w:pPr>
            <w:r w:rsidRPr="0084775B">
              <w:rPr>
                <w:rFonts w:ascii="Verdana" w:eastAsia="Arial MT" w:hAnsi="Verdana" w:cs="Arial"/>
                <w:bCs/>
                <w:lang w:eastAsia="es-ES" w:bidi="es-ES"/>
              </w:rPr>
              <w:t>Corte Constitucional. Sentencia C‒274 de 9 de mayo de 2013. M.P. María Victoria Calle Correa</w:t>
            </w:r>
          </w:p>
        </w:tc>
      </w:tr>
    </w:tbl>
    <w:p w14:paraId="7AE704E2" w14:textId="77777777" w:rsidR="006E35AB" w:rsidRPr="00FD551E" w:rsidRDefault="006E35AB" w:rsidP="006E35AB">
      <w:pPr>
        <w:widowControl w:val="0"/>
        <w:autoSpaceDE w:val="0"/>
        <w:autoSpaceDN w:val="0"/>
        <w:spacing w:after="0" w:line="276" w:lineRule="auto"/>
        <w:jc w:val="both"/>
        <w:rPr>
          <w:rFonts w:ascii="Verdana" w:hAnsi="Verdana" w:cs="Arial"/>
          <w:lang w:val="es-ES"/>
        </w:rPr>
      </w:pPr>
    </w:p>
    <w:p w14:paraId="0BB33F20" w14:textId="77777777" w:rsidR="006E35AB" w:rsidRPr="00FD551E" w:rsidRDefault="006E35AB" w:rsidP="006E35AB">
      <w:pPr>
        <w:tabs>
          <w:tab w:val="left" w:pos="142"/>
          <w:tab w:val="left" w:pos="284"/>
        </w:tabs>
        <w:spacing w:after="0" w:line="276" w:lineRule="auto"/>
        <w:jc w:val="both"/>
        <w:rPr>
          <w:rFonts w:ascii="Verdana" w:eastAsia="Century Gothic" w:hAnsi="Verdana" w:cs="Century Gothic"/>
          <w:b/>
          <w:lang w:val="es-ES"/>
        </w:rPr>
      </w:pPr>
      <w:r w:rsidRPr="00FD551E">
        <w:rPr>
          <w:rFonts w:ascii="Verdana" w:eastAsia="Century Gothic" w:hAnsi="Verdana" w:cs="Century Gothic"/>
          <w:b/>
          <w:lang w:val="es-ES"/>
        </w:rPr>
        <w:t>5. Doctrina de la Agencia Nacional de Contratación Pública:</w:t>
      </w:r>
    </w:p>
    <w:p w14:paraId="76896D30" w14:textId="77777777" w:rsidR="006E35AB" w:rsidRPr="000B3CDB" w:rsidRDefault="006E35AB" w:rsidP="006E35AB">
      <w:pPr>
        <w:widowControl w:val="0"/>
        <w:autoSpaceDE w:val="0"/>
        <w:autoSpaceDN w:val="0"/>
        <w:spacing w:after="0" w:line="276" w:lineRule="auto"/>
        <w:jc w:val="both"/>
        <w:rPr>
          <w:rFonts w:ascii="Verdana" w:hAnsi="Verdana" w:cs="Arial"/>
          <w:lang w:val="es-ES"/>
        </w:rPr>
      </w:pPr>
    </w:p>
    <w:p w14:paraId="112EBDFB" w14:textId="77777777" w:rsidR="006E35AB" w:rsidRPr="0076466E" w:rsidRDefault="006E35AB" w:rsidP="006E35AB">
      <w:pPr>
        <w:spacing w:after="0" w:line="276" w:lineRule="auto"/>
        <w:jc w:val="both"/>
        <w:rPr>
          <w:rStyle w:val="normaltextrun"/>
          <w:rFonts w:ascii="Verdana" w:hAnsi="Verdana" w:cs="Arial"/>
          <w:color w:val="EE0000"/>
          <w:shd w:val="clear" w:color="auto" w:fill="FFFFFF"/>
          <w:lang w:val="es-ES"/>
        </w:rPr>
      </w:pPr>
      <w:r w:rsidRPr="000B3CDB">
        <w:rPr>
          <w:rFonts w:ascii="Verdana" w:eastAsia="Calibri" w:hAnsi="Verdana" w:cs="Arial"/>
          <w:lang w:val="es-ES"/>
        </w:rPr>
        <w:t xml:space="preserve">La Agencia Nacional de Contratación Pública – Colombia Compra Eficiente se ha referido </w:t>
      </w:r>
      <w:r w:rsidRPr="000B3CDB">
        <w:rPr>
          <w:rFonts w:ascii="Verdana" w:hAnsi="Verdana" w:cs="Arial"/>
          <w:shd w:val="clear" w:color="auto" w:fill="FFFFFF"/>
          <w:lang w:val="es-ES"/>
        </w:rPr>
        <w:t xml:space="preserve">sobre </w:t>
      </w:r>
      <w:r w:rsidRPr="000B3CDB">
        <w:rPr>
          <w:rFonts w:ascii="Verdana" w:hAnsi="Verdana"/>
        </w:rPr>
        <w:t xml:space="preserve">las instituciones educativas </w:t>
      </w:r>
      <w:r w:rsidRPr="000B3CDB">
        <w:rPr>
          <w:rFonts w:ascii="Verdana" w:eastAsia="Calibri" w:hAnsi="Verdana" w:cs="Arial"/>
          <w:bCs/>
          <w:shd w:val="clear" w:color="auto" w:fill="FFFFFF"/>
        </w:rPr>
        <w:t xml:space="preserve">en los conceptos </w:t>
      </w:r>
      <w:r w:rsidRPr="00CF6A58">
        <w:rPr>
          <w:rFonts w:ascii="Verdana" w:hAnsi="Verdana"/>
        </w:rPr>
        <w:t>C-355</w:t>
      </w:r>
      <w:r w:rsidRPr="00CF6A58">
        <w:rPr>
          <w:rFonts w:ascii="Verdana" w:hAnsi="Verdana"/>
          <w:spacing w:val="-15"/>
        </w:rPr>
        <w:t xml:space="preserve"> </w:t>
      </w:r>
      <w:r w:rsidRPr="00CF6A58">
        <w:rPr>
          <w:rFonts w:ascii="Verdana" w:hAnsi="Verdana"/>
        </w:rPr>
        <w:t>del</w:t>
      </w:r>
      <w:r w:rsidRPr="00CF6A58">
        <w:rPr>
          <w:rFonts w:ascii="Verdana" w:hAnsi="Verdana"/>
          <w:spacing w:val="-15"/>
        </w:rPr>
        <w:t xml:space="preserve"> </w:t>
      </w:r>
      <w:r w:rsidRPr="00CF6A58">
        <w:rPr>
          <w:rFonts w:ascii="Verdana" w:hAnsi="Verdana"/>
        </w:rPr>
        <w:t>2</w:t>
      </w:r>
      <w:r w:rsidRPr="00CF6A58">
        <w:rPr>
          <w:rFonts w:ascii="Verdana" w:hAnsi="Verdana"/>
          <w:spacing w:val="-15"/>
        </w:rPr>
        <w:t xml:space="preserve"> </w:t>
      </w:r>
      <w:r w:rsidRPr="00CF6A58">
        <w:rPr>
          <w:rFonts w:ascii="Verdana" w:hAnsi="Verdana"/>
        </w:rPr>
        <w:t>de</w:t>
      </w:r>
      <w:r w:rsidRPr="00CF6A58">
        <w:rPr>
          <w:rFonts w:ascii="Verdana" w:hAnsi="Verdana"/>
          <w:spacing w:val="-16"/>
        </w:rPr>
        <w:t xml:space="preserve"> </w:t>
      </w:r>
      <w:r w:rsidRPr="00CF6A58">
        <w:rPr>
          <w:rFonts w:ascii="Verdana" w:hAnsi="Verdana"/>
        </w:rPr>
        <w:t>junio</w:t>
      </w:r>
      <w:r w:rsidRPr="00CF6A58">
        <w:rPr>
          <w:rFonts w:ascii="Verdana" w:hAnsi="Verdana"/>
          <w:spacing w:val="-14"/>
        </w:rPr>
        <w:t xml:space="preserve"> </w:t>
      </w:r>
      <w:r w:rsidRPr="00CF6A58">
        <w:rPr>
          <w:rFonts w:ascii="Verdana" w:hAnsi="Verdana"/>
        </w:rPr>
        <w:t>de</w:t>
      </w:r>
      <w:r w:rsidRPr="00CF6A58">
        <w:rPr>
          <w:rFonts w:ascii="Verdana" w:hAnsi="Verdana"/>
          <w:spacing w:val="-16"/>
        </w:rPr>
        <w:t xml:space="preserve"> </w:t>
      </w:r>
      <w:r w:rsidRPr="00CF6A58">
        <w:rPr>
          <w:rFonts w:ascii="Verdana" w:hAnsi="Verdana"/>
        </w:rPr>
        <w:t>2022,</w:t>
      </w:r>
      <w:r w:rsidRPr="00CF6A58">
        <w:rPr>
          <w:rFonts w:ascii="Verdana" w:hAnsi="Verdana"/>
          <w:spacing w:val="-13"/>
        </w:rPr>
        <w:t xml:space="preserve"> </w:t>
      </w:r>
      <w:r w:rsidRPr="00CF6A58">
        <w:rPr>
          <w:rFonts w:ascii="Verdana" w:hAnsi="Verdana"/>
        </w:rPr>
        <w:t>C-203</w:t>
      </w:r>
      <w:r w:rsidRPr="00CF6A58">
        <w:rPr>
          <w:rFonts w:ascii="Verdana" w:hAnsi="Verdana"/>
          <w:spacing w:val="-75"/>
        </w:rPr>
        <w:t xml:space="preserve"> </w:t>
      </w:r>
      <w:r w:rsidRPr="00CF6A58">
        <w:rPr>
          <w:rFonts w:ascii="Verdana" w:hAnsi="Verdana"/>
        </w:rPr>
        <w:t>del 13 de abril de 2022,</w:t>
      </w:r>
      <w:r w:rsidRPr="00CF6A58">
        <w:rPr>
          <w:rFonts w:ascii="Verdana" w:hAnsi="Verdana"/>
          <w:spacing w:val="1"/>
        </w:rPr>
        <w:t xml:space="preserve"> </w:t>
      </w:r>
      <w:r w:rsidRPr="00CF6A58">
        <w:rPr>
          <w:rFonts w:ascii="Verdana" w:hAnsi="Verdana"/>
        </w:rPr>
        <w:t>C-552 del 31 de agosto del 2</w:t>
      </w:r>
      <w:r w:rsidRPr="004E023E">
        <w:rPr>
          <w:rFonts w:ascii="Verdana" w:hAnsi="Verdana"/>
        </w:rPr>
        <w:t>020, C-171 del 25 de julio de 2024</w:t>
      </w:r>
      <w:r w:rsidRPr="004E023E">
        <w:rPr>
          <w:rFonts w:ascii="Verdana" w:eastAsia="Calibri" w:hAnsi="Verdana" w:cs="Arial"/>
          <w:lang w:val="es-ES" w:eastAsia="es-ES"/>
        </w:rPr>
        <w:t xml:space="preserve">, C-955 del 17 de diciembre de 2024, </w:t>
      </w:r>
      <w:r>
        <w:rPr>
          <w:rFonts w:ascii="Verdana" w:eastAsia="Calibri" w:hAnsi="Verdana" w:cs="Arial"/>
          <w:lang w:val="es-ES" w:eastAsia="es-ES"/>
        </w:rPr>
        <w:t xml:space="preserve">C-496 del 04 de junio de 2025, </w:t>
      </w:r>
      <w:r w:rsidRPr="004E023E">
        <w:rPr>
          <w:rFonts w:ascii="Verdana" w:eastAsia="Calibri" w:hAnsi="Verdana" w:cs="Arial"/>
          <w:lang w:val="es-ES" w:eastAsia="es-ES"/>
        </w:rPr>
        <w:t>C-1206 del 6 de octubre de 2025</w:t>
      </w:r>
      <w:r>
        <w:rPr>
          <w:rFonts w:ascii="Verdana" w:eastAsia="Calibri" w:hAnsi="Verdana" w:cs="Arial"/>
          <w:lang w:val="es-ES" w:eastAsia="es-ES"/>
        </w:rPr>
        <w:t>, C-1445 del 20 de noviembre de 2025,</w:t>
      </w:r>
      <w:r w:rsidRPr="004E023E">
        <w:rPr>
          <w:rFonts w:ascii="Verdana" w:eastAsia="Calibri" w:hAnsi="Verdana" w:cs="Arial"/>
          <w:lang w:val="es-ES" w:eastAsia="es-ES"/>
        </w:rPr>
        <w:t xml:space="preserve"> C-1521 del 28 de noviembre de 2025</w:t>
      </w:r>
      <w:r>
        <w:rPr>
          <w:rStyle w:val="normaltextrun"/>
          <w:rFonts w:ascii="Verdana" w:hAnsi="Verdana" w:cs="Arial"/>
          <w:shd w:val="clear" w:color="auto" w:fill="FFFFFF"/>
          <w:lang w:val="es-ES"/>
        </w:rPr>
        <w:t xml:space="preserve"> y C-1702 del 24 de diciembre de 2025, </w:t>
      </w:r>
      <w:r w:rsidRPr="004E023E">
        <w:rPr>
          <w:rStyle w:val="normaltextrun"/>
          <w:rFonts w:ascii="Verdana" w:hAnsi="Verdana" w:cs="Arial"/>
          <w:shd w:val="clear" w:color="auto" w:fill="FFFFFF"/>
          <w:lang w:val="es-ES"/>
        </w:rPr>
        <w:t>entre otros.</w:t>
      </w:r>
    </w:p>
    <w:p w14:paraId="493AFD41" w14:textId="77777777" w:rsidR="006E35AB" w:rsidRPr="00FD551E" w:rsidRDefault="006E35AB" w:rsidP="006E35AB">
      <w:pPr>
        <w:spacing w:after="0" w:line="276" w:lineRule="auto"/>
        <w:jc w:val="both"/>
        <w:rPr>
          <w:rStyle w:val="normaltextrun"/>
          <w:rFonts w:ascii="Verdana" w:hAnsi="Verdana" w:cs="Arial"/>
          <w:shd w:val="clear" w:color="auto" w:fill="FFFFFF"/>
          <w:lang w:val="es-ES"/>
        </w:rPr>
      </w:pPr>
    </w:p>
    <w:p w14:paraId="771293DB" w14:textId="77777777" w:rsidR="006E35AB" w:rsidRPr="0076466E" w:rsidRDefault="006E35AB" w:rsidP="006E35AB">
      <w:pPr>
        <w:spacing w:after="0" w:line="276" w:lineRule="auto"/>
        <w:jc w:val="both"/>
        <w:rPr>
          <w:rFonts w:ascii="Verdana" w:hAnsi="Verdana"/>
          <w:color w:val="EE0000"/>
        </w:rPr>
      </w:pPr>
      <w:r w:rsidRPr="00FD551E">
        <w:rPr>
          <w:rFonts w:ascii="Verdana" w:hAnsi="Verdana" w:cs="Arial"/>
          <w:shd w:val="clear" w:color="auto" w:fill="FFFFFF"/>
          <w:lang w:val="es-ES"/>
        </w:rPr>
        <w:t>Estos</w:t>
      </w:r>
      <w:r w:rsidRPr="00FD551E">
        <w:rPr>
          <w:rFonts w:ascii="Verdana" w:hAnsi="Verdana"/>
          <w:lang w:val="es-ES"/>
        </w:rPr>
        <w:t xml:space="preserve"> y otros se encuentran disponibles para consulta en el Sistema de relatoría de la Agencia, al cual se puede acceder a través del siguiente enlace:</w:t>
      </w:r>
      <w:r w:rsidRPr="00FD551E">
        <w:rPr>
          <w:rFonts w:ascii="Verdana" w:hAnsi="Verdana" w:cs="Arial"/>
          <w:shd w:val="clear" w:color="auto" w:fill="FFFFFF"/>
          <w:lang w:val="es-ES"/>
        </w:rPr>
        <w:t xml:space="preserve"> </w:t>
      </w:r>
      <w:hyperlink r:id="rId13" w:history="1">
        <w:r w:rsidRPr="00FD551E">
          <w:rPr>
            <w:rStyle w:val="Hipervnculo"/>
            <w:rFonts w:ascii="Verdana" w:hAnsi="Verdana" w:cs="Arial"/>
            <w:shd w:val="clear" w:color="auto" w:fill="FFFFFF"/>
            <w:lang w:val="es-ES"/>
          </w:rPr>
          <w:t>https://relatoria.colombiacompra.gov.co/busqueda/conceptos</w:t>
        </w:r>
      </w:hyperlink>
    </w:p>
    <w:p w14:paraId="1EBF3252" w14:textId="77777777" w:rsidR="006E35AB" w:rsidRPr="0076466E" w:rsidRDefault="006E35AB" w:rsidP="006E35AB">
      <w:pPr>
        <w:spacing w:after="0" w:line="276" w:lineRule="auto"/>
        <w:jc w:val="both"/>
        <w:rPr>
          <w:rStyle w:val="normaltextrun"/>
          <w:rFonts w:ascii="Verdana" w:hAnsi="Verdana" w:cs="Arial"/>
          <w:color w:val="EE0000"/>
          <w:shd w:val="clear" w:color="auto" w:fill="FFFFFF"/>
        </w:rPr>
      </w:pPr>
    </w:p>
    <w:p w14:paraId="27FA2DB6" w14:textId="77777777" w:rsidR="006E35AB" w:rsidRPr="0076466E" w:rsidRDefault="006E35AB" w:rsidP="006E35AB">
      <w:pPr>
        <w:spacing w:after="0" w:line="276" w:lineRule="auto"/>
        <w:jc w:val="both"/>
        <w:rPr>
          <w:rFonts w:ascii="Verdana" w:hAnsi="Verdana"/>
          <w:color w:val="EE0000"/>
        </w:rPr>
      </w:pPr>
      <w:r w:rsidRPr="00FD551E">
        <w:rPr>
          <w:rFonts w:ascii="Verdana" w:hAnsi="Verdana"/>
        </w:rPr>
        <w:t xml:space="preserve">La sostenibilidad no es una opción, es una obligación. Por ello, la Agencia Nacional de Contratación Pública –Colombia Compra Eficiente– te invita a realizar el </w:t>
      </w:r>
      <w:r w:rsidRPr="00FD551E">
        <w:rPr>
          <w:rFonts w:ascii="Verdana" w:hAnsi="Verdana"/>
          <w:b/>
          <w:bCs/>
        </w:rPr>
        <w:t>Curso de Contratación Pública Sostenible y Socialmente Responsable</w:t>
      </w:r>
      <w:r w:rsidRPr="00FD551E">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6466E">
        <w:rPr>
          <w:rFonts w:ascii="Verdana" w:hAnsi="Verdana"/>
          <w:color w:val="EE0000"/>
        </w:rPr>
        <w:br/>
      </w:r>
      <w:hyperlink r:id="rId14" w:tgtFrame="_new" w:history="1">
        <w:r w:rsidRPr="00FD551E">
          <w:rPr>
            <w:rStyle w:val="Hipervnculo"/>
            <w:rFonts w:ascii="Verdana" w:hAnsi="Verdana"/>
          </w:rPr>
          <w:t>https://formacionvirtual.colombiacompra.gov.co/mod/page/view.php?id=3718</w:t>
        </w:r>
      </w:hyperlink>
    </w:p>
    <w:p w14:paraId="43B86241" w14:textId="77777777" w:rsidR="006E35AB" w:rsidRPr="0076466E" w:rsidRDefault="006E35AB" w:rsidP="006E35AB">
      <w:pPr>
        <w:spacing w:after="0" w:line="276" w:lineRule="auto"/>
        <w:jc w:val="both"/>
        <w:rPr>
          <w:rFonts w:ascii="Verdana" w:hAnsi="Verdana"/>
          <w:color w:val="EE0000"/>
        </w:rPr>
      </w:pPr>
    </w:p>
    <w:p w14:paraId="139E27DD" w14:textId="77777777" w:rsidR="006E35AB" w:rsidRPr="0076466E" w:rsidRDefault="006E35AB" w:rsidP="006E35AB">
      <w:pPr>
        <w:spacing w:after="0" w:line="276" w:lineRule="auto"/>
        <w:jc w:val="both"/>
        <w:rPr>
          <w:rFonts w:ascii="Verdana" w:hAnsi="Verdana"/>
          <w:color w:val="EE0000"/>
        </w:rPr>
      </w:pPr>
      <w:r w:rsidRPr="00FD551E">
        <w:rPr>
          <w:rFonts w:ascii="Verdana" w:hAnsi="Verdana"/>
        </w:rPr>
        <w:t xml:space="preserve">De otro lado, te contamos que esta Agencia ha da un paso decisivo en la estandarización y modernización del </w:t>
      </w:r>
      <w:r w:rsidRPr="00FD551E">
        <w:rPr>
          <w:rFonts w:ascii="Verdana" w:hAnsi="Verdana"/>
          <w:b/>
          <w:bCs/>
        </w:rPr>
        <w:t>sector  social</w:t>
      </w:r>
      <w:r w:rsidRPr="00FD551E">
        <w:rPr>
          <w:rFonts w:ascii="Verdana" w:hAnsi="Verdana"/>
        </w:rPr>
        <w:t xml:space="preserve"> con la expedición de las </w:t>
      </w:r>
      <w:r w:rsidRPr="00FD551E">
        <w:rPr>
          <w:rFonts w:ascii="Verdana" w:hAnsi="Verdana"/>
          <w:b/>
          <w:bCs/>
        </w:rPr>
        <w:lastRenderedPageBreak/>
        <w:t>Resoluciones 539, 540, 541, 952 y 953 de 2025</w:t>
      </w:r>
      <w:r w:rsidRPr="00FD551E">
        <w:rPr>
          <w:rFonts w:ascii="Verdana" w:hAnsi="Verdana"/>
        </w:rPr>
        <w:t xml:space="preserve">, </w:t>
      </w:r>
      <w:r w:rsidRPr="00FD551E">
        <w:rPr>
          <w:rFonts w:ascii="Verdana" w:hAnsi="Verdana"/>
          <w:b/>
          <w:bCs/>
        </w:rPr>
        <w:t>mediante las cuales adoptó Documentos Tipo</w:t>
      </w:r>
      <w:r w:rsidRPr="00FD551E">
        <w:rPr>
          <w:rFonts w:ascii="Verdana" w:hAnsi="Verdana"/>
        </w:rPr>
        <w:t xml:space="preserve"> para las modalidades de selección de</w:t>
      </w:r>
      <w:r w:rsidRPr="00FD551E">
        <w:rPr>
          <w:rFonts w:ascii="Verdana" w:hAnsi="Verdana"/>
          <w:b/>
          <w:bCs/>
        </w:rPr>
        <w:t xml:space="preserve"> licitación pública (versión 2), selección abreviada de menor cuantía, mínima cuantía, consultoría e interventoría</w:t>
      </w:r>
      <w:r w:rsidRPr="00FD551E">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FD551E">
          <w:rPr>
            <w:rStyle w:val="Hipervnculo"/>
            <w:rFonts w:ascii="Verdana" w:hAnsi="Verdana"/>
          </w:rPr>
          <w:t>https://www.colombiacompra.gov.co/normativa-y-relatoria/documentos-tipo</w:t>
        </w:r>
      </w:hyperlink>
    </w:p>
    <w:p w14:paraId="356C115E" w14:textId="77777777" w:rsidR="006E35AB" w:rsidRPr="0076466E" w:rsidRDefault="006E35AB" w:rsidP="006E35AB">
      <w:pPr>
        <w:spacing w:after="0" w:line="276" w:lineRule="auto"/>
        <w:jc w:val="both"/>
        <w:rPr>
          <w:rFonts w:ascii="Verdana" w:hAnsi="Verdana"/>
          <w:color w:val="EE0000"/>
        </w:rPr>
      </w:pPr>
    </w:p>
    <w:p w14:paraId="0DE312F3" w14:textId="77777777" w:rsidR="006E35AB" w:rsidRPr="0076466E" w:rsidRDefault="006E35AB" w:rsidP="006E35AB">
      <w:pPr>
        <w:spacing w:after="0" w:line="276" w:lineRule="auto"/>
        <w:jc w:val="both"/>
        <w:rPr>
          <w:rFonts w:ascii="Verdana" w:hAnsi="Verdana"/>
          <w:color w:val="EE0000"/>
        </w:rPr>
      </w:pPr>
      <w:r w:rsidRPr="00FD551E">
        <w:rPr>
          <w:rFonts w:ascii="Verdana" w:hAnsi="Verdana"/>
        </w:rPr>
        <w:t xml:space="preserve">Si quieres conocer más sobre la aplicación de Documentos Tipo puedes consultar la última versión de la </w:t>
      </w:r>
      <w:r w:rsidRPr="00FD551E">
        <w:rPr>
          <w:rFonts w:ascii="Verdana" w:hAnsi="Verdana"/>
          <w:b/>
          <w:bCs/>
        </w:rPr>
        <w:t>Guía para la comprensión e implementación de los Documentos Tipo de obra pública de infraestructura de transporte</w:t>
      </w:r>
      <w:r w:rsidRPr="00FD551E">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6466E">
        <w:rPr>
          <w:rFonts w:ascii="Verdana" w:hAnsi="Verdana"/>
          <w:color w:val="EE0000"/>
        </w:rPr>
        <w:br/>
      </w:r>
      <w:hyperlink r:id="rId16" w:tgtFrame="_new" w:history="1">
        <w:r w:rsidRPr="00FD551E">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B5AB8E9" w14:textId="77777777" w:rsidR="006E35AB" w:rsidRPr="0076466E" w:rsidRDefault="006E35AB" w:rsidP="006E35AB">
      <w:pPr>
        <w:spacing w:after="0" w:line="276" w:lineRule="auto"/>
        <w:jc w:val="both"/>
        <w:rPr>
          <w:rFonts w:ascii="Verdana" w:hAnsi="Verdana" w:cs="Arial"/>
          <w:color w:val="EE0000"/>
          <w:shd w:val="clear" w:color="auto" w:fill="FFFFFF"/>
        </w:rPr>
      </w:pPr>
    </w:p>
    <w:p w14:paraId="4274AB2B" w14:textId="77777777" w:rsidR="006E35AB" w:rsidRPr="00116940" w:rsidRDefault="006E35AB" w:rsidP="006E35AB">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10D77960" w14:textId="77777777" w:rsidR="006E35AB" w:rsidRPr="00116940" w:rsidRDefault="006E35AB" w:rsidP="006E35AB">
      <w:pPr>
        <w:spacing w:after="0"/>
        <w:jc w:val="both"/>
        <w:rPr>
          <w:rFonts w:ascii="Verdana" w:hAnsi="Verdana"/>
        </w:rPr>
      </w:pPr>
    </w:p>
    <w:p w14:paraId="355808CE" w14:textId="77777777" w:rsidR="006E35AB" w:rsidRPr="00116940" w:rsidRDefault="006E35AB" w:rsidP="006E35AB">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D5691C5" w14:textId="77777777" w:rsidR="006E35AB" w:rsidRPr="00116940" w:rsidRDefault="006E35AB" w:rsidP="006E35AB">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4D22D841" w14:textId="77777777" w:rsidR="006E35AB" w:rsidRPr="00116940" w:rsidRDefault="006E35AB" w:rsidP="006E35A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4CCF1D77" w14:textId="77777777" w:rsidR="006E35AB" w:rsidRPr="00116940" w:rsidRDefault="006E35AB" w:rsidP="006E35A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40AA2EA1" w14:textId="77777777" w:rsidR="006E35AB" w:rsidRPr="00116940" w:rsidRDefault="006E35AB" w:rsidP="006E35AB">
      <w:pPr>
        <w:spacing w:after="0" w:line="240" w:lineRule="auto"/>
        <w:ind w:left="720"/>
        <w:jc w:val="both"/>
        <w:rPr>
          <w:rFonts w:ascii="Verdana" w:hAnsi="Verdana"/>
        </w:rPr>
      </w:pPr>
    </w:p>
    <w:p w14:paraId="5BCBAC81" w14:textId="77777777" w:rsidR="006E35AB" w:rsidRPr="00116940" w:rsidRDefault="006E35AB" w:rsidP="006E35AB">
      <w:pPr>
        <w:spacing w:after="0" w:line="240"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9" w:history="1">
        <w:r w:rsidRPr="00FB4AC0">
          <w:rPr>
            <w:rStyle w:val="Hipervnculo"/>
            <w:rFonts w:ascii="Verdana" w:hAnsi="Verdana"/>
          </w:rPr>
          <w:t>https://forms.office.com/r/pPHyWVs2SZ</w:t>
        </w:r>
      </w:hyperlink>
      <w:r w:rsidRPr="00116940">
        <w:rPr>
          <w:rFonts w:ascii="Verdana" w:hAnsi="Verdana"/>
        </w:rPr>
        <w:t xml:space="preserve"> .¡Ayúdanos a</w:t>
      </w:r>
      <w:r>
        <w:rPr>
          <w:rFonts w:ascii="Verdana" w:hAnsi="Verdana"/>
        </w:rPr>
        <w:t xml:space="preserve"> </w:t>
      </w:r>
      <w:r w:rsidRPr="00116940">
        <w:rPr>
          <w:rFonts w:ascii="Verdana" w:hAnsi="Verdana"/>
        </w:rPr>
        <w:t>mejorar porque el compromiso es de todos!</w:t>
      </w:r>
    </w:p>
    <w:p w14:paraId="2FA5BEC9" w14:textId="77777777" w:rsidR="006E35AB" w:rsidRPr="00116940" w:rsidRDefault="006E35AB" w:rsidP="006E35AB">
      <w:pPr>
        <w:spacing w:after="0" w:line="240" w:lineRule="auto"/>
        <w:rPr>
          <w:rFonts w:ascii="Verdana" w:hAnsi="Verdana"/>
        </w:rPr>
      </w:pPr>
    </w:p>
    <w:p w14:paraId="0494EA68" w14:textId="77777777" w:rsidR="006E35AB" w:rsidRPr="00116940" w:rsidRDefault="006E35AB" w:rsidP="006E35AB">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FF152E6" w14:textId="77777777" w:rsidR="006E35AB" w:rsidRPr="00116940" w:rsidRDefault="006E35AB" w:rsidP="006E35AB">
      <w:pPr>
        <w:spacing w:after="0" w:line="240" w:lineRule="auto"/>
        <w:jc w:val="both"/>
        <w:rPr>
          <w:rFonts w:ascii="Verdana" w:hAnsi="Verdana"/>
        </w:rPr>
      </w:pPr>
    </w:p>
    <w:p w14:paraId="48062775" w14:textId="77777777" w:rsidR="006E35AB" w:rsidRPr="00116940" w:rsidRDefault="006E35AB" w:rsidP="006E35AB">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F248E8B" w14:textId="77777777" w:rsidR="006E35AB" w:rsidRPr="00116940" w:rsidRDefault="006E35AB" w:rsidP="006E35AB">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287D3893" w14:textId="77777777" w:rsidR="006E35AB" w:rsidRPr="00116940" w:rsidRDefault="006E35AB" w:rsidP="006E35AB">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6F01D37" w14:textId="77777777" w:rsidR="006E35AB" w:rsidRPr="00CC060C" w:rsidRDefault="006E35AB" w:rsidP="006E35AB">
      <w:pPr>
        <w:widowControl w:val="0"/>
        <w:autoSpaceDE w:val="0"/>
        <w:autoSpaceDN w:val="0"/>
        <w:spacing w:after="0" w:line="276" w:lineRule="auto"/>
        <w:jc w:val="both"/>
        <w:rPr>
          <w:rFonts w:ascii="Verdana" w:hAnsi="Verdana" w:cs="Arial"/>
        </w:rPr>
      </w:pPr>
    </w:p>
    <w:p w14:paraId="249DC191" w14:textId="77777777" w:rsidR="006E35AB" w:rsidRPr="00FD551E" w:rsidRDefault="006E35AB" w:rsidP="006E35AB">
      <w:pPr>
        <w:widowControl w:val="0"/>
        <w:autoSpaceDE w:val="0"/>
        <w:autoSpaceDN w:val="0"/>
        <w:spacing w:after="0" w:line="276" w:lineRule="auto"/>
        <w:jc w:val="both"/>
        <w:rPr>
          <w:rFonts w:ascii="Verdana" w:hAnsi="Verdana" w:cs="Arial"/>
          <w:lang w:val="es-ES"/>
        </w:rPr>
      </w:pPr>
      <w:r w:rsidRPr="00FD551E">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3179172" w14:textId="77777777" w:rsidR="006E35AB" w:rsidRPr="00FD551E" w:rsidRDefault="006E35AB" w:rsidP="006E35AB">
      <w:pPr>
        <w:widowControl w:val="0"/>
        <w:autoSpaceDE w:val="0"/>
        <w:autoSpaceDN w:val="0"/>
        <w:spacing w:after="0" w:line="276" w:lineRule="auto"/>
        <w:jc w:val="both"/>
        <w:rPr>
          <w:rFonts w:ascii="Verdana" w:hAnsi="Verdana" w:cs="Arial"/>
          <w:lang w:val="es-ES"/>
        </w:rPr>
      </w:pPr>
    </w:p>
    <w:p w14:paraId="3CB04589" w14:textId="272CC59D" w:rsidR="006E35AB" w:rsidRPr="002918B1" w:rsidRDefault="006E35AB" w:rsidP="002918B1">
      <w:pPr>
        <w:spacing w:after="0" w:line="276" w:lineRule="auto"/>
        <w:rPr>
          <w:rFonts w:ascii="Verdana" w:hAnsi="Verdana" w:cs="Arial"/>
          <w:lang w:val="es-ES" w:eastAsia="es-CO"/>
        </w:rPr>
      </w:pPr>
      <w:r w:rsidRPr="00FD551E">
        <w:rPr>
          <w:rFonts w:ascii="Verdana" w:eastAsia="Times New Roman" w:hAnsi="Verdana" w:cs="Arial"/>
          <w:lang w:val="es-ES" w:eastAsia="es-CO"/>
        </w:rPr>
        <w:t>Atentamente,</w:t>
      </w:r>
      <w:r w:rsidRPr="00FD551E">
        <w:rPr>
          <w:rFonts w:ascii="Verdana" w:hAnsi="Verdana" w:cs="Arial"/>
          <w:lang w:val="es-ES" w:eastAsia="es-CO"/>
        </w:rPr>
        <w:t xml:space="preserve"> </w:t>
      </w:r>
    </w:p>
    <w:p w14:paraId="0CE95E07" w14:textId="1FF439E5" w:rsidR="006E35AB" w:rsidRPr="002918B1" w:rsidRDefault="002918B1" w:rsidP="002918B1">
      <w:pPr>
        <w:spacing w:after="0" w:line="276" w:lineRule="auto"/>
        <w:jc w:val="center"/>
        <w:rPr>
          <w:rFonts w:ascii="Verdana" w:hAnsi="Verdana"/>
          <w:noProof/>
          <w:color w:val="EE0000"/>
        </w:rPr>
      </w:pPr>
      <w:r w:rsidRPr="002918B1">
        <w:rPr>
          <w:rFonts w:ascii="Verdana" w:hAnsi="Verdana"/>
          <w:noProof/>
          <w:color w:val="EE0000"/>
        </w:rPr>
        <w:drawing>
          <wp:inline distT="0" distB="0" distL="0" distR="0" wp14:anchorId="388F6437" wp14:editId="0BCA2DC3">
            <wp:extent cx="2955852" cy="1259709"/>
            <wp:effectExtent l="0" t="0" r="0" b="0"/>
            <wp:docPr id="5598921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892114" name=""/>
                    <pic:cNvPicPr/>
                  </pic:nvPicPr>
                  <pic:blipFill>
                    <a:blip r:embed="rId20"/>
                    <a:stretch>
                      <a:fillRect/>
                    </a:stretch>
                  </pic:blipFill>
                  <pic:spPr>
                    <a:xfrm>
                      <a:off x="0" y="0"/>
                      <a:ext cx="2960110" cy="126152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E35AB" w:rsidRPr="0076466E" w14:paraId="452251BC" w14:textId="77777777" w:rsidTr="00CE6C17">
        <w:trPr>
          <w:trHeight w:val="315"/>
        </w:trPr>
        <w:tc>
          <w:tcPr>
            <w:tcW w:w="893" w:type="dxa"/>
            <w:vAlign w:val="center"/>
            <w:hideMark/>
          </w:tcPr>
          <w:p w14:paraId="6FC8DA41" w14:textId="77777777" w:rsidR="006E35AB" w:rsidRPr="00FD551E" w:rsidRDefault="006E35AB" w:rsidP="00CE6C17">
            <w:pPr>
              <w:contextualSpacing/>
              <w:rPr>
                <w:rFonts w:ascii="Verdana" w:hAnsi="Verdana" w:cs="Arial"/>
                <w:sz w:val="16"/>
                <w:szCs w:val="16"/>
                <w:lang w:val="es-ES" w:eastAsia="es-ES"/>
              </w:rPr>
            </w:pPr>
            <w:r w:rsidRPr="00FD551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769D3CC" w14:textId="77777777" w:rsidR="006E35AB" w:rsidRPr="00FD551E" w:rsidRDefault="006E35AB" w:rsidP="00CE6C17">
            <w:pPr>
              <w:rPr>
                <w:rFonts w:ascii="Verdana" w:eastAsia="Times New Roman" w:hAnsi="Verdana" w:cs="Arial"/>
                <w:sz w:val="16"/>
                <w:szCs w:val="16"/>
                <w:lang w:eastAsia="es-ES"/>
              </w:rPr>
            </w:pPr>
            <w:r w:rsidRPr="00FD551E">
              <w:rPr>
                <w:rFonts w:ascii="Verdana" w:eastAsia="Times New Roman" w:hAnsi="Verdana" w:cs="Arial"/>
                <w:sz w:val="16"/>
                <w:szCs w:val="16"/>
                <w:lang w:eastAsia="es-ES"/>
              </w:rPr>
              <w:t>Camila Alejandra Naranjo Gómez</w:t>
            </w:r>
          </w:p>
          <w:p w14:paraId="01EEE70B" w14:textId="77777777" w:rsidR="006E35AB" w:rsidRPr="00FD551E" w:rsidRDefault="006E35AB" w:rsidP="00CE6C17">
            <w:pPr>
              <w:contextualSpacing/>
              <w:rPr>
                <w:rFonts w:ascii="Verdana" w:eastAsia="Arial" w:hAnsi="Verdana" w:cs="Arial"/>
                <w:sz w:val="16"/>
                <w:szCs w:val="16"/>
                <w:lang w:val="es-ES"/>
              </w:rPr>
            </w:pPr>
            <w:r w:rsidRPr="00FD551E">
              <w:rPr>
                <w:rFonts w:ascii="Verdana" w:eastAsia="Times New Roman" w:hAnsi="Verdana" w:cs="Arial"/>
                <w:sz w:val="16"/>
                <w:szCs w:val="16"/>
                <w:lang w:eastAsia="es-ES"/>
              </w:rPr>
              <w:t>Analista T2-02 de la Subdirección de Gestión Contractual</w:t>
            </w:r>
          </w:p>
        </w:tc>
      </w:tr>
      <w:tr w:rsidR="006E35AB" w:rsidRPr="0076466E" w14:paraId="5220C93A" w14:textId="77777777" w:rsidTr="00CE6C17">
        <w:trPr>
          <w:trHeight w:val="330"/>
        </w:trPr>
        <w:tc>
          <w:tcPr>
            <w:tcW w:w="893" w:type="dxa"/>
            <w:vAlign w:val="center"/>
            <w:hideMark/>
          </w:tcPr>
          <w:p w14:paraId="50A670BD" w14:textId="77777777" w:rsidR="006E35AB" w:rsidRPr="00FD551E" w:rsidRDefault="006E35AB" w:rsidP="00CE6C17">
            <w:pPr>
              <w:contextualSpacing/>
              <w:rPr>
                <w:rFonts w:ascii="Verdana" w:hAnsi="Verdana" w:cs="Arial"/>
                <w:sz w:val="16"/>
                <w:szCs w:val="16"/>
                <w:lang w:val="es-ES" w:eastAsia="es-ES"/>
              </w:rPr>
            </w:pPr>
            <w:r w:rsidRPr="00FD551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C3FF288" w14:textId="77777777" w:rsidR="006E35AB" w:rsidRPr="00FD551E" w:rsidRDefault="006E35AB" w:rsidP="00CE6C17">
            <w:pPr>
              <w:rPr>
                <w:rFonts w:ascii="Verdana" w:eastAsia="Times New Roman" w:hAnsi="Verdana" w:cs="Arial"/>
                <w:sz w:val="16"/>
                <w:szCs w:val="16"/>
                <w:lang w:eastAsia="es-ES"/>
              </w:rPr>
            </w:pPr>
            <w:r>
              <w:rPr>
                <w:rFonts w:ascii="Verdana" w:eastAsia="Times New Roman" w:hAnsi="Verdana" w:cs="Arial"/>
                <w:sz w:val="16"/>
                <w:szCs w:val="16"/>
                <w:lang w:eastAsia="es-ES"/>
              </w:rPr>
              <w:t>Juan David Cárdenas Cabeza</w:t>
            </w:r>
          </w:p>
          <w:p w14:paraId="5C480626" w14:textId="77777777" w:rsidR="006E35AB" w:rsidRPr="00FD551E" w:rsidRDefault="006E35AB" w:rsidP="00CE6C17">
            <w:pPr>
              <w:pStyle w:val="paragraph"/>
              <w:spacing w:before="0" w:beforeAutospacing="0" w:after="0" w:afterAutospacing="0"/>
              <w:contextualSpacing/>
              <w:textAlignment w:val="baseline"/>
              <w:rPr>
                <w:rFonts w:ascii="Verdana" w:hAnsi="Verdana" w:cs="Segoe UI"/>
                <w:sz w:val="16"/>
                <w:szCs w:val="16"/>
                <w:lang w:val="es-ES"/>
              </w:rPr>
            </w:pPr>
            <w:r w:rsidRPr="00FD551E">
              <w:rPr>
                <w:rFonts w:ascii="Verdana" w:hAnsi="Verdana" w:cs="Arial"/>
                <w:sz w:val="16"/>
                <w:szCs w:val="16"/>
                <w:lang w:eastAsia="es-ES"/>
              </w:rPr>
              <w:t>Contratista de la Subdirección de Gestión Contractual</w:t>
            </w:r>
          </w:p>
        </w:tc>
      </w:tr>
      <w:tr w:rsidR="006E35AB" w:rsidRPr="0076466E" w14:paraId="398C3E28" w14:textId="77777777" w:rsidTr="00CE6C17">
        <w:trPr>
          <w:trHeight w:val="300"/>
        </w:trPr>
        <w:tc>
          <w:tcPr>
            <w:tcW w:w="893" w:type="dxa"/>
            <w:vAlign w:val="center"/>
          </w:tcPr>
          <w:p w14:paraId="4ED4A5B6" w14:textId="77777777" w:rsidR="006E35AB" w:rsidRPr="00FD551E" w:rsidRDefault="006E35AB" w:rsidP="00CE6C17">
            <w:pPr>
              <w:contextualSpacing/>
              <w:rPr>
                <w:rFonts w:ascii="Verdana" w:hAnsi="Verdana" w:cs="Arial"/>
                <w:sz w:val="16"/>
                <w:szCs w:val="16"/>
                <w:lang w:val="es-ES" w:eastAsia="es-ES"/>
              </w:rPr>
            </w:pPr>
            <w:r w:rsidRPr="00FD551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EE629AF" w14:textId="77777777" w:rsidR="006E35AB" w:rsidRPr="00FD551E" w:rsidRDefault="006E35AB" w:rsidP="00CE6C17">
            <w:pPr>
              <w:contextualSpacing/>
              <w:rPr>
                <w:rFonts w:ascii="Verdana" w:eastAsia="Calibri" w:hAnsi="Verdana" w:cs="Arial"/>
                <w:sz w:val="16"/>
                <w:szCs w:val="16"/>
                <w:lang w:val="es-ES" w:eastAsia="es-ES"/>
              </w:rPr>
            </w:pPr>
            <w:r w:rsidRPr="00FD551E">
              <w:rPr>
                <w:rFonts w:ascii="Verdana" w:eastAsia="Calibri" w:hAnsi="Verdana" w:cs="Arial"/>
                <w:sz w:val="16"/>
                <w:szCs w:val="16"/>
                <w:lang w:val="es-ES" w:eastAsia="es-ES"/>
              </w:rPr>
              <w:t>Carolina Quintero Gacharná</w:t>
            </w:r>
          </w:p>
          <w:p w14:paraId="6ED9EDFF" w14:textId="77777777" w:rsidR="006E35AB" w:rsidRPr="00FD551E" w:rsidRDefault="006E35AB" w:rsidP="00CE6C17">
            <w:pPr>
              <w:contextualSpacing/>
              <w:rPr>
                <w:rFonts w:ascii="Verdana" w:eastAsia="Calibri" w:hAnsi="Verdana" w:cs="Arial"/>
                <w:sz w:val="16"/>
                <w:szCs w:val="16"/>
                <w:lang w:val="es-ES" w:eastAsia="es-ES"/>
              </w:rPr>
            </w:pPr>
            <w:r w:rsidRPr="00FD551E">
              <w:rPr>
                <w:rFonts w:ascii="Verdana" w:eastAsia="Calibri" w:hAnsi="Verdana" w:cs="Arial"/>
                <w:sz w:val="16"/>
                <w:szCs w:val="16"/>
                <w:lang w:val="es-ES" w:eastAsia="es-ES"/>
              </w:rPr>
              <w:t>Subdirectora de Gestión Contractual ANCP – CCE</w:t>
            </w:r>
          </w:p>
        </w:tc>
      </w:tr>
    </w:tbl>
    <w:p w14:paraId="54395B5F" w14:textId="77777777" w:rsidR="006E35AB" w:rsidRPr="0076466E" w:rsidRDefault="006E35AB" w:rsidP="006E35AB">
      <w:pPr>
        <w:spacing w:after="0" w:line="240" w:lineRule="auto"/>
        <w:jc w:val="both"/>
        <w:textAlignment w:val="baseline"/>
        <w:rPr>
          <w:rFonts w:ascii="Verdana" w:eastAsia="Verdana" w:hAnsi="Verdana" w:cs="Verdana"/>
          <w:color w:val="EE0000"/>
          <w:lang w:eastAsia="es-CO"/>
        </w:rPr>
      </w:pPr>
    </w:p>
    <w:p w14:paraId="3773395C" w14:textId="0B168CF1" w:rsidR="006E35AB" w:rsidRPr="0084775B" w:rsidRDefault="006E35AB" w:rsidP="006E35AB">
      <w:pPr>
        <w:spacing w:after="0" w:line="240" w:lineRule="auto"/>
        <w:textAlignment w:val="baseline"/>
        <w:rPr>
          <w:rFonts w:ascii="Verdana" w:eastAsia="Verdana" w:hAnsi="Verdana" w:cs="Verdana"/>
          <w:color w:val="EE0000"/>
          <w:lang w:eastAsia="es-CO"/>
        </w:rPr>
      </w:pPr>
      <w:r w:rsidRPr="0076466E">
        <w:rPr>
          <w:rFonts w:ascii="Verdana" w:eastAsia="Verdana" w:hAnsi="Verdana" w:cs="Verdana"/>
          <w:color w:val="EE0000"/>
          <w:lang w:eastAsia="es-CO"/>
        </w:rPr>
        <w:t> </w:t>
      </w:r>
    </w:p>
    <w:p w14:paraId="0F293BF4" w14:textId="1FE44AC4" w:rsidR="00127233" w:rsidRPr="006E35AB" w:rsidRDefault="00127233" w:rsidP="006E35AB"/>
    <w:sectPr w:rsidR="00127233" w:rsidRPr="006E35AB"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6F26DC" w14:textId="77777777" w:rsidR="00E23445" w:rsidRDefault="00E23445" w:rsidP="004A1847">
      <w:pPr>
        <w:spacing w:after="0" w:line="240" w:lineRule="auto"/>
      </w:pPr>
      <w:r>
        <w:separator/>
      </w:r>
    </w:p>
  </w:endnote>
  <w:endnote w:type="continuationSeparator" w:id="0">
    <w:p w14:paraId="23365861" w14:textId="77777777" w:rsidR="00E23445" w:rsidRDefault="00E2344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59BCEF" w14:textId="77777777" w:rsidR="00E23445" w:rsidRDefault="00E23445" w:rsidP="004A1847">
      <w:pPr>
        <w:spacing w:after="0" w:line="240" w:lineRule="auto"/>
      </w:pPr>
      <w:r>
        <w:separator/>
      </w:r>
    </w:p>
  </w:footnote>
  <w:footnote w:type="continuationSeparator" w:id="0">
    <w:p w14:paraId="7183E492" w14:textId="77777777" w:rsidR="00E23445" w:rsidRDefault="00E23445" w:rsidP="004A1847">
      <w:pPr>
        <w:spacing w:after="0" w:line="240" w:lineRule="auto"/>
      </w:pPr>
      <w:r>
        <w:continuationSeparator/>
      </w:r>
    </w:p>
  </w:footnote>
  <w:footnote w:id="1">
    <w:p w14:paraId="02376959" w14:textId="77777777" w:rsidR="006E35AB" w:rsidRDefault="006E35AB" w:rsidP="006E35AB">
      <w:pPr>
        <w:pStyle w:val="Textonotapie"/>
        <w:ind w:firstLine="708"/>
        <w:contextualSpacing/>
        <w:jc w:val="both"/>
        <w:rPr>
          <w:rFonts w:ascii="Verdana" w:hAnsi="Verdana" w:cs="Arial"/>
          <w:color w:val="000000" w:themeColor="text1"/>
          <w:sz w:val="16"/>
          <w:szCs w:val="16"/>
          <w:lang w:val="es-CO"/>
        </w:rPr>
      </w:pPr>
      <w:r w:rsidRPr="009E2CDE">
        <w:rPr>
          <w:rStyle w:val="Refdenotaalpie"/>
          <w:rFonts w:ascii="Verdana" w:hAnsi="Verdana" w:cs="Arial"/>
          <w:color w:val="000000" w:themeColor="text1"/>
          <w:sz w:val="16"/>
          <w:szCs w:val="16"/>
        </w:rPr>
        <w:footnoteRef/>
      </w:r>
      <w:r w:rsidRPr="009E2CDE">
        <w:rPr>
          <w:rStyle w:val="Refdenotaalpie"/>
          <w:rFonts w:ascii="Verdana" w:hAnsi="Verdana" w:cs="Arial"/>
          <w:color w:val="000000" w:themeColor="text1"/>
          <w:sz w:val="16"/>
          <w:szCs w:val="16"/>
        </w:rPr>
        <w:t xml:space="preserve"> </w:t>
      </w:r>
      <w:bookmarkStart w:id="3" w:name="_Hlk198934365"/>
      <w:r w:rsidRPr="009E2CDE">
        <w:rPr>
          <w:rFonts w:ascii="Verdana" w:hAnsi="Verdana" w:cs="Arial"/>
          <w:color w:val="000000" w:themeColor="text1"/>
          <w:sz w:val="16"/>
          <w:szCs w:val="16"/>
        </w:rPr>
        <w:t>Decreto 4791 de 2008 artículo 2</w:t>
      </w:r>
      <w:bookmarkEnd w:id="3"/>
      <w:r w:rsidRPr="009E2CDE">
        <w:rPr>
          <w:rFonts w:ascii="Verdana" w:hAnsi="Verdana" w:cs="Arial"/>
          <w:color w:val="000000" w:themeColor="text1"/>
          <w:sz w:val="16"/>
          <w:szCs w:val="16"/>
        </w:rPr>
        <w:t xml:space="preserve">. </w:t>
      </w:r>
      <w:r w:rsidRPr="009E2CDE">
        <w:rPr>
          <w:rFonts w:ascii="Verdana" w:hAnsi="Verdana" w:cs="Arial"/>
          <w:color w:val="000000" w:themeColor="text1"/>
          <w:sz w:val="16"/>
          <w:szCs w:val="16"/>
          <w:lang w:val="es-CO"/>
        </w:rPr>
        <w:t xml:space="preserve">Los fondos de servicios educativos son cuentas contables creadas por la ley como un mecanismo de gestión presupuestal y de ejecución de los recursos de los establecimientos educativos estatales para la adecuada administración de sus ingresos y para atender sus gastos de funcionamiento e inversión distintos a los de personal. Parágrafo. Con sujeción a lo establecido en la normatividad vigente, la administración y ejecución de estos recursos por parte de las autoridades del establecimiento educativo, es autónoma. Los ingresos del Fondo de Servicios Educativos son recursos propios de carácter público sometidos al control de las autoridades administrativas y fiscales de los órdenes nacional y territorial. Compilado mediante el Decreto único reglamentario del sector educación No. 1075 de 2025 artículo 2.3.1.6.3.2. </w:t>
      </w:r>
    </w:p>
    <w:p w14:paraId="22D1375A" w14:textId="77777777" w:rsidR="006E35AB" w:rsidRPr="009E2CDE" w:rsidRDefault="006E35AB" w:rsidP="006E35AB">
      <w:pPr>
        <w:pStyle w:val="Textonotapie"/>
        <w:ind w:firstLine="708"/>
        <w:contextualSpacing/>
        <w:jc w:val="both"/>
        <w:rPr>
          <w:rFonts w:ascii="Verdana" w:hAnsi="Verdana" w:cs="Arial"/>
          <w:color w:val="000000" w:themeColor="text1"/>
          <w:sz w:val="16"/>
          <w:szCs w:val="16"/>
        </w:rPr>
      </w:pPr>
    </w:p>
  </w:footnote>
  <w:footnote w:id="2">
    <w:p w14:paraId="4F453E21" w14:textId="77777777" w:rsidR="006E35AB" w:rsidRDefault="006E35AB" w:rsidP="006E35AB">
      <w:pPr>
        <w:pStyle w:val="Textonotapie"/>
        <w:ind w:firstLine="708"/>
        <w:contextualSpacing/>
        <w:jc w:val="both"/>
        <w:rPr>
          <w:rFonts w:ascii="Verdana" w:hAnsi="Verdana" w:cs="Arial"/>
          <w:color w:val="000000" w:themeColor="text1"/>
          <w:sz w:val="16"/>
          <w:szCs w:val="16"/>
        </w:rPr>
      </w:pPr>
      <w:r w:rsidRPr="009E2CDE">
        <w:rPr>
          <w:rStyle w:val="Refdenotaalpie"/>
          <w:rFonts w:ascii="Verdana" w:hAnsi="Verdana" w:cs="Arial"/>
          <w:color w:val="000000" w:themeColor="text1"/>
          <w:sz w:val="16"/>
          <w:szCs w:val="16"/>
        </w:rPr>
        <w:footnoteRef/>
      </w:r>
      <w:r w:rsidRPr="009E2CDE">
        <w:rPr>
          <w:rFonts w:ascii="Verdana" w:hAnsi="Verdana" w:cs="Arial"/>
          <w:color w:val="000000" w:themeColor="text1"/>
          <w:sz w:val="16"/>
          <w:szCs w:val="16"/>
        </w:rPr>
        <w:t xml:space="preserve"> “Artículo 2.3.1.6.3.4. Ordenación del gasto. Los fondos de servicios educativos carecen de personería jurídica”.</w:t>
      </w:r>
    </w:p>
    <w:p w14:paraId="2E6D5EF1" w14:textId="77777777" w:rsidR="006E35AB" w:rsidRPr="009E2CDE" w:rsidRDefault="006E35AB" w:rsidP="006E35AB">
      <w:pPr>
        <w:pStyle w:val="Textonotapie"/>
        <w:ind w:firstLine="708"/>
        <w:contextualSpacing/>
        <w:jc w:val="both"/>
        <w:rPr>
          <w:rFonts w:ascii="Verdana" w:hAnsi="Verdana" w:cs="Arial"/>
          <w:color w:val="000000" w:themeColor="text1"/>
          <w:sz w:val="16"/>
          <w:szCs w:val="16"/>
        </w:rPr>
      </w:pPr>
    </w:p>
  </w:footnote>
  <w:footnote w:id="3">
    <w:p w14:paraId="34E00D0E" w14:textId="77777777" w:rsidR="006E35AB" w:rsidRPr="009E2CDE" w:rsidRDefault="006E35AB" w:rsidP="006E35AB">
      <w:pPr>
        <w:pStyle w:val="NormalWeb"/>
        <w:spacing w:before="0" w:beforeAutospacing="0" w:after="0" w:afterAutospacing="0"/>
        <w:ind w:firstLine="708"/>
        <w:contextualSpacing/>
        <w:jc w:val="both"/>
        <w:rPr>
          <w:rFonts w:ascii="Verdana" w:hAnsi="Verdana" w:cs="Arial"/>
          <w:sz w:val="16"/>
          <w:szCs w:val="16"/>
        </w:rPr>
      </w:pPr>
      <w:r w:rsidRPr="009E2CDE">
        <w:rPr>
          <w:rStyle w:val="Refdenotaalpie"/>
          <w:rFonts w:ascii="Verdana" w:hAnsi="Verdana" w:cs="Arial"/>
          <w:sz w:val="16"/>
          <w:szCs w:val="16"/>
        </w:rPr>
        <w:footnoteRef/>
      </w:r>
      <w:r w:rsidRPr="009E2CDE">
        <w:rPr>
          <w:rStyle w:val="Refdenotaalpie"/>
          <w:rFonts w:ascii="Verdana" w:hAnsi="Verdana" w:cs="Arial"/>
          <w:sz w:val="16"/>
          <w:szCs w:val="16"/>
        </w:rPr>
        <w:t xml:space="preserve"> </w:t>
      </w:r>
      <w:r w:rsidRPr="009E2CDE">
        <w:rPr>
          <w:rFonts w:ascii="Verdana" w:hAnsi="Verdana" w:cs="Arial"/>
          <w:sz w:val="16"/>
          <w:szCs w:val="16"/>
        </w:rPr>
        <w:t>“Artículo 13. Procedimientos de contratación de los fondos de servicios educativos. Todos los actos y contratos que tengan por objeto bienes y obligaciones que hayan de registrarse en la contabilidad de los Fondos de servicios educativos a los que se refiere el artículo anterior, se harán respetando los principios de igualdad, moralidad, imparcialidad y publicidad, aplicados en forma razonable a las circunstancias concretas en las que hayan de celebrarse. Se harán con el propósito fundamental de proteger los derechos de los niños y de los jóvenes, y de conseguir eficacia y celeridad en la atención del servicio educativo, y economía en el uso de los recursos públicos.</w:t>
      </w:r>
    </w:p>
    <w:p w14:paraId="1261B332" w14:textId="77777777" w:rsidR="006E35AB" w:rsidRPr="009E2CDE" w:rsidRDefault="006E35AB" w:rsidP="006E35AB">
      <w:pPr>
        <w:spacing w:after="0" w:line="240" w:lineRule="auto"/>
        <w:ind w:firstLine="708"/>
        <w:contextualSpacing/>
        <w:jc w:val="both"/>
        <w:rPr>
          <w:rFonts w:ascii="Verdana" w:eastAsia="Times New Roman" w:hAnsi="Verdana" w:cs="Arial"/>
          <w:sz w:val="16"/>
          <w:szCs w:val="16"/>
          <w:lang w:eastAsia="es-CO"/>
        </w:rPr>
      </w:pPr>
      <w:r w:rsidRPr="009E2CDE">
        <w:rPr>
          <w:rFonts w:ascii="Verdana" w:eastAsia="Times New Roman" w:hAnsi="Verdana" w:cs="Arial"/>
          <w:i/>
          <w:iCs/>
          <w:sz w:val="16"/>
          <w:szCs w:val="16"/>
          <w:lang w:eastAsia="es-CO"/>
        </w:rPr>
        <w:t>Los actos y contratos de cuantía superior a veinte (20) salarios mínimos mensuales se regirán por las reglas de la contratación estatal</w:t>
      </w:r>
      <w:r w:rsidRPr="009E2CDE">
        <w:rPr>
          <w:rFonts w:ascii="Verdana" w:eastAsia="Times New Roman" w:hAnsi="Verdana" w:cs="Arial"/>
          <w:sz w:val="16"/>
          <w:szCs w:val="16"/>
          <w:lang w:eastAsia="es-CO"/>
        </w:rPr>
        <w:t xml:space="preserve">, teniendo en cuenta su valor y naturaleza, y las circunstancias en las que se celebren. El Gobierno Nacional podrá indicar los casos en los cuales la cuantía señalada en el presente inciso será menor. </w:t>
      </w:r>
    </w:p>
    <w:p w14:paraId="4924483A" w14:textId="77777777" w:rsidR="006E35AB" w:rsidRPr="009E2CDE" w:rsidRDefault="006E35AB" w:rsidP="006E35AB">
      <w:pPr>
        <w:spacing w:after="0" w:line="240" w:lineRule="auto"/>
        <w:ind w:firstLine="708"/>
        <w:contextualSpacing/>
        <w:jc w:val="both"/>
        <w:rPr>
          <w:rFonts w:ascii="Verdana" w:eastAsia="Times New Roman" w:hAnsi="Verdana" w:cs="Arial"/>
          <w:sz w:val="16"/>
          <w:szCs w:val="16"/>
          <w:lang w:eastAsia="es-CO"/>
        </w:rPr>
      </w:pPr>
      <w:r w:rsidRPr="009E2CDE">
        <w:rPr>
          <w:rFonts w:ascii="Verdana" w:eastAsia="Times New Roman" w:hAnsi="Verdana" w:cs="Arial"/>
          <w:sz w:val="16"/>
          <w:szCs w:val="16"/>
          <w:lang w:eastAsia="es-CO"/>
        </w:rPr>
        <w:t>El rector o director celebrará los contratos que hayan de pagarse con cargo a los recursos vinculados a los Fondos, en las condiciones y dentro de los límites que fijen los reglamentos.</w:t>
      </w:r>
    </w:p>
    <w:p w14:paraId="0FF3A25A" w14:textId="77777777" w:rsidR="006E35AB" w:rsidRPr="009E2CDE" w:rsidRDefault="006E35AB" w:rsidP="006E35AB">
      <w:pPr>
        <w:spacing w:after="0" w:line="240" w:lineRule="auto"/>
        <w:ind w:firstLine="708"/>
        <w:contextualSpacing/>
        <w:jc w:val="both"/>
        <w:rPr>
          <w:rFonts w:ascii="Verdana" w:eastAsia="Times New Roman" w:hAnsi="Verdana" w:cs="Arial"/>
          <w:sz w:val="16"/>
          <w:szCs w:val="16"/>
          <w:lang w:eastAsia="es-CO"/>
        </w:rPr>
      </w:pPr>
      <w:r w:rsidRPr="009E2CDE">
        <w:rPr>
          <w:rFonts w:ascii="Verdana" w:eastAsia="Times New Roman" w:hAnsi="Verdana" w:cs="Arial"/>
          <w:i/>
          <w:iCs/>
          <w:sz w:val="16"/>
          <w:szCs w:val="16"/>
          <w:lang w:eastAsia="es-CO"/>
        </w:rPr>
        <w:t>Con estricta sujeción a los principios y propósitos enunciados en el primer inciso de este artículo, y a los reglamentos de esta Ley, el Consejo Directivo de cada establecimiento podrá señalar, con base en la experiencia y en el análisis concreto de las necesidades del establecimiento, los trámites, garantías y constancias que deben cumplirse para que el rector o director celebre cualquier acto o contrato que cree, extinga o modifique obligaciones que deban registrarse en el Fondo, y cuya cuantía sea inferior a veinte (20) salarios mínimos mensuales. El Consejo puede exigir, además, que ciertos actos o contratos requieran una autorización suya específica</w:t>
      </w:r>
      <w:r w:rsidRPr="009E2CDE">
        <w:rPr>
          <w:rFonts w:ascii="Verdana" w:eastAsia="Times New Roman" w:hAnsi="Verdana" w:cs="Arial"/>
          <w:sz w:val="16"/>
          <w:szCs w:val="16"/>
          <w:lang w:eastAsia="es-CO"/>
        </w:rPr>
        <w:t>”.</w:t>
      </w:r>
    </w:p>
    <w:p w14:paraId="10A822E7" w14:textId="77777777" w:rsidR="006E35AB" w:rsidRPr="00CB0272" w:rsidRDefault="006E35AB" w:rsidP="006E35AB">
      <w:pPr>
        <w:pStyle w:val="Textonotapie"/>
        <w:ind w:firstLine="708"/>
        <w:contextualSpacing/>
        <w:jc w:val="both"/>
        <w:rPr>
          <w:rFonts w:ascii="Verdana" w:hAnsi="Verdana" w:cs="Arial"/>
          <w:color w:val="000000" w:themeColor="text1"/>
          <w:sz w:val="14"/>
          <w:szCs w:val="14"/>
        </w:rPr>
      </w:pPr>
      <w:r w:rsidRPr="009E2CDE">
        <w:rPr>
          <w:rFonts w:ascii="Verdana" w:hAnsi="Verdana" w:cs="Arial"/>
          <w:color w:val="000000" w:themeColor="text1"/>
          <w:sz w:val="16"/>
          <w:szCs w:val="16"/>
        </w:rPr>
        <w:t>Decreto 1075 de 2015: “Artículo 2.3.1.6.3.5. Funciones del Consejo Directivo. (…) 6. Reglamentar mediante acuerdo los procedimientos, formalidades y garantías para toda contratación que no supere los veinte (20) salarios mínimos legales mensuales vigentes (SMLMV)”.</w:t>
      </w:r>
    </w:p>
  </w:footnote>
  <w:footnote w:id="4">
    <w:p w14:paraId="1D4FA0FB" w14:textId="77777777" w:rsidR="006E35AB" w:rsidRDefault="006E35AB" w:rsidP="006E35AB">
      <w:pPr>
        <w:pStyle w:val="Textonotapie"/>
        <w:ind w:firstLine="708"/>
        <w:contextualSpacing/>
        <w:jc w:val="both"/>
        <w:rPr>
          <w:rFonts w:ascii="Verdana" w:hAnsi="Verdana" w:cs="Arial"/>
          <w:sz w:val="16"/>
          <w:szCs w:val="16"/>
        </w:rPr>
      </w:pPr>
      <w:r w:rsidRPr="00D2615D">
        <w:rPr>
          <w:rStyle w:val="Refdenotaalpie"/>
          <w:rFonts w:ascii="Verdana" w:hAnsi="Verdana" w:cs="Arial"/>
          <w:sz w:val="16"/>
          <w:szCs w:val="16"/>
        </w:rPr>
        <w:footnoteRef/>
      </w:r>
      <w:r w:rsidRPr="00D2615D">
        <w:rPr>
          <w:rFonts w:ascii="Verdana" w:hAnsi="Verdana" w:cs="Arial"/>
          <w:sz w:val="16"/>
          <w:szCs w:val="16"/>
        </w:rPr>
        <w:t xml:space="preserve"> El artículo 32 de la Ley 80, en lo pertinente, dispone que “Son contratos estatales todos los actos jurídicos generadores de obligaciones que celebren las entidades a que se refiere el presente estatuto, previstos en el derecho privado o en disposiciones especiales, o derivados del ejercicio de la autonomía de la voluntad […]. Por su parte, el inciso primero del artículo 40 del Estatuto General prescribe los siguiente: «Las estipulaciones de los contratos serán las que de acuerdo con las normas civiles, comerciales y las previstas en esta ley, correspondan a su esencia y naturaleza”.</w:t>
      </w:r>
    </w:p>
    <w:p w14:paraId="12DF8558" w14:textId="77777777" w:rsidR="006E35AB" w:rsidRPr="00D2615D" w:rsidRDefault="006E35AB" w:rsidP="006E35AB">
      <w:pPr>
        <w:pStyle w:val="Textonotapie"/>
        <w:ind w:firstLine="708"/>
        <w:contextualSpacing/>
        <w:jc w:val="both"/>
        <w:rPr>
          <w:rFonts w:ascii="Verdana" w:hAnsi="Verdana" w:cs="Arial"/>
          <w:sz w:val="16"/>
          <w:szCs w:val="16"/>
        </w:rPr>
      </w:pPr>
    </w:p>
  </w:footnote>
  <w:footnote w:id="5">
    <w:p w14:paraId="240B3160" w14:textId="77777777" w:rsidR="006E35AB" w:rsidRDefault="006E35AB" w:rsidP="006E35AB">
      <w:pPr>
        <w:pStyle w:val="Textonotapie"/>
        <w:ind w:firstLine="708"/>
        <w:contextualSpacing/>
        <w:jc w:val="both"/>
        <w:rPr>
          <w:rFonts w:ascii="Verdana" w:hAnsi="Verdana" w:cs="Arial"/>
          <w:sz w:val="16"/>
          <w:szCs w:val="16"/>
        </w:rPr>
      </w:pPr>
      <w:r w:rsidRPr="00D2615D">
        <w:rPr>
          <w:rStyle w:val="Refdenotaalpie"/>
          <w:rFonts w:ascii="Verdana" w:hAnsi="Verdana" w:cs="Arial"/>
          <w:sz w:val="16"/>
          <w:szCs w:val="16"/>
        </w:rPr>
        <w:footnoteRef/>
      </w:r>
      <w:r w:rsidRPr="00D2615D">
        <w:rPr>
          <w:rFonts w:ascii="Verdana" w:hAnsi="Verdana" w:cs="Arial"/>
          <w:sz w:val="16"/>
          <w:szCs w:val="16"/>
        </w:rPr>
        <w:t xml:space="preserve"> </w:t>
      </w:r>
      <w:bookmarkStart w:id="8" w:name="_Hlk198934469"/>
      <w:r w:rsidRPr="00D2615D">
        <w:rPr>
          <w:rFonts w:ascii="Verdana" w:hAnsi="Verdana" w:cs="Arial"/>
          <w:sz w:val="16"/>
          <w:szCs w:val="16"/>
        </w:rPr>
        <w:t xml:space="preserve">Cfr. BENAVIDES, José Luis. El contrato estatal: entre el derecho público y el derecho privado. Segunda edición. Bogotá: Universidad Externado de Colombia, 2009. pp. 78-79.     </w:t>
      </w:r>
      <w:bookmarkEnd w:id="8"/>
    </w:p>
    <w:p w14:paraId="5C71F063" w14:textId="77777777" w:rsidR="006E35AB" w:rsidRPr="00D2615D" w:rsidRDefault="006E35AB" w:rsidP="006E35AB">
      <w:pPr>
        <w:pStyle w:val="Textonotapie"/>
        <w:ind w:firstLine="708"/>
        <w:contextualSpacing/>
        <w:jc w:val="both"/>
        <w:rPr>
          <w:rFonts w:ascii="Verdana" w:hAnsi="Verdana" w:cs="Arial"/>
          <w:sz w:val="16"/>
          <w:szCs w:val="16"/>
        </w:rPr>
      </w:pPr>
    </w:p>
  </w:footnote>
  <w:footnote w:id="6">
    <w:p w14:paraId="1A1FEEDE" w14:textId="77777777" w:rsidR="006E35AB" w:rsidRPr="00D2615D" w:rsidRDefault="006E35AB" w:rsidP="006E35AB">
      <w:pPr>
        <w:pStyle w:val="Textonotapie"/>
        <w:ind w:firstLine="708"/>
        <w:contextualSpacing/>
        <w:jc w:val="both"/>
        <w:rPr>
          <w:rFonts w:ascii="Verdana" w:hAnsi="Verdana" w:cs="Arial"/>
          <w:sz w:val="16"/>
          <w:szCs w:val="16"/>
          <w:lang w:val="es-ES"/>
        </w:rPr>
      </w:pPr>
      <w:r w:rsidRPr="00D2615D">
        <w:rPr>
          <w:rStyle w:val="Refdenotaalpie"/>
          <w:rFonts w:ascii="Verdana" w:hAnsi="Verdana" w:cs="Arial"/>
          <w:sz w:val="16"/>
          <w:szCs w:val="16"/>
        </w:rPr>
        <w:footnoteRef/>
      </w:r>
      <w:r w:rsidRPr="00D2615D">
        <w:rPr>
          <w:rFonts w:ascii="Verdana" w:hAnsi="Verdana" w:cs="Arial"/>
          <w:sz w:val="16"/>
          <w:szCs w:val="16"/>
        </w:rPr>
        <w:t xml:space="preserve"> </w:t>
      </w:r>
      <w:bookmarkStart w:id="9" w:name="_Hlk198934483"/>
      <w:r w:rsidRPr="00D2615D">
        <w:rPr>
          <w:rFonts w:ascii="Verdana" w:hAnsi="Verdana" w:cs="Arial"/>
          <w:sz w:val="16"/>
          <w:szCs w:val="16"/>
        </w:rPr>
        <w:t xml:space="preserve">Betancur Jaramillo, Carlos. Derecho procesal administrativo. Cuarta edición. Medellín: Señal Editora, 1994. pp. 522-523. </w:t>
      </w:r>
      <w:bookmarkEnd w:id="9"/>
    </w:p>
  </w:footnote>
  <w:footnote w:id="7">
    <w:p w14:paraId="561B7983" w14:textId="77777777" w:rsidR="006E35AB" w:rsidRPr="00CB0272" w:rsidRDefault="006E35AB" w:rsidP="006E35AB">
      <w:pPr>
        <w:pStyle w:val="Textonotapie"/>
        <w:ind w:firstLine="708"/>
        <w:contextualSpacing/>
        <w:jc w:val="both"/>
        <w:rPr>
          <w:rFonts w:ascii="Verdana" w:hAnsi="Verdana" w:cs="Arial"/>
          <w:sz w:val="14"/>
          <w:szCs w:val="14"/>
        </w:rPr>
      </w:pPr>
      <w:r w:rsidRPr="004838C2">
        <w:rPr>
          <w:rStyle w:val="Refdenotaalpie"/>
          <w:rFonts w:ascii="Verdana" w:hAnsi="Verdana" w:cs="Arial"/>
          <w:sz w:val="16"/>
          <w:szCs w:val="16"/>
        </w:rPr>
        <w:footnoteRef/>
      </w:r>
      <w:r w:rsidRPr="004838C2">
        <w:rPr>
          <w:rFonts w:ascii="Verdana" w:hAnsi="Verdana" w:cs="Arial"/>
          <w:sz w:val="16"/>
          <w:szCs w:val="16"/>
        </w:rPr>
        <w:t xml:space="preserve"> La norma citada dispone que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footnote>
  <w:footnote w:id="8">
    <w:p w14:paraId="77117FA3" w14:textId="77777777" w:rsidR="006E35AB" w:rsidRDefault="006E35AB" w:rsidP="006E35AB">
      <w:pPr>
        <w:pStyle w:val="Textonotapie"/>
        <w:ind w:firstLine="709"/>
        <w:jc w:val="both"/>
        <w:rPr>
          <w:rFonts w:ascii="Verdana" w:hAnsi="Verdana" w:cs="Arial"/>
          <w:color w:val="000000"/>
          <w:sz w:val="16"/>
          <w:szCs w:val="16"/>
        </w:rPr>
      </w:pPr>
    </w:p>
    <w:p w14:paraId="755A8360" w14:textId="77777777" w:rsidR="006E35AB" w:rsidRPr="005C10BE" w:rsidRDefault="006E35AB" w:rsidP="006E35AB">
      <w:pPr>
        <w:pStyle w:val="Textonotapie"/>
        <w:ind w:firstLine="709"/>
        <w:jc w:val="both"/>
        <w:rPr>
          <w:rFonts w:ascii="Verdana" w:hAnsi="Verdana" w:cs="Arial"/>
          <w:color w:val="000000"/>
          <w:sz w:val="16"/>
          <w:szCs w:val="16"/>
        </w:rPr>
      </w:pPr>
      <w:r w:rsidRPr="005C10BE">
        <w:rPr>
          <w:rStyle w:val="Refdenotaalpie"/>
          <w:rFonts w:ascii="Verdana" w:hAnsi="Verdana" w:cs="Arial"/>
          <w:color w:val="000000"/>
          <w:sz w:val="16"/>
          <w:szCs w:val="16"/>
        </w:rPr>
        <w:footnoteRef/>
      </w:r>
      <w:r w:rsidRPr="005C10BE">
        <w:rPr>
          <w:rFonts w:ascii="Verdana" w:hAnsi="Verdana" w:cs="Arial"/>
          <w:color w:val="000000"/>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2C6F011F" w14:textId="77777777" w:rsidR="006E35AB" w:rsidRPr="005C10BE" w:rsidRDefault="006E35AB" w:rsidP="006E35AB">
      <w:pPr>
        <w:pStyle w:val="Textonotapie"/>
        <w:ind w:firstLine="709"/>
        <w:jc w:val="both"/>
        <w:rPr>
          <w:rFonts w:ascii="Verdana" w:hAnsi="Verdana" w:cs="Arial"/>
          <w:color w:val="000000"/>
          <w:sz w:val="16"/>
          <w:szCs w:val="16"/>
        </w:rPr>
      </w:pPr>
      <w:r w:rsidRPr="005C10BE">
        <w:rPr>
          <w:rFonts w:ascii="Verdana" w:hAnsi="Verdana" w:cs="Arial"/>
          <w:color w:val="000000"/>
          <w:sz w:val="16"/>
          <w:szCs w:val="16"/>
        </w:rPr>
        <w:t>Lo anterior, sin perjuicio de las publicaciones previstas en el numeral 3 del artículo 30 de la Ley 80 de 1993.</w:t>
      </w:r>
    </w:p>
    <w:p w14:paraId="398AD6DB" w14:textId="77777777" w:rsidR="006E35AB" w:rsidRPr="005C10BE" w:rsidRDefault="006E35AB" w:rsidP="006E35AB">
      <w:pPr>
        <w:pStyle w:val="Textonotapie"/>
        <w:ind w:firstLine="709"/>
        <w:jc w:val="both"/>
        <w:rPr>
          <w:rFonts w:ascii="Verdana" w:hAnsi="Verdana" w:cs="Arial"/>
          <w:color w:val="000000"/>
          <w:sz w:val="16"/>
          <w:szCs w:val="16"/>
        </w:rPr>
      </w:pPr>
      <w:r w:rsidRPr="005C10BE">
        <w:rPr>
          <w:rFonts w:ascii="Verdana" w:hAnsi="Verdana" w:cs="Arial"/>
          <w:color w:val="000000"/>
          <w:sz w:val="16"/>
          <w:szCs w:val="16"/>
        </w:rPr>
        <w:t xml:space="preserve">Con el fin de materializar los objetivos a que se refiere el inciso anterior, el Gobierno Nacional desarrollará el Sistema Electrónico para la Contratación Pública, Secop, el cual: </w:t>
      </w:r>
    </w:p>
    <w:p w14:paraId="1E616C2C" w14:textId="77777777" w:rsidR="006E35AB" w:rsidRPr="005C10BE" w:rsidRDefault="006E35AB" w:rsidP="006E35AB">
      <w:pPr>
        <w:pStyle w:val="Textonotapie"/>
        <w:ind w:firstLine="709"/>
        <w:jc w:val="both"/>
        <w:rPr>
          <w:rFonts w:ascii="Verdana" w:hAnsi="Verdana" w:cs="Arial"/>
          <w:color w:val="000000"/>
          <w:sz w:val="16"/>
          <w:szCs w:val="16"/>
        </w:rPr>
      </w:pPr>
      <w:r w:rsidRPr="005C10BE">
        <w:rPr>
          <w:rFonts w:ascii="Verdana" w:hAnsi="Verdana" w:cs="Arial"/>
          <w:color w:val="000000"/>
          <w:sz w:val="16"/>
          <w:szCs w:val="16"/>
        </w:rPr>
        <w:t>[…]</w:t>
      </w:r>
    </w:p>
    <w:p w14:paraId="1A7F9AF2" w14:textId="77777777" w:rsidR="006E35AB" w:rsidRPr="005C10BE" w:rsidRDefault="006E35AB" w:rsidP="006E35AB">
      <w:pPr>
        <w:pStyle w:val="Textonotapie"/>
        <w:ind w:firstLine="709"/>
        <w:jc w:val="both"/>
        <w:rPr>
          <w:rFonts w:ascii="Verdana" w:hAnsi="Verdana" w:cs="Arial"/>
          <w:color w:val="000000"/>
          <w:sz w:val="16"/>
          <w:szCs w:val="16"/>
        </w:rPr>
      </w:pPr>
      <w:r w:rsidRPr="005C10BE">
        <w:rPr>
          <w:rFonts w:ascii="Verdana" w:hAnsi="Verdana" w:cs="Arial"/>
          <w:color w:val="000000"/>
          <w:sz w:val="16"/>
          <w:szCs w:val="16"/>
        </w:rPr>
        <w:t xml:space="preserve">c) Contará con la información oficial de la contratación realizada con dineros públicos, para lo cual establecerá los patrones a que haya lugar y se encargará de su difusión a través de canales electrónico”. </w:t>
      </w:r>
    </w:p>
    <w:p w14:paraId="2C67E9EA" w14:textId="77777777" w:rsidR="006E35AB" w:rsidRPr="005C10BE" w:rsidRDefault="006E35AB" w:rsidP="006E35AB">
      <w:pPr>
        <w:pStyle w:val="Textonotapie"/>
        <w:ind w:firstLine="709"/>
        <w:jc w:val="both"/>
        <w:rPr>
          <w:rFonts w:ascii="Verdana" w:hAnsi="Verdana" w:cs="Arial"/>
          <w:color w:val="000000"/>
          <w:sz w:val="16"/>
          <w:szCs w:val="16"/>
          <w:lang w:val="es-CO"/>
        </w:rPr>
      </w:pPr>
    </w:p>
  </w:footnote>
  <w:footnote w:id="9">
    <w:p w14:paraId="29859219" w14:textId="77777777" w:rsidR="006E35AB" w:rsidRPr="005C10BE" w:rsidRDefault="006E35AB" w:rsidP="006E35AB">
      <w:pPr>
        <w:pStyle w:val="Textonotapie"/>
        <w:ind w:firstLine="709"/>
        <w:jc w:val="both"/>
        <w:rPr>
          <w:rFonts w:ascii="Verdana" w:hAnsi="Verdana" w:cs="Arial"/>
          <w:color w:val="000000"/>
          <w:sz w:val="16"/>
          <w:szCs w:val="16"/>
        </w:rPr>
      </w:pPr>
      <w:r w:rsidRPr="005C10BE">
        <w:rPr>
          <w:rStyle w:val="Refdenotaalpie"/>
          <w:rFonts w:ascii="Verdana" w:hAnsi="Verdana" w:cs="Arial"/>
          <w:color w:val="000000"/>
          <w:sz w:val="16"/>
          <w:szCs w:val="16"/>
        </w:rPr>
        <w:footnoteRef/>
      </w:r>
      <w:r w:rsidRPr="005C10BE">
        <w:rPr>
          <w:rFonts w:ascii="Verdana" w:hAnsi="Verdana" w:cs="Arial"/>
          <w:color w:val="000000"/>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044285A1" w14:textId="77777777" w:rsidR="006E35AB" w:rsidRPr="005C10BE" w:rsidRDefault="006E35AB" w:rsidP="006E35AB">
      <w:pPr>
        <w:pStyle w:val="Textonotapie"/>
        <w:ind w:firstLine="709"/>
        <w:jc w:val="both"/>
        <w:rPr>
          <w:rFonts w:ascii="Verdana" w:hAnsi="Verdana" w:cs="Arial"/>
          <w:color w:val="000000"/>
          <w:sz w:val="16"/>
          <w:szCs w:val="16"/>
          <w:lang w:val="es-CO"/>
        </w:rPr>
      </w:pPr>
    </w:p>
  </w:footnote>
  <w:footnote w:id="10">
    <w:p w14:paraId="070D1BFA" w14:textId="77777777" w:rsidR="006E35AB" w:rsidRPr="005C10BE" w:rsidRDefault="006E35AB" w:rsidP="006E35AB">
      <w:pPr>
        <w:pStyle w:val="Textonotapie"/>
        <w:ind w:firstLine="709"/>
        <w:jc w:val="both"/>
        <w:rPr>
          <w:rFonts w:ascii="Verdana" w:hAnsi="Verdana" w:cs="Arial"/>
          <w:color w:val="000000"/>
          <w:sz w:val="16"/>
          <w:szCs w:val="16"/>
        </w:rPr>
      </w:pPr>
      <w:r w:rsidRPr="005C10BE">
        <w:rPr>
          <w:rStyle w:val="Refdenotaalpie"/>
          <w:rFonts w:ascii="Verdana" w:hAnsi="Verdana" w:cs="Arial"/>
          <w:color w:val="000000"/>
          <w:sz w:val="16"/>
          <w:szCs w:val="16"/>
        </w:rPr>
        <w:footnoteRef/>
      </w:r>
      <w:r w:rsidRPr="005C10BE">
        <w:rPr>
          <w:rFonts w:ascii="Verdana" w:hAnsi="Verdana" w:cs="Arial"/>
          <w:color w:val="000000"/>
          <w:sz w:val="16"/>
          <w:szCs w:val="16"/>
        </w:rPr>
        <w:t xml:space="preserve"> Ley 1712 de 2014: “Artículo 5. Ámbito de aplicación. Las disposiciones de esta ley serán aplicables a las siguientes personas en calidad de sujetos obligados: </w:t>
      </w:r>
    </w:p>
    <w:p w14:paraId="1CF6F8ED" w14:textId="77777777" w:rsidR="006E35AB" w:rsidRPr="005C10BE" w:rsidRDefault="006E35AB" w:rsidP="006E35AB">
      <w:pPr>
        <w:pStyle w:val="Textonotapie"/>
        <w:ind w:firstLine="709"/>
        <w:jc w:val="both"/>
        <w:rPr>
          <w:rFonts w:ascii="Verdana" w:hAnsi="Verdana" w:cs="Arial"/>
          <w:color w:val="000000"/>
          <w:sz w:val="16"/>
          <w:szCs w:val="16"/>
        </w:rPr>
      </w:pPr>
      <w:r w:rsidRPr="005C10BE">
        <w:rPr>
          <w:rFonts w:ascii="Verdana" w:hAnsi="Verdana" w:cs="Arial"/>
          <w:color w:val="000000"/>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49B84AED" w14:textId="77777777" w:rsidR="006E35AB" w:rsidRPr="005C10BE" w:rsidRDefault="006E35AB" w:rsidP="006E35AB">
      <w:pPr>
        <w:pStyle w:val="Textonotapie"/>
        <w:ind w:firstLine="709"/>
        <w:jc w:val="both"/>
        <w:rPr>
          <w:rFonts w:ascii="Verdana" w:hAnsi="Verdana" w:cs="Arial"/>
          <w:color w:val="000000"/>
          <w:sz w:val="16"/>
          <w:szCs w:val="16"/>
          <w:lang w:val="es-CO"/>
        </w:rPr>
      </w:pPr>
    </w:p>
  </w:footnote>
  <w:footnote w:id="11">
    <w:p w14:paraId="3E1F5418" w14:textId="77777777" w:rsidR="006E35AB" w:rsidRPr="005C10BE" w:rsidRDefault="006E35AB" w:rsidP="006E35AB">
      <w:pPr>
        <w:pStyle w:val="Textonotapie"/>
        <w:ind w:firstLine="709"/>
        <w:jc w:val="both"/>
        <w:rPr>
          <w:rFonts w:ascii="Verdana" w:hAnsi="Verdana" w:cs="Arial"/>
          <w:color w:val="000000"/>
          <w:sz w:val="16"/>
          <w:szCs w:val="16"/>
        </w:rPr>
      </w:pPr>
      <w:r w:rsidRPr="005C10BE">
        <w:rPr>
          <w:rFonts w:ascii="Verdana" w:eastAsia="Times New Roman" w:hAnsi="Verdana" w:cs="Arial"/>
          <w:color w:val="000000"/>
          <w:sz w:val="16"/>
          <w:szCs w:val="16"/>
          <w:vertAlign w:val="superscript"/>
          <w:lang w:val="es-ES" w:eastAsia="es-ES"/>
        </w:rPr>
        <w:footnoteRef/>
      </w:r>
      <w:r w:rsidRPr="005C10BE">
        <w:rPr>
          <w:rFonts w:ascii="Verdana" w:eastAsia="Times New Roman" w:hAnsi="Verdana" w:cs="Arial"/>
          <w:color w:val="000000"/>
          <w:sz w:val="16"/>
          <w:szCs w:val="16"/>
          <w:vertAlign w:val="superscript"/>
          <w:lang w:val="es-ES" w:eastAsia="es-ES"/>
        </w:rPr>
        <w:t xml:space="preserve"> </w:t>
      </w:r>
      <w:r w:rsidRPr="005C10BE">
        <w:rPr>
          <w:rFonts w:ascii="Verdana" w:eastAsia="Times New Roman" w:hAnsi="Verdana" w:cs="Arial"/>
          <w:color w:val="000000"/>
          <w:sz w:val="16"/>
          <w:szCs w:val="16"/>
          <w:lang w:val="es-ES" w:eastAsia="es-ES"/>
        </w:rPr>
        <w:t>“</w:t>
      </w:r>
      <w:r w:rsidRPr="005C10BE">
        <w:rPr>
          <w:rFonts w:ascii="Verdana" w:hAnsi="Verdana" w:cs="Arial"/>
          <w:color w:val="000000"/>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52E9E912" w14:textId="77777777" w:rsidR="006E35AB" w:rsidRPr="005C10BE" w:rsidRDefault="006E35AB" w:rsidP="006E35AB">
      <w:pPr>
        <w:pStyle w:val="Textonotapie"/>
        <w:ind w:firstLine="709"/>
        <w:jc w:val="both"/>
        <w:rPr>
          <w:rFonts w:ascii="Verdana" w:eastAsia="Times New Roman" w:hAnsi="Verdana" w:cs="Arial"/>
          <w:color w:val="000000"/>
          <w:sz w:val="16"/>
          <w:szCs w:val="16"/>
          <w:lang w:val="es-ES" w:eastAsia="es-ES"/>
        </w:rPr>
      </w:pPr>
      <w:r w:rsidRPr="005C10BE">
        <w:rPr>
          <w:rFonts w:ascii="Verdana" w:hAnsi="Verdana" w:cs="Arial"/>
          <w:color w:val="000000"/>
          <w:sz w:val="16"/>
          <w:szCs w:val="16"/>
        </w:rPr>
        <w:t>[…].</w:t>
      </w:r>
    </w:p>
    <w:p w14:paraId="729F34E6" w14:textId="77777777" w:rsidR="006E35AB" w:rsidRPr="005C10BE" w:rsidRDefault="006E35AB" w:rsidP="006E35AB">
      <w:pPr>
        <w:pStyle w:val="Textonotapie"/>
        <w:ind w:firstLine="709"/>
        <w:jc w:val="both"/>
        <w:rPr>
          <w:rFonts w:ascii="Verdana" w:eastAsia="Times New Roman" w:hAnsi="Verdana" w:cs="Arial"/>
          <w:color w:val="000000"/>
          <w:sz w:val="16"/>
          <w:szCs w:val="16"/>
          <w:lang w:val="es-ES" w:eastAsia="es-ES"/>
        </w:rPr>
      </w:pPr>
      <w:r w:rsidRPr="005C10BE">
        <w:rPr>
          <w:rFonts w:ascii="Verdana" w:eastAsia="Times New Roman" w:hAnsi="Verdana" w:cs="Arial"/>
          <w:color w:val="000000"/>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60BD41D5" w14:textId="77777777" w:rsidR="006E35AB" w:rsidRPr="005C10BE" w:rsidRDefault="006E35AB" w:rsidP="006E35AB">
      <w:pPr>
        <w:pStyle w:val="Textonotapie"/>
        <w:ind w:firstLine="709"/>
        <w:jc w:val="both"/>
        <w:rPr>
          <w:rFonts w:ascii="Verdana" w:eastAsia="Times New Roman" w:hAnsi="Verdana" w:cs="Arial"/>
          <w:color w:val="000000"/>
          <w:sz w:val="16"/>
          <w:szCs w:val="16"/>
          <w:lang w:val="es-ES" w:eastAsia="es-ES"/>
        </w:rPr>
      </w:pPr>
    </w:p>
  </w:footnote>
  <w:footnote w:id="12">
    <w:p w14:paraId="57935FF8" w14:textId="77777777" w:rsidR="006E35AB" w:rsidRPr="005C10BE" w:rsidRDefault="006E35AB" w:rsidP="006E35AB">
      <w:pPr>
        <w:pStyle w:val="Textonotapie"/>
        <w:ind w:firstLine="709"/>
        <w:jc w:val="both"/>
        <w:rPr>
          <w:rFonts w:ascii="Verdana" w:hAnsi="Verdana" w:cs="Arial"/>
          <w:color w:val="000000"/>
          <w:sz w:val="16"/>
          <w:szCs w:val="16"/>
        </w:rPr>
      </w:pPr>
      <w:r w:rsidRPr="005C10BE">
        <w:rPr>
          <w:rStyle w:val="Refdenotaalpie"/>
          <w:rFonts w:ascii="Verdana" w:hAnsi="Verdana" w:cs="Arial"/>
          <w:color w:val="000000"/>
          <w:sz w:val="16"/>
          <w:szCs w:val="16"/>
        </w:rPr>
        <w:footnoteRef/>
      </w:r>
      <w:r w:rsidRPr="005C10BE">
        <w:rPr>
          <w:rFonts w:ascii="Verdana" w:hAnsi="Verdana" w:cs="Arial"/>
          <w:color w:val="000000"/>
          <w:sz w:val="16"/>
          <w:szCs w:val="16"/>
        </w:rPr>
        <w:t xml:space="preserve"> C</w:t>
      </w:r>
      <w:r w:rsidRPr="005C10BE">
        <w:rPr>
          <w:rFonts w:ascii="Verdana" w:eastAsia="Times New Roman" w:hAnsi="Verdana" w:cs="Arial"/>
          <w:color w:val="000000"/>
          <w:sz w:val="16"/>
          <w:szCs w:val="16"/>
          <w:lang w:val="es-ES" w:eastAsia="es-ES"/>
        </w:rPr>
        <w:t>orte Constitucional. Sentencia C‒274 de 9 de mayo de 2013. M.P. Mar</w:t>
      </w:r>
      <w:r w:rsidRPr="005C10BE">
        <w:rPr>
          <w:rFonts w:ascii="Verdana" w:eastAsia="Times New Roman" w:hAnsi="Verdana" w:cs="Century Gothic"/>
          <w:color w:val="000000"/>
          <w:sz w:val="16"/>
          <w:szCs w:val="16"/>
          <w:lang w:val="es-ES" w:eastAsia="es-ES"/>
        </w:rPr>
        <w:t>í</w:t>
      </w:r>
      <w:r w:rsidRPr="005C10BE">
        <w:rPr>
          <w:rFonts w:ascii="Verdana" w:eastAsia="Times New Roman" w:hAnsi="Verdana" w:cs="Arial"/>
          <w:color w:val="000000"/>
          <w:sz w:val="16"/>
          <w:szCs w:val="16"/>
          <w:lang w:val="es-ES" w:eastAsia="es-ES"/>
        </w:rPr>
        <w:t xml:space="preserve">a Victoria Calle Correa. </w:t>
      </w:r>
    </w:p>
    <w:p w14:paraId="4BD593E5" w14:textId="77777777" w:rsidR="006E35AB" w:rsidRPr="005C10BE" w:rsidRDefault="006E35AB" w:rsidP="006E35AB">
      <w:pPr>
        <w:pStyle w:val="Textonotapie"/>
        <w:ind w:firstLine="709"/>
        <w:jc w:val="both"/>
        <w:rPr>
          <w:rFonts w:ascii="Verdana" w:hAnsi="Verdana" w:cs="Arial"/>
          <w:color w:val="000000"/>
          <w:sz w:val="16"/>
          <w:szCs w:val="16"/>
          <w:lang w:val="es-CO"/>
        </w:rPr>
      </w:pPr>
    </w:p>
  </w:footnote>
  <w:footnote w:id="13">
    <w:p w14:paraId="5B979A1F" w14:textId="77777777" w:rsidR="006E35AB" w:rsidRPr="005C10BE" w:rsidRDefault="006E35AB" w:rsidP="006E35AB">
      <w:pPr>
        <w:pStyle w:val="Textonotapie"/>
        <w:ind w:firstLine="708"/>
        <w:jc w:val="both"/>
        <w:rPr>
          <w:rFonts w:ascii="Verdana" w:hAnsi="Verdana"/>
          <w:sz w:val="16"/>
          <w:szCs w:val="16"/>
        </w:rPr>
      </w:pPr>
      <w:r w:rsidRPr="005C10BE">
        <w:rPr>
          <w:rStyle w:val="Refdenotaalpie"/>
          <w:rFonts w:ascii="Verdana" w:hAnsi="Verdana"/>
          <w:sz w:val="16"/>
          <w:szCs w:val="16"/>
        </w:rPr>
        <w:footnoteRef/>
      </w:r>
      <w:r w:rsidRPr="005C10BE">
        <w:rPr>
          <w:rFonts w:ascii="Verdana" w:hAnsi="Verdana"/>
          <w:sz w:val="16"/>
          <w:szCs w:val="16"/>
        </w:rPr>
        <w:t xml:space="preserve"> Adiciónese los siguientes incisos al artículo 13 de la Ley 1150 de 2007, el cual quedará así:</w:t>
      </w:r>
    </w:p>
    <w:p w14:paraId="6200809C" w14:textId="77777777" w:rsidR="006E35AB" w:rsidRPr="005C10BE" w:rsidRDefault="006E35AB" w:rsidP="006E35AB">
      <w:pPr>
        <w:pStyle w:val="Textonotapie"/>
        <w:ind w:firstLine="708"/>
        <w:jc w:val="both"/>
        <w:rPr>
          <w:rFonts w:ascii="Verdana" w:hAnsi="Verdana"/>
          <w:sz w:val="16"/>
          <w:szCs w:val="16"/>
        </w:rPr>
      </w:pPr>
    </w:p>
    <w:p w14:paraId="4852C959" w14:textId="77777777" w:rsidR="006E35AB" w:rsidRPr="005C10BE" w:rsidRDefault="006E35AB" w:rsidP="006E35AB">
      <w:pPr>
        <w:pStyle w:val="Textonotapie"/>
        <w:ind w:firstLine="708"/>
        <w:jc w:val="both"/>
        <w:rPr>
          <w:rFonts w:ascii="Verdana" w:hAnsi="Verdana"/>
          <w:sz w:val="16"/>
          <w:szCs w:val="16"/>
        </w:rPr>
      </w:pPr>
      <w:r w:rsidRPr="005C10BE">
        <w:rPr>
          <w:rFonts w:ascii="Verdana" w:hAnsi="Verdana"/>
          <w:sz w:val="16"/>
          <w:szCs w:val="16"/>
        </w:rPr>
        <w:t>Artículo 13. Principios Generales De La Actividad Contractual Para Entidades No Sometidas Al Estatuto General De Contratación De La Administración Pública.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2B032BA8" w14:textId="77777777" w:rsidR="006E35AB" w:rsidRPr="005C10BE" w:rsidRDefault="006E35AB" w:rsidP="006E35AB">
      <w:pPr>
        <w:pStyle w:val="Textonotapie"/>
        <w:ind w:firstLine="708"/>
        <w:jc w:val="both"/>
        <w:rPr>
          <w:rFonts w:ascii="Verdana" w:hAnsi="Verdana"/>
          <w:sz w:val="16"/>
          <w:szCs w:val="16"/>
        </w:rPr>
      </w:pPr>
    </w:p>
    <w:p w14:paraId="33AE9B15" w14:textId="77777777" w:rsidR="006E35AB" w:rsidRPr="005C10BE" w:rsidRDefault="006E35AB" w:rsidP="006E35AB">
      <w:pPr>
        <w:pStyle w:val="Textonotapie"/>
        <w:ind w:firstLine="708"/>
        <w:jc w:val="both"/>
        <w:rPr>
          <w:rFonts w:ascii="Verdana" w:hAnsi="Verdana"/>
          <w:sz w:val="16"/>
          <w:szCs w:val="16"/>
        </w:rPr>
      </w:pPr>
      <w:r w:rsidRPr="005C10BE">
        <w:rPr>
          <w:rFonts w:ascii="Verdana" w:hAnsi="Verdana"/>
          <w:sz w:val="16"/>
          <w:szCs w:val="16"/>
        </w:rPr>
        <w:t>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postcontractual.</w:t>
      </w:r>
    </w:p>
    <w:p w14:paraId="4C80404E" w14:textId="77777777" w:rsidR="006E35AB" w:rsidRPr="005C10BE" w:rsidRDefault="006E35AB" w:rsidP="006E35AB">
      <w:pPr>
        <w:pStyle w:val="Textonotapie"/>
        <w:ind w:firstLine="708"/>
        <w:jc w:val="both"/>
        <w:rPr>
          <w:rFonts w:ascii="Verdana" w:hAnsi="Verdana"/>
          <w:sz w:val="16"/>
          <w:szCs w:val="16"/>
        </w:rPr>
      </w:pPr>
    </w:p>
    <w:p w14:paraId="6F2FDBB5" w14:textId="77777777" w:rsidR="006E35AB" w:rsidRPr="005C10BE" w:rsidRDefault="006E35AB" w:rsidP="006E35AB">
      <w:pPr>
        <w:pStyle w:val="Textonotapie"/>
        <w:ind w:firstLine="708"/>
        <w:jc w:val="both"/>
        <w:rPr>
          <w:rFonts w:ascii="Verdana" w:hAnsi="Verdana"/>
          <w:sz w:val="16"/>
          <w:szCs w:val="16"/>
          <w:lang w:val="es-CO"/>
        </w:rPr>
      </w:pPr>
      <w:r w:rsidRPr="005C10BE">
        <w:rPr>
          <w:rFonts w:ascii="Verdana" w:hAnsi="Verdana"/>
          <w:sz w:val="16"/>
          <w:szCs w:val="16"/>
        </w:rPr>
        <w:t>A partir de la entrada en vigencia de la presente Ley, se establecerá un periodo de transición de seis (6) meses, para que las entidades den cumplimiento efectivo a lo aquí establecido.</w:t>
      </w:r>
    </w:p>
  </w:footnote>
  <w:footnote w:id="14">
    <w:p w14:paraId="1A0C93C3" w14:textId="77777777" w:rsidR="006E35AB" w:rsidRPr="005C10BE" w:rsidRDefault="006E35AB" w:rsidP="006E35AB">
      <w:pPr>
        <w:pStyle w:val="Textonotapie"/>
        <w:ind w:firstLine="708"/>
        <w:contextualSpacing/>
        <w:jc w:val="both"/>
        <w:rPr>
          <w:rFonts w:ascii="Verdana" w:hAnsi="Verdana" w:cs="Arial"/>
          <w:sz w:val="16"/>
          <w:szCs w:val="16"/>
        </w:rPr>
      </w:pPr>
    </w:p>
    <w:p w14:paraId="6F8D4D9E" w14:textId="77777777" w:rsidR="006E35AB" w:rsidRPr="005C10BE" w:rsidRDefault="006E35AB" w:rsidP="006E35AB">
      <w:pPr>
        <w:pStyle w:val="Textonotapie"/>
        <w:ind w:firstLine="708"/>
        <w:contextualSpacing/>
        <w:jc w:val="both"/>
        <w:rPr>
          <w:rFonts w:ascii="Verdana" w:hAnsi="Verdana" w:cs="Arial"/>
          <w:sz w:val="16"/>
          <w:szCs w:val="16"/>
          <w:lang w:val="es-CO"/>
        </w:rPr>
      </w:pPr>
      <w:r w:rsidRPr="005C10BE">
        <w:rPr>
          <w:rStyle w:val="Refdenotaalpie"/>
          <w:rFonts w:ascii="Verdana" w:hAnsi="Verdana" w:cs="Arial"/>
          <w:sz w:val="16"/>
          <w:szCs w:val="16"/>
        </w:rPr>
        <w:footnoteRef/>
      </w:r>
      <w:r w:rsidRPr="005C10BE">
        <w:rPr>
          <w:rFonts w:ascii="Verdana" w:hAnsi="Verdana" w:cs="Arial"/>
          <w:sz w:val="16"/>
          <w:szCs w:val="16"/>
        </w:rPr>
        <w:t xml:space="preserve"> Ley 1150 de 2007. “Artículo 1. Objeto. La presente ley tiene por objeto introducir modificaciones en la Ley 80 de 1993, así como dictar otras disposiciones generales aplicables a toda contratación con recursos públicos”.</w:t>
      </w:r>
    </w:p>
  </w:footnote>
  <w:footnote w:id="15">
    <w:p w14:paraId="1AE7A5EE" w14:textId="77777777" w:rsidR="006E35AB" w:rsidRPr="005C10BE" w:rsidRDefault="006E35AB" w:rsidP="006E35AB">
      <w:pPr>
        <w:autoSpaceDE w:val="0"/>
        <w:autoSpaceDN w:val="0"/>
        <w:adjustRightInd w:val="0"/>
        <w:spacing w:after="0" w:line="240" w:lineRule="auto"/>
        <w:ind w:firstLine="708"/>
        <w:contextualSpacing/>
        <w:jc w:val="both"/>
        <w:rPr>
          <w:rFonts w:ascii="Verdana" w:eastAsia="Calibri" w:hAnsi="Verdana" w:cs="Arial"/>
          <w:sz w:val="16"/>
          <w:szCs w:val="16"/>
          <w:lang w:val="es-ES" w:eastAsia="es-ES_tradnl"/>
        </w:rPr>
      </w:pPr>
      <w:r w:rsidRPr="005C10BE">
        <w:rPr>
          <w:rStyle w:val="Refdenotaalpie"/>
          <w:rFonts w:ascii="Verdana" w:hAnsi="Verdana" w:cs="Arial"/>
          <w:sz w:val="16"/>
          <w:szCs w:val="16"/>
        </w:rPr>
        <w:footnoteRef/>
      </w:r>
      <w:r w:rsidRPr="005C10BE">
        <w:rPr>
          <w:rFonts w:ascii="Verdana" w:hAnsi="Verdana" w:cs="Arial"/>
          <w:sz w:val="16"/>
          <w:szCs w:val="16"/>
        </w:rPr>
        <w:t xml:space="preserve"> Disponible en el siguiente enlace: </w:t>
      </w:r>
      <w:hyperlink r:id="rId1" w:history="1">
        <w:r>
          <w:rPr>
            <w:rStyle w:val="Hipervnculo"/>
            <w:rFonts w:ascii="Verdana" w:hAnsi="Verdana" w:cs="Arial"/>
            <w:sz w:val="16"/>
            <w:szCs w:val="16"/>
          </w:rPr>
          <w:t>Aquí.</w:t>
        </w:r>
      </w:hyperlink>
      <w:r w:rsidRPr="005C10BE">
        <w:rPr>
          <w:rFonts w:ascii="Verdana" w:hAnsi="Verdana" w:cs="Arial"/>
          <w:sz w:val="16"/>
          <w:szCs w:val="16"/>
        </w:rPr>
        <w:t xml:space="preserve"> </w:t>
      </w:r>
    </w:p>
    <w:p w14:paraId="43D554EE" w14:textId="77777777" w:rsidR="006E35AB" w:rsidRPr="005C10BE" w:rsidRDefault="006E35AB" w:rsidP="006E35AB">
      <w:pPr>
        <w:autoSpaceDE w:val="0"/>
        <w:autoSpaceDN w:val="0"/>
        <w:adjustRightInd w:val="0"/>
        <w:spacing w:after="0" w:line="240" w:lineRule="auto"/>
        <w:ind w:firstLine="708"/>
        <w:contextualSpacing/>
        <w:jc w:val="both"/>
        <w:rPr>
          <w:rFonts w:ascii="Verdana" w:eastAsia="Times New Roman" w:hAnsi="Verdana" w:cs="Arial"/>
          <w:sz w:val="16"/>
          <w:szCs w:val="16"/>
          <w:lang w:eastAsia="es-ES_tradn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11.7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2CB0"/>
    <w:rsid w:val="00046945"/>
    <w:rsid w:val="00061B2A"/>
    <w:rsid w:val="00082362"/>
    <w:rsid w:val="000A482C"/>
    <w:rsid w:val="000A683E"/>
    <w:rsid w:val="000B19B9"/>
    <w:rsid w:val="000D0334"/>
    <w:rsid w:val="000D5DA7"/>
    <w:rsid w:val="000F0F49"/>
    <w:rsid w:val="000F6486"/>
    <w:rsid w:val="00116940"/>
    <w:rsid w:val="00125105"/>
    <w:rsid w:val="00127233"/>
    <w:rsid w:val="0015699B"/>
    <w:rsid w:val="001A33BF"/>
    <w:rsid w:val="001E4177"/>
    <w:rsid w:val="001F0B24"/>
    <w:rsid w:val="001F7DC6"/>
    <w:rsid w:val="0022400B"/>
    <w:rsid w:val="002421BB"/>
    <w:rsid w:val="0025796E"/>
    <w:rsid w:val="002707A2"/>
    <w:rsid w:val="002918B1"/>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C0E7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75B30"/>
    <w:rsid w:val="00682729"/>
    <w:rsid w:val="006900D9"/>
    <w:rsid w:val="006E35AB"/>
    <w:rsid w:val="00706C16"/>
    <w:rsid w:val="007340C3"/>
    <w:rsid w:val="0075235A"/>
    <w:rsid w:val="00756841"/>
    <w:rsid w:val="007649AB"/>
    <w:rsid w:val="00771D0C"/>
    <w:rsid w:val="007833AC"/>
    <w:rsid w:val="007B268C"/>
    <w:rsid w:val="007B7171"/>
    <w:rsid w:val="007C0C0F"/>
    <w:rsid w:val="007C3DC2"/>
    <w:rsid w:val="007D32AC"/>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396D"/>
    <w:rsid w:val="00C15139"/>
    <w:rsid w:val="00C330EB"/>
    <w:rsid w:val="00C50D69"/>
    <w:rsid w:val="00C5365C"/>
    <w:rsid w:val="00C754BE"/>
    <w:rsid w:val="00C76B1C"/>
    <w:rsid w:val="00C925AC"/>
    <w:rsid w:val="00CB6357"/>
    <w:rsid w:val="00CC1B26"/>
    <w:rsid w:val="00D16006"/>
    <w:rsid w:val="00D361FD"/>
    <w:rsid w:val="00D423A2"/>
    <w:rsid w:val="00D44E26"/>
    <w:rsid w:val="00D520D8"/>
    <w:rsid w:val="00D63AC2"/>
    <w:rsid w:val="00D7383B"/>
    <w:rsid w:val="00D7788A"/>
    <w:rsid w:val="00DA231B"/>
    <w:rsid w:val="00DC39FC"/>
    <w:rsid w:val="00DF5254"/>
    <w:rsid w:val="00E02524"/>
    <w:rsid w:val="00E16408"/>
    <w:rsid w:val="00E20894"/>
    <w:rsid w:val="00E23445"/>
    <w:rsid w:val="00E245AB"/>
    <w:rsid w:val="00E2764C"/>
    <w:rsid w:val="00E27F2E"/>
    <w:rsid w:val="00E31F15"/>
    <w:rsid w:val="00E426CB"/>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E35AB"/>
    <w:pPr>
      <w:spacing w:line="240" w:lineRule="exact"/>
    </w:pPr>
    <w:rPr>
      <w:vertAlign w:val="superscript"/>
    </w:rPr>
  </w:style>
  <w:style w:type="character" w:customStyle="1" w:styleId="NormalWebCar">
    <w:name w:val="Normal (Web) Car"/>
    <w:link w:val="NormalWeb"/>
    <w:uiPriority w:val="99"/>
    <w:locked/>
    <w:rsid w:val="006E35AB"/>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www.secretariasenado.gov.co/senado/basedoc/ley_0080_1993.html"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ggi_2612@hot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circulares/doc-20240823-wa00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0A3D385-AD16-4562-80F9-2868191EE191}"/>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19</Pages>
  <Words>5802</Words>
  <Characters>31914</Characters>
  <Application>Microsoft Office Word</Application>
  <DocSecurity>0</DocSecurity>
  <Lines>265</Lines>
  <Paragraphs>75</Paragraphs>
  <ScaleCrop>false</ScaleCrop>
  <Company/>
  <LinksUpToDate>false</LinksUpToDate>
  <CharactersWithSpaces>37641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7</cp:revision>
  <cp:lastPrinted>2023-01-10T21:18:00Z</cp:lastPrinted>
  <dcterms:created xsi:type="dcterms:W3CDTF">2026-04-16T00:57:00Z</dcterms:created>
  <dcterms:modified xsi:type="dcterms:W3CDTF">2026-04-20T17:22:00Z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