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02A7B" w14:textId="28DC2B63" w:rsidR="00F60F29" w:rsidRDefault="00F60F29" w:rsidP="00F60F29">
      <w:pPr>
        <w:jc w:val="both"/>
        <w:rPr>
          <w:rFonts w:ascii="Verdana" w:hAnsi="Verdana" w:cs="Arial"/>
          <w:b/>
        </w:rPr>
      </w:pPr>
      <w:bookmarkStart w:id="0" w:name="_Hlk143780582"/>
      <w:r w:rsidRPr="00F60F29">
        <w:rPr>
          <w:rFonts w:ascii="Verdana" w:hAnsi="Verdana" w:cs="Arial"/>
          <w:b/>
          <w:lang w:val="es-ES_tradnl"/>
        </w:rPr>
        <w:t>ANTICIPO – Regulación normativa</w:t>
      </w:r>
      <w:r w:rsidRPr="00F60F29">
        <w:rPr>
          <w:rFonts w:ascii="Verdana" w:eastAsia="Calibri" w:hAnsi="Verdana" w:cs="Arial"/>
          <w:b/>
          <w:lang w:val="es-ES" w:eastAsia="es-ES"/>
        </w:rPr>
        <w:t xml:space="preserve"> </w:t>
      </w:r>
      <w:r w:rsidR="005A5ED3" w:rsidRPr="005A5ED3">
        <w:rPr>
          <w:rFonts w:ascii="Verdana" w:eastAsia="Calibri" w:hAnsi="Verdana" w:cs="Arial"/>
          <w:b/>
          <w:bCs/>
          <w:lang w:eastAsia="es-ES"/>
        </w:rPr>
        <w:t>–</w:t>
      </w:r>
      <w:r w:rsidRPr="00F60F29">
        <w:rPr>
          <w:rFonts w:ascii="Verdana" w:eastAsia="Calibri" w:hAnsi="Verdana" w:cs="Arial"/>
          <w:b/>
          <w:lang w:val="es-ES" w:eastAsia="es-ES"/>
        </w:rPr>
        <w:t xml:space="preserve"> </w:t>
      </w:r>
      <w:r w:rsidRPr="00F60F29">
        <w:rPr>
          <w:rFonts w:ascii="Verdana" w:hAnsi="Verdana" w:cs="Arial"/>
          <w:b/>
        </w:rPr>
        <w:t>ANTICIPO – Definición jurisprudencial</w:t>
      </w:r>
    </w:p>
    <w:p w14:paraId="675D6F2E" w14:textId="7B220AA8" w:rsidR="00F60F29" w:rsidRPr="005A5ED3" w:rsidRDefault="00F60F29" w:rsidP="00F60F29">
      <w:pPr>
        <w:spacing w:line="240" w:lineRule="auto"/>
        <w:jc w:val="both"/>
        <w:rPr>
          <w:rFonts w:ascii="Verdana" w:eastAsia="Calibri" w:hAnsi="Verdana" w:cs="Arial"/>
          <w:sz w:val="20"/>
          <w:szCs w:val="20"/>
          <w:lang w:val="es-ES"/>
        </w:rPr>
      </w:pPr>
      <w:r w:rsidRPr="005A5ED3">
        <w:rPr>
          <w:rFonts w:ascii="Verdana" w:eastAsia="Calibri" w:hAnsi="Verdana" w:cs="Arial"/>
          <w:sz w:val="20"/>
          <w:szCs w:val="20"/>
          <w:lang w:val="es-ES"/>
        </w:rPr>
        <w:t>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w:t>
      </w:r>
    </w:p>
    <w:p w14:paraId="401279D2" w14:textId="5D7307F6" w:rsidR="00F60F29" w:rsidRPr="005A5ED3" w:rsidRDefault="00F60F29" w:rsidP="00F60F29">
      <w:pPr>
        <w:jc w:val="both"/>
        <w:rPr>
          <w:rFonts w:ascii="Verdana" w:eastAsia="Calibri" w:hAnsi="Verdana" w:cs="Arial"/>
          <w:sz w:val="20"/>
          <w:szCs w:val="20"/>
          <w:lang w:val="es-ES"/>
        </w:rPr>
      </w:pPr>
      <w:r w:rsidRPr="005A5ED3">
        <w:rPr>
          <w:rFonts w:ascii="Verdana" w:eastAsia="Calibri" w:hAnsi="Verdana" w:cs="Arial"/>
          <w:sz w:val="20"/>
          <w:szCs w:val="20"/>
          <w:lang w:val="es-ES"/>
        </w:rPr>
        <w:t xml:space="preserve">[…] </w:t>
      </w:r>
    </w:p>
    <w:p w14:paraId="78D6FD67" w14:textId="0AF7412A" w:rsidR="00F60F29" w:rsidRPr="005A5ED3" w:rsidRDefault="00F60F29" w:rsidP="00F60F29">
      <w:pPr>
        <w:spacing w:line="240" w:lineRule="auto"/>
        <w:jc w:val="both"/>
        <w:rPr>
          <w:rFonts w:ascii="Verdana" w:eastAsia="Geomanist Light" w:hAnsi="Verdana" w:cs="Arial"/>
          <w:b/>
          <w:color w:val="000000" w:themeColor="text1"/>
          <w:sz w:val="20"/>
          <w:szCs w:val="20"/>
          <w:lang w:val="es-MX"/>
        </w:rPr>
      </w:pPr>
      <w:r w:rsidRPr="005A5ED3">
        <w:rPr>
          <w:rFonts w:ascii="Verdana" w:eastAsia="Calibri" w:hAnsi="Verdana" w:cs="Arial"/>
          <w:sz w:val="20"/>
          <w:szCs w:val="20"/>
          <w:lang w:val="es-ES"/>
        </w:rPr>
        <w:t xml:space="preserve">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w:t>
      </w:r>
      <w:proofErr w:type="spellStart"/>
      <w:r w:rsidRPr="005A5ED3">
        <w:rPr>
          <w:rFonts w:ascii="Verdana" w:eastAsia="Calibri" w:hAnsi="Verdana" w:cs="Arial"/>
          <w:sz w:val="20"/>
          <w:szCs w:val="20"/>
          <w:lang w:val="es-ES"/>
        </w:rPr>
        <w:t>ii</w:t>
      </w:r>
      <w:proofErr w:type="spellEnd"/>
      <w:r w:rsidRPr="005A5ED3">
        <w:rPr>
          <w:rFonts w:ascii="Verdana" w:eastAsia="Calibri" w:hAnsi="Verdana" w:cs="Arial"/>
          <w:sz w:val="20"/>
          <w:szCs w:val="20"/>
          <w:lang w:val="es-ES"/>
        </w:rPr>
        <w:t>)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w:t>
      </w:r>
      <w:r w:rsidRPr="005A5ED3">
        <w:rPr>
          <w:rFonts w:ascii="Verdana" w:hAnsi="Verdana" w:cs="Arial"/>
          <w:sz w:val="20"/>
          <w:szCs w:val="20"/>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 </w:t>
      </w:r>
    </w:p>
    <w:p w14:paraId="0D86BB67" w14:textId="5705280A" w:rsidR="00F60F29" w:rsidRPr="00F60F29" w:rsidRDefault="00F60F29" w:rsidP="00F60F29">
      <w:pPr>
        <w:spacing w:line="276" w:lineRule="auto"/>
        <w:jc w:val="both"/>
        <w:rPr>
          <w:rFonts w:ascii="Verdana" w:eastAsia="Calibri" w:hAnsi="Verdana" w:cs="Arial"/>
          <w:b/>
        </w:rPr>
      </w:pPr>
      <w:r w:rsidRPr="00F60F29">
        <w:rPr>
          <w:rFonts w:ascii="Verdana" w:eastAsia="Calibri" w:hAnsi="Verdana" w:cs="Arial"/>
          <w:b/>
        </w:rPr>
        <w:t xml:space="preserve">PAGO ANTICIPADO Y/O ANTICIPO – Límites – Aplicación – Tipo contractual – Amortización </w:t>
      </w:r>
      <w:r w:rsidR="00CD08DF">
        <w:rPr>
          <w:rFonts w:ascii="Verdana" w:eastAsia="Calibri" w:hAnsi="Verdana" w:cs="Arial"/>
          <w:b/>
        </w:rPr>
        <w:t>– Forma de pago</w:t>
      </w:r>
    </w:p>
    <w:p w14:paraId="3309017A" w14:textId="062387C5" w:rsidR="00F60F29" w:rsidRPr="005A5ED3" w:rsidRDefault="00F60F29" w:rsidP="00F60F29">
      <w:pPr>
        <w:tabs>
          <w:tab w:val="left" w:pos="709"/>
        </w:tabs>
        <w:snapToGrid w:val="0"/>
        <w:spacing w:after="120" w:line="240" w:lineRule="auto"/>
        <w:jc w:val="both"/>
        <w:rPr>
          <w:rFonts w:ascii="Verdana" w:eastAsia="Calibri" w:hAnsi="Verdana" w:cs="Arial"/>
          <w:sz w:val="20"/>
          <w:szCs w:val="20"/>
          <w:lang w:val="es-ES"/>
        </w:rPr>
      </w:pPr>
      <w:r w:rsidRPr="005A5ED3">
        <w:rPr>
          <w:rFonts w:ascii="Verdana" w:eastAsia="Calibri" w:hAnsi="Verdana" w:cs="Times New Roman"/>
          <w:sz w:val="20"/>
          <w:szCs w:val="20"/>
        </w:rPr>
        <w:t xml:space="preserve">[…] es importante precisarse que, </w:t>
      </w:r>
      <w:r w:rsidRPr="005A5ED3">
        <w:rPr>
          <w:rFonts w:ascii="Verdana" w:eastAsia="Calibri" w:hAnsi="Verdana" w:cs="Arial"/>
          <w:sz w:val="20"/>
          <w:szCs w:val="20"/>
          <w:lang w:val="es-ES"/>
        </w:rPr>
        <w:t xml:space="preserve">el pago anticipado es un pago efectivo del precio que se efectúa y se causa en forma anticipada. Por tanto, los recursos se integran al patrimonio del contratista desde su desembolso. El anticipo es un adelanto o avance del precio del contrato destinado a apalancar el cumplimiento de su objeto, de modo que los recursos entregados por dicho concepto solo se integran al patrimonio del contratista en la medida que se cause su amortización, mediante la ejecución de actividades programadas del contrato. </w:t>
      </w:r>
    </w:p>
    <w:p w14:paraId="7B8A8167" w14:textId="77777777" w:rsidR="00F60F29" w:rsidRPr="005A5ED3" w:rsidRDefault="00F60F29" w:rsidP="00F60F29">
      <w:pPr>
        <w:tabs>
          <w:tab w:val="left" w:pos="709"/>
        </w:tabs>
        <w:snapToGrid w:val="0"/>
        <w:spacing w:after="120" w:line="240" w:lineRule="auto"/>
        <w:jc w:val="both"/>
        <w:rPr>
          <w:rFonts w:ascii="Verdana" w:eastAsia="Calibri" w:hAnsi="Verdana" w:cs="Arial"/>
          <w:sz w:val="20"/>
          <w:szCs w:val="20"/>
        </w:rPr>
      </w:pPr>
      <w:r w:rsidRPr="005A5ED3">
        <w:rPr>
          <w:rFonts w:ascii="Verdana" w:eastAsia="Calibri" w:hAnsi="Verdana" w:cs="Arial"/>
          <w:sz w:val="20"/>
          <w:szCs w:val="20"/>
          <w:lang w:val="es-ES"/>
        </w:rPr>
        <w:t xml:space="preserve">De las dos definiciones precedentes, esta Agencia debe recalcar que una de las principales diferencias entre ellas, es que en mientras el pago anticipado entra al patrimonio del contratista como retribución del servicio prestado en la ejecución del contrato, el anticipo se utiliza como un adelanto en aras de apalancar al contratista para la correcta ejecución del contrato, el cual es amortizado por parte de la entidad en aras de retribución y/o recuperación de lo pagado. </w:t>
      </w:r>
      <w:r w:rsidRPr="005A5ED3">
        <w:rPr>
          <w:rFonts w:ascii="Verdana" w:eastAsia="Calibri" w:hAnsi="Verdana" w:cs="Arial"/>
          <w:sz w:val="20"/>
          <w:szCs w:val="20"/>
        </w:rPr>
        <w:t xml:space="preserve">En conclusión, es fundamental diferenciar las figuras del anticipo y el pago anticipado, dado que su naturaleza jurídica y efectos </w:t>
      </w:r>
      <w:r w:rsidRPr="005A5ED3">
        <w:rPr>
          <w:rFonts w:ascii="Verdana" w:eastAsia="Calibri" w:hAnsi="Verdana" w:cs="Arial"/>
          <w:sz w:val="20"/>
          <w:szCs w:val="20"/>
        </w:rPr>
        <w:lastRenderedPageBreak/>
        <w:t>son distintos en el marco de la contratación estatal, tema que será abordado en la parte considerativa del presente concepto.</w:t>
      </w:r>
    </w:p>
    <w:p w14:paraId="0B9355B1" w14:textId="77777777" w:rsidR="00F60F29" w:rsidRPr="005A5ED3" w:rsidRDefault="00F60F29" w:rsidP="00F60F29">
      <w:pPr>
        <w:tabs>
          <w:tab w:val="left" w:pos="709"/>
        </w:tabs>
        <w:snapToGrid w:val="0"/>
        <w:spacing w:after="120" w:line="240" w:lineRule="auto"/>
        <w:jc w:val="both"/>
        <w:rPr>
          <w:rFonts w:ascii="Verdana" w:eastAsia="Calibri" w:hAnsi="Verdana" w:cs="Arial"/>
          <w:sz w:val="20"/>
          <w:szCs w:val="20"/>
        </w:rPr>
      </w:pPr>
      <w:r w:rsidRPr="005A5ED3">
        <w:rPr>
          <w:rFonts w:ascii="Verdana" w:eastAsia="Calibri" w:hAnsi="Verdana" w:cs="Arial"/>
          <w:sz w:val="20"/>
          <w:szCs w:val="20"/>
        </w:rPr>
        <w:t xml:space="preserve">Conforme a lo anterior, si en un contrato no se pactó un anticipo, sino un pago anticipado, el contratista no está habilitado para solicitar la amortización </w:t>
      </w:r>
      <w:proofErr w:type="gramStart"/>
      <w:r w:rsidRPr="005A5ED3">
        <w:rPr>
          <w:rFonts w:ascii="Verdana" w:eastAsia="Calibri" w:hAnsi="Verdana" w:cs="Arial"/>
          <w:sz w:val="20"/>
          <w:szCs w:val="20"/>
        </w:rPr>
        <w:t>del mismo</w:t>
      </w:r>
      <w:proofErr w:type="gramEnd"/>
      <w:r w:rsidRPr="005A5ED3">
        <w:rPr>
          <w:rFonts w:ascii="Verdana" w:eastAsia="Calibri" w:hAnsi="Verdana" w:cs="Arial"/>
          <w:sz w:val="20"/>
          <w:szCs w:val="20"/>
        </w:rPr>
        <w:t xml:space="preserve"> dentro de las actas parciales. Pretender amortizarlo implicaría desconocer la naturaleza jurídica del pago anticipado y modificar, de facto, la forma de pago pactada contractualmente. En consecuencia, tratándose de un pago anticipado del cincuenta por ciento (50%), la entidad únicamente está facultada para reconocer nuevos pagos cuando el avance ejecutado supere el valor ya pagado, es decir, cuando la ejecución represente más del cincuenta por ciento (50%) del contrato.</w:t>
      </w:r>
    </w:p>
    <w:p w14:paraId="25D85F9F" w14:textId="77777777" w:rsidR="00F60F29" w:rsidRPr="00F60F29" w:rsidRDefault="00F60F29" w:rsidP="00F60F29">
      <w:pPr>
        <w:spacing w:line="240" w:lineRule="auto"/>
        <w:rPr>
          <w:rFonts w:ascii="Verdana" w:eastAsia="Geomanist Light" w:hAnsi="Verdana" w:cs="Arial"/>
          <w:color w:val="000000" w:themeColor="text1"/>
          <w:sz w:val="21"/>
          <w:szCs w:val="21"/>
        </w:rPr>
      </w:pPr>
    </w:p>
    <w:p w14:paraId="6B5682EB" w14:textId="77777777" w:rsidR="00F60F29" w:rsidRPr="00F60F29" w:rsidRDefault="00F60F29" w:rsidP="00F60F29">
      <w:pPr>
        <w:spacing w:line="240" w:lineRule="auto"/>
        <w:rPr>
          <w:rFonts w:ascii="Verdana" w:eastAsia="Geomanist Light" w:hAnsi="Verdana" w:cs="Arial"/>
          <w:color w:val="000000" w:themeColor="text1"/>
          <w:sz w:val="21"/>
          <w:szCs w:val="21"/>
          <w:lang w:val="es-MX"/>
        </w:rPr>
      </w:pPr>
    </w:p>
    <w:p w14:paraId="40F2BC17" w14:textId="77777777" w:rsidR="00F60F29" w:rsidRDefault="00F60F29" w:rsidP="00371C3F">
      <w:pPr>
        <w:rPr>
          <w:rFonts w:ascii="Verdana" w:eastAsia="Geomanist Light" w:hAnsi="Verdana" w:cs="Arial"/>
          <w:color w:val="000000" w:themeColor="text1"/>
          <w:lang w:val="es-MX"/>
        </w:rPr>
      </w:pPr>
    </w:p>
    <w:p w14:paraId="63861C0F" w14:textId="77777777" w:rsidR="00F60F29" w:rsidRDefault="00F60F29" w:rsidP="00371C3F">
      <w:pPr>
        <w:rPr>
          <w:rFonts w:ascii="Verdana" w:eastAsia="Geomanist Light" w:hAnsi="Verdana" w:cs="Arial"/>
          <w:color w:val="000000" w:themeColor="text1"/>
          <w:lang w:val="es-MX"/>
        </w:rPr>
      </w:pPr>
    </w:p>
    <w:p w14:paraId="677FB8BC" w14:textId="77777777" w:rsidR="00F60F29" w:rsidRDefault="00F60F29" w:rsidP="00371C3F">
      <w:pPr>
        <w:rPr>
          <w:rFonts w:ascii="Verdana" w:eastAsia="Geomanist Light" w:hAnsi="Verdana" w:cs="Arial"/>
          <w:color w:val="000000" w:themeColor="text1"/>
          <w:lang w:val="es-MX"/>
        </w:rPr>
      </w:pPr>
    </w:p>
    <w:p w14:paraId="02419142" w14:textId="77777777" w:rsidR="00F60F29" w:rsidRDefault="00F60F29" w:rsidP="00371C3F">
      <w:pPr>
        <w:rPr>
          <w:rFonts w:ascii="Verdana" w:eastAsia="Geomanist Light" w:hAnsi="Verdana" w:cs="Arial"/>
          <w:color w:val="000000" w:themeColor="text1"/>
          <w:lang w:val="es-MX"/>
        </w:rPr>
      </w:pPr>
    </w:p>
    <w:p w14:paraId="65BEB710" w14:textId="77777777" w:rsidR="00F60F29" w:rsidRDefault="00F60F29" w:rsidP="00371C3F">
      <w:pPr>
        <w:rPr>
          <w:rFonts w:ascii="Verdana" w:eastAsia="Geomanist Light" w:hAnsi="Verdana" w:cs="Arial"/>
          <w:color w:val="000000" w:themeColor="text1"/>
          <w:lang w:val="es-MX"/>
        </w:rPr>
      </w:pPr>
    </w:p>
    <w:p w14:paraId="6F4F9A93" w14:textId="77777777" w:rsidR="00F60F29" w:rsidRDefault="00F60F29" w:rsidP="00371C3F">
      <w:pPr>
        <w:rPr>
          <w:rFonts w:ascii="Verdana" w:eastAsia="Geomanist Light" w:hAnsi="Verdana" w:cs="Arial"/>
          <w:color w:val="000000" w:themeColor="text1"/>
          <w:lang w:val="es-MX"/>
        </w:rPr>
      </w:pPr>
    </w:p>
    <w:p w14:paraId="700867D8" w14:textId="77777777" w:rsidR="00F60F29" w:rsidRDefault="00F60F29" w:rsidP="00371C3F">
      <w:pPr>
        <w:rPr>
          <w:rFonts w:ascii="Verdana" w:eastAsia="Geomanist Light" w:hAnsi="Verdana" w:cs="Arial"/>
          <w:color w:val="000000" w:themeColor="text1"/>
          <w:lang w:val="es-MX"/>
        </w:rPr>
      </w:pPr>
    </w:p>
    <w:p w14:paraId="02F33992" w14:textId="77777777" w:rsidR="00F60F29" w:rsidRDefault="00F60F29" w:rsidP="00371C3F">
      <w:pPr>
        <w:rPr>
          <w:rFonts w:ascii="Verdana" w:eastAsia="Geomanist Light" w:hAnsi="Verdana" w:cs="Arial"/>
          <w:color w:val="000000" w:themeColor="text1"/>
          <w:lang w:val="es-MX"/>
        </w:rPr>
      </w:pPr>
    </w:p>
    <w:p w14:paraId="2EA6B0E1" w14:textId="77777777" w:rsidR="00F60F29" w:rsidRDefault="00F60F29" w:rsidP="00371C3F">
      <w:pPr>
        <w:rPr>
          <w:rFonts w:ascii="Verdana" w:eastAsia="Geomanist Light" w:hAnsi="Verdana" w:cs="Arial"/>
          <w:color w:val="000000" w:themeColor="text1"/>
          <w:lang w:val="es-MX"/>
        </w:rPr>
      </w:pPr>
    </w:p>
    <w:p w14:paraId="42C0D33C" w14:textId="77777777" w:rsidR="00F60F29" w:rsidRDefault="00F60F29" w:rsidP="00371C3F">
      <w:pPr>
        <w:rPr>
          <w:rFonts w:ascii="Verdana" w:eastAsia="Geomanist Light" w:hAnsi="Verdana" w:cs="Arial"/>
          <w:color w:val="000000" w:themeColor="text1"/>
          <w:lang w:val="es-MX"/>
        </w:rPr>
      </w:pPr>
    </w:p>
    <w:p w14:paraId="5470B6D9" w14:textId="77777777" w:rsidR="00F60F29" w:rsidRDefault="00F60F29" w:rsidP="00371C3F">
      <w:pPr>
        <w:rPr>
          <w:rFonts w:ascii="Verdana" w:eastAsia="Geomanist Light" w:hAnsi="Verdana" w:cs="Arial"/>
          <w:color w:val="000000" w:themeColor="text1"/>
          <w:lang w:val="es-MX"/>
        </w:rPr>
      </w:pPr>
    </w:p>
    <w:p w14:paraId="46C9473A" w14:textId="77777777" w:rsidR="00F60F29" w:rsidRDefault="00F60F29" w:rsidP="00371C3F">
      <w:pPr>
        <w:rPr>
          <w:rFonts w:ascii="Verdana" w:eastAsia="Geomanist Light" w:hAnsi="Verdana" w:cs="Arial"/>
          <w:color w:val="000000" w:themeColor="text1"/>
          <w:lang w:val="es-MX"/>
        </w:rPr>
      </w:pPr>
    </w:p>
    <w:p w14:paraId="2A84F5D9" w14:textId="77777777" w:rsidR="00F60F29" w:rsidRDefault="00F60F29" w:rsidP="00371C3F">
      <w:pPr>
        <w:rPr>
          <w:rFonts w:ascii="Verdana" w:eastAsia="Geomanist Light" w:hAnsi="Verdana" w:cs="Arial"/>
          <w:color w:val="000000" w:themeColor="text1"/>
          <w:lang w:val="es-MX"/>
        </w:rPr>
      </w:pPr>
    </w:p>
    <w:p w14:paraId="4F72EB5C" w14:textId="77777777" w:rsidR="00F60F29" w:rsidRDefault="00F60F29" w:rsidP="00371C3F">
      <w:pPr>
        <w:rPr>
          <w:rFonts w:ascii="Verdana" w:eastAsia="Geomanist Light" w:hAnsi="Verdana" w:cs="Arial"/>
          <w:color w:val="000000" w:themeColor="text1"/>
          <w:lang w:val="es-MX"/>
        </w:rPr>
      </w:pPr>
    </w:p>
    <w:p w14:paraId="73CD7820" w14:textId="77777777" w:rsidR="00F60F29" w:rsidRDefault="00F60F29" w:rsidP="00371C3F">
      <w:pPr>
        <w:rPr>
          <w:rFonts w:ascii="Verdana" w:eastAsia="Geomanist Light" w:hAnsi="Verdana" w:cs="Arial"/>
          <w:color w:val="000000" w:themeColor="text1"/>
          <w:lang w:val="es-MX"/>
        </w:rPr>
      </w:pPr>
    </w:p>
    <w:p w14:paraId="2213ADD5" w14:textId="77777777" w:rsidR="005A5ED3" w:rsidRDefault="005A5ED3" w:rsidP="00371C3F">
      <w:pPr>
        <w:rPr>
          <w:rFonts w:ascii="Verdana" w:eastAsia="Geomanist Light" w:hAnsi="Verdana" w:cs="Arial"/>
          <w:color w:val="000000" w:themeColor="text1"/>
          <w:lang w:val="es-MX"/>
        </w:rPr>
      </w:pPr>
    </w:p>
    <w:p w14:paraId="777E21A5" w14:textId="77777777" w:rsidR="005A5ED3" w:rsidRDefault="005A5ED3" w:rsidP="00371C3F">
      <w:pPr>
        <w:rPr>
          <w:rFonts w:ascii="Verdana" w:eastAsia="Geomanist Light" w:hAnsi="Verdana" w:cs="Arial"/>
          <w:color w:val="000000" w:themeColor="text1"/>
          <w:lang w:val="es-MX"/>
        </w:rPr>
      </w:pPr>
    </w:p>
    <w:p w14:paraId="3EAC8AA5" w14:textId="33226787" w:rsidR="00371C3F" w:rsidRPr="00D30EFC" w:rsidRDefault="00CD08DF" w:rsidP="00371C3F">
      <w:pPr>
        <w:rPr>
          <w:rFonts w:ascii="Verdana" w:eastAsia="Geomanist Light" w:hAnsi="Verdana" w:cs="Arial"/>
          <w:color w:val="201F1E"/>
          <w:lang w:val="es-MX"/>
        </w:rPr>
      </w:pPr>
      <w:r w:rsidRPr="00CD08DF">
        <w:rPr>
          <w:rFonts w:ascii="Verdana" w:hAnsi="Verdana" w:cs="Arial"/>
          <w:bCs/>
          <w:noProof/>
          <w:lang w:val="es-MX" w:eastAsia="es-ES" w:bidi="es-ES"/>
        </w:rPr>
        <w:lastRenderedPageBreak/>
        <w:drawing>
          <wp:anchor distT="0" distB="0" distL="114300" distR="114300" simplePos="0" relativeHeight="251658240" behindDoc="1" locked="0" layoutInCell="1" allowOverlap="1" wp14:anchorId="10D7DF1C" wp14:editId="4625F8C5">
            <wp:simplePos x="0" y="0"/>
            <wp:positionH relativeFrom="column">
              <wp:posOffset>2981814</wp:posOffset>
            </wp:positionH>
            <wp:positionV relativeFrom="paragraph">
              <wp:posOffset>346026</wp:posOffset>
            </wp:positionV>
            <wp:extent cx="2838846" cy="762106"/>
            <wp:effectExtent l="0" t="0" r="0" b="0"/>
            <wp:wrapTight wrapText="bothSides">
              <wp:wrapPolygon edited="0">
                <wp:start x="0" y="0"/>
                <wp:lineTo x="0" y="21060"/>
                <wp:lineTo x="21455" y="21060"/>
                <wp:lineTo x="21455" y="0"/>
                <wp:lineTo x="0" y="0"/>
              </wp:wrapPolygon>
            </wp:wrapTight>
            <wp:docPr id="14861679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167962" name=""/>
                    <pic:cNvPicPr/>
                  </pic:nvPicPr>
                  <pic:blipFill>
                    <a:blip r:embed="rId10">
                      <a:extLst>
                        <a:ext uri="{28A0092B-C50C-407E-A947-70E740481C1C}">
                          <a14:useLocalDpi xmlns:a14="http://schemas.microsoft.com/office/drawing/2010/main" val="0"/>
                        </a:ext>
                      </a:extLst>
                    </a:blip>
                    <a:stretch>
                      <a:fillRect/>
                    </a:stretch>
                  </pic:blipFill>
                  <pic:spPr>
                    <a:xfrm>
                      <a:off x="0" y="0"/>
                      <a:ext cx="2838846" cy="762106"/>
                    </a:xfrm>
                    <a:prstGeom prst="rect">
                      <a:avLst/>
                    </a:prstGeom>
                  </pic:spPr>
                </pic:pic>
              </a:graphicData>
            </a:graphic>
          </wp:anchor>
        </w:drawing>
      </w:r>
      <w:r w:rsidR="00371C3F" w:rsidRPr="00E959BB">
        <w:rPr>
          <w:rFonts w:ascii="Verdana" w:eastAsia="Geomanist Light" w:hAnsi="Verdana" w:cs="Arial"/>
          <w:color w:val="000000" w:themeColor="text1"/>
          <w:lang w:val="es-MX"/>
        </w:rPr>
        <w:t>Bogotá D.C., </w:t>
      </w:r>
      <w:r>
        <w:rPr>
          <w:rFonts w:ascii="Verdana" w:eastAsia="Geomanist Light" w:hAnsi="Verdana" w:cs="Arial"/>
          <w:color w:val="201F1E"/>
          <w:lang w:val="es-MX"/>
        </w:rPr>
        <w:t>21</w:t>
      </w:r>
      <w:r w:rsidR="00371C3F" w:rsidRPr="00E959BB">
        <w:rPr>
          <w:rFonts w:ascii="Verdana" w:eastAsia="Geomanist Light" w:hAnsi="Verdana" w:cs="Arial"/>
          <w:color w:val="201F1E"/>
          <w:lang w:val="es-MX"/>
        </w:rPr>
        <w:t xml:space="preserve"> de </w:t>
      </w:r>
      <w:r>
        <w:rPr>
          <w:rFonts w:ascii="Verdana" w:eastAsia="Geomanist Light" w:hAnsi="Verdana" w:cs="Arial"/>
          <w:color w:val="201F1E"/>
          <w:lang w:val="es-MX"/>
        </w:rPr>
        <w:t>abril</w:t>
      </w:r>
      <w:r w:rsidR="00371C3F" w:rsidRPr="00E959BB">
        <w:rPr>
          <w:rFonts w:ascii="Verdana" w:eastAsia="Geomanist Light" w:hAnsi="Verdana" w:cs="Arial"/>
          <w:color w:val="201F1E"/>
          <w:lang w:val="es-MX"/>
        </w:rPr>
        <w:t xml:space="preserve"> de </w:t>
      </w:r>
      <w:r w:rsidR="00F60F29">
        <w:rPr>
          <w:rFonts w:ascii="Verdana" w:eastAsia="Geomanist Light" w:hAnsi="Verdana" w:cs="Arial"/>
          <w:color w:val="201F1E"/>
          <w:lang w:val="es-MX"/>
        </w:rPr>
        <w:t>2026</w:t>
      </w:r>
    </w:p>
    <w:p w14:paraId="4147B4A8" w14:textId="77777777" w:rsidR="00CD08DF" w:rsidRDefault="00CD08DF" w:rsidP="00371C3F">
      <w:pPr>
        <w:spacing w:after="0" w:line="240" w:lineRule="auto"/>
        <w:jc w:val="both"/>
        <w:rPr>
          <w:rFonts w:ascii="Verdana" w:hAnsi="Verdana" w:cs="Arial"/>
          <w:bCs/>
          <w:lang w:val="es-MX" w:eastAsia="es-ES" w:bidi="es-ES"/>
        </w:rPr>
      </w:pPr>
    </w:p>
    <w:p w14:paraId="1AD635E4" w14:textId="77777777" w:rsidR="00CD08DF" w:rsidRDefault="00CD08DF" w:rsidP="00371C3F">
      <w:pPr>
        <w:spacing w:after="0" w:line="240" w:lineRule="auto"/>
        <w:jc w:val="both"/>
        <w:rPr>
          <w:rFonts w:ascii="Verdana" w:hAnsi="Verdana" w:cs="Arial"/>
          <w:bCs/>
          <w:lang w:val="es-MX" w:eastAsia="es-ES" w:bidi="es-ES"/>
        </w:rPr>
      </w:pPr>
    </w:p>
    <w:p w14:paraId="16208C4F" w14:textId="7BDDDC26" w:rsidR="00371C3F" w:rsidRPr="00D30EFC" w:rsidRDefault="00371C3F" w:rsidP="00371C3F">
      <w:pPr>
        <w:spacing w:after="0" w:line="240" w:lineRule="auto"/>
        <w:jc w:val="both"/>
        <w:rPr>
          <w:rFonts w:ascii="Verdana" w:hAnsi="Verdana" w:cs="Arial"/>
          <w:bCs/>
          <w:lang w:val="pt-PT" w:eastAsia="es-ES" w:bidi="es-ES"/>
        </w:rPr>
      </w:pPr>
      <w:r w:rsidRPr="00D30EFC">
        <w:rPr>
          <w:rFonts w:ascii="Verdana" w:hAnsi="Verdana" w:cs="Arial"/>
          <w:bCs/>
          <w:lang w:val="pt-PT" w:eastAsia="es-ES" w:bidi="es-ES"/>
        </w:rPr>
        <w:t>Señor</w:t>
      </w:r>
    </w:p>
    <w:p w14:paraId="79B374DC" w14:textId="56B84D78" w:rsidR="00371C3F" w:rsidRPr="00D30EFC" w:rsidRDefault="00CD08DF" w:rsidP="00371C3F">
      <w:pPr>
        <w:spacing w:after="0" w:line="240" w:lineRule="auto"/>
        <w:jc w:val="both"/>
        <w:rPr>
          <w:rFonts w:ascii="Verdana" w:hAnsi="Verdana" w:cs="Arial"/>
          <w:b/>
          <w:bCs/>
          <w:lang w:val="pt-PT" w:eastAsia="es-ES" w:bidi="es-ES"/>
        </w:rPr>
      </w:pPr>
      <w:r>
        <w:rPr>
          <w:rFonts w:ascii="Verdana" w:hAnsi="Verdana" w:cs="Arial"/>
          <w:b/>
          <w:bCs/>
          <w:lang w:val="pt-PT" w:eastAsia="es-ES" w:bidi="es-ES"/>
        </w:rPr>
        <w:t>Rafael Andrés Maldonado Ochoa</w:t>
      </w:r>
    </w:p>
    <w:p w14:paraId="749704AB" w14:textId="23A33AEB" w:rsidR="00371C3F" w:rsidRPr="00D30EFC" w:rsidRDefault="00CD08DF" w:rsidP="00371C3F">
      <w:pPr>
        <w:spacing w:after="0" w:line="240" w:lineRule="auto"/>
        <w:jc w:val="both"/>
        <w:rPr>
          <w:rFonts w:ascii="Verdana" w:hAnsi="Verdana"/>
          <w:lang w:val="pt-PT"/>
        </w:rPr>
      </w:pPr>
      <w:hyperlink r:id="rId11" w:history="1">
        <w:r w:rsidRPr="003E3103">
          <w:rPr>
            <w:rStyle w:val="Hipervnculo"/>
            <w:rFonts w:ascii="Verdana" w:hAnsi="Verdana"/>
            <w:lang w:val="pt-PT"/>
          </w:rPr>
          <w:t>Rafaelmandonadoochoa@outlook.com</w:t>
        </w:r>
      </w:hyperlink>
      <w:r>
        <w:rPr>
          <w:rFonts w:ascii="Verdana" w:hAnsi="Verdana"/>
          <w:lang w:val="pt-PT"/>
        </w:rPr>
        <w:t>;</w:t>
      </w:r>
    </w:p>
    <w:p w14:paraId="609B11ED" w14:textId="17237263" w:rsidR="00371C3F" w:rsidRPr="004C6B7F" w:rsidRDefault="00CD08DF" w:rsidP="00371C3F">
      <w:pPr>
        <w:spacing w:after="0" w:line="240" w:lineRule="auto"/>
        <w:jc w:val="both"/>
        <w:rPr>
          <w:rFonts w:ascii="Verdana" w:hAnsi="Verdana" w:cs="Arial"/>
          <w:bCs/>
          <w:lang w:val="es-MX" w:eastAsia="es-ES" w:bidi="es-ES"/>
        </w:rPr>
      </w:pPr>
      <w:r>
        <w:rPr>
          <w:rFonts w:ascii="Verdana" w:hAnsi="Verdana" w:cs="Arial"/>
          <w:bCs/>
          <w:lang w:val="es-MX" w:eastAsia="es-ES" w:bidi="es-ES"/>
        </w:rPr>
        <w:t xml:space="preserve">Ciudad </w:t>
      </w:r>
    </w:p>
    <w:p w14:paraId="380B8A0A" w14:textId="77777777" w:rsidR="00371C3F" w:rsidRPr="004C6B7F" w:rsidRDefault="00371C3F" w:rsidP="00371C3F">
      <w:pPr>
        <w:spacing w:after="0" w:line="240" w:lineRule="auto"/>
        <w:jc w:val="both"/>
        <w:rPr>
          <w:rFonts w:ascii="Verdana" w:hAnsi="Verdana" w:cs="Arial"/>
          <w:b/>
          <w:bCs/>
          <w:lang w:val="es-ES_tradnl" w:eastAsia="es-ES" w:bidi="es-ES"/>
        </w:rPr>
      </w:pPr>
    </w:p>
    <w:p w14:paraId="2DBB6C6A" w14:textId="77777777" w:rsidR="00371C3F" w:rsidRPr="004C6B7F" w:rsidRDefault="00371C3F" w:rsidP="00371C3F">
      <w:pPr>
        <w:tabs>
          <w:tab w:val="left" w:pos="7184"/>
        </w:tabs>
        <w:spacing w:after="0" w:line="240" w:lineRule="auto"/>
        <w:jc w:val="both"/>
        <w:rPr>
          <w:rFonts w:ascii="Verdana" w:hAnsi="Verdana" w:cs="Arial"/>
          <w:b/>
          <w:bCs/>
          <w:lang w:val="es-ES_tradnl" w:eastAsia="es-ES" w:bidi="es-ES"/>
        </w:rPr>
      </w:pPr>
      <w:r w:rsidRPr="004C6B7F">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371C3F" w:rsidRPr="004C6B7F" w14:paraId="3468B251" w14:textId="77777777" w:rsidTr="007F553A">
        <w:trPr>
          <w:trHeight w:val="312"/>
        </w:trPr>
        <w:tc>
          <w:tcPr>
            <w:tcW w:w="2689" w:type="dxa"/>
          </w:tcPr>
          <w:p w14:paraId="0A3ADCA1" w14:textId="77777777" w:rsidR="00371C3F" w:rsidRPr="004C6B7F" w:rsidRDefault="00371C3F" w:rsidP="007F553A">
            <w:pPr>
              <w:jc w:val="both"/>
              <w:rPr>
                <w:rFonts w:ascii="Verdana" w:hAnsi="Verdana" w:cs="Arial"/>
                <w:b/>
                <w:bCs/>
                <w:lang w:val="es-ES_tradnl" w:eastAsia="es-ES" w:bidi="es-ES"/>
              </w:rPr>
            </w:pPr>
          </w:p>
        </w:tc>
        <w:tc>
          <w:tcPr>
            <w:tcW w:w="6242" w:type="dxa"/>
          </w:tcPr>
          <w:p w14:paraId="0F2EAFDC" w14:textId="05CB8561" w:rsidR="00371C3F" w:rsidRPr="004C6B7F" w:rsidRDefault="00371C3F" w:rsidP="007F553A">
            <w:pPr>
              <w:tabs>
                <w:tab w:val="right" w:pos="6242"/>
              </w:tabs>
              <w:jc w:val="both"/>
              <w:rPr>
                <w:rFonts w:ascii="Verdana" w:hAnsi="Verdana" w:cs="Arial"/>
                <w:b/>
                <w:bCs/>
                <w:lang w:val="es-MX" w:eastAsia="es-ES" w:bidi="es-ES"/>
              </w:rPr>
            </w:pPr>
            <w:r w:rsidRPr="004C6B7F">
              <w:rPr>
                <w:rFonts w:ascii="Verdana" w:hAnsi="Verdana" w:cs="Arial"/>
                <w:b/>
                <w:bCs/>
                <w:lang w:val="es-MX" w:eastAsia="es-ES" w:bidi="es-ES"/>
              </w:rPr>
              <w:t xml:space="preserve">Concepto C- </w:t>
            </w:r>
            <w:r w:rsidR="00CD08DF">
              <w:rPr>
                <w:rFonts w:ascii="Verdana" w:hAnsi="Verdana" w:cs="Arial"/>
                <w:b/>
                <w:bCs/>
                <w:lang w:val="es-MX" w:eastAsia="es-ES" w:bidi="es-ES"/>
              </w:rPr>
              <w:t>384</w:t>
            </w:r>
            <w:r w:rsidRPr="004C6B7F">
              <w:rPr>
                <w:rFonts w:ascii="Verdana" w:hAnsi="Verdana" w:cs="Arial"/>
                <w:b/>
                <w:bCs/>
                <w:lang w:val="es-MX" w:eastAsia="es-ES" w:bidi="es-ES"/>
              </w:rPr>
              <w:t xml:space="preserve"> de 202</w:t>
            </w:r>
            <w:r>
              <w:rPr>
                <w:rFonts w:ascii="Verdana" w:hAnsi="Verdana" w:cs="Arial"/>
                <w:b/>
                <w:bCs/>
                <w:lang w:val="es-MX" w:eastAsia="es-ES" w:bidi="es-ES"/>
              </w:rPr>
              <w:t>6</w:t>
            </w:r>
            <w:r w:rsidRPr="004C6B7F">
              <w:rPr>
                <w:rFonts w:ascii="Verdana" w:hAnsi="Verdana" w:cs="Arial"/>
                <w:b/>
                <w:bCs/>
                <w:lang w:val="es-MX" w:eastAsia="es-ES" w:bidi="es-ES"/>
              </w:rPr>
              <w:tab/>
            </w:r>
          </w:p>
          <w:p w14:paraId="0D1D3436" w14:textId="77777777" w:rsidR="00371C3F" w:rsidRPr="004C6B7F" w:rsidRDefault="00371C3F" w:rsidP="007F553A">
            <w:pPr>
              <w:jc w:val="both"/>
              <w:rPr>
                <w:rFonts w:ascii="Verdana" w:hAnsi="Verdana" w:cs="Arial"/>
                <w:b/>
                <w:bCs/>
                <w:lang w:val="es-MX" w:eastAsia="es-ES" w:bidi="es-ES"/>
              </w:rPr>
            </w:pPr>
          </w:p>
        </w:tc>
      </w:tr>
      <w:tr w:rsidR="00371C3F" w:rsidRPr="004C6B7F" w14:paraId="54421628" w14:textId="77777777" w:rsidTr="007F553A">
        <w:trPr>
          <w:trHeight w:val="884"/>
        </w:trPr>
        <w:tc>
          <w:tcPr>
            <w:tcW w:w="2689" w:type="dxa"/>
          </w:tcPr>
          <w:p w14:paraId="2F8D97D5" w14:textId="77777777" w:rsidR="00371C3F" w:rsidRPr="004C6B7F" w:rsidRDefault="00371C3F" w:rsidP="007F553A">
            <w:pPr>
              <w:jc w:val="both"/>
              <w:rPr>
                <w:rFonts w:ascii="Verdana" w:hAnsi="Verdana" w:cs="Arial"/>
                <w:bCs/>
                <w:lang w:val="es-MX" w:eastAsia="es-ES" w:bidi="es-ES"/>
              </w:rPr>
            </w:pPr>
            <w:r w:rsidRPr="004C6B7F">
              <w:rPr>
                <w:rFonts w:ascii="Verdana" w:hAnsi="Verdana" w:cs="Arial"/>
                <w:bCs/>
                <w:lang w:val="es-MX" w:eastAsia="es-ES" w:bidi="es-ES"/>
              </w:rPr>
              <w:t xml:space="preserve">Temas:                   </w:t>
            </w:r>
          </w:p>
        </w:tc>
        <w:tc>
          <w:tcPr>
            <w:tcW w:w="6242" w:type="dxa"/>
          </w:tcPr>
          <w:p w14:paraId="399521AB" w14:textId="77777777" w:rsidR="00371C3F" w:rsidRDefault="00CD08DF" w:rsidP="00CD08DF">
            <w:pPr>
              <w:spacing w:line="276" w:lineRule="auto"/>
              <w:jc w:val="both"/>
              <w:rPr>
                <w:rFonts w:ascii="Verdana" w:hAnsi="Verdana" w:cs="Arial"/>
                <w:bCs/>
                <w:lang w:val="es-MX" w:eastAsia="es-ES" w:bidi="es-ES"/>
              </w:rPr>
            </w:pPr>
            <w:r w:rsidRPr="00CD08DF">
              <w:rPr>
                <w:rFonts w:ascii="Verdana" w:hAnsi="Verdana" w:cs="Arial"/>
                <w:bCs/>
                <w:lang w:val="es-MX" w:eastAsia="es-ES" w:bidi="es-ES"/>
              </w:rPr>
              <w:t>ANTICIPO – Regulación normativa / ANTICIPO – Definición jurisprudencial – Límites – Aplicación – Tipo contractual – Amortización – Forma de pago</w:t>
            </w:r>
          </w:p>
          <w:p w14:paraId="239CDFCA" w14:textId="5A6C735A" w:rsidR="00CD08DF" w:rsidRPr="004C6B7F" w:rsidRDefault="00CD08DF" w:rsidP="00CD08DF">
            <w:pPr>
              <w:spacing w:line="276" w:lineRule="auto"/>
              <w:jc w:val="both"/>
              <w:rPr>
                <w:rFonts w:ascii="Verdana" w:hAnsi="Verdana" w:cs="Arial"/>
                <w:bCs/>
                <w:highlight w:val="yellow"/>
                <w:lang w:val="es-MX" w:eastAsia="es-ES" w:bidi="es-ES"/>
              </w:rPr>
            </w:pPr>
          </w:p>
        </w:tc>
      </w:tr>
      <w:tr w:rsidR="00371C3F" w:rsidRPr="004C6B7F" w14:paraId="7430FE11" w14:textId="77777777" w:rsidTr="007F553A">
        <w:tc>
          <w:tcPr>
            <w:tcW w:w="2689" w:type="dxa"/>
          </w:tcPr>
          <w:p w14:paraId="0658EB34" w14:textId="77777777" w:rsidR="00371C3F" w:rsidRPr="004C6B7F" w:rsidRDefault="00371C3F" w:rsidP="007F553A">
            <w:pPr>
              <w:jc w:val="both"/>
              <w:rPr>
                <w:rFonts w:ascii="Verdana" w:hAnsi="Verdana" w:cs="Arial"/>
                <w:bCs/>
                <w:lang w:val="es-MX" w:eastAsia="es-ES" w:bidi="es-ES"/>
              </w:rPr>
            </w:pPr>
            <w:r w:rsidRPr="004C6B7F">
              <w:rPr>
                <w:rFonts w:ascii="Verdana" w:hAnsi="Verdana" w:cs="Arial"/>
                <w:bCs/>
                <w:lang w:val="es-MX" w:eastAsia="es-ES" w:bidi="es-ES"/>
              </w:rPr>
              <w:t xml:space="preserve">Radicación:               </w:t>
            </w:r>
          </w:p>
        </w:tc>
        <w:tc>
          <w:tcPr>
            <w:tcW w:w="6242" w:type="dxa"/>
          </w:tcPr>
          <w:p w14:paraId="36890CB9" w14:textId="77777777" w:rsidR="00CD08DF" w:rsidRPr="00CD08DF" w:rsidRDefault="00371C3F" w:rsidP="00CD08DF">
            <w:pPr>
              <w:jc w:val="both"/>
              <w:rPr>
                <w:rFonts w:ascii="Verdana" w:hAnsi="Verdana" w:cs="Arial"/>
                <w:bCs/>
                <w:lang w:eastAsia="es-ES" w:bidi="es-ES"/>
              </w:rPr>
            </w:pPr>
            <w:r w:rsidRPr="004C6B7F">
              <w:rPr>
                <w:rFonts w:ascii="Verdana" w:hAnsi="Verdana" w:cs="Arial"/>
                <w:bCs/>
                <w:lang w:val="es-MX" w:eastAsia="es-ES" w:bidi="es-ES"/>
              </w:rPr>
              <w:t>Respuesta a consulta con radicado No.</w:t>
            </w:r>
            <w:r w:rsidR="00CD08DF">
              <w:rPr>
                <w:rFonts w:ascii="Verdana" w:hAnsi="Verdana" w:cs="Arial"/>
                <w:bCs/>
                <w:lang w:val="es-MX" w:eastAsia="es-ES" w:bidi="es-ES"/>
              </w:rPr>
              <w:t xml:space="preserve"> </w:t>
            </w:r>
          </w:p>
          <w:p w14:paraId="1C43E83C" w14:textId="42A4CFA0" w:rsidR="00371C3F" w:rsidRPr="004C6B7F" w:rsidRDefault="00CD08DF" w:rsidP="00CD08DF">
            <w:pPr>
              <w:jc w:val="both"/>
              <w:rPr>
                <w:rFonts w:ascii="Verdana" w:hAnsi="Verdana" w:cs="Arial"/>
                <w:bCs/>
                <w:lang w:val="es-MX" w:eastAsia="es-ES" w:bidi="es-ES"/>
              </w:rPr>
            </w:pPr>
            <w:r w:rsidRPr="00CD08DF">
              <w:rPr>
                <w:rFonts w:ascii="Verdana" w:hAnsi="Verdana" w:cs="Arial"/>
                <w:bCs/>
                <w:lang w:eastAsia="es-ES" w:bidi="es-ES"/>
              </w:rPr>
              <w:t xml:space="preserve"> 1_2026_03_09_003270</w:t>
            </w:r>
            <w:r>
              <w:rPr>
                <w:rFonts w:ascii="Verdana" w:hAnsi="Verdana" w:cs="Arial"/>
                <w:bCs/>
                <w:lang w:eastAsia="es-ES" w:bidi="es-ES"/>
              </w:rPr>
              <w:t xml:space="preserve"> </w:t>
            </w:r>
          </w:p>
        </w:tc>
      </w:tr>
    </w:tbl>
    <w:p w14:paraId="168FBBD4" w14:textId="77777777" w:rsidR="00371C3F" w:rsidRPr="004C6B7F" w:rsidRDefault="00371C3F" w:rsidP="00371C3F">
      <w:pPr>
        <w:spacing w:after="0" w:line="240" w:lineRule="auto"/>
        <w:jc w:val="both"/>
        <w:rPr>
          <w:rFonts w:ascii="Verdana" w:hAnsi="Verdana" w:cs="Arial"/>
          <w:bCs/>
          <w:lang w:val="es-ES_tradnl" w:eastAsia="es-ES" w:bidi="es-ES"/>
        </w:rPr>
      </w:pPr>
    </w:p>
    <w:p w14:paraId="23256BFD" w14:textId="77777777" w:rsidR="00371C3F" w:rsidRPr="004C6B7F" w:rsidRDefault="00371C3F" w:rsidP="00371C3F">
      <w:pPr>
        <w:spacing w:after="0" w:line="240" w:lineRule="auto"/>
        <w:jc w:val="both"/>
        <w:rPr>
          <w:rFonts w:ascii="Verdana" w:hAnsi="Verdana" w:cs="Arial"/>
          <w:bCs/>
          <w:lang w:val="es-ES_tradnl" w:eastAsia="es-ES" w:bidi="es-ES"/>
        </w:rPr>
      </w:pPr>
    </w:p>
    <w:p w14:paraId="6DAC96AF" w14:textId="5B65D746" w:rsidR="00371C3F" w:rsidRPr="0050771E" w:rsidRDefault="00371C3F" w:rsidP="00371C3F">
      <w:pPr>
        <w:spacing w:after="0" w:line="276" w:lineRule="auto"/>
        <w:jc w:val="both"/>
        <w:rPr>
          <w:rFonts w:ascii="Verdana" w:hAnsi="Verdana" w:cs="Arial"/>
          <w:bCs/>
          <w:lang w:val="es-MX" w:eastAsia="es-ES" w:bidi="es-ES"/>
        </w:rPr>
      </w:pPr>
      <w:r w:rsidRPr="0050771E">
        <w:rPr>
          <w:rFonts w:ascii="Verdana" w:hAnsi="Verdana" w:cs="Arial"/>
          <w:bCs/>
          <w:lang w:val="es-MX" w:eastAsia="es-ES" w:bidi="es-ES"/>
        </w:rPr>
        <w:t>Estimad</w:t>
      </w:r>
      <w:r>
        <w:rPr>
          <w:rFonts w:ascii="Verdana" w:hAnsi="Verdana" w:cs="Arial"/>
          <w:bCs/>
          <w:lang w:val="es-MX" w:eastAsia="es-ES" w:bidi="es-ES"/>
        </w:rPr>
        <w:t>a</w:t>
      </w:r>
      <w:r w:rsidRPr="0050771E">
        <w:rPr>
          <w:rFonts w:ascii="Verdana" w:hAnsi="Verdana" w:cs="Arial"/>
          <w:bCs/>
          <w:lang w:val="es-MX" w:eastAsia="es-ES" w:bidi="es-ES"/>
        </w:rPr>
        <w:t xml:space="preserve"> Señor</w:t>
      </w:r>
      <w:r>
        <w:rPr>
          <w:rFonts w:ascii="Verdana" w:hAnsi="Verdana" w:cs="Arial"/>
          <w:bCs/>
          <w:lang w:val="es-MX" w:eastAsia="es-ES" w:bidi="es-ES"/>
        </w:rPr>
        <w:t>a</w:t>
      </w:r>
      <w:r w:rsidRPr="0050771E">
        <w:rPr>
          <w:rFonts w:ascii="Verdana" w:hAnsi="Verdana" w:cs="Arial"/>
          <w:bCs/>
          <w:lang w:val="es-MX" w:eastAsia="es-ES" w:bidi="es-ES"/>
        </w:rPr>
        <w:t xml:space="preserve"> </w:t>
      </w:r>
      <w:r w:rsidR="00CD08DF">
        <w:rPr>
          <w:rFonts w:ascii="Verdana" w:hAnsi="Verdana" w:cs="Arial"/>
          <w:bCs/>
          <w:lang w:val="es-MX" w:eastAsia="es-ES" w:bidi="es-ES"/>
        </w:rPr>
        <w:t>Maldonado</w:t>
      </w:r>
      <w:r w:rsidRPr="0050771E">
        <w:rPr>
          <w:rFonts w:ascii="Verdana" w:hAnsi="Verdana" w:cs="Arial"/>
          <w:bCs/>
          <w:lang w:val="es-MX" w:eastAsia="es-ES" w:bidi="es-ES"/>
        </w:rPr>
        <w:t>:</w:t>
      </w:r>
    </w:p>
    <w:p w14:paraId="111DA63F" w14:textId="77777777" w:rsidR="00371C3F" w:rsidRPr="0050771E" w:rsidRDefault="00371C3F" w:rsidP="00371C3F">
      <w:pPr>
        <w:spacing w:after="0" w:line="276" w:lineRule="auto"/>
        <w:jc w:val="both"/>
        <w:rPr>
          <w:rFonts w:ascii="Verdana" w:hAnsi="Verdana" w:cs="Arial"/>
          <w:bCs/>
          <w:lang w:val="es-ES" w:eastAsia="es-ES" w:bidi="es-ES"/>
        </w:rPr>
      </w:pPr>
      <w:r w:rsidRPr="0050771E">
        <w:rPr>
          <w:rFonts w:ascii="Verdana" w:hAnsi="Verdana" w:cs="Arial"/>
          <w:bCs/>
          <w:lang w:val="es-ES" w:eastAsia="es-ES" w:bidi="es-ES"/>
        </w:rPr>
        <w:tab/>
      </w:r>
    </w:p>
    <w:p w14:paraId="397F7D4D" w14:textId="719D6447" w:rsidR="00371C3F" w:rsidRPr="00B31C7B" w:rsidRDefault="00371C3F" w:rsidP="00371C3F">
      <w:pPr>
        <w:spacing w:after="0" w:line="276" w:lineRule="auto"/>
        <w:jc w:val="both"/>
        <w:rPr>
          <w:rFonts w:ascii="Verdana" w:hAnsi="Verdana" w:cs="Arial"/>
          <w:bCs/>
          <w:lang w:val="es-ES" w:eastAsia="es-ES" w:bidi="es-ES"/>
        </w:rPr>
      </w:pPr>
      <w:r w:rsidRPr="0050771E">
        <w:rPr>
          <w:rFonts w:ascii="Verdana" w:hAnsi="Verdana" w:cs="Arial"/>
          <w:bCs/>
          <w:lang w:val="es-ES" w:eastAsia="es-ES" w:bidi="es-ES"/>
        </w:rPr>
        <w:t xml:space="preserve">En ejercicio de la competencia otorgada por los artículos 3, numeral 5º, y 11, numeral 8º, del Decreto Ley 4170 de 2011, </w:t>
      </w:r>
      <w:r w:rsidRPr="00FC6F34">
        <w:rPr>
          <w:rFonts w:ascii="Verdana" w:hAnsi="Verdana" w:cs="Arial"/>
          <w:color w:val="000000" w:themeColor="text1"/>
          <w:lang w:val="es-ES"/>
        </w:rPr>
        <w:t>así como lo establecido</w:t>
      </w:r>
      <w:r>
        <w:rPr>
          <w:rFonts w:ascii="Verdana" w:hAnsi="Verdana" w:cs="Arial"/>
          <w:color w:val="000000" w:themeColor="text1"/>
          <w:lang w:val="es-ES"/>
        </w:rPr>
        <w:t xml:space="preserve"> por la</w:t>
      </w:r>
      <w:r w:rsidRPr="00FC6F34">
        <w:rPr>
          <w:rFonts w:ascii="Verdana" w:hAnsi="Verdana" w:cs="Arial"/>
          <w:color w:val="000000" w:themeColor="text1"/>
          <w:lang w:val="es-ES"/>
        </w:rPr>
        <w:t xml:space="preserve"> </w:t>
      </w:r>
      <w:r w:rsidRPr="00A27102">
        <w:rPr>
          <w:rFonts w:ascii="Verdana" w:hAnsi="Verdana" w:cs="Arial"/>
        </w:rPr>
        <w:t>Resolución 469 de 2025 expedida por esta Entidad</w:t>
      </w:r>
      <w:r w:rsidRPr="0050771E">
        <w:rPr>
          <w:rFonts w:ascii="Verdana" w:hAnsi="Verdana" w:cs="Arial"/>
          <w:bCs/>
          <w:lang w:eastAsia="es-ES" w:bidi="es-ES"/>
        </w:rPr>
        <w:t xml:space="preserve">, </w:t>
      </w:r>
      <w:r w:rsidRPr="0050771E">
        <w:rPr>
          <w:rFonts w:ascii="Verdana" w:hAnsi="Verdana" w:cs="Arial"/>
          <w:bCs/>
          <w:lang w:val="es-ES" w:eastAsia="es-ES" w:bidi="es-ES"/>
        </w:rPr>
        <w:t xml:space="preserve">la Agencia Nacional de Contratación Pública – Colombia Compra Eficiente– responde su solicitud de consulta de fecha del </w:t>
      </w:r>
      <w:r w:rsidR="00CD08DF">
        <w:rPr>
          <w:rFonts w:ascii="Verdana" w:hAnsi="Verdana" w:cs="Arial"/>
          <w:bCs/>
          <w:lang w:val="es-ES" w:eastAsia="es-ES" w:bidi="es-ES"/>
        </w:rPr>
        <w:t>09</w:t>
      </w:r>
      <w:r w:rsidRPr="0050771E">
        <w:rPr>
          <w:rFonts w:ascii="Verdana" w:hAnsi="Verdana" w:cs="Arial"/>
          <w:bCs/>
          <w:lang w:val="es-ES" w:eastAsia="es-ES" w:bidi="es-ES"/>
        </w:rPr>
        <w:t xml:space="preserve"> de </w:t>
      </w:r>
      <w:r w:rsidR="00CD08DF">
        <w:rPr>
          <w:rFonts w:ascii="Verdana" w:hAnsi="Verdana" w:cs="Arial"/>
          <w:bCs/>
          <w:lang w:val="es-ES" w:eastAsia="es-ES" w:bidi="es-ES"/>
        </w:rPr>
        <w:t>marzo</w:t>
      </w:r>
      <w:r w:rsidRPr="0050771E">
        <w:rPr>
          <w:rFonts w:ascii="Verdana" w:hAnsi="Verdana" w:cs="Arial"/>
          <w:bCs/>
          <w:lang w:val="es-ES" w:eastAsia="es-ES" w:bidi="es-ES"/>
        </w:rPr>
        <w:t xml:space="preserve"> de 202</w:t>
      </w:r>
      <w:r>
        <w:rPr>
          <w:rFonts w:ascii="Verdana" w:hAnsi="Verdana" w:cs="Arial"/>
          <w:bCs/>
          <w:lang w:val="es-ES" w:eastAsia="es-ES" w:bidi="es-ES"/>
        </w:rPr>
        <w:t>6</w:t>
      </w:r>
      <w:r w:rsidRPr="0050771E">
        <w:rPr>
          <w:rFonts w:ascii="Verdana" w:hAnsi="Verdana" w:cs="Arial"/>
          <w:bCs/>
          <w:lang w:val="es-ES" w:eastAsia="es-ES" w:bidi="es-ES"/>
        </w:rPr>
        <w:t>, en la</w:t>
      </w:r>
      <w:r w:rsidRPr="00B31C7B">
        <w:rPr>
          <w:rFonts w:ascii="Verdana" w:hAnsi="Verdana" w:cs="Arial"/>
          <w:bCs/>
          <w:lang w:val="es-ES" w:eastAsia="es-ES" w:bidi="es-ES"/>
        </w:rPr>
        <w:t xml:space="preserve"> cual manifiesta lo siguiente: </w:t>
      </w:r>
    </w:p>
    <w:p w14:paraId="6AF6D893" w14:textId="77777777" w:rsidR="00371C3F" w:rsidRPr="006C07EE" w:rsidRDefault="00371C3F" w:rsidP="00371C3F">
      <w:pPr>
        <w:spacing w:after="0" w:line="276" w:lineRule="auto"/>
        <w:ind w:right="709"/>
        <w:jc w:val="both"/>
        <w:rPr>
          <w:rFonts w:ascii="Verdana" w:hAnsi="Verdana" w:cs="Arial"/>
          <w:bCs/>
          <w:sz w:val="21"/>
          <w:szCs w:val="21"/>
          <w:lang w:eastAsia="es-ES" w:bidi="es-ES"/>
        </w:rPr>
      </w:pPr>
    </w:p>
    <w:p w14:paraId="1A3C66D9" w14:textId="4F087A92" w:rsidR="00CD08DF" w:rsidRPr="00CD08DF" w:rsidRDefault="00371C3F" w:rsidP="00CD08DF">
      <w:pPr>
        <w:spacing w:after="0" w:line="240" w:lineRule="auto"/>
        <w:ind w:left="709" w:right="709"/>
        <w:jc w:val="both"/>
        <w:rPr>
          <w:rFonts w:ascii="Verdana" w:hAnsi="Verdana" w:cs="Arial"/>
          <w:bCs/>
          <w:sz w:val="20"/>
          <w:szCs w:val="20"/>
          <w:lang w:eastAsia="es-ES" w:bidi="es-ES"/>
        </w:rPr>
      </w:pPr>
      <w:r w:rsidRPr="006C07EE">
        <w:rPr>
          <w:rFonts w:ascii="Verdana" w:hAnsi="Verdana" w:cs="Arial"/>
          <w:bCs/>
          <w:sz w:val="20"/>
          <w:szCs w:val="20"/>
          <w:lang w:eastAsia="es-ES" w:bidi="es-ES"/>
        </w:rPr>
        <w:t>“</w:t>
      </w:r>
      <w:r w:rsidR="00CD08DF" w:rsidRPr="00CD08DF">
        <w:rPr>
          <w:rFonts w:ascii="Verdana" w:hAnsi="Verdana" w:cs="Arial"/>
          <w:bCs/>
          <w:sz w:val="20"/>
          <w:szCs w:val="20"/>
          <w:lang w:eastAsia="es-ES" w:bidi="es-ES"/>
        </w:rPr>
        <w:t xml:space="preserve">¿El pago del anticipo se puede realizar posterior a la firma del contrato estatal y antes de la suscripción del acta de inicio? </w:t>
      </w:r>
    </w:p>
    <w:p w14:paraId="1A425F30" w14:textId="77777777" w:rsidR="00CD08DF" w:rsidRPr="00CD08DF" w:rsidRDefault="00CD08DF" w:rsidP="00CD08DF">
      <w:pPr>
        <w:spacing w:after="0" w:line="240" w:lineRule="auto"/>
        <w:ind w:left="709" w:right="709"/>
        <w:jc w:val="both"/>
        <w:rPr>
          <w:rFonts w:ascii="Verdana" w:hAnsi="Verdana" w:cs="Arial"/>
          <w:bCs/>
          <w:sz w:val="20"/>
          <w:szCs w:val="20"/>
          <w:lang w:eastAsia="es-ES" w:bidi="es-ES"/>
        </w:rPr>
      </w:pPr>
      <w:r w:rsidRPr="00CD08DF">
        <w:rPr>
          <w:rFonts w:ascii="Verdana" w:hAnsi="Verdana" w:cs="Arial"/>
          <w:bCs/>
          <w:sz w:val="20"/>
          <w:szCs w:val="20"/>
          <w:lang w:eastAsia="es-ES" w:bidi="es-ES"/>
        </w:rPr>
        <w:t xml:space="preserve">¿Simultáneamente a la suscripción de la firma del contrato? ¿O posterior? </w:t>
      </w:r>
    </w:p>
    <w:p w14:paraId="072FDD19" w14:textId="7F4A6B6E" w:rsidR="00371C3F" w:rsidRPr="006C07EE" w:rsidRDefault="00CD08DF" w:rsidP="00CD08DF">
      <w:pPr>
        <w:spacing w:after="0" w:line="240" w:lineRule="auto"/>
        <w:ind w:left="709" w:right="709"/>
        <w:jc w:val="both"/>
        <w:rPr>
          <w:rFonts w:ascii="Verdana" w:hAnsi="Verdana" w:cs="Arial"/>
          <w:bCs/>
          <w:sz w:val="20"/>
          <w:szCs w:val="20"/>
          <w:lang w:eastAsia="es-ES" w:bidi="es-ES"/>
        </w:rPr>
      </w:pPr>
      <w:r w:rsidRPr="00CD08DF">
        <w:rPr>
          <w:rFonts w:ascii="Verdana" w:hAnsi="Verdana" w:cs="Arial"/>
          <w:bCs/>
          <w:sz w:val="20"/>
          <w:szCs w:val="20"/>
          <w:lang w:eastAsia="es-ES" w:bidi="es-ES"/>
        </w:rPr>
        <w:t>¿Simultáneamente a la suscripción del acta inicio? ¿O posterior?”</w:t>
      </w:r>
    </w:p>
    <w:p w14:paraId="5241CB5E" w14:textId="77777777" w:rsidR="00371C3F" w:rsidRPr="00B31C7B" w:rsidRDefault="00371C3F" w:rsidP="00371C3F">
      <w:pPr>
        <w:spacing w:after="0" w:line="276" w:lineRule="auto"/>
        <w:ind w:firstLine="709"/>
        <w:jc w:val="both"/>
        <w:rPr>
          <w:rFonts w:ascii="Verdana" w:hAnsi="Verdana" w:cs="Arial"/>
          <w:bCs/>
          <w:lang w:eastAsia="es-ES" w:bidi="es-ES"/>
        </w:rPr>
      </w:pPr>
    </w:p>
    <w:p w14:paraId="4123B355" w14:textId="7A569597" w:rsidR="00371C3F" w:rsidRPr="00B31C7B" w:rsidRDefault="00371C3F" w:rsidP="00371C3F">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3D7EFB">
        <w:rPr>
          <w:rFonts w:ascii="Verdana" w:eastAsia="Calibri" w:hAnsi="Verdana" w:cs="Times New Roman"/>
          <w:lang w:val="es-ES"/>
        </w:rPr>
        <w:t xml:space="preserve">la Agencia Nacional de Contratación Pública - </w:t>
      </w:r>
      <w:r w:rsidRPr="00B31C7B">
        <w:rPr>
          <w:rFonts w:ascii="Verdana" w:eastAsia="Calibri" w:hAnsi="Verdana" w:cs="Times New Roman"/>
          <w:lang w:val="es-ES"/>
        </w:rPr>
        <w:t xml:space="preserve">Colombia Compra Eficiente como una autoridad para solucionar problemas jurídicos particulares de todos los partícipes del sistema de compra pública. La </w:t>
      </w:r>
      <w:r w:rsidRPr="00B31C7B">
        <w:rPr>
          <w:rFonts w:ascii="Verdana" w:eastAsia="Calibri" w:hAnsi="Verdana" w:cs="Times New Roman"/>
          <w:lang w:val="es-ES"/>
        </w:rPr>
        <w:lastRenderedPageBreak/>
        <w:t>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1A3AA16" w14:textId="77777777" w:rsidR="00371C3F" w:rsidRPr="00B31C7B" w:rsidRDefault="00371C3F" w:rsidP="00371C3F">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el problema jurídico </w:t>
      </w:r>
      <w:r w:rsidRPr="00B31C7B">
        <w:rPr>
          <w:rFonts w:ascii="Verdana" w:eastAsia="Calibri" w:hAnsi="Verdana" w:cs="Times New Roman"/>
          <w:lang w:val="es-ES"/>
        </w:rPr>
        <w:t>de su consulta.</w:t>
      </w:r>
    </w:p>
    <w:p w14:paraId="4EC0B82D" w14:textId="77777777" w:rsidR="00371C3F" w:rsidRPr="00B31C7B" w:rsidRDefault="00371C3F" w:rsidP="0047059D">
      <w:pPr>
        <w:spacing w:after="0" w:line="276" w:lineRule="auto"/>
        <w:rPr>
          <w:rFonts w:ascii="Verdana" w:eastAsia="Calibri" w:hAnsi="Verdana" w:cs="Times New Roman"/>
          <w:lang w:val="es-ES"/>
        </w:rPr>
      </w:pPr>
    </w:p>
    <w:p w14:paraId="52667A4D" w14:textId="77777777" w:rsidR="00371C3F" w:rsidRPr="00B31C7B" w:rsidRDefault="00371C3F" w:rsidP="0047059D">
      <w:pPr>
        <w:numPr>
          <w:ilvl w:val="0"/>
          <w:numId w:val="16"/>
        </w:numPr>
        <w:spacing w:after="0" w:line="276" w:lineRule="auto"/>
        <w:contextualSpacing/>
        <w:rPr>
          <w:rFonts w:ascii="Verdana" w:eastAsia="Calibri" w:hAnsi="Verdana" w:cs="Times New Roman"/>
          <w:b/>
          <w:bCs/>
          <w:lang w:val="es-ES"/>
        </w:rPr>
      </w:pPr>
      <w:r w:rsidRPr="00B31C7B">
        <w:rPr>
          <w:rFonts w:ascii="Verdana" w:eastAsia="Calibri" w:hAnsi="Verdana" w:cs="Times New Roman"/>
          <w:b/>
          <w:bCs/>
          <w:lang w:val="es-ES"/>
        </w:rPr>
        <w:t>Problema planteado:</w:t>
      </w:r>
    </w:p>
    <w:p w14:paraId="406EC1A7" w14:textId="77777777" w:rsidR="00371C3F" w:rsidRPr="00B31C7B" w:rsidRDefault="00371C3F" w:rsidP="0047059D">
      <w:pPr>
        <w:spacing w:after="0" w:line="276" w:lineRule="auto"/>
        <w:rPr>
          <w:rFonts w:ascii="Verdana" w:eastAsia="Calibri" w:hAnsi="Verdana" w:cs="Times New Roman"/>
        </w:rPr>
      </w:pPr>
    </w:p>
    <w:p w14:paraId="1C799DCF" w14:textId="1FB6C281" w:rsidR="00021981" w:rsidRPr="0047059D" w:rsidRDefault="00371C3F" w:rsidP="00021981">
      <w:pPr>
        <w:spacing w:after="0" w:line="276" w:lineRule="auto"/>
        <w:jc w:val="both"/>
        <w:rPr>
          <w:rFonts w:ascii="Verdana" w:eastAsia="Calibri" w:hAnsi="Verdana" w:cs="Times New Roman"/>
        </w:rPr>
      </w:pPr>
      <w:proofErr w:type="gramStart"/>
      <w:r w:rsidRPr="00921FBC">
        <w:rPr>
          <w:rFonts w:ascii="Verdana" w:eastAsia="Calibri" w:hAnsi="Verdana" w:cs="Times New Roman"/>
        </w:rPr>
        <w:t>De acuerdo al</w:t>
      </w:r>
      <w:proofErr w:type="gramEnd"/>
      <w:r w:rsidRPr="00921FBC">
        <w:rPr>
          <w:rFonts w:ascii="Verdana" w:eastAsia="Calibri" w:hAnsi="Verdana" w:cs="Times New Roman"/>
        </w:rPr>
        <w:t xml:space="preserve"> contenido de su solicitud, se presenta el siguiente problema jurídico: </w:t>
      </w:r>
      <w:r w:rsidR="00CD08DF" w:rsidRPr="00CD08DF">
        <w:rPr>
          <w:rFonts w:ascii="Verdana" w:eastAsia="Calibri" w:hAnsi="Verdana" w:cs="Times New Roman"/>
        </w:rPr>
        <w:t>¿En qué momento una entidad estatal puede realizar el desembolso del anticipo pactado en un contrato estatal?</w:t>
      </w:r>
      <w:r w:rsidR="00CD08DF">
        <w:rPr>
          <w:rFonts w:ascii="Verdana" w:eastAsia="Calibri" w:hAnsi="Verdana" w:cs="Times New Roman"/>
        </w:rPr>
        <w:t xml:space="preserve"> </w:t>
      </w:r>
    </w:p>
    <w:p w14:paraId="2C7E36B8" w14:textId="77777777" w:rsidR="00021981" w:rsidRPr="00663985" w:rsidRDefault="00021981" w:rsidP="00091470">
      <w:pPr>
        <w:spacing w:after="0" w:line="276" w:lineRule="auto"/>
        <w:jc w:val="both"/>
        <w:rPr>
          <w:rFonts w:ascii="Verdana" w:eastAsia="Calibri" w:hAnsi="Verdana" w:cs="Times New Roman"/>
          <w:i/>
          <w:iCs/>
        </w:rPr>
      </w:pPr>
    </w:p>
    <w:p w14:paraId="39EAC8C6" w14:textId="77777777" w:rsidR="00371C3F" w:rsidRPr="00B57A1B" w:rsidRDefault="00371C3F" w:rsidP="00663985">
      <w:pPr>
        <w:numPr>
          <w:ilvl w:val="0"/>
          <w:numId w:val="16"/>
        </w:numPr>
        <w:spacing w:after="0" w:line="27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7F2539C1" w14:textId="77777777" w:rsidR="00371C3F" w:rsidRPr="00B57A1B" w:rsidRDefault="00371C3F" w:rsidP="00091470">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71C3F" w:rsidRPr="00B57A1B" w14:paraId="2B355314" w14:textId="77777777" w:rsidTr="007F553A">
        <w:trPr>
          <w:trHeight w:val="345"/>
          <w:jc w:val="center"/>
        </w:trPr>
        <w:tc>
          <w:tcPr>
            <w:tcW w:w="8784" w:type="dxa"/>
            <w:tcBorders>
              <w:bottom w:val="single" w:sz="4" w:space="0" w:color="auto"/>
            </w:tcBorders>
          </w:tcPr>
          <w:p w14:paraId="52259B8C" w14:textId="48152B5D" w:rsidR="00371C3F" w:rsidRDefault="00371C3F" w:rsidP="00663985">
            <w:pPr>
              <w:tabs>
                <w:tab w:val="left" w:pos="709"/>
              </w:tabs>
              <w:snapToGrid w:val="0"/>
              <w:spacing w:after="120" w:line="276" w:lineRule="auto"/>
              <w:jc w:val="both"/>
              <w:rPr>
                <w:rFonts w:ascii="Verdana" w:eastAsia="Calibri" w:hAnsi="Verdana" w:cs="Times New Roman"/>
              </w:rPr>
            </w:pPr>
            <w:r w:rsidRPr="00307CAF">
              <w:rPr>
                <w:rFonts w:ascii="Verdana" w:eastAsia="Calibri" w:hAnsi="Verdana" w:cs="Times New Roman"/>
              </w:rPr>
              <w:t>Como primera medida, la Agencia considera pertinente precisar que, en lo relacionado con la forma de pago pactada en las cláusulas contractuales, las partes, en virtud de lo dispuesto en el artículo 40 de la Ley 80 de 1993 y</w:t>
            </w:r>
            <w:r w:rsidR="00C973D0">
              <w:rPr>
                <w:rFonts w:ascii="Verdana" w:eastAsia="Calibri" w:hAnsi="Verdana" w:cs="Times New Roman"/>
              </w:rPr>
              <w:t>,</w:t>
            </w:r>
            <w:r w:rsidRPr="00307CAF">
              <w:rPr>
                <w:rFonts w:ascii="Verdana" w:eastAsia="Calibri" w:hAnsi="Verdana" w:cs="Times New Roman"/>
              </w:rPr>
              <w:t xml:space="preserve"> en ejercicio del principio de autonomía de la voluntad, se encuentran facultadas para acordar las estipulaciones que estimen necesarias para regular la ejecución del contrato, siempre que tales acuerdos no contravengan el ordenamiento jurídico, el interés público ni los principios que rigen la contratación estatal.</w:t>
            </w:r>
          </w:p>
          <w:p w14:paraId="774C5E59" w14:textId="3E6ECFEE" w:rsidR="00371C3F" w:rsidRDefault="00371C3F" w:rsidP="00663985">
            <w:pPr>
              <w:tabs>
                <w:tab w:val="left" w:pos="709"/>
              </w:tabs>
              <w:snapToGrid w:val="0"/>
              <w:spacing w:after="120" w:line="276" w:lineRule="auto"/>
              <w:ind w:firstLine="709"/>
              <w:jc w:val="both"/>
              <w:rPr>
                <w:rFonts w:ascii="Verdana" w:eastAsia="Calibri" w:hAnsi="Verdana" w:cs="Arial"/>
                <w:lang w:val="es-ES"/>
              </w:rPr>
            </w:pPr>
            <w:r>
              <w:rPr>
                <w:rFonts w:ascii="Verdana" w:eastAsia="Calibri" w:hAnsi="Verdana" w:cs="Times New Roman"/>
              </w:rPr>
              <w:t xml:space="preserve">En cuanto al problema jurídico, objeto de consulta, </w:t>
            </w:r>
            <w:r w:rsidR="00C973D0">
              <w:rPr>
                <w:rFonts w:ascii="Verdana" w:eastAsia="Calibri" w:hAnsi="Verdana" w:cs="Times New Roman"/>
              </w:rPr>
              <w:t>es importante precisa</w:t>
            </w:r>
            <w:r w:rsidR="00B53945">
              <w:rPr>
                <w:rFonts w:ascii="Verdana" w:eastAsia="Calibri" w:hAnsi="Verdana" w:cs="Times New Roman"/>
              </w:rPr>
              <w:t>rse que</w:t>
            </w:r>
            <w:r w:rsidR="00D250F2">
              <w:rPr>
                <w:rFonts w:ascii="Verdana" w:eastAsia="Calibri" w:hAnsi="Verdana" w:cs="Times New Roman"/>
              </w:rPr>
              <w:t xml:space="preserve">, </w:t>
            </w:r>
            <w:r w:rsidR="00D250F2">
              <w:rPr>
                <w:rFonts w:ascii="Verdana" w:eastAsia="Calibri" w:hAnsi="Verdana" w:cs="Arial"/>
                <w:lang w:val="es-ES"/>
              </w:rPr>
              <w:t>e</w:t>
            </w:r>
            <w:r w:rsidRPr="00E9090B">
              <w:rPr>
                <w:rFonts w:ascii="Verdana" w:eastAsia="Calibri" w:hAnsi="Verdana" w:cs="Arial"/>
                <w:lang w:val="es-ES"/>
              </w:rPr>
              <w:t>l pago anticipado es un pago efectivo del precio que se efectúa y se causa en forma anticipada. Por tanto, los recursos se integran al patrimonio del contratista desde su desembolso</w:t>
            </w:r>
            <w:r>
              <w:rPr>
                <w:rFonts w:ascii="Verdana" w:eastAsia="Calibri" w:hAnsi="Verdana" w:cs="Arial"/>
                <w:lang w:val="es-ES"/>
              </w:rPr>
              <w:t>.</w:t>
            </w:r>
            <w:r w:rsidR="00D250F2">
              <w:rPr>
                <w:rFonts w:ascii="Verdana" w:eastAsia="Calibri" w:hAnsi="Verdana" w:cs="Arial"/>
                <w:lang w:val="es-ES"/>
              </w:rPr>
              <w:t xml:space="preserve"> </w:t>
            </w:r>
            <w:r w:rsidRPr="00E9090B">
              <w:rPr>
                <w:rFonts w:ascii="Verdana" w:eastAsia="Calibri" w:hAnsi="Verdana" w:cs="Arial"/>
                <w:lang w:val="es-ES"/>
              </w:rPr>
              <w:t xml:space="preserve">El anticipo es un adelanto o avance del precio del contrato destinado a apalancar el cumplimiento de su objeto, de modo que los recursos entregados por dicho concepto solo se </w:t>
            </w:r>
            <w:r w:rsidRPr="00E9090B">
              <w:rPr>
                <w:rFonts w:ascii="Verdana" w:eastAsia="Calibri" w:hAnsi="Verdana" w:cs="Arial"/>
                <w:lang w:val="es-ES"/>
              </w:rPr>
              <w:lastRenderedPageBreak/>
              <w:t>integran al patrimonio del contratista en la medida que se cause su amortización, mediante la ejecución de actividades programadas del contrato</w:t>
            </w:r>
            <w:r>
              <w:rPr>
                <w:rFonts w:ascii="Verdana" w:eastAsia="Calibri" w:hAnsi="Verdana" w:cs="Arial"/>
                <w:lang w:val="es-ES"/>
              </w:rPr>
              <w:t xml:space="preserve">. </w:t>
            </w:r>
          </w:p>
          <w:p w14:paraId="47CC71D2" w14:textId="6A87F04C" w:rsidR="00371C3F" w:rsidRDefault="00371C3F" w:rsidP="00134596">
            <w:pPr>
              <w:tabs>
                <w:tab w:val="left" w:pos="709"/>
              </w:tabs>
              <w:snapToGrid w:val="0"/>
              <w:spacing w:after="120" w:line="276" w:lineRule="auto"/>
              <w:ind w:firstLine="709"/>
              <w:jc w:val="both"/>
              <w:rPr>
                <w:rFonts w:ascii="Verdana" w:eastAsia="Calibri" w:hAnsi="Verdana" w:cs="Arial"/>
              </w:rPr>
            </w:pPr>
            <w:r w:rsidRPr="00783BAC">
              <w:rPr>
                <w:rFonts w:ascii="Verdana" w:eastAsia="Calibri" w:hAnsi="Verdana" w:cs="Arial"/>
                <w:lang w:val="es-ES"/>
              </w:rPr>
              <w:t xml:space="preserve">De las dos definiciones precedentes, esta </w:t>
            </w:r>
            <w:r w:rsidR="001E77D6">
              <w:rPr>
                <w:rFonts w:ascii="Verdana" w:eastAsia="Calibri" w:hAnsi="Verdana" w:cs="Arial"/>
                <w:lang w:val="es-ES"/>
              </w:rPr>
              <w:t>A</w:t>
            </w:r>
            <w:r w:rsidRPr="00783BAC">
              <w:rPr>
                <w:rFonts w:ascii="Verdana" w:eastAsia="Calibri" w:hAnsi="Verdana" w:cs="Arial"/>
                <w:lang w:val="es-ES"/>
              </w:rPr>
              <w:t xml:space="preserve">gencia </w:t>
            </w:r>
            <w:r w:rsidR="001E77D6">
              <w:rPr>
                <w:rFonts w:ascii="Verdana" w:eastAsia="Calibri" w:hAnsi="Verdana" w:cs="Arial"/>
                <w:lang w:val="es-ES"/>
              </w:rPr>
              <w:t xml:space="preserve">debe </w:t>
            </w:r>
            <w:r w:rsidRPr="00783BAC">
              <w:rPr>
                <w:rFonts w:ascii="Verdana" w:eastAsia="Calibri" w:hAnsi="Verdana" w:cs="Arial"/>
                <w:lang w:val="es-ES"/>
              </w:rPr>
              <w:t xml:space="preserve">recalcar que una de las principales diferencias entre ellas, es que en </w:t>
            </w:r>
            <w:r w:rsidR="00175C11">
              <w:rPr>
                <w:rFonts w:ascii="Verdana" w:eastAsia="Calibri" w:hAnsi="Verdana" w:cs="Arial"/>
                <w:lang w:val="es-ES"/>
              </w:rPr>
              <w:t>mientras el pago anticipado</w:t>
            </w:r>
            <w:r w:rsidRPr="00783BAC">
              <w:rPr>
                <w:rFonts w:ascii="Verdana" w:eastAsia="Calibri" w:hAnsi="Verdana" w:cs="Arial"/>
                <w:lang w:val="es-ES"/>
              </w:rPr>
              <w:t xml:space="preserve"> entra al patrimonio del contratista como retribución del servicio prestado en la ejecución del contrato, </w:t>
            </w:r>
            <w:r w:rsidR="007D40E3">
              <w:rPr>
                <w:rFonts w:ascii="Verdana" w:eastAsia="Calibri" w:hAnsi="Verdana" w:cs="Arial"/>
                <w:lang w:val="es-ES"/>
              </w:rPr>
              <w:t>e</w:t>
            </w:r>
            <w:r w:rsidR="00254418">
              <w:rPr>
                <w:rFonts w:ascii="Verdana" w:eastAsia="Calibri" w:hAnsi="Verdana" w:cs="Arial"/>
                <w:lang w:val="es-ES"/>
              </w:rPr>
              <w:t>l</w:t>
            </w:r>
            <w:r w:rsidR="00134596">
              <w:rPr>
                <w:rFonts w:ascii="Verdana" w:eastAsia="Calibri" w:hAnsi="Verdana" w:cs="Arial"/>
                <w:lang w:val="es-ES"/>
              </w:rPr>
              <w:t xml:space="preserve"> anticipo </w:t>
            </w:r>
            <w:r w:rsidRPr="00783BAC">
              <w:rPr>
                <w:rFonts w:ascii="Verdana" w:eastAsia="Calibri" w:hAnsi="Verdana" w:cs="Arial"/>
                <w:lang w:val="es-ES"/>
              </w:rPr>
              <w:t xml:space="preserve">se utiliza como un adelanto en aras de apalancar al contratista para la correcta ejecución del contrato, el cual es amortizado por parte de la entidad en aras de retribución y/o recuperación de lo pagado. </w:t>
            </w:r>
            <w:r w:rsidRPr="00783BAC">
              <w:rPr>
                <w:rFonts w:ascii="Verdana" w:eastAsia="Calibri" w:hAnsi="Verdana" w:cs="Arial"/>
              </w:rPr>
              <w:t>En conclusión, es fundamental diferenciar las figuras del anticipo y el pago anticipado, dado que su naturaleza jurídica y efectos son distintos en el marco de la contratación estatal, tema que será abor</w:t>
            </w:r>
            <w:r>
              <w:rPr>
                <w:rFonts w:ascii="Verdana" w:eastAsia="Calibri" w:hAnsi="Verdana" w:cs="Arial"/>
              </w:rPr>
              <w:t>d</w:t>
            </w:r>
            <w:r w:rsidRPr="00783BAC">
              <w:rPr>
                <w:rFonts w:ascii="Verdana" w:eastAsia="Calibri" w:hAnsi="Verdana" w:cs="Arial"/>
              </w:rPr>
              <w:t>ado en la parte considerativa del presente concepto.</w:t>
            </w:r>
          </w:p>
          <w:p w14:paraId="1B69A296" w14:textId="6BF868C5" w:rsidR="00120E5C" w:rsidRDefault="00120E5C" w:rsidP="00CF507C">
            <w:pPr>
              <w:tabs>
                <w:tab w:val="left" w:pos="709"/>
              </w:tabs>
              <w:snapToGrid w:val="0"/>
              <w:spacing w:after="120" w:line="276" w:lineRule="auto"/>
              <w:ind w:firstLine="709"/>
              <w:jc w:val="both"/>
              <w:rPr>
                <w:rFonts w:ascii="Verdana" w:eastAsia="Calibri" w:hAnsi="Verdana" w:cs="Arial"/>
              </w:rPr>
            </w:pPr>
            <w:r>
              <w:rPr>
                <w:rFonts w:ascii="Verdana" w:eastAsia="Calibri" w:hAnsi="Verdana" w:cs="Arial"/>
              </w:rPr>
              <w:t xml:space="preserve">Conforme a lo anterior, si en un contrato </w:t>
            </w:r>
            <w:r w:rsidRPr="00663985">
              <w:rPr>
                <w:rFonts w:ascii="Verdana" w:eastAsia="Calibri" w:hAnsi="Verdana" w:cs="Arial"/>
              </w:rPr>
              <w:t>no se pactó un anticipo</w:t>
            </w:r>
            <w:r w:rsidRPr="00120E5C">
              <w:rPr>
                <w:rFonts w:ascii="Verdana" w:eastAsia="Calibri" w:hAnsi="Verdana" w:cs="Arial"/>
              </w:rPr>
              <w:t xml:space="preserve">, sino un </w:t>
            </w:r>
            <w:r w:rsidRPr="00663985">
              <w:rPr>
                <w:rFonts w:ascii="Verdana" w:eastAsia="Calibri" w:hAnsi="Verdana" w:cs="Arial"/>
              </w:rPr>
              <w:t>pago anticipado</w:t>
            </w:r>
            <w:r w:rsidRPr="00120E5C">
              <w:rPr>
                <w:rFonts w:ascii="Verdana" w:eastAsia="Calibri" w:hAnsi="Verdana" w:cs="Arial"/>
              </w:rPr>
              <w:t xml:space="preserve">, el contratista </w:t>
            </w:r>
            <w:r w:rsidRPr="00663985">
              <w:rPr>
                <w:rFonts w:ascii="Verdana" w:eastAsia="Calibri" w:hAnsi="Verdana" w:cs="Arial"/>
              </w:rPr>
              <w:t xml:space="preserve">no está habilitado para solicitar la amortización </w:t>
            </w:r>
            <w:proofErr w:type="gramStart"/>
            <w:r w:rsidRPr="00663985">
              <w:rPr>
                <w:rFonts w:ascii="Verdana" w:eastAsia="Calibri" w:hAnsi="Verdana" w:cs="Arial"/>
              </w:rPr>
              <w:t>del mismo</w:t>
            </w:r>
            <w:proofErr w:type="gramEnd"/>
            <w:r w:rsidRPr="00120E5C">
              <w:rPr>
                <w:rFonts w:ascii="Verdana" w:eastAsia="Calibri" w:hAnsi="Verdana" w:cs="Arial"/>
              </w:rPr>
              <w:t xml:space="preserve"> dentro de las actas parciales. Pretender amortizarlo implicaría desconocer la naturaleza jurídica del pago anticipado y modificar, de facto, la forma de pago pactada contractualmente.</w:t>
            </w:r>
            <w:r w:rsidR="00CF507C">
              <w:rPr>
                <w:rFonts w:ascii="Verdana" w:eastAsia="Calibri" w:hAnsi="Verdana" w:cs="Arial"/>
              </w:rPr>
              <w:t xml:space="preserve"> </w:t>
            </w:r>
            <w:r w:rsidRPr="00120E5C">
              <w:rPr>
                <w:rFonts w:ascii="Verdana" w:eastAsia="Calibri" w:hAnsi="Verdana" w:cs="Arial"/>
              </w:rPr>
              <w:t xml:space="preserve">En consecuencia, tratándose de un </w:t>
            </w:r>
            <w:r w:rsidRPr="00663985">
              <w:rPr>
                <w:rFonts w:ascii="Verdana" w:eastAsia="Calibri" w:hAnsi="Verdana" w:cs="Arial"/>
              </w:rPr>
              <w:t xml:space="preserve">pago anticipado del </w:t>
            </w:r>
            <w:r w:rsidR="00CF507C">
              <w:rPr>
                <w:rFonts w:ascii="Verdana" w:eastAsia="Calibri" w:hAnsi="Verdana" w:cs="Arial"/>
              </w:rPr>
              <w:t>cincuenta por ciento (</w:t>
            </w:r>
            <w:r w:rsidRPr="00663985">
              <w:rPr>
                <w:rFonts w:ascii="Verdana" w:eastAsia="Calibri" w:hAnsi="Verdana" w:cs="Arial"/>
              </w:rPr>
              <w:t>50%</w:t>
            </w:r>
            <w:r w:rsidR="00CF507C">
              <w:rPr>
                <w:rFonts w:ascii="Verdana" w:eastAsia="Calibri" w:hAnsi="Verdana" w:cs="Arial"/>
              </w:rPr>
              <w:t>)</w:t>
            </w:r>
            <w:r w:rsidRPr="00CF507C">
              <w:rPr>
                <w:rFonts w:ascii="Verdana" w:eastAsia="Calibri" w:hAnsi="Verdana" w:cs="Arial"/>
              </w:rPr>
              <w:t>,</w:t>
            </w:r>
            <w:r w:rsidRPr="00120E5C">
              <w:rPr>
                <w:rFonts w:ascii="Verdana" w:eastAsia="Calibri" w:hAnsi="Verdana" w:cs="Arial"/>
              </w:rPr>
              <w:t xml:space="preserve"> la entidad únicamente está facultada para reconocer nuevos pagos cuando</w:t>
            </w:r>
            <w:r w:rsidR="00CF507C">
              <w:rPr>
                <w:rFonts w:ascii="Verdana" w:eastAsia="Calibri" w:hAnsi="Verdana" w:cs="Arial"/>
              </w:rPr>
              <w:t xml:space="preserve"> e</w:t>
            </w:r>
            <w:r w:rsidRPr="00120E5C">
              <w:rPr>
                <w:rFonts w:ascii="Verdana" w:eastAsia="Calibri" w:hAnsi="Verdana" w:cs="Arial"/>
              </w:rPr>
              <w:t xml:space="preserve">l avance ejecutado </w:t>
            </w:r>
            <w:r w:rsidRPr="00663985">
              <w:rPr>
                <w:rFonts w:ascii="Verdana" w:eastAsia="Calibri" w:hAnsi="Verdana" w:cs="Arial"/>
              </w:rPr>
              <w:t>supere el valor ya pagado</w:t>
            </w:r>
            <w:r w:rsidRPr="00120E5C">
              <w:rPr>
                <w:rFonts w:ascii="Verdana" w:eastAsia="Calibri" w:hAnsi="Verdana" w:cs="Arial"/>
              </w:rPr>
              <w:t xml:space="preserve">, es decir, cuando la ejecución represente más del </w:t>
            </w:r>
            <w:r w:rsidR="00CF507C">
              <w:rPr>
                <w:rFonts w:ascii="Verdana" w:eastAsia="Calibri" w:hAnsi="Verdana" w:cs="Arial"/>
              </w:rPr>
              <w:t>cincuenta por ciento (</w:t>
            </w:r>
            <w:r w:rsidRPr="00120E5C">
              <w:rPr>
                <w:rFonts w:ascii="Verdana" w:eastAsia="Calibri" w:hAnsi="Verdana" w:cs="Arial"/>
              </w:rPr>
              <w:t>50%</w:t>
            </w:r>
            <w:r w:rsidR="00CF507C">
              <w:rPr>
                <w:rFonts w:ascii="Verdana" w:eastAsia="Calibri" w:hAnsi="Verdana" w:cs="Arial"/>
              </w:rPr>
              <w:t>)</w:t>
            </w:r>
            <w:r w:rsidRPr="00120E5C">
              <w:rPr>
                <w:rFonts w:ascii="Verdana" w:eastAsia="Calibri" w:hAnsi="Verdana" w:cs="Arial"/>
              </w:rPr>
              <w:t xml:space="preserve"> del contrato</w:t>
            </w:r>
            <w:r w:rsidR="00CF507C">
              <w:rPr>
                <w:rFonts w:ascii="Verdana" w:eastAsia="Calibri" w:hAnsi="Verdana" w:cs="Arial"/>
              </w:rPr>
              <w:t>.</w:t>
            </w:r>
          </w:p>
          <w:p w14:paraId="093757F0" w14:textId="0321BCBF" w:rsidR="00371C3F" w:rsidRPr="00204A1B" w:rsidRDefault="00134596" w:rsidP="00663985">
            <w:pPr>
              <w:tabs>
                <w:tab w:val="left" w:pos="709"/>
              </w:tabs>
              <w:snapToGrid w:val="0"/>
              <w:spacing w:after="120" w:line="276" w:lineRule="auto"/>
              <w:ind w:firstLine="709"/>
              <w:jc w:val="both"/>
              <w:rPr>
                <w:rFonts w:ascii="Verdana" w:hAnsi="Verdana" w:cs="Arial"/>
                <w:lang w:val="es-ES" w:eastAsia="es-ES"/>
              </w:rPr>
            </w:pPr>
            <w:r>
              <w:rPr>
                <w:rFonts w:ascii="Verdana" w:eastAsia="Calibri" w:hAnsi="Verdana" w:cs="Arial"/>
                <w:lang w:val="es-ES"/>
              </w:rPr>
              <w:t>Conforme a lo anterior,</w:t>
            </w:r>
            <w:r w:rsidR="00371C3F" w:rsidRPr="00783BAC">
              <w:rPr>
                <w:rFonts w:ascii="Verdana" w:eastAsia="Calibri" w:hAnsi="Verdana" w:cs="Arial"/>
                <w:lang w:val="es-ES"/>
              </w:rPr>
              <w:t xml:space="preserve">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37C0E548" w14:textId="77777777" w:rsidR="00371C3F" w:rsidRPr="00B57A1B" w:rsidRDefault="00371C3F" w:rsidP="00371C3F">
      <w:pPr>
        <w:spacing w:after="0" w:line="276" w:lineRule="auto"/>
        <w:jc w:val="both"/>
        <w:rPr>
          <w:rFonts w:ascii="Verdana" w:eastAsia="Calibri" w:hAnsi="Verdana" w:cs="Arial"/>
          <w:bCs/>
          <w:color w:val="000000" w:themeColor="text1"/>
        </w:rPr>
      </w:pPr>
    </w:p>
    <w:p w14:paraId="7E28CBC7" w14:textId="77777777" w:rsidR="00371C3F" w:rsidRPr="00B57A1B" w:rsidRDefault="00371C3F" w:rsidP="00371C3F">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7E1E7C36" w14:textId="77777777" w:rsidR="00371C3F" w:rsidRPr="00B57A1B" w:rsidRDefault="00371C3F" w:rsidP="00371C3F">
      <w:pPr>
        <w:spacing w:after="0" w:line="256" w:lineRule="auto"/>
        <w:rPr>
          <w:rFonts w:ascii="Verdana" w:eastAsia="Calibri" w:hAnsi="Verdana" w:cs="Times New Roman"/>
          <w:b/>
          <w:bCs/>
          <w:lang w:val="es-ES"/>
        </w:rPr>
      </w:pPr>
    </w:p>
    <w:p w14:paraId="72902B9C" w14:textId="77777777" w:rsidR="00371C3F" w:rsidRPr="00E9090B" w:rsidRDefault="00371C3F" w:rsidP="00371C3F">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FE5F397" w14:textId="77777777" w:rsidR="00371C3F" w:rsidRPr="00E9090B" w:rsidRDefault="00371C3F" w:rsidP="00371C3F">
      <w:pPr>
        <w:spacing w:after="0" w:line="276" w:lineRule="auto"/>
        <w:jc w:val="both"/>
        <w:rPr>
          <w:rFonts w:ascii="Verdana" w:hAnsi="Verdana" w:cs="Arial"/>
          <w:bCs/>
          <w:lang w:val="es-ES" w:eastAsia="es-ES" w:bidi="es-ES"/>
        </w:rPr>
      </w:pPr>
    </w:p>
    <w:p w14:paraId="53BE9B55" w14:textId="095399D1" w:rsidR="00371C3F" w:rsidRPr="00E9090B" w:rsidRDefault="00371C3F" w:rsidP="00371C3F">
      <w:pPr>
        <w:snapToGrid w:val="0"/>
        <w:spacing w:after="120" w:line="276" w:lineRule="auto"/>
        <w:jc w:val="both"/>
        <w:rPr>
          <w:rFonts w:ascii="Verdana" w:eastAsia="Calibri" w:hAnsi="Verdana" w:cs="Arial"/>
          <w:lang w:val="es-ES"/>
        </w:rPr>
      </w:pPr>
      <w:r w:rsidRPr="00E9090B">
        <w:rPr>
          <w:rFonts w:ascii="Verdana" w:eastAsia="Calibri" w:hAnsi="Verdana" w:cs="Arial"/>
          <w:lang w:val="es-ES"/>
        </w:rPr>
        <w:lastRenderedPageBreak/>
        <w:t xml:space="preserve">Conforme las disposiciones que regulan el régimen de contratación pública, las entidades estatales están facultadas para pactar el pago anticipado o la entrega de anticipos como mecanismos de financiación para la adecuada ejecución de los contratos estatales. En efecto, el parágrafo del artículo 40 de la Ley 80 de 1993, establece que: “En los contratos que celebren las entidades estatales se podrá pactar el pago anticipado y la entrega de anticipos, pero su monto no podrá exceder del cincuenta por ciento (50%) del valor del respectivo contrato”. La citada disposición, además de contener la facultad expresa mencionada, establece un límite a su ejercicio, pues el pago anticipado o la entrega del anticipo no podrá superar el cincuenta por ciento (50%) del valor o precio del negocio jurídico celebrado por la entidad estatal. </w:t>
      </w:r>
    </w:p>
    <w:p w14:paraId="5259DD8D" w14:textId="77777777" w:rsidR="00371C3F" w:rsidRPr="00E9090B" w:rsidRDefault="00371C3F" w:rsidP="00371C3F">
      <w:pPr>
        <w:spacing w:before="120" w:after="120" w:line="276" w:lineRule="auto"/>
        <w:ind w:firstLine="709"/>
        <w:jc w:val="both"/>
        <w:rPr>
          <w:rFonts w:ascii="Verdana" w:eastAsia="Calibri" w:hAnsi="Verdana" w:cs="Arial"/>
          <w:sz w:val="21"/>
          <w:szCs w:val="21"/>
          <w:lang w:val="es-ES"/>
        </w:rPr>
      </w:pPr>
      <w:r w:rsidRPr="00E9090B">
        <w:rPr>
          <w:rFonts w:ascii="Verdana" w:eastAsia="Calibri" w:hAnsi="Verdana" w:cs="Arial"/>
          <w:lang w:val="es-ES"/>
        </w:rPr>
        <w:t>Un aspecto que se destaca de dicha disposición consiste en que no restringe el tipo de contratos estatales en los cuales es aplicable esa facultad, es decir, por ejemplo, no limita la posibilidad de pactar anticipo o pago anticipado en contratos de tracto sucesivo o en contratos de ejecución instantánea, o dependiendo de la tipología contractual o la modalidad de selección del contratista. Ahora bien, para distinguir o diferenciar el pago anticipado y anticipo, se acude a lo expresado en la Subsección C de la Sección Tercera del Consejo de Estado, que expresó:</w:t>
      </w:r>
    </w:p>
    <w:p w14:paraId="5C95439C" w14:textId="77777777" w:rsidR="00371C3F" w:rsidRPr="00E9090B" w:rsidRDefault="00371C3F" w:rsidP="00371C3F">
      <w:pPr>
        <w:spacing w:after="0" w:line="240" w:lineRule="auto"/>
        <w:ind w:firstLine="709"/>
        <w:jc w:val="both"/>
        <w:rPr>
          <w:rFonts w:ascii="Arial" w:eastAsia="Calibri" w:hAnsi="Arial" w:cs="Arial"/>
          <w:lang w:val="es-ES"/>
        </w:rPr>
      </w:pPr>
    </w:p>
    <w:p w14:paraId="654FAC42" w14:textId="77777777" w:rsidR="00371C3F" w:rsidRPr="00EB6668" w:rsidRDefault="00371C3F" w:rsidP="00371C3F">
      <w:pPr>
        <w:spacing w:after="0" w:line="240" w:lineRule="auto"/>
        <w:ind w:left="709" w:right="709"/>
        <w:jc w:val="both"/>
        <w:rPr>
          <w:rFonts w:ascii="Verdana" w:eastAsia="Calibri" w:hAnsi="Verdana" w:cs="Arial"/>
          <w:sz w:val="20"/>
          <w:szCs w:val="20"/>
          <w:lang w:val="es-ES"/>
        </w:rPr>
      </w:pPr>
      <w:r w:rsidRPr="00EB6668">
        <w:rPr>
          <w:rFonts w:ascii="Verdana" w:eastAsia="Calibri" w:hAnsi="Verdana" w:cs="Arial"/>
          <w:sz w:val="20"/>
          <w:szCs w:val="20"/>
          <w:lang w:val="es-ES"/>
        </w:rPr>
        <w:t>“En este punto, vuelve a ser útil la distinción que esta Corporación ha desarrollado en torno a los conceptos de “anticipo” y “pago anticipado”, donde el principal criterio de diferenciación es la titularidad de esas sumas de dinero en términos patrimoniales, es decir, mientras el anticipo le pertenece a la administración, ello es, son dineros públicos; el pago anticipado representa el cumplimiento de la obligación de pago del precio del contrato por parte de la administración, o sea, son dineros de propiedad del contratista”</w:t>
      </w:r>
      <w:r w:rsidRPr="00EB6668">
        <w:rPr>
          <w:rFonts w:ascii="Verdana" w:eastAsia="Calibri" w:hAnsi="Verdana" w:cs="Arial"/>
          <w:sz w:val="20"/>
          <w:szCs w:val="20"/>
          <w:vertAlign w:val="superscript"/>
          <w:lang w:val="es-ES"/>
        </w:rPr>
        <w:footnoteReference w:id="1"/>
      </w:r>
      <w:r w:rsidRPr="00EB6668">
        <w:rPr>
          <w:rFonts w:ascii="Verdana" w:eastAsia="Calibri" w:hAnsi="Verdana" w:cs="Arial"/>
          <w:sz w:val="20"/>
          <w:szCs w:val="20"/>
          <w:lang w:val="es-ES"/>
        </w:rPr>
        <w:t>.</w:t>
      </w:r>
    </w:p>
    <w:p w14:paraId="3C905218" w14:textId="77777777" w:rsidR="00371C3F" w:rsidRPr="00E9090B" w:rsidRDefault="00371C3F" w:rsidP="00371C3F">
      <w:pPr>
        <w:spacing w:after="0" w:line="276" w:lineRule="auto"/>
        <w:ind w:firstLine="709"/>
        <w:jc w:val="both"/>
        <w:rPr>
          <w:rFonts w:ascii="Arial" w:eastAsia="Calibri" w:hAnsi="Arial" w:cs="Arial"/>
          <w:lang w:val="es-ES"/>
        </w:rPr>
      </w:pPr>
    </w:p>
    <w:p w14:paraId="07AA2EB3"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eastAsia="Calibri" w:hAnsi="Verdana" w:cs="Arial"/>
          <w:lang w:val="es-ES"/>
        </w:rPr>
        <w:tab/>
        <w:t xml:space="preserve">Teniendo en cuenta el alcance de los conceptos de pago anticipado y el anticipo, los mismos pueden ser definidos así: i) El pago anticipado es un pago efectivo del precio que se efectúa y se causa en forma anticipada. Por tanto, los recursos se integran al patrimonio del contratista desde su desembolso. </w:t>
      </w:r>
      <w:proofErr w:type="spellStart"/>
      <w:r w:rsidRPr="00E9090B">
        <w:rPr>
          <w:rFonts w:ascii="Verdana" w:eastAsia="Calibri" w:hAnsi="Verdana" w:cs="Arial"/>
          <w:lang w:val="es-ES"/>
        </w:rPr>
        <w:t>ii</w:t>
      </w:r>
      <w:proofErr w:type="spellEnd"/>
      <w:r w:rsidRPr="00E9090B">
        <w:rPr>
          <w:rFonts w:ascii="Verdana" w:eastAsia="Calibri" w:hAnsi="Verdana" w:cs="Arial"/>
          <w:lang w:val="es-ES"/>
        </w:rPr>
        <w:t xml:space="preserve">) El anticipo es un adelanto o avance del precio del contrato destinado a apalancar el cumplimiento de su objeto, de modo que los recursos entregados por dicho </w:t>
      </w:r>
      <w:r w:rsidRPr="00E9090B">
        <w:rPr>
          <w:rFonts w:ascii="Verdana" w:eastAsia="Calibri" w:hAnsi="Verdana" w:cs="Arial"/>
          <w:lang w:val="es-ES"/>
        </w:rPr>
        <w:lastRenderedPageBreak/>
        <w:t>concepto solo se integran al patrimonio del contratista en la medida que se cause su amortización, mediante la ejecución de actividades programadas del contrato.</w:t>
      </w:r>
      <w:r w:rsidRPr="00E9090B">
        <w:rPr>
          <w:rFonts w:ascii="Verdana" w:hAnsi="Verdana" w:cs="Arial"/>
          <w:lang w:bidi="es-ES"/>
        </w:rPr>
        <w:t xml:space="preserve"> Al respecto, frente a estas dos instituciones expresa, la Sección Cuarta de Consejo de Estado, citando a la Sección Tercera: “El anticipo es el primer pago de los contratos de ejecución sucesiva que habrá de destinarse al cubrimiento de los costos iniciales, mientras que el pago anticipado corresponde a la retribución parcial que el contratista recibe en los contratos de ejecución sucesiva”</w:t>
      </w:r>
      <w:r w:rsidRPr="00E9090B">
        <w:rPr>
          <w:rFonts w:ascii="Verdana" w:hAnsi="Verdana" w:cs="Arial"/>
          <w:vertAlign w:val="superscript"/>
          <w:lang w:bidi="es-ES"/>
        </w:rPr>
        <w:footnoteReference w:id="2"/>
      </w:r>
      <w:r w:rsidRPr="00E9090B">
        <w:rPr>
          <w:rFonts w:ascii="Verdana" w:hAnsi="Verdana" w:cs="Arial"/>
          <w:lang w:bidi="es-ES"/>
        </w:rPr>
        <w:t>.</w:t>
      </w:r>
    </w:p>
    <w:p w14:paraId="26CE438C" w14:textId="77777777" w:rsidR="00371C3F" w:rsidRPr="00E9090B" w:rsidRDefault="00371C3F" w:rsidP="00371C3F">
      <w:pPr>
        <w:spacing w:after="0" w:line="276" w:lineRule="auto"/>
        <w:ind w:firstLine="709"/>
        <w:jc w:val="both"/>
        <w:rPr>
          <w:rFonts w:ascii="Verdana" w:hAnsi="Verdana" w:cs="Arial"/>
        </w:rPr>
      </w:pPr>
      <w:r w:rsidRPr="00E9090B">
        <w:rPr>
          <w:rFonts w:ascii="Verdana" w:hAnsi="Verdana" w:cs="Arial"/>
          <w:lang w:eastAsia="en-GB"/>
        </w:rPr>
        <w:t>Para entender un poco más sobre sus diferencias, se precisa que la institución jurídica del anticipo está prevista en dos (2) preceptos normativos: el</w:t>
      </w:r>
      <w:r w:rsidRPr="00E9090B">
        <w:rPr>
          <w:rFonts w:ascii="Verdana" w:hAnsi="Verdana" w:cs="Arial"/>
        </w:rPr>
        <w:t xml:space="preserve"> inciso primero del parágrafo del artículo 40 de la Ley 80 de 1993 que establece un límite cuantitativo y en el artículo 91 de la Ley 1474 de 2011. Este último artículo consagra una regla especial para el manejo del anticipo. Según esta disposición, cuando se pacte en contratos de obra, concesión o salud, que no sean de menor o mínima cuantía, o en todos aquellos que se realicen por licitación pública, el contratista tiene la obligación de constituir una fiducia o un patrimonio autónomo irrevocable. Lo anterior, para el manejo de los recursos desembolsados bajo el mencionado concepto, con el fin de garantizar que se destinen exclusivamente a la ejecución del contrato.</w:t>
      </w:r>
      <w:r w:rsidRPr="00E9090B">
        <w:rPr>
          <w:rFonts w:ascii="Verdana" w:hAnsi="Verdana"/>
        </w:rPr>
        <w:t xml:space="preserve"> </w:t>
      </w:r>
      <w:r w:rsidRPr="00E9090B">
        <w:rPr>
          <w:rFonts w:ascii="Verdana" w:hAnsi="Verdana" w:cs="Arial"/>
        </w:rPr>
        <w:t>Aunque las normas citadas no definen el anticipo, el Consejo de Estado ha precisado su naturaleza jurídica fijando parámetros para su aplicación</w:t>
      </w:r>
      <w:r w:rsidRPr="00E9090B">
        <w:rPr>
          <w:vertAlign w:val="superscript"/>
        </w:rPr>
        <w:footnoteReference w:id="3"/>
      </w:r>
      <w:r w:rsidRPr="00E9090B">
        <w:rPr>
          <w:rFonts w:ascii="Verdana" w:hAnsi="Verdana" w:cs="Arial"/>
        </w:rPr>
        <w:t>. En uno de sus pronunciamientos, el Consejo de Estado se refirió al anticipo como:</w:t>
      </w:r>
    </w:p>
    <w:p w14:paraId="52022661" w14:textId="77777777" w:rsidR="00371C3F" w:rsidRPr="00E9090B" w:rsidRDefault="00371C3F" w:rsidP="00371C3F">
      <w:pPr>
        <w:spacing w:after="0" w:line="276" w:lineRule="auto"/>
        <w:jc w:val="both"/>
        <w:rPr>
          <w:rFonts w:ascii="Verdana" w:hAnsi="Verdana" w:cs="Arial"/>
        </w:rPr>
      </w:pPr>
    </w:p>
    <w:p w14:paraId="37872CE2" w14:textId="77777777" w:rsidR="00371C3F" w:rsidRPr="00EB6668" w:rsidRDefault="00371C3F" w:rsidP="00371C3F">
      <w:pPr>
        <w:spacing w:after="0" w:line="240" w:lineRule="auto"/>
        <w:ind w:left="709" w:right="709"/>
        <w:jc w:val="both"/>
        <w:rPr>
          <w:rFonts w:ascii="Verdana" w:hAnsi="Verdana" w:cs="Arial"/>
          <w:sz w:val="20"/>
          <w:szCs w:val="20"/>
        </w:rPr>
      </w:pPr>
      <w:r w:rsidRPr="00EB6668">
        <w:rPr>
          <w:rFonts w:ascii="Verdana" w:hAnsi="Verdana" w:cs="Arial"/>
          <w:sz w:val="20"/>
          <w:szCs w:val="20"/>
        </w:rPr>
        <w:t xml:space="preserve">“[…] un recurso o suma correspondiente a un porcentaje del valor total del contrato, pactado como contraprestación, que la entidad pública le entrega al contratista para que sea invertida específicamente en la ejecución del contrato y sea manejada generalmente en cuenta separada, con imposición de obligaciones relacionadas con legalización y amortización de la inversión, de suerte que el monto entregado como </w:t>
      </w:r>
      <w:r w:rsidRPr="00EB6668">
        <w:rPr>
          <w:rFonts w:ascii="Verdana" w:hAnsi="Verdana" w:cs="Arial"/>
          <w:sz w:val="20"/>
          <w:szCs w:val="20"/>
        </w:rPr>
        <w:lastRenderedPageBreak/>
        <w:t>anticipo no ingresa al patrimonio del contratista sino cuando ha sido debidamente amortizado”</w:t>
      </w:r>
      <w:r w:rsidRPr="00EB6668">
        <w:rPr>
          <w:sz w:val="20"/>
          <w:szCs w:val="20"/>
          <w:vertAlign w:val="superscript"/>
        </w:rPr>
        <w:footnoteReference w:id="4"/>
      </w:r>
      <w:r w:rsidRPr="00EB6668">
        <w:rPr>
          <w:rFonts w:ascii="Verdana" w:hAnsi="Verdana" w:cs="Arial"/>
          <w:sz w:val="20"/>
          <w:szCs w:val="20"/>
        </w:rPr>
        <w:t>.</w:t>
      </w:r>
    </w:p>
    <w:p w14:paraId="57D1A52E" w14:textId="77777777" w:rsidR="00371C3F" w:rsidRPr="00E9090B" w:rsidRDefault="00371C3F" w:rsidP="00371C3F">
      <w:pPr>
        <w:spacing w:after="0" w:line="240" w:lineRule="auto"/>
        <w:ind w:left="709" w:right="709"/>
        <w:jc w:val="both"/>
        <w:rPr>
          <w:rFonts w:ascii="Verdana" w:hAnsi="Verdana"/>
          <w:sz w:val="21"/>
          <w:szCs w:val="21"/>
        </w:rPr>
      </w:pPr>
    </w:p>
    <w:p w14:paraId="20BAAFB4"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hAnsi="Verdana" w:cs="Arial"/>
        </w:rPr>
        <w:tab/>
        <w:t>Sobre la calidad de recurso público del anticipo, la jurisprudencia ha reiterado que “dicho dinero no hace parte del patrimonio del contratista y le pertenece a la entidad contratante hasta tanto se amortice. De allí se deduce que la función del anticipo en el contrato es, de entrada, financiar las prestaciones del contratista, y hace razonable el amparo del buen manejo y correcta inversión de estos recursos dentro de la garantía única de cumplimiento”</w:t>
      </w:r>
      <w:r w:rsidRPr="00E9090B">
        <w:rPr>
          <w:vertAlign w:val="superscript"/>
        </w:rPr>
        <w:footnoteReference w:id="5"/>
      </w:r>
      <w:r w:rsidRPr="00E9090B">
        <w:rPr>
          <w:rFonts w:ascii="Verdana" w:hAnsi="Verdana" w:cs="Arial"/>
        </w:rPr>
        <w:t>. Igualmente, explica que el anticipo, al facilitar al contratista la financiación de los bienes y servicios que se le han encargado, es un factor determinante para impulsar la ejecución del contrato</w:t>
      </w:r>
      <w:r w:rsidRPr="00E9090B">
        <w:rPr>
          <w:vertAlign w:val="superscript"/>
        </w:rPr>
        <w:footnoteReference w:id="6"/>
      </w:r>
      <w:r w:rsidRPr="00E9090B">
        <w:rPr>
          <w:rFonts w:ascii="Verdana" w:hAnsi="Verdana" w:cs="Arial"/>
        </w:rPr>
        <w:t>. Este también es el entendimiento de la doctrina, que ha considerado el anticipo como un dinero entregado al contratista que debe cancelarse mediante descuentos parciales, siendo una práctica común que permite impulsar la ejecución del contrato</w:t>
      </w:r>
      <w:r w:rsidRPr="00E9090B">
        <w:rPr>
          <w:vertAlign w:val="superscript"/>
        </w:rPr>
        <w:footnoteReference w:id="7"/>
      </w:r>
      <w:r w:rsidRPr="00E9090B">
        <w:rPr>
          <w:rFonts w:ascii="Verdana" w:hAnsi="Verdana" w:cs="Arial"/>
        </w:rPr>
        <w:t xml:space="preserve">. </w:t>
      </w:r>
    </w:p>
    <w:p w14:paraId="34F345A3"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hAnsi="Verdana" w:cs="Arial"/>
        </w:rPr>
        <w:tab/>
        <w:t>Así, de acuerdo con las consideraciones de la jurisprudencia y la doctrina, el anticipo es aquella suma de dinero entregada al contratista con la finalidad de apalancarlo financieramente para solventar los costos de la ejecución del contrato. Este dinero debe amortizarse de acuerdo con el avance en la ejecución. De esta forma, los recursos entregados a título de anticipo son del erario, razón por la que debe garantizarse su buen manejo y correcta inversión.</w:t>
      </w:r>
      <w:r w:rsidRPr="00E9090B">
        <w:rPr>
          <w:rFonts w:ascii="Verdana" w:hAnsi="Verdana" w:cs="Times New Roman"/>
          <w:lang w:eastAsia="es-CO"/>
        </w:rPr>
        <w:t xml:space="preserve"> </w:t>
      </w:r>
    </w:p>
    <w:p w14:paraId="73C34F5C" w14:textId="77777777" w:rsidR="00371C3F" w:rsidRPr="00E9090B" w:rsidRDefault="00371C3F" w:rsidP="00371C3F">
      <w:pPr>
        <w:spacing w:after="120" w:line="276" w:lineRule="auto"/>
        <w:ind w:firstLine="708"/>
        <w:jc w:val="both"/>
        <w:rPr>
          <w:rFonts w:ascii="Verdana" w:hAnsi="Verdana" w:cs="Arial"/>
          <w:sz w:val="21"/>
          <w:szCs w:val="21"/>
        </w:rPr>
      </w:pPr>
      <w:r w:rsidRPr="00E9090B">
        <w:rPr>
          <w:rFonts w:ascii="Verdana" w:eastAsia="Calibri" w:hAnsi="Verdana" w:cs="Arial"/>
        </w:rPr>
        <w:lastRenderedPageBreak/>
        <w:t>Por otro lado, la institución jurídica del pago anticipado se concibe como la retribución parcial que el contratista recibe en los contratos estatales. Al respecto, la doctrina expresa:</w:t>
      </w:r>
      <w:r w:rsidRPr="00E9090B">
        <w:rPr>
          <w:rFonts w:ascii="ArialMT" w:hAnsi="ArialMT" w:cs="ArialMT"/>
          <w:sz w:val="18"/>
          <w:szCs w:val="18"/>
        </w:rPr>
        <w:t xml:space="preserve"> </w:t>
      </w:r>
      <w:r w:rsidRPr="00E9090B">
        <w:rPr>
          <w:rFonts w:ascii="Verdana" w:eastAsia="Calibri" w:hAnsi="Verdana" w:cs="Arial"/>
        </w:rPr>
        <w:t>“El pago anticipado sí hace parte del precio y su entrega comporta la extinción parcial de la obligación de remuneración a cargo de la entidad solo que de manera adelantada a la realización del contrato o como primer contado”</w:t>
      </w:r>
      <w:r w:rsidRPr="00E9090B">
        <w:rPr>
          <w:rFonts w:ascii="Verdana" w:eastAsia="Calibri" w:hAnsi="Verdana" w:cs="Arial"/>
          <w:vertAlign w:val="superscript"/>
        </w:rPr>
        <w:footnoteReference w:id="8"/>
      </w:r>
      <w:r w:rsidRPr="00E9090B">
        <w:rPr>
          <w:rFonts w:ascii="Verdana" w:eastAsia="Calibri" w:hAnsi="Verdana" w:cs="Arial"/>
        </w:rPr>
        <w:t xml:space="preserve">. En esta línea, el pago anticipado se entiende como una forma en que la Entidad entrega en forma anticipada un pago parcial, es decir, sale de la esfera de la entidad y entra al patrimonio del contratista, sin que tenga una destinación diferente a la que este lo use, en el marco de su libertad y autonomía. </w:t>
      </w:r>
    </w:p>
    <w:p w14:paraId="26C871C3" w14:textId="77777777" w:rsidR="00371C3F" w:rsidRPr="00E9090B" w:rsidRDefault="00371C3F" w:rsidP="00371C3F">
      <w:pPr>
        <w:tabs>
          <w:tab w:val="left" w:pos="0"/>
        </w:tabs>
        <w:spacing w:after="120" w:line="276" w:lineRule="auto"/>
        <w:jc w:val="both"/>
        <w:rPr>
          <w:rFonts w:ascii="Verdana" w:hAnsi="Verdana" w:cs="Arial"/>
        </w:rPr>
      </w:pPr>
      <w:r w:rsidRPr="00E9090B">
        <w:rPr>
          <w:rFonts w:ascii="Verdana" w:hAnsi="Verdana" w:cs="Arial"/>
        </w:rPr>
        <w:tab/>
        <w:t xml:space="preserve">De lo expuesto, se infiere que entidades estatales tienen la facultad de pactar la entrega de anticipos o pagos anticipados en los contratos que celebren. Para ello, deberán realizar el estudio correspondiente, con el fin de determinar la conveniencia de otorgar recursos al contratista bajo dichas denominaciones. De este modo, las entidades podrán determinar las condiciones de entrega, el monto –que no podrá ser superior al cincuenta por ciento (50%) del valor del contrato–. En el caso del anticipo debe definirse el plazo de amortización, las condiciones necesarias para su exigibilidad, así como todas las obligaciones para su correcta inversión. </w:t>
      </w:r>
    </w:p>
    <w:p w14:paraId="72C44C17" w14:textId="096B005E" w:rsidR="00371C3F" w:rsidRDefault="00371C3F" w:rsidP="00663985">
      <w:pPr>
        <w:spacing w:after="120" w:line="276" w:lineRule="auto"/>
        <w:ind w:firstLine="709"/>
        <w:jc w:val="both"/>
        <w:rPr>
          <w:rFonts w:ascii="Verdana" w:eastAsia="Arial" w:hAnsi="Verdana" w:cs="Arial"/>
          <w:lang w:val="es-ES" w:eastAsia="es-ES" w:bidi="es-ES"/>
        </w:rPr>
      </w:pPr>
      <w:r w:rsidRPr="00E9090B">
        <w:rPr>
          <w:rFonts w:ascii="Verdana" w:hAnsi="Verdana" w:cs="Arial"/>
        </w:rPr>
        <w:t xml:space="preserve">Del análisis realizado se infiere que los recursos entregados al contratista en calidad de anticipo son recursos públicos. Por tanto, corresponde a la entidad adoptar las medidas necesarias y razonables para asegurar la correcta inversión de los dineros entregados, las cuales deberán reflejarse en el contrato celebrado. En consecuencia, deben constituir la garantía única de cumplimiento e incluir el amparo de buen manejo y correcta inversión el anticipo previsto en el artículo 2.2.1.2.3.1.7 del Decreto 1082 de 2015. Este amparo establece tres circunstancias que deben ser objeto de cobertura: i) la no inversión del anticipo; </w:t>
      </w:r>
      <w:proofErr w:type="spellStart"/>
      <w:r w:rsidRPr="00E9090B">
        <w:rPr>
          <w:rFonts w:ascii="Verdana" w:hAnsi="Verdana" w:cs="Arial"/>
        </w:rPr>
        <w:t>ii</w:t>
      </w:r>
      <w:proofErr w:type="spellEnd"/>
      <w:r w:rsidRPr="00E9090B">
        <w:rPr>
          <w:rFonts w:ascii="Verdana" w:hAnsi="Verdana" w:cs="Arial"/>
        </w:rPr>
        <w:t xml:space="preserve">) el uso indebido del anticipo; y </w:t>
      </w:r>
      <w:proofErr w:type="spellStart"/>
      <w:r w:rsidRPr="00E9090B">
        <w:rPr>
          <w:rFonts w:ascii="Verdana" w:hAnsi="Verdana" w:cs="Arial"/>
        </w:rPr>
        <w:t>iii</w:t>
      </w:r>
      <w:proofErr w:type="spellEnd"/>
      <w:r w:rsidRPr="00E9090B">
        <w:rPr>
          <w:rFonts w:ascii="Verdana" w:hAnsi="Verdana" w:cs="Arial"/>
        </w:rPr>
        <w:t>) la apropiación indebida de los recursos recibidos en calidad de anticipo</w:t>
      </w:r>
      <w:r w:rsidRPr="00E9090B">
        <w:rPr>
          <w:vertAlign w:val="superscript"/>
        </w:rPr>
        <w:footnoteReference w:id="9"/>
      </w:r>
      <w:r w:rsidRPr="00E9090B">
        <w:rPr>
          <w:rFonts w:ascii="Verdana" w:hAnsi="Verdana" w:cs="Arial"/>
        </w:rPr>
        <w:t xml:space="preserve">. Por otro lado, frente al pago anticipado se </w:t>
      </w:r>
      <w:r w:rsidRPr="00E9090B">
        <w:rPr>
          <w:rFonts w:ascii="Verdana" w:hAnsi="Verdana" w:cs="Arial"/>
        </w:rPr>
        <w:lastRenderedPageBreak/>
        <w:t xml:space="preserve">constituye en un amparo </w:t>
      </w:r>
      <w:r w:rsidRPr="00E9090B">
        <w:rPr>
          <w:rFonts w:ascii="Verdana" w:eastAsia="Arial" w:hAnsi="Verdana" w:cs="Arial"/>
          <w:lang w:val="es-ES" w:eastAsia="es-ES" w:bidi="es-ES"/>
        </w:rPr>
        <w:t xml:space="preserve">de devolución del pago anticipado, que ampara los perjuicios sufridos por la entidad por la no devolución total o parcial del dinero que se entregó al contratista por pago anticipado. </w:t>
      </w:r>
    </w:p>
    <w:p w14:paraId="6FA81141" w14:textId="77777777" w:rsidR="00371C3F" w:rsidRPr="00B16AC6" w:rsidRDefault="00371C3F" w:rsidP="00371C3F">
      <w:pPr>
        <w:spacing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los anticipos y/o pago anticipado,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DAAD10B" w14:textId="77777777" w:rsidR="00371C3F" w:rsidRPr="00B17041" w:rsidRDefault="00371C3F" w:rsidP="00371C3F">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w:t>
      </w:r>
      <w:r w:rsidRPr="00B17041">
        <w:rPr>
          <w:rFonts w:ascii="Verdana" w:hAnsi="Verdana" w:cs="Arial"/>
          <w:lang w:val="es-ES" w:eastAsia="es-ES"/>
        </w:rPr>
        <w:lastRenderedPageBreak/>
        <w:t>de juridicidad. Así, cada entidad definirá la forma de adelantar su gestión contractual, sin que sea atribución de Colombia Compra Eficiente validar sus actuaciones.</w:t>
      </w:r>
    </w:p>
    <w:p w14:paraId="3D225229" w14:textId="77777777" w:rsidR="00371C3F" w:rsidRPr="00AD6B46" w:rsidRDefault="00371C3F" w:rsidP="00371C3F">
      <w:pPr>
        <w:spacing w:after="0" w:line="276" w:lineRule="auto"/>
        <w:jc w:val="both"/>
        <w:rPr>
          <w:rFonts w:ascii="Verdana" w:eastAsia="Calibri" w:hAnsi="Verdana" w:cs="Arial"/>
          <w:lang w:eastAsia="es-ES_tradnl"/>
        </w:rPr>
      </w:pPr>
    </w:p>
    <w:p w14:paraId="68B6CD74" w14:textId="77777777" w:rsidR="00371C3F" w:rsidRPr="00AD6B46" w:rsidRDefault="00371C3F" w:rsidP="00371C3F">
      <w:pPr>
        <w:numPr>
          <w:ilvl w:val="0"/>
          <w:numId w:val="16"/>
        </w:numPr>
        <w:spacing w:after="0" w:line="256" w:lineRule="auto"/>
        <w:rPr>
          <w:rFonts w:ascii="Verdana" w:eastAsia="Calibri" w:hAnsi="Verdana" w:cs="Times New Roman"/>
          <w:b/>
          <w:bCs/>
          <w:lang w:val="es-ES"/>
        </w:rPr>
      </w:pPr>
      <w:r w:rsidRPr="00AD6B46">
        <w:rPr>
          <w:rFonts w:ascii="Verdana" w:eastAsia="Calibri" w:hAnsi="Verdana" w:cs="Times New Roman"/>
          <w:b/>
          <w:bCs/>
          <w:lang w:val="es-ES"/>
        </w:rPr>
        <w:t>Referencias normativas, jurisprudenciales y otras fuentes:</w:t>
      </w:r>
    </w:p>
    <w:p w14:paraId="47F4BDD2" w14:textId="77777777" w:rsidR="00371C3F" w:rsidRPr="003C5A95" w:rsidRDefault="00371C3F" w:rsidP="00371C3F">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71C3F" w:rsidRPr="00AD6B46" w14:paraId="6F874E9E" w14:textId="77777777" w:rsidTr="00663985">
        <w:trPr>
          <w:trHeight w:val="70"/>
          <w:jc w:val="center"/>
        </w:trPr>
        <w:tc>
          <w:tcPr>
            <w:tcW w:w="8647" w:type="dxa"/>
          </w:tcPr>
          <w:p w14:paraId="13230399" w14:textId="77777777" w:rsidR="00371C3F" w:rsidRPr="00AD6B46" w:rsidRDefault="00371C3F" w:rsidP="007F553A">
            <w:pPr>
              <w:ind w:left="720"/>
              <w:contextualSpacing/>
              <w:rPr>
                <w:rFonts w:ascii="Verdana" w:hAnsi="Verdana" w:cs="Arial"/>
                <w:lang w:val="es-ES"/>
              </w:rPr>
            </w:pPr>
          </w:p>
          <w:p w14:paraId="414DC40C" w14:textId="77777777" w:rsidR="00371C3F" w:rsidRPr="00117544"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80 de 1993, artículos 4, 5, 12, 14, </w:t>
            </w:r>
            <w:r w:rsidRPr="00B90BEF">
              <w:rPr>
                <w:rFonts w:ascii="Verdana" w:eastAsia="Calibri" w:hAnsi="Verdana" w:cs="Arial"/>
                <w:lang w:val="es-ES"/>
              </w:rPr>
              <w:t>26</w:t>
            </w:r>
            <w:r>
              <w:rPr>
                <w:rFonts w:ascii="Verdana" w:eastAsia="Calibri" w:hAnsi="Verdana" w:cs="Arial"/>
                <w:lang w:val="es-ES"/>
              </w:rPr>
              <w:t xml:space="preserve"> y 40. </w:t>
            </w:r>
          </w:p>
          <w:p w14:paraId="5F66D46D" w14:textId="77777777" w:rsidR="00371C3F" w:rsidRPr="00117544"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eastAsia="Calibri" w:hAnsi="Verdana" w:cs="Arial"/>
                <w:lang w:val="es-ES"/>
              </w:rPr>
              <w:t xml:space="preserve">Ley 1474 de 2011, artículo 91. </w:t>
            </w:r>
          </w:p>
          <w:p w14:paraId="06F05229"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rPr>
              <w:t>Decreto 1082 de 2015, artículos 2.2.1.2.3.1.7, 2.2.1.1.2.4.1</w:t>
            </w:r>
            <w:r>
              <w:rPr>
                <w:rFonts w:ascii="Verdana" w:hAnsi="Verdana" w:cs="Arial"/>
              </w:rPr>
              <w:t>.</w:t>
            </w:r>
          </w:p>
          <w:p w14:paraId="4C8CAC56"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Sentencia de 22 de junio de 2001. </w:t>
            </w:r>
            <w:proofErr w:type="spellStart"/>
            <w:r w:rsidRPr="3D491140">
              <w:rPr>
                <w:rFonts w:ascii="Verdana" w:hAnsi="Verdana" w:cs="Arial"/>
                <w:lang w:val="es-ES"/>
              </w:rPr>
              <w:t>Exp</w:t>
            </w:r>
            <w:proofErr w:type="spellEnd"/>
            <w:r w:rsidRPr="3D491140">
              <w:rPr>
                <w:rFonts w:ascii="Verdana" w:hAnsi="Verdana" w:cs="Arial"/>
                <w:lang w:val="es-ES"/>
              </w:rPr>
              <w:t>. 13436, C.P. Ricardo Hoyos Duque</w:t>
            </w:r>
          </w:p>
          <w:p w14:paraId="4BBC36FC"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Cuarta. Sentencia del 23 de septiembre de 2013. </w:t>
            </w:r>
            <w:proofErr w:type="spellStart"/>
            <w:r w:rsidRPr="3D491140">
              <w:rPr>
                <w:rFonts w:ascii="Verdana" w:hAnsi="Verdana" w:cs="Arial"/>
                <w:lang w:val="es-ES"/>
              </w:rPr>
              <w:t>Exp</w:t>
            </w:r>
            <w:proofErr w:type="spellEnd"/>
            <w:r w:rsidRPr="3D491140">
              <w:rPr>
                <w:rFonts w:ascii="Verdana" w:hAnsi="Verdana" w:cs="Arial"/>
                <w:lang w:val="es-ES"/>
              </w:rPr>
              <w:t>. 18.752. C.P. Jorge Octavio Ramírez Ramírez).</w:t>
            </w:r>
          </w:p>
          <w:p w14:paraId="0E962FED"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Subsección C. Sentencia del 29 de abril de 2015. </w:t>
            </w:r>
            <w:proofErr w:type="spellStart"/>
            <w:r w:rsidRPr="3D491140">
              <w:rPr>
                <w:rFonts w:ascii="Verdana" w:hAnsi="Verdana" w:cs="Arial"/>
                <w:lang w:val="es-ES"/>
              </w:rPr>
              <w:t>Exp</w:t>
            </w:r>
            <w:proofErr w:type="spellEnd"/>
            <w:r w:rsidRPr="3D491140">
              <w:rPr>
                <w:rFonts w:ascii="Verdana" w:hAnsi="Verdana" w:cs="Arial"/>
                <w:lang w:val="es-ES"/>
              </w:rPr>
              <w:t xml:space="preserve">. 31.620. C.P. Olga Mélida Valle De </w:t>
            </w:r>
            <w:proofErr w:type="spellStart"/>
            <w:r w:rsidRPr="3D491140">
              <w:rPr>
                <w:rFonts w:ascii="Verdana" w:hAnsi="Verdana" w:cs="Arial"/>
                <w:lang w:val="es-ES"/>
              </w:rPr>
              <w:t>De</w:t>
            </w:r>
            <w:proofErr w:type="spellEnd"/>
            <w:r w:rsidRPr="3D491140">
              <w:rPr>
                <w:rFonts w:ascii="Verdana" w:hAnsi="Verdana" w:cs="Arial"/>
                <w:lang w:val="es-ES"/>
              </w:rPr>
              <w:t xml:space="preserve"> La Hoz (E).</w:t>
            </w:r>
          </w:p>
          <w:p w14:paraId="32B94A6D"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Subsección C.  Sentencia del 27 de noviembre de 2017. </w:t>
            </w:r>
            <w:proofErr w:type="spellStart"/>
            <w:r w:rsidRPr="3D491140">
              <w:rPr>
                <w:rFonts w:ascii="Verdana" w:hAnsi="Verdana" w:cs="Arial"/>
                <w:lang w:val="es-ES"/>
              </w:rPr>
              <w:t>Exp</w:t>
            </w:r>
            <w:proofErr w:type="spellEnd"/>
            <w:r w:rsidRPr="3D491140">
              <w:rPr>
                <w:rFonts w:ascii="Verdana" w:hAnsi="Verdana" w:cs="Arial"/>
                <w:lang w:val="es-ES"/>
              </w:rPr>
              <w:t>. 51.802. M.P. Jaime Orlando Santofimio.</w:t>
            </w:r>
          </w:p>
          <w:p w14:paraId="0968FB56"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 Subsección A. Sentencia del 16 de mayo de 2019. </w:t>
            </w:r>
            <w:proofErr w:type="spellStart"/>
            <w:r w:rsidRPr="3D491140">
              <w:rPr>
                <w:rFonts w:ascii="Verdana" w:hAnsi="Verdana" w:cs="Arial"/>
                <w:lang w:val="es-ES"/>
              </w:rPr>
              <w:t>Exp</w:t>
            </w:r>
            <w:proofErr w:type="spellEnd"/>
            <w:r w:rsidRPr="3D491140">
              <w:rPr>
                <w:rFonts w:ascii="Verdana" w:hAnsi="Verdana" w:cs="Arial"/>
                <w:lang w:val="es-ES"/>
              </w:rPr>
              <w:t xml:space="preserve"> 40102. C.P: María Adriana Marín </w:t>
            </w:r>
          </w:p>
          <w:p w14:paraId="1B7ECD83" w14:textId="77777777" w:rsidR="00371C3F" w:rsidRPr="00445530" w:rsidRDefault="00371C3F" w:rsidP="3D491140">
            <w:pPr>
              <w:widowControl w:val="0"/>
              <w:numPr>
                <w:ilvl w:val="0"/>
                <w:numId w:val="17"/>
              </w:numPr>
              <w:autoSpaceDE w:val="0"/>
              <w:autoSpaceDN w:val="0"/>
              <w:spacing w:after="120" w:line="276" w:lineRule="auto"/>
              <w:ind w:left="714" w:hanging="357"/>
              <w:jc w:val="both"/>
              <w:rPr>
                <w:rFonts w:ascii="Verdana" w:hAnsi="Verdana" w:cs="Arial"/>
                <w:lang w:val="es-ES"/>
              </w:rPr>
            </w:pPr>
            <w:r w:rsidRPr="3D491140">
              <w:rPr>
                <w:rFonts w:ascii="Verdana" w:hAnsi="Verdana" w:cs="Arial"/>
                <w:lang w:val="es-ES"/>
              </w:rPr>
              <w:t xml:space="preserve">Consejo de Estado. Sección Tercera, Subsección C. Sentencia del 2 de octubre del 2020. </w:t>
            </w:r>
            <w:proofErr w:type="spellStart"/>
            <w:r w:rsidRPr="3D491140">
              <w:rPr>
                <w:rFonts w:ascii="Verdana" w:hAnsi="Verdana" w:cs="Arial"/>
                <w:lang w:val="es-ES"/>
              </w:rPr>
              <w:t>Exp</w:t>
            </w:r>
            <w:proofErr w:type="spellEnd"/>
            <w:r w:rsidRPr="3D491140">
              <w:rPr>
                <w:rFonts w:ascii="Verdana" w:hAnsi="Verdana" w:cs="Arial"/>
                <w:lang w:val="es-ES"/>
              </w:rPr>
              <w:t xml:space="preserve">. 63644. CP. Jaime Enrique Rodríguez Nava. </w:t>
            </w:r>
          </w:p>
          <w:p w14:paraId="6A9EE810"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 xml:space="preserve">Agencia Nacional de Contratación Pública- Colombia Compra Eficiente. La Guía para el manejo de anticipos mediante contrato de fiducia irrevocable puede ser consultada en: </w:t>
            </w:r>
            <w:hyperlink r:id="rId12" w:history="1">
              <w:r w:rsidRPr="005A6ACD">
                <w:rPr>
                  <w:rStyle w:val="Hipervnculo"/>
                  <w:rFonts w:ascii="Verdana" w:hAnsi="Verdana" w:cs="Arial"/>
                  <w:lang w:val="es-ES_tradnl"/>
                </w:rPr>
                <w:t>https://www.colombiacompra.gov.co/wp-content/uploads/2024/08/2017-Guia-para-el-manejo-de-anticipos-mediante-contrato-de-fiducia-mercantil-irrevocable-G-MACFMI-01.pdf</w:t>
              </w:r>
            </w:hyperlink>
            <w:r>
              <w:rPr>
                <w:rFonts w:ascii="Verdana" w:hAnsi="Verdana" w:cs="Arial"/>
                <w:lang w:val="es-ES_tradnl"/>
              </w:rPr>
              <w:t xml:space="preserve">. </w:t>
            </w:r>
            <w:r w:rsidRPr="00445530">
              <w:rPr>
                <w:rFonts w:ascii="Verdana" w:hAnsi="Verdana" w:cs="Arial"/>
                <w:lang w:val="es-ES_tradnl"/>
              </w:rPr>
              <w:t xml:space="preserve"> </w:t>
            </w:r>
          </w:p>
          <w:p w14:paraId="6D39A6F8"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DÁVILA VINUEZA, Luis Guillermo. Régimen jurídico de la contratación estatal. Bogotá: Legis, 2016.</w:t>
            </w:r>
          </w:p>
          <w:p w14:paraId="57C76D48" w14:textId="77777777" w:rsidR="00371C3F" w:rsidRPr="00445530"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lastRenderedPageBreak/>
              <w:t>MATALLANA CAMACHO, Ernesto. Manual de Contratación de la Administración Pública. Reforma de la Ley 80 de 1993. Bogotá: Universidad Externado de Colombia, 4 ed., 2015.</w:t>
            </w:r>
          </w:p>
          <w:p w14:paraId="18B8404B" w14:textId="77777777" w:rsidR="00371C3F" w:rsidRPr="00AD6B46" w:rsidRDefault="00371C3F" w:rsidP="007F553A">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445530">
              <w:rPr>
                <w:rFonts w:ascii="Verdana" w:hAnsi="Verdana" w:cs="Arial"/>
                <w:lang w:val="es-ES_tradnl"/>
              </w:rPr>
              <w:t>MÁRQUEZ VARGAS, Milena. La fiducia en el manejo de recursos de anticipos en los contratos estatales. Bogotá: Revista Derecho Privado - Universidad de los Andes, 2014, no 52.</w:t>
            </w:r>
          </w:p>
        </w:tc>
      </w:tr>
    </w:tbl>
    <w:p w14:paraId="34DFE747" w14:textId="77777777" w:rsidR="00371C3F" w:rsidRPr="0075072F" w:rsidRDefault="00371C3F" w:rsidP="0075072F">
      <w:pPr>
        <w:widowControl w:val="0"/>
        <w:autoSpaceDE w:val="0"/>
        <w:autoSpaceDN w:val="0"/>
        <w:spacing w:after="0" w:line="276" w:lineRule="auto"/>
        <w:jc w:val="both"/>
        <w:rPr>
          <w:rFonts w:ascii="Verdana" w:hAnsi="Verdana" w:cs="Arial"/>
        </w:rPr>
      </w:pPr>
    </w:p>
    <w:p w14:paraId="0CB86D95" w14:textId="77777777" w:rsidR="00371C3F" w:rsidRPr="0075072F" w:rsidRDefault="00371C3F" w:rsidP="0075072F">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75072F">
        <w:rPr>
          <w:rFonts w:ascii="Verdana" w:eastAsia="Century Gothic" w:hAnsi="Verdana" w:cs="Century Gothic"/>
          <w:b/>
          <w:bCs/>
          <w:lang w:val="es-ES"/>
        </w:rPr>
        <w:t>Doctrina de la Agencia Nacional de Contratación Pública:</w:t>
      </w:r>
    </w:p>
    <w:p w14:paraId="1A5097FE" w14:textId="77777777" w:rsidR="00371C3F" w:rsidRPr="0075072F" w:rsidRDefault="00371C3F" w:rsidP="0075072F">
      <w:pPr>
        <w:widowControl w:val="0"/>
        <w:autoSpaceDE w:val="0"/>
        <w:autoSpaceDN w:val="0"/>
        <w:spacing w:after="0" w:line="276" w:lineRule="auto"/>
        <w:jc w:val="both"/>
        <w:rPr>
          <w:rFonts w:ascii="Verdana" w:hAnsi="Verdana" w:cs="Arial"/>
        </w:rPr>
      </w:pPr>
    </w:p>
    <w:p w14:paraId="20E39ADB" w14:textId="77777777" w:rsidR="00371C3F" w:rsidRPr="0075072F" w:rsidRDefault="00371C3F" w:rsidP="0075072F">
      <w:pPr>
        <w:widowControl w:val="0"/>
        <w:autoSpaceDE w:val="0"/>
        <w:autoSpaceDN w:val="0"/>
        <w:spacing w:after="0" w:line="276" w:lineRule="auto"/>
        <w:jc w:val="both"/>
        <w:rPr>
          <w:rFonts w:ascii="Verdana" w:hAnsi="Verdana" w:cs="Arial"/>
          <w:bCs/>
          <w:shd w:val="clear" w:color="auto" w:fill="FFFFFF"/>
        </w:rPr>
      </w:pPr>
      <w:r w:rsidRPr="0075072F">
        <w:rPr>
          <w:rFonts w:ascii="Verdana" w:hAnsi="Verdana" w:cs="Arial"/>
          <w:bCs/>
          <w:shd w:val="clear" w:color="auto" w:fill="FFFFFF"/>
        </w:rPr>
        <w:t xml:space="preserve">La Agencia Nacional de Contratación Pública – Colombia Compra Eficiente, en referencia al anticipo y pago anticipado se han expedido los siguientes conceptos C-726 del 18 de julio de 2025, C-814 del 15 de julio de 2025, C-1228 del 7 de octubre de 2025, C- 1393 del 16 de octubre de 2025, entre otros. </w:t>
      </w:r>
      <w:r w:rsidRPr="0075072F">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6B88425" w14:textId="77777777" w:rsidR="00371C3F" w:rsidRPr="0075072F" w:rsidRDefault="00371C3F" w:rsidP="00663985">
      <w:pPr>
        <w:spacing w:after="0" w:line="276" w:lineRule="auto"/>
        <w:jc w:val="both"/>
        <w:rPr>
          <w:rFonts w:ascii="Verdana" w:eastAsia="Calibri" w:hAnsi="Verdana" w:cs="Times New Roman"/>
        </w:rPr>
      </w:pPr>
      <w:hyperlink r:id="rId13" w:history="1">
        <w:r w:rsidRPr="0075072F">
          <w:rPr>
            <w:rStyle w:val="Hipervnculo"/>
            <w:rFonts w:ascii="Verdana" w:eastAsia="Calibri" w:hAnsi="Verdana" w:cs="Times New Roman"/>
            <w:lang w:val="es-ES"/>
          </w:rPr>
          <w:t>https://relatoria.colombiacompra.gov.co/busqueda/conceptos</w:t>
        </w:r>
      </w:hyperlink>
      <w:r w:rsidRPr="0075072F">
        <w:rPr>
          <w:rFonts w:ascii="Verdana" w:eastAsia="Calibri" w:hAnsi="Verdana" w:cs="Times New Roman"/>
        </w:rPr>
        <w:t xml:space="preserve">. </w:t>
      </w:r>
    </w:p>
    <w:p w14:paraId="7FB26F4E" w14:textId="77777777" w:rsidR="00371C3F" w:rsidRPr="0075072F" w:rsidRDefault="00371C3F" w:rsidP="00663985">
      <w:pPr>
        <w:spacing w:after="0" w:line="276" w:lineRule="auto"/>
        <w:jc w:val="both"/>
        <w:rPr>
          <w:rFonts w:ascii="Verdana" w:hAnsi="Verdana"/>
        </w:rPr>
      </w:pPr>
    </w:p>
    <w:p w14:paraId="2B9562B8" w14:textId="77777777" w:rsidR="001766CC" w:rsidRPr="0075072F" w:rsidRDefault="001766CC" w:rsidP="00663985">
      <w:pPr>
        <w:spacing w:after="0" w:line="276" w:lineRule="auto"/>
        <w:jc w:val="both"/>
        <w:rPr>
          <w:rFonts w:ascii="Verdana" w:hAnsi="Verdana"/>
        </w:rPr>
      </w:pPr>
      <w:r w:rsidRPr="0075072F">
        <w:rPr>
          <w:rFonts w:ascii="Verdana" w:hAnsi="Verdana"/>
        </w:rPr>
        <w:t xml:space="preserve">La sostenibilidad no es una opción, es una obligación. Por ello, la Agencia Nacional de Contratación Pública –Colombia Compra Eficiente– te invita a realizar el </w:t>
      </w:r>
      <w:r w:rsidRPr="0075072F">
        <w:rPr>
          <w:rFonts w:ascii="Verdana" w:hAnsi="Verdana"/>
          <w:b/>
          <w:bCs/>
        </w:rPr>
        <w:t>Curso de Contratación Pública Sostenible y Socialmente Responsable</w:t>
      </w:r>
      <w:r w:rsidRPr="0075072F">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5072F">
        <w:rPr>
          <w:rFonts w:ascii="Verdana" w:hAnsi="Verdana"/>
        </w:rPr>
        <w:br/>
      </w:r>
      <w:hyperlink r:id="rId14" w:tgtFrame="_new" w:history="1">
        <w:r w:rsidRPr="0075072F">
          <w:rPr>
            <w:rStyle w:val="Hipervnculo"/>
            <w:rFonts w:ascii="Verdana" w:hAnsi="Verdana"/>
          </w:rPr>
          <w:t>https://formacionvirtual.colombiacompra.gov.co/mod/page/view.php?id=3718</w:t>
        </w:r>
      </w:hyperlink>
    </w:p>
    <w:p w14:paraId="1CF906FC" w14:textId="77777777" w:rsidR="001766CC" w:rsidRPr="0075072F" w:rsidRDefault="001766CC" w:rsidP="00663985">
      <w:pPr>
        <w:spacing w:after="0" w:line="276" w:lineRule="auto"/>
        <w:jc w:val="both"/>
        <w:rPr>
          <w:rFonts w:ascii="Verdana" w:hAnsi="Verdana"/>
        </w:rPr>
      </w:pPr>
      <w:r w:rsidRPr="0075072F">
        <w:rPr>
          <w:rFonts w:ascii="Verdana" w:hAnsi="Verdana"/>
        </w:rPr>
        <w:t xml:space="preserve">De otro lado, te contamos que esta Agencia ha da un paso decisivo en la estandarización y modernización del </w:t>
      </w:r>
      <w:r w:rsidRPr="0075072F">
        <w:rPr>
          <w:rFonts w:ascii="Verdana" w:hAnsi="Verdana"/>
          <w:b/>
          <w:bCs/>
        </w:rPr>
        <w:t>sector  social</w:t>
      </w:r>
      <w:r w:rsidRPr="0075072F">
        <w:rPr>
          <w:rFonts w:ascii="Verdana" w:hAnsi="Verdana"/>
        </w:rPr>
        <w:t xml:space="preserve"> con la expedición de las </w:t>
      </w:r>
      <w:r w:rsidRPr="0075072F">
        <w:rPr>
          <w:rFonts w:ascii="Verdana" w:hAnsi="Verdana"/>
          <w:b/>
          <w:bCs/>
        </w:rPr>
        <w:t>Resoluciones 539, 540, 541, 952 y 953 de 2025</w:t>
      </w:r>
      <w:r w:rsidRPr="0075072F">
        <w:rPr>
          <w:rFonts w:ascii="Verdana" w:hAnsi="Verdana"/>
        </w:rPr>
        <w:t xml:space="preserve">, </w:t>
      </w:r>
      <w:r w:rsidRPr="0075072F">
        <w:rPr>
          <w:rFonts w:ascii="Verdana" w:hAnsi="Verdana"/>
          <w:b/>
          <w:bCs/>
        </w:rPr>
        <w:t>mediante las cuales adoptó Documentos Tipo</w:t>
      </w:r>
      <w:r w:rsidRPr="0075072F">
        <w:rPr>
          <w:rFonts w:ascii="Verdana" w:hAnsi="Verdana"/>
        </w:rPr>
        <w:t xml:space="preserve"> para las modalidades de selección de</w:t>
      </w:r>
      <w:r w:rsidRPr="0075072F">
        <w:rPr>
          <w:rFonts w:ascii="Verdana" w:hAnsi="Verdana"/>
          <w:b/>
          <w:bCs/>
        </w:rPr>
        <w:t xml:space="preserve"> licitación pública (versión 2), selección abreviada de menor cuantía, mínima cuantía, consultoría e interventoría</w:t>
      </w:r>
      <w:r w:rsidRPr="0075072F">
        <w:rPr>
          <w:rFonts w:ascii="Verdana" w:hAnsi="Verdana"/>
        </w:rPr>
        <w:t xml:space="preserve">, promoviendo procesos más transparentes, eficientes  competitivos y sostenibles en sectores estratégicos </w:t>
      </w:r>
      <w:r w:rsidRPr="0075072F">
        <w:rPr>
          <w:rFonts w:ascii="Verdana" w:hAnsi="Verdana"/>
        </w:rPr>
        <w:lastRenderedPageBreak/>
        <w:t xml:space="preserve">como educación, salud, cultura, recreación, deporte, institucional y vivienda. Consulta y descarga los documentos aquí: </w:t>
      </w:r>
      <w:hyperlink r:id="rId15" w:tgtFrame="_new" w:history="1">
        <w:r w:rsidRPr="0075072F">
          <w:rPr>
            <w:rStyle w:val="Hipervnculo"/>
            <w:rFonts w:ascii="Verdana" w:hAnsi="Verdana"/>
          </w:rPr>
          <w:t>https://www.colombiacompra.gov.co/normativa-y-relatoria/documentos-tipo</w:t>
        </w:r>
      </w:hyperlink>
    </w:p>
    <w:p w14:paraId="7970BB40" w14:textId="77777777" w:rsidR="001766CC" w:rsidRPr="0075072F" w:rsidRDefault="001766CC" w:rsidP="00663985">
      <w:pPr>
        <w:spacing w:after="0" w:line="276" w:lineRule="auto"/>
        <w:jc w:val="both"/>
        <w:rPr>
          <w:rFonts w:ascii="Verdana" w:hAnsi="Verdana"/>
        </w:rPr>
      </w:pPr>
    </w:p>
    <w:p w14:paraId="188DB8BB" w14:textId="77777777" w:rsidR="001766CC" w:rsidRPr="0075072F" w:rsidRDefault="001766CC" w:rsidP="00663985">
      <w:pPr>
        <w:spacing w:after="0" w:line="276" w:lineRule="auto"/>
        <w:jc w:val="both"/>
        <w:rPr>
          <w:rFonts w:ascii="Verdana" w:hAnsi="Verdana"/>
        </w:rPr>
      </w:pPr>
      <w:r w:rsidRPr="0075072F">
        <w:rPr>
          <w:rFonts w:ascii="Verdana" w:hAnsi="Verdana"/>
        </w:rPr>
        <w:t xml:space="preserve">Si quieres conocer más sobre la aplicación de Documentos Tipo puedes consultar la última versión de la </w:t>
      </w:r>
      <w:r w:rsidRPr="0075072F">
        <w:rPr>
          <w:rFonts w:ascii="Verdana" w:hAnsi="Verdana"/>
          <w:b/>
          <w:bCs/>
        </w:rPr>
        <w:t>Guía para la comprensión e implementación de los Documentos Tipo de obra pública de infraestructura de transporte</w:t>
      </w:r>
      <w:r w:rsidRPr="0075072F">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5072F">
        <w:rPr>
          <w:rFonts w:ascii="Verdana" w:hAnsi="Verdana"/>
        </w:rPr>
        <w:br/>
      </w:r>
      <w:hyperlink r:id="rId16" w:tgtFrame="_new" w:history="1">
        <w:r w:rsidRPr="0075072F">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7C5C570" w14:textId="77777777" w:rsidR="001766CC" w:rsidRPr="0075072F" w:rsidRDefault="001766CC" w:rsidP="00663985">
      <w:pPr>
        <w:spacing w:after="0" w:line="276" w:lineRule="auto"/>
        <w:jc w:val="both"/>
        <w:rPr>
          <w:rFonts w:ascii="Verdana" w:hAnsi="Verdana"/>
        </w:rPr>
      </w:pPr>
    </w:p>
    <w:p w14:paraId="6A6555B1" w14:textId="77777777" w:rsidR="00371C3F" w:rsidRPr="0075072F" w:rsidRDefault="00371C3F" w:rsidP="00663985">
      <w:pPr>
        <w:spacing w:after="0" w:line="276" w:lineRule="auto"/>
        <w:jc w:val="both"/>
        <w:rPr>
          <w:rFonts w:ascii="Verdana" w:eastAsia="Calibri" w:hAnsi="Verdana" w:cs="Times New Roman"/>
          <w:bCs/>
          <w:lang w:val="es-ES_tradnl"/>
        </w:rPr>
      </w:pPr>
      <w:r w:rsidRPr="0075072F">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C9560E9" w14:textId="77777777" w:rsidR="00371C3F" w:rsidRPr="0075072F" w:rsidRDefault="00371C3F" w:rsidP="00663985">
      <w:pPr>
        <w:spacing w:after="0" w:line="276" w:lineRule="auto"/>
        <w:jc w:val="both"/>
        <w:rPr>
          <w:rFonts w:ascii="Verdana" w:eastAsia="Calibri" w:hAnsi="Verdana" w:cs="Times New Roman"/>
        </w:rPr>
      </w:pPr>
    </w:p>
    <w:p w14:paraId="19B39CEB" w14:textId="77777777" w:rsidR="00371C3F" w:rsidRPr="0075072F" w:rsidRDefault="00371C3F" w:rsidP="00663985">
      <w:pPr>
        <w:spacing w:after="0" w:line="276" w:lineRule="auto"/>
        <w:jc w:val="both"/>
        <w:rPr>
          <w:rFonts w:ascii="Verdana" w:eastAsia="Calibri" w:hAnsi="Verdana" w:cs="Times New Roman"/>
        </w:rPr>
      </w:pPr>
      <w:r w:rsidRPr="0075072F">
        <w:rPr>
          <w:rFonts w:ascii="Verdana" w:eastAsia="Calibri" w:hAnsi="Verdana" w:cs="Times New Roman"/>
        </w:rPr>
        <w:t>Atentamente,</w:t>
      </w:r>
    </w:p>
    <w:p w14:paraId="1A97A7C9" w14:textId="77777777" w:rsidR="00371C3F" w:rsidRPr="00EA4124" w:rsidRDefault="00371C3F" w:rsidP="00371C3F">
      <w:pPr>
        <w:spacing w:after="0" w:line="256" w:lineRule="auto"/>
        <w:jc w:val="both"/>
        <w:rPr>
          <w:rFonts w:ascii="Verdana" w:eastAsia="Calibri" w:hAnsi="Verdana" w:cs="Times New Roman"/>
          <w:sz w:val="16"/>
          <w:szCs w:val="16"/>
        </w:rPr>
      </w:pPr>
    </w:p>
    <w:p w14:paraId="470C7747" w14:textId="42130F2E" w:rsidR="00371C3F" w:rsidRDefault="00F60F29" w:rsidP="00371C3F">
      <w:pPr>
        <w:spacing w:after="0" w:line="256" w:lineRule="auto"/>
        <w:jc w:val="center"/>
        <w:rPr>
          <w:noProof/>
          <w:lang w:val="en-US"/>
        </w:rPr>
      </w:pPr>
      <w:r w:rsidRPr="002C3AD6">
        <w:rPr>
          <w:rFonts w:ascii="Century Gothic" w:hAnsi="Century Gothic"/>
          <w:noProof/>
        </w:rPr>
        <w:drawing>
          <wp:inline distT="0" distB="0" distL="0" distR="0" wp14:anchorId="703A26D5" wp14:editId="01F0B26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14:paraId="4448AD8B" w14:textId="77777777" w:rsidR="00371C3F" w:rsidRPr="00881D12" w:rsidRDefault="00371C3F" w:rsidP="00371C3F">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71C3F" w:rsidRPr="00B57A1B" w14:paraId="623FB658" w14:textId="77777777" w:rsidTr="007F553A">
        <w:trPr>
          <w:trHeight w:val="409"/>
        </w:trPr>
        <w:tc>
          <w:tcPr>
            <w:tcW w:w="817" w:type="dxa"/>
            <w:tcBorders>
              <w:top w:val="nil"/>
              <w:left w:val="nil"/>
              <w:bottom w:val="nil"/>
              <w:right w:val="nil"/>
            </w:tcBorders>
            <w:vAlign w:val="center"/>
            <w:hideMark/>
          </w:tcPr>
          <w:p w14:paraId="333683AA"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4D65E640" w14:textId="77777777" w:rsidR="00371C3F" w:rsidRPr="00B57A1B" w:rsidRDefault="00371C3F" w:rsidP="007F553A">
            <w:pPr>
              <w:spacing w:after="0"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593F08C1"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371C3F" w:rsidRPr="00B57A1B" w14:paraId="742CB83A" w14:textId="77777777" w:rsidTr="007F553A">
        <w:trPr>
          <w:trHeight w:val="409"/>
        </w:trPr>
        <w:tc>
          <w:tcPr>
            <w:tcW w:w="817" w:type="dxa"/>
            <w:tcBorders>
              <w:top w:val="nil"/>
              <w:left w:val="nil"/>
              <w:bottom w:val="nil"/>
              <w:right w:val="nil"/>
            </w:tcBorders>
            <w:vAlign w:val="center"/>
            <w:hideMark/>
          </w:tcPr>
          <w:p w14:paraId="41432CD4"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91B9935" w14:textId="77777777" w:rsidR="00371C3F" w:rsidRPr="00B57A1B" w:rsidRDefault="00371C3F" w:rsidP="007F553A">
            <w:pPr>
              <w:spacing w:after="0" w:line="256" w:lineRule="auto"/>
              <w:rPr>
                <w:rFonts w:ascii="Verdana" w:eastAsia="Calibri" w:hAnsi="Verdana" w:cs="Times New Roman"/>
                <w:sz w:val="16"/>
                <w:szCs w:val="16"/>
              </w:rPr>
            </w:pPr>
            <w:r>
              <w:rPr>
                <w:rFonts w:ascii="Verdana" w:eastAsia="Calibri" w:hAnsi="Verdana" w:cs="Times New Roman"/>
                <w:sz w:val="16"/>
                <w:szCs w:val="16"/>
              </w:rPr>
              <w:t>Diana Lucia Saavedra Castañeda</w:t>
            </w:r>
          </w:p>
          <w:p w14:paraId="42D15813" w14:textId="77777777" w:rsidR="00371C3F" w:rsidRPr="00B57A1B" w:rsidRDefault="00371C3F" w:rsidP="007F553A">
            <w:pPr>
              <w:spacing w:after="0" w:line="256" w:lineRule="auto"/>
              <w:rPr>
                <w:rFonts w:ascii="Verdana" w:eastAsia="Calibri" w:hAnsi="Verdana" w:cs="Times New Roman"/>
                <w:sz w:val="16"/>
                <w:szCs w:val="16"/>
              </w:rPr>
            </w:pPr>
            <w:r>
              <w:rPr>
                <w:rFonts w:ascii="Verdana" w:eastAsia="Calibri" w:hAnsi="Verdana" w:cs="Times New Roman"/>
                <w:sz w:val="16"/>
                <w:szCs w:val="16"/>
              </w:rPr>
              <w:t>Contratista</w:t>
            </w:r>
            <w:r w:rsidRPr="00B57A1B">
              <w:rPr>
                <w:rFonts w:ascii="Verdana" w:eastAsia="Calibri" w:hAnsi="Verdana" w:cs="Times New Roman"/>
                <w:sz w:val="16"/>
                <w:szCs w:val="16"/>
              </w:rPr>
              <w:t xml:space="preserve"> de la Subdirección de Gestión Contractual </w:t>
            </w:r>
          </w:p>
        </w:tc>
      </w:tr>
      <w:tr w:rsidR="00371C3F" w:rsidRPr="00B57A1B" w14:paraId="7DE547E2" w14:textId="77777777" w:rsidTr="007F553A">
        <w:trPr>
          <w:trHeight w:val="389"/>
        </w:trPr>
        <w:tc>
          <w:tcPr>
            <w:tcW w:w="817" w:type="dxa"/>
            <w:tcBorders>
              <w:top w:val="nil"/>
              <w:left w:val="nil"/>
              <w:bottom w:val="nil"/>
              <w:right w:val="nil"/>
            </w:tcBorders>
            <w:vAlign w:val="center"/>
            <w:hideMark/>
          </w:tcPr>
          <w:p w14:paraId="72A4756A"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lastRenderedPageBreak/>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A395686"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74B9259F" w14:textId="77777777" w:rsidR="00371C3F" w:rsidRPr="00B57A1B" w:rsidRDefault="00371C3F" w:rsidP="007F553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6003A482" w14:textId="77777777" w:rsidR="00371C3F" w:rsidRPr="0024624F" w:rsidRDefault="00371C3F" w:rsidP="00371C3F">
      <w:pPr>
        <w:spacing w:after="0"/>
        <w:rPr>
          <w:rFonts w:ascii="Verdana" w:hAnsi="Verdana"/>
        </w:rPr>
      </w:pPr>
    </w:p>
    <w:p w14:paraId="0F293BF4" w14:textId="3A9732DF" w:rsidR="00127233" w:rsidRPr="00B123DB" w:rsidRDefault="00127233" w:rsidP="00B123DB"/>
    <w:sectPr w:rsidR="00127233" w:rsidRPr="00B123D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475563" w14:textId="77777777" w:rsidR="00AE0AEC" w:rsidRDefault="00AE0AEC" w:rsidP="004A1847">
      <w:pPr>
        <w:spacing w:after="0" w:line="240" w:lineRule="auto"/>
      </w:pPr>
      <w:r>
        <w:separator/>
      </w:r>
    </w:p>
  </w:endnote>
  <w:endnote w:type="continuationSeparator" w:id="0">
    <w:p w14:paraId="1C703D9C" w14:textId="77777777" w:rsidR="00AE0AEC" w:rsidRDefault="00AE0AE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Vrinda">
    <w:panose1 w:val="00000400000000000000"/>
    <w:charset w:val="00"/>
    <w:family w:val="swiss"/>
    <w:pitch w:val="variable"/>
    <w:sig w:usb0="0001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B123D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B123DB">
      <w:rPr>
        <w:rFonts w:ascii="Verdana" w:eastAsia="Verdana" w:hAnsi="Verdana" w:cs="Verdana"/>
        <w:b/>
        <w:bCs/>
        <w:color w:val="000000" w:themeColor="text1"/>
        <w:sz w:val="18"/>
        <w:szCs w:val="18"/>
        <w:lang w:val="pt-PT" w:eastAsia="es-CO"/>
      </w:rPr>
      <w:t xml:space="preserve">Código: </w:t>
    </w:r>
    <w:r w:rsidRPr="00B123DB">
      <w:rPr>
        <w:rFonts w:ascii="Verdana" w:eastAsia="Verdana" w:hAnsi="Verdana" w:cs="Verdana"/>
        <w:color w:val="000000" w:themeColor="text1"/>
        <w:sz w:val="18"/>
        <w:szCs w:val="18"/>
        <w:lang w:val="pt-PT" w:eastAsia="es-CO"/>
      </w:rPr>
      <w:t xml:space="preserve">CCE-REC-FM-17 </w:t>
    </w:r>
    <w:r w:rsidRPr="00B123DB">
      <w:rPr>
        <w:rFonts w:ascii="Verdana" w:eastAsia="Verdana" w:hAnsi="Verdana" w:cs="Verdana"/>
        <w:b/>
        <w:bCs/>
        <w:color w:val="000000" w:themeColor="text1"/>
        <w:sz w:val="18"/>
        <w:szCs w:val="18"/>
        <w:lang w:val="pt-PT" w:eastAsia="es-CO"/>
      </w:rPr>
      <w:t xml:space="preserve">V: </w:t>
    </w:r>
    <w:r w:rsidRPr="00B123DB">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DB558" w14:textId="77777777" w:rsidR="00AE0AEC" w:rsidRDefault="00AE0AEC" w:rsidP="004A1847">
      <w:pPr>
        <w:spacing w:after="0" w:line="240" w:lineRule="auto"/>
      </w:pPr>
      <w:r>
        <w:separator/>
      </w:r>
    </w:p>
  </w:footnote>
  <w:footnote w:type="continuationSeparator" w:id="0">
    <w:p w14:paraId="0A2EDB97" w14:textId="77777777" w:rsidR="00AE0AEC" w:rsidRDefault="00AE0AEC" w:rsidP="004A1847">
      <w:pPr>
        <w:spacing w:after="0" w:line="240" w:lineRule="auto"/>
      </w:pPr>
      <w:r>
        <w:continuationSeparator/>
      </w:r>
    </w:p>
  </w:footnote>
  <w:footnote w:id="1">
    <w:p w14:paraId="6100D709" w14:textId="77777777" w:rsidR="00371C3F" w:rsidRPr="003A7739" w:rsidRDefault="00371C3F" w:rsidP="00371C3F">
      <w:pPr>
        <w:pStyle w:val="Textonotapie"/>
        <w:ind w:firstLine="709"/>
        <w:jc w:val="both"/>
        <w:rPr>
          <w:rFonts w:ascii="Verdana" w:hAnsi="Verdana" w:cs="Vrinda"/>
          <w:sz w:val="16"/>
          <w:szCs w:val="16"/>
        </w:rPr>
      </w:pPr>
      <w:r w:rsidRPr="003A7739">
        <w:rPr>
          <w:rStyle w:val="Refdenotaalpie"/>
          <w:rFonts w:ascii="Verdana" w:hAnsi="Verdana" w:cs="Vrinda"/>
          <w:sz w:val="16"/>
          <w:szCs w:val="16"/>
        </w:rPr>
        <w:footnoteRef/>
      </w:r>
      <w:r w:rsidRPr="003A7739">
        <w:rPr>
          <w:rFonts w:ascii="Verdana" w:hAnsi="Verdana" w:cs="Vrinda"/>
          <w:sz w:val="16"/>
          <w:szCs w:val="16"/>
        </w:rPr>
        <w:t xml:space="preserve"> Consejo de Estado. Sección Tercera. Subsección C. Sentencia del 29 de abril de 2015. Exp. 31.620. C.P. Olga Mélida Valle De De La Hoz (E).</w:t>
      </w:r>
    </w:p>
  </w:footnote>
  <w:footnote w:id="2">
    <w:p w14:paraId="784661F6" w14:textId="77777777" w:rsidR="00371C3F" w:rsidRPr="003A7739" w:rsidRDefault="00371C3F" w:rsidP="00371C3F">
      <w:pPr>
        <w:pStyle w:val="Textonotapie"/>
        <w:ind w:firstLine="708"/>
        <w:jc w:val="both"/>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w:t>
      </w:r>
      <w:r w:rsidRPr="003A7739">
        <w:rPr>
          <w:rFonts w:ascii="Verdana" w:hAnsi="Verdana"/>
          <w:sz w:val="16"/>
          <w:szCs w:val="16"/>
          <w:lang w:val="es-ES" w:bidi="es-ES"/>
        </w:rPr>
        <w:t xml:space="preserve">(Cfr. Sección Tercera. Sentencia del 22 de junio de 2001. Radicado 13.436. </w:t>
      </w:r>
      <w:r w:rsidRPr="003A7739">
        <w:rPr>
          <w:rFonts w:ascii="Verdana" w:hAnsi="Verdana"/>
          <w:i/>
          <w:sz w:val="16"/>
          <w:szCs w:val="16"/>
          <w:lang w:val="es-ES" w:bidi="es-ES"/>
        </w:rPr>
        <w:t>Citada en</w:t>
      </w:r>
      <w:r w:rsidRPr="003A7739">
        <w:rPr>
          <w:rFonts w:ascii="Verdana" w:hAnsi="Verdana"/>
          <w:sz w:val="16"/>
          <w:szCs w:val="16"/>
          <w:lang w:val="es-ES" w:bidi="es-ES"/>
        </w:rPr>
        <w:t>: Sección Cuarta. Sentencia del 23 de septiembre de 2013. Radicado 18.752. C.P. Jorge Octavio Ramírez Ramírez).</w:t>
      </w:r>
    </w:p>
  </w:footnote>
  <w:footnote w:id="3">
    <w:p w14:paraId="3F291793"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“Ver, entre otros: Consejo de Estado. Sentencia del 8 de agosto de 2001. Rad. AC-10966 - AC-11274; y Sala de lo Contencioso Administrativo - Sección Tercera. Providencias del 13 de septiembre de 1999. Rad. 10607; del 13 de julio de 2000. Rad. 12513; del 10 de noviembre de 2000. Rad. 18709; del 22 de junio de 2001. Rad. 12136; del 11 de diciembre de 2003. Rad. 25000-23-26-000-1993-08696-01(13348); del 19 de agosto de 2004. Rad. 25000-23-26-000-1994-00114-01(14111)”. Citado en Consejo de Estado. Sección Tercera, Subsección A. Sentencia del 16 de mayo de 2019. Rad. (40102). C.P: María Adriana Marín [cita No. 35]. </w:t>
      </w:r>
    </w:p>
  </w:footnote>
  <w:footnote w:id="4">
    <w:p w14:paraId="267A29F6"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Subsección A. Sentencia del 16 de mayo de 2019. Exp 40102. C.P: María Adriana Marín</w:t>
      </w:r>
    </w:p>
  </w:footnote>
  <w:footnote w:id="5">
    <w:p w14:paraId="37A887C0" w14:textId="77777777" w:rsidR="00371C3F" w:rsidRPr="003A7739" w:rsidRDefault="00371C3F" w:rsidP="00371C3F">
      <w:pPr>
        <w:pStyle w:val="Textonotapie"/>
        <w:ind w:firstLine="709"/>
        <w:jc w:val="both"/>
        <w:rPr>
          <w:rFonts w:ascii="Verdana" w:hAnsi="Verdana"/>
          <w:color w:val="000000" w:themeColor="text1"/>
          <w:sz w:val="16"/>
          <w:szCs w:val="16"/>
          <w:lang w:val="es-CO"/>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Subsección C. Sentencia del 2 de octubre del 2020. Exp. 63644. CP. Jaime Enrique Rodríguez Nava. </w:t>
      </w:r>
    </w:p>
  </w:footnote>
  <w:footnote w:id="6">
    <w:p w14:paraId="576CB23B"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 xml:space="preserve"> Consejo de Estado. Sección Tercera. Sentencia de 22 de junio de 2001. Exp. 13436, C.P. Ricardo Hoyos Duque</w:t>
      </w:r>
    </w:p>
  </w:footnote>
  <w:footnote w:id="7">
    <w:p w14:paraId="7FFE6755" w14:textId="77777777" w:rsidR="00371C3F" w:rsidRPr="003A7739" w:rsidRDefault="00371C3F" w:rsidP="00371C3F">
      <w:pPr>
        <w:pStyle w:val="Textonotapie"/>
        <w:ind w:firstLine="709"/>
        <w:jc w:val="both"/>
        <w:rPr>
          <w:rFonts w:ascii="Verdana" w:hAnsi="Verdana"/>
          <w:color w:val="000000" w:themeColor="text1"/>
          <w:sz w:val="16"/>
          <w:szCs w:val="16"/>
        </w:rPr>
      </w:pPr>
      <w:r w:rsidRPr="003A7739">
        <w:rPr>
          <w:rStyle w:val="Refdenotaalpie"/>
          <w:rFonts w:ascii="Verdana" w:hAnsi="Verdana"/>
          <w:color w:val="000000" w:themeColor="text1"/>
          <w:sz w:val="16"/>
          <w:szCs w:val="16"/>
        </w:rPr>
        <w:footnoteRef/>
      </w:r>
      <w:r w:rsidRPr="003A7739">
        <w:rPr>
          <w:rFonts w:ascii="Verdana" w:hAnsi="Verdana"/>
          <w:color w:val="000000" w:themeColor="text1"/>
          <w:sz w:val="16"/>
          <w:szCs w:val="16"/>
        </w:rPr>
        <w:t>“Se trata de un dinero entregado a título de crédito a favor de la entidad contratante, el cual debe ser debidamente cancelado a través de los descuentos hechos a los valores cobrados por el contratista, de modo que por medio de dicho mecanismos el dinero entregado como anticipo se convierta en parte del pago como contraprestación a la ejecución de las actividades propias del objeto pactado en virtud del contrato, siendo una práctica usual que permite impulsar la ejecución del contrato con la agilidad que requiere la administración para concluir la ejecución del objeto contratado, en aras de dar cumplimiento al mandato de una continua y eficiente prestación del servicio público a su cargo</w:t>
      </w:r>
      <w:r w:rsidRPr="003A7739">
        <w:rPr>
          <w:rFonts w:ascii="Verdana" w:eastAsia="Calibri" w:hAnsi="Verdana"/>
          <w:color w:val="000000" w:themeColor="text1"/>
          <w:sz w:val="16"/>
          <w:szCs w:val="16"/>
        </w:rPr>
        <w:t>” (</w:t>
      </w:r>
      <w:r w:rsidRPr="003A7739">
        <w:rPr>
          <w:rFonts w:ascii="Verdana" w:hAnsi="Verdana"/>
          <w:color w:val="000000" w:themeColor="text1"/>
          <w:sz w:val="16"/>
          <w:szCs w:val="16"/>
        </w:rPr>
        <w:t>EXPÓSITO VÉLEZ, Juan Carlos. Forma y contenido del contrato estatal. Bogotá: Universidad Externado de Colombia, 2013, p. 165-166). De igual manera, se ha expuesto que “Son recursos que deberán amortizarse en proporción a la ejecución del contrato pues se trata de una especie muy particular de préstamo. Lo anterior tiene consecuencias muy importantes, porque se trata de recursos públicos administrados por un particular (contratista), y en esa medida cualquier desviación de estos recursos a fines distintos a los contemplados dentro del contrato podrá propiciar las correspondientes acciones de carácter penal</w:t>
      </w:r>
      <w:r w:rsidRPr="003A7739">
        <w:rPr>
          <w:rFonts w:ascii="Verdana" w:eastAsia="Calibri" w:hAnsi="Verdana"/>
          <w:color w:val="000000" w:themeColor="text1"/>
          <w:sz w:val="16"/>
          <w:szCs w:val="16"/>
        </w:rPr>
        <w:t>”</w:t>
      </w:r>
      <w:r w:rsidRPr="003A7739">
        <w:rPr>
          <w:rFonts w:ascii="Verdana" w:hAnsi="Verdana"/>
          <w:color w:val="000000" w:themeColor="text1"/>
          <w:sz w:val="16"/>
          <w:szCs w:val="16"/>
        </w:rPr>
        <w:t xml:space="preserve"> (MATALLANA CAMACHO, Ernesto. Manual de Contratación de la Administración Pública. Reforma de la Ley 80 de 1993. Bogotá: Universidad Externado de Colombia, 4 ed., 2015, p. 921 y ss).</w:t>
      </w:r>
    </w:p>
  </w:footnote>
  <w:footnote w:id="8">
    <w:p w14:paraId="5DCF2947" w14:textId="77777777" w:rsidR="00371C3F" w:rsidRPr="003A7739" w:rsidRDefault="00371C3F" w:rsidP="00371C3F">
      <w:pPr>
        <w:pStyle w:val="Textonotapie"/>
        <w:ind w:firstLine="708"/>
        <w:jc w:val="both"/>
        <w:rPr>
          <w:rFonts w:ascii="Verdana" w:hAnsi="Verdana"/>
          <w:sz w:val="16"/>
          <w:szCs w:val="16"/>
          <w:lang w:val="es-ES"/>
        </w:rPr>
      </w:pPr>
      <w:r w:rsidRPr="003A7739">
        <w:rPr>
          <w:rStyle w:val="Refdenotaalpie"/>
          <w:rFonts w:ascii="Verdana" w:hAnsi="Verdana"/>
          <w:sz w:val="16"/>
          <w:szCs w:val="16"/>
        </w:rPr>
        <w:footnoteRef/>
      </w:r>
      <w:r w:rsidRPr="003A7739">
        <w:rPr>
          <w:rFonts w:ascii="Verdana" w:hAnsi="Verdana"/>
          <w:sz w:val="16"/>
          <w:szCs w:val="16"/>
        </w:rPr>
        <w:t xml:space="preserve"> DÁVILA VINUEZA, Luis Guillermo. Régimen jurídico de la contratación estatal. Bogotá: Legis, 2016. p. 600.</w:t>
      </w:r>
    </w:p>
  </w:footnote>
  <w:footnote w:id="9">
    <w:p w14:paraId="6F6F7D4E"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Style w:val="Refdenotaalpie"/>
          <w:rFonts w:ascii="Verdana" w:hAnsi="Verdana" w:cs="Arial"/>
          <w:color w:val="000000" w:themeColor="text1"/>
          <w:sz w:val="16"/>
          <w:szCs w:val="16"/>
        </w:rPr>
        <w:footnoteRef/>
      </w:r>
      <w:r w:rsidRPr="003A7739">
        <w:rPr>
          <w:rFonts w:ascii="Verdana" w:hAnsi="Verdana"/>
          <w:color w:val="000000" w:themeColor="text1"/>
          <w:sz w:val="16"/>
          <w:szCs w:val="16"/>
        </w:rPr>
        <w:t xml:space="preserve"> </w:t>
      </w:r>
      <w:r w:rsidRPr="003A7739">
        <w:rPr>
          <w:rFonts w:ascii="Verdana" w:hAnsi="Verdana" w:cs="Arial"/>
          <w:color w:val="000000" w:themeColor="text1"/>
          <w:sz w:val="16"/>
          <w:szCs w:val="16"/>
        </w:rPr>
        <w:t>ARTÍCULO 2.2.1.2.3.1.7. Garantía de cumplimiento. La garantía de cumplimiento del contrato debe cubrir:</w:t>
      </w:r>
    </w:p>
    <w:p w14:paraId="2327047C"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2AE3D94C"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2. Devolución del pago anticipado. Este amparo cubre los perjuicios sufridos por la Entidad Estatal por la no devolución total o parcial del dinero entregado al contratista a título de pago anticipado, cuando a ello hubiere lugar.</w:t>
      </w:r>
    </w:p>
    <w:p w14:paraId="021400B2"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 Cumplimiento del contrato. Este amparo cubre a la Entidad Estatal de los perjuicios derivados de:</w:t>
      </w:r>
    </w:p>
    <w:p w14:paraId="546B5619"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3.1. El incumplimiento total o parcial del contrato, cuando el incumplimiento es imputable al contratista;</w:t>
      </w:r>
    </w:p>
    <w:p w14:paraId="34D2E815"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3.2. El cumplimiento tardío o defectuoso del contrato, cuando el incumplimiento es imputable al contratista;</w:t>
      </w:r>
    </w:p>
    <w:p w14:paraId="1A1E46CC"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3.3. Los daños imputables al contratista por entregas parciales de la obra, cuando el contrato no prevé entregas parciales; y</w:t>
      </w:r>
    </w:p>
    <w:p w14:paraId="168EB96F"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3.4. El pago del valor de las multas y de la cláusula penal pecuniaria.</w:t>
      </w:r>
    </w:p>
    <w:p w14:paraId="7C6C8913"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w:t>
      </w:r>
    </w:p>
    <w:p w14:paraId="6AD38F1E"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La Entidad Estatal no debe exigir una garantía para cubrir este Riesgo en los contratos que se ejecuten fuera del territorio nacional con personal contratado bajo un régimen jurídico distinto al colombiano.</w:t>
      </w:r>
    </w:p>
    <w:p w14:paraId="51265D6B" w14:textId="77777777" w:rsidR="00371C3F" w:rsidRPr="003A7739" w:rsidRDefault="00371C3F" w:rsidP="00371C3F">
      <w:pPr>
        <w:pStyle w:val="Sinespaciado"/>
        <w:ind w:firstLine="708"/>
        <w:jc w:val="both"/>
        <w:rPr>
          <w:rFonts w:ascii="Verdana" w:eastAsia="Calibri" w:hAnsi="Verdana" w:cs="Arial"/>
          <w:color w:val="000000" w:themeColor="text1"/>
          <w:sz w:val="16"/>
          <w:szCs w:val="16"/>
          <w:lang w:val="es-ES"/>
        </w:rPr>
      </w:pPr>
      <w:r w:rsidRPr="003A7739">
        <w:rPr>
          <w:rFonts w:ascii="Verdana" w:hAnsi="Verdana" w:cs="Arial"/>
          <w:color w:val="000000" w:themeColor="text1"/>
          <w:sz w:val="16"/>
          <w:szCs w:val="16"/>
        </w:rPr>
        <w:t>5. Estabilidad y calidad de la obra. Este amparo cubre a la Entidad Estatal de los perjuicios ocasionados por cualquier tipo de daño o deterioro, imputable al contratista, sufrido por la obra entregada a satisfacción.</w:t>
      </w:r>
    </w:p>
    <w:p w14:paraId="47DAC4E3"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6. Calidad del servicio. Este amparo cubre a la Entidad Estatal por los perjuicios derivados de la deficiente calidad del servicio prestado.</w:t>
      </w:r>
    </w:p>
    <w:p w14:paraId="2EC00B56"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7. Calidad y correcto funcionamiento de los bienes. Este amparo debe cubrir la calidad y el correcto funcionamiento de los bienes que recibe la Entidad Estatal en cumplimiento de un contrato.</w:t>
      </w:r>
    </w:p>
    <w:p w14:paraId="187FB80A" w14:textId="77777777" w:rsidR="00371C3F" w:rsidRPr="003A7739" w:rsidRDefault="00371C3F" w:rsidP="00371C3F">
      <w:pPr>
        <w:pStyle w:val="Sinespaciado"/>
        <w:ind w:firstLine="708"/>
        <w:jc w:val="both"/>
        <w:rPr>
          <w:rFonts w:ascii="Verdana" w:hAnsi="Verdana" w:cs="Arial"/>
          <w:color w:val="000000" w:themeColor="text1"/>
          <w:sz w:val="16"/>
          <w:szCs w:val="16"/>
        </w:rPr>
      </w:pPr>
      <w:r w:rsidRPr="003A7739">
        <w:rPr>
          <w:rFonts w:ascii="Verdana" w:hAnsi="Verdana" w:cs="Arial"/>
          <w:color w:val="000000" w:themeColor="text1"/>
          <w:sz w:val="16"/>
          <w:szCs w:val="16"/>
        </w:rPr>
        <w:t>8. Los demás incumplimientos de obligaciones que la Entidad Estatal considere deben ser amparados de manera proporcional y acorde a la naturaleza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98D0D6F"/>
    <w:multiLevelType w:val="multilevel"/>
    <w:tmpl w:val="15FE1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2"/>
  </w:num>
  <w:num w:numId="14" w16cid:durableId="895897244">
    <w:abstractNumId w:val="15"/>
  </w:num>
  <w:num w:numId="15" w16cid:durableId="390349800">
    <w:abstractNumId w:val="10"/>
  </w:num>
  <w:num w:numId="16" w16cid:durableId="752319919">
    <w:abstractNumId w:val="3"/>
  </w:num>
  <w:num w:numId="17" w16cid:durableId="262223403">
    <w:abstractNumId w:val="9"/>
  </w:num>
  <w:num w:numId="18" w16cid:durableId="17454958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1981"/>
    <w:rsid w:val="00046945"/>
    <w:rsid w:val="00061B2A"/>
    <w:rsid w:val="00082362"/>
    <w:rsid w:val="00091470"/>
    <w:rsid w:val="000A683E"/>
    <w:rsid w:val="000B19B9"/>
    <w:rsid w:val="000D0334"/>
    <w:rsid w:val="000D5DA7"/>
    <w:rsid w:val="000F6486"/>
    <w:rsid w:val="00102D1B"/>
    <w:rsid w:val="00116940"/>
    <w:rsid w:val="00120E5C"/>
    <w:rsid w:val="00125105"/>
    <w:rsid w:val="00127233"/>
    <w:rsid w:val="00134596"/>
    <w:rsid w:val="0015699B"/>
    <w:rsid w:val="00175C11"/>
    <w:rsid w:val="001766CC"/>
    <w:rsid w:val="001A33BF"/>
    <w:rsid w:val="001E4177"/>
    <w:rsid w:val="001E77D6"/>
    <w:rsid w:val="001F0B24"/>
    <w:rsid w:val="001F4631"/>
    <w:rsid w:val="001F528D"/>
    <w:rsid w:val="001F7DC6"/>
    <w:rsid w:val="0022400B"/>
    <w:rsid w:val="002421BB"/>
    <w:rsid w:val="00254418"/>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245D1"/>
    <w:rsid w:val="00330834"/>
    <w:rsid w:val="003448F4"/>
    <w:rsid w:val="00371C3F"/>
    <w:rsid w:val="00374F5E"/>
    <w:rsid w:val="00377E3E"/>
    <w:rsid w:val="003A779E"/>
    <w:rsid w:val="003B52A5"/>
    <w:rsid w:val="003D0F4D"/>
    <w:rsid w:val="003D5B0D"/>
    <w:rsid w:val="003D7EFB"/>
    <w:rsid w:val="003E0499"/>
    <w:rsid w:val="003E4F80"/>
    <w:rsid w:val="003E6439"/>
    <w:rsid w:val="003F3941"/>
    <w:rsid w:val="00406575"/>
    <w:rsid w:val="00414C74"/>
    <w:rsid w:val="0042722E"/>
    <w:rsid w:val="0044528D"/>
    <w:rsid w:val="00466E39"/>
    <w:rsid w:val="0047059D"/>
    <w:rsid w:val="004732FA"/>
    <w:rsid w:val="004A1847"/>
    <w:rsid w:val="004A305D"/>
    <w:rsid w:val="004F21C4"/>
    <w:rsid w:val="004F685F"/>
    <w:rsid w:val="00537035"/>
    <w:rsid w:val="005566E8"/>
    <w:rsid w:val="005645E6"/>
    <w:rsid w:val="00574867"/>
    <w:rsid w:val="0057577E"/>
    <w:rsid w:val="00591460"/>
    <w:rsid w:val="00597228"/>
    <w:rsid w:val="005A5ED3"/>
    <w:rsid w:val="005A65E0"/>
    <w:rsid w:val="005C3777"/>
    <w:rsid w:val="005C5CDC"/>
    <w:rsid w:val="005D476C"/>
    <w:rsid w:val="006200BF"/>
    <w:rsid w:val="006219F8"/>
    <w:rsid w:val="006228BD"/>
    <w:rsid w:val="006302F7"/>
    <w:rsid w:val="00646B9F"/>
    <w:rsid w:val="00663985"/>
    <w:rsid w:val="00665D70"/>
    <w:rsid w:val="0066799F"/>
    <w:rsid w:val="006900D9"/>
    <w:rsid w:val="00706C16"/>
    <w:rsid w:val="007340C3"/>
    <w:rsid w:val="0075072F"/>
    <w:rsid w:val="0075235A"/>
    <w:rsid w:val="00756841"/>
    <w:rsid w:val="00763F4E"/>
    <w:rsid w:val="007649AB"/>
    <w:rsid w:val="00770D15"/>
    <w:rsid w:val="00771D0C"/>
    <w:rsid w:val="007833AC"/>
    <w:rsid w:val="007B268C"/>
    <w:rsid w:val="007B3E89"/>
    <w:rsid w:val="007B7171"/>
    <w:rsid w:val="007C0C0F"/>
    <w:rsid w:val="007C3DC2"/>
    <w:rsid w:val="007D40E3"/>
    <w:rsid w:val="007E4E0A"/>
    <w:rsid w:val="007E5497"/>
    <w:rsid w:val="007F553A"/>
    <w:rsid w:val="00806F5F"/>
    <w:rsid w:val="00820278"/>
    <w:rsid w:val="008258C9"/>
    <w:rsid w:val="00844AE9"/>
    <w:rsid w:val="00867F95"/>
    <w:rsid w:val="008728C7"/>
    <w:rsid w:val="008843B6"/>
    <w:rsid w:val="00891928"/>
    <w:rsid w:val="008A446D"/>
    <w:rsid w:val="008B25F1"/>
    <w:rsid w:val="008D180B"/>
    <w:rsid w:val="008F0EA7"/>
    <w:rsid w:val="00923EEF"/>
    <w:rsid w:val="00930C11"/>
    <w:rsid w:val="009419F9"/>
    <w:rsid w:val="0095685E"/>
    <w:rsid w:val="00961B09"/>
    <w:rsid w:val="00965334"/>
    <w:rsid w:val="0097093E"/>
    <w:rsid w:val="00997FC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B742B"/>
    <w:rsid w:val="00AE0AEC"/>
    <w:rsid w:val="00B00C0E"/>
    <w:rsid w:val="00B01B1A"/>
    <w:rsid w:val="00B0381D"/>
    <w:rsid w:val="00B123DB"/>
    <w:rsid w:val="00B340E4"/>
    <w:rsid w:val="00B41A59"/>
    <w:rsid w:val="00B44A47"/>
    <w:rsid w:val="00B53945"/>
    <w:rsid w:val="00B72CD3"/>
    <w:rsid w:val="00B72FFF"/>
    <w:rsid w:val="00BC3D36"/>
    <w:rsid w:val="00BD54A6"/>
    <w:rsid w:val="00BD7F72"/>
    <w:rsid w:val="00BE5E53"/>
    <w:rsid w:val="00BF338E"/>
    <w:rsid w:val="00BF7425"/>
    <w:rsid w:val="00C04FB3"/>
    <w:rsid w:val="00C11D8B"/>
    <w:rsid w:val="00C15139"/>
    <w:rsid w:val="00C330EB"/>
    <w:rsid w:val="00C47977"/>
    <w:rsid w:val="00C50D69"/>
    <w:rsid w:val="00C5365C"/>
    <w:rsid w:val="00C71550"/>
    <w:rsid w:val="00C754BE"/>
    <w:rsid w:val="00C76B1C"/>
    <w:rsid w:val="00C925AC"/>
    <w:rsid w:val="00C973D0"/>
    <w:rsid w:val="00CB6357"/>
    <w:rsid w:val="00CC1B26"/>
    <w:rsid w:val="00CC21F7"/>
    <w:rsid w:val="00CD08DF"/>
    <w:rsid w:val="00CE78D6"/>
    <w:rsid w:val="00CF507C"/>
    <w:rsid w:val="00D250F2"/>
    <w:rsid w:val="00D361FD"/>
    <w:rsid w:val="00D423A2"/>
    <w:rsid w:val="00D442D3"/>
    <w:rsid w:val="00D44E26"/>
    <w:rsid w:val="00D520D8"/>
    <w:rsid w:val="00D63AC2"/>
    <w:rsid w:val="00D7383B"/>
    <w:rsid w:val="00D7788A"/>
    <w:rsid w:val="00DA231B"/>
    <w:rsid w:val="00DC39FC"/>
    <w:rsid w:val="00DC419F"/>
    <w:rsid w:val="00DF5254"/>
    <w:rsid w:val="00E02524"/>
    <w:rsid w:val="00E16408"/>
    <w:rsid w:val="00E20894"/>
    <w:rsid w:val="00E245AB"/>
    <w:rsid w:val="00E2764C"/>
    <w:rsid w:val="00E27F2E"/>
    <w:rsid w:val="00E50AFE"/>
    <w:rsid w:val="00E75C92"/>
    <w:rsid w:val="00E771DC"/>
    <w:rsid w:val="00E8772A"/>
    <w:rsid w:val="00E90F6B"/>
    <w:rsid w:val="00E92C27"/>
    <w:rsid w:val="00E95F50"/>
    <w:rsid w:val="00EA0E3D"/>
    <w:rsid w:val="00EB60CE"/>
    <w:rsid w:val="00EC38A7"/>
    <w:rsid w:val="00EE1AA8"/>
    <w:rsid w:val="00F23FEA"/>
    <w:rsid w:val="00F31EDC"/>
    <w:rsid w:val="00F462B3"/>
    <w:rsid w:val="00F5471A"/>
    <w:rsid w:val="00F5664F"/>
    <w:rsid w:val="00F60F29"/>
    <w:rsid w:val="00F666C4"/>
    <w:rsid w:val="00F74870"/>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3D491140"/>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1933810-1B77-4D33-955B-C929D4D13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71C3F"/>
    <w:pPr>
      <w:spacing w:line="240" w:lineRule="exact"/>
    </w:pPr>
    <w:rPr>
      <w:vertAlign w:val="superscript"/>
    </w:rPr>
  </w:style>
  <w:style w:type="paragraph" w:styleId="Sinespaciado">
    <w:name w:val="No Spacing"/>
    <w:uiPriority w:val="1"/>
    <w:qFormat/>
    <w:rsid w:val="00371C3F"/>
    <w:pPr>
      <w:spacing w:after="0" w:line="240" w:lineRule="auto"/>
    </w:pPr>
  </w:style>
  <w:style w:type="table" w:customStyle="1" w:styleId="Tablaconcuadrcula11">
    <w:name w:val="Tabla con cuadrícula11"/>
    <w:basedOn w:val="Tablanormal"/>
    <w:next w:val="Tablaconcuadrcula"/>
    <w:uiPriority w:val="39"/>
    <w:qFormat/>
    <w:rsid w:val="00371C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wp-content/uploads/2024/08/2017-Guia-para-el-manejo-de-anticipos-mediante-contrato-de-fiducia-mercantil-irrevocable-G-MACFMI-01.pdf"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afaelmandonadoochoa@outlook.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C6BB5E-AE1C-4AA7-8E89-51EEC318F9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14</Pages>
  <Words>3943</Words>
  <Characters>21691</Characters>
  <Application>Microsoft Office Word</Application>
  <DocSecurity>0</DocSecurity>
  <Lines>180</Lines>
  <Paragraphs>51</Paragraphs>
  <ScaleCrop>false</ScaleCrop>
  <Company/>
  <LinksUpToDate>false</LinksUpToDate>
  <CharactersWithSpaces>25583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2023-01-11T00:18:00Z</cp:lastPrinted>
  <dcterms:created xsi:type="dcterms:W3CDTF">2026-05-08T21:26:00Z</dcterms:created>
  <dcterms:modified xsi:type="dcterms:W3CDTF">2026-05-08T21:26:00Z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