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C4F1B" w14:textId="3B97B2C9" w:rsidR="00C851C7" w:rsidRPr="00C44CD0" w:rsidRDefault="00C851C7" w:rsidP="00C851C7">
      <w:pPr>
        <w:snapToGrid w:val="0"/>
        <w:contextualSpacing/>
        <w:jc w:val="both"/>
        <w:rPr>
          <w:rFonts w:ascii="Verdana" w:hAnsi="Verdana" w:cs="Arial"/>
          <w:b/>
          <w:bCs/>
          <w:color w:val="000000" w:themeColor="text1"/>
          <w:lang w:val="es-ES" w:eastAsia="es-ES"/>
        </w:rPr>
      </w:pPr>
      <w:bookmarkStart w:id="0" w:name="_Hlk143780582"/>
      <w:r w:rsidRPr="00C44CD0">
        <w:rPr>
          <w:rFonts w:ascii="Verdana" w:hAnsi="Verdana" w:cs="Arial"/>
          <w:b/>
          <w:bCs/>
          <w:color w:val="000000" w:themeColor="text1"/>
          <w:lang w:val="es-ES" w:eastAsia="es-ES"/>
        </w:rPr>
        <w:t>LEY DE GARANTÍAS ELECTORALES – Finalidad</w:t>
      </w:r>
    </w:p>
    <w:p w14:paraId="13B3A3BD" w14:textId="77777777" w:rsidR="00C851C7" w:rsidRPr="00C44CD0" w:rsidRDefault="00C851C7" w:rsidP="00C851C7">
      <w:pPr>
        <w:snapToGrid w:val="0"/>
        <w:contextualSpacing/>
        <w:jc w:val="both"/>
        <w:rPr>
          <w:rFonts w:ascii="Verdana" w:hAnsi="Verdana" w:cs="Arial"/>
          <w:b/>
          <w:bCs/>
          <w:color w:val="000000" w:themeColor="text1"/>
          <w:lang w:val="es-ES" w:eastAsia="es-ES"/>
        </w:rPr>
      </w:pPr>
    </w:p>
    <w:p w14:paraId="6D9D56D5" w14:textId="77777777" w:rsidR="00C851C7" w:rsidRPr="00C44CD0" w:rsidRDefault="00C851C7" w:rsidP="00C851C7">
      <w:pPr>
        <w:tabs>
          <w:tab w:val="left" w:pos="426"/>
        </w:tabs>
        <w:snapToGrid w:val="0"/>
        <w:spacing w:after="0" w:line="240" w:lineRule="auto"/>
        <w:contextualSpacing/>
        <w:jc w:val="both"/>
        <w:rPr>
          <w:rFonts w:ascii="Verdana" w:hAnsi="Verdana" w:cs="Arial"/>
          <w:color w:val="000000" w:themeColor="text1"/>
          <w:sz w:val="20"/>
          <w:szCs w:val="20"/>
          <w:lang w:val="es-ES"/>
        </w:rPr>
      </w:pPr>
      <w:r w:rsidRPr="00C44CD0">
        <w:rPr>
          <w:rFonts w:ascii="Verdana" w:eastAsia="Times New Roman" w:hAnsi="Verdana" w:cs="Arial"/>
          <w:color w:val="000000" w:themeColor="text1"/>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44CD0">
        <w:rPr>
          <w:rFonts w:ascii="Verdana" w:hAnsi="Verdana" w:cs="Arial"/>
          <w:color w:val="000000" w:themeColor="text1"/>
          <w:sz w:val="20"/>
          <w:szCs w:val="20"/>
          <w:lang w:val="es-ES"/>
        </w:rPr>
        <w:t xml:space="preserve"> </w:t>
      </w:r>
    </w:p>
    <w:p w14:paraId="48192D07" w14:textId="77777777" w:rsidR="00C851C7" w:rsidRPr="00C44CD0" w:rsidRDefault="00C851C7" w:rsidP="00C851C7">
      <w:pPr>
        <w:snapToGrid w:val="0"/>
        <w:contextualSpacing/>
        <w:jc w:val="both"/>
        <w:rPr>
          <w:rFonts w:ascii="Verdana" w:hAnsi="Verdana" w:cs="Arial"/>
          <w:b/>
          <w:bCs/>
          <w:color w:val="000000" w:themeColor="text1"/>
          <w:lang w:val="es-ES" w:eastAsia="es-ES"/>
        </w:rPr>
      </w:pPr>
    </w:p>
    <w:p w14:paraId="08E144EE" w14:textId="57B41D76" w:rsidR="00C851C7" w:rsidRPr="00C44CD0" w:rsidRDefault="00C851C7" w:rsidP="00C851C7">
      <w:pPr>
        <w:snapToGrid w:val="0"/>
        <w:contextualSpacing/>
        <w:jc w:val="both"/>
        <w:rPr>
          <w:rFonts w:ascii="Verdana" w:hAnsi="Verdana" w:cs="Arial"/>
          <w:b/>
          <w:bCs/>
          <w:color w:val="000000" w:themeColor="text1"/>
          <w:sz w:val="20"/>
          <w:szCs w:val="20"/>
          <w:lang w:val="es-ES" w:eastAsia="es-ES"/>
        </w:rPr>
      </w:pPr>
      <w:r w:rsidRPr="00C44CD0">
        <w:rPr>
          <w:rFonts w:ascii="Verdana" w:hAnsi="Verdana" w:cs="Arial"/>
          <w:b/>
          <w:bCs/>
          <w:color w:val="000000" w:themeColor="text1"/>
          <w:lang w:val="es-ES" w:eastAsia="es-ES"/>
        </w:rPr>
        <w:t>LEY DE GARANTÍAS ELECTORALES ‒ Restricciones ‒ Contratación ‒ Tipos de elección</w:t>
      </w:r>
      <w:r w:rsidR="002D1555" w:rsidRPr="00C44CD0">
        <w:rPr>
          <w:rFonts w:ascii="Verdana" w:hAnsi="Verdana" w:cs="Arial"/>
          <w:b/>
          <w:bCs/>
          <w:color w:val="000000" w:themeColor="text1"/>
          <w:lang w:val="es-ES" w:eastAsia="es-ES"/>
        </w:rPr>
        <w:t xml:space="preserve"> ‒ Celebración </w:t>
      </w:r>
    </w:p>
    <w:p w14:paraId="451E1AB4" w14:textId="77777777" w:rsidR="00C851C7" w:rsidRPr="00C44CD0" w:rsidRDefault="00C851C7" w:rsidP="00C851C7">
      <w:pPr>
        <w:snapToGrid w:val="0"/>
        <w:spacing w:after="0" w:line="240" w:lineRule="auto"/>
        <w:contextualSpacing/>
        <w:jc w:val="both"/>
        <w:rPr>
          <w:rFonts w:ascii="Verdana" w:hAnsi="Verdana" w:cs="Arial"/>
          <w:color w:val="000000" w:themeColor="text1"/>
          <w:sz w:val="20"/>
          <w:szCs w:val="20"/>
          <w:lang w:val="es-ES" w:eastAsia="es-ES"/>
        </w:rPr>
      </w:pPr>
    </w:p>
    <w:p w14:paraId="2EF346BB" w14:textId="77777777" w:rsidR="00C851C7" w:rsidRPr="00C44CD0" w:rsidRDefault="00C851C7" w:rsidP="00C851C7">
      <w:pPr>
        <w:snapToGrid w:val="0"/>
        <w:spacing w:after="0" w:line="240" w:lineRule="auto"/>
        <w:contextualSpacing/>
        <w:jc w:val="both"/>
        <w:rPr>
          <w:rFonts w:ascii="Verdana" w:hAnsi="Verdana" w:cs="Arial"/>
          <w:color w:val="000000" w:themeColor="text1"/>
          <w:sz w:val="20"/>
          <w:szCs w:val="20"/>
          <w:lang w:val="es-ES"/>
        </w:rPr>
      </w:pPr>
      <w:r w:rsidRPr="00C44CD0">
        <w:rPr>
          <w:rFonts w:ascii="Verdana" w:hAnsi="Verdana" w:cs="Arial"/>
          <w:color w:val="000000" w:themeColor="text1"/>
          <w:sz w:val="20"/>
          <w:szCs w:val="20"/>
          <w:lang w:val="es-ES"/>
        </w:rPr>
        <w:t xml:space="preserve">Por un lado, el </w:t>
      </w:r>
      <w:r w:rsidRPr="00C44CD0">
        <w:rPr>
          <w:rFonts w:ascii="Verdana" w:hAnsi="Verdana" w:cs="Arial"/>
          <w:i/>
          <w:iCs/>
          <w:color w:val="000000" w:themeColor="text1"/>
          <w:sz w:val="20"/>
          <w:szCs w:val="20"/>
          <w:lang w:val="es-ES"/>
        </w:rPr>
        <w:t xml:space="preserve">artículo 33 </w:t>
      </w:r>
      <w:r w:rsidRPr="00C44CD0">
        <w:rPr>
          <w:rFonts w:ascii="Verdana" w:hAnsi="Verdana" w:cs="Arial"/>
          <w:color w:val="000000" w:themeColor="text1"/>
          <w:sz w:val="20"/>
          <w:szCs w:val="20"/>
          <w:lang w:val="es-ES"/>
        </w:rPr>
        <w:t xml:space="preserve">de la Ley 996 de 2005 prohíbe “[…] la contratación directa por parte de </w:t>
      </w:r>
      <w:r w:rsidRPr="00C44CD0">
        <w:rPr>
          <w:rFonts w:ascii="Verdana" w:hAnsi="Verdana" w:cs="Arial"/>
          <w:i/>
          <w:iCs/>
          <w:color w:val="000000" w:themeColor="text1"/>
          <w:sz w:val="20"/>
          <w:szCs w:val="20"/>
          <w:lang w:val="es-ES"/>
        </w:rPr>
        <w:t>todos los entes del Estado</w:t>
      </w:r>
      <w:r w:rsidRPr="00C44CD0">
        <w:rPr>
          <w:rFonts w:ascii="Verdana" w:hAnsi="Verdana" w:cs="Arial"/>
          <w:color w:val="000000" w:themeColor="text1"/>
          <w:sz w:val="20"/>
          <w:szCs w:val="20"/>
          <w:lang w:val="es-ES"/>
        </w:rPr>
        <w:t xml:space="preserve">” durante los cuatro (4) meses anteriores a las </w:t>
      </w:r>
      <w:r w:rsidRPr="00C44CD0">
        <w:rPr>
          <w:rFonts w:ascii="Verdana" w:hAnsi="Verdana" w:cs="Arial"/>
          <w:i/>
          <w:iCs/>
          <w:color w:val="000000" w:themeColor="text1"/>
          <w:sz w:val="20"/>
          <w:szCs w:val="20"/>
          <w:lang w:val="es-ES"/>
        </w:rPr>
        <w:t>elecciones presidenciales</w:t>
      </w:r>
      <w:r w:rsidRPr="00C44CD0">
        <w:rPr>
          <w:rFonts w:ascii="Verdana" w:hAnsi="Verdana" w:cs="Arial"/>
          <w:color w:val="000000" w:themeColor="text1"/>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44CD0" w:rsidRDefault="00C851C7" w:rsidP="00C851C7">
      <w:pPr>
        <w:snapToGrid w:val="0"/>
        <w:spacing w:after="0" w:line="240" w:lineRule="auto"/>
        <w:contextualSpacing/>
        <w:jc w:val="both"/>
        <w:rPr>
          <w:rFonts w:ascii="Verdana" w:hAnsi="Verdana" w:cs="Arial"/>
          <w:color w:val="000000" w:themeColor="text1"/>
          <w:sz w:val="20"/>
          <w:szCs w:val="20"/>
          <w:lang w:val="es-ES"/>
        </w:rPr>
      </w:pPr>
    </w:p>
    <w:p w14:paraId="3877BD03" w14:textId="77777777" w:rsidR="00C851C7" w:rsidRPr="00C44CD0" w:rsidRDefault="00C851C7" w:rsidP="00C851C7">
      <w:pPr>
        <w:widowControl w:val="0"/>
        <w:autoSpaceDE w:val="0"/>
        <w:autoSpaceDN w:val="0"/>
        <w:snapToGrid w:val="0"/>
        <w:spacing w:after="0" w:line="240" w:lineRule="auto"/>
        <w:ind w:right="113"/>
        <w:contextualSpacing/>
        <w:jc w:val="both"/>
        <w:rPr>
          <w:rFonts w:ascii="Verdana" w:eastAsia="Arial" w:hAnsi="Verdana" w:cs="Arial"/>
          <w:color w:val="000000" w:themeColor="text1"/>
          <w:sz w:val="20"/>
          <w:szCs w:val="20"/>
          <w:lang w:val="es-ES" w:eastAsia="es-ES" w:bidi="es-ES"/>
        </w:rPr>
      </w:pPr>
      <w:r w:rsidRPr="00C44CD0">
        <w:rPr>
          <w:rFonts w:ascii="Verdana" w:hAnsi="Verdana" w:cs="Arial"/>
          <w:color w:val="000000" w:themeColor="text1"/>
          <w:sz w:val="20"/>
          <w:szCs w:val="20"/>
          <w:lang w:val="es-ES"/>
        </w:rPr>
        <w:t xml:space="preserve">Por otro lado, </w:t>
      </w:r>
      <w:r w:rsidRPr="00C44CD0">
        <w:rPr>
          <w:rFonts w:ascii="Verdana" w:hAnsi="Verdana" w:cs="Arial"/>
          <w:i/>
          <w:iCs/>
          <w:color w:val="000000" w:themeColor="text1"/>
          <w:sz w:val="20"/>
          <w:szCs w:val="20"/>
          <w:lang w:val="es-ES"/>
        </w:rPr>
        <w:t xml:space="preserve">el parágrafo del artículo 38 </w:t>
      </w:r>
      <w:r w:rsidRPr="00C44CD0">
        <w:rPr>
          <w:rFonts w:ascii="Verdana" w:hAnsi="Verdana" w:cs="Arial"/>
          <w:color w:val="000000" w:themeColor="text1"/>
          <w:sz w:val="20"/>
          <w:szCs w:val="20"/>
          <w:lang w:val="es-ES"/>
        </w:rPr>
        <w:t xml:space="preserve">de la Ley 996 de 2005 prevé una restricción, aplicable respecto de </w:t>
      </w:r>
      <w:r w:rsidRPr="00C44CD0">
        <w:rPr>
          <w:rFonts w:ascii="Verdana" w:hAnsi="Verdana" w:cs="Arial"/>
          <w:i/>
          <w:iCs/>
          <w:color w:val="000000" w:themeColor="text1"/>
          <w:sz w:val="20"/>
          <w:szCs w:val="20"/>
          <w:lang w:val="es-ES"/>
        </w:rPr>
        <w:t>cualquier tipo de contienda electoral</w:t>
      </w:r>
      <w:r w:rsidRPr="00C44CD0">
        <w:rPr>
          <w:rFonts w:ascii="Verdana" w:hAnsi="Verdana" w:cs="Arial"/>
          <w:color w:val="000000" w:themeColor="text1"/>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44CD0">
        <w:rPr>
          <w:rFonts w:ascii="Verdana" w:eastAsia="Arial" w:hAnsi="Verdana" w:cs="Arial"/>
          <w:color w:val="000000" w:themeColor="text1"/>
          <w:sz w:val="20"/>
          <w:szCs w:val="20"/>
          <w:lang w:val="es-ES" w:eastAsia="es-ES" w:bidi="es-ES"/>
        </w:rPr>
        <w:t xml:space="preserve"> </w:t>
      </w:r>
    </w:p>
    <w:p w14:paraId="47D6B28B" w14:textId="77777777" w:rsidR="00765900" w:rsidRPr="00C44CD0" w:rsidRDefault="00765900" w:rsidP="00765900">
      <w:pPr>
        <w:spacing w:after="0"/>
        <w:jc w:val="both"/>
        <w:rPr>
          <w:rFonts w:ascii="Verdana" w:hAnsi="Verdana" w:cs="Arial"/>
          <w:b/>
          <w:color w:val="000000" w:themeColor="text1"/>
          <w:lang w:val="es-MX" w:eastAsia="es-ES_tradnl"/>
        </w:rPr>
      </w:pPr>
    </w:p>
    <w:p w14:paraId="0DF9F04B" w14:textId="5DAA4467" w:rsidR="002D1555" w:rsidRPr="00C44CD0" w:rsidRDefault="009B5A20" w:rsidP="009B5A20">
      <w:pPr>
        <w:spacing w:after="0"/>
        <w:jc w:val="both"/>
        <w:rPr>
          <w:rFonts w:ascii="Verdana" w:hAnsi="Verdana" w:cs="Arial"/>
          <w:b/>
          <w:color w:val="000000" w:themeColor="text1"/>
          <w:lang w:val="es-MX" w:eastAsia="es-ES_tradnl"/>
        </w:rPr>
      </w:pPr>
      <w:r w:rsidRPr="00C44CD0">
        <w:rPr>
          <w:rFonts w:ascii="Verdana" w:hAnsi="Verdana" w:cs="Arial"/>
          <w:color w:val="000000" w:themeColor="text1"/>
          <w:sz w:val="20"/>
          <w:szCs w:val="20"/>
          <w:lang w:val="es-ES"/>
        </w:rPr>
        <w:t>[…]</w:t>
      </w:r>
    </w:p>
    <w:p w14:paraId="43705CBF" w14:textId="264DB3DD" w:rsidR="002D1555" w:rsidRPr="00C44CD0" w:rsidRDefault="002D1555" w:rsidP="002D1555">
      <w:pPr>
        <w:spacing w:after="0" w:line="240" w:lineRule="auto"/>
        <w:jc w:val="both"/>
        <w:rPr>
          <w:rFonts w:ascii="Verdana" w:hAnsi="Verdana" w:cs="Arial"/>
          <w:color w:val="000000" w:themeColor="text1"/>
          <w:sz w:val="20"/>
          <w:szCs w:val="20"/>
          <w:lang w:val="es-ES"/>
        </w:rPr>
      </w:pPr>
      <w:r w:rsidRPr="00C44CD0">
        <w:rPr>
          <w:rFonts w:ascii="Verdana" w:hAnsi="Verdana" w:cs="Arial"/>
          <w:color w:val="000000" w:themeColor="text1"/>
          <w:sz w:val="20"/>
          <w:szCs w:val="20"/>
          <w:lang w:val="es-ES"/>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D4892A3" w14:textId="77777777" w:rsidR="002D1555" w:rsidRPr="00C44CD0" w:rsidRDefault="002D1555" w:rsidP="00765900">
      <w:pPr>
        <w:spacing w:after="0"/>
        <w:jc w:val="both"/>
        <w:rPr>
          <w:rFonts w:ascii="Verdana" w:hAnsi="Verdana" w:cs="Arial"/>
          <w:b/>
          <w:bCs/>
          <w:color w:val="000000" w:themeColor="text1"/>
          <w:lang w:val="es-MX" w:eastAsia="es-ES_tradnl"/>
        </w:rPr>
      </w:pPr>
    </w:p>
    <w:p w14:paraId="7FC03EBE" w14:textId="77777777" w:rsidR="009B5A20" w:rsidRPr="00C44CD0" w:rsidRDefault="009B5A20" w:rsidP="009B5A20">
      <w:pPr>
        <w:spacing w:line="276" w:lineRule="auto"/>
        <w:jc w:val="both"/>
        <w:rPr>
          <w:rFonts w:ascii="Verdana" w:hAnsi="Verdana" w:cs="Arial"/>
          <w:b/>
          <w:bCs/>
          <w:color w:val="000000" w:themeColor="text1"/>
          <w:lang w:val="es-MX" w:eastAsia="es-ES_tradnl"/>
        </w:rPr>
      </w:pPr>
      <w:r w:rsidRPr="00C44CD0">
        <w:rPr>
          <w:rFonts w:ascii="Verdana" w:eastAsia="Calibri" w:hAnsi="Verdana" w:cs="Arial"/>
          <w:b/>
          <w:bCs/>
          <w:color w:val="000000" w:themeColor="text1"/>
          <w:lang w:val="es-ES" w:eastAsia="es-ES"/>
        </w:rPr>
        <w:t xml:space="preserve">LEY DE GARANTÍAS ELECTORALES ‒ Artículo 33 ‒ Ámbito material ‒ Destinatarios </w:t>
      </w:r>
    </w:p>
    <w:p w14:paraId="72D41059" w14:textId="63FBC7D7" w:rsidR="009B5A20" w:rsidRPr="00C44CD0" w:rsidRDefault="009B5A20" w:rsidP="009B5A20">
      <w:pPr>
        <w:spacing w:after="0" w:line="240" w:lineRule="auto"/>
        <w:jc w:val="both"/>
        <w:rPr>
          <w:rFonts w:ascii="Verdana" w:eastAsia="Calibri" w:hAnsi="Verdana" w:cs="Arial"/>
          <w:color w:val="000000" w:themeColor="text1"/>
          <w:sz w:val="20"/>
          <w:szCs w:val="20"/>
          <w:lang w:eastAsia="x-none"/>
        </w:rPr>
      </w:pPr>
      <w:r w:rsidRPr="00C44CD0">
        <w:rPr>
          <w:rFonts w:ascii="Verdana" w:eastAsia="Times New Roman" w:hAnsi="Verdana" w:cs="Arial"/>
          <w:color w:val="000000" w:themeColor="text1"/>
          <w:sz w:val="20"/>
          <w:szCs w:val="20"/>
          <w:lang w:eastAsia="x-none"/>
        </w:rPr>
        <w:t>La prohibición del artículo 33 de la Ley de Garantías Electorales se refiere a “cualquier sistema que no implique convocatoria pública y posibilidad de pluralidad de oferentes</w:t>
      </w:r>
      <w:r w:rsidRPr="00C44CD0">
        <w:rPr>
          <w:rFonts w:ascii="Verdana" w:eastAsia="Times New Roman" w:hAnsi="Verdana" w:cs="Arial"/>
          <w:color w:val="000000" w:themeColor="text1"/>
          <w:sz w:val="20"/>
          <w:szCs w:val="20"/>
          <w:lang w:eastAsia="en-GB"/>
        </w:rPr>
        <w:t>”</w:t>
      </w:r>
      <w:r w:rsidRPr="00C44CD0">
        <w:rPr>
          <w:rFonts w:ascii="Verdana" w:eastAsia="Times New Roman" w:hAnsi="Verdana" w:cs="Arial"/>
          <w:color w:val="000000" w:themeColor="text1"/>
          <w:sz w:val="20"/>
          <w:szCs w:val="20"/>
          <w:lang w:eastAsia="x-none"/>
        </w:rPr>
        <w:t xml:space="preserve">, por lo que excluye las demás modalidades de contratación previstas en la Ley 1150 de 2007, esto es, la licitación pública, la selección abreviada, el concurso de méritos </w:t>
      </w:r>
      <w:r w:rsidRPr="00C44CD0">
        <w:rPr>
          <w:rFonts w:ascii="Verdana" w:eastAsia="Times New Roman" w:hAnsi="Verdana" w:cs="Arial"/>
          <w:color w:val="000000" w:themeColor="text1"/>
          <w:sz w:val="20"/>
          <w:szCs w:val="20"/>
          <w:lang w:val="es-ES_tradnl" w:eastAsia="x-none"/>
        </w:rPr>
        <w:t xml:space="preserve">y la mínima cuantía </w:t>
      </w:r>
      <w:r w:rsidRPr="00C44CD0">
        <w:rPr>
          <w:rFonts w:ascii="Verdana" w:eastAsia="Times New Roman" w:hAnsi="Verdana" w:cs="Arial"/>
          <w:color w:val="000000" w:themeColor="text1"/>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C44CD0">
        <w:rPr>
          <w:rFonts w:ascii="Verdana" w:eastAsia="Calibri" w:hAnsi="Verdana" w:cs="Arial"/>
          <w:color w:val="000000" w:themeColor="text1"/>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15D18F6F" w14:textId="4A258D69" w:rsidR="009B5A20" w:rsidRPr="00C44CD0" w:rsidRDefault="009B5A20" w:rsidP="009B5A20">
      <w:pPr>
        <w:spacing w:after="0" w:line="240" w:lineRule="auto"/>
        <w:jc w:val="both"/>
        <w:rPr>
          <w:rFonts w:ascii="Verdana" w:eastAsia="Times New Roman" w:hAnsi="Verdana" w:cs="Arial"/>
          <w:bCs/>
          <w:color w:val="000000" w:themeColor="text1"/>
          <w:sz w:val="20"/>
          <w:szCs w:val="20"/>
          <w:lang w:eastAsia="x-none"/>
        </w:rPr>
      </w:pPr>
      <w:r w:rsidRPr="00C44CD0">
        <w:rPr>
          <w:rFonts w:ascii="Verdana" w:eastAsia="Arial" w:hAnsi="Verdana" w:cs="Arial"/>
          <w:color w:val="000000" w:themeColor="text1"/>
          <w:sz w:val="20"/>
          <w:szCs w:val="20"/>
          <w:lang w:val="es-MX" w:eastAsia="es-ES" w:bidi="es-ES"/>
        </w:rPr>
        <w:t>[…]</w:t>
      </w:r>
    </w:p>
    <w:p w14:paraId="58E24D37" w14:textId="77777777" w:rsidR="009B5A20" w:rsidRPr="00C44CD0" w:rsidRDefault="009B5A20" w:rsidP="009B5A20">
      <w:pPr>
        <w:spacing w:after="0" w:line="240" w:lineRule="auto"/>
        <w:jc w:val="both"/>
        <w:rPr>
          <w:rFonts w:ascii="Verdana" w:eastAsia="Times New Roman" w:hAnsi="Verdana" w:cs="Arial"/>
          <w:bCs/>
          <w:color w:val="000000" w:themeColor="text1"/>
          <w:sz w:val="20"/>
          <w:szCs w:val="20"/>
          <w:lang w:eastAsia="x-none"/>
        </w:rPr>
      </w:pPr>
    </w:p>
    <w:p w14:paraId="1E4C0BD3" w14:textId="2524F4D7" w:rsidR="009B5A20" w:rsidRPr="00C44CD0" w:rsidRDefault="009B5A20" w:rsidP="009B5A20">
      <w:pPr>
        <w:jc w:val="both"/>
        <w:rPr>
          <w:rFonts w:ascii="Verdana" w:eastAsia="Times New Roman" w:hAnsi="Verdana" w:cs="Arial"/>
          <w:bCs/>
          <w:color w:val="000000" w:themeColor="text1"/>
          <w:sz w:val="20"/>
          <w:szCs w:val="20"/>
          <w:lang w:val="es-MX" w:eastAsia="x-none"/>
        </w:rPr>
      </w:pPr>
      <w:r w:rsidRPr="00C44CD0">
        <w:rPr>
          <w:rFonts w:ascii="Verdana" w:eastAsia="Times New Roman" w:hAnsi="Verdana" w:cs="Arial"/>
          <w:bCs/>
          <w:color w:val="000000" w:themeColor="text1"/>
          <w:sz w:val="20"/>
          <w:szCs w:val="20"/>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p>
    <w:p w14:paraId="5AD12929" w14:textId="77777777" w:rsidR="009B5A20" w:rsidRPr="00C44CD0" w:rsidRDefault="009B5A20" w:rsidP="009B5A20">
      <w:pPr>
        <w:spacing w:after="0" w:line="240" w:lineRule="auto"/>
        <w:jc w:val="both"/>
        <w:rPr>
          <w:rFonts w:ascii="Verdana" w:hAnsi="Verdana" w:cs="Arial"/>
          <w:b/>
          <w:bCs/>
          <w:color w:val="000000" w:themeColor="text1"/>
          <w:sz w:val="20"/>
          <w:szCs w:val="20"/>
          <w:lang w:val="es-MX" w:eastAsia="es-ES_tradnl"/>
        </w:rPr>
      </w:pPr>
    </w:p>
    <w:p w14:paraId="690DCB9A" w14:textId="77777777" w:rsidR="009B5A20" w:rsidRPr="00C44CD0" w:rsidRDefault="009B5A20" w:rsidP="009B5A20">
      <w:pPr>
        <w:spacing w:line="276" w:lineRule="auto"/>
        <w:jc w:val="both"/>
        <w:rPr>
          <w:rFonts w:ascii="Verdana" w:hAnsi="Verdana" w:cs="Arial"/>
          <w:b/>
          <w:bCs/>
          <w:color w:val="000000" w:themeColor="text1"/>
          <w:shd w:val="clear" w:color="auto" w:fill="FFFFFF"/>
          <w:lang w:val="es-ES"/>
        </w:rPr>
      </w:pPr>
      <w:r w:rsidRPr="00C44CD0">
        <w:rPr>
          <w:rFonts w:ascii="Verdana" w:hAnsi="Verdana" w:cs="Arial"/>
          <w:b/>
          <w:bCs/>
          <w:color w:val="000000" w:themeColor="text1"/>
          <w:shd w:val="clear" w:color="auto" w:fill="FFFFFF"/>
          <w:lang w:val="es-ES"/>
        </w:rPr>
        <w:t>SECOP II </w:t>
      </w:r>
      <w:r w:rsidRPr="00C44CD0">
        <w:rPr>
          <w:rFonts w:ascii="Verdana" w:hAnsi="Verdana" w:cs="Arial"/>
          <w:b/>
          <w:bCs/>
          <w:color w:val="000000" w:themeColor="text1"/>
          <w:shd w:val="clear" w:color="auto" w:fill="FFFFFF"/>
          <w:lang w:val="es-MX"/>
        </w:rPr>
        <w:t>–</w:t>
      </w:r>
      <w:r w:rsidRPr="00C44CD0">
        <w:rPr>
          <w:rFonts w:ascii="Verdana" w:hAnsi="Verdana" w:cs="Arial"/>
          <w:b/>
          <w:bCs/>
          <w:color w:val="000000" w:themeColor="text1"/>
          <w:shd w:val="clear" w:color="auto" w:fill="FFFFFF"/>
          <w:lang w:val="es-ES"/>
        </w:rPr>
        <w:t xml:space="preserve"> Plataforma Transaccional </w:t>
      </w:r>
    </w:p>
    <w:p w14:paraId="2CD0B0BD" w14:textId="77777777" w:rsidR="009B5A20" w:rsidRPr="00C44CD0" w:rsidRDefault="009B5A20" w:rsidP="009B5A20">
      <w:pPr>
        <w:spacing w:after="0" w:line="240" w:lineRule="auto"/>
        <w:jc w:val="both"/>
        <w:rPr>
          <w:rFonts w:ascii="Verdana" w:eastAsia="Times New Roman" w:hAnsi="Verdana" w:cs="Arial"/>
          <w:color w:val="000000" w:themeColor="text1"/>
          <w:sz w:val="20"/>
          <w:szCs w:val="20"/>
          <w:lang w:eastAsia="x-none"/>
        </w:rPr>
      </w:pPr>
      <w:r w:rsidRPr="00C44CD0">
        <w:rPr>
          <w:rFonts w:ascii="Verdana" w:eastAsia="Times New Roman" w:hAnsi="Verdana" w:cs="Arial"/>
          <w:color w:val="000000" w:themeColor="text1"/>
          <w:sz w:val="20"/>
          <w:szCs w:val="20"/>
          <w:lang w:eastAsia="x-none"/>
        </w:rPr>
        <w:t>En primer lugar, es importante destacar que el SECOP II es 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40B8F233" w14:textId="77777777" w:rsidR="009B5A20" w:rsidRPr="00C44CD0" w:rsidRDefault="009B5A20" w:rsidP="009B5A20">
      <w:pPr>
        <w:spacing w:after="0" w:line="240" w:lineRule="auto"/>
        <w:jc w:val="both"/>
        <w:rPr>
          <w:rFonts w:ascii="Verdana" w:eastAsia="Times New Roman" w:hAnsi="Verdana" w:cs="Arial"/>
          <w:color w:val="000000" w:themeColor="text1"/>
          <w:sz w:val="20"/>
          <w:szCs w:val="20"/>
          <w:lang w:eastAsia="x-none"/>
        </w:rPr>
      </w:pPr>
    </w:p>
    <w:p w14:paraId="0C7FBFB9" w14:textId="1F98000C" w:rsidR="009B5A20" w:rsidRPr="00C44CD0" w:rsidRDefault="009B5A20" w:rsidP="009B5A20">
      <w:pPr>
        <w:spacing w:after="0" w:line="240" w:lineRule="auto"/>
        <w:jc w:val="both"/>
        <w:rPr>
          <w:rFonts w:ascii="Verdana" w:eastAsia="Times New Roman" w:hAnsi="Verdana" w:cs="Arial"/>
          <w:color w:val="000000" w:themeColor="text1"/>
          <w:sz w:val="20"/>
          <w:szCs w:val="20"/>
          <w:lang w:eastAsia="x-none"/>
        </w:rPr>
      </w:pPr>
      <w:r w:rsidRPr="00C44CD0">
        <w:rPr>
          <w:rFonts w:ascii="Verdana" w:eastAsia="Times New Roman" w:hAnsi="Verdana" w:cs="Arial"/>
          <w:color w:val="000000" w:themeColor="text1"/>
          <w:sz w:val="20"/>
          <w:szCs w:val="20"/>
          <w:lang w:eastAsia="x-none"/>
        </w:rPr>
        <w:t>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1E74B177" w14:textId="77777777" w:rsidR="009B5A20" w:rsidRPr="00C44CD0" w:rsidRDefault="009B5A20" w:rsidP="009B5A20">
      <w:pPr>
        <w:spacing w:after="0" w:line="240" w:lineRule="auto"/>
        <w:jc w:val="both"/>
        <w:rPr>
          <w:rFonts w:ascii="Verdana" w:eastAsia="Times New Roman" w:hAnsi="Verdana" w:cs="Arial"/>
          <w:color w:val="000000" w:themeColor="text1"/>
          <w:sz w:val="20"/>
          <w:szCs w:val="20"/>
          <w:lang w:eastAsia="x-none"/>
        </w:rPr>
      </w:pPr>
    </w:p>
    <w:p w14:paraId="3D0EFDB0" w14:textId="77777777" w:rsidR="009B5A20" w:rsidRPr="00C44CD0" w:rsidRDefault="009B5A20" w:rsidP="009B5A20">
      <w:pPr>
        <w:spacing w:line="276" w:lineRule="auto"/>
        <w:jc w:val="both"/>
        <w:rPr>
          <w:rFonts w:ascii="Verdana" w:hAnsi="Verdana" w:cs="Arial"/>
          <w:b/>
          <w:bCs/>
          <w:color w:val="000000" w:themeColor="text1"/>
          <w:shd w:val="clear" w:color="auto" w:fill="FFFFFF"/>
          <w:lang w:val="es-MX"/>
        </w:rPr>
      </w:pPr>
      <w:r w:rsidRPr="00C44CD0">
        <w:rPr>
          <w:rFonts w:ascii="Verdana" w:hAnsi="Verdana" w:cs="Arial"/>
          <w:b/>
          <w:bCs/>
          <w:color w:val="000000" w:themeColor="text1"/>
          <w:shd w:val="clear" w:color="auto" w:fill="FFFFFF"/>
          <w:lang w:val="es-ES"/>
        </w:rPr>
        <w:t>SECOP II </w:t>
      </w:r>
      <w:r w:rsidRPr="00C44CD0">
        <w:rPr>
          <w:rFonts w:ascii="Verdana" w:hAnsi="Verdana" w:cs="Arial"/>
          <w:b/>
          <w:bCs/>
          <w:color w:val="000000" w:themeColor="text1"/>
          <w:shd w:val="clear" w:color="auto" w:fill="FFFFFF"/>
          <w:lang w:val="es-MX"/>
        </w:rPr>
        <w:t>–</w:t>
      </w:r>
      <w:r w:rsidRPr="00C44CD0">
        <w:rPr>
          <w:rFonts w:ascii="Verdana" w:hAnsi="Verdana" w:cs="Arial"/>
          <w:b/>
          <w:bCs/>
          <w:color w:val="000000" w:themeColor="text1"/>
          <w:shd w:val="clear" w:color="auto" w:fill="FFFFFF"/>
          <w:lang w:val="es-ES"/>
        </w:rPr>
        <w:t xml:space="preserve"> Contrato electrónico </w:t>
      </w:r>
      <w:r w:rsidRPr="00C44CD0">
        <w:rPr>
          <w:rFonts w:ascii="Verdana" w:eastAsia="Calibri" w:hAnsi="Verdana" w:cs="Arial"/>
          <w:b/>
          <w:bCs/>
          <w:color w:val="000000" w:themeColor="text1"/>
          <w:lang w:val="es-ES" w:eastAsia="es-ES"/>
        </w:rPr>
        <w:t xml:space="preserve">– Aprobación </w:t>
      </w:r>
      <w:r w:rsidRPr="00C44CD0">
        <w:rPr>
          <w:rFonts w:ascii="Verdana" w:hAnsi="Verdana" w:cs="Arial"/>
          <w:b/>
          <w:bCs/>
          <w:color w:val="000000" w:themeColor="text1"/>
          <w:shd w:val="clear" w:color="auto" w:fill="FFFFFF"/>
          <w:lang w:val="es-MX"/>
        </w:rPr>
        <w:t>– Perfeccionamiento</w:t>
      </w:r>
    </w:p>
    <w:p w14:paraId="76BA2201" w14:textId="68DFF87C" w:rsidR="00B652CB" w:rsidRPr="00C44CD0" w:rsidRDefault="00B652CB" w:rsidP="00B652CB">
      <w:pPr>
        <w:spacing w:after="0" w:line="240" w:lineRule="auto"/>
        <w:jc w:val="both"/>
        <w:rPr>
          <w:rFonts w:ascii="Verdana" w:eastAsia="Times New Roman" w:hAnsi="Verdana" w:cs="Arial"/>
          <w:color w:val="000000" w:themeColor="text1"/>
          <w:sz w:val="20"/>
          <w:szCs w:val="20"/>
          <w:lang w:eastAsia="x-none"/>
        </w:rPr>
      </w:pPr>
      <w:r w:rsidRPr="00C44CD0">
        <w:rPr>
          <w:rFonts w:ascii="Verdana" w:eastAsia="Times New Roman" w:hAnsi="Verdana" w:cs="Arial"/>
          <w:color w:val="000000" w:themeColor="text1"/>
          <w:sz w:val="20"/>
          <w:szCs w:val="20"/>
          <w:lang w:eastAsia="x-none"/>
        </w:rPr>
        <w:t xml:space="preserve">Conforme lo señala “Guía SECOP II – Gestión Contractual Para Entidades Estatales” es importante que previamente el usuario administrador de la Entidad Estatal haya configurado flujos de aprobación en este hito del proceso con el fin de que el contrato </w:t>
      </w:r>
      <w:r w:rsidRPr="00C44CD0">
        <w:rPr>
          <w:rFonts w:ascii="Verdana" w:eastAsia="Times New Roman" w:hAnsi="Verdana" w:cs="Arial"/>
          <w:color w:val="000000" w:themeColor="text1"/>
          <w:sz w:val="20"/>
          <w:szCs w:val="20"/>
          <w:lang w:eastAsia="x-none"/>
        </w:rPr>
        <w:lastRenderedPageBreak/>
        <w:t>electrónico sea enviado al ordenador del gasto representante legal de la entidad para su aprobación final. Una vez el ordenador del gasto de la entidad realice la aprobación el estado del contrato cambia a “Firmado” y quedará público para consulta de cualquier interesado.</w:t>
      </w:r>
    </w:p>
    <w:p w14:paraId="5B10366D" w14:textId="77777777" w:rsidR="00B652CB" w:rsidRPr="00C44CD0" w:rsidRDefault="00B652CB" w:rsidP="00B652CB">
      <w:pPr>
        <w:spacing w:after="0" w:line="240" w:lineRule="auto"/>
        <w:jc w:val="both"/>
        <w:rPr>
          <w:rFonts w:ascii="Verdana" w:eastAsia="Times New Roman" w:hAnsi="Verdana" w:cs="Arial"/>
          <w:color w:val="000000" w:themeColor="text1"/>
          <w:sz w:val="20"/>
          <w:szCs w:val="20"/>
          <w:lang w:eastAsia="x-none"/>
        </w:rPr>
      </w:pPr>
    </w:p>
    <w:p w14:paraId="06A7E1FA" w14:textId="608CF022" w:rsidR="009B5A20" w:rsidRPr="00C44CD0" w:rsidRDefault="00B652CB" w:rsidP="00B652CB">
      <w:pPr>
        <w:spacing w:after="0" w:line="240" w:lineRule="auto"/>
        <w:jc w:val="both"/>
        <w:rPr>
          <w:rFonts w:ascii="Verdana" w:eastAsia="Times New Roman" w:hAnsi="Verdana" w:cs="Arial"/>
          <w:color w:val="000000" w:themeColor="text1"/>
          <w:sz w:val="20"/>
          <w:szCs w:val="20"/>
          <w:lang w:eastAsia="x-none"/>
        </w:rPr>
      </w:pPr>
      <w:r w:rsidRPr="00C44CD0">
        <w:rPr>
          <w:rFonts w:ascii="Verdana" w:eastAsia="Times New Roman" w:hAnsi="Verdana" w:cs="Arial"/>
          <w:color w:val="000000" w:themeColor="text1"/>
          <w:sz w:val="20"/>
          <w:szCs w:val="20"/>
          <w:lang w:eastAsia="x-none"/>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0A6B34CA" w14:textId="77777777" w:rsidR="00B652CB" w:rsidRPr="00C44CD0" w:rsidRDefault="00B652CB" w:rsidP="00B652CB">
      <w:pPr>
        <w:spacing w:after="0" w:line="240" w:lineRule="auto"/>
        <w:jc w:val="both"/>
        <w:rPr>
          <w:rFonts w:ascii="Verdana" w:eastAsia="Times New Roman" w:hAnsi="Verdana" w:cs="Arial"/>
          <w:color w:val="000000" w:themeColor="text1"/>
          <w:sz w:val="20"/>
          <w:szCs w:val="20"/>
          <w:lang w:eastAsia="x-none"/>
        </w:rPr>
      </w:pPr>
    </w:p>
    <w:p w14:paraId="13B28E38" w14:textId="60D095C8" w:rsidR="009B5A20" w:rsidRPr="00C44CD0" w:rsidRDefault="009B5A20" w:rsidP="009B5A20">
      <w:pPr>
        <w:spacing w:line="276" w:lineRule="auto"/>
        <w:jc w:val="both"/>
        <w:rPr>
          <w:rFonts w:ascii="Verdana" w:hAnsi="Verdana" w:cs="Arial"/>
          <w:b/>
          <w:bCs/>
          <w:color w:val="000000" w:themeColor="text1"/>
          <w:lang w:val="es-ES" w:eastAsia="es-ES"/>
        </w:rPr>
      </w:pPr>
      <w:r w:rsidRPr="00C44CD0">
        <w:rPr>
          <w:rFonts w:ascii="Verdana" w:hAnsi="Verdana" w:cs="Arial"/>
          <w:b/>
          <w:bCs/>
          <w:color w:val="000000" w:themeColor="text1"/>
          <w:shd w:val="clear" w:color="auto" w:fill="FFFFFF"/>
          <w:lang w:val="es-MX"/>
        </w:rPr>
        <w:t xml:space="preserve"> </w:t>
      </w:r>
      <w:r w:rsidRPr="00C44CD0">
        <w:rPr>
          <w:rFonts w:ascii="Verdana" w:hAnsi="Verdana" w:cs="Arial"/>
          <w:b/>
          <w:bCs/>
          <w:color w:val="000000" w:themeColor="text1"/>
          <w:shd w:val="clear" w:color="auto" w:fill="FFFFFF"/>
          <w:lang w:val="es-ES"/>
        </w:rPr>
        <w:t>SECOP II </w:t>
      </w:r>
      <w:r w:rsidRPr="00C44CD0">
        <w:rPr>
          <w:rFonts w:ascii="Verdana" w:hAnsi="Verdana" w:cs="Arial"/>
          <w:b/>
          <w:bCs/>
          <w:color w:val="000000" w:themeColor="text1"/>
          <w:shd w:val="clear" w:color="auto" w:fill="FFFFFF"/>
          <w:lang w:val="es-MX"/>
        </w:rPr>
        <w:t xml:space="preserve">– Aplicación ley de garantías – Nulidad </w:t>
      </w:r>
    </w:p>
    <w:p w14:paraId="63C526C7" w14:textId="77777777" w:rsidR="00F5369B" w:rsidRPr="00C44CD0" w:rsidRDefault="00F5369B" w:rsidP="009B4037">
      <w:pPr>
        <w:spacing w:after="0" w:line="240" w:lineRule="auto"/>
        <w:rPr>
          <w:rFonts w:ascii="Verdana" w:hAnsi="Verdana"/>
          <w:color w:val="000000" w:themeColor="text1"/>
        </w:rPr>
      </w:pPr>
    </w:p>
    <w:p w14:paraId="4DC04D2A" w14:textId="77777777" w:rsidR="009B5A20" w:rsidRPr="00C44CD0" w:rsidRDefault="009B5A20" w:rsidP="00B652CB">
      <w:pPr>
        <w:spacing w:after="0" w:line="240" w:lineRule="auto"/>
        <w:jc w:val="both"/>
        <w:rPr>
          <w:rFonts w:ascii="Verdana" w:eastAsia="Times New Roman" w:hAnsi="Verdana" w:cs="Arial"/>
          <w:color w:val="000000" w:themeColor="text1"/>
          <w:sz w:val="20"/>
          <w:szCs w:val="20"/>
          <w:lang w:eastAsia="x-none"/>
        </w:rPr>
      </w:pPr>
      <w:r w:rsidRPr="00C44CD0">
        <w:rPr>
          <w:rFonts w:ascii="Verdana" w:eastAsia="Times New Roman" w:hAnsi="Verdana" w:cs="Arial"/>
          <w:color w:val="000000" w:themeColor="text1"/>
          <w:sz w:val="20"/>
          <w:szCs w:val="20"/>
          <w:lang w:eastAsia="x-none"/>
        </w:rPr>
        <w:t>Así las cosas, tratándose de procesos gestionados en SECOP II, las actuaciones necesarias para que el contrato adquiera el estado de “firmado” deben realizarse antes de la entrada en vigencia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ibidem, se entiende que el contrato fue celebrado en vigencia de dicha restricción, con las consecuencias jurídicas a que haya lugar, sin que resulte suficiente que etapas previas del proceso se hubieren adelantado con anterioridad.</w:t>
      </w:r>
    </w:p>
    <w:p w14:paraId="11797C66" w14:textId="77777777" w:rsidR="00F5369B" w:rsidRPr="00C44CD0" w:rsidRDefault="00F5369B" w:rsidP="009B4037">
      <w:pPr>
        <w:spacing w:after="0" w:line="240" w:lineRule="auto"/>
        <w:rPr>
          <w:rFonts w:ascii="Verdana" w:hAnsi="Verdana"/>
          <w:color w:val="000000" w:themeColor="text1"/>
        </w:rPr>
      </w:pPr>
    </w:p>
    <w:p w14:paraId="0E09DD1E" w14:textId="77777777" w:rsidR="00B652CB" w:rsidRPr="00C44CD0" w:rsidRDefault="00B652CB" w:rsidP="00B652CB">
      <w:pPr>
        <w:spacing w:after="0" w:line="240" w:lineRule="auto"/>
        <w:jc w:val="both"/>
        <w:rPr>
          <w:rFonts w:ascii="Verdana" w:eastAsia="Times New Roman" w:hAnsi="Verdana" w:cs="Arial"/>
          <w:bCs/>
          <w:color w:val="000000" w:themeColor="text1"/>
          <w:sz w:val="20"/>
          <w:szCs w:val="20"/>
          <w:lang w:eastAsia="x-none"/>
        </w:rPr>
      </w:pPr>
      <w:r w:rsidRPr="00C44CD0">
        <w:rPr>
          <w:rFonts w:ascii="Verdana" w:eastAsia="Arial" w:hAnsi="Verdana" w:cs="Arial"/>
          <w:color w:val="000000" w:themeColor="text1"/>
          <w:sz w:val="20"/>
          <w:szCs w:val="20"/>
          <w:lang w:val="es-MX" w:eastAsia="es-ES" w:bidi="es-ES"/>
        </w:rPr>
        <w:t>[…]</w:t>
      </w:r>
    </w:p>
    <w:p w14:paraId="096B5207" w14:textId="77777777" w:rsidR="00F5369B" w:rsidRPr="00C44CD0" w:rsidRDefault="00F5369B" w:rsidP="009B4037">
      <w:pPr>
        <w:spacing w:after="0" w:line="240" w:lineRule="auto"/>
        <w:rPr>
          <w:rFonts w:ascii="Verdana" w:hAnsi="Verdana"/>
          <w:color w:val="000000" w:themeColor="text1"/>
        </w:rPr>
      </w:pPr>
    </w:p>
    <w:p w14:paraId="4B0B9473" w14:textId="46852D22" w:rsidR="00F5369B" w:rsidRPr="00C44CD0" w:rsidRDefault="00B652CB" w:rsidP="00B652CB">
      <w:pPr>
        <w:spacing w:after="0" w:line="240" w:lineRule="auto"/>
        <w:jc w:val="both"/>
        <w:rPr>
          <w:rFonts w:ascii="Verdana" w:eastAsia="Times New Roman" w:hAnsi="Verdana" w:cs="Arial"/>
          <w:color w:val="000000" w:themeColor="text1"/>
          <w:sz w:val="20"/>
          <w:szCs w:val="20"/>
          <w:lang w:eastAsia="x-none"/>
        </w:rPr>
      </w:pPr>
      <w:r w:rsidRPr="00C44CD0">
        <w:rPr>
          <w:rFonts w:ascii="Verdana" w:eastAsia="Times New Roman" w:hAnsi="Verdana" w:cs="Arial"/>
          <w:color w:val="000000" w:themeColor="text1"/>
          <w:sz w:val="20"/>
          <w:szCs w:val="20"/>
          <w:lang w:eastAsia="x-none"/>
        </w:rPr>
        <w:t>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señala como causales de nulidad del contrato estatal, las siguientes: 1. Que el contrato se celebre con personas incursas en causales de inhabilidad o incompatibilidad previstas en la Constitución y la ley. 2. Que se celebre contra expresa prohibición constitucional o legal. 3. Que se celebre con abuso o desviación de poder. 4. Que se declaren nulos los actos administrativos en que se fundamenten. 5. Que se hubieren celebrado con desconocimiento de los criterios previstos para el tratamiento de ofertas nacionales y extranjeras o con violación de la reciprocidad.</w:t>
      </w:r>
    </w:p>
    <w:p w14:paraId="51C1C61A" w14:textId="77777777" w:rsidR="00F5369B" w:rsidRPr="00C44CD0" w:rsidRDefault="00F5369B" w:rsidP="009B4037">
      <w:pPr>
        <w:spacing w:after="0" w:line="240" w:lineRule="auto"/>
        <w:rPr>
          <w:rFonts w:ascii="Verdana" w:hAnsi="Verdana"/>
          <w:color w:val="000000" w:themeColor="text1"/>
        </w:rPr>
      </w:pPr>
    </w:p>
    <w:p w14:paraId="6912C195" w14:textId="77777777" w:rsidR="00F5369B" w:rsidRPr="00C44CD0" w:rsidRDefault="00F5369B" w:rsidP="009B4037">
      <w:pPr>
        <w:spacing w:after="0" w:line="240" w:lineRule="auto"/>
        <w:rPr>
          <w:rFonts w:ascii="Verdana" w:hAnsi="Verdana"/>
          <w:color w:val="000000" w:themeColor="text1"/>
        </w:rPr>
      </w:pPr>
    </w:p>
    <w:p w14:paraId="0AFFAE2D" w14:textId="77777777" w:rsidR="00F5369B" w:rsidRPr="00C44CD0" w:rsidRDefault="00F5369B" w:rsidP="009B4037">
      <w:pPr>
        <w:spacing w:after="0" w:line="240" w:lineRule="auto"/>
        <w:rPr>
          <w:rFonts w:ascii="Verdana" w:hAnsi="Verdana"/>
          <w:color w:val="000000" w:themeColor="text1"/>
        </w:rPr>
      </w:pPr>
    </w:p>
    <w:p w14:paraId="0ED8BD11" w14:textId="77777777" w:rsidR="00F5369B" w:rsidRPr="00C44CD0" w:rsidRDefault="00F5369B" w:rsidP="009B4037">
      <w:pPr>
        <w:spacing w:after="0" w:line="240" w:lineRule="auto"/>
        <w:rPr>
          <w:rFonts w:ascii="Verdana" w:hAnsi="Verdana"/>
          <w:color w:val="000000" w:themeColor="text1"/>
        </w:rPr>
      </w:pPr>
    </w:p>
    <w:p w14:paraId="60E4AA2B" w14:textId="77777777" w:rsidR="00F5369B" w:rsidRPr="00C44CD0" w:rsidRDefault="00F5369B" w:rsidP="009B4037">
      <w:pPr>
        <w:spacing w:after="0" w:line="240" w:lineRule="auto"/>
        <w:rPr>
          <w:rFonts w:ascii="Verdana" w:hAnsi="Verdana"/>
          <w:color w:val="000000" w:themeColor="text1"/>
        </w:rPr>
      </w:pPr>
    </w:p>
    <w:p w14:paraId="0A2E6F75" w14:textId="77777777" w:rsidR="00F5369B" w:rsidRPr="00C44CD0" w:rsidRDefault="00F5369B" w:rsidP="009B4037">
      <w:pPr>
        <w:spacing w:after="0" w:line="240" w:lineRule="auto"/>
        <w:rPr>
          <w:rFonts w:ascii="Verdana" w:hAnsi="Verdana"/>
          <w:color w:val="000000" w:themeColor="text1"/>
        </w:rPr>
      </w:pPr>
    </w:p>
    <w:p w14:paraId="07191EB9" w14:textId="77777777" w:rsidR="00F5369B" w:rsidRPr="00C44CD0" w:rsidRDefault="00F5369B" w:rsidP="009B4037">
      <w:pPr>
        <w:spacing w:after="0" w:line="240" w:lineRule="auto"/>
        <w:rPr>
          <w:rFonts w:ascii="Verdana" w:hAnsi="Verdana"/>
        </w:rPr>
      </w:pPr>
    </w:p>
    <w:p w14:paraId="6216B8FD" w14:textId="77777777" w:rsidR="00D85FD5" w:rsidRPr="00C44CD0" w:rsidRDefault="00D85FD5" w:rsidP="004876D0">
      <w:pPr>
        <w:spacing w:after="0" w:line="240" w:lineRule="auto"/>
        <w:rPr>
          <w:rFonts w:ascii="Verdana" w:hAnsi="Verdana"/>
        </w:rPr>
      </w:pPr>
    </w:p>
    <w:p w14:paraId="4F2CEFA2" w14:textId="6511DD64" w:rsidR="008773E9" w:rsidRPr="00C44CD0" w:rsidRDefault="008773E9" w:rsidP="004876D0">
      <w:pPr>
        <w:spacing w:after="0" w:line="240" w:lineRule="auto"/>
        <w:rPr>
          <w:rFonts w:ascii="Verdana" w:eastAsia="Geomanist Light" w:hAnsi="Verdana" w:cs="Arial"/>
          <w:color w:val="201F1E"/>
        </w:rPr>
      </w:pPr>
      <w:r w:rsidRPr="00C44CD0">
        <w:rPr>
          <w:rFonts w:ascii="Verdana" w:hAnsi="Verdana"/>
        </w:rPr>
        <w:lastRenderedPageBreak/>
        <w:t xml:space="preserve">Bogotá D.C., </w:t>
      </w:r>
      <w:r w:rsidR="00151DF6">
        <w:rPr>
          <w:rFonts w:ascii="Verdana" w:hAnsi="Verdana"/>
        </w:rPr>
        <w:t>19</w:t>
      </w:r>
      <w:r w:rsidRPr="00C44CD0">
        <w:rPr>
          <w:rFonts w:ascii="Verdana" w:hAnsi="Verdana"/>
        </w:rPr>
        <w:t xml:space="preserve"> de </w:t>
      </w:r>
      <w:r w:rsidR="00151DF6">
        <w:rPr>
          <w:rFonts w:ascii="Verdana" w:hAnsi="Verdana"/>
        </w:rPr>
        <w:t>Mayo</w:t>
      </w:r>
      <w:r w:rsidRPr="00C44CD0">
        <w:rPr>
          <w:rFonts w:ascii="Verdana" w:hAnsi="Verdana"/>
        </w:rPr>
        <w:t xml:space="preserve"> de </w:t>
      </w:r>
      <w:r w:rsidR="00151DF6">
        <w:rPr>
          <w:rFonts w:ascii="Verdana" w:hAnsi="Verdana"/>
        </w:rPr>
        <w:t>2026</w:t>
      </w:r>
    </w:p>
    <w:p w14:paraId="386DC781" w14:textId="60F72B63" w:rsidR="004876D0" w:rsidRDefault="004876D0" w:rsidP="004876D0">
      <w:pPr>
        <w:spacing w:after="0"/>
        <w:rPr>
          <w:rFonts w:ascii="Verdana" w:hAnsi="Verdana"/>
        </w:rPr>
      </w:pPr>
    </w:p>
    <w:p w14:paraId="59782C87" w14:textId="77777777" w:rsidR="00151DF6" w:rsidRDefault="00151DF6" w:rsidP="004876D0">
      <w:pPr>
        <w:spacing w:after="0"/>
        <w:rPr>
          <w:rFonts w:ascii="Verdana" w:hAnsi="Verdana"/>
        </w:rPr>
      </w:pPr>
    </w:p>
    <w:p w14:paraId="2B51FC27" w14:textId="48AB1711" w:rsidR="00151DF6" w:rsidRPr="00C44CD0" w:rsidRDefault="00151DF6" w:rsidP="00151DF6">
      <w:pPr>
        <w:spacing w:after="0"/>
        <w:jc w:val="right"/>
        <w:rPr>
          <w:rFonts w:ascii="Verdana" w:hAnsi="Verdana"/>
        </w:rPr>
      </w:pP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sidRPr="00151DF6">
        <w:rPr>
          <w:rFonts w:ascii="Verdana" w:hAnsi="Verdana"/>
        </w:rPr>
        <w:drawing>
          <wp:inline distT="0" distB="0" distL="0" distR="0" wp14:anchorId="66A0BADE" wp14:editId="3F2DD2BB">
            <wp:extent cx="3276600" cy="889000"/>
            <wp:effectExtent l="0" t="0" r="0" b="0"/>
            <wp:docPr id="4478218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821860" name=""/>
                    <pic:cNvPicPr/>
                  </pic:nvPicPr>
                  <pic:blipFill>
                    <a:blip r:embed="rId11"/>
                    <a:stretch>
                      <a:fillRect/>
                    </a:stretch>
                  </pic:blipFill>
                  <pic:spPr>
                    <a:xfrm>
                      <a:off x="0" y="0"/>
                      <a:ext cx="3276600" cy="889000"/>
                    </a:xfrm>
                    <a:prstGeom prst="rect">
                      <a:avLst/>
                    </a:prstGeom>
                  </pic:spPr>
                </pic:pic>
              </a:graphicData>
            </a:graphic>
          </wp:inline>
        </w:drawing>
      </w:r>
    </w:p>
    <w:p w14:paraId="668B6099" w14:textId="2C73C9BC" w:rsidR="004876D0" w:rsidRPr="00C44CD0" w:rsidRDefault="004876D0" w:rsidP="004848DE">
      <w:pPr>
        <w:spacing w:after="0"/>
        <w:jc w:val="right"/>
        <w:rPr>
          <w:rFonts w:ascii="Verdana" w:hAnsi="Verdana"/>
        </w:rPr>
      </w:pPr>
      <w:r w:rsidRPr="00C44CD0">
        <w:rPr>
          <w:rFonts w:ascii="Verdana" w:hAnsi="Verdana"/>
        </w:rPr>
        <w:tab/>
      </w:r>
    </w:p>
    <w:p w14:paraId="0C05CB64" w14:textId="0548709A" w:rsidR="004876D0" w:rsidRPr="00C44CD0" w:rsidRDefault="004876D0" w:rsidP="004876D0">
      <w:pPr>
        <w:spacing w:after="0"/>
        <w:rPr>
          <w:rFonts w:ascii="Verdana" w:eastAsia="Calibri" w:hAnsi="Verdana" w:cs="Arial"/>
          <w:color w:val="000000" w:themeColor="text1"/>
          <w:lang w:val="es-ES" w:eastAsia="es-ES"/>
        </w:rPr>
      </w:pPr>
      <w:proofErr w:type="spellStart"/>
      <w:r w:rsidRPr="00C44CD0">
        <w:rPr>
          <w:rFonts w:ascii="Verdana" w:eastAsia="Calibri" w:hAnsi="Verdana" w:cs="Arial"/>
          <w:color w:val="000000" w:themeColor="text1"/>
          <w:lang w:val="es-ES" w:eastAsia="es-ES"/>
        </w:rPr>
        <w:t>Señor</w:t>
      </w:r>
    </w:p>
    <w:p w14:paraId="514B08A1" w14:textId="474F3568" w:rsidR="00CF606B" w:rsidRPr="00C44CD0" w:rsidRDefault="00CF606B" w:rsidP="004876D0">
      <w:pPr>
        <w:spacing w:after="0" w:line="240" w:lineRule="auto"/>
        <w:jc w:val="both"/>
        <w:rPr>
          <w:rFonts w:ascii="Verdana" w:hAnsi="Verdana"/>
          <w:b/>
          <w:bCs/>
        </w:rPr>
      </w:pPr>
      <w:proofErr w:type="spellEnd"/>
      <w:r w:rsidRPr="00C44CD0">
        <w:rPr>
          <w:rFonts w:ascii="Verdana" w:hAnsi="Verdana"/>
          <w:b/>
          <w:bCs/>
        </w:rPr>
        <w:t>Fernando José Gutiérrez Ibañez</w:t>
      </w:r>
    </w:p>
    <w:p w14:paraId="06C4F2C8" w14:textId="1D278216" w:rsidR="00CF606B" w:rsidRPr="00C44CD0" w:rsidRDefault="00CF606B" w:rsidP="004876D0">
      <w:pPr>
        <w:spacing w:after="0" w:line="240" w:lineRule="auto"/>
        <w:jc w:val="both"/>
        <w:rPr>
          <w:rFonts w:ascii="Verdana" w:hAnsi="Verdana"/>
        </w:rPr>
      </w:pPr>
      <w:hyperlink r:id="rId12" w:history="1">
        <w:r w:rsidRPr="00C44CD0">
          <w:rPr>
            <w:rFonts w:ascii="Verdana" w:hAnsi="Verdana"/>
          </w:rPr>
          <w:t>fernandog213@hotmail.com</w:t>
        </w:r>
      </w:hyperlink>
    </w:p>
    <w:p w14:paraId="3A30420A" w14:textId="6CAB6816" w:rsidR="004876D0" w:rsidRPr="00C44CD0" w:rsidRDefault="004876D0" w:rsidP="004876D0">
      <w:pPr>
        <w:spacing w:after="0" w:line="240" w:lineRule="auto"/>
        <w:jc w:val="both"/>
        <w:rPr>
          <w:rFonts w:ascii="Verdana" w:hAnsi="Verdana"/>
        </w:rPr>
      </w:pPr>
      <w:r w:rsidRPr="00C44CD0">
        <w:rPr>
          <w:rFonts w:ascii="Verdana" w:hAnsi="Verdana"/>
        </w:rPr>
        <w:t>Bogotá D.C</w:t>
      </w:r>
    </w:p>
    <w:p w14:paraId="686242FC" w14:textId="77777777" w:rsidR="004876D0" w:rsidRPr="00C44CD0" w:rsidRDefault="004876D0" w:rsidP="004876D0">
      <w:pPr>
        <w:spacing w:after="0" w:line="240" w:lineRule="auto"/>
        <w:rPr>
          <w:rFonts w:ascii="Verdana" w:eastAsia="Calibri" w:hAnsi="Verdana" w:cs="Arial"/>
          <w:b/>
          <w:bCs/>
          <w:color w:val="000000" w:themeColor="text1"/>
          <w:lang w:val="es-ES_tradnl" w:eastAsia="es-ES_tradnl"/>
        </w:rPr>
      </w:pPr>
    </w:p>
    <w:p w14:paraId="1CB0B715" w14:textId="47146C2F" w:rsidR="004876D0" w:rsidRPr="00C44CD0" w:rsidRDefault="004876D0" w:rsidP="004876D0">
      <w:pPr>
        <w:spacing w:after="0" w:line="240" w:lineRule="auto"/>
        <w:rPr>
          <w:rFonts w:ascii="Verdana" w:eastAsia="Calibri" w:hAnsi="Verdana" w:cs="Arial"/>
          <w:b/>
          <w:bCs/>
          <w:color w:val="000000" w:themeColor="text1"/>
          <w:lang w:val="es-ES_tradnl" w:eastAsia="es-ES_tradnl"/>
        </w:rPr>
      </w:pPr>
      <w:r w:rsidRPr="00C44CD0">
        <w:rPr>
          <w:rFonts w:ascii="Verdana" w:eastAsia="Calibri" w:hAnsi="Verdana" w:cs="Arial"/>
          <w:b/>
          <w:bCs/>
          <w:color w:val="000000" w:themeColor="text1"/>
          <w:lang w:val="es-ES_tradnl" w:eastAsia="es-ES_tradnl"/>
        </w:rPr>
        <w:t xml:space="preserve">                                   Concepto C-</w:t>
      </w:r>
      <w:r w:rsidR="008773E9" w:rsidRPr="00C44CD0">
        <w:rPr>
          <w:rFonts w:ascii="Verdana" w:eastAsia="Calibri" w:hAnsi="Verdana" w:cs="Arial"/>
          <w:b/>
          <w:bCs/>
          <w:color w:val="000000" w:themeColor="text1"/>
          <w:lang w:val="es-ES_tradnl" w:eastAsia="es-ES_tradnl"/>
        </w:rPr>
        <w:t>411</w:t>
      </w:r>
      <w:r w:rsidRPr="00C44CD0">
        <w:rPr>
          <w:rFonts w:ascii="Verdana" w:eastAsia="Calibri" w:hAnsi="Verdana" w:cs="Arial"/>
          <w:b/>
          <w:bCs/>
          <w:color w:val="000000" w:themeColor="text1"/>
          <w:lang w:val="es-ES_tradnl" w:eastAsia="es-ES_tradnl"/>
        </w:rPr>
        <w:t xml:space="preserve">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876D0" w:rsidRPr="00C44CD0" w14:paraId="5475785B" w14:textId="77777777" w:rsidTr="00EA32A5">
        <w:trPr>
          <w:gridAfter w:val="1"/>
          <w:wAfter w:w="6100" w:type="dxa"/>
          <w:trHeight w:val="133"/>
        </w:trPr>
        <w:tc>
          <w:tcPr>
            <w:tcW w:w="2689" w:type="dxa"/>
          </w:tcPr>
          <w:p w14:paraId="426C6BEF" w14:textId="77777777" w:rsidR="004876D0" w:rsidRPr="00C44CD0" w:rsidRDefault="004876D0" w:rsidP="00EA32A5">
            <w:pPr>
              <w:jc w:val="both"/>
              <w:rPr>
                <w:rFonts w:ascii="Verdana" w:eastAsia="Calibri" w:hAnsi="Verdana" w:cs="Arial"/>
                <w:b/>
                <w:bCs/>
                <w:color w:val="000000" w:themeColor="text1"/>
                <w:lang w:val="es-ES_tradnl" w:eastAsia="es-ES_tradnl"/>
              </w:rPr>
            </w:pPr>
          </w:p>
        </w:tc>
      </w:tr>
      <w:tr w:rsidR="004876D0" w:rsidRPr="00C44CD0" w14:paraId="5DCAC253" w14:textId="77777777" w:rsidTr="00115480">
        <w:trPr>
          <w:trHeight w:val="884"/>
        </w:trPr>
        <w:tc>
          <w:tcPr>
            <w:tcW w:w="2689" w:type="dxa"/>
          </w:tcPr>
          <w:p w14:paraId="39970E4E" w14:textId="77777777" w:rsidR="004876D0" w:rsidRPr="00C44CD0" w:rsidRDefault="004876D0" w:rsidP="00EA32A5">
            <w:pPr>
              <w:jc w:val="both"/>
              <w:rPr>
                <w:rFonts w:ascii="Verdana" w:eastAsia="Calibri" w:hAnsi="Verdana" w:cs="Arial"/>
                <w:color w:val="000000" w:themeColor="text1"/>
                <w:lang w:val="es-ES_tradnl" w:eastAsia="es-ES_tradnl"/>
              </w:rPr>
            </w:pPr>
            <w:r w:rsidRPr="00C44CD0">
              <w:rPr>
                <w:rFonts w:ascii="Verdana" w:eastAsia="Calibri" w:hAnsi="Verdana" w:cs="Arial"/>
                <w:b/>
                <w:color w:val="000000" w:themeColor="text1"/>
                <w:lang w:val="es-ES_tradnl" w:eastAsia="es-ES_tradnl"/>
              </w:rPr>
              <w:t>Temas:</w:t>
            </w:r>
            <w:r w:rsidRPr="00C44CD0">
              <w:rPr>
                <w:rFonts w:ascii="Verdana" w:eastAsia="Calibri" w:hAnsi="Verdana" w:cs="Arial"/>
                <w:color w:val="000000" w:themeColor="text1"/>
                <w:lang w:val="es-ES_tradnl" w:eastAsia="es-ES_tradnl"/>
              </w:rPr>
              <w:t xml:space="preserve">                   </w:t>
            </w:r>
          </w:p>
        </w:tc>
        <w:tc>
          <w:tcPr>
            <w:tcW w:w="6100" w:type="dxa"/>
          </w:tcPr>
          <w:p w14:paraId="730C989B" w14:textId="77777777" w:rsidR="004876D0" w:rsidRPr="00C44CD0" w:rsidRDefault="004876D0" w:rsidP="00EA32A5">
            <w:pPr>
              <w:spacing w:line="276" w:lineRule="auto"/>
              <w:jc w:val="both"/>
              <w:rPr>
                <w:rFonts w:ascii="Verdana" w:hAnsi="Verdana" w:cs="Arial"/>
                <w:lang w:val="es-ES" w:eastAsia="es-ES"/>
              </w:rPr>
            </w:pPr>
            <w:r w:rsidRPr="00C44CD0">
              <w:rPr>
                <w:rFonts w:ascii="Verdana" w:hAnsi="Verdana" w:cs="Arial"/>
                <w:lang w:val="es-ES" w:eastAsia="es-ES"/>
              </w:rPr>
              <w:t xml:space="preserve">LEY DE GARANTÍAS ELECTORALES – Finalidad / LEY DE GARANTÍAS ELECTORALES ‒ Restricciones ‒ Contratación ‒ Tipos de elección ‒ Celebración </w:t>
            </w:r>
            <w:r w:rsidRPr="00C44CD0">
              <w:rPr>
                <w:rFonts w:ascii="Verdana" w:hAnsi="Verdana" w:cs="Arial"/>
                <w:lang w:val="es-MX" w:eastAsia="es-ES_tradnl"/>
              </w:rPr>
              <w:t>/</w:t>
            </w:r>
            <w:r w:rsidRPr="00C44CD0">
              <w:rPr>
                <w:rFonts w:ascii="Verdana" w:hAnsi="Verdana"/>
              </w:rPr>
              <w:t xml:space="preserve"> </w:t>
            </w:r>
            <w:r w:rsidRPr="00C44CD0">
              <w:rPr>
                <w:rFonts w:ascii="Verdana" w:eastAsia="Calibri" w:hAnsi="Verdana" w:cs="Arial"/>
                <w:lang w:val="es-ES" w:eastAsia="es-ES"/>
              </w:rPr>
              <w:t xml:space="preserve">LEY DE GARANTÍAS ELECTORALES ‒ Artículo 33 ‒ Ámbito material ‒ Destinatarios </w:t>
            </w:r>
            <w:r w:rsidRPr="00C44CD0">
              <w:rPr>
                <w:rFonts w:ascii="Verdana" w:hAnsi="Verdana" w:cs="Arial"/>
                <w:lang w:val="es-MX" w:eastAsia="es-ES_tradnl"/>
              </w:rPr>
              <w:t xml:space="preserve">/ </w:t>
            </w:r>
            <w:r w:rsidRPr="00C44CD0">
              <w:rPr>
                <w:rFonts w:ascii="Verdana" w:hAnsi="Verdana" w:cs="Arial"/>
                <w:color w:val="000000" w:themeColor="text1"/>
                <w:shd w:val="clear" w:color="auto" w:fill="FFFFFF"/>
                <w:lang w:val="es-ES"/>
              </w:rPr>
              <w:t>SECOP II </w:t>
            </w:r>
            <w:r w:rsidRPr="00C44CD0">
              <w:rPr>
                <w:rFonts w:ascii="Verdana" w:hAnsi="Verdana" w:cs="Arial"/>
                <w:color w:val="000000" w:themeColor="text1"/>
                <w:shd w:val="clear" w:color="auto" w:fill="FFFFFF"/>
                <w:lang w:val="es-MX"/>
              </w:rPr>
              <w:t>–</w:t>
            </w:r>
            <w:r w:rsidRPr="00C44CD0">
              <w:rPr>
                <w:rFonts w:ascii="Verdana" w:hAnsi="Verdana" w:cs="Arial"/>
                <w:color w:val="000000" w:themeColor="text1"/>
                <w:shd w:val="clear" w:color="auto" w:fill="FFFFFF"/>
                <w:lang w:val="es-ES"/>
              </w:rPr>
              <w:t xml:space="preserve"> Plataforma Transaccional </w:t>
            </w:r>
            <w:r w:rsidRPr="00C44CD0">
              <w:rPr>
                <w:rFonts w:ascii="Verdana" w:eastAsia="Calibri" w:hAnsi="Verdana" w:cs="Arial"/>
                <w:lang w:val="es-ES" w:eastAsia="es-ES"/>
              </w:rPr>
              <w:t xml:space="preserve">/ </w:t>
            </w:r>
            <w:r w:rsidRPr="00C44CD0">
              <w:rPr>
                <w:rFonts w:ascii="Verdana" w:hAnsi="Verdana" w:cs="Arial"/>
                <w:color w:val="000000" w:themeColor="text1"/>
                <w:shd w:val="clear" w:color="auto" w:fill="FFFFFF"/>
                <w:lang w:val="es-ES"/>
              </w:rPr>
              <w:t>SECOP II </w:t>
            </w:r>
            <w:r w:rsidRPr="00C44CD0">
              <w:rPr>
                <w:rFonts w:ascii="Verdana" w:hAnsi="Verdana" w:cs="Arial"/>
                <w:color w:val="000000" w:themeColor="text1"/>
                <w:shd w:val="clear" w:color="auto" w:fill="FFFFFF"/>
                <w:lang w:val="es-MX"/>
              </w:rPr>
              <w:t>–</w:t>
            </w:r>
            <w:r w:rsidRPr="00C44CD0">
              <w:rPr>
                <w:rFonts w:ascii="Verdana" w:hAnsi="Verdana" w:cs="Arial"/>
                <w:color w:val="000000" w:themeColor="text1"/>
                <w:shd w:val="clear" w:color="auto" w:fill="FFFFFF"/>
                <w:lang w:val="es-ES"/>
              </w:rPr>
              <w:t xml:space="preserve"> Contrato electrónico </w:t>
            </w:r>
            <w:r w:rsidRPr="00C44CD0">
              <w:rPr>
                <w:rFonts w:ascii="Verdana" w:eastAsia="Calibri" w:hAnsi="Verdana" w:cs="Arial"/>
                <w:lang w:val="es-ES" w:eastAsia="es-ES"/>
              </w:rPr>
              <w:t xml:space="preserve">– Aprobación </w:t>
            </w:r>
            <w:r w:rsidRPr="00C44CD0">
              <w:rPr>
                <w:rFonts w:ascii="Verdana" w:hAnsi="Verdana" w:cs="Arial"/>
                <w:color w:val="000000" w:themeColor="text1"/>
                <w:shd w:val="clear" w:color="auto" w:fill="FFFFFF"/>
                <w:lang w:val="es-MX"/>
              </w:rPr>
              <w:t xml:space="preserve">– Perfeccionamiento / </w:t>
            </w:r>
            <w:r w:rsidRPr="00C44CD0">
              <w:rPr>
                <w:rFonts w:ascii="Verdana" w:hAnsi="Verdana" w:cs="Arial"/>
                <w:color w:val="000000" w:themeColor="text1"/>
                <w:shd w:val="clear" w:color="auto" w:fill="FFFFFF"/>
                <w:lang w:val="es-ES"/>
              </w:rPr>
              <w:t>SECOP II </w:t>
            </w:r>
            <w:r w:rsidRPr="00C44CD0">
              <w:rPr>
                <w:rFonts w:ascii="Verdana" w:hAnsi="Verdana" w:cs="Arial"/>
                <w:color w:val="000000" w:themeColor="text1"/>
                <w:shd w:val="clear" w:color="auto" w:fill="FFFFFF"/>
                <w:lang w:val="es-MX"/>
              </w:rPr>
              <w:t xml:space="preserve">– Aplicación ley de garantías – Nulidad </w:t>
            </w:r>
          </w:p>
          <w:p w14:paraId="45475D15" w14:textId="77777777" w:rsidR="004876D0" w:rsidRPr="00C44CD0" w:rsidRDefault="004876D0" w:rsidP="00EA32A5">
            <w:pPr>
              <w:spacing w:line="276" w:lineRule="auto"/>
              <w:jc w:val="both"/>
              <w:rPr>
                <w:rFonts w:ascii="Verdana" w:hAnsi="Verdana" w:cs="Arial"/>
                <w:bCs/>
                <w:color w:val="000000" w:themeColor="text1"/>
              </w:rPr>
            </w:pPr>
          </w:p>
        </w:tc>
      </w:tr>
      <w:tr w:rsidR="004876D0" w:rsidRPr="00C44CD0" w14:paraId="261E3DC6" w14:textId="77777777" w:rsidTr="00EA32A5">
        <w:tc>
          <w:tcPr>
            <w:tcW w:w="2689" w:type="dxa"/>
          </w:tcPr>
          <w:p w14:paraId="468DBFDF" w14:textId="77777777" w:rsidR="004876D0" w:rsidRPr="00C44CD0" w:rsidRDefault="004876D0" w:rsidP="00EA32A5">
            <w:pPr>
              <w:jc w:val="both"/>
              <w:rPr>
                <w:rFonts w:ascii="Verdana" w:eastAsia="Calibri" w:hAnsi="Verdana" w:cs="Arial"/>
                <w:b/>
                <w:color w:val="000000" w:themeColor="text1"/>
                <w:lang w:val="es-ES_tradnl" w:eastAsia="es-ES_tradnl"/>
              </w:rPr>
            </w:pPr>
            <w:r w:rsidRPr="00C44CD0">
              <w:rPr>
                <w:rFonts w:ascii="Verdana" w:eastAsia="Calibri" w:hAnsi="Verdana" w:cs="Arial"/>
                <w:b/>
                <w:color w:val="000000" w:themeColor="text1"/>
                <w:lang w:val="es-ES_tradnl" w:eastAsia="es-ES_tradnl"/>
              </w:rPr>
              <w:t>Radicación:</w:t>
            </w:r>
            <w:r w:rsidRPr="00C44CD0">
              <w:rPr>
                <w:rFonts w:ascii="Verdana" w:eastAsia="Calibri" w:hAnsi="Verdana" w:cs="Arial"/>
                <w:color w:val="000000" w:themeColor="text1"/>
                <w:lang w:val="es-ES_tradnl" w:eastAsia="es-ES_tradnl"/>
              </w:rPr>
              <w:t xml:space="preserve">               </w:t>
            </w:r>
          </w:p>
        </w:tc>
        <w:tc>
          <w:tcPr>
            <w:tcW w:w="6100" w:type="dxa"/>
          </w:tcPr>
          <w:p w14:paraId="64373551" w14:textId="025F1D43" w:rsidR="004876D0" w:rsidRPr="00C44CD0" w:rsidRDefault="00F36AFE" w:rsidP="00EA32A5">
            <w:pPr>
              <w:jc w:val="both"/>
              <w:rPr>
                <w:rFonts w:ascii="Verdana" w:hAnsi="Verdana" w:cs="Arial"/>
                <w:color w:val="EE0000"/>
              </w:rPr>
            </w:pPr>
            <w:r w:rsidRPr="00C44CD0">
              <w:rPr>
                <w:rFonts w:ascii="Verdana" w:eastAsia="Calibri" w:hAnsi="Verdana" w:cs="Arial"/>
                <w:color w:val="000000" w:themeColor="text1"/>
                <w:lang w:val="es-ES" w:eastAsia="es-ES"/>
              </w:rPr>
              <w:t xml:space="preserve">Respuesta a consulta con radicado No. </w:t>
            </w:r>
            <w:r w:rsidRPr="00C44CD0">
              <w:rPr>
                <w:rFonts w:ascii="Verdana" w:hAnsi="Verdana"/>
                <w:color w:val="242424"/>
                <w:shd w:val="clear" w:color="auto" w:fill="D9E1F2"/>
              </w:rPr>
              <w:t xml:space="preserve">1_2026_04_08_004785 acumulado con radicado No. </w:t>
            </w:r>
            <w:r w:rsidRPr="00C44CD0">
              <w:rPr>
                <w:rFonts w:ascii="Verdana" w:hAnsi="Verdana"/>
                <w:color w:val="242424"/>
                <w:shd w:val="clear" w:color="auto" w:fill="FFFFFF"/>
              </w:rPr>
              <w:t xml:space="preserve">1_2026_04_09_004807 </w:t>
            </w:r>
            <w:r w:rsidRPr="00C44CD0">
              <w:rPr>
                <w:rFonts w:ascii="Verdana" w:hAnsi="Verdana"/>
                <w:color w:val="242424"/>
                <w:shd w:val="clear" w:color="auto" w:fill="D9E1F2"/>
              </w:rPr>
              <w:t xml:space="preserve"> </w:t>
            </w:r>
            <w:r w:rsidR="004876D0" w:rsidRPr="00C44CD0">
              <w:rPr>
                <w:rFonts w:ascii="Verdana" w:hAnsi="Verdana"/>
                <w:color w:val="EE0000"/>
              </w:rPr>
              <w:t xml:space="preserve">                                                                                                                                                                                                                                                                                                                                                            </w:t>
            </w:r>
          </w:p>
          <w:p w14:paraId="35054469" w14:textId="77777777" w:rsidR="004876D0" w:rsidRPr="00C44CD0" w:rsidRDefault="004876D0" w:rsidP="00EA32A5">
            <w:pPr>
              <w:jc w:val="both"/>
              <w:rPr>
                <w:rFonts w:ascii="Verdana" w:hAnsi="Verdana"/>
                <w:color w:val="EE0000"/>
              </w:rPr>
            </w:pPr>
          </w:p>
        </w:tc>
      </w:tr>
    </w:tbl>
    <w:p w14:paraId="71348F4C" w14:textId="462CF25F" w:rsidR="004876D0" w:rsidRPr="00C44CD0" w:rsidRDefault="004876D0" w:rsidP="004876D0">
      <w:pPr>
        <w:spacing w:after="0" w:line="276" w:lineRule="auto"/>
        <w:jc w:val="both"/>
        <w:rPr>
          <w:rFonts w:ascii="Verdana" w:eastAsia="Calibri" w:hAnsi="Verdana" w:cs="Arial"/>
          <w:color w:val="000000" w:themeColor="text1"/>
          <w:lang w:val="es-ES" w:eastAsia="es-ES"/>
        </w:rPr>
      </w:pPr>
      <w:r w:rsidRPr="00C44CD0">
        <w:rPr>
          <w:rFonts w:ascii="Verdana" w:eastAsia="Calibri" w:hAnsi="Verdana" w:cs="Arial"/>
          <w:color w:val="000000" w:themeColor="text1"/>
          <w:lang w:val="es-ES" w:eastAsia="es-ES"/>
        </w:rPr>
        <w:t>Estimad</w:t>
      </w:r>
      <w:r w:rsidR="008773E9" w:rsidRPr="00C44CD0">
        <w:rPr>
          <w:rFonts w:ascii="Verdana" w:eastAsia="Calibri" w:hAnsi="Verdana" w:cs="Arial"/>
          <w:color w:val="000000" w:themeColor="text1"/>
          <w:lang w:val="es-ES" w:eastAsia="es-ES"/>
        </w:rPr>
        <w:t>o</w:t>
      </w:r>
      <w:r w:rsidRPr="00C44CD0">
        <w:rPr>
          <w:rFonts w:ascii="Verdana" w:eastAsia="Calibri" w:hAnsi="Verdana" w:cs="Arial"/>
          <w:color w:val="000000" w:themeColor="text1"/>
          <w:lang w:val="es-ES" w:eastAsia="es-ES"/>
        </w:rPr>
        <w:t xml:space="preserve"> señor </w:t>
      </w:r>
      <w:r w:rsidR="008773E9" w:rsidRPr="00C44CD0">
        <w:rPr>
          <w:rFonts w:ascii="Verdana" w:eastAsia="Calibri" w:hAnsi="Verdana" w:cs="Arial"/>
          <w:color w:val="000000" w:themeColor="text1"/>
          <w:lang w:val="es-ES" w:eastAsia="es-ES"/>
        </w:rPr>
        <w:t>Gutiérrez</w:t>
      </w:r>
      <w:r w:rsidRPr="00C44CD0">
        <w:rPr>
          <w:rFonts w:ascii="Verdana" w:eastAsia="Calibri" w:hAnsi="Verdana" w:cs="Arial"/>
          <w:color w:val="000000" w:themeColor="text1"/>
          <w:lang w:val="es-ES" w:eastAsia="es-ES"/>
        </w:rPr>
        <w:t xml:space="preserve">: </w:t>
      </w:r>
    </w:p>
    <w:p w14:paraId="086A438F" w14:textId="77777777" w:rsidR="004876D0" w:rsidRPr="00C44CD0" w:rsidRDefault="004876D0" w:rsidP="004876D0">
      <w:pPr>
        <w:spacing w:after="0"/>
        <w:rPr>
          <w:rFonts w:ascii="Verdana" w:eastAsia="Times New Roman" w:hAnsi="Verdana" w:cs="Segoe UI"/>
          <w:lang w:eastAsia="es-CO"/>
        </w:rPr>
      </w:pPr>
    </w:p>
    <w:p w14:paraId="6FAE7C9E" w14:textId="4CC509EA" w:rsidR="004876D0" w:rsidRPr="00C44CD0" w:rsidRDefault="004876D0" w:rsidP="004876D0">
      <w:pPr>
        <w:spacing w:after="0" w:line="276" w:lineRule="auto"/>
        <w:jc w:val="both"/>
        <w:rPr>
          <w:rFonts w:ascii="Verdana" w:hAnsi="Verdana" w:cs="Arial"/>
          <w:color w:val="000000" w:themeColor="text1"/>
        </w:rPr>
      </w:pPr>
      <w:r w:rsidRPr="00C44CD0">
        <w:rPr>
          <w:rFonts w:ascii="Verdana" w:eastAsia="Calibri" w:hAnsi="Verdana" w:cs="Arial"/>
          <w:color w:val="000000" w:themeColor="text1"/>
          <w:lang w:val="es-ES" w:eastAsia="es-ES"/>
        </w:rPr>
        <w:t>En ejercicio de la competencia otorgada por los artículos 3, numeral 5º, y 11, numeral 8º, del Decreto Ley 4170 de 2011,</w:t>
      </w:r>
      <w:r w:rsidRPr="00C44CD0">
        <w:rPr>
          <w:rFonts w:ascii="Verdana" w:eastAsia="Arial MT" w:hAnsi="Verdana" w:cs="Arial MT"/>
          <w:color w:val="000000" w:themeColor="text1"/>
          <w:lang w:val="es-ES" w:eastAsia="es-ES"/>
        </w:rPr>
        <w:t xml:space="preserve"> </w:t>
      </w:r>
      <w:r w:rsidRPr="00C44CD0">
        <w:rPr>
          <w:rFonts w:ascii="Verdana" w:hAnsi="Verdana" w:cs="Arial"/>
          <w:lang w:val="es-ES_tradnl"/>
        </w:rPr>
        <w:t>así como lo establecido en</w:t>
      </w:r>
      <w:r w:rsidRPr="00C44CD0">
        <w:rPr>
          <w:rFonts w:ascii="Verdana" w:hAnsi="Verdana" w:cs="Arial"/>
        </w:rPr>
        <w:t xml:space="preserve"> la Resolución 469 de 2025 expedida por esta Entidad</w:t>
      </w:r>
      <w:r w:rsidRPr="00C44CD0">
        <w:rPr>
          <w:rFonts w:ascii="Verdana" w:hAnsi="Verdana" w:cs="Arial"/>
          <w:color w:val="000000" w:themeColor="text1"/>
        </w:rPr>
        <w:t xml:space="preserve">, </w:t>
      </w:r>
      <w:r w:rsidRPr="00C44CD0">
        <w:rPr>
          <w:rFonts w:ascii="Verdana" w:eastAsia="Calibri" w:hAnsi="Verdana" w:cs="Arial"/>
          <w:color w:val="000000" w:themeColor="text1"/>
          <w:lang w:val="es-ES" w:eastAsia="es-ES"/>
        </w:rPr>
        <w:t>la Agencia Nacional de Contratación Pública – Colombia Compra Eficiente– responde su</w:t>
      </w:r>
      <w:r w:rsidR="008773E9" w:rsidRPr="00C44CD0">
        <w:rPr>
          <w:rFonts w:ascii="Verdana" w:eastAsia="Calibri" w:hAnsi="Verdana" w:cs="Arial"/>
          <w:color w:val="000000" w:themeColor="text1"/>
          <w:lang w:val="es-ES" w:eastAsia="es-ES"/>
        </w:rPr>
        <w:t>s</w:t>
      </w:r>
      <w:r w:rsidRPr="00C44CD0">
        <w:rPr>
          <w:rFonts w:ascii="Verdana" w:eastAsia="Calibri" w:hAnsi="Verdana" w:cs="Arial"/>
          <w:color w:val="000000" w:themeColor="text1"/>
          <w:lang w:val="es-ES" w:eastAsia="es-ES"/>
        </w:rPr>
        <w:t xml:space="preserve"> solicitud</w:t>
      </w:r>
      <w:r w:rsidR="008773E9" w:rsidRPr="00C44CD0">
        <w:rPr>
          <w:rFonts w:ascii="Verdana" w:eastAsia="Calibri" w:hAnsi="Verdana" w:cs="Arial"/>
          <w:color w:val="000000" w:themeColor="text1"/>
          <w:lang w:val="es-ES" w:eastAsia="es-ES"/>
        </w:rPr>
        <w:t>es</w:t>
      </w:r>
      <w:r w:rsidRPr="00C44CD0">
        <w:rPr>
          <w:rFonts w:ascii="Verdana" w:eastAsia="Calibri" w:hAnsi="Verdana" w:cs="Arial"/>
          <w:color w:val="000000" w:themeColor="text1"/>
          <w:lang w:val="es-ES" w:eastAsia="es-ES"/>
        </w:rPr>
        <w:t xml:space="preserve"> de consulta del </w:t>
      </w:r>
      <w:r w:rsidR="008773E9" w:rsidRPr="00C44CD0">
        <w:rPr>
          <w:rFonts w:ascii="Verdana" w:eastAsia="Calibri" w:hAnsi="Verdana" w:cs="Arial"/>
          <w:color w:val="000000" w:themeColor="text1"/>
          <w:lang w:val="es-ES" w:eastAsia="es-ES"/>
        </w:rPr>
        <w:t>8 y 9</w:t>
      </w:r>
      <w:r w:rsidRPr="00C44CD0">
        <w:rPr>
          <w:rFonts w:ascii="Verdana" w:eastAsia="Calibri" w:hAnsi="Verdana" w:cs="Arial"/>
          <w:color w:val="000000" w:themeColor="text1"/>
          <w:lang w:val="es-ES" w:eastAsia="es-ES"/>
        </w:rPr>
        <w:t xml:space="preserve"> de </w:t>
      </w:r>
      <w:r w:rsidR="008773E9" w:rsidRPr="00C44CD0">
        <w:rPr>
          <w:rFonts w:ascii="Verdana" w:eastAsia="Calibri" w:hAnsi="Verdana" w:cs="Arial"/>
          <w:color w:val="000000" w:themeColor="text1"/>
          <w:lang w:val="es-ES" w:eastAsia="es-ES"/>
        </w:rPr>
        <w:t>abril</w:t>
      </w:r>
      <w:r w:rsidRPr="00C44CD0">
        <w:rPr>
          <w:rFonts w:ascii="Verdana" w:eastAsia="Calibri" w:hAnsi="Verdana" w:cs="Arial"/>
          <w:color w:val="000000" w:themeColor="text1"/>
          <w:lang w:val="es-ES" w:eastAsia="es-ES"/>
        </w:rPr>
        <w:t xml:space="preserve"> del 2026, en la cual manifiesta lo siguiente: </w:t>
      </w:r>
    </w:p>
    <w:p w14:paraId="13EFB808" w14:textId="77777777" w:rsidR="004876D0" w:rsidRPr="00C44CD0" w:rsidRDefault="004876D0" w:rsidP="004876D0">
      <w:pPr>
        <w:pStyle w:val="Default"/>
        <w:rPr>
          <w:rFonts w:ascii="Verdana" w:hAnsi="Verdana" w:cs="Verdana"/>
        </w:rPr>
      </w:pPr>
    </w:p>
    <w:p w14:paraId="6D58EACA" w14:textId="6F926FBD" w:rsidR="004876D0" w:rsidRPr="00C44CD0" w:rsidRDefault="004876D0" w:rsidP="000F2B0C">
      <w:pPr>
        <w:spacing w:after="0" w:line="240" w:lineRule="auto"/>
        <w:ind w:left="709" w:right="709"/>
        <w:jc w:val="both"/>
        <w:rPr>
          <w:rFonts w:ascii="Verdana" w:hAnsi="Verdana" w:cs="Verdana"/>
          <w:i/>
          <w:iCs/>
          <w:color w:val="000000" w:themeColor="text1"/>
          <w:sz w:val="21"/>
          <w:szCs w:val="21"/>
        </w:rPr>
      </w:pPr>
      <w:r w:rsidRPr="00C44CD0">
        <w:rPr>
          <w:rFonts w:ascii="Verdana" w:hAnsi="Verdana" w:cs="Verdana"/>
          <w:i/>
          <w:iCs/>
          <w:color w:val="000000" w:themeColor="text1"/>
          <w:sz w:val="21"/>
          <w:szCs w:val="21"/>
        </w:rPr>
        <w:lastRenderedPageBreak/>
        <w:t>“</w:t>
      </w:r>
      <w:r w:rsidR="000F2B0C" w:rsidRPr="00C44CD0">
        <w:rPr>
          <w:rFonts w:ascii="Verdana" w:hAnsi="Verdana" w:cs="Verdana"/>
          <w:i/>
          <w:iCs/>
          <w:color w:val="000000" w:themeColor="text1"/>
          <w:sz w:val="21"/>
          <w:szCs w:val="21"/>
        </w:rPr>
        <w:t xml:space="preserve">En mi calidad de Asesor Jurídico del Municipio de Becerril Cesar, me permito exponer la siguiente situación con el fin de solicitar se evalúe la procedencia de continuar con el trámite de aprobación del contrato de prestación de servicios identificado con el ID CO1.PCCNTR.9310249, suscrito con el señor Alveiro Martínez Herrera:1.El referido contrato fue debidamente suscrito por el contratista el día 30 de enero de 2026 a las 11:56:42 p.m., es decir, dentro del término legal permitido y antes de la entrada en vigencia de la Ley de Garantías. 2.Posteriormente, la aprobación por parte de la entidad se registró en la plataforma </w:t>
      </w:r>
      <w:r w:rsidR="000F2B0C" w:rsidRPr="00C44CD0">
        <w:rPr>
          <w:rFonts w:ascii="Verdana" w:hAnsi="Verdana"/>
          <w:i/>
          <w:iCs/>
          <w:sz w:val="21"/>
          <w:szCs w:val="21"/>
        </w:rPr>
        <w:t>el día</w:t>
      </w:r>
      <w:r w:rsidR="000F2B0C" w:rsidRPr="00C44CD0">
        <w:rPr>
          <w:rFonts w:ascii="Verdana" w:hAnsi="Verdana" w:cs="Verdana"/>
          <w:i/>
          <w:iCs/>
          <w:color w:val="000000" w:themeColor="text1"/>
          <w:sz w:val="21"/>
          <w:szCs w:val="21"/>
        </w:rPr>
        <w:t xml:space="preserve"> 31 de enero de 2026 a las 12:00:02 a.m., evidenciándose un desfase de apenas dos (2)</w:t>
      </w:r>
      <w:r w:rsidR="000F2B0C" w:rsidRPr="00C44CD0">
        <w:rPr>
          <w:rFonts w:ascii="Verdana" w:hAnsi="Verdana"/>
          <w:i/>
          <w:iCs/>
          <w:sz w:val="21"/>
          <w:szCs w:val="21"/>
        </w:rPr>
        <w:t xml:space="preserve"> </w:t>
      </w:r>
      <w:r w:rsidR="000F2B0C" w:rsidRPr="00C44CD0">
        <w:rPr>
          <w:rFonts w:ascii="Verdana" w:hAnsi="Verdana" w:cs="Verdana"/>
          <w:i/>
          <w:iCs/>
          <w:color w:val="000000" w:themeColor="text1"/>
          <w:sz w:val="21"/>
          <w:szCs w:val="21"/>
        </w:rPr>
        <w:t xml:space="preserve">segundos respecto del inicio de la restricción legal. 3.Es importante señalar que, para la fecha </w:t>
      </w:r>
      <w:r w:rsidR="000F2B0C" w:rsidRPr="00C44CD0">
        <w:rPr>
          <w:rFonts w:ascii="Verdana" w:hAnsi="Verdana"/>
          <w:i/>
          <w:iCs/>
          <w:sz w:val="21"/>
          <w:szCs w:val="21"/>
        </w:rPr>
        <w:t>y hora</w:t>
      </w:r>
      <w:r w:rsidR="000F2B0C" w:rsidRPr="00C44CD0">
        <w:rPr>
          <w:rFonts w:ascii="Verdana" w:hAnsi="Verdana" w:cs="Verdana"/>
          <w:i/>
          <w:iCs/>
          <w:color w:val="000000" w:themeColor="text1"/>
          <w:sz w:val="21"/>
          <w:szCs w:val="21"/>
        </w:rPr>
        <w:t xml:space="preserve"> de los hechos, se presentaban inconvenientes técnicos y de flujo en la </w:t>
      </w:r>
      <w:r w:rsidR="000F2B0C" w:rsidRPr="00C44CD0">
        <w:rPr>
          <w:rFonts w:ascii="Verdana" w:hAnsi="Verdana"/>
          <w:i/>
          <w:iCs/>
          <w:sz w:val="21"/>
          <w:szCs w:val="21"/>
        </w:rPr>
        <w:t>plataforma transaccional</w:t>
      </w:r>
      <w:r w:rsidR="000F2B0C" w:rsidRPr="00C44CD0">
        <w:rPr>
          <w:rFonts w:ascii="Verdana" w:hAnsi="Verdana" w:cs="Verdana"/>
          <w:i/>
          <w:iCs/>
          <w:color w:val="000000" w:themeColor="text1"/>
          <w:sz w:val="21"/>
          <w:szCs w:val="21"/>
        </w:rPr>
        <w:t xml:space="preserve">, lo cual pudo haber generado el registro extemporáneo de la aprobación, pese </w:t>
      </w:r>
      <w:r w:rsidR="000F2B0C" w:rsidRPr="00C44CD0">
        <w:rPr>
          <w:rFonts w:ascii="Verdana" w:hAnsi="Verdana"/>
          <w:i/>
          <w:iCs/>
          <w:sz w:val="21"/>
          <w:szCs w:val="21"/>
        </w:rPr>
        <w:t>a que</w:t>
      </w:r>
      <w:r w:rsidR="000F2B0C" w:rsidRPr="00C44CD0">
        <w:rPr>
          <w:rFonts w:ascii="Verdana" w:hAnsi="Verdana" w:cs="Verdana"/>
          <w:i/>
          <w:iCs/>
          <w:color w:val="000000" w:themeColor="text1"/>
          <w:sz w:val="21"/>
          <w:szCs w:val="21"/>
        </w:rPr>
        <w:t xml:space="preserve"> materialmente el proceso contractual se adelantó dentro de los tiempos legales.4.En </w:t>
      </w:r>
      <w:r w:rsidR="000F2B0C" w:rsidRPr="00C44CD0">
        <w:rPr>
          <w:rFonts w:ascii="Verdana" w:hAnsi="Verdana"/>
          <w:i/>
          <w:iCs/>
          <w:sz w:val="21"/>
          <w:szCs w:val="21"/>
        </w:rPr>
        <w:t>ese sentido</w:t>
      </w:r>
      <w:r w:rsidR="000F2B0C" w:rsidRPr="00C44CD0">
        <w:rPr>
          <w:rFonts w:ascii="Verdana" w:hAnsi="Verdana" w:cs="Verdana"/>
          <w:i/>
          <w:iCs/>
          <w:color w:val="000000" w:themeColor="text1"/>
          <w:sz w:val="21"/>
          <w:szCs w:val="21"/>
        </w:rPr>
        <w:t>, se tiene que la voluntad contractual de las partes se manifestó oportunamente,</w:t>
      </w:r>
      <w:r w:rsidR="000F2B0C" w:rsidRPr="00C44CD0">
        <w:rPr>
          <w:rFonts w:ascii="Verdana" w:hAnsi="Verdana"/>
          <w:i/>
          <w:iCs/>
          <w:sz w:val="21"/>
          <w:szCs w:val="21"/>
        </w:rPr>
        <w:t xml:space="preserve"> </w:t>
      </w:r>
      <w:r w:rsidR="000F2B0C" w:rsidRPr="00C44CD0">
        <w:rPr>
          <w:rFonts w:ascii="Verdana" w:hAnsi="Verdana" w:cs="Verdana"/>
          <w:i/>
          <w:iCs/>
          <w:color w:val="000000" w:themeColor="text1"/>
          <w:sz w:val="21"/>
          <w:szCs w:val="21"/>
        </w:rPr>
        <w:t xml:space="preserve">cumpliendo con los requisitos sustanciales antes de la entrada en vigencia de la Ley </w:t>
      </w:r>
      <w:r w:rsidR="000F2B0C" w:rsidRPr="00C44CD0">
        <w:rPr>
          <w:rFonts w:ascii="Verdana" w:hAnsi="Verdana"/>
          <w:i/>
          <w:iCs/>
          <w:sz w:val="21"/>
          <w:szCs w:val="21"/>
        </w:rPr>
        <w:t>de Garantías</w:t>
      </w:r>
      <w:r w:rsidR="000F2B0C" w:rsidRPr="00C44CD0">
        <w:rPr>
          <w:rFonts w:ascii="Verdana" w:hAnsi="Verdana" w:cs="Verdana"/>
          <w:i/>
          <w:iCs/>
          <w:color w:val="000000" w:themeColor="text1"/>
          <w:sz w:val="21"/>
          <w:szCs w:val="21"/>
        </w:rPr>
        <w:t xml:space="preserve">, siendo el desfase advertido un aspecto meramente formal y atribuible a circunstancias técnicas ajenas al control de la entidad. Por lo anterior, respetuosamente se solicita: Se analice la viabilidad jurídica de continuar con el trámite y aprobar el contrato en mención, teniendo en cuenta que su suscripción se realizó dentro del término legal, y que el registro posterior obedece a una situación mínima, no sustancial, derivada de fallas técnicas de la plataforma. Lo anterior, bajo los principios de buena fe, prevalencia del derecho </w:t>
      </w:r>
      <w:r w:rsidR="000F2B0C" w:rsidRPr="00C44CD0">
        <w:rPr>
          <w:rFonts w:ascii="Verdana" w:hAnsi="Verdana"/>
          <w:i/>
          <w:iCs/>
          <w:sz w:val="21"/>
          <w:szCs w:val="21"/>
        </w:rPr>
        <w:t>sustancial sobre</w:t>
      </w:r>
      <w:r w:rsidR="000F2B0C" w:rsidRPr="00C44CD0">
        <w:rPr>
          <w:rFonts w:ascii="Verdana" w:hAnsi="Verdana" w:cs="Verdana"/>
          <w:i/>
          <w:iCs/>
          <w:color w:val="000000" w:themeColor="text1"/>
          <w:sz w:val="21"/>
          <w:szCs w:val="21"/>
        </w:rPr>
        <w:t xml:space="preserve"> las formalidades y eficacia de la función administrativa.</w:t>
      </w:r>
      <w:r w:rsidRPr="00C44CD0">
        <w:rPr>
          <w:rFonts w:ascii="Verdana" w:hAnsi="Verdana" w:cs="Verdana"/>
          <w:i/>
          <w:iCs/>
          <w:color w:val="000000" w:themeColor="text1"/>
          <w:sz w:val="21"/>
          <w:szCs w:val="21"/>
        </w:rPr>
        <w:t>.</w:t>
      </w:r>
      <w:r w:rsidRPr="00C44CD0">
        <w:rPr>
          <w:rFonts w:ascii="Verdana" w:eastAsia="Century Gothic" w:hAnsi="Verdana" w:cs="Century Gothic"/>
          <w:i/>
          <w:iCs/>
          <w:color w:val="000000" w:themeColor="text1"/>
          <w:sz w:val="21"/>
          <w:szCs w:val="21"/>
        </w:rPr>
        <w:t>”</w:t>
      </w:r>
    </w:p>
    <w:p w14:paraId="07343EAC" w14:textId="77777777" w:rsidR="004876D0" w:rsidRPr="00C44CD0" w:rsidRDefault="004876D0" w:rsidP="004876D0">
      <w:pPr>
        <w:spacing w:after="0" w:line="240" w:lineRule="auto"/>
        <w:ind w:left="709" w:right="709"/>
        <w:jc w:val="both"/>
        <w:rPr>
          <w:rFonts w:ascii="Verdana" w:eastAsia="Times New Roman" w:hAnsi="Verdana" w:cs="Arial"/>
          <w:i/>
          <w:iCs/>
          <w:sz w:val="20"/>
          <w:szCs w:val="20"/>
          <w:lang w:eastAsia="es-ES_tradnl"/>
        </w:rPr>
      </w:pPr>
    </w:p>
    <w:p w14:paraId="7A55068D" w14:textId="77777777" w:rsidR="004876D0" w:rsidRPr="00C44CD0" w:rsidRDefault="004876D0" w:rsidP="004876D0">
      <w:pPr>
        <w:spacing w:after="120" w:line="276" w:lineRule="auto"/>
        <w:ind w:firstLine="709"/>
        <w:jc w:val="both"/>
        <w:rPr>
          <w:rFonts w:ascii="Verdana" w:eastAsia="Calibri" w:hAnsi="Verdana" w:cs="Arial"/>
          <w:color w:val="000000" w:themeColor="text1"/>
          <w:szCs w:val="24"/>
          <w:lang w:val="es-ES_tradnl" w:eastAsia="es-ES_tradnl"/>
        </w:rPr>
      </w:pPr>
      <w:r w:rsidRPr="00C44CD0">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w:t>
      </w:r>
      <w:r w:rsidRPr="00C44CD0">
        <w:rPr>
          <w:rFonts w:ascii="Verdana" w:eastAsia="Calibri" w:hAnsi="Verdana" w:cs="Arial"/>
          <w:color w:val="000000" w:themeColor="text1"/>
          <w:lang w:val="es-ES" w:eastAsia="es-ES"/>
        </w:rPr>
        <w:lastRenderedPageBreak/>
        <w:t xml:space="preserve">por definición, no puede extenderse a la resolución de controversias, ni a brindar asesorías sobre casos puntuales. </w:t>
      </w:r>
      <w:r w:rsidRPr="00C44CD0">
        <w:rPr>
          <w:rFonts w:ascii="Verdana" w:eastAsia="Calibri" w:hAnsi="Verdana" w:cs="Arial"/>
          <w:color w:val="000000" w:themeColor="text1"/>
          <w:szCs w:val="24"/>
          <w:lang w:val="es-ES_tradnl" w:eastAsia="es-ES_tradnl"/>
        </w:rPr>
        <w:tab/>
      </w:r>
    </w:p>
    <w:p w14:paraId="2AE946A9" w14:textId="77777777" w:rsidR="004876D0" w:rsidRPr="00C44CD0" w:rsidRDefault="004876D0" w:rsidP="004876D0">
      <w:pPr>
        <w:spacing w:after="0" w:line="276" w:lineRule="auto"/>
        <w:ind w:firstLine="709"/>
        <w:jc w:val="both"/>
        <w:rPr>
          <w:rFonts w:ascii="Verdana" w:eastAsia="Calibri" w:hAnsi="Verdana" w:cs="Arial"/>
          <w:color w:val="000000" w:themeColor="text1"/>
          <w:lang w:val="es-ES" w:eastAsia="es-ES"/>
        </w:rPr>
      </w:pPr>
      <w:r w:rsidRPr="00C44CD0">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5248898D" w14:textId="77777777" w:rsidR="004876D0" w:rsidRPr="00C44CD0" w:rsidRDefault="004876D0" w:rsidP="004876D0">
      <w:pPr>
        <w:spacing w:after="0" w:line="276" w:lineRule="auto"/>
        <w:jc w:val="both"/>
        <w:rPr>
          <w:rFonts w:ascii="Verdana" w:eastAsia="Calibri" w:hAnsi="Verdana" w:cs="Arial"/>
          <w:color w:val="000000" w:themeColor="text1"/>
          <w:lang w:val="es-ES" w:eastAsia="es-ES"/>
        </w:rPr>
      </w:pPr>
    </w:p>
    <w:p w14:paraId="43D1BCFD" w14:textId="63BB3A55" w:rsidR="004876D0" w:rsidRPr="00C44CD0" w:rsidRDefault="004876D0" w:rsidP="004876D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44CD0">
        <w:rPr>
          <w:rFonts w:ascii="Verdana" w:eastAsia="Century Gothic" w:hAnsi="Verdana" w:cs="Century Gothic"/>
          <w:b/>
          <w:bCs/>
          <w:color w:val="000000" w:themeColor="text1"/>
        </w:rPr>
        <w:t>Problema</w:t>
      </w:r>
      <w:r w:rsidR="003C7E03" w:rsidRPr="00C44CD0">
        <w:rPr>
          <w:rFonts w:ascii="Verdana" w:eastAsia="Century Gothic" w:hAnsi="Verdana" w:cs="Century Gothic"/>
          <w:b/>
          <w:bCs/>
          <w:color w:val="000000" w:themeColor="text1"/>
        </w:rPr>
        <w:t>s</w:t>
      </w:r>
      <w:r w:rsidRPr="00C44CD0">
        <w:rPr>
          <w:rFonts w:ascii="Verdana" w:eastAsia="Century Gothic" w:hAnsi="Verdana" w:cs="Century Gothic"/>
          <w:b/>
          <w:bCs/>
          <w:color w:val="000000" w:themeColor="text1"/>
        </w:rPr>
        <w:t xml:space="preserve"> planteado</w:t>
      </w:r>
      <w:r w:rsidR="003C7E03" w:rsidRPr="00C44CD0">
        <w:rPr>
          <w:rFonts w:ascii="Verdana" w:eastAsia="Century Gothic" w:hAnsi="Verdana" w:cs="Century Gothic"/>
          <w:b/>
          <w:bCs/>
          <w:color w:val="000000" w:themeColor="text1"/>
        </w:rPr>
        <w:t>s</w:t>
      </w:r>
      <w:r w:rsidRPr="00C44CD0">
        <w:rPr>
          <w:rFonts w:ascii="Verdana" w:eastAsia="Century Gothic" w:hAnsi="Verdana" w:cs="Century Gothic"/>
          <w:b/>
          <w:bCs/>
          <w:color w:val="000000" w:themeColor="text1"/>
        </w:rPr>
        <w:t>:</w:t>
      </w:r>
    </w:p>
    <w:p w14:paraId="604C1CC9" w14:textId="77777777" w:rsidR="004876D0" w:rsidRPr="00C44CD0" w:rsidRDefault="004876D0" w:rsidP="004876D0">
      <w:pPr>
        <w:tabs>
          <w:tab w:val="left" w:pos="426"/>
        </w:tabs>
        <w:spacing w:after="0" w:line="276" w:lineRule="auto"/>
        <w:jc w:val="both"/>
        <w:rPr>
          <w:rFonts w:ascii="Verdana" w:eastAsia="Century Gothic" w:hAnsi="Verdana" w:cs="Century Gothic"/>
          <w:color w:val="000000" w:themeColor="text1"/>
          <w:lang w:val="es-ES"/>
        </w:rPr>
      </w:pPr>
    </w:p>
    <w:p w14:paraId="62F933EB" w14:textId="0CE9D22C" w:rsidR="004876D0" w:rsidRPr="00C44CD0" w:rsidRDefault="004876D0" w:rsidP="004876D0">
      <w:pPr>
        <w:spacing w:after="0" w:line="276" w:lineRule="auto"/>
        <w:jc w:val="both"/>
        <w:rPr>
          <w:rFonts w:ascii="Verdana" w:eastAsia="Century Gothic" w:hAnsi="Verdana" w:cs="Century Gothic"/>
          <w:color w:val="000000" w:themeColor="text1"/>
        </w:rPr>
      </w:pPr>
      <w:r w:rsidRPr="00C44CD0">
        <w:rPr>
          <w:rFonts w:ascii="Verdana" w:eastAsia="Century Gothic" w:hAnsi="Verdana" w:cs="Century Gothic"/>
          <w:color w:val="000000" w:themeColor="text1"/>
        </w:rPr>
        <w:t xml:space="preserve">De acuerdo con el contenido de su solicitud, esta Agencia resolverá los siguientes problemas jurídicos: i) </w:t>
      </w:r>
      <w:r w:rsidR="00700438" w:rsidRPr="00C44CD0">
        <w:rPr>
          <w:rFonts w:ascii="Verdana" w:eastAsia="Century Gothic" w:hAnsi="Verdana" w:cs="Century Gothic"/>
          <w:color w:val="000000" w:themeColor="text1"/>
        </w:rPr>
        <w:t>¿Cuál es la restricción contenida en la Ley de Garantías Electorales aplicable en el actual periodo</w:t>
      </w:r>
      <w:r w:rsidR="00683A52" w:rsidRPr="00C44CD0">
        <w:rPr>
          <w:rFonts w:ascii="Verdana" w:eastAsia="Century Gothic" w:hAnsi="Verdana" w:cs="Century Gothic"/>
          <w:color w:val="000000" w:themeColor="text1"/>
        </w:rPr>
        <w:t xml:space="preserve"> </w:t>
      </w:r>
      <w:r w:rsidR="007F50C9" w:rsidRPr="00C44CD0">
        <w:rPr>
          <w:rFonts w:ascii="Verdana" w:eastAsia="Century Gothic" w:hAnsi="Verdana" w:cs="Century Gothic"/>
          <w:color w:val="000000" w:themeColor="text1"/>
        </w:rPr>
        <w:t>pre</w:t>
      </w:r>
      <w:r w:rsidR="00683A52" w:rsidRPr="00C44CD0">
        <w:rPr>
          <w:rFonts w:ascii="Verdana" w:eastAsia="Century Gothic" w:hAnsi="Verdana" w:cs="Century Gothic"/>
          <w:color w:val="000000" w:themeColor="text1"/>
        </w:rPr>
        <w:t>electoral</w:t>
      </w:r>
      <w:r w:rsidR="00700438" w:rsidRPr="00C44CD0">
        <w:rPr>
          <w:rFonts w:ascii="Verdana" w:eastAsia="Century Gothic" w:hAnsi="Verdana" w:cs="Century Gothic"/>
          <w:color w:val="000000" w:themeColor="text1"/>
        </w:rPr>
        <w:t xml:space="preserve">?; </w:t>
      </w:r>
      <w:proofErr w:type="spellStart"/>
      <w:r w:rsidR="00700438" w:rsidRPr="00C44CD0">
        <w:rPr>
          <w:rFonts w:ascii="Verdana" w:eastAsia="Century Gothic" w:hAnsi="Verdana" w:cs="Century Gothic"/>
          <w:color w:val="000000" w:themeColor="text1"/>
        </w:rPr>
        <w:t>ii</w:t>
      </w:r>
      <w:proofErr w:type="spellEnd"/>
      <w:r w:rsidR="00700438" w:rsidRPr="00C44CD0">
        <w:rPr>
          <w:rFonts w:ascii="Verdana" w:eastAsia="Century Gothic" w:hAnsi="Verdana" w:cs="Century Gothic"/>
          <w:color w:val="000000" w:themeColor="text1"/>
        </w:rPr>
        <w:t xml:space="preserve">) </w:t>
      </w:r>
      <w:r w:rsidRPr="00C44CD0">
        <w:rPr>
          <w:rFonts w:ascii="Verdana" w:eastAsia="Century Gothic" w:hAnsi="Verdana" w:cs="Century Gothic"/>
          <w:color w:val="000000" w:themeColor="text1"/>
        </w:rPr>
        <w:t>¿</w:t>
      </w:r>
      <w:r w:rsidR="003C7E03" w:rsidRPr="00C44CD0">
        <w:rPr>
          <w:rFonts w:ascii="Verdana" w:eastAsia="Century Gothic" w:hAnsi="Verdana" w:cs="Century Gothic"/>
          <w:color w:val="000000" w:themeColor="text1"/>
        </w:rPr>
        <w:t>C</w:t>
      </w:r>
      <w:r w:rsidRPr="00C44CD0">
        <w:rPr>
          <w:rFonts w:ascii="Verdana" w:eastAsia="Century Gothic" w:hAnsi="Verdana" w:cs="Century Gothic"/>
          <w:color w:val="000000" w:themeColor="text1"/>
        </w:rPr>
        <w:t>uál es el momento de celebración del contrato estatal en la plataforma de SECOP II</w:t>
      </w:r>
      <w:r w:rsidR="00700438" w:rsidRPr="00C44CD0">
        <w:rPr>
          <w:rFonts w:ascii="Verdana" w:eastAsia="Century Gothic" w:hAnsi="Verdana" w:cs="Century Gothic"/>
          <w:color w:val="000000" w:themeColor="text1"/>
        </w:rPr>
        <w:t xml:space="preserve"> que produce el perfeccionamiento del acto jurídico contenido en el mismo</w:t>
      </w:r>
      <w:r w:rsidRPr="00C44CD0">
        <w:rPr>
          <w:rFonts w:ascii="Verdana" w:eastAsia="Century Gothic" w:hAnsi="Verdana" w:cs="Century Gothic"/>
          <w:color w:val="000000" w:themeColor="text1"/>
        </w:rPr>
        <w:t xml:space="preserve">, para efectos de la aplicación de las restricciones de la Ley de Garantías Electorales?; y </w:t>
      </w:r>
      <w:proofErr w:type="spellStart"/>
      <w:r w:rsidRPr="00C44CD0">
        <w:rPr>
          <w:rFonts w:ascii="Verdana" w:eastAsia="Century Gothic" w:hAnsi="Verdana" w:cs="Century Gothic"/>
          <w:color w:val="000000" w:themeColor="text1"/>
        </w:rPr>
        <w:t>ii</w:t>
      </w:r>
      <w:r w:rsidR="00700438" w:rsidRPr="00C44CD0">
        <w:rPr>
          <w:rFonts w:ascii="Verdana" w:eastAsia="Century Gothic" w:hAnsi="Verdana" w:cs="Century Gothic"/>
          <w:color w:val="000000" w:themeColor="text1"/>
        </w:rPr>
        <w:t>i</w:t>
      </w:r>
      <w:proofErr w:type="spellEnd"/>
      <w:r w:rsidRPr="00C44CD0">
        <w:rPr>
          <w:rFonts w:ascii="Verdana" w:eastAsia="Century Gothic" w:hAnsi="Verdana" w:cs="Century Gothic"/>
          <w:color w:val="000000" w:themeColor="text1"/>
        </w:rPr>
        <w:t>) ¿</w:t>
      </w:r>
      <w:r w:rsidR="003C7E03" w:rsidRPr="00C44CD0">
        <w:rPr>
          <w:rFonts w:ascii="Verdana" w:eastAsia="Century Gothic" w:hAnsi="Verdana" w:cs="Century Gothic"/>
          <w:color w:val="000000" w:themeColor="text1"/>
        </w:rPr>
        <w:t>C</w:t>
      </w:r>
      <w:r w:rsidRPr="00C44CD0">
        <w:rPr>
          <w:rFonts w:ascii="Verdana" w:eastAsia="Century Gothic" w:hAnsi="Verdana" w:cs="Century Gothic"/>
          <w:color w:val="000000" w:themeColor="text1"/>
        </w:rPr>
        <w:t xml:space="preserve">uáles son las consecuencias jurídicas cuando su perfeccionamiento en la plataforma del SECOP II ocurre dentro del período de prohibición, aun cuando las etapas previas de estructuración, publicación, adjudicación y aceptación por parte del contratista se llevaron a cabo con anterioridad a dicho periodo? </w:t>
      </w:r>
    </w:p>
    <w:p w14:paraId="0D49A39A" w14:textId="77777777" w:rsidR="004876D0" w:rsidRPr="00C44CD0" w:rsidRDefault="004876D0" w:rsidP="004876D0">
      <w:pPr>
        <w:spacing w:after="0" w:line="276" w:lineRule="auto"/>
        <w:jc w:val="both"/>
        <w:rPr>
          <w:rFonts w:ascii="Verdana" w:eastAsia="Century Gothic" w:hAnsi="Verdana" w:cs="Century Gothic"/>
          <w:color w:val="000000" w:themeColor="text1"/>
        </w:rPr>
      </w:pPr>
    </w:p>
    <w:p w14:paraId="5D160DA1" w14:textId="75D0BEEA" w:rsidR="004876D0" w:rsidRPr="00C44CD0" w:rsidRDefault="004876D0" w:rsidP="004876D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44CD0">
        <w:rPr>
          <w:rFonts w:ascii="Verdana" w:eastAsia="Century Gothic" w:hAnsi="Verdana" w:cs="Century Gothic"/>
          <w:b/>
          <w:bCs/>
          <w:color w:val="000000" w:themeColor="text1"/>
        </w:rPr>
        <w:t>Respuesta</w:t>
      </w:r>
      <w:r w:rsidR="003C7E03" w:rsidRPr="00C44CD0">
        <w:rPr>
          <w:rFonts w:ascii="Verdana" w:eastAsia="Century Gothic" w:hAnsi="Verdana" w:cs="Century Gothic"/>
          <w:b/>
          <w:bCs/>
          <w:color w:val="000000" w:themeColor="text1"/>
        </w:rPr>
        <w:t>s</w:t>
      </w:r>
      <w:r w:rsidRPr="00C44CD0">
        <w:rPr>
          <w:rFonts w:ascii="Verdana" w:eastAsia="Century Gothic" w:hAnsi="Verdana" w:cs="Century Gothic"/>
          <w:b/>
          <w:bCs/>
          <w:color w:val="000000" w:themeColor="text1"/>
        </w:rPr>
        <w:t xml:space="preserve">: </w:t>
      </w:r>
    </w:p>
    <w:p w14:paraId="3215CCA7" w14:textId="77777777" w:rsidR="004876D0" w:rsidRPr="00C44CD0" w:rsidRDefault="004876D0" w:rsidP="004876D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876D0" w:rsidRPr="00C44CD0" w14:paraId="06FF245E" w14:textId="77777777" w:rsidTr="00EA32A5">
        <w:tc>
          <w:tcPr>
            <w:tcW w:w="8828" w:type="dxa"/>
          </w:tcPr>
          <w:p w14:paraId="0959037B" w14:textId="3DE5265B" w:rsidR="004876D0" w:rsidRPr="00C44CD0" w:rsidRDefault="004876D0" w:rsidP="00EA32A5">
            <w:pPr>
              <w:spacing w:after="120" w:line="276" w:lineRule="auto"/>
              <w:jc w:val="both"/>
              <w:rPr>
                <w:rFonts w:ascii="Verdana" w:eastAsia="Arial" w:hAnsi="Verdana" w:cs="Arial"/>
                <w:lang w:val="es-ES" w:eastAsia="es-ES" w:bidi="es-ES"/>
              </w:rPr>
            </w:pPr>
            <w:r w:rsidRPr="00C44CD0">
              <w:rPr>
                <w:rFonts w:ascii="Verdana" w:eastAsia="Arial" w:hAnsi="Verdana" w:cs="Arial"/>
                <w:lang w:val="es-ES" w:eastAsia="es-ES" w:bidi="es-ES"/>
              </w:rPr>
              <w:t xml:space="preserve">i. </w:t>
            </w:r>
            <w:r w:rsidR="00E325EA" w:rsidRPr="00C44CD0">
              <w:rPr>
                <w:rFonts w:ascii="Verdana" w:eastAsia="Arial" w:hAnsi="Verdana" w:cs="Arial"/>
                <w:lang w:val="es-ES" w:eastAsia="es-ES" w:bidi="es-ES"/>
              </w:rPr>
              <w:t xml:space="preserve">En primer lugar, se deben explicar las distintas restricciones contenidas en la Ley 996 de 2005. </w:t>
            </w:r>
            <w:r w:rsidRPr="00C44CD0">
              <w:rPr>
                <w:rFonts w:ascii="Verdana" w:eastAsia="Arial" w:hAnsi="Verdana" w:cs="Arial"/>
                <w:lang w:val="es-ES" w:eastAsia="es-ES" w:bidi="es-ES"/>
              </w:rPr>
              <w:t>Las restricciones consagradas en la Ley de Garantías Electorales se dirigen a dos (2) tipos de campañas electorales claramente diferenciadas: las presidenciales y las demás que se adelanten para la elección de los demás cargos de elección popular, tanto a nivel nacional como territorial.</w:t>
            </w:r>
            <w:r w:rsidR="00683A52" w:rsidRPr="00C44CD0">
              <w:rPr>
                <w:rFonts w:ascii="Verdana" w:eastAsia="Arial" w:hAnsi="Verdana" w:cs="Arial"/>
                <w:lang w:val="es-ES" w:eastAsia="es-ES" w:bidi="es-ES"/>
              </w:rPr>
              <w:t xml:space="preserve"> </w:t>
            </w:r>
          </w:p>
          <w:p w14:paraId="36E72CDF" w14:textId="77777777" w:rsidR="004876D0" w:rsidRPr="00C44CD0" w:rsidRDefault="004876D0" w:rsidP="00EA32A5">
            <w:pPr>
              <w:spacing w:after="120" w:line="276" w:lineRule="auto"/>
              <w:ind w:firstLine="708"/>
              <w:jc w:val="both"/>
              <w:rPr>
                <w:rFonts w:ascii="Verdana" w:eastAsia="Calibri" w:hAnsi="Verdana" w:cs="Arial"/>
              </w:rPr>
            </w:pPr>
            <w:r w:rsidRPr="00C44CD0">
              <w:rPr>
                <w:rFonts w:ascii="Verdana" w:eastAsia="Calibri" w:hAnsi="Verdana" w:cs="Arial"/>
              </w:rPr>
              <w:t xml:space="preserve">Por un lado, el </w:t>
            </w:r>
            <w:r w:rsidRPr="00C44CD0">
              <w:rPr>
                <w:rFonts w:ascii="Verdana" w:eastAsia="Calibri" w:hAnsi="Verdana" w:cs="Arial"/>
                <w:i/>
                <w:iCs/>
              </w:rPr>
              <w:t>artículo 33 de la Ley 996 de 2005</w:t>
            </w:r>
            <w:r w:rsidRPr="00C44CD0">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w:t>
            </w:r>
            <w:r w:rsidRPr="00C44CD0">
              <w:rPr>
                <w:rFonts w:ascii="Verdana" w:eastAsia="Calibri" w:hAnsi="Verdana" w:cs="Arial"/>
              </w:rPr>
              <w:lastRenderedPageBreak/>
              <w:t>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EDD5E4B" w14:textId="0CFBFE31" w:rsidR="00683A52" w:rsidRPr="00C44CD0" w:rsidRDefault="004876D0" w:rsidP="00327FED">
            <w:pPr>
              <w:widowControl w:val="0"/>
              <w:autoSpaceDE w:val="0"/>
              <w:autoSpaceDN w:val="0"/>
              <w:spacing w:after="120" w:line="276" w:lineRule="auto"/>
              <w:ind w:right="113" w:firstLine="709"/>
              <w:jc w:val="both"/>
              <w:rPr>
                <w:rFonts w:ascii="Verdana" w:eastAsia="Arial" w:hAnsi="Verdana" w:cs="Arial"/>
                <w:lang w:val="es-ES" w:eastAsia="es-ES" w:bidi="es-ES"/>
              </w:rPr>
            </w:pPr>
            <w:r w:rsidRPr="00C44CD0">
              <w:rPr>
                <w:rFonts w:ascii="Verdana" w:eastAsia="Calibri" w:hAnsi="Verdana" w:cs="Arial"/>
              </w:rPr>
              <w:t xml:space="preserve">Por otro lado, </w:t>
            </w:r>
            <w:r w:rsidRPr="00C44CD0">
              <w:rPr>
                <w:rFonts w:ascii="Verdana" w:eastAsia="Calibri" w:hAnsi="Verdana" w:cs="Arial"/>
                <w:i/>
                <w:iCs/>
              </w:rPr>
              <w:t>el parágrafo del artículo 38 de la Ley 996 de 2005</w:t>
            </w:r>
            <w:r w:rsidRPr="00C44CD0">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C44CD0">
              <w:rPr>
                <w:rFonts w:ascii="Verdana" w:eastAsia="Calibri" w:hAnsi="Verdana" w:cs="Arial"/>
                <w:i/>
                <w:iCs/>
              </w:rPr>
              <w:t xml:space="preserve">“[…] </w:t>
            </w:r>
            <w:r w:rsidRPr="00C44CD0">
              <w:rPr>
                <w:rFonts w:ascii="Verdana" w:eastAsia="Calibri" w:hAnsi="Verdana" w:cs="Arial"/>
                <w:i/>
                <w:iCs/>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44CD0">
              <w:rPr>
                <w:rFonts w:ascii="Verdana" w:eastAsia="Calibri" w:hAnsi="Verdana" w:cs="Arial"/>
                <w:i/>
                <w:iCs/>
              </w:rPr>
              <w:t>”</w:t>
            </w:r>
            <w:r w:rsidRPr="00C44CD0">
              <w:rPr>
                <w:rFonts w:ascii="Verdana" w:eastAsia="Calibri" w:hAnsi="Verdana" w:cs="Arial"/>
                <w:i/>
                <w:iCs/>
                <w:lang w:val="es-MX"/>
              </w:rPr>
              <w:t>.</w:t>
            </w:r>
            <w:r w:rsidRPr="00C44CD0">
              <w:rPr>
                <w:rFonts w:ascii="Verdana" w:eastAsia="Arial" w:hAnsi="Verdana" w:cs="Arial"/>
                <w:lang w:val="es-ES" w:eastAsia="es-ES" w:bidi="es-ES"/>
              </w:rPr>
              <w:t xml:space="preserve"> </w:t>
            </w:r>
          </w:p>
          <w:p w14:paraId="6640ADC6" w14:textId="17E9B883" w:rsidR="00683A52" w:rsidRPr="00C44CD0" w:rsidRDefault="00CD6CD5" w:rsidP="00683A52">
            <w:pPr>
              <w:widowControl w:val="0"/>
              <w:autoSpaceDE w:val="0"/>
              <w:autoSpaceDN w:val="0"/>
              <w:spacing w:after="120" w:line="276" w:lineRule="auto"/>
              <w:ind w:right="113" w:firstLine="709"/>
              <w:jc w:val="both"/>
              <w:rPr>
                <w:rFonts w:ascii="Verdana" w:hAnsi="Verdana" w:cs="Arial"/>
              </w:rPr>
            </w:pPr>
            <w:r w:rsidRPr="00C44CD0">
              <w:rPr>
                <w:rFonts w:ascii="Verdana" w:eastAsia="Arial" w:hAnsi="Verdana" w:cs="Arial"/>
                <w:lang w:val="es-ES" w:eastAsia="es-ES" w:bidi="es-ES"/>
              </w:rPr>
              <w:t>Para dilucidar este apartado, e</w:t>
            </w:r>
            <w:r w:rsidR="00683A52" w:rsidRPr="00C44CD0">
              <w:rPr>
                <w:rFonts w:ascii="Verdana" w:eastAsia="Arial" w:hAnsi="Verdana" w:cs="Arial"/>
                <w:lang w:val="es-ES" w:eastAsia="es-ES" w:bidi="es-ES"/>
              </w:rPr>
              <w:t xml:space="preserve">n Concepto del 17 de febrero de 2015, </w:t>
            </w:r>
            <w:r w:rsidR="00683A52" w:rsidRPr="00C44CD0">
              <w:rPr>
                <w:rFonts w:ascii="Verdana" w:hAnsi="Verdana" w:cs="Arial"/>
              </w:rPr>
              <w:t xml:space="preserve">Radicación No. 11001-03-06-000-2015-00164-00(2269), el Consejo de Estado ha explicado </w:t>
            </w:r>
            <w:r w:rsidR="000217E0" w:rsidRPr="00C44CD0">
              <w:rPr>
                <w:rFonts w:ascii="Verdana" w:hAnsi="Verdana" w:cs="Arial"/>
              </w:rPr>
              <w:t xml:space="preserve">que las disposiciones en los artículos 32 y 33 contienen restricciones y prohibiciones específicas para los cuatro meses anteriores a la </w:t>
            </w:r>
            <w:r w:rsidRPr="00C44CD0">
              <w:rPr>
                <w:rFonts w:ascii="Verdana" w:hAnsi="Verdana" w:cs="Arial"/>
              </w:rPr>
              <w:t>e</w:t>
            </w:r>
            <w:r w:rsidR="000217E0" w:rsidRPr="00C44CD0">
              <w:rPr>
                <w:rFonts w:ascii="Verdana" w:hAnsi="Verdana" w:cs="Arial"/>
              </w:rPr>
              <w:t xml:space="preserve">lección </w:t>
            </w:r>
            <w:r w:rsidRPr="00C44CD0">
              <w:rPr>
                <w:rFonts w:ascii="Verdana" w:hAnsi="Verdana" w:cs="Arial"/>
              </w:rPr>
              <w:t>P</w:t>
            </w:r>
            <w:r w:rsidR="000217E0" w:rsidRPr="00C44CD0">
              <w:rPr>
                <w:rFonts w:ascii="Verdana" w:hAnsi="Verdana" w:cs="Arial"/>
              </w:rPr>
              <w:t>residencial, por lo cual, en periodo preelectoral para elección a Presidencia de la República</w:t>
            </w:r>
            <w:r w:rsidRPr="00C44CD0">
              <w:rPr>
                <w:rFonts w:ascii="Verdana" w:hAnsi="Verdana" w:cs="Arial"/>
              </w:rPr>
              <w:t xml:space="preserve"> </w:t>
            </w:r>
            <w:r w:rsidR="000217E0" w:rsidRPr="00C44CD0">
              <w:rPr>
                <w:rFonts w:ascii="Verdana" w:hAnsi="Verdana" w:cs="Arial"/>
              </w:rPr>
              <w:t>se aplica</w:t>
            </w:r>
            <w:r w:rsidR="00B14F4D" w:rsidRPr="00C44CD0">
              <w:rPr>
                <w:rFonts w:ascii="Verdana" w:hAnsi="Verdana" w:cs="Arial"/>
              </w:rPr>
              <w:t xml:space="preserve">n </w:t>
            </w:r>
            <w:r w:rsidR="000217E0" w:rsidRPr="00C44CD0">
              <w:rPr>
                <w:rFonts w:ascii="Verdana" w:hAnsi="Verdana" w:cs="Arial"/>
              </w:rPr>
              <w:t xml:space="preserve">a todos los entes y órganos del Estado, incluido los territoriales, las restricciones del artículo 32, las prohibiciones del artículo 33 con sus excepciones y el </w:t>
            </w:r>
            <w:r w:rsidR="00327FED" w:rsidRPr="00C44CD0">
              <w:rPr>
                <w:rFonts w:ascii="Verdana" w:hAnsi="Verdana" w:cs="Arial"/>
              </w:rPr>
              <w:t xml:space="preserve">parágrafo del </w:t>
            </w:r>
            <w:r w:rsidR="000217E0" w:rsidRPr="00C44CD0">
              <w:rPr>
                <w:rFonts w:ascii="Verdana" w:hAnsi="Verdana" w:cs="Arial"/>
              </w:rPr>
              <w:t xml:space="preserve">artículo 38 </w:t>
            </w:r>
            <w:r w:rsidR="00327FED" w:rsidRPr="00C44CD0">
              <w:rPr>
                <w:rFonts w:ascii="Verdana" w:hAnsi="Verdana" w:cs="Arial"/>
              </w:rPr>
              <w:t xml:space="preserve">en </w:t>
            </w:r>
            <w:r w:rsidR="000217E0" w:rsidRPr="00C44CD0">
              <w:rPr>
                <w:rFonts w:ascii="Verdana" w:hAnsi="Verdana" w:cs="Arial"/>
              </w:rPr>
              <w:t xml:space="preserve">materia de celebración </w:t>
            </w:r>
            <w:r w:rsidRPr="00C44CD0">
              <w:rPr>
                <w:rFonts w:ascii="Verdana" w:hAnsi="Verdana" w:cs="Arial"/>
              </w:rPr>
              <w:t xml:space="preserve">de convenios interadministrativos específicamente para entidades territoriales.  </w:t>
            </w:r>
          </w:p>
          <w:p w14:paraId="5DA26271" w14:textId="4D4AAB42" w:rsidR="00683A52" w:rsidRPr="00C44CD0" w:rsidRDefault="00CD6CD5" w:rsidP="00B14F4D">
            <w:pPr>
              <w:widowControl w:val="0"/>
              <w:autoSpaceDE w:val="0"/>
              <w:autoSpaceDN w:val="0"/>
              <w:spacing w:after="120" w:line="276" w:lineRule="auto"/>
              <w:ind w:right="113" w:firstLine="709"/>
              <w:jc w:val="both"/>
              <w:rPr>
                <w:rFonts w:ascii="Verdana" w:hAnsi="Verdana" w:cs="Arial"/>
              </w:rPr>
            </w:pPr>
            <w:r w:rsidRPr="00C44CD0">
              <w:rPr>
                <w:rFonts w:ascii="Verdana" w:hAnsi="Verdana" w:cs="Arial"/>
              </w:rPr>
              <w:t xml:space="preserve">En ese sentido, </w:t>
            </w:r>
            <w:r w:rsidR="007F50C9" w:rsidRPr="00C44CD0">
              <w:rPr>
                <w:rFonts w:ascii="Verdana" w:hAnsi="Verdana" w:cs="Arial"/>
              </w:rPr>
              <w:t xml:space="preserve">nos encontramos </w:t>
            </w:r>
            <w:r w:rsidRPr="00C44CD0">
              <w:rPr>
                <w:rFonts w:ascii="Verdana" w:hAnsi="Verdana" w:cs="Arial"/>
              </w:rPr>
              <w:t>en un periodo pre</w:t>
            </w:r>
            <w:r w:rsidR="00327FED" w:rsidRPr="00C44CD0">
              <w:rPr>
                <w:rFonts w:ascii="Verdana" w:hAnsi="Verdana" w:cs="Arial"/>
              </w:rPr>
              <w:t>e</w:t>
            </w:r>
            <w:r w:rsidRPr="00C44CD0">
              <w:rPr>
                <w:rFonts w:ascii="Verdana" w:hAnsi="Verdana" w:cs="Arial"/>
              </w:rPr>
              <w:t>lectoral para elecciones presidenciales, por lo que se tiene prohibido llevar a cabo contratación directa</w:t>
            </w:r>
            <w:r w:rsidR="00327FED" w:rsidRPr="00C44CD0">
              <w:rPr>
                <w:rFonts w:ascii="Verdana" w:hAnsi="Verdana" w:cs="Arial"/>
              </w:rPr>
              <w:t xml:space="preserve"> para todas las entidades estatales, y adicionalmente para entidades territoriales se prohíbe celebrar convenios interadministrativos. P</w:t>
            </w:r>
            <w:r w:rsidRPr="00C44CD0">
              <w:rPr>
                <w:rFonts w:ascii="Verdana" w:hAnsi="Verdana" w:cs="Arial"/>
              </w:rPr>
              <w:t xml:space="preserve">or ende, </w:t>
            </w:r>
            <w:r w:rsidR="00327FED" w:rsidRPr="00C44CD0">
              <w:rPr>
                <w:rFonts w:ascii="Verdana" w:hAnsi="Verdana" w:cs="Arial"/>
              </w:rPr>
              <w:t xml:space="preserve">se tiene prohibido por expresa mención de Ley </w:t>
            </w:r>
            <w:r w:rsidRPr="00C44CD0">
              <w:rPr>
                <w:rFonts w:ascii="Verdana" w:hAnsi="Verdana" w:cs="Arial"/>
              </w:rPr>
              <w:t>celebrar contratos derivados de</w:t>
            </w:r>
            <w:r w:rsidR="00327FED" w:rsidRPr="00C44CD0">
              <w:rPr>
                <w:rFonts w:ascii="Verdana" w:hAnsi="Verdana" w:cs="Arial"/>
              </w:rPr>
              <w:t xml:space="preserve"> </w:t>
            </w:r>
            <w:r w:rsidRPr="00C44CD0">
              <w:rPr>
                <w:rFonts w:ascii="Verdana" w:hAnsi="Verdana" w:cs="Arial"/>
              </w:rPr>
              <w:t xml:space="preserve">modalidad </w:t>
            </w:r>
            <w:r w:rsidR="00327FED" w:rsidRPr="00C44CD0">
              <w:rPr>
                <w:rFonts w:ascii="Verdana" w:hAnsi="Verdana" w:cs="Arial"/>
              </w:rPr>
              <w:t xml:space="preserve">directa </w:t>
            </w:r>
            <w:r w:rsidRPr="00C44CD0">
              <w:rPr>
                <w:rFonts w:ascii="Verdana" w:hAnsi="Verdana" w:cs="Arial"/>
              </w:rPr>
              <w:t>hasta tanto concluya el periodo electoral que da por resultado la elección de Presiden</w:t>
            </w:r>
            <w:r w:rsidR="00E325EA" w:rsidRPr="00C44CD0">
              <w:rPr>
                <w:rFonts w:ascii="Verdana" w:hAnsi="Verdana" w:cs="Arial"/>
              </w:rPr>
              <w:t>te de la República</w:t>
            </w:r>
            <w:r w:rsidRPr="00C44CD0">
              <w:rPr>
                <w:rFonts w:ascii="Verdana" w:hAnsi="Verdana" w:cs="Arial"/>
              </w:rPr>
              <w:t xml:space="preserve">, incluso hasta la conclusión de segunda vuelta presidencial, si la hubiere, esto es, </w:t>
            </w:r>
            <w:r w:rsidR="00327FED" w:rsidRPr="00C44CD0">
              <w:rPr>
                <w:rFonts w:ascii="Verdana" w:hAnsi="Verdana" w:cs="Arial"/>
              </w:rPr>
              <w:t xml:space="preserve">después del 21 de junio del presente año. </w:t>
            </w:r>
          </w:p>
          <w:p w14:paraId="096E367B" w14:textId="6DEB5888" w:rsidR="00327FED" w:rsidRPr="00C44CD0" w:rsidRDefault="00700438" w:rsidP="00C44CD0">
            <w:pPr>
              <w:spacing w:after="120" w:line="276" w:lineRule="auto"/>
              <w:jc w:val="both"/>
              <w:rPr>
                <w:rFonts w:ascii="Verdana" w:eastAsia="Times New Roman" w:hAnsi="Verdana" w:cs="Arial"/>
                <w:bCs/>
                <w:lang w:val="es-MX" w:eastAsia="es-CO"/>
              </w:rPr>
            </w:pPr>
            <w:r w:rsidRPr="00C44CD0">
              <w:rPr>
                <w:rFonts w:ascii="Verdana" w:eastAsia="Times New Roman" w:hAnsi="Verdana" w:cs="Arial"/>
                <w:bCs/>
                <w:lang w:val="es-MX" w:eastAsia="es-CO"/>
              </w:rPr>
              <w:lastRenderedPageBreak/>
              <w:t xml:space="preserve">ii. </w:t>
            </w:r>
            <w:r w:rsidR="00327FED" w:rsidRPr="00C44CD0">
              <w:rPr>
                <w:rFonts w:ascii="Verdana" w:eastAsia="Times New Roman" w:hAnsi="Verdana" w:cs="Arial"/>
                <w:bCs/>
                <w:lang w:val="es-MX" w:eastAsia="es-CO"/>
              </w:rPr>
              <w:t>Ahora bien, p</w:t>
            </w:r>
            <w:r w:rsidR="004876D0" w:rsidRPr="00C44CD0">
              <w:rPr>
                <w:rFonts w:ascii="Verdana" w:eastAsia="Times New Roman" w:hAnsi="Verdana" w:cs="Arial"/>
                <w:bCs/>
                <w:lang w:val="es-MX" w:eastAsia="es-CO"/>
              </w:rPr>
              <w:t xml:space="preserve">ara entender el momento de aplicación de estas restricciones, es preciso </w:t>
            </w:r>
            <w:r w:rsidR="00327FED" w:rsidRPr="00C44CD0">
              <w:rPr>
                <w:rFonts w:ascii="Verdana" w:eastAsia="Times New Roman" w:hAnsi="Verdana" w:cs="Arial"/>
                <w:bCs/>
                <w:lang w:val="es-MX" w:eastAsia="es-CO"/>
              </w:rPr>
              <w:t xml:space="preserve">aclarar </w:t>
            </w:r>
            <w:r w:rsidR="00873C5B" w:rsidRPr="00C44CD0">
              <w:rPr>
                <w:rFonts w:ascii="Verdana" w:eastAsia="Times New Roman" w:hAnsi="Verdana" w:cs="Arial"/>
                <w:bCs/>
                <w:lang w:val="es-MX" w:eastAsia="es-CO"/>
              </w:rPr>
              <w:t xml:space="preserve">la relación de </w:t>
            </w:r>
            <w:r w:rsidR="00327FED" w:rsidRPr="00C44CD0">
              <w:rPr>
                <w:rFonts w:ascii="Verdana" w:eastAsia="Times New Roman" w:hAnsi="Verdana" w:cs="Arial"/>
                <w:bCs/>
                <w:lang w:val="es-MX" w:eastAsia="es-CO"/>
              </w:rPr>
              <w:t xml:space="preserve">dos conceptos </w:t>
            </w:r>
            <w:r w:rsidR="00B14F4D" w:rsidRPr="00C44CD0">
              <w:rPr>
                <w:rFonts w:ascii="Verdana" w:eastAsia="Times New Roman" w:hAnsi="Verdana" w:cs="Arial"/>
                <w:bCs/>
                <w:lang w:val="es-MX" w:eastAsia="es-CO"/>
              </w:rPr>
              <w:t xml:space="preserve">fundamentales </w:t>
            </w:r>
            <w:r w:rsidR="00873C5B" w:rsidRPr="00C44CD0">
              <w:rPr>
                <w:rFonts w:ascii="Verdana" w:eastAsia="Times New Roman" w:hAnsi="Verdana" w:cs="Arial"/>
                <w:bCs/>
                <w:lang w:val="es-MX" w:eastAsia="es-CO"/>
              </w:rPr>
              <w:t xml:space="preserve">en términos de la </w:t>
            </w:r>
            <w:r w:rsidR="00327FED" w:rsidRPr="00C44CD0">
              <w:rPr>
                <w:rFonts w:ascii="Verdana" w:eastAsia="Times New Roman" w:hAnsi="Verdana" w:cs="Arial"/>
                <w:bCs/>
                <w:lang w:val="es-MX" w:eastAsia="es-CO"/>
              </w:rPr>
              <w:t>Contratación Estatal, los cuales son “celebración” y “perfeccionamiento” del contrato estatal.</w:t>
            </w:r>
          </w:p>
          <w:p w14:paraId="740EDCFE" w14:textId="51B3D135" w:rsidR="004876D0" w:rsidRPr="00C44CD0" w:rsidRDefault="00327FED" w:rsidP="00EA32A5">
            <w:pPr>
              <w:spacing w:after="120" w:line="276" w:lineRule="auto"/>
              <w:ind w:firstLine="708"/>
              <w:jc w:val="both"/>
              <w:rPr>
                <w:rFonts w:ascii="Verdana" w:eastAsia="Times New Roman" w:hAnsi="Verdana" w:cs="Arial"/>
                <w:bCs/>
                <w:lang w:eastAsia="es-CO"/>
              </w:rPr>
            </w:pPr>
            <w:r w:rsidRPr="00C44CD0">
              <w:rPr>
                <w:rFonts w:ascii="Verdana" w:eastAsia="Times New Roman" w:hAnsi="Verdana" w:cs="Arial"/>
                <w:bCs/>
                <w:lang w:val="es-MX" w:eastAsia="es-CO"/>
              </w:rPr>
              <w:t>P</w:t>
            </w:r>
            <w:r w:rsidR="00873C5B" w:rsidRPr="00C44CD0">
              <w:rPr>
                <w:rFonts w:ascii="Verdana" w:eastAsia="Times New Roman" w:hAnsi="Verdana" w:cs="Arial"/>
                <w:bCs/>
                <w:lang w:val="es-MX" w:eastAsia="es-CO"/>
              </w:rPr>
              <w:t>ues bien</w:t>
            </w:r>
            <w:r w:rsidRPr="00C44CD0">
              <w:rPr>
                <w:rFonts w:ascii="Verdana" w:eastAsia="Times New Roman" w:hAnsi="Verdana" w:cs="Arial"/>
                <w:bCs/>
                <w:lang w:val="es-MX" w:eastAsia="es-CO"/>
              </w:rPr>
              <w:t xml:space="preserve">, </w:t>
            </w:r>
            <w:r w:rsidR="007F50C9" w:rsidRPr="00C44CD0">
              <w:rPr>
                <w:rFonts w:ascii="Verdana" w:eastAsia="Times New Roman" w:hAnsi="Verdana" w:cs="Arial"/>
                <w:bCs/>
                <w:lang w:val="es-MX" w:eastAsia="es-CO"/>
              </w:rPr>
              <w:t xml:space="preserve">en principio se requiere </w:t>
            </w:r>
            <w:r w:rsidR="004876D0" w:rsidRPr="00C44CD0">
              <w:rPr>
                <w:rFonts w:ascii="Verdana" w:eastAsia="Times New Roman" w:hAnsi="Verdana" w:cs="Arial"/>
                <w:bCs/>
                <w:lang w:val="es-MX" w:eastAsia="es-CO"/>
              </w:rPr>
              <w:t>señalar que el vocablo “celebrar” es definido por el Diccionario Panhispánico del Español Jurídico como: “</w:t>
            </w:r>
            <w:r w:rsidR="004876D0" w:rsidRPr="00C44CD0">
              <w:rPr>
                <w:rFonts w:ascii="Verdana" w:eastAsia="Times New Roman" w:hAnsi="Verdana" w:cs="Arial"/>
                <w:bCs/>
                <w:lang w:eastAsia="es-CO"/>
              </w:rPr>
              <w:t>1. </w:t>
            </w:r>
            <w:r w:rsidR="004876D0" w:rsidRPr="00C44CD0">
              <w:rPr>
                <w:rFonts w:ascii="Verdana" w:eastAsia="Times New Roman" w:hAnsi="Verdana" w:cs="Arial"/>
                <w:bCs/>
                <w:i/>
                <w:iCs/>
                <w:lang w:eastAsia="es-CO"/>
              </w:rPr>
              <w:t>Gral.</w:t>
            </w:r>
            <w:r w:rsidR="004876D0" w:rsidRPr="00C44CD0">
              <w:rPr>
                <w:rFonts w:ascii="Verdana" w:eastAsia="Times New Roman" w:hAnsi="Verdana" w:cs="Arial"/>
                <w:bCs/>
                <w:lang w:eastAsia="es-CO"/>
              </w:rPr>
              <w:t xml:space="preserve"> Otorgar o firmar un contrato. 2. </w:t>
            </w:r>
            <w:proofErr w:type="spellStart"/>
            <w:r w:rsidR="004876D0" w:rsidRPr="00C44CD0">
              <w:rPr>
                <w:rFonts w:ascii="Verdana" w:eastAsia="Times New Roman" w:hAnsi="Verdana" w:cs="Arial"/>
                <w:bCs/>
                <w:i/>
                <w:iCs/>
                <w:lang w:eastAsia="es-CO"/>
              </w:rPr>
              <w:t>Proc</w:t>
            </w:r>
            <w:proofErr w:type="spellEnd"/>
            <w:r w:rsidR="004876D0" w:rsidRPr="00C44CD0">
              <w:rPr>
                <w:rFonts w:ascii="Verdana" w:eastAsia="Times New Roman" w:hAnsi="Verdana" w:cs="Arial"/>
                <w:bCs/>
                <w:i/>
                <w:iCs/>
                <w:lang w:eastAsia="es-CO"/>
              </w:rPr>
              <w:t>.</w:t>
            </w:r>
            <w:r w:rsidR="004876D0" w:rsidRPr="00C44CD0">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3C6857FC" w14:textId="01309C95" w:rsidR="00873C5B" w:rsidRPr="00C44CD0" w:rsidRDefault="004876D0" w:rsidP="00873C5B">
            <w:pPr>
              <w:spacing w:after="120" w:line="276" w:lineRule="auto"/>
              <w:ind w:firstLine="708"/>
              <w:jc w:val="both"/>
              <w:rPr>
                <w:rFonts w:ascii="Verdana" w:eastAsia="Times New Roman" w:hAnsi="Verdana" w:cs="Arial"/>
                <w:bCs/>
                <w:lang w:val="es-ES" w:eastAsia="es-CO"/>
              </w:rPr>
            </w:pPr>
            <w:r w:rsidRPr="00C44CD0">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w:t>
            </w:r>
            <w:r w:rsidRPr="00C44CD0">
              <w:rPr>
                <w:rFonts w:ascii="Verdana" w:eastAsia="Times New Roman" w:hAnsi="Verdana" w:cs="Arial"/>
                <w:bCs/>
                <w:i/>
                <w:iCs/>
                <w:lang w:val="es-ES" w:eastAsia="es-CO"/>
              </w:rPr>
              <w:t>perfeccionamiento</w:t>
            </w:r>
            <w:r w:rsidRPr="00C44CD0">
              <w:rPr>
                <w:rFonts w:ascii="Verdana" w:eastAsia="Times New Roman" w:hAnsi="Verdana" w:cs="Arial"/>
                <w:bCs/>
                <w:lang w:val="es-ES" w:eastAsia="es-CO"/>
              </w:rPr>
              <w:t xml:space="preserve"> del contrato estatal. </w:t>
            </w:r>
            <w:r w:rsidR="00873C5B" w:rsidRPr="00C44CD0">
              <w:rPr>
                <w:rFonts w:ascii="Verdana" w:eastAsia="Times New Roman" w:hAnsi="Verdana" w:cs="Arial"/>
                <w:bCs/>
                <w:lang w:val="es-ES" w:eastAsia="es-CO"/>
              </w:rPr>
              <w:t>R</w:t>
            </w:r>
            <w:r w:rsidR="00873C5B" w:rsidRPr="00C44CD0">
              <w:rPr>
                <w:rFonts w:ascii="Verdana" w:eastAsia="Calibri" w:hAnsi="Verdana" w:cs="Arial"/>
                <w:lang w:val="es-ES"/>
              </w:rPr>
              <w:t>especto de los requisitos de perfeccionamiento,</w:t>
            </w:r>
            <w:r w:rsidR="00873C5B" w:rsidRPr="00C44CD0">
              <w:t xml:space="preserve"> </w:t>
            </w:r>
            <w:r w:rsidR="00873C5B" w:rsidRPr="00C44CD0">
              <w:rPr>
                <w:rFonts w:ascii="Verdana" w:eastAsia="Calibri" w:hAnsi="Verdana" w:cs="Arial"/>
                <w:lang w:val="es-ES"/>
              </w:rPr>
              <w:t>el primer inciso del artículo 41 de la Ley 80 de 1993 establece que “</w:t>
            </w:r>
            <w:r w:rsidR="00873C5B" w:rsidRPr="00C44CD0">
              <w:rPr>
                <w:rFonts w:ascii="Verdana" w:eastAsia="Calibri" w:hAnsi="Verdana" w:cs="Arial"/>
                <w:i/>
                <w:iCs/>
                <w:lang w:val="es-ES"/>
              </w:rPr>
              <w:t>Los contratos del Estado se perfeccionan cuando se logre acuerdo sobre el objeto y la contraprestación y éste se eleve a escrito</w:t>
            </w:r>
            <w:r w:rsidR="00873C5B" w:rsidRPr="00C44CD0">
              <w:rPr>
                <w:rFonts w:ascii="Verdana" w:eastAsia="Calibri" w:hAnsi="Verdana" w:cs="Arial"/>
                <w:lang w:val="es-ES"/>
              </w:rPr>
              <w:t>”. Como se advierte, el legislador dispuso que para que el contrato estatal exista, no solo debe haber un acuerdo sobr</w:t>
            </w:r>
            <w:r w:rsidR="003C7E03" w:rsidRPr="00C44CD0">
              <w:rPr>
                <w:rFonts w:ascii="Verdana" w:eastAsia="Calibri" w:hAnsi="Verdana" w:cs="Arial"/>
                <w:lang w:val="es-ES"/>
              </w:rPr>
              <w:t>e</w:t>
            </w:r>
            <w:r w:rsidR="00873C5B" w:rsidRPr="00C44CD0">
              <w:rPr>
                <w:rFonts w:ascii="Verdana" w:eastAsia="Calibri" w:hAnsi="Verdana" w:cs="Arial"/>
                <w:lang w:val="es-ES"/>
              </w:rPr>
              <w:t xml:space="preserve"> la obligación principal del negocio –es decir, sobre el “objeto”– y sobre la contraprestación, sino que se debe plasmar por escrito. Por otra parte, los requisitos legales de ejecución son: i) la aprobación de las garantías exigidas en el contrato, </w:t>
            </w:r>
            <w:proofErr w:type="spellStart"/>
            <w:r w:rsidR="00873C5B" w:rsidRPr="00C44CD0">
              <w:rPr>
                <w:rFonts w:ascii="Verdana" w:eastAsia="Calibri" w:hAnsi="Verdana" w:cs="Arial"/>
                <w:lang w:val="es-ES"/>
              </w:rPr>
              <w:t>ii</w:t>
            </w:r>
            <w:proofErr w:type="spellEnd"/>
            <w:r w:rsidR="00873C5B" w:rsidRPr="00C44CD0">
              <w:rPr>
                <w:rFonts w:ascii="Verdana" w:eastAsia="Calibri" w:hAnsi="Verdana" w:cs="Arial"/>
                <w:lang w:val="es-ES"/>
              </w:rPr>
              <w:t xml:space="preserve">) la existencia de la apropiación presupuestal correspondiente y </w:t>
            </w:r>
            <w:proofErr w:type="spellStart"/>
            <w:r w:rsidR="00873C5B" w:rsidRPr="00C44CD0">
              <w:rPr>
                <w:rFonts w:ascii="Verdana" w:eastAsia="Calibri" w:hAnsi="Verdana" w:cs="Arial"/>
                <w:lang w:val="es-ES"/>
              </w:rPr>
              <w:t>iii</w:t>
            </w:r>
            <w:proofErr w:type="spellEnd"/>
            <w:r w:rsidR="00873C5B" w:rsidRPr="00C44CD0">
              <w:rPr>
                <w:rFonts w:ascii="Verdana" w:eastAsia="Calibri" w:hAnsi="Verdana" w:cs="Arial"/>
                <w:lang w:val="es-ES"/>
              </w:rPr>
              <w:t xml:space="preserve">) la acreditación del cumplimiento de las obligaciones con el Sistema de Seguridad </w:t>
            </w:r>
            <w:r w:rsidR="00873C5B" w:rsidRPr="00C44CD0">
              <w:rPr>
                <w:rFonts w:ascii="Verdana" w:eastAsia="Arial" w:hAnsi="Verdana" w:cs="Arial"/>
                <w:bCs/>
                <w:color w:val="000000" w:themeColor="text1"/>
                <w:lang w:val="es-ES"/>
              </w:rPr>
              <w:t>Social</w:t>
            </w:r>
            <w:r w:rsidR="00873C5B" w:rsidRPr="00C44CD0">
              <w:rPr>
                <w:rFonts w:ascii="Verdana" w:eastAsia="Calibri" w:hAnsi="Verdana" w:cs="Arial"/>
                <w:lang w:val="es-ES"/>
              </w:rPr>
              <w:t xml:space="preserve"> Integral; </w:t>
            </w:r>
            <w:r w:rsidR="007F50C9" w:rsidRPr="00C44CD0">
              <w:rPr>
                <w:rFonts w:ascii="Verdana" w:eastAsia="Calibri" w:hAnsi="Verdana" w:cs="Arial"/>
                <w:lang w:val="es-ES"/>
              </w:rPr>
              <w:t>e</w:t>
            </w:r>
            <w:r w:rsidRPr="00C44CD0">
              <w:rPr>
                <w:rFonts w:ascii="Verdana" w:eastAsia="Times New Roman" w:hAnsi="Verdana" w:cs="Arial"/>
                <w:bCs/>
                <w:lang w:val="es-ES" w:eastAsia="es-CO"/>
              </w:rPr>
              <w:t xml:space="preserve">n algunos casos, </w:t>
            </w:r>
            <w:r w:rsidR="00873C5B" w:rsidRPr="00C44CD0">
              <w:rPr>
                <w:rFonts w:ascii="Verdana" w:eastAsia="Times New Roman" w:hAnsi="Verdana" w:cs="Arial"/>
                <w:bCs/>
                <w:lang w:val="es-ES" w:eastAsia="es-CO"/>
              </w:rPr>
              <w:t xml:space="preserve">convencionalmente </w:t>
            </w:r>
            <w:r w:rsidRPr="00C44CD0">
              <w:rPr>
                <w:rFonts w:ascii="Verdana" w:eastAsia="Times New Roman" w:hAnsi="Verdana" w:cs="Arial"/>
                <w:bCs/>
                <w:lang w:val="es-ES" w:eastAsia="es-CO"/>
              </w:rPr>
              <w:t xml:space="preserve">la firma del acta de inicio, si así se determinó. </w:t>
            </w:r>
          </w:p>
          <w:p w14:paraId="3035BE8F" w14:textId="68221038" w:rsidR="00873C5B" w:rsidRPr="00C44CD0" w:rsidRDefault="00873C5B" w:rsidP="00873C5B">
            <w:pPr>
              <w:spacing w:before="120" w:after="120" w:line="276" w:lineRule="auto"/>
              <w:ind w:firstLine="709"/>
              <w:jc w:val="both"/>
              <w:rPr>
                <w:rFonts w:ascii="Verdana" w:eastAsia="Arial" w:hAnsi="Verdana" w:cs="Arial"/>
                <w:bCs/>
                <w:color w:val="000000" w:themeColor="text1"/>
                <w:lang w:val="es-ES"/>
              </w:rPr>
            </w:pPr>
            <w:r w:rsidRPr="00C44CD0">
              <w:rPr>
                <w:rFonts w:ascii="Verdana" w:hAnsi="Verdana" w:cs="Arial"/>
                <w:bCs/>
                <w:color w:val="000000" w:themeColor="text1"/>
                <w:lang w:val="es-ES"/>
              </w:rPr>
              <w:t xml:space="preserve">Teniendo en cuenta que el tema de su </w:t>
            </w:r>
            <w:r w:rsidR="00B14F4D" w:rsidRPr="00C44CD0">
              <w:rPr>
                <w:rFonts w:ascii="Verdana" w:hAnsi="Verdana" w:cs="Arial"/>
                <w:bCs/>
                <w:color w:val="000000" w:themeColor="text1"/>
                <w:lang w:val="es-ES"/>
              </w:rPr>
              <w:t>consulta</w:t>
            </w:r>
            <w:r w:rsidRPr="00C44CD0">
              <w:rPr>
                <w:rFonts w:ascii="Verdana" w:hAnsi="Verdana" w:cs="Arial"/>
                <w:bCs/>
                <w:color w:val="000000" w:themeColor="text1"/>
                <w:lang w:val="es-ES"/>
              </w:rPr>
              <w:t xml:space="preserve"> atañe también a requisitos de perfeccionamiento y requisitos de ejecución, es pertinente señalar que, </w:t>
            </w:r>
            <w:r w:rsidRPr="00C44CD0">
              <w:rPr>
                <w:rFonts w:ascii="Verdana" w:hAnsi="Verdana" w:cs="Arial"/>
                <w:color w:val="000000" w:themeColor="text1"/>
                <w:lang w:val="es-ES"/>
              </w:rPr>
              <w:t xml:space="preserve">la Circular Externa Única de la </w:t>
            </w:r>
            <w:r w:rsidRPr="00C44CD0">
              <w:rPr>
                <w:rFonts w:ascii="Verdana" w:eastAsia="Calibri" w:hAnsi="Verdana" w:cs="Arial"/>
                <w:color w:val="000000" w:themeColor="text1"/>
                <w:lang w:val="es-ES" w:eastAsia="es-ES"/>
              </w:rPr>
              <w:t>Agencia Nacional de Contratación Pública – Colombia Compra Eficiente–</w:t>
            </w:r>
            <w:r w:rsidR="00B14F4D" w:rsidRPr="00C44CD0">
              <w:rPr>
                <w:rStyle w:val="Refdenotaalpie"/>
                <w:rFonts w:ascii="Verdana" w:eastAsia="Calibri" w:hAnsi="Verdana" w:cs="Arial"/>
                <w:color w:val="000000" w:themeColor="text1"/>
                <w:lang w:val="es-ES" w:eastAsia="es-ES"/>
              </w:rPr>
              <w:footnoteReference w:id="1"/>
            </w:r>
            <w:r w:rsidRPr="00C44CD0">
              <w:rPr>
                <w:rFonts w:ascii="Verdana" w:eastAsia="Calibri" w:hAnsi="Verdana" w:cs="Arial"/>
                <w:color w:val="000000" w:themeColor="text1"/>
                <w:lang w:val="es-ES" w:eastAsia="es-ES"/>
              </w:rPr>
              <w:t xml:space="preserve"> aclaró que “</w:t>
            </w:r>
            <w:r w:rsidRPr="00C44CD0">
              <w:rPr>
                <w:rFonts w:ascii="Verdana" w:eastAsia="Calibri" w:hAnsi="Verdana" w:cs="Arial"/>
                <w:i/>
                <w:iCs/>
                <w:color w:val="000000" w:themeColor="text1"/>
                <w:lang w:val="es-ES" w:eastAsia="es-ES"/>
              </w:rPr>
              <w:t xml:space="preserve">La realización del registro presupuestal y la aprobación de la garantía pueden realizarse con posterioridad a la </w:t>
            </w:r>
            <w:proofErr w:type="gramStart"/>
            <w:r w:rsidRPr="00C44CD0">
              <w:rPr>
                <w:rFonts w:ascii="Verdana" w:eastAsia="Calibri" w:hAnsi="Verdana" w:cs="Arial"/>
                <w:i/>
                <w:iCs/>
                <w:color w:val="000000" w:themeColor="text1"/>
                <w:lang w:val="es-ES" w:eastAsia="es-ES"/>
              </w:rPr>
              <w:t>entrada en vigencia</w:t>
            </w:r>
            <w:proofErr w:type="gramEnd"/>
            <w:r w:rsidRPr="00C44CD0">
              <w:rPr>
                <w:rFonts w:ascii="Verdana" w:eastAsia="Calibri" w:hAnsi="Verdana" w:cs="Arial"/>
                <w:i/>
                <w:iCs/>
                <w:color w:val="000000" w:themeColor="text1"/>
                <w:lang w:val="es-ES" w:eastAsia="es-ES"/>
              </w:rPr>
              <w:t xml:space="preserve"> de la Ley de Garantías por ser requisitos de ejecución del contrato, no de su perfeccionamiento</w:t>
            </w:r>
            <w:r w:rsidRPr="00C44CD0">
              <w:rPr>
                <w:rFonts w:ascii="Verdana" w:eastAsia="Calibri" w:hAnsi="Verdana" w:cs="Arial"/>
                <w:color w:val="000000" w:themeColor="text1"/>
                <w:lang w:val="es-ES" w:eastAsia="es-ES"/>
              </w:rPr>
              <w:t xml:space="preserve">”.  </w:t>
            </w:r>
          </w:p>
          <w:p w14:paraId="7F918529" w14:textId="77777777" w:rsidR="00E325EA" w:rsidRPr="00C44CD0" w:rsidRDefault="00873C5B" w:rsidP="00E325EA">
            <w:pPr>
              <w:spacing w:before="120" w:after="120" w:line="276" w:lineRule="auto"/>
              <w:ind w:firstLine="742"/>
              <w:jc w:val="both"/>
              <w:rPr>
                <w:rFonts w:ascii="Verdana" w:eastAsia="Arial" w:hAnsi="Verdana" w:cs="Arial"/>
                <w:bCs/>
                <w:color w:val="000000" w:themeColor="text1"/>
                <w:lang w:val="es-ES"/>
              </w:rPr>
            </w:pPr>
            <w:r w:rsidRPr="00C44CD0">
              <w:rPr>
                <w:rFonts w:ascii="Verdana" w:eastAsia="Arial" w:hAnsi="Verdana" w:cs="Arial"/>
                <w:bCs/>
                <w:color w:val="000000" w:themeColor="text1"/>
                <w:lang w:val="es-ES"/>
              </w:rPr>
              <w:lastRenderedPageBreak/>
              <w:t xml:space="preserve">Conforme con lo expuesto, las entidades que requieran adelantar procesos de contratación directa </w:t>
            </w:r>
            <w:r w:rsidR="00E325EA" w:rsidRPr="00C44CD0">
              <w:rPr>
                <w:rFonts w:ascii="Verdana" w:eastAsia="Arial" w:hAnsi="Verdana" w:cs="Arial"/>
                <w:bCs/>
                <w:color w:val="000000" w:themeColor="text1"/>
                <w:lang w:val="es-ES"/>
              </w:rPr>
              <w:t xml:space="preserve">inmediatamente antes </w:t>
            </w:r>
            <w:r w:rsidRPr="00C44CD0">
              <w:rPr>
                <w:rFonts w:ascii="Verdana" w:eastAsia="Arial" w:hAnsi="Verdana" w:cs="Arial"/>
                <w:bCs/>
                <w:color w:val="000000" w:themeColor="text1"/>
                <w:lang w:val="es-ES"/>
              </w:rPr>
              <w:t>d</w:t>
            </w:r>
            <w:r w:rsidR="00E325EA" w:rsidRPr="00C44CD0">
              <w:rPr>
                <w:rFonts w:ascii="Verdana" w:eastAsia="Arial" w:hAnsi="Verdana" w:cs="Arial"/>
                <w:bCs/>
                <w:color w:val="000000" w:themeColor="text1"/>
                <w:lang w:val="es-ES"/>
              </w:rPr>
              <w:t>e</w:t>
            </w:r>
            <w:r w:rsidRPr="00C44CD0">
              <w:rPr>
                <w:rFonts w:ascii="Verdana" w:eastAsia="Arial" w:hAnsi="Verdana" w:cs="Arial"/>
                <w:bCs/>
                <w:color w:val="000000" w:themeColor="text1"/>
                <w:lang w:val="es-ES"/>
              </w:rPr>
              <w:t xml:space="preserve">l periodo de garantías electorales deberán analizar, si los trámites que se adelantarán </w:t>
            </w:r>
            <w:r w:rsidR="00E325EA" w:rsidRPr="00C44CD0">
              <w:rPr>
                <w:rFonts w:ascii="Verdana" w:eastAsia="Arial" w:hAnsi="Verdana" w:cs="Arial"/>
                <w:bCs/>
                <w:color w:val="000000" w:themeColor="text1"/>
                <w:lang w:val="es-ES"/>
              </w:rPr>
              <w:t xml:space="preserve">después </w:t>
            </w:r>
            <w:r w:rsidRPr="00C44CD0">
              <w:rPr>
                <w:rFonts w:ascii="Verdana" w:eastAsia="Arial" w:hAnsi="Verdana" w:cs="Arial"/>
                <w:bCs/>
                <w:color w:val="000000" w:themeColor="text1"/>
                <w:lang w:val="es-ES"/>
              </w:rPr>
              <w:t xml:space="preserve">de la </w:t>
            </w:r>
            <w:proofErr w:type="gramStart"/>
            <w:r w:rsidRPr="00C44CD0">
              <w:rPr>
                <w:rFonts w:ascii="Verdana" w:eastAsia="Arial" w:hAnsi="Verdana" w:cs="Arial"/>
                <w:bCs/>
                <w:color w:val="000000" w:themeColor="text1"/>
                <w:lang w:val="es-ES"/>
              </w:rPr>
              <w:t>entrada en vigencia</w:t>
            </w:r>
            <w:proofErr w:type="gramEnd"/>
            <w:r w:rsidRPr="00C44CD0">
              <w:rPr>
                <w:rFonts w:ascii="Verdana" w:eastAsia="Arial" w:hAnsi="Verdana" w:cs="Arial"/>
                <w:bCs/>
                <w:color w:val="000000" w:themeColor="text1"/>
                <w:lang w:val="es-ES"/>
              </w:rPr>
              <w:t xml:space="preserve"> de la Ley de Garantías Electorales corresponden a requisitos de perfeccionamiento o de ejecución de los contratos estatales.</w:t>
            </w:r>
          </w:p>
          <w:p w14:paraId="4DAF7FA8" w14:textId="40F3B541" w:rsidR="004876D0" w:rsidRPr="00C44CD0" w:rsidRDefault="003C7E03" w:rsidP="00E325EA">
            <w:pPr>
              <w:spacing w:before="120" w:after="120" w:line="276" w:lineRule="auto"/>
              <w:ind w:firstLine="742"/>
              <w:jc w:val="both"/>
              <w:rPr>
                <w:rFonts w:ascii="Verdana" w:eastAsia="Arial" w:hAnsi="Verdana" w:cs="Arial"/>
                <w:bCs/>
                <w:color w:val="000000" w:themeColor="text1"/>
                <w:lang w:val="es-ES"/>
              </w:rPr>
            </w:pPr>
            <w:r w:rsidRPr="00C44CD0">
              <w:rPr>
                <w:rFonts w:ascii="Verdana" w:eastAsia="Calibri" w:hAnsi="Verdana" w:cs="Arial"/>
                <w:lang w:val="es-ES"/>
              </w:rPr>
              <w:t>Así pues</w:t>
            </w:r>
            <w:r w:rsidR="00E325EA" w:rsidRPr="00C44CD0">
              <w:rPr>
                <w:rFonts w:ascii="Verdana" w:eastAsia="Calibri" w:hAnsi="Verdana" w:cs="Arial"/>
                <w:lang w:val="es-ES"/>
              </w:rPr>
              <w:t>, p</w:t>
            </w:r>
            <w:r w:rsidR="00B14F4D" w:rsidRPr="00C44CD0">
              <w:rPr>
                <w:rFonts w:ascii="Verdana" w:eastAsia="Calibri" w:hAnsi="Verdana" w:cs="Arial"/>
                <w:lang w:val="es-ES"/>
              </w:rPr>
              <w:t>ar</w:t>
            </w:r>
            <w:r w:rsidR="007F50C9" w:rsidRPr="00C44CD0">
              <w:rPr>
                <w:rFonts w:ascii="Verdana" w:eastAsia="Calibri" w:hAnsi="Verdana" w:cs="Arial"/>
                <w:lang w:val="es-ES"/>
              </w:rPr>
              <w:t xml:space="preserve">a dar una respuesta suficiente a la cuestión planteada por el peticionario, </w:t>
            </w:r>
            <w:r w:rsidR="00B14F4D" w:rsidRPr="00C44CD0">
              <w:rPr>
                <w:rFonts w:ascii="Verdana" w:eastAsia="Calibri" w:hAnsi="Verdana" w:cs="Arial"/>
                <w:lang w:val="es-ES"/>
              </w:rPr>
              <w:t xml:space="preserve">se debe determinar el momento en que se traduce el perfeccionamiento del contrato estatal en el sistema de SECOP II. En el SECOP II </w:t>
            </w:r>
            <w:r w:rsidR="004876D0" w:rsidRPr="00C44CD0">
              <w:rPr>
                <w:rFonts w:ascii="Verdana" w:eastAsia="Calibri" w:hAnsi="Verdana" w:cs="Arial"/>
                <w:lang w:val="es-ES"/>
              </w:rPr>
              <w:t xml:space="preserve">como plataforma transaccional para la actividad contractual del Estado, se permite que los contratos que se publiquen sean firmados electrónicamente. De este modo, el proceso mediante el cual se efectúa la firma del contrato y su consecuente aprobación o rechazo es realizado </w:t>
            </w:r>
            <w:r w:rsidR="00B14F4D" w:rsidRPr="00C44CD0">
              <w:rPr>
                <w:rFonts w:ascii="Verdana" w:eastAsia="Calibri" w:hAnsi="Verdana" w:cs="Arial"/>
                <w:lang w:val="es-ES"/>
              </w:rPr>
              <w:t xml:space="preserve">dentro </w:t>
            </w:r>
            <w:r w:rsidR="004876D0" w:rsidRPr="00C44CD0">
              <w:rPr>
                <w:rFonts w:ascii="Verdana" w:eastAsia="Calibri" w:hAnsi="Verdana" w:cs="Arial"/>
                <w:lang w:val="es-ES"/>
              </w:rPr>
              <w:t>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60C11F61" w14:textId="4B86487A" w:rsidR="004876D0" w:rsidRPr="00C44CD0" w:rsidRDefault="004876D0" w:rsidP="00EA32A5">
            <w:pPr>
              <w:spacing w:after="120" w:line="276" w:lineRule="auto"/>
              <w:ind w:firstLine="567"/>
              <w:jc w:val="both"/>
              <w:rPr>
                <w:rFonts w:ascii="Verdana" w:eastAsia="Calibri" w:hAnsi="Verdana" w:cs="Arial"/>
              </w:rPr>
            </w:pPr>
            <w:r w:rsidRPr="00C44CD0">
              <w:rPr>
                <w:rFonts w:ascii="Verdana" w:eastAsia="Calibri" w:hAnsi="Verdana" w:cs="Arial"/>
                <w:lang w:val="es-ES"/>
              </w:rPr>
              <w:t>Conforme lo señala “Guía SECOP II – Gestión Contractual Para Entidades Estatales</w:t>
            </w:r>
            <w:r w:rsidRPr="00C44CD0">
              <w:rPr>
                <w:rStyle w:val="Refdenotaalpie"/>
                <w:rFonts w:ascii="Verdana" w:eastAsia="Calibri" w:hAnsi="Verdana" w:cs="Arial"/>
                <w:lang w:val="es-ES"/>
              </w:rPr>
              <w:footnoteReference w:id="2"/>
            </w:r>
            <w:r w:rsidRPr="00C44CD0">
              <w:rPr>
                <w:rFonts w:ascii="Verdana" w:eastAsia="Calibri" w:hAnsi="Verdana" w:cs="Arial"/>
                <w:lang w:val="es-ES"/>
              </w:rPr>
              <w:t xml:space="preserve">” </w:t>
            </w:r>
            <w:r w:rsidRPr="00C44CD0">
              <w:rPr>
                <w:rFonts w:ascii="Verdana" w:eastAsia="Calibri" w:hAnsi="Verdana" w:cs="Arial"/>
              </w:rPr>
              <w:t>es importante que previamente el usuario administrador de la Entidad Estatal haya configurado flujos de aprobación en este hito del proceso con el fin de que el contrato electrónico sea enviado al ordenador del gasto</w:t>
            </w:r>
            <w:r w:rsidR="007F50C9" w:rsidRPr="00C44CD0">
              <w:rPr>
                <w:rFonts w:ascii="Verdana" w:eastAsia="Calibri" w:hAnsi="Verdana" w:cs="Arial"/>
              </w:rPr>
              <w:t xml:space="preserve"> o</w:t>
            </w:r>
            <w:r w:rsidRPr="00C44CD0">
              <w:rPr>
                <w:rFonts w:ascii="Verdana" w:eastAsia="Calibri" w:hAnsi="Verdana" w:cs="Arial"/>
              </w:rPr>
              <w:t xml:space="preserve"> representante legal de la entidad para su aprobación final.</w:t>
            </w:r>
            <w:r w:rsidRPr="00C44CD0">
              <w:rPr>
                <w:rFonts w:ascii="Verdana" w:eastAsia="Calibri" w:hAnsi="Verdana" w:cs="Arial"/>
                <w:lang w:val="es-ES"/>
              </w:rPr>
              <w:t xml:space="preserve"> </w:t>
            </w:r>
            <w:r w:rsidRPr="00C44CD0">
              <w:rPr>
                <w:rFonts w:ascii="Verdana" w:eastAsia="Calibri" w:hAnsi="Verdana" w:cs="Arial"/>
              </w:rPr>
              <w:t>Una vez el ordenador del gasto de la entidad realice la aprobación el estado del contrato cambia a “Firmado” y quedará público para consulta de cualquier interesado.</w:t>
            </w:r>
          </w:p>
          <w:p w14:paraId="6BDDB3C9" w14:textId="427825A2" w:rsidR="004876D0" w:rsidRPr="00C44CD0" w:rsidRDefault="004876D0" w:rsidP="00EA32A5">
            <w:pPr>
              <w:spacing w:after="120" w:line="276" w:lineRule="auto"/>
              <w:ind w:firstLine="709"/>
              <w:jc w:val="both"/>
              <w:rPr>
                <w:rFonts w:ascii="Verdana" w:eastAsia="Calibri" w:hAnsi="Verdana" w:cs="Arial"/>
                <w:lang w:val="es-ES"/>
              </w:rPr>
            </w:pPr>
            <w:r w:rsidRPr="00C44CD0">
              <w:rPr>
                <w:rFonts w:ascii="Verdana" w:eastAsia="Calibri" w:hAnsi="Verdana" w:cs="Arial"/>
                <w:lang w:val="es-ES"/>
              </w:rPr>
              <w:t xml:space="preserve">Así las cosas, cuando el proceso de contratación se adelanta por el SECOP II la aprobación del contrato para su perfeccionamiento y posterior ejecución deberá efectuarse en dicha plataforma de conformidad con el procedimiento descrito. </w:t>
            </w:r>
            <w:r w:rsidRPr="00C44CD0">
              <w:rPr>
                <w:rFonts w:ascii="Verdana" w:eastAsia="Calibri" w:hAnsi="Verdana" w:cs="Arial"/>
                <w:i/>
                <w:iCs/>
                <w:lang w:val="es-ES"/>
              </w:rPr>
              <w:t xml:space="preserve">En todo caso, hasta que no se </w:t>
            </w:r>
            <w:r w:rsidR="003C7E03" w:rsidRPr="00C44CD0">
              <w:rPr>
                <w:rFonts w:ascii="Verdana" w:eastAsia="Calibri" w:hAnsi="Verdana" w:cs="Arial"/>
                <w:i/>
                <w:iCs/>
                <w:lang w:val="es-ES"/>
              </w:rPr>
              <w:t>efectúe</w:t>
            </w:r>
            <w:r w:rsidRPr="00C44CD0">
              <w:rPr>
                <w:rFonts w:ascii="Verdana" w:eastAsia="Calibri" w:hAnsi="Verdana" w:cs="Arial"/>
                <w:i/>
                <w:iCs/>
                <w:lang w:val="es-ES"/>
              </w:rPr>
              <w:t xml:space="preserve"> la aprobación en el SECOP II por parte del ordenador del gasto de la Entidad no se entiende perfeccionado el contrato.</w:t>
            </w:r>
          </w:p>
          <w:p w14:paraId="33472746" w14:textId="77777777" w:rsidR="004876D0" w:rsidRPr="00C44CD0" w:rsidRDefault="004876D0" w:rsidP="00EA32A5">
            <w:pPr>
              <w:spacing w:after="120" w:line="276" w:lineRule="auto"/>
              <w:ind w:firstLine="567"/>
              <w:jc w:val="both"/>
              <w:rPr>
                <w:rFonts w:ascii="Verdana" w:eastAsia="Calibri" w:hAnsi="Verdana" w:cs="Arial"/>
                <w:lang w:val="es-ES"/>
              </w:rPr>
            </w:pPr>
            <w:r w:rsidRPr="00C44CD0">
              <w:rPr>
                <w:rFonts w:ascii="Verdana" w:eastAsia="Calibri" w:hAnsi="Verdana" w:cs="Arial"/>
                <w:lang w:val="es-ES"/>
              </w:rPr>
              <w:t xml:space="preserve">Bajo este contexto, en atención a la consulta planteada, es pertinente señalar que debido a que el concepto “celebrar” para efectos de las </w:t>
            </w:r>
            <w:r w:rsidRPr="00C44CD0">
              <w:rPr>
                <w:rFonts w:ascii="Verdana" w:eastAsia="Calibri" w:hAnsi="Verdana" w:cs="Arial"/>
                <w:lang w:val="es-ES"/>
              </w:rPr>
              <w:lastRenderedPageBreak/>
              <w:t>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el contrato se entiende celebrado una vez se ha surtido la aprobación y publicación por parte de la entidad estatal, momento en el cual la plataforma registra el estado de “firmado”, dejando constancia de la concurrencia de voluntades y del cumplimiento del requisito de perfeccionamiento.</w:t>
            </w:r>
          </w:p>
          <w:p w14:paraId="4BBA68A5" w14:textId="6E0CF9C6" w:rsidR="004876D0" w:rsidRPr="00C44CD0" w:rsidRDefault="004876D0" w:rsidP="00EA32A5">
            <w:pPr>
              <w:spacing w:after="120" w:line="276" w:lineRule="auto"/>
              <w:ind w:firstLine="567"/>
              <w:jc w:val="both"/>
              <w:rPr>
                <w:rFonts w:ascii="Verdana" w:eastAsia="Calibri" w:hAnsi="Verdana" w:cs="Arial"/>
                <w:i/>
                <w:iCs/>
              </w:rPr>
            </w:pPr>
            <w:r w:rsidRPr="00C44CD0">
              <w:rPr>
                <w:rFonts w:ascii="Verdana" w:eastAsia="Calibri" w:hAnsi="Verdana" w:cs="Arial"/>
              </w:rPr>
              <w:t xml:space="preserve">En este orden de ideas, dentro del flujo de aprobación que la entidad haya configurado en el SECOP II, </w:t>
            </w:r>
            <w:r w:rsidRPr="00C44CD0">
              <w:rPr>
                <w:rFonts w:ascii="Verdana" w:eastAsia="Calibri" w:hAnsi="Verdana" w:cs="Arial"/>
                <w:i/>
                <w:iCs/>
              </w:rPr>
              <w:t>el momento en que el ordenador del gasto emite su aprobación final constituye el hito en el cual se consolida efectivamente la concurrencia de voluntades y el acuerdo contractual.</w:t>
            </w:r>
            <w:r w:rsidRPr="00C44CD0">
              <w:rPr>
                <w:rFonts w:ascii="Verdana" w:eastAsia="Calibri" w:hAnsi="Verdana" w:cs="Arial"/>
              </w:rPr>
              <w:t xml:space="preserve"> Ello obedece a que, de manera previa, el proveedor ya ha otorgado su aprobación al contrato, manifestando su aceptación integral de las condiciones pactadas. </w:t>
            </w:r>
            <w:r w:rsidRPr="00C44CD0">
              <w:rPr>
                <w:rFonts w:ascii="Verdana" w:eastAsia="Calibri" w:hAnsi="Verdana" w:cs="Arial"/>
                <w:i/>
                <w:iCs/>
              </w:rPr>
              <w:t>Así, con la aprobación posterior del ordenador del gasto se perfecciona el consentimiento recíproco sobre el objeto y la contraprestación y queda formalmente estructurado el acuerdo</w:t>
            </w:r>
            <w:r w:rsidR="007F50C9" w:rsidRPr="00C44CD0">
              <w:rPr>
                <w:rFonts w:ascii="Verdana" w:eastAsia="Calibri" w:hAnsi="Verdana" w:cs="Arial"/>
                <w:i/>
                <w:iCs/>
              </w:rPr>
              <w:t>, cumplimento con los requisitos de perfeccionamiento del artículo 41 de la Ley 80 de 1993</w:t>
            </w:r>
            <w:r w:rsidRPr="00C44CD0">
              <w:rPr>
                <w:rFonts w:ascii="Verdana" w:eastAsia="Calibri" w:hAnsi="Verdana" w:cs="Arial"/>
                <w:i/>
                <w:iCs/>
              </w:rPr>
              <w:t>.</w:t>
            </w:r>
          </w:p>
          <w:p w14:paraId="494D4EF8" w14:textId="7E829F97" w:rsidR="004876D0" w:rsidRPr="00C44CD0" w:rsidRDefault="004876D0" w:rsidP="00EA32A5">
            <w:pPr>
              <w:spacing w:after="120" w:line="276" w:lineRule="auto"/>
              <w:ind w:firstLine="567"/>
              <w:jc w:val="both"/>
              <w:rPr>
                <w:rFonts w:ascii="Verdana" w:eastAsia="Calibri" w:hAnsi="Verdana" w:cs="Arial"/>
              </w:rPr>
            </w:pPr>
            <w:r w:rsidRPr="00C44CD0">
              <w:rPr>
                <w:rFonts w:ascii="Verdana" w:eastAsia="Calibri" w:hAnsi="Verdana" w:cs="Arial"/>
                <w:lang w:val="es-ES"/>
              </w:rPr>
              <w:t>Así las cosas, tratándose de procesos gestionados en SECOP II, las actuaciones necesarias para que el contrato adquiera el estado de “firmado”</w:t>
            </w:r>
            <w:r w:rsidR="00E325EA" w:rsidRPr="00C44CD0">
              <w:rPr>
                <w:rFonts w:ascii="Verdana" w:eastAsia="Calibri" w:hAnsi="Verdana" w:cs="Arial"/>
                <w:lang w:val="es-ES"/>
              </w:rPr>
              <w:t xml:space="preserve"> (entiéndase, celebrado o perfeccionado),</w:t>
            </w:r>
            <w:r w:rsidRPr="00C44CD0">
              <w:rPr>
                <w:rFonts w:ascii="Verdana" w:eastAsia="Calibri" w:hAnsi="Verdana" w:cs="Arial"/>
                <w:lang w:val="es-ES"/>
              </w:rPr>
              <w:t xml:space="preserve"> deben realizarse antes de la </w:t>
            </w:r>
            <w:proofErr w:type="gramStart"/>
            <w:r w:rsidRPr="00C44CD0">
              <w:rPr>
                <w:rFonts w:ascii="Verdana" w:eastAsia="Calibri" w:hAnsi="Verdana" w:cs="Arial"/>
                <w:lang w:val="es-ES"/>
              </w:rPr>
              <w:t>entrada en vigencia</w:t>
            </w:r>
            <w:proofErr w:type="gramEnd"/>
            <w:r w:rsidRPr="00C44CD0">
              <w:rPr>
                <w:rFonts w:ascii="Verdana" w:eastAsia="Calibri" w:hAnsi="Verdana" w:cs="Arial"/>
                <w:lang w:val="es-ES"/>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w:t>
            </w:r>
            <w:r w:rsidR="007F50C9" w:rsidRPr="00C44CD0">
              <w:rPr>
                <w:rFonts w:ascii="Verdana" w:eastAsia="Calibri" w:hAnsi="Verdana" w:cs="Arial"/>
                <w:lang w:val="es-ES"/>
              </w:rPr>
              <w:t>de la Ley de Garantías electorales</w:t>
            </w:r>
            <w:r w:rsidRPr="00C44CD0">
              <w:rPr>
                <w:rFonts w:ascii="Verdana" w:eastAsia="Calibri" w:hAnsi="Verdana" w:cs="Arial"/>
                <w:lang w:val="es-ES"/>
              </w:rPr>
              <w:t>, se entiende que el contrato fue celebrado en vigencia de dicha restricción, con las consecuencias jurídicas a que haya lugar, sin que resulte suficiente que etapas previas del proceso se hubieren adelantado con anterioridad.</w:t>
            </w:r>
          </w:p>
          <w:p w14:paraId="35DB4F72" w14:textId="573987DC" w:rsidR="004876D0" w:rsidRPr="00C44CD0" w:rsidRDefault="004876D0" w:rsidP="00EA32A5">
            <w:pPr>
              <w:spacing w:after="120" w:line="276" w:lineRule="auto"/>
              <w:jc w:val="both"/>
              <w:rPr>
                <w:rFonts w:ascii="Verdana" w:eastAsia="Calibri" w:hAnsi="Verdana" w:cs="Arial"/>
              </w:rPr>
            </w:pPr>
            <w:proofErr w:type="spellStart"/>
            <w:r w:rsidRPr="00C44CD0">
              <w:rPr>
                <w:rFonts w:ascii="Verdana" w:eastAsia="Times New Roman" w:hAnsi="Verdana" w:cs="Arial"/>
                <w:bCs/>
                <w:lang w:val="es-ES" w:eastAsia="es-CO"/>
              </w:rPr>
              <w:t>ii</w:t>
            </w:r>
            <w:r w:rsidR="00700438" w:rsidRPr="00C44CD0">
              <w:rPr>
                <w:rFonts w:ascii="Verdana" w:eastAsia="Times New Roman" w:hAnsi="Verdana" w:cs="Arial"/>
                <w:bCs/>
                <w:lang w:val="es-ES" w:eastAsia="es-CO"/>
              </w:rPr>
              <w:t>i</w:t>
            </w:r>
            <w:proofErr w:type="spellEnd"/>
            <w:r w:rsidRPr="00C44CD0">
              <w:rPr>
                <w:rFonts w:ascii="Verdana" w:eastAsia="Times New Roman" w:hAnsi="Verdana" w:cs="Arial"/>
                <w:bCs/>
                <w:lang w:val="es-ES" w:eastAsia="es-CO"/>
              </w:rPr>
              <w:t xml:space="preserve">. 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w:t>
            </w:r>
            <w:r w:rsidRPr="00C44CD0">
              <w:rPr>
                <w:rFonts w:ascii="Verdana" w:eastAsia="Calibri" w:hAnsi="Verdana" w:cs="Arial"/>
              </w:rPr>
              <w:t xml:space="preserve">señala como </w:t>
            </w:r>
            <w:r w:rsidRPr="00C44CD0">
              <w:rPr>
                <w:rFonts w:ascii="Verdana" w:eastAsia="Calibri" w:hAnsi="Verdana" w:cs="Arial"/>
              </w:rPr>
              <w:lastRenderedPageBreak/>
              <w:t>causales de nulidad del contrato estatal, las siguientes: 1. Que el contrato se celebre con personas incursas en causales de inhabilidad o incompatibilidad previstas en la Constitución y la ley. 2. Que se celebre contra expresa prohibición constitucional o legal. 3. Que se celebre con abuso o desviación de poder. 4. Que se declaren nulos los actos administrativos en que se fundamenten. 5. Que se hubieren celebrado con desconocimiento de los criterios previstos para el tratamiento de ofertas nacionales y extranjeras o con violación de la reciprocidad.</w:t>
            </w:r>
          </w:p>
          <w:p w14:paraId="3983899A" w14:textId="278D9B7E" w:rsidR="004876D0" w:rsidRPr="00C44CD0" w:rsidRDefault="004876D0" w:rsidP="00EA32A5">
            <w:pPr>
              <w:spacing w:after="120" w:line="276" w:lineRule="auto"/>
              <w:ind w:firstLine="743"/>
              <w:jc w:val="both"/>
              <w:rPr>
                <w:rFonts w:ascii="Verdana" w:eastAsia="Calibri" w:hAnsi="Verdana" w:cs="Arial"/>
              </w:rPr>
            </w:pPr>
            <w:r w:rsidRPr="00C44CD0">
              <w:rPr>
                <w:rFonts w:ascii="Verdana" w:eastAsia="Calibri" w:hAnsi="Verdana" w:cs="Arial"/>
                <w:bCs/>
              </w:rPr>
              <w:t xml:space="preserve">En concordancia con lo anterior, el artículo 45 de la Ley 80 de 1993 establece que la nulidad absoluta del contrato podrá alegarse por las partes, por el agente del ministerio público, por cualquier persona o declarada de oficio, y no siendo susceptible de saneamiento por ratificación. </w:t>
            </w:r>
            <w:r w:rsidRPr="00C44CD0">
              <w:rPr>
                <w:rFonts w:ascii="Verdana" w:eastAsia="Calibri" w:hAnsi="Verdana" w:cs="Arial"/>
                <w:bCs/>
                <w:i/>
                <w:iCs/>
              </w:rPr>
              <w:t xml:space="preserve">Además, de acuerdo con el inciso segundo, cuando se presente alguna </w:t>
            </w:r>
            <w:r w:rsidR="00E325EA" w:rsidRPr="00C44CD0">
              <w:rPr>
                <w:rFonts w:ascii="Verdana" w:eastAsia="Calibri" w:hAnsi="Verdana" w:cs="Arial"/>
                <w:bCs/>
                <w:i/>
                <w:iCs/>
              </w:rPr>
              <w:t xml:space="preserve">de </w:t>
            </w:r>
            <w:r w:rsidRPr="00C44CD0">
              <w:rPr>
                <w:rFonts w:ascii="Verdana" w:eastAsia="Calibri" w:hAnsi="Verdana" w:cs="Arial"/>
                <w:bCs/>
                <w:i/>
                <w:iCs/>
              </w:rPr>
              <w:t>las hipótesis señaladas en los numerales 1, 2 y 4 del artículo 44 de la Ley 80 de 1993, la entidad debe terminar el contrato mediante acto administrativo y ordenar su liquidación en el estado en que se encuentre</w:t>
            </w:r>
            <w:r w:rsidRPr="00C44CD0">
              <w:rPr>
                <w:rFonts w:ascii="Verdana" w:eastAsia="Calibri" w:hAnsi="Verdana" w:cs="Arial"/>
                <w:bCs/>
              </w:rPr>
              <w:t>. Estas situaciones se refieren a los casos en que</w:t>
            </w:r>
            <w:r w:rsidRPr="00C44CD0">
              <w:rPr>
                <w:rFonts w:ascii="Verdana" w:eastAsia="Calibri" w:hAnsi="Verdana" w:cs="Arial"/>
              </w:rPr>
              <w:t xml:space="preserve"> el contrato se celebre con personas incursas en causales de inhabilidad o incompatibilidad previstas en la Constitución y la ley, que se celebre contra expresa prohibición constitucional o legal, o que se declaren nulos los actos administrativos en que se fundamenten. </w:t>
            </w:r>
          </w:p>
          <w:p w14:paraId="0642B3D6" w14:textId="77777777" w:rsidR="004876D0" w:rsidRPr="00C44CD0" w:rsidRDefault="004876D0" w:rsidP="00EA32A5">
            <w:pPr>
              <w:spacing w:after="120" w:line="276" w:lineRule="auto"/>
              <w:ind w:firstLine="743"/>
              <w:jc w:val="both"/>
              <w:rPr>
                <w:rFonts w:ascii="Verdana" w:eastAsia="Calibri" w:hAnsi="Verdana" w:cs="Arial"/>
              </w:rPr>
            </w:pPr>
            <w:r w:rsidRPr="00C44CD0">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absoluta del contrato por la causal de celebración contra expresa prohibición constitucional o legal, por vulnerar las restricciones establecidas en los artículos 33 y 38 de la Ley de Garantías Electorales. </w:t>
            </w:r>
          </w:p>
          <w:p w14:paraId="47F9D8E1" w14:textId="77777777" w:rsidR="004876D0" w:rsidRPr="00C44CD0" w:rsidRDefault="004876D0" w:rsidP="00EA32A5">
            <w:pPr>
              <w:spacing w:after="120" w:line="276" w:lineRule="auto"/>
              <w:ind w:firstLine="567"/>
              <w:jc w:val="both"/>
              <w:rPr>
                <w:rFonts w:ascii="Verdana" w:eastAsia="Times New Roman" w:hAnsi="Verdana" w:cs="Arial"/>
                <w:bCs/>
                <w:lang w:val="es-ES" w:eastAsia="es-CO"/>
              </w:rPr>
            </w:pPr>
            <w:r w:rsidRPr="00C44CD0">
              <w:rPr>
                <w:rFonts w:ascii="Verdana" w:eastAsia="Times New Roman" w:hAnsi="Verdana" w:cs="Arial"/>
                <w:bCs/>
                <w:lang w:val="es-ES" w:eastAsia="es-CO"/>
              </w:rPr>
              <w:t xml:space="preserve">Así las cosas, se concluye que aquellos contratos cuyo perfeccionamiento en la plataforma SECOP II -entendido como el momento en que se surte la aprobación final por parte del ordenador del gasto y se publica el contrato en estado “Firmado”-, haya ocurrido con posterioridad a la entrada en vigencia de la Ley de Garantías Electorales, esta Agencia considera que los mismos se entienden celebrados en infracción de lo previsto en los artículos 33 y 38 </w:t>
            </w:r>
            <w:r w:rsidRPr="00C44CD0">
              <w:rPr>
                <w:rFonts w:ascii="Verdana" w:eastAsia="Times New Roman" w:hAnsi="Verdana" w:cs="Arial"/>
                <w:bCs/>
                <w:i/>
                <w:iCs/>
                <w:lang w:val="es-ES" w:eastAsia="es-CO"/>
              </w:rPr>
              <w:lastRenderedPageBreak/>
              <w:t>ibidem,</w:t>
            </w:r>
            <w:r w:rsidRPr="00C44CD0">
              <w:rPr>
                <w:rFonts w:ascii="Verdana" w:eastAsia="Times New Roman" w:hAnsi="Verdana" w:cs="Arial"/>
                <w:bCs/>
                <w:lang w:val="es-ES" w:eastAsia="es-CO"/>
              </w:rPr>
              <w:t xml:space="preserve"> en la medida en que el hito jurídico de perfeccionamiento ocurrió dentro del período de restricción.</w:t>
            </w:r>
          </w:p>
          <w:p w14:paraId="57021C29" w14:textId="77777777" w:rsidR="004876D0" w:rsidRPr="00C44CD0" w:rsidRDefault="004876D0" w:rsidP="00EA32A5">
            <w:pPr>
              <w:spacing w:after="120" w:line="276" w:lineRule="auto"/>
              <w:ind w:firstLine="567"/>
              <w:jc w:val="both"/>
              <w:rPr>
                <w:rFonts w:ascii="Verdana" w:eastAsia="Times New Roman" w:hAnsi="Verdana" w:cs="Arial"/>
                <w:bCs/>
                <w:lang w:val="es-ES" w:eastAsia="es-CO"/>
              </w:rPr>
            </w:pPr>
            <w:r w:rsidRPr="00C44CD0">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los artículos 44 y 45 de la Ley 80 de 1993. Lo anterior, sin perjuicio de las responsabilidades de tipo disciplinario, fiscal y penal que puedan generarse. </w:t>
            </w:r>
          </w:p>
        </w:tc>
      </w:tr>
    </w:tbl>
    <w:p w14:paraId="0522EAF7" w14:textId="77777777" w:rsidR="004876D0" w:rsidRPr="00C44CD0" w:rsidRDefault="004876D0" w:rsidP="004876D0">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79CBDC7" w14:textId="464E8933" w:rsidR="004876D0" w:rsidRPr="00C44CD0" w:rsidRDefault="004876D0" w:rsidP="004876D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44CD0">
        <w:rPr>
          <w:rFonts w:ascii="Verdana" w:eastAsia="Century Gothic" w:hAnsi="Verdana" w:cs="Century Gothic"/>
          <w:b/>
          <w:bCs/>
          <w:color w:val="000000" w:themeColor="text1"/>
        </w:rPr>
        <w:t>Razones de la</w:t>
      </w:r>
      <w:r w:rsidR="005E7816" w:rsidRPr="00C44CD0">
        <w:rPr>
          <w:rFonts w:ascii="Verdana" w:eastAsia="Century Gothic" w:hAnsi="Verdana" w:cs="Century Gothic"/>
          <w:b/>
          <w:bCs/>
          <w:color w:val="000000" w:themeColor="text1"/>
        </w:rPr>
        <w:t>s</w:t>
      </w:r>
      <w:r w:rsidRPr="00C44CD0">
        <w:rPr>
          <w:rFonts w:ascii="Verdana" w:eastAsia="Century Gothic" w:hAnsi="Verdana" w:cs="Century Gothic"/>
          <w:b/>
          <w:bCs/>
          <w:color w:val="000000" w:themeColor="text1"/>
        </w:rPr>
        <w:t xml:space="preserve"> respuesta</w:t>
      </w:r>
      <w:r w:rsidR="005E7816" w:rsidRPr="00C44CD0">
        <w:rPr>
          <w:rFonts w:ascii="Verdana" w:eastAsia="Century Gothic" w:hAnsi="Verdana" w:cs="Century Gothic"/>
          <w:b/>
          <w:bCs/>
          <w:color w:val="000000" w:themeColor="text1"/>
        </w:rPr>
        <w:t>s</w:t>
      </w:r>
      <w:r w:rsidRPr="00C44CD0">
        <w:rPr>
          <w:rFonts w:ascii="Verdana" w:eastAsia="Century Gothic" w:hAnsi="Verdana" w:cs="Century Gothic"/>
          <w:b/>
          <w:bCs/>
          <w:color w:val="000000" w:themeColor="text1"/>
        </w:rPr>
        <w:t>:</w:t>
      </w:r>
    </w:p>
    <w:p w14:paraId="43295009" w14:textId="77777777" w:rsidR="004876D0" w:rsidRPr="00C44CD0" w:rsidRDefault="004876D0" w:rsidP="004876D0">
      <w:pPr>
        <w:spacing w:after="0" w:line="276" w:lineRule="auto"/>
        <w:jc w:val="both"/>
        <w:rPr>
          <w:rFonts w:ascii="Verdana" w:eastAsia="Calibri" w:hAnsi="Verdana" w:cs="Arial"/>
          <w:color w:val="000000" w:themeColor="text1"/>
          <w:lang w:val="es-ES"/>
        </w:rPr>
      </w:pPr>
    </w:p>
    <w:p w14:paraId="22F053D2" w14:textId="77777777" w:rsidR="004876D0" w:rsidRPr="00C44CD0" w:rsidRDefault="004876D0" w:rsidP="004876D0">
      <w:pPr>
        <w:spacing w:after="0" w:line="276" w:lineRule="auto"/>
        <w:jc w:val="both"/>
        <w:rPr>
          <w:rFonts w:ascii="Verdana" w:eastAsia="Calibri" w:hAnsi="Verdana" w:cs="Arial"/>
          <w:color w:val="000000" w:themeColor="text1"/>
          <w:lang w:val="es-ES"/>
        </w:rPr>
      </w:pPr>
      <w:r w:rsidRPr="00C44CD0">
        <w:rPr>
          <w:rFonts w:ascii="Verdana" w:eastAsia="Calibri" w:hAnsi="Verdana" w:cs="Arial"/>
          <w:color w:val="000000" w:themeColor="text1"/>
          <w:lang w:val="es-ES"/>
        </w:rPr>
        <w:t xml:space="preserve">Lo anterior se sustenta en las siguientes consideraciones: </w:t>
      </w:r>
    </w:p>
    <w:p w14:paraId="78CC5E00" w14:textId="77777777" w:rsidR="004876D0" w:rsidRPr="00C44CD0" w:rsidRDefault="004876D0" w:rsidP="004876D0">
      <w:pPr>
        <w:spacing w:after="0" w:line="276" w:lineRule="auto"/>
        <w:jc w:val="both"/>
        <w:rPr>
          <w:rFonts w:ascii="Verdana" w:eastAsia="Calibri" w:hAnsi="Verdana" w:cs="Arial"/>
          <w:color w:val="000000" w:themeColor="text1"/>
          <w:lang w:val="es-ES"/>
        </w:rPr>
      </w:pPr>
    </w:p>
    <w:p w14:paraId="533F277A" w14:textId="77777777" w:rsidR="004876D0" w:rsidRPr="00C44CD0" w:rsidRDefault="004876D0" w:rsidP="004876D0">
      <w:pPr>
        <w:tabs>
          <w:tab w:val="left" w:pos="426"/>
        </w:tabs>
        <w:spacing w:after="120" w:line="276" w:lineRule="auto"/>
        <w:jc w:val="both"/>
        <w:rPr>
          <w:rFonts w:ascii="Verdana" w:eastAsia="Times New Roman" w:hAnsi="Verdana" w:cs="Arial"/>
          <w:lang w:eastAsia="es-CO"/>
        </w:rPr>
      </w:pPr>
      <w:r w:rsidRPr="00C44CD0">
        <w:rPr>
          <w:rFonts w:ascii="Verdana" w:eastAsia="Calibri" w:hAnsi="Verdana" w:cs="Arial"/>
        </w:rPr>
        <w:t>i. El ordenamiento jurídico colombiano contempla previsiones claras para evitar la obtención de beneficios personales en asuntos propios de la administración pública</w:t>
      </w:r>
      <w:r w:rsidRPr="00C44CD0">
        <w:rPr>
          <w:rFonts w:ascii="Verdana" w:eastAsia="Calibri" w:hAnsi="Verdana" w:cs="Arial"/>
          <w:i/>
        </w:rPr>
        <w:t xml:space="preserve">. </w:t>
      </w:r>
      <w:r w:rsidRPr="00C44CD0">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C44CD0">
        <w:rPr>
          <w:rFonts w:ascii="Verdana" w:hAnsi="Verdana"/>
          <w:vertAlign w:val="superscript"/>
        </w:rPr>
        <w:footnoteReference w:id="3"/>
      </w:r>
      <w:r w:rsidRPr="00C44CD0">
        <w:rPr>
          <w:rFonts w:ascii="Verdana" w:eastAsia="Calibri" w:hAnsi="Verdana" w:cs="Arial"/>
        </w:rPr>
        <w:t xml:space="preserve">. </w:t>
      </w:r>
    </w:p>
    <w:p w14:paraId="38DA485D" w14:textId="77777777" w:rsidR="004876D0" w:rsidRPr="00C44CD0" w:rsidRDefault="004876D0" w:rsidP="004876D0">
      <w:pPr>
        <w:tabs>
          <w:tab w:val="left" w:pos="426"/>
        </w:tabs>
        <w:spacing w:after="120" w:line="276" w:lineRule="auto"/>
        <w:ind w:firstLine="709"/>
        <w:jc w:val="both"/>
        <w:rPr>
          <w:rFonts w:ascii="Verdana" w:eastAsia="Calibri" w:hAnsi="Verdana" w:cs="Arial"/>
          <w:lang w:val="es-ES_tradnl"/>
        </w:rPr>
      </w:pPr>
      <w:r w:rsidRPr="00C44CD0">
        <w:rPr>
          <w:rFonts w:ascii="Verdana" w:eastAsia="Times New Roman" w:hAnsi="Verdana" w:cs="Arial"/>
          <w:lang w:eastAsia="es-CO"/>
        </w:rPr>
        <w:t>En el mismo sentido</w:t>
      </w:r>
      <w:r w:rsidRPr="00C44CD0">
        <w:rPr>
          <w:rFonts w:ascii="Verdana" w:eastAsia="Times New Roman" w:hAnsi="Verdana" w:cs="Arial"/>
          <w:lang w:val="es-MX" w:eastAsia="es-CO"/>
        </w:rPr>
        <w:t xml:space="preserve">, </w:t>
      </w:r>
      <w:bookmarkStart w:id="1" w:name="_Hlk99576829"/>
      <w:r w:rsidRPr="00C44CD0">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44CD0">
        <w:rPr>
          <w:rFonts w:ascii="Verdana" w:eastAsia="Times New Roman" w:hAnsi="Verdana" w:cs="Arial"/>
          <w:vertAlign w:val="superscript"/>
          <w:lang w:val="es-MX" w:eastAsia="es-CO"/>
        </w:rPr>
        <w:footnoteReference w:id="4"/>
      </w:r>
      <w:r w:rsidRPr="00C44CD0">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C44CD0">
        <w:rPr>
          <w:rFonts w:ascii="Verdana" w:eastAsia="Calibri" w:hAnsi="Verdana" w:cs="Arial"/>
          <w:lang w:val="es-ES_tradnl"/>
        </w:rPr>
        <w:t xml:space="preserve"> </w:t>
      </w:r>
      <w:bookmarkEnd w:id="1"/>
    </w:p>
    <w:p w14:paraId="2916F7D8" w14:textId="77777777" w:rsidR="004876D0" w:rsidRPr="00C44CD0" w:rsidRDefault="004876D0" w:rsidP="004876D0">
      <w:pPr>
        <w:tabs>
          <w:tab w:val="left" w:pos="426"/>
        </w:tabs>
        <w:spacing w:after="0" w:line="276" w:lineRule="auto"/>
        <w:ind w:firstLine="709"/>
        <w:jc w:val="both"/>
        <w:rPr>
          <w:rFonts w:ascii="Verdana" w:eastAsia="Calibri" w:hAnsi="Verdana" w:cs="Arial"/>
          <w:lang w:val="es-ES_tradnl"/>
        </w:rPr>
      </w:pPr>
      <w:r w:rsidRPr="00C44CD0">
        <w:rPr>
          <w:rFonts w:ascii="Verdana" w:eastAsia="Times New Roman" w:hAnsi="Verdana" w:cs="Arial"/>
          <w:lang w:val="es-MX" w:eastAsia="es-CO"/>
        </w:rPr>
        <w:lastRenderedPageBreak/>
        <w:t>En armonía con lo anterior, la Corte Constitucional ha abordado la definición de la Ley de Garantías Electorales. De esta manera, explica que tiene como propósito:</w:t>
      </w:r>
    </w:p>
    <w:p w14:paraId="712EEE0F" w14:textId="77777777" w:rsidR="004876D0" w:rsidRPr="00C44CD0" w:rsidRDefault="004876D0" w:rsidP="004876D0">
      <w:pPr>
        <w:spacing w:after="0" w:line="276" w:lineRule="auto"/>
        <w:ind w:right="709"/>
        <w:contextualSpacing/>
        <w:jc w:val="both"/>
        <w:rPr>
          <w:rFonts w:ascii="Verdana" w:eastAsia="Times New Roman" w:hAnsi="Verdana" w:cs="Arial"/>
          <w:lang w:val="es-ES" w:eastAsia="es-CO"/>
        </w:rPr>
      </w:pPr>
    </w:p>
    <w:p w14:paraId="306FB86D" w14:textId="77777777" w:rsidR="004876D0" w:rsidRPr="00C44C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sidRPr="00C44CD0">
        <w:rPr>
          <w:rFonts w:ascii="Verdana" w:eastAsia="Times New Roman" w:hAnsi="Verdana" w:cs="Arial"/>
          <w:sz w:val="20"/>
          <w:szCs w:val="20"/>
          <w:lang w:val="es-ES" w:eastAsia="es-CO"/>
        </w:rPr>
        <w:t xml:space="preserve">“[…] </w:t>
      </w:r>
      <w:r w:rsidRPr="00C44CD0">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902F48E" w14:textId="77777777" w:rsidR="004876D0" w:rsidRPr="00C44C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sidRPr="00C44CD0">
        <w:rPr>
          <w:rFonts w:ascii="Verdana" w:eastAsia="Times New Roman" w:hAnsi="Verdana" w:cs="Arial"/>
          <w:sz w:val="20"/>
          <w:szCs w:val="20"/>
          <w:lang w:val="es-MX" w:eastAsia="es-CO"/>
        </w:rPr>
        <w:t xml:space="preserve">[…] </w:t>
      </w:r>
    </w:p>
    <w:p w14:paraId="116CC5F4" w14:textId="77777777" w:rsidR="004876D0" w:rsidRPr="00C44CD0" w:rsidRDefault="004876D0" w:rsidP="004876D0">
      <w:pPr>
        <w:spacing w:after="0" w:line="240" w:lineRule="auto"/>
        <w:ind w:left="709" w:right="709"/>
        <w:contextualSpacing/>
        <w:jc w:val="both"/>
        <w:rPr>
          <w:rFonts w:ascii="Verdana" w:eastAsia="Times New Roman" w:hAnsi="Verdana" w:cs="Arial"/>
          <w:sz w:val="12"/>
          <w:szCs w:val="12"/>
          <w:lang w:val="es-MX" w:eastAsia="es-CO"/>
        </w:rPr>
      </w:pPr>
    </w:p>
    <w:p w14:paraId="14F2D75E" w14:textId="77777777" w:rsidR="004876D0" w:rsidRPr="00C44C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sidRPr="00C44CD0">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44CD0">
        <w:rPr>
          <w:rFonts w:ascii="Verdana" w:eastAsia="Calibri" w:hAnsi="Verdana" w:cs="Arial"/>
          <w:sz w:val="20"/>
          <w:szCs w:val="20"/>
          <w:vertAlign w:val="superscript"/>
          <w:lang w:val="es-MX"/>
        </w:rPr>
        <w:footnoteReference w:id="5"/>
      </w:r>
    </w:p>
    <w:p w14:paraId="433CEDB1" w14:textId="77777777" w:rsidR="004876D0" w:rsidRPr="00C44CD0" w:rsidRDefault="004876D0" w:rsidP="004876D0">
      <w:pPr>
        <w:spacing w:after="0" w:line="276" w:lineRule="auto"/>
        <w:ind w:firstLine="709"/>
        <w:jc w:val="both"/>
        <w:rPr>
          <w:rFonts w:ascii="Verdana" w:eastAsia="Times New Roman" w:hAnsi="Verdana" w:cs="Arial"/>
          <w:lang w:val="es-MX" w:eastAsia="es-CO"/>
        </w:rPr>
      </w:pPr>
      <w:bookmarkStart w:id="2" w:name="_Hlk78818186"/>
    </w:p>
    <w:p w14:paraId="13777027" w14:textId="77777777" w:rsidR="004876D0" w:rsidRPr="00C44CD0" w:rsidRDefault="004876D0" w:rsidP="004876D0">
      <w:pPr>
        <w:spacing w:after="0" w:line="276" w:lineRule="auto"/>
        <w:ind w:firstLine="709"/>
        <w:jc w:val="both"/>
        <w:rPr>
          <w:rFonts w:ascii="Verdana" w:eastAsia="Times New Roman" w:hAnsi="Verdana" w:cs="Arial"/>
          <w:lang w:val="es-MX" w:eastAsia="es-CO"/>
        </w:rPr>
      </w:pPr>
      <w:r w:rsidRPr="00C44CD0">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2"/>
      <w:r w:rsidRPr="00C44CD0">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68163B44" w14:textId="77777777" w:rsidR="004876D0" w:rsidRPr="00C44CD0" w:rsidRDefault="004876D0" w:rsidP="004876D0">
      <w:pPr>
        <w:spacing w:after="0" w:line="276" w:lineRule="auto"/>
        <w:ind w:firstLine="709"/>
        <w:jc w:val="both"/>
        <w:rPr>
          <w:rFonts w:ascii="Verdana" w:eastAsia="Times New Roman" w:hAnsi="Verdana" w:cs="Arial"/>
          <w:lang w:val="es-MX" w:eastAsia="es-CO"/>
        </w:rPr>
      </w:pPr>
    </w:p>
    <w:p w14:paraId="37EC9B43" w14:textId="77777777" w:rsidR="004876D0" w:rsidRPr="00C44C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sidRPr="00C44CD0">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B0D20FA" w14:textId="77777777" w:rsidR="004876D0" w:rsidRPr="00C44CD0" w:rsidRDefault="004876D0" w:rsidP="004876D0">
      <w:pPr>
        <w:spacing w:after="0" w:line="240" w:lineRule="auto"/>
        <w:ind w:right="709"/>
        <w:contextualSpacing/>
        <w:jc w:val="both"/>
        <w:rPr>
          <w:rFonts w:ascii="Verdana" w:eastAsia="Times New Roman" w:hAnsi="Verdana" w:cs="Arial"/>
          <w:sz w:val="12"/>
          <w:szCs w:val="12"/>
          <w:lang w:val="es-MX" w:eastAsia="es-CO"/>
        </w:rPr>
      </w:pPr>
    </w:p>
    <w:p w14:paraId="11B6BCD0" w14:textId="77777777" w:rsidR="004876D0" w:rsidRPr="00C44CD0" w:rsidRDefault="004876D0" w:rsidP="004876D0">
      <w:pPr>
        <w:spacing w:after="0" w:line="240" w:lineRule="auto"/>
        <w:ind w:left="709" w:right="709"/>
        <w:contextualSpacing/>
        <w:jc w:val="both"/>
        <w:rPr>
          <w:rFonts w:ascii="Verdana" w:eastAsia="Times New Roman" w:hAnsi="Verdana" w:cs="Arial"/>
          <w:sz w:val="20"/>
          <w:szCs w:val="20"/>
          <w:lang w:val="es-MX" w:eastAsia="es-CO"/>
        </w:rPr>
      </w:pPr>
      <w:r w:rsidRPr="00C44CD0">
        <w:rPr>
          <w:rFonts w:ascii="Verdana" w:eastAsia="Times New Roman" w:hAnsi="Verdana" w:cs="Arial"/>
          <w:sz w:val="20"/>
          <w:szCs w:val="20"/>
          <w:lang w:val="es-MX" w:eastAsia="es-CO"/>
        </w:rPr>
        <w:lastRenderedPageBreak/>
        <w:t>La jurisprudencia de la Corte Constitucional</w:t>
      </w:r>
      <w:r w:rsidRPr="00C44CD0">
        <w:rPr>
          <w:rFonts w:ascii="Verdana" w:eastAsia="Times New Roman" w:hAnsi="Verdana" w:cs="Arial"/>
          <w:sz w:val="20"/>
          <w:szCs w:val="20"/>
          <w:vertAlign w:val="superscript"/>
          <w:lang w:val="es-MX" w:eastAsia="es-CO"/>
        </w:rPr>
        <w:footnoteReference w:id="6"/>
      </w:r>
      <w:r w:rsidRPr="00C44CD0">
        <w:rPr>
          <w:rFonts w:ascii="Verdana" w:eastAsia="Times New Roman" w:hAnsi="Verdana" w:cs="Arial"/>
          <w:sz w:val="20"/>
          <w:szCs w:val="20"/>
          <w:lang w:val="es-MX" w:eastAsia="es-CO"/>
        </w:rPr>
        <w:t> y del Consejo de Estado</w:t>
      </w:r>
      <w:r w:rsidRPr="00C44CD0">
        <w:rPr>
          <w:rFonts w:ascii="Verdana" w:eastAsia="Times New Roman" w:hAnsi="Verdana" w:cs="Arial"/>
          <w:sz w:val="20"/>
          <w:szCs w:val="20"/>
          <w:vertAlign w:val="superscript"/>
          <w:lang w:val="es-MX" w:eastAsia="es-CO"/>
        </w:rPr>
        <w:footnoteReference w:id="7"/>
      </w:r>
      <w:r w:rsidRPr="00C44CD0">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44CD0">
        <w:rPr>
          <w:rFonts w:ascii="Verdana" w:eastAsia="Times New Roman" w:hAnsi="Verdana" w:cs="Arial"/>
          <w:sz w:val="20"/>
          <w:szCs w:val="20"/>
          <w:vertAlign w:val="superscript"/>
          <w:lang w:val="es-MX" w:eastAsia="es-CO"/>
        </w:rPr>
        <w:footnoteReference w:id="8"/>
      </w:r>
      <w:r w:rsidRPr="00C44CD0">
        <w:rPr>
          <w:rFonts w:ascii="Verdana" w:eastAsia="Times New Roman" w:hAnsi="Verdana" w:cs="Arial"/>
          <w:sz w:val="20"/>
          <w:szCs w:val="20"/>
          <w:lang w:val="es-MX" w:eastAsia="es-CO"/>
        </w:rPr>
        <w:t>.</w:t>
      </w:r>
    </w:p>
    <w:p w14:paraId="2A762E90" w14:textId="77777777" w:rsidR="004876D0" w:rsidRPr="00C44CD0" w:rsidRDefault="004876D0" w:rsidP="004876D0">
      <w:pPr>
        <w:spacing w:after="0" w:line="276" w:lineRule="auto"/>
        <w:jc w:val="both"/>
        <w:rPr>
          <w:rFonts w:ascii="Verdana" w:eastAsia="Calibri" w:hAnsi="Verdana" w:cs="Arial"/>
          <w:bCs/>
          <w:lang w:val="es-ES_tradnl"/>
        </w:rPr>
      </w:pPr>
    </w:p>
    <w:p w14:paraId="12E50A3B" w14:textId="77777777" w:rsidR="004876D0" w:rsidRPr="00C44CD0" w:rsidRDefault="004876D0" w:rsidP="004876D0">
      <w:pPr>
        <w:spacing w:after="0" w:line="276" w:lineRule="auto"/>
        <w:ind w:firstLine="709"/>
        <w:jc w:val="both"/>
        <w:rPr>
          <w:rFonts w:ascii="Verdana" w:eastAsia="Arial" w:hAnsi="Verdana" w:cs="Arial"/>
          <w:lang w:val="es-ES" w:eastAsia="es-ES" w:bidi="es-ES"/>
        </w:rPr>
      </w:pPr>
      <w:r w:rsidRPr="00C44CD0">
        <w:rPr>
          <w:rFonts w:ascii="Verdana" w:eastAsia="Times New Roman" w:hAnsi="Verdana" w:cs="Arial"/>
          <w:lang w:val="es-MX" w:eastAsia="es-CO"/>
        </w:rPr>
        <w:t>De</w:t>
      </w:r>
      <w:r w:rsidRPr="00C44CD0">
        <w:rPr>
          <w:rFonts w:ascii="Verdana" w:eastAsia="Arial" w:hAnsi="Verdana" w:cs="Arial"/>
          <w:lang w:val="es-ES" w:eastAsia="es-ES" w:bidi="es-ES"/>
        </w:rPr>
        <w:t xml:space="preserve"> conformidad con lo anterior, </w:t>
      </w:r>
      <w:bookmarkStart w:id="3" w:name="_Hlk77236098"/>
      <w:bookmarkStart w:id="4" w:name="_Hlk100679383"/>
      <w:r w:rsidRPr="00C44CD0">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7C62A95" w14:textId="77777777" w:rsidR="004876D0" w:rsidRPr="00C44CD0" w:rsidRDefault="004876D0" w:rsidP="004876D0">
      <w:pPr>
        <w:spacing w:after="0" w:line="276" w:lineRule="auto"/>
        <w:ind w:firstLine="709"/>
        <w:jc w:val="both"/>
        <w:rPr>
          <w:rFonts w:ascii="Verdana" w:eastAsia="Arial" w:hAnsi="Verdana" w:cs="Arial"/>
          <w:lang w:val="es-ES" w:eastAsia="es-ES" w:bidi="es-ES"/>
        </w:rPr>
      </w:pPr>
    </w:p>
    <w:p w14:paraId="085C9C54" w14:textId="77777777" w:rsidR="004876D0" w:rsidRPr="00C44CD0" w:rsidRDefault="004876D0" w:rsidP="004876D0">
      <w:pPr>
        <w:spacing w:after="120" w:line="276" w:lineRule="auto"/>
        <w:jc w:val="both"/>
        <w:rPr>
          <w:rFonts w:ascii="Verdana" w:eastAsia="Arial" w:hAnsi="Verdana" w:cs="Arial"/>
          <w:lang w:val="es-ES" w:eastAsia="es-ES" w:bidi="es-ES"/>
        </w:rPr>
      </w:pPr>
      <w:proofErr w:type="spellStart"/>
      <w:r w:rsidRPr="00C44CD0">
        <w:rPr>
          <w:rFonts w:ascii="Verdana" w:eastAsia="Arial" w:hAnsi="Verdana" w:cs="Arial"/>
          <w:lang w:val="es-ES" w:eastAsia="es-ES" w:bidi="es-ES"/>
        </w:rPr>
        <w:t>ii</w:t>
      </w:r>
      <w:proofErr w:type="spellEnd"/>
      <w:r w:rsidRPr="00C44CD0">
        <w:rPr>
          <w:rFonts w:ascii="Verdana" w:eastAsia="Arial" w:hAnsi="Verdana" w:cs="Arial"/>
          <w:lang w:val="es-ES" w:eastAsia="es-ES" w:bidi="es-ES"/>
        </w:rPr>
        <w:t>. Precisado el propósito de la Ley, es pertinente señalar que, en materia de contratación estatal,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63E60247" w14:textId="77777777" w:rsidR="004876D0" w:rsidRPr="00C44CD0" w:rsidRDefault="004876D0" w:rsidP="004876D0">
      <w:pPr>
        <w:spacing w:after="120" w:line="276" w:lineRule="auto"/>
        <w:ind w:firstLine="708"/>
        <w:jc w:val="both"/>
        <w:rPr>
          <w:rFonts w:ascii="Verdana" w:eastAsia="Calibri" w:hAnsi="Verdana" w:cs="Arial"/>
        </w:rPr>
      </w:pPr>
      <w:r w:rsidRPr="00C44CD0">
        <w:rPr>
          <w:rFonts w:ascii="Verdana" w:eastAsia="Calibri" w:hAnsi="Verdana" w:cs="Arial"/>
        </w:rPr>
        <w:t xml:space="preserve">Por un lado, el </w:t>
      </w:r>
      <w:r w:rsidRPr="00C44CD0">
        <w:rPr>
          <w:rFonts w:ascii="Verdana" w:eastAsia="Calibri" w:hAnsi="Verdana" w:cs="Arial"/>
          <w:i/>
          <w:iCs/>
        </w:rPr>
        <w:t>artículo 33 de la Ley 996 de 2005</w:t>
      </w:r>
      <w:r w:rsidRPr="00C44CD0">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C44CD0">
        <w:rPr>
          <w:rFonts w:ascii="Verdana" w:eastAsia="Calibri" w:hAnsi="Verdana" w:cs="Arial"/>
        </w:rPr>
        <w:lastRenderedPageBreak/>
        <w:t>acciones terroristas, desastres naturales o casos de fuerza mayor, y los que deban realizar las entidades sanitarias y hospitalarias”</w:t>
      </w:r>
      <w:r w:rsidRPr="00C44CD0">
        <w:rPr>
          <w:vertAlign w:val="superscript"/>
        </w:rPr>
        <w:footnoteReference w:id="9"/>
      </w:r>
      <w:r w:rsidRPr="00C44CD0">
        <w:rPr>
          <w:rFonts w:ascii="Verdana" w:eastAsia="Calibri" w:hAnsi="Verdana" w:cs="Arial"/>
        </w:rPr>
        <w:t>.</w:t>
      </w:r>
    </w:p>
    <w:p w14:paraId="09F24DBD" w14:textId="77777777" w:rsidR="004876D0" w:rsidRPr="00C44CD0" w:rsidRDefault="004876D0" w:rsidP="004876D0">
      <w:pPr>
        <w:widowControl w:val="0"/>
        <w:autoSpaceDE w:val="0"/>
        <w:autoSpaceDN w:val="0"/>
        <w:spacing w:after="120" w:line="276" w:lineRule="auto"/>
        <w:ind w:firstLine="709"/>
        <w:jc w:val="both"/>
        <w:rPr>
          <w:rFonts w:ascii="Verdana" w:eastAsia="Arial" w:hAnsi="Verdana" w:cs="Arial"/>
          <w:lang w:val="es-ES" w:eastAsia="es-ES" w:bidi="es-ES"/>
        </w:rPr>
      </w:pPr>
      <w:r w:rsidRPr="00C44CD0">
        <w:rPr>
          <w:rFonts w:ascii="Verdana" w:eastAsia="Calibri" w:hAnsi="Verdana" w:cs="Arial"/>
        </w:rPr>
        <w:t xml:space="preserve">Por otro lado, </w:t>
      </w:r>
      <w:r w:rsidRPr="00C44CD0">
        <w:rPr>
          <w:rFonts w:ascii="Verdana" w:eastAsia="Calibri" w:hAnsi="Verdana" w:cs="Arial"/>
          <w:i/>
          <w:iCs/>
        </w:rPr>
        <w:t>el parágrafo del artículo 38 de la Ley 996 de 2005</w:t>
      </w:r>
      <w:r w:rsidRPr="00C44CD0">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C44CD0">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44CD0">
        <w:rPr>
          <w:rFonts w:ascii="Verdana" w:eastAsia="Calibri" w:hAnsi="Verdana" w:cs="Arial"/>
        </w:rPr>
        <w:t>”</w:t>
      </w:r>
      <w:bookmarkEnd w:id="4"/>
      <w:r w:rsidRPr="00C44CD0">
        <w:rPr>
          <w:rFonts w:ascii="Verdana" w:eastAsia="Calibri" w:hAnsi="Verdana" w:cs="Arial"/>
          <w:vertAlign w:val="superscript"/>
        </w:rPr>
        <w:footnoteReference w:id="10"/>
      </w:r>
      <w:r w:rsidRPr="00C44CD0">
        <w:rPr>
          <w:rFonts w:ascii="Verdana" w:eastAsia="Calibri" w:hAnsi="Verdana" w:cs="Arial"/>
          <w:lang w:val="es-MX"/>
        </w:rPr>
        <w:t>.</w:t>
      </w:r>
      <w:r w:rsidRPr="00C44CD0">
        <w:rPr>
          <w:rFonts w:ascii="Verdana" w:eastAsia="Arial" w:hAnsi="Verdana" w:cs="Arial"/>
          <w:lang w:val="es-ES" w:eastAsia="es-ES" w:bidi="es-ES"/>
        </w:rPr>
        <w:t xml:space="preserve"> </w:t>
      </w:r>
    </w:p>
    <w:p w14:paraId="2F9D0D60" w14:textId="77777777" w:rsidR="004876D0" w:rsidRPr="00C44CD0" w:rsidRDefault="004876D0" w:rsidP="004876D0">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44CD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716DAD1" w14:textId="77777777" w:rsidR="004876D0" w:rsidRPr="00C44CD0" w:rsidRDefault="004876D0" w:rsidP="004876D0">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2D54D96" w14:textId="77777777" w:rsidR="004876D0" w:rsidRPr="00C44CD0" w:rsidRDefault="004876D0" w:rsidP="004876D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C44CD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C44CD0">
        <w:rPr>
          <w:rFonts w:ascii="Verdana" w:eastAsia="Arial" w:hAnsi="Verdana" w:cs="Arial"/>
          <w:sz w:val="20"/>
          <w:szCs w:val="20"/>
          <w:lang w:eastAsia="es-ES" w:bidi="es-ES"/>
        </w:rPr>
        <w:lastRenderedPageBreak/>
        <w:t>excluyendo las correspondientes a Presidente de la República, a las autoridades territoriales allí mencionadas sólo se aplican las restricciones contenidas en el parágrafo del artículo 38”.</w:t>
      </w:r>
      <w:r w:rsidRPr="00C44CD0">
        <w:rPr>
          <w:rFonts w:ascii="Verdana" w:eastAsia="Arial" w:hAnsi="Verdana" w:cs="Arial"/>
          <w:sz w:val="20"/>
          <w:szCs w:val="20"/>
          <w:vertAlign w:val="superscript"/>
          <w:lang w:eastAsia="es-ES" w:bidi="es-ES"/>
        </w:rPr>
        <w:footnoteReference w:id="11"/>
      </w:r>
    </w:p>
    <w:p w14:paraId="4C0E15CF" w14:textId="77777777" w:rsidR="004876D0" w:rsidRPr="00C44CD0" w:rsidRDefault="004876D0" w:rsidP="004876D0">
      <w:pPr>
        <w:widowControl w:val="0"/>
        <w:autoSpaceDE w:val="0"/>
        <w:autoSpaceDN w:val="0"/>
        <w:spacing w:line="276" w:lineRule="auto"/>
        <w:contextualSpacing/>
        <w:rPr>
          <w:rFonts w:ascii="Verdana" w:eastAsia="Arial" w:hAnsi="Verdana" w:cs="Arial"/>
          <w:lang w:val="es-ES" w:eastAsia="es-ES" w:bidi="es-ES"/>
        </w:rPr>
      </w:pPr>
    </w:p>
    <w:p w14:paraId="53678762" w14:textId="77777777" w:rsidR="004876D0" w:rsidRPr="00C44CD0" w:rsidRDefault="004876D0" w:rsidP="004876D0">
      <w:pPr>
        <w:spacing w:after="120" w:line="276" w:lineRule="auto"/>
        <w:ind w:firstLine="709"/>
        <w:jc w:val="both"/>
        <w:rPr>
          <w:rFonts w:ascii="Verdana" w:eastAsia="Arial" w:hAnsi="Verdana" w:cs="Arial"/>
          <w:lang w:val="es-ES" w:eastAsia="es-ES" w:bidi="es-ES"/>
        </w:rPr>
      </w:pPr>
      <w:r w:rsidRPr="00C44CD0">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C44CD0">
        <w:rPr>
          <w:rFonts w:ascii="Verdana" w:eastAsia="Arial" w:hAnsi="Verdana" w:cs="Arial"/>
          <w:i/>
          <w:lang w:val="es-ES" w:eastAsia="es-ES" w:bidi="es-ES"/>
        </w:rPr>
        <w:t>En primer lugar</w:t>
      </w:r>
      <w:r w:rsidRPr="00C44CD0">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44CD0">
        <w:rPr>
          <w:rFonts w:ascii="Verdana" w:eastAsia="Arial" w:hAnsi="Verdana" w:cs="Arial"/>
          <w:i/>
          <w:lang w:val="es-ES" w:eastAsia="es-ES" w:bidi="es-ES"/>
        </w:rPr>
        <w:t>En segundo lugar</w:t>
      </w:r>
      <w:r w:rsidRPr="00C44CD0">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5C19BA2" w14:textId="77777777" w:rsidR="004876D0" w:rsidRPr="00C44CD0" w:rsidRDefault="004876D0" w:rsidP="004876D0">
      <w:pPr>
        <w:spacing w:after="120" w:line="276" w:lineRule="auto"/>
        <w:ind w:firstLine="709"/>
        <w:jc w:val="both"/>
        <w:rPr>
          <w:rFonts w:ascii="Verdana" w:eastAsia="Arial" w:hAnsi="Verdana" w:cs="Arial"/>
          <w:lang w:val="es-ES" w:eastAsia="es-ES" w:bidi="es-ES"/>
        </w:rPr>
      </w:pPr>
      <w:r w:rsidRPr="00C44CD0">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C44CD0">
        <w:rPr>
          <w:rFonts w:ascii="Verdana" w:eastAsia="Arial" w:hAnsi="Verdana" w:cs="Arial"/>
          <w:lang w:val="es-ES" w:eastAsia="es-ES" w:bidi="es-ES"/>
        </w:rPr>
        <w:t>Presidente</w:t>
      </w:r>
      <w:proofErr w:type="gramEnd"/>
      <w:r w:rsidRPr="00C44CD0">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C44CD0">
        <w:rPr>
          <w:rFonts w:ascii="Verdana" w:eastAsia="Arial" w:hAnsi="Verdana" w:cs="Arial"/>
          <w:lang w:val="es-ES" w:eastAsia="es-ES" w:bidi="es-ES"/>
        </w:rPr>
        <w:t>Presidente</w:t>
      </w:r>
      <w:proofErr w:type="gramEnd"/>
      <w:r w:rsidRPr="00C44CD0">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2F7C784F" w14:textId="77777777" w:rsidR="004876D0" w:rsidRPr="00C44CD0" w:rsidRDefault="004876D0" w:rsidP="004876D0">
      <w:pPr>
        <w:spacing w:after="0" w:line="276" w:lineRule="auto"/>
        <w:ind w:firstLine="709"/>
        <w:jc w:val="both"/>
        <w:rPr>
          <w:rFonts w:ascii="Verdana" w:eastAsia="Arial" w:hAnsi="Verdana" w:cs="Arial"/>
          <w:lang w:val="es-ES" w:eastAsia="es-ES" w:bidi="es-ES"/>
        </w:rPr>
      </w:pPr>
      <w:r w:rsidRPr="00C44CD0">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C44CD0">
        <w:rPr>
          <w:rFonts w:ascii="Verdana" w:eastAsia="Arial" w:hAnsi="Verdana" w:cs="Arial"/>
          <w:lang w:val="es-ES" w:eastAsia="es-ES" w:bidi="es-ES"/>
        </w:rPr>
        <w:t>Presidente</w:t>
      </w:r>
      <w:proofErr w:type="gramEnd"/>
      <w:r w:rsidRPr="00C44CD0">
        <w:rPr>
          <w:rFonts w:ascii="Verdana" w:eastAsia="Arial" w:hAnsi="Verdana" w:cs="Arial"/>
          <w:lang w:val="es-ES" w:eastAsia="es-ES" w:bidi="es-ES"/>
        </w:rPr>
        <w:t xml:space="preserve"> o el </w:t>
      </w:r>
      <w:proofErr w:type="gramStart"/>
      <w:r w:rsidRPr="00C44CD0">
        <w:rPr>
          <w:rFonts w:ascii="Verdana" w:eastAsia="Arial" w:hAnsi="Verdana" w:cs="Arial"/>
          <w:lang w:val="es-ES" w:eastAsia="es-ES" w:bidi="es-ES"/>
        </w:rPr>
        <w:t>Vicepresidente</w:t>
      </w:r>
      <w:proofErr w:type="gramEnd"/>
      <w:r w:rsidRPr="00C44CD0">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C44CD0">
        <w:rPr>
          <w:rFonts w:ascii="Verdana" w:eastAsia="Arial" w:hAnsi="Verdana" w:cs="Arial"/>
          <w:lang w:val="es-ES" w:eastAsia="es-ES" w:bidi="es-ES"/>
        </w:rPr>
        <w:lastRenderedPageBreak/>
        <w:t xml:space="preserve">momento en que estas restricciones empiezan a regir para el </w:t>
      </w:r>
      <w:proofErr w:type="gramStart"/>
      <w:r w:rsidRPr="00C44CD0">
        <w:rPr>
          <w:rFonts w:ascii="Verdana" w:eastAsia="Arial" w:hAnsi="Verdana" w:cs="Arial"/>
          <w:lang w:val="es-ES" w:eastAsia="es-ES" w:bidi="es-ES"/>
        </w:rPr>
        <w:t>Presidente</w:t>
      </w:r>
      <w:proofErr w:type="gramEnd"/>
      <w:r w:rsidRPr="00C44CD0">
        <w:rPr>
          <w:rFonts w:ascii="Verdana" w:eastAsia="Arial" w:hAnsi="Verdana" w:cs="Arial"/>
          <w:lang w:val="es-ES" w:eastAsia="es-ES" w:bidi="es-ES"/>
        </w:rPr>
        <w:t xml:space="preserve"> y el </w:t>
      </w:r>
      <w:proofErr w:type="gramStart"/>
      <w:r w:rsidRPr="00C44CD0">
        <w:rPr>
          <w:rFonts w:ascii="Verdana" w:eastAsia="Arial" w:hAnsi="Verdana" w:cs="Arial"/>
          <w:lang w:val="es-ES" w:eastAsia="es-ES" w:bidi="es-ES"/>
        </w:rPr>
        <w:t>Vicepresidente</w:t>
      </w:r>
      <w:proofErr w:type="gramEnd"/>
      <w:r w:rsidRPr="00C44CD0">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C44CD0">
        <w:rPr>
          <w:rFonts w:ascii="Verdana" w:eastAsia="Arial" w:hAnsi="Verdana" w:cs="Arial"/>
          <w:lang w:val="es-ES" w:eastAsia="es-ES" w:bidi="es-ES"/>
        </w:rPr>
        <w:t>Vicepresidente</w:t>
      </w:r>
      <w:proofErr w:type="gramEnd"/>
      <w:r w:rsidRPr="00C44CD0">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5203C19" w14:textId="77777777" w:rsidR="004876D0" w:rsidRPr="00C44CD0" w:rsidRDefault="004876D0" w:rsidP="004876D0">
      <w:pPr>
        <w:widowControl w:val="0"/>
        <w:autoSpaceDE w:val="0"/>
        <w:autoSpaceDN w:val="0"/>
        <w:spacing w:after="0" w:line="276" w:lineRule="auto"/>
        <w:jc w:val="both"/>
        <w:rPr>
          <w:rFonts w:ascii="Verdana" w:eastAsia="Arial" w:hAnsi="Verdana" w:cs="Arial"/>
          <w:lang w:val="es-ES" w:eastAsia="es-ES" w:bidi="es-ES"/>
        </w:rPr>
      </w:pPr>
    </w:p>
    <w:p w14:paraId="50AE7D46" w14:textId="77777777" w:rsidR="004876D0" w:rsidRPr="00C44CD0" w:rsidRDefault="004876D0" w:rsidP="004876D0">
      <w:pPr>
        <w:spacing w:after="120" w:line="276" w:lineRule="auto"/>
        <w:jc w:val="both"/>
        <w:rPr>
          <w:rFonts w:ascii="Verdana" w:eastAsia="Times New Roman" w:hAnsi="Verdana" w:cs="Arial"/>
          <w:bCs/>
          <w:lang w:eastAsia="es-CO"/>
        </w:rPr>
      </w:pPr>
      <w:r w:rsidRPr="00C44CD0">
        <w:rPr>
          <w:rFonts w:ascii="Verdana" w:eastAsia="Times New Roman" w:hAnsi="Verdana" w:cs="Arial"/>
          <w:bCs/>
          <w:lang w:val="es-MX" w:eastAsia="es-CO"/>
        </w:rPr>
        <w:t>iii. Para entender el momento de aplicación de estas restricciones, es preciso señalar que el vocablo “celebrar” es definido por el Diccionario Panhispánico del Español Jurídico como: “</w:t>
      </w:r>
      <w:r w:rsidRPr="00C44CD0">
        <w:rPr>
          <w:rFonts w:ascii="Verdana" w:eastAsia="Times New Roman" w:hAnsi="Verdana" w:cs="Arial"/>
          <w:bCs/>
          <w:lang w:eastAsia="es-CO"/>
        </w:rPr>
        <w:t>1. </w:t>
      </w:r>
      <w:r w:rsidRPr="00C44CD0">
        <w:rPr>
          <w:rFonts w:ascii="Verdana" w:eastAsia="Times New Roman" w:hAnsi="Verdana" w:cs="Arial"/>
          <w:bCs/>
          <w:i/>
          <w:iCs/>
          <w:lang w:eastAsia="es-CO"/>
        </w:rPr>
        <w:t>Gral.</w:t>
      </w:r>
      <w:r w:rsidRPr="00C44CD0">
        <w:rPr>
          <w:rFonts w:ascii="Verdana" w:eastAsia="Times New Roman" w:hAnsi="Verdana" w:cs="Arial"/>
          <w:bCs/>
          <w:lang w:eastAsia="es-CO"/>
        </w:rPr>
        <w:t xml:space="preserve"> Otorgar o firmar un contrato. 2. </w:t>
      </w:r>
      <w:proofErr w:type="spellStart"/>
      <w:r w:rsidRPr="00C44CD0">
        <w:rPr>
          <w:rFonts w:ascii="Verdana" w:eastAsia="Times New Roman" w:hAnsi="Verdana" w:cs="Arial"/>
          <w:bCs/>
          <w:i/>
          <w:iCs/>
          <w:lang w:eastAsia="es-CO"/>
        </w:rPr>
        <w:t>Proc</w:t>
      </w:r>
      <w:proofErr w:type="spellEnd"/>
      <w:r w:rsidRPr="00C44CD0">
        <w:rPr>
          <w:rFonts w:ascii="Verdana" w:eastAsia="Times New Roman" w:hAnsi="Verdana" w:cs="Arial"/>
          <w:bCs/>
          <w:i/>
          <w:iCs/>
          <w:lang w:eastAsia="es-CO"/>
        </w:rPr>
        <w:t>.</w:t>
      </w:r>
      <w:r w:rsidRPr="00C44CD0">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5108B960" w14:textId="77777777" w:rsidR="004876D0" w:rsidRPr="00C44CD0" w:rsidRDefault="004876D0" w:rsidP="004876D0">
      <w:pPr>
        <w:spacing w:after="120" w:line="276" w:lineRule="auto"/>
        <w:ind w:firstLine="708"/>
        <w:jc w:val="both"/>
        <w:rPr>
          <w:rFonts w:ascii="Verdana" w:eastAsia="Times New Roman" w:hAnsi="Verdana" w:cs="Arial"/>
          <w:bCs/>
          <w:lang w:val="es-ES" w:eastAsia="es-CO"/>
        </w:rPr>
      </w:pPr>
      <w:r w:rsidRPr="00C44CD0">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C44CD0">
        <w:rPr>
          <w:rFonts w:ascii="Verdana" w:eastAsia="Times New Roman" w:hAnsi="Verdana" w:cs="Arial"/>
          <w:bCs/>
          <w:lang w:val="es-ES" w:eastAsia="es-CO"/>
        </w:rPr>
        <w:t xml:space="preserve">la existencia de los contratos estatales, es decir, la producción de efectos jurídicos en los términos del artículo 1501 </w:t>
      </w:r>
      <w:r w:rsidRPr="00C44CD0">
        <w:rPr>
          <w:rFonts w:ascii="Verdana" w:eastAsia="Times New Roman" w:hAnsi="Verdana" w:cs="Arial"/>
          <w:bCs/>
          <w:i/>
          <w:lang w:val="es-ES" w:eastAsia="es-CO"/>
        </w:rPr>
        <w:t>ibidem</w:t>
      </w:r>
      <w:r w:rsidRPr="00C44CD0">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6BC74A3" w14:textId="77777777" w:rsidR="004876D0" w:rsidRPr="00C44CD0" w:rsidRDefault="004876D0" w:rsidP="004876D0">
      <w:pPr>
        <w:spacing w:after="120" w:line="276" w:lineRule="auto"/>
        <w:ind w:firstLine="708"/>
        <w:jc w:val="both"/>
        <w:rPr>
          <w:rFonts w:ascii="Verdana" w:eastAsia="Times New Roman" w:hAnsi="Verdana" w:cs="Arial"/>
          <w:bCs/>
          <w:lang w:val="es-ES" w:eastAsia="es-CO"/>
        </w:rPr>
      </w:pPr>
      <w:r w:rsidRPr="00C44CD0">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6D3661D" w14:textId="77777777" w:rsidR="004876D0" w:rsidRPr="00C44CD0" w:rsidRDefault="004876D0" w:rsidP="004876D0">
      <w:pPr>
        <w:spacing w:after="0" w:line="276" w:lineRule="auto"/>
        <w:ind w:firstLine="708"/>
        <w:jc w:val="both"/>
        <w:rPr>
          <w:rFonts w:ascii="Verdana" w:eastAsia="Times New Roman" w:hAnsi="Verdana" w:cs="Arial"/>
          <w:bCs/>
          <w:lang w:val="es-ES" w:eastAsia="es-CO"/>
        </w:rPr>
      </w:pPr>
      <w:r w:rsidRPr="00C44CD0">
        <w:rPr>
          <w:rFonts w:ascii="Verdana" w:eastAsia="Times New Roman" w:hAnsi="Verdana" w:cs="Arial"/>
          <w:bCs/>
          <w:lang w:val="es-ES" w:eastAsia="es-CO"/>
        </w:rPr>
        <w:lastRenderedPageBreak/>
        <w:t xml:space="preserve">Ahora bien, </w:t>
      </w:r>
      <w:r w:rsidRPr="00C44CD0">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C44CD0">
        <w:rPr>
          <w:rFonts w:ascii="Verdana" w:eastAsia="Times New Roman" w:hAnsi="Verdana" w:cs="Arial"/>
          <w:bCs/>
          <w:lang w:val="es-MX" w:eastAsia="es-CO"/>
        </w:rPr>
        <w:t>entrada en vigencia</w:t>
      </w:r>
      <w:proofErr w:type="gramEnd"/>
      <w:r w:rsidRPr="00C44CD0">
        <w:rPr>
          <w:rFonts w:ascii="Verdana" w:eastAsia="Times New Roman" w:hAnsi="Verdana" w:cs="Arial"/>
          <w:bCs/>
          <w:lang w:val="es-MX" w:eastAsia="es-CO"/>
        </w:rPr>
        <w:t xml:space="preserve"> de las prohibiciones anotadas, así como la cesión de </w:t>
      </w:r>
      <w:proofErr w:type="gramStart"/>
      <w:r w:rsidRPr="00C44CD0">
        <w:rPr>
          <w:rFonts w:ascii="Verdana" w:eastAsia="Times New Roman" w:hAnsi="Verdana" w:cs="Arial"/>
          <w:bCs/>
          <w:lang w:val="es-MX" w:eastAsia="es-CO"/>
        </w:rPr>
        <w:t>los mismos</w:t>
      </w:r>
      <w:proofErr w:type="gramEnd"/>
      <w:r w:rsidRPr="00C44CD0">
        <w:rPr>
          <w:rFonts w:ascii="Verdana" w:eastAsia="Times New Roman" w:hAnsi="Verdana" w:cs="Arial"/>
          <w:bCs/>
          <w:lang w:val="es-MX" w:eastAsia="es-CO"/>
        </w:rPr>
        <w:t>, pueden tener lugar en el período de aplicación de la Ley de Garantías Electorales, sin que ello haga nugatoria la restricción de la contratación directa y siempre que cumplan los principios de planeación, transparencia y responsabilidad</w:t>
      </w:r>
      <w:r w:rsidRPr="00C44CD0">
        <w:rPr>
          <w:rFonts w:ascii="Verdana" w:eastAsia="Times New Roman" w:hAnsi="Verdana" w:cs="Arial"/>
          <w:bCs/>
          <w:vertAlign w:val="superscript"/>
          <w:lang w:val="es-MX" w:eastAsia="es-CO"/>
        </w:rPr>
        <w:footnoteReference w:id="12"/>
      </w:r>
      <w:r w:rsidRPr="00C44CD0">
        <w:rPr>
          <w:rFonts w:ascii="Verdana" w:eastAsia="Times New Roman" w:hAnsi="Verdana" w:cs="Arial"/>
          <w:bCs/>
          <w:lang w:val="es-MX" w:eastAsia="es-CO"/>
        </w:rPr>
        <w:t xml:space="preserve">. </w:t>
      </w:r>
    </w:p>
    <w:p w14:paraId="4701124B" w14:textId="77777777" w:rsidR="004876D0" w:rsidRPr="00C44CD0" w:rsidRDefault="004876D0" w:rsidP="004876D0">
      <w:pPr>
        <w:spacing w:after="0" w:line="276" w:lineRule="auto"/>
        <w:ind w:firstLine="709"/>
        <w:jc w:val="both"/>
        <w:rPr>
          <w:rFonts w:ascii="Verdana" w:eastAsia="Arial" w:hAnsi="Verdana" w:cs="Arial"/>
          <w:lang w:val="es-ES" w:eastAsia="es-ES" w:bidi="es-ES"/>
        </w:rPr>
      </w:pPr>
    </w:p>
    <w:p w14:paraId="0F27A416" w14:textId="77777777" w:rsidR="004876D0" w:rsidRPr="00C44CD0" w:rsidRDefault="004876D0" w:rsidP="004876D0">
      <w:pPr>
        <w:spacing w:after="0" w:line="276" w:lineRule="auto"/>
        <w:jc w:val="both"/>
        <w:rPr>
          <w:rFonts w:ascii="Verdana" w:eastAsia="Arial" w:hAnsi="Verdana" w:cs="Arial"/>
          <w:lang w:val="es-ES" w:eastAsia="es-ES" w:bidi="es-ES"/>
        </w:rPr>
      </w:pPr>
      <w:proofErr w:type="spellStart"/>
      <w:r w:rsidRPr="00C44CD0">
        <w:rPr>
          <w:rFonts w:ascii="Verdana" w:eastAsia="Arial" w:hAnsi="Verdana" w:cs="Arial"/>
          <w:lang w:val="es-ES" w:eastAsia="es-ES" w:bidi="es-ES"/>
        </w:rPr>
        <w:t>iv</w:t>
      </w:r>
      <w:proofErr w:type="spellEnd"/>
      <w:r w:rsidRPr="00C44CD0">
        <w:rPr>
          <w:rFonts w:ascii="Verdana" w:eastAsia="Arial" w:hAnsi="Verdana" w:cs="Arial"/>
          <w:lang w:val="es-ES" w:eastAsia="es-ES" w:bidi="es-ES"/>
        </w:rPr>
        <w:t xml:space="preserve">. Teniendo en cuenta el objeto de la consulta, resulta importante analizar cada prohibición. </w:t>
      </w:r>
      <w:r w:rsidRPr="00C44CD0">
        <w:rPr>
          <w:rFonts w:ascii="Verdana" w:eastAsia="Times New Roman" w:hAnsi="Verdana" w:cs="Arial"/>
          <w:bCs/>
          <w:lang w:val="es-MX" w:eastAsia="x-none"/>
        </w:rPr>
        <w:t xml:space="preserve">El ámbito material de la prohibición contenida en el artículo 33 de la Ley 996 de 2005 está delimitado por la expresión </w:t>
      </w:r>
      <w:r w:rsidRPr="00C44CD0">
        <w:rPr>
          <w:rFonts w:ascii="Verdana" w:eastAsia="Calibri" w:hAnsi="Verdana" w:cs="Arial"/>
          <w:bCs/>
          <w:lang w:val="es-MX"/>
        </w:rPr>
        <w:t>“</w:t>
      </w:r>
      <w:r w:rsidRPr="00C44CD0">
        <w:rPr>
          <w:rFonts w:ascii="Verdana" w:eastAsia="Times New Roman" w:hAnsi="Verdana" w:cs="Arial"/>
          <w:bCs/>
          <w:lang w:val="es-MX" w:eastAsia="x-none"/>
        </w:rPr>
        <w:t>queda prohibida la contratación directa</w:t>
      </w:r>
      <w:r w:rsidRPr="00C44CD0">
        <w:rPr>
          <w:rFonts w:ascii="Verdana" w:eastAsia="Calibri" w:hAnsi="Verdana" w:cs="Arial"/>
          <w:lang w:val="es-MX"/>
        </w:rPr>
        <w:t>”</w:t>
      </w:r>
      <w:r w:rsidRPr="00C44CD0">
        <w:rPr>
          <w:rFonts w:ascii="Verdana" w:eastAsia="Times New Roman" w:hAnsi="Verdana" w:cs="Arial"/>
          <w:bCs/>
          <w:lang w:val="es-MX" w:eastAsia="x-none"/>
        </w:rPr>
        <w:t xml:space="preserve">. </w:t>
      </w:r>
      <w:r w:rsidRPr="00C44CD0">
        <w:rPr>
          <w:rFonts w:ascii="Verdana" w:eastAsia="Times New Roman" w:hAnsi="Verdana" w:cs="Arial"/>
          <w:lang w:val="es-MX" w:eastAsia="es-CO"/>
        </w:rPr>
        <w:t xml:space="preserve"> A propósito de </w:t>
      </w:r>
      <w:r w:rsidRPr="00C44CD0">
        <w:rPr>
          <w:rFonts w:ascii="Verdana" w:eastAsia="Times New Roman" w:hAnsi="Verdana" w:cs="Arial"/>
          <w:lang w:eastAsia="es-CO"/>
        </w:rPr>
        <w:t>esta restricción de la Ley de Garantías Electorales, la Sala de Consulta y Servicio Civil del Consejo de Estado ha considerado que:</w:t>
      </w:r>
    </w:p>
    <w:p w14:paraId="7ECE957D" w14:textId="77777777" w:rsidR="004876D0" w:rsidRPr="00C44CD0" w:rsidRDefault="004876D0" w:rsidP="004876D0">
      <w:pPr>
        <w:spacing w:after="0" w:line="276" w:lineRule="auto"/>
        <w:ind w:left="708" w:right="709"/>
        <w:jc w:val="both"/>
        <w:rPr>
          <w:rFonts w:ascii="Verdana" w:eastAsia="Calibri" w:hAnsi="Verdana" w:cs="Arial"/>
          <w:lang w:val="es-MX"/>
        </w:rPr>
      </w:pPr>
    </w:p>
    <w:p w14:paraId="5649D0C6" w14:textId="77777777" w:rsidR="004876D0" w:rsidRPr="00C44CD0" w:rsidRDefault="004876D0" w:rsidP="004876D0">
      <w:pPr>
        <w:spacing w:after="0" w:line="240" w:lineRule="auto"/>
        <w:ind w:left="709" w:right="709"/>
        <w:jc w:val="both"/>
        <w:rPr>
          <w:rFonts w:ascii="Verdana" w:eastAsia="Calibri" w:hAnsi="Verdana" w:cs="Arial"/>
          <w:sz w:val="20"/>
          <w:szCs w:val="20"/>
          <w:lang w:val="es-MX"/>
        </w:rPr>
      </w:pPr>
      <w:r w:rsidRPr="00C44CD0">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C44CD0">
        <w:rPr>
          <w:rFonts w:ascii="Verdana" w:eastAsia="Times New Roman" w:hAnsi="Verdana" w:cs="Arial"/>
          <w:sz w:val="20"/>
          <w:szCs w:val="20"/>
          <w:vertAlign w:val="superscript"/>
          <w:lang w:eastAsia="es-CO"/>
        </w:rPr>
        <w:footnoteReference w:id="13"/>
      </w:r>
      <w:r w:rsidRPr="00C44CD0">
        <w:rPr>
          <w:rFonts w:ascii="Verdana" w:eastAsia="Calibri" w:hAnsi="Verdana" w:cs="Arial"/>
          <w:sz w:val="20"/>
          <w:szCs w:val="20"/>
          <w:lang w:val="es-MX"/>
        </w:rPr>
        <w:t>.</w:t>
      </w:r>
    </w:p>
    <w:p w14:paraId="68DB1937" w14:textId="77777777" w:rsidR="004876D0" w:rsidRPr="00C44CD0" w:rsidRDefault="004876D0" w:rsidP="004876D0">
      <w:pPr>
        <w:spacing w:after="0" w:line="240" w:lineRule="auto"/>
        <w:ind w:left="709" w:right="709"/>
        <w:jc w:val="both"/>
        <w:rPr>
          <w:rFonts w:ascii="Verdana" w:eastAsia="Calibri" w:hAnsi="Verdana" w:cs="Arial"/>
          <w:sz w:val="20"/>
          <w:szCs w:val="20"/>
          <w:lang w:val="es-MX"/>
        </w:rPr>
      </w:pPr>
    </w:p>
    <w:p w14:paraId="3863324A" w14:textId="77777777" w:rsidR="004876D0" w:rsidRPr="00C44CD0" w:rsidRDefault="004876D0" w:rsidP="004876D0">
      <w:pPr>
        <w:spacing w:after="0" w:line="240" w:lineRule="auto"/>
        <w:ind w:left="708" w:right="709"/>
        <w:jc w:val="both"/>
        <w:rPr>
          <w:rFonts w:ascii="Verdana" w:eastAsia="Calibri" w:hAnsi="Verdana" w:cs="Arial"/>
          <w:sz w:val="20"/>
          <w:szCs w:val="20"/>
          <w:lang w:val="es-MX"/>
        </w:rPr>
      </w:pPr>
      <w:r w:rsidRPr="00C44CD0">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C44CD0">
        <w:rPr>
          <w:rFonts w:ascii="Verdana" w:eastAsia="Times New Roman" w:hAnsi="Verdana" w:cs="Arial"/>
          <w:sz w:val="20"/>
          <w:szCs w:val="20"/>
          <w:vertAlign w:val="superscript"/>
          <w:lang w:val="es-MX"/>
        </w:rPr>
        <w:footnoteReference w:id="14"/>
      </w:r>
      <w:r w:rsidRPr="00C44CD0">
        <w:rPr>
          <w:rFonts w:ascii="Verdana" w:eastAsia="Times New Roman" w:hAnsi="Verdana" w:cs="Arial"/>
          <w:sz w:val="20"/>
          <w:szCs w:val="20"/>
          <w:vertAlign w:val="superscript"/>
          <w:lang w:val="es-MX"/>
        </w:rPr>
        <w:t>.</w:t>
      </w:r>
      <w:r w:rsidRPr="00C44CD0">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C44CD0">
        <w:rPr>
          <w:rFonts w:ascii="Verdana" w:eastAsia="Times New Roman" w:hAnsi="Verdana" w:cs="Arial"/>
          <w:sz w:val="20"/>
          <w:szCs w:val="20"/>
          <w:vertAlign w:val="superscript"/>
          <w:lang w:eastAsia="es-CO"/>
        </w:rPr>
        <w:footnoteReference w:id="15"/>
      </w:r>
      <w:r w:rsidRPr="00C44CD0">
        <w:rPr>
          <w:rFonts w:ascii="Verdana" w:eastAsia="Calibri" w:hAnsi="Verdana" w:cs="Arial"/>
          <w:sz w:val="20"/>
          <w:szCs w:val="20"/>
          <w:lang w:val="es-MX"/>
        </w:rPr>
        <w:t>.</w:t>
      </w:r>
    </w:p>
    <w:p w14:paraId="508D1C85" w14:textId="77777777" w:rsidR="004876D0" w:rsidRPr="00C44CD0" w:rsidRDefault="004876D0" w:rsidP="004876D0">
      <w:pPr>
        <w:shd w:val="clear" w:color="auto" w:fill="FFFFFF"/>
        <w:spacing w:after="0" w:line="276" w:lineRule="auto"/>
        <w:ind w:firstLine="709"/>
        <w:jc w:val="both"/>
        <w:rPr>
          <w:rFonts w:ascii="Verdana" w:eastAsia="Times New Roman" w:hAnsi="Verdana" w:cs="Arial"/>
          <w:lang w:eastAsia="x-none"/>
        </w:rPr>
      </w:pPr>
    </w:p>
    <w:p w14:paraId="508BF9C6" w14:textId="77777777" w:rsidR="004876D0" w:rsidRPr="00C44CD0" w:rsidRDefault="004876D0" w:rsidP="004876D0">
      <w:pPr>
        <w:spacing w:after="120" w:line="276" w:lineRule="auto"/>
        <w:ind w:firstLine="709"/>
        <w:jc w:val="both"/>
        <w:rPr>
          <w:rFonts w:ascii="Verdana" w:eastAsia="Times New Roman" w:hAnsi="Verdana" w:cs="Arial"/>
          <w:bCs/>
          <w:lang w:eastAsia="x-none"/>
        </w:rPr>
      </w:pPr>
      <w:r w:rsidRPr="00C44CD0">
        <w:rPr>
          <w:rFonts w:ascii="Verdana" w:eastAsia="Times New Roman" w:hAnsi="Verdana" w:cs="Arial"/>
          <w:lang w:eastAsia="x-none"/>
        </w:rPr>
        <w:lastRenderedPageBreak/>
        <w:t xml:space="preserve">De acuerdo con el citado concepto, la prohibición del artículo 33 de la Ley de Garantías Electorales se refiere a </w:t>
      </w:r>
      <w:r w:rsidRPr="00C44CD0">
        <w:rPr>
          <w:rFonts w:ascii="Verdana" w:eastAsia="Times New Roman" w:hAnsi="Verdana" w:cs="Arial"/>
          <w:lang w:eastAsia="en-GB"/>
        </w:rPr>
        <w:t>“</w:t>
      </w:r>
      <w:r w:rsidRPr="00C44CD0">
        <w:rPr>
          <w:rFonts w:ascii="Verdana" w:eastAsia="Times New Roman" w:hAnsi="Verdana" w:cs="Arial"/>
          <w:lang w:eastAsia="x-none"/>
        </w:rPr>
        <w:t>cualquier sistema que no implique convocatoria pública y posibilidad de pluralidad de oferentes</w:t>
      </w:r>
      <w:r w:rsidRPr="00C44CD0">
        <w:rPr>
          <w:rFonts w:ascii="Verdana" w:eastAsia="Times New Roman" w:hAnsi="Verdana" w:cs="Arial"/>
          <w:lang w:eastAsia="en-GB"/>
        </w:rPr>
        <w:t>”</w:t>
      </w:r>
      <w:r w:rsidRPr="00C44CD0">
        <w:rPr>
          <w:rFonts w:ascii="Verdana" w:eastAsia="Times New Roman" w:hAnsi="Verdana" w:cs="Arial"/>
          <w:lang w:eastAsia="x-none"/>
        </w:rPr>
        <w:t xml:space="preserve">, por lo que excluye las demás modalidades de contratación previstas en la Ley 1150 de 2007, esto es, la licitación pública, la selección abreviada, el concurso de méritos </w:t>
      </w:r>
      <w:r w:rsidRPr="00C44CD0">
        <w:rPr>
          <w:rFonts w:ascii="Verdana" w:eastAsia="Times New Roman" w:hAnsi="Verdana" w:cs="Arial"/>
          <w:lang w:val="es-ES_tradnl" w:eastAsia="x-none"/>
        </w:rPr>
        <w:t xml:space="preserve">y la mínima cuantía </w:t>
      </w:r>
      <w:r w:rsidRPr="00C44CD0">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C44CD0">
        <w:rPr>
          <w:rFonts w:ascii="Verdana" w:eastAsia="Times New Roman" w:hAnsi="Verdana" w:cs="Arial"/>
          <w:vertAlign w:val="superscript"/>
          <w:lang w:val="en-GB" w:eastAsia="x-none"/>
        </w:rPr>
        <w:footnoteReference w:id="16"/>
      </w:r>
      <w:r w:rsidRPr="00C44CD0">
        <w:rPr>
          <w:rFonts w:ascii="Verdana" w:eastAsia="Times New Roman" w:hAnsi="Verdana" w:cs="Arial"/>
          <w:lang w:eastAsia="x-none"/>
        </w:rPr>
        <w:t xml:space="preserve"> y sistematizó las causales de contratación directa</w:t>
      </w:r>
      <w:r w:rsidRPr="00C44CD0">
        <w:rPr>
          <w:rFonts w:ascii="Verdana" w:eastAsia="Times New Roman" w:hAnsi="Verdana" w:cs="Arial"/>
          <w:vertAlign w:val="superscript"/>
          <w:lang w:val="en-GB" w:eastAsia="x-none"/>
        </w:rPr>
        <w:footnoteReference w:id="17"/>
      </w:r>
      <w:r w:rsidRPr="00C44CD0">
        <w:rPr>
          <w:rFonts w:ascii="Verdana" w:eastAsia="Times New Roman" w:hAnsi="Verdana" w:cs="Arial"/>
          <w:lang w:eastAsia="x-none"/>
        </w:rPr>
        <w:t xml:space="preserve">, </w:t>
      </w:r>
      <w:r w:rsidRPr="00C44CD0">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24FA0A81" w14:textId="77777777" w:rsidR="004876D0" w:rsidRPr="00C44CD0" w:rsidRDefault="004876D0" w:rsidP="004876D0">
      <w:pPr>
        <w:spacing w:after="120" w:line="276" w:lineRule="auto"/>
        <w:ind w:firstLine="709"/>
        <w:jc w:val="both"/>
        <w:rPr>
          <w:rFonts w:ascii="Verdana" w:eastAsia="Times New Roman" w:hAnsi="Verdana" w:cs="Arial"/>
          <w:lang w:val="es-MX" w:eastAsia="x-none"/>
        </w:rPr>
      </w:pPr>
      <w:r w:rsidRPr="00C44CD0">
        <w:rPr>
          <w:rFonts w:ascii="Verdana" w:eastAsia="Times New Roman" w:hAnsi="Verdana" w:cs="Arial"/>
          <w:lang w:eastAsia="x-none"/>
        </w:rPr>
        <w:t xml:space="preserve">De esta forma, con fundamento en la evolución de la normativa sobre la contratación pública, se ha depurado la noción de </w:t>
      </w:r>
      <w:r w:rsidRPr="00C44CD0">
        <w:rPr>
          <w:rFonts w:ascii="Verdana" w:eastAsia="Times New Roman" w:hAnsi="Verdana" w:cs="Arial"/>
          <w:lang w:eastAsia="en-GB"/>
        </w:rPr>
        <w:t>“</w:t>
      </w:r>
      <w:r w:rsidRPr="00C44CD0">
        <w:rPr>
          <w:rFonts w:ascii="Verdana" w:eastAsia="Times New Roman" w:hAnsi="Verdana" w:cs="Arial"/>
          <w:lang w:eastAsia="x-none"/>
        </w:rPr>
        <w:t>contratación directa</w:t>
      </w:r>
      <w:r w:rsidRPr="00C44CD0">
        <w:rPr>
          <w:rFonts w:ascii="Verdana" w:eastAsia="Times New Roman" w:hAnsi="Verdana" w:cs="Arial"/>
          <w:lang w:eastAsia="en-GB"/>
        </w:rPr>
        <w:t>”</w:t>
      </w:r>
      <w:r w:rsidRPr="00C44CD0">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C44CD0">
        <w:rPr>
          <w:rFonts w:ascii="Verdana" w:eastAsia="Times New Roman" w:hAnsi="Verdana" w:cs="Arial"/>
          <w:vertAlign w:val="superscript"/>
          <w:lang w:val="en-GB" w:eastAsia="x-none"/>
        </w:rPr>
        <w:footnoteReference w:id="18"/>
      </w:r>
      <w:r w:rsidRPr="00C44CD0">
        <w:rPr>
          <w:rFonts w:ascii="Verdana" w:eastAsia="Times New Roman" w:hAnsi="Verdana" w:cs="Arial"/>
          <w:lang w:eastAsia="x-none"/>
        </w:rPr>
        <w:t>, han establecido sistemas de contratación que implican convocatoria pública y participación de varios oferentes</w:t>
      </w:r>
      <w:r w:rsidRPr="00C44CD0">
        <w:rPr>
          <w:rFonts w:ascii="Verdana" w:eastAsia="Times New Roman" w:hAnsi="Verdana" w:cs="Arial"/>
          <w:lang w:eastAsia="en-GB"/>
        </w:rPr>
        <w:t>”</w:t>
      </w:r>
      <w:r w:rsidRPr="00C44CD0">
        <w:rPr>
          <w:rFonts w:ascii="Verdana" w:eastAsia="Times New Roman" w:hAnsi="Verdana" w:cs="Arial"/>
          <w:lang w:eastAsia="x-none"/>
        </w:rPr>
        <w:t xml:space="preserve">. </w:t>
      </w:r>
    </w:p>
    <w:p w14:paraId="2771CE15" w14:textId="77777777" w:rsidR="004876D0" w:rsidRPr="00C44CD0" w:rsidRDefault="004876D0" w:rsidP="004876D0">
      <w:pPr>
        <w:spacing w:after="120" w:line="276" w:lineRule="auto"/>
        <w:ind w:firstLine="709"/>
        <w:jc w:val="both"/>
        <w:rPr>
          <w:rFonts w:ascii="Verdana" w:eastAsia="Times New Roman" w:hAnsi="Verdana" w:cs="Arial"/>
          <w:bCs/>
          <w:lang w:val="es-MX" w:eastAsia="es-CO"/>
        </w:rPr>
      </w:pPr>
      <w:r w:rsidRPr="00C44CD0">
        <w:rPr>
          <w:rFonts w:ascii="Verdana" w:eastAsia="Times New Roman" w:hAnsi="Verdana" w:cs="Arial"/>
          <w:bCs/>
          <w:lang w:val="es-MX" w:eastAsia="x-none"/>
        </w:rPr>
        <w:t>E</w:t>
      </w:r>
      <w:r w:rsidRPr="00C44CD0">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sidRPr="00C44CD0">
        <w:rPr>
          <w:rFonts w:ascii="Verdana" w:eastAsia="Times New Roman" w:hAnsi="Verdana" w:cs="Arial"/>
          <w:lang w:eastAsia="x-none"/>
        </w:rPr>
        <w:lastRenderedPageBreak/>
        <w:t>inscribirse en forma previa se haga de manera pública, y que se permita la participación de una pluralidad de oferentes</w:t>
      </w:r>
      <w:r w:rsidRPr="00C44CD0">
        <w:rPr>
          <w:rFonts w:ascii="Verdana" w:eastAsia="Times New Roman" w:hAnsi="Verdana" w:cs="Arial"/>
          <w:vertAlign w:val="superscript"/>
          <w:lang w:eastAsia="x-none"/>
        </w:rPr>
        <w:footnoteReference w:id="19"/>
      </w:r>
      <w:r w:rsidRPr="00C44CD0">
        <w:rPr>
          <w:rFonts w:ascii="Verdana" w:eastAsia="Times New Roman" w:hAnsi="Verdana" w:cs="Arial"/>
          <w:lang w:eastAsia="x-none"/>
        </w:rPr>
        <w:t xml:space="preserve">. </w:t>
      </w:r>
    </w:p>
    <w:p w14:paraId="53FBBF97" w14:textId="77777777" w:rsidR="004876D0" w:rsidRPr="00C44CD0" w:rsidRDefault="004876D0" w:rsidP="004876D0">
      <w:pPr>
        <w:spacing w:after="120" w:line="276" w:lineRule="auto"/>
        <w:ind w:firstLine="709"/>
        <w:jc w:val="both"/>
        <w:rPr>
          <w:rFonts w:ascii="Verdana" w:eastAsia="Times New Roman" w:hAnsi="Verdana" w:cs="Arial"/>
          <w:bCs/>
          <w:lang w:val="es-MX" w:eastAsia="es-CO"/>
        </w:rPr>
      </w:pPr>
      <w:r w:rsidRPr="00C44CD0">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7BF1D407" w14:textId="77777777" w:rsidR="004876D0" w:rsidRPr="00C44CD0" w:rsidRDefault="004876D0" w:rsidP="004876D0">
      <w:pPr>
        <w:spacing w:after="120" w:line="276" w:lineRule="auto"/>
        <w:ind w:firstLine="709"/>
        <w:jc w:val="both"/>
        <w:rPr>
          <w:rFonts w:ascii="Verdana" w:eastAsia="Times New Roman" w:hAnsi="Verdana" w:cs="Arial"/>
          <w:bCs/>
          <w:lang w:val="es-MX" w:eastAsia="x-none"/>
        </w:rPr>
      </w:pPr>
      <w:r w:rsidRPr="00C44CD0">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44CD0">
        <w:rPr>
          <w:rFonts w:ascii="Verdana" w:eastAsia="Times New Roman" w:hAnsi="Verdana" w:cs="Arial"/>
          <w:vertAlign w:val="superscript"/>
          <w:lang w:eastAsia="x-none"/>
        </w:rPr>
        <w:footnoteReference w:id="20"/>
      </w:r>
      <w:r w:rsidRPr="00C44CD0">
        <w:rPr>
          <w:rFonts w:ascii="Verdana" w:eastAsia="Times New Roman" w:hAnsi="Verdana" w:cs="Arial"/>
          <w:bCs/>
          <w:lang w:val="es-MX" w:eastAsia="x-none"/>
        </w:rPr>
        <w:t>.</w:t>
      </w:r>
      <w:r w:rsidRPr="00C44CD0">
        <w:rPr>
          <w:rFonts w:ascii="Verdana" w:eastAsia="Times New Roman" w:hAnsi="Verdana" w:cs="Arial"/>
          <w:vertAlign w:val="superscript"/>
          <w:lang w:val="es-MX" w:eastAsia="x-none"/>
        </w:rPr>
        <w:t xml:space="preserve"> </w:t>
      </w:r>
    </w:p>
    <w:p w14:paraId="075FF806" w14:textId="77777777" w:rsidR="004876D0" w:rsidRPr="00C44CD0" w:rsidRDefault="004876D0" w:rsidP="004876D0">
      <w:pPr>
        <w:spacing w:after="120" w:line="276" w:lineRule="auto"/>
        <w:ind w:firstLine="709"/>
        <w:jc w:val="both"/>
        <w:rPr>
          <w:rFonts w:ascii="Verdana" w:eastAsia="Times New Roman" w:hAnsi="Verdana" w:cs="Arial"/>
          <w:lang w:eastAsia="x-none"/>
        </w:rPr>
      </w:pPr>
      <w:r w:rsidRPr="00C44CD0">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C44CD0">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7BAABD1" w14:textId="77777777" w:rsidR="004876D0" w:rsidRPr="00C44CD0" w:rsidRDefault="004876D0" w:rsidP="004876D0">
      <w:pPr>
        <w:spacing w:after="120" w:line="276" w:lineRule="auto"/>
        <w:ind w:firstLine="709"/>
        <w:jc w:val="both"/>
        <w:rPr>
          <w:rFonts w:ascii="Verdana" w:eastAsia="Times New Roman" w:hAnsi="Verdana" w:cs="Arial"/>
          <w:bCs/>
          <w:lang w:val="es-MX" w:eastAsia="es-CO"/>
        </w:rPr>
      </w:pPr>
      <w:r w:rsidRPr="00C44CD0">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w:t>
      </w:r>
      <w:r w:rsidRPr="00C44CD0">
        <w:rPr>
          <w:rFonts w:ascii="Verdana" w:eastAsia="Times New Roman" w:hAnsi="Verdana" w:cs="Arial"/>
          <w:bCs/>
          <w:lang w:val="es-MX" w:eastAsia="x-none"/>
        </w:rPr>
        <w:lastRenderedPageBreak/>
        <w:t>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44CD0">
        <w:rPr>
          <w:rFonts w:ascii="Verdana" w:eastAsia="Times New Roman" w:hAnsi="Verdana" w:cs="Arial"/>
          <w:bCs/>
          <w:lang w:val="es-MX" w:eastAsia="es-CO"/>
        </w:rPr>
        <w:t xml:space="preserve"> </w:t>
      </w:r>
    </w:p>
    <w:p w14:paraId="1F5E15CB" w14:textId="77777777" w:rsidR="004876D0" w:rsidRPr="00C44CD0" w:rsidRDefault="004876D0" w:rsidP="004876D0">
      <w:pPr>
        <w:spacing w:after="0" w:line="276" w:lineRule="auto"/>
        <w:ind w:firstLine="709"/>
        <w:jc w:val="both"/>
        <w:rPr>
          <w:rFonts w:ascii="Verdana" w:eastAsia="Times New Roman" w:hAnsi="Verdana" w:cs="Arial"/>
          <w:bCs/>
          <w:lang w:val="es-MX" w:eastAsia="x-none"/>
        </w:rPr>
      </w:pPr>
      <w:r w:rsidRPr="00C44CD0">
        <w:rPr>
          <w:rFonts w:ascii="Verdana" w:eastAsia="Times New Roman" w:hAnsi="Verdana" w:cs="Arial"/>
          <w:bCs/>
          <w:lang w:val="es-MX" w:eastAsia="es-CO"/>
        </w:rPr>
        <w:t>Conforme a dichas causales,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sidRPr="00C44CD0">
        <w:rPr>
          <w:rFonts w:ascii="Verdana" w:eastAsia="Times New Roman" w:hAnsi="Verdana" w:cs="Arial"/>
          <w:bCs/>
          <w:lang w:val="es-MX" w:eastAsia="x-none"/>
        </w:rPr>
        <w:t xml:space="preserve"> 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C44CD0">
        <w:rPr>
          <w:rFonts w:ascii="Verdana" w:eastAsia="Calibri" w:hAnsi="Verdana" w:cs="Arial"/>
          <w:vertAlign w:val="superscript"/>
          <w:lang w:val="es-MX"/>
        </w:rPr>
        <w:footnoteReference w:id="21"/>
      </w:r>
      <w:r w:rsidRPr="00C44CD0">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776CE4E" w14:textId="77777777" w:rsidR="004876D0" w:rsidRPr="00C44CD0" w:rsidRDefault="004876D0" w:rsidP="004876D0">
      <w:pPr>
        <w:spacing w:after="0" w:line="276" w:lineRule="auto"/>
        <w:jc w:val="both"/>
        <w:rPr>
          <w:rFonts w:ascii="Verdana" w:eastAsia="Times New Roman" w:hAnsi="Verdana" w:cs="Arial"/>
          <w:bCs/>
          <w:lang w:val="es-MX" w:eastAsia="x-none"/>
        </w:rPr>
      </w:pPr>
    </w:p>
    <w:p w14:paraId="23D58411" w14:textId="77777777" w:rsidR="004876D0" w:rsidRPr="00C44CD0" w:rsidRDefault="004876D0" w:rsidP="004876D0">
      <w:pPr>
        <w:spacing w:after="0" w:line="276" w:lineRule="auto"/>
        <w:jc w:val="both"/>
        <w:rPr>
          <w:rFonts w:ascii="Verdana" w:eastAsia="Times New Roman" w:hAnsi="Verdana" w:cs="Arial"/>
          <w:bCs/>
          <w:lang w:val="es-MX" w:eastAsia="x-none"/>
        </w:rPr>
      </w:pPr>
      <w:r w:rsidRPr="00C44CD0">
        <w:rPr>
          <w:rFonts w:ascii="Verdana" w:eastAsia="Times New Roman" w:hAnsi="Verdana" w:cs="Arial"/>
          <w:bCs/>
          <w:lang w:val="es-MX" w:eastAsia="x-none"/>
        </w:rPr>
        <w:t>v.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C44CD0">
        <w:rPr>
          <w:rFonts w:ascii="Verdana" w:eastAsia="Calibri" w:hAnsi="Verdana" w:cs="Arial"/>
          <w:sz w:val="24"/>
          <w:lang w:val="es-MX"/>
        </w:rPr>
        <w:t xml:space="preserve"> </w:t>
      </w:r>
      <w:r w:rsidRPr="00C44CD0">
        <w:rPr>
          <w:rFonts w:ascii="Verdana" w:eastAsia="Times New Roman" w:hAnsi="Verdana" w:cs="Arial"/>
          <w:bCs/>
          <w:lang w:val="es-MX" w:eastAsia="x-none"/>
        </w:rPr>
        <w:t>En efecto, tal como lo ha sostenido el Consejo de Estado, el vocablo “todos” utilizado por el legislador comprende</w:t>
      </w:r>
      <w:r w:rsidRPr="00C44CD0">
        <w:rPr>
          <w:rFonts w:ascii="Verdana" w:eastAsia="Calibri" w:hAnsi="Verdana" w:cs="Arial"/>
          <w:sz w:val="24"/>
          <w:lang w:val="es-MX"/>
        </w:rPr>
        <w:t xml:space="preserve"> </w:t>
      </w:r>
      <w:r w:rsidRPr="00C44CD0">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Al respecto, </w:t>
      </w:r>
      <w:r w:rsidRPr="00C44CD0">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51385239" w14:textId="77777777" w:rsidR="004876D0" w:rsidRPr="00C44CD0" w:rsidRDefault="004876D0" w:rsidP="004876D0">
      <w:pPr>
        <w:spacing w:after="0" w:line="276" w:lineRule="auto"/>
        <w:jc w:val="both"/>
        <w:rPr>
          <w:rFonts w:ascii="Verdana" w:eastAsia="Times New Roman" w:hAnsi="Verdana" w:cs="Arial"/>
          <w:bCs/>
          <w:lang w:val="es-MX" w:eastAsia="x-none"/>
        </w:rPr>
      </w:pPr>
    </w:p>
    <w:p w14:paraId="78B72A92" w14:textId="77777777" w:rsidR="004876D0" w:rsidRPr="00C44CD0" w:rsidRDefault="004876D0" w:rsidP="004876D0">
      <w:pPr>
        <w:spacing w:after="0" w:line="240" w:lineRule="auto"/>
        <w:ind w:left="709" w:right="709"/>
        <w:jc w:val="both"/>
        <w:rPr>
          <w:rFonts w:ascii="Verdana" w:eastAsia="Times New Roman" w:hAnsi="Verdana" w:cs="Arial"/>
          <w:bCs/>
          <w:sz w:val="20"/>
          <w:szCs w:val="20"/>
          <w:lang w:val="es-MX" w:eastAsia="es-CO"/>
        </w:rPr>
      </w:pPr>
      <w:r w:rsidRPr="00C44CD0">
        <w:rPr>
          <w:rFonts w:ascii="Verdana" w:eastAsia="Times New Roman" w:hAnsi="Verdana" w:cs="Arial"/>
          <w:bCs/>
          <w:sz w:val="20"/>
          <w:szCs w:val="20"/>
          <w:lang w:val="es-MX" w:eastAsia="x-none"/>
        </w:rPr>
        <w:lastRenderedPageBreak/>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C44CD0">
        <w:rPr>
          <w:rFonts w:ascii="Verdana" w:eastAsia="Times New Roman" w:hAnsi="Verdana" w:cs="Arial"/>
          <w:bCs/>
          <w:sz w:val="20"/>
          <w:szCs w:val="20"/>
          <w:vertAlign w:val="superscript"/>
          <w:lang w:val="es-MX" w:eastAsia="x-none"/>
        </w:rPr>
        <w:footnoteReference w:id="22"/>
      </w:r>
      <w:r w:rsidRPr="00C44CD0">
        <w:rPr>
          <w:rFonts w:ascii="Verdana" w:eastAsia="Times New Roman" w:hAnsi="Verdana" w:cs="Arial"/>
          <w:bCs/>
          <w:sz w:val="20"/>
          <w:szCs w:val="20"/>
          <w:lang w:val="es-MX" w:eastAsia="x-none"/>
        </w:rPr>
        <w:t>.</w:t>
      </w:r>
      <w:r w:rsidRPr="00C44CD0">
        <w:rPr>
          <w:rFonts w:ascii="Verdana" w:eastAsia="Times New Roman" w:hAnsi="Verdana" w:cs="Arial"/>
          <w:bCs/>
          <w:sz w:val="20"/>
          <w:szCs w:val="20"/>
          <w:lang w:val="es-MX" w:eastAsia="es-CO"/>
        </w:rPr>
        <w:t xml:space="preserve"> </w:t>
      </w:r>
    </w:p>
    <w:p w14:paraId="25E92963" w14:textId="77777777" w:rsidR="004876D0" w:rsidRPr="00C44CD0" w:rsidRDefault="004876D0" w:rsidP="004876D0">
      <w:pPr>
        <w:spacing w:after="0" w:line="276" w:lineRule="auto"/>
        <w:ind w:firstLine="708"/>
        <w:jc w:val="both"/>
        <w:rPr>
          <w:rFonts w:ascii="Verdana" w:eastAsia="Times New Roman" w:hAnsi="Verdana" w:cs="Arial"/>
          <w:bCs/>
          <w:lang w:val="es-MX" w:eastAsia="es-CO"/>
        </w:rPr>
      </w:pPr>
    </w:p>
    <w:p w14:paraId="7CE588A9" w14:textId="77777777" w:rsidR="004876D0" w:rsidRPr="00C44CD0" w:rsidRDefault="004876D0" w:rsidP="004876D0">
      <w:pPr>
        <w:spacing w:after="0" w:line="276" w:lineRule="auto"/>
        <w:ind w:firstLine="708"/>
        <w:jc w:val="both"/>
        <w:rPr>
          <w:rFonts w:ascii="Verdana" w:eastAsia="Calibri" w:hAnsi="Verdana" w:cs="Arial"/>
          <w:lang w:val="es-MX"/>
        </w:rPr>
      </w:pPr>
      <w:r w:rsidRPr="00C44CD0">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44CD0">
        <w:rPr>
          <w:rFonts w:ascii="Verdana" w:eastAsia="Calibri" w:hAnsi="Verdana" w:cs="Arial"/>
          <w:vertAlign w:val="superscript"/>
          <w:lang w:val="es-MX"/>
        </w:rPr>
        <w:footnoteReference w:id="23"/>
      </w:r>
      <w:r w:rsidRPr="00C44CD0">
        <w:rPr>
          <w:rFonts w:ascii="Verdana" w:eastAsia="Times New Roman" w:hAnsi="Verdana" w:cs="Arial"/>
          <w:bCs/>
          <w:lang w:val="es-MX" w:eastAsia="x-none"/>
        </w:rPr>
        <w:t>.</w:t>
      </w:r>
      <w:r w:rsidRPr="00C44CD0">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CB8C976" w14:textId="77777777" w:rsidR="004876D0" w:rsidRPr="00C44CD0" w:rsidRDefault="004876D0" w:rsidP="004876D0">
      <w:pPr>
        <w:spacing w:after="0" w:line="276" w:lineRule="auto"/>
        <w:jc w:val="both"/>
        <w:rPr>
          <w:rFonts w:ascii="Verdana" w:eastAsia="Calibri" w:hAnsi="Verdana" w:cs="Arial"/>
          <w:lang w:val="es-MX"/>
        </w:rPr>
      </w:pPr>
    </w:p>
    <w:p w14:paraId="28157655" w14:textId="77777777" w:rsidR="004876D0" w:rsidRPr="00C44CD0" w:rsidRDefault="004876D0" w:rsidP="004876D0">
      <w:pPr>
        <w:spacing w:after="0" w:line="240" w:lineRule="auto"/>
        <w:ind w:left="708" w:right="709"/>
        <w:jc w:val="both"/>
        <w:rPr>
          <w:rFonts w:ascii="Verdana" w:eastAsia="Calibri" w:hAnsi="Verdana" w:cs="Arial"/>
          <w:sz w:val="20"/>
          <w:szCs w:val="20"/>
          <w:lang w:val="es-MX"/>
        </w:rPr>
      </w:pPr>
      <w:r w:rsidRPr="00C44CD0">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w:t>
      </w:r>
      <w:r w:rsidRPr="00C44CD0">
        <w:rPr>
          <w:rFonts w:ascii="Verdana" w:eastAsia="Calibri" w:hAnsi="Verdana" w:cs="Arial"/>
          <w:sz w:val="20"/>
          <w:szCs w:val="20"/>
          <w:lang w:val="es-MX"/>
        </w:rPr>
        <w:lastRenderedPageBreak/>
        <w:t>existentes, pues significaría la parálisis de una actividad propia de la administración, que incluso podría desconocer los derechos fundamentales.</w:t>
      </w:r>
    </w:p>
    <w:p w14:paraId="5A6952C6" w14:textId="77777777" w:rsidR="004876D0" w:rsidRPr="00C44CD0" w:rsidRDefault="004876D0" w:rsidP="004876D0">
      <w:pPr>
        <w:spacing w:after="0" w:line="240" w:lineRule="auto"/>
        <w:ind w:right="709"/>
        <w:jc w:val="both"/>
        <w:rPr>
          <w:rFonts w:ascii="Verdana" w:eastAsia="Calibri" w:hAnsi="Verdana" w:cs="Arial"/>
          <w:sz w:val="20"/>
          <w:szCs w:val="20"/>
          <w:lang w:val="es-MX"/>
        </w:rPr>
      </w:pPr>
      <w:r w:rsidRPr="00C44CD0">
        <w:rPr>
          <w:rFonts w:ascii="Verdana" w:eastAsia="Calibri" w:hAnsi="Verdana" w:cs="Arial"/>
          <w:sz w:val="20"/>
          <w:szCs w:val="20"/>
          <w:lang w:val="es-MX"/>
        </w:rPr>
        <w:tab/>
      </w:r>
    </w:p>
    <w:p w14:paraId="1599631A" w14:textId="77777777" w:rsidR="004876D0" w:rsidRPr="00C44CD0" w:rsidRDefault="004876D0" w:rsidP="004876D0">
      <w:pPr>
        <w:spacing w:after="0" w:line="240" w:lineRule="auto"/>
        <w:ind w:left="708" w:right="709"/>
        <w:jc w:val="both"/>
        <w:rPr>
          <w:rFonts w:ascii="Verdana" w:eastAsia="Calibri" w:hAnsi="Verdana" w:cs="Arial"/>
          <w:sz w:val="20"/>
          <w:szCs w:val="20"/>
          <w:lang w:val="es-MX"/>
        </w:rPr>
      </w:pPr>
      <w:r w:rsidRPr="00C44CD0">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C44CD0">
        <w:rPr>
          <w:rFonts w:ascii="Verdana" w:eastAsia="Calibri" w:hAnsi="Verdana" w:cs="Arial"/>
          <w:sz w:val="20"/>
          <w:szCs w:val="20"/>
          <w:vertAlign w:val="superscript"/>
          <w:lang w:val="es-MX"/>
        </w:rPr>
        <w:footnoteReference w:id="24"/>
      </w:r>
      <w:r w:rsidRPr="00C44CD0">
        <w:rPr>
          <w:rFonts w:ascii="Verdana" w:eastAsia="Times New Roman" w:hAnsi="Verdana" w:cs="Arial"/>
          <w:bCs/>
          <w:sz w:val="20"/>
          <w:szCs w:val="20"/>
          <w:lang w:val="es-MX" w:eastAsia="x-none"/>
        </w:rPr>
        <w:t>.</w:t>
      </w:r>
    </w:p>
    <w:p w14:paraId="387BA8DF" w14:textId="77777777" w:rsidR="004876D0" w:rsidRPr="00C44CD0" w:rsidRDefault="004876D0" w:rsidP="004876D0">
      <w:pPr>
        <w:spacing w:after="0" w:line="276" w:lineRule="auto"/>
        <w:jc w:val="both"/>
        <w:rPr>
          <w:rFonts w:ascii="Verdana" w:eastAsia="Calibri" w:hAnsi="Verdana" w:cs="Arial"/>
          <w:lang w:val="es-MX"/>
        </w:rPr>
      </w:pPr>
    </w:p>
    <w:p w14:paraId="7B0A5756" w14:textId="77777777" w:rsidR="004876D0" w:rsidRPr="00C44CD0" w:rsidRDefault="004876D0" w:rsidP="004876D0">
      <w:pPr>
        <w:spacing w:after="120" w:line="276" w:lineRule="auto"/>
        <w:ind w:firstLine="709"/>
        <w:jc w:val="both"/>
        <w:rPr>
          <w:rFonts w:ascii="Verdana" w:eastAsia="Times New Roman" w:hAnsi="Verdana" w:cs="Arial"/>
          <w:lang w:eastAsia="es-CO"/>
        </w:rPr>
      </w:pPr>
      <w:r w:rsidRPr="00C44CD0">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w:t>
      </w:r>
      <w:r w:rsidRPr="00C44CD0">
        <w:rPr>
          <w:rFonts w:ascii="Verdana" w:eastAsia="Times New Roman" w:hAnsi="Verdana" w:cs="Arial"/>
          <w:bCs/>
          <w:lang w:val="es-MX" w:eastAsia="x-none"/>
        </w:rPr>
        <w:t>establecimientos de crédito, las sociedades de servicios financieros y las entidades aseguradoras</w:t>
      </w:r>
      <w:r w:rsidRPr="00C44CD0">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C44CD0">
        <w:rPr>
          <w:rFonts w:ascii="Verdana" w:eastAsia="Calibri" w:hAnsi="Verdana" w:cs="Arial"/>
          <w:vertAlign w:val="superscript"/>
          <w:lang w:val="es-MX"/>
        </w:rPr>
        <w:footnoteReference w:id="25"/>
      </w:r>
      <w:r w:rsidRPr="00C44CD0">
        <w:rPr>
          <w:rFonts w:ascii="Verdana" w:eastAsia="Calibri" w:hAnsi="Verdana" w:cs="Arial"/>
          <w:lang w:val="es-MX"/>
        </w:rPr>
        <w:t>.</w:t>
      </w:r>
      <w:r w:rsidRPr="00C44CD0">
        <w:rPr>
          <w:rFonts w:ascii="Verdana" w:eastAsia="Times New Roman" w:hAnsi="Verdana" w:cs="Arial"/>
          <w:lang w:val="es-MX" w:eastAsia="es-CO"/>
        </w:rPr>
        <w:t xml:space="preserve"> </w:t>
      </w:r>
    </w:p>
    <w:p w14:paraId="56C586C3" w14:textId="77777777" w:rsidR="004876D0" w:rsidRPr="00C44CD0" w:rsidRDefault="004876D0" w:rsidP="004876D0">
      <w:pPr>
        <w:spacing w:after="0" w:line="276" w:lineRule="auto"/>
        <w:ind w:firstLine="709"/>
        <w:jc w:val="both"/>
        <w:rPr>
          <w:rFonts w:ascii="Verdana" w:eastAsia="Times New Roman" w:hAnsi="Verdana" w:cs="Arial"/>
          <w:bCs/>
          <w:lang w:val="es-MX" w:eastAsia="x-none"/>
        </w:rPr>
      </w:pPr>
      <w:r w:rsidRPr="00C44CD0">
        <w:rPr>
          <w:rFonts w:ascii="Verdana" w:eastAsia="Times New Roman" w:hAnsi="Verdana" w:cs="Arial"/>
          <w:lang w:eastAsia="es-CO"/>
        </w:rPr>
        <w:t>Sin perjuicio de estos pronunciamientos de la Sala de Consulta y Servicio Civil</w:t>
      </w:r>
      <w:r w:rsidRPr="00C44CD0">
        <w:rPr>
          <w:rFonts w:ascii="Verdana" w:eastAsia="Calibri" w:hAnsi="Verdana" w:cs="Arial"/>
          <w:lang w:val="es-MX"/>
        </w:rPr>
        <w:t xml:space="preserve">, como la ha señalado esa misma Corporación, la restricción prevista en la Ley 996 de 2005 </w:t>
      </w:r>
      <w:r w:rsidRPr="00C44CD0">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w:t>
      </w:r>
      <w:r w:rsidRPr="00C44CD0">
        <w:rPr>
          <w:rFonts w:ascii="Verdana" w:eastAsia="Times New Roman" w:hAnsi="Verdana" w:cs="Arial"/>
          <w:bCs/>
          <w:lang w:val="es-MX" w:eastAsia="x-none"/>
        </w:rPr>
        <w:lastRenderedPageBreak/>
        <w:t>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72CFBEE1" w14:textId="77777777" w:rsidR="004876D0" w:rsidRPr="00C44CD0" w:rsidRDefault="004876D0" w:rsidP="004876D0">
      <w:pPr>
        <w:spacing w:after="0" w:line="276" w:lineRule="auto"/>
        <w:ind w:firstLine="709"/>
        <w:jc w:val="both"/>
        <w:rPr>
          <w:rFonts w:ascii="Verdana" w:eastAsia="Times New Roman" w:hAnsi="Verdana" w:cs="Arial"/>
          <w:bCs/>
          <w:lang w:val="es-MX" w:eastAsia="x-none"/>
        </w:rPr>
      </w:pPr>
    </w:p>
    <w:p w14:paraId="26DAA7FD" w14:textId="77777777" w:rsidR="004876D0" w:rsidRPr="00C44CD0" w:rsidRDefault="004876D0" w:rsidP="004876D0">
      <w:pPr>
        <w:spacing w:after="120" w:line="276" w:lineRule="auto"/>
        <w:jc w:val="both"/>
        <w:rPr>
          <w:rFonts w:ascii="Verdana" w:eastAsia="Times New Roman" w:hAnsi="Verdana" w:cs="Arial"/>
          <w:bCs/>
          <w:lang w:val="es-MX" w:eastAsia="x-none"/>
        </w:rPr>
      </w:pPr>
      <w:r w:rsidRPr="00C44CD0">
        <w:rPr>
          <w:rFonts w:ascii="Verdana" w:eastAsia="Times New Roman" w:hAnsi="Verdana" w:cs="Arial"/>
          <w:bCs/>
          <w:lang w:val="es-MX" w:eastAsia="x-none"/>
        </w:rPr>
        <w:t xml:space="preserve">vi. Ahora bien, para efectos de dar respuesta concreta al problema jurídico planteado, es pertinente precisar el momento en el cual se realiza el perfeccionamiento del contrato en el SECOP II. En primer lugar, es importante destacar que </w:t>
      </w:r>
      <w:r w:rsidRPr="00C44CD0">
        <w:rPr>
          <w:rFonts w:ascii="Verdana" w:eastAsia="Calibri" w:hAnsi="Verdana" w:cs="Arial"/>
          <w:color w:val="000000" w:themeColor="text1"/>
        </w:rPr>
        <w:t xml:space="preserve">el SECOP II es una plataforma transaccional, que permite gestionar en línea todos los procedimientos de contratación, </w:t>
      </w:r>
      <w:r w:rsidRPr="00C44CD0">
        <w:rPr>
          <w:rFonts w:ascii="Verdana" w:eastAsia="Calibri" w:hAnsi="Verdana" w:cs="Arial"/>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2D6B5E44" w14:textId="77777777" w:rsidR="004876D0" w:rsidRPr="00C44CD0" w:rsidRDefault="004876D0" w:rsidP="004876D0">
      <w:pPr>
        <w:spacing w:after="120" w:line="276" w:lineRule="auto"/>
        <w:ind w:firstLine="567"/>
        <w:jc w:val="both"/>
        <w:rPr>
          <w:rFonts w:ascii="Verdana" w:eastAsia="Calibri" w:hAnsi="Verdana" w:cs="Arial"/>
          <w:lang w:val="es-ES"/>
        </w:rPr>
      </w:pPr>
      <w:r w:rsidRPr="00C44CD0">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0B0C29E1" w14:textId="77777777" w:rsidR="004876D0" w:rsidRPr="00C44CD0" w:rsidRDefault="004876D0" w:rsidP="004876D0">
      <w:pPr>
        <w:spacing w:after="120" w:line="276" w:lineRule="auto"/>
        <w:ind w:firstLine="567"/>
        <w:jc w:val="both"/>
        <w:rPr>
          <w:rFonts w:ascii="Verdana" w:eastAsia="Calibri" w:hAnsi="Verdana" w:cs="Arial"/>
          <w:lang w:val="es-ES"/>
        </w:rPr>
      </w:pPr>
      <w:r w:rsidRPr="00C44CD0">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w:t>
      </w:r>
      <w:r w:rsidRPr="00C44CD0">
        <w:rPr>
          <w:rFonts w:ascii="Verdana" w:eastAsia="Calibri" w:hAnsi="Verdana" w:cs="Arial"/>
          <w:lang w:val="es-ES"/>
        </w:rPr>
        <w:lastRenderedPageBreak/>
        <w:t xml:space="preserve">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6CAF41AD" w14:textId="77777777" w:rsidR="004876D0" w:rsidRPr="00C44CD0" w:rsidRDefault="004876D0" w:rsidP="004876D0">
      <w:pPr>
        <w:spacing w:after="120" w:line="276" w:lineRule="auto"/>
        <w:ind w:firstLine="567"/>
        <w:jc w:val="both"/>
        <w:rPr>
          <w:rFonts w:ascii="Verdana" w:eastAsia="Calibri" w:hAnsi="Verdana" w:cs="Arial"/>
          <w:lang w:val="es-ES"/>
        </w:rPr>
      </w:pPr>
      <w:r w:rsidRPr="00C44CD0">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1A7778BF" w14:textId="77777777" w:rsidR="004876D0" w:rsidRPr="00C44CD0" w:rsidRDefault="004876D0" w:rsidP="004876D0">
      <w:pPr>
        <w:spacing w:after="120" w:line="276" w:lineRule="auto"/>
        <w:ind w:firstLine="567"/>
        <w:jc w:val="both"/>
        <w:rPr>
          <w:rFonts w:ascii="Verdana" w:eastAsia="Calibri" w:hAnsi="Verdana" w:cs="Arial"/>
          <w:lang w:val="es-ES"/>
        </w:rPr>
      </w:pPr>
      <w:r w:rsidRPr="00C44CD0">
        <w:rPr>
          <w:rFonts w:ascii="Verdana" w:eastAsia="Calibri" w:hAnsi="Verdana" w:cs="Arial"/>
          <w:lang w:val="es-ES"/>
        </w:rPr>
        <w:t>El documento “Procesos de Contratación: Gestión Contractual en el SECOP II” expedido por esta entidad, detallas los pasos para aprobación del contrato en el SECOP II</w:t>
      </w:r>
      <w:r w:rsidRPr="00C44CD0">
        <w:rPr>
          <w:rFonts w:ascii="Verdana" w:hAnsi="Verdana"/>
          <w:vertAlign w:val="superscript"/>
          <w:lang w:val="es-ES"/>
        </w:rPr>
        <w:footnoteReference w:id="26"/>
      </w:r>
      <w:r w:rsidRPr="00C44CD0">
        <w:rPr>
          <w:rFonts w:ascii="Verdana" w:eastAsia="Calibri" w:hAnsi="Verdana" w:cs="Arial"/>
          <w:lang w:val="es-ES"/>
        </w:rPr>
        <w:t xml:space="preserve">. Específicamente, el literal III establece el procedimiento a seguir para aprobar o rechazar el contrato, según el cual el proveedor, </w:t>
      </w:r>
      <w:r w:rsidRPr="00C44CD0">
        <w:rPr>
          <w:rFonts w:ascii="Verdana" w:eastAsia="Calibri" w:hAnsi="Verdana" w:cs="Arial"/>
        </w:rPr>
        <w:t>una vez revise el contrato electrónico puede “Aprobar” o “Rechazar” el contrato. En caso de estar de acuerdo con las condiciones establecidas por la Entidad Estatal, se debe dar clic en “Aprobar contrato” y automáticamente el SECOP II guarda los cambios y el estado del contrato cambia a “Firmado y enviado a la Entidad Estatal”.</w:t>
      </w:r>
      <w:r w:rsidRPr="00C44CD0">
        <w:rPr>
          <w:rFonts w:ascii="Verdana" w:eastAsia="Calibri" w:hAnsi="Verdana" w:cs="Arial"/>
          <w:lang w:val="es-ES"/>
        </w:rPr>
        <w:t xml:space="preserve"> Una vez la Entidad Estatal reciba el contrato electrónico aprobado por el proveedor debe publicarlo y a “partir de este momento el contrato queda para conocimiento del público en general, su estado cambia a “Firmado” para que se cumplan con los requisitos para iniciar la ejecución del contrato”. </w:t>
      </w:r>
    </w:p>
    <w:p w14:paraId="745FE444" w14:textId="77777777" w:rsidR="004876D0" w:rsidRPr="00C44CD0" w:rsidRDefault="004876D0" w:rsidP="004876D0">
      <w:pPr>
        <w:spacing w:after="120" w:line="276" w:lineRule="auto"/>
        <w:ind w:firstLine="567"/>
        <w:jc w:val="both"/>
        <w:rPr>
          <w:rFonts w:ascii="Verdana" w:eastAsia="Calibri" w:hAnsi="Verdana" w:cs="Arial"/>
          <w:lang w:val="es-ES"/>
        </w:rPr>
      </w:pPr>
      <w:r w:rsidRPr="00C44CD0">
        <w:rPr>
          <w:rFonts w:ascii="Verdana" w:eastAsia="Calibri" w:hAnsi="Verdana" w:cs="Arial"/>
          <w:lang w:val="es-ES"/>
        </w:rPr>
        <w:t xml:space="preserve"> Ahora bien, conforme lo señala “Guía SECOP II – Gestión Contractual Para Entidades Estatales</w:t>
      </w:r>
      <w:r w:rsidRPr="00C44CD0">
        <w:rPr>
          <w:rStyle w:val="Refdenotaalpie"/>
          <w:rFonts w:ascii="Verdana" w:eastAsia="Calibri" w:hAnsi="Verdana" w:cs="Arial"/>
          <w:lang w:val="es-ES"/>
        </w:rPr>
        <w:footnoteReference w:id="27"/>
      </w:r>
      <w:r w:rsidRPr="00C44CD0">
        <w:rPr>
          <w:rFonts w:ascii="Verdana" w:eastAsia="Calibri" w:hAnsi="Verdana" w:cs="Arial"/>
          <w:lang w:val="es-ES"/>
        </w:rPr>
        <w:t xml:space="preserve">” </w:t>
      </w:r>
      <w:r w:rsidRPr="00C44CD0">
        <w:rPr>
          <w:rFonts w:ascii="Verdana" w:eastAsia="Calibri" w:hAnsi="Verdana" w:cs="Arial"/>
        </w:rPr>
        <w:t>es imprescindible que previamente el usuario administrador de la Entidad Estatal haya configurado flujos de aprobación</w:t>
      </w:r>
      <w:r w:rsidRPr="00C44CD0">
        <w:rPr>
          <w:rStyle w:val="Refdenotaalpie"/>
          <w:rFonts w:ascii="Verdana" w:eastAsia="Calibri" w:hAnsi="Verdana" w:cs="Arial"/>
        </w:rPr>
        <w:footnoteReference w:id="28"/>
      </w:r>
      <w:r w:rsidRPr="00C44CD0">
        <w:rPr>
          <w:rFonts w:ascii="Verdana" w:eastAsia="Calibri" w:hAnsi="Verdana" w:cs="Arial"/>
        </w:rPr>
        <w:t xml:space="preserve"> en este hito del proceso, con el fin de que el contrato electrónico sea enviado al </w:t>
      </w:r>
      <w:r w:rsidRPr="00C44CD0">
        <w:rPr>
          <w:rFonts w:ascii="Verdana" w:eastAsia="Calibri" w:hAnsi="Verdana" w:cs="Arial"/>
        </w:rPr>
        <w:lastRenderedPageBreak/>
        <w:t>ordenador del gasto representante legal de la entidad para su aprobación final.</w:t>
      </w:r>
      <w:r w:rsidRPr="00C44CD0">
        <w:rPr>
          <w:rFonts w:ascii="Verdana" w:eastAsia="Calibri" w:hAnsi="Verdana" w:cs="Arial"/>
          <w:lang w:val="es-ES"/>
        </w:rPr>
        <w:t xml:space="preserve"> </w:t>
      </w:r>
      <w:r w:rsidRPr="00C44CD0">
        <w:rPr>
          <w:rFonts w:ascii="Verdana" w:eastAsia="Calibri" w:hAnsi="Verdana" w:cs="Arial"/>
        </w:rPr>
        <w:t>Una vez el ordenador del gasto de la entidad realice la aprobación el estado del contrato cambia a “Firmado” y quedará público para consulta de cualquier interesado.</w:t>
      </w:r>
    </w:p>
    <w:p w14:paraId="1DC4FD57" w14:textId="77777777" w:rsidR="004876D0" w:rsidRPr="00C44CD0" w:rsidRDefault="004876D0" w:rsidP="004876D0">
      <w:pPr>
        <w:spacing w:after="120" w:line="276" w:lineRule="auto"/>
        <w:ind w:firstLine="567"/>
        <w:jc w:val="both"/>
        <w:rPr>
          <w:rFonts w:ascii="Verdana" w:eastAsia="Calibri" w:hAnsi="Verdana" w:cs="Arial"/>
          <w:lang w:val="es-ES"/>
        </w:rPr>
      </w:pPr>
      <w:r w:rsidRPr="00C44CD0">
        <w:rPr>
          <w:rFonts w:ascii="Verdana" w:hAnsi="Verdana"/>
        </w:rPr>
        <w:t>De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secciones de “Modificaciones del contrato” e “Incumplimientos”, lo que evidencia que el negocio jurídico ha quedado formalmente firmado en el sistema.</w:t>
      </w:r>
    </w:p>
    <w:p w14:paraId="2937B72B" w14:textId="77777777" w:rsidR="004876D0" w:rsidRPr="00C44CD0" w:rsidRDefault="004876D0" w:rsidP="004876D0">
      <w:pPr>
        <w:spacing w:after="120" w:line="276" w:lineRule="auto"/>
        <w:ind w:firstLine="709"/>
        <w:jc w:val="both"/>
        <w:rPr>
          <w:rFonts w:ascii="Verdana" w:eastAsia="Calibri" w:hAnsi="Verdana" w:cs="Arial"/>
          <w:lang w:val="es-ES"/>
        </w:rPr>
      </w:pPr>
      <w:r w:rsidRPr="00C44CD0">
        <w:rPr>
          <w:rFonts w:ascii="Verdana" w:eastAsia="Calibri" w:hAnsi="Verdana" w:cs="Arial"/>
          <w:lang w:val="es-ES"/>
        </w:rPr>
        <w:t xml:space="preserve">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 </w:t>
      </w:r>
    </w:p>
    <w:p w14:paraId="597AA7D0" w14:textId="77777777" w:rsidR="004876D0" w:rsidRPr="00C44CD0" w:rsidRDefault="004876D0" w:rsidP="004876D0">
      <w:pPr>
        <w:spacing w:after="120" w:line="276" w:lineRule="auto"/>
        <w:ind w:firstLine="567"/>
        <w:jc w:val="both"/>
        <w:rPr>
          <w:rFonts w:ascii="Verdana" w:eastAsia="Calibri" w:hAnsi="Verdana" w:cs="Arial"/>
          <w:lang w:val="es-ES"/>
        </w:rPr>
      </w:pPr>
      <w:r w:rsidRPr="00C44CD0">
        <w:rPr>
          <w:rFonts w:ascii="Verdana" w:eastAsia="Calibri" w:hAnsi="Verdana" w:cs="Arial"/>
          <w:lang w:val="es-ES"/>
        </w:rPr>
        <w:t>Bajo este contexto, en atención a la consulta planteada, es pertinente señalar que debido a que el concepto de “celebrar” para efectos de las 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el contrato se entiende celebrado una vez se ha surtido la aprobación y publicación por parte de la entidad estatal, momento en el cual la plataforma registra el estado de “firmado”, dejando constancia de la concurrencia de voluntades y del cumplimiento del requisito de perfeccionamiento.</w:t>
      </w:r>
    </w:p>
    <w:p w14:paraId="5184C36F" w14:textId="77777777" w:rsidR="004876D0" w:rsidRPr="00C44CD0" w:rsidRDefault="004876D0" w:rsidP="004876D0">
      <w:pPr>
        <w:spacing w:after="120" w:line="276" w:lineRule="auto"/>
        <w:ind w:firstLine="567"/>
        <w:jc w:val="both"/>
        <w:rPr>
          <w:rFonts w:ascii="Verdana" w:eastAsia="Calibri" w:hAnsi="Verdana" w:cs="Arial"/>
        </w:rPr>
      </w:pPr>
      <w:r w:rsidRPr="00C44CD0">
        <w:rPr>
          <w:rFonts w:ascii="Verdana" w:eastAsia="Calibri" w:hAnsi="Verdana" w:cs="Arial"/>
        </w:rPr>
        <w:t xml:space="preserve">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w:t>
      </w:r>
      <w:r w:rsidRPr="00C44CD0">
        <w:rPr>
          <w:rFonts w:ascii="Verdana" w:eastAsia="Calibri" w:hAnsi="Verdana" w:cs="Arial"/>
        </w:rPr>
        <w:lastRenderedPageBreak/>
        <w:t>recíproco sobre el objeto y la contraprestación y queda formalmente estructurado el acuerdo.</w:t>
      </w:r>
    </w:p>
    <w:p w14:paraId="6D4A503D" w14:textId="77777777" w:rsidR="004876D0" w:rsidRPr="00C44CD0" w:rsidRDefault="004876D0" w:rsidP="004876D0">
      <w:pPr>
        <w:spacing w:after="120" w:line="276" w:lineRule="auto"/>
        <w:ind w:firstLine="567"/>
        <w:jc w:val="both"/>
        <w:rPr>
          <w:rFonts w:ascii="Verdana" w:eastAsia="Calibri" w:hAnsi="Verdana" w:cs="Arial"/>
        </w:rPr>
      </w:pPr>
      <w:r w:rsidRPr="00C44CD0">
        <w:rPr>
          <w:rFonts w:ascii="Verdana" w:eastAsia="Calibri" w:hAnsi="Verdana" w:cs="Arial"/>
        </w:rPr>
        <w:t>Este hito es jurídicamente relevante, en la medida en que con él se satisface el requisito previsto en el artículo 41 de la Ley 80 de 1993, esto es, que el perfeccionamiento del contrato ocurre cuando existe acuerdo sobre el objeto y la contraprestación y este se eleva a escrito. En el sistema transaccional del SECOP II, esto se materializa a través del documento electrónico del contrato y de las aprobaciones efectuadas en la plataforma, las cuales dejan trazabilidad 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56F528F9" w14:textId="77777777" w:rsidR="004876D0" w:rsidRPr="00C44CD0" w:rsidRDefault="004876D0" w:rsidP="004876D0">
      <w:pPr>
        <w:spacing w:after="0" w:line="276" w:lineRule="auto"/>
        <w:ind w:firstLine="567"/>
        <w:jc w:val="both"/>
        <w:rPr>
          <w:rFonts w:ascii="Verdana" w:eastAsia="Times New Roman" w:hAnsi="Verdana" w:cs="Arial"/>
          <w:bCs/>
          <w:lang w:val="es-ES" w:eastAsia="es-CO"/>
        </w:rPr>
      </w:pPr>
      <w:r w:rsidRPr="00C44CD0">
        <w:rPr>
          <w:rFonts w:ascii="Verdana" w:eastAsia="Calibri" w:hAnsi="Verdana" w:cs="Arial"/>
          <w:lang w:val="es-ES"/>
        </w:rPr>
        <w:t xml:space="preserve">En consecuencia, tratándose de procesos gestionados en SECOP II, las actuaciones necesarias para que el contrato adquiera el estado de “firmado” deben realizarse antes de la </w:t>
      </w:r>
      <w:proofErr w:type="gramStart"/>
      <w:r w:rsidRPr="00C44CD0">
        <w:rPr>
          <w:rFonts w:ascii="Verdana" w:eastAsia="Calibri" w:hAnsi="Verdana" w:cs="Arial"/>
          <w:lang w:val="es-ES"/>
        </w:rPr>
        <w:t>entrada en vigencia</w:t>
      </w:r>
      <w:proofErr w:type="gramEnd"/>
      <w:r w:rsidRPr="00C44CD0">
        <w:rPr>
          <w:rFonts w:ascii="Verdana" w:eastAsia="Calibri" w:hAnsi="Verdana" w:cs="Arial"/>
          <w:lang w:val="es-ES"/>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w:t>
      </w:r>
      <w:r w:rsidRPr="00C44CD0">
        <w:rPr>
          <w:rFonts w:ascii="Verdana" w:eastAsia="Calibri" w:hAnsi="Verdana" w:cs="Arial"/>
          <w:i/>
          <w:iCs/>
          <w:lang w:val="es-ES"/>
        </w:rPr>
        <w:t>ibidem</w:t>
      </w:r>
      <w:r w:rsidRPr="00C44CD0">
        <w:rPr>
          <w:rFonts w:ascii="Verdana" w:eastAsia="Calibri" w:hAnsi="Verdana" w:cs="Arial"/>
          <w:lang w:val="es-ES"/>
        </w:rPr>
        <w:t>, se entiende que el contrato fue celebrado en vigencia de dicha restricción, con las consecuencias jurídicas a que haya lugar, sin que resulte suficiente que etapas previas del proceso se hubieren adelantado con anterioridad o que se hayan aprobado los demás flujos de aprobación configurados por la Entidad Estatal, previos al del ordenador del gasto.</w:t>
      </w:r>
      <w:r w:rsidRPr="00C44CD0">
        <w:rPr>
          <w:rFonts w:ascii="Verdana" w:eastAsia="Times New Roman" w:hAnsi="Verdana" w:cs="Arial"/>
          <w:bCs/>
          <w:lang w:val="es-ES" w:eastAsia="es-CO"/>
        </w:rPr>
        <w:t xml:space="preserve"> En este último evento, la entidad deberá revisar la validez del contrato y analizar una posible configuración de nulidad a la luz de lo dispuesto en el artículo 44 de la Ley 80 de 1993. </w:t>
      </w:r>
    </w:p>
    <w:p w14:paraId="1631B931" w14:textId="77777777" w:rsidR="004876D0" w:rsidRPr="00C44CD0" w:rsidRDefault="004876D0" w:rsidP="004876D0">
      <w:pPr>
        <w:spacing w:after="0" w:line="276" w:lineRule="auto"/>
        <w:jc w:val="both"/>
        <w:rPr>
          <w:rFonts w:ascii="Verdana" w:eastAsia="Times New Roman" w:hAnsi="Verdana" w:cs="Arial"/>
          <w:bCs/>
          <w:lang w:val="es-ES" w:eastAsia="es-CO"/>
        </w:rPr>
      </w:pPr>
    </w:p>
    <w:p w14:paraId="0C9A5363" w14:textId="77777777" w:rsidR="004876D0" w:rsidRPr="00C44CD0" w:rsidRDefault="004876D0" w:rsidP="004876D0">
      <w:pPr>
        <w:spacing w:after="120" w:line="276" w:lineRule="auto"/>
        <w:jc w:val="both"/>
        <w:rPr>
          <w:rFonts w:ascii="Verdana" w:eastAsia="Calibri" w:hAnsi="Verdana" w:cs="Arial"/>
        </w:rPr>
      </w:pPr>
      <w:proofErr w:type="spellStart"/>
      <w:r w:rsidRPr="00C44CD0">
        <w:rPr>
          <w:rFonts w:ascii="Verdana" w:eastAsia="Times New Roman" w:hAnsi="Verdana" w:cs="Arial"/>
          <w:bCs/>
          <w:lang w:val="es-ES" w:eastAsia="es-CO"/>
        </w:rPr>
        <w:t>vii</w:t>
      </w:r>
      <w:proofErr w:type="spellEnd"/>
      <w:r w:rsidRPr="00C44CD0">
        <w:rPr>
          <w:rFonts w:ascii="Verdana" w:eastAsia="Times New Roman" w:hAnsi="Verdana" w:cs="Arial"/>
          <w:bCs/>
          <w:lang w:val="es-ES" w:eastAsia="es-CO"/>
        </w:rPr>
        <w:t xml:space="preserve">. Sobre el régimen de nulidad, la norma en cita </w:t>
      </w:r>
      <w:r w:rsidRPr="00C44CD0">
        <w:rPr>
          <w:rFonts w:ascii="Verdana" w:eastAsia="Calibri" w:hAnsi="Verdana" w:cs="Arial"/>
        </w:rPr>
        <w:t xml:space="preserve">señala como causales de nulidad del contrato estatal, las siguientes: 1. Que el contrato se celebre con personas incursas en causales de inhabilidad o incompatibilidad previstas en la Constitución y la ley. 2. se celebre contra expresa prohibición constitucional o legal. 3. se celebre con abuso o desviación de poder. 4. se declaren nulos los actos administrativos en que se fundamenten. 5. se hubieren celebrado con </w:t>
      </w:r>
      <w:r w:rsidRPr="00C44CD0">
        <w:rPr>
          <w:rFonts w:ascii="Verdana" w:eastAsia="Calibri" w:hAnsi="Verdana" w:cs="Arial"/>
        </w:rPr>
        <w:lastRenderedPageBreak/>
        <w:t>desconocimiento de los criterios previstos para el tratamiento de ofertas nacionales y extranjeras o con violación de la reciprocidad</w:t>
      </w:r>
      <w:r w:rsidRPr="00C44CD0">
        <w:rPr>
          <w:rFonts w:ascii="Verdana" w:eastAsia="Arial" w:hAnsi="Verdana" w:cs="Arial"/>
          <w:vertAlign w:val="superscript"/>
          <w:lang w:val="es-ES"/>
        </w:rPr>
        <w:footnoteReference w:id="29"/>
      </w:r>
      <w:r w:rsidRPr="00C44CD0">
        <w:rPr>
          <w:rFonts w:ascii="Verdana" w:eastAsia="Calibri" w:hAnsi="Verdana" w:cs="Arial"/>
        </w:rPr>
        <w:t>.</w:t>
      </w:r>
    </w:p>
    <w:p w14:paraId="177DB47D" w14:textId="77777777" w:rsidR="004876D0" w:rsidRPr="00C44CD0" w:rsidRDefault="004876D0" w:rsidP="004876D0">
      <w:pPr>
        <w:spacing w:after="0" w:line="276" w:lineRule="auto"/>
        <w:ind w:firstLine="709"/>
        <w:jc w:val="both"/>
        <w:rPr>
          <w:rFonts w:ascii="Verdana" w:eastAsia="Calibri" w:hAnsi="Verdana" w:cs="Times New Roman"/>
          <w:bCs/>
        </w:rPr>
      </w:pPr>
      <w:r w:rsidRPr="00C44CD0">
        <w:rPr>
          <w:rFonts w:ascii="Verdana" w:eastAsia="Calibri" w:hAnsi="Verdana" w:cs="Times New Roman"/>
          <w:bCs/>
        </w:rPr>
        <w:t>En concordancia con lo anterior, el artículo 45 de la Ley 80 de 1993 prescribe:</w:t>
      </w:r>
    </w:p>
    <w:p w14:paraId="4C81E9BD" w14:textId="77777777" w:rsidR="004876D0" w:rsidRPr="00C44CD0" w:rsidRDefault="004876D0" w:rsidP="004876D0">
      <w:pPr>
        <w:spacing w:after="0" w:line="276" w:lineRule="auto"/>
        <w:ind w:firstLine="709"/>
        <w:jc w:val="both"/>
        <w:rPr>
          <w:rFonts w:ascii="Verdana" w:eastAsia="Calibri" w:hAnsi="Verdana" w:cs="Times New Roman"/>
          <w:bCs/>
        </w:rPr>
      </w:pPr>
    </w:p>
    <w:p w14:paraId="2EF0D8B2" w14:textId="77777777" w:rsidR="004876D0" w:rsidRPr="00C44CD0" w:rsidRDefault="004876D0" w:rsidP="004876D0">
      <w:pPr>
        <w:spacing w:after="0" w:line="240" w:lineRule="auto"/>
        <w:ind w:left="709" w:right="709"/>
        <w:jc w:val="both"/>
        <w:rPr>
          <w:rFonts w:ascii="Verdana" w:eastAsia="Calibri" w:hAnsi="Verdana" w:cs="Times New Roman"/>
          <w:sz w:val="20"/>
          <w:szCs w:val="20"/>
        </w:rPr>
      </w:pPr>
      <w:r w:rsidRPr="00C44CD0">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68B5E0C1" w14:textId="77777777" w:rsidR="004876D0" w:rsidRPr="00C44CD0" w:rsidRDefault="004876D0" w:rsidP="004876D0">
      <w:pPr>
        <w:spacing w:after="0" w:line="240" w:lineRule="auto"/>
        <w:ind w:left="709" w:right="709"/>
        <w:jc w:val="both"/>
        <w:rPr>
          <w:rFonts w:ascii="Verdana" w:eastAsia="Calibri" w:hAnsi="Verdana" w:cs="Times New Roman"/>
          <w:sz w:val="20"/>
          <w:szCs w:val="20"/>
        </w:rPr>
      </w:pPr>
    </w:p>
    <w:p w14:paraId="247C3FE1" w14:textId="77777777" w:rsidR="004876D0" w:rsidRPr="00C44CD0" w:rsidRDefault="004876D0" w:rsidP="004876D0">
      <w:pPr>
        <w:spacing w:after="0" w:line="240" w:lineRule="auto"/>
        <w:ind w:left="709" w:right="709"/>
        <w:jc w:val="both"/>
        <w:rPr>
          <w:rFonts w:ascii="Verdana" w:eastAsia="Calibri" w:hAnsi="Verdana" w:cs="Times New Roman"/>
          <w:sz w:val="20"/>
          <w:szCs w:val="20"/>
        </w:rPr>
      </w:pPr>
      <w:r w:rsidRPr="00C44CD0">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4DAB6691" w14:textId="77777777" w:rsidR="004876D0" w:rsidRPr="00C44CD0" w:rsidRDefault="004876D0" w:rsidP="004876D0">
      <w:pPr>
        <w:spacing w:after="0" w:line="276" w:lineRule="auto"/>
        <w:jc w:val="both"/>
        <w:rPr>
          <w:rFonts w:ascii="Verdana" w:eastAsia="Calibri" w:hAnsi="Verdana" w:cs="Times New Roman"/>
          <w:bCs/>
        </w:rPr>
      </w:pPr>
    </w:p>
    <w:p w14:paraId="438A9B9F" w14:textId="77777777" w:rsidR="004876D0" w:rsidRPr="00C44CD0" w:rsidRDefault="004876D0" w:rsidP="004876D0">
      <w:pPr>
        <w:spacing w:after="120" w:line="276" w:lineRule="auto"/>
        <w:jc w:val="both"/>
        <w:rPr>
          <w:rFonts w:ascii="Verdana" w:eastAsia="Calibri" w:hAnsi="Verdana" w:cs="Arial"/>
        </w:rPr>
      </w:pPr>
      <w:r w:rsidRPr="00C44CD0">
        <w:rPr>
          <w:rFonts w:ascii="Verdana" w:eastAsia="Calibri" w:hAnsi="Verdana" w:cs="Times New Roman"/>
          <w:bCs/>
        </w:rPr>
        <w:tab/>
        <w:t>A partir de la norma precitada, se 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de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C44CD0">
        <w:rPr>
          <w:rFonts w:ascii="Verdana" w:eastAsia="Calibri" w:hAnsi="Verdana" w:cs="Arial"/>
        </w:rPr>
        <w:t xml:space="preserve"> el contrato se celebre con personas incursas en causales de inhabilidad o incompatibilidad previstas en la Constitución y la ley, </w:t>
      </w:r>
      <w:r w:rsidRPr="00C44CD0">
        <w:rPr>
          <w:rFonts w:ascii="Verdana" w:eastAsia="Calibri" w:hAnsi="Verdana" w:cs="Arial"/>
          <w:i/>
          <w:iCs/>
        </w:rPr>
        <w:t>que se celebre contra expresa prohibición constitucional o legal</w:t>
      </w:r>
      <w:r w:rsidRPr="00C44CD0">
        <w:rPr>
          <w:rFonts w:ascii="Verdana" w:eastAsia="Calibri" w:hAnsi="Verdana" w:cs="Arial"/>
        </w:rPr>
        <w:t xml:space="preserve">, o que se declaren nulos los actos administrativos en que se fundamenten. </w:t>
      </w:r>
    </w:p>
    <w:p w14:paraId="3780FF86" w14:textId="77777777" w:rsidR="004876D0" w:rsidRPr="00C44CD0" w:rsidRDefault="004876D0" w:rsidP="004876D0">
      <w:pPr>
        <w:spacing w:after="120" w:line="276" w:lineRule="auto"/>
        <w:ind w:firstLine="743"/>
        <w:jc w:val="both"/>
        <w:rPr>
          <w:rFonts w:ascii="Verdana" w:eastAsia="Calibri" w:hAnsi="Verdana" w:cs="Arial"/>
        </w:rPr>
      </w:pPr>
      <w:r w:rsidRPr="00C44CD0">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absoluta del </w:t>
      </w:r>
      <w:r w:rsidRPr="00C44CD0">
        <w:rPr>
          <w:rFonts w:ascii="Verdana" w:eastAsia="Calibri" w:hAnsi="Verdana" w:cs="Arial"/>
        </w:rPr>
        <w:lastRenderedPageBreak/>
        <w:t xml:space="preserve">contrato por la causal de celebración contra expresa prohibición constitucional o legal, por vulnerar las restricciones establecidas en los artículos 33 y 38 de la Ley de Garantías Electorales. </w:t>
      </w:r>
    </w:p>
    <w:p w14:paraId="6AD78C92" w14:textId="77777777" w:rsidR="004876D0" w:rsidRPr="00C44CD0" w:rsidRDefault="004876D0" w:rsidP="004876D0">
      <w:pPr>
        <w:spacing w:after="120" w:line="276" w:lineRule="auto"/>
        <w:ind w:firstLine="567"/>
        <w:jc w:val="both"/>
        <w:rPr>
          <w:rFonts w:ascii="Verdana" w:eastAsia="Calibri" w:hAnsi="Verdana" w:cs="Arial"/>
          <w:lang w:val="es-ES"/>
        </w:rPr>
      </w:pPr>
      <w:r w:rsidRPr="00C44CD0">
        <w:rPr>
          <w:rFonts w:ascii="Verdana" w:eastAsia="Calibri" w:hAnsi="Verdana" w:cs="Arial"/>
        </w:rPr>
        <w:t>Sobre el alcance de la causal de nulidad contenida en el numeral 2 del artículo 44 de la Ley 80 de 1993, el Consejo de Estado ha señalado que “</w:t>
      </w:r>
      <w:r w:rsidRPr="00C44CD0">
        <w:rPr>
          <w:rFonts w:ascii="Verdana" w:eastAsia="Calibri" w:hAnsi="Verdana" w:cs="Arial"/>
          <w:bCs/>
          <w:iCs/>
        </w:rPr>
        <w:t>la norma ofrece, al menos, dos conclusiones: la primera de ellas consiste en que la prohibición debe estar consagrada en una norma, ya sea de rango constitucional o legal, sin que resulte posible hacer extensiva esta causal a una disposición de inferior rango normativo. La segunda se refiere al hecho de que la prohibición debe constar de manera expresa</w:t>
      </w:r>
      <w:r w:rsidRPr="00C44CD0">
        <w:rPr>
          <w:rStyle w:val="Refdenotaalpie"/>
          <w:rFonts w:ascii="Verdana" w:eastAsia="Calibri" w:hAnsi="Verdana" w:cs="Arial"/>
          <w:bCs/>
          <w:iCs/>
        </w:rPr>
        <w:footnoteReference w:id="30"/>
      </w:r>
      <w:r w:rsidRPr="00C44CD0">
        <w:rPr>
          <w:rFonts w:ascii="Verdana" w:eastAsia="Calibri" w:hAnsi="Verdana" w:cs="Arial"/>
          <w:bCs/>
          <w:iCs/>
        </w:rPr>
        <w:t xml:space="preserve">”. Tal es el caso de los </w:t>
      </w:r>
      <w:r w:rsidRPr="00C44CD0">
        <w:rPr>
          <w:rFonts w:ascii="Verdana" w:eastAsia="Calibri" w:hAnsi="Verdana" w:cs="Arial"/>
        </w:rPr>
        <w:t xml:space="preserve">artículos 33 y 38 de la Ley de Garantías Electorales, normas de carácter legal que determinan de manera expresa una prohibición específica en materia de contratación pública. </w:t>
      </w:r>
    </w:p>
    <w:p w14:paraId="6A38B586" w14:textId="77777777" w:rsidR="004876D0" w:rsidRPr="00C44CD0" w:rsidRDefault="004876D0" w:rsidP="004876D0">
      <w:pPr>
        <w:spacing w:after="120" w:line="276" w:lineRule="auto"/>
        <w:ind w:firstLine="567"/>
        <w:jc w:val="both"/>
        <w:rPr>
          <w:rFonts w:ascii="Verdana" w:eastAsia="Times New Roman" w:hAnsi="Verdana" w:cs="Arial"/>
          <w:bCs/>
          <w:lang w:val="es-ES" w:eastAsia="es-CO"/>
        </w:rPr>
      </w:pPr>
      <w:r w:rsidRPr="00C44CD0">
        <w:rPr>
          <w:rFonts w:ascii="Verdana" w:eastAsia="Times New Roman" w:hAnsi="Verdana" w:cs="Arial"/>
          <w:bCs/>
          <w:lang w:val="es-ES" w:eastAsia="es-CO"/>
        </w:rPr>
        <w:t xml:space="preserve">Así las cosas, se concluye que aquellos contratos cuyo perfeccionamiento en la plataforma SECOP II -entendido como el momento en que se surte la aprobación final por parte del ordenador del gasto y se publica el contrato en estado “Firmado”-, haya ocurrido con posterioridad a la entrada en vigencia de la Ley de Garantías Electorales, esta Agencia considera que los mismos se entienden celebrados en infracción de lo previsto en los artículos 33 y 38 </w:t>
      </w:r>
      <w:r w:rsidRPr="00C44CD0">
        <w:rPr>
          <w:rFonts w:ascii="Verdana" w:eastAsia="Times New Roman" w:hAnsi="Verdana" w:cs="Arial"/>
          <w:bCs/>
          <w:i/>
          <w:iCs/>
          <w:lang w:val="es-ES" w:eastAsia="es-CO"/>
        </w:rPr>
        <w:t>ibidem,</w:t>
      </w:r>
      <w:r w:rsidRPr="00C44CD0">
        <w:rPr>
          <w:rFonts w:ascii="Verdana" w:eastAsia="Times New Roman" w:hAnsi="Verdana" w:cs="Arial"/>
          <w:bCs/>
          <w:lang w:val="es-ES" w:eastAsia="es-CO"/>
        </w:rPr>
        <w:t xml:space="preserve"> en la medida en que el hito jurídico de perfeccionamiento ocurrió dentro del período de restricción.</w:t>
      </w:r>
    </w:p>
    <w:p w14:paraId="1C98B285" w14:textId="77777777" w:rsidR="004876D0" w:rsidRPr="00C44CD0" w:rsidRDefault="004876D0" w:rsidP="004876D0">
      <w:pPr>
        <w:spacing w:after="120" w:line="276" w:lineRule="auto"/>
        <w:ind w:firstLine="567"/>
        <w:jc w:val="both"/>
        <w:rPr>
          <w:rFonts w:ascii="Verdana" w:eastAsia="Times New Roman" w:hAnsi="Verdana" w:cs="Arial"/>
          <w:bCs/>
          <w:lang w:val="es-ES" w:eastAsia="es-CO"/>
        </w:rPr>
      </w:pPr>
      <w:r w:rsidRPr="00C44CD0">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los artículos 44 y 45 de la Ley 80 de 1993. Lo anterior, sin perjuicio de las responsabilidades de tipo disciplinario, fiscal y penal que puedan generarse. </w:t>
      </w:r>
    </w:p>
    <w:p w14:paraId="29054DD1" w14:textId="77777777" w:rsidR="004876D0" w:rsidRPr="00C44CD0" w:rsidRDefault="004876D0" w:rsidP="004876D0">
      <w:pPr>
        <w:spacing w:after="0" w:line="276" w:lineRule="auto"/>
        <w:ind w:firstLine="567"/>
        <w:jc w:val="both"/>
        <w:rPr>
          <w:rFonts w:ascii="Verdana" w:eastAsia="Times New Roman" w:hAnsi="Verdana" w:cs="Arial"/>
          <w:bCs/>
          <w:lang w:eastAsia="x-none"/>
        </w:rPr>
      </w:pPr>
      <w:r w:rsidRPr="00C44CD0">
        <w:rPr>
          <w:rFonts w:ascii="Verdana" w:eastAsia="Times New Roman" w:hAnsi="Verdana" w:cs="Arial"/>
          <w:bCs/>
          <w:lang w:val="es-MX" w:eastAsia="x-none"/>
        </w:rPr>
        <w:t xml:space="preserve">Finalmente, </w:t>
      </w:r>
      <w:r w:rsidRPr="00C44CD0">
        <w:rPr>
          <w:rFonts w:ascii="Verdana" w:eastAsia="Times New Roman" w:hAnsi="Verdana" w:cs="Arial"/>
          <w:bCs/>
          <w:lang w:eastAsia="x-none"/>
        </w:rPr>
        <w:t xml:space="preserve">resulta pertinente enfatizar en el deber de planeación que asiste a las Entidades Estatales, el cual impone la obligación de estructurar y adelantar oportunamente las actuaciones precontractuales y contractuales necesarias para el cumplimiento de sus fines. Una adecuada planeación en la gestión de los procesos, especialmente en contextos sujetos a restricciones temporales como las derivadas de la Ley de Garantías Electorales, permite </w:t>
      </w:r>
      <w:r w:rsidRPr="00C44CD0">
        <w:rPr>
          <w:rFonts w:ascii="Verdana" w:eastAsia="Times New Roman" w:hAnsi="Verdana" w:cs="Arial"/>
          <w:bCs/>
          <w:lang w:eastAsia="x-none"/>
        </w:rPr>
        <w:lastRenderedPageBreak/>
        <w:t xml:space="preserve">mitigar riesgos jurídicos y evitar que, por deficiencias o retrasos en la gestión, se configuren situaciones que puedan dar lugar a eventuales causales de nulidad. </w:t>
      </w:r>
    </w:p>
    <w:p w14:paraId="4B8718ED" w14:textId="77777777" w:rsidR="004876D0" w:rsidRPr="00C44CD0" w:rsidRDefault="004876D0" w:rsidP="004876D0">
      <w:pPr>
        <w:spacing w:after="0" w:line="276" w:lineRule="auto"/>
        <w:ind w:firstLine="567"/>
        <w:jc w:val="both"/>
        <w:rPr>
          <w:rFonts w:ascii="Verdana" w:eastAsia="Times New Roman" w:hAnsi="Verdana" w:cs="Arial"/>
          <w:bCs/>
          <w:lang w:eastAsia="x-none"/>
        </w:rPr>
      </w:pPr>
    </w:p>
    <w:p w14:paraId="18D41950" w14:textId="77777777" w:rsidR="004876D0" w:rsidRPr="00C44CD0" w:rsidRDefault="004876D0" w:rsidP="004876D0">
      <w:pPr>
        <w:spacing w:after="120" w:line="276" w:lineRule="auto"/>
        <w:jc w:val="both"/>
        <w:rPr>
          <w:rFonts w:ascii="Verdana" w:eastAsia="Times New Roman" w:hAnsi="Verdana" w:cs="Arial"/>
          <w:lang w:eastAsia="es-CO"/>
        </w:rPr>
      </w:pPr>
      <w:proofErr w:type="spellStart"/>
      <w:r w:rsidRPr="00C44CD0">
        <w:rPr>
          <w:rFonts w:ascii="Verdana" w:hAnsi="Verdana" w:cs="Arial"/>
          <w:bCs/>
          <w:color w:val="000000" w:themeColor="text1"/>
        </w:rPr>
        <w:t>vii</w:t>
      </w:r>
      <w:proofErr w:type="spellEnd"/>
      <w:r w:rsidRPr="00C44CD0">
        <w:rPr>
          <w:rFonts w:ascii="Verdana" w:hAnsi="Verdana" w:cs="Arial"/>
          <w:bCs/>
          <w:color w:val="000000" w:themeColor="text1"/>
        </w:rPr>
        <w:t>.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BDBC40B" w14:textId="77777777" w:rsidR="004876D0" w:rsidRPr="00C44CD0" w:rsidRDefault="004876D0" w:rsidP="004876D0">
      <w:pPr>
        <w:spacing w:after="0" w:line="276" w:lineRule="auto"/>
        <w:ind w:firstLine="708"/>
        <w:jc w:val="both"/>
        <w:rPr>
          <w:rFonts w:ascii="Verdana" w:hAnsi="Verdana" w:cs="Arial"/>
          <w:bCs/>
          <w:color w:val="000000" w:themeColor="text1"/>
        </w:rPr>
      </w:pPr>
      <w:r w:rsidRPr="00C44CD0">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8FC9364" w14:textId="77777777" w:rsidR="004876D0" w:rsidRPr="00C44CD0" w:rsidRDefault="004876D0" w:rsidP="004876D0">
      <w:pPr>
        <w:spacing w:after="0" w:line="276" w:lineRule="auto"/>
        <w:ind w:firstLine="708"/>
        <w:jc w:val="both"/>
        <w:rPr>
          <w:rFonts w:ascii="Verdana" w:hAnsi="Verdana" w:cs="Arial"/>
          <w:bCs/>
          <w:color w:val="000000" w:themeColor="text1"/>
        </w:rPr>
      </w:pPr>
    </w:p>
    <w:p w14:paraId="6CAF4269" w14:textId="77777777" w:rsidR="004876D0" w:rsidRPr="00C44CD0" w:rsidRDefault="004876D0" w:rsidP="004876D0">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44CD0">
        <w:rPr>
          <w:rFonts w:ascii="Verdana" w:eastAsia="Century Gothic" w:hAnsi="Verdana" w:cs="Century Gothic"/>
          <w:b/>
          <w:bCs/>
          <w:lang w:val="es-ES_tradnl"/>
        </w:rPr>
        <w:t>Referencias normativas:</w:t>
      </w:r>
    </w:p>
    <w:p w14:paraId="1A93A33E" w14:textId="77777777" w:rsidR="004876D0" w:rsidRPr="00C44CD0" w:rsidRDefault="004876D0" w:rsidP="004876D0">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876D0" w:rsidRPr="00C44CD0" w14:paraId="0B792BBA" w14:textId="77777777" w:rsidTr="00EA32A5">
        <w:trPr>
          <w:trHeight w:val="491"/>
          <w:jc w:val="center"/>
        </w:trPr>
        <w:tc>
          <w:tcPr>
            <w:tcW w:w="8647" w:type="dxa"/>
          </w:tcPr>
          <w:p w14:paraId="2CEA46FC"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44CD0">
              <w:rPr>
                <w:rFonts w:ascii="Verdana" w:eastAsia="Arial MT" w:hAnsi="Verdana" w:cs="Arial"/>
                <w:lang w:val="es-ES" w:eastAsia="es-ES" w:bidi="es-ES"/>
              </w:rPr>
              <w:t>Constitución Política, artículos 127, 329, 356.</w:t>
            </w:r>
          </w:p>
          <w:p w14:paraId="32B1F3A3"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44CD0">
              <w:rPr>
                <w:rFonts w:ascii="Verdana" w:eastAsia="Arial MT" w:hAnsi="Verdana" w:cs="Arial"/>
                <w:lang w:val="es-ES" w:eastAsia="es-ES" w:bidi="es-ES"/>
              </w:rPr>
              <w:t>Ley 80 de 1993, artículo 2.</w:t>
            </w:r>
          </w:p>
          <w:p w14:paraId="6FDC6FA1"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44CD0">
              <w:rPr>
                <w:rFonts w:ascii="Verdana" w:eastAsia="Arial MT" w:hAnsi="Verdana" w:cs="Arial"/>
                <w:lang w:val="es-ES" w:eastAsia="es-ES" w:bidi="es-ES"/>
              </w:rPr>
              <w:t>Ley 715 de 2001.</w:t>
            </w:r>
          </w:p>
          <w:p w14:paraId="76B37543"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44CD0">
              <w:rPr>
                <w:rFonts w:ascii="Verdana" w:eastAsia="Arial MT" w:hAnsi="Verdana" w:cs="Arial"/>
                <w:bCs/>
                <w:lang w:val="es-ES" w:eastAsia="es-ES" w:bidi="es-ES"/>
              </w:rPr>
              <w:t>Ley 996 de 2005, artículos 33 y 38.</w:t>
            </w:r>
          </w:p>
          <w:p w14:paraId="5DA67C41"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44CD0">
              <w:rPr>
                <w:rFonts w:ascii="Verdana" w:eastAsia="Arial MT" w:hAnsi="Verdana" w:cs="Arial"/>
                <w:lang w:val="es-ES" w:eastAsia="es-ES" w:bidi="es-ES"/>
              </w:rPr>
              <w:t>Decreto 1088 de 1993.</w:t>
            </w:r>
          </w:p>
          <w:p w14:paraId="56F9BFA0"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44CD0">
              <w:rPr>
                <w:rFonts w:ascii="Verdana" w:eastAsia="Arial MT" w:hAnsi="Verdana" w:cs="Arial"/>
                <w:lang w:val="es-ES" w:eastAsia="es-ES" w:bidi="es-ES"/>
              </w:rPr>
              <w:t>Decreto 1953 de 2014.</w:t>
            </w:r>
          </w:p>
          <w:p w14:paraId="46393A30"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eastAsia="Arial MT" w:hAnsi="Verdana" w:cs="Arial"/>
                <w:lang w:val="es-ES" w:eastAsia="es-ES" w:bidi="es-ES"/>
              </w:rPr>
            </w:pPr>
            <w:r w:rsidRPr="00C44CD0">
              <w:rPr>
                <w:rFonts w:ascii="Verdana" w:hAnsi="Verdana" w:cs="Arial"/>
                <w:bCs/>
                <w:color w:val="000000" w:themeColor="text1"/>
                <w:lang w:val="es-ES"/>
              </w:rPr>
              <w:t>Decreto 1068 de 2015, artículo 2.2.1.1.1.</w:t>
            </w:r>
          </w:p>
          <w:p w14:paraId="1C7A0DD8"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C44CD0">
              <w:rPr>
                <w:rFonts w:ascii="Verdana" w:hAnsi="Verdana" w:cs="Arial"/>
                <w:lang w:val="pt-BR"/>
              </w:rPr>
              <w:lastRenderedPageBreak/>
              <w:t>Corte Constitucional. Sentencia C-671 de 2015. M.P. Alberto Rojas Ríos.</w:t>
            </w:r>
          </w:p>
          <w:p w14:paraId="1171D91C"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C44CD0">
              <w:rPr>
                <w:rFonts w:ascii="Verdana" w:hAnsi="Verdana" w:cs="Arial"/>
                <w:lang w:val="es-ES"/>
              </w:rPr>
              <w:t xml:space="preserve">Consejo de Estado, Sección Primera. Sentencia de 3 de marzo de 2005. </w:t>
            </w:r>
            <w:proofErr w:type="spellStart"/>
            <w:r w:rsidRPr="00C44CD0">
              <w:rPr>
                <w:rFonts w:ascii="Verdana" w:hAnsi="Verdana" w:cs="Arial"/>
                <w:lang w:val="es-ES"/>
              </w:rPr>
              <w:t>Exp</w:t>
            </w:r>
            <w:proofErr w:type="spellEnd"/>
            <w:r w:rsidRPr="00C44CD0">
              <w:rPr>
                <w:rFonts w:ascii="Verdana" w:hAnsi="Verdana" w:cs="Arial"/>
                <w:lang w:val="es-ES"/>
              </w:rPr>
              <w:t xml:space="preserve">. 2004-00823-01(PI). </w:t>
            </w:r>
          </w:p>
          <w:p w14:paraId="57A2BF24" w14:textId="77777777" w:rsidR="004876D0" w:rsidRPr="00C44CD0" w:rsidRDefault="004876D0" w:rsidP="00EA32A5">
            <w:pPr>
              <w:numPr>
                <w:ilvl w:val="0"/>
                <w:numId w:val="17"/>
              </w:numPr>
              <w:spacing w:after="120" w:line="276" w:lineRule="auto"/>
              <w:ind w:left="714" w:hanging="357"/>
              <w:jc w:val="both"/>
              <w:rPr>
                <w:rFonts w:ascii="Verdana" w:hAnsi="Verdana" w:cs="Arial"/>
                <w:lang w:val="es-ES"/>
              </w:rPr>
            </w:pPr>
            <w:r w:rsidRPr="00C44CD0">
              <w:rPr>
                <w:rFonts w:ascii="Verdana" w:hAnsi="Verdana" w:cs="Arial"/>
              </w:rPr>
              <w:t>Consejo de Estado. Sala de Consulta y Servicio Civil. Concepto del 15 de noviembre de 2007. Expediente número 1863. Consejero Ponente: Luis Fernando Álvarez Jaramillo</w:t>
            </w:r>
          </w:p>
          <w:p w14:paraId="198BBC38" w14:textId="77777777" w:rsidR="004876D0" w:rsidRPr="00C44CD0" w:rsidRDefault="004876D0" w:rsidP="00EA32A5">
            <w:pPr>
              <w:widowControl w:val="0"/>
              <w:numPr>
                <w:ilvl w:val="0"/>
                <w:numId w:val="17"/>
              </w:numPr>
              <w:autoSpaceDE w:val="0"/>
              <w:autoSpaceDN w:val="0"/>
              <w:spacing w:after="120" w:line="276" w:lineRule="auto"/>
              <w:ind w:left="714" w:hanging="357"/>
              <w:jc w:val="both"/>
              <w:rPr>
                <w:rFonts w:ascii="Verdana" w:hAnsi="Verdana" w:cs="Arial"/>
                <w:lang w:val="es-ES"/>
              </w:rPr>
            </w:pPr>
            <w:r w:rsidRPr="00C44CD0">
              <w:rPr>
                <w:rFonts w:ascii="Verdana" w:hAnsi="Verdana" w:cs="Arial"/>
                <w:lang w:val="es-ES"/>
              </w:rPr>
              <w:t xml:space="preserve">Consejo de Estado, Sala de Consulta y Servicio Civil, Concepto de fecha 24 de julio de 2013. Rad. 2166, C. P. Álvaro Namén Vargas. </w:t>
            </w:r>
          </w:p>
          <w:p w14:paraId="20C078A7" w14:textId="77777777" w:rsidR="004876D0" w:rsidRPr="00C44CD0" w:rsidRDefault="004876D0" w:rsidP="00EA32A5">
            <w:pPr>
              <w:numPr>
                <w:ilvl w:val="0"/>
                <w:numId w:val="17"/>
              </w:numPr>
              <w:spacing w:after="120" w:line="276" w:lineRule="auto"/>
              <w:ind w:left="714" w:hanging="357"/>
              <w:jc w:val="both"/>
              <w:rPr>
                <w:rFonts w:ascii="Verdana" w:hAnsi="Verdana" w:cs="Arial"/>
                <w:lang w:val="es-ES"/>
              </w:rPr>
            </w:pPr>
            <w:r w:rsidRPr="00C44CD0">
              <w:rPr>
                <w:rFonts w:ascii="Verdana" w:hAnsi="Verdana" w:cs="Arial"/>
              </w:rPr>
              <w:t>Consejo de Estado. Sala de Consulta y Servicio Civil. Concepto del 2 de septiembre de 2013. Radicado No: 2168. CP: Alvaro Namén Vargas.</w:t>
            </w:r>
          </w:p>
          <w:p w14:paraId="12E15D03" w14:textId="77777777" w:rsidR="004876D0" w:rsidRPr="00C44CD0" w:rsidRDefault="004876D0" w:rsidP="00EA32A5">
            <w:pPr>
              <w:numPr>
                <w:ilvl w:val="0"/>
                <w:numId w:val="17"/>
              </w:numPr>
              <w:spacing w:after="120" w:line="276" w:lineRule="auto"/>
              <w:ind w:left="714" w:hanging="357"/>
              <w:jc w:val="both"/>
              <w:rPr>
                <w:rFonts w:ascii="Verdana" w:hAnsi="Verdana" w:cs="Arial"/>
                <w:lang w:val="es-ES"/>
              </w:rPr>
            </w:pPr>
            <w:r w:rsidRPr="00C44CD0">
              <w:rPr>
                <w:rFonts w:ascii="Verdana" w:hAnsi="Verdana" w:cs="Arial"/>
                <w:lang w:val="es-ES"/>
              </w:rPr>
              <w:t>Consejo de Estado, Sala de lo Contencioso Administrativo, Sección Tercera, Subsección A.  Primera. Sentencia de 11 de junio de 2014, expediente número 34649. C.P: Hernán Andrade Rincon.</w:t>
            </w:r>
          </w:p>
          <w:p w14:paraId="6AB9F45C" w14:textId="77777777" w:rsidR="004876D0" w:rsidRPr="00C44CD0" w:rsidRDefault="004876D0" w:rsidP="00EA32A5">
            <w:pPr>
              <w:numPr>
                <w:ilvl w:val="0"/>
                <w:numId w:val="17"/>
              </w:numPr>
              <w:spacing w:after="120" w:line="276" w:lineRule="auto"/>
              <w:ind w:left="714" w:hanging="357"/>
              <w:jc w:val="both"/>
              <w:rPr>
                <w:rFonts w:ascii="Verdana" w:hAnsi="Verdana" w:cs="Arial"/>
                <w:lang w:val="es-ES"/>
              </w:rPr>
            </w:pPr>
            <w:r w:rsidRPr="00C44CD0">
              <w:rPr>
                <w:rFonts w:ascii="Verdana" w:hAnsi="Verdana" w:cs="Arial"/>
                <w:lang w:val="es-ES"/>
              </w:rPr>
              <w:t>Consejo de Estado. Sala de Consulta y Servicio Civil. Concepto del 17 de febrero de 2015. C.P. William Zambrano Cetina. Radicación No. 11001-03-06-000-2015-00164-00(2269).</w:t>
            </w:r>
          </w:p>
          <w:p w14:paraId="7AE05711" w14:textId="77777777" w:rsidR="004876D0" w:rsidRPr="00C44CD0" w:rsidRDefault="004876D0" w:rsidP="00EA32A5">
            <w:pPr>
              <w:numPr>
                <w:ilvl w:val="0"/>
                <w:numId w:val="17"/>
              </w:numPr>
              <w:spacing w:after="120" w:line="276" w:lineRule="auto"/>
              <w:ind w:left="714" w:hanging="357"/>
              <w:jc w:val="both"/>
              <w:rPr>
                <w:rFonts w:ascii="Verdana" w:hAnsi="Verdana" w:cs="Arial"/>
                <w:lang w:val="es-ES"/>
              </w:rPr>
            </w:pPr>
            <w:r w:rsidRPr="00C44CD0">
              <w:rPr>
                <w:rFonts w:ascii="Verdana" w:hAnsi="Verdana" w:cs="Arial"/>
                <w:lang w:val="es-ES"/>
              </w:rPr>
              <w:t>Consejo de Estado, Sala de Consulta y Servicio Civil, Concepto de fecha 8 de mayo de 2018, No. 2382. C. P. Álvaro Namén Vargas.</w:t>
            </w:r>
          </w:p>
        </w:tc>
      </w:tr>
    </w:tbl>
    <w:p w14:paraId="428F3E7C" w14:textId="77777777" w:rsidR="004876D0" w:rsidRPr="00C44CD0" w:rsidRDefault="004876D0" w:rsidP="004876D0">
      <w:pPr>
        <w:widowControl w:val="0"/>
        <w:autoSpaceDE w:val="0"/>
        <w:autoSpaceDN w:val="0"/>
        <w:spacing w:after="0" w:line="276" w:lineRule="auto"/>
        <w:jc w:val="both"/>
        <w:rPr>
          <w:rFonts w:ascii="Verdana" w:hAnsi="Verdana" w:cs="Arial"/>
          <w:lang w:val="es-ES_tradnl"/>
        </w:rPr>
      </w:pPr>
    </w:p>
    <w:p w14:paraId="0C5CF291" w14:textId="77777777" w:rsidR="004876D0" w:rsidRPr="00C44CD0" w:rsidRDefault="004876D0" w:rsidP="004876D0">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44CD0">
        <w:rPr>
          <w:rFonts w:ascii="Verdana" w:eastAsia="Century Gothic" w:hAnsi="Verdana" w:cs="Century Gothic"/>
          <w:b/>
          <w:bCs/>
          <w:lang w:val="es-ES_tradnl"/>
        </w:rPr>
        <w:t>Doctrina de la Agencia Nacional de Contratación Pública:</w:t>
      </w:r>
    </w:p>
    <w:p w14:paraId="64D25E25" w14:textId="77777777" w:rsidR="004876D0" w:rsidRPr="00C44CD0" w:rsidRDefault="004876D0" w:rsidP="004876D0">
      <w:pPr>
        <w:widowControl w:val="0"/>
        <w:autoSpaceDE w:val="0"/>
        <w:autoSpaceDN w:val="0"/>
        <w:spacing w:after="0" w:line="276" w:lineRule="auto"/>
        <w:jc w:val="both"/>
        <w:rPr>
          <w:rFonts w:ascii="Verdana" w:hAnsi="Verdana" w:cs="Arial"/>
          <w:lang w:val="es-ES_tradnl"/>
        </w:rPr>
      </w:pPr>
    </w:p>
    <w:p w14:paraId="7572977E" w14:textId="62FDBD4F" w:rsidR="004876D0" w:rsidRPr="00C44CD0" w:rsidRDefault="004876D0" w:rsidP="004876D0">
      <w:pPr>
        <w:widowControl w:val="0"/>
        <w:autoSpaceDE w:val="0"/>
        <w:autoSpaceDN w:val="0"/>
        <w:spacing w:after="0" w:line="276" w:lineRule="auto"/>
        <w:jc w:val="both"/>
        <w:rPr>
          <w:rFonts w:ascii="Verdana" w:hAnsi="Verdana" w:cs="Arial"/>
          <w:shd w:val="clear" w:color="auto" w:fill="FFFFFF"/>
        </w:rPr>
      </w:pPr>
      <w:r w:rsidRPr="00C44CD0">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w:t>
      </w:r>
      <w:r w:rsidR="001311E7" w:rsidRPr="00C44CD0">
        <w:rPr>
          <w:rFonts w:ascii="Verdana" w:hAnsi="Verdana" w:cs="Arial"/>
          <w:shd w:val="clear" w:color="auto" w:fill="FFFFFF"/>
        </w:rPr>
        <w:t xml:space="preserve">C- 832 </w:t>
      </w:r>
      <w:r w:rsidR="00F36AFE" w:rsidRPr="00C44CD0">
        <w:rPr>
          <w:rFonts w:ascii="Verdana" w:hAnsi="Verdana" w:cs="Arial"/>
          <w:shd w:val="clear" w:color="auto" w:fill="FFFFFF"/>
        </w:rPr>
        <w:t xml:space="preserve">del 5 de diciembre de 2024, C- 203 del 27 de marzo del 2025, C- 635 </w:t>
      </w:r>
      <w:r w:rsidR="00F36AFE" w:rsidRPr="00C44CD0">
        <w:rPr>
          <w:rFonts w:ascii="Verdana" w:hAnsi="Verdana" w:cs="Arial"/>
          <w:shd w:val="clear" w:color="auto" w:fill="FFFFFF"/>
        </w:rPr>
        <w:lastRenderedPageBreak/>
        <w:t xml:space="preserve">del 27 de junio de 2025, C- 1704 del 19 de diciembre de 2025, </w:t>
      </w:r>
      <w:r w:rsidRPr="00C44CD0">
        <w:rPr>
          <w:rFonts w:ascii="Verdana" w:hAnsi="Verdana" w:cs="Arial"/>
          <w:shd w:val="clear" w:color="auto" w:fill="FFFFFF"/>
        </w:rPr>
        <w:t>C-696 del 11 de julio de 2025, C-708 del 15 de julio de 2025, C-1186 del 17 de septiembre de 2025, C-1350 del 1˚ de octubre de 2025, C-1430 del 12 de noviembre del 2025</w:t>
      </w:r>
      <w:r w:rsidR="00F36AFE" w:rsidRPr="00C44CD0">
        <w:rPr>
          <w:rFonts w:ascii="Verdana" w:hAnsi="Verdana" w:cs="Arial"/>
          <w:shd w:val="clear" w:color="auto" w:fill="FFFFFF"/>
        </w:rPr>
        <w:t>,</w:t>
      </w:r>
      <w:r w:rsidRPr="00C44CD0">
        <w:rPr>
          <w:rFonts w:ascii="Verdana" w:hAnsi="Verdana" w:cs="Arial"/>
          <w:shd w:val="clear" w:color="auto" w:fill="FFFFFF"/>
        </w:rPr>
        <w:t xml:space="preserve"> C-1492 del 21 de noviembre del 2025</w:t>
      </w:r>
      <w:r w:rsidR="00F36AFE" w:rsidRPr="00C44CD0">
        <w:rPr>
          <w:rFonts w:ascii="Verdana" w:hAnsi="Verdana" w:cs="Arial"/>
          <w:shd w:val="clear" w:color="auto" w:fill="FFFFFF"/>
        </w:rPr>
        <w:t>,</w:t>
      </w:r>
      <w:r w:rsidRPr="00C44CD0">
        <w:rPr>
          <w:rFonts w:ascii="Verdana" w:hAnsi="Verdana" w:cs="Arial"/>
          <w:shd w:val="clear" w:color="auto" w:fill="FFFFFF"/>
        </w:rPr>
        <w:t xml:space="preserve"> C-1608 del 4 de diciembre de 2025</w:t>
      </w:r>
      <w:r w:rsidR="00F36AFE" w:rsidRPr="00C44CD0">
        <w:rPr>
          <w:rFonts w:ascii="Verdana" w:hAnsi="Verdana" w:cs="Arial"/>
          <w:shd w:val="clear" w:color="auto" w:fill="FFFFFF"/>
        </w:rPr>
        <w:t>, C</w:t>
      </w:r>
      <w:r w:rsidR="008F1304" w:rsidRPr="00C44CD0">
        <w:rPr>
          <w:rFonts w:ascii="Verdana" w:hAnsi="Verdana" w:cs="Arial"/>
          <w:shd w:val="clear" w:color="auto" w:fill="FFFFFF"/>
        </w:rPr>
        <w:t>-</w:t>
      </w:r>
      <w:r w:rsidR="00F36AFE" w:rsidRPr="00C44CD0">
        <w:rPr>
          <w:rFonts w:ascii="Verdana" w:hAnsi="Verdana" w:cs="Arial"/>
          <w:shd w:val="clear" w:color="auto" w:fill="FFFFFF"/>
        </w:rPr>
        <w:t>146 del 12 de marzo de 2026, C</w:t>
      </w:r>
      <w:r w:rsidR="008F1304" w:rsidRPr="00C44CD0">
        <w:rPr>
          <w:rFonts w:ascii="Verdana" w:hAnsi="Verdana" w:cs="Arial"/>
          <w:shd w:val="clear" w:color="auto" w:fill="FFFFFF"/>
        </w:rPr>
        <w:t>-</w:t>
      </w:r>
      <w:r w:rsidR="00F36AFE" w:rsidRPr="00C44CD0">
        <w:rPr>
          <w:rFonts w:ascii="Verdana" w:hAnsi="Verdana" w:cs="Arial"/>
          <w:shd w:val="clear" w:color="auto" w:fill="FFFFFF"/>
        </w:rPr>
        <w:t>175 del 17 de marzo de 2026 y C</w:t>
      </w:r>
      <w:r w:rsidR="008F1304" w:rsidRPr="00C44CD0">
        <w:rPr>
          <w:rFonts w:ascii="Verdana" w:hAnsi="Verdana" w:cs="Arial"/>
          <w:shd w:val="clear" w:color="auto" w:fill="FFFFFF"/>
        </w:rPr>
        <w:t>-</w:t>
      </w:r>
      <w:r w:rsidR="00F36AFE" w:rsidRPr="00C44CD0">
        <w:rPr>
          <w:rFonts w:ascii="Verdana" w:hAnsi="Verdana" w:cs="Arial"/>
          <w:shd w:val="clear" w:color="auto" w:fill="FFFFFF"/>
        </w:rPr>
        <w:t>183 del 18 de marzo de 2026</w:t>
      </w:r>
      <w:r w:rsidRPr="00C44CD0">
        <w:rPr>
          <w:rFonts w:ascii="Verdana" w:hAnsi="Verdana" w:cs="Arial"/>
          <w:shd w:val="clear" w:color="auto" w:fill="FFFFFF"/>
        </w:rPr>
        <w:t>. Es</w:t>
      </w:r>
      <w:r w:rsidRPr="00C44CD0">
        <w:rPr>
          <w:rFonts w:ascii="Verdana" w:hAnsi="Verdana"/>
        </w:rPr>
        <w:t>tos y otros conceptos se encuentran disponibles para consulta en el Sistema de relatoría de la Agencia, al cual se puede acceder a través del siguiente enlace:</w:t>
      </w:r>
      <w:r w:rsidRPr="00C44CD0">
        <w:rPr>
          <w:rFonts w:ascii="Verdana" w:hAnsi="Verdana" w:cs="Arial"/>
          <w:shd w:val="clear" w:color="auto" w:fill="FFFFFF"/>
        </w:rPr>
        <w:t xml:space="preserve"> </w:t>
      </w:r>
      <w:hyperlink r:id="rId13" w:history="1">
        <w:r w:rsidRPr="00C44CD0">
          <w:rPr>
            <w:rFonts w:ascii="Verdana" w:hAnsi="Verdana" w:cs="Arial"/>
            <w:color w:val="0563C1" w:themeColor="hyperlink"/>
            <w:u w:val="single"/>
            <w:shd w:val="clear" w:color="auto" w:fill="FFFFFF"/>
          </w:rPr>
          <w:t>https://relatoria.colombiacompra.gov.co/busqueda/conceptos</w:t>
        </w:r>
      </w:hyperlink>
    </w:p>
    <w:p w14:paraId="482AA5BF" w14:textId="77777777" w:rsidR="004876D0" w:rsidRPr="00C44CD0" w:rsidRDefault="004876D0" w:rsidP="004876D0">
      <w:pPr>
        <w:widowControl w:val="0"/>
        <w:autoSpaceDE w:val="0"/>
        <w:autoSpaceDN w:val="0"/>
        <w:spacing w:after="0" w:line="276" w:lineRule="auto"/>
        <w:jc w:val="both"/>
        <w:rPr>
          <w:rFonts w:ascii="Verdana" w:hAnsi="Verdana" w:cs="Arial"/>
          <w:shd w:val="clear" w:color="auto" w:fill="FFFFFF"/>
        </w:rPr>
      </w:pPr>
    </w:p>
    <w:p w14:paraId="27257CA9" w14:textId="77777777" w:rsidR="004876D0" w:rsidRPr="00C44CD0" w:rsidRDefault="004876D0" w:rsidP="004876D0">
      <w:pPr>
        <w:widowControl w:val="0"/>
        <w:autoSpaceDE w:val="0"/>
        <w:autoSpaceDN w:val="0"/>
        <w:spacing w:after="0" w:line="276" w:lineRule="auto"/>
        <w:jc w:val="both"/>
        <w:rPr>
          <w:rFonts w:ascii="Verdana" w:hAnsi="Verdana"/>
          <w:color w:val="000000"/>
        </w:rPr>
      </w:pPr>
      <w:r w:rsidRPr="00C44CD0">
        <w:rPr>
          <w:rFonts w:ascii="Verdana" w:hAnsi="Verdana"/>
          <w:color w:val="000000"/>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4" w:history="1">
        <w:r w:rsidRPr="00C44CD0">
          <w:rPr>
            <w:rStyle w:val="Hipervnculo"/>
            <w:rFonts w:ascii="Verdana" w:hAnsi="Verdana"/>
          </w:rPr>
          <w:t>https://formacionvirtual.colombiacompra.gov.co/mod/page/view.php?id=3718</w:t>
        </w:r>
      </w:hyperlink>
    </w:p>
    <w:p w14:paraId="642C24ED" w14:textId="77777777" w:rsidR="004876D0" w:rsidRPr="00C44CD0" w:rsidRDefault="004876D0" w:rsidP="004876D0">
      <w:pPr>
        <w:widowControl w:val="0"/>
        <w:autoSpaceDE w:val="0"/>
        <w:autoSpaceDN w:val="0"/>
        <w:spacing w:after="0" w:line="276" w:lineRule="auto"/>
        <w:jc w:val="both"/>
        <w:rPr>
          <w:rFonts w:ascii="Verdana" w:hAnsi="Verdana"/>
          <w:color w:val="000000"/>
        </w:rPr>
      </w:pPr>
    </w:p>
    <w:p w14:paraId="0C918785" w14:textId="77777777" w:rsidR="004876D0" w:rsidRPr="00C44CD0" w:rsidRDefault="004876D0" w:rsidP="004876D0">
      <w:pPr>
        <w:widowControl w:val="0"/>
        <w:autoSpaceDE w:val="0"/>
        <w:autoSpaceDN w:val="0"/>
        <w:spacing w:after="0" w:line="276" w:lineRule="auto"/>
        <w:jc w:val="both"/>
        <w:rPr>
          <w:rFonts w:ascii="Verdana" w:hAnsi="Verdana"/>
          <w:color w:val="000000"/>
        </w:rPr>
      </w:pPr>
      <w:r w:rsidRPr="00C44CD0">
        <w:rPr>
          <w:rFonts w:ascii="Verdana" w:hAnsi="Verdana"/>
          <w:color w:val="000000"/>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5" w:history="1">
        <w:r w:rsidRPr="00C44CD0">
          <w:rPr>
            <w:rStyle w:val="Hipervnculo"/>
            <w:rFonts w:ascii="Verdana" w:hAnsi="Verdana"/>
          </w:rPr>
          <w:t>https://www.colombiacompra.gov.co/normativa-y-relatoria/documentos-tipo</w:t>
        </w:r>
      </w:hyperlink>
    </w:p>
    <w:p w14:paraId="4608B09D" w14:textId="77777777" w:rsidR="004876D0" w:rsidRPr="00C44CD0" w:rsidRDefault="004876D0" w:rsidP="004876D0">
      <w:pPr>
        <w:widowControl w:val="0"/>
        <w:autoSpaceDE w:val="0"/>
        <w:autoSpaceDN w:val="0"/>
        <w:spacing w:after="0" w:line="276" w:lineRule="auto"/>
        <w:jc w:val="both"/>
        <w:rPr>
          <w:rFonts w:ascii="Verdana" w:hAnsi="Verdana"/>
          <w:color w:val="000000"/>
        </w:rPr>
      </w:pPr>
    </w:p>
    <w:p w14:paraId="566C52D2" w14:textId="77777777" w:rsidR="004876D0" w:rsidRPr="00C44CD0" w:rsidRDefault="004876D0" w:rsidP="004876D0">
      <w:pPr>
        <w:widowControl w:val="0"/>
        <w:autoSpaceDE w:val="0"/>
        <w:autoSpaceDN w:val="0"/>
        <w:spacing w:after="0" w:line="276" w:lineRule="auto"/>
        <w:jc w:val="both"/>
        <w:rPr>
          <w:rFonts w:ascii="Verdana" w:hAnsi="Verdana"/>
          <w:color w:val="000000"/>
        </w:rPr>
      </w:pPr>
      <w:r w:rsidRPr="00C44CD0">
        <w:rPr>
          <w:rFonts w:ascii="Verdana" w:hAnsi="Verdana"/>
          <w:color w:val="000000"/>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w:t>
      </w:r>
      <w:r w:rsidRPr="00C44CD0">
        <w:rPr>
          <w:rFonts w:ascii="Verdana" w:hAnsi="Verdana"/>
          <w:color w:val="000000"/>
        </w:rPr>
        <w:lastRenderedPageBreak/>
        <w:t xml:space="preserve">procesos contractuales. Además se incluyeron lineamientos que orientan la implementación de los criterios ambientales y sociales incluidos en los documentos tipo: Consulta la guía aquí: </w:t>
      </w:r>
      <w:hyperlink r:id="rId16" w:history="1">
        <w:r w:rsidRPr="00C44CD0">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4B22FB0" w14:textId="77777777" w:rsidR="004876D0" w:rsidRPr="00C44CD0" w:rsidRDefault="004876D0" w:rsidP="004876D0">
      <w:pPr>
        <w:shd w:val="clear" w:color="auto" w:fill="FFFFFF"/>
        <w:spacing w:after="0" w:line="276" w:lineRule="auto"/>
        <w:jc w:val="both"/>
        <w:rPr>
          <w:rFonts w:ascii="Verdana" w:hAnsi="Verdana"/>
          <w:color w:val="467886"/>
          <w:u w:val="single"/>
        </w:rPr>
      </w:pPr>
    </w:p>
    <w:p w14:paraId="12DC2DE9" w14:textId="77777777" w:rsidR="004876D0" w:rsidRPr="00C44CD0" w:rsidRDefault="004876D0" w:rsidP="004876D0">
      <w:pPr>
        <w:shd w:val="clear" w:color="auto" w:fill="FFFFFF"/>
        <w:spacing w:after="0" w:line="276" w:lineRule="auto"/>
        <w:jc w:val="both"/>
        <w:rPr>
          <w:rFonts w:ascii="Verdana" w:hAnsi="Verdana"/>
          <w:color w:val="467886"/>
          <w:u w:val="single"/>
        </w:rPr>
      </w:pPr>
      <w:r w:rsidRPr="00C44CD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3D9F540" w14:textId="77777777" w:rsidR="004876D0" w:rsidRPr="00C44CD0" w:rsidRDefault="004876D0" w:rsidP="004876D0">
      <w:pPr>
        <w:spacing w:after="0" w:line="276" w:lineRule="auto"/>
        <w:jc w:val="both"/>
        <w:rPr>
          <w:rFonts w:ascii="Verdana" w:hAnsi="Verdana"/>
        </w:rPr>
      </w:pPr>
    </w:p>
    <w:p w14:paraId="7BA2552A" w14:textId="77777777" w:rsidR="004876D0" w:rsidRPr="00C44CD0" w:rsidRDefault="004876D0" w:rsidP="004876D0">
      <w:pPr>
        <w:numPr>
          <w:ilvl w:val="0"/>
          <w:numId w:val="15"/>
        </w:numPr>
        <w:spacing w:after="0" w:line="276" w:lineRule="auto"/>
        <w:jc w:val="both"/>
        <w:rPr>
          <w:rFonts w:ascii="Verdana" w:eastAsia="Verdana" w:hAnsi="Verdana" w:cs="Verdana"/>
          <w:color w:val="4472C4" w:themeColor="accent1"/>
          <w:u w:val="single"/>
          <w:lang w:val="es-MX"/>
        </w:rPr>
      </w:pPr>
      <w:r w:rsidRPr="00C44CD0">
        <w:rPr>
          <w:rFonts w:ascii="Verdana" w:eastAsia="Verdana" w:hAnsi="Verdana" w:cs="Verdana"/>
          <w:lang w:val="es-MX"/>
        </w:rPr>
        <w:t xml:space="preserve">Línea nacional gratuita o servicio a la ciudadanía (Mesa de servicio): </w:t>
      </w:r>
      <w:r w:rsidRPr="00C44CD0">
        <w:rPr>
          <w:rFonts w:ascii="Verdana" w:hAnsi="Verdana"/>
          <w:color w:val="0000FF"/>
          <w:u w:val="single"/>
          <w:lang w:val="es-ES"/>
        </w:rPr>
        <w:t>01800 0520808</w:t>
      </w:r>
    </w:p>
    <w:p w14:paraId="1DAA1FF3" w14:textId="77777777" w:rsidR="004876D0" w:rsidRPr="00C44CD0" w:rsidRDefault="004876D0" w:rsidP="004876D0">
      <w:pPr>
        <w:numPr>
          <w:ilvl w:val="0"/>
          <w:numId w:val="15"/>
        </w:numPr>
        <w:spacing w:after="0" w:line="276" w:lineRule="auto"/>
        <w:rPr>
          <w:rFonts w:ascii="Verdana" w:eastAsia="Verdana" w:hAnsi="Verdana" w:cs="Verdana"/>
          <w:color w:val="4472C4" w:themeColor="accent1"/>
          <w:u w:val="single"/>
          <w:lang w:val="es-MX"/>
        </w:rPr>
      </w:pPr>
      <w:r w:rsidRPr="00C44CD0">
        <w:rPr>
          <w:rFonts w:ascii="Verdana" w:eastAsia="Verdana" w:hAnsi="Verdana" w:cs="Verdana"/>
          <w:lang w:val="es-MX"/>
        </w:rPr>
        <w:t>Línea en Bogotá (Mesa de servicio):</w:t>
      </w:r>
      <w:r w:rsidRPr="00C44CD0">
        <w:rPr>
          <w:rFonts w:ascii="Verdana" w:hAnsi="Verdana"/>
          <w:color w:val="0000FF"/>
          <w:u w:val="single"/>
          <w:lang w:val="es-ES"/>
        </w:rPr>
        <w:t>+57 601 7456788</w:t>
      </w:r>
    </w:p>
    <w:p w14:paraId="22987223" w14:textId="77777777" w:rsidR="004876D0" w:rsidRPr="00C44CD0" w:rsidRDefault="004876D0" w:rsidP="004876D0">
      <w:pPr>
        <w:numPr>
          <w:ilvl w:val="0"/>
          <w:numId w:val="15"/>
        </w:numPr>
        <w:spacing w:after="0" w:line="276" w:lineRule="auto"/>
        <w:rPr>
          <w:rFonts w:ascii="Verdana" w:eastAsia="Verdana" w:hAnsi="Verdana" w:cs="Verdana"/>
          <w:color w:val="0000FF"/>
          <w:u w:val="single"/>
          <w:lang w:val="es-MX"/>
        </w:rPr>
      </w:pPr>
      <w:r w:rsidRPr="00C44CD0">
        <w:rPr>
          <w:rFonts w:ascii="Verdana" w:eastAsia="Verdana" w:hAnsi="Verdana" w:cs="Verdana"/>
          <w:lang w:val="es-MX"/>
        </w:rPr>
        <w:t xml:space="preserve">Correo de radicación de correspondencia: </w:t>
      </w:r>
      <w:hyperlink r:id="rId17" w:history="1">
        <w:r w:rsidRPr="00C44CD0">
          <w:rPr>
            <w:rFonts w:ascii="Verdana" w:eastAsia="Verdana" w:hAnsi="Verdana" w:cs="Verdana"/>
            <w:color w:val="0000FF"/>
            <w:u w:val="single"/>
            <w:lang w:val="es-MX"/>
          </w:rPr>
          <w:t>ventanilladeradicacion@colombiacompra.gov.co</w:t>
        </w:r>
      </w:hyperlink>
    </w:p>
    <w:p w14:paraId="4D5F7FC8" w14:textId="77777777" w:rsidR="004876D0" w:rsidRPr="00C44CD0" w:rsidRDefault="004876D0" w:rsidP="004876D0">
      <w:pPr>
        <w:numPr>
          <w:ilvl w:val="0"/>
          <w:numId w:val="15"/>
        </w:numPr>
        <w:spacing w:after="0" w:line="276" w:lineRule="auto"/>
        <w:rPr>
          <w:rFonts w:ascii="Verdana" w:eastAsia="Verdana" w:hAnsi="Verdana" w:cs="Verdana"/>
          <w:color w:val="0000FF"/>
          <w:u w:val="single"/>
          <w:lang w:val="es-MX"/>
        </w:rPr>
      </w:pPr>
      <w:r w:rsidRPr="00C44CD0">
        <w:rPr>
          <w:rFonts w:ascii="Verdana" w:eastAsia="Verdana" w:hAnsi="Verdana" w:cs="Verdana"/>
          <w:lang w:val="es-ES"/>
        </w:rPr>
        <w:t xml:space="preserve">Formulario web para PQRSD: </w:t>
      </w:r>
      <w:hyperlink r:id="rId18" w:history="1">
        <w:r w:rsidRPr="00C44CD0">
          <w:rPr>
            <w:rFonts w:ascii="Verdana" w:eastAsia="Verdana" w:hAnsi="Verdana" w:cs="Verdana"/>
            <w:color w:val="0000FF"/>
            <w:u w:val="single"/>
            <w:lang w:val="es-MX"/>
          </w:rPr>
          <w:t>https://www.colombiacompra.gov.co/pqrsd/informacion-importante-antes-de-formular-una-pqrsd</w:t>
        </w:r>
      </w:hyperlink>
    </w:p>
    <w:p w14:paraId="63B5F80A" w14:textId="77777777" w:rsidR="004876D0" w:rsidRPr="00C44CD0" w:rsidRDefault="004876D0" w:rsidP="004876D0">
      <w:pPr>
        <w:spacing w:after="0" w:line="276" w:lineRule="auto"/>
        <w:ind w:left="720"/>
        <w:jc w:val="both"/>
        <w:rPr>
          <w:rFonts w:ascii="Verdana" w:hAnsi="Verdana"/>
        </w:rPr>
      </w:pPr>
    </w:p>
    <w:p w14:paraId="56F99669" w14:textId="77777777" w:rsidR="004876D0" w:rsidRPr="00C44CD0" w:rsidRDefault="004876D0" w:rsidP="004876D0">
      <w:pPr>
        <w:spacing w:after="0" w:line="276" w:lineRule="auto"/>
        <w:jc w:val="both"/>
        <w:rPr>
          <w:rFonts w:ascii="Verdana" w:hAnsi="Verdana"/>
        </w:rPr>
      </w:pPr>
      <w:r w:rsidRPr="00C44CD0">
        <w:rPr>
          <w:rFonts w:ascii="Verdana" w:hAnsi="Verdana"/>
        </w:rPr>
        <w:t xml:space="preserve">Evalúa el servicio que ofrece la Agencia por el canal de atención de PQRSD en el siguiente enlace: </w:t>
      </w:r>
      <w:hyperlink r:id="rId19" w:history="1">
        <w:r w:rsidRPr="00C44CD0">
          <w:rPr>
            <w:rStyle w:val="Hipervnculo"/>
            <w:rFonts w:ascii="Verdana" w:hAnsi="Verdana"/>
          </w:rPr>
          <w:t>https://forms.office.com/r/pPHyWVs2SZ</w:t>
        </w:r>
      </w:hyperlink>
      <w:r w:rsidRPr="00C44CD0">
        <w:rPr>
          <w:rFonts w:ascii="Verdana" w:hAnsi="Verdana"/>
        </w:rPr>
        <w:t xml:space="preserve"> .¡Ayúdanos a mejorar porque el compromiso es de todos!</w:t>
      </w:r>
    </w:p>
    <w:p w14:paraId="400C20DF" w14:textId="77777777" w:rsidR="004876D0" w:rsidRPr="00C44CD0" w:rsidRDefault="004876D0" w:rsidP="004876D0">
      <w:pPr>
        <w:spacing w:after="0" w:line="276" w:lineRule="auto"/>
        <w:rPr>
          <w:rFonts w:ascii="Verdana" w:hAnsi="Verdana"/>
        </w:rPr>
      </w:pPr>
    </w:p>
    <w:p w14:paraId="2C55E5FA" w14:textId="77777777" w:rsidR="004876D0" w:rsidRPr="00C44CD0" w:rsidRDefault="004876D0" w:rsidP="004876D0">
      <w:pPr>
        <w:spacing w:after="0" w:line="276" w:lineRule="auto"/>
        <w:jc w:val="both"/>
        <w:rPr>
          <w:rFonts w:ascii="Verdana" w:hAnsi="Verdana"/>
        </w:rPr>
      </w:pPr>
      <w:r w:rsidRPr="00C44CD0">
        <w:rPr>
          <w:rFonts w:ascii="Verdana" w:hAnsi="Verdana"/>
        </w:rPr>
        <w:t xml:space="preserve">Por último, lo invitamos a seguirnos en las redes sociales en las cuales se difunde información institucional: </w:t>
      </w:r>
    </w:p>
    <w:p w14:paraId="76646EED" w14:textId="77777777" w:rsidR="004876D0" w:rsidRPr="00C44CD0" w:rsidRDefault="004876D0" w:rsidP="004876D0">
      <w:pPr>
        <w:spacing w:after="0" w:line="276" w:lineRule="auto"/>
        <w:jc w:val="both"/>
        <w:rPr>
          <w:rFonts w:ascii="Verdana" w:hAnsi="Verdana"/>
        </w:rPr>
      </w:pPr>
    </w:p>
    <w:p w14:paraId="06006267" w14:textId="77777777" w:rsidR="004876D0" w:rsidRPr="00C44CD0" w:rsidRDefault="004876D0" w:rsidP="004876D0">
      <w:pPr>
        <w:spacing w:after="0" w:line="276" w:lineRule="auto"/>
        <w:jc w:val="both"/>
        <w:rPr>
          <w:rFonts w:ascii="Verdana" w:hAnsi="Verdana"/>
        </w:rPr>
      </w:pPr>
      <w:r w:rsidRPr="00C44CD0">
        <w:rPr>
          <w:rFonts w:ascii="Verdana" w:hAnsi="Verdana"/>
        </w:rPr>
        <w:t xml:space="preserve">Twitter: </w:t>
      </w:r>
      <w:r w:rsidRPr="00C44CD0">
        <w:rPr>
          <w:rFonts w:ascii="Verdana" w:hAnsi="Verdana"/>
          <w:color w:val="0000FF"/>
          <w:u w:val="single"/>
        </w:rPr>
        <w:t>@colombiacompra</w:t>
      </w:r>
      <w:r w:rsidRPr="00C44CD0">
        <w:rPr>
          <w:rFonts w:ascii="Verdana" w:hAnsi="Verdana"/>
        </w:rPr>
        <w:t xml:space="preserve"> </w:t>
      </w:r>
    </w:p>
    <w:p w14:paraId="57CBB6E6" w14:textId="77777777" w:rsidR="004876D0" w:rsidRPr="00C44CD0" w:rsidRDefault="004876D0" w:rsidP="004876D0">
      <w:pPr>
        <w:spacing w:after="0" w:line="276" w:lineRule="auto"/>
        <w:jc w:val="both"/>
        <w:rPr>
          <w:rFonts w:ascii="Verdana" w:hAnsi="Verdana"/>
        </w:rPr>
      </w:pPr>
      <w:r w:rsidRPr="00C44CD0">
        <w:rPr>
          <w:rFonts w:ascii="Verdana" w:hAnsi="Verdana"/>
        </w:rPr>
        <w:t xml:space="preserve">Facebook: </w:t>
      </w:r>
      <w:proofErr w:type="spellStart"/>
      <w:r w:rsidRPr="00C44CD0">
        <w:rPr>
          <w:rFonts w:ascii="Verdana" w:hAnsi="Verdana"/>
          <w:color w:val="0000FF"/>
          <w:u w:val="single"/>
        </w:rPr>
        <w:t>ColombiaCompraEficiente</w:t>
      </w:r>
      <w:proofErr w:type="spellEnd"/>
    </w:p>
    <w:p w14:paraId="3D347936" w14:textId="77777777" w:rsidR="004876D0" w:rsidRPr="00C44CD0" w:rsidRDefault="004876D0" w:rsidP="004876D0">
      <w:pPr>
        <w:spacing w:after="0" w:line="276" w:lineRule="auto"/>
        <w:jc w:val="both"/>
        <w:rPr>
          <w:rFonts w:ascii="Verdana" w:hAnsi="Verdana"/>
        </w:rPr>
      </w:pPr>
      <w:r w:rsidRPr="00C44CD0">
        <w:rPr>
          <w:rFonts w:ascii="Verdana" w:hAnsi="Verdana"/>
        </w:rPr>
        <w:t xml:space="preserve">LinkedIn: </w:t>
      </w:r>
      <w:r w:rsidRPr="00C44CD0">
        <w:rPr>
          <w:rFonts w:ascii="Verdana" w:hAnsi="Verdana"/>
          <w:color w:val="0000FF"/>
          <w:u w:val="single"/>
        </w:rPr>
        <w:t>Agencia Nacional de Contratación Pública - Colombia Compra Eficiente</w:t>
      </w:r>
      <w:r w:rsidRPr="00C44CD0">
        <w:rPr>
          <w:rFonts w:ascii="Verdana" w:hAnsi="Verdana"/>
        </w:rPr>
        <w:t xml:space="preserve"> Instagram: </w:t>
      </w:r>
      <w:r w:rsidRPr="00C44CD0">
        <w:rPr>
          <w:rFonts w:ascii="Verdana" w:hAnsi="Verdana"/>
          <w:color w:val="0000FF"/>
          <w:u w:val="single"/>
        </w:rPr>
        <w:t>@colombiacompraeficiente_cce</w:t>
      </w:r>
    </w:p>
    <w:p w14:paraId="211AD66C" w14:textId="77777777" w:rsidR="004876D0" w:rsidRPr="00C44CD0" w:rsidRDefault="004876D0" w:rsidP="004876D0">
      <w:pPr>
        <w:widowControl w:val="0"/>
        <w:autoSpaceDE w:val="0"/>
        <w:autoSpaceDN w:val="0"/>
        <w:spacing w:after="0" w:line="276" w:lineRule="auto"/>
        <w:jc w:val="both"/>
        <w:rPr>
          <w:rFonts w:ascii="Verdana" w:hAnsi="Verdana" w:cs="Arial"/>
          <w:color w:val="FF0000"/>
          <w:shd w:val="clear" w:color="auto" w:fill="FFFFFF"/>
          <w:lang w:val="es-ES_tradnl"/>
        </w:rPr>
      </w:pPr>
      <w:r w:rsidRPr="00C44CD0">
        <w:rPr>
          <w:rFonts w:ascii="Verdana" w:hAnsi="Verdana" w:cs="Arial"/>
          <w:color w:val="FF0000"/>
          <w:shd w:val="clear" w:color="auto" w:fill="FFFFFF"/>
          <w:lang w:val="es-ES_tradnl"/>
        </w:rPr>
        <w:t xml:space="preserve">        </w:t>
      </w:r>
    </w:p>
    <w:p w14:paraId="1DA0C3DB" w14:textId="77777777" w:rsidR="004876D0" w:rsidRPr="00C44CD0" w:rsidRDefault="004876D0" w:rsidP="004876D0">
      <w:pPr>
        <w:widowControl w:val="0"/>
        <w:autoSpaceDE w:val="0"/>
        <w:autoSpaceDN w:val="0"/>
        <w:spacing w:after="0" w:line="276" w:lineRule="auto"/>
        <w:jc w:val="both"/>
        <w:rPr>
          <w:rFonts w:ascii="Verdana" w:hAnsi="Verdana" w:cs="Arial"/>
          <w:lang w:val="es-ES_tradnl"/>
        </w:rPr>
      </w:pPr>
      <w:r w:rsidRPr="00C44CD0">
        <w:rPr>
          <w:rFonts w:ascii="Verdana" w:hAnsi="Verdana" w:cs="Arial"/>
          <w:lang w:val="es-ES_tradnl"/>
        </w:rPr>
        <w:t xml:space="preserve">Este concepto tiene el alcance previsto en el artículo 28 del Código de </w:t>
      </w:r>
      <w:r w:rsidRPr="00C44CD0">
        <w:rPr>
          <w:rFonts w:ascii="Verdana" w:hAnsi="Verdana" w:cs="Arial"/>
          <w:lang w:val="es-ES_tradnl"/>
        </w:rPr>
        <w:lastRenderedPageBreak/>
        <w:t xml:space="preserve">Procedimiento Administrativo y de lo Contencioso Administrativo y las expresiones aquí utilizadas con mayúscula inicial deben ser entendidas con el significado que les otorga el artículo 2.2.1.1.1.3.1. del Decreto 1082 de 2015. </w:t>
      </w:r>
    </w:p>
    <w:p w14:paraId="3B865B23" w14:textId="77777777" w:rsidR="004876D0" w:rsidRPr="00C44CD0" w:rsidRDefault="004876D0" w:rsidP="004876D0">
      <w:pPr>
        <w:widowControl w:val="0"/>
        <w:autoSpaceDE w:val="0"/>
        <w:autoSpaceDN w:val="0"/>
        <w:spacing w:after="0" w:line="276" w:lineRule="auto"/>
        <w:jc w:val="both"/>
        <w:rPr>
          <w:rFonts w:ascii="Verdana" w:hAnsi="Verdana" w:cs="Arial"/>
          <w:lang w:val="es-ES_tradnl"/>
        </w:rPr>
      </w:pPr>
    </w:p>
    <w:p w14:paraId="2C63187F" w14:textId="77777777" w:rsidR="004876D0" w:rsidRPr="00C44CD0" w:rsidRDefault="004876D0" w:rsidP="004876D0">
      <w:pPr>
        <w:spacing w:after="0" w:line="276" w:lineRule="auto"/>
        <w:rPr>
          <w:rFonts w:ascii="Verdana" w:hAnsi="Verdana" w:cs="Arial"/>
          <w:lang w:val="es-ES_tradnl" w:eastAsia="es-CO"/>
        </w:rPr>
      </w:pPr>
      <w:r w:rsidRPr="00C44CD0">
        <w:rPr>
          <w:rFonts w:ascii="Verdana" w:eastAsia="Times New Roman" w:hAnsi="Verdana" w:cs="Arial"/>
          <w:lang w:val="es-ES" w:eastAsia="es-CO"/>
        </w:rPr>
        <w:t>Atentamente,</w:t>
      </w:r>
      <w:r w:rsidRPr="00C44CD0">
        <w:rPr>
          <w:rFonts w:ascii="Verdana" w:hAnsi="Verdana" w:cs="Arial"/>
          <w:lang w:val="es-ES" w:eastAsia="es-CO"/>
        </w:rPr>
        <w:t xml:space="preserve"> </w:t>
      </w:r>
    </w:p>
    <w:p w14:paraId="70AF7E40" w14:textId="1D4E27BB" w:rsidR="004876D0" w:rsidRPr="00C44CD0" w:rsidRDefault="00151DF6" w:rsidP="004876D0">
      <w:pPr>
        <w:spacing w:line="276" w:lineRule="auto"/>
        <w:ind w:left="708" w:hanging="708"/>
        <w:jc w:val="center"/>
        <w:rPr>
          <w:rFonts w:ascii="Verdana" w:hAnsi="Verdana" w:cs="Arial"/>
          <w:color w:val="000000"/>
          <w:lang w:val="es-ES_tradnl" w:eastAsia="es-CO"/>
        </w:rPr>
      </w:pPr>
      <w:r w:rsidRPr="002C3AD6">
        <w:rPr>
          <w:rFonts w:ascii="Century Gothic" w:hAnsi="Century Gothic"/>
          <w:noProof/>
        </w:rPr>
        <w:drawing>
          <wp:inline distT="0" distB="0" distL="0" distR="0" wp14:anchorId="5A56FAA9" wp14:editId="55DB1B6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876D0" w:rsidRPr="00C44CD0" w14:paraId="5E6D5345" w14:textId="77777777" w:rsidTr="00EA32A5">
        <w:trPr>
          <w:trHeight w:val="315"/>
        </w:trPr>
        <w:tc>
          <w:tcPr>
            <w:tcW w:w="893" w:type="dxa"/>
            <w:vAlign w:val="center"/>
            <w:hideMark/>
          </w:tcPr>
          <w:p w14:paraId="178B4D58" w14:textId="77777777" w:rsidR="004876D0" w:rsidRPr="00C44CD0" w:rsidRDefault="004876D0" w:rsidP="00EA32A5">
            <w:pPr>
              <w:contextualSpacing/>
              <w:rPr>
                <w:rFonts w:ascii="Verdana" w:hAnsi="Verdana" w:cs="Arial"/>
                <w:sz w:val="16"/>
                <w:szCs w:val="16"/>
                <w:lang w:val="es-ES" w:eastAsia="es-ES"/>
              </w:rPr>
            </w:pPr>
            <w:r w:rsidRPr="00C44CD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622F89E" w14:textId="4D22EE73" w:rsidR="004876D0" w:rsidRPr="00C44CD0" w:rsidRDefault="00F36AFE" w:rsidP="00EA32A5">
            <w:pPr>
              <w:contextualSpacing/>
              <w:rPr>
                <w:rFonts w:ascii="Verdana" w:hAnsi="Verdana"/>
                <w:sz w:val="16"/>
                <w:szCs w:val="16"/>
              </w:rPr>
            </w:pPr>
            <w:r w:rsidRPr="00C44CD0">
              <w:rPr>
                <w:rFonts w:ascii="Verdana" w:hAnsi="Verdana"/>
                <w:sz w:val="16"/>
                <w:szCs w:val="16"/>
              </w:rPr>
              <w:t xml:space="preserve">Camilo José Martínez </w:t>
            </w:r>
            <w:proofErr w:type="spellStart"/>
            <w:r w:rsidRPr="00C44CD0">
              <w:rPr>
                <w:rFonts w:ascii="Verdana" w:hAnsi="Verdana"/>
                <w:sz w:val="16"/>
                <w:szCs w:val="16"/>
              </w:rPr>
              <w:t>Martínez</w:t>
            </w:r>
            <w:proofErr w:type="spellEnd"/>
            <w:r w:rsidRPr="00C44CD0">
              <w:rPr>
                <w:rFonts w:ascii="Verdana" w:hAnsi="Verdana"/>
                <w:sz w:val="16"/>
                <w:szCs w:val="16"/>
              </w:rPr>
              <w:t xml:space="preserve"> </w:t>
            </w:r>
          </w:p>
          <w:p w14:paraId="16A8A276" w14:textId="77777777" w:rsidR="004876D0" w:rsidRPr="00C44CD0" w:rsidRDefault="004876D0" w:rsidP="00EA32A5">
            <w:pPr>
              <w:contextualSpacing/>
              <w:rPr>
                <w:rFonts w:ascii="Verdana" w:eastAsia="Arial" w:hAnsi="Verdana" w:cs="Arial"/>
                <w:sz w:val="16"/>
                <w:szCs w:val="16"/>
              </w:rPr>
            </w:pPr>
            <w:r w:rsidRPr="00C44CD0">
              <w:rPr>
                <w:rFonts w:ascii="Verdana" w:hAnsi="Verdana"/>
                <w:sz w:val="16"/>
                <w:szCs w:val="16"/>
              </w:rPr>
              <w:t>Contratista de la Subdirección de Gestión Contractual</w:t>
            </w:r>
          </w:p>
        </w:tc>
      </w:tr>
      <w:tr w:rsidR="004876D0" w:rsidRPr="00C44CD0" w14:paraId="3E0B1C1B" w14:textId="77777777" w:rsidTr="00EA32A5">
        <w:trPr>
          <w:trHeight w:val="330"/>
        </w:trPr>
        <w:tc>
          <w:tcPr>
            <w:tcW w:w="893" w:type="dxa"/>
            <w:vAlign w:val="center"/>
            <w:hideMark/>
          </w:tcPr>
          <w:p w14:paraId="23206612" w14:textId="77777777" w:rsidR="004876D0" w:rsidRPr="00C44CD0" w:rsidRDefault="004876D0" w:rsidP="00EA32A5">
            <w:pPr>
              <w:contextualSpacing/>
              <w:rPr>
                <w:rFonts w:ascii="Verdana" w:hAnsi="Verdana" w:cs="Arial"/>
                <w:sz w:val="16"/>
                <w:szCs w:val="16"/>
                <w:lang w:val="es-ES" w:eastAsia="es-ES"/>
              </w:rPr>
            </w:pPr>
            <w:r w:rsidRPr="00C44CD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F87883" w14:textId="77777777" w:rsidR="004876D0" w:rsidRPr="00C44CD0" w:rsidRDefault="004876D0" w:rsidP="00EA32A5">
            <w:pPr>
              <w:spacing w:before="100" w:beforeAutospacing="1" w:afterAutospacing="1"/>
              <w:contextualSpacing/>
              <w:textAlignment w:val="baseline"/>
              <w:rPr>
                <w:rFonts w:ascii="Verdana" w:eastAsia="Times New Roman" w:hAnsi="Verdana" w:cs="Arial"/>
                <w:sz w:val="16"/>
                <w:szCs w:val="16"/>
                <w:lang w:val="es-ES" w:eastAsia="es-ES_tradnl"/>
              </w:rPr>
            </w:pPr>
            <w:r w:rsidRPr="00C44CD0">
              <w:rPr>
                <w:rFonts w:ascii="Verdana" w:eastAsia="Times New Roman" w:hAnsi="Verdana" w:cs="Arial"/>
                <w:sz w:val="16"/>
                <w:szCs w:val="16"/>
                <w:lang w:val="es-ES" w:eastAsia="es-ES_tradnl"/>
              </w:rPr>
              <w:t>Diana Lucía Saavedra Castañeda</w:t>
            </w:r>
          </w:p>
          <w:p w14:paraId="5334075D" w14:textId="77777777" w:rsidR="004876D0" w:rsidRPr="00C44CD0" w:rsidRDefault="004876D0" w:rsidP="00EA32A5">
            <w:pPr>
              <w:spacing w:before="100" w:beforeAutospacing="1" w:afterAutospacing="1"/>
              <w:contextualSpacing/>
              <w:textAlignment w:val="baseline"/>
              <w:rPr>
                <w:rFonts w:ascii="Verdana" w:eastAsia="Times New Roman" w:hAnsi="Verdana" w:cs="Arial"/>
                <w:sz w:val="16"/>
                <w:szCs w:val="16"/>
                <w:lang w:val="es-ES" w:eastAsia="es-ES_tradnl"/>
              </w:rPr>
            </w:pPr>
            <w:r w:rsidRPr="00C44CD0">
              <w:rPr>
                <w:rFonts w:ascii="Verdana" w:eastAsia="Times New Roman" w:hAnsi="Verdana" w:cs="Arial"/>
                <w:sz w:val="16"/>
                <w:szCs w:val="16"/>
                <w:lang w:val="es-ES" w:eastAsia="es-ES_tradnl"/>
              </w:rPr>
              <w:t>Contratista de la Subdirección de Gestión Contractual</w:t>
            </w:r>
          </w:p>
          <w:p w14:paraId="66D96BD8" w14:textId="39ABEAFC" w:rsidR="004876D0" w:rsidRPr="00C44CD0" w:rsidRDefault="004876D0" w:rsidP="00EA32A5">
            <w:pPr>
              <w:contextualSpacing/>
              <w:textAlignment w:val="baseline"/>
              <w:rPr>
                <w:rFonts w:ascii="Verdana" w:eastAsia="Times New Roman" w:hAnsi="Verdana" w:cs="Segoe UI"/>
                <w:sz w:val="16"/>
                <w:szCs w:val="16"/>
                <w:lang w:eastAsia="es-ES_tradnl"/>
              </w:rPr>
            </w:pPr>
          </w:p>
        </w:tc>
      </w:tr>
      <w:tr w:rsidR="004876D0" w:rsidRPr="00A27102" w14:paraId="5F58F6CF" w14:textId="77777777" w:rsidTr="00EA32A5">
        <w:trPr>
          <w:trHeight w:val="300"/>
        </w:trPr>
        <w:tc>
          <w:tcPr>
            <w:tcW w:w="893" w:type="dxa"/>
            <w:vAlign w:val="center"/>
          </w:tcPr>
          <w:p w14:paraId="4B41FB18" w14:textId="77777777" w:rsidR="004876D0" w:rsidRPr="00C44CD0" w:rsidRDefault="004876D0" w:rsidP="00EA32A5">
            <w:pPr>
              <w:contextualSpacing/>
              <w:rPr>
                <w:rFonts w:ascii="Verdana" w:hAnsi="Verdana" w:cs="Arial"/>
                <w:sz w:val="16"/>
                <w:szCs w:val="16"/>
                <w:lang w:val="es-ES" w:eastAsia="es-ES"/>
              </w:rPr>
            </w:pPr>
            <w:r w:rsidRPr="00C44CD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4AA5E7" w14:textId="77777777" w:rsidR="004876D0" w:rsidRPr="00C44CD0" w:rsidRDefault="004876D0" w:rsidP="00EA32A5">
            <w:pPr>
              <w:contextualSpacing/>
              <w:rPr>
                <w:rFonts w:ascii="Verdana" w:eastAsia="Calibri" w:hAnsi="Verdana" w:cs="Arial"/>
                <w:sz w:val="16"/>
                <w:szCs w:val="16"/>
                <w:lang w:val="pt-BR" w:eastAsia="es-ES"/>
              </w:rPr>
            </w:pPr>
            <w:r w:rsidRPr="00C44CD0">
              <w:rPr>
                <w:rFonts w:ascii="Verdana" w:eastAsia="Calibri" w:hAnsi="Verdana" w:cs="Arial"/>
                <w:sz w:val="16"/>
                <w:szCs w:val="16"/>
                <w:lang w:val="pt-BR" w:eastAsia="es-ES"/>
              </w:rPr>
              <w:t>Carolina Quintero Gacharná</w:t>
            </w:r>
          </w:p>
          <w:p w14:paraId="73CB751E" w14:textId="77777777" w:rsidR="004876D0" w:rsidRPr="00A27102" w:rsidRDefault="004876D0" w:rsidP="00EA32A5">
            <w:pPr>
              <w:contextualSpacing/>
              <w:rPr>
                <w:rFonts w:ascii="Verdana" w:eastAsia="Calibri" w:hAnsi="Verdana" w:cs="Arial"/>
                <w:sz w:val="16"/>
                <w:szCs w:val="16"/>
                <w:lang w:val="pt-BR" w:eastAsia="es-ES"/>
              </w:rPr>
            </w:pPr>
            <w:r w:rsidRPr="00C44CD0">
              <w:rPr>
                <w:rFonts w:ascii="Verdana" w:eastAsia="Calibri" w:hAnsi="Verdana" w:cs="Arial"/>
                <w:sz w:val="16"/>
                <w:szCs w:val="16"/>
                <w:lang w:eastAsia="es-ES"/>
              </w:rPr>
              <w:t>Subdirectora</w:t>
            </w:r>
            <w:r w:rsidRPr="00C44CD0">
              <w:rPr>
                <w:rFonts w:ascii="Verdana" w:eastAsia="Calibri" w:hAnsi="Verdana" w:cs="Arial"/>
                <w:sz w:val="16"/>
                <w:szCs w:val="16"/>
                <w:lang w:val="pt-BR" w:eastAsia="es-ES"/>
              </w:rPr>
              <w:t xml:space="preserve"> de Gestión Contratual ANCP – CCE</w:t>
            </w:r>
          </w:p>
        </w:tc>
      </w:tr>
    </w:tbl>
    <w:p w14:paraId="7301473A" w14:textId="77777777" w:rsidR="004876D0" w:rsidRPr="000E2B93" w:rsidRDefault="004876D0" w:rsidP="004876D0">
      <w:pPr>
        <w:spacing w:after="0" w:line="240" w:lineRule="auto"/>
        <w:jc w:val="both"/>
        <w:textAlignment w:val="baseline"/>
        <w:rPr>
          <w:rFonts w:ascii="Verdana" w:eastAsia="Verdana" w:hAnsi="Verdana" w:cs="Verdana"/>
          <w:lang w:eastAsia="es-CO"/>
        </w:rPr>
      </w:pPr>
    </w:p>
    <w:p w14:paraId="131668B8" w14:textId="18041D5F" w:rsidR="004876D0" w:rsidRPr="000E2B93" w:rsidRDefault="004876D0" w:rsidP="004876D0">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35CC256B" w14:textId="77777777" w:rsidR="00F5369B" w:rsidRDefault="00F5369B" w:rsidP="009B4037">
      <w:pPr>
        <w:spacing w:after="0" w:line="240" w:lineRule="auto"/>
        <w:rPr>
          <w:rFonts w:ascii="Verdana" w:hAnsi="Verdana"/>
        </w:rPr>
      </w:pPr>
    </w:p>
    <w:sectPr w:rsidR="00F5369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4ABED" w14:textId="77777777" w:rsidR="008671C1" w:rsidRDefault="008671C1" w:rsidP="004A1847">
      <w:pPr>
        <w:spacing w:after="0" w:line="240" w:lineRule="auto"/>
      </w:pPr>
      <w:r>
        <w:separator/>
      </w:r>
    </w:p>
  </w:endnote>
  <w:endnote w:type="continuationSeparator" w:id="0">
    <w:p w14:paraId="5572B089" w14:textId="77777777" w:rsidR="008671C1" w:rsidRDefault="008671C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C08200" w14:textId="77777777" w:rsidR="008671C1" w:rsidRDefault="008671C1" w:rsidP="004A1847">
      <w:pPr>
        <w:spacing w:after="0" w:line="240" w:lineRule="auto"/>
      </w:pPr>
      <w:r>
        <w:separator/>
      </w:r>
    </w:p>
  </w:footnote>
  <w:footnote w:type="continuationSeparator" w:id="0">
    <w:p w14:paraId="161F0EE6" w14:textId="77777777" w:rsidR="008671C1" w:rsidRDefault="008671C1" w:rsidP="004A1847">
      <w:pPr>
        <w:spacing w:after="0" w:line="240" w:lineRule="auto"/>
      </w:pPr>
      <w:r>
        <w:continuationSeparator/>
      </w:r>
    </w:p>
  </w:footnote>
  <w:footnote w:id="1">
    <w:p w14:paraId="7DD51BF7" w14:textId="7650E929" w:rsidR="00B14F4D" w:rsidRPr="00C44CD0" w:rsidRDefault="00B14F4D" w:rsidP="00C44CD0">
      <w:pPr>
        <w:pStyle w:val="Textonotapie"/>
        <w:ind w:firstLine="708"/>
        <w:jc w:val="both"/>
        <w:rPr>
          <w:rFonts w:ascii="Verdana" w:hAnsi="Verdana"/>
          <w:sz w:val="16"/>
          <w:szCs w:val="16"/>
          <w:lang w:val="es-ES_tradnl"/>
        </w:rPr>
      </w:pPr>
      <w:r w:rsidRPr="00C44CD0">
        <w:rPr>
          <w:rStyle w:val="Refdenotaalpie"/>
          <w:rFonts w:ascii="Verdana" w:hAnsi="Verdana"/>
          <w:sz w:val="16"/>
          <w:szCs w:val="16"/>
        </w:rPr>
        <w:footnoteRef/>
      </w:r>
      <w:r w:rsidRPr="00C44CD0">
        <w:rPr>
          <w:rFonts w:ascii="Verdana" w:hAnsi="Verdana"/>
          <w:sz w:val="16"/>
          <w:szCs w:val="16"/>
        </w:rPr>
        <w:t xml:space="preserve"> Disponible en: </w:t>
      </w:r>
      <w:hyperlink r:id="rId1" w:history="1">
        <w:r w:rsidRPr="00C44CD0">
          <w:rPr>
            <w:rStyle w:val="Hipervnculo"/>
            <w:rFonts w:ascii="Verdana" w:hAnsi="Verdana"/>
            <w:sz w:val="16"/>
            <w:szCs w:val="16"/>
          </w:rPr>
          <w:t>https://www.colombiacompra.gov.co/wp-content/uploads/2024/08/circular_externa_unica_version_3_vf49.pdf</w:t>
        </w:r>
      </w:hyperlink>
      <w:r w:rsidRPr="00C44CD0">
        <w:rPr>
          <w:rFonts w:ascii="Verdana" w:hAnsi="Verdana"/>
          <w:sz w:val="16"/>
          <w:szCs w:val="16"/>
        </w:rPr>
        <w:t xml:space="preserve"> </w:t>
      </w:r>
    </w:p>
  </w:footnote>
  <w:footnote w:id="2">
    <w:p w14:paraId="0703E1F8" w14:textId="77777777" w:rsidR="004876D0" w:rsidRPr="000660E8" w:rsidRDefault="004876D0" w:rsidP="004876D0">
      <w:pPr>
        <w:pStyle w:val="Textonotapie"/>
        <w:ind w:firstLine="709"/>
        <w:jc w:val="both"/>
        <w:rPr>
          <w:rFonts w:ascii="Verdana" w:hAnsi="Verdana"/>
          <w:sz w:val="16"/>
          <w:szCs w:val="16"/>
          <w:lang w:val="es-CO"/>
        </w:rPr>
      </w:pPr>
      <w:r w:rsidRPr="000660E8">
        <w:rPr>
          <w:rStyle w:val="Refdenotaalpie"/>
          <w:rFonts w:ascii="Verdana" w:hAnsi="Verdana"/>
          <w:sz w:val="16"/>
          <w:szCs w:val="16"/>
        </w:rPr>
        <w:footnoteRef/>
      </w:r>
      <w:r w:rsidRPr="000660E8">
        <w:rPr>
          <w:rFonts w:ascii="Verdana" w:hAnsi="Verdana"/>
          <w:sz w:val="16"/>
          <w:szCs w:val="16"/>
        </w:rPr>
        <w:t xml:space="preserve"> Disponible en: </w:t>
      </w:r>
      <w:hyperlink r:id="rId2" w:history="1">
        <w:r w:rsidRPr="000660E8">
          <w:rPr>
            <w:rStyle w:val="Hipervnculo"/>
            <w:rFonts w:ascii="Verdana" w:hAnsi="Verdana"/>
            <w:sz w:val="16"/>
            <w:szCs w:val="16"/>
          </w:rPr>
          <w:t>https://www.colombiacompra.gov.co/base-conocimiento/gestion-contractual-envio-del-contrato-secop-ii</w:t>
        </w:r>
      </w:hyperlink>
      <w:r w:rsidRPr="000660E8">
        <w:rPr>
          <w:rFonts w:ascii="Verdana" w:hAnsi="Verdana"/>
          <w:sz w:val="16"/>
          <w:szCs w:val="16"/>
        </w:rPr>
        <w:t xml:space="preserve"> </w:t>
      </w:r>
    </w:p>
  </w:footnote>
  <w:footnote w:id="3">
    <w:p w14:paraId="3B00A895" w14:textId="77777777" w:rsidR="004876D0" w:rsidRPr="000660E8" w:rsidRDefault="004876D0" w:rsidP="004876D0">
      <w:pPr>
        <w:pStyle w:val="Textonotapie"/>
        <w:ind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3502C87" w14:textId="77777777" w:rsidR="004876D0" w:rsidRPr="000660E8" w:rsidRDefault="004876D0" w:rsidP="004876D0">
      <w:pPr>
        <w:pStyle w:val="Textonotapie"/>
        <w:ind w:firstLine="709"/>
        <w:jc w:val="both"/>
        <w:rPr>
          <w:rFonts w:ascii="Verdana" w:hAnsi="Verdana" w:cs="Arial"/>
          <w:sz w:val="16"/>
          <w:szCs w:val="16"/>
        </w:rPr>
      </w:pPr>
      <w:r w:rsidRPr="000660E8">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55C90D0F" w14:textId="77777777" w:rsidR="004876D0" w:rsidRPr="000660E8" w:rsidRDefault="004876D0" w:rsidP="004876D0">
      <w:pPr>
        <w:pStyle w:val="Textonotapie"/>
        <w:ind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Gaceta del Congreso de la República No. 71 del 2005.</w:t>
      </w:r>
    </w:p>
  </w:footnote>
  <w:footnote w:id="5">
    <w:p w14:paraId="1D06E65F" w14:textId="77777777" w:rsidR="004876D0" w:rsidRPr="000660E8" w:rsidRDefault="004876D0" w:rsidP="004876D0">
      <w:pPr>
        <w:pStyle w:val="Textonotapie"/>
        <w:ind w:firstLine="709"/>
        <w:jc w:val="both"/>
        <w:rPr>
          <w:rFonts w:ascii="Verdana" w:hAnsi="Verdana" w:cs="Arial"/>
          <w:sz w:val="16"/>
          <w:szCs w:val="16"/>
          <w:lang w:val="pt-BR"/>
        </w:rPr>
      </w:pPr>
      <w:r w:rsidRPr="000660E8">
        <w:rPr>
          <w:rStyle w:val="Refdenotaalpie"/>
          <w:rFonts w:ascii="Verdana" w:hAnsi="Verdana" w:cs="Arial"/>
          <w:sz w:val="16"/>
          <w:szCs w:val="16"/>
        </w:rPr>
        <w:footnoteRef/>
      </w:r>
      <w:r w:rsidRPr="000660E8">
        <w:rPr>
          <w:rFonts w:ascii="Verdana" w:hAnsi="Verdana" w:cs="Arial"/>
          <w:sz w:val="16"/>
          <w:szCs w:val="16"/>
          <w:lang w:val="pt-BR"/>
        </w:rPr>
        <w:t xml:space="preserve"> Corte Constitucional, Sentencia C- 1153 de 2005, M.P. Marco Gerardo Monroy Cabra.</w:t>
      </w:r>
    </w:p>
  </w:footnote>
  <w:footnote w:id="6">
    <w:p w14:paraId="2CC08FE6" w14:textId="77777777" w:rsidR="004876D0" w:rsidRPr="000660E8" w:rsidRDefault="004876D0" w:rsidP="004876D0">
      <w:pPr>
        <w:pStyle w:val="Textonotapie"/>
        <w:ind w:firstLine="709"/>
        <w:jc w:val="both"/>
        <w:rPr>
          <w:rFonts w:ascii="Verdana" w:hAnsi="Verdana" w:cs="Arial"/>
          <w:sz w:val="16"/>
          <w:szCs w:val="16"/>
          <w:lang w:val="pt-BR"/>
        </w:rPr>
      </w:pPr>
      <w:r w:rsidRPr="000660E8">
        <w:rPr>
          <w:rStyle w:val="Refdenotaalpie"/>
          <w:rFonts w:ascii="Verdana" w:hAnsi="Verdana" w:cs="Arial"/>
          <w:sz w:val="16"/>
          <w:szCs w:val="16"/>
        </w:rPr>
        <w:footnoteRef/>
      </w:r>
      <w:r w:rsidRPr="000660E8">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7">
    <w:p w14:paraId="725D25AC" w14:textId="77777777" w:rsidR="004876D0" w:rsidRPr="000660E8" w:rsidRDefault="004876D0" w:rsidP="004876D0">
      <w:pPr>
        <w:pStyle w:val="Textonotapie"/>
        <w:ind w:firstLine="709"/>
        <w:jc w:val="both"/>
        <w:rPr>
          <w:rFonts w:ascii="Verdana" w:hAnsi="Verdana" w:cs="Arial"/>
          <w:sz w:val="16"/>
          <w:szCs w:val="16"/>
          <w:lang w:val="es-CO"/>
        </w:rPr>
      </w:pPr>
      <w:r w:rsidRPr="000660E8">
        <w:rPr>
          <w:rStyle w:val="Refdenotaalpie"/>
          <w:rFonts w:ascii="Verdana" w:hAnsi="Verdana" w:cs="Arial"/>
          <w:sz w:val="16"/>
          <w:szCs w:val="16"/>
        </w:rPr>
        <w:footnoteRef/>
      </w:r>
      <w:r w:rsidRPr="000660E8">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7A7B1D62" w14:textId="77777777" w:rsidR="004876D0" w:rsidRPr="000660E8" w:rsidRDefault="004876D0" w:rsidP="004876D0">
      <w:pPr>
        <w:pStyle w:val="Textonotapie"/>
        <w:ind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Consejo de Estado, Sala de Consulta y Servicio Civil de fecha 24 de julio de 2013, radicado 2166, C. P. Álvaro Namén Vargas.  </w:t>
      </w:r>
    </w:p>
  </w:footnote>
  <w:footnote w:id="9">
    <w:p w14:paraId="60233A00" w14:textId="77777777" w:rsidR="004876D0" w:rsidRPr="000660E8" w:rsidRDefault="004876D0" w:rsidP="004876D0">
      <w:pPr>
        <w:spacing w:after="0" w:line="240" w:lineRule="auto"/>
        <w:ind w:firstLine="709"/>
        <w:jc w:val="both"/>
        <w:rPr>
          <w:rFonts w:ascii="Verdana" w:eastAsia="Times New Roman"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w:t>
      </w:r>
      <w:r w:rsidRPr="000660E8">
        <w:rPr>
          <w:rFonts w:ascii="Verdana" w:eastAsia="Calibri" w:hAnsi="Verdana" w:cs="Arial"/>
          <w:color w:val="000000"/>
          <w:sz w:val="16"/>
          <w:szCs w:val="16"/>
        </w:rPr>
        <w:t>“</w:t>
      </w:r>
      <w:bookmarkStart w:id="5" w:name="33"/>
      <w:r w:rsidRPr="000660E8">
        <w:rPr>
          <w:rFonts w:ascii="Verdana" w:eastAsia="Times New Roman" w:hAnsi="Verdana" w:cs="Arial"/>
          <w:sz w:val="16"/>
          <w:szCs w:val="16"/>
        </w:rPr>
        <w:t>Artículo 33. Restricciones a la contratación pública.</w:t>
      </w:r>
      <w:bookmarkEnd w:id="5"/>
      <w:r w:rsidRPr="000660E8">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2750683" w14:textId="77777777" w:rsidR="004876D0" w:rsidRPr="000660E8" w:rsidRDefault="004876D0" w:rsidP="004876D0">
      <w:pPr>
        <w:spacing w:after="0" w:line="240" w:lineRule="auto"/>
        <w:ind w:firstLine="709"/>
        <w:jc w:val="both"/>
        <w:rPr>
          <w:rFonts w:ascii="Verdana" w:eastAsia="Times New Roman" w:hAnsi="Verdana" w:cs="Arial"/>
          <w:sz w:val="16"/>
          <w:szCs w:val="16"/>
        </w:rPr>
      </w:pPr>
      <w:r w:rsidRPr="000660E8">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0660E8">
        <w:rPr>
          <w:rFonts w:ascii="Verdana" w:eastAsia="Calibri" w:hAnsi="Verdana" w:cs="Arial"/>
          <w:color w:val="000000"/>
          <w:sz w:val="16"/>
          <w:szCs w:val="16"/>
        </w:rPr>
        <w:t>”</w:t>
      </w:r>
      <w:r w:rsidRPr="000660E8">
        <w:rPr>
          <w:rFonts w:ascii="Verdana" w:eastAsia="Times New Roman" w:hAnsi="Verdana" w:cs="Arial"/>
          <w:sz w:val="16"/>
          <w:szCs w:val="16"/>
        </w:rPr>
        <w:t>.</w:t>
      </w:r>
    </w:p>
  </w:footnote>
  <w:footnote w:id="10">
    <w:p w14:paraId="1E87BABD" w14:textId="77777777" w:rsidR="004876D0" w:rsidRPr="000660E8" w:rsidRDefault="004876D0" w:rsidP="004876D0">
      <w:pPr>
        <w:pStyle w:val="NormalWeb"/>
        <w:spacing w:before="0" w:beforeAutospacing="0" w:after="0" w:afterAutospacing="0"/>
        <w:ind w:firstLine="709"/>
        <w:jc w:val="both"/>
        <w:rPr>
          <w:rFonts w:ascii="Verdana" w:hAnsi="Verdana" w:cs="Arial"/>
          <w:sz w:val="16"/>
          <w:szCs w:val="16"/>
          <w:lang w:val="es-MX"/>
        </w:rPr>
      </w:pPr>
      <w:r w:rsidRPr="000660E8">
        <w:rPr>
          <w:rStyle w:val="Refdenotaalpie"/>
          <w:rFonts w:ascii="Verdana" w:hAnsi="Verdana" w:cs="Arial"/>
          <w:sz w:val="16"/>
          <w:szCs w:val="16"/>
        </w:rPr>
        <w:footnoteRef/>
      </w:r>
      <w:r w:rsidRPr="000660E8">
        <w:rPr>
          <w:rFonts w:ascii="Verdana" w:hAnsi="Verdana" w:cs="Arial"/>
          <w:sz w:val="16"/>
          <w:szCs w:val="16"/>
        </w:rPr>
        <w:t xml:space="preserve"> </w:t>
      </w:r>
      <w:r w:rsidRPr="000660E8">
        <w:rPr>
          <w:rFonts w:ascii="Verdana" w:eastAsia="Calibri" w:hAnsi="Verdana" w:cs="Arial"/>
          <w:color w:val="000000"/>
          <w:sz w:val="16"/>
          <w:szCs w:val="16"/>
        </w:rPr>
        <w:t>“</w:t>
      </w:r>
      <w:bookmarkStart w:id="6" w:name="38"/>
      <w:r w:rsidRPr="000660E8">
        <w:rPr>
          <w:rFonts w:ascii="Verdana" w:hAnsi="Verdana" w:cs="Arial"/>
          <w:sz w:val="16"/>
          <w:szCs w:val="16"/>
          <w:lang w:val="es-MX"/>
        </w:rPr>
        <w:t>Artículo 38. Prohibiciones para los servidores públicos. A los empleados del Estado les está prohibido:</w:t>
      </w:r>
      <w:bookmarkEnd w:id="6"/>
      <w:r w:rsidRPr="000660E8">
        <w:rPr>
          <w:rFonts w:ascii="Verdana" w:hAnsi="Verdana" w:cs="Arial"/>
          <w:sz w:val="16"/>
          <w:szCs w:val="16"/>
          <w:lang w:val="es-MX"/>
        </w:rPr>
        <w:t xml:space="preserve"> […]</w:t>
      </w:r>
    </w:p>
    <w:p w14:paraId="5813B4C2" w14:textId="77777777" w:rsidR="004876D0" w:rsidRPr="000660E8" w:rsidRDefault="004876D0" w:rsidP="004876D0">
      <w:pPr>
        <w:pStyle w:val="NormalWeb"/>
        <w:spacing w:before="0" w:beforeAutospacing="0" w:after="0" w:afterAutospacing="0"/>
        <w:ind w:firstLine="709"/>
        <w:jc w:val="both"/>
        <w:rPr>
          <w:rFonts w:ascii="Verdana" w:hAnsi="Verdana" w:cs="Arial"/>
          <w:sz w:val="16"/>
          <w:szCs w:val="16"/>
          <w:lang w:val="es-MX"/>
        </w:rPr>
      </w:pPr>
      <w:r w:rsidRPr="000660E8">
        <w:rPr>
          <w:rStyle w:val="baj"/>
          <w:rFonts w:ascii="Verdana" w:hAnsi="Verdana" w:cs="Arial"/>
          <w:sz w:val="16"/>
          <w:szCs w:val="16"/>
          <w:lang w:val="es-MX"/>
        </w:rPr>
        <w:t>Parágrafo.</w:t>
      </w:r>
      <w:r w:rsidRPr="000660E8">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660E8">
        <w:rPr>
          <w:rFonts w:ascii="Verdana" w:eastAsia="Calibri" w:hAnsi="Verdana" w:cs="Arial"/>
          <w:color w:val="000000"/>
          <w:sz w:val="16"/>
          <w:szCs w:val="16"/>
        </w:rPr>
        <w:t>”</w:t>
      </w:r>
      <w:r w:rsidRPr="000660E8">
        <w:rPr>
          <w:rFonts w:ascii="Verdana" w:hAnsi="Verdana" w:cs="Arial"/>
          <w:sz w:val="16"/>
          <w:szCs w:val="16"/>
          <w:lang w:val="es-MX"/>
        </w:rPr>
        <w:t>.</w:t>
      </w:r>
    </w:p>
  </w:footnote>
  <w:footnote w:id="11">
    <w:p w14:paraId="070A56FD" w14:textId="77777777" w:rsidR="004876D0" w:rsidRPr="000660E8" w:rsidRDefault="004876D0" w:rsidP="004876D0">
      <w:pPr>
        <w:spacing w:after="0" w:line="240" w:lineRule="auto"/>
        <w:ind w:left="100" w:right="244" w:firstLine="608"/>
        <w:jc w:val="both"/>
        <w:rPr>
          <w:rFonts w:ascii="Verdana" w:hAnsi="Verdana" w:cs="Arial"/>
          <w:sz w:val="16"/>
          <w:szCs w:val="16"/>
          <w:lang w:val="es-ES"/>
        </w:rPr>
      </w:pPr>
      <w:r w:rsidRPr="000660E8">
        <w:rPr>
          <w:rStyle w:val="Refdenotaalpie"/>
          <w:rFonts w:ascii="Verdana" w:hAnsi="Verdana" w:cs="Arial"/>
          <w:sz w:val="16"/>
          <w:szCs w:val="16"/>
        </w:rPr>
        <w:footnoteRef/>
      </w:r>
      <w:r w:rsidRPr="000660E8">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32B7D997" w14:textId="77777777" w:rsidR="004876D0" w:rsidRPr="000660E8" w:rsidRDefault="004876D0" w:rsidP="004876D0">
      <w:pPr>
        <w:pStyle w:val="Textonotapie"/>
        <w:ind w:firstLine="708"/>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Colombia Compra Eficiente. Circular Externa Única. Numeral 16.5. </w:t>
      </w:r>
    </w:p>
  </w:footnote>
  <w:footnote w:id="13">
    <w:p w14:paraId="522339BD" w14:textId="77777777" w:rsidR="004876D0" w:rsidRPr="000660E8" w:rsidRDefault="004876D0" w:rsidP="004876D0">
      <w:pPr>
        <w:pStyle w:val="Textonotapie"/>
        <w:ind w:right="51"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w:t>
      </w:r>
      <w:r w:rsidRPr="000660E8">
        <w:rPr>
          <w:rFonts w:ascii="Verdana" w:hAnsi="Verdana" w:cs="Arial"/>
          <w:sz w:val="16"/>
          <w:szCs w:val="16"/>
          <w:lang w:val="es-ES"/>
        </w:rPr>
        <w:t xml:space="preserve">[25] </w:t>
      </w:r>
      <w:r w:rsidRPr="000660E8">
        <w:rPr>
          <w:rFonts w:ascii="Verdana" w:hAnsi="Verdana" w:cs="Arial"/>
          <w:sz w:val="16"/>
          <w:szCs w:val="16"/>
        </w:rPr>
        <w:t>Cfr. Consejo de Estado. Sección Tercera. Sentencia de 3 de diciembre de 2007. Radicados: 24.715, 25.206, 25.409, 24.524, 27.834, 25.410, 26.105, 28.244, 31.447 -acumulados-“.</w:t>
      </w:r>
    </w:p>
  </w:footnote>
  <w:footnote w:id="14">
    <w:p w14:paraId="2C6AF73B" w14:textId="77777777" w:rsidR="004876D0" w:rsidRPr="000660E8" w:rsidRDefault="004876D0" w:rsidP="004876D0">
      <w:pPr>
        <w:pStyle w:val="Textonotapie"/>
        <w:ind w:right="51"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w:t>
      </w:r>
      <w:r w:rsidRPr="000660E8">
        <w:rPr>
          <w:rFonts w:ascii="Verdana" w:hAnsi="Verdana" w:cs="Arial"/>
          <w:sz w:val="16"/>
          <w:szCs w:val="16"/>
          <w:lang w:val="es-ES"/>
        </w:rPr>
        <w:t xml:space="preserve">[26] </w:t>
      </w:r>
      <w:r w:rsidRPr="000660E8">
        <w:rPr>
          <w:rFonts w:ascii="Verdana" w:hAnsi="Verdana" w:cs="Arial"/>
          <w:sz w:val="16"/>
          <w:szCs w:val="16"/>
        </w:rPr>
        <w:t>Al respecto ver el concepto 1712 de 2 de febrero de 2006. Consejo de Estado Sala de Consulta y Servicio Civil”.</w:t>
      </w:r>
    </w:p>
  </w:footnote>
  <w:footnote w:id="15">
    <w:p w14:paraId="1E9B57AB" w14:textId="77777777" w:rsidR="004876D0" w:rsidRPr="000660E8" w:rsidRDefault="004876D0" w:rsidP="004876D0">
      <w:pPr>
        <w:pStyle w:val="Textonotapie"/>
        <w:ind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6">
    <w:p w14:paraId="487F0EAA" w14:textId="77777777" w:rsidR="004876D0" w:rsidRPr="000660E8" w:rsidRDefault="004876D0" w:rsidP="004876D0">
      <w:pPr>
        <w:pStyle w:val="Textonotapie"/>
        <w:ind w:firstLine="709"/>
        <w:jc w:val="both"/>
        <w:rPr>
          <w:rFonts w:ascii="Verdana" w:hAnsi="Verdana" w:cs="Arial"/>
          <w:sz w:val="16"/>
          <w:szCs w:val="16"/>
          <w:lang w:val="es-ES"/>
        </w:rPr>
      </w:pPr>
      <w:r w:rsidRPr="000660E8">
        <w:rPr>
          <w:rStyle w:val="Refdenotaalpie"/>
          <w:rFonts w:ascii="Verdana" w:hAnsi="Verdana" w:cs="Arial"/>
          <w:sz w:val="16"/>
          <w:szCs w:val="16"/>
        </w:rPr>
        <w:footnoteRef/>
      </w:r>
      <w:r w:rsidRPr="000660E8">
        <w:rPr>
          <w:rFonts w:ascii="Verdana" w:hAnsi="Verdana" w:cs="Arial"/>
          <w:sz w:val="16"/>
          <w:szCs w:val="16"/>
        </w:rPr>
        <w:t xml:space="preserve"> </w:t>
      </w:r>
      <w:r w:rsidRPr="000660E8">
        <w:rPr>
          <w:rFonts w:ascii="Verdana" w:hAnsi="Verdana" w:cs="Arial"/>
          <w:sz w:val="16"/>
          <w:szCs w:val="16"/>
          <w:lang w:val="es-ES"/>
        </w:rPr>
        <w:t xml:space="preserve">Artículo 2. </w:t>
      </w:r>
    </w:p>
  </w:footnote>
  <w:footnote w:id="17">
    <w:p w14:paraId="4D627DE7" w14:textId="77777777" w:rsidR="004876D0" w:rsidRPr="000660E8" w:rsidRDefault="004876D0" w:rsidP="004876D0">
      <w:pPr>
        <w:pStyle w:val="Textonotapie"/>
        <w:ind w:firstLine="709"/>
        <w:jc w:val="both"/>
        <w:rPr>
          <w:rFonts w:ascii="Verdana" w:hAnsi="Verdana" w:cs="Arial"/>
          <w:sz w:val="16"/>
          <w:szCs w:val="16"/>
          <w:lang w:val="es-ES"/>
        </w:rPr>
      </w:pPr>
      <w:r w:rsidRPr="000660E8">
        <w:rPr>
          <w:rStyle w:val="Refdenotaalpie"/>
          <w:rFonts w:ascii="Verdana" w:hAnsi="Verdana" w:cs="Arial"/>
          <w:sz w:val="16"/>
          <w:szCs w:val="16"/>
        </w:rPr>
        <w:footnoteRef/>
      </w:r>
      <w:r w:rsidRPr="000660E8">
        <w:rPr>
          <w:rFonts w:ascii="Verdana" w:hAnsi="Verdana" w:cs="Arial"/>
          <w:sz w:val="16"/>
          <w:szCs w:val="16"/>
        </w:rPr>
        <w:t xml:space="preserve"> </w:t>
      </w:r>
      <w:r w:rsidRPr="000660E8">
        <w:rPr>
          <w:rFonts w:ascii="Verdana" w:hAnsi="Verdana" w:cs="Arial"/>
          <w:i/>
          <w:sz w:val="16"/>
          <w:szCs w:val="16"/>
          <w:lang w:val="es-ES"/>
        </w:rPr>
        <w:t>Ídem</w:t>
      </w:r>
      <w:r w:rsidRPr="000660E8">
        <w:rPr>
          <w:rFonts w:ascii="Verdana" w:hAnsi="Verdana" w:cs="Arial"/>
          <w:sz w:val="16"/>
          <w:szCs w:val="16"/>
          <w:lang w:val="es-ES"/>
        </w:rPr>
        <w:t>.</w:t>
      </w:r>
    </w:p>
  </w:footnote>
  <w:footnote w:id="18">
    <w:p w14:paraId="5684E135" w14:textId="77777777" w:rsidR="004876D0" w:rsidRPr="000660E8" w:rsidRDefault="004876D0" w:rsidP="004876D0">
      <w:pPr>
        <w:pStyle w:val="Textonotapie"/>
        <w:ind w:firstLine="709"/>
        <w:jc w:val="both"/>
        <w:rPr>
          <w:rFonts w:ascii="Verdana" w:hAnsi="Verdana" w:cs="Arial"/>
          <w:sz w:val="16"/>
          <w:szCs w:val="16"/>
          <w:lang w:val="es-ES"/>
        </w:rPr>
      </w:pPr>
      <w:r w:rsidRPr="000660E8">
        <w:rPr>
          <w:rStyle w:val="Refdenotaalpie"/>
          <w:rFonts w:ascii="Verdana" w:hAnsi="Verdana" w:cs="Arial"/>
          <w:sz w:val="16"/>
          <w:szCs w:val="16"/>
        </w:rPr>
        <w:footnoteRef/>
      </w:r>
      <w:r w:rsidRPr="000660E8">
        <w:rPr>
          <w:rStyle w:val="Refdenotaalpie"/>
          <w:rFonts w:ascii="Verdana" w:hAnsi="Verdana" w:cs="Arial"/>
          <w:sz w:val="16"/>
          <w:szCs w:val="16"/>
        </w:rPr>
        <w:t xml:space="preserve"> </w:t>
      </w:r>
      <w:r w:rsidRPr="000660E8">
        <w:rPr>
          <w:rFonts w:ascii="Verdana" w:hAnsi="Verdana" w:cs="Arial"/>
          <w:sz w:val="16"/>
          <w:szCs w:val="16"/>
          <w:lang w:val="es-ES"/>
        </w:rPr>
        <w:t xml:space="preserve">“[…] A este respecto, cabe recordar que el artículo 860 del Código de Comercio regula la licitación en el derecho privado”. </w:t>
      </w:r>
    </w:p>
  </w:footnote>
  <w:footnote w:id="19">
    <w:p w14:paraId="42C0835F" w14:textId="77777777" w:rsidR="004876D0" w:rsidRPr="000660E8" w:rsidRDefault="004876D0" w:rsidP="004876D0">
      <w:pPr>
        <w:shd w:val="clear" w:color="auto" w:fill="FFFFFF"/>
        <w:spacing w:after="0" w:line="240" w:lineRule="auto"/>
        <w:ind w:firstLine="709"/>
        <w:jc w:val="both"/>
        <w:rPr>
          <w:rFonts w:ascii="Verdana" w:hAnsi="Verdana" w:cs="Arial"/>
          <w:sz w:val="16"/>
          <w:szCs w:val="16"/>
          <w:lang w:val="es-ES"/>
        </w:rPr>
      </w:pPr>
      <w:r w:rsidRPr="000660E8">
        <w:rPr>
          <w:rStyle w:val="Refdenotaalpie"/>
          <w:rFonts w:ascii="Verdana" w:hAnsi="Verdana" w:cs="Arial"/>
          <w:sz w:val="16"/>
          <w:szCs w:val="16"/>
        </w:rPr>
        <w:footnoteRef/>
      </w:r>
      <w:r w:rsidRPr="000660E8">
        <w:rPr>
          <w:rStyle w:val="Refdenotaalpie"/>
          <w:rFonts w:ascii="Verdana" w:hAnsi="Verdana" w:cs="Arial"/>
          <w:sz w:val="16"/>
          <w:szCs w:val="16"/>
        </w:rPr>
        <w:t xml:space="preserve"> </w:t>
      </w:r>
      <w:r w:rsidRPr="000660E8">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20">
    <w:p w14:paraId="6E7CBA89" w14:textId="77777777" w:rsidR="004876D0" w:rsidRPr="000660E8" w:rsidRDefault="004876D0" w:rsidP="004876D0">
      <w:pPr>
        <w:pStyle w:val="Textonotapie"/>
        <w:ind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Consejo de Estado. Sala de Consulta y Servicio Civil. Concepto del 08 de mayo de 2018. Exp. 2.382. C.P. Álvaro Namén Vargas.</w:t>
      </w:r>
    </w:p>
  </w:footnote>
  <w:footnote w:id="21">
    <w:p w14:paraId="420D109B" w14:textId="77777777" w:rsidR="004876D0" w:rsidRPr="000660E8" w:rsidRDefault="004876D0" w:rsidP="004876D0">
      <w:pPr>
        <w:pStyle w:val="Textonotapie"/>
        <w:ind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0A42E773" w14:textId="77777777" w:rsidR="004876D0" w:rsidRPr="000660E8" w:rsidRDefault="004876D0" w:rsidP="004876D0">
      <w:pPr>
        <w:spacing w:after="0" w:line="240" w:lineRule="auto"/>
        <w:ind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43B5D1C9" w14:textId="77777777" w:rsidR="004876D0" w:rsidRPr="000660E8" w:rsidRDefault="004876D0" w:rsidP="004876D0">
      <w:pPr>
        <w:pStyle w:val="Textonotapie"/>
        <w:ind w:right="51" w:firstLine="709"/>
        <w:jc w:val="both"/>
        <w:rPr>
          <w:rFonts w:ascii="Verdana" w:eastAsia="Times New Roman" w:hAnsi="Verdana" w:cs="Arial"/>
          <w:bCs/>
          <w:sz w:val="16"/>
          <w:szCs w:val="16"/>
          <w:lang w:eastAsia="x-none"/>
        </w:rPr>
      </w:pPr>
      <w:r w:rsidRPr="000660E8">
        <w:rPr>
          <w:rStyle w:val="Refdenotaalpie"/>
          <w:rFonts w:ascii="Verdana" w:hAnsi="Verdana" w:cs="Arial"/>
          <w:sz w:val="16"/>
          <w:szCs w:val="16"/>
        </w:rPr>
        <w:footnoteRef/>
      </w:r>
      <w:r w:rsidRPr="000660E8">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0660E8">
        <w:rPr>
          <w:rFonts w:ascii="Verdana" w:eastAsia="Times New Roman" w:hAnsi="Verdana" w:cs="Arial"/>
          <w:bCs/>
          <w:sz w:val="16"/>
          <w:szCs w:val="16"/>
          <w:lang w:eastAsia="x-none"/>
        </w:rPr>
        <w:t xml:space="preserve"> “</w:t>
      </w:r>
      <w:r w:rsidRPr="000660E8">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0660E8">
        <w:rPr>
          <w:rFonts w:ascii="Verdana" w:eastAsia="Times New Roman" w:hAnsi="Verdana" w:cs="Arial"/>
          <w:bCs/>
          <w:sz w:val="16"/>
          <w:szCs w:val="16"/>
          <w:lang w:eastAsia="x-none"/>
        </w:rPr>
        <w:t>”.</w:t>
      </w:r>
    </w:p>
  </w:footnote>
  <w:footnote w:id="24">
    <w:p w14:paraId="313DEFE6" w14:textId="77777777" w:rsidR="004876D0" w:rsidRPr="000660E8" w:rsidRDefault="004876D0" w:rsidP="004876D0">
      <w:pPr>
        <w:spacing w:after="0" w:line="240" w:lineRule="auto"/>
        <w:ind w:firstLine="708"/>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5">
    <w:p w14:paraId="30292944" w14:textId="77777777" w:rsidR="004876D0" w:rsidRPr="000660E8" w:rsidRDefault="004876D0" w:rsidP="004876D0">
      <w:pPr>
        <w:pStyle w:val="Textonotapie"/>
        <w:ind w:right="51" w:firstLine="709"/>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Consejo de Estado. Sala de Consulta y Servicio Civil, ídem.</w:t>
      </w:r>
    </w:p>
  </w:footnote>
  <w:footnote w:id="26">
    <w:p w14:paraId="3620DFF5" w14:textId="77777777" w:rsidR="004876D0" w:rsidRPr="00C44CD0" w:rsidRDefault="004876D0" w:rsidP="004876D0">
      <w:pPr>
        <w:pStyle w:val="Textonotapie"/>
        <w:ind w:firstLine="709"/>
        <w:rPr>
          <w:rFonts w:ascii="Verdana" w:hAnsi="Verdana"/>
          <w:sz w:val="16"/>
          <w:szCs w:val="16"/>
          <w:lang w:val="es-CO"/>
        </w:rPr>
      </w:pPr>
      <w:r w:rsidRPr="00C44CD0">
        <w:rPr>
          <w:rStyle w:val="Refdenotaalpie"/>
          <w:rFonts w:ascii="Verdana" w:hAnsi="Verdana"/>
          <w:sz w:val="16"/>
          <w:szCs w:val="16"/>
        </w:rPr>
        <w:footnoteRef/>
      </w:r>
      <w:r w:rsidRPr="00C44CD0">
        <w:rPr>
          <w:rFonts w:ascii="Verdana" w:hAnsi="Verdana"/>
          <w:sz w:val="16"/>
          <w:szCs w:val="16"/>
        </w:rPr>
        <w:t xml:space="preserve"> </w:t>
      </w:r>
      <w:r w:rsidRPr="00C44CD0">
        <w:rPr>
          <w:rFonts w:ascii="Verdana" w:hAnsi="Verdana"/>
          <w:sz w:val="16"/>
          <w:szCs w:val="16"/>
          <w:lang w:val="es-CO"/>
        </w:rPr>
        <w:t xml:space="preserve">Disponible en: </w:t>
      </w:r>
      <w:hyperlink r:id="rId3" w:history="1">
        <w:r w:rsidRPr="00C44CD0">
          <w:rPr>
            <w:rStyle w:val="Hipervnculo"/>
            <w:rFonts w:ascii="Verdana" w:hAnsi="Verdana"/>
            <w:sz w:val="16"/>
            <w:szCs w:val="16"/>
            <w:lang w:val="es-CO"/>
          </w:rPr>
          <w:t>https://www.colombiacompra.gov.co/node/23710</w:t>
        </w:r>
      </w:hyperlink>
      <w:r w:rsidRPr="00C44CD0">
        <w:rPr>
          <w:rFonts w:ascii="Verdana" w:hAnsi="Verdana"/>
          <w:sz w:val="16"/>
          <w:szCs w:val="16"/>
          <w:lang w:val="es-CO"/>
        </w:rPr>
        <w:t xml:space="preserve"> </w:t>
      </w:r>
    </w:p>
  </w:footnote>
  <w:footnote w:id="27">
    <w:p w14:paraId="263C9412" w14:textId="77777777" w:rsidR="004876D0" w:rsidRPr="000660E8" w:rsidRDefault="004876D0" w:rsidP="004876D0">
      <w:pPr>
        <w:pStyle w:val="Textonotapie"/>
        <w:ind w:firstLine="709"/>
        <w:jc w:val="both"/>
        <w:rPr>
          <w:rFonts w:ascii="Verdana" w:hAnsi="Verdana"/>
          <w:sz w:val="16"/>
          <w:szCs w:val="16"/>
          <w:lang w:val="es-CO"/>
        </w:rPr>
      </w:pPr>
      <w:r w:rsidRPr="000660E8">
        <w:rPr>
          <w:rStyle w:val="Refdenotaalpie"/>
          <w:rFonts w:ascii="Verdana" w:hAnsi="Verdana"/>
          <w:sz w:val="16"/>
          <w:szCs w:val="16"/>
        </w:rPr>
        <w:footnoteRef/>
      </w:r>
      <w:r w:rsidRPr="000660E8">
        <w:rPr>
          <w:rFonts w:ascii="Verdana" w:hAnsi="Verdana"/>
          <w:sz w:val="16"/>
          <w:szCs w:val="16"/>
        </w:rPr>
        <w:t xml:space="preserve"> Disponible en: </w:t>
      </w:r>
      <w:hyperlink r:id="rId4" w:history="1">
        <w:r w:rsidRPr="000660E8">
          <w:rPr>
            <w:rStyle w:val="Hipervnculo"/>
            <w:rFonts w:ascii="Verdana" w:hAnsi="Verdana"/>
            <w:sz w:val="16"/>
            <w:szCs w:val="16"/>
          </w:rPr>
          <w:t>https://www.colombiacompra.gov.co/base-conocimiento/gestion-contractual-envio-del-contrato-secop-ii</w:t>
        </w:r>
      </w:hyperlink>
      <w:r w:rsidRPr="000660E8">
        <w:rPr>
          <w:rFonts w:ascii="Verdana" w:hAnsi="Verdana"/>
          <w:sz w:val="16"/>
          <w:szCs w:val="16"/>
        </w:rPr>
        <w:t xml:space="preserve"> </w:t>
      </w:r>
    </w:p>
  </w:footnote>
  <w:footnote w:id="28">
    <w:p w14:paraId="7D0936C0" w14:textId="77777777" w:rsidR="004876D0" w:rsidRPr="00C44CD0" w:rsidRDefault="004876D0" w:rsidP="004876D0">
      <w:pPr>
        <w:pStyle w:val="Textonotapie"/>
        <w:ind w:firstLine="709"/>
        <w:jc w:val="both"/>
        <w:rPr>
          <w:rFonts w:ascii="Verdana" w:hAnsi="Verdana"/>
          <w:sz w:val="16"/>
          <w:szCs w:val="16"/>
          <w:lang w:val="es-CO"/>
        </w:rPr>
      </w:pPr>
      <w:r w:rsidRPr="000660E8">
        <w:rPr>
          <w:rStyle w:val="Refdenotaalpie"/>
          <w:rFonts w:ascii="Verdana" w:hAnsi="Verdana"/>
          <w:sz w:val="16"/>
          <w:szCs w:val="16"/>
        </w:rPr>
        <w:footnoteRef/>
      </w:r>
      <w:r w:rsidRPr="000660E8">
        <w:rPr>
          <w:rFonts w:ascii="Verdana" w:hAnsi="Verdana"/>
          <w:sz w:val="16"/>
          <w:szCs w:val="16"/>
        </w:rPr>
        <w:t xml:space="preserve"> </w:t>
      </w:r>
      <w:r w:rsidRPr="000660E8">
        <w:rPr>
          <w:rFonts w:ascii="Verdana" w:hAnsi="Verdana"/>
          <w:sz w:val="16"/>
          <w:szCs w:val="16"/>
          <w:lang w:val="es-CO"/>
        </w:rPr>
        <w:t>Son secuencias para la aprobación de algunas tareas asignadas a los miembros del Equipo del Proceso de contratación, que por su relevancia requieren ser autorizadas por uno o varios usuarios de la Entidad Estatal (ej. publicación de pliegos definitivos, publicación del informe de evaluación, adendas, aprobación del contrato, etc.). El usuario administrador puede configurar plantillas tipo con secuencias de aprobación que use de manera frecuente (ej. primero aprueba el secretario general y luego el director general).</w:t>
      </w:r>
      <w:r w:rsidRPr="00C44CD0">
        <w:rPr>
          <w:rFonts w:ascii="Verdana" w:hAnsi="Verdana"/>
          <w:sz w:val="16"/>
          <w:szCs w:val="16"/>
        </w:rPr>
        <w:t xml:space="preserve"> </w:t>
      </w:r>
      <w:hyperlink r:id="rId5" w:history="1">
        <w:r w:rsidRPr="000660E8">
          <w:rPr>
            <w:rStyle w:val="Hipervnculo"/>
            <w:rFonts w:ascii="Verdana" w:hAnsi="Verdana"/>
            <w:sz w:val="16"/>
            <w:szCs w:val="16"/>
            <w:lang w:val="es-CO"/>
          </w:rPr>
          <w:t>https://www.colombiacompra.gov.co/base-conocimiento/configuracion-de-cuentas-secop-ii</w:t>
        </w:r>
      </w:hyperlink>
      <w:r w:rsidRPr="000660E8">
        <w:rPr>
          <w:rFonts w:ascii="Verdana" w:hAnsi="Verdana"/>
          <w:sz w:val="16"/>
          <w:szCs w:val="16"/>
          <w:lang w:val="es-CO"/>
        </w:rPr>
        <w:t xml:space="preserve"> </w:t>
      </w:r>
    </w:p>
  </w:footnote>
  <w:footnote w:id="29">
    <w:p w14:paraId="65865723" w14:textId="77777777" w:rsidR="004876D0" w:rsidRPr="000660E8" w:rsidRDefault="004876D0" w:rsidP="004876D0">
      <w:pPr>
        <w:spacing w:after="0" w:line="240" w:lineRule="auto"/>
        <w:ind w:firstLine="707"/>
        <w:jc w:val="both"/>
        <w:rPr>
          <w:rFonts w:ascii="Verdana" w:hAnsi="Verdana" w:cs="Arial"/>
          <w:sz w:val="16"/>
          <w:szCs w:val="16"/>
        </w:rPr>
      </w:pPr>
      <w:r w:rsidRPr="000660E8">
        <w:rPr>
          <w:rStyle w:val="Refdenotaalpie"/>
          <w:rFonts w:ascii="Verdana" w:hAnsi="Verdana" w:cs="Arial"/>
          <w:sz w:val="16"/>
          <w:szCs w:val="16"/>
        </w:rPr>
        <w:footnoteRef/>
      </w:r>
      <w:r w:rsidRPr="000660E8">
        <w:rPr>
          <w:rFonts w:ascii="Verdana" w:hAnsi="Verdana" w:cs="Arial"/>
          <w:sz w:val="16"/>
          <w:szCs w:val="16"/>
        </w:rPr>
        <w:t xml:space="preserve"> “Artículo 44. Los contratos del Estado son absolutamente nulos en los casos previstos en el derecho común y además cuando:</w:t>
      </w:r>
    </w:p>
    <w:p w14:paraId="6DC9CF6D" w14:textId="77777777" w:rsidR="004876D0" w:rsidRPr="000660E8" w:rsidRDefault="004876D0" w:rsidP="004876D0">
      <w:pPr>
        <w:spacing w:after="0" w:line="240" w:lineRule="auto"/>
        <w:ind w:firstLine="708"/>
        <w:jc w:val="both"/>
        <w:rPr>
          <w:rFonts w:ascii="Verdana" w:hAnsi="Verdana" w:cs="Arial"/>
          <w:sz w:val="16"/>
          <w:szCs w:val="16"/>
        </w:rPr>
      </w:pPr>
      <w:r w:rsidRPr="000660E8">
        <w:rPr>
          <w:rFonts w:ascii="Verdana" w:hAnsi="Verdana" w:cs="Arial"/>
          <w:sz w:val="16"/>
          <w:szCs w:val="16"/>
        </w:rPr>
        <w:t>1o. Se celebren con personas incursas en causales de inhabilidad o incompatibilidad previstas en la Constitución y la ley;</w:t>
      </w:r>
    </w:p>
    <w:p w14:paraId="72277025" w14:textId="77777777" w:rsidR="004876D0" w:rsidRPr="000660E8" w:rsidRDefault="004876D0" w:rsidP="004876D0">
      <w:pPr>
        <w:spacing w:after="0" w:line="240" w:lineRule="auto"/>
        <w:ind w:firstLine="708"/>
        <w:jc w:val="both"/>
        <w:rPr>
          <w:rFonts w:ascii="Verdana" w:hAnsi="Verdana" w:cs="Arial"/>
          <w:sz w:val="16"/>
          <w:szCs w:val="16"/>
        </w:rPr>
      </w:pPr>
      <w:r w:rsidRPr="000660E8">
        <w:rPr>
          <w:rFonts w:ascii="Verdana" w:hAnsi="Verdana" w:cs="Arial"/>
          <w:sz w:val="16"/>
          <w:szCs w:val="16"/>
        </w:rPr>
        <w:t xml:space="preserve">2o. Se celebren contra expresa prohibición constitucional o legal; </w:t>
      </w:r>
    </w:p>
    <w:p w14:paraId="6E063CD7" w14:textId="77777777" w:rsidR="004876D0" w:rsidRPr="000660E8" w:rsidRDefault="004876D0" w:rsidP="004876D0">
      <w:pPr>
        <w:spacing w:after="0" w:line="240" w:lineRule="auto"/>
        <w:ind w:firstLine="708"/>
        <w:jc w:val="both"/>
        <w:rPr>
          <w:rFonts w:ascii="Verdana" w:hAnsi="Verdana" w:cs="Arial"/>
          <w:sz w:val="16"/>
          <w:szCs w:val="16"/>
        </w:rPr>
      </w:pPr>
      <w:r w:rsidRPr="000660E8">
        <w:rPr>
          <w:rFonts w:ascii="Verdana" w:hAnsi="Verdana" w:cs="Arial"/>
          <w:sz w:val="16"/>
          <w:szCs w:val="16"/>
        </w:rPr>
        <w:t>3o. Se celebren con abuso o desviación de poder;</w:t>
      </w:r>
    </w:p>
    <w:p w14:paraId="0058F8A0" w14:textId="77777777" w:rsidR="004876D0" w:rsidRPr="000660E8" w:rsidRDefault="004876D0" w:rsidP="004876D0">
      <w:pPr>
        <w:spacing w:after="0" w:line="240" w:lineRule="auto"/>
        <w:ind w:firstLine="708"/>
        <w:jc w:val="both"/>
        <w:rPr>
          <w:rFonts w:ascii="Verdana" w:hAnsi="Verdana" w:cs="Arial"/>
          <w:sz w:val="16"/>
          <w:szCs w:val="16"/>
        </w:rPr>
      </w:pPr>
      <w:r w:rsidRPr="000660E8">
        <w:rPr>
          <w:rFonts w:ascii="Verdana" w:hAnsi="Verdana" w:cs="Arial"/>
          <w:sz w:val="16"/>
          <w:szCs w:val="16"/>
        </w:rPr>
        <w:t>4o. Se declaren nulos los actos administrativos en que se fundamenten; y</w:t>
      </w:r>
    </w:p>
    <w:p w14:paraId="7046B09E" w14:textId="77777777" w:rsidR="004876D0" w:rsidRPr="000660E8" w:rsidRDefault="004876D0" w:rsidP="004876D0">
      <w:pPr>
        <w:spacing w:after="0" w:line="240" w:lineRule="auto"/>
        <w:ind w:firstLine="708"/>
        <w:jc w:val="both"/>
        <w:rPr>
          <w:rFonts w:ascii="Verdana" w:hAnsi="Verdana" w:cs="Arial"/>
          <w:sz w:val="16"/>
          <w:szCs w:val="16"/>
        </w:rPr>
      </w:pPr>
      <w:r w:rsidRPr="000660E8">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30">
    <w:p w14:paraId="62F29AD4" w14:textId="77777777" w:rsidR="004876D0" w:rsidRPr="00C44CD0" w:rsidRDefault="004876D0" w:rsidP="004876D0">
      <w:pPr>
        <w:pStyle w:val="Textonotapie"/>
        <w:ind w:firstLine="709"/>
        <w:rPr>
          <w:rFonts w:ascii="Verdana" w:hAnsi="Verdana"/>
          <w:sz w:val="16"/>
          <w:szCs w:val="16"/>
          <w:lang w:val="es-CO"/>
        </w:rPr>
      </w:pPr>
      <w:r w:rsidRPr="00C44CD0">
        <w:rPr>
          <w:rStyle w:val="Refdenotaalpie"/>
          <w:rFonts w:ascii="Verdana" w:hAnsi="Verdana"/>
          <w:sz w:val="16"/>
          <w:szCs w:val="16"/>
        </w:rPr>
        <w:footnoteRef/>
      </w:r>
      <w:r w:rsidRPr="00C44CD0">
        <w:rPr>
          <w:rFonts w:ascii="Verdana" w:hAnsi="Verdana"/>
          <w:sz w:val="16"/>
          <w:szCs w:val="16"/>
        </w:rPr>
        <w:t xml:space="preserve"> </w:t>
      </w:r>
      <w:r w:rsidRPr="000660E8">
        <w:rPr>
          <w:rFonts w:ascii="Verdana" w:hAnsi="Verdana" w:cs="Arial"/>
          <w:sz w:val="16"/>
          <w:szCs w:val="16"/>
          <w:lang w:val="es-CO"/>
        </w:rPr>
        <w:t xml:space="preserve">Consejo de Estado, Sala de lo Contencioso Administrativo, Sección Tercera, Subsección A.  Primera. Sentencia de 11 de junio de 2014, expediente número 34649. C.P: Hernán Andrade Rincon.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970"/>
    <w:rsid w:val="00005E1E"/>
    <w:rsid w:val="00013201"/>
    <w:rsid w:val="00014D9E"/>
    <w:rsid w:val="00016F78"/>
    <w:rsid w:val="0002029B"/>
    <w:rsid w:val="00020484"/>
    <w:rsid w:val="000217E0"/>
    <w:rsid w:val="000229C3"/>
    <w:rsid w:val="00023ADC"/>
    <w:rsid w:val="00031855"/>
    <w:rsid w:val="00033D1E"/>
    <w:rsid w:val="00035438"/>
    <w:rsid w:val="00040801"/>
    <w:rsid w:val="000466BD"/>
    <w:rsid w:val="00046945"/>
    <w:rsid w:val="0005195F"/>
    <w:rsid w:val="00052B57"/>
    <w:rsid w:val="000547F7"/>
    <w:rsid w:val="0006061C"/>
    <w:rsid w:val="00061547"/>
    <w:rsid w:val="00061B2A"/>
    <w:rsid w:val="000660E8"/>
    <w:rsid w:val="000673BA"/>
    <w:rsid w:val="00071189"/>
    <w:rsid w:val="00071D46"/>
    <w:rsid w:val="00074CDA"/>
    <w:rsid w:val="00081B47"/>
    <w:rsid w:val="00082362"/>
    <w:rsid w:val="00082F90"/>
    <w:rsid w:val="0008354C"/>
    <w:rsid w:val="000838BA"/>
    <w:rsid w:val="0009030A"/>
    <w:rsid w:val="000920EA"/>
    <w:rsid w:val="00092DCC"/>
    <w:rsid w:val="00095642"/>
    <w:rsid w:val="000A2543"/>
    <w:rsid w:val="000A50F2"/>
    <w:rsid w:val="000A683E"/>
    <w:rsid w:val="000A6D90"/>
    <w:rsid w:val="000B19B9"/>
    <w:rsid w:val="000B3DFD"/>
    <w:rsid w:val="000D0334"/>
    <w:rsid w:val="000D15E3"/>
    <w:rsid w:val="000D5DA7"/>
    <w:rsid w:val="000E3C0C"/>
    <w:rsid w:val="000F2B0C"/>
    <w:rsid w:val="000F6486"/>
    <w:rsid w:val="001028D7"/>
    <w:rsid w:val="00106C80"/>
    <w:rsid w:val="001078E9"/>
    <w:rsid w:val="001131F7"/>
    <w:rsid w:val="00115480"/>
    <w:rsid w:val="00116940"/>
    <w:rsid w:val="00125105"/>
    <w:rsid w:val="001263B8"/>
    <w:rsid w:val="00127233"/>
    <w:rsid w:val="00127865"/>
    <w:rsid w:val="001311E7"/>
    <w:rsid w:val="00132DDE"/>
    <w:rsid w:val="00132F35"/>
    <w:rsid w:val="0013793B"/>
    <w:rsid w:val="00151DF6"/>
    <w:rsid w:val="00151EE6"/>
    <w:rsid w:val="001525FE"/>
    <w:rsid w:val="0015683D"/>
    <w:rsid w:val="0015699B"/>
    <w:rsid w:val="00160992"/>
    <w:rsid w:val="00161946"/>
    <w:rsid w:val="0016386A"/>
    <w:rsid w:val="00186559"/>
    <w:rsid w:val="00192440"/>
    <w:rsid w:val="00196525"/>
    <w:rsid w:val="001A0022"/>
    <w:rsid w:val="001A2CE0"/>
    <w:rsid w:val="001A33BF"/>
    <w:rsid w:val="001B04E1"/>
    <w:rsid w:val="001B2220"/>
    <w:rsid w:val="001B40D7"/>
    <w:rsid w:val="001C02BF"/>
    <w:rsid w:val="001C1076"/>
    <w:rsid w:val="001C347D"/>
    <w:rsid w:val="001C4466"/>
    <w:rsid w:val="001C4CF0"/>
    <w:rsid w:val="001C7A3B"/>
    <w:rsid w:val="001E4177"/>
    <w:rsid w:val="001F0A93"/>
    <w:rsid w:val="001F0B24"/>
    <w:rsid w:val="001F3BFF"/>
    <w:rsid w:val="001F7DC6"/>
    <w:rsid w:val="0020131C"/>
    <w:rsid w:val="0020697A"/>
    <w:rsid w:val="002112C9"/>
    <w:rsid w:val="0021326C"/>
    <w:rsid w:val="002133AC"/>
    <w:rsid w:val="00214C78"/>
    <w:rsid w:val="002151B7"/>
    <w:rsid w:val="00220E51"/>
    <w:rsid w:val="00222418"/>
    <w:rsid w:val="0022400B"/>
    <w:rsid w:val="00225635"/>
    <w:rsid w:val="0022674B"/>
    <w:rsid w:val="00235368"/>
    <w:rsid w:val="002421BB"/>
    <w:rsid w:val="002439E8"/>
    <w:rsid w:val="002446BB"/>
    <w:rsid w:val="0025796E"/>
    <w:rsid w:val="0026347A"/>
    <w:rsid w:val="002707A2"/>
    <w:rsid w:val="0027500F"/>
    <w:rsid w:val="00275223"/>
    <w:rsid w:val="002836DF"/>
    <w:rsid w:val="00285515"/>
    <w:rsid w:val="002951A0"/>
    <w:rsid w:val="002962BC"/>
    <w:rsid w:val="002979E2"/>
    <w:rsid w:val="002A093D"/>
    <w:rsid w:val="002A0DD0"/>
    <w:rsid w:val="002A1EB4"/>
    <w:rsid w:val="002A49AC"/>
    <w:rsid w:val="002A64FD"/>
    <w:rsid w:val="002C1DC7"/>
    <w:rsid w:val="002C3456"/>
    <w:rsid w:val="002C7024"/>
    <w:rsid w:val="002C7A84"/>
    <w:rsid w:val="002D1555"/>
    <w:rsid w:val="002E2BF8"/>
    <w:rsid w:val="002E4FD9"/>
    <w:rsid w:val="002E61CB"/>
    <w:rsid w:val="002F0013"/>
    <w:rsid w:val="002F10C0"/>
    <w:rsid w:val="00301509"/>
    <w:rsid w:val="0030657A"/>
    <w:rsid w:val="00322A85"/>
    <w:rsid w:val="00322EC5"/>
    <w:rsid w:val="00324168"/>
    <w:rsid w:val="00327FED"/>
    <w:rsid w:val="00330834"/>
    <w:rsid w:val="003448F4"/>
    <w:rsid w:val="00354826"/>
    <w:rsid w:val="00364792"/>
    <w:rsid w:val="00371077"/>
    <w:rsid w:val="00372C6B"/>
    <w:rsid w:val="00374F5E"/>
    <w:rsid w:val="0037544F"/>
    <w:rsid w:val="0037556D"/>
    <w:rsid w:val="00375627"/>
    <w:rsid w:val="00377E3E"/>
    <w:rsid w:val="003820DF"/>
    <w:rsid w:val="0038750C"/>
    <w:rsid w:val="00390276"/>
    <w:rsid w:val="003948B6"/>
    <w:rsid w:val="003A4E06"/>
    <w:rsid w:val="003A779E"/>
    <w:rsid w:val="003B1A56"/>
    <w:rsid w:val="003C6845"/>
    <w:rsid w:val="003C7E03"/>
    <w:rsid w:val="003C7F2B"/>
    <w:rsid w:val="003D0F4D"/>
    <w:rsid w:val="003D1B64"/>
    <w:rsid w:val="003D5B0D"/>
    <w:rsid w:val="003D6606"/>
    <w:rsid w:val="003D7438"/>
    <w:rsid w:val="003E0499"/>
    <w:rsid w:val="003E4F80"/>
    <w:rsid w:val="003E5D4C"/>
    <w:rsid w:val="003E6439"/>
    <w:rsid w:val="003E735B"/>
    <w:rsid w:val="003F0CFC"/>
    <w:rsid w:val="003F1DA0"/>
    <w:rsid w:val="003F3941"/>
    <w:rsid w:val="003F5118"/>
    <w:rsid w:val="003F614D"/>
    <w:rsid w:val="0040472C"/>
    <w:rsid w:val="00406575"/>
    <w:rsid w:val="00407DAB"/>
    <w:rsid w:val="00410798"/>
    <w:rsid w:val="00411BDC"/>
    <w:rsid w:val="0041308F"/>
    <w:rsid w:val="0041459A"/>
    <w:rsid w:val="0041468A"/>
    <w:rsid w:val="00414C74"/>
    <w:rsid w:val="00421E16"/>
    <w:rsid w:val="0042722E"/>
    <w:rsid w:val="00441CBA"/>
    <w:rsid w:val="00442171"/>
    <w:rsid w:val="00443369"/>
    <w:rsid w:val="0044391D"/>
    <w:rsid w:val="0044528D"/>
    <w:rsid w:val="00446315"/>
    <w:rsid w:val="00447D68"/>
    <w:rsid w:val="00454929"/>
    <w:rsid w:val="00460A3E"/>
    <w:rsid w:val="0046420E"/>
    <w:rsid w:val="00466E39"/>
    <w:rsid w:val="00467A2E"/>
    <w:rsid w:val="004802F4"/>
    <w:rsid w:val="004826B6"/>
    <w:rsid w:val="004848DE"/>
    <w:rsid w:val="004876D0"/>
    <w:rsid w:val="0049280A"/>
    <w:rsid w:val="0049672E"/>
    <w:rsid w:val="004A1847"/>
    <w:rsid w:val="004A305D"/>
    <w:rsid w:val="004A6106"/>
    <w:rsid w:val="004D21F3"/>
    <w:rsid w:val="004D249E"/>
    <w:rsid w:val="004D516B"/>
    <w:rsid w:val="004E615E"/>
    <w:rsid w:val="004F21C4"/>
    <w:rsid w:val="004F685F"/>
    <w:rsid w:val="00500CF5"/>
    <w:rsid w:val="00504FBE"/>
    <w:rsid w:val="00505F89"/>
    <w:rsid w:val="00511259"/>
    <w:rsid w:val="0051328D"/>
    <w:rsid w:val="005173C4"/>
    <w:rsid w:val="005254E6"/>
    <w:rsid w:val="00525B0E"/>
    <w:rsid w:val="0053094D"/>
    <w:rsid w:val="0054375A"/>
    <w:rsid w:val="00555728"/>
    <w:rsid w:val="005566E8"/>
    <w:rsid w:val="00556C7F"/>
    <w:rsid w:val="00560E6B"/>
    <w:rsid w:val="00562602"/>
    <w:rsid w:val="005675BF"/>
    <w:rsid w:val="005725D2"/>
    <w:rsid w:val="00572A8C"/>
    <w:rsid w:val="00574867"/>
    <w:rsid w:val="00576B1A"/>
    <w:rsid w:val="005846EA"/>
    <w:rsid w:val="0058618A"/>
    <w:rsid w:val="0059023C"/>
    <w:rsid w:val="00590E89"/>
    <w:rsid w:val="00591460"/>
    <w:rsid w:val="00591700"/>
    <w:rsid w:val="00591C5C"/>
    <w:rsid w:val="00593BF1"/>
    <w:rsid w:val="005A2F05"/>
    <w:rsid w:val="005A65E0"/>
    <w:rsid w:val="005B098B"/>
    <w:rsid w:val="005B2C0B"/>
    <w:rsid w:val="005B3052"/>
    <w:rsid w:val="005B6132"/>
    <w:rsid w:val="005C3777"/>
    <w:rsid w:val="005C5CDC"/>
    <w:rsid w:val="005D2ED3"/>
    <w:rsid w:val="005D476C"/>
    <w:rsid w:val="005E7816"/>
    <w:rsid w:val="005E7D8A"/>
    <w:rsid w:val="005F61CE"/>
    <w:rsid w:val="00610829"/>
    <w:rsid w:val="00612C39"/>
    <w:rsid w:val="00613744"/>
    <w:rsid w:val="00617654"/>
    <w:rsid w:val="006200BF"/>
    <w:rsid w:val="006204DF"/>
    <w:rsid w:val="00621799"/>
    <w:rsid w:val="006219F8"/>
    <w:rsid w:val="00627683"/>
    <w:rsid w:val="006302F7"/>
    <w:rsid w:val="006369B3"/>
    <w:rsid w:val="006415FB"/>
    <w:rsid w:val="006455F3"/>
    <w:rsid w:val="00646B9F"/>
    <w:rsid w:val="006638D4"/>
    <w:rsid w:val="00665D70"/>
    <w:rsid w:val="00683A52"/>
    <w:rsid w:val="00684307"/>
    <w:rsid w:val="006900D9"/>
    <w:rsid w:val="006918E2"/>
    <w:rsid w:val="00692589"/>
    <w:rsid w:val="00694F2A"/>
    <w:rsid w:val="00697556"/>
    <w:rsid w:val="006B1C1F"/>
    <w:rsid w:val="006C2D59"/>
    <w:rsid w:val="006C3C02"/>
    <w:rsid w:val="006E2D58"/>
    <w:rsid w:val="006E7646"/>
    <w:rsid w:val="006F3792"/>
    <w:rsid w:val="006F6F2F"/>
    <w:rsid w:val="006F73F6"/>
    <w:rsid w:val="00700438"/>
    <w:rsid w:val="00700FC1"/>
    <w:rsid w:val="00706C16"/>
    <w:rsid w:val="00712DFD"/>
    <w:rsid w:val="007173F3"/>
    <w:rsid w:val="00720881"/>
    <w:rsid w:val="00727CD7"/>
    <w:rsid w:val="007340C3"/>
    <w:rsid w:val="00746BE7"/>
    <w:rsid w:val="0075226F"/>
    <w:rsid w:val="0075235A"/>
    <w:rsid w:val="00752E9E"/>
    <w:rsid w:val="0075563F"/>
    <w:rsid w:val="00756841"/>
    <w:rsid w:val="007649AB"/>
    <w:rsid w:val="00765900"/>
    <w:rsid w:val="00766D7E"/>
    <w:rsid w:val="00771CCA"/>
    <w:rsid w:val="00771D0C"/>
    <w:rsid w:val="0077223C"/>
    <w:rsid w:val="007759EA"/>
    <w:rsid w:val="00781B23"/>
    <w:rsid w:val="00782142"/>
    <w:rsid w:val="007833AC"/>
    <w:rsid w:val="00793AC1"/>
    <w:rsid w:val="0079605D"/>
    <w:rsid w:val="007A0A4B"/>
    <w:rsid w:val="007B268C"/>
    <w:rsid w:val="007B2BC2"/>
    <w:rsid w:val="007B7171"/>
    <w:rsid w:val="007C0C0F"/>
    <w:rsid w:val="007C2D7D"/>
    <w:rsid w:val="007C3DC2"/>
    <w:rsid w:val="007D1115"/>
    <w:rsid w:val="007D4B2E"/>
    <w:rsid w:val="007D57F7"/>
    <w:rsid w:val="007E0520"/>
    <w:rsid w:val="007E1089"/>
    <w:rsid w:val="007E369C"/>
    <w:rsid w:val="007E5497"/>
    <w:rsid w:val="007F431E"/>
    <w:rsid w:val="007F494F"/>
    <w:rsid w:val="007F50C9"/>
    <w:rsid w:val="007F7F54"/>
    <w:rsid w:val="008036B4"/>
    <w:rsid w:val="00806F5F"/>
    <w:rsid w:val="0081175D"/>
    <w:rsid w:val="0081373F"/>
    <w:rsid w:val="00816000"/>
    <w:rsid w:val="00820278"/>
    <w:rsid w:val="008258C9"/>
    <w:rsid w:val="00825F36"/>
    <w:rsid w:val="008318E9"/>
    <w:rsid w:val="00832214"/>
    <w:rsid w:val="00834510"/>
    <w:rsid w:val="00834C77"/>
    <w:rsid w:val="00840E4B"/>
    <w:rsid w:val="00844AE9"/>
    <w:rsid w:val="00846D07"/>
    <w:rsid w:val="00861E32"/>
    <w:rsid w:val="00865796"/>
    <w:rsid w:val="008671C1"/>
    <w:rsid w:val="00867F95"/>
    <w:rsid w:val="008717DA"/>
    <w:rsid w:val="0087320F"/>
    <w:rsid w:val="00873C5B"/>
    <w:rsid w:val="00876206"/>
    <w:rsid w:val="008773E9"/>
    <w:rsid w:val="008843B6"/>
    <w:rsid w:val="00887563"/>
    <w:rsid w:val="00890CF6"/>
    <w:rsid w:val="00891928"/>
    <w:rsid w:val="008A446D"/>
    <w:rsid w:val="008A45F0"/>
    <w:rsid w:val="008A56A7"/>
    <w:rsid w:val="008B0077"/>
    <w:rsid w:val="008B0E75"/>
    <w:rsid w:val="008B25F1"/>
    <w:rsid w:val="008C17CB"/>
    <w:rsid w:val="008C7945"/>
    <w:rsid w:val="008D180B"/>
    <w:rsid w:val="008D2A2F"/>
    <w:rsid w:val="008D531B"/>
    <w:rsid w:val="008E12F2"/>
    <w:rsid w:val="008E492D"/>
    <w:rsid w:val="008E55E5"/>
    <w:rsid w:val="008F0EA7"/>
    <w:rsid w:val="008F1304"/>
    <w:rsid w:val="008F436F"/>
    <w:rsid w:val="009054DF"/>
    <w:rsid w:val="00911906"/>
    <w:rsid w:val="009133D3"/>
    <w:rsid w:val="0091487B"/>
    <w:rsid w:val="009207CE"/>
    <w:rsid w:val="00920D5B"/>
    <w:rsid w:val="00923EEF"/>
    <w:rsid w:val="00926E3D"/>
    <w:rsid w:val="00930075"/>
    <w:rsid w:val="0093137C"/>
    <w:rsid w:val="00934F4F"/>
    <w:rsid w:val="0094099A"/>
    <w:rsid w:val="009419F9"/>
    <w:rsid w:val="009433C7"/>
    <w:rsid w:val="00944446"/>
    <w:rsid w:val="00955709"/>
    <w:rsid w:val="0095685E"/>
    <w:rsid w:val="00957615"/>
    <w:rsid w:val="00961B09"/>
    <w:rsid w:val="00965334"/>
    <w:rsid w:val="0097093E"/>
    <w:rsid w:val="00970FE4"/>
    <w:rsid w:val="0097436F"/>
    <w:rsid w:val="009777FA"/>
    <w:rsid w:val="009800F8"/>
    <w:rsid w:val="00985C8C"/>
    <w:rsid w:val="009877D7"/>
    <w:rsid w:val="00987C44"/>
    <w:rsid w:val="009933D4"/>
    <w:rsid w:val="009948A2"/>
    <w:rsid w:val="0099559C"/>
    <w:rsid w:val="009A0DFA"/>
    <w:rsid w:val="009A139E"/>
    <w:rsid w:val="009A1C6F"/>
    <w:rsid w:val="009B02D6"/>
    <w:rsid w:val="009B0E84"/>
    <w:rsid w:val="009B2D26"/>
    <w:rsid w:val="009B4037"/>
    <w:rsid w:val="009B5A20"/>
    <w:rsid w:val="009B604C"/>
    <w:rsid w:val="009C1F94"/>
    <w:rsid w:val="009C71FA"/>
    <w:rsid w:val="009C72E7"/>
    <w:rsid w:val="009C7F7E"/>
    <w:rsid w:val="009D3058"/>
    <w:rsid w:val="009D36B8"/>
    <w:rsid w:val="009D5937"/>
    <w:rsid w:val="009F27D8"/>
    <w:rsid w:val="009F3A13"/>
    <w:rsid w:val="009F7AD6"/>
    <w:rsid w:val="00A03375"/>
    <w:rsid w:val="00A060B6"/>
    <w:rsid w:val="00A11160"/>
    <w:rsid w:val="00A122D3"/>
    <w:rsid w:val="00A14468"/>
    <w:rsid w:val="00A17F13"/>
    <w:rsid w:val="00A2030D"/>
    <w:rsid w:val="00A20739"/>
    <w:rsid w:val="00A23AF9"/>
    <w:rsid w:val="00A23DBA"/>
    <w:rsid w:val="00A32BE2"/>
    <w:rsid w:val="00A332C8"/>
    <w:rsid w:val="00A33C78"/>
    <w:rsid w:val="00A3402F"/>
    <w:rsid w:val="00A43116"/>
    <w:rsid w:val="00A43159"/>
    <w:rsid w:val="00A45853"/>
    <w:rsid w:val="00A53532"/>
    <w:rsid w:val="00A53FD7"/>
    <w:rsid w:val="00A554C9"/>
    <w:rsid w:val="00A575FE"/>
    <w:rsid w:val="00A7048F"/>
    <w:rsid w:val="00A7422C"/>
    <w:rsid w:val="00A92EC3"/>
    <w:rsid w:val="00A960E5"/>
    <w:rsid w:val="00AA63B5"/>
    <w:rsid w:val="00AB0ADB"/>
    <w:rsid w:val="00AB202A"/>
    <w:rsid w:val="00AB7579"/>
    <w:rsid w:val="00AC3148"/>
    <w:rsid w:val="00AD50C5"/>
    <w:rsid w:val="00AD6C81"/>
    <w:rsid w:val="00AE6507"/>
    <w:rsid w:val="00AF183B"/>
    <w:rsid w:val="00AF1BE5"/>
    <w:rsid w:val="00B00C0E"/>
    <w:rsid w:val="00B01B1A"/>
    <w:rsid w:val="00B0381D"/>
    <w:rsid w:val="00B060A3"/>
    <w:rsid w:val="00B1022B"/>
    <w:rsid w:val="00B140D0"/>
    <w:rsid w:val="00B14F4D"/>
    <w:rsid w:val="00B23C64"/>
    <w:rsid w:val="00B249E1"/>
    <w:rsid w:val="00B32FE7"/>
    <w:rsid w:val="00B37969"/>
    <w:rsid w:val="00B44A47"/>
    <w:rsid w:val="00B45858"/>
    <w:rsid w:val="00B521DF"/>
    <w:rsid w:val="00B652CB"/>
    <w:rsid w:val="00B656F8"/>
    <w:rsid w:val="00B714B0"/>
    <w:rsid w:val="00B72CD3"/>
    <w:rsid w:val="00B72E30"/>
    <w:rsid w:val="00B72FFF"/>
    <w:rsid w:val="00B7336C"/>
    <w:rsid w:val="00B75E0D"/>
    <w:rsid w:val="00B81EAA"/>
    <w:rsid w:val="00B85A64"/>
    <w:rsid w:val="00BA1D42"/>
    <w:rsid w:val="00BA46C9"/>
    <w:rsid w:val="00BA4C3B"/>
    <w:rsid w:val="00BB4382"/>
    <w:rsid w:val="00BB43C2"/>
    <w:rsid w:val="00BC3C46"/>
    <w:rsid w:val="00BC3D36"/>
    <w:rsid w:val="00BC4B58"/>
    <w:rsid w:val="00BD4350"/>
    <w:rsid w:val="00BD54A6"/>
    <w:rsid w:val="00BD7F72"/>
    <w:rsid w:val="00BE36EC"/>
    <w:rsid w:val="00BF2144"/>
    <w:rsid w:val="00BF7425"/>
    <w:rsid w:val="00C00897"/>
    <w:rsid w:val="00C04FB3"/>
    <w:rsid w:val="00C0526B"/>
    <w:rsid w:val="00C0783E"/>
    <w:rsid w:val="00C103BE"/>
    <w:rsid w:val="00C11D8B"/>
    <w:rsid w:val="00C15139"/>
    <w:rsid w:val="00C16A37"/>
    <w:rsid w:val="00C200AD"/>
    <w:rsid w:val="00C222DC"/>
    <w:rsid w:val="00C2547E"/>
    <w:rsid w:val="00C330EB"/>
    <w:rsid w:val="00C413E9"/>
    <w:rsid w:val="00C41DE8"/>
    <w:rsid w:val="00C44CD0"/>
    <w:rsid w:val="00C44F26"/>
    <w:rsid w:val="00C50D69"/>
    <w:rsid w:val="00C5151D"/>
    <w:rsid w:val="00C5365C"/>
    <w:rsid w:val="00C54178"/>
    <w:rsid w:val="00C541CA"/>
    <w:rsid w:val="00C546CC"/>
    <w:rsid w:val="00C55BDE"/>
    <w:rsid w:val="00C60BDB"/>
    <w:rsid w:val="00C708C9"/>
    <w:rsid w:val="00C72A81"/>
    <w:rsid w:val="00C754BE"/>
    <w:rsid w:val="00C76B1C"/>
    <w:rsid w:val="00C835AD"/>
    <w:rsid w:val="00C851C7"/>
    <w:rsid w:val="00C85FB6"/>
    <w:rsid w:val="00C925AC"/>
    <w:rsid w:val="00CA7C8E"/>
    <w:rsid w:val="00CB1D05"/>
    <w:rsid w:val="00CB24C0"/>
    <w:rsid w:val="00CB2C54"/>
    <w:rsid w:val="00CB6357"/>
    <w:rsid w:val="00CB6E42"/>
    <w:rsid w:val="00CC1B26"/>
    <w:rsid w:val="00CC2634"/>
    <w:rsid w:val="00CC2FD7"/>
    <w:rsid w:val="00CC3788"/>
    <w:rsid w:val="00CC629E"/>
    <w:rsid w:val="00CD6CD5"/>
    <w:rsid w:val="00CE3F9C"/>
    <w:rsid w:val="00CE42E8"/>
    <w:rsid w:val="00CE4C69"/>
    <w:rsid w:val="00CE58AD"/>
    <w:rsid w:val="00CF01D4"/>
    <w:rsid w:val="00CF1330"/>
    <w:rsid w:val="00CF2943"/>
    <w:rsid w:val="00CF29BA"/>
    <w:rsid w:val="00CF4966"/>
    <w:rsid w:val="00CF606B"/>
    <w:rsid w:val="00D00C49"/>
    <w:rsid w:val="00D03E03"/>
    <w:rsid w:val="00D100C8"/>
    <w:rsid w:val="00D14BC3"/>
    <w:rsid w:val="00D16B34"/>
    <w:rsid w:val="00D177E6"/>
    <w:rsid w:val="00D201E9"/>
    <w:rsid w:val="00D23959"/>
    <w:rsid w:val="00D25E73"/>
    <w:rsid w:val="00D26B56"/>
    <w:rsid w:val="00D27094"/>
    <w:rsid w:val="00D302D9"/>
    <w:rsid w:val="00D323D9"/>
    <w:rsid w:val="00D361FD"/>
    <w:rsid w:val="00D414FE"/>
    <w:rsid w:val="00D423A2"/>
    <w:rsid w:val="00D44844"/>
    <w:rsid w:val="00D44E26"/>
    <w:rsid w:val="00D460D0"/>
    <w:rsid w:val="00D50358"/>
    <w:rsid w:val="00D520D8"/>
    <w:rsid w:val="00D53326"/>
    <w:rsid w:val="00D63AC2"/>
    <w:rsid w:val="00D7383B"/>
    <w:rsid w:val="00D73BAF"/>
    <w:rsid w:val="00D7788A"/>
    <w:rsid w:val="00D82C96"/>
    <w:rsid w:val="00D858E0"/>
    <w:rsid w:val="00D85FD5"/>
    <w:rsid w:val="00D86621"/>
    <w:rsid w:val="00D86A04"/>
    <w:rsid w:val="00D87A3C"/>
    <w:rsid w:val="00D94D77"/>
    <w:rsid w:val="00D97CCD"/>
    <w:rsid w:val="00DA02A1"/>
    <w:rsid w:val="00DA1FBF"/>
    <w:rsid w:val="00DA231B"/>
    <w:rsid w:val="00DA3609"/>
    <w:rsid w:val="00DA39A2"/>
    <w:rsid w:val="00DA4A00"/>
    <w:rsid w:val="00DB2058"/>
    <w:rsid w:val="00DB2E63"/>
    <w:rsid w:val="00DB4AFD"/>
    <w:rsid w:val="00DC2676"/>
    <w:rsid w:val="00DC38B2"/>
    <w:rsid w:val="00DC39FC"/>
    <w:rsid w:val="00DC75CA"/>
    <w:rsid w:val="00DE440E"/>
    <w:rsid w:val="00DE4943"/>
    <w:rsid w:val="00DE79ED"/>
    <w:rsid w:val="00DF5254"/>
    <w:rsid w:val="00E02524"/>
    <w:rsid w:val="00E07A6B"/>
    <w:rsid w:val="00E1209B"/>
    <w:rsid w:val="00E13BCD"/>
    <w:rsid w:val="00E151A6"/>
    <w:rsid w:val="00E15C40"/>
    <w:rsid w:val="00E16408"/>
    <w:rsid w:val="00E20894"/>
    <w:rsid w:val="00E245AB"/>
    <w:rsid w:val="00E27291"/>
    <w:rsid w:val="00E2764C"/>
    <w:rsid w:val="00E27660"/>
    <w:rsid w:val="00E27F2E"/>
    <w:rsid w:val="00E305EE"/>
    <w:rsid w:val="00E325EA"/>
    <w:rsid w:val="00E32AC2"/>
    <w:rsid w:val="00E36176"/>
    <w:rsid w:val="00E42EFA"/>
    <w:rsid w:val="00E46B80"/>
    <w:rsid w:val="00E50AFE"/>
    <w:rsid w:val="00E51371"/>
    <w:rsid w:val="00E70CAF"/>
    <w:rsid w:val="00E75C92"/>
    <w:rsid w:val="00E771DC"/>
    <w:rsid w:val="00E7754D"/>
    <w:rsid w:val="00E814E8"/>
    <w:rsid w:val="00E826C6"/>
    <w:rsid w:val="00E84EEF"/>
    <w:rsid w:val="00E86265"/>
    <w:rsid w:val="00E8772A"/>
    <w:rsid w:val="00E90F6B"/>
    <w:rsid w:val="00E91F51"/>
    <w:rsid w:val="00E92C27"/>
    <w:rsid w:val="00E92CEB"/>
    <w:rsid w:val="00E93496"/>
    <w:rsid w:val="00EA0E3D"/>
    <w:rsid w:val="00EA3A38"/>
    <w:rsid w:val="00EB394E"/>
    <w:rsid w:val="00EB5A8E"/>
    <w:rsid w:val="00EC214E"/>
    <w:rsid w:val="00EC38A7"/>
    <w:rsid w:val="00EC74E9"/>
    <w:rsid w:val="00ED5F50"/>
    <w:rsid w:val="00EE04B9"/>
    <w:rsid w:val="00EE1AA8"/>
    <w:rsid w:val="00EF2E3F"/>
    <w:rsid w:val="00EF5BD7"/>
    <w:rsid w:val="00F013C0"/>
    <w:rsid w:val="00F01EE6"/>
    <w:rsid w:val="00F0382A"/>
    <w:rsid w:val="00F06BC6"/>
    <w:rsid w:val="00F07CE6"/>
    <w:rsid w:val="00F07F01"/>
    <w:rsid w:val="00F10689"/>
    <w:rsid w:val="00F10855"/>
    <w:rsid w:val="00F129EB"/>
    <w:rsid w:val="00F2271C"/>
    <w:rsid w:val="00F23FEA"/>
    <w:rsid w:val="00F302DC"/>
    <w:rsid w:val="00F30F8D"/>
    <w:rsid w:val="00F31B01"/>
    <w:rsid w:val="00F31EDC"/>
    <w:rsid w:val="00F32232"/>
    <w:rsid w:val="00F34198"/>
    <w:rsid w:val="00F3511A"/>
    <w:rsid w:val="00F36AFE"/>
    <w:rsid w:val="00F4296A"/>
    <w:rsid w:val="00F462B3"/>
    <w:rsid w:val="00F473B2"/>
    <w:rsid w:val="00F5369B"/>
    <w:rsid w:val="00F5664F"/>
    <w:rsid w:val="00F5666B"/>
    <w:rsid w:val="00F60C80"/>
    <w:rsid w:val="00F63C15"/>
    <w:rsid w:val="00F65D80"/>
    <w:rsid w:val="00F666C4"/>
    <w:rsid w:val="00F76AFC"/>
    <w:rsid w:val="00F775C8"/>
    <w:rsid w:val="00F80590"/>
    <w:rsid w:val="00F85BDC"/>
    <w:rsid w:val="00F9237D"/>
    <w:rsid w:val="00F9305C"/>
    <w:rsid w:val="00F96512"/>
    <w:rsid w:val="00FA2A14"/>
    <w:rsid w:val="00FA47C0"/>
    <w:rsid w:val="00FB5DD1"/>
    <w:rsid w:val="00FC118D"/>
    <w:rsid w:val="00FC2B5D"/>
    <w:rsid w:val="00FC2CC8"/>
    <w:rsid w:val="00FC403C"/>
    <w:rsid w:val="00FC6BC9"/>
    <w:rsid w:val="00FD16D6"/>
    <w:rsid w:val="00FD1FF0"/>
    <w:rsid w:val="00FD5B9A"/>
    <w:rsid w:val="00FD6717"/>
    <w:rsid w:val="00FE0D31"/>
    <w:rsid w:val="00FE31CD"/>
    <w:rsid w:val="00FE3454"/>
    <w:rsid w:val="00FF1449"/>
    <w:rsid w:val="00FF3C16"/>
    <w:rsid w:val="00FF7157"/>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52C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 w:type="character" w:styleId="Refdecomentario">
    <w:name w:val="annotation reference"/>
    <w:basedOn w:val="Fuentedeprrafopredeter"/>
    <w:uiPriority w:val="99"/>
    <w:semiHidden/>
    <w:unhideWhenUsed/>
    <w:rsid w:val="00B1022B"/>
    <w:rPr>
      <w:sz w:val="16"/>
      <w:szCs w:val="16"/>
    </w:rPr>
  </w:style>
  <w:style w:type="paragraph" w:styleId="Textocomentario">
    <w:name w:val="annotation text"/>
    <w:basedOn w:val="Normal"/>
    <w:link w:val="TextocomentarioCar"/>
    <w:uiPriority w:val="99"/>
    <w:semiHidden/>
    <w:unhideWhenUsed/>
    <w:rsid w:val="00B1022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1022B"/>
    <w:rPr>
      <w:sz w:val="20"/>
      <w:szCs w:val="20"/>
    </w:rPr>
  </w:style>
  <w:style w:type="paragraph" w:styleId="Asuntodelcomentario">
    <w:name w:val="annotation subject"/>
    <w:basedOn w:val="Textocomentario"/>
    <w:next w:val="Textocomentario"/>
    <w:link w:val="AsuntodelcomentarioCar"/>
    <w:uiPriority w:val="99"/>
    <w:semiHidden/>
    <w:unhideWhenUsed/>
    <w:rsid w:val="00B1022B"/>
    <w:rPr>
      <w:b/>
      <w:bCs/>
    </w:rPr>
  </w:style>
  <w:style w:type="character" w:customStyle="1" w:styleId="AsuntodelcomentarioCar">
    <w:name w:val="Asunto del comentario Car"/>
    <w:basedOn w:val="TextocomentarioCar"/>
    <w:link w:val="Asuntodelcomentario"/>
    <w:uiPriority w:val="99"/>
    <w:semiHidden/>
    <w:rsid w:val="00B1022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fernandog213@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node/23710" TargetMode="External"/><Relationship Id="rId2" Type="http://schemas.openxmlformats.org/officeDocument/2006/relationships/hyperlink" Target="https://www.colombiacompra.gov.co/base-conocimiento/gestion-contractual-envio-del-contrato-secop-ii" TargetMode="External"/><Relationship Id="rId1" Type="http://schemas.openxmlformats.org/officeDocument/2006/relationships/hyperlink" Target="https://www.colombiacompra.gov.co/wp-content/uploads/2024/08/circular_externa_unica_version_3_vf49.pdf" TargetMode="External"/><Relationship Id="rId5" Type="http://schemas.openxmlformats.org/officeDocument/2006/relationships/hyperlink" Target="https://www.colombiacompra.gov.co/base-conocimiento/configuracion-de-cuentas-secop-ii" TargetMode="External"/><Relationship Id="rId4" Type="http://schemas.openxmlformats.org/officeDocument/2006/relationships/hyperlink" Target="https://www.colombiacompra.gov.co/base-conocimiento/gestion-contractual-envio-del-contrato-secop-i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3747838A-3E23-4DB0-BB1E-F10E4D4AAC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51</TotalTime>
  <Pages>34</Pages>
  <Words>11757</Words>
  <Characters>63729</Characters>
  <Application>Microsoft Office Word</Application>
  <DocSecurity>0</DocSecurity>
  <Lines>1180</Lines>
  <Paragraphs>202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Camilo José Martínez Martínez</cp:lastModifiedBy>
  <cp:revision>12</cp:revision>
  <cp:lastPrinted>2023-01-10T21:18:00Z</cp:lastPrinted>
  <dcterms:created xsi:type="dcterms:W3CDTF">2026-04-21T19:02:00Z</dcterms:created>
  <dcterms:modified xsi:type="dcterms:W3CDTF">2026-05-21T16:43:00Z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