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B1E77" w14:textId="10DC4DF1" w:rsidR="00801222" w:rsidRPr="008401E6" w:rsidRDefault="00801222" w:rsidP="008401E6">
      <w:pPr>
        <w:spacing w:after="0"/>
      </w:pPr>
      <w:bookmarkStart w:id="0" w:name="_Hlk143780582"/>
      <w:r w:rsidRPr="00972B2F">
        <w:rPr>
          <w:rFonts w:ascii="Verdana" w:eastAsia="Calibri" w:hAnsi="Verdana" w:cs="Arial"/>
          <w:b/>
          <w:bCs/>
          <w:lang w:val="es-ES" w:eastAsia="es-ES"/>
        </w:rPr>
        <w:t>CONTRATO ESTATAL – Ejercicio – Funciones de control y vigilancia</w:t>
      </w:r>
    </w:p>
    <w:p w14:paraId="219C5FDF" w14:textId="77777777" w:rsidR="00801222" w:rsidRPr="00972B2F" w:rsidRDefault="00801222" w:rsidP="00801222">
      <w:pPr>
        <w:spacing w:after="0" w:line="240" w:lineRule="auto"/>
        <w:jc w:val="both"/>
        <w:rPr>
          <w:rFonts w:ascii="Verdana" w:eastAsia="Calibri" w:hAnsi="Verdana" w:cs="Arial"/>
          <w:b/>
          <w:bCs/>
          <w:lang w:val="es-ES" w:eastAsia="es-ES"/>
        </w:rPr>
      </w:pPr>
    </w:p>
    <w:p w14:paraId="0716C109" w14:textId="77777777" w:rsidR="00801222" w:rsidRPr="00972B2F" w:rsidRDefault="00801222" w:rsidP="00801222">
      <w:pPr>
        <w:spacing w:after="0" w:line="240" w:lineRule="auto"/>
        <w:jc w:val="both"/>
        <w:rPr>
          <w:rFonts w:ascii="Verdana" w:eastAsia="Calibri" w:hAnsi="Verdana" w:cs="Arial"/>
          <w:color w:val="000000"/>
          <w:sz w:val="20"/>
          <w:lang w:val="es-ES"/>
        </w:rPr>
      </w:pPr>
      <w:r w:rsidRPr="00972B2F">
        <w:rPr>
          <w:rFonts w:ascii="Verdana" w:eastAsia="Calibri" w:hAnsi="Verdana" w:cs="Arial"/>
          <w:color w:val="000000"/>
          <w:sz w:val="20"/>
          <w:lang w:val="es-ES"/>
        </w:rPr>
        <w:t>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0EF833A4" w14:textId="77777777" w:rsidR="00801222" w:rsidRPr="00972B2F" w:rsidRDefault="00801222" w:rsidP="00801222">
      <w:pPr>
        <w:spacing w:after="0" w:line="240" w:lineRule="auto"/>
        <w:jc w:val="both"/>
        <w:rPr>
          <w:rFonts w:ascii="Verdana" w:eastAsia="Calibri" w:hAnsi="Verdana" w:cs="Arial"/>
          <w:color w:val="000000"/>
          <w:sz w:val="20"/>
          <w:lang w:val="es-ES"/>
        </w:rPr>
      </w:pPr>
    </w:p>
    <w:p w14:paraId="62E1C4FC" w14:textId="77777777" w:rsidR="00801222" w:rsidRPr="00972B2F" w:rsidRDefault="00801222" w:rsidP="00801222">
      <w:pPr>
        <w:spacing w:after="0" w:line="240" w:lineRule="auto"/>
        <w:jc w:val="both"/>
        <w:rPr>
          <w:rFonts w:ascii="Verdana" w:eastAsia="Calibri" w:hAnsi="Verdana" w:cs="Arial"/>
          <w:color w:val="000000"/>
          <w:sz w:val="20"/>
          <w:lang w:val="es-ES"/>
        </w:rPr>
      </w:pPr>
      <w:r w:rsidRPr="00972B2F">
        <w:rPr>
          <w:rFonts w:ascii="Verdana" w:eastAsia="Calibri" w:hAnsi="Verdana" w:cs="Arial"/>
          <w:color w:val="000000"/>
          <w:sz w:val="2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A4EF069" w14:textId="77777777" w:rsidR="00801222" w:rsidRPr="00972B2F" w:rsidRDefault="00801222" w:rsidP="00801222">
      <w:pPr>
        <w:spacing w:after="0" w:line="240" w:lineRule="auto"/>
        <w:jc w:val="both"/>
        <w:rPr>
          <w:rFonts w:ascii="Verdana" w:eastAsia="Times New Roman" w:hAnsi="Verdana" w:cs="Arial"/>
          <w:sz w:val="20"/>
          <w:lang w:val="es-ES" w:eastAsia="es-MX"/>
        </w:rPr>
      </w:pPr>
    </w:p>
    <w:p w14:paraId="11699F19" w14:textId="77777777" w:rsidR="00801222" w:rsidRPr="00972B2F" w:rsidRDefault="00801222" w:rsidP="00801222">
      <w:pPr>
        <w:spacing w:after="0" w:line="240" w:lineRule="auto"/>
        <w:jc w:val="both"/>
        <w:rPr>
          <w:rFonts w:ascii="Verdana" w:eastAsia="Calibri" w:hAnsi="Verdana" w:cs="Times New Roman"/>
          <w:b/>
        </w:rPr>
      </w:pPr>
      <w:r w:rsidRPr="00972B2F">
        <w:rPr>
          <w:rFonts w:ascii="Verdana" w:eastAsia="Calibri" w:hAnsi="Verdana" w:cs="Arial"/>
          <w:b/>
          <w:bCs/>
          <w:lang w:val="es-ES" w:eastAsia="es-ES"/>
        </w:rPr>
        <w:t>CONTRATO ESTATAL – Supervisión – Interventoría – características</w:t>
      </w:r>
    </w:p>
    <w:p w14:paraId="1C094957" w14:textId="77777777" w:rsidR="00801222" w:rsidRPr="00972B2F" w:rsidRDefault="00801222" w:rsidP="00801222">
      <w:pPr>
        <w:spacing w:after="0" w:line="240" w:lineRule="auto"/>
        <w:jc w:val="both"/>
        <w:rPr>
          <w:rFonts w:ascii="Verdana" w:eastAsia="Calibri" w:hAnsi="Verdana" w:cs="Times New Roman"/>
          <w:b/>
          <w:sz w:val="20"/>
        </w:rPr>
      </w:pPr>
    </w:p>
    <w:p w14:paraId="2B4F5E7B" w14:textId="77777777" w:rsidR="00801222" w:rsidRPr="00972B2F" w:rsidRDefault="00801222" w:rsidP="00801222">
      <w:pPr>
        <w:spacing w:after="0" w:line="240" w:lineRule="auto"/>
        <w:jc w:val="both"/>
        <w:rPr>
          <w:rFonts w:ascii="Verdana" w:eastAsia="Times New Roman" w:hAnsi="Verdana" w:cs="Arial"/>
          <w:sz w:val="20"/>
          <w:lang w:val="es-ES" w:eastAsia="es-MX"/>
        </w:rPr>
      </w:pPr>
      <w:r w:rsidRPr="00972B2F">
        <w:rPr>
          <w:rFonts w:ascii="Verdana" w:eastAsia="Times New Roman" w:hAnsi="Verdana" w:cs="Arial"/>
          <w:sz w:val="20"/>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1EE8604A" w14:textId="77777777" w:rsidR="00801222" w:rsidRPr="00972B2F" w:rsidRDefault="00801222" w:rsidP="00801222">
      <w:pPr>
        <w:spacing w:after="0" w:line="240" w:lineRule="auto"/>
        <w:jc w:val="both"/>
        <w:rPr>
          <w:rFonts w:ascii="Verdana" w:eastAsia="Times New Roman" w:hAnsi="Verdana" w:cs="Arial"/>
          <w:sz w:val="20"/>
          <w:szCs w:val="21"/>
          <w:lang w:val="es-ES" w:eastAsia="es-MX"/>
        </w:rPr>
      </w:pPr>
    </w:p>
    <w:p w14:paraId="53C2B4EC" w14:textId="77777777" w:rsidR="00801222" w:rsidRPr="00972B2F" w:rsidRDefault="00801222" w:rsidP="00801222">
      <w:pPr>
        <w:spacing w:after="0" w:line="240" w:lineRule="auto"/>
        <w:jc w:val="both"/>
        <w:rPr>
          <w:rFonts w:ascii="Verdana" w:eastAsia="Times New Roman" w:hAnsi="Verdana" w:cs="Arial"/>
          <w:sz w:val="20"/>
          <w:shd w:val="clear" w:color="auto" w:fill="FFFFFF"/>
          <w:lang w:val="es-ES"/>
        </w:rPr>
      </w:pPr>
      <w:r w:rsidRPr="00972B2F">
        <w:rPr>
          <w:rFonts w:ascii="Verdana" w:eastAsia="Times New Roman" w:hAnsi="Verdana" w:cs="Arial"/>
          <w:bCs/>
          <w:sz w:val="20"/>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w:t>
      </w:r>
      <w:r w:rsidRPr="00972B2F">
        <w:rPr>
          <w:rFonts w:ascii="Verdana" w:eastAsia="Times New Roman" w:hAnsi="Verdana" w:cs="Arial"/>
          <w:bCs/>
          <w:sz w:val="20"/>
          <w:lang w:val="es-ES"/>
        </w:rPr>
        <w:lastRenderedPageBreak/>
        <w:t xml:space="preserve">servicios –a diferencia de la interventoría que depende del análisis de su necesidad y extensión–; </w:t>
      </w:r>
      <w:proofErr w:type="spellStart"/>
      <w:r w:rsidRPr="00972B2F">
        <w:rPr>
          <w:rFonts w:ascii="Verdana" w:eastAsia="Times New Roman" w:hAnsi="Verdana" w:cs="Arial"/>
          <w:bCs/>
          <w:sz w:val="20"/>
          <w:lang w:val="es-ES"/>
        </w:rPr>
        <w:t>ii</w:t>
      </w:r>
      <w:proofErr w:type="spellEnd"/>
      <w:r w:rsidRPr="00972B2F">
        <w:rPr>
          <w:rFonts w:ascii="Verdana" w:eastAsia="Times New Roman" w:hAnsi="Verdana" w:cs="Arial"/>
          <w:bCs/>
          <w:sz w:val="20"/>
          <w:lang w:val="es-ES"/>
        </w:rPr>
        <w:t xml:space="preserve">) no requiere conocimientos tan especializados como la interventoría; </w:t>
      </w:r>
      <w:proofErr w:type="spellStart"/>
      <w:r w:rsidRPr="00972B2F">
        <w:rPr>
          <w:rFonts w:ascii="Verdana" w:eastAsia="Times New Roman" w:hAnsi="Verdana" w:cs="Arial"/>
          <w:bCs/>
          <w:sz w:val="20"/>
          <w:lang w:val="es-ES"/>
        </w:rPr>
        <w:t>iii</w:t>
      </w:r>
      <w:proofErr w:type="spellEnd"/>
      <w:r w:rsidRPr="00972B2F">
        <w:rPr>
          <w:rFonts w:ascii="Verdana" w:eastAsia="Times New Roman" w:hAnsi="Verdana" w:cs="Arial"/>
          <w:bCs/>
          <w:sz w:val="20"/>
          <w:lang w:val="es-ES"/>
        </w:rPr>
        <w:t xml:space="preserve">) se ejerce por la Entidad Estatal por conducto de la designación de servidores públicos idóneos para cumplir la función; </w:t>
      </w:r>
      <w:proofErr w:type="spellStart"/>
      <w:r w:rsidRPr="00972B2F">
        <w:rPr>
          <w:rFonts w:ascii="Verdana" w:eastAsia="Times New Roman" w:hAnsi="Verdana" w:cs="Arial"/>
          <w:bCs/>
          <w:sz w:val="20"/>
          <w:lang w:val="es-ES"/>
        </w:rPr>
        <w:t>iv</w:t>
      </w:r>
      <w:proofErr w:type="spellEnd"/>
      <w:r w:rsidRPr="00972B2F">
        <w:rPr>
          <w:rFonts w:ascii="Verdana" w:eastAsia="Times New Roman" w:hAnsi="Verdana" w:cs="Arial"/>
          <w:bCs/>
          <w:sz w:val="20"/>
          <w:lang w:val="es-ES"/>
        </w:rPr>
        <w:t>) puede recibir apoyo de personal contratado para tal fin mediante contratos de prestación de servicios; y v) le es inseparable el seguimiento técnico, administrativo, financiero, contable y jurídico del contrato vigilado.</w:t>
      </w:r>
    </w:p>
    <w:p w14:paraId="6FA3AADB"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74DE8DB0"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rPr>
      </w:pPr>
      <w:r w:rsidRPr="00972B2F">
        <w:rPr>
          <w:rFonts w:ascii="Verdana" w:eastAsia="Aptos" w:hAnsi="Verdana" w:cs="Arial"/>
          <w:bCs/>
          <w:sz w:val="20"/>
          <w:lang w:val="es-ES"/>
        </w:rPr>
        <w:t xml:space="preserve">Por otro lado, </w:t>
      </w:r>
      <w:r w:rsidRPr="00972B2F">
        <w:rPr>
          <w:rFonts w:ascii="Verdana" w:eastAsia="Aptos" w:hAnsi="Verdana" w:cs="Arial"/>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972B2F">
        <w:rPr>
          <w:rFonts w:ascii="Verdana" w:eastAsia="Aptos" w:hAnsi="Verdana" w:cs="Arial"/>
          <w:bCs/>
          <w:sz w:val="20"/>
        </w:rPr>
        <w:t>ii</w:t>
      </w:r>
      <w:proofErr w:type="spellEnd"/>
      <w:r w:rsidRPr="00972B2F">
        <w:rPr>
          <w:rFonts w:ascii="Verdana" w:eastAsia="Aptos" w:hAnsi="Verdana" w:cs="Arial"/>
          <w:bCs/>
          <w:sz w:val="20"/>
        </w:rPr>
        <w:t xml:space="preserve">) es un mecanismo de vigilancia que exige, en su ejecución, la utilización de conocimientos especializados; </w:t>
      </w:r>
      <w:proofErr w:type="spellStart"/>
      <w:r w:rsidRPr="00972B2F">
        <w:rPr>
          <w:rFonts w:ascii="Verdana" w:eastAsia="Aptos" w:hAnsi="Verdana" w:cs="Arial"/>
          <w:bCs/>
          <w:sz w:val="20"/>
        </w:rPr>
        <w:t>iii</w:t>
      </w:r>
      <w:proofErr w:type="spellEnd"/>
      <w:r w:rsidRPr="00972B2F">
        <w:rPr>
          <w:rFonts w:ascii="Verdana" w:eastAsia="Aptos" w:hAnsi="Verdana" w:cs="Arial"/>
          <w:bCs/>
          <w:sz w:val="20"/>
        </w:rPr>
        <w:t>) por lo anterior, la entidad contrata un experto, por regla general, mediante la modalidad de selección de concurso de méritos, al tratarse la interventoría de una especie del contrato de consultoría –art. 32, numeral 2, inciso 2, Ley 80 de 1993</w:t>
      </w:r>
      <w:r w:rsidRPr="00972B2F">
        <w:rPr>
          <w:rFonts w:ascii="Verdana" w:eastAsia="Aptos" w:hAnsi="Verdana" w:cs="Times New Roman"/>
          <w:kern w:val="2"/>
          <w:sz w:val="20"/>
          <w14:ligatures w14:val="standardContextual"/>
        </w:rPr>
        <w:t xml:space="preserve">-, </w:t>
      </w:r>
      <w:r w:rsidRPr="00972B2F">
        <w:rPr>
          <w:rFonts w:ascii="Verdana" w:eastAsia="Aptos" w:hAnsi="Verdana" w:cs="Arial"/>
          <w:bCs/>
          <w:sz w:val="20"/>
        </w:rPr>
        <w:t xml:space="preserve">de manera que la interventoría es realizada por “una persona natural o jurídica contratada para tal fin por la Entidad Estatal” –art. 83, Ley 1474–; </w:t>
      </w:r>
      <w:proofErr w:type="spellStart"/>
      <w:r w:rsidRPr="00972B2F">
        <w:rPr>
          <w:rFonts w:ascii="Verdana" w:eastAsia="Aptos" w:hAnsi="Verdana" w:cs="Arial"/>
          <w:bCs/>
          <w:sz w:val="20"/>
        </w:rPr>
        <w:t>iv</w:t>
      </w:r>
      <w:proofErr w:type="spellEnd"/>
      <w:r w:rsidRPr="00972B2F">
        <w:rPr>
          <w:rFonts w:ascii="Verdana" w:eastAsia="Aptos" w:hAnsi="Verdana" w:cs="Arial"/>
          <w:bCs/>
          <w:sz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18EE9C24" w14:textId="77777777" w:rsidR="00801222" w:rsidRPr="00972B2F" w:rsidRDefault="00801222" w:rsidP="00801222">
      <w:pPr>
        <w:spacing w:after="0" w:line="240" w:lineRule="auto"/>
        <w:rPr>
          <w:rFonts w:ascii="Verdana" w:eastAsia="Geomanist Light" w:hAnsi="Verdana" w:cs="Arial"/>
          <w:color w:val="000000"/>
        </w:rPr>
      </w:pPr>
    </w:p>
    <w:p w14:paraId="14E8C6A8" w14:textId="77777777" w:rsidR="00801222" w:rsidRPr="00972B2F" w:rsidRDefault="00801222" w:rsidP="00801222">
      <w:pPr>
        <w:spacing w:after="0" w:line="240" w:lineRule="auto"/>
        <w:jc w:val="both"/>
        <w:rPr>
          <w:rFonts w:ascii="Verdana" w:eastAsia="Calibri" w:hAnsi="Verdana" w:cs="Arial"/>
          <w:b/>
          <w:bCs/>
          <w:lang w:val="es-ES" w:eastAsia="es-ES"/>
        </w:rPr>
      </w:pPr>
      <w:r w:rsidRPr="00972B2F">
        <w:rPr>
          <w:rFonts w:ascii="Verdana" w:eastAsia="Calibri" w:hAnsi="Verdana" w:cs="Arial"/>
          <w:b/>
          <w:bCs/>
          <w:lang w:val="es-ES" w:eastAsia="es-ES"/>
        </w:rPr>
        <w:t xml:space="preserve">INTERVENTORÍA – Obligatoriedad – Artículo 32.1 EGCAP – Artículo 83 Ley 1474 de 2011 – No excluyentes  </w:t>
      </w:r>
    </w:p>
    <w:p w14:paraId="4119C9A3" w14:textId="77777777" w:rsidR="00801222" w:rsidRPr="00972B2F" w:rsidRDefault="00801222" w:rsidP="00801222">
      <w:pPr>
        <w:spacing w:after="0" w:line="240" w:lineRule="auto"/>
        <w:jc w:val="both"/>
        <w:rPr>
          <w:rFonts w:ascii="Verdana" w:eastAsia="Calibri" w:hAnsi="Verdana" w:cs="Arial"/>
          <w:b/>
          <w:bCs/>
          <w:lang w:val="es-ES" w:eastAsia="es-ES"/>
        </w:rPr>
      </w:pPr>
    </w:p>
    <w:p w14:paraId="15594B4F"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En el marco de los contratos sometidos al Estatuto General de Contratación de la Administración Pública –EGCAP–, la obligación de contratar interventoría encuentra respaldo en los supuestos normativos previstos tanto en el inciso segundo del numeral 32.1 del artículo 32 de la Ley 80 de 1993, como en el inciso tercero del artículo 83 de la Ley 1474 de 2011. Estas disposiciones no deben entenderse como excluyentes entre sí, sino como complementarias, en tanto regulan distintos escenarios que exigen la implementación de mecanismos técnicos de vigilancia y control sobre la ejecución de los contratos de obra.</w:t>
      </w:r>
    </w:p>
    <w:p w14:paraId="1DAAC80E"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3BC976F6"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 xml:space="preserve">En ese sentido, la exigencia de interventoría no está condicionada exclusivamente a que el contrato requiera conocimientos técnicos especializados o a que su complejidad o extensión así lo ameriten. Si bien tales criterios constituyen una base para determinar su obligatoriedad según el artículo 83 de la Ley 1474 de 2011, también opera la exigencia prevista en el artículo 32.1 de la Ley 80 de 1993, conforme con la cual, en los contratos </w:t>
      </w:r>
      <w:r w:rsidRPr="00972B2F">
        <w:rPr>
          <w:rFonts w:ascii="Verdana" w:eastAsia="Aptos" w:hAnsi="Verdana" w:cs="Arial"/>
          <w:bCs/>
          <w:sz w:val="20"/>
          <w:lang w:val="es-ES"/>
        </w:rPr>
        <w:lastRenderedPageBreak/>
        <w:t>de obra celebrados como resultado de un proceso de licitación pública, la interventoría deberá ser contratada con una persona independiente de la entidad contratante y del contratista, quien responderá por los hechos y omisiones que le sean imputables.</w:t>
      </w:r>
    </w:p>
    <w:p w14:paraId="3AE585D9"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124C9E71"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206708E7"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2BCD5412" w14:textId="77777777" w:rsidR="00801222" w:rsidRPr="00972B2F" w:rsidRDefault="00801222" w:rsidP="00801222">
      <w:pPr>
        <w:spacing w:after="0" w:line="240" w:lineRule="auto"/>
        <w:rPr>
          <w:rFonts w:ascii="Verdana" w:eastAsia="Geomanist Light" w:hAnsi="Verdana" w:cs="Arial"/>
          <w:color w:val="000000"/>
          <w:lang w:val="es-MX"/>
        </w:rPr>
      </w:pPr>
    </w:p>
    <w:p w14:paraId="7F1EFB52" w14:textId="77777777" w:rsidR="00801222" w:rsidRPr="00972B2F" w:rsidRDefault="00801222" w:rsidP="00801222">
      <w:pPr>
        <w:spacing w:after="0" w:line="240" w:lineRule="auto"/>
        <w:rPr>
          <w:rFonts w:ascii="Verdana" w:eastAsia="Geomanist Light" w:hAnsi="Verdana" w:cs="Arial"/>
          <w:color w:val="000000"/>
          <w:lang w:val="es-MX"/>
        </w:rPr>
      </w:pPr>
    </w:p>
    <w:p w14:paraId="629C6F40" w14:textId="77777777" w:rsidR="00801222" w:rsidRPr="00972B2F" w:rsidRDefault="00801222" w:rsidP="00801222">
      <w:pPr>
        <w:spacing w:after="0" w:line="240" w:lineRule="auto"/>
        <w:rPr>
          <w:rFonts w:ascii="Verdana" w:eastAsia="Geomanist Light" w:hAnsi="Verdana" w:cs="Arial"/>
          <w:color w:val="000000"/>
          <w:lang w:val="es-MX"/>
        </w:rPr>
      </w:pPr>
    </w:p>
    <w:p w14:paraId="2664CAD6" w14:textId="77777777" w:rsidR="00801222" w:rsidRPr="00972B2F" w:rsidRDefault="00801222" w:rsidP="00801222">
      <w:pPr>
        <w:spacing w:after="0" w:line="240" w:lineRule="auto"/>
        <w:rPr>
          <w:rFonts w:ascii="Verdana" w:eastAsia="Geomanist Light" w:hAnsi="Verdana" w:cs="Arial"/>
          <w:color w:val="000000"/>
          <w:lang w:val="es-MX"/>
        </w:rPr>
      </w:pPr>
    </w:p>
    <w:p w14:paraId="03C62C64" w14:textId="77777777" w:rsidR="00801222" w:rsidRPr="00972B2F" w:rsidRDefault="00801222" w:rsidP="00801222">
      <w:pPr>
        <w:spacing w:after="0" w:line="240" w:lineRule="auto"/>
        <w:rPr>
          <w:rFonts w:ascii="Verdana" w:eastAsia="Geomanist Light" w:hAnsi="Verdana" w:cs="Arial"/>
          <w:color w:val="000000"/>
          <w:lang w:val="es-MX"/>
        </w:rPr>
      </w:pPr>
    </w:p>
    <w:p w14:paraId="64A1B817" w14:textId="77777777" w:rsidR="00801222" w:rsidRPr="00972B2F" w:rsidRDefault="00801222" w:rsidP="00801222">
      <w:pPr>
        <w:spacing w:after="0" w:line="240" w:lineRule="auto"/>
        <w:rPr>
          <w:rFonts w:ascii="Verdana" w:eastAsia="Geomanist Light" w:hAnsi="Verdana" w:cs="Arial"/>
          <w:color w:val="000000"/>
          <w:lang w:val="es-MX"/>
        </w:rPr>
      </w:pPr>
    </w:p>
    <w:p w14:paraId="2B203A4D" w14:textId="77777777" w:rsidR="00801222" w:rsidRPr="00972B2F" w:rsidRDefault="00801222" w:rsidP="00801222">
      <w:pPr>
        <w:spacing w:after="0" w:line="240" w:lineRule="auto"/>
        <w:rPr>
          <w:rFonts w:ascii="Verdana" w:eastAsia="Geomanist Light" w:hAnsi="Verdana" w:cs="Arial"/>
          <w:color w:val="000000"/>
          <w:lang w:val="es-MX"/>
        </w:rPr>
      </w:pPr>
    </w:p>
    <w:p w14:paraId="0E695DB0" w14:textId="77777777" w:rsidR="00801222" w:rsidRPr="00972B2F" w:rsidRDefault="00801222" w:rsidP="00801222">
      <w:pPr>
        <w:spacing w:after="0" w:line="240" w:lineRule="auto"/>
        <w:rPr>
          <w:rFonts w:ascii="Verdana" w:eastAsia="Geomanist Light" w:hAnsi="Verdana" w:cs="Arial"/>
          <w:color w:val="000000"/>
          <w:lang w:val="es-MX"/>
        </w:rPr>
      </w:pPr>
    </w:p>
    <w:p w14:paraId="7B3BE7E0" w14:textId="77777777" w:rsidR="00801222" w:rsidRPr="00972B2F" w:rsidRDefault="00801222" w:rsidP="00801222">
      <w:pPr>
        <w:spacing w:after="0" w:line="240" w:lineRule="auto"/>
        <w:rPr>
          <w:rFonts w:ascii="Verdana" w:eastAsia="Geomanist Light" w:hAnsi="Verdana" w:cs="Arial"/>
          <w:color w:val="000000"/>
          <w:lang w:val="es-MX"/>
        </w:rPr>
      </w:pPr>
    </w:p>
    <w:p w14:paraId="443B6C65" w14:textId="77777777" w:rsidR="00801222" w:rsidRPr="00972B2F" w:rsidRDefault="00801222" w:rsidP="00801222">
      <w:pPr>
        <w:spacing w:after="0" w:line="240" w:lineRule="auto"/>
        <w:rPr>
          <w:rFonts w:ascii="Verdana" w:eastAsia="Geomanist Light" w:hAnsi="Verdana" w:cs="Arial"/>
          <w:color w:val="000000"/>
          <w:lang w:val="es-MX"/>
        </w:rPr>
      </w:pPr>
    </w:p>
    <w:p w14:paraId="36BA2773" w14:textId="77777777" w:rsidR="00801222" w:rsidRPr="00972B2F" w:rsidRDefault="00801222" w:rsidP="00801222">
      <w:pPr>
        <w:spacing w:after="0" w:line="240" w:lineRule="auto"/>
        <w:rPr>
          <w:rFonts w:ascii="Verdana" w:eastAsia="Geomanist Light" w:hAnsi="Verdana" w:cs="Arial"/>
          <w:color w:val="000000"/>
          <w:lang w:val="es-MX"/>
        </w:rPr>
      </w:pPr>
    </w:p>
    <w:p w14:paraId="1E882891" w14:textId="77777777" w:rsidR="00801222" w:rsidRPr="00972B2F" w:rsidRDefault="00801222" w:rsidP="00801222">
      <w:pPr>
        <w:spacing w:after="0" w:line="240" w:lineRule="auto"/>
        <w:rPr>
          <w:rFonts w:ascii="Verdana" w:eastAsia="Geomanist Light" w:hAnsi="Verdana" w:cs="Arial"/>
          <w:color w:val="000000"/>
          <w:lang w:val="es-MX"/>
        </w:rPr>
      </w:pPr>
    </w:p>
    <w:p w14:paraId="68890895" w14:textId="77777777" w:rsidR="00801222" w:rsidRPr="00972B2F" w:rsidRDefault="00801222" w:rsidP="00801222">
      <w:pPr>
        <w:spacing w:after="0" w:line="240" w:lineRule="auto"/>
        <w:rPr>
          <w:rFonts w:ascii="Verdana" w:eastAsia="Geomanist Light" w:hAnsi="Verdana" w:cs="Arial"/>
          <w:color w:val="000000"/>
          <w:lang w:val="es-MX"/>
        </w:rPr>
      </w:pPr>
    </w:p>
    <w:p w14:paraId="6C1B2806" w14:textId="77777777" w:rsidR="00801222" w:rsidRPr="00972B2F" w:rsidRDefault="00801222" w:rsidP="00801222">
      <w:pPr>
        <w:spacing w:after="0" w:line="240" w:lineRule="auto"/>
        <w:rPr>
          <w:rFonts w:ascii="Verdana" w:eastAsia="Geomanist Light" w:hAnsi="Verdana" w:cs="Arial"/>
          <w:color w:val="000000"/>
          <w:lang w:val="es-MX"/>
        </w:rPr>
      </w:pPr>
    </w:p>
    <w:p w14:paraId="68DB5D99" w14:textId="77777777" w:rsidR="00801222" w:rsidRPr="00972B2F" w:rsidRDefault="00801222" w:rsidP="00801222">
      <w:pPr>
        <w:spacing w:after="0"/>
        <w:rPr>
          <w:rFonts w:ascii="Verdana" w:eastAsia="Verdana" w:hAnsi="Verdana" w:cs="Verdana"/>
          <w:lang w:val="es-MX"/>
        </w:rPr>
      </w:pPr>
    </w:p>
    <w:p w14:paraId="42A29451" w14:textId="77777777" w:rsidR="00801222" w:rsidRDefault="00801222" w:rsidP="00801222">
      <w:pPr>
        <w:spacing w:after="0"/>
        <w:rPr>
          <w:rFonts w:ascii="Verdana" w:eastAsia="Verdana" w:hAnsi="Verdana" w:cs="Verdana"/>
        </w:rPr>
      </w:pPr>
    </w:p>
    <w:p w14:paraId="7220CA2E" w14:textId="77777777" w:rsidR="00801222" w:rsidRDefault="00801222" w:rsidP="00801222">
      <w:pPr>
        <w:spacing w:after="0"/>
        <w:rPr>
          <w:rFonts w:ascii="Verdana" w:eastAsia="Verdana" w:hAnsi="Verdana" w:cs="Verdana"/>
        </w:rPr>
      </w:pPr>
    </w:p>
    <w:p w14:paraId="6EF92FFC" w14:textId="77777777" w:rsidR="00801222" w:rsidRDefault="00801222" w:rsidP="00801222">
      <w:pPr>
        <w:spacing w:after="0"/>
        <w:rPr>
          <w:rFonts w:ascii="Verdana" w:eastAsia="Verdana" w:hAnsi="Verdana" w:cs="Verdana"/>
        </w:rPr>
      </w:pPr>
    </w:p>
    <w:p w14:paraId="68B2B853" w14:textId="77777777" w:rsidR="00801222" w:rsidRDefault="00801222" w:rsidP="00801222">
      <w:pPr>
        <w:spacing w:after="0"/>
        <w:rPr>
          <w:rFonts w:ascii="Verdana" w:eastAsia="Verdana" w:hAnsi="Verdana" w:cs="Verdana"/>
        </w:rPr>
      </w:pPr>
    </w:p>
    <w:p w14:paraId="2B564A01" w14:textId="77777777" w:rsidR="00801222" w:rsidRDefault="00801222" w:rsidP="00801222">
      <w:pPr>
        <w:spacing w:after="0"/>
        <w:rPr>
          <w:rFonts w:ascii="Verdana" w:eastAsia="Verdana" w:hAnsi="Verdana" w:cs="Verdana"/>
        </w:rPr>
      </w:pPr>
    </w:p>
    <w:p w14:paraId="2861D9E3" w14:textId="77777777" w:rsidR="00801222" w:rsidRDefault="00801222" w:rsidP="00801222">
      <w:pPr>
        <w:spacing w:after="0"/>
        <w:rPr>
          <w:rFonts w:ascii="Verdana" w:eastAsia="Verdana" w:hAnsi="Verdana" w:cs="Verdana"/>
        </w:rPr>
      </w:pPr>
    </w:p>
    <w:p w14:paraId="4CF0A4EB" w14:textId="77777777" w:rsidR="00801222" w:rsidRDefault="00801222" w:rsidP="00801222">
      <w:pPr>
        <w:spacing w:after="0"/>
        <w:rPr>
          <w:rFonts w:ascii="Verdana" w:eastAsia="Verdana" w:hAnsi="Verdana" w:cs="Verdana"/>
        </w:rPr>
      </w:pPr>
    </w:p>
    <w:p w14:paraId="46F3A1D7" w14:textId="77777777" w:rsidR="00801222" w:rsidRDefault="00801222" w:rsidP="00801222">
      <w:pPr>
        <w:spacing w:after="0"/>
        <w:rPr>
          <w:rFonts w:ascii="Verdana" w:eastAsia="Verdana" w:hAnsi="Verdana" w:cs="Verdana"/>
        </w:rPr>
      </w:pPr>
    </w:p>
    <w:p w14:paraId="0B94801D" w14:textId="77777777" w:rsidR="00801222" w:rsidRDefault="00801222" w:rsidP="00801222">
      <w:pPr>
        <w:spacing w:after="0"/>
        <w:rPr>
          <w:rFonts w:ascii="Verdana" w:eastAsia="Verdana" w:hAnsi="Verdana" w:cs="Verdana"/>
        </w:rPr>
      </w:pPr>
    </w:p>
    <w:p w14:paraId="5B038531" w14:textId="77777777" w:rsidR="00801222" w:rsidRDefault="00801222" w:rsidP="00801222">
      <w:pPr>
        <w:spacing w:after="0"/>
        <w:rPr>
          <w:rFonts w:ascii="Verdana" w:eastAsia="Verdana" w:hAnsi="Verdana" w:cs="Verdana"/>
        </w:rPr>
      </w:pPr>
    </w:p>
    <w:p w14:paraId="340016A8" w14:textId="77777777" w:rsidR="00134E47" w:rsidRDefault="00134E47" w:rsidP="00801222">
      <w:pPr>
        <w:spacing w:after="0"/>
        <w:rPr>
          <w:rFonts w:ascii="Verdana" w:eastAsia="Verdana" w:hAnsi="Verdana" w:cs="Verdana"/>
        </w:rPr>
      </w:pPr>
    </w:p>
    <w:p w14:paraId="6D1E8DE9" w14:textId="55CF692B" w:rsidR="00801222" w:rsidRPr="0083693D" w:rsidRDefault="00134E47" w:rsidP="00801222">
      <w:pPr>
        <w:spacing w:after="0"/>
        <w:rPr>
          <w:rFonts w:ascii="Verdana" w:eastAsia="Verdana" w:hAnsi="Verdana" w:cs="Verdana"/>
        </w:rPr>
      </w:pPr>
      <w:r w:rsidRPr="003F1883">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1BC0B91F" wp14:editId="6634A71E">
            <wp:simplePos x="0" y="0"/>
            <wp:positionH relativeFrom="column">
              <wp:posOffset>3320415</wp:posOffset>
            </wp:positionH>
            <wp:positionV relativeFrom="paragraph">
              <wp:posOffset>0</wp:posOffset>
            </wp:positionV>
            <wp:extent cx="2419350" cy="669925"/>
            <wp:effectExtent l="0" t="0" r="0" b="0"/>
            <wp:wrapTight wrapText="bothSides">
              <wp:wrapPolygon edited="0">
                <wp:start x="0" y="0"/>
                <wp:lineTo x="0" y="20883"/>
                <wp:lineTo x="21430" y="20883"/>
                <wp:lineTo x="21430" y="0"/>
                <wp:lineTo x="0" y="0"/>
              </wp:wrapPolygon>
            </wp:wrapTight>
            <wp:docPr id="17960081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9350" cy="669925"/>
                    </a:xfrm>
                    <a:prstGeom prst="rect">
                      <a:avLst/>
                    </a:prstGeom>
                    <a:noFill/>
                    <a:ln>
                      <a:noFill/>
                    </a:ln>
                  </pic:spPr>
                </pic:pic>
              </a:graphicData>
            </a:graphic>
          </wp:anchor>
        </w:drawing>
      </w:r>
      <w:r w:rsidR="0083693D" w:rsidRPr="0083693D">
        <w:rPr>
          <w:rFonts w:ascii="Verdana" w:eastAsia="Verdana" w:hAnsi="Verdana" w:cs="Verdana"/>
        </w:rPr>
        <w:t xml:space="preserve">Bogotá D.C., 22 </w:t>
      </w:r>
      <w:r w:rsidR="00495B6F" w:rsidRPr="0083693D">
        <w:rPr>
          <w:rFonts w:ascii="Verdana" w:eastAsia="Verdana" w:hAnsi="Verdana" w:cs="Verdana"/>
        </w:rPr>
        <w:t>abril</w:t>
      </w:r>
      <w:r w:rsidR="0083693D" w:rsidRPr="0083693D">
        <w:rPr>
          <w:rFonts w:ascii="Verdana" w:eastAsia="Verdana" w:hAnsi="Verdana" w:cs="Verdana"/>
        </w:rPr>
        <w:t xml:space="preserve"> 2026</w:t>
      </w:r>
      <w:r w:rsidR="003F1883">
        <w:rPr>
          <w:rFonts w:ascii="Verdana" w:eastAsia="Verdana" w:hAnsi="Verdana" w:cs="Verdana"/>
        </w:rPr>
        <w:t xml:space="preserve">                                                                   </w:t>
      </w:r>
      <w:r w:rsidR="003F1883" w:rsidRPr="003F1883">
        <w:rPr>
          <w:rFonts w:ascii="Verdana" w:eastAsia="Calibri" w:hAnsi="Verdana" w:cs="Arial"/>
          <w:noProof/>
          <w:lang w:val="es-ES" w:eastAsia="es-ES"/>
        </w:rPr>
        <w:t xml:space="preserve"> </w:t>
      </w:r>
      <w:r w:rsidR="0083693D">
        <w:rPr>
          <w:rFonts w:ascii="Verdana" w:eastAsia="Calibri" w:hAnsi="Verdana" w:cs="Arial"/>
          <w:noProof/>
          <w:lang w:val="es-ES" w:eastAsia="es-ES"/>
        </w:rPr>
        <w:t xml:space="preserve">           </w:t>
      </w:r>
    </w:p>
    <w:p w14:paraId="0565E518" w14:textId="1C9A39B0" w:rsidR="0083693D" w:rsidRDefault="0083693D" w:rsidP="00801222">
      <w:pPr>
        <w:spacing w:after="0" w:line="240" w:lineRule="auto"/>
        <w:rPr>
          <w:rFonts w:ascii="Verdana" w:eastAsia="Calibri" w:hAnsi="Verdana" w:cs="Arial"/>
          <w:lang w:val="es-ES" w:eastAsia="es-ES"/>
        </w:rPr>
      </w:pPr>
    </w:p>
    <w:p w14:paraId="2D625873" w14:textId="02BEEEC8" w:rsidR="0083693D" w:rsidRDefault="0083693D" w:rsidP="00801222">
      <w:pPr>
        <w:spacing w:after="0" w:line="240" w:lineRule="auto"/>
        <w:rPr>
          <w:rFonts w:ascii="Verdana" w:eastAsia="Calibri" w:hAnsi="Verdana" w:cs="Arial"/>
          <w:lang w:val="es-ES" w:eastAsia="es-ES"/>
        </w:rPr>
      </w:pPr>
    </w:p>
    <w:p w14:paraId="48371FA7" w14:textId="000F110E" w:rsidR="00801222" w:rsidRPr="00972B2F" w:rsidRDefault="00801222" w:rsidP="00801222">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05C614D3" w14:textId="38DEA100" w:rsidR="00801222" w:rsidRDefault="00801222" w:rsidP="00801222">
      <w:pPr>
        <w:spacing w:after="0" w:line="240" w:lineRule="auto"/>
        <w:rPr>
          <w:rFonts w:ascii="Verdana" w:eastAsia="Calibri" w:hAnsi="Verdana" w:cs="Arial"/>
          <w:b/>
          <w:bCs/>
          <w:lang w:val="es-ES" w:eastAsia="es-ES"/>
        </w:rPr>
      </w:pPr>
      <w:r w:rsidRPr="00972B2F">
        <w:rPr>
          <w:rFonts w:ascii="Verdana" w:eastAsia="Calibri" w:hAnsi="Verdana" w:cs="Arial"/>
          <w:b/>
          <w:bCs/>
          <w:lang w:val="es-ES" w:eastAsia="es-ES"/>
        </w:rPr>
        <w:t>Peticionario Anónimo</w:t>
      </w:r>
    </w:p>
    <w:p w14:paraId="1B199D40" w14:textId="078A672A" w:rsidR="00801222" w:rsidRPr="00972B2F" w:rsidRDefault="00801222" w:rsidP="00801222">
      <w:pPr>
        <w:spacing w:after="0" w:line="240" w:lineRule="auto"/>
        <w:rPr>
          <w:rFonts w:ascii="Verdana" w:eastAsia="Calibri" w:hAnsi="Verdana" w:cs="Arial"/>
          <w:lang w:val="es-ES" w:eastAsia="es-ES"/>
        </w:rPr>
      </w:pPr>
      <w:r w:rsidRPr="00972B2F">
        <w:rPr>
          <w:rFonts w:ascii="Verdana" w:eastAsia="Calibri" w:hAnsi="Verdana" w:cs="Arial"/>
          <w:lang w:val="es-ES" w:eastAsia="es-ES"/>
        </w:rPr>
        <w:t>Ciudad</w:t>
      </w:r>
      <w:r w:rsidR="003F1883">
        <w:rPr>
          <w:rFonts w:ascii="Verdana" w:eastAsia="Calibri" w:hAnsi="Verdana" w:cs="Arial"/>
          <w:lang w:val="es-ES" w:eastAsia="es-ES"/>
        </w:rPr>
        <w:t xml:space="preserve">                                                 </w:t>
      </w:r>
    </w:p>
    <w:p w14:paraId="14821566" w14:textId="77777777" w:rsidR="00801222" w:rsidRPr="006209EF" w:rsidRDefault="00801222" w:rsidP="00801222">
      <w:pPr>
        <w:spacing w:after="0"/>
        <w:rPr>
          <w:rFonts w:ascii="Verdana" w:eastAsia="Calibri" w:hAnsi="Verdana" w:cs="Arial"/>
          <w:color w:val="ED7D31" w:themeColor="accent2"/>
          <w:lang w:val="es-MX" w:eastAsia="es-ES"/>
        </w:rPr>
      </w:pPr>
    </w:p>
    <w:p w14:paraId="5D7BB582" w14:textId="77777777" w:rsidR="00801222" w:rsidRPr="006733BD" w:rsidRDefault="00801222" w:rsidP="00801222">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01222" w:rsidRPr="006733BD" w14:paraId="3906B7DD" w14:textId="77777777" w:rsidTr="00442BC4">
        <w:trPr>
          <w:trHeight w:val="300"/>
        </w:trPr>
        <w:tc>
          <w:tcPr>
            <w:tcW w:w="2410" w:type="dxa"/>
          </w:tcPr>
          <w:p w14:paraId="6DEF12B1" w14:textId="77777777" w:rsidR="00801222" w:rsidRDefault="00801222" w:rsidP="00442BC4">
            <w:pPr>
              <w:ind w:left="-142"/>
              <w:jc w:val="both"/>
              <w:rPr>
                <w:rFonts w:ascii="Verdana" w:eastAsia="Calibri" w:hAnsi="Verdana" w:cs="Arial"/>
                <w:b/>
                <w:bCs/>
                <w:lang w:val="es-ES" w:eastAsia="es-ES_tradnl"/>
              </w:rPr>
            </w:pPr>
          </w:p>
          <w:p w14:paraId="07AD01AC" w14:textId="77777777" w:rsidR="00801222" w:rsidRPr="00A54BCB" w:rsidRDefault="00801222" w:rsidP="00442BC4">
            <w:pPr>
              <w:ind w:left="-142"/>
              <w:jc w:val="both"/>
              <w:rPr>
                <w:rFonts w:ascii="Verdana" w:eastAsia="Calibri" w:hAnsi="Verdana" w:cs="Arial"/>
                <w:b/>
                <w:bCs/>
                <w:lang w:val="es-ES" w:eastAsia="es-ES_tradnl"/>
              </w:rPr>
            </w:pPr>
          </w:p>
        </w:tc>
        <w:tc>
          <w:tcPr>
            <w:tcW w:w="6100" w:type="dxa"/>
          </w:tcPr>
          <w:p w14:paraId="1325D038" w14:textId="77777777" w:rsidR="00801222" w:rsidRPr="00A54BCB" w:rsidRDefault="00801222" w:rsidP="00442BC4">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415</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2CB1B8AE" w14:textId="77777777" w:rsidR="00801222" w:rsidRPr="00A54BCB" w:rsidRDefault="00801222" w:rsidP="00442BC4">
            <w:pPr>
              <w:ind w:left="3"/>
              <w:jc w:val="both"/>
              <w:rPr>
                <w:rFonts w:ascii="Verdana" w:eastAsia="Calibri" w:hAnsi="Verdana" w:cs="Arial"/>
                <w:b/>
                <w:bCs/>
                <w:lang w:val="es-ES" w:eastAsia="es-ES"/>
              </w:rPr>
            </w:pPr>
          </w:p>
        </w:tc>
      </w:tr>
      <w:tr w:rsidR="00801222" w:rsidRPr="006733BD" w14:paraId="39AF585E" w14:textId="77777777" w:rsidTr="00442BC4">
        <w:trPr>
          <w:trHeight w:val="300"/>
        </w:trPr>
        <w:tc>
          <w:tcPr>
            <w:tcW w:w="2410" w:type="dxa"/>
          </w:tcPr>
          <w:p w14:paraId="51C86C28" w14:textId="77777777" w:rsidR="00801222" w:rsidRPr="006733BD" w:rsidRDefault="00801222" w:rsidP="00442BC4">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10EA1054" w14:textId="77777777" w:rsidR="00801222" w:rsidRDefault="00801222" w:rsidP="00442BC4">
            <w:pPr>
              <w:tabs>
                <w:tab w:val="left" w:pos="3374"/>
              </w:tabs>
              <w:jc w:val="both"/>
              <w:rPr>
                <w:rFonts w:ascii="Verdana" w:eastAsia="Calibri" w:hAnsi="Verdana" w:cs="Arial"/>
                <w:bCs/>
                <w:lang w:val="es-ES" w:eastAsia="es-ES"/>
              </w:rPr>
            </w:pPr>
            <w:r w:rsidRPr="00972B2F">
              <w:rPr>
                <w:rFonts w:ascii="Verdana" w:eastAsia="Calibri" w:hAnsi="Verdana" w:cs="Arial"/>
                <w:bCs/>
                <w:lang w:val="es-ES" w:eastAsia="es-ES"/>
              </w:rPr>
              <w:t>CONTRATO ESTATAL – Ejercicio – Funciones de control y vigilancia / CONTRATO ESTATAL – Supervisión – Interventoría – características / INTERVENTORÍA – Obligatoriedad – Artículo 32.1 EGCAP – Artículo 83 Ley 1474 de 2011 – No excluyentes</w:t>
            </w:r>
          </w:p>
          <w:p w14:paraId="7E81192A" w14:textId="77777777" w:rsidR="00801222" w:rsidRPr="008F679F" w:rsidRDefault="00801222" w:rsidP="00442BC4">
            <w:pPr>
              <w:tabs>
                <w:tab w:val="left" w:pos="3374"/>
              </w:tabs>
              <w:jc w:val="both"/>
              <w:rPr>
                <w:rFonts w:ascii="Verdana" w:eastAsia="Calibri" w:hAnsi="Verdana" w:cs="Arial"/>
                <w:color w:val="ED7D31" w:themeColor="accent2"/>
                <w:lang w:val="es-ES"/>
              </w:rPr>
            </w:pPr>
            <w:r w:rsidRPr="00972B2F">
              <w:rPr>
                <w:rFonts w:ascii="Verdana" w:eastAsia="Calibri" w:hAnsi="Verdana" w:cs="Arial"/>
                <w:lang w:val="es-ES" w:eastAsia="es-ES"/>
              </w:rPr>
              <w:t xml:space="preserve">  </w:t>
            </w:r>
          </w:p>
        </w:tc>
      </w:tr>
      <w:tr w:rsidR="00801222" w:rsidRPr="00C5490E" w14:paraId="5982FD62" w14:textId="77777777" w:rsidTr="00442BC4">
        <w:tc>
          <w:tcPr>
            <w:tcW w:w="2410" w:type="dxa"/>
          </w:tcPr>
          <w:p w14:paraId="16DDEE96" w14:textId="77777777" w:rsidR="00801222" w:rsidRPr="006733BD" w:rsidRDefault="00801222" w:rsidP="00442BC4">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5B169B33" w14:textId="77777777" w:rsidR="00801222" w:rsidRPr="00972B2F" w:rsidRDefault="00801222" w:rsidP="00442BC4">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1_2026_03_13_003530</w:t>
            </w:r>
          </w:p>
          <w:p w14:paraId="0D4CE1E6" w14:textId="77777777" w:rsidR="00801222" w:rsidRPr="00C5490E" w:rsidRDefault="00801222" w:rsidP="00442BC4">
            <w:pPr>
              <w:ind w:left="3"/>
              <w:jc w:val="both"/>
              <w:rPr>
                <w:rFonts w:ascii="Verdana" w:hAnsi="Verdana"/>
                <w:lang w:val="es-ES"/>
              </w:rPr>
            </w:pPr>
          </w:p>
        </w:tc>
      </w:tr>
    </w:tbl>
    <w:p w14:paraId="113F87B9" w14:textId="77777777" w:rsidR="00801222" w:rsidRDefault="00801222" w:rsidP="00801222">
      <w:pPr>
        <w:spacing w:after="0" w:line="276" w:lineRule="auto"/>
        <w:jc w:val="both"/>
        <w:rPr>
          <w:rFonts w:ascii="Verdana" w:eastAsia="Calibri" w:hAnsi="Verdana" w:cs="Arial"/>
          <w:lang w:val="es-ES" w:eastAsia="es-ES"/>
        </w:rPr>
      </w:pPr>
    </w:p>
    <w:p w14:paraId="4D4685FE" w14:textId="77777777" w:rsidR="00801222" w:rsidRPr="00C5490E" w:rsidRDefault="00801222" w:rsidP="00801222">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258F4D8C" w14:textId="77777777" w:rsidR="00801222" w:rsidRPr="00C5490E" w:rsidRDefault="00801222" w:rsidP="00801222">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059EB966" w14:textId="77777777" w:rsidR="00801222" w:rsidRPr="00C5490E" w:rsidRDefault="00801222" w:rsidP="00801222">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13</w:t>
      </w:r>
      <w:r w:rsidRPr="00852F26">
        <w:rPr>
          <w:rFonts w:ascii="Verdana" w:eastAsia="Calibri" w:hAnsi="Verdana" w:cs="Arial"/>
          <w:lang w:val="es-ES" w:eastAsia="es-ES"/>
        </w:rPr>
        <w:t xml:space="preserve"> de </w:t>
      </w:r>
      <w:r>
        <w:rPr>
          <w:rFonts w:ascii="Verdana" w:eastAsia="Calibri" w:hAnsi="Verdana" w:cs="Arial"/>
          <w:lang w:val="es-ES" w:eastAsia="es-ES"/>
        </w:rPr>
        <w:t xml:space="preserve">marzo </w:t>
      </w:r>
      <w:r w:rsidRPr="00852F26">
        <w:rPr>
          <w:rFonts w:ascii="Verdana" w:eastAsia="Calibri" w:hAnsi="Verdana" w:cs="Arial"/>
          <w:lang w:val="es-ES" w:eastAsia="es-ES"/>
        </w:rPr>
        <w:t>de 2026, en la cual manifiesta lo siguiente:</w:t>
      </w:r>
    </w:p>
    <w:p w14:paraId="353B20BF"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38641D0C"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73BB3125" w14:textId="77777777" w:rsidR="00801222" w:rsidRPr="00972B2F"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972B2F">
        <w:rPr>
          <w:rFonts w:ascii="Verdana" w:eastAsia="Century Gothic" w:hAnsi="Verdana" w:cs="Century Gothic"/>
          <w:i/>
          <w:iCs/>
          <w:sz w:val="20"/>
          <w:szCs w:val="20"/>
          <w:lang w:val="es-ES"/>
        </w:rPr>
        <w:t>Cordial Saludo,</w:t>
      </w:r>
    </w:p>
    <w:p w14:paraId="6F5945D6" w14:textId="77777777" w:rsidR="00801222" w:rsidRPr="00972B2F"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sidRPr="00972B2F">
        <w:rPr>
          <w:rFonts w:ascii="Verdana" w:eastAsia="Century Gothic" w:hAnsi="Verdana" w:cs="Century Gothic"/>
          <w:i/>
          <w:iCs/>
          <w:sz w:val="20"/>
          <w:szCs w:val="20"/>
          <w:lang w:val="es-ES"/>
        </w:rPr>
        <w:t>Cordial saludo;</w:t>
      </w:r>
    </w:p>
    <w:p w14:paraId="4ED90413"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sidRPr="00972B2F">
        <w:rPr>
          <w:rFonts w:ascii="Verdana" w:eastAsia="Century Gothic" w:hAnsi="Verdana" w:cs="Century Gothic"/>
          <w:i/>
          <w:iCs/>
          <w:sz w:val="20"/>
          <w:szCs w:val="20"/>
          <w:lang w:val="es-ES"/>
        </w:rPr>
        <w:t>Tengo la siguiente duda, en una entidad pública se realiza un contrato de</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obra y un contrato de interventoría para esa obra, mi duda es si la entidad</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está en la obligación de designar un supervisor al contrato de obra,</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teniendo en cuenta que, el contrato de interventoría es para ese contrato</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de obra.:</w:t>
      </w:r>
      <w:r>
        <w:rPr>
          <w:rFonts w:ascii="Verdana" w:eastAsia="Century Gothic" w:hAnsi="Verdana" w:cs="Century Gothic"/>
          <w:i/>
          <w:iCs/>
          <w:sz w:val="20"/>
          <w:szCs w:val="20"/>
          <w:lang w:val="es-ES"/>
        </w:rPr>
        <w:t>”</w:t>
      </w:r>
    </w:p>
    <w:p w14:paraId="767E24F1"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605C1BCC"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48A350D4"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3C60A830"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0BE0FC38" w14:textId="77777777" w:rsidR="00801222" w:rsidRPr="00CD496A" w:rsidRDefault="00801222" w:rsidP="00801222">
      <w:pPr>
        <w:spacing w:before="120" w:after="120"/>
        <w:ind w:right="709"/>
        <w:contextualSpacing/>
        <w:jc w:val="both"/>
        <w:rPr>
          <w:rFonts w:ascii="Verdana" w:eastAsia="Century Gothic" w:hAnsi="Verdana" w:cs="Century Gothic"/>
          <w:i/>
          <w:iCs/>
          <w:sz w:val="20"/>
          <w:szCs w:val="20"/>
        </w:rPr>
      </w:pPr>
    </w:p>
    <w:p w14:paraId="5138A026" w14:textId="77777777" w:rsidR="00801222" w:rsidRPr="00CD496A" w:rsidRDefault="00801222" w:rsidP="00801222">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464A74D" w14:textId="77777777" w:rsidR="00801222" w:rsidRPr="00CD496A" w:rsidRDefault="00801222" w:rsidP="00801222">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472F21E" w14:textId="77777777" w:rsidR="00801222" w:rsidRPr="00CD496A" w:rsidRDefault="00801222" w:rsidP="00801222">
      <w:pPr>
        <w:spacing w:after="0" w:line="276" w:lineRule="auto"/>
        <w:ind w:firstLine="709"/>
        <w:jc w:val="both"/>
        <w:rPr>
          <w:rFonts w:ascii="Verdana" w:eastAsia="Calibri" w:hAnsi="Verdana" w:cs="Arial"/>
          <w:lang w:val="es-ES" w:eastAsia="es-ES"/>
        </w:rPr>
      </w:pPr>
    </w:p>
    <w:p w14:paraId="68BF24C4" w14:textId="77777777" w:rsidR="00801222" w:rsidRPr="00CD496A" w:rsidRDefault="00801222" w:rsidP="00801222">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07F25211" w14:textId="77777777" w:rsidR="00801222" w:rsidRPr="006733BD" w:rsidRDefault="00801222" w:rsidP="00801222">
      <w:pPr>
        <w:tabs>
          <w:tab w:val="left" w:pos="426"/>
        </w:tabs>
        <w:spacing w:after="0" w:line="276" w:lineRule="auto"/>
        <w:jc w:val="both"/>
        <w:rPr>
          <w:rFonts w:ascii="Verdana" w:eastAsia="Century Gothic" w:hAnsi="Verdana" w:cs="Century Gothic"/>
          <w:color w:val="ED7D31" w:themeColor="accent2"/>
          <w:lang w:val="es-ES"/>
        </w:rPr>
      </w:pPr>
    </w:p>
    <w:p w14:paraId="76430800" w14:textId="77777777" w:rsidR="00801222" w:rsidRPr="00972B2F" w:rsidRDefault="00801222" w:rsidP="00801222">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w:t>
      </w:r>
      <w:r w:rsidRPr="00972B2F">
        <w:rPr>
          <w:rFonts w:ascii="Times New Roman" w:eastAsia="Times New Roman" w:hAnsi="Times New Roman" w:cs="Times New Roman"/>
          <w:sz w:val="24"/>
          <w:szCs w:val="24"/>
          <w:lang w:eastAsia="es-CO"/>
        </w:rPr>
        <w:t>Está</w:t>
      </w:r>
      <w:r w:rsidRPr="00972B2F">
        <w:rPr>
          <w:rFonts w:ascii="Verdana" w:eastAsia="Century Gothic" w:hAnsi="Verdana" w:cs="Century Gothic"/>
        </w:rPr>
        <w:t xml:space="preserve"> obligada una entidad estatal a designar un supervisor para un contrato de obra, cuando ha celebrado un contrato de interventoría cuyo objeto es realizar el seguimiento técnico, administrativo, financiero y jurídico de dicho contrato?</w:t>
      </w:r>
    </w:p>
    <w:p w14:paraId="0496E030" w14:textId="77777777" w:rsidR="00801222" w:rsidRPr="006733BD" w:rsidRDefault="00801222" w:rsidP="00801222">
      <w:pPr>
        <w:spacing w:after="0" w:line="276" w:lineRule="auto"/>
        <w:jc w:val="both"/>
        <w:rPr>
          <w:rFonts w:ascii="Verdana" w:eastAsia="Century Gothic" w:hAnsi="Verdana" w:cs="Century Gothic"/>
          <w:color w:val="ED7D31" w:themeColor="accent2"/>
        </w:rPr>
      </w:pPr>
    </w:p>
    <w:p w14:paraId="2B235267" w14:textId="77777777" w:rsidR="00801222" w:rsidRPr="006733BD" w:rsidRDefault="00801222" w:rsidP="00801222">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051CFF68" w14:textId="77777777" w:rsidR="00801222" w:rsidRPr="006733BD" w:rsidRDefault="00801222" w:rsidP="00801222">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1222" w:rsidRPr="006733BD" w14:paraId="5A6BFEE6" w14:textId="77777777" w:rsidTr="00442BC4">
        <w:tc>
          <w:tcPr>
            <w:tcW w:w="8828" w:type="dxa"/>
          </w:tcPr>
          <w:p w14:paraId="447EDEEB" w14:textId="77777777" w:rsidR="00801222" w:rsidRPr="00972B2F" w:rsidRDefault="00801222" w:rsidP="00442BC4">
            <w:pPr>
              <w:snapToGrid w:val="0"/>
              <w:spacing w:after="120" w:line="276" w:lineRule="auto"/>
              <w:jc w:val="both"/>
              <w:rPr>
                <w:rFonts w:ascii="Verdana" w:eastAsia="Calibri" w:hAnsi="Verdana" w:cs="Arial"/>
                <w:color w:val="000000"/>
                <w:lang w:eastAsia="es-ES" w:bidi="es-ES"/>
              </w:rPr>
            </w:pPr>
            <w:r w:rsidRPr="00CE01E2">
              <w:rPr>
                <w:rFonts w:ascii="Verdana" w:eastAsia="Calibri" w:hAnsi="Verdana" w:cs="Arial"/>
                <w:bCs/>
                <w:szCs w:val="24"/>
                <w:lang w:eastAsia="es-ES_tradnl"/>
              </w:rPr>
              <w:t>Para dar respuesta al problema jurídico planteado, resulta pertinente señalar</w:t>
            </w:r>
            <w:r w:rsidRPr="00551BFA">
              <w:rPr>
                <w:rFonts w:ascii="Verdana" w:hAnsi="Verdana" w:cs="Arial"/>
                <w:color w:val="000000" w:themeColor="text1"/>
                <w:lang w:val="es-ES"/>
              </w:rPr>
              <w:t xml:space="preserve"> </w:t>
            </w:r>
            <w:r>
              <w:rPr>
                <w:rFonts w:ascii="Verdana" w:hAnsi="Verdana" w:cs="Arial"/>
                <w:color w:val="000000" w:themeColor="text1"/>
                <w:lang w:val="es-ES"/>
              </w:rPr>
              <w:t>que e</w:t>
            </w:r>
            <w:r w:rsidRPr="00972B2F">
              <w:rPr>
                <w:rFonts w:ascii="Verdana" w:eastAsia="Calibri" w:hAnsi="Verdana" w:cs="Arial"/>
                <w:color w:val="000000"/>
                <w:lang w:eastAsia="es-ES" w:bidi="es-ES"/>
              </w:rPr>
              <w:t>n el marco de los contratos sometidos al Estatuto General de Contratación de la Administración Pública –EGCAP–, la obligación de contratar interventoría encuentra respaldo en los supuestos normativos previstos tanto en el inciso segundo del numeral 32.1 del artículo 32 de la Ley 80 de 1993, como en</w:t>
            </w:r>
            <w:r>
              <w:rPr>
                <w:rFonts w:ascii="Verdana" w:eastAsia="Calibri" w:hAnsi="Verdana" w:cs="Arial"/>
                <w:color w:val="000000"/>
                <w:lang w:eastAsia="es-ES" w:bidi="es-ES"/>
              </w:rPr>
              <w:t xml:space="preserve"> el </w:t>
            </w:r>
            <w:r w:rsidRPr="00972B2F">
              <w:rPr>
                <w:rFonts w:ascii="Verdana" w:eastAsia="Calibri" w:hAnsi="Verdana" w:cs="Arial"/>
                <w:color w:val="000000"/>
                <w:lang w:eastAsia="es-ES" w:bidi="es-ES"/>
              </w:rPr>
              <w:t xml:space="preserve">inciso tercero del artículo 83 de la Ley 1474 de 2011. Estas disposiciones no deben entenderse como excluyentes entre sí, sino como complementarias, en tanto regulan distintos escenarios que exigen la </w:t>
            </w:r>
            <w:r w:rsidRPr="00972B2F">
              <w:rPr>
                <w:rFonts w:ascii="Verdana" w:eastAsia="Calibri" w:hAnsi="Verdana" w:cs="Arial"/>
                <w:color w:val="000000"/>
                <w:lang w:eastAsia="es-ES" w:bidi="es-ES"/>
              </w:rPr>
              <w:lastRenderedPageBreak/>
              <w:t>implementación de mecanismos técnicos de vigilancia y control sobre la ejecución de los contratos de obra.</w:t>
            </w:r>
          </w:p>
          <w:p w14:paraId="523AC8AB" w14:textId="77777777" w:rsidR="00801222" w:rsidRPr="00972B2F" w:rsidRDefault="00801222" w:rsidP="00442BC4">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En ese sentido, la exigencia de interventoría no está condicionada exclusivamente a que el contrato requiera conocimientos técnicos especializados o a que su complejidad o extensión así lo ameriten. Si bien tales criterios constituyen una base para determinar su obligatoriedad según el artículo 83 de la Ley 1474 de 2011, también opera la exigencia prevista en el artículo 32.1 de la Ley 80 de 1993, conforme con la cual, en los contratos de obra celebrados como resultado de un proceso de licitación pública, la interventoría deberá ser contratada con una persona independiente de la entidad contratante y del contratista, quien responderá por los hechos y omisiones que le sean imputables.</w:t>
            </w:r>
          </w:p>
          <w:p w14:paraId="34312628" w14:textId="77777777" w:rsidR="00801222" w:rsidRPr="00972B2F" w:rsidRDefault="00801222" w:rsidP="00442BC4">
            <w:pPr>
              <w:pStyle w:val="Textoindependiente"/>
              <w:tabs>
                <w:tab w:val="left" w:pos="6225"/>
              </w:tabs>
              <w:spacing w:line="276" w:lineRule="auto"/>
              <w:ind w:firstLine="709"/>
              <w:jc w:val="both"/>
              <w:rPr>
                <w:rFonts w:ascii="Verdana" w:hAnsi="Verdana" w:cs="Arial"/>
                <w:color w:val="000000" w:themeColor="text1"/>
                <w:lang w:val="es-ES"/>
              </w:rPr>
            </w:pPr>
            <w:r w:rsidRPr="00972B2F">
              <w:rPr>
                <w:rFonts w:ascii="Verdana" w:eastAsia="Calibri" w:hAnsi="Verdana" w:cs="Arial"/>
                <w:color w:val="000000"/>
                <w:lang w:eastAsia="es-ES" w:bidi="es-ES"/>
              </w:rPr>
              <w:t>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5C91A4CC" w14:textId="77777777" w:rsidR="00801222" w:rsidRPr="001669C8" w:rsidRDefault="00801222" w:rsidP="00442BC4">
            <w:pPr>
              <w:pStyle w:val="Textoindependiente"/>
              <w:tabs>
                <w:tab w:val="left" w:pos="6225"/>
              </w:tabs>
              <w:spacing w:line="276" w:lineRule="auto"/>
              <w:ind w:firstLine="709"/>
              <w:jc w:val="both"/>
              <w:rPr>
                <w:rFonts w:ascii="Verdana" w:eastAsia="Calibri" w:hAnsi="Verdana" w:cs="Arial"/>
                <w:bCs/>
                <w:szCs w:val="24"/>
                <w:lang w:eastAsia="es-ES_tradnl"/>
              </w:rPr>
            </w:pPr>
          </w:p>
        </w:tc>
      </w:tr>
    </w:tbl>
    <w:p w14:paraId="7C1EA0C2" w14:textId="77777777" w:rsidR="00801222" w:rsidRPr="00416686" w:rsidRDefault="00801222" w:rsidP="00801222">
      <w:pPr>
        <w:tabs>
          <w:tab w:val="left" w:pos="142"/>
          <w:tab w:val="left" w:pos="284"/>
        </w:tabs>
        <w:spacing w:after="0" w:line="276" w:lineRule="auto"/>
        <w:jc w:val="both"/>
        <w:rPr>
          <w:rFonts w:ascii="Verdana" w:eastAsia="Century Gothic" w:hAnsi="Verdana" w:cs="Century Gothic"/>
          <w:b/>
          <w:bCs/>
        </w:rPr>
      </w:pPr>
    </w:p>
    <w:p w14:paraId="3E0A1F33" w14:textId="77777777" w:rsidR="00801222" w:rsidRDefault="00801222" w:rsidP="00801222">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255BB096" w14:textId="77777777" w:rsidR="00801222" w:rsidRPr="00972B2F" w:rsidRDefault="00801222" w:rsidP="00801222">
      <w:pPr>
        <w:spacing w:after="0" w:line="276" w:lineRule="auto"/>
        <w:jc w:val="both"/>
        <w:rPr>
          <w:rFonts w:ascii="Verdana" w:eastAsia="Calibri" w:hAnsi="Verdana" w:cs="Arial"/>
          <w:lang w:val="es-ES"/>
        </w:rPr>
      </w:pPr>
      <w:bookmarkStart w:id="1" w:name="_Hlk102983874"/>
      <w:bookmarkStart w:id="2" w:name="_Hlk102388095"/>
    </w:p>
    <w:p w14:paraId="499221CA" w14:textId="77777777" w:rsidR="00801222" w:rsidRPr="00972B2F" w:rsidRDefault="00801222" w:rsidP="00801222">
      <w:pPr>
        <w:spacing w:after="120" w:line="276" w:lineRule="auto"/>
        <w:jc w:val="both"/>
        <w:rPr>
          <w:rFonts w:ascii="Verdana" w:eastAsia="Calibri" w:hAnsi="Verdana" w:cs="Arial"/>
          <w:color w:val="000000"/>
          <w:lang w:val="es-ES"/>
        </w:rPr>
      </w:pPr>
      <w:r w:rsidRPr="00972B2F">
        <w:rPr>
          <w:rFonts w:ascii="Verdana" w:eastAsia="Calibri" w:hAnsi="Verdana" w:cs="Arial"/>
          <w:color w:val="000000"/>
          <w:lang w:val="es-ES"/>
        </w:rPr>
        <w:t xml:space="preserve">i. 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w:t>
      </w:r>
      <w:r w:rsidRPr="00972B2F">
        <w:rPr>
          <w:rFonts w:ascii="Verdana" w:eastAsia="Calibri" w:hAnsi="Verdana" w:cs="Arial"/>
          <w:color w:val="000000"/>
          <w:lang w:val="es-ES"/>
        </w:rPr>
        <w:lastRenderedPageBreak/>
        <w:t>anterior busca que las finalidades perseguidas con la celebración de los contratos estatales se logren de manera satisfactoria.</w:t>
      </w:r>
    </w:p>
    <w:p w14:paraId="06271E2C" w14:textId="77777777" w:rsidR="00801222" w:rsidRPr="00972B2F" w:rsidRDefault="00801222" w:rsidP="00801222">
      <w:pPr>
        <w:spacing w:after="120" w:line="276" w:lineRule="auto"/>
        <w:ind w:firstLine="708"/>
        <w:jc w:val="both"/>
        <w:rPr>
          <w:rFonts w:ascii="Verdana" w:eastAsia="Calibri" w:hAnsi="Verdana" w:cs="Arial"/>
          <w:color w:val="000000"/>
          <w:lang w:val="es-ES"/>
        </w:rPr>
      </w:pPr>
      <w:r w:rsidRPr="00972B2F">
        <w:rPr>
          <w:rFonts w:ascii="Verdana" w:eastAsia="Calibri" w:hAnsi="Verdana" w:cs="Arial"/>
          <w:color w:val="000000"/>
          <w:lang w:val="es-ES"/>
        </w:rPr>
        <w:t xml:space="preserve">El seguimiento de la ejecución del contrato para su dirección, control y vigilancia de su correcto cumplimiento es un deber legal que permite a las entidades estatales tomar medidas orientadas a la satisfacción de los fines de la contratación. Entre esas medidas se destacan la posibilidad de pactar y ejercer las cláusulas exorbitantes ─en algunos supuestos─, la designación de una supervisión o la contratación de una interventoría para vigilar la ejecución del contrato y la facultad de pactar e imponer multas, la cláusula penal o hacer efectivas las garantías del contrato, previa declaratoria de incumplimiento de las obligaciones. </w:t>
      </w:r>
      <w:r w:rsidRPr="00972B2F">
        <w:rPr>
          <w:rFonts w:ascii="Verdana" w:eastAsia="Calibri" w:hAnsi="Verdana" w:cs="Arial"/>
          <w:color w:val="000000"/>
        </w:rPr>
        <w:t>Lo anterior, con miras a garantizar que los bienes, obras o servicios contratados respondan eficazmente a los fines misionales de la entidad y a los requerimientos de interés general que justifican la contratación</w:t>
      </w:r>
      <w:r w:rsidRPr="00972B2F">
        <w:rPr>
          <w:rFonts w:ascii="Verdana" w:eastAsia="Calibri" w:hAnsi="Verdana" w:cs="Arial"/>
          <w:color w:val="000000"/>
          <w:lang w:val="es-ES"/>
        </w:rPr>
        <w:t xml:space="preserve">. </w:t>
      </w:r>
    </w:p>
    <w:p w14:paraId="25BD4505" w14:textId="77777777" w:rsidR="00801222" w:rsidRPr="00972B2F" w:rsidRDefault="00801222" w:rsidP="00801222">
      <w:pPr>
        <w:spacing w:after="120" w:line="276" w:lineRule="auto"/>
        <w:ind w:firstLine="708"/>
        <w:jc w:val="both"/>
        <w:rPr>
          <w:rFonts w:ascii="Verdana" w:eastAsia="Calibri" w:hAnsi="Verdana" w:cs="Arial"/>
          <w:color w:val="000000"/>
          <w:lang w:val="es-ES"/>
        </w:rPr>
      </w:pPr>
      <w:r w:rsidRPr="00972B2F">
        <w:rPr>
          <w:rFonts w:ascii="Verdana" w:eastAsia="Calibri" w:hAnsi="Verdana" w:cs="Arial"/>
          <w:color w:val="000000"/>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690D8BC8" w14:textId="77777777" w:rsidR="00801222" w:rsidRPr="00972B2F" w:rsidRDefault="00801222" w:rsidP="00801222">
      <w:pPr>
        <w:spacing w:after="120" w:line="276" w:lineRule="auto"/>
        <w:ind w:firstLine="708"/>
        <w:jc w:val="both"/>
        <w:rPr>
          <w:rFonts w:ascii="Verdana" w:eastAsia="Calibri" w:hAnsi="Verdana" w:cs="Arial"/>
        </w:rPr>
      </w:pPr>
      <w:r w:rsidRPr="00972B2F">
        <w:rPr>
          <w:rFonts w:ascii="Verdana" w:eastAsia="Calibri" w:hAnsi="Verdana" w:cs="Arial"/>
        </w:rPr>
        <w:t>Al respecto, es oportuno citar la Sentencia de 27 de noviembre de 2017 del Consejo de Estado, en la cual se hizo énfasis en que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72B2F">
        <w:rPr>
          <w:rFonts w:ascii="Verdana" w:eastAsia="Calibri" w:hAnsi="Verdana" w:cs="Arial"/>
          <w:vertAlign w:val="superscript"/>
        </w:rPr>
        <w:footnoteReference w:id="1"/>
      </w:r>
      <w:r w:rsidRPr="00972B2F">
        <w:rPr>
          <w:rFonts w:ascii="Verdana" w:eastAsia="Calibri" w:hAnsi="Verdana" w:cs="Arial"/>
        </w:rPr>
        <w:t>.</w:t>
      </w:r>
    </w:p>
    <w:p w14:paraId="47B875FC" w14:textId="77777777" w:rsidR="00801222" w:rsidRPr="00972B2F" w:rsidRDefault="00801222" w:rsidP="00801222">
      <w:pPr>
        <w:spacing w:after="120" w:line="276" w:lineRule="auto"/>
        <w:ind w:firstLine="708"/>
        <w:jc w:val="both"/>
        <w:rPr>
          <w:rFonts w:ascii="Verdana" w:eastAsia="Times New Roman" w:hAnsi="Verdana" w:cs="Arial"/>
          <w:lang w:val="es-ES" w:eastAsia="es-MX"/>
        </w:rPr>
      </w:pPr>
      <w:r w:rsidRPr="00972B2F">
        <w:rPr>
          <w:rFonts w:ascii="Verdana" w:eastAsia="Times New Roman" w:hAnsi="Verdana" w:cs="Arial"/>
          <w:lang w:val="es-ES" w:eastAsia="es-MX"/>
        </w:rPr>
        <w:lastRenderedPageBreak/>
        <w:t>De igual forma,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972B2F">
        <w:rPr>
          <w:rFonts w:ascii="Verdana" w:eastAsia="Times New Roman" w:hAnsi="Verdana" w:cs="Arial"/>
          <w:vertAlign w:val="superscript"/>
          <w:lang w:val="es-ES" w:eastAsia="es-MX"/>
        </w:rPr>
        <w:footnoteReference w:id="2"/>
      </w:r>
      <w:r w:rsidRPr="00972B2F">
        <w:rPr>
          <w:rFonts w:ascii="Verdana" w:eastAsia="Times New Roman" w:hAnsi="Verdana" w:cs="Arial"/>
          <w:lang w:val="es-ES" w:eastAsia="es-MX"/>
        </w:rPr>
        <w:t>. Adicionalmente, se establecen los límites de la responsabilidad del representante legal ante la delegación de sus funciones en materia contractual</w:t>
      </w:r>
      <w:r w:rsidRPr="00972B2F">
        <w:rPr>
          <w:rFonts w:ascii="Verdana" w:eastAsia="Times New Roman" w:hAnsi="Verdana" w:cs="Arial"/>
          <w:vertAlign w:val="superscript"/>
          <w:lang w:val="es-ES" w:eastAsia="es-MX"/>
        </w:rPr>
        <w:footnoteReference w:id="3"/>
      </w:r>
      <w:r w:rsidRPr="00972B2F">
        <w:rPr>
          <w:rFonts w:ascii="Verdana" w:eastAsia="Times New Roman" w:hAnsi="Verdana" w:cs="Arial"/>
          <w:lang w:val="es-ES" w:eastAsia="es-MX"/>
        </w:rPr>
        <w:t xml:space="preserve"> y se regula la supervisión y la interventoría de los contratos estatales</w:t>
      </w:r>
      <w:r w:rsidRPr="00972B2F">
        <w:rPr>
          <w:rFonts w:ascii="Verdana" w:eastAsia="Times New Roman" w:hAnsi="Verdana" w:cs="Arial"/>
          <w:vertAlign w:val="superscript"/>
          <w:lang w:val="es-ES" w:eastAsia="es-MX"/>
        </w:rPr>
        <w:footnoteReference w:id="4"/>
      </w:r>
      <w:r w:rsidRPr="00972B2F">
        <w:rPr>
          <w:rFonts w:ascii="Verdana" w:eastAsia="Times New Roman" w:hAnsi="Verdana" w:cs="Arial"/>
          <w:lang w:val="es-ES" w:eastAsia="es-MX"/>
        </w:rPr>
        <w:t xml:space="preserve">. </w:t>
      </w:r>
    </w:p>
    <w:p w14:paraId="0A9327D5" w14:textId="77777777" w:rsidR="00801222" w:rsidRPr="00972B2F" w:rsidRDefault="00801222" w:rsidP="00801222">
      <w:pPr>
        <w:spacing w:after="120" w:line="276" w:lineRule="auto"/>
        <w:ind w:firstLine="708"/>
        <w:jc w:val="both"/>
        <w:rPr>
          <w:rFonts w:ascii="Verdana" w:eastAsia="Times New Roman" w:hAnsi="Verdana" w:cs="Arial"/>
          <w:lang w:val="es-MX" w:eastAsia="es-MX"/>
        </w:rPr>
      </w:pPr>
      <w:r w:rsidRPr="00972B2F">
        <w:rPr>
          <w:rFonts w:ascii="Verdana" w:eastAsia="Calibri" w:hAnsi="Verdana" w:cs="Arial"/>
        </w:rPr>
        <w:t xml:space="preserve">En el ordenamiento jurídico colombiano, </w:t>
      </w:r>
      <w:bookmarkStart w:id="3" w:name="_Hlk111131416"/>
      <w:r w:rsidRPr="00972B2F">
        <w:rPr>
          <w:rFonts w:ascii="Verdana" w:eastAsia="Calibri" w:hAnsi="Verdana" w:cs="Arial"/>
        </w:rPr>
        <w:t xml:space="preserve">la tarea de fiscalización de los negocios jurídicos del Estado quedaba comprendida en su totalidad bajo la figura de la interventoría. Sin embargo, la </w:t>
      </w:r>
      <w:hyperlink r:id="rId11" w:history="1">
        <w:r w:rsidRPr="00972B2F">
          <w:rPr>
            <w:rFonts w:ascii="Verdana" w:eastAsia="Calibri" w:hAnsi="Verdana" w:cs="Arial"/>
          </w:rPr>
          <w:t>Ley 1474 de 2011</w:t>
        </w:r>
      </w:hyperlink>
      <w:r w:rsidRPr="00972B2F">
        <w:rPr>
          <w:rFonts w:ascii="Verdana" w:eastAsia="Calibri" w:hAnsi="Verdana" w:cs="Arial"/>
        </w:rPr>
        <w:t xml:space="preserve"> introdujo la categoría de supervisión. En todo caso, materialmente las labores que corresponde desempeñar a los interventores y a los supervisores es </w:t>
      </w:r>
      <w:r w:rsidRPr="00972B2F">
        <w:rPr>
          <w:rFonts w:ascii="Verdana" w:eastAsia="Calibri" w:hAnsi="Verdana" w:cs="Arial"/>
          <w:i/>
          <w:iCs/>
        </w:rPr>
        <w:t>mutatis mutandis</w:t>
      </w:r>
      <w:r w:rsidRPr="00972B2F">
        <w:rPr>
          <w:rFonts w:ascii="Verdana" w:eastAsia="Calibri" w:hAnsi="Verdana" w:cs="Arial"/>
        </w:rPr>
        <w:t xml:space="preserve"> similar, pues en uno y otro evento se trata de una vigilancia con la finalidad de garantizar el cumplimiento del negocio jurídico estatal.</w:t>
      </w:r>
      <w:bookmarkEnd w:id="3"/>
    </w:p>
    <w:p w14:paraId="4A6BBD57" w14:textId="77777777" w:rsidR="00801222" w:rsidRPr="00972B2F" w:rsidRDefault="00801222" w:rsidP="00801222">
      <w:pPr>
        <w:spacing w:after="0" w:line="276" w:lineRule="auto"/>
        <w:ind w:firstLine="708"/>
        <w:jc w:val="both"/>
        <w:rPr>
          <w:rFonts w:ascii="Verdana" w:eastAsia="Times New Roman" w:hAnsi="Verdana" w:cs="Arial"/>
          <w:lang w:val="es-ES" w:eastAsia="es-MX"/>
        </w:rPr>
      </w:pPr>
      <w:r w:rsidRPr="00972B2F">
        <w:rPr>
          <w:rFonts w:ascii="Verdana" w:eastAsia="Times New Roman" w:hAnsi="Verdana" w:cs="Arial"/>
          <w:lang w:val="es-ES" w:eastAsia="es-MX"/>
        </w:rPr>
        <w:t xml:space="preserve">Por ejemplo,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224B9DD4" w14:textId="77777777" w:rsidR="00801222" w:rsidRPr="00972B2F" w:rsidRDefault="00801222" w:rsidP="00801222">
      <w:pPr>
        <w:spacing w:after="0" w:line="276" w:lineRule="auto"/>
        <w:ind w:left="720"/>
        <w:contextualSpacing/>
        <w:jc w:val="both"/>
        <w:textAlignment w:val="baseline"/>
        <w:rPr>
          <w:rFonts w:ascii="Verdana" w:eastAsia="Times New Roman" w:hAnsi="Verdana" w:cs="Arial"/>
          <w:sz w:val="20"/>
          <w:szCs w:val="20"/>
          <w:lang w:val="es-ES_tradnl" w:eastAsia="es-MX"/>
        </w:rPr>
      </w:pPr>
    </w:p>
    <w:p w14:paraId="49F2A515" w14:textId="77777777" w:rsidR="00801222" w:rsidRPr="00972B2F" w:rsidRDefault="00801222" w:rsidP="00801222">
      <w:pPr>
        <w:spacing w:after="0" w:line="240" w:lineRule="auto"/>
        <w:ind w:left="709" w:right="709"/>
        <w:jc w:val="both"/>
        <w:textAlignment w:val="baseline"/>
        <w:rPr>
          <w:rFonts w:ascii="Verdana" w:eastAsia="Times New Roman" w:hAnsi="Verdana" w:cs="Arial"/>
          <w:sz w:val="20"/>
          <w:szCs w:val="20"/>
          <w:lang w:val="es-ES" w:eastAsia="es-MX"/>
        </w:rPr>
      </w:pPr>
      <w:r w:rsidRPr="00972B2F">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972B2F">
        <w:rPr>
          <w:rFonts w:ascii="Verdana" w:eastAsia="Times New Roman" w:hAnsi="Verdana" w:cs="Arial"/>
          <w:sz w:val="20"/>
          <w:szCs w:val="20"/>
          <w:lang w:val="es-ES" w:eastAsia="es-MX"/>
        </w:rPr>
        <w:t>que</w:t>
      </w:r>
      <w:proofErr w:type="gramEnd"/>
      <w:r w:rsidRPr="00972B2F">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7CB3F303" w14:textId="77777777" w:rsidR="00801222" w:rsidRPr="00972B2F" w:rsidRDefault="00801222" w:rsidP="00801222">
      <w:pPr>
        <w:spacing w:before="120" w:after="0" w:line="240" w:lineRule="auto"/>
        <w:ind w:left="709" w:right="709"/>
        <w:jc w:val="both"/>
        <w:textAlignment w:val="baseline"/>
        <w:rPr>
          <w:rFonts w:ascii="Verdana" w:eastAsia="Times New Roman" w:hAnsi="Verdana" w:cs="Arial"/>
          <w:sz w:val="21"/>
          <w:szCs w:val="21"/>
          <w:lang w:val="es-ES" w:eastAsia="es-MX"/>
        </w:rPr>
      </w:pPr>
      <w:r w:rsidRPr="00972B2F">
        <w:rPr>
          <w:rFonts w:ascii="Verdana" w:eastAsia="Times New Roman" w:hAnsi="Verdana" w:cs="Arial"/>
          <w:sz w:val="20"/>
          <w:szCs w:val="20"/>
          <w:lang w:val="es-ES" w:eastAsia="es-MX"/>
        </w:rPr>
        <w:lastRenderedPageBreak/>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972B2F">
        <w:rPr>
          <w:rFonts w:ascii="Verdana" w:eastAsia="Times New Roman" w:hAnsi="Verdana" w:cs="Arial"/>
          <w:sz w:val="20"/>
          <w:szCs w:val="20"/>
          <w:lang w:val="es-ES" w:eastAsia="es-MX"/>
        </w:rPr>
        <w:t>del mismo</w:t>
      </w:r>
      <w:proofErr w:type="gramEnd"/>
      <w:r w:rsidRPr="00972B2F">
        <w:rPr>
          <w:rFonts w:ascii="Verdana" w:eastAsia="Times New Roman" w:hAnsi="Verdana" w:cs="Arial"/>
          <w:sz w:val="20"/>
          <w:szCs w:val="20"/>
          <w:lang w:val="es-ES" w:eastAsia="es-MX"/>
        </w:rPr>
        <w:t xml:space="preserve"> lo justifiquen. No obstante, lo anterior cuando la entidad lo encuentre justificado y acorde a la</w:t>
      </w:r>
      <w:r w:rsidRPr="00972B2F">
        <w:rPr>
          <w:rFonts w:ascii="Verdana" w:eastAsia="Times New Roman" w:hAnsi="Verdana" w:cs="Arial"/>
          <w:sz w:val="21"/>
          <w:szCs w:val="21"/>
          <w:lang w:val="es-ES" w:eastAsia="es-MX"/>
        </w:rPr>
        <w:t xml:space="preserve"> </w:t>
      </w:r>
      <w:r w:rsidRPr="00972B2F">
        <w:rPr>
          <w:rFonts w:ascii="Verdana" w:eastAsia="Times New Roman" w:hAnsi="Verdana" w:cs="Arial"/>
          <w:sz w:val="20"/>
          <w:szCs w:val="20"/>
          <w:lang w:val="es-ES" w:eastAsia="es-MX"/>
        </w:rPr>
        <w:t>naturaleza del contrato principal, podrá contratar el seguimiento administrativo, técnico, financiero, contable, jurídico del objeto o contrato dentro de la interventoría”</w:t>
      </w:r>
      <w:r w:rsidRPr="00972B2F">
        <w:rPr>
          <w:rFonts w:ascii="Verdana" w:eastAsia="Times New Roman" w:hAnsi="Verdana" w:cs="Arial"/>
          <w:sz w:val="20"/>
          <w:szCs w:val="20"/>
          <w:vertAlign w:val="superscript"/>
          <w:lang w:val="es-ES" w:eastAsia="es-MX"/>
        </w:rPr>
        <w:footnoteReference w:id="5"/>
      </w:r>
      <w:r w:rsidRPr="00972B2F">
        <w:rPr>
          <w:rFonts w:ascii="Verdana" w:eastAsia="Times New Roman" w:hAnsi="Verdana" w:cs="Arial"/>
          <w:sz w:val="20"/>
          <w:szCs w:val="20"/>
          <w:lang w:val="es-ES" w:eastAsia="es-MX"/>
        </w:rPr>
        <w:t>.</w:t>
      </w:r>
    </w:p>
    <w:p w14:paraId="1E7EB8DF" w14:textId="77777777" w:rsidR="00801222" w:rsidRPr="00972B2F" w:rsidRDefault="00801222" w:rsidP="00801222">
      <w:pPr>
        <w:spacing w:after="0" w:line="276" w:lineRule="auto"/>
        <w:ind w:left="720"/>
        <w:contextualSpacing/>
        <w:jc w:val="both"/>
        <w:textAlignment w:val="baseline"/>
        <w:rPr>
          <w:rFonts w:ascii="Verdana" w:eastAsia="Times New Roman" w:hAnsi="Verdana" w:cs="Arial"/>
          <w:lang w:val="es-ES" w:eastAsia="es-MX"/>
        </w:rPr>
      </w:pPr>
    </w:p>
    <w:p w14:paraId="7E87035F" w14:textId="77777777" w:rsidR="00801222" w:rsidRPr="00972B2F" w:rsidRDefault="00801222" w:rsidP="00801222">
      <w:pPr>
        <w:spacing w:after="120" w:line="276" w:lineRule="auto"/>
        <w:ind w:firstLine="709"/>
        <w:jc w:val="both"/>
        <w:rPr>
          <w:rFonts w:ascii="Verdana" w:eastAsia="Times New Roman" w:hAnsi="Verdana" w:cs="Arial"/>
          <w:shd w:val="clear" w:color="auto" w:fill="FFFFFF"/>
          <w:lang w:val="es-ES"/>
        </w:rPr>
      </w:pPr>
      <w:r w:rsidRPr="00972B2F">
        <w:rPr>
          <w:rFonts w:ascii="Verdana" w:eastAsia="Times New Roman" w:hAnsi="Verdana" w:cs="Arial"/>
          <w:bCs/>
          <w:lang w:val="es-ES"/>
        </w:rPr>
        <w:t>Con todo,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972B2F">
        <w:rPr>
          <w:rFonts w:ascii="Verdana" w:eastAsia="Times New Roman" w:hAnsi="Verdana" w:cs="Arial"/>
          <w:bCs/>
          <w:vertAlign w:val="superscript"/>
          <w:lang w:val="es-ES"/>
        </w:rPr>
        <w:footnoteReference w:id="6"/>
      </w:r>
      <w:r w:rsidRPr="00972B2F">
        <w:rPr>
          <w:rFonts w:ascii="Verdana" w:eastAsia="Times New Roman" w:hAnsi="Verdana" w:cs="Arial"/>
          <w:bCs/>
          <w:lang w:val="es-ES"/>
        </w:rPr>
        <w:t xml:space="preserve">–; </w:t>
      </w:r>
      <w:proofErr w:type="spellStart"/>
      <w:r w:rsidRPr="00972B2F">
        <w:rPr>
          <w:rFonts w:ascii="Verdana" w:eastAsia="Times New Roman" w:hAnsi="Verdana" w:cs="Arial"/>
          <w:bCs/>
          <w:lang w:val="es-ES"/>
        </w:rPr>
        <w:t>ii</w:t>
      </w:r>
      <w:proofErr w:type="spellEnd"/>
      <w:r w:rsidRPr="00972B2F">
        <w:rPr>
          <w:rFonts w:ascii="Verdana" w:eastAsia="Times New Roman" w:hAnsi="Verdana" w:cs="Arial"/>
          <w:bCs/>
          <w:lang w:val="es-ES"/>
        </w:rPr>
        <w:t xml:space="preserve">) no requiere conocimientos tan especializados como la interventoría; </w:t>
      </w:r>
      <w:proofErr w:type="spellStart"/>
      <w:r w:rsidRPr="00972B2F">
        <w:rPr>
          <w:rFonts w:ascii="Verdana" w:eastAsia="Times New Roman" w:hAnsi="Verdana" w:cs="Arial"/>
          <w:bCs/>
          <w:lang w:val="es-ES"/>
        </w:rPr>
        <w:t>iii</w:t>
      </w:r>
      <w:proofErr w:type="spellEnd"/>
      <w:r w:rsidRPr="00972B2F">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972B2F">
        <w:rPr>
          <w:rFonts w:ascii="Verdana" w:eastAsia="Times New Roman" w:hAnsi="Verdana" w:cs="Arial"/>
          <w:bCs/>
          <w:lang w:val="es-ES"/>
        </w:rPr>
        <w:t>iv</w:t>
      </w:r>
      <w:proofErr w:type="spellEnd"/>
      <w:r w:rsidRPr="00972B2F">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1C9954D7" w14:textId="77777777" w:rsidR="00801222" w:rsidRPr="00972B2F" w:rsidRDefault="00801222" w:rsidP="00801222">
      <w:pPr>
        <w:tabs>
          <w:tab w:val="left" w:pos="709"/>
        </w:tabs>
        <w:snapToGrid w:val="0"/>
        <w:spacing w:after="120" w:line="276" w:lineRule="auto"/>
        <w:jc w:val="both"/>
        <w:rPr>
          <w:rFonts w:ascii="Verdana" w:eastAsia="Calibri" w:hAnsi="Verdana" w:cs="Arial"/>
          <w:lang w:val="es-MX"/>
        </w:rPr>
      </w:pPr>
      <w:r w:rsidRPr="00972B2F">
        <w:rPr>
          <w:rFonts w:ascii="Verdana" w:eastAsia="Aptos" w:hAnsi="Verdana" w:cs="Arial"/>
          <w:bCs/>
          <w:lang w:val="es-ES"/>
        </w:rPr>
        <w:tab/>
        <w:t xml:space="preserve">Por otro lado, </w:t>
      </w:r>
      <w:r w:rsidRPr="00972B2F">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972B2F">
        <w:rPr>
          <w:rFonts w:ascii="Verdana" w:eastAsia="Aptos" w:hAnsi="Verdana" w:cs="Arial"/>
          <w:bCs/>
        </w:rPr>
        <w:t>ii</w:t>
      </w:r>
      <w:proofErr w:type="spellEnd"/>
      <w:r w:rsidRPr="00972B2F">
        <w:rPr>
          <w:rFonts w:ascii="Verdana" w:eastAsia="Aptos" w:hAnsi="Verdana" w:cs="Arial"/>
          <w:bCs/>
        </w:rPr>
        <w:t xml:space="preserve">) es un mecanismo de vigilancia que exige, en su ejecución, la utilización de conocimientos especializados; </w:t>
      </w:r>
      <w:proofErr w:type="spellStart"/>
      <w:r w:rsidRPr="00972B2F">
        <w:rPr>
          <w:rFonts w:ascii="Verdana" w:eastAsia="Aptos" w:hAnsi="Verdana" w:cs="Arial"/>
          <w:bCs/>
        </w:rPr>
        <w:t>iii</w:t>
      </w:r>
      <w:proofErr w:type="spellEnd"/>
      <w:r w:rsidRPr="00972B2F">
        <w:rPr>
          <w:rFonts w:ascii="Verdana" w:eastAsia="Aptos" w:hAnsi="Verdana" w:cs="Arial"/>
          <w:bCs/>
        </w:rPr>
        <w:t xml:space="preserve">) por lo anterior, la entidad contrata un experto, por regla general, mediante la modalidad de selección de concurso de méritos, al tratarse la interventoría de una especie del contrato de </w:t>
      </w:r>
      <w:r w:rsidRPr="00972B2F">
        <w:rPr>
          <w:rFonts w:ascii="Verdana" w:eastAsia="Aptos" w:hAnsi="Verdana" w:cs="Arial"/>
          <w:bCs/>
        </w:rPr>
        <w:lastRenderedPageBreak/>
        <w:t>consultoría –art. 32, numeral 2, inciso 2, Ley 80 de 1993</w:t>
      </w:r>
      <w:r w:rsidRPr="00972B2F">
        <w:rPr>
          <w:rFonts w:ascii="Verdana" w:eastAsia="Aptos" w:hAnsi="Verdana" w:cs="Times New Roman"/>
          <w:kern w:val="2"/>
          <w:vertAlign w:val="superscript"/>
          <w14:ligatures w14:val="standardContextual"/>
        </w:rPr>
        <w:footnoteReference w:id="7"/>
      </w:r>
      <w:r w:rsidRPr="00972B2F">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972B2F">
        <w:rPr>
          <w:rFonts w:ascii="Verdana" w:eastAsia="Aptos" w:hAnsi="Verdana" w:cs="Arial"/>
          <w:bCs/>
        </w:rPr>
        <w:t>iv</w:t>
      </w:r>
      <w:proofErr w:type="spellEnd"/>
      <w:r w:rsidRPr="00972B2F">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4158835D" w14:textId="77777777" w:rsidR="00801222" w:rsidRPr="00972B2F" w:rsidRDefault="00801222" w:rsidP="00801222">
      <w:pPr>
        <w:widowControl w:val="0"/>
        <w:autoSpaceDE w:val="0"/>
        <w:autoSpaceDN w:val="0"/>
        <w:spacing w:after="120" w:line="276" w:lineRule="auto"/>
        <w:ind w:firstLine="709"/>
        <w:jc w:val="both"/>
        <w:rPr>
          <w:rFonts w:ascii="Verdana" w:eastAsia="Calibri" w:hAnsi="Verdana" w:cs="Arial"/>
          <w:color w:val="000000"/>
          <w:lang w:eastAsia="es-ES" w:bidi="es-ES"/>
        </w:rPr>
      </w:pPr>
      <w:r w:rsidRPr="00972B2F">
        <w:rPr>
          <w:rFonts w:ascii="Verdana" w:eastAsia="Calibri" w:hAnsi="Verdana" w:cs="Arial"/>
          <w:color w:val="000000"/>
          <w:lang w:val="es-ES_tradnl" w:eastAsia="es-ES" w:bidi="es-ES"/>
        </w:rPr>
        <w:t xml:space="preserve">Como se observa, el primer aspecto de la interventoría desarrollado en el párrafo precedente responde al objeto de la consulta. Bajo una interpretación finalista que hace esta Subdirección al contenido de las dos disposiciones que contemplan los supuestos de obligatoriedad para celebrar una interventoría, se concluye que, a </w:t>
      </w:r>
      <w:r w:rsidRPr="00972B2F">
        <w:rPr>
          <w:rFonts w:ascii="Verdana" w:eastAsia="Calibri" w:hAnsi="Verdana" w:cs="Arial"/>
          <w:color w:val="000000"/>
          <w:lang w:eastAsia="es-ES" w:bidi="es-ES"/>
        </w:rPr>
        <w:t>diferencia del derecho privado, donde no existe una definición legal expresa del contrato de obra, el Estatuto General de Contratación de la Administración Pública sí delimita claramente este tipo contractual, dado su carácter instrumental y determinante para la satisfacción del interés general y la ejecución de políticas públicas. Por esta razón, el contrato de obra pública exige una mayor densidad regulatoria, en aspectos como la planeación, seguimiento y control de su ejecución.</w:t>
      </w:r>
    </w:p>
    <w:p w14:paraId="7BB456A8" w14:textId="77777777" w:rsidR="00801222" w:rsidRPr="00972B2F" w:rsidRDefault="00801222" w:rsidP="00801222">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972B2F">
        <w:rPr>
          <w:rFonts w:ascii="Verdana" w:eastAsia="Calibri" w:hAnsi="Verdana" w:cs="Arial"/>
          <w:color w:val="000000"/>
          <w:lang w:eastAsia="es-ES" w:bidi="es-ES"/>
        </w:rPr>
        <w:t>En virtud de lo anterior, el legislador ha previsto mecanismos específicos para asegurar la vigilancia técnica, administrativa, financiera, contable y jurídica de este tipo de contratos, como lo es la interventoría. Este mecanismo cumple una función sustantiva de control preventivo y correctivo sobre la ejecución del contrato, en garantía del adecuado uso de los recursos públicos y del cumplimiento del objeto contractual.</w:t>
      </w:r>
    </w:p>
    <w:p w14:paraId="506D5CFF" w14:textId="77777777" w:rsidR="00801222" w:rsidRPr="00972B2F" w:rsidRDefault="00801222" w:rsidP="00801222">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 xml:space="preserve">En ese sentido, en el marco de los contratos sometidos al Estatuto General de Contratación de la Administración Pública –EGCAP–, la obligación de contratar interventoría encuentra respaldo en los supuestos normativos previstos tanto en el inciso segundo del numeral 32.1 del artículo 32 de la Ley 80 de 1993, como </w:t>
      </w:r>
      <w:r w:rsidRPr="00972B2F">
        <w:rPr>
          <w:rFonts w:ascii="Verdana" w:eastAsia="Calibri" w:hAnsi="Verdana" w:cs="Arial"/>
          <w:color w:val="000000"/>
          <w:lang w:eastAsia="es-ES" w:bidi="es-ES"/>
        </w:rPr>
        <w:lastRenderedPageBreak/>
        <w:t>en el inciso tercero del artículo 83 de la Ley 1474 de 2011, previamente señalados. Estas disposiciones no deben entenderse como excluyentes entre sí, sino como complementarias, en tanto regulan distintos escenarios que exigen la implementación de mecanismos técnicos de vigilancia y control sobre la ejecución de los contratos de obra.</w:t>
      </w:r>
    </w:p>
    <w:p w14:paraId="0E95871E" w14:textId="77777777" w:rsidR="00801222" w:rsidRPr="00972B2F" w:rsidRDefault="00801222" w:rsidP="00801222">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Por lo tanto, la exigencia de interventoría no está condicionada exclusivamente a que el contrato requiera conocimientos técnicos especializados o a que su complejidad o extensión así lo ameriten. Si bien tales criterios constituyen una base para determinar su obligatoriedad según el artículo 83 de la Ley 1474 de 2011, también opera la exigencia prevista en el artículo 32.1 de la Ley 80 de 1993, conforme con la cual, en los contratos de obra celebrados como resultado de un proceso de licitación pública, la interventoría deberá ser contratada con una persona independiente de la entidad contratante y del contratista, quien responderá por los hechos y omisiones que le sean imputables.</w:t>
      </w:r>
    </w:p>
    <w:p w14:paraId="196D53A1" w14:textId="77777777" w:rsidR="00801222" w:rsidRPr="00972B2F" w:rsidRDefault="00801222" w:rsidP="00801222">
      <w:pPr>
        <w:widowControl w:val="0"/>
        <w:autoSpaceDE w:val="0"/>
        <w:autoSpaceDN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 xml:space="preserve">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w:t>
      </w:r>
    </w:p>
    <w:p w14:paraId="122E1724" w14:textId="77777777" w:rsidR="00801222" w:rsidRDefault="00801222" w:rsidP="00801222">
      <w:pPr>
        <w:widowControl w:val="0"/>
        <w:autoSpaceDE w:val="0"/>
        <w:autoSpaceDN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0D3A76C7" w14:textId="77777777" w:rsidR="00801222" w:rsidRDefault="00801222" w:rsidP="00801222">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6EB7AB3" w14:textId="77777777" w:rsidR="00801222" w:rsidRPr="00972B2F" w:rsidRDefault="00801222" w:rsidP="00801222">
      <w:pPr>
        <w:spacing w:after="0" w:line="276" w:lineRule="auto"/>
        <w:ind w:firstLine="709"/>
        <w:jc w:val="both"/>
        <w:rPr>
          <w:rFonts w:ascii="Verdana" w:hAnsi="Verdana" w:cs="Arial"/>
          <w:color w:val="000000" w:themeColor="text1"/>
        </w:rPr>
      </w:pPr>
    </w:p>
    <w:p w14:paraId="62CEE6AA" w14:textId="77777777" w:rsidR="00801222" w:rsidRPr="00972B2F" w:rsidRDefault="00801222" w:rsidP="00801222">
      <w:pPr>
        <w:widowControl w:val="0"/>
        <w:autoSpaceDE w:val="0"/>
        <w:autoSpaceDN w:val="0"/>
        <w:spacing w:after="0" w:line="276" w:lineRule="auto"/>
        <w:jc w:val="both"/>
        <w:rPr>
          <w:rFonts w:ascii="Verdana" w:eastAsia="Calibri" w:hAnsi="Verdana" w:cs="Arial"/>
          <w:color w:val="000000"/>
        </w:rPr>
      </w:pPr>
      <w:r w:rsidRPr="00972B2F">
        <w:rPr>
          <w:rFonts w:ascii="Verdana" w:eastAsia="Calibri" w:hAnsi="Verdana" w:cs="Arial"/>
        </w:rPr>
        <w:t xml:space="preserve">Este concepto tiene el alcance previsto en el artículo 28 del Código de </w:t>
      </w:r>
      <w:r w:rsidRPr="00972B2F">
        <w:rPr>
          <w:rFonts w:ascii="Verdana" w:eastAsia="Calibri" w:hAnsi="Verdana" w:cs="Arial"/>
        </w:rPr>
        <w:lastRenderedPageBreak/>
        <w:t>Procedimiento Administrativo y de lo Contencioso Administrativo y las expresiones aquí utilizadas con mayúscula inicial deben ser entendidas con el significado que les otorga el artículo 2.2.1.1.1.3.1. del Decreto 1082 de 2015.</w:t>
      </w:r>
    </w:p>
    <w:p w14:paraId="3673E618" w14:textId="77777777" w:rsidR="00801222" w:rsidRDefault="00801222" w:rsidP="00801222">
      <w:pPr>
        <w:tabs>
          <w:tab w:val="left" w:pos="709"/>
        </w:tabs>
        <w:spacing w:after="0" w:line="276" w:lineRule="auto"/>
        <w:jc w:val="both"/>
        <w:rPr>
          <w:rFonts w:ascii="Verdana" w:eastAsia="Calibri" w:hAnsi="Verdana" w:cs="Arial"/>
          <w:lang w:val="es-ES"/>
        </w:rPr>
      </w:pPr>
    </w:p>
    <w:p w14:paraId="51ADF7C1" w14:textId="419243EB" w:rsidR="00801222" w:rsidRPr="00E84DC6" w:rsidRDefault="00801222" w:rsidP="00801222">
      <w:pPr>
        <w:tabs>
          <w:tab w:val="left" w:pos="709"/>
        </w:tabs>
        <w:spacing w:after="0" w:line="276" w:lineRule="auto"/>
        <w:jc w:val="both"/>
        <w:rPr>
          <w:rFonts w:ascii="Verdana" w:eastAsia="Calibri" w:hAnsi="Verdana" w:cs="Arial"/>
          <w:lang w:eastAsia="es-ES"/>
        </w:rPr>
      </w:pPr>
    </w:p>
    <w:bookmarkEnd w:id="1"/>
    <w:bookmarkEnd w:id="2"/>
    <w:p w14:paraId="1A0685C0" w14:textId="77777777" w:rsidR="00801222" w:rsidRDefault="00801222" w:rsidP="00801222">
      <w:pPr>
        <w:spacing w:after="0" w:line="276" w:lineRule="auto"/>
        <w:jc w:val="both"/>
        <w:rPr>
          <w:rFonts w:ascii="Verdana" w:eastAsia="Century Gothic" w:hAnsi="Verdana" w:cs="Century Gothic"/>
          <w:b/>
          <w:lang w:val="es-ES"/>
        </w:rPr>
      </w:pPr>
      <w:r>
        <w:rPr>
          <w:rFonts w:ascii="Verdana" w:eastAsia="Century Gothic" w:hAnsi="Verdana" w:cs="Century Gothic"/>
          <w:b/>
          <w:lang w:val="es-ES"/>
        </w:rPr>
        <w:t>IV</w:t>
      </w:r>
      <w:r w:rsidRPr="00144EB3">
        <w:rPr>
          <w:rFonts w:ascii="Verdana" w:eastAsia="Century Gothic" w:hAnsi="Verdana" w:cs="Century Gothic"/>
          <w:b/>
          <w:lang w:val="es-ES"/>
        </w:rPr>
        <w:t>. Referencias normativas, jurisprudenciales y otras fuentes:</w:t>
      </w:r>
    </w:p>
    <w:p w14:paraId="0745DA0A" w14:textId="77777777" w:rsidR="00801222" w:rsidRPr="00144EB3" w:rsidRDefault="00801222" w:rsidP="0080122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1222" w:rsidRPr="00144EB3" w14:paraId="6F7D40FB" w14:textId="77777777" w:rsidTr="00442BC4">
        <w:trPr>
          <w:trHeight w:val="870"/>
        </w:trPr>
        <w:tc>
          <w:tcPr>
            <w:tcW w:w="8647" w:type="dxa"/>
          </w:tcPr>
          <w:p w14:paraId="1DCA6975" w14:textId="77777777" w:rsidR="00801222" w:rsidRPr="00972B2F" w:rsidRDefault="00801222" w:rsidP="00801222">
            <w:pPr>
              <w:widowControl w:val="0"/>
              <w:numPr>
                <w:ilvl w:val="0"/>
                <w:numId w:val="16"/>
              </w:numPr>
              <w:autoSpaceDE w:val="0"/>
              <w:autoSpaceDN w:val="0"/>
              <w:spacing w:line="276" w:lineRule="auto"/>
              <w:contextualSpacing/>
              <w:jc w:val="both"/>
              <w:rPr>
                <w:rFonts w:ascii="Verdana" w:eastAsia="Calibri" w:hAnsi="Verdana" w:cs="Arial"/>
              </w:rPr>
            </w:pPr>
            <w:r w:rsidRPr="00972B2F">
              <w:rPr>
                <w:rFonts w:ascii="Verdana" w:eastAsia="Calibri" w:hAnsi="Verdana" w:cs="Arial"/>
              </w:rPr>
              <w:t xml:space="preserve">Ley 80 de 1992, artículos 4, 5, 12, 14, 26 y 32. </w:t>
            </w:r>
          </w:p>
          <w:p w14:paraId="793C6D57" w14:textId="77777777" w:rsidR="00801222" w:rsidRPr="00972B2F" w:rsidRDefault="00801222" w:rsidP="00801222">
            <w:pPr>
              <w:widowControl w:val="0"/>
              <w:numPr>
                <w:ilvl w:val="0"/>
                <w:numId w:val="16"/>
              </w:numPr>
              <w:autoSpaceDE w:val="0"/>
              <w:autoSpaceDN w:val="0"/>
              <w:spacing w:line="276" w:lineRule="auto"/>
              <w:contextualSpacing/>
              <w:jc w:val="both"/>
              <w:rPr>
                <w:rFonts w:ascii="Verdana" w:eastAsia="Calibri" w:hAnsi="Verdana" w:cs="Arial"/>
              </w:rPr>
            </w:pPr>
            <w:r w:rsidRPr="00972B2F">
              <w:rPr>
                <w:rFonts w:ascii="Verdana" w:eastAsia="Calibri" w:hAnsi="Verdana" w:cs="Arial"/>
              </w:rPr>
              <w:t>Ley 1474 de 2011, artículo 83 a 86.</w:t>
            </w:r>
          </w:p>
          <w:p w14:paraId="1E3B9985" w14:textId="77777777" w:rsidR="00801222" w:rsidRPr="00144EB3" w:rsidRDefault="00801222" w:rsidP="00442BC4">
            <w:pPr>
              <w:widowControl w:val="0"/>
              <w:autoSpaceDE w:val="0"/>
              <w:autoSpaceDN w:val="0"/>
              <w:spacing w:line="276" w:lineRule="auto"/>
              <w:jc w:val="both"/>
              <w:rPr>
                <w:rFonts w:ascii="Verdana" w:eastAsia="Arial MT" w:hAnsi="Verdana" w:cs="Arial"/>
                <w:color w:val="ED7D31" w:themeColor="accent2"/>
                <w:lang w:eastAsia="es-ES" w:bidi="es-ES"/>
              </w:rPr>
            </w:pPr>
            <w:r w:rsidRPr="00972B2F">
              <w:rPr>
                <w:rFonts w:ascii="Verdana" w:eastAsia="Calibri" w:hAnsi="Verdana" w:cs="Arial"/>
              </w:rPr>
              <w:t>Consejo de Estado. Sección Tercera. Sentencia del 27 de noviembre de 2017. Consejero Ponente: Jaime Orlando Santofimio. Expediente: 51.802</w:t>
            </w:r>
          </w:p>
        </w:tc>
      </w:tr>
    </w:tbl>
    <w:p w14:paraId="3332C9D5" w14:textId="77777777" w:rsidR="00801222" w:rsidRPr="00144EB3" w:rsidRDefault="00801222" w:rsidP="00801222">
      <w:pPr>
        <w:widowControl w:val="0"/>
        <w:autoSpaceDE w:val="0"/>
        <w:autoSpaceDN w:val="0"/>
        <w:spacing w:after="0" w:line="276" w:lineRule="auto"/>
        <w:jc w:val="both"/>
        <w:rPr>
          <w:rFonts w:ascii="Verdana" w:hAnsi="Verdana" w:cs="Arial"/>
          <w:color w:val="ED7D31" w:themeColor="accent2"/>
          <w:lang w:val="es-ES"/>
        </w:rPr>
      </w:pPr>
    </w:p>
    <w:p w14:paraId="3E75B28A" w14:textId="77777777" w:rsidR="00801222" w:rsidRPr="00144EB3" w:rsidRDefault="00801222" w:rsidP="00801222">
      <w:pPr>
        <w:spacing w:after="0" w:line="276" w:lineRule="auto"/>
        <w:jc w:val="both"/>
        <w:rPr>
          <w:rFonts w:ascii="Verdana" w:eastAsia="Aptos" w:hAnsi="Verdana" w:cs="Arial"/>
          <w:b/>
          <w:bCs/>
          <w:shd w:val="clear" w:color="auto" w:fill="FFFFFF"/>
        </w:rPr>
      </w:pPr>
    </w:p>
    <w:p w14:paraId="444F40E2" w14:textId="77777777" w:rsidR="00801222" w:rsidRPr="00144EB3" w:rsidRDefault="00801222" w:rsidP="00801222">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2F78F565" w14:textId="77777777" w:rsidR="00801222" w:rsidRPr="00144EB3" w:rsidRDefault="00801222" w:rsidP="00801222">
      <w:pPr>
        <w:spacing w:after="0" w:line="276" w:lineRule="auto"/>
        <w:jc w:val="both"/>
        <w:rPr>
          <w:rFonts w:ascii="Verdana" w:eastAsia="Aptos" w:hAnsi="Verdana" w:cs="Arial"/>
          <w:b/>
          <w:bCs/>
          <w:shd w:val="clear" w:color="auto" w:fill="FFFFFF"/>
        </w:rPr>
      </w:pPr>
    </w:p>
    <w:p w14:paraId="4E6AEE9F" w14:textId="77777777" w:rsidR="00801222" w:rsidRPr="00972B2F" w:rsidRDefault="00801222" w:rsidP="00801222">
      <w:pPr>
        <w:widowControl w:val="0"/>
        <w:autoSpaceDE w:val="0"/>
        <w:autoSpaceDN w:val="0"/>
        <w:spacing w:after="0" w:line="276" w:lineRule="auto"/>
        <w:jc w:val="both"/>
        <w:rPr>
          <w:rFonts w:ascii="Verdana" w:eastAsia="Calibri" w:hAnsi="Verdana" w:cs="Arial"/>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 xml:space="preserve">conceptos </w:t>
      </w:r>
      <w:r w:rsidRPr="00972B2F">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972B2F">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972B2F">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C-265 del 7 de abril de 2025, entre otros. </w:t>
      </w:r>
    </w:p>
    <w:p w14:paraId="775115D0" w14:textId="77777777" w:rsidR="00801222" w:rsidRPr="00144EB3" w:rsidRDefault="00801222" w:rsidP="00801222">
      <w:pPr>
        <w:spacing w:after="0" w:line="276" w:lineRule="auto"/>
        <w:jc w:val="both"/>
        <w:rPr>
          <w:rFonts w:ascii="Verdana" w:eastAsia="Aptos" w:hAnsi="Verdana" w:cs="Arial"/>
          <w:shd w:val="clear" w:color="auto" w:fill="FFFFFF"/>
        </w:rPr>
      </w:pPr>
    </w:p>
    <w:p w14:paraId="7CBEB469" w14:textId="77777777" w:rsidR="00801222" w:rsidRPr="00144EB3" w:rsidRDefault="00801222" w:rsidP="00801222">
      <w:pPr>
        <w:spacing w:after="0" w:line="276" w:lineRule="auto"/>
        <w:jc w:val="both"/>
        <w:rPr>
          <w:rFonts w:ascii="Verdana" w:hAnsi="Verdana"/>
          <w:lang w:val="es-ES"/>
        </w:rPr>
      </w:pPr>
      <w:r w:rsidRPr="00144EB3">
        <w:rPr>
          <w:rFonts w:ascii="Verdana" w:hAnsi="Verdana" w:cs="Arial"/>
          <w:shd w:val="clear" w:color="auto" w:fill="FFFFFF"/>
          <w:lang w:val="es-ES"/>
        </w:rPr>
        <w:lastRenderedPageBreak/>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2" w:history="1">
        <w:r w:rsidRPr="00144EB3">
          <w:rPr>
            <w:rStyle w:val="Hipervnculo"/>
            <w:rFonts w:ascii="Verdana" w:hAnsi="Verdana" w:cs="Arial"/>
            <w:shd w:val="clear" w:color="auto" w:fill="FFFFFF"/>
            <w:lang w:val="es-ES"/>
          </w:rPr>
          <w:t>https://relatoria.colombiacompra.gov.co/busqueda/conceptos</w:t>
        </w:r>
      </w:hyperlink>
    </w:p>
    <w:p w14:paraId="3B1C170E" w14:textId="77777777" w:rsidR="00801222" w:rsidRPr="00144EB3" w:rsidRDefault="00801222" w:rsidP="00801222">
      <w:pPr>
        <w:spacing w:after="0" w:line="276" w:lineRule="auto"/>
        <w:jc w:val="both"/>
        <w:rPr>
          <w:rFonts w:ascii="Verdana" w:hAnsi="Verdana" w:cs="Arial"/>
          <w:shd w:val="clear" w:color="auto" w:fill="FFFFFF"/>
          <w:lang w:val="es-ES"/>
        </w:rPr>
      </w:pPr>
    </w:p>
    <w:p w14:paraId="3FAD581E"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81A3D2E" w14:textId="77777777" w:rsidR="00801222" w:rsidRDefault="00801222" w:rsidP="00801222">
      <w:pPr>
        <w:spacing w:after="0" w:line="276" w:lineRule="auto"/>
        <w:jc w:val="both"/>
        <w:rPr>
          <w:rFonts w:ascii="Verdana" w:eastAsia="Calibri" w:hAnsi="Verdana" w:cs="Arial"/>
        </w:rPr>
      </w:pPr>
    </w:p>
    <w:p w14:paraId="21A9F617"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105284E2" w14:textId="77777777" w:rsidR="00801222" w:rsidRPr="00144EB3" w:rsidRDefault="00801222" w:rsidP="00801222">
      <w:pPr>
        <w:spacing w:after="0" w:line="276" w:lineRule="auto"/>
        <w:jc w:val="both"/>
        <w:rPr>
          <w:rFonts w:ascii="Verdana" w:eastAsia="Calibri" w:hAnsi="Verdana" w:cs="Arial"/>
        </w:rPr>
      </w:pPr>
    </w:p>
    <w:p w14:paraId="48C0923D"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w:t>
        </w:r>
        <w:r w:rsidRPr="00144EB3">
          <w:rPr>
            <w:rFonts w:ascii="Verdana" w:eastAsia="Calibri" w:hAnsi="Verdana" w:cs="Arial"/>
            <w:color w:val="0000FF"/>
            <w:u w:val="single"/>
          </w:rPr>
          <w:lastRenderedPageBreak/>
          <w:t>infraestructura-de-transporte-bajo-las-diferentes-modalidades-de-contratacion-vigentes</w:t>
        </w:r>
      </w:hyperlink>
    </w:p>
    <w:p w14:paraId="1EB71A95"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71839999" w14:textId="77777777" w:rsidR="00801222" w:rsidRPr="00144EB3" w:rsidRDefault="00801222" w:rsidP="00801222">
      <w:pPr>
        <w:spacing w:after="0" w:line="276" w:lineRule="auto"/>
        <w:jc w:val="both"/>
        <w:rPr>
          <w:rFonts w:ascii="Verdana" w:eastAsia="Calibri" w:hAnsi="Verdana" w:cs="Arial"/>
          <w:shd w:val="clear" w:color="auto" w:fill="FFFFFF"/>
        </w:rPr>
      </w:pPr>
    </w:p>
    <w:p w14:paraId="60A869C2"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37EE15F6"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43CD5A14" w14:textId="77777777" w:rsidR="00801222" w:rsidRPr="00144EB3" w:rsidRDefault="00801222" w:rsidP="00801222">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380597B2"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99946C1" w14:textId="77777777" w:rsidR="00801222" w:rsidRPr="00144EB3" w:rsidRDefault="00801222" w:rsidP="00801222">
      <w:pPr>
        <w:widowControl w:val="0"/>
        <w:autoSpaceDE w:val="0"/>
        <w:autoSpaceDN w:val="0"/>
        <w:spacing w:after="0" w:line="276" w:lineRule="auto"/>
        <w:jc w:val="both"/>
        <w:rPr>
          <w:rFonts w:ascii="Verdana" w:eastAsia="Calibri" w:hAnsi="Verdana" w:cs="Arial"/>
          <w:lang w:val="es-ES"/>
        </w:rPr>
      </w:pPr>
    </w:p>
    <w:p w14:paraId="183C31B5" w14:textId="77777777" w:rsidR="00801222" w:rsidRPr="00144EB3" w:rsidRDefault="00801222" w:rsidP="00801222">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84BAD31" w14:textId="77777777" w:rsidR="00801222" w:rsidRPr="00144EB3" w:rsidRDefault="00801222" w:rsidP="00801222">
      <w:pPr>
        <w:spacing w:after="0" w:line="276" w:lineRule="auto"/>
        <w:jc w:val="both"/>
        <w:rPr>
          <w:rFonts w:ascii="Verdana" w:eastAsia="Verdana" w:hAnsi="Verdana" w:cs="Verdana"/>
        </w:rPr>
      </w:pPr>
    </w:p>
    <w:p w14:paraId="6A4012BB" w14:textId="77777777" w:rsidR="00801222" w:rsidRPr="00144EB3" w:rsidRDefault="00801222" w:rsidP="00801222">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371B7949" w14:textId="77777777" w:rsidR="00801222" w:rsidRPr="00144EB3" w:rsidRDefault="00801222" w:rsidP="00801222">
      <w:pPr>
        <w:spacing w:after="0" w:line="276" w:lineRule="auto"/>
        <w:rPr>
          <w:rFonts w:ascii="Verdana" w:eastAsia="Verdana" w:hAnsi="Verdana" w:cs="Verdana"/>
        </w:rPr>
      </w:pPr>
    </w:p>
    <w:p w14:paraId="3408A7D5" w14:textId="77777777" w:rsidR="00801222" w:rsidRPr="00144EB3" w:rsidRDefault="00801222" w:rsidP="00801222">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38AE6318" w14:textId="5447EACE" w:rsidR="00801222" w:rsidRPr="00182F6A" w:rsidRDefault="00B87DEA" w:rsidP="00B87DEA">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24744E66" wp14:editId="514F9D20">
            <wp:extent cx="3133725" cy="1163277"/>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138010" cy="1164868"/>
                    </a:xfrm>
                    <a:prstGeom prst="rect">
                      <a:avLst/>
                    </a:prstGeom>
                  </pic:spPr>
                </pic:pic>
              </a:graphicData>
            </a:graphic>
          </wp:inline>
        </w:drawing>
      </w:r>
    </w:p>
    <w:p w14:paraId="151C5C4C" w14:textId="77777777" w:rsidR="00801222" w:rsidRDefault="00801222" w:rsidP="00801222">
      <w:pPr>
        <w:spacing w:after="0" w:line="276" w:lineRule="auto"/>
        <w:jc w:val="center"/>
        <w:rPr>
          <w:rFonts w:ascii="Verdana" w:hAnsi="Verdana" w:cs="Arial"/>
          <w:lang w:val="es-ES" w:eastAsia="es-CO"/>
        </w:rPr>
      </w:pPr>
    </w:p>
    <w:p w14:paraId="7C0D9B82" w14:textId="77777777" w:rsidR="00801222" w:rsidRPr="008278B1" w:rsidRDefault="00801222" w:rsidP="0080122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1222" w:rsidRPr="008278B1" w14:paraId="45AC6FF4" w14:textId="77777777" w:rsidTr="00442BC4">
        <w:trPr>
          <w:trHeight w:val="315"/>
        </w:trPr>
        <w:tc>
          <w:tcPr>
            <w:tcW w:w="893" w:type="dxa"/>
            <w:vAlign w:val="center"/>
            <w:hideMark/>
          </w:tcPr>
          <w:p w14:paraId="3113CA81" w14:textId="77777777" w:rsidR="00801222" w:rsidRPr="008278B1" w:rsidRDefault="00801222" w:rsidP="00442BC4">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4C8F80" w14:textId="77777777" w:rsidR="00801222" w:rsidRPr="00860461" w:rsidRDefault="00801222" w:rsidP="00442BC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72A1D22" w14:textId="77777777" w:rsidR="00801222" w:rsidRPr="00860461" w:rsidRDefault="00801222" w:rsidP="00442BC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01222" w:rsidRPr="00F84F36" w14:paraId="1C177E5C" w14:textId="77777777" w:rsidTr="00442BC4">
        <w:trPr>
          <w:trHeight w:val="330"/>
        </w:trPr>
        <w:tc>
          <w:tcPr>
            <w:tcW w:w="893" w:type="dxa"/>
            <w:vAlign w:val="center"/>
            <w:hideMark/>
          </w:tcPr>
          <w:p w14:paraId="034FABE0" w14:textId="77777777" w:rsidR="00801222" w:rsidRPr="0025661F" w:rsidRDefault="00801222" w:rsidP="00442BC4">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8167C0" w14:textId="77777777" w:rsidR="00801222" w:rsidRPr="00D62D2E" w:rsidRDefault="00801222" w:rsidP="00442BC4">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Cabezas</w:t>
            </w:r>
          </w:p>
          <w:p w14:paraId="5975ED25" w14:textId="77777777" w:rsidR="00801222" w:rsidRPr="0025661F" w:rsidRDefault="00801222" w:rsidP="00442BC4">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01222" w:rsidRPr="00F84F36" w14:paraId="36F236D9" w14:textId="77777777" w:rsidTr="00442BC4">
        <w:trPr>
          <w:trHeight w:val="300"/>
        </w:trPr>
        <w:tc>
          <w:tcPr>
            <w:tcW w:w="893" w:type="dxa"/>
            <w:vAlign w:val="center"/>
          </w:tcPr>
          <w:p w14:paraId="4C5741B3" w14:textId="77777777" w:rsidR="00801222" w:rsidRPr="008278B1" w:rsidRDefault="00801222" w:rsidP="00442BC4">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80454C" w14:textId="77777777" w:rsidR="00801222" w:rsidRPr="008278B1" w:rsidRDefault="00801222" w:rsidP="00442BC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5EF4336" w14:textId="77777777" w:rsidR="00801222" w:rsidRPr="008278B1" w:rsidRDefault="00801222" w:rsidP="00442BC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052F0092" w14:textId="0C86F3D3" w:rsidR="00801222" w:rsidRPr="008E53E8" w:rsidRDefault="00801222" w:rsidP="00801222">
      <w:pPr>
        <w:spacing w:after="0"/>
        <w:rPr>
          <w:rFonts w:ascii="Verdana" w:eastAsia="Verdana" w:hAnsi="Verdana" w:cs="Verdana"/>
          <w:lang w:val="es-ES"/>
        </w:rPr>
      </w:pPr>
    </w:p>
    <w:bookmarkEnd w:id="0"/>
    <w:p w14:paraId="584B461C" w14:textId="77777777" w:rsidR="00095906" w:rsidRPr="0024624F" w:rsidRDefault="00095906" w:rsidP="30821638">
      <w:pPr>
        <w:spacing w:after="0"/>
        <w:rPr>
          <w:rFonts w:ascii="Verdana" w:eastAsia="Verdana" w:hAnsi="Verdana" w:cs="Verdana"/>
        </w:rPr>
      </w:pPr>
    </w:p>
    <w:sectPr w:rsidR="00095906"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9F6C8" w14:textId="77777777" w:rsidR="00A9482C" w:rsidRDefault="00A9482C" w:rsidP="004A1847">
      <w:pPr>
        <w:spacing w:after="0" w:line="240" w:lineRule="auto"/>
      </w:pPr>
      <w:r>
        <w:separator/>
      </w:r>
    </w:p>
  </w:endnote>
  <w:endnote w:type="continuationSeparator" w:id="0">
    <w:p w14:paraId="0010E75B" w14:textId="77777777" w:rsidR="00A9482C" w:rsidRDefault="00A9482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0326F" w14:textId="77777777" w:rsidR="00A9482C" w:rsidRDefault="00A9482C" w:rsidP="004A1847">
      <w:pPr>
        <w:spacing w:after="0" w:line="240" w:lineRule="auto"/>
      </w:pPr>
      <w:r>
        <w:separator/>
      </w:r>
    </w:p>
  </w:footnote>
  <w:footnote w:type="continuationSeparator" w:id="0">
    <w:p w14:paraId="67AB1504" w14:textId="77777777" w:rsidR="00A9482C" w:rsidRDefault="00A9482C" w:rsidP="004A1847">
      <w:pPr>
        <w:spacing w:after="0" w:line="240" w:lineRule="auto"/>
      </w:pPr>
      <w:r>
        <w:continuationSeparator/>
      </w:r>
    </w:p>
  </w:footnote>
  <w:footnote w:id="1">
    <w:p w14:paraId="375E3144" w14:textId="77777777" w:rsidR="00801222" w:rsidRPr="00A73A3A" w:rsidRDefault="00801222" w:rsidP="00801222">
      <w:pPr>
        <w:pStyle w:val="Textonotapie"/>
        <w:ind w:firstLine="709"/>
        <w:jc w:val="both"/>
        <w:rPr>
          <w:rFonts w:ascii="Verdana" w:hAnsi="Verdana" w:cs="Arial"/>
          <w:sz w:val="14"/>
          <w:szCs w:val="14"/>
        </w:rPr>
      </w:pPr>
      <w:r w:rsidRPr="00A73A3A">
        <w:rPr>
          <w:rStyle w:val="Refdenotaalpie"/>
          <w:rFonts w:ascii="Verdana" w:hAnsi="Verdana" w:cs="Arial"/>
          <w:sz w:val="14"/>
          <w:szCs w:val="14"/>
        </w:rPr>
        <w:footnoteRef/>
      </w:r>
      <w:r w:rsidRPr="00A73A3A">
        <w:rPr>
          <w:rFonts w:ascii="Verdana" w:hAnsi="Verdana" w:cs="Arial"/>
          <w:sz w:val="14"/>
          <w:szCs w:val="14"/>
        </w:rPr>
        <w:t xml:space="preserve"> Consejo de Estado. Sección Tercera. Sentencia del 27 de noviembre de 2017. Consejero Ponente: Jaime Orlando Santofimio. Expediente: 51.802.</w:t>
      </w:r>
    </w:p>
    <w:p w14:paraId="3394CD47" w14:textId="77777777" w:rsidR="00801222" w:rsidRPr="00A73A3A" w:rsidRDefault="00801222" w:rsidP="00801222">
      <w:pPr>
        <w:pStyle w:val="Textonotapie"/>
        <w:ind w:firstLine="709"/>
        <w:jc w:val="both"/>
        <w:rPr>
          <w:rFonts w:ascii="Verdana" w:hAnsi="Verdana" w:cs="Arial"/>
          <w:sz w:val="14"/>
          <w:szCs w:val="14"/>
        </w:rPr>
      </w:pPr>
    </w:p>
  </w:footnote>
  <w:footnote w:id="2">
    <w:p w14:paraId="6E93F2E2"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17 de la Ley 1150 de 2007</w:t>
      </w:r>
    </w:p>
    <w:p w14:paraId="3CD9BCFD" w14:textId="77777777" w:rsidR="00801222" w:rsidRPr="00A73A3A" w:rsidRDefault="00801222" w:rsidP="00801222">
      <w:pPr>
        <w:pStyle w:val="Textonotapie"/>
        <w:ind w:firstLine="709"/>
        <w:jc w:val="both"/>
        <w:rPr>
          <w:rFonts w:ascii="Verdana" w:hAnsi="Verdana"/>
          <w:sz w:val="14"/>
          <w:szCs w:val="14"/>
        </w:rPr>
      </w:pPr>
    </w:p>
  </w:footnote>
  <w:footnote w:id="3">
    <w:p w14:paraId="08341D8A"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21 de la Ley 1150 de 2007</w:t>
      </w:r>
    </w:p>
    <w:p w14:paraId="525DF2A0" w14:textId="77777777" w:rsidR="00801222" w:rsidRPr="00A73A3A" w:rsidRDefault="00801222" w:rsidP="00801222">
      <w:pPr>
        <w:pStyle w:val="Textonotapie"/>
        <w:ind w:firstLine="709"/>
        <w:jc w:val="both"/>
        <w:rPr>
          <w:rFonts w:ascii="Verdana" w:hAnsi="Verdana"/>
          <w:sz w:val="14"/>
          <w:szCs w:val="14"/>
        </w:rPr>
      </w:pPr>
    </w:p>
  </w:footnote>
  <w:footnote w:id="4">
    <w:p w14:paraId="7931C681" w14:textId="77777777" w:rsidR="00801222" w:rsidRPr="00A73A3A"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Artículos 83 a 86 de la Ley 1474 de 2011</w:t>
      </w:r>
    </w:p>
  </w:footnote>
  <w:footnote w:id="5">
    <w:p w14:paraId="05992FAA"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83 de la Ley 1474 de 2011</w:t>
      </w:r>
    </w:p>
    <w:p w14:paraId="60C63657" w14:textId="77777777" w:rsidR="00801222" w:rsidRPr="00A73A3A" w:rsidRDefault="00801222" w:rsidP="00801222">
      <w:pPr>
        <w:pStyle w:val="Textonotapie"/>
        <w:ind w:firstLine="709"/>
        <w:jc w:val="both"/>
        <w:rPr>
          <w:rFonts w:ascii="Verdana" w:hAnsi="Verdana"/>
          <w:sz w:val="14"/>
          <w:szCs w:val="14"/>
        </w:rPr>
      </w:pPr>
    </w:p>
  </w:footnote>
  <w:footnote w:id="6">
    <w:p w14:paraId="2F1FA08B"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 excepción de la interventoría del contrato de obra adjudicado por licitación pública que es obligatoria según el numeral 1° del artículo 32 de la Ley 80 de 1993.</w:t>
      </w:r>
    </w:p>
    <w:p w14:paraId="6B5EAE6A" w14:textId="77777777" w:rsidR="00801222" w:rsidRPr="00A73A3A" w:rsidRDefault="00801222" w:rsidP="00801222">
      <w:pPr>
        <w:pStyle w:val="Textonotapie"/>
        <w:ind w:firstLine="709"/>
        <w:jc w:val="both"/>
        <w:rPr>
          <w:rFonts w:ascii="Verdana" w:hAnsi="Verdana"/>
          <w:sz w:val="14"/>
          <w:szCs w:val="14"/>
        </w:rPr>
      </w:pPr>
    </w:p>
  </w:footnote>
  <w:footnote w:id="7">
    <w:p w14:paraId="2A560202" w14:textId="77777777" w:rsidR="00801222" w:rsidRPr="00A73A3A" w:rsidRDefault="00801222" w:rsidP="00801222">
      <w:pPr>
        <w:pStyle w:val="Textonotapie"/>
        <w:adjustRightInd w:val="0"/>
        <w:snapToGrid w:val="0"/>
        <w:ind w:firstLine="709"/>
        <w:jc w:val="both"/>
        <w:rPr>
          <w:rFonts w:ascii="Verdana" w:hAnsi="Verdana" w:cs="Arial"/>
          <w:color w:val="161616"/>
          <w:sz w:val="14"/>
          <w:szCs w:val="14"/>
        </w:rPr>
      </w:pPr>
      <w:r w:rsidRPr="00A73A3A">
        <w:rPr>
          <w:rStyle w:val="Refdenotaalpie"/>
          <w:rFonts w:ascii="Verdana" w:hAnsi="Verdana"/>
          <w:sz w:val="14"/>
          <w:szCs w:val="14"/>
        </w:rPr>
        <w:footnoteRef/>
      </w:r>
      <w:r w:rsidRPr="00A73A3A">
        <w:rPr>
          <w:rFonts w:ascii="Verdana" w:hAnsi="Verdana"/>
          <w:sz w:val="14"/>
          <w:szCs w:val="14"/>
        </w:rPr>
        <w:t xml:space="preserve"> </w:t>
      </w:r>
      <w:r w:rsidRPr="00A73A3A">
        <w:rPr>
          <w:rFonts w:ascii="Verdana" w:hAnsi="Verdana" w:cs="Arial"/>
          <w:color w:val="161616"/>
          <w:sz w:val="14"/>
          <w:szCs w:val="14"/>
        </w:rPr>
        <w:t>“Son también contratos de consultoría los que tienen por objeto la interventoría […]”</w:t>
      </w:r>
    </w:p>
    <w:p w14:paraId="4097D6FA" w14:textId="77777777" w:rsidR="00801222" w:rsidRPr="00A73A3A" w:rsidRDefault="00801222" w:rsidP="00801222">
      <w:pPr>
        <w:pStyle w:val="Textonotapie"/>
        <w:adjustRightInd w:val="0"/>
        <w:snapToGrid w:val="0"/>
        <w:ind w:firstLine="709"/>
        <w:rPr>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5A384F8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2.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906"/>
    <w:rsid w:val="000A683E"/>
    <w:rsid w:val="000B19B9"/>
    <w:rsid w:val="000D0334"/>
    <w:rsid w:val="000D5DA7"/>
    <w:rsid w:val="000F6486"/>
    <w:rsid w:val="00116940"/>
    <w:rsid w:val="00125105"/>
    <w:rsid w:val="00127233"/>
    <w:rsid w:val="00134E47"/>
    <w:rsid w:val="00153FE4"/>
    <w:rsid w:val="0015699B"/>
    <w:rsid w:val="001A33BF"/>
    <w:rsid w:val="001E4177"/>
    <w:rsid w:val="001F0B24"/>
    <w:rsid w:val="001F7DC6"/>
    <w:rsid w:val="0021524B"/>
    <w:rsid w:val="0022400B"/>
    <w:rsid w:val="002421BB"/>
    <w:rsid w:val="0025796E"/>
    <w:rsid w:val="002707A2"/>
    <w:rsid w:val="002951A0"/>
    <w:rsid w:val="002962BC"/>
    <w:rsid w:val="002A093D"/>
    <w:rsid w:val="002A0DD0"/>
    <w:rsid w:val="002A49AC"/>
    <w:rsid w:val="002A64FD"/>
    <w:rsid w:val="002C7A84"/>
    <w:rsid w:val="002E2BF8"/>
    <w:rsid w:val="002E4FD9"/>
    <w:rsid w:val="00301298"/>
    <w:rsid w:val="0030657A"/>
    <w:rsid w:val="00322A85"/>
    <w:rsid w:val="00324168"/>
    <w:rsid w:val="00330834"/>
    <w:rsid w:val="003448F4"/>
    <w:rsid w:val="00374F5E"/>
    <w:rsid w:val="00377E3E"/>
    <w:rsid w:val="003A779E"/>
    <w:rsid w:val="003D0F4D"/>
    <w:rsid w:val="003D5B0D"/>
    <w:rsid w:val="003E0499"/>
    <w:rsid w:val="003E4F80"/>
    <w:rsid w:val="003E6439"/>
    <w:rsid w:val="003F1883"/>
    <w:rsid w:val="003F3941"/>
    <w:rsid w:val="00406575"/>
    <w:rsid w:val="00414C74"/>
    <w:rsid w:val="0042722E"/>
    <w:rsid w:val="0044528D"/>
    <w:rsid w:val="00466E39"/>
    <w:rsid w:val="004674A2"/>
    <w:rsid w:val="00495B6F"/>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1222"/>
    <w:rsid w:val="00806F5F"/>
    <w:rsid w:val="00820278"/>
    <w:rsid w:val="00820514"/>
    <w:rsid w:val="008258C9"/>
    <w:rsid w:val="00831DBF"/>
    <w:rsid w:val="0083693D"/>
    <w:rsid w:val="008401E6"/>
    <w:rsid w:val="00844AE9"/>
    <w:rsid w:val="00867F95"/>
    <w:rsid w:val="008843B6"/>
    <w:rsid w:val="00891928"/>
    <w:rsid w:val="008A446D"/>
    <w:rsid w:val="008B25F1"/>
    <w:rsid w:val="008D180B"/>
    <w:rsid w:val="008D5A43"/>
    <w:rsid w:val="008F0EA7"/>
    <w:rsid w:val="00923EEF"/>
    <w:rsid w:val="009419F9"/>
    <w:rsid w:val="0095685E"/>
    <w:rsid w:val="00961B09"/>
    <w:rsid w:val="00965334"/>
    <w:rsid w:val="0097093E"/>
    <w:rsid w:val="0098070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482C"/>
    <w:rsid w:val="00AA2DD1"/>
    <w:rsid w:val="00AB0ADB"/>
    <w:rsid w:val="00B00C0E"/>
    <w:rsid w:val="00B01B1A"/>
    <w:rsid w:val="00B0381D"/>
    <w:rsid w:val="00B44A47"/>
    <w:rsid w:val="00B72CD3"/>
    <w:rsid w:val="00B72FFF"/>
    <w:rsid w:val="00B87DEA"/>
    <w:rsid w:val="00BC3D36"/>
    <w:rsid w:val="00BD54A6"/>
    <w:rsid w:val="00BD7F72"/>
    <w:rsid w:val="00BF7425"/>
    <w:rsid w:val="00C04FB3"/>
    <w:rsid w:val="00C11D8B"/>
    <w:rsid w:val="00C15139"/>
    <w:rsid w:val="00C330EB"/>
    <w:rsid w:val="00C50D69"/>
    <w:rsid w:val="00C5365C"/>
    <w:rsid w:val="00C60407"/>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6589"/>
    <w:rsid w:val="00E50AFE"/>
    <w:rsid w:val="00E75C92"/>
    <w:rsid w:val="00E771DC"/>
    <w:rsid w:val="00E84DC6"/>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801222"/>
    <w:pPr>
      <w:spacing w:after="120"/>
    </w:pPr>
  </w:style>
  <w:style w:type="character" w:customStyle="1" w:styleId="TextoindependienteCar">
    <w:name w:val="Texto independiente Car"/>
    <w:basedOn w:val="Fuentedeprrafopredeter"/>
    <w:link w:val="Textoindependiente"/>
    <w:uiPriority w:val="1"/>
    <w:rsid w:val="00801222"/>
  </w:style>
  <w:style w:type="paragraph" w:customStyle="1" w:styleId="Appelnotedebasde">
    <w:name w:val="Appel note de bas de..."/>
    <w:basedOn w:val="Normal"/>
    <w:link w:val="Refdenotaalpie"/>
    <w:uiPriority w:val="99"/>
    <w:rsid w:val="0080122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asesbiblioteca.uexternado.edu.co:2177/vid/336266069"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87DD43-A421-4A07-BB09-F73ACBB5AE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153</TotalTime>
  <Pages>14</Pages>
  <Words>4857</Words>
  <Characters>26715</Characters>
  <Application>Microsoft Office Word</Application>
  <DocSecurity>0</DocSecurity>
  <Lines>222</Lines>
  <Paragraphs>63</Paragraphs>
  <ScaleCrop>false</ScaleCrop>
  <Company/>
  <LinksUpToDate>false</LinksUpToDate>
  <CharactersWithSpaces>31509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2026-04-21T21:32:00Z</dcterms:created>
  <dcterms:modified xsi:type="dcterms:W3CDTF">2026-05-04T21:10:00Z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