
<file path=[Content_Types].xml><?xml version="1.0" encoding="utf-8"?>
<Types xmlns="http://schemas.openxmlformats.org/package/2006/content-types">
  <Default Extension="gif" ContentType="image/gif"/>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customXml/itemProps1.xml" ContentType="application/vnd.openxmlformats-officedocument.customXmlProperties+xml"/>
  <Override PartName="/customXml/itemProps2.xml" ContentType="application/vnd.openxmlformats-officedocument.customXmlProperties+xml"/>
  <Override PartName="/customXml/itemProps3.xml" ContentType="application/vnd.openxmlformats-officedocument.customXmlProperties+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header1.xml" ContentType="application/vnd.openxmlformats-officedocument.wordprocessingml.header+xml"/>
  <Override PartName="/word/footer1.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Override PartName="/docMetadata/LabelInfo.xml" ContentType="application/vnd.ms-office.classificationlabel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5" Type="http://schemas.microsoft.com/office/2020/02/relationships/classificationlabels" Target="docMetadata/LabelInfo.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7D4F2DC0" w14:textId="77777777" w:rsidR="00250090" w:rsidRDefault="00250090" w:rsidP="00250090">
      <w:pPr>
        <w:snapToGrid w:val="0"/>
        <w:spacing w:after="0" w:line="240" w:lineRule="auto"/>
        <w:contextualSpacing/>
        <w:jc w:val="both"/>
        <w:rPr>
          <w:rFonts w:ascii="Verdana" w:eastAsia="Calibri" w:hAnsi="Verdana" w:cs="Arial"/>
          <w:b/>
          <w:bCs/>
          <w:lang w:val="es-ES" w:eastAsia="es-ES"/>
        </w:rPr>
      </w:pPr>
      <w:bookmarkStart w:id="0" w:name="_Hlk143780582"/>
      <w:r w:rsidRPr="00E24068">
        <w:rPr>
          <w:rFonts w:ascii="Verdana" w:eastAsia="Calibri" w:hAnsi="Verdana" w:cs="Arial"/>
          <w:b/>
          <w:bCs/>
          <w:lang w:val="es-ES" w:eastAsia="es-ES"/>
        </w:rPr>
        <w:t>GARANTÍAS – Contratación estatal – Constitución de garantías – Finalidad – Cumplimiento – Obligaciones contractuales</w:t>
      </w:r>
    </w:p>
    <w:p w14:paraId="619B2AA4" w14:textId="77777777" w:rsidR="00250090" w:rsidRDefault="00250090" w:rsidP="00250090">
      <w:pPr>
        <w:snapToGrid w:val="0"/>
        <w:contextualSpacing/>
        <w:jc w:val="both"/>
        <w:rPr>
          <w:rFonts w:ascii="Verdana" w:hAnsi="Verdana" w:cs="Arial"/>
          <w:color w:val="000000"/>
          <w:shd w:val="clear" w:color="auto" w:fill="FFFFFF"/>
          <w:lang w:val="es-ES"/>
        </w:rPr>
      </w:pPr>
    </w:p>
    <w:p w14:paraId="18BFB437" w14:textId="77777777" w:rsidR="00250090" w:rsidRPr="00F3096C" w:rsidRDefault="00250090" w:rsidP="00250090">
      <w:pPr>
        <w:snapToGrid w:val="0"/>
        <w:spacing w:after="0" w:line="240" w:lineRule="auto"/>
        <w:contextualSpacing/>
        <w:jc w:val="both"/>
        <w:rPr>
          <w:rFonts w:ascii="Verdana" w:eastAsia="Calibri" w:hAnsi="Verdana" w:cs="Arial"/>
          <w:b/>
          <w:bCs/>
          <w:sz w:val="20"/>
          <w:szCs w:val="20"/>
          <w:lang w:val="es-ES" w:eastAsia="es-ES"/>
        </w:rPr>
      </w:pPr>
      <w:r w:rsidRPr="00F3096C">
        <w:rPr>
          <w:rFonts w:ascii="Verdana" w:hAnsi="Verdana" w:cs="Arial"/>
          <w:color w:val="000000"/>
          <w:sz w:val="20"/>
          <w:szCs w:val="20"/>
          <w:shd w:val="clear" w:color="auto" w:fill="FFFFFF"/>
          <w:lang w:val="es-ES"/>
        </w:rPr>
        <w:t>Por regla general, para seleccionar contratistas y para ejecutar contratos se requiere la constitución de garantías. Por un lado, l</w:t>
      </w:r>
      <w:r w:rsidRPr="00F3096C">
        <w:rPr>
          <w:rFonts w:ascii="Verdana" w:eastAsia="Calibri" w:hAnsi="Verdana" w:cs="Arial"/>
          <w:color w:val="000000" w:themeColor="text1"/>
          <w:sz w:val="20"/>
          <w:szCs w:val="20"/>
          <w:lang w:val="es-ES"/>
        </w:rPr>
        <w:t xml:space="preserve">a </w:t>
      </w:r>
      <w:r w:rsidRPr="00F3096C">
        <w:rPr>
          <w:rFonts w:ascii="Verdana" w:eastAsia="Calibri" w:hAnsi="Verdana" w:cs="Arial"/>
          <w:i/>
          <w:iCs/>
          <w:color w:val="000000" w:themeColor="text1"/>
          <w:sz w:val="20"/>
          <w:szCs w:val="20"/>
          <w:lang w:val="es-ES"/>
        </w:rPr>
        <w:t>garantía de seriedad</w:t>
      </w:r>
      <w:r w:rsidRPr="00F3096C">
        <w:rPr>
          <w:rFonts w:ascii="Verdana" w:eastAsia="Calibri" w:hAnsi="Verdana" w:cs="Arial"/>
          <w:color w:val="000000" w:themeColor="text1"/>
          <w:sz w:val="20"/>
          <w:szCs w:val="20"/>
          <w:lang w:val="es-ES"/>
        </w:rPr>
        <w:t xml:space="preserve"> respalda al principio de irrevocabilidad de la oferta, caso en el cual los proponentes que pierdan interés en la adjudicación resarcirán los perjuicios causados por su retiro del proceso de selección. Naturalmente, esta garantía solo la constituyen quienes presenten las propuestas, motivo por el cual sus efectos no se extienden a personas ajenas a la actividad precontractual; sin perjuicio de que la póliza sea un mecanismo conminatorio, en la medida en que obliga a celebrar el contrato, so pena de hacerla efectiva. De esta manera, la exigencia permite que solo se presenten personas con la capacidad técnica y financiera suficiente para ejecutarlo en caso de adjudicación, desestimulando la presentación de ofertas que no son serias, cuya evaluación entorpece la buena marcha de la Administración, y en especial la celeridad y eficiencia de los procedimientos contractuales.</w:t>
      </w:r>
    </w:p>
    <w:p w14:paraId="0D716545" w14:textId="77777777" w:rsidR="00250090" w:rsidRDefault="00250090" w:rsidP="00250090">
      <w:pPr>
        <w:snapToGrid w:val="0"/>
        <w:contextualSpacing/>
        <w:jc w:val="both"/>
        <w:rPr>
          <w:rFonts w:ascii="Verdana" w:eastAsia="Calibri" w:hAnsi="Verdana" w:cs="Arial"/>
          <w:b/>
          <w:bCs/>
          <w:lang w:val="es-ES" w:eastAsia="es-ES"/>
        </w:rPr>
      </w:pPr>
    </w:p>
    <w:p w14:paraId="5246BFE3" w14:textId="77777777" w:rsidR="00250090" w:rsidRDefault="00250090" w:rsidP="00250090">
      <w:pPr>
        <w:snapToGrid w:val="0"/>
        <w:spacing w:after="0" w:line="240" w:lineRule="auto"/>
        <w:contextualSpacing/>
        <w:jc w:val="both"/>
        <w:rPr>
          <w:rFonts w:ascii="Verdana" w:eastAsia="Calibri" w:hAnsi="Verdana" w:cs="Arial"/>
          <w:b/>
          <w:bCs/>
          <w:lang w:val="es-ES" w:eastAsia="es-ES"/>
        </w:rPr>
      </w:pPr>
      <w:r w:rsidRPr="00E24068">
        <w:rPr>
          <w:rFonts w:ascii="Verdana" w:eastAsia="Calibri" w:hAnsi="Verdana" w:cs="Arial"/>
          <w:b/>
          <w:bCs/>
          <w:lang w:val="es-ES" w:eastAsia="es-ES"/>
        </w:rPr>
        <w:t>GARANTÍA DE CUMPLIMIENTO – Amparos – Finalidad</w:t>
      </w:r>
    </w:p>
    <w:p w14:paraId="7F3C4DAA" w14:textId="77777777" w:rsidR="00250090" w:rsidRDefault="00250090" w:rsidP="00250090">
      <w:pPr>
        <w:snapToGrid w:val="0"/>
        <w:spacing w:after="0" w:line="240" w:lineRule="auto"/>
        <w:contextualSpacing/>
        <w:jc w:val="both"/>
        <w:rPr>
          <w:rFonts w:ascii="Verdana" w:eastAsia="Calibri" w:hAnsi="Verdana" w:cs="Arial"/>
          <w:color w:val="000000" w:themeColor="text1"/>
          <w:lang w:val="es-ES"/>
        </w:rPr>
      </w:pPr>
    </w:p>
    <w:p w14:paraId="477C69AB" w14:textId="77777777" w:rsidR="00250090" w:rsidRPr="00F3096C" w:rsidRDefault="00250090" w:rsidP="00250090">
      <w:pPr>
        <w:snapToGrid w:val="0"/>
        <w:spacing w:after="0" w:line="240" w:lineRule="auto"/>
        <w:contextualSpacing/>
        <w:jc w:val="both"/>
        <w:rPr>
          <w:rFonts w:ascii="Verdana" w:eastAsia="Calibri" w:hAnsi="Verdana" w:cs="Arial"/>
          <w:color w:val="000000" w:themeColor="text1"/>
          <w:sz w:val="20"/>
          <w:szCs w:val="20"/>
          <w:lang w:val="es-ES"/>
        </w:rPr>
      </w:pPr>
      <w:r w:rsidRPr="00F3096C">
        <w:rPr>
          <w:rFonts w:ascii="Verdana" w:eastAsia="Calibri" w:hAnsi="Verdana" w:cs="Arial"/>
          <w:color w:val="000000" w:themeColor="text1"/>
          <w:sz w:val="20"/>
          <w:szCs w:val="20"/>
          <w:lang w:val="es-ES"/>
        </w:rPr>
        <w:t xml:space="preserve">En contraste, mediante la </w:t>
      </w:r>
      <w:r w:rsidRPr="00F3096C">
        <w:rPr>
          <w:rFonts w:ascii="Verdana" w:eastAsia="Calibri" w:hAnsi="Verdana" w:cs="Arial"/>
          <w:i/>
          <w:iCs/>
          <w:color w:val="000000" w:themeColor="text1"/>
          <w:sz w:val="20"/>
          <w:szCs w:val="20"/>
          <w:lang w:val="es-ES"/>
        </w:rPr>
        <w:t>garantía de única de cumplimiento</w:t>
      </w:r>
      <w:r w:rsidRPr="00F3096C">
        <w:rPr>
          <w:rFonts w:ascii="Verdana" w:eastAsia="Calibri" w:hAnsi="Verdana" w:cs="Arial"/>
          <w:color w:val="000000" w:themeColor="text1"/>
          <w:sz w:val="20"/>
          <w:szCs w:val="20"/>
          <w:lang w:val="es-ES"/>
        </w:rPr>
        <w:t xml:space="preserve">, el contratista ampara los perjuicios que le pueda generar a la entidad el incumplimiento de las obligaciones derivadas del contrato. En esta medida, tienen como objetivo reparar los perjuicios causados por conductas atribuibles al contratista, por lo que estos últimos son un presupuesto necesario para el pago que cubre la garantía. </w:t>
      </w:r>
      <w:r w:rsidRPr="00F3096C">
        <w:rPr>
          <w:rFonts w:ascii="Verdana" w:hAnsi="Verdana" w:cs="Arial"/>
          <w:color w:val="000000" w:themeColor="text1"/>
          <w:sz w:val="20"/>
          <w:szCs w:val="20"/>
          <w:lang w:val="es-ES"/>
        </w:rPr>
        <w:t xml:space="preserve">Para estos efectos es única, ya que “[…] La prioridad […] es que no haya garantías separadas para los diferentes riesgos, aunque existan varias garantías para diferentes proporciones del interés asegurado […]”.    </w:t>
      </w:r>
    </w:p>
    <w:p w14:paraId="0AEEA927" w14:textId="77777777" w:rsidR="00250090" w:rsidRPr="00F3096C" w:rsidRDefault="00250090" w:rsidP="00250090">
      <w:pPr>
        <w:snapToGrid w:val="0"/>
        <w:spacing w:after="0" w:line="240" w:lineRule="auto"/>
        <w:contextualSpacing/>
        <w:jc w:val="both"/>
        <w:rPr>
          <w:rFonts w:ascii="Verdana" w:hAnsi="Verdana" w:cs="Arial"/>
          <w:color w:val="000000" w:themeColor="text1"/>
          <w:sz w:val="20"/>
          <w:szCs w:val="20"/>
          <w:lang w:val="es-ES"/>
        </w:rPr>
      </w:pPr>
    </w:p>
    <w:p w14:paraId="00DC0374" w14:textId="77777777" w:rsidR="00250090" w:rsidRPr="00F3096C" w:rsidRDefault="00250090" w:rsidP="00250090">
      <w:pPr>
        <w:snapToGrid w:val="0"/>
        <w:spacing w:after="0" w:line="240" w:lineRule="auto"/>
        <w:contextualSpacing/>
        <w:jc w:val="both"/>
        <w:rPr>
          <w:rFonts w:ascii="Verdana" w:hAnsi="Verdana" w:cs="Arial"/>
          <w:color w:val="000000" w:themeColor="text1"/>
          <w:sz w:val="20"/>
          <w:szCs w:val="20"/>
          <w:lang w:val="es-ES"/>
        </w:rPr>
      </w:pPr>
      <w:r w:rsidRPr="00F3096C">
        <w:rPr>
          <w:rFonts w:ascii="Verdana" w:hAnsi="Verdana" w:cs="Arial"/>
          <w:color w:val="000000" w:themeColor="text1"/>
          <w:sz w:val="20"/>
          <w:szCs w:val="20"/>
          <w:lang w:val="es-ES"/>
        </w:rPr>
        <w:t>Desde esta perspectiva, ambas garantías constituyen una obligación de seguridad, es decir, aquella donde el interés del acreedor no consiste en una utilidad específica y tangible, sino en la tranquilidad frente a ciertos riesgos por la cobertura de sus consecuencias nocivas. Conforme al inciso segundo del artículo 7 de la Ley 1150 de 2007, pueden otorgarse a través de: i) contratos de seguro, ii) garantías bancarias o iii) los demás mecanismos de cobertura del riesgo que disponga el reglamento. Igualmente establece que “[…] tratándose de pólizas, las mismas no expirarán por falta de pago de la prima o por revocatoria unilateral […]”. Esta norma es una excepción a la terminación automática del contrato de seguro prevista en los artículos 1068 y 1071 del Código de Comercio. De esta manera, las garantías previstas en la ley tienen como objetivo asegurar la solvencia del garante.</w:t>
      </w:r>
    </w:p>
    <w:p w14:paraId="137D3B28" w14:textId="77777777" w:rsidR="00250090" w:rsidRPr="00E24068" w:rsidRDefault="00250090" w:rsidP="00250090">
      <w:pPr>
        <w:snapToGrid w:val="0"/>
        <w:spacing w:after="0" w:line="240" w:lineRule="auto"/>
        <w:contextualSpacing/>
        <w:jc w:val="both"/>
        <w:rPr>
          <w:rFonts w:ascii="Verdana" w:eastAsia="Calibri" w:hAnsi="Verdana" w:cs="Arial"/>
          <w:b/>
          <w:bCs/>
          <w:lang w:val="es-ES" w:eastAsia="es-ES"/>
        </w:rPr>
      </w:pPr>
    </w:p>
    <w:p w14:paraId="465321FB" w14:textId="77777777" w:rsidR="00250090" w:rsidRPr="00E24068" w:rsidRDefault="00250090" w:rsidP="00250090">
      <w:pPr>
        <w:snapToGrid w:val="0"/>
        <w:spacing w:after="0" w:line="240" w:lineRule="auto"/>
        <w:contextualSpacing/>
        <w:jc w:val="both"/>
        <w:rPr>
          <w:rFonts w:ascii="Verdana" w:eastAsia="Calibri" w:hAnsi="Verdana" w:cs="Arial"/>
          <w:b/>
          <w:bCs/>
          <w:lang w:val="es-ES" w:eastAsia="es-ES"/>
        </w:rPr>
      </w:pPr>
      <w:r w:rsidRPr="00E24068">
        <w:rPr>
          <w:rFonts w:ascii="Verdana" w:eastAsia="Calibri" w:hAnsi="Verdana" w:cs="Arial"/>
          <w:b/>
          <w:bCs/>
          <w:lang w:val="es-ES" w:eastAsia="es-ES"/>
        </w:rPr>
        <w:t>GARANTÍA DE RESPONSABILIDAD CIVIL EXTRACONTRACTUAL – Características – Suficiencia – Criterios de aprobación</w:t>
      </w:r>
    </w:p>
    <w:p w14:paraId="7E4B8537" w14:textId="77777777" w:rsidR="00250090" w:rsidRDefault="00250090" w:rsidP="00250090">
      <w:pPr>
        <w:snapToGrid w:val="0"/>
        <w:contextualSpacing/>
        <w:jc w:val="both"/>
        <w:rPr>
          <w:rFonts w:ascii="Verdana" w:eastAsia="Times New Roman" w:hAnsi="Verdana" w:cs="Arial"/>
          <w:color w:val="000000" w:themeColor="text1"/>
          <w:lang w:val="es-ES" w:eastAsia="es-CO"/>
        </w:rPr>
      </w:pPr>
    </w:p>
    <w:p w14:paraId="32428E36" w14:textId="77777777" w:rsidR="00250090" w:rsidRPr="00F3096C" w:rsidRDefault="00250090" w:rsidP="00250090">
      <w:pPr>
        <w:snapToGrid w:val="0"/>
        <w:spacing w:after="0" w:line="240" w:lineRule="auto"/>
        <w:contextualSpacing/>
        <w:jc w:val="both"/>
        <w:rPr>
          <w:rFonts w:ascii="Verdana" w:eastAsia="Times New Roman" w:hAnsi="Verdana" w:cs="Arial"/>
          <w:color w:val="000000" w:themeColor="text1"/>
          <w:sz w:val="20"/>
          <w:szCs w:val="20"/>
          <w:lang w:val="es-ES" w:eastAsia="es-CO"/>
        </w:rPr>
      </w:pPr>
      <w:r w:rsidRPr="00F3096C">
        <w:rPr>
          <w:rFonts w:ascii="Verdana" w:eastAsia="Times New Roman" w:hAnsi="Verdana" w:cs="Arial"/>
          <w:color w:val="000000" w:themeColor="text1"/>
          <w:sz w:val="20"/>
          <w:szCs w:val="20"/>
          <w:lang w:val="es-ES" w:eastAsia="es-CO"/>
        </w:rPr>
        <w:t xml:space="preserve">En primer lugar, la entidad debe verificar que la garantía cumpla con el requisito de indivisibilidad establecido en el artículo 2.2.1.2.3.1.3. del Decreto 1082 de 2015. </w:t>
      </w:r>
      <w:r w:rsidRPr="00F3096C">
        <w:rPr>
          <w:rFonts w:ascii="Verdana" w:hAnsi="Verdana" w:cs="Arial"/>
          <w:color w:val="000000" w:themeColor="text1"/>
          <w:sz w:val="20"/>
          <w:szCs w:val="20"/>
          <w:lang w:val="es-ES"/>
        </w:rPr>
        <w:t xml:space="preserve">En </w:t>
      </w:r>
      <w:r w:rsidRPr="00F3096C">
        <w:rPr>
          <w:rFonts w:ascii="Verdana" w:hAnsi="Verdana" w:cs="Arial"/>
          <w:color w:val="000000" w:themeColor="text1"/>
          <w:sz w:val="20"/>
          <w:szCs w:val="20"/>
          <w:lang w:val="es-ES"/>
        </w:rPr>
        <w:lastRenderedPageBreak/>
        <w:t xml:space="preserve">segundo lugar, el amparo de responsabilidad civil extracontractual debe cumplir con los requisitos dispuestos </w:t>
      </w:r>
      <w:r w:rsidRPr="00F3096C">
        <w:rPr>
          <w:rFonts w:ascii="Verdana" w:eastAsia="Times New Roman" w:hAnsi="Verdana" w:cs="Arial"/>
          <w:color w:val="000000" w:themeColor="text1"/>
          <w:sz w:val="20"/>
          <w:szCs w:val="20"/>
          <w:lang w:val="es-ES" w:eastAsia="es-CO"/>
        </w:rPr>
        <w:t xml:space="preserve">en el artículo 2.2.1.2.3.2.9 con respecto a la modalidad de ocurrencia, así como las calidades que deben tener los intervinientes y los amparos. Tercero, la entidad debe verificar que el contrato de seguro cumpla con la suficiencia en términos de valor y tiempo de acuerdo con el artículo 2.2.1.2.3.1.17. Adicional a lo anterior, la norma establece de manera expresa que la vigencia de esta garantía deberá ser igual al </w:t>
      </w:r>
      <w:r w:rsidRPr="00F3096C">
        <w:rPr>
          <w:rFonts w:ascii="Verdana" w:eastAsia="Times New Roman" w:hAnsi="Verdana" w:cs="Arial"/>
          <w:i/>
          <w:color w:val="000000" w:themeColor="text1"/>
          <w:sz w:val="20"/>
          <w:szCs w:val="20"/>
          <w:lang w:val="es-ES" w:eastAsia="es-CO"/>
        </w:rPr>
        <w:t>período de ejecución del contrato</w:t>
      </w:r>
      <w:r w:rsidRPr="00F3096C">
        <w:rPr>
          <w:rFonts w:ascii="Verdana" w:eastAsia="Times New Roman" w:hAnsi="Verdana" w:cs="Arial"/>
          <w:color w:val="000000" w:themeColor="text1"/>
          <w:sz w:val="20"/>
          <w:szCs w:val="20"/>
          <w:lang w:val="es-ES" w:eastAsia="es-CO"/>
        </w:rPr>
        <w:t xml:space="preserve"> estatal que está respaldando.</w:t>
      </w:r>
    </w:p>
    <w:p w14:paraId="3E567194" w14:textId="77777777" w:rsidR="00250090" w:rsidRPr="00F3096C" w:rsidRDefault="00250090" w:rsidP="00250090">
      <w:pPr>
        <w:snapToGrid w:val="0"/>
        <w:contextualSpacing/>
        <w:jc w:val="both"/>
        <w:rPr>
          <w:rFonts w:ascii="Verdana" w:eastAsia="Times New Roman" w:hAnsi="Verdana" w:cs="Arial"/>
          <w:color w:val="000000" w:themeColor="text1"/>
          <w:sz w:val="20"/>
          <w:szCs w:val="20"/>
          <w:lang w:val="es-ES" w:eastAsia="es-CO"/>
        </w:rPr>
      </w:pPr>
    </w:p>
    <w:p w14:paraId="15500AF1" w14:textId="77777777" w:rsidR="00250090" w:rsidRPr="00F3096C" w:rsidRDefault="00250090" w:rsidP="00250090">
      <w:pPr>
        <w:snapToGrid w:val="0"/>
        <w:spacing w:after="0" w:line="240" w:lineRule="auto"/>
        <w:contextualSpacing/>
        <w:jc w:val="both"/>
        <w:rPr>
          <w:rFonts w:ascii="Verdana" w:eastAsia="Times New Roman" w:hAnsi="Verdana" w:cs="Arial"/>
          <w:color w:val="000000" w:themeColor="text1"/>
          <w:sz w:val="20"/>
          <w:szCs w:val="20"/>
          <w:lang w:val="es-ES" w:eastAsia="es-CO"/>
        </w:rPr>
      </w:pPr>
      <w:r w:rsidRPr="00F3096C">
        <w:rPr>
          <w:rFonts w:ascii="Verdana" w:eastAsia="Times New Roman" w:hAnsi="Verdana" w:cs="Arial"/>
          <w:color w:val="000000" w:themeColor="text1"/>
          <w:sz w:val="20"/>
          <w:szCs w:val="20"/>
          <w:lang w:val="es-ES" w:eastAsia="es-CO"/>
        </w:rPr>
        <w:t xml:space="preserve">Finalmente, es necesario tener cuenta que, conforme al artículo 2.2.1.3.3.2.10, “En el contrato de seguro que ampara la responsabilidad civil extracontractual solamente se pueden pactar deducibles hasta del diez por ciento (10%) del valor de cada pérdida y en ningún caso pueden ser superiores a dos mil (2.000) smmlv. No serán admisibles las franquicias, coaseguros obligatorios y demás formas de estipulación que impliquen la asunción de parte de la pérdida por la entidad asegurada”. </w:t>
      </w:r>
    </w:p>
    <w:p w14:paraId="3AC080AA" w14:textId="77777777" w:rsidR="00250090" w:rsidRPr="00F3096C" w:rsidRDefault="00250090" w:rsidP="00250090">
      <w:pPr>
        <w:spacing w:after="0"/>
        <w:rPr>
          <w:rFonts w:ascii="Verdana" w:hAnsi="Verdana"/>
          <w:sz w:val="20"/>
          <w:szCs w:val="20"/>
          <w:lang w:val="es-ES"/>
        </w:rPr>
      </w:pPr>
    </w:p>
    <w:p w14:paraId="0614CDAE" w14:textId="77777777" w:rsidR="00250090" w:rsidRPr="00F3096C" w:rsidRDefault="00250090" w:rsidP="00250090">
      <w:pPr>
        <w:spacing w:after="0"/>
        <w:rPr>
          <w:rFonts w:ascii="Verdana" w:hAnsi="Verdana"/>
          <w:sz w:val="20"/>
          <w:szCs w:val="20"/>
          <w:lang w:val="es-ES"/>
        </w:rPr>
      </w:pPr>
    </w:p>
    <w:p w14:paraId="67235078" w14:textId="77777777" w:rsidR="00250090" w:rsidRPr="00F3096C" w:rsidRDefault="00250090" w:rsidP="00250090">
      <w:pPr>
        <w:spacing w:after="0"/>
        <w:rPr>
          <w:rFonts w:ascii="Verdana" w:hAnsi="Verdana"/>
          <w:sz w:val="20"/>
          <w:szCs w:val="20"/>
          <w:lang w:val="es-ES"/>
        </w:rPr>
      </w:pPr>
    </w:p>
    <w:p w14:paraId="50D2F7A4" w14:textId="77777777" w:rsidR="00250090" w:rsidRPr="00F3096C" w:rsidRDefault="00250090" w:rsidP="00250090">
      <w:pPr>
        <w:spacing w:after="0"/>
        <w:rPr>
          <w:rFonts w:ascii="Verdana" w:hAnsi="Verdana"/>
          <w:sz w:val="20"/>
          <w:szCs w:val="20"/>
          <w:lang w:val="es-ES"/>
        </w:rPr>
      </w:pPr>
    </w:p>
    <w:p w14:paraId="48732592" w14:textId="77777777" w:rsidR="00250090" w:rsidRDefault="00250090" w:rsidP="00250090">
      <w:pPr>
        <w:spacing w:after="0"/>
        <w:rPr>
          <w:rFonts w:ascii="Verdana" w:hAnsi="Verdana"/>
          <w:lang w:val="es-ES"/>
        </w:rPr>
      </w:pPr>
    </w:p>
    <w:p w14:paraId="04752776" w14:textId="77777777" w:rsidR="00250090" w:rsidRDefault="00250090" w:rsidP="00250090">
      <w:pPr>
        <w:spacing w:after="0"/>
        <w:rPr>
          <w:rFonts w:ascii="Verdana" w:hAnsi="Verdana"/>
          <w:lang w:val="es-ES"/>
        </w:rPr>
      </w:pPr>
    </w:p>
    <w:p w14:paraId="1D77900B" w14:textId="77777777" w:rsidR="00250090" w:rsidRDefault="00250090" w:rsidP="00250090">
      <w:pPr>
        <w:spacing w:after="0"/>
        <w:rPr>
          <w:rFonts w:ascii="Verdana" w:hAnsi="Verdana"/>
          <w:lang w:val="es-ES"/>
        </w:rPr>
      </w:pPr>
    </w:p>
    <w:p w14:paraId="0EDDB5FD" w14:textId="77777777" w:rsidR="00250090" w:rsidRDefault="00250090" w:rsidP="00250090">
      <w:pPr>
        <w:spacing w:after="0"/>
        <w:rPr>
          <w:rFonts w:ascii="Verdana" w:hAnsi="Verdana"/>
          <w:lang w:val="es-ES"/>
        </w:rPr>
      </w:pPr>
    </w:p>
    <w:p w14:paraId="6A9B6307" w14:textId="77777777" w:rsidR="00250090" w:rsidRDefault="00250090" w:rsidP="00250090">
      <w:pPr>
        <w:spacing w:after="0"/>
        <w:rPr>
          <w:rFonts w:ascii="Verdana" w:hAnsi="Verdana"/>
          <w:lang w:val="es-ES"/>
        </w:rPr>
      </w:pPr>
    </w:p>
    <w:p w14:paraId="6633059E" w14:textId="77777777" w:rsidR="00250090" w:rsidRDefault="00250090" w:rsidP="00250090">
      <w:pPr>
        <w:spacing w:after="0"/>
        <w:rPr>
          <w:rFonts w:ascii="Verdana" w:hAnsi="Verdana"/>
          <w:lang w:val="es-ES"/>
        </w:rPr>
      </w:pPr>
    </w:p>
    <w:p w14:paraId="4E6B64D3" w14:textId="77777777" w:rsidR="00250090" w:rsidRDefault="00250090" w:rsidP="00250090">
      <w:pPr>
        <w:spacing w:after="0"/>
        <w:rPr>
          <w:rFonts w:ascii="Verdana" w:hAnsi="Verdana"/>
          <w:lang w:val="es-ES"/>
        </w:rPr>
      </w:pPr>
    </w:p>
    <w:p w14:paraId="0907D81C" w14:textId="77777777" w:rsidR="00250090" w:rsidRDefault="00250090" w:rsidP="00250090">
      <w:pPr>
        <w:spacing w:after="0"/>
        <w:rPr>
          <w:rFonts w:ascii="Verdana" w:hAnsi="Verdana"/>
          <w:lang w:val="es-ES"/>
        </w:rPr>
      </w:pPr>
    </w:p>
    <w:p w14:paraId="0CFA5B67" w14:textId="77777777" w:rsidR="00250090" w:rsidRDefault="00250090" w:rsidP="00250090">
      <w:pPr>
        <w:spacing w:after="0" w:line="240" w:lineRule="auto"/>
        <w:rPr>
          <w:rFonts w:ascii="Verdana" w:hAnsi="Verdana"/>
          <w:sz w:val="20"/>
          <w:szCs w:val="20"/>
        </w:rPr>
      </w:pPr>
    </w:p>
    <w:p w14:paraId="7B913EDA" w14:textId="77777777" w:rsidR="00250090" w:rsidRDefault="00250090" w:rsidP="00250090">
      <w:pPr>
        <w:spacing w:after="0" w:line="240" w:lineRule="auto"/>
        <w:rPr>
          <w:rFonts w:ascii="Verdana" w:hAnsi="Verdana"/>
          <w:sz w:val="20"/>
          <w:szCs w:val="20"/>
        </w:rPr>
      </w:pPr>
    </w:p>
    <w:p w14:paraId="0E25397E" w14:textId="77777777" w:rsidR="00250090" w:rsidRDefault="00250090" w:rsidP="00250090">
      <w:pPr>
        <w:spacing w:after="0" w:line="240" w:lineRule="auto"/>
        <w:rPr>
          <w:rFonts w:ascii="Verdana" w:hAnsi="Verdana"/>
          <w:sz w:val="20"/>
          <w:szCs w:val="20"/>
        </w:rPr>
      </w:pPr>
    </w:p>
    <w:p w14:paraId="451B59D6" w14:textId="77777777" w:rsidR="00250090" w:rsidRDefault="00250090" w:rsidP="00250090">
      <w:pPr>
        <w:spacing w:after="0" w:line="240" w:lineRule="auto"/>
        <w:rPr>
          <w:rFonts w:ascii="Verdana" w:hAnsi="Verdana"/>
          <w:sz w:val="20"/>
          <w:szCs w:val="20"/>
        </w:rPr>
      </w:pPr>
    </w:p>
    <w:p w14:paraId="45523006" w14:textId="77777777" w:rsidR="00250090" w:rsidRDefault="00250090" w:rsidP="00250090">
      <w:pPr>
        <w:spacing w:after="0" w:line="240" w:lineRule="auto"/>
        <w:rPr>
          <w:rFonts w:ascii="Verdana" w:hAnsi="Verdana"/>
          <w:sz w:val="20"/>
          <w:szCs w:val="20"/>
        </w:rPr>
      </w:pPr>
    </w:p>
    <w:p w14:paraId="7D092261" w14:textId="77777777" w:rsidR="00250090" w:rsidRDefault="00250090" w:rsidP="00250090">
      <w:pPr>
        <w:spacing w:after="0" w:line="240" w:lineRule="auto"/>
        <w:rPr>
          <w:rFonts w:ascii="Verdana" w:hAnsi="Verdana"/>
          <w:sz w:val="20"/>
          <w:szCs w:val="20"/>
        </w:rPr>
      </w:pPr>
    </w:p>
    <w:p w14:paraId="6278D906" w14:textId="77777777" w:rsidR="00250090" w:rsidRDefault="00250090" w:rsidP="00250090">
      <w:pPr>
        <w:spacing w:after="0" w:line="240" w:lineRule="auto"/>
        <w:rPr>
          <w:rFonts w:ascii="Verdana" w:hAnsi="Verdana"/>
          <w:sz w:val="20"/>
          <w:szCs w:val="20"/>
        </w:rPr>
      </w:pPr>
    </w:p>
    <w:p w14:paraId="512AA9B3" w14:textId="77777777" w:rsidR="00250090" w:rsidRDefault="00250090" w:rsidP="00250090">
      <w:pPr>
        <w:spacing w:after="0" w:line="240" w:lineRule="auto"/>
        <w:rPr>
          <w:rFonts w:ascii="Verdana" w:hAnsi="Verdana"/>
          <w:sz w:val="20"/>
          <w:szCs w:val="20"/>
        </w:rPr>
      </w:pPr>
    </w:p>
    <w:p w14:paraId="6CBD0ECB" w14:textId="77777777" w:rsidR="00250090" w:rsidRDefault="00250090" w:rsidP="00250090">
      <w:pPr>
        <w:spacing w:after="0" w:line="240" w:lineRule="auto"/>
        <w:rPr>
          <w:rFonts w:ascii="Verdana" w:hAnsi="Verdana"/>
          <w:sz w:val="20"/>
          <w:szCs w:val="20"/>
        </w:rPr>
      </w:pPr>
    </w:p>
    <w:p w14:paraId="2BED68A0" w14:textId="77777777" w:rsidR="00250090" w:rsidRDefault="00250090" w:rsidP="00250090">
      <w:pPr>
        <w:spacing w:after="0" w:line="240" w:lineRule="auto"/>
        <w:rPr>
          <w:rFonts w:ascii="Verdana" w:hAnsi="Verdana"/>
          <w:sz w:val="20"/>
          <w:szCs w:val="20"/>
        </w:rPr>
      </w:pPr>
    </w:p>
    <w:p w14:paraId="4DD384BC" w14:textId="77777777" w:rsidR="00250090" w:rsidRDefault="00250090" w:rsidP="00250090">
      <w:pPr>
        <w:spacing w:after="0" w:line="240" w:lineRule="auto"/>
        <w:rPr>
          <w:rFonts w:ascii="Verdana" w:hAnsi="Verdana"/>
          <w:sz w:val="20"/>
          <w:szCs w:val="20"/>
        </w:rPr>
      </w:pPr>
    </w:p>
    <w:p w14:paraId="46980C7E" w14:textId="77777777" w:rsidR="00250090" w:rsidRDefault="00250090" w:rsidP="00250090">
      <w:pPr>
        <w:spacing w:after="0" w:line="240" w:lineRule="auto"/>
        <w:rPr>
          <w:rFonts w:ascii="Verdana" w:hAnsi="Verdana"/>
          <w:sz w:val="20"/>
          <w:szCs w:val="20"/>
        </w:rPr>
      </w:pPr>
    </w:p>
    <w:p w14:paraId="522422B3" w14:textId="77777777" w:rsidR="00250090" w:rsidRDefault="00250090" w:rsidP="00250090">
      <w:pPr>
        <w:spacing w:after="0" w:line="240" w:lineRule="auto"/>
        <w:rPr>
          <w:rFonts w:ascii="Verdana" w:hAnsi="Verdana"/>
          <w:sz w:val="20"/>
          <w:szCs w:val="20"/>
        </w:rPr>
      </w:pPr>
    </w:p>
    <w:p w14:paraId="4F542091" w14:textId="77777777" w:rsidR="00250090" w:rsidRDefault="00250090" w:rsidP="00250090">
      <w:pPr>
        <w:spacing w:after="0" w:line="240" w:lineRule="auto"/>
        <w:rPr>
          <w:rFonts w:ascii="Verdana" w:hAnsi="Verdana"/>
          <w:sz w:val="20"/>
          <w:szCs w:val="20"/>
        </w:rPr>
      </w:pPr>
    </w:p>
    <w:p w14:paraId="697237F6" w14:textId="77777777" w:rsidR="00250090" w:rsidRDefault="00250090" w:rsidP="00250090">
      <w:pPr>
        <w:spacing w:after="0" w:line="240" w:lineRule="auto"/>
        <w:rPr>
          <w:rFonts w:ascii="Verdana" w:hAnsi="Verdana"/>
          <w:sz w:val="20"/>
          <w:szCs w:val="20"/>
        </w:rPr>
      </w:pPr>
    </w:p>
    <w:p w14:paraId="5DD9B7AD" w14:textId="77777777" w:rsidR="00250090" w:rsidRDefault="00250090" w:rsidP="00250090">
      <w:pPr>
        <w:spacing w:after="0" w:line="240" w:lineRule="auto"/>
        <w:rPr>
          <w:rFonts w:ascii="Verdana" w:hAnsi="Verdana"/>
          <w:sz w:val="20"/>
          <w:szCs w:val="20"/>
        </w:rPr>
      </w:pPr>
    </w:p>
    <w:p w14:paraId="0468437D" w14:textId="77777777" w:rsidR="00250090" w:rsidRDefault="00250090" w:rsidP="00250090">
      <w:pPr>
        <w:spacing w:after="0" w:line="240" w:lineRule="auto"/>
        <w:rPr>
          <w:rFonts w:ascii="Verdana" w:hAnsi="Verdana"/>
          <w:sz w:val="20"/>
          <w:szCs w:val="20"/>
        </w:rPr>
      </w:pPr>
    </w:p>
    <w:p w14:paraId="2EF1CB82" w14:textId="77777777" w:rsidR="00250090" w:rsidRDefault="00250090" w:rsidP="00250090">
      <w:pPr>
        <w:spacing w:after="0" w:line="240" w:lineRule="auto"/>
        <w:rPr>
          <w:rFonts w:ascii="Verdana" w:hAnsi="Verdana"/>
          <w:sz w:val="20"/>
          <w:szCs w:val="20"/>
        </w:rPr>
      </w:pPr>
    </w:p>
    <w:p w14:paraId="58F3F03D" w14:textId="48115223" w:rsidR="00250090" w:rsidRPr="00E31648" w:rsidRDefault="00250090" w:rsidP="00250090">
      <w:pPr>
        <w:spacing w:after="0" w:line="240" w:lineRule="auto"/>
      </w:pPr>
      <w:r w:rsidRPr="00C562D4">
        <w:rPr>
          <w:rFonts w:ascii="Verdana" w:eastAsia="Calibri" w:hAnsi="Verdana" w:cs="Arial"/>
          <w:color w:val="000000" w:themeColor="text1"/>
        </w:rPr>
        <w:lastRenderedPageBreak/>
        <w:t xml:space="preserve">Bogotá D.C., </w:t>
      </w:r>
      <w:r>
        <w:rPr>
          <w:rFonts w:ascii="Verdana" w:eastAsia="Calibri" w:hAnsi="Verdana" w:cs="Arial"/>
          <w:color w:val="000000" w:themeColor="text1"/>
        </w:rPr>
        <w:t>2</w:t>
      </w:r>
      <w:r w:rsidR="00E32DDD">
        <w:rPr>
          <w:rFonts w:ascii="Verdana" w:eastAsia="Calibri" w:hAnsi="Verdana" w:cs="Arial"/>
          <w:color w:val="000000" w:themeColor="text1"/>
        </w:rPr>
        <w:t>8</w:t>
      </w:r>
      <w:r>
        <w:rPr>
          <w:rFonts w:ascii="Verdana" w:eastAsia="Calibri" w:hAnsi="Verdana" w:cs="Arial"/>
          <w:color w:val="000000" w:themeColor="text1"/>
        </w:rPr>
        <w:t xml:space="preserve"> </w:t>
      </w:r>
      <w:r w:rsidRPr="00C562D4">
        <w:rPr>
          <w:rFonts w:ascii="Verdana" w:eastAsia="Calibri" w:hAnsi="Verdana" w:cs="Arial"/>
          <w:color w:val="000000" w:themeColor="text1"/>
        </w:rPr>
        <w:t xml:space="preserve">de </w:t>
      </w:r>
      <w:r>
        <w:rPr>
          <w:rFonts w:ascii="Verdana" w:eastAsia="Calibri" w:hAnsi="Verdana" w:cs="Arial"/>
          <w:color w:val="000000" w:themeColor="text1"/>
        </w:rPr>
        <w:t xml:space="preserve">abril </w:t>
      </w:r>
      <w:r w:rsidRPr="00C562D4">
        <w:rPr>
          <w:rFonts w:ascii="Verdana" w:eastAsia="Calibri" w:hAnsi="Verdana" w:cs="Arial"/>
          <w:color w:val="000000" w:themeColor="text1"/>
        </w:rPr>
        <w:t>de 20</w:t>
      </w:r>
      <w:r>
        <w:rPr>
          <w:rFonts w:ascii="Verdana" w:eastAsia="Calibri" w:hAnsi="Verdana" w:cs="Arial"/>
          <w:color w:val="000000" w:themeColor="text1"/>
        </w:rPr>
        <w:t>26</w:t>
      </w:r>
    </w:p>
    <w:p w14:paraId="21544AB3" w14:textId="77777777" w:rsidR="00250090" w:rsidRDefault="00250090" w:rsidP="00250090">
      <w:pPr>
        <w:spacing w:after="0" w:line="240" w:lineRule="auto"/>
        <w:jc w:val="both"/>
        <w:rPr>
          <w:rFonts w:ascii="Verdana" w:eastAsia="Calibri" w:hAnsi="Verdana" w:cs="Arial"/>
          <w:color w:val="000000" w:themeColor="text1"/>
          <w:lang w:val="es-ES"/>
        </w:rPr>
      </w:pPr>
    </w:p>
    <w:p w14:paraId="748959D3" w14:textId="743050AB" w:rsidR="00D926A9" w:rsidRDefault="00E32DDD" w:rsidP="00E32DDD">
      <w:pPr>
        <w:spacing w:after="0" w:line="240" w:lineRule="auto"/>
        <w:jc w:val="right"/>
        <w:rPr>
          <w:rFonts w:ascii="Verdana" w:eastAsia="Calibri" w:hAnsi="Verdana" w:cs="Arial"/>
          <w:color w:val="000000" w:themeColor="text1"/>
          <w:lang w:val="es-ES"/>
        </w:rPr>
      </w:pPr>
      <w:r>
        <w:rPr>
          <w:rFonts w:ascii="Verdana" w:eastAsia="Calibri" w:hAnsi="Verdana" w:cs="Arial"/>
          <w:noProof/>
          <w:color w:val="000000" w:themeColor="text1"/>
          <w:lang w:val="es-ES"/>
        </w:rPr>
        <w:drawing>
          <wp:inline distT="0" distB="0" distL="0" distR="0" wp14:anchorId="4E2570AC" wp14:editId="01CB6D64">
            <wp:extent cx="2381250" cy="647700"/>
            <wp:effectExtent l="0" t="0" r="0" b="0"/>
            <wp:docPr id="1875913565" name="Imagen 2"/>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4"/>
                    <pic:cNvPicPr>
                      <a:picLocks noChangeAspect="1" noChangeArrowheads="1"/>
                    </pic:cNvPicPr>
                  </pic:nvPicPr>
                  <pic:blipFill>
                    <a:blip r:embed="rId10">
                      <a:extLst>
                        <a:ext uri="{28A0092B-C50C-407E-A947-70E740481C1C}">
                          <a14:useLocalDpi xmlns:a14="http://schemas.microsoft.com/office/drawing/2010/main" val="0"/>
                        </a:ext>
                      </a:extLst>
                    </a:blip>
                    <a:srcRect/>
                    <a:stretch>
                      <a:fillRect/>
                    </a:stretch>
                  </pic:blipFill>
                  <pic:spPr bwMode="auto">
                    <a:xfrm>
                      <a:off x="0" y="0"/>
                      <a:ext cx="2381250" cy="647700"/>
                    </a:xfrm>
                    <a:prstGeom prst="rect">
                      <a:avLst/>
                    </a:prstGeom>
                    <a:noFill/>
                    <a:ln>
                      <a:noFill/>
                    </a:ln>
                  </pic:spPr>
                </pic:pic>
              </a:graphicData>
            </a:graphic>
          </wp:inline>
        </w:drawing>
      </w:r>
    </w:p>
    <w:p w14:paraId="3C0FB0FA" w14:textId="77777777" w:rsidR="00D926A9" w:rsidRDefault="00D926A9" w:rsidP="00250090">
      <w:pPr>
        <w:spacing w:after="0" w:line="240" w:lineRule="auto"/>
        <w:jc w:val="both"/>
        <w:rPr>
          <w:rFonts w:ascii="Verdana" w:eastAsia="Calibri" w:hAnsi="Verdana" w:cs="Arial"/>
          <w:color w:val="000000" w:themeColor="text1"/>
          <w:lang w:val="es-ES"/>
        </w:rPr>
      </w:pPr>
    </w:p>
    <w:p w14:paraId="215513B2" w14:textId="77777777" w:rsidR="00D926A9" w:rsidRDefault="00D926A9" w:rsidP="00250090">
      <w:pPr>
        <w:spacing w:after="0" w:line="240" w:lineRule="auto"/>
        <w:jc w:val="both"/>
        <w:rPr>
          <w:rFonts w:ascii="Verdana" w:eastAsia="Calibri" w:hAnsi="Verdana" w:cs="Arial"/>
          <w:color w:val="000000" w:themeColor="text1"/>
          <w:lang w:val="es-ES"/>
        </w:rPr>
      </w:pPr>
    </w:p>
    <w:p w14:paraId="39C27624" w14:textId="77777777" w:rsidR="00250090" w:rsidRPr="00115E3D" w:rsidRDefault="00250090" w:rsidP="00250090">
      <w:pPr>
        <w:spacing w:after="0" w:line="240"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Señor</w:t>
      </w:r>
      <w:r>
        <w:rPr>
          <w:rFonts w:ascii="Verdana" w:eastAsia="Calibri" w:hAnsi="Verdana" w:cs="Arial"/>
          <w:color w:val="000000" w:themeColor="text1"/>
          <w:lang w:val="es-ES" w:eastAsia="es-ES"/>
        </w:rPr>
        <w:t>a</w:t>
      </w:r>
    </w:p>
    <w:p w14:paraId="743B16FF" w14:textId="77777777" w:rsidR="00250090" w:rsidRDefault="00250090" w:rsidP="00250090">
      <w:pPr>
        <w:spacing w:after="0" w:line="240" w:lineRule="auto"/>
      </w:pPr>
      <w:r w:rsidRPr="00155790">
        <w:rPr>
          <w:rFonts w:ascii="Verdana" w:eastAsia="Calibri" w:hAnsi="Verdana" w:cs="Arial"/>
          <w:b/>
          <w:bCs/>
          <w:color w:val="000000" w:themeColor="text1"/>
          <w:lang w:eastAsia="es-ES"/>
        </w:rPr>
        <w:t>Isabela Castillo Tache</w:t>
      </w:r>
    </w:p>
    <w:p w14:paraId="19EE1F43" w14:textId="77777777" w:rsidR="00250090" w:rsidRPr="0087638A" w:rsidRDefault="00250090" w:rsidP="00250090">
      <w:pPr>
        <w:spacing w:after="0" w:line="240" w:lineRule="auto"/>
        <w:rPr>
          <w:rFonts w:ascii="Verdana" w:eastAsia="Calibri" w:hAnsi="Verdana" w:cs="Arial"/>
          <w:color w:val="000000" w:themeColor="text1"/>
          <w:lang w:eastAsia="es-ES"/>
        </w:rPr>
      </w:pPr>
      <w:hyperlink r:id="rId11" w:history="1">
        <w:r w:rsidRPr="000025E3">
          <w:rPr>
            <w:rStyle w:val="Hipervnculo"/>
            <w:rFonts w:ascii="Verdana" w:hAnsi="Verdana"/>
          </w:rPr>
          <w:t>isabela21castillo@gmail.com</w:t>
        </w:r>
      </w:hyperlink>
      <w:r>
        <w:rPr>
          <w:rFonts w:ascii="Verdana" w:hAnsi="Verdana"/>
        </w:rPr>
        <w:t xml:space="preserve"> </w:t>
      </w:r>
    </w:p>
    <w:p w14:paraId="5F321319" w14:textId="77777777" w:rsidR="00250090" w:rsidRPr="00385D7A" w:rsidRDefault="00250090" w:rsidP="00250090">
      <w:pPr>
        <w:spacing w:after="0" w:line="240" w:lineRule="auto"/>
        <w:rPr>
          <w:rFonts w:ascii="Verdana" w:eastAsia="Calibri" w:hAnsi="Verdana" w:cs="Arial"/>
          <w:color w:val="000000" w:themeColor="text1"/>
          <w:lang w:eastAsia="es-ES"/>
        </w:rPr>
      </w:pPr>
      <w:r>
        <w:rPr>
          <w:rFonts w:ascii="Verdana" w:eastAsia="Calibri" w:hAnsi="Verdana" w:cs="Arial"/>
          <w:color w:val="000000" w:themeColor="text1"/>
          <w:lang w:eastAsia="es-ES"/>
        </w:rPr>
        <w:t>Bogotá D.C.</w:t>
      </w:r>
    </w:p>
    <w:p w14:paraId="1F13840B" w14:textId="77777777" w:rsidR="00250090" w:rsidRPr="00CB7ABE" w:rsidRDefault="00250090" w:rsidP="00250090">
      <w:pPr>
        <w:spacing w:after="0" w:line="240" w:lineRule="auto"/>
        <w:rPr>
          <w:rFonts w:ascii="Verdana" w:eastAsia="Calibri" w:hAnsi="Verdana" w:cs="Arial"/>
          <w:b/>
          <w:bCs/>
          <w:color w:val="000000" w:themeColor="text1"/>
          <w:lang w:eastAsia="es-ES_tradnl"/>
        </w:rPr>
      </w:pPr>
    </w:p>
    <w:tbl>
      <w:tblPr>
        <w:tblStyle w:val="Tablaconcuadrcula"/>
        <w:tblW w:w="8817"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CellMar>
          <w:left w:w="0" w:type="dxa"/>
          <w:right w:w="0" w:type="dxa"/>
        </w:tblCellMar>
        <w:tblLook w:val="04A0" w:firstRow="1" w:lastRow="0" w:firstColumn="1" w:lastColumn="0" w:noHBand="0" w:noVBand="1"/>
      </w:tblPr>
      <w:tblGrid>
        <w:gridCol w:w="2270"/>
        <w:gridCol w:w="6547"/>
      </w:tblGrid>
      <w:tr w:rsidR="00250090" w:rsidRPr="00115E3D" w14:paraId="6268565C" w14:textId="77777777" w:rsidTr="00A607B5">
        <w:trPr>
          <w:trHeight w:val="615"/>
        </w:trPr>
        <w:tc>
          <w:tcPr>
            <w:tcW w:w="2270" w:type="dxa"/>
          </w:tcPr>
          <w:p w14:paraId="4ABD6B4B" w14:textId="77777777" w:rsidR="00250090" w:rsidRPr="00CB7ABE" w:rsidRDefault="00250090" w:rsidP="00A607B5">
            <w:pPr>
              <w:jc w:val="both"/>
              <w:rPr>
                <w:rFonts w:ascii="Verdana" w:eastAsia="Calibri" w:hAnsi="Verdana" w:cs="Arial"/>
                <w:b/>
                <w:bCs/>
                <w:color w:val="000000" w:themeColor="text1"/>
                <w:lang w:eastAsia="es-ES_tradnl"/>
              </w:rPr>
            </w:pPr>
          </w:p>
        </w:tc>
        <w:tc>
          <w:tcPr>
            <w:tcW w:w="6547" w:type="dxa"/>
          </w:tcPr>
          <w:p w14:paraId="5FC9F928" w14:textId="77777777" w:rsidR="00250090" w:rsidRPr="008A209A" w:rsidRDefault="00250090" w:rsidP="00A607B5">
            <w:pPr>
              <w:jc w:val="both"/>
              <w:rPr>
                <w:rFonts w:ascii="Verdana" w:eastAsia="Calibri" w:hAnsi="Verdana" w:cs="Arial"/>
                <w:b/>
                <w:bCs/>
                <w:color w:val="000000" w:themeColor="text1"/>
                <w:lang w:val="es-ES" w:eastAsia="es-ES"/>
              </w:rPr>
            </w:pPr>
            <w:r w:rsidRPr="008A209A">
              <w:rPr>
                <w:rFonts w:ascii="Verdana" w:eastAsia="Calibri" w:hAnsi="Verdana" w:cs="Arial"/>
                <w:b/>
                <w:bCs/>
                <w:color w:val="000000" w:themeColor="text1"/>
                <w:lang w:val="es-ES" w:eastAsia="es-ES"/>
              </w:rPr>
              <w:t xml:space="preserve">Concepto C- </w:t>
            </w:r>
            <w:r>
              <w:rPr>
                <w:rFonts w:ascii="Verdana" w:eastAsia="Calibri" w:hAnsi="Verdana" w:cs="Arial"/>
                <w:b/>
                <w:bCs/>
                <w:color w:val="000000" w:themeColor="text1"/>
                <w:lang w:val="es-ES" w:eastAsia="es-ES"/>
              </w:rPr>
              <w:t>418</w:t>
            </w:r>
            <w:r w:rsidRPr="008A209A">
              <w:rPr>
                <w:rFonts w:ascii="Verdana" w:eastAsia="Calibri" w:hAnsi="Verdana" w:cs="Arial"/>
                <w:b/>
                <w:bCs/>
                <w:color w:val="000000" w:themeColor="text1"/>
                <w:lang w:val="es-ES" w:eastAsia="es-ES"/>
              </w:rPr>
              <w:t xml:space="preserve"> de 2026</w:t>
            </w:r>
          </w:p>
        </w:tc>
      </w:tr>
      <w:tr w:rsidR="00250090" w:rsidRPr="007E403E" w14:paraId="4D61A689" w14:textId="77777777" w:rsidTr="00A607B5">
        <w:trPr>
          <w:trHeight w:val="1071"/>
        </w:trPr>
        <w:tc>
          <w:tcPr>
            <w:tcW w:w="2270" w:type="dxa"/>
          </w:tcPr>
          <w:p w14:paraId="57C5F7AA" w14:textId="77777777" w:rsidR="00250090" w:rsidRPr="001B36DA" w:rsidRDefault="00250090" w:rsidP="00A607B5">
            <w:pPr>
              <w:jc w:val="both"/>
              <w:rPr>
                <w:rFonts w:ascii="Verdana" w:eastAsia="Calibri" w:hAnsi="Verdana" w:cs="Arial"/>
                <w:color w:val="000000" w:themeColor="text1"/>
                <w:lang w:val="es-ES_tradnl" w:eastAsia="es-ES_tradnl"/>
              </w:rPr>
            </w:pPr>
            <w:r w:rsidRPr="001B36DA">
              <w:rPr>
                <w:rFonts w:ascii="Verdana" w:eastAsia="Calibri" w:hAnsi="Verdana" w:cs="Arial"/>
                <w:b/>
                <w:color w:val="000000" w:themeColor="text1"/>
                <w:lang w:val="es-ES_tradnl" w:eastAsia="es-ES_tradnl"/>
              </w:rPr>
              <w:t>Temas:</w:t>
            </w:r>
            <w:r w:rsidRPr="001B36DA">
              <w:rPr>
                <w:rFonts w:ascii="Verdana" w:eastAsia="Calibri" w:hAnsi="Verdana" w:cs="Arial"/>
                <w:color w:val="000000" w:themeColor="text1"/>
                <w:lang w:val="es-ES_tradnl" w:eastAsia="es-ES_tradnl"/>
              </w:rPr>
              <w:t xml:space="preserve">                   </w:t>
            </w:r>
          </w:p>
        </w:tc>
        <w:tc>
          <w:tcPr>
            <w:tcW w:w="6547" w:type="dxa"/>
          </w:tcPr>
          <w:p w14:paraId="60BB1257" w14:textId="77777777" w:rsidR="00250090" w:rsidRDefault="00250090" w:rsidP="00A607B5">
            <w:pPr>
              <w:spacing w:line="276" w:lineRule="auto"/>
              <w:jc w:val="both"/>
              <w:rPr>
                <w:rFonts w:ascii="Verdana" w:eastAsia="Calibri" w:hAnsi="Verdana" w:cs="Arial"/>
                <w:lang w:val="es-ES" w:eastAsia="es-ES"/>
              </w:rPr>
            </w:pPr>
            <w:r w:rsidRPr="00983DE2">
              <w:rPr>
                <w:rFonts w:ascii="Verdana" w:eastAsia="Calibri" w:hAnsi="Verdana" w:cs="Arial"/>
                <w:lang w:val="es-ES" w:eastAsia="es-ES"/>
              </w:rPr>
              <w:t>GARANTÍAS – Contratación estatal – Constitución de garantías – Finalidad – Cumplimiento – Obligaciones contractuales / GARANTÍA DE CUMPLIMIENTO – Amparos – Finalidad / GARANTÍA DE RESPONSABILIDAD CIVIL EXTRACONTRACTUAL – Características – Suficiencia – Criterios de aprobación</w:t>
            </w:r>
            <w:r>
              <w:rPr>
                <w:rFonts w:ascii="Verdana" w:eastAsia="Calibri" w:hAnsi="Verdana" w:cs="Arial"/>
                <w:lang w:val="es-ES" w:eastAsia="es-ES"/>
              </w:rPr>
              <w:t>.</w:t>
            </w:r>
          </w:p>
          <w:p w14:paraId="03BB8ECB" w14:textId="77777777" w:rsidR="00250090" w:rsidRPr="00E7389E" w:rsidRDefault="00250090" w:rsidP="00A607B5">
            <w:pPr>
              <w:spacing w:line="276" w:lineRule="auto"/>
              <w:jc w:val="both"/>
              <w:rPr>
                <w:rFonts w:ascii="Verdana" w:eastAsia="Calibri" w:hAnsi="Verdana" w:cs="Arial"/>
                <w:color w:val="000000" w:themeColor="text1"/>
                <w:highlight w:val="yellow"/>
                <w:lang w:val="es-ES" w:eastAsia="es-ES"/>
              </w:rPr>
            </w:pPr>
          </w:p>
        </w:tc>
      </w:tr>
      <w:tr w:rsidR="00250090" w:rsidRPr="00115E3D" w14:paraId="79595D1C" w14:textId="77777777" w:rsidTr="00A607B5">
        <w:trPr>
          <w:trHeight w:val="653"/>
        </w:trPr>
        <w:tc>
          <w:tcPr>
            <w:tcW w:w="2270" w:type="dxa"/>
          </w:tcPr>
          <w:p w14:paraId="363EB6BA" w14:textId="77777777" w:rsidR="00250090" w:rsidRPr="00CB7ABE" w:rsidRDefault="00250090" w:rsidP="00A607B5">
            <w:pPr>
              <w:jc w:val="both"/>
              <w:rPr>
                <w:rFonts w:ascii="Verdana" w:eastAsia="Calibri" w:hAnsi="Verdana" w:cs="Arial"/>
                <w:b/>
                <w:color w:val="000000" w:themeColor="text1"/>
                <w:lang w:val="es-ES_tradnl" w:eastAsia="es-ES_tradnl"/>
              </w:rPr>
            </w:pPr>
            <w:r w:rsidRPr="00CB7ABE">
              <w:rPr>
                <w:rFonts w:ascii="Verdana" w:eastAsia="Calibri" w:hAnsi="Verdana" w:cs="Arial"/>
                <w:b/>
                <w:color w:val="000000" w:themeColor="text1"/>
                <w:lang w:val="es-ES_tradnl" w:eastAsia="es-ES_tradnl"/>
              </w:rPr>
              <w:t>Radicación:</w:t>
            </w:r>
            <w:r w:rsidRPr="00CB7ABE">
              <w:rPr>
                <w:rFonts w:ascii="Verdana" w:eastAsia="Calibri" w:hAnsi="Verdana" w:cs="Arial"/>
                <w:color w:val="000000" w:themeColor="text1"/>
                <w:lang w:val="es-ES_tradnl" w:eastAsia="es-ES_tradnl"/>
              </w:rPr>
              <w:t xml:space="preserve">           </w:t>
            </w:r>
          </w:p>
        </w:tc>
        <w:tc>
          <w:tcPr>
            <w:tcW w:w="6547" w:type="dxa"/>
          </w:tcPr>
          <w:p w14:paraId="1EF4D90F" w14:textId="77777777" w:rsidR="00250090" w:rsidRDefault="00250090" w:rsidP="00A607B5">
            <w:pPr>
              <w:ind w:right="1"/>
              <w:jc w:val="both"/>
              <w:rPr>
                <w:rFonts w:ascii="Verdana" w:hAnsi="Verdana"/>
                <w:color w:val="2B2B2B"/>
              </w:rPr>
            </w:pPr>
            <w:r w:rsidRPr="00CB7ABE">
              <w:rPr>
                <w:rFonts w:ascii="Verdana" w:eastAsia="Calibri" w:hAnsi="Verdana" w:cs="Arial"/>
                <w:color w:val="000000" w:themeColor="text1"/>
                <w:lang w:val="es-ES_tradnl" w:eastAsia="es-ES_tradnl"/>
              </w:rPr>
              <w:t>Respuesta a consulta con radicado</w:t>
            </w:r>
            <w:r>
              <w:rPr>
                <w:rFonts w:ascii="Verdana" w:eastAsia="Calibri" w:hAnsi="Verdana" w:cs="Arial"/>
                <w:color w:val="000000" w:themeColor="text1"/>
                <w:lang w:val="es-ES_tradnl" w:eastAsia="es-ES_tradnl"/>
              </w:rPr>
              <w:t xml:space="preserve"> N.º </w:t>
            </w:r>
            <w:r w:rsidRPr="00155790">
              <w:rPr>
                <w:rFonts w:ascii="Verdana" w:hAnsi="Verdana"/>
                <w:color w:val="2B2B2B"/>
              </w:rPr>
              <w:t>1_2026_03_13_003547</w:t>
            </w:r>
          </w:p>
          <w:p w14:paraId="3237E5F9" w14:textId="77777777" w:rsidR="00250090" w:rsidRDefault="00250090" w:rsidP="00A607B5">
            <w:pPr>
              <w:ind w:right="1"/>
              <w:jc w:val="both"/>
              <w:rPr>
                <w:rFonts w:ascii="Verdana" w:hAnsi="Verdana"/>
                <w:color w:val="2B2B2B"/>
              </w:rPr>
            </w:pPr>
          </w:p>
          <w:p w14:paraId="257E4CE9" w14:textId="77777777" w:rsidR="00250090" w:rsidRPr="00CB7ABE" w:rsidRDefault="00250090" w:rsidP="00A607B5">
            <w:pPr>
              <w:ind w:right="1"/>
              <w:jc w:val="both"/>
              <w:rPr>
                <w:rFonts w:ascii="Verdana" w:hAnsi="Verdana"/>
                <w:color w:val="000000"/>
              </w:rPr>
            </w:pPr>
          </w:p>
        </w:tc>
      </w:tr>
    </w:tbl>
    <w:p w14:paraId="7455EC89" w14:textId="77777777" w:rsidR="00250090" w:rsidRPr="00115E3D" w:rsidRDefault="00250090" w:rsidP="00250090">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Estimad</w:t>
      </w:r>
      <w:r>
        <w:rPr>
          <w:rFonts w:ascii="Verdana" w:eastAsia="Calibri" w:hAnsi="Verdana" w:cs="Arial"/>
          <w:color w:val="000000" w:themeColor="text1"/>
          <w:lang w:val="es-ES" w:eastAsia="es-ES"/>
        </w:rPr>
        <w:t>a</w:t>
      </w:r>
      <w:r w:rsidRPr="00115E3D">
        <w:rPr>
          <w:rFonts w:ascii="Verdana" w:eastAsia="Calibri" w:hAnsi="Verdana" w:cs="Arial"/>
          <w:color w:val="000000" w:themeColor="text1"/>
          <w:lang w:val="es-ES" w:eastAsia="es-ES"/>
        </w:rPr>
        <w:t xml:space="preserve"> señor</w:t>
      </w:r>
      <w:r>
        <w:rPr>
          <w:rFonts w:ascii="Verdana" w:eastAsia="Calibri" w:hAnsi="Verdana" w:cs="Arial"/>
          <w:color w:val="000000" w:themeColor="text1"/>
          <w:lang w:val="es-ES" w:eastAsia="es-ES"/>
        </w:rPr>
        <w:t>a Castillo;</w:t>
      </w:r>
    </w:p>
    <w:p w14:paraId="1F603D3B" w14:textId="77777777" w:rsidR="00250090" w:rsidRPr="00115E3D" w:rsidRDefault="00250090" w:rsidP="00250090">
      <w:pPr>
        <w:tabs>
          <w:tab w:val="left" w:pos="3768"/>
        </w:tabs>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ab/>
      </w:r>
    </w:p>
    <w:p w14:paraId="4A19C4D8" w14:textId="77777777" w:rsidR="00250090" w:rsidRPr="00115E3D" w:rsidRDefault="00250090" w:rsidP="00250090">
      <w:pPr>
        <w:spacing w:after="0" w:line="276" w:lineRule="auto"/>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En ejercicio de la competencia otorgada por los artículos 3, numeral 5º, y 11, numeral 8º, del Decreto Ley 4170 de 2011,</w:t>
      </w:r>
      <w:r w:rsidRPr="00115E3D">
        <w:rPr>
          <w:rFonts w:ascii="Verdana" w:eastAsia="Arial MT" w:hAnsi="Verdana" w:cs="Arial MT"/>
          <w:color w:val="000000" w:themeColor="text1"/>
          <w:lang w:val="es-ES" w:eastAsia="es-ES"/>
        </w:rPr>
        <w:t xml:space="preserve"> </w:t>
      </w:r>
      <w:r w:rsidRPr="00115E3D">
        <w:rPr>
          <w:rFonts w:ascii="Verdana" w:hAnsi="Verdana" w:cs="Arial"/>
          <w:color w:val="000000" w:themeColor="text1"/>
        </w:rPr>
        <w:t xml:space="preserve">así como lo establecido en el artículo 4 de la Resolución 1707 de 2018 expedida por esta Entidad, </w:t>
      </w:r>
      <w:r w:rsidRPr="00115E3D">
        <w:rPr>
          <w:rFonts w:ascii="Verdana" w:eastAsia="Calibri" w:hAnsi="Verdana" w:cs="Arial"/>
          <w:color w:val="000000" w:themeColor="text1"/>
          <w:lang w:val="es-ES" w:eastAsia="es-ES"/>
        </w:rPr>
        <w:t>la Agencia Nacional de Contratación Pública – Colombia Compra Eficiente– responde su solicitud</w:t>
      </w:r>
      <w:r>
        <w:rPr>
          <w:rFonts w:ascii="Verdana" w:eastAsia="Calibri" w:hAnsi="Verdana" w:cs="Arial"/>
          <w:color w:val="000000" w:themeColor="text1"/>
          <w:lang w:val="es-ES" w:eastAsia="es-ES"/>
        </w:rPr>
        <w:t xml:space="preserve"> radicada ante esta entidad el 13 de marzo de 2026 </w:t>
      </w:r>
      <w:r w:rsidRPr="00115E3D">
        <w:rPr>
          <w:rFonts w:ascii="Verdana" w:eastAsia="Calibri" w:hAnsi="Verdana" w:cs="Arial"/>
          <w:color w:val="000000" w:themeColor="text1"/>
          <w:lang w:val="es-ES" w:eastAsia="es-ES"/>
        </w:rPr>
        <w:t xml:space="preserve">en la cual manifiesta lo siguiente: </w:t>
      </w:r>
    </w:p>
    <w:p w14:paraId="59A16616" w14:textId="77777777" w:rsidR="00250090" w:rsidRDefault="00250090" w:rsidP="00250090">
      <w:pPr>
        <w:spacing w:after="0" w:line="240" w:lineRule="auto"/>
        <w:ind w:left="709" w:right="709"/>
        <w:jc w:val="both"/>
        <w:rPr>
          <w:rFonts w:ascii="Verdana" w:eastAsia="Century Gothic" w:hAnsi="Verdana" w:cs="Century Gothic"/>
          <w:i/>
          <w:iCs/>
          <w:color w:val="000000" w:themeColor="text1"/>
          <w:sz w:val="20"/>
          <w:szCs w:val="20"/>
          <w:lang w:val="es-ES"/>
        </w:rPr>
      </w:pPr>
      <w:bookmarkStart w:id="1" w:name="_Hlk95313578"/>
    </w:p>
    <w:bookmarkEnd w:id="1"/>
    <w:p w14:paraId="1FD64F1B" w14:textId="77777777" w:rsidR="00250090" w:rsidRDefault="00250090" w:rsidP="00250090">
      <w:pPr>
        <w:spacing w:after="0" w:line="240" w:lineRule="auto"/>
        <w:ind w:left="709" w:right="709"/>
        <w:jc w:val="both"/>
        <w:rPr>
          <w:rFonts w:ascii="Verdana" w:eastAsia="Century Gothic" w:hAnsi="Verdana" w:cs="Century Gothic"/>
          <w:i/>
          <w:iCs/>
          <w:color w:val="000000" w:themeColor="text1"/>
          <w:sz w:val="20"/>
          <w:szCs w:val="20"/>
          <w:lang w:val="es-ES"/>
        </w:rPr>
      </w:pPr>
      <w:r w:rsidRPr="00155790">
        <w:rPr>
          <w:rFonts w:ascii="Verdana" w:eastAsia="Century Gothic" w:hAnsi="Verdana" w:cs="Century Gothic"/>
          <w:i/>
          <w:iCs/>
          <w:color w:val="000000" w:themeColor="text1"/>
          <w:sz w:val="20"/>
          <w:szCs w:val="20"/>
          <w:lang w:val="es-ES"/>
        </w:rPr>
        <w:t>“</w:t>
      </w:r>
    </w:p>
    <w:p w14:paraId="7BA594F9" w14:textId="77777777" w:rsidR="00250090" w:rsidRDefault="00250090" w:rsidP="00250090">
      <w:pPr>
        <w:spacing w:after="0" w:line="240" w:lineRule="auto"/>
        <w:ind w:left="709" w:right="709"/>
        <w:jc w:val="both"/>
        <w:rPr>
          <w:rFonts w:ascii="Verdana" w:eastAsia="Century Gothic" w:hAnsi="Verdana" w:cs="Century Gothic"/>
          <w:i/>
          <w:iCs/>
          <w:color w:val="000000" w:themeColor="text1"/>
          <w:sz w:val="20"/>
          <w:szCs w:val="20"/>
        </w:rPr>
      </w:pPr>
      <w:r w:rsidRPr="006C7F81">
        <w:rPr>
          <w:rFonts w:ascii="Verdana" w:eastAsia="Century Gothic" w:hAnsi="Verdana" w:cs="Century Gothic"/>
          <w:i/>
          <w:iCs/>
          <w:color w:val="000000" w:themeColor="text1"/>
          <w:sz w:val="20"/>
          <w:szCs w:val="20"/>
        </w:rPr>
        <w:t xml:space="preserve"> </w:t>
      </w:r>
      <w:r>
        <w:rPr>
          <w:rFonts w:ascii="Verdana" w:eastAsia="Century Gothic" w:hAnsi="Verdana" w:cs="Century Gothic"/>
          <w:i/>
          <w:iCs/>
          <w:color w:val="000000" w:themeColor="text1"/>
          <w:sz w:val="20"/>
          <w:szCs w:val="20"/>
        </w:rPr>
        <w:t>M</w:t>
      </w:r>
      <w:r w:rsidRPr="006C7F81">
        <w:rPr>
          <w:rFonts w:ascii="Verdana" w:eastAsia="Century Gothic" w:hAnsi="Verdana" w:cs="Century Gothic"/>
          <w:i/>
          <w:iCs/>
          <w:color w:val="000000" w:themeColor="text1"/>
          <w:sz w:val="20"/>
          <w:szCs w:val="20"/>
        </w:rPr>
        <w:t>e permito formular las siguientes consultas de carácter general:</w:t>
      </w:r>
    </w:p>
    <w:p w14:paraId="1A511051" w14:textId="77777777" w:rsidR="00250090" w:rsidRPr="006C7F81" w:rsidRDefault="00250090" w:rsidP="00250090">
      <w:pPr>
        <w:spacing w:after="0" w:line="240" w:lineRule="auto"/>
        <w:ind w:left="709" w:right="709"/>
        <w:jc w:val="both"/>
        <w:rPr>
          <w:rFonts w:ascii="Verdana" w:eastAsia="Century Gothic" w:hAnsi="Verdana" w:cs="Century Gothic"/>
          <w:i/>
          <w:iCs/>
          <w:color w:val="000000" w:themeColor="text1"/>
          <w:sz w:val="20"/>
          <w:szCs w:val="20"/>
        </w:rPr>
      </w:pPr>
    </w:p>
    <w:p w14:paraId="32EBB0A5" w14:textId="77777777" w:rsidR="00250090" w:rsidRPr="006C7F81" w:rsidRDefault="00250090" w:rsidP="00250090">
      <w:pPr>
        <w:spacing w:after="0" w:line="240" w:lineRule="auto"/>
        <w:ind w:left="709" w:right="709"/>
        <w:jc w:val="both"/>
        <w:rPr>
          <w:rFonts w:ascii="Verdana" w:eastAsia="Century Gothic" w:hAnsi="Verdana" w:cs="Century Gothic"/>
          <w:i/>
          <w:iCs/>
          <w:color w:val="000000" w:themeColor="text1"/>
          <w:sz w:val="20"/>
          <w:szCs w:val="20"/>
        </w:rPr>
      </w:pPr>
      <w:r w:rsidRPr="006C7F81">
        <w:rPr>
          <w:rFonts w:ascii="Verdana" w:eastAsia="Century Gothic" w:hAnsi="Verdana" w:cs="Century Gothic"/>
          <w:i/>
          <w:iCs/>
          <w:color w:val="000000" w:themeColor="text1"/>
          <w:sz w:val="20"/>
          <w:szCs w:val="20"/>
        </w:rPr>
        <w:t>1.</w:t>
      </w:r>
      <w:r>
        <w:rPr>
          <w:rFonts w:ascii="Verdana" w:eastAsia="Century Gothic" w:hAnsi="Verdana" w:cs="Century Gothic"/>
          <w:i/>
          <w:iCs/>
          <w:color w:val="000000" w:themeColor="text1"/>
          <w:sz w:val="20"/>
          <w:szCs w:val="20"/>
        </w:rPr>
        <w:t xml:space="preserve"> </w:t>
      </w:r>
      <w:r w:rsidRPr="006C7F81">
        <w:rPr>
          <w:rFonts w:ascii="Verdana" w:eastAsia="Century Gothic" w:hAnsi="Verdana" w:cs="Century Gothic"/>
          <w:i/>
          <w:iCs/>
          <w:color w:val="000000" w:themeColor="text1"/>
          <w:sz w:val="20"/>
          <w:szCs w:val="20"/>
        </w:rPr>
        <w:t xml:space="preserve">¿La indexación de las sumas aseguradas en las diferentes garantías contractuales se constituye como una obligación legal imperativa derivada </w:t>
      </w:r>
      <w:r w:rsidRPr="006C7F81">
        <w:rPr>
          <w:rFonts w:ascii="Verdana" w:eastAsia="Century Gothic" w:hAnsi="Verdana" w:cs="Century Gothic"/>
          <w:i/>
          <w:iCs/>
          <w:color w:val="000000" w:themeColor="text1"/>
          <w:sz w:val="20"/>
          <w:szCs w:val="20"/>
        </w:rPr>
        <w:lastRenderedPageBreak/>
        <w:t>de los principios que permean la contratación pública, la salvaguarda del patrimonio público y la legislación aplicable; o, contrario sensu, ¿su imposición y reconocimiento se encuentra sujeto a la expresión de la autonomía de las partes?</w:t>
      </w:r>
    </w:p>
    <w:p w14:paraId="16E46CC8" w14:textId="77777777" w:rsidR="00250090" w:rsidRPr="006C7F81" w:rsidRDefault="00250090" w:rsidP="00250090">
      <w:pPr>
        <w:spacing w:after="0" w:line="240" w:lineRule="auto"/>
        <w:ind w:left="709" w:right="709"/>
        <w:jc w:val="both"/>
        <w:rPr>
          <w:rFonts w:ascii="Verdana" w:eastAsia="Century Gothic" w:hAnsi="Verdana" w:cs="Century Gothic"/>
          <w:i/>
          <w:iCs/>
          <w:color w:val="000000" w:themeColor="text1"/>
          <w:sz w:val="20"/>
          <w:szCs w:val="20"/>
        </w:rPr>
      </w:pPr>
      <w:r w:rsidRPr="006C7F81">
        <w:rPr>
          <w:rFonts w:ascii="Verdana" w:eastAsia="Century Gothic" w:hAnsi="Verdana" w:cs="Century Gothic"/>
          <w:i/>
          <w:iCs/>
          <w:color w:val="000000" w:themeColor="text1"/>
          <w:sz w:val="20"/>
          <w:szCs w:val="20"/>
        </w:rPr>
        <w:t>2.</w:t>
      </w:r>
      <w:r>
        <w:rPr>
          <w:rFonts w:ascii="Verdana" w:eastAsia="Century Gothic" w:hAnsi="Verdana" w:cs="Century Gothic"/>
          <w:i/>
          <w:iCs/>
          <w:color w:val="000000" w:themeColor="text1"/>
          <w:sz w:val="20"/>
          <w:szCs w:val="20"/>
        </w:rPr>
        <w:t xml:space="preserve"> </w:t>
      </w:r>
      <w:r w:rsidRPr="006C7F81">
        <w:rPr>
          <w:rFonts w:ascii="Verdana" w:eastAsia="Century Gothic" w:hAnsi="Verdana" w:cs="Century Gothic"/>
          <w:i/>
          <w:iCs/>
          <w:color w:val="000000" w:themeColor="text1"/>
          <w:sz w:val="20"/>
          <w:szCs w:val="20"/>
        </w:rPr>
        <w:t>¿La indexación de las garantías debe entenderse como una carga derivada de la ley para mantener el equilibrio financiero del amparo del riesgo, independientemente de si se pactó expresamente o no en el contrato?</w:t>
      </w:r>
    </w:p>
    <w:p w14:paraId="542DE908" w14:textId="77777777" w:rsidR="00250090" w:rsidRPr="006C7F81" w:rsidRDefault="00250090" w:rsidP="00250090">
      <w:pPr>
        <w:spacing w:after="0" w:line="240" w:lineRule="auto"/>
        <w:ind w:left="709" w:right="709"/>
        <w:jc w:val="both"/>
        <w:rPr>
          <w:rFonts w:ascii="Verdana" w:eastAsia="Century Gothic" w:hAnsi="Verdana" w:cs="Century Gothic"/>
          <w:i/>
          <w:iCs/>
          <w:color w:val="000000" w:themeColor="text1"/>
          <w:sz w:val="20"/>
          <w:szCs w:val="20"/>
        </w:rPr>
      </w:pPr>
      <w:r w:rsidRPr="006C7F81">
        <w:rPr>
          <w:rFonts w:ascii="Verdana" w:eastAsia="Century Gothic" w:hAnsi="Verdana" w:cs="Century Gothic"/>
          <w:i/>
          <w:iCs/>
          <w:color w:val="000000" w:themeColor="text1"/>
          <w:sz w:val="20"/>
          <w:szCs w:val="20"/>
        </w:rPr>
        <w:t>3.</w:t>
      </w:r>
      <w:r>
        <w:rPr>
          <w:rFonts w:ascii="Verdana" w:eastAsia="Century Gothic" w:hAnsi="Verdana" w:cs="Century Gothic"/>
          <w:i/>
          <w:iCs/>
          <w:color w:val="000000" w:themeColor="text1"/>
          <w:sz w:val="20"/>
          <w:szCs w:val="20"/>
        </w:rPr>
        <w:t xml:space="preserve"> </w:t>
      </w:r>
      <w:r w:rsidRPr="006C7F81">
        <w:rPr>
          <w:rFonts w:ascii="Verdana" w:eastAsia="Century Gothic" w:hAnsi="Verdana" w:cs="Century Gothic"/>
          <w:i/>
          <w:iCs/>
          <w:color w:val="000000" w:themeColor="text1"/>
          <w:sz w:val="20"/>
          <w:szCs w:val="20"/>
        </w:rPr>
        <w:t>¿Existe algún lineamiento o circular emitido por Colombia Compra Eficiente que estandarice la obligatoriedad de ajustar las garantías contractuales al IPC para evitar que el Estado asuma el riesgo de la pérdida del poder adquisitivo de la moneda?</w:t>
      </w:r>
    </w:p>
    <w:p w14:paraId="0051B07A" w14:textId="77777777" w:rsidR="00250090" w:rsidRDefault="00250090" w:rsidP="00250090">
      <w:pPr>
        <w:spacing w:after="0" w:line="240" w:lineRule="auto"/>
        <w:ind w:left="709" w:right="709"/>
        <w:jc w:val="both"/>
        <w:rPr>
          <w:rFonts w:ascii="Verdana" w:eastAsia="Century Gothic" w:hAnsi="Verdana" w:cs="Century Gothic"/>
          <w:i/>
          <w:iCs/>
          <w:color w:val="000000" w:themeColor="text1"/>
          <w:sz w:val="20"/>
          <w:szCs w:val="20"/>
          <w:lang w:val="es-ES"/>
        </w:rPr>
      </w:pPr>
    </w:p>
    <w:p w14:paraId="58EBE042" w14:textId="77777777" w:rsidR="00250090" w:rsidRDefault="00250090" w:rsidP="00250090">
      <w:pPr>
        <w:spacing w:after="0" w:line="276" w:lineRule="auto"/>
        <w:ind w:right="51" w:firstLine="709"/>
        <w:jc w:val="both"/>
        <w:rPr>
          <w:rFonts w:ascii="Verdana" w:eastAsia="Calibri" w:hAnsi="Verdana" w:cs="Arial"/>
          <w:color w:val="000000" w:themeColor="text1"/>
          <w:szCs w:val="24"/>
          <w:lang w:val="es-ES_tradnl" w:eastAsia="es-ES_tradnl"/>
        </w:rPr>
      </w:pPr>
      <w:r w:rsidRPr="00115E3D">
        <w:rPr>
          <w:rFonts w:ascii="Verdana" w:eastAsia="Calibri" w:hAnsi="Verdana" w:cs="Arial"/>
          <w:color w:val="000000" w:themeColor="text1"/>
          <w:lang w:val="es-ES" w:eastAsia="es-ES"/>
        </w:rPr>
        <w:t>De manera preliminar, resulta necesario acotar que esta entidad solo tiene competencia para responder consultas sobre la aplicación de normas de carác</w:t>
      </w:r>
      <w:r>
        <w:rPr>
          <w:rFonts w:ascii="Verdana" w:eastAsia="Calibri" w:hAnsi="Verdana" w:cs="Arial"/>
          <w:color w:val="000000" w:themeColor="text1"/>
          <w:lang w:val="es-ES" w:eastAsia="es-ES"/>
        </w:rPr>
        <w:t>t</w:t>
      </w:r>
      <w:r w:rsidRPr="00115E3D">
        <w:rPr>
          <w:rFonts w:ascii="Verdana" w:eastAsia="Calibri" w:hAnsi="Verdana" w:cs="Arial"/>
          <w:color w:val="000000" w:themeColor="text1"/>
          <w:lang w:val="es-ES" w:eastAsia="es-ES"/>
        </w:rPr>
        <w:t xml:space="preserve">er general en materia de compras y contratación pública. En ese sentido, resolver casos particulares desborda las atribuciones asignadas por el legislador extraordinario, que no concibió a Colombia Compra Eficiente como una autoridad para solucionar problemas jurídicos particulares de todos los partícipes del sistema de compra pública. La competencia de esta entidad se fija con límites claros, con el objeto de evitar que la Agencia actúe como una instancia de validación de las actuaciones de las entidades sujetas a la Ley 80 de 1993 o de los demás participantes de la contratación pública. Esta competencia de interpretación de normas generales, por definición, no puede extenderse a la resolución de controversias, ni a brindar asesorías sobre casos puntuales. </w:t>
      </w:r>
      <w:r w:rsidRPr="00115E3D">
        <w:rPr>
          <w:rFonts w:ascii="Verdana" w:eastAsia="Calibri" w:hAnsi="Verdana" w:cs="Arial"/>
          <w:color w:val="000000" w:themeColor="text1"/>
          <w:szCs w:val="24"/>
          <w:lang w:val="es-ES_tradnl" w:eastAsia="es-ES_tradnl"/>
        </w:rPr>
        <w:tab/>
      </w:r>
    </w:p>
    <w:p w14:paraId="6C0716B2" w14:textId="77777777" w:rsidR="00250090" w:rsidRPr="00115E3D" w:rsidRDefault="00250090" w:rsidP="00250090">
      <w:pPr>
        <w:spacing w:after="0" w:line="240" w:lineRule="auto"/>
        <w:ind w:right="49"/>
        <w:jc w:val="both"/>
        <w:rPr>
          <w:rFonts w:ascii="Verdana" w:eastAsia="Calibri" w:hAnsi="Verdana" w:cs="Arial"/>
          <w:color w:val="000000" w:themeColor="text1"/>
          <w:szCs w:val="24"/>
          <w:lang w:val="es-ES_tradnl" w:eastAsia="es-ES_tradnl"/>
        </w:rPr>
      </w:pPr>
    </w:p>
    <w:p w14:paraId="66FEA745" w14:textId="77777777" w:rsidR="00250090" w:rsidRPr="00115E3D" w:rsidRDefault="00250090" w:rsidP="00250090">
      <w:pPr>
        <w:spacing w:after="0" w:line="276" w:lineRule="auto"/>
        <w:ind w:firstLine="709"/>
        <w:jc w:val="both"/>
        <w:rPr>
          <w:rFonts w:ascii="Verdana" w:eastAsia="Calibri" w:hAnsi="Verdana" w:cs="Arial"/>
          <w:color w:val="000000" w:themeColor="text1"/>
          <w:lang w:val="es-ES" w:eastAsia="es-ES"/>
        </w:rPr>
      </w:pPr>
      <w:r w:rsidRPr="00115E3D">
        <w:rPr>
          <w:rFonts w:ascii="Verdana" w:eastAsia="Calibri" w:hAnsi="Verdana" w:cs="Arial"/>
          <w:color w:val="000000" w:themeColor="text1"/>
          <w:lang w:val="es-ES" w:eastAsia="es-ES"/>
        </w:rPr>
        <w:t>Conforme lo expuesto, en aras de satisfacer el derecho fundamental de petición se resolverá su consulta dentro de los límites de la referida competencia consultiva, esto es, haciendo abstracción de las circunstancias particulares y concretas mencionadas en su petición, pero haciendo unas consideraciones sobre las normas generales relacionadas con el problema</w:t>
      </w:r>
      <w:r>
        <w:rPr>
          <w:rFonts w:ascii="Verdana" w:eastAsia="Calibri" w:hAnsi="Verdana" w:cs="Arial"/>
          <w:color w:val="000000" w:themeColor="text1"/>
          <w:lang w:val="es-ES" w:eastAsia="es-ES"/>
        </w:rPr>
        <w:t xml:space="preserve"> </w:t>
      </w:r>
      <w:r w:rsidRPr="00115E3D">
        <w:rPr>
          <w:rFonts w:ascii="Verdana" w:eastAsia="Calibri" w:hAnsi="Verdana" w:cs="Arial"/>
          <w:color w:val="000000" w:themeColor="text1"/>
          <w:lang w:val="es-ES" w:eastAsia="es-ES"/>
        </w:rPr>
        <w:t xml:space="preserve">jurídico de su consulta. </w:t>
      </w:r>
    </w:p>
    <w:p w14:paraId="5263DE9A" w14:textId="77777777" w:rsidR="00250090" w:rsidRPr="00115E3D" w:rsidRDefault="00250090" w:rsidP="00250090">
      <w:pPr>
        <w:spacing w:after="0" w:line="276" w:lineRule="auto"/>
        <w:ind w:firstLine="709"/>
        <w:jc w:val="both"/>
        <w:rPr>
          <w:rFonts w:ascii="Verdana" w:eastAsia="Calibri" w:hAnsi="Verdana" w:cs="Arial"/>
          <w:color w:val="000000" w:themeColor="text1"/>
          <w:lang w:val="es-ES" w:eastAsia="es-ES"/>
        </w:rPr>
      </w:pPr>
    </w:p>
    <w:p w14:paraId="5C5FA04C" w14:textId="77777777" w:rsidR="00250090" w:rsidRPr="00115E3D" w:rsidRDefault="00250090" w:rsidP="00250090">
      <w:pPr>
        <w:pStyle w:val="Prrafodelista"/>
        <w:numPr>
          <w:ilvl w:val="0"/>
          <w:numId w:val="16"/>
        </w:numPr>
        <w:tabs>
          <w:tab w:val="left" w:pos="142"/>
          <w:tab w:val="left" w:pos="284"/>
        </w:tabs>
        <w:spacing w:after="0" w:line="276" w:lineRule="auto"/>
        <w:ind w:left="0" w:firstLine="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Problema planteado:</w:t>
      </w:r>
    </w:p>
    <w:p w14:paraId="5B956218" w14:textId="77777777" w:rsidR="00250090" w:rsidRPr="00115E3D" w:rsidRDefault="00250090" w:rsidP="00250090">
      <w:pPr>
        <w:tabs>
          <w:tab w:val="left" w:pos="426"/>
        </w:tabs>
        <w:spacing w:after="0" w:line="276" w:lineRule="auto"/>
        <w:jc w:val="both"/>
        <w:rPr>
          <w:rFonts w:ascii="Verdana" w:eastAsia="Century Gothic" w:hAnsi="Verdana" w:cs="Century Gothic"/>
          <w:color w:val="000000" w:themeColor="text1"/>
          <w:lang w:val="es-ES"/>
        </w:rPr>
      </w:pPr>
    </w:p>
    <w:p w14:paraId="0CE10E6F" w14:textId="77777777" w:rsidR="00250090" w:rsidRDefault="00250090" w:rsidP="00250090">
      <w:pPr>
        <w:spacing w:after="0" w:line="276" w:lineRule="auto"/>
        <w:jc w:val="both"/>
      </w:pPr>
      <w:r w:rsidRPr="00115E3D">
        <w:rPr>
          <w:rFonts w:ascii="Verdana" w:eastAsia="Century Gothic" w:hAnsi="Verdana" w:cs="Century Gothic"/>
          <w:color w:val="000000" w:themeColor="text1"/>
        </w:rPr>
        <w:t xml:space="preserve">De acuerdo con el contenido de su solicitud, esta Agencia resolverá </w:t>
      </w:r>
      <w:r>
        <w:rPr>
          <w:rFonts w:ascii="Verdana" w:eastAsia="Century Gothic" w:hAnsi="Verdana" w:cs="Century Gothic"/>
          <w:color w:val="000000" w:themeColor="text1"/>
        </w:rPr>
        <w:t>los</w:t>
      </w:r>
      <w:r w:rsidRPr="00115E3D">
        <w:rPr>
          <w:rFonts w:ascii="Verdana" w:eastAsia="Century Gothic" w:hAnsi="Verdana" w:cs="Century Gothic"/>
          <w:color w:val="000000" w:themeColor="text1"/>
        </w:rPr>
        <w:t xml:space="preserve"> siguiente</w:t>
      </w:r>
      <w:r>
        <w:rPr>
          <w:rFonts w:ascii="Verdana" w:eastAsia="Century Gothic" w:hAnsi="Verdana" w:cs="Century Gothic"/>
          <w:color w:val="000000" w:themeColor="text1"/>
        </w:rPr>
        <w:t>s</w:t>
      </w:r>
      <w:r w:rsidRPr="00115E3D">
        <w:rPr>
          <w:rFonts w:ascii="Verdana" w:eastAsia="Century Gothic" w:hAnsi="Verdana" w:cs="Century Gothic"/>
          <w:color w:val="000000" w:themeColor="text1"/>
        </w:rPr>
        <w:t xml:space="preserve"> problema</w:t>
      </w:r>
      <w:r>
        <w:rPr>
          <w:rFonts w:ascii="Verdana" w:eastAsia="Century Gothic" w:hAnsi="Verdana" w:cs="Century Gothic"/>
          <w:color w:val="000000" w:themeColor="text1"/>
        </w:rPr>
        <w:t>s</w:t>
      </w:r>
      <w:r w:rsidRPr="00115E3D">
        <w:rPr>
          <w:rFonts w:ascii="Verdana" w:eastAsia="Century Gothic" w:hAnsi="Verdana" w:cs="Century Gothic"/>
          <w:color w:val="000000" w:themeColor="text1"/>
        </w:rPr>
        <w:t xml:space="preserve"> jurídico</w:t>
      </w:r>
      <w:r>
        <w:rPr>
          <w:rFonts w:ascii="Verdana" w:eastAsia="Century Gothic" w:hAnsi="Verdana" w:cs="Century Gothic"/>
          <w:color w:val="000000" w:themeColor="text1"/>
        </w:rPr>
        <w:t>s</w:t>
      </w:r>
      <w:r w:rsidRPr="00115E3D">
        <w:rPr>
          <w:rFonts w:ascii="Verdana" w:eastAsia="Century Gothic" w:hAnsi="Verdana" w:cs="Century Gothic"/>
          <w:color w:val="000000" w:themeColor="text1"/>
        </w:rPr>
        <w:t>:</w:t>
      </w:r>
      <w:r w:rsidRPr="00946693">
        <w:t xml:space="preserve"> </w:t>
      </w:r>
    </w:p>
    <w:p w14:paraId="30F37864" w14:textId="77777777" w:rsidR="00250090" w:rsidRDefault="00250090" w:rsidP="00250090">
      <w:pPr>
        <w:spacing w:after="0" w:line="276" w:lineRule="auto"/>
        <w:jc w:val="both"/>
      </w:pPr>
    </w:p>
    <w:p w14:paraId="075E536C" w14:textId="77777777" w:rsidR="00250090" w:rsidRPr="00B43EB6" w:rsidRDefault="00250090" w:rsidP="00250090">
      <w:pPr>
        <w:pStyle w:val="Prrafodelista"/>
        <w:spacing w:after="0" w:line="276" w:lineRule="auto"/>
        <w:ind w:left="0"/>
        <w:jc w:val="both"/>
        <w:rPr>
          <w:rFonts w:ascii="Verdana" w:eastAsia="Verdana" w:hAnsi="Verdana" w:cs="Verdana"/>
        </w:rPr>
      </w:pPr>
      <w:r>
        <w:rPr>
          <w:rFonts w:ascii="Verdana" w:eastAsia="Verdana" w:hAnsi="Verdana" w:cs="Verdana"/>
        </w:rPr>
        <w:lastRenderedPageBreak/>
        <w:t xml:space="preserve">i.  </w:t>
      </w:r>
      <w:r w:rsidRPr="00B43EB6">
        <w:rPr>
          <w:rFonts w:ascii="Verdana" w:eastAsia="Verdana" w:hAnsi="Verdana" w:cs="Verdana"/>
        </w:rPr>
        <w:t>¿En qué eventos procede jurídicamente exigir la actualización de las sumas aseguradas de las garantías contractuales constituidas en el marco de un contrato estatal?</w:t>
      </w:r>
    </w:p>
    <w:p w14:paraId="48B30776" w14:textId="77777777" w:rsidR="00250090" w:rsidRDefault="00250090" w:rsidP="00250090">
      <w:pPr>
        <w:spacing w:after="0" w:line="276" w:lineRule="auto"/>
        <w:jc w:val="both"/>
        <w:rPr>
          <w:rFonts w:ascii="Verdana" w:eastAsia="Verdana" w:hAnsi="Verdana" w:cs="Verdana"/>
        </w:rPr>
      </w:pPr>
    </w:p>
    <w:p w14:paraId="173220AC" w14:textId="77777777" w:rsidR="00250090" w:rsidRPr="00843B35" w:rsidRDefault="00250090" w:rsidP="00250090">
      <w:pPr>
        <w:spacing w:after="0" w:line="276" w:lineRule="auto"/>
        <w:jc w:val="both"/>
        <w:rPr>
          <w:rFonts w:ascii="Verdana" w:eastAsia="Verdana" w:hAnsi="Verdana" w:cs="Verdana"/>
        </w:rPr>
      </w:pPr>
      <w:r>
        <w:rPr>
          <w:rFonts w:ascii="Verdana" w:eastAsia="Verdana" w:hAnsi="Verdana" w:cs="Verdana"/>
        </w:rPr>
        <w:t xml:space="preserve">ii. </w:t>
      </w:r>
      <w:r w:rsidRPr="00B43EB6">
        <w:rPr>
          <w:rFonts w:ascii="Verdana" w:eastAsia="Verdana" w:hAnsi="Verdana" w:cs="Verdana"/>
        </w:rPr>
        <w:t>¿Procede exigir la actualización o reexpedición de la póliza de responsabilidad civil extracontractual cuando se presentan diferencias mínimas en el valor asegurado o cuando varía el salario mínimo legal mensual vigente con posterioridad a su expedición?</w:t>
      </w:r>
    </w:p>
    <w:p w14:paraId="791C220D" w14:textId="77777777" w:rsidR="00250090" w:rsidRDefault="00250090" w:rsidP="00250090">
      <w:pPr>
        <w:spacing w:after="0" w:line="276" w:lineRule="auto"/>
        <w:jc w:val="both"/>
        <w:rPr>
          <w:rFonts w:ascii="Verdana" w:eastAsia="Verdana" w:hAnsi="Verdana" w:cs="Verdana"/>
          <w:lang w:val="es-ES"/>
        </w:rPr>
      </w:pPr>
    </w:p>
    <w:p w14:paraId="47533612" w14:textId="77777777" w:rsidR="00250090" w:rsidRPr="00115E3D" w:rsidRDefault="00250090" w:rsidP="0025009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Respuesta:</w:t>
      </w:r>
    </w:p>
    <w:p w14:paraId="5E4E395D" w14:textId="77777777" w:rsidR="00250090" w:rsidRPr="00115E3D" w:rsidRDefault="00250090" w:rsidP="00250090">
      <w:pPr>
        <w:tabs>
          <w:tab w:val="left" w:pos="142"/>
          <w:tab w:val="left" w:pos="284"/>
        </w:tabs>
        <w:spacing w:after="0" w:line="276" w:lineRule="auto"/>
        <w:jc w:val="both"/>
        <w:rPr>
          <w:rFonts w:ascii="Verdana" w:eastAsia="Century Gothic" w:hAnsi="Verdana" w:cs="Century Gothic"/>
          <w:b/>
          <w:bCs/>
          <w:color w:val="000000" w:themeColor="text1"/>
          <w:lang w:val="es-ES"/>
        </w:rPr>
      </w:pPr>
    </w:p>
    <w:tbl>
      <w:tblPr>
        <w:tblStyle w:val="Tablaconcuadrcula"/>
        <w:tblW w:w="0" w:type="auto"/>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ook w:val="04A0" w:firstRow="1" w:lastRow="0" w:firstColumn="1" w:lastColumn="0" w:noHBand="0" w:noVBand="1"/>
      </w:tblPr>
      <w:tblGrid>
        <w:gridCol w:w="8828"/>
      </w:tblGrid>
      <w:tr w:rsidR="00250090" w:rsidRPr="00115E3D" w14:paraId="5B73123B" w14:textId="77777777" w:rsidTr="00A607B5">
        <w:trPr>
          <w:trHeight w:val="774"/>
        </w:trPr>
        <w:tc>
          <w:tcPr>
            <w:tcW w:w="8828" w:type="dxa"/>
          </w:tcPr>
          <w:p w14:paraId="79FB830B" w14:textId="3A887ADA" w:rsidR="00250090" w:rsidRPr="00CE48F4" w:rsidRDefault="00250090" w:rsidP="00A607B5">
            <w:pPr>
              <w:spacing w:before="120" w:after="120" w:line="276" w:lineRule="auto"/>
              <w:jc w:val="both"/>
              <w:rPr>
                <w:rFonts w:ascii="Verdana" w:eastAsia="Calibri" w:hAnsi="Verdana" w:cs="Times New Roman"/>
              </w:rPr>
            </w:pPr>
            <w:r>
              <w:rPr>
                <w:rFonts w:ascii="Verdana" w:eastAsia="Calibri" w:hAnsi="Verdana" w:cs="Times New Roman"/>
              </w:rPr>
              <w:t xml:space="preserve">i. </w:t>
            </w:r>
            <w:r w:rsidRPr="00CE48F4">
              <w:rPr>
                <w:rFonts w:ascii="Verdana" w:eastAsia="Calibri" w:hAnsi="Verdana" w:cs="Times New Roman"/>
              </w:rPr>
              <w:t>De conformidad con el artículo 7 de la Ley 1150 de 2007 y los artículos 2.2.1.2.3.1.1 a 2.2.1.2.3.1.19 del Decreto 1082 de 2015, las garantías contractuales en la contratación estatal tienen como finalidad cubrir los riesgos derivados del proceso contractual y asegurar el cumplimiento de las obligaciones asumidas por el contratista durante la ejecución del contrato, en condiciones de suficiencia, vigencia e idoneidad.</w:t>
            </w:r>
          </w:p>
          <w:p w14:paraId="40DF2A2B" w14:textId="77777777" w:rsidR="00250090" w:rsidRPr="00CE48F4" w:rsidRDefault="00250090" w:rsidP="00A607B5">
            <w:pPr>
              <w:spacing w:before="120" w:after="120" w:line="276" w:lineRule="auto"/>
              <w:jc w:val="both"/>
              <w:rPr>
                <w:rFonts w:ascii="Verdana" w:eastAsia="Calibri" w:hAnsi="Verdana" w:cs="Times New Roman"/>
              </w:rPr>
            </w:pPr>
            <w:r>
              <w:rPr>
                <w:rFonts w:ascii="Verdana" w:eastAsia="Calibri" w:hAnsi="Verdana" w:cs="Times New Roman"/>
              </w:rPr>
              <w:t xml:space="preserve">           </w:t>
            </w:r>
            <w:r w:rsidRPr="007E09CB">
              <w:rPr>
                <w:rFonts w:ascii="Verdana" w:eastAsia="Calibri" w:hAnsi="Verdana" w:cs="Arial"/>
              </w:rPr>
              <w:t>En ese sentido, corresponde a la entidad estatal verificar, al momento de la constitución y aprobación de la garantía, que la póliza presentada por el contratista cumpla con las condiciones de suficiencia en términos de valor, vigencia y cobertura exigidas por la normativa</w:t>
            </w:r>
            <w:r w:rsidRPr="00CE48F4">
              <w:rPr>
                <w:rFonts w:ascii="Verdana" w:eastAsia="Calibri" w:hAnsi="Verdana" w:cs="Times New Roman"/>
              </w:rPr>
              <w:t>.</w:t>
            </w:r>
          </w:p>
          <w:p w14:paraId="4C61801F" w14:textId="77777777" w:rsidR="00250090" w:rsidRPr="007E09CB" w:rsidRDefault="00250090" w:rsidP="00A607B5">
            <w:pPr>
              <w:spacing w:after="120" w:line="276" w:lineRule="auto"/>
              <w:jc w:val="both"/>
              <w:rPr>
                <w:rFonts w:ascii="Verdana" w:eastAsia="Calibri" w:hAnsi="Verdana" w:cs="Arial"/>
              </w:rPr>
            </w:pPr>
            <w:r>
              <w:rPr>
                <w:rFonts w:ascii="Verdana" w:eastAsia="Calibri" w:hAnsi="Verdana" w:cs="Times New Roman"/>
              </w:rPr>
              <w:t xml:space="preserve">          </w:t>
            </w:r>
            <w:r w:rsidRPr="007E09CB">
              <w:rPr>
                <w:rFonts w:ascii="Verdana" w:eastAsia="Calibri" w:hAnsi="Verdana" w:cs="Arial"/>
              </w:rPr>
              <w:t>Por lo tanto, la modificación o actualización de la póliza procede cuando se presentan circunstancias que alteren las condiciones inicialmente verificadas por la entidad, tales como:</w:t>
            </w:r>
            <w:r>
              <w:rPr>
                <w:rFonts w:ascii="Verdana" w:eastAsia="Calibri" w:hAnsi="Verdana" w:cs="Arial"/>
              </w:rPr>
              <w:t xml:space="preserve"> </w:t>
            </w:r>
            <w:r w:rsidRPr="007E09CB">
              <w:rPr>
                <w:rFonts w:ascii="Verdana" w:eastAsia="Calibri" w:hAnsi="Verdana" w:cs="Arial"/>
              </w:rPr>
              <w:t>la ampliación del plazo de ejecución del contrato</w:t>
            </w:r>
            <w:r>
              <w:rPr>
                <w:rFonts w:ascii="Verdana" w:eastAsia="Calibri" w:hAnsi="Verdana" w:cs="Arial"/>
              </w:rPr>
              <w:t xml:space="preserve">, </w:t>
            </w:r>
            <w:r w:rsidRPr="007E09CB">
              <w:rPr>
                <w:rFonts w:ascii="Verdana" w:eastAsia="Calibri" w:hAnsi="Verdana" w:cs="Arial"/>
              </w:rPr>
              <w:t>la adición o modificación del valor contractual que implique un cambio en el monto del amparo exigido</w:t>
            </w:r>
            <w:r>
              <w:rPr>
                <w:rFonts w:ascii="Verdana" w:eastAsia="Calibri" w:hAnsi="Verdana" w:cs="Arial"/>
              </w:rPr>
              <w:t xml:space="preserve"> </w:t>
            </w:r>
            <w:r w:rsidRPr="007E09CB">
              <w:rPr>
                <w:rFonts w:ascii="Verdana" w:eastAsia="Calibri" w:hAnsi="Verdana" w:cs="Arial"/>
              </w:rPr>
              <w:t>o</w:t>
            </w:r>
            <w:r>
              <w:rPr>
                <w:rFonts w:ascii="Verdana" w:eastAsia="Calibri" w:hAnsi="Verdana" w:cs="Arial"/>
              </w:rPr>
              <w:t xml:space="preserve"> </w:t>
            </w:r>
            <w:r w:rsidRPr="007E09CB">
              <w:rPr>
                <w:rFonts w:ascii="Verdana" w:eastAsia="Calibri" w:hAnsi="Verdana" w:cs="Arial"/>
              </w:rPr>
              <w:t>cualquier modificación contractual que altere los riesgos asegurados.</w:t>
            </w:r>
          </w:p>
          <w:p w14:paraId="537D108F" w14:textId="77777777" w:rsidR="00250090" w:rsidRPr="007E09CB" w:rsidRDefault="00250090" w:rsidP="00A607B5">
            <w:pPr>
              <w:spacing w:after="120" w:line="276" w:lineRule="auto"/>
              <w:jc w:val="both"/>
              <w:rPr>
                <w:rFonts w:ascii="Verdana" w:eastAsia="Calibri" w:hAnsi="Verdana" w:cs="Arial"/>
              </w:rPr>
            </w:pPr>
            <w:r>
              <w:rPr>
                <w:rFonts w:ascii="Verdana" w:eastAsia="Calibri" w:hAnsi="Verdana" w:cs="Arial"/>
              </w:rPr>
              <w:t xml:space="preserve">         </w:t>
            </w:r>
            <w:r w:rsidRPr="007E09CB">
              <w:rPr>
                <w:rFonts w:ascii="Verdana" w:eastAsia="Calibri" w:hAnsi="Verdana" w:cs="Arial"/>
              </w:rPr>
              <w:t xml:space="preserve">En efecto, </w:t>
            </w:r>
            <w:r>
              <w:rPr>
                <w:rFonts w:ascii="Verdana" w:eastAsia="Calibri" w:hAnsi="Verdana" w:cs="Arial"/>
              </w:rPr>
              <w:t xml:space="preserve">mediante concepto C-1260 del 03 de julio de 2025 expedido por esta Subdirección Contractual se </w:t>
            </w:r>
            <w:r w:rsidRPr="007E09CB">
              <w:rPr>
                <w:rFonts w:ascii="Verdana" w:eastAsia="Calibri" w:hAnsi="Verdana" w:cs="Arial"/>
              </w:rPr>
              <w:t>ha señalado que cuando el plazo del contrato se extiende</w:t>
            </w:r>
            <w:r>
              <w:rPr>
                <w:rFonts w:ascii="Verdana" w:eastAsia="Calibri" w:hAnsi="Verdana" w:cs="Arial"/>
              </w:rPr>
              <w:t xml:space="preserve">, </w:t>
            </w:r>
            <w:r w:rsidRPr="007E09CB">
              <w:rPr>
                <w:rFonts w:ascii="Verdana" w:eastAsia="Calibri" w:hAnsi="Verdana" w:cs="Arial"/>
              </w:rPr>
              <w:t xml:space="preserve">por ejemplo, como consecuencia de una suspensión o prórroga la póliza de responsabilidad civil extracontractual debe ampliarse para evitar vacíos en la cobertura frente a daños a terceros, dado que su vigencia debe cubrir todo el período de ejecución del contrato. </w:t>
            </w:r>
          </w:p>
          <w:p w14:paraId="7FF11BFB" w14:textId="77777777" w:rsidR="00250090" w:rsidRPr="00CE48F4" w:rsidRDefault="00250090" w:rsidP="00A607B5">
            <w:pPr>
              <w:spacing w:before="120" w:after="120" w:line="276" w:lineRule="auto"/>
              <w:jc w:val="both"/>
              <w:rPr>
                <w:rFonts w:ascii="Verdana" w:eastAsia="Calibri" w:hAnsi="Verdana" w:cs="Times New Roman"/>
              </w:rPr>
            </w:pPr>
            <w:r>
              <w:rPr>
                <w:rFonts w:ascii="Verdana" w:eastAsia="Calibri" w:hAnsi="Verdana" w:cs="Times New Roman"/>
              </w:rPr>
              <w:lastRenderedPageBreak/>
              <w:t xml:space="preserve">          </w:t>
            </w:r>
            <w:r w:rsidRPr="00CE48F4">
              <w:rPr>
                <w:rFonts w:ascii="Verdana" w:eastAsia="Calibri" w:hAnsi="Verdana" w:cs="Times New Roman"/>
              </w:rPr>
              <w:t>Por el contrario, en ausencia de dichas circunstancias, no se advierte en la normativa vigente una obligación legal de actualizar automáticamente las sumas aseguradas de las garantías contractuales por el simple transcurso del tiempo, la pérdida general del poder adquisitivo de la moneda o la variación de indicadores económicos, salvo que tal obligación haya sido prevista expresamente en los pliegos de condiciones, estudios previos, contrato o documentos del proceso.</w:t>
            </w:r>
          </w:p>
          <w:p w14:paraId="5FCB6AD0" w14:textId="20DDE14D" w:rsidR="00250090" w:rsidRPr="00CE48F4" w:rsidRDefault="00250090" w:rsidP="00A607B5">
            <w:pPr>
              <w:spacing w:before="120" w:after="120" w:line="276" w:lineRule="auto"/>
              <w:jc w:val="both"/>
              <w:rPr>
                <w:rFonts w:ascii="Verdana" w:eastAsia="Calibri" w:hAnsi="Verdana" w:cs="Times New Roman"/>
              </w:rPr>
            </w:pPr>
            <w:r>
              <w:rPr>
                <w:rFonts w:ascii="Verdana" w:eastAsia="Calibri" w:hAnsi="Verdana" w:cs="Times New Roman"/>
              </w:rPr>
              <w:t xml:space="preserve">ii. </w:t>
            </w:r>
            <w:r w:rsidRPr="00CE48F4">
              <w:rPr>
                <w:rFonts w:ascii="Verdana" w:eastAsia="Calibri" w:hAnsi="Verdana" w:cs="Times New Roman"/>
              </w:rPr>
              <w:t>En particular, tratándose de la póliza de responsabilidad civil extracontractual, los artículos 2.2.1.2.3.1.5 y 2.2.1.2.3.1.17 del Decreto 1082 de 2015 establecen que su valor debe determinarse en salarios mínimos legales mensuales vigentes, conforme al valor del contrato estatal, como criterio de suficiencia para fijar el monto mínimo de cobertura exigible. En ese sentido, la referencia al salario mínimo legal mensual vigente constituye un parámetro normativo para verificar la suficiencia del amparo al momento de la expedición y aprobación de la póliza, pero no implica, por sí misma, que esta deba actualizarse automáticamente cada vez que se modifique dicho referente económico.</w:t>
            </w:r>
          </w:p>
          <w:p w14:paraId="19CD8681" w14:textId="77777777" w:rsidR="00250090" w:rsidRPr="00CE48F4" w:rsidRDefault="00250090" w:rsidP="00A607B5">
            <w:pPr>
              <w:spacing w:before="120" w:after="120" w:line="276" w:lineRule="auto"/>
              <w:jc w:val="both"/>
              <w:rPr>
                <w:rFonts w:ascii="Verdana" w:eastAsia="Calibri" w:hAnsi="Verdana" w:cs="Times New Roman"/>
              </w:rPr>
            </w:pPr>
            <w:r>
              <w:rPr>
                <w:rFonts w:ascii="Verdana" w:eastAsia="Calibri" w:hAnsi="Verdana" w:cs="Times New Roman"/>
              </w:rPr>
              <w:t xml:space="preserve">          </w:t>
            </w:r>
            <w:r w:rsidRPr="00CE48F4">
              <w:rPr>
                <w:rFonts w:ascii="Verdana" w:eastAsia="Calibri" w:hAnsi="Verdana" w:cs="Times New Roman"/>
              </w:rPr>
              <w:t>En consecuencia, la posterior variación anual del salario mínimo legal mensual vigente no genera, por sí sola, la obligación de actualizar, reliquidar o reexpedir la póliza de responsabilidad civil extracontractual previamente aprobada, siempre que no se hayan alterado las demás condiciones contractuales o de riesgo que sirvieron de fundamento para su constitución.</w:t>
            </w:r>
          </w:p>
          <w:p w14:paraId="7CADCDA3" w14:textId="77777777" w:rsidR="00250090" w:rsidRPr="00CE48F4" w:rsidRDefault="00250090" w:rsidP="00A607B5">
            <w:pPr>
              <w:spacing w:before="120" w:after="120" w:line="276" w:lineRule="auto"/>
              <w:jc w:val="both"/>
              <w:rPr>
                <w:rFonts w:ascii="Verdana" w:eastAsia="Calibri" w:hAnsi="Verdana" w:cs="Times New Roman"/>
              </w:rPr>
            </w:pPr>
            <w:r>
              <w:rPr>
                <w:rFonts w:ascii="Verdana" w:eastAsia="Calibri" w:hAnsi="Verdana" w:cs="Times New Roman"/>
              </w:rPr>
              <w:t xml:space="preserve">           Ahora bien</w:t>
            </w:r>
            <w:r w:rsidRPr="00CE48F4">
              <w:rPr>
                <w:rFonts w:ascii="Verdana" w:eastAsia="Calibri" w:hAnsi="Verdana" w:cs="Times New Roman"/>
              </w:rPr>
              <w:t xml:space="preserve">, </w:t>
            </w:r>
            <w:r>
              <w:rPr>
                <w:rFonts w:ascii="Verdana" w:eastAsia="Calibri" w:hAnsi="Verdana" w:cs="Times New Roman"/>
              </w:rPr>
              <w:t xml:space="preserve">frente a </w:t>
            </w:r>
            <w:r w:rsidRPr="00CE48F4">
              <w:rPr>
                <w:rFonts w:ascii="Verdana" w:eastAsia="Calibri" w:hAnsi="Verdana" w:cs="Times New Roman"/>
              </w:rPr>
              <w:t>las diferencias mínimas en el valor asegurado derivadas de aproximaciones matemáticas, redondeos, conversiones o centavos, corresponde a cada entidad estatal analizar en el caso concreto si las diferencias advertidas en el valor asegurado o las variaciones en los parámetros económicos utilizados afecta</w:t>
            </w:r>
            <w:r>
              <w:rPr>
                <w:rFonts w:ascii="Verdana" w:eastAsia="Calibri" w:hAnsi="Verdana" w:cs="Times New Roman"/>
              </w:rPr>
              <w:t>n</w:t>
            </w:r>
            <w:r w:rsidRPr="00CE48F4">
              <w:rPr>
                <w:rFonts w:ascii="Verdana" w:eastAsia="Calibri" w:hAnsi="Verdana" w:cs="Times New Roman"/>
              </w:rPr>
              <w:t xml:space="preserve"> materialmente la cobertura exigida, o si, por el contrario, se trata de variaciones nominales o residuales que no justifican jurídicamente exigir la actualización o reexpedición de la garantía.</w:t>
            </w:r>
          </w:p>
          <w:p w14:paraId="32B6F10F" w14:textId="77777777" w:rsidR="00250090" w:rsidRPr="00CE48F4" w:rsidRDefault="00250090" w:rsidP="00A607B5">
            <w:pPr>
              <w:spacing w:before="120" w:after="120" w:line="276" w:lineRule="auto"/>
              <w:jc w:val="both"/>
              <w:rPr>
                <w:rFonts w:ascii="Verdana" w:eastAsia="Calibri" w:hAnsi="Verdana" w:cs="Times New Roman"/>
              </w:rPr>
            </w:pPr>
            <w:r>
              <w:rPr>
                <w:rFonts w:ascii="Verdana" w:eastAsia="Calibri" w:hAnsi="Verdana" w:cs="Times New Roman"/>
              </w:rPr>
              <w:t xml:space="preserve">         </w:t>
            </w:r>
            <w:r w:rsidRPr="00CE48F4">
              <w:rPr>
                <w:rFonts w:ascii="Verdana" w:eastAsia="Calibri" w:hAnsi="Verdana" w:cs="Times New Roman"/>
              </w:rPr>
              <w:t>Finalmente, debe advertirse que el análisis sobre la procedencia de exigir la actualización de garantías en un contrato específico corresponde a la entidad estatal respectiva, quien deberá valorar las circunstancias particulares del caso y adoptar la decisión que corresponda conforme al principio de juridicidad y a las reglas de gestión del riesgo contractual.</w:t>
            </w:r>
          </w:p>
          <w:p w14:paraId="2F4A9641" w14:textId="77777777" w:rsidR="00250090" w:rsidRPr="0029110A" w:rsidRDefault="00250090" w:rsidP="00A607B5">
            <w:pPr>
              <w:spacing w:before="120" w:after="120" w:line="276" w:lineRule="auto"/>
              <w:jc w:val="both"/>
              <w:rPr>
                <w:rFonts w:ascii="Verdana" w:eastAsia="Calibri" w:hAnsi="Verdana" w:cs="Times New Roman"/>
                <w:lang w:val="es-ES"/>
              </w:rPr>
            </w:pPr>
          </w:p>
        </w:tc>
      </w:tr>
      <w:tr w:rsidR="00250090" w:rsidRPr="00115E3D" w14:paraId="59BF3FA7" w14:textId="77777777" w:rsidTr="00A607B5">
        <w:trPr>
          <w:trHeight w:val="162"/>
        </w:trPr>
        <w:tc>
          <w:tcPr>
            <w:tcW w:w="8828" w:type="dxa"/>
          </w:tcPr>
          <w:p w14:paraId="688F3A5F" w14:textId="77777777" w:rsidR="00250090" w:rsidRDefault="00250090" w:rsidP="00A607B5">
            <w:pPr>
              <w:spacing w:line="276" w:lineRule="auto"/>
              <w:jc w:val="both"/>
              <w:rPr>
                <w:rFonts w:ascii="Verdana" w:eastAsia="Calibri" w:hAnsi="Verdana" w:cs="Arial"/>
              </w:rPr>
            </w:pPr>
          </w:p>
        </w:tc>
      </w:tr>
    </w:tbl>
    <w:p w14:paraId="18F9CE26" w14:textId="77777777" w:rsidR="00250090" w:rsidRDefault="00250090" w:rsidP="00250090">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p>
    <w:p w14:paraId="42665189" w14:textId="77777777" w:rsidR="00250090" w:rsidRDefault="00250090" w:rsidP="0025009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Razones de la respuesta:</w:t>
      </w:r>
    </w:p>
    <w:p w14:paraId="6A52C46B" w14:textId="77777777" w:rsidR="00250090" w:rsidRPr="00115E3D" w:rsidRDefault="00250090" w:rsidP="00250090">
      <w:pPr>
        <w:pStyle w:val="Prrafodelista"/>
        <w:tabs>
          <w:tab w:val="left" w:pos="142"/>
          <w:tab w:val="left" w:pos="284"/>
        </w:tabs>
        <w:spacing w:after="0" w:line="276" w:lineRule="auto"/>
        <w:ind w:left="0"/>
        <w:contextualSpacing w:val="0"/>
        <w:jc w:val="both"/>
        <w:rPr>
          <w:rFonts w:ascii="Verdana" w:eastAsia="Century Gothic" w:hAnsi="Verdana" w:cs="Century Gothic"/>
          <w:b/>
          <w:bCs/>
          <w:color w:val="000000" w:themeColor="text1"/>
        </w:rPr>
      </w:pPr>
    </w:p>
    <w:p w14:paraId="044619F0" w14:textId="77777777" w:rsidR="00250090" w:rsidRPr="00DC4B8E" w:rsidRDefault="00250090" w:rsidP="00250090">
      <w:pPr>
        <w:tabs>
          <w:tab w:val="left" w:pos="426"/>
        </w:tabs>
        <w:spacing w:after="120" w:line="276" w:lineRule="auto"/>
        <w:jc w:val="both"/>
        <w:rPr>
          <w:rFonts w:ascii="Verdana" w:eastAsia="Calibri" w:hAnsi="Verdana" w:cs="Arial"/>
          <w:lang w:val="es-ES"/>
        </w:rPr>
      </w:pPr>
      <w:bookmarkStart w:id="2" w:name="_Hlk204856061"/>
      <w:bookmarkStart w:id="3" w:name="_Hlk78820161"/>
      <w:r w:rsidRPr="00DC4B8E">
        <w:rPr>
          <w:rFonts w:ascii="Verdana" w:eastAsia="Calibri" w:hAnsi="Verdana" w:cs="Arial"/>
          <w:lang w:val="es-ES"/>
        </w:rPr>
        <w:t xml:space="preserve">La respuesta anterior se sustenta en las siguientes consideraciones: </w:t>
      </w:r>
    </w:p>
    <w:p w14:paraId="105DB03B" w14:textId="77777777" w:rsidR="00250090" w:rsidRPr="00983DE2" w:rsidRDefault="00250090" w:rsidP="00250090">
      <w:pPr>
        <w:spacing w:after="0" w:line="276" w:lineRule="auto"/>
        <w:jc w:val="both"/>
        <w:rPr>
          <w:rFonts w:ascii="Verdana" w:eastAsia="Calibri" w:hAnsi="Verdana" w:cs="Arial"/>
          <w:color w:val="000000" w:themeColor="text1"/>
          <w:lang w:val="es-ES"/>
        </w:rPr>
      </w:pPr>
      <w:r>
        <w:rPr>
          <w:rFonts w:ascii="Verdana" w:hAnsi="Verdana" w:cs="Arial"/>
          <w:color w:val="000000"/>
          <w:shd w:val="clear" w:color="auto" w:fill="FFFFFF"/>
          <w:lang w:val="es-ES"/>
        </w:rPr>
        <w:t xml:space="preserve">         </w:t>
      </w:r>
      <w:r w:rsidRPr="00983DE2">
        <w:rPr>
          <w:rFonts w:ascii="Verdana" w:hAnsi="Verdana" w:cs="Arial"/>
          <w:color w:val="000000"/>
          <w:shd w:val="clear" w:color="auto" w:fill="FFFFFF"/>
          <w:lang w:val="es-ES"/>
        </w:rPr>
        <w:t xml:space="preserve">Por regla general, para seleccionar contratistas y para ejecutar contratos se requiere la constitución de garantías. </w:t>
      </w:r>
      <w:bookmarkStart w:id="4" w:name="_Hlk47893233"/>
      <w:r w:rsidRPr="00983DE2">
        <w:rPr>
          <w:rFonts w:ascii="Verdana" w:hAnsi="Verdana" w:cs="Arial"/>
          <w:color w:val="000000"/>
          <w:shd w:val="clear" w:color="auto" w:fill="FFFFFF"/>
          <w:lang w:val="es-ES"/>
        </w:rPr>
        <w:t>Por un lado, l</w:t>
      </w:r>
      <w:r w:rsidRPr="00983DE2">
        <w:rPr>
          <w:rFonts w:ascii="Verdana" w:eastAsia="Calibri" w:hAnsi="Verdana" w:cs="Arial"/>
          <w:color w:val="000000" w:themeColor="text1"/>
          <w:lang w:val="es-ES"/>
        </w:rPr>
        <w:t xml:space="preserve">a </w:t>
      </w:r>
      <w:r w:rsidRPr="00983DE2">
        <w:rPr>
          <w:rFonts w:ascii="Verdana" w:eastAsia="Calibri" w:hAnsi="Verdana" w:cs="Arial"/>
          <w:i/>
          <w:iCs/>
          <w:color w:val="000000" w:themeColor="text1"/>
          <w:lang w:val="es-ES"/>
        </w:rPr>
        <w:t>garantía de seriedad</w:t>
      </w:r>
      <w:r w:rsidRPr="00983DE2">
        <w:rPr>
          <w:rFonts w:ascii="Verdana" w:eastAsia="Calibri" w:hAnsi="Verdana" w:cs="Arial"/>
          <w:color w:val="000000" w:themeColor="text1"/>
          <w:lang w:val="es-ES"/>
        </w:rPr>
        <w:t xml:space="preserve"> respalda al principio de irrevocabilidad de la oferta, caso en el cual los proponentes que pierdan interés en la adjudicación resarcirán los perjuicios causados por su retiro del proceso de selección. Naturalmente, esta garantía solo la constituyen quienes presenten las propuestas, motivo por el cual sus efectos no se extienden a personas ajenas a la actividad precontractual; sin perjuicio de que la póliza sea un mecanismo conminatorio, en la medida en que obliga a celebrar el contrato, so pena de hacerla efectiva. De esta manera, la exigencia permite que solo se presenten personas con la capacidad técnica y financiera suficiente para ejecutarlo en caso de adjudicación, desestimulando la presentación de ofertas que no son serias, cuya evaluación entorpece la buena marcha de la Administración, y en especial la celeridad y eficiencia de los procedimientos contractuales</w:t>
      </w:r>
      <w:bookmarkEnd w:id="4"/>
      <w:r w:rsidRPr="00983DE2">
        <w:rPr>
          <w:rStyle w:val="Refdenotaalpie"/>
          <w:rFonts w:ascii="Verdana" w:eastAsia="Calibri" w:hAnsi="Verdana" w:cs="Arial"/>
          <w:color w:val="000000" w:themeColor="text1"/>
          <w:lang w:val="es-ES"/>
        </w:rPr>
        <w:footnoteReference w:id="2"/>
      </w:r>
      <w:r w:rsidRPr="00983DE2">
        <w:rPr>
          <w:rFonts w:ascii="Verdana" w:eastAsia="Calibri" w:hAnsi="Verdana" w:cs="Arial"/>
          <w:color w:val="000000" w:themeColor="text1"/>
          <w:lang w:val="es-ES"/>
        </w:rPr>
        <w:t>. Sobre este aspecto, la doctrina explica que:</w:t>
      </w:r>
    </w:p>
    <w:p w14:paraId="753E8911" w14:textId="77777777" w:rsidR="00250090" w:rsidRPr="00983DE2" w:rsidRDefault="00250090" w:rsidP="00250090">
      <w:pPr>
        <w:spacing w:after="0" w:line="276" w:lineRule="auto"/>
        <w:jc w:val="both"/>
        <w:rPr>
          <w:rFonts w:ascii="Verdana" w:eastAsia="Calibri" w:hAnsi="Verdana" w:cs="Arial"/>
          <w:color w:val="000000" w:themeColor="text1"/>
          <w:lang w:val="es-ES"/>
        </w:rPr>
      </w:pPr>
    </w:p>
    <w:p w14:paraId="7B1D55DF" w14:textId="77777777" w:rsidR="00250090" w:rsidRPr="00983DE2" w:rsidRDefault="00250090" w:rsidP="00250090">
      <w:pPr>
        <w:spacing w:after="0" w:line="240" w:lineRule="auto"/>
        <w:ind w:left="709" w:right="709"/>
        <w:jc w:val="both"/>
        <w:rPr>
          <w:rFonts w:ascii="Verdana" w:eastAsia="Calibri" w:hAnsi="Verdana" w:cs="Arial"/>
          <w:color w:val="000000" w:themeColor="text1"/>
          <w:sz w:val="21"/>
          <w:szCs w:val="21"/>
          <w:lang w:val="es-ES"/>
        </w:rPr>
      </w:pPr>
      <w:r w:rsidRPr="00983DE2">
        <w:rPr>
          <w:rFonts w:ascii="Verdana" w:eastAsia="Calibri" w:hAnsi="Verdana" w:cs="Arial"/>
          <w:color w:val="000000" w:themeColor="text1"/>
          <w:sz w:val="21"/>
          <w:szCs w:val="21"/>
          <w:lang w:val="es-ES"/>
        </w:rPr>
        <w:t xml:space="preserve">“Las </w:t>
      </w:r>
      <w:r w:rsidRPr="00983DE2">
        <w:rPr>
          <w:rFonts w:ascii="Verdana" w:eastAsia="Calibri" w:hAnsi="Verdana" w:cs="Arial"/>
          <w:i/>
          <w:iCs/>
          <w:color w:val="000000" w:themeColor="text1"/>
          <w:sz w:val="21"/>
          <w:szCs w:val="21"/>
          <w:lang w:val="es-ES"/>
        </w:rPr>
        <w:t>garantías provisionales</w:t>
      </w:r>
      <w:r w:rsidRPr="00983DE2">
        <w:rPr>
          <w:rFonts w:ascii="Verdana" w:eastAsia="Calibri" w:hAnsi="Verdana" w:cs="Arial"/>
          <w:color w:val="000000" w:themeColor="text1"/>
          <w:sz w:val="21"/>
          <w:szCs w:val="21"/>
          <w:lang w:val="es-ES"/>
        </w:rPr>
        <w:t xml:space="preserve"> “avalan la solemnidad de la oferta por parte del contratista”; constituyen una seña pre-contractual destinada a </w:t>
      </w:r>
      <w:r w:rsidRPr="00983DE2">
        <w:rPr>
          <w:rFonts w:ascii="Verdana" w:eastAsia="Calibri" w:hAnsi="Verdana" w:cs="Arial"/>
          <w:i/>
          <w:iCs/>
          <w:color w:val="000000" w:themeColor="text1"/>
          <w:sz w:val="21"/>
          <w:szCs w:val="21"/>
          <w:lang w:val="es-ES"/>
        </w:rPr>
        <w:t>asegurar la celebración del contrato</w:t>
      </w:r>
      <w:r w:rsidRPr="00983DE2">
        <w:rPr>
          <w:rFonts w:ascii="Verdana" w:eastAsia="Calibri" w:hAnsi="Verdana" w:cs="Arial"/>
          <w:color w:val="000000" w:themeColor="text1"/>
          <w:sz w:val="21"/>
          <w:szCs w:val="21"/>
          <w:lang w:val="es-ES"/>
        </w:rPr>
        <w:t xml:space="preserve">, no su cumplimiento. La administración procede a devolver a los oferentes no adjudicatarios, y a transformar en definitiva respecto al adjudicatario, las garantías provisionales, deduciéndose entonces que las </w:t>
      </w:r>
      <w:r w:rsidRPr="00983DE2">
        <w:rPr>
          <w:rFonts w:ascii="Verdana" w:eastAsia="Calibri" w:hAnsi="Verdana" w:cs="Arial"/>
          <w:i/>
          <w:iCs/>
          <w:color w:val="000000" w:themeColor="text1"/>
          <w:sz w:val="21"/>
          <w:szCs w:val="21"/>
          <w:lang w:val="es-ES"/>
        </w:rPr>
        <w:t>arras</w:t>
      </w:r>
      <w:r w:rsidRPr="00983DE2">
        <w:rPr>
          <w:rFonts w:ascii="Verdana" w:eastAsia="Calibri" w:hAnsi="Verdana" w:cs="Arial"/>
          <w:color w:val="000000" w:themeColor="text1"/>
          <w:sz w:val="21"/>
          <w:szCs w:val="21"/>
          <w:lang w:val="es-ES"/>
        </w:rPr>
        <w:t xml:space="preserve"> no forman parte del precio, ni son por tanto arras confirmatorias […], sino puramente penitenciales […] como garantías y compensación del </w:t>
      </w:r>
      <w:r w:rsidRPr="00983DE2">
        <w:rPr>
          <w:rFonts w:ascii="Verdana" w:eastAsia="Calibri" w:hAnsi="Verdana" w:cs="Arial"/>
          <w:i/>
          <w:iCs/>
          <w:color w:val="000000" w:themeColor="text1"/>
          <w:sz w:val="21"/>
          <w:szCs w:val="21"/>
          <w:lang w:val="es-ES"/>
        </w:rPr>
        <w:t>ius poenitendi</w:t>
      </w:r>
      <w:r w:rsidRPr="00983DE2">
        <w:rPr>
          <w:rFonts w:ascii="Verdana" w:eastAsia="Calibri" w:hAnsi="Verdana" w:cs="Arial"/>
          <w:color w:val="000000" w:themeColor="text1"/>
          <w:sz w:val="21"/>
          <w:szCs w:val="21"/>
          <w:lang w:val="es-ES"/>
        </w:rPr>
        <w:t xml:space="preserve"> del licitante. Son, en consecuencia, “la medida de la responsabilidad pre-contractual del oferente”; o, más bien, la garantía de oferta representa en definitiva la medida de la responsabilidad”</w:t>
      </w:r>
      <w:r w:rsidRPr="00983DE2">
        <w:rPr>
          <w:rStyle w:val="Refdenotaalpie"/>
          <w:rFonts w:ascii="Verdana" w:eastAsia="Calibri" w:hAnsi="Verdana" w:cs="Arial"/>
          <w:color w:val="000000" w:themeColor="text1"/>
          <w:sz w:val="21"/>
          <w:szCs w:val="21"/>
          <w:lang w:val="es-ES"/>
        </w:rPr>
        <w:footnoteReference w:id="3"/>
      </w:r>
      <w:r w:rsidRPr="00983DE2">
        <w:rPr>
          <w:rFonts w:ascii="Verdana" w:eastAsia="Calibri" w:hAnsi="Verdana" w:cs="Arial"/>
          <w:color w:val="000000" w:themeColor="text1"/>
          <w:sz w:val="21"/>
          <w:szCs w:val="21"/>
          <w:lang w:val="es-ES"/>
        </w:rPr>
        <w:t xml:space="preserve">. (Cursivas dentro del texto)   </w:t>
      </w:r>
    </w:p>
    <w:p w14:paraId="2F74403A" w14:textId="77777777" w:rsidR="00250090" w:rsidRPr="00983DE2" w:rsidRDefault="00250090" w:rsidP="00250090">
      <w:pPr>
        <w:spacing w:after="0" w:line="276" w:lineRule="auto"/>
        <w:jc w:val="both"/>
        <w:rPr>
          <w:rFonts w:ascii="Verdana" w:eastAsia="Calibri" w:hAnsi="Verdana" w:cs="Arial"/>
          <w:color w:val="000000" w:themeColor="text1"/>
          <w:lang w:val="es-ES"/>
        </w:rPr>
      </w:pPr>
    </w:p>
    <w:p w14:paraId="19D0C06C" w14:textId="77777777" w:rsidR="00250090" w:rsidRPr="00983DE2" w:rsidRDefault="00250090" w:rsidP="00250090">
      <w:pPr>
        <w:spacing w:after="120" w:line="276" w:lineRule="auto"/>
        <w:ind w:firstLine="709"/>
        <w:jc w:val="both"/>
        <w:rPr>
          <w:rFonts w:ascii="Verdana" w:eastAsia="Calibri" w:hAnsi="Verdana" w:cs="Arial"/>
          <w:color w:val="000000" w:themeColor="text1"/>
          <w:lang w:val="es-ES"/>
        </w:rPr>
      </w:pPr>
      <w:r w:rsidRPr="00983DE2">
        <w:rPr>
          <w:rFonts w:ascii="Verdana" w:eastAsia="Calibri" w:hAnsi="Verdana" w:cs="Arial"/>
          <w:color w:val="000000" w:themeColor="text1"/>
          <w:lang w:val="es-ES"/>
        </w:rPr>
        <w:lastRenderedPageBreak/>
        <w:t xml:space="preserve">En contraste, mediante la </w:t>
      </w:r>
      <w:r w:rsidRPr="00983DE2">
        <w:rPr>
          <w:rFonts w:ascii="Verdana" w:eastAsia="Calibri" w:hAnsi="Verdana" w:cs="Arial"/>
          <w:i/>
          <w:iCs/>
          <w:color w:val="000000" w:themeColor="text1"/>
          <w:lang w:val="es-ES"/>
        </w:rPr>
        <w:t>garantía de única de cumplimiento</w:t>
      </w:r>
      <w:r w:rsidRPr="00983DE2">
        <w:rPr>
          <w:rFonts w:ascii="Verdana" w:eastAsia="Calibri" w:hAnsi="Verdana" w:cs="Arial"/>
          <w:color w:val="000000" w:themeColor="text1"/>
          <w:lang w:val="es-ES"/>
        </w:rPr>
        <w:t>, el contratista ampara los perjuicios que le pueda generar a la entidad el incumplimiento de las obligaciones derivadas del contrato</w:t>
      </w:r>
      <w:r w:rsidRPr="00983DE2">
        <w:rPr>
          <w:rStyle w:val="Refdenotaalpie"/>
          <w:rFonts w:ascii="Verdana" w:eastAsia="Calibri" w:hAnsi="Verdana" w:cs="Arial"/>
          <w:color w:val="000000" w:themeColor="text1"/>
          <w:lang w:val="es-ES"/>
        </w:rPr>
        <w:footnoteReference w:id="4"/>
      </w:r>
      <w:r w:rsidRPr="00983DE2">
        <w:rPr>
          <w:rFonts w:ascii="Verdana" w:eastAsia="Calibri" w:hAnsi="Verdana" w:cs="Arial"/>
          <w:color w:val="000000" w:themeColor="text1"/>
          <w:lang w:val="es-ES"/>
        </w:rPr>
        <w:t xml:space="preserve">. En esta medida, tienen como objetivo reparar los perjuicios causados por conductas atribuibles al contratista, por lo que estos últimos son un presupuesto necesario para el pago que cubre la garantía. </w:t>
      </w:r>
      <w:r w:rsidRPr="00983DE2">
        <w:rPr>
          <w:rFonts w:ascii="Verdana" w:hAnsi="Verdana" w:cs="Arial"/>
          <w:color w:val="000000" w:themeColor="text1"/>
          <w:lang w:val="es-ES"/>
        </w:rPr>
        <w:t>Para estos efectos es única, ya que “[…] La prioridad […] es que no haya garantías separadas para los diferentes riesgos, aunque existan varias garantías para diferentes proporciones del interés asegurado […]”</w:t>
      </w:r>
      <w:r w:rsidRPr="00983DE2">
        <w:rPr>
          <w:rStyle w:val="Refdenotaalpie"/>
          <w:rFonts w:ascii="Verdana" w:hAnsi="Verdana" w:cs="Arial"/>
          <w:color w:val="000000" w:themeColor="text1"/>
          <w:lang w:val="es-ES"/>
        </w:rPr>
        <w:footnoteReference w:id="5"/>
      </w:r>
      <w:r w:rsidRPr="00983DE2">
        <w:rPr>
          <w:rFonts w:ascii="Verdana" w:hAnsi="Verdana" w:cs="Arial"/>
          <w:color w:val="000000" w:themeColor="text1"/>
          <w:lang w:val="es-ES"/>
        </w:rPr>
        <w:t xml:space="preserve">.    </w:t>
      </w:r>
    </w:p>
    <w:p w14:paraId="7872B06B" w14:textId="77777777" w:rsidR="00250090" w:rsidRPr="00983DE2" w:rsidRDefault="00250090" w:rsidP="00250090">
      <w:pPr>
        <w:spacing w:after="120" w:line="276" w:lineRule="auto"/>
        <w:ind w:firstLine="708"/>
        <w:jc w:val="both"/>
        <w:rPr>
          <w:rFonts w:ascii="Verdana" w:hAnsi="Verdana" w:cs="Arial"/>
          <w:color w:val="000000" w:themeColor="text1"/>
          <w:lang w:val="es-ES"/>
        </w:rPr>
      </w:pPr>
      <w:r w:rsidRPr="00983DE2">
        <w:rPr>
          <w:rFonts w:ascii="Verdana" w:hAnsi="Verdana" w:cs="Arial"/>
          <w:color w:val="000000" w:themeColor="text1"/>
          <w:lang w:val="es-ES"/>
        </w:rPr>
        <w:t>Desde esta perspectiva, ambas garantías constituyen una obligación de seguridad, es decir, aquella donde el interés del acreedor no consiste en una utilidad específica y tangible, sino en la tranquilidad frente a ciertos riesgos por la cobertura de sus consecuencias nocivas. Conforme al inciso segundo del artículo 7 de la Ley 1150 de 2007, pueden otorgarse a través de: i) contratos de seguro, ii) garantías bancarias o iii) los demás mecanismos de cobertura del riesgo que disponga el reglamento. Igualmente establece que “[…] tratándose de pólizas, las mismas no expirarán por falta de pago de la prima o por revocatoria unilateral […]”. Esta norma es una excepción a la terminación automática del contrato de seguro prevista en los artículos 1068 y 1071 del Código de Comercio</w:t>
      </w:r>
      <w:r w:rsidRPr="00983DE2">
        <w:rPr>
          <w:rStyle w:val="Refdenotaalpie"/>
          <w:rFonts w:ascii="Verdana" w:hAnsi="Verdana" w:cs="Arial"/>
          <w:color w:val="000000" w:themeColor="text1"/>
          <w:lang w:val="es-ES"/>
        </w:rPr>
        <w:footnoteReference w:id="6"/>
      </w:r>
      <w:r w:rsidRPr="00983DE2">
        <w:rPr>
          <w:rFonts w:ascii="Verdana" w:hAnsi="Verdana" w:cs="Arial"/>
          <w:color w:val="000000" w:themeColor="text1"/>
          <w:lang w:val="es-ES"/>
        </w:rPr>
        <w:t>. De esta manera, las garantías previstas en la ley tienen como objetivo asegurar la solvencia del garante</w:t>
      </w:r>
      <w:r w:rsidRPr="00983DE2">
        <w:rPr>
          <w:rStyle w:val="Refdenotaalpie"/>
          <w:rFonts w:ascii="Verdana" w:hAnsi="Verdana" w:cs="Arial"/>
          <w:color w:val="000000" w:themeColor="text1"/>
          <w:lang w:val="es-ES"/>
        </w:rPr>
        <w:footnoteReference w:id="7"/>
      </w:r>
      <w:r w:rsidRPr="00983DE2">
        <w:rPr>
          <w:rFonts w:ascii="Verdana" w:hAnsi="Verdana" w:cs="Arial"/>
          <w:color w:val="000000" w:themeColor="text1"/>
          <w:lang w:val="es-ES"/>
        </w:rPr>
        <w:t>.</w:t>
      </w:r>
    </w:p>
    <w:p w14:paraId="62E6FA1F" w14:textId="77777777" w:rsidR="00250090" w:rsidRPr="00983DE2" w:rsidRDefault="00250090" w:rsidP="00250090">
      <w:pPr>
        <w:spacing w:after="120" w:line="276" w:lineRule="auto"/>
        <w:ind w:firstLine="708"/>
        <w:jc w:val="both"/>
        <w:rPr>
          <w:rFonts w:ascii="Verdana" w:hAnsi="Verdana" w:cs="Arial"/>
          <w:color w:val="000000" w:themeColor="text1"/>
          <w:lang w:val="es-ES"/>
        </w:rPr>
      </w:pPr>
      <w:r w:rsidRPr="00983DE2">
        <w:rPr>
          <w:rFonts w:ascii="Verdana" w:hAnsi="Verdana" w:cs="Arial"/>
          <w:color w:val="000000" w:themeColor="text1"/>
          <w:lang w:val="es-ES"/>
        </w:rPr>
        <w:lastRenderedPageBreak/>
        <w:t xml:space="preserve">El Decreto 1082 de 2015 reglamenta las condiciones en que debe cumplirse esta obligación. Los artículos 2.2.1.2.3.1.1 a 2.2.1.2.3.1.19 del Decreto Único Reglamentario del sector Administrativo de Planeación Nacional regulan asuntos como las clases de garantías permitidas, la indivisibilidad de las mismas, los diferentes riesgos que deben ser objeto de garantía, la vigencia y valores mínimos que deben cubrir los amparos, entre otros aspectos. </w:t>
      </w:r>
    </w:p>
    <w:p w14:paraId="52165DD6" w14:textId="77777777" w:rsidR="00250090" w:rsidRPr="00983DE2" w:rsidRDefault="00250090" w:rsidP="00250090">
      <w:pPr>
        <w:spacing w:before="120" w:after="120" w:line="276" w:lineRule="auto"/>
        <w:ind w:firstLine="708"/>
        <w:jc w:val="both"/>
        <w:rPr>
          <w:rFonts w:ascii="Verdana" w:eastAsia="Times New Roman" w:hAnsi="Verdana" w:cs="Arial"/>
          <w:color w:val="000000" w:themeColor="text1"/>
          <w:lang w:val="es-ES" w:eastAsia="es-CO"/>
        </w:rPr>
      </w:pPr>
      <w:r w:rsidRPr="00983DE2">
        <w:rPr>
          <w:rFonts w:ascii="Verdana" w:hAnsi="Verdana" w:cs="Arial"/>
          <w:color w:val="000000" w:themeColor="text1"/>
          <w:lang w:val="es-ES"/>
        </w:rPr>
        <w:t>El artículo 2.2.1.2.3.1.3, por ejemplo, establece que la “garantía de cobertura del Riesgo es indivisible”, además de la obligación de los contratantes de establecer en los pliegos de condiciones las garantías exigidas para cada periodo contractual</w:t>
      </w:r>
      <w:r w:rsidRPr="00983DE2">
        <w:rPr>
          <w:rStyle w:val="Refdenotaalpie"/>
          <w:rFonts w:ascii="Verdana" w:hAnsi="Verdana" w:cs="Arial"/>
          <w:color w:val="000000" w:themeColor="text1"/>
          <w:lang w:val="es-ES"/>
        </w:rPr>
        <w:footnoteReference w:id="8"/>
      </w:r>
      <w:r w:rsidRPr="00983DE2">
        <w:rPr>
          <w:rFonts w:ascii="Verdana" w:hAnsi="Verdana" w:cs="Arial"/>
          <w:color w:val="000000" w:themeColor="text1"/>
          <w:lang w:val="es-ES"/>
        </w:rPr>
        <w:t xml:space="preserve">. Por su parte, el artículo 2.2.1.3.1.7 prescribe que la garantía de cumplimiento debe cubrir: i) el buen manejo y correcta inversión del anticipo; ii) la devolución del pago anticipado; iii) el cumplimiento del contrato; iv) el pago de salarios, prestaciones sociales legales e indemnizaciones laborales; v)  la estabilidad y calidad de la obra; vi) la </w:t>
      </w:r>
      <w:r w:rsidRPr="00983DE2">
        <w:rPr>
          <w:rFonts w:ascii="Verdana" w:eastAsia="Times New Roman" w:hAnsi="Verdana" w:cs="Arial"/>
          <w:color w:val="000000" w:themeColor="text1"/>
          <w:lang w:val="es-ES" w:eastAsia="es-CO"/>
        </w:rPr>
        <w:t xml:space="preserve">calidad del servicio; vii) la calidad y correcto funcionamiento de los bienes; y viii) los demás </w:t>
      </w:r>
      <w:r w:rsidRPr="00983DE2">
        <w:rPr>
          <w:rFonts w:ascii="Verdana" w:eastAsia="Times New Roman" w:hAnsi="Verdana" w:cs="Arial"/>
          <w:color w:val="000000" w:themeColor="text1"/>
          <w:lang w:val="es-ES" w:eastAsia="es-CO"/>
        </w:rPr>
        <w:lastRenderedPageBreak/>
        <w:t>incumplimientos de las obligaciones que la entidad estatal considere deben ser amparados</w:t>
      </w:r>
      <w:r w:rsidRPr="00983DE2">
        <w:rPr>
          <w:rStyle w:val="Refdenotaalpie"/>
          <w:rFonts w:ascii="Verdana" w:eastAsia="Times New Roman" w:hAnsi="Verdana" w:cs="Arial"/>
          <w:color w:val="000000" w:themeColor="text1"/>
          <w:lang w:val="es-ES" w:eastAsia="es-CO"/>
        </w:rPr>
        <w:footnoteReference w:id="9"/>
      </w:r>
      <w:r w:rsidRPr="00983DE2">
        <w:rPr>
          <w:rFonts w:ascii="Verdana" w:eastAsia="Times New Roman" w:hAnsi="Verdana" w:cs="Arial"/>
          <w:color w:val="000000" w:themeColor="text1"/>
          <w:lang w:val="es-ES" w:eastAsia="es-CO"/>
        </w:rPr>
        <w:t xml:space="preserve">. </w:t>
      </w:r>
    </w:p>
    <w:p w14:paraId="3F1ACE22" w14:textId="77777777" w:rsidR="00250090" w:rsidRPr="00983DE2" w:rsidRDefault="00250090" w:rsidP="00250090">
      <w:pPr>
        <w:spacing w:before="120" w:after="120" w:line="276" w:lineRule="auto"/>
        <w:ind w:firstLine="708"/>
        <w:jc w:val="both"/>
        <w:rPr>
          <w:rFonts w:ascii="Verdana" w:eastAsia="Times New Roman" w:hAnsi="Verdana" w:cs="Arial"/>
          <w:color w:val="000000" w:themeColor="text1"/>
          <w:lang w:val="es-ES" w:eastAsia="es-CO"/>
        </w:rPr>
      </w:pPr>
      <w:r w:rsidRPr="00983DE2">
        <w:rPr>
          <w:rFonts w:ascii="Verdana" w:eastAsia="Times New Roman" w:hAnsi="Verdana" w:cs="Arial"/>
          <w:color w:val="000000" w:themeColor="text1"/>
          <w:lang w:val="es-ES" w:eastAsia="es-CO"/>
        </w:rPr>
        <w:t xml:space="preserve">En torno al amparo de </w:t>
      </w:r>
      <w:r w:rsidRPr="00983DE2">
        <w:rPr>
          <w:rFonts w:ascii="Verdana" w:eastAsia="Times New Roman" w:hAnsi="Verdana" w:cs="Arial"/>
          <w:i/>
          <w:iCs/>
          <w:color w:val="000000" w:themeColor="text1"/>
          <w:lang w:val="es-ES" w:eastAsia="es-CO"/>
        </w:rPr>
        <w:t>responsabilidad civil extracontractual</w:t>
      </w:r>
      <w:r w:rsidRPr="00983DE2">
        <w:rPr>
          <w:rFonts w:ascii="Verdana" w:eastAsia="Times New Roman" w:hAnsi="Verdana" w:cs="Arial"/>
          <w:color w:val="000000" w:themeColor="text1"/>
          <w:lang w:val="es-ES" w:eastAsia="es-CO"/>
        </w:rPr>
        <w:t>,</w:t>
      </w:r>
      <w:r w:rsidRPr="00983DE2">
        <w:rPr>
          <w:rFonts w:ascii="Verdana" w:eastAsia="Times New Roman" w:hAnsi="Verdana" w:cs="Arial"/>
          <w:b/>
          <w:bCs/>
          <w:color w:val="000000" w:themeColor="text1"/>
          <w:lang w:val="es-ES" w:eastAsia="es-CO"/>
        </w:rPr>
        <w:t xml:space="preserve"> </w:t>
      </w:r>
      <w:r w:rsidRPr="00983DE2">
        <w:rPr>
          <w:rFonts w:ascii="Verdana" w:eastAsia="Times New Roman" w:hAnsi="Verdana" w:cs="Arial"/>
          <w:color w:val="000000" w:themeColor="text1"/>
          <w:lang w:val="es-ES" w:eastAsia="es-CO"/>
        </w:rPr>
        <w:t xml:space="preserve">el Artículo 2.2.1.2.3.1.5. establece sobre la cobertura del Riesgo de responsabilidad civil extracontractual que este se deriva de las actuaciones, hechos u omisiones de los contratistas o subcontratistas y solamente puede ser amparada con un contrato de seguro. Adicionalmente, es obligatorio en los contratos de obra, así como en aquellos en que por su objeto o naturaleza se considere necesario con ocasión de los riesgos previstos en el negocio, para efectos de la cobertura frente a eventuales reclamaciones de terceros que surja de las actuaciones, hechos u omisiones de su contratista. De acuerdo con el inciso segundo del artículo 2.2.1.2.3.1.8 </w:t>
      </w:r>
      <w:r w:rsidRPr="00983DE2">
        <w:rPr>
          <w:rFonts w:ascii="Verdana" w:eastAsia="Times New Roman" w:hAnsi="Verdana" w:cs="Arial"/>
          <w:i/>
          <w:iCs/>
          <w:color w:val="000000" w:themeColor="text1"/>
          <w:lang w:val="es-ES" w:eastAsia="es-CO"/>
        </w:rPr>
        <w:t>ibidem</w:t>
      </w:r>
      <w:r w:rsidRPr="00983DE2">
        <w:rPr>
          <w:rFonts w:ascii="Verdana" w:eastAsia="Times New Roman" w:hAnsi="Verdana" w:cs="Arial"/>
          <w:color w:val="000000" w:themeColor="text1"/>
          <w:lang w:val="es-ES" w:eastAsia="es-CO"/>
        </w:rPr>
        <w:t xml:space="preserve">, “La Entidad Estatal debe exigir que la póliza de responsabilidad extracontractual cubra también los perjuicios ocasionados por eventuales reclamaciones de terceros derivadas de la responsabilidad extracontractual que surjan de las actuaciones, hechos u omisiones de los subcontratistas autorizados o en su defecto, que acredite que el subcontratista </w:t>
      </w:r>
      <w:r w:rsidRPr="00983DE2">
        <w:rPr>
          <w:rFonts w:ascii="Verdana" w:eastAsia="Times New Roman" w:hAnsi="Verdana" w:cs="Arial"/>
          <w:color w:val="000000" w:themeColor="text1"/>
          <w:lang w:val="es-ES" w:eastAsia="es-CO"/>
        </w:rPr>
        <w:lastRenderedPageBreak/>
        <w:t>cuenta con un seguro propio con el mismo objeto y que la Entidad Estatal sea el asegurado”.</w:t>
      </w:r>
    </w:p>
    <w:p w14:paraId="0262BDB4" w14:textId="77777777" w:rsidR="00250090" w:rsidRPr="00983DE2" w:rsidRDefault="00250090" w:rsidP="00250090">
      <w:pPr>
        <w:spacing w:before="120" w:after="120" w:line="276" w:lineRule="auto"/>
        <w:ind w:firstLine="708"/>
        <w:jc w:val="both"/>
        <w:rPr>
          <w:rFonts w:ascii="Verdana" w:eastAsia="Times New Roman" w:hAnsi="Verdana" w:cs="Arial"/>
          <w:color w:val="000000" w:themeColor="text1"/>
          <w:lang w:val="es-ES" w:eastAsia="es-CO"/>
        </w:rPr>
      </w:pPr>
      <w:r w:rsidRPr="00983DE2">
        <w:rPr>
          <w:rFonts w:ascii="Verdana" w:eastAsia="Times New Roman" w:hAnsi="Verdana" w:cs="Arial"/>
          <w:color w:val="000000" w:themeColor="text1"/>
          <w:lang w:val="es-ES" w:eastAsia="es-CO"/>
        </w:rPr>
        <w:t xml:space="preserve">Con el fin de asegurar la cobertura de este riesgo es responsabilidad de las Entidades Estatales verificar que el contrato de seguro en particular cumpla con los requisitos exigidos por la normativa en materia de contratación estatal. El inciso tercero del artículo 7 de la Ley 1150 de 2007 dispone que “El Gobierno Nacional señalará los criterios que seguirán las entidades para la exigencia de garantías, las clases y niveles de amparo de los riesgos de los contratos […]”, de manera que los contratos de seguro que sean presentados en el marco de los procesos de contratación estatal deben cumplir de manera estricta con lo establecido en el Decreto 1082 de 2015, el cual señala los requisitos aplicables para quienes participen y suscriban este tipo de contratos. </w:t>
      </w:r>
    </w:p>
    <w:p w14:paraId="21146395" w14:textId="77777777" w:rsidR="00250090" w:rsidRPr="00983DE2" w:rsidRDefault="00250090" w:rsidP="00250090">
      <w:pPr>
        <w:spacing w:before="120" w:after="120" w:line="276" w:lineRule="auto"/>
        <w:ind w:firstLine="708"/>
        <w:jc w:val="both"/>
        <w:rPr>
          <w:rFonts w:ascii="Verdana" w:hAnsi="Verdana" w:cs="Arial"/>
          <w:color w:val="000000" w:themeColor="text1"/>
          <w:lang w:val="es-ES"/>
        </w:rPr>
      </w:pPr>
      <w:r w:rsidRPr="00983DE2">
        <w:rPr>
          <w:rFonts w:ascii="Verdana" w:eastAsia="Times New Roman" w:hAnsi="Verdana" w:cs="Arial"/>
          <w:color w:val="000000" w:themeColor="text1"/>
          <w:lang w:val="es-ES" w:eastAsia="es-CO"/>
        </w:rPr>
        <w:t xml:space="preserve">En primer lugar, la entidad debe verificar que la garantía cumpla con el requisito de indivisibilidad establecido en el artículo 2.2.1.2.3.1.3. del Decreto 1082 de 2015. Tal como lo señala esta norma </w:t>
      </w:r>
      <w:r w:rsidRPr="00983DE2">
        <w:rPr>
          <w:rFonts w:ascii="Verdana" w:hAnsi="Verdana" w:cs="Arial"/>
          <w:color w:val="000000" w:themeColor="text1"/>
          <w:lang w:val="es-ES"/>
        </w:rPr>
        <w:t xml:space="preserve">la garantía de cobertura del riesgo en materia contractual pública es indivisible. Sin embargo, en los contratos que tengan un plazo mayor a cinco (5) años las garantías pueden cubrir los riesgos de la etapa del contrato o del periodo Contractual, de acuerdo con lo previsto en el contrato. En estos casos,  la Entidad Estatal debe indicar en los pliegos de condiciones las garantías que exige en cada etapa del contrato o cada periodo contractual en la forma señalada en el Decreto reglamentario. </w:t>
      </w:r>
    </w:p>
    <w:p w14:paraId="263CFFA8" w14:textId="77777777" w:rsidR="00250090" w:rsidRPr="00983DE2" w:rsidRDefault="00250090" w:rsidP="00250090">
      <w:pPr>
        <w:spacing w:before="120" w:after="120" w:line="276" w:lineRule="auto"/>
        <w:ind w:firstLine="708"/>
        <w:jc w:val="both"/>
        <w:rPr>
          <w:rFonts w:ascii="Verdana" w:hAnsi="Verdana" w:cs="Arial"/>
          <w:color w:val="000000" w:themeColor="text1"/>
          <w:lang w:val="es-ES"/>
        </w:rPr>
      </w:pPr>
      <w:r w:rsidRPr="00983DE2">
        <w:rPr>
          <w:rFonts w:ascii="Verdana" w:hAnsi="Verdana" w:cs="Arial"/>
          <w:color w:val="000000" w:themeColor="text1"/>
          <w:lang w:val="es-ES"/>
        </w:rPr>
        <w:t xml:space="preserve">Esta regla supone que un contrato estatal debe estar amparado a través de </w:t>
      </w:r>
      <w:r w:rsidRPr="00983DE2">
        <w:rPr>
          <w:rFonts w:ascii="Verdana" w:hAnsi="Verdana" w:cs="Arial"/>
          <w:i/>
          <w:color w:val="000000" w:themeColor="text1"/>
          <w:lang w:val="es-ES"/>
        </w:rPr>
        <w:t>una sola garantía</w:t>
      </w:r>
      <w:r w:rsidRPr="00983DE2">
        <w:rPr>
          <w:rFonts w:ascii="Verdana" w:hAnsi="Verdana" w:cs="Arial"/>
          <w:color w:val="000000" w:themeColor="text1"/>
          <w:lang w:val="es-ES"/>
        </w:rPr>
        <w:t>. La excepción son los contratos que tengan un plazo de ejecución mayor a 5 años. Para estos contratos la garantía se podrá dividir. En este supuesto, las entidades estatales cuentan con varias opciones para dividir las garantías como exigir una garantía independiente para cada etapa del contrato, una independiente para cada periodo contractual o una garantía independiente para cada unidad funcional.</w:t>
      </w:r>
      <w:r w:rsidRPr="00983DE2">
        <w:rPr>
          <w:lang w:val="es-ES"/>
        </w:rPr>
        <w:t xml:space="preserve"> </w:t>
      </w:r>
      <w:r w:rsidRPr="00983DE2">
        <w:rPr>
          <w:rFonts w:ascii="Verdana" w:hAnsi="Verdana" w:cs="Arial"/>
          <w:color w:val="000000" w:themeColor="text1"/>
          <w:lang w:val="es-ES"/>
        </w:rPr>
        <w:t>Conforme a lo anterior, si la Entidad Estatal celebra un contrato cuyo plazo de ejecución es mayor a cinco (5) años, puede pactar en el contrato que las garantías cubran los riegos de cada etapa del contrato, periodo contractual o unidad funcional, caso en el cual el pliego de condiciones regulará las garantías teniendo en cuenta lo siguiente: i) se identificará la</w:t>
      </w:r>
      <w:r w:rsidRPr="00983DE2">
        <w:rPr>
          <w:lang w:val="es-ES"/>
        </w:rPr>
        <w:t xml:space="preserve"> </w:t>
      </w:r>
      <w:r w:rsidRPr="00983DE2">
        <w:rPr>
          <w:rFonts w:ascii="Verdana" w:hAnsi="Verdana" w:cs="Arial"/>
          <w:color w:val="000000" w:themeColor="text1"/>
          <w:lang w:val="es-ES"/>
        </w:rPr>
        <w:t xml:space="preserve">garantía que ampara los riesgos para cada etapa del contrato o periodo contractual, pero, además, la vigencia que rige para cada uno –que en todo caso no puede ser menor al plazo de ejecución definido para cada etapa </w:t>
      </w:r>
      <w:r w:rsidRPr="00983DE2">
        <w:rPr>
          <w:rFonts w:ascii="Verdana" w:hAnsi="Verdana" w:cs="Arial"/>
          <w:color w:val="000000" w:themeColor="text1"/>
          <w:lang w:val="es-ES"/>
        </w:rPr>
        <w:lastRenderedPageBreak/>
        <w:t>del contrato o periodo contractual–, y ii) el monto de los amparos se calculará tomando el valor de las obligaciones del contratista para cada etapa del contrato o periodo contractual, y además, regirán las reglas de suficiencia definidas en los artículos 2.2.1.2.3.1.9. al 2.2.1.2.3.1.17. del Decreto 1082 de 2015</w:t>
      </w:r>
      <w:r w:rsidRPr="00983DE2">
        <w:rPr>
          <w:rStyle w:val="Refdenotaalpie"/>
          <w:rFonts w:ascii="Verdana" w:hAnsi="Verdana" w:cs="Arial"/>
          <w:color w:val="000000" w:themeColor="text1"/>
          <w:lang w:val="es-ES"/>
        </w:rPr>
        <w:footnoteReference w:id="10"/>
      </w:r>
      <w:r w:rsidRPr="00983DE2">
        <w:rPr>
          <w:rFonts w:ascii="Verdana" w:hAnsi="Verdana" w:cs="Arial"/>
          <w:color w:val="000000" w:themeColor="text1"/>
          <w:lang w:val="es-ES"/>
        </w:rPr>
        <w:t>.</w:t>
      </w:r>
    </w:p>
    <w:p w14:paraId="0D28A72D" w14:textId="77777777" w:rsidR="00250090" w:rsidRPr="00983DE2" w:rsidRDefault="00250090" w:rsidP="00250090">
      <w:pPr>
        <w:spacing w:before="120" w:after="0" w:line="276" w:lineRule="auto"/>
        <w:ind w:firstLine="708"/>
        <w:jc w:val="both"/>
        <w:rPr>
          <w:rFonts w:ascii="Verdana" w:hAnsi="Verdana" w:cs="Arial"/>
          <w:color w:val="000000" w:themeColor="text1"/>
          <w:lang w:val="es-ES"/>
        </w:rPr>
      </w:pPr>
      <w:r w:rsidRPr="00983DE2">
        <w:rPr>
          <w:rFonts w:ascii="Verdana" w:hAnsi="Verdana" w:cs="Arial"/>
          <w:color w:val="000000" w:themeColor="text1"/>
          <w:lang w:val="es-ES"/>
        </w:rPr>
        <w:t xml:space="preserve">En segundo lugar, el amparo de responsabilidad civil extracontractual debe cumplir con los requisitos dispuestos </w:t>
      </w:r>
      <w:r w:rsidRPr="00983DE2">
        <w:rPr>
          <w:rFonts w:ascii="Verdana" w:eastAsia="Times New Roman" w:hAnsi="Verdana" w:cs="Arial"/>
          <w:color w:val="000000" w:themeColor="text1"/>
          <w:lang w:val="es-ES" w:eastAsia="es-CO"/>
        </w:rPr>
        <w:t>en el artículo 2.2.1.2.3.2.9</w:t>
      </w:r>
      <w:r w:rsidRPr="00983DE2">
        <w:rPr>
          <w:rStyle w:val="Refdenotaalpie"/>
          <w:rFonts w:ascii="Verdana" w:eastAsia="Times New Roman" w:hAnsi="Verdana" w:cs="Arial"/>
          <w:color w:val="000000" w:themeColor="text1"/>
          <w:lang w:val="es-ES" w:eastAsia="es-CO"/>
        </w:rPr>
        <w:footnoteReference w:id="11"/>
      </w:r>
      <w:r w:rsidRPr="00983DE2">
        <w:rPr>
          <w:rFonts w:ascii="Verdana" w:eastAsia="Times New Roman" w:hAnsi="Verdana" w:cs="Arial"/>
          <w:color w:val="000000" w:themeColor="text1"/>
          <w:lang w:val="es-ES" w:eastAsia="es-CO"/>
        </w:rPr>
        <w:t>, es decir:</w:t>
      </w:r>
    </w:p>
    <w:p w14:paraId="6BA22656" w14:textId="77777777" w:rsidR="00250090" w:rsidRPr="00983DE2" w:rsidRDefault="00250090" w:rsidP="00250090">
      <w:pPr>
        <w:spacing w:after="0" w:line="276" w:lineRule="auto"/>
        <w:ind w:firstLine="708"/>
        <w:jc w:val="both"/>
        <w:rPr>
          <w:rFonts w:ascii="Verdana" w:eastAsia="Times New Roman" w:hAnsi="Verdana" w:cs="Arial"/>
          <w:color w:val="000000" w:themeColor="text1"/>
          <w:lang w:val="es-ES" w:eastAsia="es-CO"/>
        </w:rPr>
      </w:pPr>
    </w:p>
    <w:p w14:paraId="46A5ABE6" w14:textId="77777777" w:rsidR="00250090" w:rsidRPr="00983DE2" w:rsidRDefault="00250090" w:rsidP="00250090">
      <w:pPr>
        <w:pStyle w:val="Textonotapie"/>
        <w:snapToGrid w:val="0"/>
        <w:ind w:left="709" w:right="709"/>
        <w:contextualSpacing/>
        <w:jc w:val="both"/>
        <w:rPr>
          <w:rFonts w:ascii="Verdana" w:hAnsi="Verdana"/>
          <w:sz w:val="21"/>
          <w:szCs w:val="21"/>
          <w:lang w:val="es-ES"/>
        </w:rPr>
      </w:pPr>
      <w:r w:rsidRPr="00983DE2">
        <w:rPr>
          <w:rFonts w:ascii="Verdana" w:hAnsi="Verdana"/>
          <w:sz w:val="21"/>
          <w:szCs w:val="21"/>
          <w:lang w:val="es-ES"/>
        </w:rPr>
        <w:t xml:space="preserve"> “1. Modalidad de ocurrencia. La compañía de seguros debe expedir el amparo en la modalidad de ocurrencia. En consecuencia, el contrato de seguro no puede establecer términos para presentar la reclamación, inferiores a los términos de prescripción previstos en la ley para la acción de responsabilidad correspondiente.</w:t>
      </w:r>
    </w:p>
    <w:p w14:paraId="5CC07DBB" w14:textId="77777777" w:rsidR="00250090" w:rsidRPr="00983DE2" w:rsidRDefault="00250090" w:rsidP="00250090">
      <w:pPr>
        <w:pStyle w:val="Textonotapie"/>
        <w:snapToGrid w:val="0"/>
        <w:ind w:left="709" w:right="709"/>
        <w:contextualSpacing/>
        <w:jc w:val="both"/>
        <w:rPr>
          <w:rFonts w:ascii="Verdana" w:hAnsi="Verdana"/>
          <w:sz w:val="21"/>
          <w:szCs w:val="21"/>
          <w:lang w:val="es-ES"/>
        </w:rPr>
      </w:pPr>
    </w:p>
    <w:p w14:paraId="5FA44D57" w14:textId="77777777" w:rsidR="00250090" w:rsidRPr="00983DE2" w:rsidRDefault="00250090" w:rsidP="00250090">
      <w:pPr>
        <w:pStyle w:val="Textonotapie"/>
        <w:snapToGrid w:val="0"/>
        <w:ind w:left="709" w:right="709"/>
        <w:contextualSpacing/>
        <w:jc w:val="both"/>
        <w:rPr>
          <w:rFonts w:ascii="Verdana" w:hAnsi="Verdana"/>
          <w:sz w:val="21"/>
          <w:szCs w:val="21"/>
          <w:lang w:val="es-ES"/>
        </w:rPr>
      </w:pPr>
      <w:r w:rsidRPr="00983DE2">
        <w:rPr>
          <w:rFonts w:ascii="Verdana" w:hAnsi="Verdana"/>
          <w:sz w:val="21"/>
          <w:szCs w:val="21"/>
          <w:lang w:val="es-ES"/>
        </w:rPr>
        <w:t>2. Intervinientes. La Entidad Estatal y el contratista deben tener la calidad de asegurado respecto de los daños producidos por el contratista con ocasión de la ejecución del contrato amparado, y serán beneficiarios tanto la Entidad Estatal como los terceros que puedan resultar afectados por la responsabilidad del contratista o sus subcontratistas.</w:t>
      </w:r>
    </w:p>
    <w:p w14:paraId="3D37FDB7" w14:textId="77777777" w:rsidR="00250090" w:rsidRPr="00983DE2" w:rsidRDefault="00250090" w:rsidP="00250090">
      <w:pPr>
        <w:pStyle w:val="Textonotapie"/>
        <w:snapToGrid w:val="0"/>
        <w:ind w:left="709" w:right="709"/>
        <w:contextualSpacing/>
        <w:jc w:val="both"/>
        <w:rPr>
          <w:rFonts w:ascii="Verdana" w:hAnsi="Verdana"/>
          <w:sz w:val="21"/>
          <w:szCs w:val="21"/>
          <w:lang w:val="es-ES"/>
        </w:rPr>
      </w:pPr>
    </w:p>
    <w:p w14:paraId="280D19AB" w14:textId="77777777" w:rsidR="00250090" w:rsidRPr="00983DE2" w:rsidRDefault="00250090" w:rsidP="00250090">
      <w:pPr>
        <w:snapToGrid w:val="0"/>
        <w:spacing w:after="0" w:line="240" w:lineRule="auto"/>
        <w:ind w:left="709" w:right="709"/>
        <w:contextualSpacing/>
        <w:jc w:val="both"/>
        <w:rPr>
          <w:rFonts w:ascii="Verdana" w:hAnsi="Verdana"/>
          <w:sz w:val="21"/>
          <w:szCs w:val="21"/>
          <w:lang w:val="es-ES"/>
        </w:rPr>
      </w:pPr>
      <w:r w:rsidRPr="00983DE2">
        <w:rPr>
          <w:rFonts w:ascii="Verdana" w:hAnsi="Verdana"/>
          <w:sz w:val="21"/>
          <w:szCs w:val="21"/>
          <w:lang w:val="es-ES"/>
        </w:rPr>
        <w:t>3. Amparos. El amparo de responsabilidad civil extracontractual debe contener además de la cobertura básica de predios, labores y operaciones, mínimo los siguientes amparos:</w:t>
      </w:r>
    </w:p>
    <w:p w14:paraId="199E73D7" w14:textId="77777777" w:rsidR="00250090" w:rsidRPr="00983DE2" w:rsidRDefault="00250090" w:rsidP="00250090">
      <w:pPr>
        <w:snapToGrid w:val="0"/>
        <w:spacing w:after="0" w:line="240" w:lineRule="auto"/>
        <w:ind w:left="709" w:right="709"/>
        <w:contextualSpacing/>
        <w:jc w:val="both"/>
        <w:rPr>
          <w:rFonts w:ascii="Verdana" w:hAnsi="Verdana"/>
          <w:sz w:val="21"/>
          <w:szCs w:val="21"/>
          <w:lang w:val="es-ES"/>
        </w:rPr>
      </w:pPr>
      <w:r w:rsidRPr="00983DE2">
        <w:rPr>
          <w:rFonts w:ascii="Verdana" w:hAnsi="Verdana"/>
          <w:sz w:val="21"/>
          <w:szCs w:val="21"/>
          <w:lang w:val="es-ES"/>
        </w:rPr>
        <w:t xml:space="preserve"> 3.1. Cobertura expresa de perjuicios por daño emergente y lucro cesante. </w:t>
      </w:r>
    </w:p>
    <w:p w14:paraId="6ECEB3DA" w14:textId="77777777" w:rsidR="00250090" w:rsidRPr="00983DE2" w:rsidRDefault="00250090" w:rsidP="00250090">
      <w:pPr>
        <w:snapToGrid w:val="0"/>
        <w:spacing w:after="0" w:line="240" w:lineRule="auto"/>
        <w:ind w:left="709" w:right="709"/>
        <w:contextualSpacing/>
        <w:jc w:val="both"/>
        <w:rPr>
          <w:rFonts w:ascii="Verdana" w:hAnsi="Verdana"/>
          <w:sz w:val="21"/>
          <w:szCs w:val="21"/>
          <w:lang w:val="es-ES"/>
        </w:rPr>
      </w:pPr>
      <w:r w:rsidRPr="00983DE2">
        <w:rPr>
          <w:rFonts w:ascii="Verdana" w:hAnsi="Verdana"/>
          <w:sz w:val="21"/>
          <w:szCs w:val="21"/>
          <w:lang w:val="es-ES"/>
        </w:rPr>
        <w:lastRenderedPageBreak/>
        <w:t xml:space="preserve">3.2. Cobertura expresa de perjuicios extrapatrimoniales. </w:t>
      </w:r>
    </w:p>
    <w:p w14:paraId="0AD6AD9B" w14:textId="77777777" w:rsidR="00250090" w:rsidRPr="00983DE2" w:rsidRDefault="00250090" w:rsidP="00250090">
      <w:pPr>
        <w:snapToGrid w:val="0"/>
        <w:spacing w:after="0" w:line="240" w:lineRule="auto"/>
        <w:ind w:left="709" w:right="709"/>
        <w:contextualSpacing/>
        <w:jc w:val="both"/>
        <w:rPr>
          <w:rFonts w:ascii="Verdana" w:hAnsi="Verdana"/>
          <w:sz w:val="21"/>
          <w:szCs w:val="21"/>
          <w:lang w:val="es-ES"/>
        </w:rPr>
      </w:pPr>
      <w:r w:rsidRPr="00983DE2">
        <w:rPr>
          <w:rFonts w:ascii="Verdana" w:hAnsi="Verdana"/>
          <w:sz w:val="21"/>
          <w:szCs w:val="21"/>
          <w:lang w:val="es-ES"/>
        </w:rPr>
        <w:t xml:space="preserve">3.3. Cobertura expresa de la responsabilidad surgida por actos de contratistas y subcontratistas, salvo que el subcontratista tenga su propio seguro de responsabilidad extracontractual, con los mismos amparos aquí requeridos. </w:t>
      </w:r>
    </w:p>
    <w:p w14:paraId="68CECD13" w14:textId="77777777" w:rsidR="00250090" w:rsidRPr="00983DE2" w:rsidRDefault="00250090" w:rsidP="00250090">
      <w:pPr>
        <w:snapToGrid w:val="0"/>
        <w:spacing w:after="0" w:line="240" w:lineRule="auto"/>
        <w:ind w:left="709" w:right="709"/>
        <w:contextualSpacing/>
        <w:jc w:val="both"/>
        <w:rPr>
          <w:rFonts w:ascii="Verdana" w:hAnsi="Verdana"/>
          <w:sz w:val="21"/>
          <w:szCs w:val="21"/>
          <w:lang w:val="es-ES"/>
        </w:rPr>
      </w:pPr>
      <w:r w:rsidRPr="00983DE2">
        <w:rPr>
          <w:rFonts w:ascii="Verdana" w:hAnsi="Verdana"/>
          <w:sz w:val="21"/>
          <w:szCs w:val="21"/>
          <w:lang w:val="es-ES"/>
        </w:rPr>
        <w:t xml:space="preserve">3.4. Cobertura expresa de amparo patronal. </w:t>
      </w:r>
    </w:p>
    <w:p w14:paraId="609E53D4" w14:textId="77777777" w:rsidR="00250090" w:rsidRPr="00983DE2" w:rsidRDefault="00250090" w:rsidP="00250090">
      <w:pPr>
        <w:snapToGrid w:val="0"/>
        <w:spacing w:after="0" w:line="240" w:lineRule="auto"/>
        <w:ind w:left="709" w:right="709"/>
        <w:contextualSpacing/>
        <w:jc w:val="both"/>
        <w:rPr>
          <w:rFonts w:ascii="Verdana" w:eastAsia="Times New Roman" w:hAnsi="Verdana" w:cs="Arial"/>
          <w:color w:val="000000" w:themeColor="text1"/>
          <w:sz w:val="21"/>
          <w:szCs w:val="21"/>
          <w:lang w:val="es-ES" w:eastAsia="es-CO"/>
        </w:rPr>
      </w:pPr>
      <w:r w:rsidRPr="00983DE2">
        <w:rPr>
          <w:rFonts w:ascii="Verdana" w:hAnsi="Verdana"/>
          <w:sz w:val="21"/>
          <w:szCs w:val="21"/>
          <w:lang w:val="es-ES"/>
        </w:rPr>
        <w:t>3.5. Cobertura expresa de vehículos propios y no propios”.</w:t>
      </w:r>
    </w:p>
    <w:p w14:paraId="3502C482" w14:textId="77777777" w:rsidR="00250090" w:rsidRPr="00983DE2" w:rsidRDefault="00250090" w:rsidP="00250090">
      <w:pPr>
        <w:pStyle w:val="Textonotapie"/>
        <w:snapToGrid w:val="0"/>
        <w:ind w:right="709"/>
        <w:contextualSpacing/>
        <w:jc w:val="both"/>
        <w:rPr>
          <w:rFonts w:ascii="Verdana" w:eastAsia="Times New Roman" w:hAnsi="Verdana" w:cs="Arial"/>
          <w:color w:val="000000" w:themeColor="text1"/>
          <w:lang w:val="es-ES" w:eastAsia="es-CO"/>
        </w:rPr>
      </w:pPr>
    </w:p>
    <w:p w14:paraId="4639768F" w14:textId="77777777" w:rsidR="00250090" w:rsidRPr="00983DE2" w:rsidRDefault="00250090" w:rsidP="00250090">
      <w:pPr>
        <w:spacing w:before="120" w:after="120" w:line="276" w:lineRule="auto"/>
        <w:ind w:firstLine="708"/>
        <w:jc w:val="both"/>
        <w:rPr>
          <w:rFonts w:ascii="Verdana" w:eastAsia="Times New Roman" w:hAnsi="Verdana" w:cs="Arial"/>
          <w:color w:val="000000" w:themeColor="text1"/>
          <w:lang w:val="es-ES" w:eastAsia="es-CO"/>
        </w:rPr>
      </w:pPr>
      <w:r w:rsidRPr="00983DE2">
        <w:rPr>
          <w:rFonts w:ascii="Verdana" w:eastAsia="Times New Roman" w:hAnsi="Verdana" w:cs="Arial"/>
          <w:color w:val="000000" w:themeColor="text1"/>
          <w:lang w:val="es-ES" w:eastAsia="es-CO"/>
        </w:rPr>
        <w:t>En efecto, en la garantía que respalde el riesgo de responsabilidad civil extracontractual l</w:t>
      </w:r>
      <w:r w:rsidRPr="00983DE2">
        <w:rPr>
          <w:rFonts w:ascii="Verdana" w:hAnsi="Verdana"/>
          <w:lang w:val="es-ES"/>
        </w:rPr>
        <w:t xml:space="preserve">a Entidad Estatal y el contratista deben tener la calidad de asegurado </w:t>
      </w:r>
      <w:r w:rsidRPr="00983DE2">
        <w:rPr>
          <w:rFonts w:ascii="Verdana" w:eastAsia="Times New Roman" w:hAnsi="Verdana" w:cs="Arial"/>
          <w:color w:val="000000" w:themeColor="text1"/>
          <w:lang w:val="es-ES" w:eastAsia="es-CO"/>
        </w:rPr>
        <w:t xml:space="preserve">respecto de los daños producidos por el contratista con ocasión de la ejecución del contrato amparado. Adicionalmente, tanto la Entidad Estatal como los terceros que puedan resultar afectados por la responsabilidad del contratista o sus subcontratistas deben figurar como beneficiarios. El cumplimiento de este requisito debe ser verificado por la entidad estatal para la aprobación de la garantía y el inicio de la ejecución contractual. </w:t>
      </w:r>
    </w:p>
    <w:p w14:paraId="258622CB" w14:textId="77777777" w:rsidR="00250090" w:rsidRPr="00983DE2" w:rsidRDefault="00250090" w:rsidP="00250090">
      <w:pPr>
        <w:spacing w:before="120" w:after="0" w:line="276" w:lineRule="auto"/>
        <w:ind w:firstLine="708"/>
        <w:jc w:val="both"/>
        <w:rPr>
          <w:rFonts w:ascii="Verdana" w:hAnsi="Verdana"/>
          <w:lang w:val="es-ES"/>
        </w:rPr>
      </w:pPr>
      <w:r w:rsidRPr="00983DE2">
        <w:rPr>
          <w:rFonts w:ascii="Verdana" w:eastAsia="Times New Roman" w:hAnsi="Verdana" w:cs="Arial"/>
          <w:color w:val="000000" w:themeColor="text1"/>
          <w:lang w:val="es-ES" w:eastAsia="es-CO"/>
        </w:rPr>
        <w:t>Tercero, el seguro de responsabilidad civil extracontractual debe cumplir con los valores mínimos de suficiencia que establece el artículo 2.2.1.2.3.1.17. En efecto, la entidad debe</w:t>
      </w:r>
      <w:r w:rsidRPr="00983DE2">
        <w:rPr>
          <w:rFonts w:ascii="Verdana" w:hAnsi="Verdana"/>
          <w:lang w:val="es-ES"/>
        </w:rPr>
        <w:t xml:space="preserve"> verificar que el valor asegurado por los contratos de seguro que amparan la responsabilidad civil extracontractual no sea inferior a: </w:t>
      </w:r>
    </w:p>
    <w:p w14:paraId="25F18D3B" w14:textId="77777777" w:rsidR="00250090" w:rsidRPr="00983DE2" w:rsidRDefault="00250090" w:rsidP="00250090">
      <w:pPr>
        <w:spacing w:after="0" w:line="276" w:lineRule="auto"/>
        <w:ind w:firstLine="708"/>
        <w:jc w:val="both"/>
        <w:rPr>
          <w:rFonts w:ascii="Verdana" w:hAnsi="Verdana"/>
          <w:lang w:val="es-ES"/>
        </w:rPr>
      </w:pPr>
    </w:p>
    <w:p w14:paraId="3EC3CED9" w14:textId="77777777" w:rsidR="00250090" w:rsidRPr="00983DE2" w:rsidRDefault="00250090" w:rsidP="00250090">
      <w:pPr>
        <w:pStyle w:val="Textonotapie"/>
        <w:snapToGrid w:val="0"/>
        <w:ind w:left="709"/>
        <w:contextualSpacing/>
        <w:jc w:val="both"/>
        <w:rPr>
          <w:rFonts w:ascii="Verdana" w:hAnsi="Verdana"/>
          <w:sz w:val="22"/>
          <w:szCs w:val="22"/>
          <w:lang w:val="es-ES"/>
        </w:rPr>
      </w:pPr>
      <w:r w:rsidRPr="00983DE2">
        <w:rPr>
          <w:rFonts w:ascii="Verdana" w:eastAsia="Times New Roman" w:hAnsi="Verdana" w:cs="Arial"/>
          <w:color w:val="000000" w:themeColor="text1"/>
          <w:sz w:val="21"/>
          <w:szCs w:val="21"/>
          <w:lang w:val="es-ES" w:eastAsia="es-CO"/>
        </w:rPr>
        <w:t>“1. Doscientos (200) smmlv para contratos cuyo valor sea inferior o igual a mil quinientos (1.500) smmlv. </w:t>
      </w:r>
    </w:p>
    <w:p w14:paraId="78E3406F" w14:textId="77777777" w:rsidR="00250090" w:rsidRPr="00983DE2" w:rsidRDefault="00250090" w:rsidP="00250090">
      <w:pPr>
        <w:pStyle w:val="Textonotapie"/>
        <w:snapToGrid w:val="0"/>
        <w:spacing w:before="120"/>
        <w:ind w:left="709" w:right="709"/>
        <w:contextualSpacing/>
        <w:jc w:val="both"/>
        <w:rPr>
          <w:rFonts w:ascii="Verdana" w:eastAsia="Times New Roman" w:hAnsi="Verdana" w:cs="Arial"/>
          <w:color w:val="000000" w:themeColor="text1"/>
          <w:sz w:val="21"/>
          <w:szCs w:val="21"/>
          <w:lang w:val="es-ES" w:eastAsia="es-CO"/>
        </w:rPr>
      </w:pPr>
      <w:r w:rsidRPr="00983DE2">
        <w:rPr>
          <w:rFonts w:ascii="Verdana" w:eastAsia="Times New Roman" w:hAnsi="Verdana" w:cs="Arial"/>
          <w:color w:val="000000" w:themeColor="text1"/>
          <w:sz w:val="21"/>
          <w:szCs w:val="21"/>
          <w:lang w:val="es-ES" w:eastAsia="es-CO"/>
        </w:rPr>
        <w:t>2. Trescientos (300) smmlv para contratos cuyo valor sea superior a mil quinientos (1.500) smmlv e inferior o igual a dos mil quinientos (2.500) smmlv. </w:t>
      </w:r>
    </w:p>
    <w:p w14:paraId="412BC7DA" w14:textId="77777777" w:rsidR="00250090" w:rsidRPr="00983DE2" w:rsidRDefault="00250090" w:rsidP="00250090">
      <w:pPr>
        <w:pStyle w:val="Textonotapie"/>
        <w:snapToGrid w:val="0"/>
        <w:spacing w:before="120"/>
        <w:ind w:left="709" w:right="709"/>
        <w:contextualSpacing/>
        <w:jc w:val="both"/>
        <w:rPr>
          <w:rFonts w:ascii="Verdana" w:eastAsia="Times New Roman" w:hAnsi="Verdana" w:cs="Arial"/>
          <w:color w:val="000000" w:themeColor="text1"/>
          <w:sz w:val="21"/>
          <w:szCs w:val="21"/>
          <w:lang w:val="es-ES" w:eastAsia="es-CO"/>
        </w:rPr>
      </w:pPr>
      <w:r w:rsidRPr="00983DE2">
        <w:rPr>
          <w:rFonts w:ascii="Verdana" w:eastAsia="Times New Roman" w:hAnsi="Verdana" w:cs="Arial"/>
          <w:color w:val="000000" w:themeColor="text1"/>
          <w:sz w:val="21"/>
          <w:szCs w:val="21"/>
          <w:lang w:val="es-ES" w:eastAsia="es-CO"/>
        </w:rPr>
        <w:t>3. Cuatrocientos (400) smmlv para contratos cuyo valor sea superior a dos mil quinientos (2.500) smmlv e inferior o igual a cinco mil (5.000) smmlv. </w:t>
      </w:r>
    </w:p>
    <w:p w14:paraId="479ED4D4" w14:textId="77777777" w:rsidR="00250090" w:rsidRPr="00983DE2" w:rsidRDefault="00250090" w:rsidP="00250090">
      <w:pPr>
        <w:pStyle w:val="Textonotapie"/>
        <w:snapToGrid w:val="0"/>
        <w:spacing w:before="120"/>
        <w:ind w:left="709" w:right="709"/>
        <w:contextualSpacing/>
        <w:jc w:val="both"/>
        <w:rPr>
          <w:rFonts w:ascii="Verdana" w:eastAsia="Times New Roman" w:hAnsi="Verdana" w:cs="Arial"/>
          <w:color w:val="000000" w:themeColor="text1"/>
          <w:sz w:val="21"/>
          <w:szCs w:val="21"/>
          <w:lang w:val="es-ES" w:eastAsia="es-CO"/>
        </w:rPr>
      </w:pPr>
      <w:r w:rsidRPr="00983DE2">
        <w:rPr>
          <w:rFonts w:ascii="Verdana" w:eastAsia="Times New Roman" w:hAnsi="Verdana" w:cs="Arial"/>
          <w:color w:val="000000" w:themeColor="text1"/>
          <w:sz w:val="21"/>
          <w:szCs w:val="21"/>
          <w:lang w:val="es-ES" w:eastAsia="es-CO"/>
        </w:rPr>
        <w:t>4. Quinientos (500) smmlv para contratos cuyo valor sea superior a cinco mil (5.000) smmlv e inferior o igual a diez mil (10.000) smmlv. </w:t>
      </w:r>
    </w:p>
    <w:p w14:paraId="3357B2AA" w14:textId="77777777" w:rsidR="00250090" w:rsidRPr="00983DE2" w:rsidRDefault="00250090" w:rsidP="00250090">
      <w:pPr>
        <w:pStyle w:val="Textonotapie"/>
        <w:snapToGrid w:val="0"/>
        <w:spacing w:before="120"/>
        <w:ind w:left="709" w:right="709"/>
        <w:contextualSpacing/>
        <w:jc w:val="both"/>
        <w:rPr>
          <w:rFonts w:ascii="Verdana" w:eastAsia="Times New Roman" w:hAnsi="Verdana" w:cs="Arial"/>
          <w:color w:val="000000" w:themeColor="text1"/>
          <w:sz w:val="21"/>
          <w:szCs w:val="21"/>
          <w:lang w:val="es-ES" w:eastAsia="es-CO"/>
        </w:rPr>
      </w:pPr>
      <w:r w:rsidRPr="00983DE2">
        <w:rPr>
          <w:rFonts w:ascii="Verdana" w:eastAsia="Times New Roman" w:hAnsi="Verdana" w:cs="Arial"/>
          <w:color w:val="000000" w:themeColor="text1"/>
          <w:sz w:val="21"/>
          <w:szCs w:val="21"/>
          <w:lang w:val="es-ES" w:eastAsia="es-CO"/>
        </w:rPr>
        <w:t>5. El cinco por ciento (5%) del valor del contrato cuando este sea superior a diez mil (10.000) smmlv, caso en el cual el valor asegurado debe ser máximo setenta y cinco mil (75.000) smmlv”. </w:t>
      </w:r>
    </w:p>
    <w:p w14:paraId="466E01F1" w14:textId="77777777" w:rsidR="00250090" w:rsidRPr="00983DE2" w:rsidRDefault="00250090" w:rsidP="00250090">
      <w:pPr>
        <w:pStyle w:val="Textonotapie"/>
        <w:snapToGrid w:val="0"/>
        <w:spacing w:before="120"/>
        <w:ind w:left="709" w:right="709"/>
        <w:contextualSpacing/>
        <w:jc w:val="both"/>
        <w:rPr>
          <w:rFonts w:ascii="Verdana" w:hAnsi="Verdana"/>
          <w:sz w:val="21"/>
          <w:szCs w:val="21"/>
          <w:lang w:val="es-ES"/>
        </w:rPr>
      </w:pPr>
    </w:p>
    <w:p w14:paraId="054D60C2" w14:textId="77777777" w:rsidR="00250090" w:rsidRPr="00983DE2" w:rsidRDefault="00250090" w:rsidP="00250090">
      <w:pPr>
        <w:spacing w:after="120" w:line="276" w:lineRule="auto"/>
        <w:ind w:firstLine="708"/>
        <w:jc w:val="both"/>
        <w:rPr>
          <w:rFonts w:ascii="Verdana" w:eastAsia="Times New Roman" w:hAnsi="Verdana" w:cs="Arial"/>
          <w:color w:val="000000" w:themeColor="text1"/>
          <w:lang w:val="es-ES" w:eastAsia="es-CO"/>
        </w:rPr>
      </w:pPr>
      <w:r w:rsidRPr="00983DE2">
        <w:rPr>
          <w:rFonts w:ascii="Verdana" w:eastAsia="Times New Roman" w:hAnsi="Verdana" w:cs="Arial"/>
          <w:color w:val="000000" w:themeColor="text1"/>
          <w:lang w:val="es-ES" w:eastAsia="es-CO"/>
        </w:rPr>
        <w:t xml:space="preserve">En consecuencia, la entidad debe verificar que el contrato de seguro cumpla con la suficiencia en términos de valor y tiempo de acuerdo con el artículo </w:t>
      </w:r>
      <w:bookmarkStart w:id="8" w:name="_Hlk171693447"/>
      <w:r w:rsidRPr="00983DE2">
        <w:rPr>
          <w:rFonts w:ascii="Verdana" w:eastAsia="Times New Roman" w:hAnsi="Verdana" w:cs="Arial"/>
          <w:color w:val="000000" w:themeColor="text1"/>
          <w:lang w:val="es-ES" w:eastAsia="es-CO"/>
        </w:rPr>
        <w:lastRenderedPageBreak/>
        <w:t>2.2.1.2.3.1.17</w:t>
      </w:r>
      <w:bookmarkEnd w:id="8"/>
      <w:r w:rsidRPr="00983DE2">
        <w:rPr>
          <w:rStyle w:val="Refdenotaalpie"/>
          <w:rFonts w:ascii="Verdana" w:eastAsia="Times New Roman" w:hAnsi="Verdana" w:cs="Arial"/>
          <w:color w:val="000000" w:themeColor="text1"/>
          <w:lang w:val="es-ES" w:eastAsia="es-CO"/>
        </w:rPr>
        <w:footnoteReference w:id="12"/>
      </w:r>
      <w:r w:rsidRPr="00983DE2">
        <w:rPr>
          <w:rFonts w:ascii="Verdana" w:eastAsia="Times New Roman" w:hAnsi="Verdana" w:cs="Arial"/>
          <w:color w:val="000000" w:themeColor="text1"/>
          <w:lang w:val="es-ES" w:eastAsia="es-CO"/>
        </w:rPr>
        <w:t xml:space="preserve">. Adicional a lo anterior, la norma establece de manera expresa que la vigencia de esta garantía deberá ser igual al </w:t>
      </w:r>
      <w:r w:rsidRPr="00983DE2">
        <w:rPr>
          <w:rFonts w:ascii="Verdana" w:eastAsia="Times New Roman" w:hAnsi="Verdana" w:cs="Arial"/>
          <w:i/>
          <w:color w:val="000000" w:themeColor="text1"/>
          <w:lang w:val="es-ES" w:eastAsia="es-CO"/>
        </w:rPr>
        <w:t>período de ejecución del contrato</w:t>
      </w:r>
      <w:r w:rsidRPr="00983DE2">
        <w:rPr>
          <w:rFonts w:ascii="Verdana" w:eastAsia="Times New Roman" w:hAnsi="Verdana" w:cs="Arial"/>
          <w:color w:val="000000" w:themeColor="text1"/>
          <w:lang w:val="es-ES" w:eastAsia="es-CO"/>
        </w:rPr>
        <w:t xml:space="preserve"> estatal que está respaldando.</w:t>
      </w:r>
    </w:p>
    <w:p w14:paraId="04859CAA" w14:textId="77777777" w:rsidR="00250090" w:rsidRPr="00983DE2" w:rsidRDefault="00250090" w:rsidP="00250090">
      <w:pPr>
        <w:spacing w:before="120" w:after="0" w:line="276" w:lineRule="auto"/>
        <w:ind w:firstLine="708"/>
        <w:jc w:val="both"/>
        <w:rPr>
          <w:rFonts w:ascii="Verdana" w:eastAsia="Times New Roman" w:hAnsi="Verdana" w:cs="Arial"/>
          <w:color w:val="000000" w:themeColor="text1"/>
          <w:lang w:val="es-ES" w:eastAsia="es-CO"/>
        </w:rPr>
      </w:pPr>
      <w:r w:rsidRPr="00983DE2">
        <w:rPr>
          <w:rFonts w:ascii="Verdana" w:eastAsia="Times New Roman" w:hAnsi="Verdana" w:cs="Arial"/>
          <w:color w:val="000000" w:themeColor="text1"/>
          <w:lang w:val="es-ES" w:eastAsia="es-CO"/>
        </w:rPr>
        <w:t xml:space="preserve">Finalmente, es necesario tener cuenta que, conforme al artículo 2.2.1.3.3.2.10, “En el contrato de seguro que ampara la responsabilidad civil extracontractual solamente se pueden pactar deducibles hasta del diez por ciento (10%) del valor de cada pérdida y en ningún caso pueden ser superiores a dos mil (2.000) smmlv. No serán admisibles las franquicias, coaseguros obligatorios y demás formas de estipulación que impliquen la asunción de parte de la pérdida por la entidad asegurada”. </w:t>
      </w:r>
    </w:p>
    <w:p w14:paraId="14D7E35A" w14:textId="77777777" w:rsidR="00250090" w:rsidRDefault="00250090" w:rsidP="00250090">
      <w:pPr>
        <w:spacing w:before="120" w:after="0" w:line="276" w:lineRule="auto"/>
        <w:ind w:firstLine="708"/>
        <w:jc w:val="both"/>
        <w:rPr>
          <w:rFonts w:ascii="Verdana" w:eastAsia="Times New Roman" w:hAnsi="Verdana" w:cs="Arial"/>
          <w:color w:val="000000" w:themeColor="text1"/>
          <w:lang w:val="es-ES" w:eastAsia="es-CO"/>
        </w:rPr>
      </w:pPr>
      <w:r w:rsidRPr="00983DE2">
        <w:rPr>
          <w:rFonts w:ascii="Verdana" w:eastAsia="Times New Roman" w:hAnsi="Verdana" w:cs="Arial"/>
          <w:color w:val="000000" w:themeColor="text1"/>
          <w:lang w:val="es-ES" w:eastAsia="es-CO"/>
        </w:rPr>
        <w:t>Así, el cumplimiento de las exigencias previstas en el Decreto Único Reglamentario del Sector Planeación condiciona la aprobación de la garantía como requisito de ejecución contractual conforme al inciso segundo de artículo 41 de la Ley 80 de 1993. De esta manera, independientemente de la naturaleza “corporativa” o “individual” de la garantía, la Entidad Estatal tiene la obligación de verificar en cada caso que el contrato de seguro de responsabilidad civil extracontractual satisfaga todos los requisitos previamente expuestos, en los términos establecidos en la normativa.</w:t>
      </w:r>
    </w:p>
    <w:p w14:paraId="3939B303" w14:textId="77777777" w:rsidR="00250090" w:rsidRDefault="00250090" w:rsidP="00250090">
      <w:pPr>
        <w:spacing w:before="120" w:after="0" w:line="276" w:lineRule="auto"/>
        <w:ind w:firstLine="708"/>
        <w:jc w:val="both"/>
        <w:rPr>
          <w:rFonts w:ascii="Verdana" w:eastAsia="Calibri" w:hAnsi="Verdana" w:cs="Arial"/>
        </w:rPr>
      </w:pPr>
      <w:r w:rsidRPr="007E09CB">
        <w:rPr>
          <w:rFonts w:ascii="Verdana" w:eastAsia="Calibri" w:hAnsi="Verdana" w:cs="Arial"/>
        </w:rPr>
        <w:t>Bajo este marco normativo y doctrinal, la obligación del contratista consiste en constituir y mantener vigente la garantía en los términos exigidos y aprobados por la entidad estatal, de manera que cubra los riesgos derivados de la ejecución contractual durante el período correspondiente.</w:t>
      </w:r>
    </w:p>
    <w:p w14:paraId="75954038" w14:textId="77777777" w:rsidR="00250090" w:rsidRPr="007E09CB" w:rsidRDefault="00250090" w:rsidP="00250090">
      <w:pPr>
        <w:spacing w:before="120" w:after="0" w:line="276" w:lineRule="auto"/>
        <w:ind w:firstLine="708"/>
        <w:jc w:val="both"/>
        <w:rPr>
          <w:rFonts w:ascii="Verdana" w:eastAsia="Calibri" w:hAnsi="Verdana" w:cs="Arial"/>
        </w:rPr>
      </w:pPr>
      <w:r w:rsidRPr="007E09CB">
        <w:rPr>
          <w:rFonts w:ascii="Verdana" w:eastAsia="Calibri" w:hAnsi="Verdana" w:cs="Arial"/>
        </w:rPr>
        <w:t>Por lo tanto, la modificación o actualización de la póliza procede cuando se presentan circunstancias que alteren las condiciones inicialmente verificadas por la entidad, tales como:</w:t>
      </w:r>
      <w:r>
        <w:rPr>
          <w:rFonts w:ascii="Verdana" w:eastAsia="Calibri" w:hAnsi="Verdana" w:cs="Arial"/>
        </w:rPr>
        <w:t xml:space="preserve"> </w:t>
      </w:r>
      <w:r w:rsidRPr="007E09CB">
        <w:rPr>
          <w:rFonts w:ascii="Verdana" w:eastAsia="Calibri" w:hAnsi="Verdana" w:cs="Arial"/>
        </w:rPr>
        <w:t>la ampliación del plazo de ejecución del contrato</w:t>
      </w:r>
      <w:r>
        <w:rPr>
          <w:rFonts w:ascii="Verdana" w:eastAsia="Calibri" w:hAnsi="Verdana" w:cs="Arial"/>
        </w:rPr>
        <w:t xml:space="preserve">, </w:t>
      </w:r>
      <w:r w:rsidRPr="007E09CB">
        <w:rPr>
          <w:rFonts w:ascii="Verdana" w:eastAsia="Calibri" w:hAnsi="Verdana" w:cs="Arial"/>
        </w:rPr>
        <w:t xml:space="preserve">la adición o modificación del valor contractual que implique un cambio en el monto </w:t>
      </w:r>
      <w:r w:rsidRPr="007E09CB">
        <w:rPr>
          <w:rFonts w:ascii="Verdana" w:eastAsia="Calibri" w:hAnsi="Verdana" w:cs="Arial"/>
        </w:rPr>
        <w:lastRenderedPageBreak/>
        <w:t>del amparo exigido</w:t>
      </w:r>
      <w:r>
        <w:rPr>
          <w:rFonts w:ascii="Verdana" w:eastAsia="Calibri" w:hAnsi="Verdana" w:cs="Arial"/>
        </w:rPr>
        <w:t xml:space="preserve"> </w:t>
      </w:r>
      <w:r w:rsidRPr="007E09CB">
        <w:rPr>
          <w:rFonts w:ascii="Verdana" w:eastAsia="Calibri" w:hAnsi="Verdana" w:cs="Arial"/>
        </w:rPr>
        <w:t>o</w:t>
      </w:r>
      <w:r>
        <w:rPr>
          <w:rFonts w:ascii="Verdana" w:eastAsia="Calibri" w:hAnsi="Verdana" w:cs="Arial"/>
        </w:rPr>
        <w:t xml:space="preserve"> </w:t>
      </w:r>
      <w:r w:rsidRPr="007E09CB">
        <w:rPr>
          <w:rFonts w:ascii="Verdana" w:eastAsia="Calibri" w:hAnsi="Verdana" w:cs="Arial"/>
        </w:rPr>
        <w:t>cualquier modificación contractual que altere los riesgos asegurados.</w:t>
      </w:r>
    </w:p>
    <w:p w14:paraId="79CDA524" w14:textId="77777777" w:rsidR="00250090" w:rsidRPr="007E09CB" w:rsidRDefault="00250090" w:rsidP="00250090">
      <w:pPr>
        <w:spacing w:after="120" w:line="276" w:lineRule="auto"/>
        <w:jc w:val="both"/>
        <w:rPr>
          <w:rFonts w:ascii="Verdana" w:eastAsia="Calibri" w:hAnsi="Verdana" w:cs="Arial"/>
        </w:rPr>
      </w:pPr>
      <w:r>
        <w:rPr>
          <w:rFonts w:ascii="Verdana" w:eastAsia="Calibri" w:hAnsi="Verdana" w:cs="Arial"/>
        </w:rPr>
        <w:t xml:space="preserve">         </w:t>
      </w:r>
      <w:r w:rsidRPr="007E09CB">
        <w:rPr>
          <w:rFonts w:ascii="Verdana" w:eastAsia="Calibri" w:hAnsi="Verdana" w:cs="Arial"/>
        </w:rPr>
        <w:t xml:space="preserve">En efecto, </w:t>
      </w:r>
      <w:r>
        <w:rPr>
          <w:rFonts w:ascii="Verdana" w:eastAsia="Calibri" w:hAnsi="Verdana" w:cs="Arial"/>
        </w:rPr>
        <w:t xml:space="preserve">mediante concepto C-1260 del 03 de julio de 2025 expedido por esta Subdirección Contractual se </w:t>
      </w:r>
      <w:r w:rsidRPr="007E09CB">
        <w:rPr>
          <w:rFonts w:ascii="Verdana" w:eastAsia="Calibri" w:hAnsi="Verdana" w:cs="Arial"/>
        </w:rPr>
        <w:t>ha señalado que cuando el plazo del contrato se extiende</w:t>
      </w:r>
      <w:r>
        <w:rPr>
          <w:rFonts w:ascii="Verdana" w:eastAsia="Calibri" w:hAnsi="Verdana" w:cs="Arial"/>
        </w:rPr>
        <w:t xml:space="preserve">, </w:t>
      </w:r>
      <w:r w:rsidRPr="007E09CB">
        <w:rPr>
          <w:rFonts w:ascii="Verdana" w:eastAsia="Calibri" w:hAnsi="Verdana" w:cs="Arial"/>
        </w:rPr>
        <w:t xml:space="preserve">por ejemplo, como consecuencia de una suspensión o prórroga la póliza de responsabilidad civil extracontractual debe ampliarse para evitar vacíos en la cobertura frente a daños a terceros, dado que su vigencia debe cubrir todo el período de ejecución del contrato. </w:t>
      </w:r>
    </w:p>
    <w:p w14:paraId="61455F92" w14:textId="77777777" w:rsidR="00250090" w:rsidRPr="007E09CB" w:rsidRDefault="00250090" w:rsidP="00250090">
      <w:pPr>
        <w:spacing w:after="120" w:line="276" w:lineRule="auto"/>
        <w:jc w:val="both"/>
        <w:rPr>
          <w:rFonts w:ascii="Verdana" w:eastAsia="Calibri" w:hAnsi="Verdana" w:cs="Arial"/>
        </w:rPr>
      </w:pPr>
      <w:r>
        <w:rPr>
          <w:rFonts w:ascii="Verdana" w:eastAsia="Calibri" w:hAnsi="Verdana" w:cs="Arial"/>
        </w:rPr>
        <w:t xml:space="preserve">         </w:t>
      </w:r>
      <w:r w:rsidRPr="007E09CB">
        <w:rPr>
          <w:rFonts w:ascii="Verdana" w:eastAsia="Calibri" w:hAnsi="Verdana" w:cs="Arial"/>
        </w:rPr>
        <w:t>En ausencia de estas circunstancias, no se advierte en la normativa ni en la doctrina administrativa la existencia de una obligación automática de actualizar el valor asegurado de la póliza por el simple cambio</w:t>
      </w:r>
      <w:r>
        <w:rPr>
          <w:rFonts w:ascii="Verdana" w:eastAsia="Calibri" w:hAnsi="Verdana" w:cs="Arial"/>
        </w:rPr>
        <w:t xml:space="preserve"> de anualidad</w:t>
      </w:r>
      <w:r w:rsidRPr="007E09CB">
        <w:rPr>
          <w:rFonts w:ascii="Verdana" w:eastAsia="Calibri" w:hAnsi="Verdana" w:cs="Arial"/>
        </w:rPr>
        <w:t>.</w:t>
      </w:r>
    </w:p>
    <w:p w14:paraId="3D7049DE" w14:textId="77777777" w:rsidR="00250090" w:rsidRDefault="00250090" w:rsidP="00250090">
      <w:pPr>
        <w:spacing w:after="120" w:line="276" w:lineRule="auto"/>
        <w:jc w:val="both"/>
        <w:rPr>
          <w:rFonts w:ascii="Verdana" w:eastAsia="Calibri" w:hAnsi="Verdana" w:cs="Arial"/>
        </w:rPr>
      </w:pPr>
      <w:r>
        <w:rPr>
          <w:rFonts w:ascii="Verdana" w:eastAsia="Calibri" w:hAnsi="Verdana" w:cs="Arial"/>
        </w:rPr>
        <w:t xml:space="preserve">         </w:t>
      </w:r>
      <w:r w:rsidRPr="007E09CB">
        <w:rPr>
          <w:rFonts w:ascii="Verdana" w:eastAsia="Calibri" w:hAnsi="Verdana" w:cs="Arial"/>
        </w:rPr>
        <w:t>En ese orden, la referencia al valor en SMMLV prevista en el decreto constituye un parámetro para determinar la suficiencia de la cobertura al momento de constituir la garantía, pero no implica, por sí misma, que la póliza deba ser actualizada cada vez que se modifica el salario mínimo legal.</w:t>
      </w:r>
    </w:p>
    <w:p w14:paraId="17CE9DB9" w14:textId="77777777" w:rsidR="00250090" w:rsidRPr="007E09CB" w:rsidRDefault="00250090" w:rsidP="00250090">
      <w:pPr>
        <w:spacing w:after="120" w:line="276" w:lineRule="auto"/>
        <w:jc w:val="both"/>
        <w:rPr>
          <w:rFonts w:ascii="Verdana" w:eastAsia="Calibri" w:hAnsi="Verdana" w:cs="Arial"/>
        </w:rPr>
      </w:pPr>
      <w:r>
        <w:rPr>
          <w:rFonts w:ascii="Verdana" w:eastAsia="Calibri" w:hAnsi="Verdana" w:cs="Times New Roman"/>
        </w:rPr>
        <w:t xml:space="preserve">         Ahora bien</w:t>
      </w:r>
      <w:r w:rsidRPr="00CE48F4">
        <w:rPr>
          <w:rFonts w:ascii="Verdana" w:eastAsia="Calibri" w:hAnsi="Verdana" w:cs="Times New Roman"/>
        </w:rPr>
        <w:t xml:space="preserve">, </w:t>
      </w:r>
      <w:r>
        <w:rPr>
          <w:rFonts w:ascii="Verdana" w:eastAsia="Calibri" w:hAnsi="Verdana" w:cs="Times New Roman"/>
        </w:rPr>
        <w:t xml:space="preserve">frente a </w:t>
      </w:r>
      <w:r w:rsidRPr="00CE48F4">
        <w:rPr>
          <w:rFonts w:ascii="Verdana" w:eastAsia="Calibri" w:hAnsi="Verdana" w:cs="Times New Roman"/>
        </w:rPr>
        <w:t>las diferencias mínimas en el valor asegurado derivadas de aproximaciones matemáticas, redondeos, conversiones o centavos, corresponde a cada entidad estatal analizar en el caso concreto si las diferencias advertidas en el valor asegurado o las variaciones en los parámetros económicos utilizados afecta</w:t>
      </w:r>
      <w:r>
        <w:rPr>
          <w:rFonts w:ascii="Verdana" w:eastAsia="Calibri" w:hAnsi="Verdana" w:cs="Times New Roman"/>
        </w:rPr>
        <w:t>n</w:t>
      </w:r>
      <w:r w:rsidRPr="00CE48F4">
        <w:rPr>
          <w:rFonts w:ascii="Verdana" w:eastAsia="Calibri" w:hAnsi="Verdana" w:cs="Times New Roman"/>
        </w:rPr>
        <w:t xml:space="preserve"> materialmente la cobertura exigida, o si, por el contrario, se trata de variaciones nominales o residuales que no justifican jurídicamente exigir la actualización o reexpedición de la garantía</w:t>
      </w:r>
    </w:p>
    <w:p w14:paraId="6C856E0A" w14:textId="77777777" w:rsidR="00250090" w:rsidRDefault="00250090" w:rsidP="00250090">
      <w:pPr>
        <w:spacing w:after="120" w:line="276" w:lineRule="auto"/>
        <w:ind w:firstLine="708"/>
        <w:jc w:val="both"/>
        <w:rPr>
          <w:rFonts w:ascii="Verdana" w:eastAsia="Calibri" w:hAnsi="Verdana" w:cs="Arial"/>
          <w:bCs/>
          <w:color w:val="000000"/>
        </w:rPr>
      </w:pPr>
      <w:r w:rsidRPr="00002297">
        <w:rPr>
          <w:rFonts w:ascii="Verdana" w:eastAsia="Calibri" w:hAnsi="Verdana" w:cs="Arial"/>
          <w:lang w:eastAsia="es-ES"/>
        </w:rPr>
        <w:t xml:space="preserve">Así las cosas, corresponde a cada entidad pública y a sus equipos jurídicos analizar en cada caso concreto los elementos fácticos y jurídicos relacionados con la constitución y aprobación de las garantías, con el fin de determinar si resulta procedente exigir la actualización de la póliza de responsabilidad civil extracontractual al salario mínimo legal mensual vigente de la vigencia 2026, valorando especialmente si se han presentado modificaciones contractuales que alteren las condiciones inicialmente verificadas, como ampliaciones del plazo, adiciones de valor o cambios en los riesgos asegurados. En todo caso, se recomienda consultar la Guía </w:t>
      </w:r>
      <w:r>
        <w:rPr>
          <w:rFonts w:ascii="Verdana" w:eastAsia="Calibri" w:hAnsi="Verdana" w:cs="Arial"/>
          <w:lang w:eastAsia="es-ES"/>
        </w:rPr>
        <w:t xml:space="preserve">de Garantías en </w:t>
      </w:r>
      <w:r w:rsidRPr="00002297">
        <w:rPr>
          <w:rFonts w:ascii="Verdana" w:eastAsia="Calibri" w:hAnsi="Verdana" w:cs="Arial"/>
          <w:lang w:eastAsia="es-ES"/>
        </w:rPr>
        <w:t xml:space="preserve">Procesos de Contratación elaborada por la Agencia Nacional de </w:t>
      </w:r>
      <w:r w:rsidRPr="00002297">
        <w:rPr>
          <w:rFonts w:ascii="Verdana" w:eastAsia="Calibri" w:hAnsi="Verdana" w:cs="Arial"/>
        </w:rPr>
        <w:t>Contratación Pública</w:t>
      </w:r>
      <w:r>
        <w:rPr>
          <w:rStyle w:val="Refdenotaalpie"/>
          <w:rFonts w:ascii="Verdana" w:eastAsia="Calibri" w:hAnsi="Verdana" w:cs="Arial"/>
        </w:rPr>
        <w:footnoteReference w:id="13"/>
      </w:r>
      <w:r w:rsidRPr="00002297">
        <w:rPr>
          <w:rFonts w:ascii="Verdana" w:eastAsia="Calibri" w:hAnsi="Verdana" w:cs="Arial"/>
        </w:rPr>
        <w:t xml:space="preserve">– Colombia Compra </w:t>
      </w:r>
      <w:r w:rsidRPr="00002297">
        <w:rPr>
          <w:rFonts w:ascii="Verdana" w:eastAsia="Calibri" w:hAnsi="Verdana" w:cs="Arial"/>
        </w:rPr>
        <w:lastRenderedPageBreak/>
        <w:t>Eficiente, la cual contiene orientaciones sobre la estructuración, verificación y suficiencia de las garantías en los contratos estatales</w:t>
      </w:r>
      <w:r>
        <w:rPr>
          <w:rFonts w:ascii="Verdana" w:eastAsia="Calibri" w:hAnsi="Verdana" w:cs="Arial"/>
        </w:rPr>
        <w:t>.</w:t>
      </w:r>
    </w:p>
    <w:p w14:paraId="55DB5970" w14:textId="77777777" w:rsidR="00250090" w:rsidRPr="005055D5" w:rsidRDefault="00250090" w:rsidP="00250090">
      <w:pPr>
        <w:spacing w:after="120" w:line="276" w:lineRule="auto"/>
        <w:ind w:firstLine="708"/>
        <w:jc w:val="both"/>
        <w:rPr>
          <w:rFonts w:ascii="Verdana" w:eastAsia="Arial" w:hAnsi="Verdana" w:cs="Arial"/>
          <w:bCs/>
          <w:color w:val="000000"/>
        </w:rPr>
      </w:pPr>
      <w:r w:rsidRPr="005055D5">
        <w:rPr>
          <w:rFonts w:ascii="Verdana" w:eastAsia="Calibri" w:hAnsi="Verdana" w:cs="Arial"/>
          <w:bCs/>
          <w:color w:val="000000"/>
        </w:rPr>
        <w:t>Al margen de la explicación precedente debe advertirse que el análisis requerido para resolver problemas específicos en torno a la gestión contractual de las entidades públicas debe realizarse por quienes tengan interés en ello, de acuerdo con lo explicado la aclaración preliminar del presente oficio. De esta manera, las afirmaciones aquí realizadas no pueden ser interpretadas como juicios de valor sobre circunstancias concretas relacionadas con los hechos que motivan la consulta. Por lo anterior, previo concepto de sus asesores, la solución de situaciones particulares corresponde a los interesados adoptar la decisión correspondiente y, en caso de conflicto, a las autoridades judiciales, fiscales y disciplinarias.</w:t>
      </w:r>
    </w:p>
    <w:p w14:paraId="5B02F56D" w14:textId="77777777" w:rsidR="00250090" w:rsidRDefault="00250090" w:rsidP="00250090">
      <w:pPr>
        <w:spacing w:after="0" w:line="276" w:lineRule="auto"/>
        <w:ind w:firstLine="708"/>
        <w:jc w:val="both"/>
        <w:rPr>
          <w:rFonts w:ascii="Verdana" w:eastAsia="Calibri" w:hAnsi="Verdana" w:cs="Arial"/>
          <w:bCs/>
          <w:color w:val="000000"/>
        </w:rPr>
      </w:pPr>
      <w:r w:rsidRPr="005055D5">
        <w:rPr>
          <w:rFonts w:ascii="Verdana" w:eastAsia="Calibri" w:hAnsi="Verdana" w:cs="Arial"/>
          <w:bCs/>
          <w:color w:val="000000"/>
        </w:rPr>
        <w:t>Dentro de este marco, la entidad contratante definirá en cada caso concreto lo relacionado con el tema objeto de consulta. Al tratarse de un análisis que debe realizarse en el procedimiento contractual específico, la Agencia no puede definir un criterio universal y absoluto por vía consultiva, sino que brinda elementos de carácter general para que los partícipes del sistema de compras y contratación pública adopten la decisión que corresponda, lo cual es acorde con el principio de juridicidad. Así, cada entidad definirá la forma de adelantar su gestión contractual, sin que sea atribución de Colombia Compra Eficiente validar sus actuaciones.</w:t>
      </w:r>
    </w:p>
    <w:p w14:paraId="1B8E4B57" w14:textId="77777777" w:rsidR="00250090" w:rsidRPr="00742A56" w:rsidRDefault="00250090" w:rsidP="00250090">
      <w:pPr>
        <w:spacing w:after="0" w:line="276" w:lineRule="auto"/>
        <w:jc w:val="both"/>
        <w:rPr>
          <w:rFonts w:ascii="Verdana" w:hAnsi="Verdana" w:cs="Arial"/>
          <w:bCs/>
          <w:color w:val="000000" w:themeColor="text1"/>
        </w:rPr>
      </w:pPr>
    </w:p>
    <w:bookmarkEnd w:id="2"/>
    <w:bookmarkEnd w:id="3"/>
    <w:p w14:paraId="3CECFBEF" w14:textId="77777777" w:rsidR="00250090" w:rsidRPr="00115E3D" w:rsidRDefault="00250090" w:rsidP="0025009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Referencias normativas, jurisprudenciales y otras fuentes:</w:t>
      </w:r>
    </w:p>
    <w:p w14:paraId="6A89C38F" w14:textId="77777777" w:rsidR="00250090" w:rsidRPr="00115E3D" w:rsidRDefault="00250090" w:rsidP="00250090">
      <w:pPr>
        <w:widowControl w:val="0"/>
        <w:autoSpaceDE w:val="0"/>
        <w:autoSpaceDN w:val="0"/>
        <w:spacing w:after="0" w:line="276" w:lineRule="auto"/>
        <w:jc w:val="both"/>
        <w:rPr>
          <w:rFonts w:ascii="Verdana" w:hAnsi="Verdana" w:cs="Arial"/>
          <w:color w:val="000000" w:themeColor="text1"/>
        </w:rPr>
      </w:pPr>
    </w:p>
    <w:tbl>
      <w:tblPr>
        <w:tblStyle w:val="Tablaconcuadrcula"/>
        <w:tblW w:w="8647" w:type="dxa"/>
        <w:tblInd w:w="137" w:type="dxa"/>
        <w:tblBorders>
          <w:top w:val="dotted" w:sz="4" w:space="0" w:color="auto"/>
          <w:left w:val="dotted" w:sz="4" w:space="0" w:color="auto"/>
          <w:bottom w:val="dotted" w:sz="4" w:space="0" w:color="auto"/>
          <w:right w:val="dotted" w:sz="4" w:space="0" w:color="auto"/>
          <w:insideH w:val="dotted" w:sz="4" w:space="0" w:color="auto"/>
          <w:insideV w:val="dotted" w:sz="4" w:space="0" w:color="auto"/>
        </w:tblBorders>
        <w:tblLayout w:type="fixed"/>
        <w:tblLook w:val="04A0" w:firstRow="1" w:lastRow="0" w:firstColumn="1" w:lastColumn="0" w:noHBand="0" w:noVBand="1"/>
      </w:tblPr>
      <w:tblGrid>
        <w:gridCol w:w="8647"/>
      </w:tblGrid>
      <w:tr w:rsidR="00250090" w:rsidRPr="00115E3D" w14:paraId="688835FC" w14:textId="77777777" w:rsidTr="00A607B5">
        <w:trPr>
          <w:trHeight w:val="335"/>
        </w:trPr>
        <w:tc>
          <w:tcPr>
            <w:tcW w:w="8647" w:type="dxa"/>
          </w:tcPr>
          <w:p w14:paraId="42202695" w14:textId="77777777" w:rsidR="00250090" w:rsidRPr="00983DE2" w:rsidRDefault="00250090" w:rsidP="00250090">
            <w:pPr>
              <w:pStyle w:val="Prrafodelista"/>
              <w:numPr>
                <w:ilvl w:val="0"/>
                <w:numId w:val="17"/>
              </w:numPr>
              <w:snapToGrid w:val="0"/>
              <w:spacing w:before="120" w:after="120" w:line="276" w:lineRule="auto"/>
              <w:ind w:left="612" w:hanging="357"/>
              <w:contextualSpacing w:val="0"/>
              <w:jc w:val="both"/>
              <w:rPr>
                <w:rFonts w:ascii="Verdana" w:eastAsia="Times New Roman" w:hAnsi="Verdana" w:cs="Arial"/>
                <w:color w:val="000000" w:themeColor="text1"/>
                <w:lang w:eastAsia="es-CO"/>
              </w:rPr>
            </w:pPr>
            <w:r w:rsidRPr="00983DE2">
              <w:rPr>
                <w:rFonts w:ascii="Verdana" w:eastAsia="Times New Roman" w:hAnsi="Verdana" w:cs="Arial"/>
                <w:color w:val="000000" w:themeColor="text1"/>
                <w:lang w:eastAsia="es-CO"/>
              </w:rPr>
              <w:t xml:space="preserve">Ley 80 de 1993, artículo 41. </w:t>
            </w:r>
          </w:p>
          <w:p w14:paraId="6674EF9A" w14:textId="77777777" w:rsidR="00250090" w:rsidRPr="00983DE2" w:rsidRDefault="00250090" w:rsidP="00250090">
            <w:pPr>
              <w:pStyle w:val="Prrafodelista"/>
              <w:numPr>
                <w:ilvl w:val="0"/>
                <w:numId w:val="17"/>
              </w:numPr>
              <w:snapToGrid w:val="0"/>
              <w:spacing w:before="120" w:after="120" w:line="276" w:lineRule="auto"/>
              <w:ind w:left="612" w:hanging="357"/>
              <w:contextualSpacing w:val="0"/>
              <w:jc w:val="both"/>
              <w:rPr>
                <w:rFonts w:ascii="Verdana" w:eastAsia="Times New Roman" w:hAnsi="Verdana" w:cs="Arial"/>
                <w:color w:val="000000" w:themeColor="text1"/>
                <w:lang w:eastAsia="es-CO"/>
              </w:rPr>
            </w:pPr>
            <w:r w:rsidRPr="00983DE2">
              <w:rPr>
                <w:rFonts w:ascii="Verdana" w:eastAsia="Times New Roman" w:hAnsi="Verdana" w:cs="Arial"/>
                <w:color w:val="000000" w:themeColor="text1"/>
                <w:lang w:eastAsia="es-CO"/>
              </w:rPr>
              <w:t xml:space="preserve">Ley 1150 de 2007, artículo 7. </w:t>
            </w:r>
          </w:p>
          <w:p w14:paraId="2F18E01B" w14:textId="77777777" w:rsidR="00250090" w:rsidRPr="00983DE2" w:rsidRDefault="00250090" w:rsidP="00250090">
            <w:pPr>
              <w:pStyle w:val="Prrafodelista"/>
              <w:numPr>
                <w:ilvl w:val="0"/>
                <w:numId w:val="17"/>
              </w:numPr>
              <w:snapToGrid w:val="0"/>
              <w:spacing w:before="120" w:after="120" w:line="276" w:lineRule="auto"/>
              <w:ind w:left="612" w:hanging="357"/>
              <w:contextualSpacing w:val="0"/>
              <w:jc w:val="both"/>
              <w:rPr>
                <w:rFonts w:ascii="Verdana" w:eastAsia="Times New Roman" w:hAnsi="Verdana" w:cs="Arial"/>
                <w:color w:val="000000" w:themeColor="text1"/>
                <w:lang w:eastAsia="es-CO"/>
              </w:rPr>
            </w:pPr>
            <w:r w:rsidRPr="00983DE2">
              <w:rPr>
                <w:rFonts w:ascii="Verdana" w:eastAsia="Times New Roman" w:hAnsi="Verdana" w:cs="Arial"/>
                <w:color w:val="000000" w:themeColor="text1"/>
                <w:lang w:eastAsia="es-CO"/>
              </w:rPr>
              <w:t>Código de Comercio, artículos 1068 y 1071.</w:t>
            </w:r>
          </w:p>
          <w:p w14:paraId="685A3AA2" w14:textId="77777777" w:rsidR="00250090" w:rsidRPr="00D81159" w:rsidRDefault="00250090" w:rsidP="00A607B5">
            <w:pPr>
              <w:spacing w:line="276" w:lineRule="auto"/>
              <w:ind w:left="615"/>
              <w:jc w:val="both"/>
              <w:rPr>
                <w:rFonts w:ascii="Verdana" w:hAnsi="Verdana" w:cs="Arial"/>
              </w:rPr>
            </w:pPr>
            <w:r w:rsidRPr="00983DE2">
              <w:rPr>
                <w:rFonts w:ascii="Verdana" w:eastAsia="Times New Roman" w:hAnsi="Verdana" w:cs="Arial"/>
                <w:color w:val="000000" w:themeColor="text1"/>
                <w:lang w:eastAsia="es-CO"/>
              </w:rPr>
              <w:t>Decreto 1082 de 2015, artículos 2.2.1.2.3.1.1 a 2.2.1.2.3.1.19.</w:t>
            </w:r>
          </w:p>
        </w:tc>
      </w:tr>
    </w:tbl>
    <w:p w14:paraId="4C8BFC48" w14:textId="77777777" w:rsidR="00250090" w:rsidRPr="00115E3D" w:rsidRDefault="00250090" w:rsidP="00250090">
      <w:pPr>
        <w:widowControl w:val="0"/>
        <w:autoSpaceDE w:val="0"/>
        <w:autoSpaceDN w:val="0"/>
        <w:spacing w:after="0" w:line="276" w:lineRule="auto"/>
        <w:jc w:val="both"/>
        <w:rPr>
          <w:rFonts w:ascii="Verdana" w:hAnsi="Verdana" w:cs="Arial"/>
          <w:color w:val="000000" w:themeColor="text1"/>
        </w:rPr>
      </w:pPr>
    </w:p>
    <w:p w14:paraId="315A3A09" w14:textId="77777777" w:rsidR="00250090" w:rsidRPr="00115E3D" w:rsidRDefault="00250090" w:rsidP="00250090">
      <w:pPr>
        <w:pStyle w:val="Prrafodelista"/>
        <w:numPr>
          <w:ilvl w:val="0"/>
          <w:numId w:val="16"/>
        </w:numPr>
        <w:tabs>
          <w:tab w:val="left" w:pos="142"/>
          <w:tab w:val="left" w:pos="284"/>
        </w:tabs>
        <w:spacing w:after="0" w:line="276" w:lineRule="auto"/>
        <w:ind w:left="0" w:firstLine="0"/>
        <w:contextualSpacing w:val="0"/>
        <w:jc w:val="both"/>
        <w:rPr>
          <w:rFonts w:ascii="Verdana" w:eastAsia="Century Gothic" w:hAnsi="Verdana" w:cs="Century Gothic"/>
          <w:b/>
          <w:bCs/>
          <w:color w:val="000000" w:themeColor="text1"/>
        </w:rPr>
      </w:pPr>
      <w:r w:rsidRPr="00115E3D">
        <w:rPr>
          <w:rFonts w:ascii="Verdana" w:eastAsia="Century Gothic" w:hAnsi="Verdana" w:cs="Century Gothic"/>
          <w:b/>
          <w:bCs/>
          <w:color w:val="000000" w:themeColor="text1"/>
        </w:rPr>
        <w:t>Doctrina de la Agencia Nacional de Contratación Pública:</w:t>
      </w:r>
    </w:p>
    <w:p w14:paraId="6D7149FA" w14:textId="77777777" w:rsidR="00250090" w:rsidRPr="00115E3D" w:rsidRDefault="00250090" w:rsidP="00250090">
      <w:pPr>
        <w:widowControl w:val="0"/>
        <w:autoSpaceDE w:val="0"/>
        <w:autoSpaceDN w:val="0"/>
        <w:spacing w:after="0" w:line="276" w:lineRule="auto"/>
        <w:jc w:val="both"/>
        <w:rPr>
          <w:rFonts w:ascii="Verdana" w:hAnsi="Verdana" w:cs="Arial"/>
          <w:color w:val="000000" w:themeColor="text1"/>
        </w:rPr>
      </w:pPr>
    </w:p>
    <w:p w14:paraId="2E2FEC70" w14:textId="77777777" w:rsidR="00250090" w:rsidRPr="00DC4B8E" w:rsidRDefault="00250090" w:rsidP="00250090">
      <w:pPr>
        <w:widowControl w:val="0"/>
        <w:autoSpaceDE w:val="0"/>
        <w:autoSpaceDN w:val="0"/>
        <w:spacing w:after="0" w:line="276" w:lineRule="auto"/>
        <w:jc w:val="both"/>
        <w:rPr>
          <w:rStyle w:val="normaltextrun"/>
          <w:rFonts w:ascii="Verdana" w:hAnsi="Verdana" w:cs="Arial"/>
        </w:rPr>
      </w:pPr>
      <w:r w:rsidRPr="00983DE2">
        <w:rPr>
          <w:rStyle w:val="normaltextrun"/>
          <w:rFonts w:ascii="Verdana" w:hAnsi="Verdana" w:cs="Arial"/>
          <w:color w:val="000000" w:themeColor="text1"/>
          <w:shd w:val="clear" w:color="auto" w:fill="FFFFFF"/>
          <w:lang w:val="es-ES"/>
        </w:rPr>
        <w:t xml:space="preserve">La Agencia Nacional de Contratación Pública – Colombia Compra Eficiente se ha referido </w:t>
      </w:r>
      <w:r w:rsidRPr="00983DE2">
        <w:rPr>
          <w:rStyle w:val="normaltextrun"/>
          <w:rFonts w:ascii="Verdana" w:hAnsi="Verdana" w:cs="Arial"/>
          <w:shd w:val="clear" w:color="auto" w:fill="FFFFFF"/>
          <w:lang w:val="es-ES"/>
        </w:rPr>
        <w:t>al régimen de garantías en los Conceptos</w:t>
      </w:r>
      <w:r w:rsidRPr="00983DE2">
        <w:rPr>
          <w:rStyle w:val="normaltextrun"/>
          <w:rFonts w:ascii="Verdana" w:hAnsi="Verdana" w:cs="Calibri"/>
          <w:shd w:val="clear" w:color="auto" w:fill="FFFFFF"/>
          <w:lang w:val="es-ES"/>
        </w:rPr>
        <w:t xml:space="preserve"> </w:t>
      </w:r>
      <w:r w:rsidRPr="00983DE2">
        <w:rPr>
          <w:rStyle w:val="normaltextrun"/>
          <w:rFonts w:ascii="Verdana" w:hAnsi="Verdana" w:cs="Arial"/>
          <w:shd w:val="clear" w:color="auto" w:fill="FFFFFF"/>
          <w:lang w:val="es-ES"/>
        </w:rPr>
        <w:t xml:space="preserve">2201913000009075 del 9 de diciembre de 2019, C-080 del 8 de abril de 2021, C-525 del 27 de septiembre </w:t>
      </w:r>
      <w:r w:rsidRPr="00983DE2">
        <w:rPr>
          <w:rStyle w:val="normaltextrun"/>
          <w:rFonts w:ascii="Verdana" w:hAnsi="Verdana" w:cs="Arial"/>
          <w:shd w:val="clear" w:color="auto" w:fill="FFFFFF"/>
          <w:lang w:val="es-ES"/>
        </w:rPr>
        <w:lastRenderedPageBreak/>
        <w:t>de 2021, C- 567 del 08 de octubre del 2021, C-036 del 28 de febrero del 2022, C-126 de 25 de marzo de 2022, C-583 del 19 de octubre de 2022, C-584 del 26 de septiembre de 2022, C-712 del 13 de octubre de 2022 y C-845 del 7 de diciembre de 2022, C-036 del 31 de marzo de 2023, C-386 del 31 de enero de 2024, C-306 del 12 de agosto de 2024</w:t>
      </w:r>
      <w:r>
        <w:rPr>
          <w:rStyle w:val="normaltextrun"/>
          <w:rFonts w:ascii="Verdana" w:hAnsi="Verdana" w:cs="Arial"/>
          <w:shd w:val="clear" w:color="auto" w:fill="FFFFFF"/>
          <w:lang w:val="es-ES"/>
        </w:rPr>
        <w:t xml:space="preserve">, </w:t>
      </w:r>
      <w:r w:rsidRPr="00983DE2">
        <w:rPr>
          <w:rFonts w:ascii="Verdana" w:eastAsia="Calibri" w:hAnsi="Verdana" w:cs="Arial"/>
          <w:lang w:val="es-ES" w:eastAsia="es-ES"/>
        </w:rPr>
        <w:t>C–099 del 21 de febrero de 2025</w:t>
      </w:r>
      <w:r>
        <w:rPr>
          <w:rFonts w:ascii="Verdana" w:eastAsia="Calibri" w:hAnsi="Verdana" w:cs="Arial"/>
          <w:lang w:val="es-ES" w:eastAsia="es-ES"/>
        </w:rPr>
        <w:t xml:space="preserve">, </w:t>
      </w:r>
      <w:r>
        <w:rPr>
          <w:rFonts w:ascii="Verdana" w:eastAsia="Calibri" w:hAnsi="Verdana" w:cs="Arial"/>
        </w:rPr>
        <w:t xml:space="preserve">C-1260 del 03 de julio de 2025 </w:t>
      </w:r>
      <w:r>
        <w:rPr>
          <w:rFonts w:ascii="Verdana" w:eastAsia="Calibri" w:hAnsi="Verdana" w:cs="Arial"/>
          <w:lang w:val="es-ES" w:eastAsia="es-ES"/>
        </w:rPr>
        <w:t>y C-1547 del 03 de diciembre de 2025</w:t>
      </w:r>
      <w:r>
        <w:rPr>
          <w:rFonts w:ascii="Verdana" w:eastAsia="Calibri" w:hAnsi="Verdana" w:cs="Arial"/>
        </w:rPr>
        <w:t>.</w:t>
      </w:r>
      <w:r w:rsidRPr="00DC4B8E">
        <w:rPr>
          <w:rFonts w:ascii="Verdana" w:hAnsi="Verdana" w:cs="Arial"/>
        </w:rPr>
        <w:t xml:space="preserve"> </w:t>
      </w:r>
      <w:r w:rsidRPr="00DC4B8E">
        <w:rPr>
          <w:rStyle w:val="normaltextrun"/>
          <w:rFonts w:ascii="Verdana" w:hAnsi="Verdana" w:cs="Arial"/>
          <w:shd w:val="clear" w:color="auto" w:fill="FFFFFF"/>
          <w:lang w:val="es-ES"/>
        </w:rPr>
        <w:t>Es</w:t>
      </w:r>
      <w:r w:rsidRPr="00DC4B8E">
        <w:rPr>
          <w:rFonts w:ascii="Verdana" w:hAnsi="Verdana" w:cs="Arial"/>
        </w:rPr>
        <w:t>tos y otros conceptos se encuentran disponibles para consulta en el Sistema de relatoría de la Agencia, al cual se puede acceder a través del siguiente enlace:</w:t>
      </w:r>
      <w:r w:rsidRPr="00DC4B8E">
        <w:rPr>
          <w:rStyle w:val="normaltextrun"/>
          <w:rFonts w:ascii="Verdana" w:hAnsi="Verdana" w:cs="Arial"/>
          <w:shd w:val="clear" w:color="auto" w:fill="FFFFFF"/>
          <w:lang w:val="es-ES"/>
        </w:rPr>
        <w:t xml:space="preserve"> </w:t>
      </w:r>
      <w:hyperlink r:id="rId12" w:history="1">
        <w:r w:rsidRPr="00DC4B8E">
          <w:rPr>
            <w:rStyle w:val="Hipervnculo"/>
            <w:rFonts w:ascii="Verdana" w:hAnsi="Verdana" w:cs="Arial"/>
            <w:shd w:val="clear" w:color="auto" w:fill="FFFFFF"/>
            <w:lang w:val="es-ES"/>
          </w:rPr>
          <w:t>https://relatoria.colombiacompra.gov.co/busqueda/conceptos</w:t>
        </w:r>
      </w:hyperlink>
    </w:p>
    <w:p w14:paraId="7F8E5ED3" w14:textId="77777777" w:rsidR="00250090" w:rsidRPr="00115E3D" w:rsidRDefault="00250090" w:rsidP="00250090">
      <w:pPr>
        <w:widowControl w:val="0"/>
        <w:autoSpaceDE w:val="0"/>
        <w:autoSpaceDN w:val="0"/>
        <w:spacing w:after="0" w:line="276" w:lineRule="auto"/>
        <w:jc w:val="both"/>
        <w:rPr>
          <w:rStyle w:val="normaltextrun"/>
          <w:rFonts w:ascii="Verdana" w:hAnsi="Verdana" w:cs="Arial"/>
          <w:color w:val="000000" w:themeColor="text1"/>
          <w:shd w:val="clear" w:color="auto" w:fill="FFFFFF"/>
          <w:lang w:val="es-ES"/>
        </w:rPr>
      </w:pPr>
      <w:r w:rsidRPr="00115E3D">
        <w:rPr>
          <w:rStyle w:val="normaltextrun"/>
          <w:rFonts w:ascii="Verdana" w:hAnsi="Verdana" w:cs="Arial"/>
          <w:color w:val="000000" w:themeColor="text1"/>
          <w:shd w:val="clear" w:color="auto" w:fill="FFFFFF"/>
          <w:lang w:val="es-ES"/>
        </w:rPr>
        <w:t xml:space="preserve">  </w:t>
      </w:r>
    </w:p>
    <w:p w14:paraId="13D8B233" w14:textId="77777777" w:rsidR="00250090" w:rsidRPr="009A385A" w:rsidRDefault="00250090" w:rsidP="00250090">
      <w:pPr>
        <w:jc w:val="both"/>
        <w:rPr>
          <w:rFonts w:ascii="Verdana" w:hAnsi="Verdana"/>
        </w:rPr>
      </w:pPr>
      <w:r w:rsidRPr="009A385A">
        <w:rPr>
          <w:rFonts w:ascii="Verdana" w:hAnsi="Verdana"/>
        </w:rPr>
        <w:t xml:space="preserve">La sostenibilidad no es una opción, es una </w:t>
      </w:r>
      <w:r>
        <w:rPr>
          <w:rFonts w:ascii="Verdana" w:hAnsi="Verdana"/>
        </w:rPr>
        <w:t>obligación</w:t>
      </w:r>
      <w:r w:rsidRPr="009A385A">
        <w:rPr>
          <w:rFonts w:ascii="Verdana" w:hAnsi="Verdana"/>
        </w:rPr>
        <w:t xml:space="preserve">. Por ello, la Agencia Nacional de Contratación Pública –Colombia Compra Eficiente– te invita a realizar el </w:t>
      </w:r>
      <w:r w:rsidRPr="009A385A">
        <w:rPr>
          <w:rFonts w:ascii="Verdana" w:hAnsi="Verdana"/>
          <w:b/>
          <w:bCs/>
        </w:rPr>
        <w:t>Curso de Contratación Pública Sostenible y Socialmente Responsable</w:t>
      </w:r>
      <w:r w:rsidRPr="009A385A">
        <w:rPr>
          <w:rFonts w:ascii="Verdana" w:hAnsi="Verdana"/>
        </w:rPr>
        <w:t xml:space="preserve">, una herramienta clave para fortalecer las capacidades de todos los </w:t>
      </w:r>
      <w:r>
        <w:rPr>
          <w:rFonts w:ascii="Verdana" w:hAnsi="Verdana"/>
        </w:rPr>
        <w:t xml:space="preserve">compradores públicos, proveedores, servidores públicos v para </w:t>
      </w:r>
      <w:r w:rsidRPr="009A385A">
        <w:rPr>
          <w:rFonts w:ascii="Verdana" w:hAnsi="Verdana"/>
        </w:rPr>
        <w:t>generar mayor valor público. Accede al curso</w:t>
      </w:r>
      <w:r>
        <w:rPr>
          <w:rFonts w:ascii="Verdana" w:hAnsi="Verdana"/>
        </w:rPr>
        <w:t xml:space="preserve"> y aprende como implementar criterios sociales y ambientales en las diferentes etapas del proceso de contratación</w:t>
      </w:r>
      <w:r w:rsidRPr="009A385A">
        <w:rPr>
          <w:rFonts w:ascii="Verdana" w:hAnsi="Verdana"/>
        </w:rPr>
        <w:t>:</w:t>
      </w:r>
      <w:r w:rsidRPr="009A385A">
        <w:rPr>
          <w:rFonts w:ascii="Verdana" w:hAnsi="Verdana"/>
        </w:rPr>
        <w:br/>
      </w:r>
      <w:hyperlink r:id="rId13" w:tgtFrame="_new" w:history="1">
        <w:r w:rsidRPr="009A385A">
          <w:rPr>
            <w:rStyle w:val="Hipervnculo"/>
            <w:rFonts w:ascii="Verdana" w:hAnsi="Verdana"/>
          </w:rPr>
          <w:t>https://formacionvirtual.colombiacompra.gov.co/mod/page/view.php?id=3718</w:t>
        </w:r>
      </w:hyperlink>
    </w:p>
    <w:p w14:paraId="7B391794" w14:textId="77777777" w:rsidR="00250090" w:rsidRDefault="00250090" w:rsidP="00250090">
      <w:pPr>
        <w:jc w:val="both"/>
        <w:rPr>
          <w:rFonts w:ascii="Verdana" w:hAnsi="Verdana"/>
        </w:rPr>
      </w:pPr>
      <w:r>
        <w:rPr>
          <w:rFonts w:ascii="Verdana" w:hAnsi="Verdana"/>
        </w:rPr>
        <w:t>De otro lado, te contamos que</w:t>
      </w:r>
      <w:r w:rsidRPr="00B36954">
        <w:rPr>
          <w:rFonts w:ascii="Verdana" w:hAnsi="Verdana"/>
        </w:rPr>
        <w:t xml:space="preserve"> </w:t>
      </w:r>
      <w:r>
        <w:rPr>
          <w:rFonts w:ascii="Verdana" w:hAnsi="Verdana"/>
        </w:rPr>
        <w:t>esta</w:t>
      </w:r>
      <w:r w:rsidRPr="00B36954">
        <w:rPr>
          <w:rFonts w:ascii="Verdana" w:hAnsi="Verdana"/>
        </w:rPr>
        <w:t xml:space="preserve"> Agencia </w:t>
      </w:r>
      <w:r>
        <w:rPr>
          <w:rFonts w:ascii="Verdana" w:hAnsi="Verdana"/>
        </w:rPr>
        <w:t xml:space="preserve">ha </w:t>
      </w:r>
      <w:r w:rsidRPr="00635F16">
        <w:rPr>
          <w:rFonts w:ascii="Verdana" w:hAnsi="Verdana"/>
        </w:rPr>
        <w:t xml:space="preserve">da un paso decisivo en la estandarización y modernización del </w:t>
      </w:r>
      <w:r w:rsidRPr="009A385A">
        <w:rPr>
          <w:rFonts w:ascii="Verdana" w:hAnsi="Verdana"/>
          <w:b/>
          <w:bCs/>
        </w:rPr>
        <w:t>sector  social</w:t>
      </w:r>
      <w:r w:rsidRPr="00635F16">
        <w:rPr>
          <w:rFonts w:ascii="Verdana" w:hAnsi="Verdana"/>
        </w:rPr>
        <w:t xml:space="preserve"> con la expedición de las </w:t>
      </w:r>
      <w:r w:rsidRPr="009A385A">
        <w:rPr>
          <w:rFonts w:ascii="Verdana" w:hAnsi="Verdana"/>
          <w:b/>
          <w:bCs/>
        </w:rPr>
        <w:t>Resoluciones 539, 540, 541, 952 y 953 de 2025</w:t>
      </w:r>
      <w:r w:rsidRPr="00635F16">
        <w:rPr>
          <w:rFonts w:ascii="Verdana" w:hAnsi="Verdana"/>
        </w:rPr>
        <w:t xml:space="preserve">, </w:t>
      </w:r>
      <w:r w:rsidRPr="009A385A">
        <w:rPr>
          <w:rFonts w:ascii="Verdana" w:hAnsi="Verdana"/>
          <w:b/>
          <w:bCs/>
        </w:rPr>
        <w:t>mediante las cuales adopt</w:t>
      </w:r>
      <w:r>
        <w:rPr>
          <w:rFonts w:ascii="Verdana" w:hAnsi="Verdana"/>
          <w:b/>
          <w:bCs/>
        </w:rPr>
        <w:t>ó</w:t>
      </w:r>
      <w:r w:rsidRPr="009A385A">
        <w:rPr>
          <w:rFonts w:ascii="Verdana" w:hAnsi="Verdana"/>
          <w:b/>
          <w:bCs/>
        </w:rPr>
        <w:t xml:space="preserve"> Documentos Tipo</w:t>
      </w:r>
      <w:r w:rsidRPr="00635F16">
        <w:rPr>
          <w:rFonts w:ascii="Verdana" w:hAnsi="Verdana"/>
        </w:rPr>
        <w:t xml:space="preserve"> para</w:t>
      </w:r>
      <w:r>
        <w:rPr>
          <w:rFonts w:ascii="Verdana" w:hAnsi="Verdana"/>
        </w:rPr>
        <w:t xml:space="preserve"> las modalidades de selección </w:t>
      </w:r>
      <w:r w:rsidRPr="007D7084">
        <w:rPr>
          <w:rFonts w:ascii="Verdana" w:hAnsi="Verdana"/>
        </w:rPr>
        <w:t>de</w:t>
      </w:r>
      <w:r w:rsidRPr="009A385A">
        <w:rPr>
          <w:rFonts w:ascii="Verdana" w:hAnsi="Verdana"/>
          <w:b/>
          <w:bCs/>
        </w:rPr>
        <w:t xml:space="preserve"> licitación pública (versión 2), selección abreviada de menor cuantía, mínima cuantía, consultoría e interventoría</w:t>
      </w:r>
      <w:r w:rsidRPr="00635F16">
        <w:rPr>
          <w:rFonts w:ascii="Verdana" w:hAnsi="Verdana"/>
        </w:rPr>
        <w:t>, promoviendo procesos más transparentes, eficientes  competitivos</w:t>
      </w:r>
      <w:r>
        <w:rPr>
          <w:rFonts w:ascii="Verdana" w:hAnsi="Verdana"/>
        </w:rPr>
        <w:t xml:space="preserve"> y sostenibles</w:t>
      </w:r>
      <w:r w:rsidRPr="00635F16">
        <w:rPr>
          <w:rFonts w:ascii="Verdana" w:hAnsi="Verdana"/>
        </w:rPr>
        <w:t xml:space="preserve"> en sectores estratégicos como educación, salud, cultura, recreación</w:t>
      </w:r>
      <w:r>
        <w:rPr>
          <w:rFonts w:ascii="Verdana" w:hAnsi="Verdana"/>
        </w:rPr>
        <w:t xml:space="preserve">, </w:t>
      </w:r>
      <w:r w:rsidRPr="00635F16">
        <w:rPr>
          <w:rFonts w:ascii="Verdana" w:hAnsi="Verdana"/>
        </w:rPr>
        <w:t xml:space="preserve">deporte, institucional y vivienda. Consulta y descarga los documentos aquí: </w:t>
      </w:r>
      <w:hyperlink r:id="rId14" w:tgtFrame="_new" w:history="1">
        <w:r w:rsidRPr="00635F16">
          <w:rPr>
            <w:rStyle w:val="Hipervnculo"/>
            <w:rFonts w:ascii="Verdana" w:hAnsi="Verdana"/>
          </w:rPr>
          <w:t>https://www.colombiacompra.gov.co/normativa-y-relatoria/documentos-tipo</w:t>
        </w:r>
      </w:hyperlink>
    </w:p>
    <w:p w14:paraId="584A8CCA" w14:textId="77777777" w:rsidR="00250090" w:rsidRPr="009A385A" w:rsidRDefault="00250090" w:rsidP="00250090">
      <w:pPr>
        <w:jc w:val="both"/>
        <w:rPr>
          <w:rFonts w:ascii="Verdana" w:hAnsi="Verdana"/>
        </w:rPr>
      </w:pPr>
      <w:r>
        <w:rPr>
          <w:rFonts w:ascii="Verdana" w:hAnsi="Verdana"/>
        </w:rPr>
        <w:t>Si quieres conocer más sobre la aplicación de Documentos Tipo</w:t>
      </w:r>
      <w:r w:rsidRPr="009A385A">
        <w:rPr>
          <w:rFonts w:ascii="Verdana" w:hAnsi="Verdana"/>
        </w:rPr>
        <w:t xml:space="preserve"> </w:t>
      </w:r>
      <w:r>
        <w:rPr>
          <w:rFonts w:ascii="Verdana" w:hAnsi="Verdana"/>
        </w:rPr>
        <w:t xml:space="preserve">puedes </w:t>
      </w:r>
      <w:r w:rsidRPr="00797327">
        <w:rPr>
          <w:rFonts w:ascii="Verdana" w:hAnsi="Verdana"/>
        </w:rPr>
        <w:t>consulta</w:t>
      </w:r>
      <w:r>
        <w:rPr>
          <w:rFonts w:ascii="Verdana" w:hAnsi="Verdana"/>
        </w:rPr>
        <w:t>r</w:t>
      </w:r>
      <w:r w:rsidRPr="009A385A">
        <w:rPr>
          <w:rFonts w:ascii="Verdana" w:hAnsi="Verdana"/>
        </w:rPr>
        <w:t xml:space="preserve"> la</w:t>
      </w:r>
      <w:r w:rsidRPr="00797327">
        <w:rPr>
          <w:rFonts w:ascii="Verdana" w:hAnsi="Verdana"/>
        </w:rPr>
        <w:t xml:space="preserve"> última versión de la</w:t>
      </w:r>
      <w:r w:rsidRPr="009A385A">
        <w:rPr>
          <w:rFonts w:ascii="Verdana" w:hAnsi="Verdana"/>
        </w:rPr>
        <w:t xml:space="preserve"> </w:t>
      </w:r>
      <w:r w:rsidRPr="009A385A">
        <w:rPr>
          <w:rFonts w:ascii="Verdana" w:hAnsi="Verdana"/>
          <w:b/>
          <w:bCs/>
        </w:rPr>
        <w:t>Guía para la comprensión e implementación de los Documentos Tipo de obra pública de infraestructura de transporte</w:t>
      </w:r>
      <w:r w:rsidRPr="00797327">
        <w:rPr>
          <w:rFonts w:ascii="Verdana" w:hAnsi="Verdana"/>
        </w:rPr>
        <w:t xml:space="preserve">. En </w:t>
      </w:r>
      <w:r>
        <w:rPr>
          <w:rFonts w:ascii="Verdana" w:hAnsi="Verdana"/>
        </w:rPr>
        <w:t xml:space="preserve">esta </w:t>
      </w:r>
      <w:r w:rsidRPr="00797327">
        <w:rPr>
          <w:rFonts w:ascii="Verdana" w:hAnsi="Verdana"/>
        </w:rPr>
        <w:t>actualización</w:t>
      </w:r>
      <w:r>
        <w:rPr>
          <w:rFonts w:ascii="Verdana" w:hAnsi="Verdana"/>
        </w:rPr>
        <w:t xml:space="preserve"> </w:t>
      </w:r>
      <w:r w:rsidRPr="00797327">
        <w:rPr>
          <w:rFonts w:ascii="Verdana" w:hAnsi="Verdana"/>
        </w:rPr>
        <w:t>se incorporaron orientaciones prácticas dirigidas a entidades públicas, proveedores, organismos de control y demás interesados, con el propósito de facilitar la adecuada implementación de est</w:t>
      </w:r>
      <w:r>
        <w:rPr>
          <w:rFonts w:ascii="Verdana" w:hAnsi="Verdana"/>
        </w:rPr>
        <w:t>os</w:t>
      </w:r>
      <w:r w:rsidRPr="00797327">
        <w:rPr>
          <w:rFonts w:ascii="Verdana" w:hAnsi="Verdana"/>
        </w:rPr>
        <w:t xml:space="preserve"> instrumento</w:t>
      </w:r>
      <w:r>
        <w:rPr>
          <w:rFonts w:ascii="Verdana" w:hAnsi="Verdana"/>
        </w:rPr>
        <w:t>s</w:t>
      </w:r>
      <w:r w:rsidRPr="00797327">
        <w:rPr>
          <w:rFonts w:ascii="Verdana" w:hAnsi="Verdana"/>
        </w:rPr>
        <w:t xml:space="preserve"> en los procesos contractuales.</w:t>
      </w:r>
      <w:r w:rsidRPr="009A385A">
        <w:rPr>
          <w:rFonts w:ascii="Verdana" w:hAnsi="Verdana"/>
        </w:rPr>
        <w:t xml:space="preserve"> </w:t>
      </w:r>
      <w:r w:rsidRPr="00797327">
        <w:rPr>
          <w:rFonts w:ascii="Verdana" w:hAnsi="Verdana"/>
        </w:rPr>
        <w:t>Además se incluye</w:t>
      </w:r>
      <w:r>
        <w:rPr>
          <w:rFonts w:ascii="Verdana" w:hAnsi="Verdana"/>
        </w:rPr>
        <w:t>ron</w:t>
      </w:r>
      <w:r w:rsidRPr="00797327">
        <w:rPr>
          <w:rFonts w:ascii="Verdana" w:hAnsi="Verdana"/>
        </w:rPr>
        <w:t xml:space="preserve"> lineamientos que orientan la implementación de los criterios ambientales y sociales incluidos en los documentos tipo: </w:t>
      </w:r>
      <w:r w:rsidRPr="009A385A">
        <w:rPr>
          <w:rFonts w:ascii="Verdana" w:hAnsi="Verdana"/>
        </w:rPr>
        <w:t>Consulta la guía aquí:</w:t>
      </w:r>
      <w:r w:rsidRPr="009A385A">
        <w:rPr>
          <w:rFonts w:ascii="Verdana" w:hAnsi="Verdana"/>
        </w:rPr>
        <w:br/>
      </w:r>
      <w:hyperlink r:id="rId15" w:tgtFrame="_new" w:history="1">
        <w:r w:rsidRPr="009A385A">
          <w:rPr>
            <w:rStyle w:val="Hipervnculo"/>
            <w:rFonts w:ascii="Verdana" w:hAnsi="Verdana"/>
          </w:rPr>
          <w:t>https://www.colombiacompra.gov.co/archivos/manual/guia-para-la-comprension-e-implementacion-de-los-documentos-tipo-de-obra-publica-de-infraestructura-de-transporte-bajo-las-diferentes-modalidades-de-contratacion-vigentes</w:t>
        </w:r>
      </w:hyperlink>
    </w:p>
    <w:p w14:paraId="3F07FD52" w14:textId="77777777" w:rsidR="00250090" w:rsidRPr="00115E3D" w:rsidRDefault="00250090" w:rsidP="00250090">
      <w:pPr>
        <w:spacing w:after="0" w:line="240" w:lineRule="auto"/>
        <w:jc w:val="both"/>
        <w:rPr>
          <w:rFonts w:ascii="Verdana" w:hAnsi="Verdana"/>
          <w:color w:val="000000" w:themeColor="text1"/>
        </w:rPr>
      </w:pPr>
      <w:r>
        <w:rPr>
          <w:rFonts w:ascii="Verdana" w:hAnsi="Verdana"/>
          <w:color w:val="000000" w:themeColor="text1"/>
        </w:rPr>
        <w:t>L</w:t>
      </w:r>
      <w:r w:rsidRPr="00115E3D">
        <w:rPr>
          <w:rFonts w:ascii="Verdana" w:hAnsi="Verdana"/>
          <w:color w:val="000000" w:themeColor="text1"/>
        </w:rPr>
        <w:t xml:space="preserve">o invitamos a seguirnos en las redes sociales en las cuales se difunde información institucional: </w:t>
      </w:r>
    </w:p>
    <w:p w14:paraId="308E07C2" w14:textId="77777777" w:rsidR="00250090" w:rsidRPr="00115E3D" w:rsidRDefault="00250090" w:rsidP="00250090">
      <w:pPr>
        <w:spacing w:after="0" w:line="240" w:lineRule="auto"/>
        <w:jc w:val="both"/>
        <w:rPr>
          <w:rFonts w:ascii="Verdana" w:hAnsi="Verdana"/>
          <w:color w:val="000000" w:themeColor="text1"/>
        </w:rPr>
      </w:pPr>
    </w:p>
    <w:p w14:paraId="53CC7691" w14:textId="77777777" w:rsidR="00250090" w:rsidRPr="00115E3D" w:rsidRDefault="00250090" w:rsidP="00250090">
      <w:pPr>
        <w:spacing w:after="0" w:line="240" w:lineRule="auto"/>
        <w:jc w:val="both"/>
        <w:rPr>
          <w:rFonts w:ascii="Verdana" w:hAnsi="Verdana"/>
          <w:color w:val="000000" w:themeColor="text1"/>
        </w:rPr>
      </w:pPr>
      <w:r w:rsidRPr="00115E3D">
        <w:rPr>
          <w:rFonts w:ascii="Verdana" w:hAnsi="Verdana"/>
          <w:color w:val="000000" w:themeColor="text1"/>
        </w:rPr>
        <w:t xml:space="preserve">Twitter: </w:t>
      </w:r>
      <w:r w:rsidRPr="00115E3D">
        <w:rPr>
          <w:rStyle w:val="Hipervnculo"/>
          <w:rFonts w:ascii="Verdana" w:hAnsi="Verdana"/>
          <w:color w:val="000000" w:themeColor="text1"/>
        </w:rPr>
        <w:t>@colombiacompra</w:t>
      </w:r>
      <w:r w:rsidRPr="00115E3D">
        <w:rPr>
          <w:rFonts w:ascii="Verdana" w:hAnsi="Verdana"/>
          <w:color w:val="000000" w:themeColor="text1"/>
        </w:rPr>
        <w:t xml:space="preserve"> </w:t>
      </w:r>
    </w:p>
    <w:p w14:paraId="65ED7164" w14:textId="77777777" w:rsidR="00250090" w:rsidRPr="00115E3D" w:rsidRDefault="00250090" w:rsidP="00250090">
      <w:pPr>
        <w:spacing w:after="0" w:line="240" w:lineRule="auto"/>
        <w:jc w:val="both"/>
        <w:rPr>
          <w:rFonts w:ascii="Verdana" w:hAnsi="Verdana"/>
          <w:color w:val="000000" w:themeColor="text1"/>
        </w:rPr>
      </w:pPr>
      <w:r w:rsidRPr="00115E3D">
        <w:rPr>
          <w:rFonts w:ascii="Verdana" w:hAnsi="Verdana"/>
          <w:color w:val="000000" w:themeColor="text1"/>
        </w:rPr>
        <w:t xml:space="preserve">Facebook: </w:t>
      </w:r>
      <w:r w:rsidRPr="00115E3D">
        <w:rPr>
          <w:rStyle w:val="Hipervnculo"/>
          <w:rFonts w:ascii="Verdana" w:hAnsi="Verdana"/>
          <w:color w:val="000000" w:themeColor="text1"/>
        </w:rPr>
        <w:t>ColombiaCompraEficiente</w:t>
      </w:r>
    </w:p>
    <w:p w14:paraId="6123E590" w14:textId="77777777" w:rsidR="00250090" w:rsidRPr="00115E3D" w:rsidRDefault="00250090" w:rsidP="00250090">
      <w:pPr>
        <w:spacing w:after="0" w:line="240" w:lineRule="auto"/>
        <w:jc w:val="both"/>
        <w:rPr>
          <w:rFonts w:ascii="Verdana" w:hAnsi="Verdana"/>
          <w:color w:val="000000" w:themeColor="text1"/>
        </w:rPr>
      </w:pPr>
      <w:r w:rsidRPr="00115E3D">
        <w:rPr>
          <w:rFonts w:ascii="Verdana" w:hAnsi="Verdana"/>
          <w:color w:val="000000" w:themeColor="text1"/>
        </w:rPr>
        <w:t xml:space="preserve">LinkedIn: </w:t>
      </w:r>
      <w:r w:rsidRPr="00115E3D">
        <w:rPr>
          <w:rStyle w:val="Hipervnculo"/>
          <w:rFonts w:ascii="Verdana" w:hAnsi="Verdana"/>
          <w:color w:val="000000" w:themeColor="text1"/>
        </w:rPr>
        <w:t>Agencia Nacional de Contratación Pública - Colombia Compra Eficiente</w:t>
      </w:r>
      <w:r w:rsidRPr="00115E3D">
        <w:rPr>
          <w:rFonts w:ascii="Verdana" w:hAnsi="Verdana"/>
          <w:color w:val="000000" w:themeColor="text1"/>
        </w:rPr>
        <w:t xml:space="preserve"> Instagram: </w:t>
      </w:r>
      <w:r w:rsidRPr="00115E3D">
        <w:rPr>
          <w:rStyle w:val="Hipervnculo"/>
          <w:rFonts w:ascii="Verdana" w:hAnsi="Verdana"/>
          <w:color w:val="000000" w:themeColor="text1"/>
        </w:rPr>
        <w:t>@colombiacompraeficiente_cce</w:t>
      </w:r>
    </w:p>
    <w:p w14:paraId="392AB628" w14:textId="77777777" w:rsidR="00250090" w:rsidRPr="00115E3D" w:rsidRDefault="00250090" w:rsidP="00250090">
      <w:pPr>
        <w:widowControl w:val="0"/>
        <w:autoSpaceDE w:val="0"/>
        <w:autoSpaceDN w:val="0"/>
        <w:spacing w:after="0" w:line="276" w:lineRule="auto"/>
        <w:jc w:val="both"/>
        <w:rPr>
          <w:rFonts w:ascii="Verdana" w:hAnsi="Verdana" w:cs="Arial"/>
          <w:color w:val="000000" w:themeColor="text1"/>
        </w:rPr>
      </w:pPr>
    </w:p>
    <w:p w14:paraId="369AE523" w14:textId="77777777" w:rsidR="00250090" w:rsidRPr="00115E3D" w:rsidRDefault="00250090" w:rsidP="00250090">
      <w:pPr>
        <w:widowControl w:val="0"/>
        <w:autoSpaceDE w:val="0"/>
        <w:autoSpaceDN w:val="0"/>
        <w:spacing w:after="0" w:line="276" w:lineRule="auto"/>
        <w:jc w:val="both"/>
        <w:rPr>
          <w:rFonts w:ascii="Verdana" w:hAnsi="Verdana" w:cs="Arial"/>
          <w:color w:val="000000" w:themeColor="text1"/>
          <w:lang w:val="es-ES_tradnl"/>
        </w:rPr>
      </w:pPr>
      <w:r w:rsidRPr="00115E3D">
        <w:rPr>
          <w:rFonts w:ascii="Verdana" w:hAnsi="Verdana" w:cs="Arial"/>
          <w:color w:val="000000" w:themeColor="text1"/>
        </w:rPr>
        <w:t xml:space="preserve">Este concepto tiene el alcance previsto en el artículo 28 del Código de Procedimiento Administrativo y de lo Contencioso Administrativo </w:t>
      </w:r>
      <w:r w:rsidRPr="00115E3D">
        <w:rPr>
          <w:rFonts w:ascii="Verdana" w:hAnsi="Verdana" w:cs="Arial"/>
          <w:color w:val="000000" w:themeColor="text1"/>
          <w:lang w:val="es-ES_tradnl"/>
        </w:rPr>
        <w:t>y las expresiones aquí utilizadas con mayúscula inicial deben ser entendidas con el significado que les otorga el artículo 2.2.1.1.1.3.1. del Decreto 1082 de 2015.</w:t>
      </w:r>
    </w:p>
    <w:p w14:paraId="6F5549ED" w14:textId="77777777" w:rsidR="00250090" w:rsidRDefault="00250090" w:rsidP="00250090">
      <w:pPr>
        <w:spacing w:after="0" w:line="240" w:lineRule="auto"/>
        <w:rPr>
          <w:rFonts w:ascii="Verdana" w:eastAsia="Times New Roman" w:hAnsi="Verdana" w:cs="Arial"/>
          <w:color w:val="000000" w:themeColor="text1"/>
          <w:lang w:eastAsia="es-CO"/>
        </w:rPr>
      </w:pPr>
    </w:p>
    <w:p w14:paraId="3601FD9D" w14:textId="77777777" w:rsidR="00250090" w:rsidRDefault="00250090" w:rsidP="00250090">
      <w:pPr>
        <w:spacing w:after="0" w:line="240" w:lineRule="auto"/>
        <w:rPr>
          <w:rFonts w:ascii="Verdana" w:eastAsia="Times New Roman" w:hAnsi="Verdana" w:cs="Arial"/>
          <w:color w:val="000000" w:themeColor="text1"/>
          <w:lang w:eastAsia="es-CO"/>
        </w:rPr>
      </w:pPr>
    </w:p>
    <w:p w14:paraId="056B34E6" w14:textId="77777777" w:rsidR="00250090" w:rsidRPr="00115E3D" w:rsidRDefault="00250090" w:rsidP="00250090">
      <w:pPr>
        <w:spacing w:after="0" w:line="240" w:lineRule="auto"/>
        <w:rPr>
          <w:rFonts w:ascii="Verdana" w:hAnsi="Verdana" w:cs="Arial"/>
          <w:color w:val="000000" w:themeColor="text1"/>
          <w:lang w:eastAsia="es-CO"/>
        </w:rPr>
      </w:pPr>
      <w:r w:rsidRPr="00115E3D">
        <w:rPr>
          <w:rFonts w:ascii="Verdana" w:eastAsia="Times New Roman" w:hAnsi="Verdana" w:cs="Arial"/>
          <w:color w:val="000000" w:themeColor="text1"/>
          <w:lang w:eastAsia="es-CO"/>
        </w:rPr>
        <w:t>Atentamente,</w:t>
      </w:r>
      <w:r w:rsidRPr="00115E3D">
        <w:rPr>
          <w:rFonts w:ascii="Verdana" w:hAnsi="Verdana" w:cs="Arial"/>
          <w:color w:val="000000" w:themeColor="text1"/>
          <w:lang w:eastAsia="es-CO"/>
        </w:rPr>
        <w:t xml:space="preserve"> </w:t>
      </w:r>
    </w:p>
    <w:p w14:paraId="22C69FA3" w14:textId="77777777" w:rsidR="00E32DDD" w:rsidRDefault="00E32DDD" w:rsidP="00250090">
      <w:pPr>
        <w:spacing w:line="276" w:lineRule="auto"/>
        <w:jc w:val="center"/>
        <w:rPr>
          <w:noProof/>
        </w:rPr>
      </w:pPr>
    </w:p>
    <w:p w14:paraId="0CEAACC7" w14:textId="6D58548D" w:rsidR="00E32DDD" w:rsidRDefault="00E32DDD" w:rsidP="00250090">
      <w:pPr>
        <w:spacing w:line="276" w:lineRule="auto"/>
        <w:jc w:val="center"/>
        <w:rPr>
          <w:noProof/>
        </w:rPr>
      </w:pPr>
      <w:r>
        <w:rPr>
          <w:noProof/>
        </w:rPr>
        <w:drawing>
          <wp:inline distT="0" distB="0" distL="0" distR="0" wp14:anchorId="1C6B2D48" wp14:editId="2D4E72D5">
            <wp:extent cx="3773805" cy="1620029"/>
            <wp:effectExtent l="0" t="0" r="0" b="0"/>
            <wp:docPr id="129135835" name="Imagen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2"/>
                    <pic:cNvPicPr>
                      <a:picLocks noChangeAspect="1" noChangeArrowheads="1"/>
                    </pic:cNvPicPr>
                  </pic:nvPicPr>
                  <pic:blipFill>
                    <a:blip r:embed="rId16">
                      <a:extLst>
                        <a:ext uri="{28A0092B-C50C-407E-A947-70E740481C1C}">
                          <a14:useLocalDpi xmlns:a14="http://schemas.microsoft.com/office/drawing/2010/main" val="0"/>
                        </a:ext>
                      </a:extLst>
                    </a:blip>
                    <a:srcRect/>
                    <a:stretch>
                      <a:fillRect/>
                    </a:stretch>
                  </pic:blipFill>
                  <pic:spPr bwMode="auto">
                    <a:xfrm>
                      <a:off x="0" y="0"/>
                      <a:ext cx="3780904" cy="1623076"/>
                    </a:xfrm>
                    <a:prstGeom prst="rect">
                      <a:avLst/>
                    </a:prstGeom>
                    <a:noFill/>
                    <a:ln>
                      <a:noFill/>
                    </a:ln>
                  </pic:spPr>
                </pic:pic>
              </a:graphicData>
            </a:graphic>
          </wp:inline>
        </w:drawing>
      </w:r>
    </w:p>
    <w:p w14:paraId="7CD90C41" w14:textId="38E6E4F7" w:rsidR="00250090" w:rsidRDefault="00250090" w:rsidP="00250090">
      <w:pPr>
        <w:spacing w:line="276" w:lineRule="auto"/>
        <w:jc w:val="center"/>
        <w:rPr>
          <w:noProof/>
          <w:color w:val="000000" w:themeColor="text1"/>
          <w:lang w:val="es-ES_tradnl" w:eastAsia="es-CO"/>
        </w:rPr>
      </w:pPr>
      <w:r>
        <w:rPr>
          <w:noProof/>
          <w:color w:val="000000" w:themeColor="text1"/>
          <w:lang w:val="es-ES_tradnl" w:eastAsia="es-CO"/>
        </w:rPr>
        <w:t xml:space="preserve"> </w:t>
      </w:r>
    </w:p>
    <w:p w14:paraId="2DB81C5D" w14:textId="77777777" w:rsidR="00250090" w:rsidRDefault="00250090" w:rsidP="00250090">
      <w:pPr>
        <w:spacing w:line="276" w:lineRule="auto"/>
        <w:jc w:val="center"/>
        <w:rPr>
          <w:noProof/>
          <w:color w:val="000000" w:themeColor="text1"/>
          <w:lang w:val="es-ES_tradnl" w:eastAsia="es-CO"/>
        </w:rPr>
      </w:pPr>
    </w:p>
    <w:tbl>
      <w:tblPr>
        <w:tblStyle w:val="Tablaconcuadrcula"/>
        <w:tblW w:w="6521" w:type="dxa"/>
        <w:tblBorders>
          <w:top w:val="none" w:sz="0" w:space="0" w:color="auto"/>
          <w:left w:val="none" w:sz="0" w:space="0" w:color="auto"/>
          <w:bottom w:val="none" w:sz="0" w:space="0" w:color="auto"/>
          <w:right w:val="none" w:sz="0" w:space="0" w:color="auto"/>
          <w:insideH w:val="none" w:sz="0" w:space="0" w:color="auto"/>
          <w:insideV w:val="none" w:sz="0" w:space="0" w:color="auto"/>
        </w:tblBorders>
        <w:tblLook w:val="04A0" w:firstRow="1" w:lastRow="0" w:firstColumn="1" w:lastColumn="0" w:noHBand="0" w:noVBand="1"/>
      </w:tblPr>
      <w:tblGrid>
        <w:gridCol w:w="893"/>
        <w:gridCol w:w="5628"/>
      </w:tblGrid>
      <w:tr w:rsidR="00250090" w:rsidRPr="00115E3D" w14:paraId="254D6414" w14:textId="77777777" w:rsidTr="00A607B5">
        <w:trPr>
          <w:trHeight w:val="315"/>
        </w:trPr>
        <w:tc>
          <w:tcPr>
            <w:tcW w:w="893" w:type="dxa"/>
            <w:vAlign w:val="center"/>
            <w:hideMark/>
          </w:tcPr>
          <w:p w14:paraId="0B24F447" w14:textId="77777777" w:rsidR="00250090" w:rsidRPr="00115E3D" w:rsidRDefault="00250090" w:rsidP="00A607B5">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Elaboró:</w:t>
            </w:r>
          </w:p>
        </w:tc>
        <w:tc>
          <w:tcPr>
            <w:tcW w:w="5628" w:type="dxa"/>
            <w:tcBorders>
              <w:top w:val="nil"/>
              <w:left w:val="nil"/>
              <w:bottom w:val="dotted" w:sz="4" w:space="0" w:color="7F7F7F" w:themeColor="text1" w:themeTint="80"/>
              <w:right w:val="nil"/>
            </w:tcBorders>
            <w:vAlign w:val="center"/>
            <w:hideMark/>
          </w:tcPr>
          <w:p w14:paraId="23BC0F20" w14:textId="77777777" w:rsidR="00250090" w:rsidRPr="00115E3D" w:rsidRDefault="00250090" w:rsidP="00A607B5">
            <w:pPr>
              <w:contextualSpacing/>
              <w:rPr>
                <w:rFonts w:ascii="Verdana" w:eastAsia="Arial" w:hAnsi="Verdana" w:cs="Arial"/>
                <w:color w:val="000000" w:themeColor="text1"/>
                <w:sz w:val="16"/>
                <w:szCs w:val="16"/>
              </w:rPr>
            </w:pPr>
            <w:r>
              <w:rPr>
                <w:rFonts w:ascii="Verdana" w:eastAsia="Arial" w:hAnsi="Verdana" w:cs="Arial"/>
                <w:color w:val="000000" w:themeColor="text1"/>
                <w:sz w:val="16"/>
                <w:szCs w:val="16"/>
              </w:rPr>
              <w:t>Daniel Eduardo Rojas Poveda</w:t>
            </w:r>
          </w:p>
          <w:p w14:paraId="009D1579" w14:textId="77777777" w:rsidR="00250090" w:rsidRPr="00115E3D" w:rsidRDefault="00250090" w:rsidP="00A607B5">
            <w:pPr>
              <w:contextualSpacing/>
              <w:rPr>
                <w:rFonts w:ascii="Verdana" w:eastAsia="Arial" w:hAnsi="Verdana" w:cs="Arial"/>
                <w:color w:val="000000" w:themeColor="text1"/>
                <w:sz w:val="16"/>
                <w:szCs w:val="16"/>
              </w:rPr>
            </w:pPr>
            <w:r w:rsidRPr="00AB5151">
              <w:rPr>
                <w:rStyle w:val="normaltextrun"/>
                <w:rFonts w:ascii="Verdana" w:eastAsia="Arial" w:hAnsi="Verdana" w:cs="Times New Roman"/>
                <w:color w:val="000000" w:themeColor="text1"/>
                <w:sz w:val="16"/>
                <w:szCs w:val="16"/>
              </w:rPr>
              <w:t>C</w:t>
            </w:r>
            <w:r w:rsidRPr="00AB5151">
              <w:rPr>
                <w:rStyle w:val="normaltextrun"/>
                <w:rFonts w:ascii="Verdana" w:eastAsia="Arial" w:hAnsi="Verdana" w:cs="Times New Roman"/>
                <w:sz w:val="16"/>
                <w:szCs w:val="16"/>
              </w:rPr>
              <w:t xml:space="preserve">ontratista </w:t>
            </w:r>
            <w:r w:rsidRPr="00115E3D">
              <w:rPr>
                <w:rStyle w:val="normaltextrun"/>
                <w:rFonts w:ascii="Verdana" w:eastAsia="Arial" w:hAnsi="Verdana" w:cs="Arial"/>
                <w:color w:val="000000" w:themeColor="text1"/>
                <w:sz w:val="16"/>
                <w:szCs w:val="16"/>
              </w:rPr>
              <w:t>de la Subdirección de Gestión Contractual</w:t>
            </w:r>
          </w:p>
        </w:tc>
      </w:tr>
      <w:tr w:rsidR="00250090" w:rsidRPr="00115E3D" w14:paraId="73E3092B" w14:textId="77777777" w:rsidTr="00A607B5">
        <w:trPr>
          <w:trHeight w:val="330"/>
        </w:trPr>
        <w:tc>
          <w:tcPr>
            <w:tcW w:w="893" w:type="dxa"/>
            <w:vAlign w:val="center"/>
            <w:hideMark/>
          </w:tcPr>
          <w:p w14:paraId="250511AF" w14:textId="77777777" w:rsidR="00250090" w:rsidRPr="00115E3D" w:rsidRDefault="00250090" w:rsidP="00A607B5">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Revisó:</w:t>
            </w:r>
          </w:p>
        </w:tc>
        <w:tc>
          <w:tcPr>
            <w:tcW w:w="5628" w:type="dxa"/>
            <w:tcBorders>
              <w:top w:val="dotted" w:sz="4" w:space="0" w:color="7F7F7F" w:themeColor="text1" w:themeTint="80"/>
              <w:left w:val="nil"/>
              <w:bottom w:val="dotted" w:sz="4" w:space="0" w:color="7F7F7F" w:themeColor="text1" w:themeTint="80"/>
              <w:right w:val="nil"/>
            </w:tcBorders>
            <w:vAlign w:val="center"/>
            <w:hideMark/>
          </w:tcPr>
          <w:p w14:paraId="4E843151" w14:textId="77777777" w:rsidR="00250090" w:rsidRPr="00B37171" w:rsidRDefault="00250090" w:rsidP="00A607B5">
            <w:pPr>
              <w:pStyle w:val="paragraph"/>
              <w:spacing w:before="0" w:beforeAutospacing="0" w:after="0" w:afterAutospacing="0"/>
              <w:contextualSpacing/>
              <w:textAlignment w:val="baseline"/>
              <w:rPr>
                <w:rFonts w:ascii="Verdana" w:hAnsi="Verdana" w:cs="Segoe UI"/>
                <w:color w:val="000000" w:themeColor="text1"/>
                <w:sz w:val="16"/>
                <w:szCs w:val="16"/>
              </w:rPr>
            </w:pPr>
            <w:r>
              <w:rPr>
                <w:rFonts w:ascii="Verdana" w:hAnsi="Verdana" w:cs="Segoe UI"/>
                <w:color w:val="000000" w:themeColor="text1"/>
                <w:sz w:val="16"/>
                <w:szCs w:val="16"/>
              </w:rPr>
              <w:t>Diana Lucia Saavedra</w:t>
            </w:r>
          </w:p>
          <w:p w14:paraId="4064BE3D" w14:textId="77777777" w:rsidR="00250090" w:rsidRPr="00115E3D" w:rsidRDefault="00250090" w:rsidP="00A607B5">
            <w:pPr>
              <w:pStyle w:val="paragraph"/>
              <w:spacing w:before="0" w:beforeAutospacing="0" w:after="0" w:afterAutospacing="0"/>
              <w:contextualSpacing/>
              <w:textAlignment w:val="baseline"/>
              <w:rPr>
                <w:rFonts w:ascii="Verdana" w:hAnsi="Verdana" w:cs="Segoe UI"/>
                <w:color w:val="000000" w:themeColor="text1"/>
                <w:sz w:val="16"/>
                <w:szCs w:val="16"/>
              </w:rPr>
            </w:pPr>
            <w:r>
              <w:rPr>
                <w:rStyle w:val="normaltextrun"/>
                <w:rFonts w:ascii="Verdana" w:hAnsi="Verdana" w:cs="Arial"/>
                <w:color w:val="000000" w:themeColor="text1"/>
                <w:sz w:val="16"/>
                <w:szCs w:val="16"/>
                <w:lang w:val="es-ES"/>
              </w:rPr>
              <w:t>Contratista</w:t>
            </w:r>
            <w:r w:rsidRPr="00115E3D">
              <w:rPr>
                <w:rStyle w:val="normaltextrun"/>
                <w:rFonts w:ascii="Verdana" w:hAnsi="Verdana" w:cs="Arial"/>
                <w:color w:val="000000" w:themeColor="text1"/>
                <w:sz w:val="16"/>
                <w:szCs w:val="16"/>
                <w:lang w:val="es-ES"/>
              </w:rPr>
              <w:t xml:space="preserve"> de la Subdirección de Gestión Contractual</w:t>
            </w:r>
            <w:r w:rsidRPr="00115E3D">
              <w:rPr>
                <w:rStyle w:val="eop"/>
                <w:rFonts w:ascii="Verdana" w:hAnsi="Verdana" w:cs="Arial"/>
                <w:color w:val="000000" w:themeColor="text1"/>
                <w:sz w:val="16"/>
                <w:szCs w:val="16"/>
              </w:rPr>
              <w:t> </w:t>
            </w:r>
          </w:p>
        </w:tc>
      </w:tr>
      <w:tr w:rsidR="00250090" w:rsidRPr="00115E3D" w14:paraId="4AE7090D" w14:textId="77777777" w:rsidTr="00A607B5">
        <w:trPr>
          <w:trHeight w:val="300"/>
        </w:trPr>
        <w:tc>
          <w:tcPr>
            <w:tcW w:w="893" w:type="dxa"/>
            <w:vAlign w:val="center"/>
          </w:tcPr>
          <w:p w14:paraId="67E39CBF" w14:textId="77777777" w:rsidR="00250090" w:rsidRPr="00115E3D" w:rsidRDefault="00250090" w:rsidP="00A607B5">
            <w:pPr>
              <w:contextualSpacing/>
              <w:rPr>
                <w:rFonts w:ascii="Verdana" w:hAnsi="Verdana" w:cs="Arial"/>
                <w:color w:val="000000" w:themeColor="text1"/>
                <w:sz w:val="16"/>
                <w:szCs w:val="16"/>
                <w:lang w:val="es-ES" w:eastAsia="es-ES"/>
              </w:rPr>
            </w:pPr>
            <w:r w:rsidRPr="00115E3D">
              <w:rPr>
                <w:rFonts w:ascii="Verdana" w:hAnsi="Verdana" w:cs="Arial"/>
                <w:color w:val="000000" w:themeColor="text1"/>
                <w:sz w:val="16"/>
                <w:szCs w:val="16"/>
                <w:lang w:val="es-ES" w:eastAsia="es-ES"/>
              </w:rPr>
              <w:t>Aprobó:</w:t>
            </w:r>
          </w:p>
        </w:tc>
        <w:tc>
          <w:tcPr>
            <w:tcW w:w="5628" w:type="dxa"/>
            <w:tcBorders>
              <w:top w:val="dotted" w:sz="4" w:space="0" w:color="7F7F7F" w:themeColor="text1" w:themeTint="80"/>
              <w:left w:val="nil"/>
              <w:bottom w:val="dotted" w:sz="4" w:space="0" w:color="7F7F7F" w:themeColor="text1" w:themeTint="80"/>
              <w:right w:val="nil"/>
            </w:tcBorders>
            <w:vAlign w:val="center"/>
          </w:tcPr>
          <w:p w14:paraId="22013B68" w14:textId="77777777" w:rsidR="00250090" w:rsidRPr="00115E3D" w:rsidRDefault="00250090" w:rsidP="00A607B5">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val="pt-BR" w:eastAsia="es-ES"/>
              </w:rPr>
              <w:t>Carolina Quintero Gacharná</w:t>
            </w:r>
          </w:p>
          <w:p w14:paraId="2450CD77" w14:textId="77777777" w:rsidR="00250090" w:rsidRPr="00115E3D" w:rsidRDefault="00250090" w:rsidP="00A607B5">
            <w:pPr>
              <w:contextualSpacing/>
              <w:rPr>
                <w:rFonts w:ascii="Verdana" w:eastAsia="Calibri" w:hAnsi="Verdana" w:cs="Arial"/>
                <w:color w:val="000000" w:themeColor="text1"/>
                <w:sz w:val="16"/>
                <w:szCs w:val="16"/>
                <w:lang w:val="pt-BR" w:eastAsia="es-ES"/>
              </w:rPr>
            </w:pPr>
            <w:r w:rsidRPr="00115E3D">
              <w:rPr>
                <w:rFonts w:ascii="Verdana" w:eastAsia="Calibri" w:hAnsi="Verdana" w:cs="Arial"/>
                <w:color w:val="000000" w:themeColor="text1"/>
                <w:sz w:val="16"/>
                <w:szCs w:val="16"/>
                <w:lang w:eastAsia="es-ES"/>
              </w:rPr>
              <w:t>Subdirectora</w:t>
            </w:r>
            <w:r w:rsidRPr="00115E3D">
              <w:rPr>
                <w:rFonts w:ascii="Verdana" w:eastAsia="Calibri" w:hAnsi="Verdana" w:cs="Arial"/>
                <w:color w:val="000000" w:themeColor="text1"/>
                <w:sz w:val="16"/>
                <w:szCs w:val="16"/>
                <w:lang w:val="pt-BR" w:eastAsia="es-ES"/>
              </w:rPr>
              <w:t xml:space="preserve"> de Gestión Contractual ANCP – CCE</w:t>
            </w:r>
          </w:p>
        </w:tc>
      </w:tr>
    </w:tbl>
    <w:p w14:paraId="1C5301C1" w14:textId="77777777" w:rsidR="00250090" w:rsidRDefault="00250090" w:rsidP="00250090"/>
    <w:p w14:paraId="3B27AFCD" w14:textId="77777777" w:rsidR="002A0DD0" w:rsidRPr="00E02524" w:rsidRDefault="002A0DD0" w:rsidP="30821638">
      <w:pPr>
        <w:spacing w:after="0" w:line="240" w:lineRule="auto"/>
        <w:jc w:val="both"/>
        <w:rPr>
          <w:rFonts w:ascii="Verdana" w:eastAsia="Verdana" w:hAnsi="Verdana" w:cs="Verdana"/>
          <w:b/>
          <w:bCs/>
          <w:lang w:val="es-MX"/>
        </w:rPr>
      </w:pPr>
    </w:p>
    <w:p w14:paraId="7C9026E2" w14:textId="77777777" w:rsidR="002A0DD0" w:rsidRPr="00E02524" w:rsidRDefault="002A0DD0" w:rsidP="30821638">
      <w:pPr>
        <w:spacing w:after="0" w:line="240" w:lineRule="auto"/>
        <w:jc w:val="both"/>
        <w:rPr>
          <w:rFonts w:ascii="Verdana" w:eastAsia="Verdana" w:hAnsi="Verdana" w:cs="Verdana"/>
          <w:b/>
          <w:bCs/>
          <w:lang w:val="es-MX"/>
        </w:rPr>
      </w:pPr>
    </w:p>
    <w:p w14:paraId="1006A388" w14:textId="77777777" w:rsidR="00C15139" w:rsidRPr="000E2B93" w:rsidRDefault="00C15139" w:rsidP="30821638">
      <w:pPr>
        <w:spacing w:after="0" w:line="240" w:lineRule="auto"/>
        <w:jc w:val="both"/>
        <w:textAlignment w:val="baseline"/>
        <w:rPr>
          <w:rFonts w:ascii="Verdana" w:eastAsia="Verdana" w:hAnsi="Verdana" w:cs="Verdana"/>
          <w:lang w:eastAsia="es-CO"/>
        </w:rPr>
      </w:pPr>
    </w:p>
    <w:p w14:paraId="69BC4D14" w14:textId="73363169" w:rsidR="00C15139" w:rsidRPr="000E2B93" w:rsidRDefault="00C15139" w:rsidP="30821638">
      <w:pPr>
        <w:spacing w:after="0" w:line="240" w:lineRule="auto"/>
        <w:textAlignment w:val="baseline"/>
        <w:rPr>
          <w:rFonts w:ascii="Verdana" w:eastAsia="Verdana" w:hAnsi="Verdana" w:cs="Verdana"/>
          <w:lang w:eastAsia="es-CO"/>
        </w:rPr>
      </w:pPr>
      <w:r w:rsidRPr="30821638">
        <w:rPr>
          <w:rFonts w:ascii="Verdana" w:eastAsia="Verdana" w:hAnsi="Verdana" w:cs="Verdana"/>
          <w:lang w:eastAsia="es-CO"/>
        </w:rPr>
        <w:t> </w:t>
      </w:r>
      <w:bookmarkEnd w:id="0"/>
    </w:p>
    <w:sectPr w:rsidR="00C15139" w:rsidRPr="000E2B93" w:rsidSect="007C0C0F">
      <w:headerReference w:type="default" r:id="rId17"/>
      <w:footerReference w:type="default" r:id="rId18"/>
      <w:pgSz w:w="12240" w:h="15840" w:code="1"/>
      <w:pgMar w:top="1417" w:right="1701" w:bottom="1417" w:left="1701" w:header="709" w:footer="709"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4CDCA7FE" w14:textId="77777777" w:rsidR="007922C3" w:rsidRDefault="007922C3" w:rsidP="004A1847">
      <w:pPr>
        <w:spacing w:after="0" w:line="240" w:lineRule="auto"/>
      </w:pPr>
      <w:r>
        <w:separator/>
      </w:r>
    </w:p>
  </w:endnote>
  <w:endnote w:type="continuationSeparator" w:id="0">
    <w:p w14:paraId="673A8FA9" w14:textId="77777777" w:rsidR="007922C3" w:rsidRDefault="007922C3" w:rsidP="004A1847">
      <w:pPr>
        <w:spacing w:after="0" w:line="240" w:lineRule="auto"/>
      </w:pPr>
      <w:r>
        <w:continuationSeparator/>
      </w:r>
    </w:p>
  </w:endnote>
  <w:endnote w:type="continuationNotice" w:id="1">
    <w:p w14:paraId="1CCD885C" w14:textId="77777777" w:rsidR="007922C3" w:rsidRDefault="007922C3">
      <w:pPr>
        <w:spacing w:after="0" w:line="240" w:lineRule="auto"/>
      </w:pP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Arial">
    <w:panose1 w:val="020B0604020202020204"/>
    <w:charset w:val="00"/>
    <w:family w:val="swiss"/>
    <w:pitch w:val="variable"/>
    <w:sig w:usb0="E0002EFF" w:usb1="C000785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Calibri">
    <w:panose1 w:val="020F0502020204030204"/>
    <w:charset w:val="00"/>
    <w:family w:val="swiss"/>
    <w:pitch w:val="variable"/>
    <w:sig w:usb0="E4002EFF" w:usb1="C000247B" w:usb2="00000009" w:usb3="00000000" w:csb0="000001FF" w:csb1="00000000"/>
  </w:font>
  <w:font w:name="Geomanist Light">
    <w:altName w:val="Calibri"/>
    <w:panose1 w:val="00000000000000000000"/>
    <w:charset w:val="00"/>
    <w:family w:val="modern"/>
    <w:notTrueType/>
    <w:pitch w:val="variable"/>
    <w:sig w:usb0="A000002F" w:usb1="1000004A" w:usb2="00000000" w:usb3="00000000" w:csb0="00000193" w:csb1="00000000"/>
  </w:font>
  <w:font w:name="Geomanist">
    <w:altName w:val="Calibri"/>
    <w:panose1 w:val="00000000000000000000"/>
    <w:charset w:val="00"/>
    <w:family w:val="modern"/>
    <w:notTrueType/>
    <w:pitch w:val="variable"/>
    <w:sig w:usb0="A000002F" w:usb1="1000004A" w:usb2="00000000" w:usb3="00000000" w:csb0="00000193" w:csb1="00000000"/>
  </w:font>
  <w:font w:name="Verdana">
    <w:panose1 w:val="020B0604030504040204"/>
    <w:charset w:val="00"/>
    <w:family w:val="swiss"/>
    <w:pitch w:val="variable"/>
    <w:sig w:usb0="A00006FF" w:usb1="4000205B" w:usb2="00000010" w:usb3="00000000" w:csb0="0000019F" w:csb1="00000000"/>
  </w:font>
  <w:font w:name="Arial MT">
    <w:altName w:val="Arial"/>
    <w:charset w:val="01"/>
    <w:family w:val="swiss"/>
    <w:pitch w:val="variable"/>
  </w:font>
  <w:font w:name="Century Gothic">
    <w:panose1 w:val="020B0502020202020204"/>
    <w:charset w:val="00"/>
    <w:family w:val="swiss"/>
    <w:pitch w:val="variable"/>
    <w:sig w:usb0="00000287" w:usb1="00000000" w:usb2="00000000" w:usb3="00000000" w:csb0="0000009F" w:csb1="00000000"/>
  </w:font>
  <w:font w:name="Segoe UI">
    <w:panose1 w:val="020B0502040204020203"/>
    <w:charset w:val="00"/>
    <w:family w:val="swiss"/>
    <w:pitch w:val="variable"/>
    <w:sig w:usb0="E4002EFF" w:usb1="C000E47F" w:usb2="00000009" w:usb3="00000000" w:csb0="000001FF" w:csb1="00000000"/>
  </w:font>
  <w:font w:name="Geomanist Bold">
    <w:altName w:val="Calibri"/>
    <w:panose1 w:val="00000000000000000000"/>
    <w:charset w:val="00"/>
    <w:family w:val="modern"/>
    <w:notTrueType/>
    <w:pitch w:val="variable"/>
    <w:sig w:usb0="A000002F" w:usb1="1000004A" w:usb2="00000000" w:usb3="00000000" w:csb0="00000193" w:csb1="00000000"/>
  </w:font>
  <w:font w:name="Geo">
    <w:altName w:val="Calibri"/>
    <w:charset w:val="00"/>
    <w:family w:val="auto"/>
    <w:pitch w:val="variable"/>
    <w:sig w:usb0="8000002F" w:usb1="40000048" w:usb2="00000000" w:usb3="00000000" w:csb0="00000001" w:csb1="00000000"/>
  </w:font>
  <w:font w:name="Calibri Light">
    <w:panose1 w:val="020F0302020204030204"/>
    <w:charset w:val="00"/>
    <w:family w:val="swiss"/>
    <w:pitch w:val="variable"/>
    <w:sig w:usb0="E4002EFF" w:usb1="C000247B" w:usb2="00000009" w:usb3="00000000" w:csb0="000001FF"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8911A32" w14:textId="6CE791A4" w:rsidR="004A1847" w:rsidRDefault="004A1847">
    <w:pPr>
      <w:pStyle w:val="Piedepgina"/>
    </w:pPr>
  </w:p>
  <w:p w14:paraId="594D6D9F" w14:textId="77777777" w:rsidR="00D520D8" w:rsidRPr="00174B77" w:rsidRDefault="07C73DD1" w:rsidP="07C73DD1">
    <w:pPr>
      <w:pBdr>
        <w:top w:val="single" w:sz="4" w:space="1" w:color="000000"/>
      </w:pBdr>
      <w:spacing w:after="0"/>
      <w:rPr>
        <w:rFonts w:ascii="Verdana" w:eastAsia="Verdana" w:hAnsi="Verdana" w:cs="Verdana"/>
        <w:b/>
        <w:bCs/>
        <w:sz w:val="18"/>
        <w:szCs w:val="18"/>
      </w:rPr>
    </w:pPr>
    <w:r w:rsidRPr="07C73DD1">
      <w:rPr>
        <w:rFonts w:ascii="Verdana" w:eastAsia="Verdana" w:hAnsi="Verdana" w:cs="Verdana"/>
        <w:b/>
        <w:bCs/>
        <w:sz w:val="18"/>
        <w:szCs w:val="18"/>
      </w:rPr>
      <w:t xml:space="preserve">Agencia Nacional de Contratación Pública                                              </w:t>
    </w:r>
    <w:r w:rsidRPr="07C73DD1">
      <w:rPr>
        <w:rFonts w:ascii="Verdana" w:eastAsia="Verdana" w:hAnsi="Verdana" w:cs="Verdana"/>
        <w:b/>
        <w:bCs/>
        <w:sz w:val="18"/>
        <w:szCs w:val="18"/>
        <w:lang w:val="es-ES"/>
      </w:rPr>
      <w:t xml:space="preserve">pág. </w:t>
    </w:r>
    <w:r w:rsidR="00D520D8" w:rsidRPr="07C73DD1">
      <w:rPr>
        <w:rFonts w:ascii="Verdana" w:eastAsia="Verdana" w:hAnsi="Verdana" w:cs="Verdana"/>
        <w:b/>
        <w:bCs/>
        <w:sz w:val="18"/>
        <w:szCs w:val="18"/>
      </w:rPr>
      <w:fldChar w:fldCharType="begin"/>
    </w:r>
    <w:r w:rsidR="00D520D8" w:rsidRPr="07C73DD1">
      <w:rPr>
        <w:rFonts w:ascii="Verdana" w:hAnsi="Verdana"/>
        <w:b/>
        <w:bCs/>
        <w:sz w:val="16"/>
        <w:szCs w:val="16"/>
      </w:rPr>
      <w:instrText>PAGE    \* MERGEFORMAT</w:instrText>
    </w:r>
    <w:r w:rsidR="00D520D8" w:rsidRPr="07C73DD1">
      <w:rPr>
        <w:rFonts w:ascii="Verdana" w:eastAsiaTheme="minorEastAsia" w:hAnsi="Verdana"/>
        <w:b/>
        <w:bCs/>
        <w:sz w:val="16"/>
        <w:szCs w:val="16"/>
      </w:rPr>
      <w:fldChar w:fldCharType="separate"/>
    </w:r>
    <w:r w:rsidRPr="07C73DD1">
      <w:rPr>
        <w:rFonts w:ascii="Verdana" w:eastAsia="Verdana" w:hAnsi="Verdana" w:cs="Verdana"/>
        <w:b/>
        <w:bCs/>
        <w:sz w:val="18"/>
        <w:szCs w:val="18"/>
      </w:rPr>
      <w:t>1</w:t>
    </w:r>
    <w:r w:rsidR="00D520D8" w:rsidRPr="07C73DD1">
      <w:rPr>
        <w:rFonts w:ascii="Verdana" w:eastAsia="Verdana" w:hAnsi="Verdana" w:cs="Verdana"/>
        <w:b/>
        <w:bCs/>
        <w:sz w:val="18"/>
        <w:szCs w:val="18"/>
      </w:rPr>
      <w:fldChar w:fldCharType="end"/>
    </w:r>
    <w:r w:rsidRPr="07C73DD1">
      <w:rPr>
        <w:rFonts w:ascii="Verdana" w:eastAsia="Verdana" w:hAnsi="Verdana" w:cs="Verdana"/>
        <w:b/>
        <w:bCs/>
        <w:sz w:val="18"/>
        <w:szCs w:val="18"/>
      </w:rPr>
      <w:t xml:space="preserve">              Colombia Compra Eficiente         </w:t>
    </w:r>
    <w:r w:rsidRPr="07C73DD1">
      <w:rPr>
        <w:rFonts w:ascii="Verdana" w:eastAsia="Verdana" w:hAnsi="Verdana" w:cs="Verdana"/>
        <w:b/>
        <w:bCs/>
        <w:sz w:val="18"/>
        <w:szCs w:val="18"/>
        <w:lang w:val="es-ES"/>
      </w:rPr>
      <w:t xml:space="preserve"> </w:t>
    </w:r>
    <w:r w:rsidRPr="07C73DD1">
      <w:rPr>
        <w:rFonts w:ascii="Verdana" w:eastAsia="Verdana" w:hAnsi="Verdana" w:cs="Verdana"/>
        <w:b/>
        <w:bCs/>
        <w:sz w:val="18"/>
        <w:szCs w:val="18"/>
      </w:rPr>
      <w:t xml:space="preserve">                                                  </w:t>
    </w:r>
  </w:p>
  <w:p w14:paraId="0A735DD5" w14:textId="77777777" w:rsidR="00D520D8"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Dirección: Carrera 7 # 26 – 20 - Bogotá, Colombia</w:t>
    </w:r>
  </w:p>
  <w:p w14:paraId="06E36B88" w14:textId="77777777" w:rsidR="00D520D8" w:rsidRPr="00E41027" w:rsidRDefault="07C73DD1" w:rsidP="07C73DD1">
    <w:pPr>
      <w:spacing w:after="0"/>
      <w:jc w:val="both"/>
      <w:rPr>
        <w:rFonts w:ascii="Verdana" w:eastAsia="Verdana" w:hAnsi="Verdana" w:cs="Verdana"/>
        <w:sz w:val="18"/>
        <w:szCs w:val="18"/>
      </w:rPr>
    </w:pPr>
    <w:r w:rsidRPr="07C73DD1">
      <w:rPr>
        <w:rFonts w:ascii="Verdana" w:eastAsia="Verdana" w:hAnsi="Verdana" w:cs="Verdana"/>
        <w:sz w:val="18"/>
        <w:szCs w:val="18"/>
      </w:rPr>
      <w:t>Mesa de servicio: (+57) 601 7456788</w:t>
    </w:r>
  </w:p>
  <w:p w14:paraId="744661F5" w14:textId="22B9E88F" w:rsidR="006219F8" w:rsidRDefault="07C73DD1" w:rsidP="07C73DD1">
    <w:pPr>
      <w:pBdr>
        <w:top w:val="nil"/>
        <w:left w:val="nil"/>
        <w:bottom w:val="nil"/>
        <w:right w:val="nil"/>
        <w:between w:val="nil"/>
      </w:pBdr>
      <w:tabs>
        <w:tab w:val="center" w:pos="4419"/>
        <w:tab w:val="right" w:pos="8838"/>
        <w:tab w:val="center" w:pos="5400"/>
      </w:tabs>
      <w:spacing w:after="0"/>
      <w:jc w:val="right"/>
      <w:rPr>
        <w:rFonts w:ascii="Verdana" w:eastAsia="Verdana" w:hAnsi="Verdana" w:cs="Verdana"/>
        <w:sz w:val="18"/>
        <w:szCs w:val="18"/>
        <w:lang w:eastAsia="es-CO"/>
      </w:rPr>
    </w:pPr>
    <w:r w:rsidRPr="07C73DD1">
      <w:rPr>
        <w:rFonts w:ascii="Verdana" w:eastAsia="Verdana" w:hAnsi="Verdana" w:cs="Verdana"/>
        <w:b/>
        <w:bCs/>
        <w:color w:val="000000" w:themeColor="text1"/>
        <w:sz w:val="18"/>
        <w:szCs w:val="18"/>
        <w:lang w:eastAsia="es-CO"/>
      </w:rPr>
      <w:t xml:space="preserve">Código: </w:t>
    </w:r>
    <w:r w:rsidRPr="07C73DD1">
      <w:rPr>
        <w:rFonts w:ascii="Verdana" w:eastAsia="Verdana" w:hAnsi="Verdana" w:cs="Verdana"/>
        <w:color w:val="000000" w:themeColor="text1"/>
        <w:sz w:val="18"/>
        <w:szCs w:val="18"/>
        <w:lang w:eastAsia="es-CO"/>
      </w:rPr>
      <w:t xml:space="preserve">CCE-REC-FM-17 </w:t>
    </w:r>
    <w:r w:rsidRPr="07C73DD1">
      <w:rPr>
        <w:rFonts w:ascii="Verdana" w:eastAsia="Verdana" w:hAnsi="Verdana" w:cs="Verdana"/>
        <w:b/>
        <w:bCs/>
        <w:color w:val="000000" w:themeColor="text1"/>
        <w:sz w:val="18"/>
        <w:szCs w:val="18"/>
        <w:lang w:eastAsia="es-CO"/>
      </w:rPr>
      <w:t xml:space="preserve">V: </w:t>
    </w:r>
    <w:r w:rsidRPr="07C73DD1">
      <w:rPr>
        <w:rFonts w:ascii="Verdana" w:eastAsia="Verdana" w:hAnsi="Verdana" w:cs="Verdana"/>
        <w:sz w:val="18"/>
        <w:szCs w:val="18"/>
        <w:lang w:eastAsia="es-CO"/>
      </w:rPr>
      <w:t>03 Fecha: 21-10-2025</w:t>
    </w: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3B6CCF56" w14:textId="77777777" w:rsidR="007922C3" w:rsidRDefault="007922C3" w:rsidP="004A1847">
      <w:pPr>
        <w:spacing w:after="0" w:line="240" w:lineRule="auto"/>
      </w:pPr>
      <w:r>
        <w:separator/>
      </w:r>
    </w:p>
  </w:footnote>
  <w:footnote w:type="continuationSeparator" w:id="0">
    <w:p w14:paraId="31046678" w14:textId="77777777" w:rsidR="007922C3" w:rsidRDefault="007922C3" w:rsidP="004A1847">
      <w:pPr>
        <w:spacing w:after="0" w:line="240" w:lineRule="auto"/>
      </w:pPr>
      <w:r>
        <w:continuationSeparator/>
      </w:r>
    </w:p>
  </w:footnote>
  <w:footnote w:type="continuationNotice" w:id="1">
    <w:p w14:paraId="5DFBD324" w14:textId="77777777" w:rsidR="007922C3" w:rsidRDefault="007922C3">
      <w:pPr>
        <w:spacing w:after="0" w:line="240" w:lineRule="auto"/>
      </w:pPr>
    </w:p>
  </w:footnote>
  <w:footnote w:id="2">
    <w:p w14:paraId="4B4EF8A1" w14:textId="77777777" w:rsidR="00250090" w:rsidRPr="00B85689" w:rsidRDefault="00250090" w:rsidP="00250090">
      <w:pPr>
        <w:pStyle w:val="Textonotapie"/>
        <w:snapToGrid w:val="0"/>
        <w:ind w:firstLine="708"/>
        <w:contextualSpacing/>
        <w:jc w:val="both"/>
        <w:rPr>
          <w:rFonts w:ascii="Verdana" w:hAnsi="Verdana" w:cs="Arial"/>
          <w:color w:val="000000" w:themeColor="text1"/>
          <w:sz w:val="16"/>
          <w:szCs w:val="16"/>
        </w:rPr>
      </w:pPr>
      <w:r w:rsidRPr="00B85689">
        <w:rPr>
          <w:rStyle w:val="Refdenotaalpie"/>
          <w:rFonts w:ascii="Verdana" w:hAnsi="Verdana" w:cs="Arial"/>
          <w:color w:val="000000" w:themeColor="text1"/>
          <w:sz w:val="16"/>
          <w:szCs w:val="16"/>
        </w:rPr>
        <w:footnoteRef/>
      </w:r>
      <w:r w:rsidRPr="00B85689">
        <w:rPr>
          <w:rFonts w:ascii="Verdana" w:hAnsi="Verdana" w:cs="Arial"/>
          <w:color w:val="000000" w:themeColor="text1"/>
          <w:sz w:val="16"/>
          <w:szCs w:val="16"/>
        </w:rPr>
        <w:t xml:space="preserve"> CORTE CONSTITUCIONAL. Sentencia C-452 de 1999. M.P. Eduardo Cifuentes Muñoz. </w:t>
      </w:r>
    </w:p>
  </w:footnote>
  <w:footnote w:id="3">
    <w:p w14:paraId="2FA5127A" w14:textId="77777777" w:rsidR="00250090" w:rsidRPr="00B85689" w:rsidRDefault="00250090" w:rsidP="00250090">
      <w:pPr>
        <w:pStyle w:val="Textonotapie"/>
        <w:snapToGrid w:val="0"/>
        <w:ind w:firstLine="708"/>
        <w:contextualSpacing/>
        <w:jc w:val="both"/>
        <w:rPr>
          <w:rFonts w:ascii="Verdana" w:hAnsi="Verdana" w:cs="Arial"/>
          <w:color w:val="000000" w:themeColor="text1"/>
          <w:sz w:val="16"/>
          <w:szCs w:val="16"/>
        </w:rPr>
      </w:pPr>
      <w:r w:rsidRPr="00B85689">
        <w:rPr>
          <w:rStyle w:val="Refdenotaalpie"/>
          <w:rFonts w:ascii="Verdana" w:hAnsi="Verdana" w:cs="Arial"/>
          <w:color w:val="000000" w:themeColor="text1"/>
          <w:sz w:val="16"/>
          <w:szCs w:val="16"/>
        </w:rPr>
        <w:footnoteRef/>
      </w:r>
      <w:r w:rsidRPr="00B85689">
        <w:rPr>
          <w:rFonts w:ascii="Verdana" w:hAnsi="Verdana" w:cs="Arial"/>
          <w:color w:val="000000" w:themeColor="text1"/>
          <w:sz w:val="16"/>
          <w:szCs w:val="16"/>
        </w:rPr>
        <w:t xml:space="preserve"> DROMI, José Roberto. La licitación pública. Buenos Aires: Ciudad Argentina, 1980. pp. 288-289.</w:t>
      </w:r>
    </w:p>
  </w:footnote>
  <w:footnote w:id="4">
    <w:p w14:paraId="6AC2B1ED" w14:textId="77777777" w:rsidR="00250090" w:rsidRPr="00B85689" w:rsidRDefault="00250090" w:rsidP="00250090">
      <w:pPr>
        <w:pStyle w:val="Textonotapie"/>
        <w:snapToGrid w:val="0"/>
        <w:ind w:firstLine="708"/>
        <w:contextualSpacing/>
        <w:jc w:val="both"/>
        <w:rPr>
          <w:rFonts w:ascii="Verdana" w:hAnsi="Verdana" w:cs="Arial"/>
          <w:sz w:val="16"/>
          <w:szCs w:val="16"/>
        </w:rPr>
      </w:pPr>
      <w:r w:rsidRPr="00B85689">
        <w:rPr>
          <w:rStyle w:val="Refdenotaalpie"/>
          <w:rFonts w:ascii="Verdana" w:hAnsi="Verdana" w:cs="Arial"/>
          <w:sz w:val="16"/>
          <w:szCs w:val="16"/>
        </w:rPr>
        <w:footnoteRef/>
      </w:r>
      <w:r w:rsidRPr="00B85689">
        <w:rPr>
          <w:rFonts w:ascii="Verdana" w:hAnsi="Verdana" w:cs="Arial"/>
          <w:sz w:val="16"/>
          <w:szCs w:val="16"/>
        </w:rPr>
        <w:t xml:space="preserve"> Para la jurisprudencia, “[…] los seguros de cumplimiento, específicamente, el de contratos estatales, son aquellos que garantizan al acreedor (entidad estatal) que serán resarcidos los daños que pueda provocar el incumplimiento de las obligaciones del deudor (contratista) dentro del marco de una relación contractual. Así, pues, el riesgo asegurado en esta categoría de seguros, visto de manera general, lo constituye el incumplimiento de las obligaciones contractuales a cargo del deudor (contratista), quien a su vez es el tomador de la póliza, de modo que el objeto de las obligaciones garantizadas es lo que determina o particulariza el riesgo asegurado” (CONSEJO DE ESTADO. Sección Tercera. Subsección A. Sentencia del 12 de febrero de 2015. Exp.  28278. C.P. Carlos Alberto Zambrano Barrera).</w:t>
      </w:r>
    </w:p>
  </w:footnote>
  <w:footnote w:id="5">
    <w:p w14:paraId="4A30C89C" w14:textId="77777777" w:rsidR="00250090" w:rsidRPr="00B85689" w:rsidRDefault="00250090" w:rsidP="00250090">
      <w:pPr>
        <w:pStyle w:val="Textonotapie"/>
        <w:snapToGrid w:val="0"/>
        <w:ind w:firstLine="709"/>
        <w:contextualSpacing/>
        <w:jc w:val="both"/>
        <w:rPr>
          <w:rFonts w:ascii="Verdana" w:hAnsi="Verdana" w:cs="Arial"/>
          <w:color w:val="000000" w:themeColor="text1"/>
          <w:sz w:val="16"/>
          <w:szCs w:val="16"/>
        </w:rPr>
      </w:pPr>
      <w:r w:rsidRPr="00B85689">
        <w:rPr>
          <w:rStyle w:val="Refdenotaalpie"/>
          <w:rFonts w:ascii="Verdana" w:hAnsi="Verdana" w:cs="Arial"/>
          <w:color w:val="000000" w:themeColor="text1"/>
          <w:sz w:val="16"/>
          <w:szCs w:val="16"/>
        </w:rPr>
        <w:footnoteRef/>
      </w:r>
      <w:r w:rsidRPr="00B85689">
        <w:rPr>
          <w:rFonts w:ascii="Verdana" w:hAnsi="Verdana" w:cs="Arial"/>
          <w:color w:val="000000" w:themeColor="text1"/>
          <w:sz w:val="16"/>
          <w:szCs w:val="16"/>
        </w:rPr>
        <w:t xml:space="preserve"> ORDÓÑEZ ORDÓÑEZ, Andrés E. Seguro de cumplimiento de los contratos estatales en Colombia. Bogotá: Universidad Externado de Colombia, 2011. p. 44.</w:t>
      </w:r>
    </w:p>
  </w:footnote>
  <w:footnote w:id="6">
    <w:p w14:paraId="4C8CD7A5" w14:textId="77777777" w:rsidR="00250090" w:rsidRPr="00B85689" w:rsidRDefault="00250090" w:rsidP="00250090">
      <w:pPr>
        <w:pStyle w:val="Textonotapie"/>
        <w:snapToGrid w:val="0"/>
        <w:ind w:firstLine="709"/>
        <w:contextualSpacing/>
        <w:jc w:val="both"/>
        <w:rPr>
          <w:rFonts w:ascii="Verdana" w:hAnsi="Verdana" w:cs="Arial"/>
          <w:color w:val="000000" w:themeColor="text1"/>
          <w:sz w:val="16"/>
          <w:szCs w:val="16"/>
          <w:lang w:val="es-ES"/>
        </w:rPr>
      </w:pPr>
      <w:r w:rsidRPr="00B85689">
        <w:rPr>
          <w:rStyle w:val="Refdenotaalpie"/>
          <w:rFonts w:ascii="Verdana" w:hAnsi="Verdana" w:cs="Arial"/>
          <w:color w:val="000000" w:themeColor="text1"/>
          <w:sz w:val="16"/>
          <w:szCs w:val="16"/>
        </w:rPr>
        <w:footnoteRef/>
      </w:r>
      <w:r w:rsidRPr="00B85689">
        <w:rPr>
          <w:rFonts w:ascii="Verdana" w:hAnsi="Verdana" w:cs="Arial"/>
          <w:color w:val="000000" w:themeColor="text1"/>
          <w:sz w:val="16"/>
          <w:szCs w:val="16"/>
        </w:rPr>
        <w:t xml:space="preserve"> Al respecto, el inciso primero del artículo 1068 del Código de Comercio dispone lo siguiente: “La mora en el pago de la prima de la póliza o de los certificados o anexos que se expidan con fundamento en ella, producirá la terminación automática del contrato y dará derecho al asegurador para exigir el pago de la prima devengada y de los gastos causados con ocasión de la expedición del contrato. </w:t>
      </w:r>
      <w:r w:rsidRPr="00B85689">
        <w:rPr>
          <w:rFonts w:ascii="Verdana" w:hAnsi="Verdana" w:cs="Arial"/>
          <w:color w:val="000000" w:themeColor="text1"/>
          <w:sz w:val="16"/>
          <w:szCs w:val="16"/>
          <w:lang w:val="es-ES"/>
        </w:rPr>
        <w:t xml:space="preserve">Igualmente, el inciso primero del artículo 1071 </w:t>
      </w:r>
      <w:r w:rsidRPr="00B85689">
        <w:rPr>
          <w:rFonts w:ascii="Verdana" w:hAnsi="Verdana" w:cs="Arial"/>
          <w:i/>
          <w:iCs/>
          <w:color w:val="000000" w:themeColor="text1"/>
          <w:sz w:val="16"/>
          <w:szCs w:val="16"/>
          <w:lang w:val="es-ES"/>
        </w:rPr>
        <w:t>ibidem</w:t>
      </w:r>
      <w:r w:rsidRPr="00B85689">
        <w:rPr>
          <w:rFonts w:ascii="Verdana" w:hAnsi="Verdana" w:cs="Arial"/>
          <w:color w:val="000000" w:themeColor="text1"/>
          <w:sz w:val="16"/>
          <w:szCs w:val="16"/>
          <w:lang w:val="es-ES"/>
        </w:rPr>
        <w:t xml:space="preserve"> prescribe: “El contrato de seguro podrá ser revocado unilateralmente por los contratantes. Por el asegurador, mediante noticia escrita al asegurado, enviada a su última dirección conocida, con no menos de diez días de antelación, contados a partir de la fecha del envío; por el asegurado, en cualquier momento, mediante aviso escrito al asegurador”.  </w:t>
      </w:r>
    </w:p>
  </w:footnote>
  <w:footnote w:id="7">
    <w:p w14:paraId="5239C003" w14:textId="77777777" w:rsidR="00250090" w:rsidRPr="00B85689" w:rsidRDefault="00250090" w:rsidP="00250090">
      <w:pPr>
        <w:pStyle w:val="Textonotapie"/>
        <w:snapToGrid w:val="0"/>
        <w:ind w:firstLine="709"/>
        <w:contextualSpacing/>
        <w:jc w:val="both"/>
        <w:rPr>
          <w:rFonts w:ascii="Verdana" w:hAnsi="Verdana" w:cs="Arial"/>
          <w:color w:val="000000" w:themeColor="text1"/>
          <w:sz w:val="16"/>
          <w:szCs w:val="16"/>
        </w:rPr>
      </w:pPr>
      <w:r w:rsidRPr="00B85689">
        <w:rPr>
          <w:rStyle w:val="Refdenotaalpie"/>
          <w:rFonts w:ascii="Verdana" w:hAnsi="Verdana" w:cs="Arial"/>
          <w:color w:val="000000" w:themeColor="text1"/>
          <w:sz w:val="16"/>
          <w:szCs w:val="16"/>
        </w:rPr>
        <w:footnoteRef/>
      </w:r>
      <w:r w:rsidRPr="00B85689">
        <w:rPr>
          <w:rFonts w:ascii="Verdana" w:hAnsi="Verdana" w:cs="Arial"/>
          <w:color w:val="000000" w:themeColor="text1"/>
          <w:sz w:val="16"/>
          <w:szCs w:val="16"/>
        </w:rPr>
        <w:t xml:space="preserve"> ESCOBAR GIL, Rodrigo. Teoría general de los contratos de la Administración pública. Bogotá: Legis, 2000. p. 247. Respecto a las pólizas, la doctrina explica que “En rigor, el seguro no elimina el daño sino que tolera que sus consecuencias resulten transferidas (trasladadas) por el sujeto amenazado por un evento económicamente desfavorable, a otro (asegurador) que, a esos fines, ha constituido una mutualidad especialmente ‘preparada para absorber el riesgo de indemnización’“ (Cfr. STIGLITZ, Rubén S. Derecho de seguros. Tomo I. Tercera Edición. Buenos Aires: Abeledo – Perrot, 2001. p. 21).</w:t>
      </w:r>
    </w:p>
  </w:footnote>
  <w:footnote w:id="8">
    <w:p w14:paraId="0C882296" w14:textId="77777777" w:rsidR="00250090" w:rsidRPr="00B85689" w:rsidRDefault="00250090" w:rsidP="00250090">
      <w:pPr>
        <w:pStyle w:val="Textonotapie"/>
        <w:snapToGrid w:val="0"/>
        <w:ind w:firstLine="708"/>
        <w:contextualSpacing/>
        <w:jc w:val="both"/>
        <w:rPr>
          <w:rFonts w:ascii="Verdana" w:hAnsi="Verdana" w:cs="Arial"/>
          <w:color w:val="000000" w:themeColor="text1"/>
          <w:sz w:val="16"/>
          <w:szCs w:val="16"/>
          <w:lang w:val="es-CO"/>
        </w:rPr>
      </w:pPr>
      <w:r w:rsidRPr="00B85689">
        <w:rPr>
          <w:rStyle w:val="Refdenotaalpie"/>
          <w:rFonts w:ascii="Verdana" w:hAnsi="Verdana" w:cs="Arial"/>
          <w:color w:val="000000" w:themeColor="text1"/>
          <w:sz w:val="16"/>
          <w:szCs w:val="16"/>
        </w:rPr>
        <w:footnoteRef/>
      </w:r>
      <w:r w:rsidRPr="00B85689">
        <w:rPr>
          <w:rFonts w:ascii="Verdana" w:hAnsi="Verdana" w:cs="Arial"/>
          <w:color w:val="000000" w:themeColor="text1"/>
          <w:sz w:val="16"/>
          <w:szCs w:val="16"/>
        </w:rPr>
        <w:t xml:space="preserve"> </w:t>
      </w:r>
      <w:r w:rsidRPr="00B85689">
        <w:rPr>
          <w:rFonts w:ascii="Verdana" w:hAnsi="Verdana" w:cs="Arial"/>
          <w:color w:val="000000" w:themeColor="text1"/>
          <w:sz w:val="16"/>
          <w:szCs w:val="16"/>
          <w:lang w:val="es-CO"/>
        </w:rPr>
        <w:t xml:space="preserve">“Artículo 2.2.1.2.3.1.3. Indivisibilidad de la garantía. La garantía de cobertura del Riesgo es indivisible. Sin embargo, en los contratos con un plazo mayor a cinco (5) años las garantías pueden cubrir los Riesgos de la Etapa del Contrato o del Periodo Contractual, de acuerdo con lo previsto en el contrato. </w:t>
      </w:r>
    </w:p>
    <w:p w14:paraId="5DA392C2" w14:textId="77777777" w:rsidR="00250090" w:rsidRPr="00B85689" w:rsidRDefault="00250090" w:rsidP="00250090">
      <w:pPr>
        <w:pStyle w:val="Textonotapie"/>
        <w:snapToGrid w:val="0"/>
        <w:ind w:firstLine="708"/>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En consecuencia, la Entidad Estatal en los pliegos de condiciones para la Contratación debe indicar las garantías que exige en cada Etapa del Contrato o cada Periodo Contractual así: </w:t>
      </w:r>
    </w:p>
    <w:p w14:paraId="6741F424" w14:textId="77777777" w:rsidR="00250090" w:rsidRPr="00B85689" w:rsidRDefault="00250090" w:rsidP="00250090">
      <w:pPr>
        <w:pStyle w:val="Textonotapie"/>
        <w:snapToGrid w:val="0"/>
        <w:ind w:firstLine="708"/>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1. La Entidad Estatal debe exigir una garantía independiente para cada Etapa del Contrato o cada Periodo Contractual o cada unidad funcional en el caso de las Asociaciones Público Privadas, cuya vigencia debe ser por lo menos la misma establecida para la Etapa del Contrato o Periodo Contractual respectivo. </w:t>
      </w:r>
    </w:p>
    <w:p w14:paraId="683FF6D9" w14:textId="77777777" w:rsidR="00250090" w:rsidRPr="00B85689" w:rsidRDefault="00250090" w:rsidP="00250090">
      <w:pPr>
        <w:pStyle w:val="Textonotapie"/>
        <w:snapToGrid w:val="0"/>
        <w:ind w:firstLine="708"/>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2. La Entidad Estatal debe calcular el valor asegurado para cada Etapa del Contrato, Periodo Contractual o unidad funcional, tomando el valor de las obligaciones del contratista para cada Etapa del Contrato, Periodo Contractual o unidad funcional y de acuerdo con las reglas de suficiencia de las garantías establecidas en el presente título. </w:t>
      </w:r>
    </w:p>
    <w:p w14:paraId="78EDC0A4" w14:textId="77777777" w:rsidR="00250090" w:rsidRPr="00B85689" w:rsidRDefault="00250090" w:rsidP="00250090">
      <w:pPr>
        <w:pStyle w:val="Textonotapie"/>
        <w:snapToGrid w:val="0"/>
        <w:ind w:firstLine="708"/>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3. Antes del vencimiento de cada Etapa del Contrato o cada Periodo Contractual, el contratista está obligado a obtener una nueva garantía que ampare el cumplimiento de sus obligaciones para la Etapa del Contrato o Periodo Contractual subsiguiente, si no lo hiciere se aplicarán las reglas previstas para el restablecimiento de la garantía. </w:t>
      </w:r>
    </w:p>
    <w:p w14:paraId="54043D4D" w14:textId="77777777" w:rsidR="00250090" w:rsidRPr="00B85689" w:rsidRDefault="00250090" w:rsidP="00250090">
      <w:pPr>
        <w:pStyle w:val="Textonotapie"/>
        <w:snapToGrid w:val="0"/>
        <w:ind w:firstLine="708"/>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Si el garante de una Etapa del Contrato o un Periodo Contractual decide no continuar garantizando la Etapa del Contrato o Periodo Contractual subsiguiente, debe informar su decisión por escrito a la Entidad Estatal garantizada seis (6) meses antes del vencimiento del plazo de la garantía. Este aviso no afecta la garantía de la Etapa Contractual o Periodo Contractual en ejecución. Si el garante no da el aviso con la anticipación mencionada y el contratista no obtiene una nueva garantía, queda obligado a garantizar la Etapa del Contrato o el Periodo Contractual subsiguiente”.</w:t>
      </w:r>
    </w:p>
  </w:footnote>
  <w:footnote w:id="9">
    <w:p w14:paraId="41B09833" w14:textId="77777777" w:rsidR="00250090" w:rsidRPr="00B85689" w:rsidRDefault="00250090" w:rsidP="00250090">
      <w:pPr>
        <w:pStyle w:val="Textonotapie"/>
        <w:snapToGrid w:val="0"/>
        <w:ind w:firstLine="708"/>
        <w:contextualSpacing/>
        <w:jc w:val="both"/>
        <w:rPr>
          <w:rFonts w:ascii="Verdana" w:hAnsi="Verdana" w:cs="Arial"/>
          <w:color w:val="000000" w:themeColor="text1"/>
          <w:sz w:val="16"/>
          <w:szCs w:val="16"/>
          <w:lang w:val="es-CO"/>
        </w:rPr>
      </w:pPr>
      <w:r w:rsidRPr="00B85689">
        <w:rPr>
          <w:rStyle w:val="Refdenotaalpie"/>
          <w:rFonts w:ascii="Verdana" w:hAnsi="Verdana" w:cs="Arial"/>
          <w:color w:val="000000" w:themeColor="text1"/>
          <w:sz w:val="16"/>
          <w:szCs w:val="16"/>
        </w:rPr>
        <w:footnoteRef/>
      </w:r>
      <w:r w:rsidRPr="00B85689">
        <w:rPr>
          <w:rFonts w:ascii="Verdana" w:hAnsi="Verdana" w:cs="Arial"/>
          <w:color w:val="000000" w:themeColor="text1"/>
          <w:sz w:val="16"/>
          <w:szCs w:val="16"/>
        </w:rPr>
        <w:t xml:space="preserve"> </w:t>
      </w:r>
      <w:r w:rsidRPr="00B85689">
        <w:rPr>
          <w:rFonts w:ascii="Verdana" w:hAnsi="Verdana" w:cs="Arial"/>
          <w:color w:val="000000" w:themeColor="text1"/>
          <w:sz w:val="16"/>
          <w:szCs w:val="16"/>
          <w:lang w:val="es-CO"/>
        </w:rPr>
        <w:t xml:space="preserve">“Artículo </w:t>
      </w:r>
      <w:bookmarkStart w:id="5" w:name="_Hlk67919994"/>
      <w:r w:rsidRPr="00B85689">
        <w:rPr>
          <w:rFonts w:ascii="Verdana" w:hAnsi="Verdana" w:cs="Arial"/>
          <w:color w:val="000000" w:themeColor="text1"/>
          <w:sz w:val="16"/>
          <w:szCs w:val="16"/>
          <w:lang w:val="es-CO"/>
        </w:rPr>
        <w:t>2.2.1.2.3.1.7</w:t>
      </w:r>
      <w:bookmarkEnd w:id="5"/>
      <w:r w:rsidRPr="00B85689">
        <w:rPr>
          <w:rFonts w:ascii="Verdana" w:hAnsi="Verdana" w:cs="Arial"/>
          <w:color w:val="000000" w:themeColor="text1"/>
          <w:sz w:val="16"/>
          <w:szCs w:val="16"/>
          <w:lang w:val="es-CO"/>
        </w:rPr>
        <w:t xml:space="preserve">. Garantía de cumplimiento. La garantía de cumplimiento del contrato debe cubrir: </w:t>
      </w:r>
    </w:p>
    <w:p w14:paraId="2ECBC594" w14:textId="77777777" w:rsidR="00250090" w:rsidRPr="00B85689" w:rsidRDefault="00250090" w:rsidP="00250090">
      <w:pPr>
        <w:pStyle w:val="Textonotapie"/>
        <w:snapToGrid w:val="0"/>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  </w:t>
      </w:r>
      <w:r w:rsidRPr="00B85689">
        <w:rPr>
          <w:rFonts w:ascii="Verdana" w:hAnsi="Verdana" w:cs="Arial"/>
          <w:color w:val="000000" w:themeColor="text1"/>
          <w:sz w:val="16"/>
          <w:szCs w:val="16"/>
          <w:lang w:val="es-CO"/>
        </w:rPr>
        <w:tab/>
        <w:t>1. Buen manejo y correcta inversión del anticipo. Este amparo cubre los perjuicios sufridos por la Entidad Estatal con ocasión de: (i) la no inversión del anticipo; (ii) el uso indebido del anticipo; y (iii) la apropiación indebida de los recursos recibidos en calidad de anticipo</w:t>
      </w:r>
    </w:p>
    <w:p w14:paraId="5A678B91" w14:textId="77777777" w:rsidR="00250090" w:rsidRPr="00B85689" w:rsidRDefault="00250090" w:rsidP="00250090">
      <w:pPr>
        <w:pStyle w:val="Textonotapie"/>
        <w:snapToGrid w:val="0"/>
        <w:ind w:firstLine="708"/>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2. Devolución del pago anticipado. Este amparo cubre los perjuicios sufridos por la Entidad Estatal por la no devolución total o parcial del dinero entregado al contratista a título de pago anticipado, cuando a ello hubiere lugar. </w:t>
      </w:r>
    </w:p>
    <w:p w14:paraId="51621A7B" w14:textId="77777777" w:rsidR="00250090" w:rsidRPr="00B85689" w:rsidRDefault="00250090" w:rsidP="00250090">
      <w:pPr>
        <w:pStyle w:val="Textonotapie"/>
        <w:snapToGrid w:val="0"/>
        <w:ind w:firstLine="708"/>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3. Cumplimiento del contrato. Este amparo cubre a la Entidad Estatal de los perjuicios derivados de: </w:t>
      </w:r>
    </w:p>
    <w:p w14:paraId="3B9ED499" w14:textId="77777777" w:rsidR="00250090" w:rsidRPr="00B85689" w:rsidRDefault="00250090" w:rsidP="00250090">
      <w:pPr>
        <w:pStyle w:val="Textonotapie"/>
        <w:snapToGrid w:val="0"/>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  </w:t>
      </w:r>
      <w:r w:rsidRPr="00B85689">
        <w:rPr>
          <w:rFonts w:ascii="Verdana" w:hAnsi="Verdana" w:cs="Arial"/>
          <w:color w:val="000000" w:themeColor="text1"/>
          <w:sz w:val="16"/>
          <w:szCs w:val="16"/>
          <w:lang w:val="es-CO"/>
        </w:rPr>
        <w:tab/>
        <w:t xml:space="preserve">3.1. </w:t>
      </w:r>
      <w:bookmarkStart w:id="6" w:name="_Hlk67920056"/>
      <w:r w:rsidRPr="00B85689">
        <w:rPr>
          <w:rFonts w:ascii="Verdana" w:hAnsi="Verdana" w:cs="Arial"/>
          <w:color w:val="000000" w:themeColor="text1"/>
          <w:sz w:val="16"/>
          <w:szCs w:val="16"/>
          <w:lang w:val="es-CO"/>
        </w:rPr>
        <w:t xml:space="preserve">El incumplimiento total o parcial del contrato, cuando el incumplimiento es imputable al contratista; </w:t>
      </w:r>
    </w:p>
    <w:p w14:paraId="574ECB58" w14:textId="77777777" w:rsidR="00250090" w:rsidRPr="00B85689" w:rsidRDefault="00250090" w:rsidP="00250090">
      <w:pPr>
        <w:pStyle w:val="Textonotapie"/>
        <w:snapToGrid w:val="0"/>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  </w:t>
      </w:r>
      <w:r w:rsidRPr="00B85689">
        <w:rPr>
          <w:rFonts w:ascii="Verdana" w:hAnsi="Verdana" w:cs="Arial"/>
          <w:color w:val="000000" w:themeColor="text1"/>
          <w:sz w:val="16"/>
          <w:szCs w:val="16"/>
          <w:lang w:val="es-CO"/>
        </w:rPr>
        <w:tab/>
        <w:t xml:space="preserve">3.2. El cumplimiento tardío o defectuoso del contrato, cuando el incumplimiento es imputable al contratista; </w:t>
      </w:r>
    </w:p>
    <w:p w14:paraId="04DBE00A" w14:textId="77777777" w:rsidR="00250090" w:rsidRPr="00B85689" w:rsidRDefault="00250090" w:rsidP="00250090">
      <w:pPr>
        <w:pStyle w:val="Textonotapie"/>
        <w:snapToGrid w:val="0"/>
        <w:ind w:firstLine="708"/>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3.3. Los daños imputables al contratista por entregas parciales de la obra, cuando el contrato no prevé entregas parciales; y </w:t>
      </w:r>
    </w:p>
    <w:bookmarkEnd w:id="6"/>
    <w:p w14:paraId="022E96C9" w14:textId="77777777" w:rsidR="00250090" w:rsidRPr="00B85689" w:rsidRDefault="00250090" w:rsidP="00250090">
      <w:pPr>
        <w:pStyle w:val="Textonotapie"/>
        <w:snapToGrid w:val="0"/>
        <w:ind w:firstLine="708"/>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3.4. El pago del valor de las multas y de la cláusula penal pecuniaria. </w:t>
      </w:r>
    </w:p>
    <w:p w14:paraId="505B4482" w14:textId="77777777" w:rsidR="00250090" w:rsidRPr="00B85689" w:rsidRDefault="00250090" w:rsidP="00250090">
      <w:pPr>
        <w:pStyle w:val="Textonotapie"/>
        <w:snapToGrid w:val="0"/>
        <w:ind w:firstLine="708"/>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4. Pago de salarios, prestaciones sociales legales e indemnizaciones laborales. Este amparo debe cubrir a la Entidad Estatal de los perjuicios ocasionados por el incumplimiento de las obligaciones laborales del contratista derivadas de la contratación del personal utilizado en el territorio nacional para la ejecución del contrato amparado. </w:t>
      </w:r>
    </w:p>
    <w:p w14:paraId="585FFE80" w14:textId="77777777" w:rsidR="00250090" w:rsidRPr="00B85689" w:rsidRDefault="00250090" w:rsidP="00250090">
      <w:pPr>
        <w:pStyle w:val="Textonotapie"/>
        <w:snapToGrid w:val="0"/>
        <w:ind w:firstLine="708"/>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La Entidad Estatal no debe exigir una garantía para cubrir este Riesgo en los contratos que se ejecuten fuera del territorio nacional con personal contratado bajo un régimen jurídico distinto al colombiano. </w:t>
      </w:r>
    </w:p>
    <w:p w14:paraId="75B36C15" w14:textId="77777777" w:rsidR="00250090" w:rsidRPr="00B85689" w:rsidRDefault="00250090" w:rsidP="00250090">
      <w:pPr>
        <w:pStyle w:val="Textonotapie"/>
        <w:snapToGrid w:val="0"/>
        <w:ind w:firstLine="708"/>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5. Estabilidad y calidad de la obra. Este amparo cubre a la Entidad Estatal de los perjuicios ocasionados por cualquier tipo de daño o deterioro, imputable al contratista, sufrido por la obra entregada a satisfacción. </w:t>
      </w:r>
    </w:p>
    <w:p w14:paraId="7F465DEE" w14:textId="77777777" w:rsidR="00250090" w:rsidRPr="00B85689" w:rsidRDefault="00250090" w:rsidP="00250090">
      <w:pPr>
        <w:pStyle w:val="Textonotapie"/>
        <w:snapToGrid w:val="0"/>
        <w:ind w:firstLine="708"/>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6. Calidad del servicio. Este amparo cubre a la Entidad Estatal por los perjuicios derivados de la deficiente calidad del servicio prestado. </w:t>
      </w:r>
    </w:p>
    <w:p w14:paraId="498E80DA" w14:textId="77777777" w:rsidR="00250090" w:rsidRPr="00B85689" w:rsidRDefault="00250090" w:rsidP="00250090">
      <w:pPr>
        <w:pStyle w:val="Textonotapie"/>
        <w:snapToGrid w:val="0"/>
        <w:ind w:firstLine="708"/>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7. Calidad y correcto funcionamiento de los bienes. Este amparo debe cubrir la calidad y el correcto funcionamiento de los bienes que recibe la Entidad Estatal en cumplimiento de un contrato. </w:t>
      </w:r>
    </w:p>
    <w:p w14:paraId="7AF1FBBD" w14:textId="77777777" w:rsidR="00250090" w:rsidRPr="00B85689" w:rsidRDefault="00250090" w:rsidP="00250090">
      <w:pPr>
        <w:pStyle w:val="Textonotapie"/>
        <w:snapToGrid w:val="0"/>
        <w:ind w:firstLine="708"/>
        <w:contextualSpacing/>
        <w:jc w:val="both"/>
        <w:rPr>
          <w:rFonts w:ascii="Verdana" w:hAnsi="Verdana" w:cs="Arial"/>
          <w:color w:val="000000" w:themeColor="text1"/>
          <w:sz w:val="16"/>
          <w:szCs w:val="16"/>
          <w:lang w:val="es-CO"/>
        </w:rPr>
      </w:pPr>
      <w:r w:rsidRPr="00B85689">
        <w:rPr>
          <w:rFonts w:ascii="Verdana" w:hAnsi="Verdana" w:cs="Arial"/>
          <w:color w:val="000000" w:themeColor="text1"/>
          <w:sz w:val="16"/>
          <w:szCs w:val="16"/>
          <w:lang w:val="es-CO"/>
        </w:rPr>
        <w:t xml:space="preserve">8. </w:t>
      </w:r>
      <w:bookmarkStart w:id="7" w:name="_Hlk143267015"/>
      <w:r w:rsidRPr="00B85689">
        <w:rPr>
          <w:rFonts w:ascii="Verdana" w:hAnsi="Verdana" w:cs="Arial"/>
          <w:color w:val="000000" w:themeColor="text1"/>
          <w:sz w:val="16"/>
          <w:szCs w:val="16"/>
          <w:lang w:val="es-CO"/>
        </w:rPr>
        <w:t>Los demás incumplimientos de obligaciones que la Entidad Estatal considere deben ser amparados de manera proporcional y acorde a la naturaleza del contrato</w:t>
      </w:r>
      <w:bookmarkEnd w:id="7"/>
      <w:r w:rsidRPr="00B85689">
        <w:rPr>
          <w:rFonts w:ascii="Verdana" w:hAnsi="Verdana" w:cs="Arial"/>
          <w:color w:val="000000" w:themeColor="text1"/>
          <w:sz w:val="16"/>
          <w:szCs w:val="16"/>
          <w:lang w:val="es-CO"/>
        </w:rPr>
        <w:t>”.</w:t>
      </w:r>
    </w:p>
  </w:footnote>
  <w:footnote w:id="10">
    <w:p w14:paraId="30538BFB" w14:textId="77777777" w:rsidR="00250090" w:rsidRPr="00B85689" w:rsidRDefault="00250090" w:rsidP="00250090">
      <w:pPr>
        <w:pStyle w:val="Textonotapie"/>
        <w:ind w:firstLine="708"/>
        <w:jc w:val="both"/>
        <w:rPr>
          <w:rFonts w:ascii="Verdana" w:hAnsi="Verdana"/>
          <w:sz w:val="16"/>
          <w:szCs w:val="16"/>
          <w:lang w:val="es-ES"/>
        </w:rPr>
      </w:pPr>
      <w:r w:rsidRPr="00B85689">
        <w:rPr>
          <w:rStyle w:val="Refdenotaalpie"/>
          <w:rFonts w:ascii="Verdana" w:hAnsi="Verdana"/>
          <w:sz w:val="16"/>
          <w:szCs w:val="16"/>
        </w:rPr>
        <w:footnoteRef/>
      </w:r>
      <w:r w:rsidRPr="00B85689">
        <w:rPr>
          <w:rFonts w:ascii="Verdana" w:hAnsi="Verdana"/>
          <w:sz w:val="16"/>
          <w:szCs w:val="16"/>
        </w:rPr>
        <w:t xml:space="preserve"> </w:t>
      </w:r>
      <w:r w:rsidRPr="00B85689">
        <w:rPr>
          <w:rFonts w:ascii="Verdana" w:hAnsi="Verdana"/>
          <w:sz w:val="16"/>
          <w:szCs w:val="16"/>
          <w:lang w:val="es-CO"/>
        </w:rPr>
        <w:t xml:space="preserve">Concepto C-069 del 27 de mayo de 2024 disponible en: </w:t>
      </w:r>
      <w:hyperlink r:id="rId1" w:history="1">
        <w:r w:rsidRPr="00B85689">
          <w:rPr>
            <w:rStyle w:val="Hipervnculo"/>
            <w:rFonts w:ascii="Verdana" w:hAnsi="Verdana"/>
            <w:sz w:val="16"/>
            <w:szCs w:val="16"/>
            <w:lang w:val="es-CO"/>
          </w:rPr>
          <w:t>https://relatoria.colombiacompra.gov.co/conceptos/c-069-de-2024/</w:t>
        </w:r>
      </w:hyperlink>
      <w:r w:rsidRPr="00B85689">
        <w:rPr>
          <w:rFonts w:ascii="Verdana" w:hAnsi="Verdana"/>
          <w:sz w:val="16"/>
          <w:szCs w:val="16"/>
          <w:lang w:val="es-CO"/>
        </w:rPr>
        <w:t xml:space="preserve"> </w:t>
      </w:r>
    </w:p>
  </w:footnote>
  <w:footnote w:id="11">
    <w:p w14:paraId="102DDBA7" w14:textId="77777777" w:rsidR="00250090" w:rsidRPr="00B85689" w:rsidRDefault="00250090" w:rsidP="00250090">
      <w:pPr>
        <w:pStyle w:val="Textonotapie"/>
        <w:snapToGrid w:val="0"/>
        <w:ind w:firstLine="709"/>
        <w:contextualSpacing/>
        <w:jc w:val="both"/>
        <w:rPr>
          <w:rFonts w:ascii="Verdana" w:hAnsi="Verdana"/>
          <w:sz w:val="16"/>
          <w:szCs w:val="16"/>
        </w:rPr>
      </w:pPr>
      <w:r w:rsidRPr="00B85689">
        <w:rPr>
          <w:rStyle w:val="Refdenotaalpie"/>
          <w:rFonts w:ascii="Verdana" w:hAnsi="Verdana"/>
          <w:sz w:val="16"/>
          <w:szCs w:val="16"/>
        </w:rPr>
        <w:footnoteRef/>
      </w:r>
      <w:r w:rsidRPr="00B85689">
        <w:rPr>
          <w:rFonts w:ascii="Verdana" w:hAnsi="Verdana"/>
          <w:sz w:val="16"/>
          <w:szCs w:val="16"/>
        </w:rPr>
        <w:t xml:space="preserve"> El artículo 2.2.1.2.3.2.9 del Decreto 1082 de 2015 dispone que “El amparo de responsabilidad civil extracontractual debe cumplir los siguientes requisitos:</w:t>
      </w:r>
    </w:p>
    <w:p w14:paraId="4A504360" w14:textId="77777777" w:rsidR="00250090" w:rsidRPr="00B85689" w:rsidRDefault="00250090" w:rsidP="00250090">
      <w:pPr>
        <w:pStyle w:val="Textonotapie"/>
        <w:snapToGrid w:val="0"/>
        <w:ind w:firstLine="709"/>
        <w:contextualSpacing/>
        <w:jc w:val="both"/>
        <w:rPr>
          <w:rFonts w:ascii="Verdana" w:hAnsi="Verdana"/>
          <w:sz w:val="16"/>
          <w:szCs w:val="16"/>
        </w:rPr>
      </w:pPr>
      <w:r w:rsidRPr="00B85689">
        <w:rPr>
          <w:rFonts w:ascii="Verdana" w:hAnsi="Verdana"/>
          <w:sz w:val="16"/>
          <w:szCs w:val="16"/>
        </w:rPr>
        <w:t>1. Modalidad de ocurrencia. La compañía de seguros debe expedir el amparo en la modalidad de ocurrencia. En consecuencia, el contrato de seguro no puede establecer términos para presentar la reclamación, inferiores a los términos de prescripción previstos en la ley para la acción de responsabilidad correspondiente.</w:t>
      </w:r>
    </w:p>
    <w:p w14:paraId="04358C13" w14:textId="77777777" w:rsidR="00250090" w:rsidRPr="00B85689" w:rsidRDefault="00250090" w:rsidP="00250090">
      <w:pPr>
        <w:pStyle w:val="Textonotapie"/>
        <w:snapToGrid w:val="0"/>
        <w:ind w:firstLine="709"/>
        <w:contextualSpacing/>
        <w:jc w:val="both"/>
        <w:rPr>
          <w:rFonts w:ascii="Verdana" w:hAnsi="Verdana"/>
          <w:sz w:val="16"/>
          <w:szCs w:val="16"/>
        </w:rPr>
      </w:pPr>
      <w:r w:rsidRPr="00B85689">
        <w:rPr>
          <w:rFonts w:ascii="Verdana" w:hAnsi="Verdana"/>
          <w:sz w:val="16"/>
          <w:szCs w:val="16"/>
        </w:rPr>
        <w:t>2. Intervinientes. La Entidad Estatal y el contratista deben tener la calidad de asegurado respecto de los daños producidos por el contratista con ocasión de la ejecución del contrato amparado, y serán beneficiarios tanto la Entidad Estatal como los terceros que puedan resultar afectados por la responsabilidad del contratista o sus subcontratistas.</w:t>
      </w:r>
    </w:p>
    <w:p w14:paraId="154B7259" w14:textId="77777777" w:rsidR="00250090" w:rsidRPr="00B85689" w:rsidRDefault="00250090" w:rsidP="00250090">
      <w:pPr>
        <w:pStyle w:val="Textonotapie"/>
        <w:snapToGrid w:val="0"/>
        <w:ind w:firstLine="709"/>
        <w:contextualSpacing/>
        <w:jc w:val="both"/>
        <w:rPr>
          <w:rFonts w:ascii="Verdana" w:hAnsi="Verdana"/>
          <w:sz w:val="16"/>
          <w:szCs w:val="16"/>
        </w:rPr>
      </w:pPr>
      <w:r w:rsidRPr="00B85689">
        <w:rPr>
          <w:rFonts w:ascii="Verdana" w:hAnsi="Verdana"/>
          <w:sz w:val="16"/>
          <w:szCs w:val="16"/>
        </w:rPr>
        <w:t>3. Amparos. El amparo de responsabilidad civil extracontractual debe contener además de la cobertura básica de predios, labores y operaciones, mínimo los siguientes amparos:</w:t>
      </w:r>
    </w:p>
    <w:p w14:paraId="0A6E71B7" w14:textId="77777777" w:rsidR="00250090" w:rsidRPr="00B85689" w:rsidRDefault="00250090" w:rsidP="00250090">
      <w:pPr>
        <w:pStyle w:val="Textonotapie"/>
        <w:snapToGrid w:val="0"/>
        <w:ind w:firstLine="709"/>
        <w:contextualSpacing/>
        <w:jc w:val="both"/>
        <w:rPr>
          <w:rFonts w:ascii="Verdana" w:hAnsi="Verdana"/>
          <w:sz w:val="16"/>
          <w:szCs w:val="16"/>
        </w:rPr>
      </w:pPr>
      <w:r w:rsidRPr="00B85689">
        <w:rPr>
          <w:rFonts w:ascii="Verdana" w:hAnsi="Verdana"/>
          <w:sz w:val="16"/>
          <w:szCs w:val="16"/>
        </w:rPr>
        <w:t>3.1. Cobertura expresa de perjuicios por daño emergente y lucro cesante.</w:t>
      </w:r>
    </w:p>
    <w:p w14:paraId="4A0D217E" w14:textId="77777777" w:rsidR="00250090" w:rsidRPr="00B85689" w:rsidRDefault="00250090" w:rsidP="00250090">
      <w:pPr>
        <w:pStyle w:val="Textonotapie"/>
        <w:snapToGrid w:val="0"/>
        <w:ind w:firstLine="709"/>
        <w:contextualSpacing/>
        <w:jc w:val="both"/>
        <w:rPr>
          <w:rFonts w:ascii="Verdana" w:hAnsi="Verdana"/>
          <w:sz w:val="16"/>
          <w:szCs w:val="16"/>
        </w:rPr>
      </w:pPr>
      <w:r w:rsidRPr="00B85689">
        <w:rPr>
          <w:rFonts w:ascii="Verdana" w:hAnsi="Verdana"/>
          <w:sz w:val="16"/>
          <w:szCs w:val="16"/>
        </w:rPr>
        <w:t>3.2. Cobertura expresa de perjuicios extrapatrimoniales.</w:t>
      </w:r>
    </w:p>
    <w:p w14:paraId="74CAB876" w14:textId="77777777" w:rsidR="00250090" w:rsidRPr="00B85689" w:rsidRDefault="00250090" w:rsidP="00250090">
      <w:pPr>
        <w:pStyle w:val="Textonotapie"/>
        <w:snapToGrid w:val="0"/>
        <w:ind w:firstLine="709"/>
        <w:contextualSpacing/>
        <w:jc w:val="both"/>
        <w:rPr>
          <w:rFonts w:ascii="Verdana" w:hAnsi="Verdana"/>
          <w:sz w:val="16"/>
          <w:szCs w:val="16"/>
        </w:rPr>
      </w:pPr>
      <w:r w:rsidRPr="00B85689">
        <w:rPr>
          <w:rFonts w:ascii="Verdana" w:hAnsi="Verdana"/>
          <w:sz w:val="16"/>
          <w:szCs w:val="16"/>
        </w:rPr>
        <w:t>3.3. Cobertura expresa de la responsabilidad surgida por actos de contratistas y subcontratistas, salvo que el subcontratista tenga su propio seguro de responsabilidad extracontractual, con los mismos amparos aquí requeridos.</w:t>
      </w:r>
    </w:p>
    <w:p w14:paraId="201370F8" w14:textId="77777777" w:rsidR="00250090" w:rsidRPr="00B85689" w:rsidRDefault="00250090" w:rsidP="00250090">
      <w:pPr>
        <w:pStyle w:val="Textonotapie"/>
        <w:snapToGrid w:val="0"/>
        <w:ind w:firstLine="709"/>
        <w:contextualSpacing/>
        <w:jc w:val="both"/>
        <w:rPr>
          <w:rFonts w:ascii="Verdana" w:hAnsi="Verdana"/>
          <w:sz w:val="16"/>
          <w:szCs w:val="16"/>
        </w:rPr>
      </w:pPr>
      <w:r w:rsidRPr="00B85689">
        <w:rPr>
          <w:rFonts w:ascii="Verdana" w:hAnsi="Verdana"/>
          <w:sz w:val="16"/>
          <w:szCs w:val="16"/>
        </w:rPr>
        <w:t>3.4. Cobertura expresa de amparo patronal.</w:t>
      </w:r>
    </w:p>
    <w:p w14:paraId="24E1955D" w14:textId="77777777" w:rsidR="00250090" w:rsidRPr="00B85689" w:rsidRDefault="00250090" w:rsidP="00250090">
      <w:pPr>
        <w:pStyle w:val="Textonotapie"/>
        <w:snapToGrid w:val="0"/>
        <w:ind w:firstLine="709"/>
        <w:contextualSpacing/>
        <w:jc w:val="both"/>
        <w:rPr>
          <w:rFonts w:ascii="Verdana" w:hAnsi="Verdana"/>
          <w:sz w:val="16"/>
          <w:szCs w:val="16"/>
        </w:rPr>
      </w:pPr>
      <w:r w:rsidRPr="00B85689">
        <w:rPr>
          <w:rFonts w:ascii="Verdana" w:hAnsi="Verdana"/>
          <w:sz w:val="16"/>
          <w:szCs w:val="16"/>
        </w:rPr>
        <w:t>3.5. Cobertura expresa de vehículos propios y no propios”.</w:t>
      </w:r>
    </w:p>
  </w:footnote>
  <w:footnote w:id="12">
    <w:p w14:paraId="7D2BDE42" w14:textId="77777777" w:rsidR="00250090" w:rsidRPr="00B85689" w:rsidRDefault="00250090" w:rsidP="00250090">
      <w:pPr>
        <w:pStyle w:val="Textonotapie"/>
        <w:snapToGrid w:val="0"/>
        <w:ind w:firstLine="709"/>
        <w:contextualSpacing/>
        <w:jc w:val="both"/>
        <w:rPr>
          <w:rFonts w:ascii="Verdana" w:hAnsi="Verdana"/>
          <w:sz w:val="16"/>
          <w:szCs w:val="16"/>
        </w:rPr>
      </w:pPr>
      <w:r w:rsidRPr="00B85689">
        <w:rPr>
          <w:rStyle w:val="Refdenotaalpie"/>
          <w:rFonts w:ascii="Verdana" w:hAnsi="Verdana"/>
          <w:sz w:val="16"/>
          <w:szCs w:val="16"/>
        </w:rPr>
        <w:footnoteRef/>
      </w:r>
      <w:r w:rsidRPr="00B85689">
        <w:rPr>
          <w:rFonts w:ascii="Verdana" w:hAnsi="Verdana"/>
          <w:sz w:val="16"/>
          <w:szCs w:val="16"/>
        </w:rPr>
        <w:t xml:space="preserve"> El artículo 2.2.1.2.3.1.17 del Decreto 1082 de 2015 prescribe lo siguiente: “El valor asegurado por los contratos de seguro que amparan la responsabilidad civil extracontractual no debe ser inferior a:</w:t>
      </w:r>
    </w:p>
    <w:p w14:paraId="16FA8323" w14:textId="77777777" w:rsidR="00250090" w:rsidRPr="00B85689" w:rsidRDefault="00250090" w:rsidP="00250090">
      <w:pPr>
        <w:pStyle w:val="Textonotapie"/>
        <w:snapToGrid w:val="0"/>
        <w:ind w:firstLine="709"/>
        <w:contextualSpacing/>
        <w:jc w:val="both"/>
        <w:rPr>
          <w:rFonts w:ascii="Verdana" w:hAnsi="Verdana"/>
          <w:sz w:val="16"/>
          <w:szCs w:val="16"/>
        </w:rPr>
      </w:pPr>
      <w:r w:rsidRPr="00B85689">
        <w:rPr>
          <w:rFonts w:ascii="Verdana" w:hAnsi="Verdana"/>
          <w:sz w:val="16"/>
          <w:szCs w:val="16"/>
        </w:rPr>
        <w:t>1. Doscientos (200) smmlv para contratos cuyo valor sea inferior o igual a mil quinientos (1.500) smmlv.</w:t>
      </w:r>
    </w:p>
    <w:p w14:paraId="2385A49E" w14:textId="77777777" w:rsidR="00250090" w:rsidRPr="00B85689" w:rsidRDefault="00250090" w:rsidP="00250090">
      <w:pPr>
        <w:pStyle w:val="Textonotapie"/>
        <w:snapToGrid w:val="0"/>
        <w:ind w:firstLine="709"/>
        <w:contextualSpacing/>
        <w:jc w:val="both"/>
        <w:rPr>
          <w:rFonts w:ascii="Verdana" w:hAnsi="Verdana"/>
          <w:sz w:val="16"/>
          <w:szCs w:val="16"/>
        </w:rPr>
      </w:pPr>
      <w:r w:rsidRPr="00B85689">
        <w:rPr>
          <w:rFonts w:ascii="Verdana" w:hAnsi="Verdana"/>
          <w:sz w:val="16"/>
          <w:szCs w:val="16"/>
        </w:rPr>
        <w:t>2. Trescientos (300) smmlv para contratos cuyo valor sea superior a mil quinientos (1.500) smmlv e inferior o igual a dos mil quinientos (2.500) smmlv.</w:t>
      </w:r>
    </w:p>
    <w:p w14:paraId="5908FF23" w14:textId="77777777" w:rsidR="00250090" w:rsidRPr="00B85689" w:rsidRDefault="00250090" w:rsidP="00250090">
      <w:pPr>
        <w:pStyle w:val="Textonotapie"/>
        <w:snapToGrid w:val="0"/>
        <w:ind w:firstLine="709"/>
        <w:contextualSpacing/>
        <w:jc w:val="both"/>
        <w:rPr>
          <w:rFonts w:ascii="Verdana" w:hAnsi="Verdana"/>
          <w:sz w:val="16"/>
          <w:szCs w:val="16"/>
        </w:rPr>
      </w:pPr>
      <w:r w:rsidRPr="00B85689">
        <w:rPr>
          <w:rFonts w:ascii="Verdana" w:hAnsi="Verdana"/>
          <w:sz w:val="16"/>
          <w:szCs w:val="16"/>
        </w:rPr>
        <w:t>3. Cuatrocientos (400) smmlv para contratos cuyo valor sea superior a dos mil quinientos (2.500) smmlv e inferior o igual a cinco mil (5.000) smmlv.</w:t>
      </w:r>
    </w:p>
    <w:p w14:paraId="4930D554" w14:textId="77777777" w:rsidR="00250090" w:rsidRPr="00B85689" w:rsidRDefault="00250090" w:rsidP="00250090">
      <w:pPr>
        <w:pStyle w:val="Textonotapie"/>
        <w:snapToGrid w:val="0"/>
        <w:ind w:firstLine="709"/>
        <w:contextualSpacing/>
        <w:jc w:val="both"/>
        <w:rPr>
          <w:rFonts w:ascii="Verdana" w:hAnsi="Verdana"/>
          <w:sz w:val="16"/>
          <w:szCs w:val="16"/>
        </w:rPr>
      </w:pPr>
      <w:r w:rsidRPr="00B85689">
        <w:rPr>
          <w:rFonts w:ascii="Verdana" w:hAnsi="Verdana"/>
          <w:sz w:val="16"/>
          <w:szCs w:val="16"/>
        </w:rPr>
        <w:t>4. Quinientos (500) smmlv para contratos cuyo valor sea superior a cinco mil (5.000) smmlv e inferior o igual a diez mil (10.000) smmlv.</w:t>
      </w:r>
    </w:p>
    <w:p w14:paraId="7174DBC4" w14:textId="77777777" w:rsidR="00250090" w:rsidRPr="00B85689" w:rsidRDefault="00250090" w:rsidP="00250090">
      <w:pPr>
        <w:pStyle w:val="Textonotapie"/>
        <w:snapToGrid w:val="0"/>
        <w:ind w:firstLine="709"/>
        <w:contextualSpacing/>
        <w:jc w:val="both"/>
        <w:rPr>
          <w:rFonts w:ascii="Verdana" w:hAnsi="Verdana"/>
          <w:sz w:val="16"/>
          <w:szCs w:val="16"/>
        </w:rPr>
      </w:pPr>
      <w:r w:rsidRPr="00B85689">
        <w:rPr>
          <w:rFonts w:ascii="Verdana" w:hAnsi="Verdana"/>
          <w:sz w:val="16"/>
          <w:szCs w:val="16"/>
        </w:rPr>
        <w:t>5. El cinco por ciento (5%) del valor del contrato cuando este sea superior a diez mil (10.000) smmlv, caso en el cual el valor asegurado debe ser máximo setenta y cinco mil (75.000) smmlv.</w:t>
      </w:r>
    </w:p>
    <w:p w14:paraId="2B1FEFC1" w14:textId="77777777" w:rsidR="00250090" w:rsidRPr="00B85689" w:rsidRDefault="00250090" w:rsidP="00250090">
      <w:pPr>
        <w:pStyle w:val="Textonotapie"/>
        <w:snapToGrid w:val="0"/>
        <w:ind w:firstLine="709"/>
        <w:contextualSpacing/>
        <w:jc w:val="both"/>
        <w:rPr>
          <w:rFonts w:ascii="Verdana" w:hAnsi="Verdana"/>
          <w:sz w:val="16"/>
          <w:szCs w:val="16"/>
        </w:rPr>
      </w:pPr>
      <w:r w:rsidRPr="00B85689">
        <w:rPr>
          <w:rFonts w:ascii="Verdana" w:hAnsi="Verdana"/>
          <w:sz w:val="16"/>
          <w:szCs w:val="16"/>
        </w:rPr>
        <w:t>La vigencia de esta garantía deberá ser igual al período de ejecución del contrato”.</w:t>
      </w:r>
    </w:p>
  </w:footnote>
  <w:footnote w:id="13">
    <w:p w14:paraId="033D9B34" w14:textId="77777777" w:rsidR="00250090" w:rsidRPr="00BA1EB5" w:rsidRDefault="00250090" w:rsidP="00250090">
      <w:pPr>
        <w:pStyle w:val="Textonotapie"/>
        <w:rPr>
          <w:lang w:val="es-ES"/>
        </w:rPr>
      </w:pPr>
      <w:r>
        <w:rPr>
          <w:rStyle w:val="Refdenotaalpie"/>
        </w:rPr>
        <w:footnoteRef/>
      </w:r>
      <w:r>
        <w:t xml:space="preserve"> </w:t>
      </w:r>
      <w:r w:rsidRPr="00002297">
        <w:rPr>
          <w:rFonts w:ascii="Verdana" w:hAnsi="Verdana"/>
          <w:sz w:val="16"/>
          <w:szCs w:val="16"/>
        </w:rPr>
        <w:t>chrome-extension://efaidnbmnnnibpcajpcglclefindmkaj/https://www.colombiacompra.gov.co/wp-content/uploads/2024/08/2016-Guia-de-garantias-en-Procesos-de-Contratacion-G-GPC-01.pdf</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435F4D03" w14:textId="0903BF04" w:rsidR="00756841" w:rsidRDefault="009D3058" w:rsidP="00844AE9">
    <w:pPr>
      <w:pStyle w:val="Encabezado"/>
      <w:spacing w:line="120" w:lineRule="auto"/>
    </w:pPr>
    <w:r>
      <w:rPr>
        <w:rFonts w:ascii="Geomanist Bold" w:hAnsi="Geomanist Bold"/>
        <w:b/>
        <w:bCs/>
        <w:noProof/>
        <w:color w:val="002060"/>
        <w:sz w:val="24"/>
        <w:szCs w:val="24"/>
      </w:rPr>
      <w:drawing>
        <wp:anchor distT="0" distB="0" distL="114300" distR="114300" simplePos="0" relativeHeight="251658241" behindDoc="1" locked="0" layoutInCell="1" allowOverlap="1" wp14:anchorId="6FC3B35F" wp14:editId="51872E67">
          <wp:simplePos x="0" y="0"/>
          <wp:positionH relativeFrom="margin">
            <wp:align>center</wp:align>
          </wp:positionH>
          <wp:positionV relativeFrom="paragraph">
            <wp:posOffset>-256388</wp:posOffset>
          </wp:positionV>
          <wp:extent cx="1924050" cy="856004"/>
          <wp:effectExtent l="0" t="0" r="0" b="1270"/>
          <wp:wrapNone/>
          <wp:docPr id="1309089902" name="Imagen 1" descr="Imagen que contiene Interfaz de usuario gráfica&#10;&#10;Descripción generada automáticamente"/>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309089902" name="Imagen 1" descr="Imagen que contiene Interfaz de usuario gráfica&#10;&#10;Descripción generada automáticamente"/>
                  <pic:cNvPicPr/>
                </pic:nvPicPr>
                <pic:blipFill>
                  <a:blip r:embed="rId1">
                    <a:extLst>
                      <a:ext uri="{28A0092B-C50C-407E-A947-70E740481C1C}">
                        <a14:useLocalDpi xmlns:a14="http://schemas.microsoft.com/office/drawing/2010/main" val="0"/>
                      </a:ext>
                    </a:extLst>
                  </a:blip>
                  <a:stretch>
                    <a:fillRect/>
                  </a:stretch>
                </pic:blipFill>
                <pic:spPr>
                  <a:xfrm>
                    <a:off x="0" y="0"/>
                    <a:ext cx="1924050" cy="856004"/>
                  </a:xfrm>
                  <a:prstGeom prst="rect">
                    <a:avLst/>
                  </a:prstGeom>
                </pic:spPr>
              </pic:pic>
            </a:graphicData>
          </a:graphic>
          <wp14:sizeRelH relativeFrom="margin">
            <wp14:pctWidth>0</wp14:pctWidth>
          </wp14:sizeRelH>
          <wp14:sizeRelV relativeFrom="margin">
            <wp14:pctHeight>0</wp14:pctHeight>
          </wp14:sizeRelV>
        </wp:anchor>
      </w:drawing>
    </w:r>
    <w:r w:rsidR="00E90F6B">
      <w:rPr>
        <w:rFonts w:ascii="Geomanist Bold" w:hAnsi="Geomanist Bold"/>
        <w:b/>
        <w:bCs/>
        <w:noProof/>
        <w:color w:val="002060"/>
        <w:sz w:val="24"/>
        <w:szCs w:val="24"/>
      </w:rPr>
      <w:drawing>
        <wp:anchor distT="0" distB="0" distL="114300" distR="114300" simplePos="0" relativeHeight="251658240" behindDoc="0" locked="0" layoutInCell="1" allowOverlap="1" wp14:anchorId="4F745D08" wp14:editId="02405FCC">
          <wp:simplePos x="0" y="0"/>
          <wp:positionH relativeFrom="margin">
            <wp:posOffset>8420100</wp:posOffset>
          </wp:positionH>
          <wp:positionV relativeFrom="margin">
            <wp:posOffset>-1377950</wp:posOffset>
          </wp:positionV>
          <wp:extent cx="665480" cy="3098800"/>
          <wp:effectExtent l="0" t="0" r="0" b="0"/>
          <wp:wrapThrough wrapText="bothSides">
            <wp:wrapPolygon edited="0">
              <wp:start x="6183" y="0"/>
              <wp:lineTo x="0" y="1416"/>
              <wp:lineTo x="5359" y="2833"/>
              <wp:lineTo x="2061" y="4249"/>
              <wp:lineTo x="412" y="4780"/>
              <wp:lineTo x="824" y="5134"/>
              <wp:lineTo x="3298" y="5666"/>
              <wp:lineTo x="4534" y="7082"/>
              <wp:lineTo x="412" y="7967"/>
              <wp:lineTo x="0" y="8233"/>
              <wp:lineTo x="5771" y="9915"/>
              <wp:lineTo x="0" y="11508"/>
              <wp:lineTo x="0" y="11685"/>
              <wp:lineTo x="4122" y="12748"/>
              <wp:lineTo x="2061" y="14164"/>
              <wp:lineTo x="0" y="14872"/>
              <wp:lineTo x="0" y="15049"/>
              <wp:lineTo x="2061" y="15580"/>
              <wp:lineTo x="4534" y="16997"/>
              <wp:lineTo x="0" y="18059"/>
              <wp:lineTo x="0" y="18413"/>
              <wp:lineTo x="10718" y="21246"/>
              <wp:lineTo x="12366" y="21511"/>
              <wp:lineTo x="14427" y="21511"/>
              <wp:lineTo x="14840" y="21511"/>
              <wp:lineTo x="17313" y="20980"/>
              <wp:lineTo x="20611" y="20007"/>
              <wp:lineTo x="20198" y="19830"/>
              <wp:lineTo x="13603" y="18413"/>
              <wp:lineTo x="21023" y="16643"/>
              <wp:lineTo x="16489" y="15580"/>
              <wp:lineTo x="17313" y="14164"/>
              <wp:lineTo x="21023" y="13279"/>
              <wp:lineTo x="18962" y="12748"/>
              <wp:lineTo x="15664" y="11331"/>
              <wp:lineTo x="21023" y="10003"/>
              <wp:lineTo x="21023" y="9826"/>
              <wp:lineTo x="18137" y="9207"/>
              <wp:lineTo x="15664" y="8498"/>
              <wp:lineTo x="19374" y="7082"/>
              <wp:lineTo x="21023" y="6639"/>
              <wp:lineTo x="21023" y="6374"/>
              <wp:lineTo x="18137" y="5666"/>
              <wp:lineTo x="16901" y="4249"/>
              <wp:lineTo x="21023" y="3275"/>
              <wp:lineTo x="21023" y="3098"/>
              <wp:lineTo x="20611" y="2833"/>
              <wp:lineTo x="8244" y="0"/>
              <wp:lineTo x="6183" y="0"/>
            </wp:wrapPolygon>
          </wp:wrapThrough>
          <wp:docPr id="962149914" name="Imagen 962149914"/>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987974706" name="Imagen 1987974706"/>
                  <pic:cNvPicPr/>
                </pic:nvPicPr>
                <pic:blipFill>
                  <a:blip r:embed="rId2" cstate="print">
                    <a:extLst>
                      <a:ext uri="{28A0092B-C50C-407E-A947-70E740481C1C}">
                        <a14:useLocalDpi xmlns:a14="http://schemas.microsoft.com/office/drawing/2010/main" val="0"/>
                      </a:ext>
                    </a:extLst>
                  </a:blip>
                  <a:stretch>
                    <a:fillRect/>
                  </a:stretch>
                </pic:blipFill>
                <pic:spPr>
                  <a:xfrm>
                    <a:off x="0" y="0"/>
                    <a:ext cx="665480" cy="3098800"/>
                  </a:xfrm>
                  <a:prstGeom prst="rect">
                    <a:avLst/>
                  </a:prstGeom>
                </pic:spPr>
              </pic:pic>
            </a:graphicData>
          </a:graphic>
          <wp14:sizeRelH relativeFrom="margin">
            <wp14:pctWidth>0</wp14:pctWidth>
          </wp14:sizeRelH>
          <wp14:sizeRelV relativeFrom="margin">
            <wp14:pctHeight>0</wp14:pctHeight>
          </wp14:sizeRelV>
        </wp:anchor>
      </w:drawing>
    </w:r>
  </w:p>
  <w:p w14:paraId="1BE2B9AE" w14:textId="4B94DB3B" w:rsidR="00756841" w:rsidRDefault="00756841">
    <w:pPr>
      <w:pStyle w:val="Encabezado"/>
    </w:pPr>
  </w:p>
  <w:p w14:paraId="5E18350A" w14:textId="705F7B76" w:rsidR="004A305D" w:rsidRPr="004A305D" w:rsidRDefault="004A305D" w:rsidP="00B01B1A">
    <w:pPr>
      <w:spacing w:after="0" w:line="120" w:lineRule="auto"/>
      <w:rPr>
        <w:rFonts w:ascii="Century Gothic" w:eastAsia="Geo" w:hAnsi="Century Gothic" w:cs="Geo"/>
        <w:sz w:val="16"/>
        <w:szCs w:val="16"/>
        <w:lang w:eastAsia="es-CO"/>
      </w:rPr>
    </w:pPr>
  </w:p>
  <w:p w14:paraId="211B7F5D" w14:textId="77777777" w:rsidR="00C925AC" w:rsidRDefault="00C925AC" w:rsidP="00844AE9">
    <w:pPr>
      <w:spacing w:after="0" w:line="240" w:lineRule="auto"/>
      <w:rPr>
        <w:rFonts w:ascii="Verdana" w:hAnsi="Verdana"/>
        <w:sz w:val="24"/>
        <w:szCs w:val="24"/>
      </w:rPr>
    </w:pPr>
  </w:p>
  <w:p w14:paraId="5A0054B1" w14:textId="77777777" w:rsidR="00A14468" w:rsidRPr="00C925AC" w:rsidRDefault="00A14468" w:rsidP="00844AE9">
    <w:pPr>
      <w:spacing w:after="0" w:line="240" w:lineRule="auto"/>
      <w:rPr>
        <w:rFonts w:ascii="Verdana" w:hAnsi="Verdana"/>
        <w:sz w:val="24"/>
        <w:szCs w:val="24"/>
      </w:rPr>
    </w:pPr>
  </w:p>
  <w:p w14:paraId="1FD1C243" w14:textId="37C5500A" w:rsidR="008A446D" w:rsidRPr="00C925AC" w:rsidRDefault="00C925AC" w:rsidP="000D5DA7">
    <w:pPr>
      <w:spacing w:after="0" w:line="480" w:lineRule="auto"/>
      <w:rPr>
        <w:rFonts w:ascii="Verdana" w:hAnsi="Verdana"/>
        <w:b/>
        <w:bCs/>
        <w:sz w:val="24"/>
        <w:szCs w:val="24"/>
      </w:rPr>
    </w:pPr>
    <w:r w:rsidRPr="00C925AC">
      <w:rPr>
        <w:rFonts w:ascii="Verdana" w:hAnsi="Verdana"/>
        <w:b/>
        <w:bCs/>
        <w:sz w:val="24"/>
        <w:szCs w:val="24"/>
      </w:rPr>
      <w:t>FORMATO</w:t>
    </w:r>
    <w:r w:rsidR="00BF7425">
      <w:rPr>
        <w:rFonts w:ascii="Verdana" w:hAnsi="Verdana"/>
        <w:b/>
        <w:bCs/>
        <w:sz w:val="24"/>
        <w:szCs w:val="24"/>
      </w:rPr>
      <w:t xml:space="preserve"> DE RESPUESTA </w:t>
    </w:r>
    <w:r w:rsidRPr="00C925AC">
      <w:rPr>
        <w:rFonts w:ascii="Verdana" w:hAnsi="Verdana"/>
        <w:b/>
        <w:bCs/>
        <w:sz w:val="24"/>
        <w:szCs w:val="24"/>
      </w:rPr>
      <w:t>PQRSD</w:t>
    </w:r>
  </w:p>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numPicBullet w:numPicBulletId="0">
    <w:pict>
      <v:shapetype id="_x0000_t75" coordsize="21600,21600" o:spt="75" o:preferrelative="t" path="m@4@5l@4@11@9@11@9@5xe" filled="f" stroked="f">
        <v:stroke joinstyle="miter"/>
        <v:formulas>
          <v:f eqn="if lineDrawn pixelLineWidth 0"/>
          <v:f eqn="sum @0 1 0"/>
          <v:f eqn="sum 0 0 @1"/>
          <v:f eqn="prod @2 1 2"/>
          <v:f eqn="prod @3 21600 pixelWidth"/>
          <v:f eqn="prod @3 21600 pixelHeight"/>
          <v:f eqn="sum @0 0 1"/>
          <v:f eqn="prod @6 1 2"/>
          <v:f eqn="prod @7 21600 pixelWidth"/>
          <v:f eqn="sum @8 21600 0"/>
          <v:f eqn="prod @7 21600 pixelHeight"/>
          <v:f eqn="sum @10 21600 0"/>
        </v:formulas>
        <v:path o:extrusionok="f" gradientshapeok="t" o:connecttype="rect"/>
        <o:lock v:ext="edit" aspectratio="t"/>
      </v:shapetype>
      <v:shape id="_x0000_i1025" type="#_x0000_t75" style="width:12pt;height:12pt" o:bullet="t">
        <v:imagedata r:id="rId1" o:title="mso1B13"/>
      </v:shape>
    </w:pict>
  </w:numPicBullet>
  <w:abstractNum w:abstractNumId="0" w15:restartNumberingAfterBreak="0">
    <w:nsid w:val="01C06310"/>
    <w:multiLevelType w:val="multilevel"/>
    <w:tmpl w:val="25FEEF8E"/>
    <w:lvl w:ilvl="0">
      <w:start w:val="1"/>
      <w:numFmt w:val="decimal"/>
      <w:lvlText w:val="%1."/>
      <w:lvlJc w:val="left"/>
      <w:pPr>
        <w:ind w:left="6601" w:hanging="360"/>
      </w:pPr>
      <w:rPr>
        <w:b/>
        <w:color w:val="000000" w:themeColor="text1"/>
      </w:rPr>
    </w:lvl>
    <w:lvl w:ilvl="1">
      <w:start w:val="2"/>
      <w:numFmt w:val="decimal"/>
      <w:isLgl/>
      <w:lvlText w:val="%1.%2"/>
      <w:lvlJc w:val="left"/>
      <w:pPr>
        <w:ind w:left="6241" w:hanging="360"/>
      </w:pPr>
    </w:lvl>
    <w:lvl w:ilvl="2">
      <w:start w:val="1"/>
      <w:numFmt w:val="decimal"/>
      <w:isLgl/>
      <w:lvlText w:val="%1.%2.%3"/>
      <w:lvlJc w:val="left"/>
      <w:pPr>
        <w:ind w:left="6961" w:hanging="720"/>
      </w:pPr>
    </w:lvl>
    <w:lvl w:ilvl="3">
      <w:start w:val="1"/>
      <w:numFmt w:val="decimal"/>
      <w:isLgl/>
      <w:lvlText w:val="%1.%2.%3.%4"/>
      <w:lvlJc w:val="left"/>
      <w:pPr>
        <w:ind w:left="6961" w:hanging="720"/>
      </w:pPr>
    </w:lvl>
    <w:lvl w:ilvl="4">
      <w:start w:val="1"/>
      <w:numFmt w:val="decimal"/>
      <w:isLgl/>
      <w:lvlText w:val="%1.%2.%3.%4.%5"/>
      <w:lvlJc w:val="left"/>
      <w:pPr>
        <w:ind w:left="7321" w:hanging="1080"/>
      </w:pPr>
    </w:lvl>
    <w:lvl w:ilvl="5">
      <w:start w:val="1"/>
      <w:numFmt w:val="decimal"/>
      <w:isLgl/>
      <w:lvlText w:val="%1.%2.%3.%4.%5.%6"/>
      <w:lvlJc w:val="left"/>
      <w:pPr>
        <w:ind w:left="7321" w:hanging="1080"/>
      </w:pPr>
    </w:lvl>
    <w:lvl w:ilvl="6">
      <w:start w:val="1"/>
      <w:numFmt w:val="decimal"/>
      <w:isLgl/>
      <w:lvlText w:val="%1.%2.%3.%4.%5.%6.%7"/>
      <w:lvlJc w:val="left"/>
      <w:pPr>
        <w:ind w:left="7681" w:hanging="1440"/>
      </w:pPr>
    </w:lvl>
    <w:lvl w:ilvl="7">
      <w:start w:val="1"/>
      <w:numFmt w:val="decimal"/>
      <w:isLgl/>
      <w:lvlText w:val="%1.%2.%3.%4.%5.%6.%7.%8"/>
      <w:lvlJc w:val="left"/>
      <w:pPr>
        <w:ind w:left="7681" w:hanging="1440"/>
      </w:pPr>
    </w:lvl>
    <w:lvl w:ilvl="8">
      <w:start w:val="1"/>
      <w:numFmt w:val="decimal"/>
      <w:isLgl/>
      <w:lvlText w:val="%1.%2.%3.%4.%5.%6.%7.%8.%9"/>
      <w:lvlJc w:val="left"/>
      <w:pPr>
        <w:ind w:left="8041" w:hanging="1800"/>
      </w:pPr>
    </w:lvl>
  </w:abstractNum>
  <w:abstractNum w:abstractNumId="1" w15:restartNumberingAfterBreak="0">
    <w:nsid w:val="0337782A"/>
    <w:multiLevelType w:val="multilevel"/>
    <w:tmpl w:val="90D24208"/>
    <w:lvl w:ilvl="0">
      <w:start w:val="1"/>
      <w:numFmt w:val="bullet"/>
      <w:lvlText w:val=""/>
      <w:lvlJc w:val="left"/>
      <w:pPr>
        <w:tabs>
          <w:tab w:val="num" w:pos="720"/>
        </w:tabs>
        <w:ind w:left="720" w:hanging="360"/>
      </w:pPr>
      <w:rPr>
        <w:rFonts w:ascii="Symbol" w:hAnsi="Symbol" w:hint="default"/>
        <w:sz w:val="20"/>
      </w:rPr>
    </w:lvl>
    <w:lvl w:ilvl="1" w:tentative="1">
      <w:start w:val="1"/>
      <w:numFmt w:val="bullet"/>
      <w:lvlText w:val=""/>
      <w:lvlJc w:val="left"/>
      <w:pPr>
        <w:tabs>
          <w:tab w:val="num" w:pos="1440"/>
        </w:tabs>
        <w:ind w:left="1440" w:hanging="360"/>
      </w:pPr>
      <w:rPr>
        <w:rFonts w:ascii="Symbol" w:hAnsi="Symbol" w:hint="default"/>
        <w:sz w:val="20"/>
      </w:rPr>
    </w:lvl>
    <w:lvl w:ilvl="2" w:tentative="1">
      <w:start w:val="1"/>
      <w:numFmt w:val="bullet"/>
      <w:lvlText w:val=""/>
      <w:lvlJc w:val="left"/>
      <w:pPr>
        <w:tabs>
          <w:tab w:val="num" w:pos="2160"/>
        </w:tabs>
        <w:ind w:left="2160" w:hanging="360"/>
      </w:pPr>
      <w:rPr>
        <w:rFonts w:ascii="Symbol" w:hAnsi="Symbol" w:hint="default"/>
        <w:sz w:val="20"/>
      </w:rPr>
    </w:lvl>
    <w:lvl w:ilvl="3" w:tentative="1">
      <w:start w:val="1"/>
      <w:numFmt w:val="bullet"/>
      <w:lvlText w:val=""/>
      <w:lvlJc w:val="left"/>
      <w:pPr>
        <w:tabs>
          <w:tab w:val="num" w:pos="2880"/>
        </w:tabs>
        <w:ind w:left="2880" w:hanging="360"/>
      </w:pPr>
      <w:rPr>
        <w:rFonts w:ascii="Symbol" w:hAnsi="Symbol" w:hint="default"/>
        <w:sz w:val="20"/>
      </w:rPr>
    </w:lvl>
    <w:lvl w:ilvl="4" w:tentative="1">
      <w:start w:val="1"/>
      <w:numFmt w:val="bullet"/>
      <w:lvlText w:val=""/>
      <w:lvlJc w:val="left"/>
      <w:pPr>
        <w:tabs>
          <w:tab w:val="num" w:pos="3600"/>
        </w:tabs>
        <w:ind w:left="3600" w:hanging="360"/>
      </w:pPr>
      <w:rPr>
        <w:rFonts w:ascii="Symbol" w:hAnsi="Symbol" w:hint="default"/>
        <w:sz w:val="20"/>
      </w:rPr>
    </w:lvl>
    <w:lvl w:ilvl="5" w:tentative="1">
      <w:start w:val="1"/>
      <w:numFmt w:val="bullet"/>
      <w:lvlText w:val=""/>
      <w:lvlJc w:val="left"/>
      <w:pPr>
        <w:tabs>
          <w:tab w:val="num" w:pos="4320"/>
        </w:tabs>
        <w:ind w:left="4320" w:hanging="360"/>
      </w:pPr>
      <w:rPr>
        <w:rFonts w:ascii="Symbol" w:hAnsi="Symbol" w:hint="default"/>
        <w:sz w:val="20"/>
      </w:rPr>
    </w:lvl>
    <w:lvl w:ilvl="6" w:tentative="1">
      <w:start w:val="1"/>
      <w:numFmt w:val="bullet"/>
      <w:lvlText w:val=""/>
      <w:lvlJc w:val="left"/>
      <w:pPr>
        <w:tabs>
          <w:tab w:val="num" w:pos="5040"/>
        </w:tabs>
        <w:ind w:left="5040" w:hanging="360"/>
      </w:pPr>
      <w:rPr>
        <w:rFonts w:ascii="Symbol" w:hAnsi="Symbol" w:hint="default"/>
        <w:sz w:val="20"/>
      </w:rPr>
    </w:lvl>
    <w:lvl w:ilvl="7" w:tentative="1">
      <w:start w:val="1"/>
      <w:numFmt w:val="bullet"/>
      <w:lvlText w:val=""/>
      <w:lvlJc w:val="left"/>
      <w:pPr>
        <w:tabs>
          <w:tab w:val="num" w:pos="5760"/>
        </w:tabs>
        <w:ind w:left="5760" w:hanging="360"/>
      </w:pPr>
      <w:rPr>
        <w:rFonts w:ascii="Symbol" w:hAnsi="Symbol" w:hint="default"/>
        <w:sz w:val="20"/>
      </w:rPr>
    </w:lvl>
    <w:lvl w:ilvl="8" w:tentative="1">
      <w:start w:val="1"/>
      <w:numFmt w:val="bullet"/>
      <w:lvlText w:val=""/>
      <w:lvlJc w:val="left"/>
      <w:pPr>
        <w:tabs>
          <w:tab w:val="num" w:pos="6480"/>
        </w:tabs>
        <w:ind w:left="6480" w:hanging="360"/>
      </w:pPr>
      <w:rPr>
        <w:rFonts w:ascii="Symbol" w:hAnsi="Symbol" w:hint="default"/>
        <w:sz w:val="20"/>
      </w:rPr>
    </w:lvl>
  </w:abstractNum>
  <w:abstractNum w:abstractNumId="2" w15:restartNumberingAfterBreak="0">
    <w:nsid w:val="06D30BDC"/>
    <w:multiLevelType w:val="hybridMultilevel"/>
    <w:tmpl w:val="734ED3EC"/>
    <w:lvl w:ilvl="0" w:tplc="834431CA">
      <w:numFmt w:val="bullet"/>
      <w:lvlText w:val="-"/>
      <w:lvlJc w:val="left"/>
      <w:pPr>
        <w:ind w:left="1080" w:hanging="360"/>
      </w:pPr>
      <w:rPr>
        <w:rFonts w:ascii="Arial" w:eastAsia="Times New Roman" w:hAnsi="Arial" w:cs="Arial" w:hint="default"/>
        <w:b/>
      </w:rPr>
    </w:lvl>
    <w:lvl w:ilvl="1" w:tplc="0C0A0003" w:tentative="1">
      <w:start w:val="1"/>
      <w:numFmt w:val="bullet"/>
      <w:lvlText w:val="o"/>
      <w:lvlJc w:val="left"/>
      <w:pPr>
        <w:ind w:left="1800" w:hanging="360"/>
      </w:pPr>
      <w:rPr>
        <w:rFonts w:ascii="Courier New" w:hAnsi="Courier New" w:cs="Courier New" w:hint="default"/>
      </w:rPr>
    </w:lvl>
    <w:lvl w:ilvl="2" w:tplc="0C0A0005" w:tentative="1">
      <w:start w:val="1"/>
      <w:numFmt w:val="bullet"/>
      <w:lvlText w:val=""/>
      <w:lvlJc w:val="left"/>
      <w:pPr>
        <w:ind w:left="2520" w:hanging="360"/>
      </w:pPr>
      <w:rPr>
        <w:rFonts w:ascii="Wingdings" w:hAnsi="Wingdings" w:hint="default"/>
      </w:rPr>
    </w:lvl>
    <w:lvl w:ilvl="3" w:tplc="0C0A0001" w:tentative="1">
      <w:start w:val="1"/>
      <w:numFmt w:val="bullet"/>
      <w:lvlText w:val=""/>
      <w:lvlJc w:val="left"/>
      <w:pPr>
        <w:ind w:left="3240" w:hanging="360"/>
      </w:pPr>
      <w:rPr>
        <w:rFonts w:ascii="Symbol" w:hAnsi="Symbol" w:hint="default"/>
      </w:rPr>
    </w:lvl>
    <w:lvl w:ilvl="4" w:tplc="0C0A0003" w:tentative="1">
      <w:start w:val="1"/>
      <w:numFmt w:val="bullet"/>
      <w:lvlText w:val="o"/>
      <w:lvlJc w:val="left"/>
      <w:pPr>
        <w:ind w:left="3960" w:hanging="360"/>
      </w:pPr>
      <w:rPr>
        <w:rFonts w:ascii="Courier New" w:hAnsi="Courier New" w:cs="Courier New" w:hint="default"/>
      </w:rPr>
    </w:lvl>
    <w:lvl w:ilvl="5" w:tplc="0C0A0005" w:tentative="1">
      <w:start w:val="1"/>
      <w:numFmt w:val="bullet"/>
      <w:lvlText w:val=""/>
      <w:lvlJc w:val="left"/>
      <w:pPr>
        <w:ind w:left="4680" w:hanging="360"/>
      </w:pPr>
      <w:rPr>
        <w:rFonts w:ascii="Wingdings" w:hAnsi="Wingdings" w:hint="default"/>
      </w:rPr>
    </w:lvl>
    <w:lvl w:ilvl="6" w:tplc="0C0A0001" w:tentative="1">
      <w:start w:val="1"/>
      <w:numFmt w:val="bullet"/>
      <w:lvlText w:val=""/>
      <w:lvlJc w:val="left"/>
      <w:pPr>
        <w:ind w:left="5400" w:hanging="360"/>
      </w:pPr>
      <w:rPr>
        <w:rFonts w:ascii="Symbol" w:hAnsi="Symbol" w:hint="default"/>
      </w:rPr>
    </w:lvl>
    <w:lvl w:ilvl="7" w:tplc="0C0A0003" w:tentative="1">
      <w:start w:val="1"/>
      <w:numFmt w:val="bullet"/>
      <w:lvlText w:val="o"/>
      <w:lvlJc w:val="left"/>
      <w:pPr>
        <w:ind w:left="6120" w:hanging="360"/>
      </w:pPr>
      <w:rPr>
        <w:rFonts w:ascii="Courier New" w:hAnsi="Courier New" w:cs="Courier New" w:hint="default"/>
      </w:rPr>
    </w:lvl>
    <w:lvl w:ilvl="8" w:tplc="0C0A0005" w:tentative="1">
      <w:start w:val="1"/>
      <w:numFmt w:val="bullet"/>
      <w:lvlText w:val=""/>
      <w:lvlJc w:val="left"/>
      <w:pPr>
        <w:ind w:left="6840" w:hanging="360"/>
      </w:pPr>
      <w:rPr>
        <w:rFonts w:ascii="Wingdings" w:hAnsi="Wingdings" w:hint="default"/>
      </w:rPr>
    </w:lvl>
  </w:abstractNum>
  <w:abstractNum w:abstractNumId="3" w15:restartNumberingAfterBreak="0">
    <w:nsid w:val="25352E86"/>
    <w:multiLevelType w:val="multilevel"/>
    <w:tmpl w:val="E81277DA"/>
    <w:lvl w:ilvl="0">
      <w:start w:val="7"/>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4" w15:restartNumberingAfterBreak="0">
    <w:nsid w:val="31280020"/>
    <w:multiLevelType w:val="hybridMultilevel"/>
    <w:tmpl w:val="DA8CAD24"/>
    <w:lvl w:ilvl="0" w:tplc="240A000F">
      <w:start w:val="1"/>
      <w:numFmt w:val="decimal"/>
      <w:lvlText w:val="%1."/>
      <w:lvlJc w:val="left"/>
      <w:pPr>
        <w:ind w:left="720" w:hanging="360"/>
      </w:pPr>
      <w:rPr>
        <w:rFonts w:hint="default"/>
      </w:rPr>
    </w:lvl>
    <w:lvl w:ilvl="1" w:tplc="240A0019" w:tentative="1">
      <w:start w:val="1"/>
      <w:numFmt w:val="lowerLetter"/>
      <w:lvlText w:val="%2."/>
      <w:lvlJc w:val="left"/>
      <w:pPr>
        <w:ind w:left="1440" w:hanging="360"/>
      </w:pPr>
    </w:lvl>
    <w:lvl w:ilvl="2" w:tplc="240A001B" w:tentative="1">
      <w:start w:val="1"/>
      <w:numFmt w:val="lowerRoman"/>
      <w:lvlText w:val="%3."/>
      <w:lvlJc w:val="right"/>
      <w:pPr>
        <w:ind w:left="2160" w:hanging="180"/>
      </w:pPr>
    </w:lvl>
    <w:lvl w:ilvl="3" w:tplc="240A000F" w:tentative="1">
      <w:start w:val="1"/>
      <w:numFmt w:val="decimal"/>
      <w:lvlText w:val="%4."/>
      <w:lvlJc w:val="left"/>
      <w:pPr>
        <w:ind w:left="2880" w:hanging="360"/>
      </w:pPr>
    </w:lvl>
    <w:lvl w:ilvl="4" w:tplc="240A0019" w:tentative="1">
      <w:start w:val="1"/>
      <w:numFmt w:val="lowerLetter"/>
      <w:lvlText w:val="%5."/>
      <w:lvlJc w:val="left"/>
      <w:pPr>
        <w:ind w:left="3600" w:hanging="360"/>
      </w:pPr>
    </w:lvl>
    <w:lvl w:ilvl="5" w:tplc="240A001B" w:tentative="1">
      <w:start w:val="1"/>
      <w:numFmt w:val="lowerRoman"/>
      <w:lvlText w:val="%6."/>
      <w:lvlJc w:val="right"/>
      <w:pPr>
        <w:ind w:left="4320" w:hanging="180"/>
      </w:pPr>
    </w:lvl>
    <w:lvl w:ilvl="6" w:tplc="240A000F" w:tentative="1">
      <w:start w:val="1"/>
      <w:numFmt w:val="decimal"/>
      <w:lvlText w:val="%7."/>
      <w:lvlJc w:val="left"/>
      <w:pPr>
        <w:ind w:left="5040" w:hanging="360"/>
      </w:pPr>
    </w:lvl>
    <w:lvl w:ilvl="7" w:tplc="240A0019" w:tentative="1">
      <w:start w:val="1"/>
      <w:numFmt w:val="lowerLetter"/>
      <w:lvlText w:val="%8."/>
      <w:lvlJc w:val="left"/>
      <w:pPr>
        <w:ind w:left="5760" w:hanging="360"/>
      </w:pPr>
    </w:lvl>
    <w:lvl w:ilvl="8" w:tplc="240A001B" w:tentative="1">
      <w:start w:val="1"/>
      <w:numFmt w:val="lowerRoman"/>
      <w:lvlText w:val="%9."/>
      <w:lvlJc w:val="right"/>
      <w:pPr>
        <w:ind w:left="6480" w:hanging="180"/>
      </w:pPr>
    </w:lvl>
  </w:abstractNum>
  <w:abstractNum w:abstractNumId="5" w15:restartNumberingAfterBreak="0">
    <w:nsid w:val="320B0C74"/>
    <w:multiLevelType w:val="multilevel"/>
    <w:tmpl w:val="FCE0A7DE"/>
    <w:lvl w:ilvl="0">
      <w:start w:val="2"/>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6" w15:restartNumberingAfterBreak="0">
    <w:nsid w:val="33614460"/>
    <w:multiLevelType w:val="hybridMultilevel"/>
    <w:tmpl w:val="7FC88522"/>
    <w:lvl w:ilvl="0" w:tplc="A22AAB2E">
      <w:start w:val="1"/>
      <w:numFmt w:val="decimal"/>
      <w:lvlText w:val="%1)"/>
      <w:lvlJc w:val="left"/>
      <w:pPr>
        <w:ind w:left="720" w:hanging="360"/>
      </w:pPr>
      <w:rPr>
        <w:rFonts w:hint="default"/>
        <w:b/>
      </w:rPr>
    </w:lvl>
    <w:lvl w:ilvl="1" w:tplc="0C0A0019" w:tentative="1">
      <w:start w:val="1"/>
      <w:numFmt w:val="lowerLetter"/>
      <w:lvlText w:val="%2."/>
      <w:lvlJc w:val="left"/>
      <w:pPr>
        <w:ind w:left="1440" w:hanging="360"/>
      </w:pPr>
    </w:lvl>
    <w:lvl w:ilvl="2" w:tplc="0C0A001B" w:tentative="1">
      <w:start w:val="1"/>
      <w:numFmt w:val="lowerRoman"/>
      <w:lvlText w:val="%3."/>
      <w:lvlJc w:val="right"/>
      <w:pPr>
        <w:ind w:left="2160" w:hanging="180"/>
      </w:pPr>
    </w:lvl>
    <w:lvl w:ilvl="3" w:tplc="0C0A000F" w:tentative="1">
      <w:start w:val="1"/>
      <w:numFmt w:val="decimal"/>
      <w:lvlText w:val="%4."/>
      <w:lvlJc w:val="left"/>
      <w:pPr>
        <w:ind w:left="2880" w:hanging="360"/>
      </w:pPr>
    </w:lvl>
    <w:lvl w:ilvl="4" w:tplc="0C0A0019" w:tentative="1">
      <w:start w:val="1"/>
      <w:numFmt w:val="lowerLetter"/>
      <w:lvlText w:val="%5."/>
      <w:lvlJc w:val="left"/>
      <w:pPr>
        <w:ind w:left="3600" w:hanging="360"/>
      </w:pPr>
    </w:lvl>
    <w:lvl w:ilvl="5" w:tplc="0C0A001B" w:tentative="1">
      <w:start w:val="1"/>
      <w:numFmt w:val="lowerRoman"/>
      <w:lvlText w:val="%6."/>
      <w:lvlJc w:val="right"/>
      <w:pPr>
        <w:ind w:left="4320" w:hanging="180"/>
      </w:pPr>
    </w:lvl>
    <w:lvl w:ilvl="6" w:tplc="0C0A000F" w:tentative="1">
      <w:start w:val="1"/>
      <w:numFmt w:val="decimal"/>
      <w:lvlText w:val="%7."/>
      <w:lvlJc w:val="left"/>
      <w:pPr>
        <w:ind w:left="5040" w:hanging="360"/>
      </w:pPr>
    </w:lvl>
    <w:lvl w:ilvl="7" w:tplc="0C0A0019" w:tentative="1">
      <w:start w:val="1"/>
      <w:numFmt w:val="lowerLetter"/>
      <w:lvlText w:val="%8."/>
      <w:lvlJc w:val="left"/>
      <w:pPr>
        <w:ind w:left="5760" w:hanging="360"/>
      </w:pPr>
    </w:lvl>
    <w:lvl w:ilvl="8" w:tplc="0C0A001B" w:tentative="1">
      <w:start w:val="1"/>
      <w:numFmt w:val="lowerRoman"/>
      <w:lvlText w:val="%9."/>
      <w:lvlJc w:val="right"/>
      <w:pPr>
        <w:ind w:left="6480" w:hanging="180"/>
      </w:pPr>
    </w:lvl>
  </w:abstractNum>
  <w:abstractNum w:abstractNumId="7" w15:restartNumberingAfterBreak="0">
    <w:nsid w:val="370F0516"/>
    <w:multiLevelType w:val="multilevel"/>
    <w:tmpl w:val="BAD28BB2"/>
    <w:lvl w:ilvl="0">
      <w:start w:val="4"/>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8" w15:restartNumberingAfterBreak="0">
    <w:nsid w:val="37D933EA"/>
    <w:multiLevelType w:val="multilevel"/>
    <w:tmpl w:val="8BFCD550"/>
    <w:lvl w:ilvl="0">
      <w:start w:val="6"/>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9" w15:restartNumberingAfterBreak="0">
    <w:nsid w:val="543D6124"/>
    <w:multiLevelType w:val="hybridMultilevel"/>
    <w:tmpl w:val="E7AC739E"/>
    <w:lvl w:ilvl="0" w:tplc="04090001">
      <w:start w:val="1"/>
      <w:numFmt w:val="bullet"/>
      <w:lvlText w:val=""/>
      <w:lvlJc w:val="left"/>
      <w:pPr>
        <w:ind w:left="615" w:hanging="360"/>
      </w:pPr>
      <w:rPr>
        <w:rFonts w:ascii="Symbol" w:hAnsi="Symbol" w:hint="default"/>
      </w:rPr>
    </w:lvl>
    <w:lvl w:ilvl="1" w:tplc="04090003" w:tentative="1">
      <w:start w:val="1"/>
      <w:numFmt w:val="bullet"/>
      <w:lvlText w:val="o"/>
      <w:lvlJc w:val="left"/>
      <w:pPr>
        <w:ind w:left="1335" w:hanging="360"/>
      </w:pPr>
      <w:rPr>
        <w:rFonts w:ascii="Courier New" w:hAnsi="Courier New" w:cs="Courier New" w:hint="default"/>
      </w:rPr>
    </w:lvl>
    <w:lvl w:ilvl="2" w:tplc="04090005" w:tentative="1">
      <w:start w:val="1"/>
      <w:numFmt w:val="bullet"/>
      <w:lvlText w:val=""/>
      <w:lvlJc w:val="left"/>
      <w:pPr>
        <w:ind w:left="2055" w:hanging="360"/>
      </w:pPr>
      <w:rPr>
        <w:rFonts w:ascii="Wingdings" w:hAnsi="Wingdings" w:hint="default"/>
      </w:rPr>
    </w:lvl>
    <w:lvl w:ilvl="3" w:tplc="04090001" w:tentative="1">
      <w:start w:val="1"/>
      <w:numFmt w:val="bullet"/>
      <w:lvlText w:val=""/>
      <w:lvlJc w:val="left"/>
      <w:pPr>
        <w:ind w:left="2775" w:hanging="360"/>
      </w:pPr>
      <w:rPr>
        <w:rFonts w:ascii="Symbol" w:hAnsi="Symbol" w:hint="default"/>
      </w:rPr>
    </w:lvl>
    <w:lvl w:ilvl="4" w:tplc="04090003" w:tentative="1">
      <w:start w:val="1"/>
      <w:numFmt w:val="bullet"/>
      <w:lvlText w:val="o"/>
      <w:lvlJc w:val="left"/>
      <w:pPr>
        <w:ind w:left="3495" w:hanging="360"/>
      </w:pPr>
      <w:rPr>
        <w:rFonts w:ascii="Courier New" w:hAnsi="Courier New" w:cs="Courier New" w:hint="default"/>
      </w:rPr>
    </w:lvl>
    <w:lvl w:ilvl="5" w:tplc="04090005" w:tentative="1">
      <w:start w:val="1"/>
      <w:numFmt w:val="bullet"/>
      <w:lvlText w:val=""/>
      <w:lvlJc w:val="left"/>
      <w:pPr>
        <w:ind w:left="4215" w:hanging="360"/>
      </w:pPr>
      <w:rPr>
        <w:rFonts w:ascii="Wingdings" w:hAnsi="Wingdings" w:hint="default"/>
      </w:rPr>
    </w:lvl>
    <w:lvl w:ilvl="6" w:tplc="04090001" w:tentative="1">
      <w:start w:val="1"/>
      <w:numFmt w:val="bullet"/>
      <w:lvlText w:val=""/>
      <w:lvlJc w:val="left"/>
      <w:pPr>
        <w:ind w:left="4935" w:hanging="360"/>
      </w:pPr>
      <w:rPr>
        <w:rFonts w:ascii="Symbol" w:hAnsi="Symbol" w:hint="default"/>
      </w:rPr>
    </w:lvl>
    <w:lvl w:ilvl="7" w:tplc="04090003" w:tentative="1">
      <w:start w:val="1"/>
      <w:numFmt w:val="bullet"/>
      <w:lvlText w:val="o"/>
      <w:lvlJc w:val="left"/>
      <w:pPr>
        <w:ind w:left="5655" w:hanging="360"/>
      </w:pPr>
      <w:rPr>
        <w:rFonts w:ascii="Courier New" w:hAnsi="Courier New" w:cs="Courier New" w:hint="default"/>
      </w:rPr>
    </w:lvl>
    <w:lvl w:ilvl="8" w:tplc="04090005" w:tentative="1">
      <w:start w:val="1"/>
      <w:numFmt w:val="bullet"/>
      <w:lvlText w:val=""/>
      <w:lvlJc w:val="left"/>
      <w:pPr>
        <w:ind w:left="6375" w:hanging="360"/>
      </w:pPr>
      <w:rPr>
        <w:rFonts w:ascii="Wingdings" w:hAnsi="Wingdings" w:hint="default"/>
      </w:rPr>
    </w:lvl>
  </w:abstractNum>
  <w:abstractNum w:abstractNumId="10" w15:restartNumberingAfterBreak="0">
    <w:nsid w:val="636C03B0"/>
    <w:multiLevelType w:val="hybridMultilevel"/>
    <w:tmpl w:val="53AC8484"/>
    <w:lvl w:ilvl="0" w:tplc="1F14B5D2">
      <w:start w:val="1"/>
      <w:numFmt w:val="bullet"/>
      <w:lvlText w:val="·"/>
      <w:lvlJc w:val="left"/>
      <w:pPr>
        <w:ind w:left="785" w:hanging="360"/>
      </w:pPr>
      <w:rPr>
        <w:rFonts w:ascii="Symbol" w:hAnsi="Symbol" w:hint="default"/>
        <w:color w:val="auto"/>
      </w:rPr>
    </w:lvl>
    <w:lvl w:ilvl="1" w:tplc="240A0003" w:tentative="1">
      <w:start w:val="1"/>
      <w:numFmt w:val="bullet"/>
      <w:lvlText w:val="o"/>
      <w:lvlJc w:val="left"/>
      <w:pPr>
        <w:ind w:left="1505" w:hanging="360"/>
      </w:pPr>
      <w:rPr>
        <w:rFonts w:ascii="Courier New" w:hAnsi="Courier New" w:cs="Courier New" w:hint="default"/>
      </w:rPr>
    </w:lvl>
    <w:lvl w:ilvl="2" w:tplc="240A0005" w:tentative="1">
      <w:start w:val="1"/>
      <w:numFmt w:val="bullet"/>
      <w:lvlText w:val=""/>
      <w:lvlJc w:val="left"/>
      <w:pPr>
        <w:ind w:left="2225" w:hanging="360"/>
      </w:pPr>
      <w:rPr>
        <w:rFonts w:ascii="Wingdings" w:hAnsi="Wingdings" w:hint="default"/>
      </w:rPr>
    </w:lvl>
    <w:lvl w:ilvl="3" w:tplc="240A0001" w:tentative="1">
      <w:start w:val="1"/>
      <w:numFmt w:val="bullet"/>
      <w:lvlText w:val=""/>
      <w:lvlJc w:val="left"/>
      <w:pPr>
        <w:ind w:left="2945" w:hanging="360"/>
      </w:pPr>
      <w:rPr>
        <w:rFonts w:ascii="Symbol" w:hAnsi="Symbol" w:hint="default"/>
      </w:rPr>
    </w:lvl>
    <w:lvl w:ilvl="4" w:tplc="240A0003" w:tentative="1">
      <w:start w:val="1"/>
      <w:numFmt w:val="bullet"/>
      <w:lvlText w:val="o"/>
      <w:lvlJc w:val="left"/>
      <w:pPr>
        <w:ind w:left="3665" w:hanging="360"/>
      </w:pPr>
      <w:rPr>
        <w:rFonts w:ascii="Courier New" w:hAnsi="Courier New" w:cs="Courier New" w:hint="default"/>
      </w:rPr>
    </w:lvl>
    <w:lvl w:ilvl="5" w:tplc="240A0005" w:tentative="1">
      <w:start w:val="1"/>
      <w:numFmt w:val="bullet"/>
      <w:lvlText w:val=""/>
      <w:lvlJc w:val="left"/>
      <w:pPr>
        <w:ind w:left="4385" w:hanging="360"/>
      </w:pPr>
      <w:rPr>
        <w:rFonts w:ascii="Wingdings" w:hAnsi="Wingdings" w:hint="default"/>
      </w:rPr>
    </w:lvl>
    <w:lvl w:ilvl="6" w:tplc="240A0001" w:tentative="1">
      <w:start w:val="1"/>
      <w:numFmt w:val="bullet"/>
      <w:lvlText w:val=""/>
      <w:lvlJc w:val="left"/>
      <w:pPr>
        <w:ind w:left="5105" w:hanging="360"/>
      </w:pPr>
      <w:rPr>
        <w:rFonts w:ascii="Symbol" w:hAnsi="Symbol" w:hint="default"/>
      </w:rPr>
    </w:lvl>
    <w:lvl w:ilvl="7" w:tplc="240A0003" w:tentative="1">
      <w:start w:val="1"/>
      <w:numFmt w:val="bullet"/>
      <w:lvlText w:val="o"/>
      <w:lvlJc w:val="left"/>
      <w:pPr>
        <w:ind w:left="5825" w:hanging="360"/>
      </w:pPr>
      <w:rPr>
        <w:rFonts w:ascii="Courier New" w:hAnsi="Courier New" w:cs="Courier New" w:hint="default"/>
      </w:rPr>
    </w:lvl>
    <w:lvl w:ilvl="8" w:tplc="240A0005" w:tentative="1">
      <w:start w:val="1"/>
      <w:numFmt w:val="bullet"/>
      <w:lvlText w:val=""/>
      <w:lvlJc w:val="left"/>
      <w:pPr>
        <w:ind w:left="6545" w:hanging="360"/>
      </w:pPr>
      <w:rPr>
        <w:rFonts w:ascii="Wingdings" w:hAnsi="Wingdings" w:hint="default"/>
      </w:rPr>
    </w:lvl>
  </w:abstractNum>
  <w:abstractNum w:abstractNumId="11" w15:restartNumberingAfterBreak="0">
    <w:nsid w:val="6BF97060"/>
    <w:multiLevelType w:val="multilevel"/>
    <w:tmpl w:val="B3E004E0"/>
    <w:lvl w:ilvl="0">
      <w:start w:val="5"/>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2" w15:restartNumberingAfterBreak="0">
    <w:nsid w:val="6C3C082A"/>
    <w:multiLevelType w:val="multilevel"/>
    <w:tmpl w:val="A80420EA"/>
    <w:lvl w:ilvl="0">
      <w:start w:val="3"/>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3" w15:restartNumberingAfterBreak="0">
    <w:nsid w:val="6F4922CE"/>
    <w:multiLevelType w:val="multilevel"/>
    <w:tmpl w:val="E5E6373C"/>
    <w:lvl w:ilvl="0">
      <w:start w:val="1"/>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abstractNum w:abstractNumId="14" w15:restartNumberingAfterBreak="0">
    <w:nsid w:val="6FB367B7"/>
    <w:multiLevelType w:val="multilevel"/>
    <w:tmpl w:val="4E0EF642"/>
    <w:lvl w:ilvl="0">
      <w:start w:val="8"/>
      <w:numFmt w:val="decimal"/>
      <w:lvlText w:val="%1."/>
      <w:lvlJc w:val="left"/>
      <w:pPr>
        <w:tabs>
          <w:tab w:val="num" w:pos="720"/>
        </w:tabs>
        <w:ind w:left="720" w:hanging="360"/>
      </w:pPr>
    </w:lvl>
    <w:lvl w:ilvl="1" w:tentative="1">
      <w:start w:val="1"/>
      <w:numFmt w:val="decimal"/>
      <w:lvlText w:val="%2."/>
      <w:lvlJc w:val="left"/>
      <w:pPr>
        <w:tabs>
          <w:tab w:val="num" w:pos="1440"/>
        </w:tabs>
        <w:ind w:left="1440" w:hanging="360"/>
      </w:pPr>
    </w:lvl>
    <w:lvl w:ilvl="2" w:tentative="1">
      <w:start w:val="1"/>
      <w:numFmt w:val="decimal"/>
      <w:lvlText w:val="%3."/>
      <w:lvlJc w:val="left"/>
      <w:pPr>
        <w:tabs>
          <w:tab w:val="num" w:pos="2160"/>
        </w:tabs>
        <w:ind w:left="2160" w:hanging="360"/>
      </w:pPr>
    </w:lvl>
    <w:lvl w:ilvl="3" w:tentative="1">
      <w:start w:val="1"/>
      <w:numFmt w:val="decimal"/>
      <w:lvlText w:val="%4."/>
      <w:lvlJc w:val="left"/>
      <w:pPr>
        <w:tabs>
          <w:tab w:val="num" w:pos="2880"/>
        </w:tabs>
        <w:ind w:left="2880" w:hanging="360"/>
      </w:pPr>
    </w:lvl>
    <w:lvl w:ilvl="4" w:tentative="1">
      <w:start w:val="1"/>
      <w:numFmt w:val="decimal"/>
      <w:lvlText w:val="%5."/>
      <w:lvlJc w:val="left"/>
      <w:pPr>
        <w:tabs>
          <w:tab w:val="num" w:pos="3600"/>
        </w:tabs>
        <w:ind w:left="3600" w:hanging="360"/>
      </w:pPr>
    </w:lvl>
    <w:lvl w:ilvl="5" w:tentative="1">
      <w:start w:val="1"/>
      <w:numFmt w:val="decimal"/>
      <w:lvlText w:val="%6."/>
      <w:lvlJc w:val="left"/>
      <w:pPr>
        <w:tabs>
          <w:tab w:val="num" w:pos="4320"/>
        </w:tabs>
        <w:ind w:left="4320" w:hanging="360"/>
      </w:pPr>
    </w:lvl>
    <w:lvl w:ilvl="6" w:tentative="1">
      <w:start w:val="1"/>
      <w:numFmt w:val="decimal"/>
      <w:lvlText w:val="%7."/>
      <w:lvlJc w:val="left"/>
      <w:pPr>
        <w:tabs>
          <w:tab w:val="num" w:pos="5040"/>
        </w:tabs>
        <w:ind w:left="5040" w:hanging="360"/>
      </w:pPr>
    </w:lvl>
    <w:lvl w:ilvl="7" w:tentative="1">
      <w:start w:val="1"/>
      <w:numFmt w:val="decimal"/>
      <w:lvlText w:val="%8."/>
      <w:lvlJc w:val="left"/>
      <w:pPr>
        <w:tabs>
          <w:tab w:val="num" w:pos="5760"/>
        </w:tabs>
        <w:ind w:left="5760" w:hanging="360"/>
      </w:pPr>
    </w:lvl>
    <w:lvl w:ilvl="8" w:tentative="1">
      <w:start w:val="1"/>
      <w:numFmt w:val="decimal"/>
      <w:lvlText w:val="%9."/>
      <w:lvlJc w:val="left"/>
      <w:pPr>
        <w:tabs>
          <w:tab w:val="num" w:pos="6480"/>
        </w:tabs>
        <w:ind w:left="6480" w:hanging="360"/>
      </w:pPr>
    </w:lvl>
  </w:abstractNum>
  <w:num w:numId="1" w16cid:durableId="948779781">
    <w:abstractNumId w:val="6"/>
  </w:num>
  <w:num w:numId="2" w16cid:durableId="19822139">
    <w:abstractNumId w:val="2"/>
  </w:num>
  <w:num w:numId="3" w16cid:durableId="876742304">
    <w:abstractNumId w:val="4"/>
  </w:num>
  <w:num w:numId="4" w16cid:durableId="245186406">
    <w:abstractNumId w:val="6"/>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2049721115">
    <w:abstractNumId w:val="2"/>
  </w:num>
  <w:num w:numId="6" w16cid:durableId="316692925">
    <w:abstractNumId w:val="13"/>
  </w:num>
  <w:num w:numId="7" w16cid:durableId="1946422806">
    <w:abstractNumId w:val="5"/>
  </w:num>
  <w:num w:numId="8" w16cid:durableId="152644682">
    <w:abstractNumId w:val="12"/>
  </w:num>
  <w:num w:numId="9" w16cid:durableId="1317221377">
    <w:abstractNumId w:val="7"/>
  </w:num>
  <w:num w:numId="10" w16cid:durableId="1471245386">
    <w:abstractNumId w:val="11"/>
  </w:num>
  <w:num w:numId="11" w16cid:durableId="289172385">
    <w:abstractNumId w:val="8"/>
  </w:num>
  <w:num w:numId="12" w16cid:durableId="1470781324">
    <w:abstractNumId w:val="1"/>
  </w:num>
  <w:num w:numId="13" w16cid:durableId="1512908409">
    <w:abstractNumId w:val="3"/>
  </w:num>
  <w:num w:numId="14" w16cid:durableId="895897244">
    <w:abstractNumId w:val="14"/>
  </w:num>
  <w:num w:numId="15" w16cid:durableId="390349800">
    <w:abstractNumId w:val="10"/>
  </w:num>
  <w:num w:numId="16" w16cid:durableId="418988187">
    <w:abstractNumId w:val="0"/>
  </w:num>
  <w:num w:numId="17" w16cid:durableId="1290165164">
    <w:abstractNumId w:val="9"/>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08"/>
  <w:hyphenationZone w:val="425"/>
  <w:characterSpacingControl w:val="doNotCompress"/>
  <w:hdrShapeDefaults>
    <o:shapedefaults v:ext="edit" spidmax="2050"/>
  </w:hdrShapeDefaults>
  <w:footnotePr>
    <w:footnote w:id="-1"/>
    <w:footnote w:id="0"/>
    <w:footnote w:id="1"/>
  </w:footnotePr>
  <w:endnotePr>
    <w:endnote w:id="-1"/>
    <w:endnote w:id="0"/>
    <w:endnote w:id="1"/>
  </w:endnotePr>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4A1847"/>
    <w:rsid w:val="00016F78"/>
    <w:rsid w:val="000251F8"/>
    <w:rsid w:val="00046945"/>
    <w:rsid w:val="00061B2A"/>
    <w:rsid w:val="00082362"/>
    <w:rsid w:val="000A683E"/>
    <w:rsid w:val="000B19B9"/>
    <w:rsid w:val="000D0334"/>
    <w:rsid w:val="000D5DA7"/>
    <w:rsid w:val="000D72D0"/>
    <w:rsid w:val="000F6486"/>
    <w:rsid w:val="00116940"/>
    <w:rsid w:val="00125105"/>
    <w:rsid w:val="00127233"/>
    <w:rsid w:val="0015699B"/>
    <w:rsid w:val="001A33BF"/>
    <w:rsid w:val="001E4177"/>
    <w:rsid w:val="001F0B24"/>
    <w:rsid w:val="001F7DC6"/>
    <w:rsid w:val="0022400B"/>
    <w:rsid w:val="002421BB"/>
    <w:rsid w:val="00243E86"/>
    <w:rsid w:val="00250090"/>
    <w:rsid w:val="0025796E"/>
    <w:rsid w:val="002707A2"/>
    <w:rsid w:val="002951A0"/>
    <w:rsid w:val="002962BC"/>
    <w:rsid w:val="002A093D"/>
    <w:rsid w:val="002A0DD0"/>
    <w:rsid w:val="002A49AC"/>
    <w:rsid w:val="002A64FD"/>
    <w:rsid w:val="002C7A84"/>
    <w:rsid w:val="002E2BF8"/>
    <w:rsid w:val="002E3E3F"/>
    <w:rsid w:val="002E4FD9"/>
    <w:rsid w:val="0030657A"/>
    <w:rsid w:val="00322A85"/>
    <w:rsid w:val="00324168"/>
    <w:rsid w:val="00330834"/>
    <w:rsid w:val="003448F4"/>
    <w:rsid w:val="00374F5E"/>
    <w:rsid w:val="00377E3E"/>
    <w:rsid w:val="003A779E"/>
    <w:rsid w:val="003D0F4D"/>
    <w:rsid w:val="003D5B0D"/>
    <w:rsid w:val="003E0499"/>
    <w:rsid w:val="003E4F80"/>
    <w:rsid w:val="003E6439"/>
    <w:rsid w:val="003F3941"/>
    <w:rsid w:val="00406575"/>
    <w:rsid w:val="00414C74"/>
    <w:rsid w:val="0042722E"/>
    <w:rsid w:val="0044528D"/>
    <w:rsid w:val="00466E39"/>
    <w:rsid w:val="004A1847"/>
    <w:rsid w:val="004A305D"/>
    <w:rsid w:val="004F21C4"/>
    <w:rsid w:val="004F685F"/>
    <w:rsid w:val="005566E8"/>
    <w:rsid w:val="00574867"/>
    <w:rsid w:val="00591460"/>
    <w:rsid w:val="005A65E0"/>
    <w:rsid w:val="005C3777"/>
    <w:rsid w:val="005C5CDC"/>
    <w:rsid w:val="005D476C"/>
    <w:rsid w:val="006200BF"/>
    <w:rsid w:val="006219F8"/>
    <w:rsid w:val="006302F7"/>
    <w:rsid w:val="00646B9F"/>
    <w:rsid w:val="00665D70"/>
    <w:rsid w:val="006834B7"/>
    <w:rsid w:val="006900D9"/>
    <w:rsid w:val="00706C16"/>
    <w:rsid w:val="007340C3"/>
    <w:rsid w:val="0075235A"/>
    <w:rsid w:val="00756841"/>
    <w:rsid w:val="007649AB"/>
    <w:rsid w:val="00771D0C"/>
    <w:rsid w:val="007833AC"/>
    <w:rsid w:val="007922C3"/>
    <w:rsid w:val="007B268C"/>
    <w:rsid w:val="007B7171"/>
    <w:rsid w:val="007C0C0F"/>
    <w:rsid w:val="007C3DC2"/>
    <w:rsid w:val="007E5497"/>
    <w:rsid w:val="008067F6"/>
    <w:rsid w:val="00806F5F"/>
    <w:rsid w:val="00820278"/>
    <w:rsid w:val="008258C9"/>
    <w:rsid w:val="00844AE9"/>
    <w:rsid w:val="00867F95"/>
    <w:rsid w:val="008843B6"/>
    <w:rsid w:val="00891928"/>
    <w:rsid w:val="008A446D"/>
    <w:rsid w:val="008B25F1"/>
    <w:rsid w:val="008D180B"/>
    <w:rsid w:val="008F0EA7"/>
    <w:rsid w:val="00923EEF"/>
    <w:rsid w:val="009419F9"/>
    <w:rsid w:val="0095685E"/>
    <w:rsid w:val="00961B09"/>
    <w:rsid w:val="00965334"/>
    <w:rsid w:val="0097093E"/>
    <w:rsid w:val="009A0DFA"/>
    <w:rsid w:val="009A1C6F"/>
    <w:rsid w:val="009B2D26"/>
    <w:rsid w:val="009C71FA"/>
    <w:rsid w:val="009C72E7"/>
    <w:rsid w:val="009C7F7E"/>
    <w:rsid w:val="009D3058"/>
    <w:rsid w:val="009F3A13"/>
    <w:rsid w:val="00A122D3"/>
    <w:rsid w:val="00A14468"/>
    <w:rsid w:val="00A17F13"/>
    <w:rsid w:val="00A20739"/>
    <w:rsid w:val="00A23AF9"/>
    <w:rsid w:val="00A33C78"/>
    <w:rsid w:val="00AA6B6F"/>
    <w:rsid w:val="00AB0ADB"/>
    <w:rsid w:val="00AC70D7"/>
    <w:rsid w:val="00B00C0E"/>
    <w:rsid w:val="00B01B1A"/>
    <w:rsid w:val="00B0381D"/>
    <w:rsid w:val="00B44A47"/>
    <w:rsid w:val="00B72CD3"/>
    <w:rsid w:val="00B72FFF"/>
    <w:rsid w:val="00BC3D36"/>
    <w:rsid w:val="00BD54A6"/>
    <w:rsid w:val="00BD7F72"/>
    <w:rsid w:val="00BF7425"/>
    <w:rsid w:val="00C04FB3"/>
    <w:rsid w:val="00C11D8B"/>
    <w:rsid w:val="00C15139"/>
    <w:rsid w:val="00C330EB"/>
    <w:rsid w:val="00C50D69"/>
    <w:rsid w:val="00C5365C"/>
    <w:rsid w:val="00C754BE"/>
    <w:rsid w:val="00C76B1C"/>
    <w:rsid w:val="00C925AC"/>
    <w:rsid w:val="00CB6357"/>
    <w:rsid w:val="00CC1B26"/>
    <w:rsid w:val="00CC53A2"/>
    <w:rsid w:val="00CD59F0"/>
    <w:rsid w:val="00CF1EED"/>
    <w:rsid w:val="00D361FD"/>
    <w:rsid w:val="00D423A2"/>
    <w:rsid w:val="00D44E26"/>
    <w:rsid w:val="00D520D8"/>
    <w:rsid w:val="00D63AC2"/>
    <w:rsid w:val="00D7383B"/>
    <w:rsid w:val="00D7788A"/>
    <w:rsid w:val="00D926A9"/>
    <w:rsid w:val="00DA231B"/>
    <w:rsid w:val="00DC39FC"/>
    <w:rsid w:val="00DF5254"/>
    <w:rsid w:val="00E02524"/>
    <w:rsid w:val="00E16408"/>
    <w:rsid w:val="00E20894"/>
    <w:rsid w:val="00E245AB"/>
    <w:rsid w:val="00E2764C"/>
    <w:rsid w:val="00E27F2E"/>
    <w:rsid w:val="00E32DDD"/>
    <w:rsid w:val="00E50AFE"/>
    <w:rsid w:val="00E75C92"/>
    <w:rsid w:val="00E771DC"/>
    <w:rsid w:val="00E8772A"/>
    <w:rsid w:val="00E90F6B"/>
    <w:rsid w:val="00E92C27"/>
    <w:rsid w:val="00EA0E3D"/>
    <w:rsid w:val="00EC38A7"/>
    <w:rsid w:val="00EE1AA8"/>
    <w:rsid w:val="00F23FEA"/>
    <w:rsid w:val="00F31EDC"/>
    <w:rsid w:val="00F462B3"/>
    <w:rsid w:val="00F5664F"/>
    <w:rsid w:val="00F666C4"/>
    <w:rsid w:val="00F76AFC"/>
    <w:rsid w:val="00FA47C0"/>
    <w:rsid w:val="00FB5DD1"/>
    <w:rsid w:val="00FC2B5D"/>
    <w:rsid w:val="00FF1449"/>
    <w:rsid w:val="00FF7963"/>
    <w:rsid w:val="071B8F93"/>
    <w:rsid w:val="07C73DD1"/>
    <w:rsid w:val="09908A09"/>
    <w:rsid w:val="0EFE6349"/>
    <w:rsid w:val="0FF4CCA8"/>
    <w:rsid w:val="13CFC91B"/>
    <w:rsid w:val="19A2EC2C"/>
    <w:rsid w:val="21779BE6"/>
    <w:rsid w:val="2859CA1B"/>
    <w:rsid w:val="2C4D2425"/>
    <w:rsid w:val="2EE1E026"/>
    <w:rsid w:val="2F44F38F"/>
    <w:rsid w:val="30821638"/>
    <w:rsid w:val="32A4F9CF"/>
    <w:rsid w:val="33A1FF93"/>
    <w:rsid w:val="356CEDFD"/>
    <w:rsid w:val="3C591AFD"/>
    <w:rsid w:val="42183F0A"/>
    <w:rsid w:val="545B112A"/>
    <w:rsid w:val="5BEB1497"/>
    <w:rsid w:val="69614A15"/>
    <w:rsid w:val="74BA017B"/>
    <w:rsid w:val="7677286E"/>
    <w:rsid w:val="79A64A20"/>
    <w:rsid w:val="7BB183BC"/>
  </w:rsids>
  <m:mathPr>
    <m:mathFont m:val="Cambria Math"/>
    <m:brkBin m:val="before"/>
    <m:brkBinSub m:val="--"/>
    <m:smallFrac m:val="0"/>
    <m:dispDef/>
    <m:lMargin m:val="0"/>
    <m:rMargin m:val="0"/>
    <m:defJc m:val="centerGroup"/>
    <m:wrapIndent m:val="1440"/>
    <m:intLim m:val="subSup"/>
    <m:naryLim m:val="undOvr"/>
  </m:mathPr>
  <w:themeFontLang w:val="es-CO"/>
  <w:clrSchemeMapping w:bg1="light1" w:t1="dark1" w:bg2="light2" w:t2="dark2" w:accent1="accent1" w:accent2="accent2" w:accent3="accent3" w:accent4="accent4" w:accent5="accent5" w:accent6="accent6" w:hyperlink="hyperlink" w:followedHyperlink="followedHyperlink"/>
  <w:shapeDefaults>
    <o:shapedefaults v:ext="edit" spidmax="2050"/>
    <o:shapelayout v:ext="edit">
      <o:idmap v:ext="edit" data="2"/>
    </o:shapelayout>
  </w:shapeDefaults>
  <w:decimalSymbol w:val=","/>
  <w:listSeparator w:val=";"/>
  <w14:docId w14:val="279607BD"/>
  <w15:chartTrackingRefBased/>
  <w15:docId w15:val="{AA18BD11-F4B5-4A67-BA3F-63EFCCB41AF8}"/>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s-CO" w:eastAsia="en-US" w:bidi="ar-SA"/>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qFormat="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iPriority="0" w:unhideWhenUsed="1" w:qFormat="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qFormat="1"/>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E245AB"/>
  </w:style>
  <w:style w:type="character" w:default="1" w:styleId="Fuentedeprrafopredeter">
    <w:name w:val="Default Paragraph Font"/>
    <w:uiPriority w:val="1"/>
    <w:semiHidden/>
    <w:unhideWhenUsed/>
  </w:style>
  <w:style w:type="table" w:default="1" w:styleId="Tablanormal">
    <w:name w:val="Normal Table"/>
    <w:uiPriority w:val="99"/>
    <w:semiHidden/>
    <w:unhideWhenUsed/>
    <w:tblPr>
      <w:tblInd w:w="0" w:type="dxa"/>
      <w:tblCellMar>
        <w:top w:w="0" w:type="dxa"/>
        <w:left w:w="108" w:type="dxa"/>
        <w:bottom w:w="0" w:type="dxa"/>
        <w:right w:w="108" w:type="dxa"/>
      </w:tblCellMar>
    </w:tblPr>
  </w:style>
  <w:style w:type="numbering" w:default="1" w:styleId="Sinlista">
    <w:name w:val="No List"/>
    <w:uiPriority w:val="99"/>
    <w:semiHidden/>
    <w:unhideWhenUsed/>
  </w:style>
  <w:style w:type="paragraph" w:styleId="Encabezado">
    <w:name w:val="header"/>
    <w:basedOn w:val="Normal"/>
    <w:link w:val="EncabezadoCar"/>
    <w:uiPriority w:val="99"/>
    <w:unhideWhenUsed/>
    <w:rsid w:val="004A1847"/>
    <w:pPr>
      <w:tabs>
        <w:tab w:val="center" w:pos="4419"/>
        <w:tab w:val="right" w:pos="8838"/>
      </w:tabs>
      <w:spacing w:after="0" w:line="240" w:lineRule="auto"/>
    </w:pPr>
  </w:style>
  <w:style w:type="character" w:customStyle="1" w:styleId="EncabezadoCar">
    <w:name w:val="Encabezado Car"/>
    <w:basedOn w:val="Fuentedeprrafopredeter"/>
    <w:link w:val="Encabezado"/>
    <w:uiPriority w:val="99"/>
    <w:rsid w:val="004A1847"/>
  </w:style>
  <w:style w:type="paragraph" w:styleId="Piedepgina">
    <w:name w:val="footer"/>
    <w:basedOn w:val="Normal"/>
    <w:link w:val="PiedepginaCar"/>
    <w:uiPriority w:val="99"/>
    <w:unhideWhenUsed/>
    <w:rsid w:val="004A1847"/>
    <w:pPr>
      <w:tabs>
        <w:tab w:val="center" w:pos="4419"/>
        <w:tab w:val="right" w:pos="8838"/>
      </w:tabs>
      <w:spacing w:after="0" w:line="240" w:lineRule="auto"/>
    </w:pPr>
  </w:style>
  <w:style w:type="character" w:customStyle="1" w:styleId="PiedepginaCar">
    <w:name w:val="Pie de página Car"/>
    <w:basedOn w:val="Fuentedeprrafopredeter"/>
    <w:link w:val="Piedepgina"/>
    <w:uiPriority w:val="99"/>
    <w:rsid w:val="004A1847"/>
  </w:style>
  <w:style w:type="paragraph" w:customStyle="1" w:styleId="Default">
    <w:name w:val="Default"/>
    <w:rsid w:val="006219F8"/>
    <w:pPr>
      <w:autoSpaceDE w:val="0"/>
      <w:autoSpaceDN w:val="0"/>
      <w:adjustRightInd w:val="0"/>
      <w:spacing w:after="0" w:line="240" w:lineRule="auto"/>
    </w:pPr>
    <w:rPr>
      <w:rFonts w:ascii="Arial" w:hAnsi="Arial" w:cs="Arial"/>
      <w:color w:val="000000"/>
      <w:sz w:val="24"/>
      <w:szCs w:val="24"/>
    </w:rPr>
  </w:style>
  <w:style w:type="character" w:customStyle="1" w:styleId="TextonotapieCar">
    <w:name w:val="Texto nota pie Car"/>
    <w:aliases w:val="Ref. de nota al pie1 Car,Texto de nota al pie Car,referencia nota al pie Car,Appel note de bas de page Car,Footnotes refss Car,Footnote number Car,BVI fnr Car,Footnote Text Char Char Char Char Char Car,Footnote reference Car,FA Fu Car"/>
    <w:basedOn w:val="Fuentedeprrafopredeter"/>
    <w:link w:val="Textonotapie"/>
    <w:uiPriority w:val="99"/>
    <w:qFormat/>
    <w:locked/>
    <w:rsid w:val="006219F8"/>
    <w:rPr>
      <w:sz w:val="20"/>
      <w:szCs w:val="20"/>
      <w:lang w:val="es-MX"/>
    </w:rPr>
  </w:style>
  <w:style w:type="paragraph" w:styleId="Textonotapie">
    <w:name w:val="footnote text"/>
    <w:aliases w:val="Ref. de nota al pie1,Texto de nota al pie,referencia nota al pie,Appel note de bas de page,Footnotes refss,Footnote number,BVI fnr,Footnote Text Char Char Char Char Char,Footnote Text Char Char Char Char,Footnote reference,FA Fu,ft,fn,Car"/>
    <w:basedOn w:val="Normal"/>
    <w:link w:val="TextonotapieCar"/>
    <w:uiPriority w:val="99"/>
    <w:unhideWhenUsed/>
    <w:qFormat/>
    <w:rsid w:val="006219F8"/>
    <w:pPr>
      <w:spacing w:after="0" w:line="240" w:lineRule="auto"/>
    </w:pPr>
    <w:rPr>
      <w:sz w:val="20"/>
      <w:szCs w:val="20"/>
      <w:lang w:val="es-MX"/>
    </w:rPr>
  </w:style>
  <w:style w:type="character" w:customStyle="1" w:styleId="TextonotapieCar1">
    <w:name w:val="Texto nota pie Car1"/>
    <w:basedOn w:val="Fuentedeprrafopredeter"/>
    <w:uiPriority w:val="99"/>
    <w:semiHidden/>
    <w:rsid w:val="006219F8"/>
    <w:rPr>
      <w:sz w:val="20"/>
      <w:szCs w:val="20"/>
    </w:rPr>
  </w:style>
  <w:style w:type="character" w:styleId="Refdenotaalpie">
    <w:name w:val="footnote reference"/>
    <w:aliases w:val="Ref. de nota al pie 2,Ref,de nota al pie,FC,Appel note de bas de p,f,4_G,16 Point,Superscript 6 Point,Texto nota al pie,Pie de Página,Texto de nota al pi,Nota de pie,Texto de nota al p,Footnote Reference Char3,Texto nota pie Car2,F,R"/>
    <w:basedOn w:val="Fuentedeprrafopredeter"/>
    <w:link w:val="Appelnotedebasde"/>
    <w:unhideWhenUsed/>
    <w:qFormat/>
    <w:rsid w:val="006219F8"/>
    <w:rPr>
      <w:vertAlign w:val="superscript"/>
    </w:rPr>
  </w:style>
  <w:style w:type="character" w:customStyle="1" w:styleId="normaltextrun">
    <w:name w:val="normaltextrun"/>
    <w:basedOn w:val="Fuentedeprrafopredeter"/>
    <w:rsid w:val="006219F8"/>
  </w:style>
  <w:style w:type="table" w:styleId="Tablaconcuadrcula">
    <w:name w:val="Table Grid"/>
    <w:basedOn w:val="Tablanormal"/>
    <w:uiPriority w:val="39"/>
    <w:qFormat/>
    <w:rsid w:val="006219F8"/>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Prrafodelista">
    <w:name w:val="List Paragraph"/>
    <w:aliases w:val="Fotografía,Párrafo de lista1,Bullet List,FooterText,numbered,Paragraphe de liste1,lp1,Scitum normal,HOJA,Bolita,Párrafo de lista4,BOLADEF,Párrafo de lista3,Párrafo de lista21,BOLA,Nivel 1 OS,Colorful List Accent 1,List Paragraph,Foot"/>
    <w:basedOn w:val="Normal"/>
    <w:link w:val="PrrafodelistaCar"/>
    <w:uiPriority w:val="34"/>
    <w:qFormat/>
    <w:rsid w:val="005566E8"/>
    <w:pPr>
      <w:ind w:left="720"/>
      <w:contextualSpacing/>
    </w:pPr>
    <w:rPr>
      <w:rFonts w:ascii="Geomanist Light" w:hAnsi="Geomanist Light"/>
      <w:lang w:val="es-ES"/>
    </w:rPr>
  </w:style>
  <w:style w:type="paragraph" w:styleId="Ttulo">
    <w:name w:val="Title"/>
    <w:basedOn w:val="Normal"/>
    <w:next w:val="Normal"/>
    <w:link w:val="TtuloCar"/>
    <w:uiPriority w:val="10"/>
    <w:qFormat/>
    <w:rsid w:val="005566E8"/>
    <w:pPr>
      <w:spacing w:after="0" w:line="240" w:lineRule="auto"/>
      <w:contextualSpacing/>
    </w:pPr>
    <w:rPr>
      <w:rFonts w:ascii="Geomanist" w:eastAsiaTheme="majorEastAsia" w:hAnsi="Geomanist" w:cstheme="majorBidi"/>
      <w:spacing w:val="-10"/>
      <w:kern w:val="28"/>
      <w:szCs w:val="56"/>
      <w:lang w:val="es-ES"/>
    </w:rPr>
  </w:style>
  <w:style w:type="character" w:customStyle="1" w:styleId="TtuloCar">
    <w:name w:val="Título Car"/>
    <w:basedOn w:val="Fuentedeprrafopredeter"/>
    <w:link w:val="Ttulo"/>
    <w:uiPriority w:val="10"/>
    <w:rsid w:val="005566E8"/>
    <w:rPr>
      <w:rFonts w:ascii="Geomanist" w:eastAsiaTheme="majorEastAsia" w:hAnsi="Geomanist" w:cstheme="majorBidi"/>
      <w:spacing w:val="-10"/>
      <w:kern w:val="28"/>
      <w:szCs w:val="56"/>
      <w:lang w:val="es-ES"/>
    </w:rPr>
  </w:style>
  <w:style w:type="character" w:customStyle="1" w:styleId="ui-provider">
    <w:name w:val="ui-provider"/>
    <w:basedOn w:val="Fuentedeprrafopredeter"/>
    <w:rsid w:val="00DA231B"/>
  </w:style>
  <w:style w:type="character" w:styleId="Hipervnculo">
    <w:name w:val="Hyperlink"/>
    <w:basedOn w:val="Fuentedeprrafopredeter"/>
    <w:uiPriority w:val="99"/>
    <w:unhideWhenUsed/>
    <w:rsid w:val="00125105"/>
    <w:rPr>
      <w:color w:val="0000FF"/>
      <w:u w:val="single"/>
    </w:rPr>
  </w:style>
  <w:style w:type="character" w:styleId="Hipervnculovisitado">
    <w:name w:val="FollowedHyperlink"/>
    <w:basedOn w:val="Fuentedeprrafopredeter"/>
    <w:uiPriority w:val="99"/>
    <w:semiHidden/>
    <w:unhideWhenUsed/>
    <w:rsid w:val="00125105"/>
    <w:rPr>
      <w:color w:val="954F72" w:themeColor="followedHyperlink"/>
      <w:u w:val="single"/>
    </w:rPr>
  </w:style>
  <w:style w:type="paragraph" w:customStyle="1" w:styleId="paragraph">
    <w:name w:val="paragraph"/>
    <w:basedOn w:val="Normal"/>
    <w:rsid w:val="00322A85"/>
    <w:pPr>
      <w:spacing w:before="100" w:beforeAutospacing="1" w:after="100" w:afterAutospacing="1" w:line="240" w:lineRule="auto"/>
    </w:pPr>
    <w:rPr>
      <w:rFonts w:ascii="Times New Roman" w:eastAsia="Times New Roman" w:hAnsi="Times New Roman" w:cs="Times New Roman"/>
      <w:sz w:val="24"/>
      <w:szCs w:val="24"/>
      <w:lang w:eastAsia="es-CO"/>
    </w:rPr>
  </w:style>
  <w:style w:type="character" w:customStyle="1" w:styleId="tabchar">
    <w:name w:val="tabchar"/>
    <w:basedOn w:val="Fuentedeprrafopredeter"/>
    <w:rsid w:val="00322A85"/>
  </w:style>
  <w:style w:type="character" w:customStyle="1" w:styleId="eop">
    <w:name w:val="eop"/>
    <w:basedOn w:val="Fuentedeprrafopredeter"/>
    <w:rsid w:val="00322A85"/>
  </w:style>
  <w:style w:type="character" w:styleId="Mencinsinresolver">
    <w:name w:val="Unresolved Mention"/>
    <w:basedOn w:val="Fuentedeprrafopredeter"/>
    <w:uiPriority w:val="99"/>
    <w:semiHidden/>
    <w:unhideWhenUsed/>
    <w:rsid w:val="001F7DC6"/>
    <w:rPr>
      <w:color w:val="605E5C"/>
      <w:shd w:val="clear" w:color="auto" w:fill="E1DFDD"/>
    </w:rPr>
  </w:style>
  <w:style w:type="paragraph" w:styleId="NormalWeb">
    <w:name w:val="Normal (Web)"/>
    <w:basedOn w:val="Normal"/>
    <w:uiPriority w:val="99"/>
    <w:semiHidden/>
    <w:unhideWhenUsed/>
    <w:rsid w:val="00DF5254"/>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customStyle="1" w:styleId="blanco">
    <w:name w:val="blanco"/>
    <w:basedOn w:val="Normal"/>
    <w:rsid w:val="00C76B1C"/>
    <w:pPr>
      <w:spacing w:before="100" w:beforeAutospacing="1" w:after="100" w:afterAutospacing="1" w:line="240" w:lineRule="auto"/>
    </w:pPr>
    <w:rPr>
      <w:rFonts w:ascii="Times New Roman" w:eastAsia="Times New Roman" w:hAnsi="Times New Roman" w:cs="Times New Roman"/>
      <w:sz w:val="24"/>
      <w:szCs w:val="24"/>
      <w:lang w:eastAsia="es-CO"/>
    </w:rPr>
  </w:style>
  <w:style w:type="paragraph" w:styleId="Revisin">
    <w:name w:val="Revision"/>
    <w:hidden/>
    <w:uiPriority w:val="99"/>
    <w:semiHidden/>
    <w:rsid w:val="009F3A13"/>
    <w:pPr>
      <w:spacing w:after="0" w:line="240" w:lineRule="auto"/>
    </w:pPr>
  </w:style>
  <w:style w:type="paragraph" w:customStyle="1" w:styleId="Appelnotedebasde">
    <w:name w:val="Appel note de bas de..."/>
    <w:basedOn w:val="Normal"/>
    <w:link w:val="Refdenotaalpie"/>
    <w:rsid w:val="00250090"/>
    <w:pPr>
      <w:spacing w:line="240" w:lineRule="exact"/>
    </w:pPr>
    <w:rPr>
      <w:vertAlign w:val="superscript"/>
    </w:rPr>
  </w:style>
  <w:style w:type="character" w:customStyle="1" w:styleId="PrrafodelistaCar">
    <w:name w:val="Párrafo de lista Car"/>
    <w:aliases w:val="Fotografía Car,Párrafo de lista1 Car,Bullet List Car,FooterText Car,numbered Car,Paragraphe de liste1 Car,lp1 Car,Scitum normal Car,HOJA Car,Bolita Car,Párrafo de lista4 Car,BOLADEF Car,Párrafo de lista3 Car,Párrafo de lista21 Car"/>
    <w:link w:val="Prrafodelista"/>
    <w:uiPriority w:val="34"/>
    <w:qFormat/>
    <w:locked/>
    <w:rsid w:val="00250090"/>
    <w:rPr>
      <w:rFonts w:ascii="Geomanist Light" w:hAnsi="Geomanist Light"/>
      <w:lang w:val="es-ES"/>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621767828">
      <w:bodyDiv w:val="1"/>
      <w:marLeft w:val="0"/>
      <w:marRight w:val="0"/>
      <w:marTop w:val="0"/>
      <w:marBottom w:val="0"/>
      <w:divBdr>
        <w:top w:val="none" w:sz="0" w:space="0" w:color="auto"/>
        <w:left w:val="none" w:sz="0" w:space="0" w:color="auto"/>
        <w:bottom w:val="none" w:sz="0" w:space="0" w:color="auto"/>
        <w:right w:val="none" w:sz="0" w:space="0" w:color="auto"/>
      </w:divBdr>
    </w:div>
    <w:div w:id="755788902">
      <w:bodyDiv w:val="1"/>
      <w:marLeft w:val="0"/>
      <w:marRight w:val="0"/>
      <w:marTop w:val="0"/>
      <w:marBottom w:val="0"/>
      <w:divBdr>
        <w:top w:val="none" w:sz="0" w:space="0" w:color="auto"/>
        <w:left w:val="none" w:sz="0" w:space="0" w:color="auto"/>
        <w:bottom w:val="none" w:sz="0" w:space="0" w:color="auto"/>
        <w:right w:val="none" w:sz="0" w:space="0" w:color="auto"/>
      </w:divBdr>
    </w:div>
    <w:div w:id="1132796275">
      <w:bodyDiv w:val="1"/>
      <w:marLeft w:val="0"/>
      <w:marRight w:val="0"/>
      <w:marTop w:val="0"/>
      <w:marBottom w:val="0"/>
      <w:divBdr>
        <w:top w:val="none" w:sz="0" w:space="0" w:color="auto"/>
        <w:left w:val="none" w:sz="0" w:space="0" w:color="auto"/>
        <w:bottom w:val="none" w:sz="0" w:space="0" w:color="auto"/>
        <w:right w:val="none" w:sz="0" w:space="0" w:color="auto"/>
      </w:divBdr>
    </w:div>
    <w:div w:id="1270429918">
      <w:bodyDiv w:val="1"/>
      <w:marLeft w:val="0"/>
      <w:marRight w:val="0"/>
      <w:marTop w:val="0"/>
      <w:marBottom w:val="0"/>
      <w:divBdr>
        <w:top w:val="none" w:sz="0" w:space="0" w:color="auto"/>
        <w:left w:val="none" w:sz="0" w:space="0" w:color="auto"/>
        <w:bottom w:val="none" w:sz="0" w:space="0" w:color="auto"/>
        <w:right w:val="none" w:sz="0" w:space="0" w:color="auto"/>
      </w:divBdr>
    </w:div>
    <w:div w:id="1291863859">
      <w:bodyDiv w:val="1"/>
      <w:marLeft w:val="0"/>
      <w:marRight w:val="0"/>
      <w:marTop w:val="0"/>
      <w:marBottom w:val="0"/>
      <w:divBdr>
        <w:top w:val="none" w:sz="0" w:space="0" w:color="auto"/>
        <w:left w:val="none" w:sz="0" w:space="0" w:color="auto"/>
        <w:bottom w:val="none" w:sz="0" w:space="0" w:color="auto"/>
        <w:right w:val="none" w:sz="0" w:space="0" w:color="auto"/>
      </w:divBdr>
      <w:divsChild>
        <w:div w:id="1814251553">
          <w:marLeft w:val="0"/>
          <w:marRight w:val="0"/>
          <w:marTop w:val="0"/>
          <w:marBottom w:val="0"/>
          <w:divBdr>
            <w:top w:val="none" w:sz="0" w:space="0" w:color="auto"/>
            <w:left w:val="none" w:sz="0" w:space="0" w:color="auto"/>
            <w:bottom w:val="none" w:sz="0" w:space="0" w:color="auto"/>
            <w:right w:val="none" w:sz="0" w:space="0" w:color="auto"/>
          </w:divBdr>
        </w:div>
        <w:div w:id="1098216012">
          <w:marLeft w:val="0"/>
          <w:marRight w:val="0"/>
          <w:marTop w:val="0"/>
          <w:marBottom w:val="0"/>
          <w:divBdr>
            <w:top w:val="none" w:sz="0" w:space="0" w:color="auto"/>
            <w:left w:val="none" w:sz="0" w:space="0" w:color="auto"/>
            <w:bottom w:val="none" w:sz="0" w:space="0" w:color="auto"/>
            <w:right w:val="none" w:sz="0" w:space="0" w:color="auto"/>
          </w:divBdr>
        </w:div>
        <w:div w:id="2036272205">
          <w:marLeft w:val="0"/>
          <w:marRight w:val="0"/>
          <w:marTop w:val="0"/>
          <w:marBottom w:val="0"/>
          <w:divBdr>
            <w:top w:val="none" w:sz="0" w:space="0" w:color="auto"/>
            <w:left w:val="none" w:sz="0" w:space="0" w:color="auto"/>
            <w:bottom w:val="none" w:sz="0" w:space="0" w:color="auto"/>
            <w:right w:val="none" w:sz="0" w:space="0" w:color="auto"/>
          </w:divBdr>
        </w:div>
        <w:div w:id="1963534490">
          <w:marLeft w:val="0"/>
          <w:marRight w:val="0"/>
          <w:marTop w:val="0"/>
          <w:marBottom w:val="0"/>
          <w:divBdr>
            <w:top w:val="none" w:sz="0" w:space="0" w:color="auto"/>
            <w:left w:val="none" w:sz="0" w:space="0" w:color="auto"/>
            <w:bottom w:val="none" w:sz="0" w:space="0" w:color="auto"/>
            <w:right w:val="none" w:sz="0" w:space="0" w:color="auto"/>
          </w:divBdr>
        </w:div>
        <w:div w:id="1009718320">
          <w:marLeft w:val="0"/>
          <w:marRight w:val="0"/>
          <w:marTop w:val="0"/>
          <w:marBottom w:val="0"/>
          <w:divBdr>
            <w:top w:val="none" w:sz="0" w:space="0" w:color="auto"/>
            <w:left w:val="none" w:sz="0" w:space="0" w:color="auto"/>
            <w:bottom w:val="none" w:sz="0" w:space="0" w:color="auto"/>
            <w:right w:val="none" w:sz="0" w:space="0" w:color="auto"/>
          </w:divBdr>
        </w:div>
        <w:div w:id="2075656958">
          <w:marLeft w:val="0"/>
          <w:marRight w:val="0"/>
          <w:marTop w:val="0"/>
          <w:marBottom w:val="0"/>
          <w:divBdr>
            <w:top w:val="none" w:sz="0" w:space="0" w:color="auto"/>
            <w:left w:val="none" w:sz="0" w:space="0" w:color="auto"/>
            <w:bottom w:val="none" w:sz="0" w:space="0" w:color="auto"/>
            <w:right w:val="none" w:sz="0" w:space="0" w:color="auto"/>
          </w:divBdr>
        </w:div>
        <w:div w:id="1227495006">
          <w:marLeft w:val="0"/>
          <w:marRight w:val="0"/>
          <w:marTop w:val="0"/>
          <w:marBottom w:val="0"/>
          <w:divBdr>
            <w:top w:val="none" w:sz="0" w:space="0" w:color="auto"/>
            <w:left w:val="none" w:sz="0" w:space="0" w:color="auto"/>
            <w:bottom w:val="none" w:sz="0" w:space="0" w:color="auto"/>
            <w:right w:val="none" w:sz="0" w:space="0" w:color="auto"/>
          </w:divBdr>
        </w:div>
        <w:div w:id="390231839">
          <w:marLeft w:val="0"/>
          <w:marRight w:val="0"/>
          <w:marTop w:val="0"/>
          <w:marBottom w:val="0"/>
          <w:divBdr>
            <w:top w:val="none" w:sz="0" w:space="0" w:color="auto"/>
            <w:left w:val="none" w:sz="0" w:space="0" w:color="auto"/>
            <w:bottom w:val="none" w:sz="0" w:space="0" w:color="auto"/>
            <w:right w:val="none" w:sz="0" w:space="0" w:color="auto"/>
          </w:divBdr>
        </w:div>
        <w:div w:id="117142684">
          <w:marLeft w:val="0"/>
          <w:marRight w:val="0"/>
          <w:marTop w:val="0"/>
          <w:marBottom w:val="0"/>
          <w:divBdr>
            <w:top w:val="none" w:sz="0" w:space="0" w:color="auto"/>
            <w:left w:val="none" w:sz="0" w:space="0" w:color="auto"/>
            <w:bottom w:val="none" w:sz="0" w:space="0" w:color="auto"/>
            <w:right w:val="none" w:sz="0" w:space="0" w:color="auto"/>
          </w:divBdr>
        </w:div>
        <w:div w:id="882060613">
          <w:marLeft w:val="0"/>
          <w:marRight w:val="0"/>
          <w:marTop w:val="0"/>
          <w:marBottom w:val="0"/>
          <w:divBdr>
            <w:top w:val="none" w:sz="0" w:space="0" w:color="auto"/>
            <w:left w:val="none" w:sz="0" w:space="0" w:color="auto"/>
            <w:bottom w:val="none" w:sz="0" w:space="0" w:color="auto"/>
            <w:right w:val="none" w:sz="0" w:space="0" w:color="auto"/>
          </w:divBdr>
        </w:div>
        <w:div w:id="1343312156">
          <w:marLeft w:val="0"/>
          <w:marRight w:val="0"/>
          <w:marTop w:val="0"/>
          <w:marBottom w:val="0"/>
          <w:divBdr>
            <w:top w:val="none" w:sz="0" w:space="0" w:color="auto"/>
            <w:left w:val="none" w:sz="0" w:space="0" w:color="auto"/>
            <w:bottom w:val="none" w:sz="0" w:space="0" w:color="auto"/>
            <w:right w:val="none" w:sz="0" w:space="0" w:color="auto"/>
          </w:divBdr>
        </w:div>
        <w:div w:id="807745514">
          <w:marLeft w:val="0"/>
          <w:marRight w:val="0"/>
          <w:marTop w:val="0"/>
          <w:marBottom w:val="0"/>
          <w:divBdr>
            <w:top w:val="none" w:sz="0" w:space="0" w:color="auto"/>
            <w:left w:val="none" w:sz="0" w:space="0" w:color="auto"/>
            <w:bottom w:val="none" w:sz="0" w:space="0" w:color="auto"/>
            <w:right w:val="none" w:sz="0" w:space="0" w:color="auto"/>
          </w:divBdr>
        </w:div>
        <w:div w:id="688798703">
          <w:marLeft w:val="0"/>
          <w:marRight w:val="0"/>
          <w:marTop w:val="0"/>
          <w:marBottom w:val="0"/>
          <w:divBdr>
            <w:top w:val="none" w:sz="0" w:space="0" w:color="auto"/>
            <w:left w:val="none" w:sz="0" w:space="0" w:color="auto"/>
            <w:bottom w:val="none" w:sz="0" w:space="0" w:color="auto"/>
            <w:right w:val="none" w:sz="0" w:space="0" w:color="auto"/>
          </w:divBdr>
        </w:div>
        <w:div w:id="1324310022">
          <w:marLeft w:val="0"/>
          <w:marRight w:val="0"/>
          <w:marTop w:val="0"/>
          <w:marBottom w:val="0"/>
          <w:divBdr>
            <w:top w:val="none" w:sz="0" w:space="0" w:color="auto"/>
            <w:left w:val="none" w:sz="0" w:space="0" w:color="auto"/>
            <w:bottom w:val="none" w:sz="0" w:space="0" w:color="auto"/>
            <w:right w:val="none" w:sz="0" w:space="0" w:color="auto"/>
          </w:divBdr>
        </w:div>
        <w:div w:id="715542045">
          <w:marLeft w:val="0"/>
          <w:marRight w:val="0"/>
          <w:marTop w:val="0"/>
          <w:marBottom w:val="0"/>
          <w:divBdr>
            <w:top w:val="none" w:sz="0" w:space="0" w:color="auto"/>
            <w:left w:val="none" w:sz="0" w:space="0" w:color="auto"/>
            <w:bottom w:val="none" w:sz="0" w:space="0" w:color="auto"/>
            <w:right w:val="none" w:sz="0" w:space="0" w:color="auto"/>
          </w:divBdr>
        </w:div>
        <w:div w:id="1065952338">
          <w:marLeft w:val="0"/>
          <w:marRight w:val="0"/>
          <w:marTop w:val="0"/>
          <w:marBottom w:val="0"/>
          <w:divBdr>
            <w:top w:val="none" w:sz="0" w:space="0" w:color="auto"/>
            <w:left w:val="none" w:sz="0" w:space="0" w:color="auto"/>
            <w:bottom w:val="none" w:sz="0" w:space="0" w:color="auto"/>
            <w:right w:val="none" w:sz="0" w:space="0" w:color="auto"/>
          </w:divBdr>
        </w:div>
        <w:div w:id="2092659859">
          <w:marLeft w:val="0"/>
          <w:marRight w:val="0"/>
          <w:marTop w:val="0"/>
          <w:marBottom w:val="0"/>
          <w:divBdr>
            <w:top w:val="none" w:sz="0" w:space="0" w:color="auto"/>
            <w:left w:val="none" w:sz="0" w:space="0" w:color="auto"/>
            <w:bottom w:val="none" w:sz="0" w:space="0" w:color="auto"/>
            <w:right w:val="none" w:sz="0" w:space="0" w:color="auto"/>
          </w:divBdr>
        </w:div>
        <w:div w:id="1134103737">
          <w:marLeft w:val="0"/>
          <w:marRight w:val="0"/>
          <w:marTop w:val="0"/>
          <w:marBottom w:val="0"/>
          <w:divBdr>
            <w:top w:val="none" w:sz="0" w:space="0" w:color="auto"/>
            <w:left w:val="none" w:sz="0" w:space="0" w:color="auto"/>
            <w:bottom w:val="none" w:sz="0" w:space="0" w:color="auto"/>
            <w:right w:val="none" w:sz="0" w:space="0" w:color="auto"/>
          </w:divBdr>
        </w:div>
        <w:div w:id="511727059">
          <w:marLeft w:val="0"/>
          <w:marRight w:val="0"/>
          <w:marTop w:val="0"/>
          <w:marBottom w:val="0"/>
          <w:divBdr>
            <w:top w:val="none" w:sz="0" w:space="0" w:color="auto"/>
            <w:left w:val="none" w:sz="0" w:space="0" w:color="auto"/>
            <w:bottom w:val="none" w:sz="0" w:space="0" w:color="auto"/>
            <w:right w:val="none" w:sz="0" w:space="0" w:color="auto"/>
          </w:divBdr>
        </w:div>
        <w:div w:id="860240521">
          <w:marLeft w:val="0"/>
          <w:marRight w:val="0"/>
          <w:marTop w:val="0"/>
          <w:marBottom w:val="0"/>
          <w:divBdr>
            <w:top w:val="none" w:sz="0" w:space="0" w:color="auto"/>
            <w:left w:val="none" w:sz="0" w:space="0" w:color="auto"/>
            <w:bottom w:val="none" w:sz="0" w:space="0" w:color="auto"/>
            <w:right w:val="none" w:sz="0" w:space="0" w:color="auto"/>
          </w:divBdr>
        </w:div>
        <w:div w:id="892691556">
          <w:marLeft w:val="0"/>
          <w:marRight w:val="0"/>
          <w:marTop w:val="0"/>
          <w:marBottom w:val="0"/>
          <w:divBdr>
            <w:top w:val="none" w:sz="0" w:space="0" w:color="auto"/>
            <w:left w:val="none" w:sz="0" w:space="0" w:color="auto"/>
            <w:bottom w:val="none" w:sz="0" w:space="0" w:color="auto"/>
            <w:right w:val="none" w:sz="0" w:space="0" w:color="auto"/>
          </w:divBdr>
        </w:div>
        <w:div w:id="24454764">
          <w:marLeft w:val="0"/>
          <w:marRight w:val="0"/>
          <w:marTop w:val="0"/>
          <w:marBottom w:val="0"/>
          <w:divBdr>
            <w:top w:val="none" w:sz="0" w:space="0" w:color="auto"/>
            <w:left w:val="none" w:sz="0" w:space="0" w:color="auto"/>
            <w:bottom w:val="none" w:sz="0" w:space="0" w:color="auto"/>
            <w:right w:val="none" w:sz="0" w:space="0" w:color="auto"/>
          </w:divBdr>
        </w:div>
        <w:div w:id="541678020">
          <w:marLeft w:val="0"/>
          <w:marRight w:val="0"/>
          <w:marTop w:val="0"/>
          <w:marBottom w:val="0"/>
          <w:divBdr>
            <w:top w:val="none" w:sz="0" w:space="0" w:color="auto"/>
            <w:left w:val="none" w:sz="0" w:space="0" w:color="auto"/>
            <w:bottom w:val="none" w:sz="0" w:space="0" w:color="auto"/>
            <w:right w:val="none" w:sz="0" w:space="0" w:color="auto"/>
          </w:divBdr>
        </w:div>
        <w:div w:id="1404261026">
          <w:marLeft w:val="0"/>
          <w:marRight w:val="0"/>
          <w:marTop w:val="0"/>
          <w:marBottom w:val="0"/>
          <w:divBdr>
            <w:top w:val="none" w:sz="0" w:space="0" w:color="auto"/>
            <w:left w:val="none" w:sz="0" w:space="0" w:color="auto"/>
            <w:bottom w:val="none" w:sz="0" w:space="0" w:color="auto"/>
            <w:right w:val="none" w:sz="0" w:space="0" w:color="auto"/>
          </w:divBdr>
        </w:div>
        <w:div w:id="638808706">
          <w:marLeft w:val="0"/>
          <w:marRight w:val="0"/>
          <w:marTop w:val="0"/>
          <w:marBottom w:val="0"/>
          <w:divBdr>
            <w:top w:val="none" w:sz="0" w:space="0" w:color="auto"/>
            <w:left w:val="none" w:sz="0" w:space="0" w:color="auto"/>
            <w:bottom w:val="none" w:sz="0" w:space="0" w:color="auto"/>
            <w:right w:val="none" w:sz="0" w:space="0" w:color="auto"/>
          </w:divBdr>
        </w:div>
        <w:div w:id="238516275">
          <w:marLeft w:val="0"/>
          <w:marRight w:val="0"/>
          <w:marTop w:val="0"/>
          <w:marBottom w:val="0"/>
          <w:divBdr>
            <w:top w:val="none" w:sz="0" w:space="0" w:color="auto"/>
            <w:left w:val="none" w:sz="0" w:space="0" w:color="auto"/>
            <w:bottom w:val="none" w:sz="0" w:space="0" w:color="auto"/>
            <w:right w:val="none" w:sz="0" w:space="0" w:color="auto"/>
          </w:divBdr>
        </w:div>
        <w:div w:id="1694109704">
          <w:marLeft w:val="0"/>
          <w:marRight w:val="0"/>
          <w:marTop w:val="0"/>
          <w:marBottom w:val="0"/>
          <w:divBdr>
            <w:top w:val="none" w:sz="0" w:space="0" w:color="auto"/>
            <w:left w:val="none" w:sz="0" w:space="0" w:color="auto"/>
            <w:bottom w:val="none" w:sz="0" w:space="0" w:color="auto"/>
            <w:right w:val="none" w:sz="0" w:space="0" w:color="auto"/>
          </w:divBdr>
        </w:div>
        <w:div w:id="2120836280">
          <w:marLeft w:val="0"/>
          <w:marRight w:val="0"/>
          <w:marTop w:val="0"/>
          <w:marBottom w:val="0"/>
          <w:divBdr>
            <w:top w:val="none" w:sz="0" w:space="0" w:color="auto"/>
            <w:left w:val="none" w:sz="0" w:space="0" w:color="auto"/>
            <w:bottom w:val="none" w:sz="0" w:space="0" w:color="auto"/>
            <w:right w:val="none" w:sz="0" w:space="0" w:color="auto"/>
          </w:divBdr>
        </w:div>
        <w:div w:id="455296425">
          <w:marLeft w:val="0"/>
          <w:marRight w:val="0"/>
          <w:marTop w:val="0"/>
          <w:marBottom w:val="0"/>
          <w:divBdr>
            <w:top w:val="none" w:sz="0" w:space="0" w:color="auto"/>
            <w:left w:val="none" w:sz="0" w:space="0" w:color="auto"/>
            <w:bottom w:val="none" w:sz="0" w:space="0" w:color="auto"/>
            <w:right w:val="none" w:sz="0" w:space="0" w:color="auto"/>
          </w:divBdr>
        </w:div>
        <w:div w:id="1932930429">
          <w:marLeft w:val="0"/>
          <w:marRight w:val="0"/>
          <w:marTop w:val="0"/>
          <w:marBottom w:val="0"/>
          <w:divBdr>
            <w:top w:val="none" w:sz="0" w:space="0" w:color="auto"/>
            <w:left w:val="none" w:sz="0" w:space="0" w:color="auto"/>
            <w:bottom w:val="none" w:sz="0" w:space="0" w:color="auto"/>
            <w:right w:val="none" w:sz="0" w:space="0" w:color="auto"/>
          </w:divBdr>
        </w:div>
        <w:div w:id="538082317">
          <w:marLeft w:val="0"/>
          <w:marRight w:val="0"/>
          <w:marTop w:val="0"/>
          <w:marBottom w:val="0"/>
          <w:divBdr>
            <w:top w:val="none" w:sz="0" w:space="0" w:color="auto"/>
            <w:left w:val="none" w:sz="0" w:space="0" w:color="auto"/>
            <w:bottom w:val="none" w:sz="0" w:space="0" w:color="auto"/>
            <w:right w:val="none" w:sz="0" w:space="0" w:color="auto"/>
          </w:divBdr>
        </w:div>
        <w:div w:id="679356651">
          <w:marLeft w:val="0"/>
          <w:marRight w:val="0"/>
          <w:marTop w:val="0"/>
          <w:marBottom w:val="0"/>
          <w:divBdr>
            <w:top w:val="none" w:sz="0" w:space="0" w:color="auto"/>
            <w:left w:val="none" w:sz="0" w:space="0" w:color="auto"/>
            <w:bottom w:val="none" w:sz="0" w:space="0" w:color="auto"/>
            <w:right w:val="none" w:sz="0" w:space="0" w:color="auto"/>
          </w:divBdr>
        </w:div>
        <w:div w:id="1638532409">
          <w:marLeft w:val="0"/>
          <w:marRight w:val="0"/>
          <w:marTop w:val="0"/>
          <w:marBottom w:val="0"/>
          <w:divBdr>
            <w:top w:val="none" w:sz="0" w:space="0" w:color="auto"/>
            <w:left w:val="none" w:sz="0" w:space="0" w:color="auto"/>
            <w:bottom w:val="none" w:sz="0" w:space="0" w:color="auto"/>
            <w:right w:val="none" w:sz="0" w:space="0" w:color="auto"/>
          </w:divBdr>
        </w:div>
        <w:div w:id="1464275602">
          <w:marLeft w:val="0"/>
          <w:marRight w:val="0"/>
          <w:marTop w:val="0"/>
          <w:marBottom w:val="0"/>
          <w:divBdr>
            <w:top w:val="none" w:sz="0" w:space="0" w:color="auto"/>
            <w:left w:val="none" w:sz="0" w:space="0" w:color="auto"/>
            <w:bottom w:val="none" w:sz="0" w:space="0" w:color="auto"/>
            <w:right w:val="none" w:sz="0" w:space="0" w:color="auto"/>
          </w:divBdr>
        </w:div>
        <w:div w:id="1916237550">
          <w:marLeft w:val="0"/>
          <w:marRight w:val="0"/>
          <w:marTop w:val="0"/>
          <w:marBottom w:val="0"/>
          <w:divBdr>
            <w:top w:val="none" w:sz="0" w:space="0" w:color="auto"/>
            <w:left w:val="none" w:sz="0" w:space="0" w:color="auto"/>
            <w:bottom w:val="none" w:sz="0" w:space="0" w:color="auto"/>
            <w:right w:val="none" w:sz="0" w:space="0" w:color="auto"/>
          </w:divBdr>
        </w:div>
        <w:div w:id="2095541977">
          <w:marLeft w:val="0"/>
          <w:marRight w:val="0"/>
          <w:marTop w:val="0"/>
          <w:marBottom w:val="0"/>
          <w:divBdr>
            <w:top w:val="none" w:sz="0" w:space="0" w:color="auto"/>
            <w:left w:val="none" w:sz="0" w:space="0" w:color="auto"/>
            <w:bottom w:val="none" w:sz="0" w:space="0" w:color="auto"/>
            <w:right w:val="none" w:sz="0" w:space="0" w:color="auto"/>
          </w:divBdr>
          <w:divsChild>
            <w:div w:id="1488938398">
              <w:marLeft w:val="-75"/>
              <w:marRight w:val="0"/>
              <w:marTop w:val="30"/>
              <w:marBottom w:val="30"/>
              <w:divBdr>
                <w:top w:val="none" w:sz="0" w:space="0" w:color="auto"/>
                <w:left w:val="none" w:sz="0" w:space="0" w:color="auto"/>
                <w:bottom w:val="none" w:sz="0" w:space="0" w:color="auto"/>
                <w:right w:val="none" w:sz="0" w:space="0" w:color="auto"/>
              </w:divBdr>
              <w:divsChild>
                <w:div w:id="283007184">
                  <w:marLeft w:val="0"/>
                  <w:marRight w:val="0"/>
                  <w:marTop w:val="0"/>
                  <w:marBottom w:val="0"/>
                  <w:divBdr>
                    <w:top w:val="none" w:sz="0" w:space="0" w:color="auto"/>
                    <w:left w:val="none" w:sz="0" w:space="0" w:color="auto"/>
                    <w:bottom w:val="none" w:sz="0" w:space="0" w:color="auto"/>
                    <w:right w:val="none" w:sz="0" w:space="0" w:color="auto"/>
                  </w:divBdr>
                  <w:divsChild>
                    <w:div w:id="928538327">
                      <w:marLeft w:val="0"/>
                      <w:marRight w:val="0"/>
                      <w:marTop w:val="0"/>
                      <w:marBottom w:val="0"/>
                      <w:divBdr>
                        <w:top w:val="none" w:sz="0" w:space="0" w:color="auto"/>
                        <w:left w:val="none" w:sz="0" w:space="0" w:color="auto"/>
                        <w:bottom w:val="none" w:sz="0" w:space="0" w:color="auto"/>
                        <w:right w:val="none" w:sz="0" w:space="0" w:color="auto"/>
                      </w:divBdr>
                    </w:div>
                  </w:divsChild>
                </w:div>
                <w:div w:id="1080567943">
                  <w:marLeft w:val="0"/>
                  <w:marRight w:val="0"/>
                  <w:marTop w:val="0"/>
                  <w:marBottom w:val="0"/>
                  <w:divBdr>
                    <w:top w:val="none" w:sz="0" w:space="0" w:color="auto"/>
                    <w:left w:val="none" w:sz="0" w:space="0" w:color="auto"/>
                    <w:bottom w:val="none" w:sz="0" w:space="0" w:color="auto"/>
                    <w:right w:val="none" w:sz="0" w:space="0" w:color="auto"/>
                  </w:divBdr>
                  <w:divsChild>
                    <w:div w:id="1112624978">
                      <w:marLeft w:val="0"/>
                      <w:marRight w:val="0"/>
                      <w:marTop w:val="0"/>
                      <w:marBottom w:val="0"/>
                      <w:divBdr>
                        <w:top w:val="none" w:sz="0" w:space="0" w:color="auto"/>
                        <w:left w:val="none" w:sz="0" w:space="0" w:color="auto"/>
                        <w:bottom w:val="none" w:sz="0" w:space="0" w:color="auto"/>
                        <w:right w:val="none" w:sz="0" w:space="0" w:color="auto"/>
                      </w:divBdr>
                    </w:div>
                    <w:div w:id="539319864">
                      <w:marLeft w:val="0"/>
                      <w:marRight w:val="0"/>
                      <w:marTop w:val="0"/>
                      <w:marBottom w:val="0"/>
                      <w:divBdr>
                        <w:top w:val="none" w:sz="0" w:space="0" w:color="auto"/>
                        <w:left w:val="none" w:sz="0" w:space="0" w:color="auto"/>
                        <w:bottom w:val="none" w:sz="0" w:space="0" w:color="auto"/>
                        <w:right w:val="none" w:sz="0" w:space="0" w:color="auto"/>
                      </w:divBdr>
                    </w:div>
                  </w:divsChild>
                </w:div>
                <w:div w:id="344208591">
                  <w:marLeft w:val="0"/>
                  <w:marRight w:val="0"/>
                  <w:marTop w:val="0"/>
                  <w:marBottom w:val="0"/>
                  <w:divBdr>
                    <w:top w:val="none" w:sz="0" w:space="0" w:color="auto"/>
                    <w:left w:val="none" w:sz="0" w:space="0" w:color="auto"/>
                    <w:bottom w:val="none" w:sz="0" w:space="0" w:color="auto"/>
                    <w:right w:val="none" w:sz="0" w:space="0" w:color="auto"/>
                  </w:divBdr>
                  <w:divsChild>
                    <w:div w:id="1723020549">
                      <w:marLeft w:val="0"/>
                      <w:marRight w:val="0"/>
                      <w:marTop w:val="0"/>
                      <w:marBottom w:val="0"/>
                      <w:divBdr>
                        <w:top w:val="none" w:sz="0" w:space="0" w:color="auto"/>
                        <w:left w:val="none" w:sz="0" w:space="0" w:color="auto"/>
                        <w:bottom w:val="none" w:sz="0" w:space="0" w:color="auto"/>
                        <w:right w:val="none" w:sz="0" w:space="0" w:color="auto"/>
                      </w:divBdr>
                    </w:div>
                  </w:divsChild>
                </w:div>
                <w:div w:id="233929418">
                  <w:marLeft w:val="0"/>
                  <w:marRight w:val="0"/>
                  <w:marTop w:val="0"/>
                  <w:marBottom w:val="0"/>
                  <w:divBdr>
                    <w:top w:val="none" w:sz="0" w:space="0" w:color="auto"/>
                    <w:left w:val="none" w:sz="0" w:space="0" w:color="auto"/>
                    <w:bottom w:val="none" w:sz="0" w:space="0" w:color="auto"/>
                    <w:right w:val="none" w:sz="0" w:space="0" w:color="auto"/>
                  </w:divBdr>
                  <w:divsChild>
                    <w:div w:id="193542531">
                      <w:marLeft w:val="0"/>
                      <w:marRight w:val="0"/>
                      <w:marTop w:val="0"/>
                      <w:marBottom w:val="0"/>
                      <w:divBdr>
                        <w:top w:val="none" w:sz="0" w:space="0" w:color="auto"/>
                        <w:left w:val="none" w:sz="0" w:space="0" w:color="auto"/>
                        <w:bottom w:val="none" w:sz="0" w:space="0" w:color="auto"/>
                        <w:right w:val="none" w:sz="0" w:space="0" w:color="auto"/>
                      </w:divBdr>
                    </w:div>
                    <w:div w:id="2029217062">
                      <w:marLeft w:val="0"/>
                      <w:marRight w:val="0"/>
                      <w:marTop w:val="0"/>
                      <w:marBottom w:val="0"/>
                      <w:divBdr>
                        <w:top w:val="none" w:sz="0" w:space="0" w:color="auto"/>
                        <w:left w:val="none" w:sz="0" w:space="0" w:color="auto"/>
                        <w:bottom w:val="none" w:sz="0" w:space="0" w:color="auto"/>
                        <w:right w:val="none" w:sz="0" w:space="0" w:color="auto"/>
                      </w:divBdr>
                    </w:div>
                  </w:divsChild>
                </w:div>
                <w:div w:id="231042282">
                  <w:marLeft w:val="0"/>
                  <w:marRight w:val="0"/>
                  <w:marTop w:val="0"/>
                  <w:marBottom w:val="0"/>
                  <w:divBdr>
                    <w:top w:val="none" w:sz="0" w:space="0" w:color="auto"/>
                    <w:left w:val="none" w:sz="0" w:space="0" w:color="auto"/>
                    <w:bottom w:val="none" w:sz="0" w:space="0" w:color="auto"/>
                    <w:right w:val="none" w:sz="0" w:space="0" w:color="auto"/>
                  </w:divBdr>
                  <w:divsChild>
                    <w:div w:id="1200582818">
                      <w:marLeft w:val="0"/>
                      <w:marRight w:val="0"/>
                      <w:marTop w:val="0"/>
                      <w:marBottom w:val="0"/>
                      <w:divBdr>
                        <w:top w:val="none" w:sz="0" w:space="0" w:color="auto"/>
                        <w:left w:val="none" w:sz="0" w:space="0" w:color="auto"/>
                        <w:bottom w:val="none" w:sz="0" w:space="0" w:color="auto"/>
                        <w:right w:val="none" w:sz="0" w:space="0" w:color="auto"/>
                      </w:divBdr>
                    </w:div>
                  </w:divsChild>
                </w:div>
                <w:div w:id="431166015">
                  <w:marLeft w:val="0"/>
                  <w:marRight w:val="0"/>
                  <w:marTop w:val="0"/>
                  <w:marBottom w:val="0"/>
                  <w:divBdr>
                    <w:top w:val="none" w:sz="0" w:space="0" w:color="auto"/>
                    <w:left w:val="none" w:sz="0" w:space="0" w:color="auto"/>
                    <w:bottom w:val="none" w:sz="0" w:space="0" w:color="auto"/>
                    <w:right w:val="none" w:sz="0" w:space="0" w:color="auto"/>
                  </w:divBdr>
                  <w:divsChild>
                    <w:div w:id="63383742">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816871884">
          <w:marLeft w:val="0"/>
          <w:marRight w:val="0"/>
          <w:marTop w:val="0"/>
          <w:marBottom w:val="0"/>
          <w:divBdr>
            <w:top w:val="none" w:sz="0" w:space="0" w:color="auto"/>
            <w:left w:val="none" w:sz="0" w:space="0" w:color="auto"/>
            <w:bottom w:val="none" w:sz="0" w:space="0" w:color="auto"/>
            <w:right w:val="none" w:sz="0" w:space="0" w:color="auto"/>
          </w:divBdr>
        </w:div>
        <w:div w:id="1002320289">
          <w:marLeft w:val="0"/>
          <w:marRight w:val="0"/>
          <w:marTop w:val="0"/>
          <w:marBottom w:val="0"/>
          <w:divBdr>
            <w:top w:val="none" w:sz="0" w:space="0" w:color="auto"/>
            <w:left w:val="none" w:sz="0" w:space="0" w:color="auto"/>
            <w:bottom w:val="none" w:sz="0" w:space="0" w:color="auto"/>
            <w:right w:val="none" w:sz="0" w:space="0" w:color="auto"/>
          </w:divBdr>
        </w:div>
        <w:div w:id="2033648475">
          <w:marLeft w:val="0"/>
          <w:marRight w:val="0"/>
          <w:marTop w:val="0"/>
          <w:marBottom w:val="0"/>
          <w:divBdr>
            <w:top w:val="none" w:sz="0" w:space="0" w:color="auto"/>
            <w:left w:val="none" w:sz="0" w:space="0" w:color="auto"/>
            <w:bottom w:val="none" w:sz="0" w:space="0" w:color="auto"/>
            <w:right w:val="none" w:sz="0" w:space="0" w:color="auto"/>
          </w:divBdr>
        </w:div>
        <w:div w:id="1053582647">
          <w:marLeft w:val="0"/>
          <w:marRight w:val="0"/>
          <w:marTop w:val="0"/>
          <w:marBottom w:val="0"/>
          <w:divBdr>
            <w:top w:val="none" w:sz="0" w:space="0" w:color="auto"/>
            <w:left w:val="none" w:sz="0" w:space="0" w:color="auto"/>
            <w:bottom w:val="none" w:sz="0" w:space="0" w:color="auto"/>
            <w:right w:val="none" w:sz="0" w:space="0" w:color="auto"/>
          </w:divBdr>
        </w:div>
        <w:div w:id="165822881">
          <w:marLeft w:val="0"/>
          <w:marRight w:val="0"/>
          <w:marTop w:val="0"/>
          <w:marBottom w:val="0"/>
          <w:divBdr>
            <w:top w:val="none" w:sz="0" w:space="0" w:color="auto"/>
            <w:left w:val="none" w:sz="0" w:space="0" w:color="auto"/>
            <w:bottom w:val="none" w:sz="0" w:space="0" w:color="auto"/>
            <w:right w:val="none" w:sz="0" w:space="0" w:color="auto"/>
          </w:divBdr>
        </w:div>
        <w:div w:id="1919947877">
          <w:marLeft w:val="0"/>
          <w:marRight w:val="0"/>
          <w:marTop w:val="0"/>
          <w:marBottom w:val="0"/>
          <w:divBdr>
            <w:top w:val="none" w:sz="0" w:space="0" w:color="auto"/>
            <w:left w:val="none" w:sz="0" w:space="0" w:color="auto"/>
            <w:bottom w:val="none" w:sz="0" w:space="0" w:color="auto"/>
            <w:right w:val="none" w:sz="0" w:space="0" w:color="auto"/>
          </w:divBdr>
          <w:divsChild>
            <w:div w:id="1192113255">
              <w:marLeft w:val="0"/>
              <w:marRight w:val="0"/>
              <w:marTop w:val="0"/>
              <w:marBottom w:val="0"/>
              <w:divBdr>
                <w:top w:val="none" w:sz="0" w:space="0" w:color="auto"/>
                <w:left w:val="none" w:sz="0" w:space="0" w:color="auto"/>
                <w:bottom w:val="none" w:sz="0" w:space="0" w:color="auto"/>
                <w:right w:val="none" w:sz="0" w:space="0" w:color="auto"/>
              </w:divBdr>
            </w:div>
            <w:div w:id="524707673">
              <w:marLeft w:val="0"/>
              <w:marRight w:val="0"/>
              <w:marTop w:val="0"/>
              <w:marBottom w:val="0"/>
              <w:divBdr>
                <w:top w:val="none" w:sz="0" w:space="0" w:color="auto"/>
                <w:left w:val="none" w:sz="0" w:space="0" w:color="auto"/>
                <w:bottom w:val="none" w:sz="0" w:space="0" w:color="auto"/>
                <w:right w:val="none" w:sz="0" w:space="0" w:color="auto"/>
              </w:divBdr>
            </w:div>
            <w:div w:id="1477457551">
              <w:marLeft w:val="0"/>
              <w:marRight w:val="0"/>
              <w:marTop w:val="0"/>
              <w:marBottom w:val="0"/>
              <w:divBdr>
                <w:top w:val="none" w:sz="0" w:space="0" w:color="auto"/>
                <w:left w:val="none" w:sz="0" w:space="0" w:color="auto"/>
                <w:bottom w:val="none" w:sz="0" w:space="0" w:color="auto"/>
                <w:right w:val="none" w:sz="0" w:space="0" w:color="auto"/>
              </w:divBdr>
            </w:div>
            <w:div w:id="1905212490">
              <w:marLeft w:val="0"/>
              <w:marRight w:val="0"/>
              <w:marTop w:val="0"/>
              <w:marBottom w:val="0"/>
              <w:divBdr>
                <w:top w:val="none" w:sz="0" w:space="0" w:color="auto"/>
                <w:left w:val="none" w:sz="0" w:space="0" w:color="auto"/>
                <w:bottom w:val="none" w:sz="0" w:space="0" w:color="auto"/>
                <w:right w:val="none" w:sz="0" w:space="0" w:color="auto"/>
              </w:divBdr>
            </w:div>
            <w:div w:id="1960529064">
              <w:marLeft w:val="0"/>
              <w:marRight w:val="0"/>
              <w:marTop w:val="0"/>
              <w:marBottom w:val="0"/>
              <w:divBdr>
                <w:top w:val="none" w:sz="0" w:space="0" w:color="auto"/>
                <w:left w:val="none" w:sz="0" w:space="0" w:color="auto"/>
                <w:bottom w:val="none" w:sz="0" w:space="0" w:color="auto"/>
                <w:right w:val="none" w:sz="0" w:space="0" w:color="auto"/>
              </w:divBdr>
            </w:div>
          </w:divsChild>
        </w:div>
        <w:div w:id="1791318772">
          <w:marLeft w:val="0"/>
          <w:marRight w:val="0"/>
          <w:marTop w:val="0"/>
          <w:marBottom w:val="0"/>
          <w:divBdr>
            <w:top w:val="none" w:sz="0" w:space="0" w:color="auto"/>
            <w:left w:val="none" w:sz="0" w:space="0" w:color="auto"/>
            <w:bottom w:val="none" w:sz="0" w:space="0" w:color="auto"/>
            <w:right w:val="none" w:sz="0" w:space="0" w:color="auto"/>
          </w:divBdr>
        </w:div>
        <w:div w:id="1672679863">
          <w:marLeft w:val="0"/>
          <w:marRight w:val="0"/>
          <w:marTop w:val="0"/>
          <w:marBottom w:val="0"/>
          <w:divBdr>
            <w:top w:val="none" w:sz="0" w:space="0" w:color="auto"/>
            <w:left w:val="none" w:sz="0" w:space="0" w:color="auto"/>
            <w:bottom w:val="none" w:sz="0" w:space="0" w:color="auto"/>
            <w:right w:val="none" w:sz="0" w:space="0" w:color="auto"/>
          </w:divBdr>
        </w:div>
        <w:div w:id="896629501">
          <w:marLeft w:val="0"/>
          <w:marRight w:val="0"/>
          <w:marTop w:val="0"/>
          <w:marBottom w:val="0"/>
          <w:divBdr>
            <w:top w:val="none" w:sz="0" w:space="0" w:color="auto"/>
            <w:left w:val="none" w:sz="0" w:space="0" w:color="auto"/>
            <w:bottom w:val="none" w:sz="0" w:space="0" w:color="auto"/>
            <w:right w:val="none" w:sz="0" w:space="0" w:color="auto"/>
          </w:divBdr>
        </w:div>
        <w:div w:id="1492059971">
          <w:marLeft w:val="0"/>
          <w:marRight w:val="0"/>
          <w:marTop w:val="0"/>
          <w:marBottom w:val="0"/>
          <w:divBdr>
            <w:top w:val="none" w:sz="0" w:space="0" w:color="auto"/>
            <w:left w:val="none" w:sz="0" w:space="0" w:color="auto"/>
            <w:bottom w:val="none" w:sz="0" w:space="0" w:color="auto"/>
            <w:right w:val="none" w:sz="0" w:space="0" w:color="auto"/>
          </w:divBdr>
        </w:div>
        <w:div w:id="743262102">
          <w:marLeft w:val="0"/>
          <w:marRight w:val="0"/>
          <w:marTop w:val="0"/>
          <w:marBottom w:val="0"/>
          <w:divBdr>
            <w:top w:val="none" w:sz="0" w:space="0" w:color="auto"/>
            <w:left w:val="none" w:sz="0" w:space="0" w:color="auto"/>
            <w:bottom w:val="none" w:sz="0" w:space="0" w:color="auto"/>
            <w:right w:val="none" w:sz="0" w:space="0" w:color="auto"/>
          </w:divBdr>
        </w:div>
        <w:div w:id="1966614619">
          <w:marLeft w:val="0"/>
          <w:marRight w:val="0"/>
          <w:marTop w:val="0"/>
          <w:marBottom w:val="0"/>
          <w:divBdr>
            <w:top w:val="none" w:sz="0" w:space="0" w:color="auto"/>
            <w:left w:val="none" w:sz="0" w:space="0" w:color="auto"/>
            <w:bottom w:val="none" w:sz="0" w:space="0" w:color="auto"/>
            <w:right w:val="none" w:sz="0" w:space="0" w:color="auto"/>
          </w:divBdr>
          <w:divsChild>
            <w:div w:id="1375154655">
              <w:marLeft w:val="0"/>
              <w:marRight w:val="0"/>
              <w:marTop w:val="0"/>
              <w:marBottom w:val="0"/>
              <w:divBdr>
                <w:top w:val="none" w:sz="0" w:space="0" w:color="auto"/>
                <w:left w:val="none" w:sz="0" w:space="0" w:color="auto"/>
                <w:bottom w:val="none" w:sz="0" w:space="0" w:color="auto"/>
                <w:right w:val="none" w:sz="0" w:space="0" w:color="auto"/>
              </w:divBdr>
            </w:div>
            <w:div w:id="1193155926">
              <w:marLeft w:val="0"/>
              <w:marRight w:val="0"/>
              <w:marTop w:val="0"/>
              <w:marBottom w:val="0"/>
              <w:divBdr>
                <w:top w:val="none" w:sz="0" w:space="0" w:color="auto"/>
                <w:left w:val="none" w:sz="0" w:space="0" w:color="auto"/>
                <w:bottom w:val="none" w:sz="0" w:space="0" w:color="auto"/>
                <w:right w:val="none" w:sz="0" w:space="0" w:color="auto"/>
              </w:divBdr>
            </w:div>
            <w:div w:id="152644634">
              <w:marLeft w:val="0"/>
              <w:marRight w:val="0"/>
              <w:marTop w:val="0"/>
              <w:marBottom w:val="0"/>
              <w:divBdr>
                <w:top w:val="none" w:sz="0" w:space="0" w:color="auto"/>
                <w:left w:val="none" w:sz="0" w:space="0" w:color="auto"/>
                <w:bottom w:val="none" w:sz="0" w:space="0" w:color="auto"/>
                <w:right w:val="none" w:sz="0" w:space="0" w:color="auto"/>
              </w:divBdr>
            </w:div>
            <w:div w:id="1745906066">
              <w:marLeft w:val="0"/>
              <w:marRight w:val="0"/>
              <w:marTop w:val="0"/>
              <w:marBottom w:val="0"/>
              <w:divBdr>
                <w:top w:val="none" w:sz="0" w:space="0" w:color="auto"/>
                <w:left w:val="none" w:sz="0" w:space="0" w:color="auto"/>
                <w:bottom w:val="none" w:sz="0" w:space="0" w:color="auto"/>
                <w:right w:val="none" w:sz="0" w:space="0" w:color="auto"/>
              </w:divBdr>
            </w:div>
            <w:div w:id="293171294">
              <w:marLeft w:val="0"/>
              <w:marRight w:val="0"/>
              <w:marTop w:val="0"/>
              <w:marBottom w:val="0"/>
              <w:divBdr>
                <w:top w:val="none" w:sz="0" w:space="0" w:color="auto"/>
                <w:left w:val="none" w:sz="0" w:space="0" w:color="auto"/>
                <w:bottom w:val="none" w:sz="0" w:space="0" w:color="auto"/>
                <w:right w:val="none" w:sz="0" w:space="0" w:color="auto"/>
              </w:divBdr>
            </w:div>
          </w:divsChild>
        </w:div>
        <w:div w:id="1836526458">
          <w:marLeft w:val="0"/>
          <w:marRight w:val="0"/>
          <w:marTop w:val="0"/>
          <w:marBottom w:val="0"/>
          <w:divBdr>
            <w:top w:val="none" w:sz="0" w:space="0" w:color="auto"/>
            <w:left w:val="none" w:sz="0" w:space="0" w:color="auto"/>
            <w:bottom w:val="none" w:sz="0" w:space="0" w:color="auto"/>
            <w:right w:val="none" w:sz="0" w:space="0" w:color="auto"/>
          </w:divBdr>
          <w:divsChild>
            <w:div w:id="1153059618">
              <w:marLeft w:val="0"/>
              <w:marRight w:val="0"/>
              <w:marTop w:val="0"/>
              <w:marBottom w:val="0"/>
              <w:divBdr>
                <w:top w:val="none" w:sz="0" w:space="0" w:color="auto"/>
                <w:left w:val="none" w:sz="0" w:space="0" w:color="auto"/>
                <w:bottom w:val="none" w:sz="0" w:space="0" w:color="auto"/>
                <w:right w:val="none" w:sz="0" w:space="0" w:color="auto"/>
              </w:divBdr>
            </w:div>
            <w:div w:id="252974095">
              <w:marLeft w:val="0"/>
              <w:marRight w:val="0"/>
              <w:marTop w:val="0"/>
              <w:marBottom w:val="0"/>
              <w:divBdr>
                <w:top w:val="none" w:sz="0" w:space="0" w:color="auto"/>
                <w:left w:val="none" w:sz="0" w:space="0" w:color="auto"/>
                <w:bottom w:val="none" w:sz="0" w:space="0" w:color="auto"/>
                <w:right w:val="none" w:sz="0" w:space="0" w:color="auto"/>
              </w:divBdr>
            </w:div>
            <w:div w:id="465974370">
              <w:marLeft w:val="0"/>
              <w:marRight w:val="0"/>
              <w:marTop w:val="0"/>
              <w:marBottom w:val="0"/>
              <w:divBdr>
                <w:top w:val="none" w:sz="0" w:space="0" w:color="auto"/>
                <w:left w:val="none" w:sz="0" w:space="0" w:color="auto"/>
                <w:bottom w:val="none" w:sz="0" w:space="0" w:color="auto"/>
                <w:right w:val="none" w:sz="0" w:space="0" w:color="auto"/>
              </w:divBdr>
            </w:div>
            <w:div w:id="762535188">
              <w:marLeft w:val="0"/>
              <w:marRight w:val="0"/>
              <w:marTop w:val="0"/>
              <w:marBottom w:val="0"/>
              <w:divBdr>
                <w:top w:val="none" w:sz="0" w:space="0" w:color="auto"/>
                <w:left w:val="none" w:sz="0" w:space="0" w:color="auto"/>
                <w:bottom w:val="none" w:sz="0" w:space="0" w:color="auto"/>
                <w:right w:val="none" w:sz="0" w:space="0" w:color="auto"/>
              </w:divBdr>
            </w:div>
            <w:div w:id="1513228375">
              <w:marLeft w:val="0"/>
              <w:marRight w:val="0"/>
              <w:marTop w:val="0"/>
              <w:marBottom w:val="0"/>
              <w:divBdr>
                <w:top w:val="none" w:sz="0" w:space="0" w:color="auto"/>
                <w:left w:val="none" w:sz="0" w:space="0" w:color="auto"/>
                <w:bottom w:val="none" w:sz="0" w:space="0" w:color="auto"/>
                <w:right w:val="none" w:sz="0" w:space="0" w:color="auto"/>
              </w:divBdr>
            </w:div>
          </w:divsChild>
        </w:div>
        <w:div w:id="1128550095">
          <w:marLeft w:val="0"/>
          <w:marRight w:val="0"/>
          <w:marTop w:val="0"/>
          <w:marBottom w:val="0"/>
          <w:divBdr>
            <w:top w:val="none" w:sz="0" w:space="0" w:color="auto"/>
            <w:left w:val="none" w:sz="0" w:space="0" w:color="auto"/>
            <w:bottom w:val="none" w:sz="0" w:space="0" w:color="auto"/>
            <w:right w:val="none" w:sz="0" w:space="0" w:color="auto"/>
          </w:divBdr>
          <w:divsChild>
            <w:div w:id="407390849">
              <w:marLeft w:val="0"/>
              <w:marRight w:val="0"/>
              <w:marTop w:val="0"/>
              <w:marBottom w:val="0"/>
              <w:divBdr>
                <w:top w:val="none" w:sz="0" w:space="0" w:color="auto"/>
                <w:left w:val="none" w:sz="0" w:space="0" w:color="auto"/>
                <w:bottom w:val="none" w:sz="0" w:space="0" w:color="auto"/>
                <w:right w:val="none" w:sz="0" w:space="0" w:color="auto"/>
              </w:divBdr>
            </w:div>
            <w:div w:id="1142380584">
              <w:marLeft w:val="0"/>
              <w:marRight w:val="0"/>
              <w:marTop w:val="0"/>
              <w:marBottom w:val="0"/>
              <w:divBdr>
                <w:top w:val="none" w:sz="0" w:space="0" w:color="auto"/>
                <w:left w:val="none" w:sz="0" w:space="0" w:color="auto"/>
                <w:bottom w:val="none" w:sz="0" w:space="0" w:color="auto"/>
                <w:right w:val="none" w:sz="0" w:space="0" w:color="auto"/>
              </w:divBdr>
            </w:div>
            <w:div w:id="1192953861">
              <w:marLeft w:val="0"/>
              <w:marRight w:val="0"/>
              <w:marTop w:val="0"/>
              <w:marBottom w:val="0"/>
              <w:divBdr>
                <w:top w:val="none" w:sz="0" w:space="0" w:color="auto"/>
                <w:left w:val="none" w:sz="0" w:space="0" w:color="auto"/>
                <w:bottom w:val="none" w:sz="0" w:space="0" w:color="auto"/>
                <w:right w:val="none" w:sz="0" w:space="0" w:color="auto"/>
              </w:divBdr>
            </w:div>
          </w:divsChild>
        </w:div>
        <w:div w:id="953637238">
          <w:marLeft w:val="0"/>
          <w:marRight w:val="0"/>
          <w:marTop w:val="0"/>
          <w:marBottom w:val="0"/>
          <w:divBdr>
            <w:top w:val="none" w:sz="0" w:space="0" w:color="auto"/>
            <w:left w:val="none" w:sz="0" w:space="0" w:color="auto"/>
            <w:bottom w:val="none" w:sz="0" w:space="0" w:color="auto"/>
            <w:right w:val="none" w:sz="0" w:space="0" w:color="auto"/>
          </w:divBdr>
          <w:divsChild>
            <w:div w:id="330067371">
              <w:marLeft w:val="0"/>
              <w:marRight w:val="0"/>
              <w:marTop w:val="0"/>
              <w:marBottom w:val="0"/>
              <w:divBdr>
                <w:top w:val="none" w:sz="0" w:space="0" w:color="auto"/>
                <w:left w:val="none" w:sz="0" w:space="0" w:color="auto"/>
                <w:bottom w:val="none" w:sz="0" w:space="0" w:color="auto"/>
                <w:right w:val="none" w:sz="0" w:space="0" w:color="auto"/>
              </w:divBdr>
            </w:div>
            <w:div w:id="1721204122">
              <w:marLeft w:val="0"/>
              <w:marRight w:val="0"/>
              <w:marTop w:val="0"/>
              <w:marBottom w:val="0"/>
              <w:divBdr>
                <w:top w:val="none" w:sz="0" w:space="0" w:color="auto"/>
                <w:left w:val="none" w:sz="0" w:space="0" w:color="auto"/>
                <w:bottom w:val="none" w:sz="0" w:space="0" w:color="auto"/>
                <w:right w:val="none" w:sz="0" w:space="0" w:color="auto"/>
              </w:divBdr>
            </w:div>
            <w:div w:id="543758897">
              <w:marLeft w:val="0"/>
              <w:marRight w:val="0"/>
              <w:marTop w:val="0"/>
              <w:marBottom w:val="0"/>
              <w:divBdr>
                <w:top w:val="none" w:sz="0" w:space="0" w:color="auto"/>
                <w:left w:val="none" w:sz="0" w:space="0" w:color="auto"/>
                <w:bottom w:val="none" w:sz="0" w:space="0" w:color="auto"/>
                <w:right w:val="none" w:sz="0" w:space="0" w:color="auto"/>
              </w:divBdr>
            </w:div>
            <w:div w:id="1286548090">
              <w:marLeft w:val="0"/>
              <w:marRight w:val="0"/>
              <w:marTop w:val="0"/>
              <w:marBottom w:val="0"/>
              <w:divBdr>
                <w:top w:val="none" w:sz="0" w:space="0" w:color="auto"/>
                <w:left w:val="none" w:sz="0" w:space="0" w:color="auto"/>
                <w:bottom w:val="none" w:sz="0" w:space="0" w:color="auto"/>
                <w:right w:val="none" w:sz="0" w:space="0" w:color="auto"/>
              </w:divBdr>
            </w:div>
            <w:div w:id="220364327">
              <w:marLeft w:val="0"/>
              <w:marRight w:val="0"/>
              <w:marTop w:val="0"/>
              <w:marBottom w:val="0"/>
              <w:divBdr>
                <w:top w:val="none" w:sz="0" w:space="0" w:color="auto"/>
                <w:left w:val="none" w:sz="0" w:space="0" w:color="auto"/>
                <w:bottom w:val="none" w:sz="0" w:space="0" w:color="auto"/>
                <w:right w:val="none" w:sz="0" w:space="0" w:color="auto"/>
              </w:divBdr>
            </w:div>
          </w:divsChild>
        </w:div>
        <w:div w:id="568075362">
          <w:marLeft w:val="0"/>
          <w:marRight w:val="0"/>
          <w:marTop w:val="0"/>
          <w:marBottom w:val="0"/>
          <w:divBdr>
            <w:top w:val="none" w:sz="0" w:space="0" w:color="auto"/>
            <w:left w:val="none" w:sz="0" w:space="0" w:color="auto"/>
            <w:bottom w:val="none" w:sz="0" w:space="0" w:color="auto"/>
            <w:right w:val="none" w:sz="0" w:space="0" w:color="auto"/>
          </w:divBdr>
        </w:div>
        <w:div w:id="1538200560">
          <w:marLeft w:val="0"/>
          <w:marRight w:val="0"/>
          <w:marTop w:val="0"/>
          <w:marBottom w:val="0"/>
          <w:divBdr>
            <w:top w:val="none" w:sz="0" w:space="0" w:color="auto"/>
            <w:left w:val="none" w:sz="0" w:space="0" w:color="auto"/>
            <w:bottom w:val="none" w:sz="0" w:space="0" w:color="auto"/>
            <w:right w:val="none" w:sz="0" w:space="0" w:color="auto"/>
          </w:divBdr>
          <w:divsChild>
            <w:div w:id="1030690503">
              <w:marLeft w:val="-75"/>
              <w:marRight w:val="0"/>
              <w:marTop w:val="30"/>
              <w:marBottom w:val="30"/>
              <w:divBdr>
                <w:top w:val="none" w:sz="0" w:space="0" w:color="auto"/>
                <w:left w:val="none" w:sz="0" w:space="0" w:color="auto"/>
                <w:bottom w:val="none" w:sz="0" w:space="0" w:color="auto"/>
                <w:right w:val="none" w:sz="0" w:space="0" w:color="auto"/>
              </w:divBdr>
              <w:divsChild>
                <w:div w:id="439450645">
                  <w:marLeft w:val="0"/>
                  <w:marRight w:val="0"/>
                  <w:marTop w:val="0"/>
                  <w:marBottom w:val="0"/>
                  <w:divBdr>
                    <w:top w:val="none" w:sz="0" w:space="0" w:color="auto"/>
                    <w:left w:val="none" w:sz="0" w:space="0" w:color="auto"/>
                    <w:bottom w:val="none" w:sz="0" w:space="0" w:color="auto"/>
                    <w:right w:val="none" w:sz="0" w:space="0" w:color="auto"/>
                  </w:divBdr>
                  <w:divsChild>
                    <w:div w:id="1359618204">
                      <w:marLeft w:val="0"/>
                      <w:marRight w:val="0"/>
                      <w:marTop w:val="0"/>
                      <w:marBottom w:val="0"/>
                      <w:divBdr>
                        <w:top w:val="none" w:sz="0" w:space="0" w:color="auto"/>
                        <w:left w:val="none" w:sz="0" w:space="0" w:color="auto"/>
                        <w:bottom w:val="none" w:sz="0" w:space="0" w:color="auto"/>
                        <w:right w:val="none" w:sz="0" w:space="0" w:color="auto"/>
                      </w:divBdr>
                    </w:div>
                  </w:divsChild>
                </w:div>
                <w:div w:id="835262197">
                  <w:marLeft w:val="0"/>
                  <w:marRight w:val="0"/>
                  <w:marTop w:val="0"/>
                  <w:marBottom w:val="0"/>
                  <w:divBdr>
                    <w:top w:val="none" w:sz="0" w:space="0" w:color="auto"/>
                    <w:left w:val="none" w:sz="0" w:space="0" w:color="auto"/>
                    <w:bottom w:val="none" w:sz="0" w:space="0" w:color="auto"/>
                    <w:right w:val="none" w:sz="0" w:space="0" w:color="auto"/>
                  </w:divBdr>
                  <w:divsChild>
                    <w:div w:id="1468469984">
                      <w:marLeft w:val="0"/>
                      <w:marRight w:val="0"/>
                      <w:marTop w:val="0"/>
                      <w:marBottom w:val="0"/>
                      <w:divBdr>
                        <w:top w:val="none" w:sz="0" w:space="0" w:color="auto"/>
                        <w:left w:val="none" w:sz="0" w:space="0" w:color="auto"/>
                        <w:bottom w:val="none" w:sz="0" w:space="0" w:color="auto"/>
                        <w:right w:val="none" w:sz="0" w:space="0" w:color="auto"/>
                      </w:divBdr>
                    </w:div>
                  </w:divsChild>
                </w:div>
                <w:div w:id="1874032042">
                  <w:marLeft w:val="0"/>
                  <w:marRight w:val="0"/>
                  <w:marTop w:val="0"/>
                  <w:marBottom w:val="0"/>
                  <w:divBdr>
                    <w:top w:val="none" w:sz="0" w:space="0" w:color="auto"/>
                    <w:left w:val="none" w:sz="0" w:space="0" w:color="auto"/>
                    <w:bottom w:val="none" w:sz="0" w:space="0" w:color="auto"/>
                    <w:right w:val="none" w:sz="0" w:space="0" w:color="auto"/>
                  </w:divBdr>
                  <w:divsChild>
                    <w:div w:id="1346664389">
                      <w:marLeft w:val="0"/>
                      <w:marRight w:val="0"/>
                      <w:marTop w:val="0"/>
                      <w:marBottom w:val="0"/>
                      <w:divBdr>
                        <w:top w:val="none" w:sz="0" w:space="0" w:color="auto"/>
                        <w:left w:val="none" w:sz="0" w:space="0" w:color="auto"/>
                        <w:bottom w:val="none" w:sz="0" w:space="0" w:color="auto"/>
                        <w:right w:val="none" w:sz="0" w:space="0" w:color="auto"/>
                      </w:divBdr>
                    </w:div>
                  </w:divsChild>
                </w:div>
                <w:div w:id="1896239809">
                  <w:marLeft w:val="0"/>
                  <w:marRight w:val="0"/>
                  <w:marTop w:val="0"/>
                  <w:marBottom w:val="0"/>
                  <w:divBdr>
                    <w:top w:val="none" w:sz="0" w:space="0" w:color="auto"/>
                    <w:left w:val="none" w:sz="0" w:space="0" w:color="auto"/>
                    <w:bottom w:val="none" w:sz="0" w:space="0" w:color="auto"/>
                    <w:right w:val="none" w:sz="0" w:space="0" w:color="auto"/>
                  </w:divBdr>
                  <w:divsChild>
                    <w:div w:id="385639604">
                      <w:marLeft w:val="0"/>
                      <w:marRight w:val="0"/>
                      <w:marTop w:val="0"/>
                      <w:marBottom w:val="0"/>
                      <w:divBdr>
                        <w:top w:val="none" w:sz="0" w:space="0" w:color="auto"/>
                        <w:left w:val="none" w:sz="0" w:space="0" w:color="auto"/>
                        <w:bottom w:val="none" w:sz="0" w:space="0" w:color="auto"/>
                        <w:right w:val="none" w:sz="0" w:space="0" w:color="auto"/>
                      </w:divBdr>
                    </w:div>
                  </w:divsChild>
                </w:div>
                <w:div w:id="738094220">
                  <w:marLeft w:val="0"/>
                  <w:marRight w:val="0"/>
                  <w:marTop w:val="0"/>
                  <w:marBottom w:val="0"/>
                  <w:divBdr>
                    <w:top w:val="none" w:sz="0" w:space="0" w:color="auto"/>
                    <w:left w:val="none" w:sz="0" w:space="0" w:color="auto"/>
                    <w:bottom w:val="none" w:sz="0" w:space="0" w:color="auto"/>
                    <w:right w:val="none" w:sz="0" w:space="0" w:color="auto"/>
                  </w:divBdr>
                  <w:divsChild>
                    <w:div w:id="1453859116">
                      <w:marLeft w:val="0"/>
                      <w:marRight w:val="0"/>
                      <w:marTop w:val="0"/>
                      <w:marBottom w:val="0"/>
                      <w:divBdr>
                        <w:top w:val="none" w:sz="0" w:space="0" w:color="auto"/>
                        <w:left w:val="none" w:sz="0" w:space="0" w:color="auto"/>
                        <w:bottom w:val="none" w:sz="0" w:space="0" w:color="auto"/>
                        <w:right w:val="none" w:sz="0" w:space="0" w:color="auto"/>
                      </w:divBdr>
                    </w:div>
                  </w:divsChild>
                </w:div>
                <w:div w:id="1785539217">
                  <w:marLeft w:val="0"/>
                  <w:marRight w:val="0"/>
                  <w:marTop w:val="0"/>
                  <w:marBottom w:val="0"/>
                  <w:divBdr>
                    <w:top w:val="none" w:sz="0" w:space="0" w:color="auto"/>
                    <w:left w:val="none" w:sz="0" w:space="0" w:color="auto"/>
                    <w:bottom w:val="none" w:sz="0" w:space="0" w:color="auto"/>
                    <w:right w:val="none" w:sz="0" w:space="0" w:color="auto"/>
                  </w:divBdr>
                  <w:divsChild>
                    <w:div w:id="1682002375">
                      <w:marLeft w:val="0"/>
                      <w:marRight w:val="0"/>
                      <w:marTop w:val="0"/>
                      <w:marBottom w:val="0"/>
                      <w:divBdr>
                        <w:top w:val="none" w:sz="0" w:space="0" w:color="auto"/>
                        <w:left w:val="none" w:sz="0" w:space="0" w:color="auto"/>
                        <w:bottom w:val="none" w:sz="0" w:space="0" w:color="auto"/>
                        <w:right w:val="none" w:sz="0" w:space="0" w:color="auto"/>
                      </w:divBdr>
                    </w:div>
                  </w:divsChild>
                </w:div>
                <w:div w:id="618798070">
                  <w:marLeft w:val="0"/>
                  <w:marRight w:val="0"/>
                  <w:marTop w:val="0"/>
                  <w:marBottom w:val="0"/>
                  <w:divBdr>
                    <w:top w:val="none" w:sz="0" w:space="0" w:color="auto"/>
                    <w:left w:val="none" w:sz="0" w:space="0" w:color="auto"/>
                    <w:bottom w:val="none" w:sz="0" w:space="0" w:color="auto"/>
                    <w:right w:val="none" w:sz="0" w:space="0" w:color="auto"/>
                  </w:divBdr>
                  <w:divsChild>
                    <w:div w:id="429785129">
                      <w:marLeft w:val="0"/>
                      <w:marRight w:val="0"/>
                      <w:marTop w:val="0"/>
                      <w:marBottom w:val="0"/>
                      <w:divBdr>
                        <w:top w:val="none" w:sz="0" w:space="0" w:color="auto"/>
                        <w:left w:val="none" w:sz="0" w:space="0" w:color="auto"/>
                        <w:bottom w:val="none" w:sz="0" w:space="0" w:color="auto"/>
                        <w:right w:val="none" w:sz="0" w:space="0" w:color="auto"/>
                      </w:divBdr>
                    </w:div>
                  </w:divsChild>
                </w:div>
                <w:div w:id="252473224">
                  <w:marLeft w:val="0"/>
                  <w:marRight w:val="0"/>
                  <w:marTop w:val="0"/>
                  <w:marBottom w:val="0"/>
                  <w:divBdr>
                    <w:top w:val="none" w:sz="0" w:space="0" w:color="auto"/>
                    <w:left w:val="none" w:sz="0" w:space="0" w:color="auto"/>
                    <w:bottom w:val="none" w:sz="0" w:space="0" w:color="auto"/>
                    <w:right w:val="none" w:sz="0" w:space="0" w:color="auto"/>
                  </w:divBdr>
                  <w:divsChild>
                    <w:div w:id="1209220644">
                      <w:marLeft w:val="0"/>
                      <w:marRight w:val="0"/>
                      <w:marTop w:val="0"/>
                      <w:marBottom w:val="0"/>
                      <w:divBdr>
                        <w:top w:val="none" w:sz="0" w:space="0" w:color="auto"/>
                        <w:left w:val="none" w:sz="0" w:space="0" w:color="auto"/>
                        <w:bottom w:val="none" w:sz="0" w:space="0" w:color="auto"/>
                        <w:right w:val="none" w:sz="0" w:space="0" w:color="auto"/>
                      </w:divBdr>
                    </w:div>
                  </w:divsChild>
                </w:div>
                <w:div w:id="837228363">
                  <w:marLeft w:val="0"/>
                  <w:marRight w:val="0"/>
                  <w:marTop w:val="0"/>
                  <w:marBottom w:val="0"/>
                  <w:divBdr>
                    <w:top w:val="none" w:sz="0" w:space="0" w:color="auto"/>
                    <w:left w:val="none" w:sz="0" w:space="0" w:color="auto"/>
                    <w:bottom w:val="none" w:sz="0" w:space="0" w:color="auto"/>
                    <w:right w:val="none" w:sz="0" w:space="0" w:color="auto"/>
                  </w:divBdr>
                  <w:divsChild>
                    <w:div w:id="1391149772">
                      <w:marLeft w:val="0"/>
                      <w:marRight w:val="0"/>
                      <w:marTop w:val="0"/>
                      <w:marBottom w:val="0"/>
                      <w:divBdr>
                        <w:top w:val="none" w:sz="0" w:space="0" w:color="auto"/>
                        <w:left w:val="none" w:sz="0" w:space="0" w:color="auto"/>
                        <w:bottom w:val="none" w:sz="0" w:space="0" w:color="auto"/>
                        <w:right w:val="none" w:sz="0" w:space="0" w:color="auto"/>
                      </w:divBdr>
                    </w:div>
                  </w:divsChild>
                </w:div>
                <w:div w:id="1081558220">
                  <w:marLeft w:val="0"/>
                  <w:marRight w:val="0"/>
                  <w:marTop w:val="0"/>
                  <w:marBottom w:val="0"/>
                  <w:divBdr>
                    <w:top w:val="none" w:sz="0" w:space="0" w:color="auto"/>
                    <w:left w:val="none" w:sz="0" w:space="0" w:color="auto"/>
                    <w:bottom w:val="none" w:sz="0" w:space="0" w:color="auto"/>
                    <w:right w:val="none" w:sz="0" w:space="0" w:color="auto"/>
                  </w:divBdr>
                  <w:divsChild>
                    <w:div w:id="520363348">
                      <w:marLeft w:val="0"/>
                      <w:marRight w:val="0"/>
                      <w:marTop w:val="0"/>
                      <w:marBottom w:val="0"/>
                      <w:divBdr>
                        <w:top w:val="none" w:sz="0" w:space="0" w:color="auto"/>
                        <w:left w:val="none" w:sz="0" w:space="0" w:color="auto"/>
                        <w:bottom w:val="none" w:sz="0" w:space="0" w:color="auto"/>
                        <w:right w:val="none" w:sz="0" w:space="0" w:color="auto"/>
                      </w:divBdr>
                    </w:div>
                  </w:divsChild>
                </w:div>
                <w:div w:id="784075614">
                  <w:marLeft w:val="0"/>
                  <w:marRight w:val="0"/>
                  <w:marTop w:val="0"/>
                  <w:marBottom w:val="0"/>
                  <w:divBdr>
                    <w:top w:val="none" w:sz="0" w:space="0" w:color="auto"/>
                    <w:left w:val="none" w:sz="0" w:space="0" w:color="auto"/>
                    <w:bottom w:val="none" w:sz="0" w:space="0" w:color="auto"/>
                    <w:right w:val="none" w:sz="0" w:space="0" w:color="auto"/>
                  </w:divBdr>
                  <w:divsChild>
                    <w:div w:id="1669867117">
                      <w:marLeft w:val="0"/>
                      <w:marRight w:val="0"/>
                      <w:marTop w:val="0"/>
                      <w:marBottom w:val="0"/>
                      <w:divBdr>
                        <w:top w:val="none" w:sz="0" w:space="0" w:color="auto"/>
                        <w:left w:val="none" w:sz="0" w:space="0" w:color="auto"/>
                        <w:bottom w:val="none" w:sz="0" w:space="0" w:color="auto"/>
                        <w:right w:val="none" w:sz="0" w:space="0" w:color="auto"/>
                      </w:divBdr>
                    </w:div>
                    <w:div w:id="1061059177">
                      <w:marLeft w:val="0"/>
                      <w:marRight w:val="0"/>
                      <w:marTop w:val="0"/>
                      <w:marBottom w:val="0"/>
                      <w:divBdr>
                        <w:top w:val="none" w:sz="0" w:space="0" w:color="auto"/>
                        <w:left w:val="none" w:sz="0" w:space="0" w:color="auto"/>
                        <w:bottom w:val="none" w:sz="0" w:space="0" w:color="auto"/>
                        <w:right w:val="none" w:sz="0" w:space="0" w:color="auto"/>
                      </w:divBdr>
                    </w:div>
                  </w:divsChild>
                </w:div>
                <w:div w:id="1620144540">
                  <w:marLeft w:val="0"/>
                  <w:marRight w:val="0"/>
                  <w:marTop w:val="0"/>
                  <w:marBottom w:val="0"/>
                  <w:divBdr>
                    <w:top w:val="none" w:sz="0" w:space="0" w:color="auto"/>
                    <w:left w:val="none" w:sz="0" w:space="0" w:color="auto"/>
                    <w:bottom w:val="none" w:sz="0" w:space="0" w:color="auto"/>
                    <w:right w:val="none" w:sz="0" w:space="0" w:color="auto"/>
                  </w:divBdr>
                  <w:divsChild>
                    <w:div w:id="419764345">
                      <w:marLeft w:val="0"/>
                      <w:marRight w:val="0"/>
                      <w:marTop w:val="0"/>
                      <w:marBottom w:val="0"/>
                      <w:divBdr>
                        <w:top w:val="none" w:sz="0" w:space="0" w:color="auto"/>
                        <w:left w:val="none" w:sz="0" w:space="0" w:color="auto"/>
                        <w:bottom w:val="none" w:sz="0" w:space="0" w:color="auto"/>
                        <w:right w:val="none" w:sz="0" w:space="0" w:color="auto"/>
                      </w:divBdr>
                    </w:div>
                  </w:divsChild>
                </w:div>
                <w:div w:id="851533023">
                  <w:marLeft w:val="0"/>
                  <w:marRight w:val="0"/>
                  <w:marTop w:val="0"/>
                  <w:marBottom w:val="0"/>
                  <w:divBdr>
                    <w:top w:val="none" w:sz="0" w:space="0" w:color="auto"/>
                    <w:left w:val="none" w:sz="0" w:space="0" w:color="auto"/>
                    <w:bottom w:val="none" w:sz="0" w:space="0" w:color="auto"/>
                    <w:right w:val="none" w:sz="0" w:space="0" w:color="auto"/>
                  </w:divBdr>
                  <w:divsChild>
                    <w:div w:id="421223715">
                      <w:marLeft w:val="0"/>
                      <w:marRight w:val="0"/>
                      <w:marTop w:val="0"/>
                      <w:marBottom w:val="0"/>
                      <w:divBdr>
                        <w:top w:val="none" w:sz="0" w:space="0" w:color="auto"/>
                        <w:left w:val="none" w:sz="0" w:space="0" w:color="auto"/>
                        <w:bottom w:val="none" w:sz="0" w:space="0" w:color="auto"/>
                        <w:right w:val="none" w:sz="0" w:space="0" w:color="auto"/>
                      </w:divBdr>
                    </w:div>
                  </w:divsChild>
                </w:div>
                <w:div w:id="300615503">
                  <w:marLeft w:val="0"/>
                  <w:marRight w:val="0"/>
                  <w:marTop w:val="0"/>
                  <w:marBottom w:val="0"/>
                  <w:divBdr>
                    <w:top w:val="none" w:sz="0" w:space="0" w:color="auto"/>
                    <w:left w:val="none" w:sz="0" w:space="0" w:color="auto"/>
                    <w:bottom w:val="none" w:sz="0" w:space="0" w:color="auto"/>
                    <w:right w:val="none" w:sz="0" w:space="0" w:color="auto"/>
                  </w:divBdr>
                  <w:divsChild>
                    <w:div w:id="1767268462">
                      <w:marLeft w:val="0"/>
                      <w:marRight w:val="0"/>
                      <w:marTop w:val="0"/>
                      <w:marBottom w:val="0"/>
                      <w:divBdr>
                        <w:top w:val="none" w:sz="0" w:space="0" w:color="auto"/>
                        <w:left w:val="none" w:sz="0" w:space="0" w:color="auto"/>
                        <w:bottom w:val="none" w:sz="0" w:space="0" w:color="auto"/>
                        <w:right w:val="none" w:sz="0" w:space="0" w:color="auto"/>
                      </w:divBdr>
                    </w:div>
                    <w:div w:id="2067948171">
                      <w:marLeft w:val="0"/>
                      <w:marRight w:val="0"/>
                      <w:marTop w:val="0"/>
                      <w:marBottom w:val="0"/>
                      <w:divBdr>
                        <w:top w:val="none" w:sz="0" w:space="0" w:color="auto"/>
                        <w:left w:val="none" w:sz="0" w:space="0" w:color="auto"/>
                        <w:bottom w:val="none" w:sz="0" w:space="0" w:color="auto"/>
                        <w:right w:val="none" w:sz="0" w:space="0" w:color="auto"/>
                      </w:divBdr>
                    </w:div>
                  </w:divsChild>
                </w:div>
                <w:div w:id="1439057601">
                  <w:marLeft w:val="0"/>
                  <w:marRight w:val="0"/>
                  <w:marTop w:val="0"/>
                  <w:marBottom w:val="0"/>
                  <w:divBdr>
                    <w:top w:val="none" w:sz="0" w:space="0" w:color="auto"/>
                    <w:left w:val="none" w:sz="0" w:space="0" w:color="auto"/>
                    <w:bottom w:val="none" w:sz="0" w:space="0" w:color="auto"/>
                    <w:right w:val="none" w:sz="0" w:space="0" w:color="auto"/>
                  </w:divBdr>
                  <w:divsChild>
                    <w:div w:id="1578132383">
                      <w:marLeft w:val="0"/>
                      <w:marRight w:val="0"/>
                      <w:marTop w:val="0"/>
                      <w:marBottom w:val="0"/>
                      <w:divBdr>
                        <w:top w:val="none" w:sz="0" w:space="0" w:color="auto"/>
                        <w:left w:val="none" w:sz="0" w:space="0" w:color="auto"/>
                        <w:bottom w:val="none" w:sz="0" w:space="0" w:color="auto"/>
                        <w:right w:val="none" w:sz="0" w:space="0" w:color="auto"/>
                      </w:divBdr>
                    </w:div>
                    <w:div w:id="1578437451">
                      <w:marLeft w:val="0"/>
                      <w:marRight w:val="0"/>
                      <w:marTop w:val="0"/>
                      <w:marBottom w:val="0"/>
                      <w:divBdr>
                        <w:top w:val="none" w:sz="0" w:space="0" w:color="auto"/>
                        <w:left w:val="none" w:sz="0" w:space="0" w:color="auto"/>
                        <w:bottom w:val="none" w:sz="0" w:space="0" w:color="auto"/>
                        <w:right w:val="none" w:sz="0" w:space="0" w:color="auto"/>
                      </w:divBdr>
                    </w:div>
                  </w:divsChild>
                </w:div>
                <w:div w:id="1259679740">
                  <w:marLeft w:val="0"/>
                  <w:marRight w:val="0"/>
                  <w:marTop w:val="0"/>
                  <w:marBottom w:val="0"/>
                  <w:divBdr>
                    <w:top w:val="none" w:sz="0" w:space="0" w:color="auto"/>
                    <w:left w:val="none" w:sz="0" w:space="0" w:color="auto"/>
                    <w:bottom w:val="none" w:sz="0" w:space="0" w:color="auto"/>
                    <w:right w:val="none" w:sz="0" w:space="0" w:color="auto"/>
                  </w:divBdr>
                  <w:divsChild>
                    <w:div w:id="54084858">
                      <w:marLeft w:val="0"/>
                      <w:marRight w:val="0"/>
                      <w:marTop w:val="0"/>
                      <w:marBottom w:val="0"/>
                      <w:divBdr>
                        <w:top w:val="none" w:sz="0" w:space="0" w:color="auto"/>
                        <w:left w:val="none" w:sz="0" w:space="0" w:color="auto"/>
                        <w:bottom w:val="none" w:sz="0" w:space="0" w:color="auto"/>
                        <w:right w:val="none" w:sz="0" w:space="0" w:color="auto"/>
                      </w:divBdr>
                    </w:div>
                  </w:divsChild>
                </w:div>
                <w:div w:id="440225636">
                  <w:marLeft w:val="0"/>
                  <w:marRight w:val="0"/>
                  <w:marTop w:val="0"/>
                  <w:marBottom w:val="0"/>
                  <w:divBdr>
                    <w:top w:val="none" w:sz="0" w:space="0" w:color="auto"/>
                    <w:left w:val="none" w:sz="0" w:space="0" w:color="auto"/>
                    <w:bottom w:val="none" w:sz="0" w:space="0" w:color="auto"/>
                    <w:right w:val="none" w:sz="0" w:space="0" w:color="auto"/>
                  </w:divBdr>
                  <w:divsChild>
                    <w:div w:id="1617329362">
                      <w:marLeft w:val="0"/>
                      <w:marRight w:val="0"/>
                      <w:marTop w:val="0"/>
                      <w:marBottom w:val="0"/>
                      <w:divBdr>
                        <w:top w:val="none" w:sz="0" w:space="0" w:color="auto"/>
                        <w:left w:val="none" w:sz="0" w:space="0" w:color="auto"/>
                        <w:bottom w:val="none" w:sz="0" w:space="0" w:color="auto"/>
                        <w:right w:val="none" w:sz="0" w:space="0" w:color="auto"/>
                      </w:divBdr>
                    </w:div>
                    <w:div w:id="521668105">
                      <w:marLeft w:val="0"/>
                      <w:marRight w:val="0"/>
                      <w:marTop w:val="0"/>
                      <w:marBottom w:val="0"/>
                      <w:divBdr>
                        <w:top w:val="none" w:sz="0" w:space="0" w:color="auto"/>
                        <w:left w:val="none" w:sz="0" w:space="0" w:color="auto"/>
                        <w:bottom w:val="none" w:sz="0" w:space="0" w:color="auto"/>
                        <w:right w:val="none" w:sz="0" w:space="0" w:color="auto"/>
                      </w:divBdr>
                    </w:div>
                  </w:divsChild>
                </w:div>
                <w:div w:id="1393964384">
                  <w:marLeft w:val="0"/>
                  <w:marRight w:val="0"/>
                  <w:marTop w:val="0"/>
                  <w:marBottom w:val="0"/>
                  <w:divBdr>
                    <w:top w:val="none" w:sz="0" w:space="0" w:color="auto"/>
                    <w:left w:val="none" w:sz="0" w:space="0" w:color="auto"/>
                    <w:bottom w:val="none" w:sz="0" w:space="0" w:color="auto"/>
                    <w:right w:val="none" w:sz="0" w:space="0" w:color="auto"/>
                  </w:divBdr>
                  <w:divsChild>
                    <w:div w:id="1224876517">
                      <w:marLeft w:val="0"/>
                      <w:marRight w:val="0"/>
                      <w:marTop w:val="0"/>
                      <w:marBottom w:val="0"/>
                      <w:divBdr>
                        <w:top w:val="none" w:sz="0" w:space="0" w:color="auto"/>
                        <w:left w:val="none" w:sz="0" w:space="0" w:color="auto"/>
                        <w:bottom w:val="none" w:sz="0" w:space="0" w:color="auto"/>
                        <w:right w:val="none" w:sz="0" w:space="0" w:color="auto"/>
                      </w:divBdr>
                    </w:div>
                  </w:divsChild>
                </w:div>
              </w:divsChild>
            </w:div>
          </w:divsChild>
        </w:div>
        <w:div w:id="1602491009">
          <w:marLeft w:val="0"/>
          <w:marRight w:val="0"/>
          <w:marTop w:val="0"/>
          <w:marBottom w:val="0"/>
          <w:divBdr>
            <w:top w:val="none" w:sz="0" w:space="0" w:color="auto"/>
            <w:left w:val="none" w:sz="0" w:space="0" w:color="auto"/>
            <w:bottom w:val="none" w:sz="0" w:space="0" w:color="auto"/>
            <w:right w:val="none" w:sz="0" w:space="0" w:color="auto"/>
          </w:divBdr>
        </w:div>
        <w:div w:id="1668825297">
          <w:marLeft w:val="0"/>
          <w:marRight w:val="0"/>
          <w:marTop w:val="0"/>
          <w:marBottom w:val="0"/>
          <w:divBdr>
            <w:top w:val="none" w:sz="0" w:space="0" w:color="auto"/>
            <w:left w:val="none" w:sz="0" w:space="0" w:color="auto"/>
            <w:bottom w:val="none" w:sz="0" w:space="0" w:color="auto"/>
            <w:right w:val="none" w:sz="0" w:space="0" w:color="auto"/>
          </w:divBdr>
        </w:div>
        <w:div w:id="596713425">
          <w:marLeft w:val="0"/>
          <w:marRight w:val="0"/>
          <w:marTop w:val="0"/>
          <w:marBottom w:val="0"/>
          <w:divBdr>
            <w:top w:val="none" w:sz="0" w:space="0" w:color="auto"/>
            <w:left w:val="none" w:sz="0" w:space="0" w:color="auto"/>
            <w:bottom w:val="none" w:sz="0" w:space="0" w:color="auto"/>
            <w:right w:val="none" w:sz="0" w:space="0" w:color="auto"/>
          </w:divBdr>
        </w:div>
        <w:div w:id="355544057">
          <w:marLeft w:val="0"/>
          <w:marRight w:val="0"/>
          <w:marTop w:val="0"/>
          <w:marBottom w:val="0"/>
          <w:divBdr>
            <w:top w:val="none" w:sz="0" w:space="0" w:color="auto"/>
            <w:left w:val="none" w:sz="0" w:space="0" w:color="auto"/>
            <w:bottom w:val="none" w:sz="0" w:space="0" w:color="auto"/>
            <w:right w:val="none" w:sz="0" w:space="0" w:color="auto"/>
          </w:divBdr>
        </w:div>
        <w:div w:id="210045895">
          <w:marLeft w:val="0"/>
          <w:marRight w:val="0"/>
          <w:marTop w:val="0"/>
          <w:marBottom w:val="0"/>
          <w:divBdr>
            <w:top w:val="none" w:sz="0" w:space="0" w:color="auto"/>
            <w:left w:val="none" w:sz="0" w:space="0" w:color="auto"/>
            <w:bottom w:val="none" w:sz="0" w:space="0" w:color="auto"/>
            <w:right w:val="none" w:sz="0" w:space="0" w:color="auto"/>
          </w:divBdr>
        </w:div>
        <w:div w:id="1252810003">
          <w:marLeft w:val="0"/>
          <w:marRight w:val="0"/>
          <w:marTop w:val="0"/>
          <w:marBottom w:val="0"/>
          <w:divBdr>
            <w:top w:val="none" w:sz="0" w:space="0" w:color="auto"/>
            <w:left w:val="none" w:sz="0" w:space="0" w:color="auto"/>
            <w:bottom w:val="none" w:sz="0" w:space="0" w:color="auto"/>
            <w:right w:val="none" w:sz="0" w:space="0" w:color="auto"/>
          </w:divBdr>
        </w:div>
      </w:divsChild>
    </w:div>
    <w:div w:id="2134253827">
      <w:bodyDiv w:val="1"/>
      <w:marLeft w:val="0"/>
      <w:marRight w:val="0"/>
      <w:marTop w:val="0"/>
      <w:marBottom w:val="0"/>
      <w:divBdr>
        <w:top w:val="none" w:sz="0" w:space="0" w:color="auto"/>
        <w:left w:val="none" w:sz="0" w:space="0" w:color="auto"/>
        <w:bottom w:val="none" w:sz="0" w:space="0" w:color="auto"/>
        <w:right w:val="none" w:sz="0" w:space="0" w:color="auto"/>
      </w:divBdr>
    </w:div>
  </w:divs>
  <w:optimizeForBrowser/>
  <w:allowPNG/>
</w:webSettings>
</file>

<file path=word/_rels/document.xml.rels><?xml version="1.0" encoding="UTF-8" standalone="yes"?>
<Relationships xmlns="http://schemas.openxmlformats.org/package/2006/relationships"><Relationship Id="rId8" Type="http://schemas.openxmlformats.org/officeDocument/2006/relationships/footnotes" Target="footnotes.xml"/><Relationship Id="rId13" Type="http://schemas.openxmlformats.org/officeDocument/2006/relationships/hyperlink" Target="https://formacionvirtual.colombiacompra.gov.co/mod/page/view.php?id=3718" TargetMode="External"/><Relationship Id="rId18" Type="http://schemas.openxmlformats.org/officeDocument/2006/relationships/footer" Target="footer1.xml"/><Relationship Id="rId3" Type="http://schemas.openxmlformats.org/officeDocument/2006/relationships/customXml" Target="../customXml/item3.xml"/><Relationship Id="rId7" Type="http://schemas.openxmlformats.org/officeDocument/2006/relationships/webSettings" Target="webSettings.xml"/><Relationship Id="rId12" Type="http://schemas.openxmlformats.org/officeDocument/2006/relationships/hyperlink" Target="https://relatoria.colombiacompra.gov.co/busqueda/conceptos" TargetMode="External"/><Relationship Id="rId17" Type="http://schemas.openxmlformats.org/officeDocument/2006/relationships/header" Target="header1.xml"/><Relationship Id="rId2" Type="http://schemas.openxmlformats.org/officeDocument/2006/relationships/customXml" Target="../customXml/item2.xml"/><Relationship Id="rId16" Type="http://schemas.openxmlformats.org/officeDocument/2006/relationships/image" Target="media/image3.jpeg"/><Relationship Id="rId20" Type="http://schemas.openxmlformats.org/officeDocument/2006/relationships/theme" Target="theme/theme1.xml"/><Relationship Id="rId1" Type="http://schemas.openxmlformats.org/officeDocument/2006/relationships/customXml" Target="../customXml/item1.xml"/><Relationship Id="rId6" Type="http://schemas.openxmlformats.org/officeDocument/2006/relationships/settings" Target="settings.xml"/><Relationship Id="rId11" Type="http://schemas.openxmlformats.org/officeDocument/2006/relationships/hyperlink" Target="mailto:isabela21castillo@gmail.com" TargetMode="External"/><Relationship Id="rId5" Type="http://schemas.openxmlformats.org/officeDocument/2006/relationships/styles" Target="styles.xml"/><Relationship Id="rId15" Type="http://schemas.openxmlformats.org/officeDocument/2006/relationships/hyperlink" Target="https://www.colombiacompra.gov.co/archivos/manual/guia-para-la-comprension-e-implementacion-de-los-documentos-tipo-de-obra-publica-de-infraestructura-de-transporte-bajo-las-diferentes-modalidades-de-contratacion-vigentes" TargetMode="External"/><Relationship Id="rId10" Type="http://schemas.openxmlformats.org/officeDocument/2006/relationships/image" Target="media/image2.png"/><Relationship Id="rId19" Type="http://schemas.openxmlformats.org/officeDocument/2006/relationships/fontTable" Target="fontTable.xml"/><Relationship Id="rId4" Type="http://schemas.openxmlformats.org/officeDocument/2006/relationships/numbering" Target="numbering.xml"/><Relationship Id="rId9" Type="http://schemas.openxmlformats.org/officeDocument/2006/relationships/endnotes" Target="endnotes.xml"/><Relationship Id="rId14" Type="http://schemas.openxmlformats.org/officeDocument/2006/relationships/hyperlink" Target="https://www.colombiacompra.gov.co/normativa-y-relatoria/documentos-tipo" TargetMode="External"/></Relationships>
</file>

<file path=word/_rels/footnotes.xml.rels><?xml version="1.0" encoding="UTF-8" standalone="yes"?>
<Relationships xmlns="http://schemas.openxmlformats.org/package/2006/relationships"><Relationship Id="rId1" Type="http://schemas.openxmlformats.org/officeDocument/2006/relationships/hyperlink" Target="https://relatoria.colombiacompra.gov.co/conceptos/c-069-de-2024/" TargetMode="External"/></Relationships>
</file>

<file path=word/_rels/header1.xml.rels><?xml version="1.0" encoding="UTF-8" standalone="yes"?>
<Relationships xmlns="http://schemas.openxmlformats.org/package/2006/relationships"><Relationship Id="rId2" Type="http://schemas.openxmlformats.org/officeDocument/2006/relationships/image" Target="media/image5.png"/><Relationship Id="rId1" Type="http://schemas.openxmlformats.org/officeDocument/2006/relationships/image" Target="media/image4.png"/></Relationships>
</file>

<file path=word/_rels/numbering.xml.rels><?xml version="1.0" encoding="UTF-8" standalone="yes"?>
<Relationships xmlns="http://schemas.openxmlformats.org/package/2006/relationships"><Relationship Id="rId1" Type="http://schemas.openxmlformats.org/officeDocument/2006/relationships/image" Target="media/image1.gif"/></Relationships>
</file>

<file path=word/theme/theme1.xml><?xml version="1.0" encoding="utf-8"?>
<a:theme xmlns:a="http://schemas.openxmlformats.org/drawingml/2006/main" name="Tema de Offic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customXml/_rels/item1.xml.rels><?xml version="1.0" encoding="UTF-8" standalone="yes"?>
<Relationships xmlns="http://schemas.openxmlformats.org/package/2006/relationships"><Relationship Id="rId1" Type="http://schemas.openxmlformats.org/officeDocument/2006/relationships/customXmlProps" Target="itemProps1.xml"/></Relationships>
</file>

<file path=customXml/_rels/item2.xml.rels><?xml version="1.0" encoding="UTF-8" standalone="yes"?>
<Relationships xmlns="http://schemas.openxmlformats.org/package/2006/relationships"><Relationship Id="rId1" Type="http://schemas.openxmlformats.org/officeDocument/2006/relationships/customXmlProps" Target="itemProps2.xml"/></Relationships>
</file>

<file path=customXml/_rels/item3.xml.rels><?xml version="1.0" encoding="UTF-8" standalone="yes"?>
<Relationships xmlns="http://schemas.openxmlformats.org/package/2006/relationships"><Relationship Id="rId1" Type="http://schemas.openxmlformats.org/officeDocument/2006/relationships/customXmlProps" Target="itemProps3.xml"/></Relationships>
</file>

<file path=customXml/item1.xml><?xml version="1.0" encoding="utf-8"?>
<?mso-contentType ?>
<FormTemplates xmlns="http://schemas.microsoft.com/sharepoint/v3/contenttype/forms">
  <Display>DocumentLibraryForm</Display>
  <Edit>DocumentLibraryForm</Edit>
  <New>DocumentLibraryForm</New>
</FormTemplates>
</file>

<file path=customXml/item2.xml><?xml version="1.0" encoding="utf-8"?>
<ct:contentTypeSchema xmlns:ct="http://schemas.microsoft.com/office/2006/metadata/contentType" xmlns:ma="http://schemas.microsoft.com/office/2006/metadata/properties/metaAttributes" ct:_="" ma:_="" ma:contentTypeName="Documento" ma:contentTypeID="0x010100F2E0F32964D9B84EA054B84E5D4157A0" ma:contentTypeVersion="20" ma:contentTypeDescription="Crear nuevo documento." ma:contentTypeScope="" ma:versionID="3aa158c1e2510b50ba9620437d74e4ff">
  <xsd:schema xmlns:xsd="http://www.w3.org/2001/XMLSchema" xmlns:xs="http://www.w3.org/2001/XMLSchema" xmlns:p="http://schemas.microsoft.com/office/2006/metadata/properties" xmlns:ns2="9d85dbaf-23eb-4e57-a637-93dcacc8b1a1" xmlns:ns3="a6cb9e4b-f1d1-4245-83ec-6cad768d538a" targetNamespace="http://schemas.microsoft.com/office/2006/metadata/properties" ma:root="true" ma:fieldsID="41aa8ca4bdcfc2e304923d637cfc37a1" ns2:_="" ns3:_="">
    <xsd:import namespace="9d85dbaf-23eb-4e57-a637-93dcacc8b1a1"/>
    <xsd:import namespace="a6cb9e4b-f1d1-4245-83ec-6cad768d538a"/>
    <xsd:element name="properties">
      <xsd:complexType>
        <xsd:sequence>
          <xsd:element name="documentManagement">
            <xsd:complexType>
              <xsd:all>
                <xsd:element ref="ns2:MediaServiceMetadata" minOccurs="0"/>
                <xsd:element ref="ns2:MediaServiceFastMetadata" minOccurs="0"/>
                <xsd:element ref="ns2:MediaServiceEventHashCode" minOccurs="0"/>
                <xsd:element ref="ns2:MediaServiceGenerationTime" minOccurs="0"/>
                <xsd:element ref="ns3:SharedWithUsers" minOccurs="0"/>
                <xsd:element ref="ns3:SharedWithDetails" minOccurs="0"/>
                <xsd:element ref="ns2:MediaServiceAutoTags" minOccurs="0"/>
                <xsd:element ref="ns2:MediaServiceOCR" minOccurs="0"/>
                <xsd:element ref="ns2:MediaServiceDateTaken" minOccurs="0"/>
                <xsd:element ref="ns2:MediaServiceAutoKeyPoints" minOccurs="0"/>
                <xsd:element ref="ns2:MediaServiceKeyPoints" minOccurs="0"/>
                <xsd:element ref="ns2:No" minOccurs="0"/>
                <xsd:element ref="ns2:MediaLengthInSeconds" minOccurs="0"/>
                <xsd:element ref="ns2:lcf76f155ced4ddcb4097134ff3c332f" minOccurs="0"/>
                <xsd:element ref="ns3:TaxCatchAll" minOccurs="0"/>
                <xsd:element ref="ns2:MediaServiceObjectDetectorVersions" minOccurs="0"/>
                <xsd:element ref="ns2:_Flow_SignoffStatus" minOccurs="0"/>
                <xsd:element ref="ns2:MediaServiceLocation" minOccurs="0"/>
                <xsd:element ref="ns2:MediaServiceSearchProperties" minOccurs="0"/>
              </xsd:all>
            </xsd:complexType>
          </xsd:element>
        </xsd:sequence>
      </xsd:complexType>
    </xsd:element>
  </xsd:schema>
  <xsd:schema xmlns:xsd="http://www.w3.org/2001/XMLSchema" xmlns:xs="http://www.w3.org/2001/XMLSchema" xmlns:dms="http://schemas.microsoft.com/office/2006/documentManagement/types" xmlns:pc="http://schemas.microsoft.com/office/infopath/2007/PartnerControls" targetNamespace="9d85dbaf-23eb-4e57-a637-93dcacc8b1a1" elementFormDefault="qualified">
    <xsd:import namespace="http://schemas.microsoft.com/office/2006/documentManagement/types"/>
    <xsd:import namespace="http://schemas.microsoft.com/office/infopath/2007/PartnerControls"/>
    <xsd:element name="MediaServiceMetadata" ma:index="8" nillable="true" ma:displayName="MediaServiceMetadata" ma:hidden="true" ma:internalName="MediaServiceMetadata" ma:readOnly="true">
      <xsd:simpleType>
        <xsd:restriction base="dms:Note"/>
      </xsd:simpleType>
    </xsd:element>
    <xsd:element name="MediaServiceFastMetadata" ma:index="9" nillable="true" ma:displayName="MediaServiceFastMetadata" ma:hidden="true" ma:internalName="MediaServiceFastMetadata" ma:readOnly="true">
      <xsd:simpleType>
        <xsd:restriction base="dms:Note"/>
      </xsd:simpleType>
    </xsd:element>
    <xsd:element name="MediaServiceEventHashCode" ma:index="10" nillable="true" ma:displayName="MediaServiceEventHashCode" ma:hidden="true" ma:internalName="MediaServiceEventHashCode" ma:readOnly="true">
      <xsd:simpleType>
        <xsd:restriction base="dms:Text"/>
      </xsd:simpleType>
    </xsd:element>
    <xsd:element name="MediaServiceGenerationTime" ma:index="11" nillable="true" ma:displayName="MediaServiceGenerationTime" ma:hidden="true" ma:internalName="MediaServiceGenerationTime" ma:readOnly="true">
      <xsd:simpleType>
        <xsd:restriction base="dms:Text"/>
      </xsd:simpleType>
    </xsd:element>
    <xsd:element name="MediaServiceAutoTags" ma:index="14" nillable="true" ma:displayName="Tags" ma:internalName="MediaServiceAutoTags" ma:readOnly="true">
      <xsd:simpleType>
        <xsd:restriction base="dms:Text"/>
      </xsd:simpleType>
    </xsd:element>
    <xsd:element name="MediaServiceOCR" ma:index="15" nillable="true" ma:displayName="Extracted Text" ma:internalName="MediaServiceOCR" ma:readOnly="true">
      <xsd:simpleType>
        <xsd:restriction base="dms:Note">
          <xsd:maxLength value="255"/>
        </xsd:restriction>
      </xsd:simpleType>
    </xsd:element>
    <xsd:element name="MediaServiceDateTaken" ma:index="16" nillable="true" ma:displayName="MediaServiceDateTaken" ma:hidden="true" ma:internalName="MediaServiceDateTaken" ma:readOnly="true">
      <xsd:simpleType>
        <xsd:restriction base="dms:Text"/>
      </xsd:simpleType>
    </xsd:element>
    <xsd:element name="MediaServiceAutoKeyPoints" ma:index="17" nillable="true" ma:displayName="MediaServiceAutoKeyPoints" ma:hidden="true" ma:internalName="MediaServiceAutoKeyPoints" ma:readOnly="true">
      <xsd:simpleType>
        <xsd:restriction base="dms:Note"/>
      </xsd:simpleType>
    </xsd:element>
    <xsd:element name="MediaServiceKeyPoints" ma:index="18" nillable="true" ma:displayName="KeyPoints" ma:internalName="MediaServiceKeyPoints" ma:readOnly="true">
      <xsd:simpleType>
        <xsd:restriction base="dms:Note">
          <xsd:maxLength value="255"/>
        </xsd:restriction>
      </xsd:simpleType>
    </xsd:element>
    <xsd:element name="No" ma:index="19" nillable="true" ma:displayName="No" ma:format="Dropdown" ma:internalName="No" ma:percentage="FALSE">
      <xsd:simpleType>
        <xsd:restriction base="dms:Number"/>
      </xsd:simpleType>
    </xsd:element>
    <xsd:element name="MediaLengthInSeconds" ma:index="20" nillable="true" ma:displayName="Length (seconds)" ma:internalName="MediaLengthInSeconds" ma:readOnly="true">
      <xsd:simpleType>
        <xsd:restriction base="dms:Unknown"/>
      </xsd:simpleType>
    </xsd:element>
    <xsd:element name="lcf76f155ced4ddcb4097134ff3c332f" ma:index="22" nillable="true" ma:taxonomy="true" ma:internalName="lcf76f155ced4ddcb4097134ff3c332f" ma:taxonomyFieldName="MediaServiceImageTags" ma:displayName="Etiquetas de imagen" ma:readOnly="false" ma:fieldId="{5cf76f15-5ced-4ddc-b409-7134ff3c332f}" ma:taxonomyMulti="true" ma:sspId="d11a0eb6-ad86-4071-a759-4f0356bdcc6a" ma:termSetId="09814cd3-568e-fe90-9814-8d621ff8fb84" ma:anchorId="fba54fb3-c3e1-fe81-a776-ca4b69148c4d" ma:open="true" ma:isKeyword="false">
      <xsd:complexType>
        <xsd:sequence>
          <xsd:element ref="pc:Terms" minOccurs="0" maxOccurs="1"/>
        </xsd:sequence>
      </xsd:complexType>
    </xsd:element>
    <xsd:element name="MediaServiceObjectDetectorVersions" ma:index="24" nillable="true" ma:displayName="MediaServiceObjectDetectorVersions" ma:description="" ma:hidden="true" ma:indexed="true" ma:internalName="MediaServiceObjectDetectorVersions" ma:readOnly="true">
      <xsd:simpleType>
        <xsd:restriction base="dms:Text"/>
      </xsd:simpleType>
    </xsd:element>
    <xsd:element name="_Flow_SignoffStatus" ma:index="25" nillable="true" ma:displayName="Estado de aprobación" ma:internalName="Estado_x0020_de_x0020_aprobaci_x00f3_n">
      <xsd:simpleType>
        <xsd:restriction base="dms:Text"/>
      </xsd:simpleType>
    </xsd:element>
    <xsd:element name="MediaServiceLocation" ma:index="26" nillable="true" ma:displayName="Location" ma:description="" ma:indexed="true" ma:internalName="MediaServiceLocation" ma:readOnly="true">
      <xsd:simpleType>
        <xsd:restriction base="dms:Text"/>
      </xsd:simpleType>
    </xsd:element>
    <xsd:element name="MediaServiceSearchProperties" ma:index="27" nillable="true" ma:displayName="MediaServiceSearchProperties" ma:hidden="true" ma:internalName="MediaServiceSearchProperties" ma:readOnly="true">
      <xsd:simpleType>
        <xsd:restriction base="dms:Note"/>
      </xsd:simpleType>
    </xsd:element>
  </xsd:schema>
  <xsd:schema xmlns:xsd="http://www.w3.org/2001/XMLSchema" xmlns:xs="http://www.w3.org/2001/XMLSchema" xmlns:dms="http://schemas.microsoft.com/office/2006/documentManagement/types" xmlns:pc="http://schemas.microsoft.com/office/infopath/2007/PartnerControls" targetNamespace="a6cb9e4b-f1d1-4245-83ec-6cad768d538a" elementFormDefault="qualified">
    <xsd:import namespace="http://schemas.microsoft.com/office/2006/documentManagement/types"/>
    <xsd:import namespace="http://schemas.microsoft.com/office/infopath/2007/PartnerControls"/>
    <xsd:element name="SharedWithUsers" ma:index="12" nillable="true" ma:displayName="Compartido con" ma:internalName="SharedWithUsers" ma:readOnly="true">
      <xsd:complexType>
        <xsd:complexContent>
          <xsd:extension base="dms:UserMulti">
            <xsd:sequence>
              <xsd:element name="UserInfo" minOccurs="0" maxOccurs="unbounded">
                <xsd:complexType>
                  <xsd:sequence>
                    <xsd:element name="DisplayName" type="xsd:string" minOccurs="0"/>
                    <xsd:element name="AccountId" type="dms:UserId" minOccurs="0" nillable="true"/>
                    <xsd:element name="AccountType" type="xsd:string" minOccurs="0"/>
                  </xsd:sequence>
                </xsd:complexType>
              </xsd:element>
            </xsd:sequence>
          </xsd:extension>
        </xsd:complexContent>
      </xsd:complexType>
    </xsd:element>
    <xsd:element name="SharedWithDetails" ma:index="13" nillable="true" ma:displayName="Detalles de uso compartido" ma:internalName="SharedWithDetails" ma:readOnly="true">
      <xsd:simpleType>
        <xsd:restriction base="dms:Note">
          <xsd:maxLength value="255"/>
        </xsd:restriction>
      </xsd:simpleType>
    </xsd:element>
    <xsd:element name="TaxCatchAll" ma:index="23" nillable="true" ma:displayName="Taxonomy Catch All Column" ma:hidden="true" ma:list="{1105a6f2-09f1-4f7d-bab9-e03f1dc4ac6e}" ma:internalName="TaxCatchAll" ma:showField="CatchAllData" ma:web="a6cb9e4b-f1d1-4245-83ec-6cad768d538a">
      <xsd:complexType>
        <xsd:complexContent>
          <xsd:extension base="dms:MultiChoiceLookup">
            <xsd:sequence>
              <xsd:element name="Value" type="dms:Lookup" maxOccurs="unbounded" minOccurs="0" nillable="true"/>
            </xsd:sequence>
          </xsd:extension>
        </xsd:complexContent>
      </xsd:complexType>
    </xsd:element>
  </xsd:schema>
  <xsd:schema xmlns="http://schemas.openxmlformats.org/package/2006/metadata/core-properties" xmlns:xsd="http://www.w3.org/2001/XMLSchema" xmlns:xsi="http://www.w3.org/2001/XMLSchema-instance" xmlns:dc="http://purl.org/dc/elements/1.1/" xmlns:dcterms="http://purl.org/dc/terms/" xmlns:odoc="http://schemas.microsoft.com/internal/obd" targetNamespace="http://schemas.openxmlformats.org/package/2006/metadata/core-properties" elementFormDefault="qualified" attributeFormDefault="unqualified" blockDefault="#all">
    <xsd:import namespace="http://purl.org/dc/elements/1.1/" schemaLocation="http://dublincore.org/schemas/xmls/qdc/2003/04/02/dc.xsd"/>
    <xsd:import namespace="http://purl.org/dc/terms/" schemaLocation="http://dublincore.org/schemas/xmls/qdc/2003/04/02/dcterms.xsd"/>
    <xsd:element name="coreProperties" type="CT_coreProperties"/>
    <xsd:complexType name="CT_coreProperties">
      <xsd:all>
        <xsd:element ref="dc:creator" minOccurs="0" maxOccurs="1"/>
        <xsd:element ref="dcterms:created" minOccurs="0" maxOccurs="1"/>
        <xsd:element ref="dc:identifier" minOccurs="0" maxOccurs="1"/>
        <xsd:element name="contentType" minOccurs="0" maxOccurs="1" type="xsd:string" ma:index="0" ma:displayName="Tipo de contenido"/>
        <xsd:element ref="dc:title" minOccurs="0" maxOccurs="1" ma:index="4" ma:displayName="Título"/>
        <xsd:element ref="dc:subject" minOccurs="0" maxOccurs="1"/>
        <xsd:element ref="dc:description" minOccurs="0" maxOccurs="1"/>
        <xsd:element name="keywords" minOccurs="0" maxOccurs="1" type="xsd:string"/>
        <xsd:element ref="dc:language" minOccurs="0" maxOccurs="1"/>
        <xsd:element name="category" minOccurs="0" maxOccurs="1" type="xsd:string"/>
        <xsd:element name="version" minOccurs="0" maxOccurs="1" type="xsd:string"/>
        <xsd:element name="revision" minOccurs="0" maxOccurs="1" type="xsd:string">
          <xsd:annotation>
            <xsd:documentation>
                        This value indicates the number of saves or revisions. The application is responsible for updating this value after each revision.
                    </xsd:documentation>
          </xsd:annotation>
        </xsd:element>
        <xsd:element name="lastModifiedBy" minOccurs="0" maxOccurs="1" type="xsd:string"/>
        <xsd:element ref="dcterms:modified" minOccurs="0" maxOccurs="1"/>
        <xsd:element name="contentStatus" minOccurs="0" maxOccurs="1" type="xsd:string"/>
      </xsd:all>
    </xsd:complexType>
  </xsd:schema>
  <xs:schema xmlns:pc="http://schemas.microsoft.com/office/infopath/2007/PartnerControls" xmlns:xs="http://www.w3.org/2001/XMLSchema" targetNamespace="http://schemas.microsoft.com/office/infopath/2007/PartnerControls" elementFormDefault="qualified" attributeFormDefault="unqualified">
    <xs:element name="Person">
      <xs:complexType>
        <xs:sequence>
          <xs:element ref="pc:DisplayName" minOccurs="0"/>
          <xs:element ref="pc:AccountId" minOccurs="0"/>
          <xs:element ref="pc:AccountType" minOccurs="0"/>
        </xs:sequence>
      </xs:complexType>
    </xs:element>
    <xs:element name="DisplayName" type="xs:string"/>
    <xs:element name="AccountId" type="xs:string"/>
    <xs:element name="AccountType" type="xs:string"/>
    <xs:element name="BDCAssociatedEntity">
      <xs:complexType>
        <xs:sequence>
          <xs:element ref="pc:BDCEntity" minOccurs="0" maxOccurs="unbounded"/>
        </xs:sequence>
        <xs:attribute ref="pc:EntityNamespace"/>
        <xs:attribute ref="pc:EntityName"/>
        <xs:attribute ref="pc:SystemInstanceName"/>
        <xs:attribute ref="pc:AssociationName"/>
      </xs:complexType>
    </xs:element>
    <xs:attribute name="EntityNamespace" type="xs:string"/>
    <xs:attribute name="EntityName" type="xs:string"/>
    <xs:attribute name="SystemInstanceName" type="xs:string"/>
    <xs:attribute name="AssociationName" type="xs:string"/>
    <xs:element name="BDCEntity">
      <xs:complexType>
        <xs:sequence>
          <xs:element ref="pc:EntityDisplayName" minOccurs="0"/>
          <xs:element ref="pc:EntityInstanceReference" minOccurs="0"/>
          <xs:element ref="pc:EntityId1" minOccurs="0"/>
          <xs:element ref="pc:EntityId2" minOccurs="0"/>
          <xs:element ref="pc:EntityId3" minOccurs="0"/>
          <xs:element ref="pc:EntityId4" minOccurs="0"/>
          <xs:element ref="pc:EntityId5" minOccurs="0"/>
        </xs:sequence>
      </xs:complexType>
    </xs:element>
    <xs:element name="EntityDisplayName" type="xs:string"/>
    <xs:element name="EntityInstanceReference" type="xs:string"/>
    <xs:element name="EntityId1" type="xs:string"/>
    <xs:element name="EntityId2" type="xs:string"/>
    <xs:element name="EntityId3" type="xs:string"/>
    <xs:element name="EntityId4" type="xs:string"/>
    <xs:element name="EntityId5" type="xs:string"/>
    <xs:element name="Terms">
      <xs:complexType>
        <xs:sequence>
          <xs:element ref="pc:TermInfo" minOccurs="0" maxOccurs="unbounded"/>
        </xs:sequence>
      </xs:complexType>
    </xs:element>
    <xs:element name="TermInfo">
      <xs:complexType>
        <xs:sequence>
          <xs:element ref="pc:TermName" minOccurs="0"/>
          <xs:element ref="pc:TermId" minOccurs="0"/>
        </xs:sequence>
      </xs:complexType>
    </xs:element>
    <xs:element name="TermName" type="xs:string"/>
    <xs:element name="TermId" type="xs:string"/>
  </xs:schema>
</ct:contentTypeSchema>
</file>

<file path=customXml/item3.xml><?xml version="1.0" encoding="utf-8"?>
<p:properties xmlns:p="http://schemas.microsoft.com/office/2006/metadata/properties" xmlns:xsi="http://www.w3.org/2001/XMLSchema-instance" xmlns:pc="http://schemas.microsoft.com/office/infopath/2007/PartnerControls">
  <documentManagement>
    <No xmlns="9d85dbaf-23eb-4e57-a637-93dcacc8b1a1" xsi:nil="true"/>
    <TaxCatchAll xmlns="a6cb9e4b-f1d1-4245-83ec-6cad768d538a" xsi:nil="true"/>
    <_Flow_SignoffStatus xmlns="9d85dbaf-23eb-4e57-a637-93dcacc8b1a1" xsi:nil="true"/>
    <lcf76f155ced4ddcb4097134ff3c332f xmlns="9d85dbaf-23eb-4e57-a637-93dcacc8b1a1">
      <Terms xmlns="http://schemas.microsoft.com/office/infopath/2007/PartnerControls"/>
    </lcf76f155ced4ddcb4097134ff3c332f>
  </documentManagement>
</p:properties>
</file>

<file path=customXml/itemProps1.xml><?xml version="1.0" encoding="utf-8"?>
<ds:datastoreItem xmlns:ds="http://schemas.openxmlformats.org/officeDocument/2006/customXml" ds:itemID="{19B0637E-D058-473B-8FE7-AA861F69C797}">
  <ds:schemaRefs>
    <ds:schemaRef ds:uri="http://schemas.microsoft.com/sharepoint/v3/contenttype/forms"/>
  </ds:schemaRefs>
</ds:datastoreItem>
</file>

<file path=customXml/itemProps2.xml><?xml version="1.0" encoding="utf-8"?>
<ds:datastoreItem xmlns:ds="http://schemas.openxmlformats.org/officeDocument/2006/customXml" ds:itemID="{DB317BEB-7AA2-42F2-AD52-542F51510A8B}"/>
</file>

<file path=customXml/itemProps3.xml><?xml version="1.0" encoding="utf-8"?>
<ds:datastoreItem xmlns:ds="http://schemas.openxmlformats.org/officeDocument/2006/customXml" ds:itemID="{163618BE-28CB-4D69-955E-CDA788483BED}">
  <ds:schemaRefs>
    <ds:schemaRef ds:uri="http://schemas.microsoft.com/office/2006/metadata/properties"/>
    <ds:schemaRef ds:uri="http://schemas.microsoft.com/office/infopath/2007/PartnerControls"/>
  </ds:schemaRefs>
</ds:datastoreItem>
</file>

<file path=docMetadata/LabelInfo.xml><?xml version="1.0" encoding="utf-8"?>
<clbl:labelList xmlns:clbl="http://schemas.microsoft.com/office/2020/mipLabelMetadata">
  <clbl:label id="{7b09041e-2451-49d0-8cb1-79d5e3d8c1be}" enabled="0" method="" siteId="{7b09041e-2451-49d0-8cb1-79d5e3d8c1be}" removed="1"/>
</clbl:labelList>
</file>

<file path=docProps/app.xml><?xml version="1.0" encoding="utf-8"?>
<Properties xmlns="http://schemas.openxmlformats.org/officeDocument/2006/extended-properties" xmlns:vt="http://schemas.openxmlformats.org/officeDocument/2006/docPropsVTypes">
  <Template>Normal</Template>
  <TotalTime>18</TotalTime>
  <Pages>19</Pages>
  <Words>5291</Words>
  <Characters>29104</Characters>
  <Application>Microsoft Office Word</Application>
  <DocSecurity>0</DocSecurity>
  <Lines>242</Lines>
  <Paragraphs>68</Paragraphs>
  <ScaleCrop>false</ScaleCrop>
  <HeadingPairs>
    <vt:vector size="2" baseType="variant">
      <vt:variant>
        <vt:lpstr>Título</vt:lpstr>
      </vt:variant>
      <vt:variant>
        <vt:i4>1</vt:i4>
      </vt:variant>
    </vt:vector>
  </HeadingPairs>
  <TitlesOfParts>
    <vt:vector size="1" baseType="lpstr">
      <vt:lpstr/>
    </vt:vector>
  </TitlesOfParts>
  <Company/>
  <LinksUpToDate>false</LinksUpToDate>
  <CharactersWithSpaces>34327</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Andrés Felipe Ospina Acosta</dc:creator>
  <cp:keywords/>
  <dc:description/>
  <cp:lastModifiedBy>Daniel Eduardo Rojas Poveda</cp:lastModifiedBy>
  <cp:revision>4</cp:revision>
  <cp:lastPrinted>2023-01-10T21:18:00Z</cp:lastPrinted>
  <dcterms:created xsi:type="dcterms:W3CDTF">2026-04-28T14:24:00Z</dcterms:created>
  <dcterms:modified xsi:type="dcterms:W3CDTF">2026-05-08T22:02:00Z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ontentTypeId">
    <vt:lpwstr>0x010100F2E0F32964D9B84EA054B84E5D4157A0</vt:lpwstr>
  </property>
  <property fmtid="{D5CDD505-2E9C-101B-9397-08002B2CF9AE}" pid="3" name="MediaServiceImageTags">
    <vt:lpwstr/>
  </property>
</Properties>
</file>