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FF8EDF" w14:textId="77777777" w:rsidR="00AF0A60" w:rsidRPr="00AF0A60" w:rsidRDefault="00AF0A60" w:rsidP="00AF0A60">
      <w:pPr>
        <w:spacing w:after="0" w:line="240" w:lineRule="auto"/>
        <w:jc w:val="both"/>
        <w:rPr>
          <w:rFonts w:ascii="Verdana" w:hAnsi="Verdana"/>
          <w:b/>
          <w:bCs/>
          <w:lang w:val="es-ES"/>
        </w:rPr>
      </w:pPr>
      <w:bookmarkStart w:id="0" w:name="_Hlk143780582"/>
      <w:r w:rsidRPr="00AF0A60">
        <w:rPr>
          <w:rFonts w:ascii="Verdana" w:hAnsi="Verdana"/>
          <w:b/>
          <w:bCs/>
          <w:lang w:val="es-ES"/>
        </w:rPr>
        <w:t xml:space="preserve">CONVENIO Y CONTRATO INTERADMINISTRATIVO – Alcance – Diferencias  </w:t>
      </w:r>
    </w:p>
    <w:p w14:paraId="541F9A89" w14:textId="77777777" w:rsidR="00AF0A60" w:rsidRDefault="00AF0A60" w:rsidP="00AF0A60">
      <w:pPr>
        <w:spacing w:after="0" w:line="240" w:lineRule="auto"/>
        <w:jc w:val="both"/>
        <w:rPr>
          <w:rFonts w:ascii="Verdana" w:eastAsiaTheme="minorEastAsia" w:hAnsi="Verdana" w:cs="Arial"/>
          <w:lang w:eastAsia="es-CO"/>
        </w:rPr>
      </w:pPr>
    </w:p>
    <w:p w14:paraId="42E7A52D" w14:textId="54D03F77" w:rsidR="00AF0A60" w:rsidRPr="00AF0A60" w:rsidRDefault="00AF0A60" w:rsidP="00AF0A60">
      <w:pPr>
        <w:spacing w:after="120" w:line="276" w:lineRule="auto"/>
        <w:jc w:val="both"/>
        <w:rPr>
          <w:rFonts w:ascii="Verdana" w:eastAsiaTheme="minorEastAsia" w:hAnsi="Verdana" w:cs="Arial"/>
          <w:sz w:val="20"/>
          <w:szCs w:val="20"/>
          <w:lang w:eastAsia="es-CO"/>
        </w:rPr>
      </w:pPr>
      <w:r w:rsidRPr="00AF0A60">
        <w:rPr>
          <w:rFonts w:ascii="Verdana" w:eastAsiaTheme="minorEastAsia" w:hAnsi="Verdana" w:cs="Arial"/>
          <w:sz w:val="20"/>
          <w:szCs w:val="20"/>
          <w:lang w:eastAsia="es-CO"/>
        </w:rPr>
        <w:t xml:space="preserve">[…] </w:t>
      </w:r>
      <w:r w:rsidRPr="00AF0A60">
        <w:rPr>
          <w:rFonts w:ascii="Verdana" w:eastAsiaTheme="minorEastAsia" w:hAnsi="Verdana" w:cs="Arial"/>
          <w:sz w:val="20"/>
          <w:szCs w:val="20"/>
          <w:lang w:eastAsia="es-CO"/>
        </w:rPr>
        <w:t xml:space="preserve">el Consejo de Estado distingue las dos instituciones, de la siguiente forma: </w:t>
      </w:r>
    </w:p>
    <w:p w14:paraId="4BB89A58" w14:textId="77777777" w:rsidR="00AF0A60" w:rsidRPr="00AF0A60" w:rsidRDefault="00AF0A60" w:rsidP="00AF0A60">
      <w:pPr>
        <w:spacing w:after="0" w:line="240" w:lineRule="auto"/>
        <w:ind w:right="709"/>
        <w:jc w:val="both"/>
        <w:rPr>
          <w:rFonts w:ascii="Verdana" w:eastAsiaTheme="minorEastAsia" w:hAnsi="Verdana" w:cs="Arial"/>
          <w:sz w:val="20"/>
          <w:szCs w:val="20"/>
          <w:lang w:eastAsia="es-CO"/>
        </w:rPr>
      </w:pPr>
      <w:r w:rsidRPr="00AF0A60">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6E5AF9FF" w14:textId="77777777" w:rsidR="00AF0A60" w:rsidRPr="00AF0A60" w:rsidRDefault="00AF0A60" w:rsidP="00AF0A60">
      <w:pPr>
        <w:spacing w:after="0" w:line="240" w:lineRule="auto"/>
        <w:ind w:right="709"/>
        <w:jc w:val="both"/>
        <w:rPr>
          <w:rFonts w:ascii="Verdana" w:eastAsiaTheme="minorEastAsia" w:hAnsi="Verdana" w:cs="Arial"/>
          <w:sz w:val="20"/>
          <w:szCs w:val="20"/>
          <w:lang w:eastAsia="es-CO"/>
        </w:rPr>
      </w:pPr>
    </w:p>
    <w:p w14:paraId="04060A7F" w14:textId="5A5284E4" w:rsidR="00AF0A60" w:rsidRPr="00AF0A60" w:rsidRDefault="00AF0A60" w:rsidP="00AF0A60">
      <w:pPr>
        <w:pStyle w:val="Prrafodelista"/>
        <w:numPr>
          <w:ilvl w:val="0"/>
          <w:numId w:val="24"/>
        </w:numPr>
        <w:spacing w:after="0" w:line="240" w:lineRule="auto"/>
        <w:ind w:right="709"/>
        <w:jc w:val="both"/>
        <w:rPr>
          <w:rFonts w:ascii="Verdana" w:eastAsiaTheme="minorEastAsia" w:hAnsi="Verdana" w:cs="Arial"/>
          <w:sz w:val="20"/>
          <w:szCs w:val="20"/>
          <w:lang w:eastAsia="es-CO"/>
        </w:rPr>
      </w:pPr>
      <w:r w:rsidRPr="00AF0A60">
        <w:rPr>
          <w:rFonts w:ascii="Verdana" w:eastAsiaTheme="minorEastAsia" w:hAnsi="Verdana" w:cs="Arial"/>
          <w:sz w:val="20"/>
          <w:szCs w:val="20"/>
          <w:lang w:eastAsia="es-CO"/>
        </w:rPr>
        <w:t>El objeto de los contratos lo constituyen obligaciones de contenido patrimonial y, por 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76CD6C85" w14:textId="77777777" w:rsidR="00AF0A60" w:rsidRPr="00AF0A60" w:rsidRDefault="00AF0A60" w:rsidP="00AF0A60">
      <w:pPr>
        <w:numPr>
          <w:ilvl w:val="0"/>
          <w:numId w:val="24"/>
        </w:numPr>
        <w:spacing w:after="0" w:line="240" w:lineRule="auto"/>
        <w:ind w:left="709" w:right="709"/>
        <w:contextualSpacing/>
        <w:jc w:val="both"/>
        <w:rPr>
          <w:rFonts w:ascii="Verdana" w:eastAsiaTheme="minorEastAsia" w:hAnsi="Verdana" w:cs="Arial"/>
          <w:sz w:val="20"/>
          <w:szCs w:val="20"/>
          <w:lang w:val="es-ES" w:eastAsia="es-CO"/>
        </w:rPr>
      </w:pPr>
      <w:r w:rsidRPr="00AF0A60">
        <w:rPr>
          <w:rFonts w:ascii="Verdana" w:eastAsiaTheme="minorEastAsia" w:hAnsi="Verdana" w:cs="Arial"/>
          <w:sz w:val="20"/>
          <w:szCs w:val="20"/>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41C927F9" w14:textId="0215834B" w:rsidR="00AF0A60" w:rsidRPr="00AF0A60" w:rsidRDefault="00AF0A60" w:rsidP="00AF0A60">
      <w:pPr>
        <w:numPr>
          <w:ilvl w:val="0"/>
          <w:numId w:val="24"/>
        </w:numPr>
        <w:spacing w:after="0" w:line="240" w:lineRule="auto"/>
        <w:ind w:left="709" w:right="709"/>
        <w:contextualSpacing/>
        <w:jc w:val="both"/>
        <w:rPr>
          <w:rFonts w:ascii="Verdana" w:eastAsiaTheme="minorEastAsia" w:hAnsi="Verdana" w:cs="Arial"/>
          <w:sz w:val="20"/>
          <w:szCs w:val="20"/>
          <w:lang w:val="es-ES" w:eastAsia="es-CO"/>
        </w:rPr>
      </w:pPr>
      <w:r w:rsidRPr="00AF0A60">
        <w:rPr>
          <w:rFonts w:ascii="Verdana" w:eastAsiaTheme="minorEastAsia" w:hAnsi="Verdana" w:cs="Arial"/>
          <w:sz w:val="20"/>
          <w:szCs w:val="20"/>
          <w:lang w:eastAsia="es-CO"/>
        </w:rPr>
        <w:t>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p>
    <w:p w14:paraId="42CD8D9B" w14:textId="77777777" w:rsidR="00AF0A60" w:rsidRDefault="00AF0A60" w:rsidP="00AF0A60">
      <w:pPr>
        <w:spacing w:after="0" w:line="240" w:lineRule="auto"/>
        <w:jc w:val="both"/>
        <w:rPr>
          <w:rFonts w:ascii="Verdana" w:hAnsi="Verdana"/>
          <w:lang w:val="es-ES"/>
        </w:rPr>
      </w:pPr>
    </w:p>
    <w:p w14:paraId="4EB05E5B" w14:textId="77777777" w:rsidR="00582C30" w:rsidRDefault="00AF0A60" w:rsidP="00582C30">
      <w:pPr>
        <w:spacing w:after="0" w:line="240" w:lineRule="auto"/>
        <w:jc w:val="both"/>
        <w:rPr>
          <w:rFonts w:ascii="Verdana" w:eastAsiaTheme="minorEastAsia" w:hAnsi="Verdana" w:cs="Arial"/>
          <w:sz w:val="20"/>
          <w:szCs w:val="20"/>
          <w:lang w:eastAsia="es-CO"/>
        </w:rPr>
      </w:pPr>
      <w:r w:rsidRPr="00AF0A60">
        <w:rPr>
          <w:rFonts w:ascii="Verdana" w:eastAsiaTheme="minorEastAsia" w:hAnsi="Verdana" w:cs="Arial"/>
          <w:sz w:val="20"/>
          <w:szCs w:val="20"/>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w:t>
      </w:r>
      <w:r w:rsidRPr="00AF0A60">
        <w:rPr>
          <w:rFonts w:ascii="Verdana" w:eastAsiaTheme="minorEastAsia" w:hAnsi="Verdana" w:cs="Arial"/>
          <w:sz w:val="20"/>
          <w:szCs w:val="20"/>
          <w:lang w:eastAsia="es-CO"/>
        </w:rPr>
        <w:lastRenderedPageBreak/>
        <w:t>jurídico, cuyo objeto está relacionado con la prestación de bienes y servicios, en el que una de las partes actúa como contratante y otra como contratista</w:t>
      </w:r>
      <w:r>
        <w:rPr>
          <w:rFonts w:ascii="Verdana" w:eastAsiaTheme="minorEastAsia" w:hAnsi="Verdana" w:cs="Arial"/>
          <w:sz w:val="20"/>
          <w:szCs w:val="20"/>
          <w:lang w:eastAsia="es-CO"/>
        </w:rPr>
        <w:t>.</w:t>
      </w:r>
    </w:p>
    <w:p w14:paraId="0EF5C5C0" w14:textId="77777777" w:rsidR="00582C30" w:rsidRDefault="00582C30" w:rsidP="00582C30">
      <w:pPr>
        <w:spacing w:after="0" w:line="240" w:lineRule="auto"/>
        <w:jc w:val="both"/>
        <w:rPr>
          <w:rFonts w:ascii="Verdana" w:hAnsi="Verdana"/>
          <w:b/>
          <w:bCs/>
          <w:lang w:val="es-ES"/>
        </w:rPr>
      </w:pPr>
    </w:p>
    <w:p w14:paraId="616CA115" w14:textId="77777777" w:rsidR="00582C30" w:rsidRDefault="00AF0A60" w:rsidP="00A274CC">
      <w:pPr>
        <w:jc w:val="both"/>
        <w:rPr>
          <w:rFonts w:ascii="Verdana" w:eastAsiaTheme="minorEastAsia" w:hAnsi="Verdana" w:cs="Arial"/>
          <w:sz w:val="20"/>
          <w:szCs w:val="20"/>
          <w:lang w:val="es-ES" w:eastAsia="es-CO"/>
        </w:rPr>
      </w:pPr>
      <w:r w:rsidRPr="00AF0A60">
        <w:rPr>
          <w:rFonts w:ascii="Verdana" w:hAnsi="Verdana"/>
          <w:b/>
          <w:bCs/>
          <w:lang w:val="es-ES"/>
        </w:rPr>
        <w:t>CONTRATOS DE COLABORACIÓN – Artículo 355 de la Constitución Política – Objeto</w:t>
      </w:r>
    </w:p>
    <w:p w14:paraId="66BE89FB" w14:textId="42AF7D74" w:rsidR="00AF0A60" w:rsidRPr="00582C30" w:rsidRDefault="00A274CC" w:rsidP="00A274CC">
      <w:pPr>
        <w:spacing w:after="0" w:line="240" w:lineRule="auto"/>
        <w:jc w:val="both"/>
        <w:rPr>
          <w:rFonts w:ascii="Verdana" w:eastAsiaTheme="minorEastAsia" w:hAnsi="Verdana" w:cs="Arial"/>
          <w:sz w:val="20"/>
          <w:szCs w:val="20"/>
          <w:lang w:eastAsia="es-CO"/>
        </w:rPr>
      </w:pPr>
      <w:r w:rsidRPr="00A274CC">
        <w:rPr>
          <w:rFonts w:ascii="Verdana" w:eastAsia="Calibri" w:hAnsi="Verdana" w:cs="Arial"/>
          <w:color w:val="000000"/>
          <w:sz w:val="20"/>
          <w:szCs w:val="20"/>
          <w:lang w:val="es-MX"/>
        </w:rPr>
        <w:t xml:space="preserve">En desarrollo del artículo 355 de la Constitución, el Gobierno Nacional expidió el Decreto 92 de 2017, que dispone las reglas para las contrataciones que realicen las entidades estatales con las ESAL. El Decreto regula dos eventos: a) los </w:t>
      </w:r>
      <w:r w:rsidRPr="00A274CC">
        <w:rPr>
          <w:rFonts w:ascii="Verdana" w:eastAsia="Calibri" w:hAnsi="Verdana" w:cs="Arial"/>
          <w:i/>
          <w:iCs/>
          <w:color w:val="000000"/>
          <w:sz w:val="20"/>
          <w:szCs w:val="20"/>
          <w:lang w:val="es-MX"/>
        </w:rPr>
        <w:t>contratos de colaboración</w:t>
      </w:r>
      <w:r w:rsidRPr="00A274CC">
        <w:rPr>
          <w:rFonts w:ascii="Verdana" w:eastAsia="Calibri" w:hAnsi="Verdana" w:cs="Arial"/>
          <w:color w:val="000000"/>
          <w:sz w:val="20"/>
          <w:szCs w:val="20"/>
          <w:lang w:val="es-MX"/>
        </w:rPr>
        <w:t xml:space="preserve"> o de interés público, con el fin impulsar programas y actividades de interés público de acuerdo con el Plan Nacional o los planes seccionales de desarrollo, en los términos del artículo 355 de la Constitución Política;</w:t>
      </w:r>
      <w:r w:rsidRPr="00A274CC">
        <w:rPr>
          <w:rFonts w:ascii="Verdana" w:eastAsia="Calibri" w:hAnsi="Verdana" w:cs="Arial"/>
          <w:color w:val="000000"/>
          <w:sz w:val="20"/>
          <w:szCs w:val="20"/>
          <w:lang w:val="es-MX"/>
        </w:rPr>
        <w:t xml:space="preserve"> </w:t>
      </w:r>
      <w:r w:rsidRPr="00A274CC">
        <w:rPr>
          <w:rFonts w:ascii="Verdana" w:eastAsia="Calibri" w:hAnsi="Verdana" w:cs="Arial"/>
          <w:color w:val="000000"/>
          <w:sz w:val="20"/>
          <w:szCs w:val="20"/>
          <w:lang w:val="es-MX"/>
        </w:rPr>
        <w:t xml:space="preserve">y b) los </w:t>
      </w:r>
      <w:r w:rsidRPr="00A274CC">
        <w:rPr>
          <w:rFonts w:ascii="Verdana" w:eastAsia="Calibri" w:hAnsi="Verdana" w:cs="Arial"/>
          <w:i/>
          <w:iCs/>
          <w:color w:val="000000"/>
          <w:sz w:val="20"/>
          <w:szCs w:val="20"/>
          <w:lang w:val="es-MX"/>
        </w:rPr>
        <w:t>convenios de asociación</w:t>
      </w:r>
      <w:r w:rsidRPr="00A274CC">
        <w:rPr>
          <w:rFonts w:ascii="Verdana" w:eastAsia="Calibri" w:hAnsi="Verdana" w:cs="Arial"/>
          <w:color w:val="000000"/>
          <w:sz w:val="20"/>
          <w:szCs w:val="20"/>
          <w:lang w:val="es-MX"/>
        </w:rPr>
        <w:t xml:space="preserve">, para el desarrollo conjunto de actividades relacionadas con las funciones de las entidades estatales, en desarrollo del artículo 96 de la Ley 489 de 1998. Los primeros están regulados en el artículo 2 del Decreto 92 de 2017, mientras que los segundos en los artículos 5, 6, 7 y 8 </w:t>
      </w:r>
      <w:r w:rsidRPr="00A274CC">
        <w:rPr>
          <w:rFonts w:ascii="Verdana" w:eastAsia="Calibri" w:hAnsi="Verdana" w:cs="Arial"/>
          <w:i/>
          <w:iCs/>
          <w:color w:val="000000"/>
          <w:sz w:val="20"/>
          <w:szCs w:val="20"/>
          <w:lang w:val="es-MX"/>
        </w:rPr>
        <w:t>ibidem</w:t>
      </w:r>
      <w:r w:rsidRPr="00A274CC">
        <w:rPr>
          <w:rFonts w:ascii="Verdana" w:eastAsia="Calibri" w:hAnsi="Verdana" w:cs="Arial"/>
          <w:color w:val="000000"/>
          <w:sz w:val="20"/>
          <w:szCs w:val="20"/>
          <w:lang w:val="es-MX"/>
        </w:rPr>
        <w:t xml:space="preserve">. </w:t>
      </w:r>
    </w:p>
    <w:p w14:paraId="34B7659E" w14:textId="77777777" w:rsidR="00A274CC" w:rsidRDefault="00A274CC" w:rsidP="00A274CC">
      <w:pPr>
        <w:spacing w:after="0" w:line="240" w:lineRule="auto"/>
        <w:jc w:val="both"/>
        <w:rPr>
          <w:rFonts w:ascii="Verdana" w:hAnsi="Verdana"/>
          <w:sz w:val="20"/>
          <w:szCs w:val="20"/>
          <w:lang w:val="es-ES"/>
        </w:rPr>
      </w:pPr>
    </w:p>
    <w:p w14:paraId="7654AE22" w14:textId="64E8093D" w:rsidR="00A274CC" w:rsidRPr="00A274CC" w:rsidRDefault="00A274CC" w:rsidP="00A274CC">
      <w:pPr>
        <w:spacing w:after="0" w:line="240" w:lineRule="auto"/>
        <w:jc w:val="both"/>
        <w:rPr>
          <w:rFonts w:ascii="Verdana" w:hAnsi="Verdana"/>
          <w:sz w:val="20"/>
          <w:szCs w:val="20"/>
          <w:lang w:val="es-ES"/>
        </w:rPr>
      </w:pPr>
      <w:r w:rsidRPr="00A274CC">
        <w:rPr>
          <w:rFonts w:ascii="Verdana" w:hAnsi="Verdana"/>
          <w:sz w:val="20"/>
          <w:szCs w:val="20"/>
          <w:lang w:val="es-ES"/>
        </w:rPr>
        <w:t xml:space="preserve">[…] </w:t>
      </w:r>
    </w:p>
    <w:p w14:paraId="0642415D" w14:textId="77777777" w:rsidR="00A274CC" w:rsidRDefault="00A274CC" w:rsidP="00A274CC">
      <w:pPr>
        <w:spacing w:after="0" w:line="240" w:lineRule="auto"/>
        <w:jc w:val="both"/>
        <w:rPr>
          <w:rFonts w:ascii="Verdana" w:hAnsi="Verdana"/>
          <w:sz w:val="20"/>
          <w:szCs w:val="20"/>
          <w:lang w:val="es-MX"/>
        </w:rPr>
      </w:pPr>
    </w:p>
    <w:p w14:paraId="1E568BB5" w14:textId="7AC22CEC" w:rsidR="00A274CC" w:rsidRPr="00A274CC" w:rsidRDefault="00A274CC" w:rsidP="00A274CC">
      <w:pPr>
        <w:spacing w:after="0" w:line="240" w:lineRule="auto"/>
        <w:jc w:val="both"/>
        <w:rPr>
          <w:rFonts w:ascii="Verdana" w:hAnsi="Verdana"/>
          <w:sz w:val="20"/>
          <w:szCs w:val="20"/>
          <w:lang w:val="es-MX"/>
        </w:rPr>
      </w:pPr>
      <w:r w:rsidRPr="00A274CC">
        <w:rPr>
          <w:rFonts w:ascii="Verdana" w:hAnsi="Verdana"/>
          <w:sz w:val="20"/>
          <w:szCs w:val="20"/>
          <w:lang w:val="es-MX"/>
        </w:rPr>
        <w:t>Los contratos o convenios de colaboración tienen como objeto promover acciones de fomento social en beneficio de los sectores más desprotegidos de la población, previstas en los planes de desarrollo, motivo por el cual no dan lugar a una contraprestación directa a favor de la entidad y tampoco a una relación conmutativa entre esta y la ESAL, toda vez que el beneficio real y directo lo reciben, en últimas, los terceros beneficiarios de este tipo de acciones de fomento.</w:t>
      </w:r>
    </w:p>
    <w:p w14:paraId="42F927C0" w14:textId="77777777" w:rsidR="00AF0A60" w:rsidRPr="00A274CC" w:rsidRDefault="00AF0A60" w:rsidP="00A274CC">
      <w:pPr>
        <w:spacing w:after="0" w:line="240" w:lineRule="auto"/>
        <w:jc w:val="both"/>
        <w:rPr>
          <w:rFonts w:ascii="Verdana" w:hAnsi="Verdana"/>
          <w:b/>
          <w:bCs/>
          <w:sz w:val="20"/>
          <w:szCs w:val="20"/>
          <w:lang w:val="es-ES"/>
        </w:rPr>
      </w:pPr>
    </w:p>
    <w:p w14:paraId="3773A791" w14:textId="20447790" w:rsidR="00AF0A60" w:rsidRPr="001B67D0" w:rsidRDefault="00AF0A60" w:rsidP="001B67D0">
      <w:pPr>
        <w:spacing w:after="0" w:line="240" w:lineRule="auto"/>
        <w:jc w:val="both"/>
        <w:rPr>
          <w:rFonts w:ascii="Verdana" w:hAnsi="Verdana"/>
          <w:b/>
          <w:bCs/>
          <w:lang w:val="es-ES"/>
        </w:rPr>
      </w:pPr>
      <w:r w:rsidRPr="001B67D0">
        <w:rPr>
          <w:rFonts w:ascii="Verdana" w:hAnsi="Verdana"/>
          <w:b/>
          <w:bCs/>
          <w:lang w:val="es-ES"/>
        </w:rPr>
        <w:t xml:space="preserve">CONVENIOS DE ASOCIACIÓN – Ley 489 de 1998 – Decreto 092 de 2007 </w:t>
      </w:r>
      <w:r w:rsidR="00A274CC" w:rsidRPr="001B67D0">
        <w:rPr>
          <w:rFonts w:ascii="Verdana" w:hAnsi="Verdana"/>
          <w:b/>
          <w:bCs/>
          <w:lang w:val="es-ES"/>
        </w:rPr>
        <w:t>–</w:t>
      </w:r>
      <w:r w:rsidRPr="001B67D0">
        <w:rPr>
          <w:rFonts w:ascii="Verdana" w:hAnsi="Verdana"/>
          <w:b/>
          <w:bCs/>
          <w:lang w:val="es-ES"/>
        </w:rPr>
        <w:t xml:space="preserve"> Finalidad – Características – Proceso competitivo – Excepción </w:t>
      </w:r>
    </w:p>
    <w:p w14:paraId="57A562ED" w14:textId="77777777" w:rsidR="001B67D0" w:rsidRDefault="001B67D0" w:rsidP="001B67D0">
      <w:pPr>
        <w:shd w:val="clear" w:color="auto" w:fill="FFFFFF"/>
        <w:spacing w:after="0" w:line="240" w:lineRule="auto"/>
        <w:jc w:val="both"/>
        <w:textAlignment w:val="baseline"/>
        <w:rPr>
          <w:rFonts w:ascii="Verdana" w:eastAsia="Calibri" w:hAnsi="Verdana" w:cs="Arial"/>
          <w:color w:val="000000" w:themeColor="text1"/>
        </w:rPr>
      </w:pPr>
    </w:p>
    <w:p w14:paraId="7B3D1027" w14:textId="5C8E3C1F" w:rsidR="00A274CC" w:rsidRPr="001B67D0" w:rsidRDefault="00A274CC" w:rsidP="001B67D0">
      <w:pPr>
        <w:shd w:val="clear" w:color="auto" w:fill="FFFFFF"/>
        <w:spacing w:after="0" w:line="240" w:lineRule="auto"/>
        <w:jc w:val="both"/>
        <w:textAlignment w:val="baseline"/>
        <w:rPr>
          <w:rFonts w:ascii="Verdana" w:eastAsia="Calibri" w:hAnsi="Verdana" w:cs="Arial"/>
          <w:color w:val="000000" w:themeColor="text1"/>
          <w:sz w:val="20"/>
          <w:szCs w:val="20"/>
        </w:rPr>
      </w:pPr>
      <w:r w:rsidRPr="001B67D0">
        <w:rPr>
          <w:rFonts w:ascii="Verdana" w:eastAsia="Calibri" w:hAnsi="Verdana" w:cs="Arial"/>
          <w:color w:val="000000" w:themeColor="text1"/>
          <w:sz w:val="20"/>
          <w:szCs w:val="20"/>
        </w:rPr>
        <w:t xml:space="preserve">De otro lado, los </w:t>
      </w:r>
      <w:r w:rsidRPr="001B67D0">
        <w:rPr>
          <w:rFonts w:ascii="Verdana" w:eastAsia="Calibri" w:hAnsi="Verdana" w:cs="Arial"/>
          <w:i/>
          <w:iCs/>
          <w:color w:val="000000" w:themeColor="text1"/>
          <w:sz w:val="20"/>
          <w:szCs w:val="20"/>
        </w:rPr>
        <w:t xml:space="preserve">convenios de asociación </w:t>
      </w:r>
      <w:r w:rsidRPr="001B67D0">
        <w:rPr>
          <w:rFonts w:ascii="Verdana" w:eastAsia="Calibri" w:hAnsi="Verdana" w:cs="Arial"/>
          <w:color w:val="000000" w:themeColor="text1"/>
          <w:sz w:val="20"/>
          <w:szCs w:val="20"/>
        </w:rPr>
        <w:t>“[…] [t]</w:t>
      </w:r>
      <w:proofErr w:type="spellStart"/>
      <w:r w:rsidRPr="001B67D0">
        <w:rPr>
          <w:rFonts w:ascii="Verdana" w:eastAsia="Calibri" w:hAnsi="Verdana" w:cs="Arial"/>
          <w:color w:val="000000" w:themeColor="text1"/>
          <w:sz w:val="20"/>
          <w:szCs w:val="20"/>
        </w:rPr>
        <w:t>ienen</w:t>
      </w:r>
      <w:proofErr w:type="spellEnd"/>
      <w:r w:rsidRPr="001B67D0">
        <w:rPr>
          <w:rFonts w:ascii="Verdana" w:eastAsia="Calibri" w:hAnsi="Verdana" w:cs="Arial"/>
          <w:color w:val="000000" w:themeColor="text1"/>
          <w:sz w:val="20"/>
          <w:szCs w:val="20"/>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En estos convenios – al igual que en los contratos de colaboración antes explicados – no existe contraprestación o pago, sino aportes, los cuales están dirigidos, exclusivamente, a lograr la ejecución del convenio no a remunerar la actividad o actuaciones del asociado. Para analizar un poco sobre este tipo de convenios se desarrollará el siguiente apartado. </w:t>
      </w:r>
    </w:p>
    <w:p w14:paraId="5E86C7AA" w14:textId="77777777" w:rsidR="001B67D0" w:rsidRDefault="001B67D0" w:rsidP="001B67D0">
      <w:pPr>
        <w:shd w:val="clear" w:color="auto" w:fill="FFFFFF"/>
        <w:spacing w:after="0" w:line="240" w:lineRule="auto"/>
        <w:jc w:val="both"/>
        <w:textAlignment w:val="baseline"/>
        <w:rPr>
          <w:rFonts w:ascii="Verdana" w:eastAsia="Calibri" w:hAnsi="Verdana" w:cs="Arial"/>
          <w:sz w:val="20"/>
          <w:szCs w:val="20"/>
          <w:lang w:val="es-MX"/>
        </w:rPr>
      </w:pPr>
    </w:p>
    <w:p w14:paraId="711476FC" w14:textId="21EB64CD" w:rsidR="00A274CC" w:rsidRPr="001B67D0" w:rsidRDefault="00A274CC" w:rsidP="001B67D0">
      <w:pPr>
        <w:shd w:val="clear" w:color="auto" w:fill="FFFFFF"/>
        <w:spacing w:after="0" w:line="240" w:lineRule="auto"/>
        <w:jc w:val="both"/>
        <w:textAlignment w:val="baseline"/>
        <w:rPr>
          <w:rFonts w:ascii="Verdana" w:eastAsia="Calibri" w:hAnsi="Verdana" w:cs="Arial"/>
          <w:sz w:val="20"/>
          <w:szCs w:val="20"/>
          <w:lang w:val="es-MX"/>
        </w:rPr>
      </w:pPr>
      <w:r w:rsidRPr="001B67D0">
        <w:rPr>
          <w:rFonts w:ascii="Verdana" w:eastAsia="Calibri" w:hAnsi="Verdana" w:cs="Arial"/>
          <w:sz w:val="20"/>
          <w:szCs w:val="20"/>
          <w:lang w:val="es-MX"/>
        </w:rPr>
        <w:t xml:space="preserve">Los </w:t>
      </w:r>
      <w:r w:rsidRPr="001B67D0">
        <w:rPr>
          <w:rFonts w:ascii="Verdana" w:eastAsia="Calibri" w:hAnsi="Verdana" w:cs="Arial"/>
          <w:i/>
          <w:iCs/>
          <w:sz w:val="20"/>
          <w:szCs w:val="20"/>
          <w:lang w:val="es-MX"/>
        </w:rPr>
        <w:t>convenios de asociación</w:t>
      </w:r>
      <w:r w:rsidRPr="001B67D0">
        <w:rPr>
          <w:rFonts w:ascii="Verdana" w:eastAsia="Calibri" w:hAnsi="Verdana" w:cs="Arial"/>
          <w:sz w:val="20"/>
          <w:szCs w:val="20"/>
          <w:lang w:val="es-MX"/>
        </w:rPr>
        <w:t xml:space="preserve"> tienen como fin que la entidad estatal, cualquiera que sea su naturaleza y orden administrativo como es el caso de las entidades territoriales –distritos, municipios, departamentos, entre otros- se asocien con personas jurídicas particulares para el desarrollo conjunto de actividades relacionadas con los cometidos y funciones asignadas a aquellas conforme a la Constitución y a la Ley. Los convenios de asociación están regulados en el artículo 5° del Decreto 092 de 2017 y el artículo 96 de la Ley 489 de 1998, sin dejar de lado los artículos 6,7, 8, 9, 10 y 11 del precitado Decreto Autónomo. </w:t>
      </w:r>
    </w:p>
    <w:p w14:paraId="60010360" w14:textId="77777777" w:rsidR="001B67D0" w:rsidRDefault="001B67D0" w:rsidP="001B67D0">
      <w:pPr>
        <w:spacing w:after="0" w:line="240" w:lineRule="auto"/>
        <w:jc w:val="both"/>
        <w:rPr>
          <w:rFonts w:ascii="Verdana" w:eastAsia="Calibri" w:hAnsi="Verdana" w:cs="Arial"/>
          <w:sz w:val="20"/>
          <w:szCs w:val="20"/>
          <w:lang w:val="es-MX"/>
        </w:rPr>
      </w:pPr>
    </w:p>
    <w:p w14:paraId="4F75840D" w14:textId="7C262FB4" w:rsidR="00A274CC" w:rsidRPr="001B67D0" w:rsidRDefault="00A274CC" w:rsidP="001B67D0">
      <w:pPr>
        <w:spacing w:after="0" w:line="240" w:lineRule="auto"/>
        <w:jc w:val="both"/>
        <w:rPr>
          <w:rFonts w:ascii="Verdana" w:eastAsia="Calibri" w:hAnsi="Verdana" w:cs="Arial"/>
          <w:sz w:val="20"/>
          <w:szCs w:val="20"/>
          <w:lang w:val="es-MX"/>
        </w:rPr>
      </w:pPr>
      <w:r w:rsidRPr="001B67D0">
        <w:rPr>
          <w:rFonts w:ascii="Verdana" w:eastAsia="Calibri" w:hAnsi="Verdana" w:cs="Arial"/>
          <w:sz w:val="20"/>
          <w:szCs w:val="20"/>
          <w:lang w:val="es-MX"/>
        </w:rPr>
        <w:t xml:space="preserve">En estos convenios no existe contraprestación o pago, sino aportes, los cuales están dirigidos, exclusivamente, a lograr la ejecución del convenio y no a remunerar la actividad o actuaciones del asociado. De todos modos, la entidad debe adelantar un proceso competitivo, salvo cuando la ESAL comprometa recursos en dinero para la ejecución de estas actividades, en una proporción no inferior al 30% del valor total del convenio. </w:t>
      </w:r>
    </w:p>
    <w:p w14:paraId="5232A664" w14:textId="77777777" w:rsidR="001B67D0" w:rsidRDefault="001B67D0" w:rsidP="001B67D0">
      <w:pPr>
        <w:shd w:val="clear" w:color="auto" w:fill="FFFFFF"/>
        <w:spacing w:after="0" w:line="240" w:lineRule="auto"/>
        <w:jc w:val="both"/>
        <w:textAlignment w:val="baseline"/>
        <w:rPr>
          <w:rFonts w:ascii="Verdana" w:eastAsia="Calibri" w:hAnsi="Verdana" w:cs="Arial"/>
          <w:color w:val="000000" w:themeColor="text1"/>
          <w:sz w:val="20"/>
          <w:szCs w:val="20"/>
          <w:lang w:val="es-MX"/>
        </w:rPr>
      </w:pPr>
    </w:p>
    <w:p w14:paraId="34B644AE" w14:textId="07C60175" w:rsidR="00A274CC" w:rsidRPr="001B67D0" w:rsidRDefault="001B67D0" w:rsidP="001B67D0">
      <w:pPr>
        <w:shd w:val="clear" w:color="auto" w:fill="FFFFFF"/>
        <w:spacing w:after="0" w:line="240" w:lineRule="auto"/>
        <w:jc w:val="both"/>
        <w:textAlignment w:val="baseline"/>
        <w:rPr>
          <w:rFonts w:ascii="Verdana" w:eastAsia="Calibri" w:hAnsi="Verdana" w:cs="Arial"/>
          <w:color w:val="000000" w:themeColor="text1"/>
          <w:sz w:val="20"/>
          <w:szCs w:val="20"/>
          <w:lang w:val="es-MX"/>
        </w:rPr>
      </w:pPr>
      <w:r w:rsidRPr="001B67D0">
        <w:rPr>
          <w:rFonts w:ascii="Verdana" w:eastAsia="Calibri" w:hAnsi="Verdana" w:cs="Arial"/>
          <w:color w:val="000000" w:themeColor="text1"/>
          <w:sz w:val="20"/>
          <w:szCs w:val="20"/>
          <w:lang w:val="es-MX"/>
        </w:rPr>
        <w:t xml:space="preserve">[…] </w:t>
      </w:r>
    </w:p>
    <w:p w14:paraId="2B917F1B" w14:textId="77777777" w:rsidR="001B67D0" w:rsidRDefault="001B67D0" w:rsidP="001B67D0">
      <w:pPr>
        <w:spacing w:after="0" w:line="240" w:lineRule="auto"/>
        <w:jc w:val="both"/>
        <w:rPr>
          <w:rFonts w:ascii="Verdana" w:eastAsia="Calibri" w:hAnsi="Verdana" w:cs="Arial"/>
          <w:sz w:val="20"/>
          <w:szCs w:val="20"/>
          <w:lang w:val="es-MX"/>
        </w:rPr>
      </w:pPr>
    </w:p>
    <w:p w14:paraId="71E17143" w14:textId="67831A36" w:rsidR="001B67D0" w:rsidRPr="001B67D0" w:rsidRDefault="001B67D0" w:rsidP="001B67D0">
      <w:pPr>
        <w:spacing w:after="0" w:line="240" w:lineRule="auto"/>
        <w:jc w:val="both"/>
        <w:rPr>
          <w:rFonts w:ascii="Verdana" w:eastAsia="Calibri" w:hAnsi="Verdana" w:cs="Arial"/>
          <w:sz w:val="20"/>
          <w:szCs w:val="20"/>
          <w:lang w:val="es-MX"/>
        </w:rPr>
      </w:pPr>
      <w:r w:rsidRPr="001B67D0">
        <w:rPr>
          <w:rFonts w:ascii="Verdana" w:eastAsia="Calibri" w:hAnsi="Verdana" w:cs="Arial"/>
          <w:sz w:val="20"/>
          <w:szCs w:val="20"/>
          <w:lang w:val="es-MX"/>
        </w:rPr>
        <w:t>Igualmente, considerando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una o varias ESAL, aporten al menos el treinta por ciento (30%), en dinero, del valor del convenio para celebrarlo directamente, pues de lo contrario deberá adelantarse un proceso competitivo. Además, en atención al inciso 2 del artículo 5 del Decreto 092 de 2017, deben “asegurarse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34EC3F85" w14:textId="77777777" w:rsidR="001B67D0" w:rsidRDefault="001B67D0" w:rsidP="001B67D0">
      <w:pPr>
        <w:shd w:val="clear" w:color="auto" w:fill="FFFFFF"/>
        <w:spacing w:after="0" w:line="240" w:lineRule="auto"/>
        <w:jc w:val="both"/>
        <w:textAlignment w:val="baseline"/>
        <w:rPr>
          <w:rFonts w:ascii="Verdana" w:eastAsia="Calibri" w:hAnsi="Verdana" w:cs="Arial"/>
          <w:color w:val="000000" w:themeColor="text1"/>
          <w:sz w:val="20"/>
          <w:szCs w:val="20"/>
          <w:lang w:val="es-MX"/>
        </w:rPr>
      </w:pPr>
    </w:p>
    <w:p w14:paraId="2E6EF609" w14:textId="7ED10CFD" w:rsidR="001B67D0" w:rsidRPr="001B67D0" w:rsidRDefault="001B67D0" w:rsidP="001B67D0">
      <w:pPr>
        <w:shd w:val="clear" w:color="auto" w:fill="FFFFFF"/>
        <w:spacing w:after="0" w:line="240" w:lineRule="auto"/>
        <w:jc w:val="both"/>
        <w:textAlignment w:val="baseline"/>
        <w:rPr>
          <w:rFonts w:ascii="Verdana" w:eastAsia="Calibri" w:hAnsi="Verdana" w:cs="Arial"/>
          <w:color w:val="000000" w:themeColor="text1"/>
          <w:sz w:val="20"/>
          <w:szCs w:val="20"/>
          <w:lang w:val="es-MX"/>
        </w:rPr>
      </w:pPr>
      <w:r w:rsidRPr="001B67D0">
        <w:rPr>
          <w:rFonts w:ascii="Verdana" w:eastAsia="Calibri" w:hAnsi="Verdana" w:cs="Arial"/>
          <w:color w:val="000000" w:themeColor="text1"/>
          <w:sz w:val="20"/>
          <w:szCs w:val="20"/>
          <w:lang w:val="es-MX"/>
        </w:rPr>
        <w:t xml:space="preserve">[…] </w:t>
      </w:r>
    </w:p>
    <w:p w14:paraId="4B8C7C23" w14:textId="77777777" w:rsidR="001B67D0" w:rsidRDefault="001B67D0" w:rsidP="001B67D0">
      <w:pPr>
        <w:spacing w:after="0" w:line="240" w:lineRule="auto"/>
        <w:jc w:val="both"/>
        <w:textAlignment w:val="baseline"/>
        <w:rPr>
          <w:rFonts w:ascii="Verdana" w:eastAsia="Calibri" w:hAnsi="Verdana" w:cs="Arial"/>
          <w:sz w:val="20"/>
          <w:szCs w:val="20"/>
          <w:lang w:val="es-MX"/>
        </w:rPr>
      </w:pPr>
    </w:p>
    <w:p w14:paraId="4503D473" w14:textId="664DA3A9" w:rsidR="001B67D0" w:rsidRPr="001B67D0" w:rsidRDefault="001B67D0" w:rsidP="001B67D0">
      <w:pPr>
        <w:spacing w:after="0" w:line="240" w:lineRule="auto"/>
        <w:jc w:val="both"/>
        <w:textAlignment w:val="baseline"/>
        <w:rPr>
          <w:rFonts w:ascii="Verdana" w:eastAsia="Calibri" w:hAnsi="Verdana" w:cs="Arial"/>
          <w:sz w:val="20"/>
          <w:szCs w:val="20"/>
          <w:lang w:val="es-ES_tradnl" w:eastAsia="es-ES_tradnl"/>
        </w:rPr>
      </w:pPr>
      <w:r w:rsidRPr="001B67D0">
        <w:rPr>
          <w:rFonts w:ascii="Verdana" w:eastAsia="Calibri" w:hAnsi="Verdana" w:cs="Arial"/>
          <w:sz w:val="20"/>
          <w:szCs w:val="20"/>
          <w:lang w:val="es-MX"/>
        </w:rPr>
        <w:t xml:space="preserve">Como se explicó, en relación con los convenios de asociación, el artículo 5 del citado Decreto establece que el proceso para la selección de la ESAL, por regla general, debe estar sujeto a competencia; salvo en aquellos casos en que </w:t>
      </w:r>
      <w:r w:rsidRPr="001B67D0">
        <w:rPr>
          <w:rFonts w:ascii="Verdana" w:eastAsia="Calibri" w:hAnsi="Verdana" w:cs="Arial"/>
          <w:i/>
          <w:iCs/>
          <w:sz w:val="20"/>
          <w:szCs w:val="20"/>
          <w:lang w:val="es-MX"/>
        </w:rPr>
        <w:t>una</w:t>
      </w:r>
      <w:r w:rsidRPr="001B67D0">
        <w:rPr>
          <w:rFonts w:ascii="Verdana" w:eastAsia="Calibri" w:hAnsi="Verdana" w:cs="Arial"/>
          <w:sz w:val="20"/>
          <w:szCs w:val="20"/>
          <w:lang w:val="es-MX"/>
        </w:rPr>
        <w:t xml:space="preserve"> entidad sin ánimo de lucro comprometa recursos en dinero por un valor igual o superior al 30% del valor total del convenio, y siempre que la entidad estatal verifique previamente que no existe ninguna otra entidad sin ánimo de lucro que ofrezca aportes en dinero iguales o superiores al 30%, ya que en este último evento también deberá adelantar un proceso competitivo. De hecho, en relación con la naturaleza y cuantía de los convenios, la norma anteriormente citada no prohíbe la celebración de convenios en que la ESAL aporte menos del 30% o cuando aporten recursos en especie. En efecto, solo indica que en esos casos la entidad estatal debe acudir al proceso competitivo para seleccionar a la entidad sin ánimo de lucro con la cual celebrará el respectivo convenio.</w:t>
      </w:r>
    </w:p>
    <w:p w14:paraId="5CF94467" w14:textId="77777777" w:rsidR="001B67D0" w:rsidRDefault="001B67D0" w:rsidP="001B67D0">
      <w:pPr>
        <w:spacing w:after="0" w:line="240" w:lineRule="auto"/>
        <w:jc w:val="both"/>
        <w:rPr>
          <w:rFonts w:ascii="Verdana" w:eastAsia="Calibri" w:hAnsi="Verdana" w:cs="Arial"/>
          <w:color w:val="000000" w:themeColor="text1"/>
          <w:sz w:val="20"/>
          <w:szCs w:val="20"/>
          <w:lang w:val="es-ES_tradnl"/>
        </w:rPr>
      </w:pPr>
    </w:p>
    <w:p w14:paraId="0A004F31" w14:textId="73A6B1A0" w:rsidR="00AF0A60" w:rsidRDefault="00AF0A60" w:rsidP="00AF0A60">
      <w:pPr>
        <w:jc w:val="both"/>
        <w:rPr>
          <w:rFonts w:ascii="Verdana" w:hAnsi="Verdana" w:cs="Arial"/>
          <w:b/>
          <w:bCs/>
          <w:color w:val="000000" w:themeColor="text1"/>
        </w:rPr>
      </w:pPr>
      <w:r w:rsidRPr="001B67D0">
        <w:rPr>
          <w:rFonts w:ascii="Verdana" w:hAnsi="Verdana"/>
          <w:b/>
          <w:bCs/>
          <w:lang w:val="es-ES"/>
        </w:rPr>
        <w:t>L</w:t>
      </w:r>
      <w:r w:rsidRPr="001B67D0">
        <w:rPr>
          <w:rFonts w:ascii="Verdana" w:hAnsi="Verdana" w:cs="Arial"/>
          <w:b/>
          <w:bCs/>
          <w:color w:val="000000" w:themeColor="text1"/>
        </w:rPr>
        <w:t xml:space="preserve">EY DE GARANTÍAS ELECTORALES – Propósito </w:t>
      </w:r>
    </w:p>
    <w:p w14:paraId="5B91DDBF" w14:textId="77777777" w:rsidR="001B67D0" w:rsidRDefault="001B67D0" w:rsidP="001B67D0">
      <w:pPr>
        <w:tabs>
          <w:tab w:val="left" w:pos="426"/>
        </w:tabs>
        <w:spacing w:after="0" w:line="240" w:lineRule="auto"/>
        <w:jc w:val="both"/>
        <w:rPr>
          <w:rFonts w:ascii="Verdana" w:eastAsia="Calibri" w:hAnsi="Verdana" w:cs="Arial"/>
          <w:noProof/>
          <w:sz w:val="20"/>
          <w:szCs w:val="20"/>
          <w:lang w:val="es-ES_tradnl"/>
        </w:rPr>
      </w:pPr>
      <w:r w:rsidRPr="001B67D0">
        <w:rPr>
          <w:rFonts w:ascii="Verdana" w:hAnsi="Verdana" w:cs="Arial"/>
          <w:color w:val="000000" w:themeColor="text1"/>
          <w:sz w:val="20"/>
          <w:szCs w:val="20"/>
        </w:rPr>
        <w:t xml:space="preserve">[…] la Ley de garantías Electorales […] </w:t>
      </w:r>
      <w:r w:rsidRPr="001B67D0">
        <w:rPr>
          <w:rFonts w:ascii="Verdana" w:eastAsia="Times New Roman" w:hAnsi="Verdana" w:cs="Arial"/>
          <w:sz w:val="20"/>
          <w:szCs w:val="20"/>
          <w:lang w:eastAsia="es-CO"/>
        </w:rPr>
        <w:t>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1B67D0">
        <w:rPr>
          <w:rFonts w:ascii="Verdana" w:eastAsia="Calibri" w:hAnsi="Verdana" w:cs="Arial"/>
          <w:noProof/>
          <w:sz w:val="20"/>
          <w:szCs w:val="20"/>
          <w:lang w:val="es-ES_tradnl"/>
        </w:rPr>
        <w:t xml:space="preserve"> </w:t>
      </w:r>
    </w:p>
    <w:p w14:paraId="1C44604B" w14:textId="77777777" w:rsidR="001B67D0" w:rsidRDefault="001B67D0" w:rsidP="001B67D0">
      <w:pPr>
        <w:tabs>
          <w:tab w:val="left" w:pos="426"/>
        </w:tabs>
        <w:spacing w:after="0" w:line="240" w:lineRule="auto"/>
        <w:jc w:val="both"/>
        <w:rPr>
          <w:rFonts w:ascii="Verdana" w:eastAsia="Calibri" w:hAnsi="Verdana" w:cs="Arial"/>
          <w:noProof/>
          <w:sz w:val="20"/>
          <w:szCs w:val="20"/>
          <w:lang w:val="es-ES_tradnl"/>
        </w:rPr>
      </w:pPr>
    </w:p>
    <w:p w14:paraId="2DB3D938" w14:textId="05F4D2B7" w:rsidR="00AF0A60" w:rsidRDefault="00AF0A60" w:rsidP="001B67D0">
      <w:pPr>
        <w:tabs>
          <w:tab w:val="left" w:pos="426"/>
        </w:tabs>
        <w:spacing w:after="0" w:line="240" w:lineRule="auto"/>
        <w:jc w:val="both"/>
        <w:rPr>
          <w:rFonts w:ascii="Verdana" w:hAnsi="Verdana" w:cs="Arial"/>
          <w:b/>
          <w:bCs/>
          <w:color w:val="000000" w:themeColor="text1"/>
        </w:rPr>
      </w:pPr>
      <w:r w:rsidRPr="001B67D0">
        <w:rPr>
          <w:rFonts w:ascii="Verdana" w:hAnsi="Verdana" w:cs="Arial"/>
          <w:b/>
          <w:bCs/>
          <w:color w:val="000000" w:themeColor="text1"/>
        </w:rPr>
        <w:t xml:space="preserve">LEY DE GARANTÍAS ELECTORALES – Prohibiciones – Restricciones </w:t>
      </w:r>
    </w:p>
    <w:p w14:paraId="47725CFD" w14:textId="77777777" w:rsidR="001B67D0" w:rsidRDefault="001B67D0" w:rsidP="001B67D0">
      <w:pPr>
        <w:tabs>
          <w:tab w:val="left" w:pos="426"/>
        </w:tabs>
        <w:spacing w:after="0" w:line="240" w:lineRule="auto"/>
        <w:jc w:val="both"/>
        <w:rPr>
          <w:rFonts w:ascii="Verdana" w:hAnsi="Verdana" w:cs="Arial"/>
          <w:b/>
          <w:bCs/>
          <w:color w:val="000000" w:themeColor="text1"/>
        </w:rPr>
      </w:pPr>
    </w:p>
    <w:p w14:paraId="2F6DF3FE" w14:textId="184C32BF" w:rsidR="001B67D0" w:rsidRDefault="00374052" w:rsidP="001B67D0">
      <w:pPr>
        <w:tabs>
          <w:tab w:val="left" w:pos="426"/>
        </w:tabs>
        <w:spacing w:after="0" w:line="240" w:lineRule="auto"/>
        <w:jc w:val="both"/>
        <w:rPr>
          <w:rFonts w:ascii="Verdana" w:eastAsia="Times New Roman" w:hAnsi="Verdana" w:cs="Arial"/>
          <w:bCs/>
          <w:sz w:val="20"/>
          <w:szCs w:val="20"/>
          <w:lang w:eastAsia="es-CO"/>
        </w:rPr>
      </w:pPr>
      <w:r w:rsidRPr="00374052">
        <w:rPr>
          <w:rFonts w:ascii="Verdana" w:eastAsia="Calibri" w:hAnsi="Verdana" w:cs="Arial"/>
          <w:noProof/>
          <w:sz w:val="20"/>
          <w:szCs w:val="20"/>
          <w:lang w:val="es-ES_tradnl"/>
        </w:rPr>
        <w:t xml:space="preserve">[…] </w:t>
      </w:r>
      <w:r w:rsidRPr="00374052">
        <w:rPr>
          <w:rFonts w:ascii="Verdana" w:eastAsia="Times New Roman" w:hAnsi="Verdana" w:cs="Arial"/>
          <w:sz w:val="20"/>
          <w:szCs w:val="20"/>
          <w:lang w:eastAsia="es-CO"/>
        </w:rPr>
        <w:t>la Ley de Garantías Electorales establece el marco jurídico para el desarrollo de las elecciones, procurando condiciones de igualdad y transparencia para los aspirantes. Paralelamente, incluye restricciones en el actuar de los servidores públicos, evitando interferencias en la contienda electoral</w:t>
      </w:r>
      <w:r w:rsidRPr="00374052">
        <w:rPr>
          <w:rFonts w:ascii="Verdana" w:eastAsia="Times New Roman" w:hAnsi="Verdana" w:cs="Arial"/>
          <w:bCs/>
          <w:sz w:val="20"/>
          <w:szCs w:val="20"/>
          <w:lang w:eastAsia="es-CO"/>
        </w:rPr>
        <w:t>, así como la posible desviación de recursos públicos en aspiraciones electorales</w:t>
      </w:r>
      <w:r>
        <w:rPr>
          <w:rFonts w:ascii="Verdana" w:eastAsia="Times New Roman" w:hAnsi="Verdana" w:cs="Arial"/>
          <w:bCs/>
          <w:sz w:val="20"/>
          <w:szCs w:val="20"/>
          <w:lang w:eastAsia="es-CO"/>
        </w:rPr>
        <w:t>.</w:t>
      </w:r>
    </w:p>
    <w:p w14:paraId="41E8701E" w14:textId="77777777" w:rsidR="00374052" w:rsidRDefault="00374052" w:rsidP="001B67D0">
      <w:pPr>
        <w:tabs>
          <w:tab w:val="left" w:pos="426"/>
        </w:tabs>
        <w:spacing w:after="0" w:line="240" w:lineRule="auto"/>
        <w:jc w:val="both"/>
        <w:rPr>
          <w:rFonts w:ascii="Verdana" w:eastAsia="Times New Roman" w:hAnsi="Verdana" w:cs="Arial"/>
          <w:bCs/>
          <w:sz w:val="20"/>
          <w:szCs w:val="20"/>
          <w:lang w:eastAsia="es-CO"/>
        </w:rPr>
      </w:pPr>
    </w:p>
    <w:p w14:paraId="6B4088A7" w14:textId="1D588294" w:rsidR="00374052" w:rsidRPr="00374052" w:rsidRDefault="00374052" w:rsidP="001B67D0">
      <w:pPr>
        <w:tabs>
          <w:tab w:val="left" w:pos="426"/>
        </w:tabs>
        <w:spacing w:after="0" w:line="240" w:lineRule="auto"/>
        <w:jc w:val="both"/>
        <w:rPr>
          <w:rFonts w:ascii="Verdana" w:eastAsia="Calibri" w:hAnsi="Verdana" w:cs="Arial"/>
          <w:noProof/>
          <w:sz w:val="20"/>
          <w:szCs w:val="20"/>
          <w:lang w:val="es-ES_tradnl"/>
        </w:rPr>
      </w:pPr>
      <w:r w:rsidRPr="00374052">
        <w:rPr>
          <w:rFonts w:ascii="Verdana" w:eastAsia="Calibri" w:hAnsi="Verdana" w:cs="Arial"/>
          <w:noProof/>
          <w:sz w:val="20"/>
          <w:szCs w:val="20"/>
          <w:lang w:val="es-ES_tradnl"/>
        </w:rPr>
        <w:t xml:space="preserve">[…] </w:t>
      </w:r>
    </w:p>
    <w:p w14:paraId="0626D99C" w14:textId="77777777" w:rsidR="00374052" w:rsidRDefault="00374052" w:rsidP="001B67D0">
      <w:pPr>
        <w:tabs>
          <w:tab w:val="left" w:pos="426"/>
        </w:tabs>
        <w:spacing w:after="0" w:line="240" w:lineRule="auto"/>
        <w:jc w:val="both"/>
        <w:rPr>
          <w:rFonts w:ascii="Verdana" w:eastAsia="Calibri" w:hAnsi="Verdana" w:cs="Arial"/>
          <w:b/>
          <w:bCs/>
          <w:noProof/>
          <w:sz w:val="20"/>
          <w:szCs w:val="20"/>
          <w:lang w:val="es-ES_tradnl"/>
        </w:rPr>
      </w:pPr>
    </w:p>
    <w:p w14:paraId="16376688" w14:textId="77777777" w:rsidR="00374052" w:rsidRDefault="00374052" w:rsidP="00374052">
      <w:pPr>
        <w:spacing w:after="0" w:line="240" w:lineRule="auto"/>
        <w:jc w:val="both"/>
        <w:rPr>
          <w:rFonts w:ascii="Verdana" w:eastAsia="Arial" w:hAnsi="Verdana" w:cs="Arial"/>
          <w:sz w:val="20"/>
          <w:szCs w:val="20"/>
          <w:lang w:val="es-ES" w:eastAsia="es-ES" w:bidi="es-ES"/>
        </w:rPr>
      </w:pPr>
      <w:r w:rsidRPr="00374052">
        <w:rPr>
          <w:rFonts w:ascii="Verdana" w:eastAsia="Arial" w:hAnsi="Verdana" w:cs="Arial"/>
          <w:sz w:val="20"/>
          <w:szCs w:val="20"/>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5045D1CA" w14:textId="77777777" w:rsidR="00374052" w:rsidRDefault="00374052" w:rsidP="00374052">
      <w:pPr>
        <w:spacing w:after="0" w:line="240" w:lineRule="auto"/>
        <w:jc w:val="both"/>
        <w:rPr>
          <w:rFonts w:ascii="Verdana" w:eastAsia="Arial" w:hAnsi="Verdana" w:cs="Arial"/>
          <w:sz w:val="20"/>
          <w:szCs w:val="20"/>
          <w:lang w:val="es-ES" w:eastAsia="es-ES" w:bidi="es-ES"/>
        </w:rPr>
      </w:pPr>
    </w:p>
    <w:p w14:paraId="4C3A8E54" w14:textId="6B33E6C9" w:rsidR="00374052" w:rsidRDefault="00374052" w:rsidP="00374052">
      <w:pPr>
        <w:spacing w:after="0" w:line="240" w:lineRule="auto"/>
        <w:jc w:val="both"/>
        <w:rPr>
          <w:rFonts w:ascii="Verdana" w:eastAsia="Arial" w:hAnsi="Verdana" w:cs="Arial"/>
          <w:sz w:val="20"/>
          <w:szCs w:val="20"/>
          <w:lang w:val="es-ES" w:eastAsia="es-ES" w:bidi="es-ES"/>
        </w:rPr>
      </w:pPr>
      <w:r w:rsidRPr="00374052">
        <w:rPr>
          <w:rFonts w:ascii="Verdana" w:eastAsia="Calibri" w:hAnsi="Verdana" w:cs="Arial"/>
          <w:sz w:val="20"/>
          <w:szCs w:val="20"/>
        </w:rPr>
        <w:t xml:space="preserve">Por un lado, </w:t>
      </w:r>
      <w:r w:rsidRPr="00374052">
        <w:rPr>
          <w:rFonts w:ascii="Verdana" w:eastAsia="Calibri" w:hAnsi="Verdana" w:cs="Arial"/>
          <w:i/>
          <w:sz w:val="20"/>
          <w:szCs w:val="20"/>
        </w:rPr>
        <w:t>el artículo 33</w:t>
      </w:r>
      <w:r w:rsidRPr="00374052">
        <w:rPr>
          <w:rFonts w:ascii="Verdana" w:eastAsia="Calibri" w:hAnsi="Verdana" w:cs="Arial"/>
          <w:sz w:val="20"/>
          <w:szCs w:val="20"/>
        </w:rPr>
        <w:t xml:space="preserve"> de la Ley 996 de 2005 prohíbe “</w:t>
      </w:r>
      <w:r w:rsidRPr="00374052">
        <w:rPr>
          <w:rFonts w:ascii="Verdana" w:eastAsia="Calibri" w:hAnsi="Verdana" w:cs="Arial"/>
          <w:bCs/>
          <w:sz w:val="20"/>
          <w:szCs w:val="20"/>
        </w:rPr>
        <w:t xml:space="preserve">(…) </w:t>
      </w:r>
      <w:r w:rsidRPr="00374052">
        <w:rPr>
          <w:rFonts w:ascii="Verdana" w:eastAsia="Calibri" w:hAnsi="Verdana" w:cs="Arial"/>
          <w:sz w:val="20"/>
          <w:szCs w:val="20"/>
        </w:rPr>
        <w:t>la contratación directa por parte de todos los entes del Estado</w:t>
      </w:r>
      <w:r w:rsidRPr="00374052">
        <w:rPr>
          <w:rFonts w:ascii="Verdana" w:eastAsia="Calibri" w:hAnsi="Verdana" w:cs="Arial"/>
          <w:bCs/>
          <w:sz w:val="20"/>
          <w:szCs w:val="20"/>
        </w:rPr>
        <w:t>”</w:t>
      </w:r>
      <w:r w:rsidRPr="00374052">
        <w:rPr>
          <w:rFonts w:ascii="Verdana" w:eastAsia="Calibri" w:hAnsi="Verdana" w:cs="Arial"/>
          <w:sz w:val="20"/>
          <w:szCs w:val="20"/>
        </w:rPr>
        <w:t xml:space="preserve"> durante los cuatro (4) meses anteriores a las elecciones presidenciales, salvo </w:t>
      </w:r>
      <w:r w:rsidRPr="00374052">
        <w:rPr>
          <w:rFonts w:ascii="Verdana" w:eastAsia="Calibri" w:hAnsi="Verdana" w:cs="Arial"/>
          <w:bCs/>
          <w:sz w:val="20"/>
          <w:szCs w:val="20"/>
        </w:rPr>
        <w:t xml:space="preserve">“(…) </w:t>
      </w:r>
      <w:r w:rsidRPr="00374052">
        <w:rPr>
          <w:rFonts w:ascii="Verdana" w:eastAsia="Calibri" w:hAnsi="Verdana" w:cs="Arial"/>
          <w:sz w:val="20"/>
          <w:szCs w:val="20"/>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374052">
        <w:rPr>
          <w:rFonts w:ascii="Verdana" w:eastAsia="Calibri" w:hAnsi="Verdana" w:cs="Arial"/>
          <w:bCs/>
          <w:sz w:val="20"/>
          <w:szCs w:val="20"/>
        </w:rPr>
        <w:t>”</w:t>
      </w:r>
      <w:r w:rsidRPr="00374052">
        <w:rPr>
          <w:rFonts w:ascii="Verdana" w:eastAsia="Calibri" w:hAnsi="Verdana" w:cs="Arial"/>
          <w:sz w:val="20"/>
          <w:szCs w:val="20"/>
        </w:rPr>
        <w:t>.</w:t>
      </w:r>
    </w:p>
    <w:p w14:paraId="406E86BD" w14:textId="77777777" w:rsidR="00374052" w:rsidRDefault="00374052" w:rsidP="00374052">
      <w:pPr>
        <w:spacing w:after="0" w:line="240" w:lineRule="auto"/>
        <w:jc w:val="both"/>
        <w:rPr>
          <w:rFonts w:ascii="Verdana" w:eastAsia="Arial" w:hAnsi="Verdana" w:cs="Arial"/>
          <w:sz w:val="20"/>
          <w:szCs w:val="20"/>
          <w:lang w:val="es-ES" w:eastAsia="es-ES" w:bidi="es-ES"/>
        </w:rPr>
      </w:pPr>
    </w:p>
    <w:p w14:paraId="1BF47A4F" w14:textId="77777777" w:rsidR="00374052" w:rsidRDefault="00374052" w:rsidP="00374052">
      <w:pPr>
        <w:spacing w:after="0" w:line="240" w:lineRule="auto"/>
        <w:jc w:val="both"/>
        <w:rPr>
          <w:rFonts w:ascii="Verdana" w:eastAsia="Arial" w:hAnsi="Verdana" w:cs="Arial"/>
          <w:sz w:val="20"/>
          <w:szCs w:val="20"/>
          <w:lang w:val="es-ES" w:eastAsia="es-ES" w:bidi="es-ES"/>
        </w:rPr>
      </w:pPr>
      <w:r w:rsidRPr="00374052">
        <w:rPr>
          <w:rFonts w:ascii="Verdana" w:eastAsia="Calibri" w:hAnsi="Verdana" w:cs="Arial"/>
          <w:sz w:val="20"/>
          <w:szCs w:val="20"/>
        </w:rPr>
        <w:t xml:space="preserve">Por otro lado, </w:t>
      </w:r>
      <w:r w:rsidRPr="00374052">
        <w:rPr>
          <w:rFonts w:ascii="Verdana" w:eastAsia="Calibri" w:hAnsi="Verdana" w:cs="Arial"/>
          <w:i/>
          <w:sz w:val="20"/>
          <w:szCs w:val="20"/>
        </w:rPr>
        <w:t xml:space="preserve">el parágrafo del artículo 38 </w:t>
      </w:r>
      <w:r w:rsidRPr="00374052">
        <w:rPr>
          <w:rFonts w:ascii="Verdana" w:eastAsia="Calibri" w:hAnsi="Verdana" w:cs="Arial"/>
          <w:sz w:val="20"/>
          <w:szCs w:val="20"/>
        </w:rPr>
        <w:t xml:space="preserve">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374052">
        <w:rPr>
          <w:rFonts w:ascii="Verdana" w:eastAsia="Calibri" w:hAnsi="Verdana" w:cs="Arial"/>
          <w:bCs/>
          <w:sz w:val="20"/>
          <w:szCs w:val="20"/>
        </w:rPr>
        <w:t xml:space="preserve">“(…) </w:t>
      </w:r>
      <w:r w:rsidRPr="00374052">
        <w:rPr>
          <w:rFonts w:ascii="Verdana" w:eastAsia="Calibri" w:hAnsi="Verdana" w:cs="Arial"/>
          <w:sz w:val="20"/>
          <w:szCs w:val="20"/>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374052">
        <w:rPr>
          <w:rFonts w:ascii="Verdana" w:eastAsia="Calibri" w:hAnsi="Verdana" w:cs="Arial"/>
          <w:bCs/>
          <w:sz w:val="20"/>
          <w:szCs w:val="20"/>
        </w:rPr>
        <w:t>”</w:t>
      </w:r>
      <w:r w:rsidRPr="00374052">
        <w:rPr>
          <w:rFonts w:ascii="Verdana" w:eastAsia="Calibri" w:hAnsi="Verdana" w:cs="Arial"/>
          <w:sz w:val="20"/>
          <w:szCs w:val="20"/>
        </w:rPr>
        <w:t>.</w:t>
      </w:r>
      <w:r w:rsidRPr="00374052">
        <w:rPr>
          <w:rFonts w:ascii="Verdana" w:eastAsia="Arial" w:hAnsi="Verdana" w:cs="Arial"/>
          <w:sz w:val="20"/>
          <w:szCs w:val="20"/>
          <w:lang w:val="es-ES" w:eastAsia="es-ES" w:bidi="es-ES"/>
        </w:rPr>
        <w:t xml:space="preserve"> </w:t>
      </w:r>
    </w:p>
    <w:p w14:paraId="130E8784" w14:textId="77777777" w:rsidR="00374052" w:rsidRDefault="00374052" w:rsidP="00374052">
      <w:pPr>
        <w:spacing w:after="0" w:line="240" w:lineRule="auto"/>
        <w:jc w:val="both"/>
        <w:rPr>
          <w:rFonts w:ascii="Verdana" w:eastAsia="Arial" w:hAnsi="Verdana" w:cs="Arial"/>
          <w:sz w:val="20"/>
          <w:szCs w:val="20"/>
          <w:lang w:val="es-ES" w:eastAsia="es-ES" w:bidi="es-ES"/>
        </w:rPr>
      </w:pPr>
    </w:p>
    <w:p w14:paraId="01A7185F" w14:textId="0D04FA99" w:rsidR="00AF0A60" w:rsidRPr="00374052" w:rsidRDefault="00AF0A60" w:rsidP="00374052">
      <w:pPr>
        <w:spacing w:after="0" w:line="240" w:lineRule="auto"/>
        <w:jc w:val="both"/>
        <w:rPr>
          <w:rFonts w:ascii="Verdana" w:eastAsia="Arial" w:hAnsi="Verdana" w:cs="Arial"/>
          <w:b/>
          <w:bCs/>
          <w:sz w:val="20"/>
          <w:szCs w:val="20"/>
          <w:lang w:val="es-ES" w:eastAsia="es-ES" w:bidi="es-ES"/>
        </w:rPr>
      </w:pPr>
      <w:r w:rsidRPr="00374052">
        <w:rPr>
          <w:rFonts w:ascii="Verdana" w:hAnsi="Verdana" w:cs="Arial"/>
          <w:b/>
          <w:bCs/>
          <w:color w:val="000000" w:themeColor="text1"/>
        </w:rPr>
        <w:t xml:space="preserve">LEY DE GARANTÍAS ELECTORALES – Artículo 33 – Ámbito material </w:t>
      </w:r>
    </w:p>
    <w:p w14:paraId="5D55A576" w14:textId="77777777" w:rsidR="003F2978" w:rsidRDefault="003F2978" w:rsidP="003F2978">
      <w:pPr>
        <w:spacing w:after="0" w:line="240" w:lineRule="auto"/>
        <w:jc w:val="both"/>
        <w:rPr>
          <w:rFonts w:ascii="Verdana" w:hAnsi="Verdana" w:cs="Arial"/>
          <w:color w:val="000000" w:themeColor="text1"/>
          <w:lang w:val="es-ES"/>
        </w:rPr>
      </w:pPr>
    </w:p>
    <w:p w14:paraId="7A91075A" w14:textId="5D347A6E" w:rsidR="003F2978" w:rsidRDefault="003F2978" w:rsidP="003F2978">
      <w:pPr>
        <w:jc w:val="both"/>
        <w:rPr>
          <w:rFonts w:ascii="Verdana" w:hAnsi="Verdana" w:cs="Arial"/>
          <w:sz w:val="20"/>
          <w:szCs w:val="20"/>
          <w:lang w:eastAsia="x-none"/>
        </w:rPr>
      </w:pPr>
      <w:r w:rsidRPr="003F2978">
        <w:rPr>
          <w:rFonts w:ascii="Verdana" w:hAnsi="Verdana" w:cs="Arial"/>
          <w:color w:val="000000" w:themeColor="text1"/>
          <w:sz w:val="20"/>
          <w:szCs w:val="20"/>
          <w:lang w:val="es-ES"/>
        </w:rPr>
        <w:t>[…]</w:t>
      </w:r>
      <w:r w:rsidRPr="003F2978">
        <w:rPr>
          <w:rFonts w:ascii="Verdana" w:hAnsi="Verdana" w:cs="Arial"/>
          <w:b/>
          <w:bCs/>
          <w:color w:val="000000" w:themeColor="text1"/>
          <w:sz w:val="20"/>
          <w:szCs w:val="20"/>
          <w:lang w:val="es-ES"/>
        </w:rPr>
        <w:t xml:space="preserve"> </w:t>
      </w:r>
      <w:r w:rsidRPr="003F2978">
        <w:rPr>
          <w:rFonts w:ascii="Verdana" w:hAnsi="Verdana" w:cs="Arial"/>
          <w:bCs/>
          <w:sz w:val="20"/>
          <w:szCs w:val="20"/>
          <w:lang w:eastAsia="x-none"/>
        </w:rPr>
        <w:t xml:space="preserve">el ámbito material de la prohibición contenida en el artículo 33 de la Ley 996 de 2005 está delimitado por la expresión </w:t>
      </w:r>
      <w:r w:rsidRPr="003F2978">
        <w:rPr>
          <w:rFonts w:ascii="Verdana" w:eastAsia="Calibri" w:hAnsi="Verdana" w:cs="Arial"/>
          <w:bCs/>
          <w:i/>
          <w:iCs/>
          <w:sz w:val="20"/>
          <w:szCs w:val="20"/>
        </w:rPr>
        <w:t>“</w:t>
      </w:r>
      <w:r w:rsidRPr="003F2978">
        <w:rPr>
          <w:rFonts w:ascii="Verdana" w:hAnsi="Verdana" w:cs="Arial"/>
          <w:bCs/>
          <w:i/>
          <w:iCs/>
          <w:sz w:val="20"/>
          <w:szCs w:val="20"/>
          <w:lang w:eastAsia="x-none"/>
        </w:rPr>
        <w:t>queda prohibida la contratación directa</w:t>
      </w:r>
      <w:r w:rsidRPr="003F2978">
        <w:rPr>
          <w:rFonts w:ascii="Verdana" w:hAnsi="Verdana" w:cs="Arial"/>
          <w:sz w:val="20"/>
          <w:szCs w:val="20"/>
        </w:rPr>
        <w:t>”</w:t>
      </w:r>
      <w:r w:rsidRPr="003F2978">
        <w:rPr>
          <w:rFonts w:ascii="Verdana" w:hAnsi="Verdana" w:cs="Arial"/>
          <w:bCs/>
          <w:sz w:val="20"/>
          <w:szCs w:val="20"/>
          <w:lang w:eastAsia="x-none"/>
        </w:rPr>
        <w:t>.</w:t>
      </w:r>
      <w:r w:rsidRPr="003F2978">
        <w:rPr>
          <w:rFonts w:ascii="Verdana" w:hAnsi="Verdana" w:cs="Arial"/>
          <w:bCs/>
          <w:sz w:val="20"/>
          <w:szCs w:val="20"/>
          <w:lang w:eastAsia="x-none"/>
        </w:rPr>
        <w:t xml:space="preserve"> […] </w:t>
      </w:r>
      <w:r w:rsidRPr="003F2978">
        <w:rPr>
          <w:rFonts w:ascii="Verdana" w:hAnsi="Verdana" w:cs="Arial"/>
          <w:sz w:val="20"/>
          <w:szCs w:val="20"/>
          <w:lang w:eastAsia="x-none"/>
        </w:rPr>
        <w:t xml:space="preserve">De acuerdo con el citado concepto, la prohibición del artículo 33 de la Ley de Garantías Electorales se refiere a </w:t>
      </w:r>
      <w:r w:rsidRPr="003F2978">
        <w:rPr>
          <w:rFonts w:ascii="Verdana" w:hAnsi="Verdana" w:cs="Arial"/>
          <w:sz w:val="20"/>
          <w:szCs w:val="20"/>
          <w:lang w:eastAsia="en-GB"/>
        </w:rPr>
        <w:t>“</w:t>
      </w:r>
      <w:r w:rsidRPr="003F2978">
        <w:rPr>
          <w:rFonts w:ascii="Verdana" w:hAnsi="Verdana" w:cs="Arial"/>
          <w:sz w:val="20"/>
          <w:szCs w:val="20"/>
          <w:lang w:eastAsia="x-none"/>
        </w:rPr>
        <w:t>cualquier sistema que no implique convocatoria pública y posibilidad de pluralidad de oferentes</w:t>
      </w:r>
      <w:r w:rsidRPr="003F2978">
        <w:rPr>
          <w:rFonts w:ascii="Verdana" w:hAnsi="Verdana" w:cs="Arial"/>
          <w:sz w:val="20"/>
          <w:szCs w:val="20"/>
          <w:lang w:eastAsia="en-GB"/>
        </w:rPr>
        <w:t>”</w:t>
      </w:r>
      <w:r w:rsidRPr="003F2978">
        <w:rPr>
          <w:rFonts w:ascii="Verdana" w:hAnsi="Verdana" w:cs="Arial"/>
          <w:sz w:val="20"/>
          <w:szCs w:val="20"/>
          <w:lang w:eastAsia="x-none"/>
        </w:rPr>
        <w:t>, por lo que excluye las demás modalidades de contratación previstas en la Ley 1150 de 2007</w:t>
      </w:r>
      <w:r>
        <w:rPr>
          <w:rFonts w:ascii="Verdana" w:hAnsi="Verdana" w:cs="Arial"/>
          <w:sz w:val="20"/>
          <w:szCs w:val="20"/>
          <w:lang w:eastAsia="x-none"/>
        </w:rPr>
        <w:t>.</w:t>
      </w:r>
    </w:p>
    <w:p w14:paraId="5B71E74E" w14:textId="77777777" w:rsidR="003F2978" w:rsidRDefault="003F2978" w:rsidP="003F2978">
      <w:pPr>
        <w:jc w:val="both"/>
        <w:rPr>
          <w:rFonts w:ascii="Verdana" w:hAnsi="Verdana" w:cs="Arial"/>
          <w:bCs/>
          <w:sz w:val="20"/>
          <w:szCs w:val="20"/>
          <w:lang w:eastAsia="x-none"/>
        </w:rPr>
      </w:pPr>
      <w:r>
        <w:rPr>
          <w:rFonts w:ascii="Verdana" w:hAnsi="Verdana" w:cs="Arial"/>
          <w:bCs/>
          <w:sz w:val="20"/>
          <w:szCs w:val="20"/>
          <w:lang w:eastAsia="x-none"/>
        </w:rPr>
        <w:t>[…]</w:t>
      </w:r>
    </w:p>
    <w:p w14:paraId="128CADCC" w14:textId="3EF86CC7" w:rsidR="003F2978" w:rsidRDefault="003F2978" w:rsidP="003F2978">
      <w:pPr>
        <w:jc w:val="both"/>
        <w:rPr>
          <w:rFonts w:ascii="Verdana" w:hAnsi="Verdana" w:cs="Arial"/>
          <w:sz w:val="20"/>
          <w:szCs w:val="20"/>
          <w:vertAlign w:val="superscript"/>
          <w:lang w:eastAsia="x-none"/>
        </w:rPr>
      </w:pPr>
      <w:r w:rsidRPr="003F2978">
        <w:rPr>
          <w:rFonts w:ascii="Verdana" w:hAnsi="Verdana" w:cs="Arial"/>
          <w:bCs/>
          <w:sz w:val="20"/>
          <w:szCs w:val="20"/>
          <w:lang w:eastAsia="x-none"/>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3F2978">
        <w:rPr>
          <w:rFonts w:ascii="Verdana" w:hAnsi="Verdana" w:cs="Arial"/>
          <w:sz w:val="20"/>
          <w:szCs w:val="20"/>
          <w:lang w:eastAsia="x-none"/>
        </w:rPr>
        <w:t>.</w:t>
      </w:r>
      <w:r w:rsidRPr="003F2978">
        <w:rPr>
          <w:rFonts w:ascii="Verdana" w:hAnsi="Verdana" w:cs="Arial"/>
          <w:sz w:val="20"/>
          <w:szCs w:val="20"/>
          <w:vertAlign w:val="superscript"/>
          <w:lang w:eastAsia="x-none"/>
        </w:rPr>
        <w:t xml:space="preserve"> </w:t>
      </w:r>
    </w:p>
    <w:p w14:paraId="5321C7F0" w14:textId="5C563295" w:rsidR="003F2978" w:rsidRDefault="003F2978" w:rsidP="003F2978">
      <w:pPr>
        <w:jc w:val="both"/>
        <w:rPr>
          <w:rFonts w:ascii="Verdana" w:hAnsi="Verdana" w:cs="Arial"/>
          <w:sz w:val="20"/>
          <w:szCs w:val="20"/>
          <w:lang w:eastAsia="x-none"/>
        </w:rPr>
      </w:pPr>
      <w:r w:rsidRPr="003F2978">
        <w:rPr>
          <w:rFonts w:ascii="Verdana" w:hAnsi="Verdana" w:cs="Arial"/>
          <w:sz w:val="20"/>
          <w:szCs w:val="20"/>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Fonts w:ascii="Verdana" w:hAnsi="Verdana" w:cs="Arial"/>
          <w:sz w:val="20"/>
          <w:szCs w:val="20"/>
          <w:lang w:eastAsia="x-none"/>
        </w:rPr>
        <w:t>.</w:t>
      </w:r>
    </w:p>
    <w:p w14:paraId="0EED3FA6" w14:textId="3432F092" w:rsidR="00AF0A60" w:rsidRPr="003F2978" w:rsidRDefault="00AF0A60" w:rsidP="00AF0A60">
      <w:pPr>
        <w:jc w:val="both"/>
        <w:rPr>
          <w:rFonts w:ascii="Verdana" w:hAnsi="Verdana" w:cs="Arial"/>
          <w:b/>
          <w:bCs/>
          <w:color w:val="000000" w:themeColor="text1"/>
        </w:rPr>
      </w:pPr>
      <w:r w:rsidRPr="003F2978">
        <w:rPr>
          <w:rFonts w:ascii="Verdana" w:hAnsi="Verdana" w:cs="Arial"/>
          <w:b/>
          <w:bCs/>
          <w:color w:val="000000" w:themeColor="text1"/>
        </w:rPr>
        <w:t xml:space="preserve">LEY DE GARANTÍAS ELECTORALES – Destinatarios </w:t>
      </w:r>
    </w:p>
    <w:p w14:paraId="2F1C1C56" w14:textId="77777777" w:rsidR="00316D28" w:rsidRDefault="003F2978" w:rsidP="00316D28">
      <w:pPr>
        <w:spacing w:after="0" w:line="240" w:lineRule="auto"/>
        <w:jc w:val="both"/>
        <w:rPr>
          <w:rFonts w:ascii="Verdana" w:hAnsi="Verdana" w:cs="Arial"/>
          <w:bCs/>
          <w:color w:val="000000" w:themeColor="text1"/>
          <w:sz w:val="20"/>
          <w:szCs w:val="20"/>
          <w:lang w:val="es-MX" w:eastAsia="x-none"/>
        </w:rPr>
      </w:pPr>
      <w:r w:rsidRPr="003F2978">
        <w:rPr>
          <w:rFonts w:ascii="Verdana" w:hAnsi="Verdana" w:cs="Arial"/>
          <w:color w:val="000000" w:themeColor="text1"/>
          <w:sz w:val="20"/>
          <w:szCs w:val="20"/>
        </w:rPr>
        <w:t xml:space="preserve">[…] </w:t>
      </w:r>
      <w:r w:rsidRPr="003F2978">
        <w:rPr>
          <w:rFonts w:ascii="Verdana" w:hAnsi="Verdana" w:cs="Arial"/>
          <w:color w:val="000000" w:themeColor="text1"/>
          <w:sz w:val="20"/>
          <w:szCs w:val="20"/>
          <w:lang w:val="es-MX"/>
        </w:rPr>
        <w:t>en relación con los destinatarios de las restricciones, el artículo 33 de la Ley 996 de 2005 los señala expresamente, en el sentido de que son “</w:t>
      </w:r>
      <w:r w:rsidRPr="003F2978">
        <w:rPr>
          <w:rFonts w:ascii="Verdana" w:hAnsi="Verdana" w:cs="Arial"/>
          <w:i/>
          <w:color w:val="000000" w:themeColor="text1"/>
          <w:sz w:val="20"/>
          <w:szCs w:val="20"/>
          <w:lang w:val="es-MX"/>
        </w:rPr>
        <w:t>todos los entes del Estado</w:t>
      </w:r>
      <w:r w:rsidRPr="003F2978">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62F42D50" w14:textId="77777777" w:rsidR="00316D28" w:rsidRDefault="00316D28" w:rsidP="00316D28">
      <w:pPr>
        <w:spacing w:after="0" w:line="240" w:lineRule="auto"/>
        <w:jc w:val="both"/>
        <w:rPr>
          <w:rFonts w:ascii="Verdana" w:hAnsi="Verdana" w:cs="Arial"/>
          <w:bCs/>
          <w:color w:val="000000" w:themeColor="text1"/>
          <w:sz w:val="20"/>
          <w:szCs w:val="20"/>
          <w:lang w:val="es-MX" w:eastAsia="x-none"/>
        </w:rPr>
      </w:pPr>
    </w:p>
    <w:p w14:paraId="6775473E" w14:textId="77777777" w:rsidR="00316D28" w:rsidRPr="00316D28" w:rsidRDefault="00AF0A60" w:rsidP="00316D28">
      <w:pPr>
        <w:spacing w:after="0" w:line="240" w:lineRule="auto"/>
        <w:jc w:val="both"/>
        <w:rPr>
          <w:rFonts w:ascii="Verdana" w:hAnsi="Verdana" w:cs="Arial"/>
          <w:b/>
          <w:bCs/>
          <w:color w:val="000000" w:themeColor="text1"/>
          <w:sz w:val="20"/>
          <w:szCs w:val="20"/>
          <w:lang w:eastAsia="x-none"/>
        </w:rPr>
      </w:pPr>
      <w:r w:rsidRPr="00316D28">
        <w:rPr>
          <w:rFonts w:ascii="Verdana" w:hAnsi="Verdana" w:cs="Arial"/>
          <w:b/>
          <w:bCs/>
          <w:color w:val="000000" w:themeColor="text1"/>
        </w:rPr>
        <w:t xml:space="preserve">LEY DE GARANTÍAS ELECTORALES – Excepciones </w:t>
      </w:r>
    </w:p>
    <w:p w14:paraId="06B560AD" w14:textId="77777777" w:rsidR="00316D28" w:rsidRDefault="00316D28" w:rsidP="00316D28">
      <w:pPr>
        <w:spacing w:after="0" w:line="240" w:lineRule="auto"/>
        <w:jc w:val="both"/>
        <w:rPr>
          <w:rFonts w:ascii="Verdana" w:hAnsi="Verdana" w:cs="Arial"/>
          <w:bCs/>
          <w:color w:val="000000" w:themeColor="text1"/>
          <w:sz w:val="20"/>
          <w:szCs w:val="20"/>
          <w:lang w:eastAsia="x-none"/>
        </w:rPr>
      </w:pPr>
    </w:p>
    <w:p w14:paraId="051A60C3" w14:textId="193AFAD4" w:rsidR="00316D28" w:rsidRPr="00316D28" w:rsidRDefault="00316D28" w:rsidP="00316D28">
      <w:pPr>
        <w:spacing w:after="0" w:line="240" w:lineRule="auto"/>
        <w:jc w:val="both"/>
        <w:rPr>
          <w:rFonts w:ascii="Verdana" w:hAnsi="Verdana" w:cs="Arial"/>
          <w:bCs/>
          <w:color w:val="000000" w:themeColor="text1"/>
          <w:sz w:val="20"/>
          <w:szCs w:val="20"/>
          <w:lang w:val="es-MX" w:eastAsia="x-none"/>
        </w:rPr>
      </w:pPr>
      <w:r>
        <w:rPr>
          <w:rFonts w:ascii="Verdana" w:eastAsia="Times New Roman" w:hAnsi="Verdana" w:cs="Arial"/>
          <w:bCs/>
          <w:sz w:val="20"/>
          <w:szCs w:val="20"/>
          <w:lang w:val="es-ES" w:eastAsia="es-CO" w:bidi="es-ES"/>
        </w:rPr>
        <w:t xml:space="preserve">[…] </w:t>
      </w:r>
      <w:r w:rsidRPr="00316D28">
        <w:rPr>
          <w:rFonts w:ascii="Verdana" w:eastAsia="Times New Roman" w:hAnsi="Verdana" w:cs="Arial"/>
          <w:bCs/>
          <w:sz w:val="20"/>
          <w:szCs w:val="20"/>
          <w:lang w:val="es-ES" w:eastAsia="es-CO" w:bidi="es-ES"/>
        </w:rPr>
        <w:t xml:space="preserve">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316D28">
        <w:rPr>
          <w:rFonts w:ascii="Verdana" w:eastAsia="Times New Roman" w:hAnsi="Verdana" w:cs="Arial"/>
          <w:bCs/>
          <w:sz w:val="20"/>
          <w:szCs w:val="20"/>
          <w:lang w:val="es-ES" w:eastAsia="es-CO" w:bidi="es-ES"/>
        </w:rPr>
        <w:t>ii</w:t>
      </w:r>
      <w:proofErr w:type="spellEnd"/>
      <w:r w:rsidRPr="00316D28">
        <w:rPr>
          <w:rFonts w:ascii="Verdana" w:eastAsia="Times New Roman" w:hAnsi="Verdana" w:cs="Arial"/>
          <w:bCs/>
          <w:sz w:val="20"/>
          <w:szCs w:val="20"/>
          <w:lang w:val="es-ES" w:eastAsia="es-CO" w:bidi="es-ES"/>
        </w:rPr>
        <w:t xml:space="preserve">) los contratos de crédito público; </w:t>
      </w:r>
      <w:proofErr w:type="spellStart"/>
      <w:r w:rsidRPr="00316D28">
        <w:rPr>
          <w:rFonts w:ascii="Verdana" w:eastAsia="Times New Roman" w:hAnsi="Verdana" w:cs="Arial"/>
          <w:bCs/>
          <w:sz w:val="20"/>
          <w:szCs w:val="20"/>
          <w:lang w:val="es-ES" w:eastAsia="es-CO" w:bidi="es-ES"/>
        </w:rPr>
        <w:t>iii</w:t>
      </w:r>
      <w:proofErr w:type="spellEnd"/>
      <w:r w:rsidRPr="00316D28">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316D28">
        <w:rPr>
          <w:rFonts w:ascii="Verdana" w:eastAsia="Times New Roman" w:hAnsi="Verdana" w:cs="Arial"/>
          <w:bCs/>
          <w:sz w:val="20"/>
          <w:szCs w:val="20"/>
          <w:lang w:val="es-ES" w:eastAsia="es-CO" w:bidi="es-ES"/>
        </w:rPr>
        <w:t>iv</w:t>
      </w:r>
      <w:proofErr w:type="spellEnd"/>
      <w:r w:rsidRPr="00316D28">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2270AFE7" w14:textId="77777777" w:rsidR="00316D28" w:rsidRDefault="00316D28" w:rsidP="00316D28">
      <w:pPr>
        <w:spacing w:after="0" w:line="240" w:lineRule="auto"/>
        <w:jc w:val="both"/>
        <w:rPr>
          <w:rFonts w:ascii="Verdana" w:eastAsia="Times New Roman" w:hAnsi="Verdana" w:cs="Arial"/>
          <w:bCs/>
          <w:sz w:val="20"/>
          <w:szCs w:val="20"/>
          <w:lang w:val="es-ES" w:eastAsia="es-CO" w:bidi="es-ES"/>
        </w:rPr>
      </w:pPr>
    </w:p>
    <w:p w14:paraId="3800DC28" w14:textId="77777777" w:rsidR="00316D28" w:rsidRDefault="00316D28" w:rsidP="00316D28">
      <w:pPr>
        <w:spacing w:after="0" w:line="240" w:lineRule="auto"/>
        <w:jc w:val="both"/>
        <w:rPr>
          <w:rFonts w:ascii="Verdana" w:hAnsi="Verdana" w:cs="Arial"/>
          <w:bCs/>
          <w:sz w:val="20"/>
          <w:szCs w:val="20"/>
          <w:lang w:eastAsia="x-none"/>
        </w:rPr>
      </w:pPr>
      <w:r w:rsidRPr="00316D28">
        <w:rPr>
          <w:rFonts w:ascii="Verdana" w:eastAsia="Times New Roman" w:hAnsi="Verdana" w:cs="Arial"/>
          <w:bCs/>
          <w:sz w:val="20"/>
          <w:szCs w:val="20"/>
          <w:lang w:val="es-ES" w:eastAsia="es-CO" w:bidi="es-ES"/>
        </w:rPr>
        <w:t xml:space="preserve">En todo caso, </w:t>
      </w:r>
      <w:r w:rsidRPr="00316D28">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7A1119B8" w14:textId="77777777" w:rsidR="00316D28" w:rsidRDefault="00316D28" w:rsidP="00316D28">
      <w:pPr>
        <w:spacing w:after="0" w:line="240" w:lineRule="auto"/>
        <w:jc w:val="both"/>
        <w:rPr>
          <w:rFonts w:ascii="Verdana" w:hAnsi="Verdana" w:cs="Arial"/>
          <w:bCs/>
          <w:sz w:val="20"/>
          <w:szCs w:val="20"/>
          <w:lang w:eastAsia="x-none"/>
        </w:rPr>
      </w:pPr>
    </w:p>
    <w:p w14:paraId="45996999" w14:textId="77777777" w:rsidR="00316D28" w:rsidRDefault="00AF0A60" w:rsidP="00316D28">
      <w:pPr>
        <w:spacing w:after="0" w:line="240" w:lineRule="auto"/>
        <w:jc w:val="both"/>
        <w:rPr>
          <w:rFonts w:ascii="Verdana" w:hAnsi="Verdana" w:cs="Arial"/>
          <w:b/>
          <w:bCs/>
          <w:sz w:val="20"/>
          <w:szCs w:val="20"/>
          <w:lang w:eastAsia="x-none"/>
        </w:rPr>
      </w:pPr>
      <w:r w:rsidRPr="00316D28">
        <w:rPr>
          <w:rFonts w:ascii="Verdana" w:hAnsi="Verdana" w:cs="Arial"/>
          <w:b/>
          <w:bCs/>
          <w:color w:val="000000" w:themeColor="text1"/>
        </w:rPr>
        <w:t xml:space="preserve">LEY DE GARANTÍAS ELECTORALES – Parágrafo del artículo 38 - Alcance </w:t>
      </w:r>
    </w:p>
    <w:p w14:paraId="0662341E" w14:textId="77777777" w:rsidR="00316D28" w:rsidRDefault="00316D28" w:rsidP="00316D28">
      <w:pPr>
        <w:spacing w:after="0" w:line="240" w:lineRule="auto"/>
        <w:jc w:val="both"/>
        <w:rPr>
          <w:rFonts w:ascii="Verdana" w:hAnsi="Verdana" w:cs="Arial"/>
          <w:b/>
          <w:bCs/>
          <w:sz w:val="20"/>
          <w:szCs w:val="20"/>
          <w:lang w:eastAsia="x-none"/>
        </w:rPr>
      </w:pPr>
    </w:p>
    <w:p w14:paraId="64B3D1C4" w14:textId="2A21FBF7" w:rsidR="00316D28" w:rsidRDefault="00316D28" w:rsidP="00316D28">
      <w:pPr>
        <w:spacing w:after="0" w:line="240" w:lineRule="auto"/>
        <w:jc w:val="both"/>
        <w:rPr>
          <w:rFonts w:ascii="Verdana" w:eastAsia="Times New Roman" w:hAnsi="Verdana" w:cs="Arial"/>
          <w:sz w:val="20"/>
          <w:szCs w:val="20"/>
          <w:lang w:val="es-MX" w:eastAsia="x-none"/>
        </w:rPr>
      </w:pPr>
      <w:r w:rsidRPr="00316D28">
        <w:rPr>
          <w:rFonts w:ascii="Verdana" w:hAnsi="Verdana" w:cs="Arial"/>
          <w:sz w:val="20"/>
          <w:szCs w:val="20"/>
          <w:lang w:val="es-ES"/>
        </w:rPr>
        <w:t xml:space="preserve">[…] </w:t>
      </w:r>
      <w:r w:rsidRPr="00316D28">
        <w:rPr>
          <w:rFonts w:ascii="Verdana" w:hAnsi="Verdana" w:cs="Arial"/>
          <w:sz w:val="20"/>
          <w:szCs w:val="20"/>
          <w:lang w:val="es-ES"/>
        </w:rPr>
        <w:t xml:space="preserve">respecto del alcance del parágrafo </w:t>
      </w:r>
      <w:r w:rsidRPr="00316D28">
        <w:rPr>
          <w:rFonts w:ascii="Verdana" w:hAnsi="Verdana" w:cs="Arial"/>
          <w:sz w:val="20"/>
          <w:szCs w:val="20"/>
        </w:rPr>
        <w:t xml:space="preserve">del artículo 38 de la Ley 996 de 2005, esta prohibición dispone en primera medida que: “[l]os Gobernadores, </w:t>
      </w:r>
      <w:proofErr w:type="gramStart"/>
      <w:r w:rsidRPr="00316D28">
        <w:rPr>
          <w:rFonts w:ascii="Verdana" w:hAnsi="Verdana" w:cs="Arial"/>
          <w:sz w:val="20"/>
          <w:szCs w:val="20"/>
        </w:rPr>
        <w:t>Alcaldes</w:t>
      </w:r>
      <w:proofErr w:type="gramEnd"/>
      <w:r w:rsidRPr="00316D28">
        <w:rPr>
          <w:rFonts w:ascii="Verdana" w:hAnsi="Verdana" w:cs="Arial"/>
          <w:sz w:val="20"/>
          <w:szCs w:val="20"/>
        </w:rPr>
        <w:t xml:space="preserve"> Municipales y/o Distritales, </w:t>
      </w:r>
      <w:proofErr w:type="gramStart"/>
      <w:r w:rsidRPr="00316D28">
        <w:rPr>
          <w:rFonts w:ascii="Verdana" w:hAnsi="Verdana" w:cs="Arial"/>
          <w:sz w:val="20"/>
          <w:szCs w:val="20"/>
        </w:rPr>
        <w:t>Secretarios</w:t>
      </w:r>
      <w:proofErr w:type="gramEnd"/>
      <w:r w:rsidRPr="00316D28">
        <w:rPr>
          <w:rFonts w:ascii="Verdana" w:hAnsi="Verdana" w:cs="Arial"/>
          <w:sz w:val="20"/>
          <w:szCs w:val="20"/>
        </w:rPr>
        <w:t xml:space="preserve">, Gerentes y directores de Entidades Descentralizadas del orden Municipal, Departamental o Distrital, dentro de los cuatro (4) meses anteriores a las elecciones, no podrán celebrar </w:t>
      </w:r>
      <w:r w:rsidRPr="00316D28">
        <w:rPr>
          <w:rFonts w:ascii="Verdana" w:hAnsi="Verdana" w:cs="Arial"/>
          <w:i/>
          <w:iCs/>
          <w:sz w:val="20"/>
          <w:szCs w:val="20"/>
        </w:rPr>
        <w:t>convenios interadministrativos</w:t>
      </w:r>
      <w:r w:rsidRPr="00316D28">
        <w:rPr>
          <w:rFonts w:ascii="Verdana" w:hAnsi="Verdana" w:cs="Arial"/>
          <w:sz w:val="20"/>
          <w:szCs w:val="20"/>
        </w:rPr>
        <w:t xml:space="preserve"> </w:t>
      </w:r>
      <w:r w:rsidRPr="00316D28">
        <w:rPr>
          <w:rFonts w:ascii="Verdana" w:hAnsi="Verdana" w:cs="Arial"/>
          <w:i/>
          <w:iCs/>
          <w:sz w:val="20"/>
          <w:szCs w:val="20"/>
        </w:rPr>
        <w:t>para la ejecución de recursos públicos</w:t>
      </w:r>
      <w:r w:rsidRPr="00316D28">
        <w:rPr>
          <w:rFonts w:ascii="Verdana" w:hAnsi="Verdana" w:cs="Arial"/>
          <w:sz w:val="20"/>
          <w:szCs w:val="20"/>
        </w:rPr>
        <w:t>”.</w:t>
      </w:r>
    </w:p>
    <w:p w14:paraId="4FACB582" w14:textId="77777777" w:rsidR="00316D28" w:rsidRDefault="00316D28" w:rsidP="00316D28">
      <w:pPr>
        <w:spacing w:after="0" w:line="240" w:lineRule="auto"/>
        <w:jc w:val="both"/>
        <w:rPr>
          <w:rFonts w:ascii="Verdana" w:eastAsia="Times New Roman" w:hAnsi="Verdana" w:cs="Arial"/>
          <w:sz w:val="20"/>
          <w:szCs w:val="20"/>
          <w:lang w:val="es-MX" w:eastAsia="x-none"/>
        </w:rPr>
      </w:pPr>
    </w:p>
    <w:p w14:paraId="6C12B65A" w14:textId="7D14965C" w:rsidR="00AF0A60" w:rsidRPr="00316D28" w:rsidRDefault="00AF0A60" w:rsidP="00316D28">
      <w:pPr>
        <w:spacing w:after="0" w:line="240" w:lineRule="auto"/>
        <w:jc w:val="both"/>
        <w:rPr>
          <w:rFonts w:ascii="Verdana" w:hAnsi="Verdana" w:cs="Arial"/>
          <w:b/>
          <w:bCs/>
          <w:color w:val="000000" w:themeColor="text1"/>
        </w:rPr>
      </w:pPr>
      <w:r w:rsidRPr="00316D28">
        <w:rPr>
          <w:rFonts w:ascii="Verdana" w:hAnsi="Verdana" w:cs="Arial"/>
          <w:b/>
          <w:bCs/>
          <w:color w:val="000000" w:themeColor="text1"/>
        </w:rPr>
        <w:t xml:space="preserve">LEY DE GARANTÍAS ELECTORALES – Convenios interadministrativos – Contratos interadministrativos </w:t>
      </w:r>
    </w:p>
    <w:p w14:paraId="52ECCA14" w14:textId="77777777" w:rsidR="00316D28" w:rsidRDefault="00316D28" w:rsidP="00316D28">
      <w:pPr>
        <w:spacing w:after="0" w:line="240" w:lineRule="auto"/>
        <w:jc w:val="both"/>
        <w:rPr>
          <w:rFonts w:ascii="Verdana" w:eastAsia="Times New Roman" w:hAnsi="Verdana" w:cs="Arial"/>
          <w:sz w:val="20"/>
          <w:szCs w:val="20"/>
          <w:lang w:val="es-ES" w:eastAsia="es-ES"/>
        </w:rPr>
      </w:pPr>
    </w:p>
    <w:p w14:paraId="1A670B60" w14:textId="56338FE4" w:rsidR="00316D28" w:rsidRPr="00316D28" w:rsidRDefault="00316D28" w:rsidP="00316D28">
      <w:pPr>
        <w:spacing w:after="0" w:line="240" w:lineRule="auto"/>
        <w:jc w:val="both"/>
        <w:rPr>
          <w:rFonts w:ascii="Verdana" w:eastAsia="Calibri" w:hAnsi="Verdana" w:cs="Arial"/>
          <w:sz w:val="20"/>
          <w:szCs w:val="20"/>
          <w:lang w:val="es-ES"/>
        </w:rPr>
      </w:pPr>
      <w:r w:rsidRPr="00316D28">
        <w:rPr>
          <w:rFonts w:ascii="Verdana" w:eastAsia="Times New Roman" w:hAnsi="Verdana" w:cs="Arial"/>
          <w:sz w:val="20"/>
          <w:szCs w:val="20"/>
          <w:lang w:val="es-ES" w:eastAsia="es-ES"/>
        </w:rPr>
        <w:t xml:space="preserve">Para tales efectos, debe precisarse que </w:t>
      </w:r>
      <w:r w:rsidRPr="00316D28">
        <w:rPr>
          <w:rFonts w:ascii="Verdana" w:eastAsia="Times New Roman" w:hAnsi="Verdana" w:cs="Arial"/>
          <w:color w:val="000000" w:themeColor="text1"/>
          <w:sz w:val="20"/>
          <w:szCs w:val="20"/>
          <w:lang w:val="es-ES" w:eastAsia="es-CO"/>
        </w:rPr>
        <w:t xml:space="preserve">los contratos o convenios interadministrativos están determinados por un criterio orgánico, pues es necesario que los extremos de la relación contractual sean entidades públicas, </w:t>
      </w:r>
      <w:r w:rsidRPr="00316D28">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1F45DCC7" w14:textId="77777777" w:rsidR="00316D28" w:rsidRDefault="00316D28" w:rsidP="00316D28">
      <w:pPr>
        <w:spacing w:after="0" w:line="240" w:lineRule="auto"/>
        <w:jc w:val="both"/>
        <w:rPr>
          <w:rFonts w:ascii="Verdana" w:hAnsi="Verdana" w:cs="Arial"/>
          <w:color w:val="000000" w:themeColor="text1"/>
          <w:sz w:val="20"/>
          <w:szCs w:val="20"/>
          <w:lang w:val="es-ES_tradnl"/>
        </w:rPr>
      </w:pPr>
    </w:p>
    <w:p w14:paraId="6846B482" w14:textId="03DF0EC2" w:rsidR="00316D28" w:rsidRDefault="00316D28" w:rsidP="00316D28">
      <w:pPr>
        <w:spacing w:after="0" w:line="240" w:lineRule="auto"/>
        <w:jc w:val="both"/>
        <w:rPr>
          <w:rFonts w:ascii="Verdana" w:eastAsia="Calibri" w:hAnsi="Verdana" w:cs="Arial"/>
          <w:sz w:val="20"/>
          <w:szCs w:val="20"/>
          <w:lang w:val="es-ES"/>
        </w:rPr>
      </w:pPr>
      <w:r w:rsidRPr="00316D28">
        <w:rPr>
          <w:rFonts w:ascii="Verdana" w:hAnsi="Verdana" w:cs="Arial"/>
          <w:color w:val="000000" w:themeColor="text1"/>
          <w:sz w:val="20"/>
          <w:szCs w:val="20"/>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237CD433" w14:textId="77777777" w:rsidR="00316D28" w:rsidRDefault="00316D28" w:rsidP="00316D28">
      <w:pPr>
        <w:spacing w:after="0" w:line="240" w:lineRule="auto"/>
        <w:jc w:val="both"/>
        <w:rPr>
          <w:rFonts w:ascii="Verdana" w:eastAsia="Calibri" w:hAnsi="Verdana" w:cs="Arial"/>
          <w:sz w:val="20"/>
          <w:szCs w:val="20"/>
          <w:lang w:val="es-ES"/>
        </w:rPr>
      </w:pPr>
    </w:p>
    <w:p w14:paraId="696608EB" w14:textId="77777777" w:rsidR="00316D28" w:rsidRDefault="00316D28" w:rsidP="00316D28">
      <w:pPr>
        <w:spacing w:after="0" w:line="240" w:lineRule="auto"/>
        <w:jc w:val="both"/>
        <w:rPr>
          <w:rFonts w:ascii="Verdana" w:eastAsia="Calibri" w:hAnsi="Verdana" w:cs="Arial"/>
          <w:sz w:val="20"/>
          <w:szCs w:val="20"/>
          <w:lang w:val="es-ES"/>
        </w:rPr>
      </w:pPr>
      <w:r w:rsidRPr="00316D28">
        <w:rPr>
          <w:rFonts w:ascii="Verdana" w:eastAsia="Arial" w:hAnsi="Verdana" w:cs="Arial"/>
          <w:sz w:val="20"/>
          <w:szCs w:val="20"/>
          <w:lang w:val="es-MX" w:eastAsia="es-ES" w:bidi="es-ES"/>
        </w:rPr>
        <w:t xml:space="preserve">[…] </w:t>
      </w:r>
    </w:p>
    <w:p w14:paraId="2D1DA6E2" w14:textId="77777777" w:rsidR="00316D28" w:rsidRDefault="00316D28" w:rsidP="00316D28">
      <w:pPr>
        <w:spacing w:after="0" w:line="240" w:lineRule="auto"/>
        <w:jc w:val="both"/>
        <w:rPr>
          <w:rFonts w:ascii="Verdana" w:eastAsia="Calibri" w:hAnsi="Verdana" w:cs="Arial"/>
          <w:sz w:val="20"/>
          <w:szCs w:val="20"/>
          <w:lang w:val="es-ES"/>
        </w:rPr>
      </w:pPr>
    </w:p>
    <w:p w14:paraId="65454DF5" w14:textId="77777777" w:rsidR="00316D28" w:rsidRDefault="00316D28" w:rsidP="00AF0A60">
      <w:pPr>
        <w:spacing w:after="0" w:line="240" w:lineRule="auto"/>
        <w:jc w:val="both"/>
        <w:rPr>
          <w:rFonts w:ascii="Verdana" w:eastAsia="Calibri" w:hAnsi="Verdana" w:cs="Arial"/>
          <w:sz w:val="20"/>
          <w:szCs w:val="20"/>
          <w:lang w:val="es-ES"/>
        </w:rPr>
      </w:pPr>
      <w:r w:rsidRPr="00316D28">
        <w:rPr>
          <w:rFonts w:ascii="Verdana" w:eastAsia="Arial" w:hAnsi="Verdana" w:cs="Arial"/>
          <w:sz w:val="20"/>
          <w:szCs w:val="20"/>
          <w:lang w:val="es-MX" w:eastAsia="es-ES" w:bidi="es-ES"/>
        </w:rPr>
        <w:t>De esta manera, se</w:t>
      </w:r>
      <w:r w:rsidRPr="00316D28">
        <w:rPr>
          <w:rFonts w:ascii="Verdana" w:eastAsia="Times New Roman" w:hAnsi="Verdana" w:cs="Arial"/>
          <w:sz w:val="20"/>
          <w:szCs w:val="20"/>
          <w:lang w:eastAsia="es-CO"/>
        </w:rPr>
        <w:t xml:space="preserve"> observa entonces que </w:t>
      </w:r>
      <w:r w:rsidRPr="00316D28">
        <w:rPr>
          <w:rFonts w:ascii="Verdana" w:eastAsia="Times New Roman" w:hAnsi="Verdana" w:cs="Arial"/>
          <w:sz w:val="20"/>
          <w:szCs w:val="20"/>
          <w:lang w:val="es-MX" w:eastAsia="es-CO"/>
        </w:rPr>
        <w:t xml:space="preserve">el parágrafo del artículo 38 de la Ley 996 de 2005 prohíbe a los </w:t>
      </w:r>
      <w:proofErr w:type="gramStart"/>
      <w:r w:rsidRPr="00316D28">
        <w:rPr>
          <w:rFonts w:ascii="Verdana" w:eastAsia="Times New Roman" w:hAnsi="Verdana" w:cs="Arial"/>
          <w:sz w:val="20"/>
          <w:szCs w:val="20"/>
          <w:lang w:val="es-MX" w:eastAsia="es-CO"/>
        </w:rPr>
        <w:t>Alcaldes</w:t>
      </w:r>
      <w:proofErr w:type="gramEnd"/>
      <w:r w:rsidRPr="00316D28">
        <w:rPr>
          <w:rFonts w:ascii="Verdana" w:eastAsia="Times New Roman" w:hAnsi="Verdana" w:cs="Arial"/>
          <w:sz w:val="20"/>
          <w:szCs w:val="20"/>
          <w:lang w:val="es-MX" w:eastAsia="es-CO"/>
        </w:rPr>
        <w:t xml:space="preserve">, Gobernadores, </w:t>
      </w:r>
      <w:proofErr w:type="gramStart"/>
      <w:r w:rsidRPr="00316D28">
        <w:rPr>
          <w:rFonts w:ascii="Verdana" w:eastAsia="Times New Roman" w:hAnsi="Verdana" w:cs="Arial"/>
          <w:sz w:val="20"/>
          <w:szCs w:val="20"/>
          <w:lang w:val="es-MX" w:eastAsia="es-CO"/>
        </w:rPr>
        <w:t>Secretarios</w:t>
      </w:r>
      <w:proofErr w:type="gramEnd"/>
      <w:r w:rsidRPr="00316D28">
        <w:rPr>
          <w:rFonts w:ascii="Verdana" w:eastAsia="Times New Roman" w:hAnsi="Verdana" w:cs="Arial"/>
          <w:sz w:val="20"/>
          <w:szCs w:val="20"/>
          <w:lang w:val="es-MX" w:eastAsia="es-CO"/>
        </w:rPr>
        <w:t xml:space="preserve">, Gerentes y </w:t>
      </w:r>
      <w:proofErr w:type="gramStart"/>
      <w:r w:rsidRPr="00316D28">
        <w:rPr>
          <w:rFonts w:ascii="Verdana" w:eastAsia="Times New Roman" w:hAnsi="Verdana" w:cs="Arial"/>
          <w:sz w:val="20"/>
          <w:szCs w:val="20"/>
          <w:lang w:val="es-MX" w:eastAsia="es-CO"/>
        </w:rPr>
        <w:t>Directores</w:t>
      </w:r>
      <w:proofErr w:type="gramEnd"/>
      <w:r w:rsidRPr="00316D28">
        <w:rPr>
          <w:rFonts w:ascii="Verdana" w:eastAsia="Times New Roman" w:hAnsi="Verdana" w:cs="Arial"/>
          <w:sz w:val="20"/>
          <w:szCs w:val="20"/>
          <w:lang w:val="es-MX" w:eastAsia="es-CO"/>
        </w:rPr>
        <w:t xml:space="preserve"> de las entidades del orden municipal, departamental o distrital celebrar </w:t>
      </w:r>
      <w:r w:rsidRPr="00316D28">
        <w:rPr>
          <w:rFonts w:ascii="Verdana" w:eastAsia="Times New Roman" w:hAnsi="Verdana" w:cs="Arial"/>
          <w:i/>
          <w:iCs/>
          <w:sz w:val="20"/>
          <w:szCs w:val="20"/>
          <w:lang w:val="es-MX" w:eastAsia="es-CO"/>
        </w:rPr>
        <w:t>convenios interadministrativos</w:t>
      </w:r>
      <w:r w:rsidRPr="00316D28">
        <w:rPr>
          <w:rFonts w:ascii="Verdana" w:eastAsia="Times New Roman" w:hAnsi="Verdana" w:cs="Arial"/>
          <w:sz w:val="20"/>
          <w:szCs w:val="20"/>
          <w:lang w:val="es-MX" w:eastAsia="es-CO"/>
        </w:rPr>
        <w:t xml:space="preserve"> para la ejecución de recursos públicos. En este sentido, si una o ambas partes de la relación contractual es una entidad de aquellas descritas en el parágrafo </w:t>
      </w:r>
      <w:r w:rsidRPr="00316D28">
        <w:rPr>
          <w:rFonts w:ascii="Verdana" w:eastAsia="Times New Roman" w:hAnsi="Verdana" w:cs="Arial"/>
          <w:i/>
          <w:sz w:val="20"/>
          <w:szCs w:val="20"/>
          <w:lang w:val="es-MX" w:eastAsia="es-CO"/>
        </w:rPr>
        <w:t>ibidem</w:t>
      </w:r>
      <w:r w:rsidRPr="00316D28">
        <w:rPr>
          <w:rFonts w:ascii="Verdana" w:eastAsia="Times New Roman" w:hAnsi="Verdana" w:cs="Arial"/>
          <w:sz w:val="20"/>
          <w:szCs w:val="20"/>
          <w:lang w:val="es-MX" w:eastAsia="es-CO"/>
        </w:rPr>
        <w:t xml:space="preserve">, es decir, </w:t>
      </w:r>
      <w:r w:rsidRPr="00316D28">
        <w:rPr>
          <w:rFonts w:ascii="Verdana" w:eastAsia="Times New Roman" w:hAnsi="Verdana" w:cs="Arial"/>
          <w:sz w:val="20"/>
          <w:szCs w:val="20"/>
          <w:lang w:eastAsia="es-CO"/>
        </w:rPr>
        <w:t xml:space="preserve">alcaldías, gobernaciones, secretarías de despacho, así como entidades descentralizadas por servicios del orden municipal, departamental o distrital </w:t>
      </w:r>
      <w:r w:rsidRPr="00316D28">
        <w:rPr>
          <w:rFonts w:ascii="Verdana" w:eastAsia="Times New Roman" w:hAnsi="Verdana" w:cs="Arial"/>
          <w:sz w:val="20"/>
          <w:szCs w:val="20"/>
          <w:lang w:val="es-MX" w:eastAsia="es-CO"/>
        </w:rPr>
        <w:t xml:space="preserve">no podrá celebrar tales </w:t>
      </w:r>
      <w:r w:rsidRPr="00316D28">
        <w:rPr>
          <w:rFonts w:ascii="Verdana" w:eastAsia="Times New Roman" w:hAnsi="Verdana" w:cs="Arial"/>
          <w:i/>
          <w:iCs/>
          <w:sz w:val="20"/>
          <w:szCs w:val="20"/>
          <w:lang w:val="es-MX" w:eastAsia="es-CO"/>
        </w:rPr>
        <w:t>convenios</w:t>
      </w:r>
      <w:r w:rsidRPr="00316D28">
        <w:rPr>
          <w:rFonts w:ascii="Verdana" w:eastAsia="Times New Roman" w:hAnsi="Verdana" w:cs="Arial"/>
          <w:sz w:val="20"/>
          <w:szCs w:val="20"/>
          <w:lang w:val="es-MX" w:eastAsia="es-CO"/>
        </w:rPr>
        <w:t xml:space="preserve"> durante la aplicación de la Ley de Garantías Electorales, toda vez que la citada disposición se refiere a dicha tipología contractual sin que el legislador hubiere contemplado un efecto extensivo a otra tipología. </w:t>
      </w:r>
    </w:p>
    <w:p w14:paraId="7C0404C5" w14:textId="77777777" w:rsidR="00316D28" w:rsidRDefault="00316D28" w:rsidP="00AF0A60">
      <w:pPr>
        <w:spacing w:after="0" w:line="240" w:lineRule="auto"/>
        <w:jc w:val="both"/>
        <w:rPr>
          <w:rFonts w:ascii="Verdana" w:eastAsia="Calibri" w:hAnsi="Verdana" w:cs="Arial"/>
          <w:sz w:val="20"/>
          <w:szCs w:val="20"/>
          <w:lang w:val="es-ES"/>
        </w:rPr>
      </w:pPr>
    </w:p>
    <w:p w14:paraId="5E2E0AD5" w14:textId="2ECCA5DE" w:rsidR="00AF0A60" w:rsidRPr="00316D28" w:rsidRDefault="00AF0A60" w:rsidP="00AF0A60">
      <w:pPr>
        <w:spacing w:after="0" w:line="240" w:lineRule="auto"/>
        <w:jc w:val="both"/>
        <w:rPr>
          <w:rFonts w:ascii="Verdana" w:eastAsia="Calibri" w:hAnsi="Verdana" w:cs="Arial"/>
          <w:sz w:val="20"/>
          <w:szCs w:val="20"/>
          <w:lang w:val="es-ES"/>
        </w:rPr>
      </w:pPr>
      <w:r w:rsidRPr="00316D28">
        <w:rPr>
          <w:rFonts w:ascii="Verdana" w:hAnsi="Verdana" w:cs="Arial"/>
          <w:b/>
          <w:bCs/>
          <w:color w:val="000000" w:themeColor="text1"/>
        </w:rPr>
        <w:t xml:space="preserve">CONSEJO DE ESTADO -Posición </w:t>
      </w:r>
      <w:r w:rsidRPr="00316D28">
        <w:rPr>
          <w:rFonts w:ascii="Verdana" w:hAnsi="Verdana"/>
          <w:b/>
          <w:bCs/>
          <w:lang w:val="es-ES"/>
        </w:rPr>
        <w:t xml:space="preserve">   </w:t>
      </w:r>
    </w:p>
    <w:p w14:paraId="26CE2D62" w14:textId="77777777" w:rsidR="00316D28" w:rsidRDefault="00316D28" w:rsidP="00316D28">
      <w:pPr>
        <w:spacing w:after="0" w:line="240" w:lineRule="auto"/>
        <w:jc w:val="both"/>
        <w:rPr>
          <w:rFonts w:ascii="Verdana" w:eastAsia="Verdana" w:hAnsi="Verdana" w:cs="Verdana"/>
          <w:lang w:val="es-ES"/>
        </w:rPr>
      </w:pPr>
    </w:p>
    <w:p w14:paraId="43C9DA85" w14:textId="68307A3C" w:rsidR="00316D28" w:rsidRPr="00316D28" w:rsidRDefault="00316D28" w:rsidP="00316D28">
      <w:pPr>
        <w:spacing w:after="0" w:line="240" w:lineRule="auto"/>
        <w:jc w:val="both"/>
        <w:rPr>
          <w:rFonts w:ascii="Verdana" w:eastAsia="Times New Roman" w:hAnsi="Verdana" w:cs="Times New Roman"/>
          <w:sz w:val="20"/>
          <w:szCs w:val="20"/>
          <w:lang w:eastAsia="es-ES"/>
        </w:rPr>
      </w:pPr>
      <w:r w:rsidRPr="00316D28">
        <w:rPr>
          <w:rFonts w:ascii="Verdana" w:eastAsia="Arial" w:hAnsi="Verdana" w:cs="Arial"/>
          <w:sz w:val="20"/>
          <w:szCs w:val="20"/>
          <w:lang w:eastAsia="es-ES" w:bidi="es-ES"/>
        </w:rPr>
        <w:t xml:space="preserve">Finalmente, mediante sentencia del 17 de octubre de 2025, emitida por la Sección Tercera del Consejo de Estado, dentro del expediente </w:t>
      </w:r>
      <w:r w:rsidRPr="00316D28">
        <w:rPr>
          <w:rFonts w:ascii="Verdana" w:eastAsia="Times New Roman" w:hAnsi="Verdana" w:cs="Times New Roman"/>
          <w:sz w:val="20"/>
          <w:szCs w:val="20"/>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3D9097E0" w14:textId="77777777" w:rsidR="00316D28" w:rsidRDefault="00316D28" w:rsidP="00316D28">
      <w:pPr>
        <w:spacing w:after="0" w:line="240" w:lineRule="auto"/>
        <w:jc w:val="both"/>
        <w:rPr>
          <w:rFonts w:ascii="Verdana" w:eastAsia="Times New Roman" w:hAnsi="Verdana" w:cs="Times New Roman"/>
          <w:sz w:val="20"/>
          <w:szCs w:val="20"/>
          <w:lang w:eastAsia="es-ES"/>
        </w:rPr>
      </w:pPr>
    </w:p>
    <w:p w14:paraId="31D0FDC1" w14:textId="6C2B98C6" w:rsidR="00316D28" w:rsidRPr="00316D28" w:rsidRDefault="00316D28" w:rsidP="00316D28">
      <w:pPr>
        <w:spacing w:after="0" w:line="240" w:lineRule="auto"/>
        <w:jc w:val="both"/>
        <w:rPr>
          <w:rFonts w:ascii="Verdana" w:eastAsia="Times New Roman" w:hAnsi="Verdana" w:cs="Times New Roman"/>
          <w:sz w:val="20"/>
          <w:szCs w:val="20"/>
          <w:lang w:eastAsia="es-ES"/>
        </w:rPr>
      </w:pPr>
      <w:r>
        <w:rPr>
          <w:rFonts w:ascii="Verdana" w:eastAsia="Times New Roman" w:hAnsi="Verdana" w:cs="Times New Roman"/>
          <w:sz w:val="20"/>
          <w:szCs w:val="20"/>
          <w:lang w:eastAsia="es-ES"/>
        </w:rPr>
        <w:t xml:space="preserve">[…] </w:t>
      </w:r>
      <w:r w:rsidRPr="00316D28">
        <w:rPr>
          <w:rFonts w:ascii="Verdana" w:eastAsia="Times New Roman" w:hAnsi="Verdana" w:cs="Times New Roman"/>
          <w:sz w:val="20"/>
          <w:szCs w:val="20"/>
          <w:lang w:eastAsia="es-ES"/>
        </w:rPr>
        <w:t xml:space="preserve">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1F456D1A" w14:textId="77777777" w:rsidR="00316D28" w:rsidRDefault="00316D28" w:rsidP="00316D28">
      <w:pPr>
        <w:spacing w:after="0" w:line="240" w:lineRule="auto"/>
        <w:jc w:val="both"/>
        <w:rPr>
          <w:rFonts w:ascii="Verdana" w:eastAsia="Times New Roman" w:hAnsi="Verdana" w:cs="Times New Roman"/>
          <w:sz w:val="20"/>
          <w:szCs w:val="20"/>
          <w:lang w:eastAsia="es-ES"/>
        </w:rPr>
      </w:pPr>
    </w:p>
    <w:p w14:paraId="39A39BFF" w14:textId="271BEAF8" w:rsidR="00316D28" w:rsidRPr="00316D28" w:rsidRDefault="00316D28" w:rsidP="00316D28">
      <w:pPr>
        <w:spacing w:after="0" w:line="240" w:lineRule="auto"/>
        <w:jc w:val="both"/>
        <w:rPr>
          <w:rFonts w:ascii="Verdana" w:eastAsia="Times New Roman" w:hAnsi="Verdana" w:cs="Arial"/>
          <w:sz w:val="20"/>
          <w:szCs w:val="20"/>
          <w:lang w:eastAsia="es-CO"/>
        </w:rPr>
      </w:pPr>
      <w:r>
        <w:rPr>
          <w:rFonts w:ascii="Verdana" w:eastAsia="Times New Roman" w:hAnsi="Verdana" w:cs="Times New Roman"/>
          <w:sz w:val="20"/>
          <w:szCs w:val="20"/>
          <w:lang w:eastAsia="es-ES"/>
        </w:rPr>
        <w:t xml:space="preserve">[…] </w:t>
      </w:r>
      <w:r w:rsidRPr="00316D28">
        <w:rPr>
          <w:rFonts w:ascii="Verdana" w:eastAsia="Times New Roman" w:hAnsi="Verdana" w:cs="Arial"/>
          <w:sz w:val="20"/>
          <w:szCs w:val="20"/>
          <w:lang w:eastAsia="es-CO"/>
        </w:rPr>
        <w:t xml:space="preserve">no resultaría aplicable la prohibición del parágrafo del artículo 38 de la Ley de Garantías Electorales a los </w:t>
      </w:r>
      <w:r w:rsidRPr="00316D28">
        <w:rPr>
          <w:rFonts w:ascii="Verdana" w:eastAsia="Times New Roman" w:hAnsi="Verdana" w:cs="Arial"/>
          <w:i/>
          <w:iCs/>
          <w:sz w:val="20"/>
          <w:szCs w:val="20"/>
          <w:lang w:eastAsia="es-CO"/>
        </w:rPr>
        <w:t>contratos interadministrativos</w:t>
      </w:r>
      <w:r w:rsidRPr="00316D28">
        <w:rPr>
          <w:rFonts w:ascii="Verdana" w:eastAsia="Times New Roman" w:hAnsi="Verdana" w:cs="Arial"/>
          <w:sz w:val="20"/>
          <w:szCs w:val="20"/>
          <w:lang w:eastAsia="es-CO"/>
        </w:rPr>
        <w:t xml:space="preserve">, esta prohibición solo aplicaría a los convenios interadministrativos que impliquen la ejecución de recursos públicos. Conforme a lo señalado por el Consejo de Estado, cuando dos entidades públicas celebren un </w:t>
      </w:r>
      <w:r w:rsidRPr="00316D28">
        <w:rPr>
          <w:rFonts w:ascii="Verdana" w:eastAsia="Times New Roman" w:hAnsi="Verdana" w:cs="Arial"/>
          <w:i/>
          <w:iCs/>
          <w:sz w:val="20"/>
          <w:szCs w:val="20"/>
          <w:lang w:eastAsia="es-CO"/>
        </w:rPr>
        <w:t>contrato interadministrativo,</w:t>
      </w:r>
      <w:r w:rsidRPr="00316D28">
        <w:rPr>
          <w:rFonts w:ascii="Verdana" w:eastAsia="Times New Roman" w:hAnsi="Verdana" w:cs="Arial"/>
          <w:sz w:val="20"/>
          <w:szCs w:val="20"/>
          <w:lang w:eastAsia="es-CO"/>
        </w:rPr>
        <w:t xml:space="preserve"> independientemente del objeto, dicho contrato puede suscribirse durante el periodo preelectoral.</w:t>
      </w:r>
    </w:p>
    <w:p w14:paraId="7FEA21B3" w14:textId="77777777" w:rsidR="00316D28" w:rsidRDefault="00316D28" w:rsidP="00316D28">
      <w:pPr>
        <w:spacing w:after="0" w:line="240" w:lineRule="auto"/>
        <w:jc w:val="both"/>
        <w:rPr>
          <w:rFonts w:ascii="Verdana" w:eastAsia="Times New Roman" w:hAnsi="Verdana" w:cs="Arial"/>
          <w:sz w:val="20"/>
          <w:szCs w:val="20"/>
          <w:lang w:eastAsia="es-CO"/>
        </w:rPr>
      </w:pPr>
    </w:p>
    <w:p w14:paraId="1A61D8BB" w14:textId="77777777" w:rsidR="00316D28" w:rsidRDefault="00316D28" w:rsidP="001B5535">
      <w:pPr>
        <w:spacing w:after="0"/>
        <w:rPr>
          <w:rFonts w:ascii="Verdana" w:eastAsia="Verdana" w:hAnsi="Verdana" w:cs="Verdana"/>
        </w:rPr>
      </w:pPr>
    </w:p>
    <w:p w14:paraId="38015282" w14:textId="77777777" w:rsidR="00316D28" w:rsidRDefault="00316D28" w:rsidP="001B5535">
      <w:pPr>
        <w:spacing w:after="0"/>
        <w:rPr>
          <w:rFonts w:ascii="Verdana" w:eastAsia="Verdana" w:hAnsi="Verdana" w:cs="Verdana"/>
        </w:rPr>
      </w:pPr>
    </w:p>
    <w:p w14:paraId="6011629A" w14:textId="77777777" w:rsidR="00316D28" w:rsidRDefault="00316D28" w:rsidP="001B5535">
      <w:pPr>
        <w:spacing w:after="0"/>
        <w:rPr>
          <w:rFonts w:ascii="Verdana" w:eastAsia="Verdana" w:hAnsi="Verdana" w:cs="Verdana"/>
        </w:rPr>
      </w:pPr>
    </w:p>
    <w:p w14:paraId="2D8B5A03" w14:textId="77777777" w:rsidR="00316D28" w:rsidRDefault="00316D28" w:rsidP="001B5535">
      <w:pPr>
        <w:spacing w:after="0"/>
        <w:rPr>
          <w:rFonts w:ascii="Verdana" w:eastAsia="Verdana" w:hAnsi="Verdana" w:cs="Verdana"/>
        </w:rPr>
      </w:pPr>
    </w:p>
    <w:p w14:paraId="2FCFFD2A" w14:textId="77777777" w:rsidR="00316D28" w:rsidRDefault="00316D28" w:rsidP="001B5535">
      <w:pPr>
        <w:spacing w:after="0"/>
        <w:rPr>
          <w:rFonts w:ascii="Verdana" w:eastAsia="Verdana" w:hAnsi="Verdana" w:cs="Verdana"/>
        </w:rPr>
      </w:pPr>
    </w:p>
    <w:p w14:paraId="2060ABDF" w14:textId="77777777" w:rsidR="00316D28" w:rsidRDefault="00316D28" w:rsidP="001B5535">
      <w:pPr>
        <w:spacing w:after="0"/>
        <w:rPr>
          <w:rFonts w:ascii="Verdana" w:eastAsia="Verdana" w:hAnsi="Verdana" w:cs="Verdana"/>
        </w:rPr>
      </w:pPr>
    </w:p>
    <w:p w14:paraId="372E1FE5" w14:textId="77777777" w:rsidR="00316D28" w:rsidRDefault="00316D28" w:rsidP="001B5535">
      <w:pPr>
        <w:spacing w:after="0"/>
        <w:rPr>
          <w:rFonts w:ascii="Verdana" w:eastAsia="Verdana" w:hAnsi="Verdana" w:cs="Verdana"/>
        </w:rPr>
      </w:pPr>
    </w:p>
    <w:p w14:paraId="7C8C5BFF" w14:textId="77777777" w:rsidR="00316D28" w:rsidRDefault="00316D28" w:rsidP="001B5535">
      <w:pPr>
        <w:spacing w:after="0"/>
        <w:rPr>
          <w:rFonts w:ascii="Verdana" w:eastAsia="Verdana" w:hAnsi="Verdana" w:cs="Verdana"/>
        </w:rPr>
      </w:pPr>
    </w:p>
    <w:p w14:paraId="662B0F78" w14:textId="77777777" w:rsidR="00316D28" w:rsidRDefault="00316D28" w:rsidP="001B5535">
      <w:pPr>
        <w:spacing w:after="0"/>
        <w:rPr>
          <w:rFonts w:ascii="Verdana" w:eastAsia="Verdana" w:hAnsi="Verdana" w:cs="Verdana"/>
        </w:rPr>
      </w:pPr>
    </w:p>
    <w:p w14:paraId="3FEF8C89" w14:textId="77777777" w:rsidR="00316D28" w:rsidRDefault="00316D28" w:rsidP="001B5535">
      <w:pPr>
        <w:spacing w:after="0"/>
        <w:rPr>
          <w:rFonts w:ascii="Verdana" w:eastAsia="Verdana" w:hAnsi="Verdana" w:cs="Verdana"/>
        </w:rPr>
      </w:pPr>
    </w:p>
    <w:p w14:paraId="699A582E" w14:textId="77777777" w:rsidR="00316D28" w:rsidRDefault="00316D28" w:rsidP="001B5535">
      <w:pPr>
        <w:spacing w:after="0"/>
        <w:rPr>
          <w:rFonts w:ascii="Verdana" w:eastAsia="Verdana" w:hAnsi="Verdana" w:cs="Verdana"/>
        </w:rPr>
      </w:pPr>
    </w:p>
    <w:p w14:paraId="6A15726E" w14:textId="77777777" w:rsidR="00316D28" w:rsidRDefault="00316D28" w:rsidP="001B5535">
      <w:pPr>
        <w:spacing w:after="0"/>
        <w:rPr>
          <w:rFonts w:ascii="Verdana" w:eastAsia="Verdana" w:hAnsi="Verdana" w:cs="Verdana"/>
        </w:rPr>
      </w:pPr>
    </w:p>
    <w:p w14:paraId="7E0A4649" w14:textId="77777777" w:rsidR="00316D28" w:rsidRDefault="00316D28" w:rsidP="001B5535">
      <w:pPr>
        <w:spacing w:after="0"/>
        <w:rPr>
          <w:rFonts w:ascii="Verdana" w:eastAsia="Verdana" w:hAnsi="Verdana" w:cs="Verdana"/>
        </w:rPr>
      </w:pPr>
    </w:p>
    <w:p w14:paraId="47EBBD80" w14:textId="77777777" w:rsidR="00316D28" w:rsidRDefault="00316D28" w:rsidP="001B5535">
      <w:pPr>
        <w:spacing w:after="0"/>
        <w:rPr>
          <w:rFonts w:ascii="Verdana" w:eastAsia="Verdana" w:hAnsi="Verdana" w:cs="Verdana"/>
        </w:rPr>
      </w:pPr>
    </w:p>
    <w:p w14:paraId="3D509F7C" w14:textId="77777777" w:rsidR="00316D28" w:rsidRDefault="00316D28" w:rsidP="001B5535">
      <w:pPr>
        <w:spacing w:after="0"/>
        <w:rPr>
          <w:rFonts w:ascii="Verdana" w:eastAsia="Verdana" w:hAnsi="Verdana" w:cs="Verdana"/>
        </w:rPr>
      </w:pPr>
    </w:p>
    <w:p w14:paraId="68CBF816" w14:textId="77777777" w:rsidR="00316D28" w:rsidRDefault="00316D28" w:rsidP="001B5535">
      <w:pPr>
        <w:spacing w:after="0"/>
        <w:rPr>
          <w:rFonts w:ascii="Verdana" w:eastAsia="Verdana" w:hAnsi="Verdana" w:cs="Verdana"/>
        </w:rPr>
      </w:pPr>
    </w:p>
    <w:p w14:paraId="3E04CC30" w14:textId="77777777" w:rsidR="00316D28" w:rsidRDefault="00316D28" w:rsidP="001B5535">
      <w:pPr>
        <w:spacing w:after="0"/>
        <w:rPr>
          <w:rFonts w:ascii="Verdana" w:eastAsia="Verdana" w:hAnsi="Verdana" w:cs="Verdana"/>
        </w:rPr>
      </w:pPr>
    </w:p>
    <w:p w14:paraId="588D410E" w14:textId="77777777" w:rsidR="00316D28" w:rsidRDefault="00316D28" w:rsidP="001B5535">
      <w:pPr>
        <w:spacing w:after="0"/>
        <w:rPr>
          <w:rFonts w:ascii="Verdana" w:eastAsia="Verdana" w:hAnsi="Verdana" w:cs="Verdana"/>
        </w:rPr>
      </w:pPr>
    </w:p>
    <w:p w14:paraId="76C584E3" w14:textId="77777777" w:rsidR="00316D28" w:rsidRDefault="00316D28" w:rsidP="001B5535">
      <w:pPr>
        <w:spacing w:after="0"/>
        <w:rPr>
          <w:rFonts w:ascii="Verdana" w:eastAsia="Verdana" w:hAnsi="Verdana" w:cs="Verdana"/>
        </w:rPr>
      </w:pPr>
    </w:p>
    <w:p w14:paraId="04029964" w14:textId="77777777" w:rsidR="00316D28" w:rsidRDefault="00316D28" w:rsidP="001B5535">
      <w:pPr>
        <w:spacing w:after="0"/>
        <w:rPr>
          <w:rFonts w:ascii="Verdana" w:eastAsia="Verdana" w:hAnsi="Verdana" w:cs="Verdana"/>
        </w:rPr>
      </w:pPr>
    </w:p>
    <w:p w14:paraId="488C8080" w14:textId="77777777" w:rsidR="00316D28" w:rsidRDefault="00316D28" w:rsidP="001B5535">
      <w:pPr>
        <w:spacing w:after="0"/>
        <w:rPr>
          <w:rFonts w:ascii="Verdana" w:eastAsia="Verdana" w:hAnsi="Verdana" w:cs="Verdana"/>
        </w:rPr>
      </w:pPr>
    </w:p>
    <w:p w14:paraId="226E5AE0" w14:textId="77777777" w:rsidR="00316D28" w:rsidRDefault="00316D28" w:rsidP="001B5535">
      <w:pPr>
        <w:spacing w:after="0"/>
        <w:rPr>
          <w:rFonts w:ascii="Verdana" w:eastAsia="Verdana" w:hAnsi="Verdana" w:cs="Verdana"/>
        </w:rPr>
      </w:pPr>
    </w:p>
    <w:p w14:paraId="26051846" w14:textId="36C443EB" w:rsidR="00AF0A60" w:rsidRDefault="001B5535" w:rsidP="001B5535">
      <w:pPr>
        <w:spacing w:after="0"/>
        <w:rPr>
          <w:rFonts w:ascii="Verdana" w:eastAsia="Verdana" w:hAnsi="Verdana" w:cs="Verdana"/>
        </w:rPr>
      </w:pPr>
      <w:r w:rsidRPr="30821638">
        <w:rPr>
          <w:rFonts w:ascii="Verdana" w:eastAsia="Verdana" w:hAnsi="Verdana" w:cs="Verdana"/>
        </w:rPr>
        <w:t>Bogotá D.C.,</w:t>
      </w:r>
      <w:r w:rsidR="00AF0A60">
        <w:rPr>
          <w:rFonts w:ascii="Verdana" w:eastAsia="Verdana" w:hAnsi="Verdana" w:cs="Verdana"/>
        </w:rPr>
        <w:t xml:space="preserve"> 28 </w:t>
      </w:r>
      <w:proofErr w:type="gramStart"/>
      <w:r w:rsidR="00AF0A60">
        <w:rPr>
          <w:rFonts w:ascii="Verdana" w:eastAsia="Verdana" w:hAnsi="Verdana" w:cs="Verdana"/>
        </w:rPr>
        <w:t>Abril</w:t>
      </w:r>
      <w:proofErr w:type="gramEnd"/>
      <w:r w:rsidR="00AF0A60">
        <w:rPr>
          <w:rFonts w:ascii="Verdana" w:eastAsia="Verdana" w:hAnsi="Verdana" w:cs="Verdana"/>
        </w:rPr>
        <w:t xml:space="preserve"> 2026</w:t>
      </w:r>
    </w:p>
    <w:p w14:paraId="6A11A5CA" w14:textId="2C80FB91" w:rsidR="001B5535" w:rsidRPr="00F853CC" w:rsidRDefault="00AF0A60" w:rsidP="00AF0A60">
      <w:pPr>
        <w:spacing w:after="0"/>
        <w:jc w:val="right"/>
        <w:rPr>
          <w:rFonts w:ascii="Verdana" w:eastAsia="Verdana" w:hAnsi="Verdana" w:cs="Verdana"/>
        </w:rPr>
      </w:pPr>
      <w:r w:rsidRPr="00F27EE0">
        <w:rPr>
          <w:rFonts w:ascii="Verdana" w:eastAsia="Calibri" w:hAnsi="Verdana" w:cs="Arial"/>
          <w:b/>
          <w:bCs/>
          <w:lang w:eastAsia="es-ES"/>
        </w:rPr>
        <w:drawing>
          <wp:inline distT="0" distB="0" distL="0" distR="0" wp14:anchorId="6B3FB4C0" wp14:editId="6D595D37">
            <wp:extent cx="1697529" cy="507412"/>
            <wp:effectExtent l="0" t="0" r="0" b="6985"/>
            <wp:docPr id="986097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09768" name=""/>
                    <pic:cNvPicPr/>
                  </pic:nvPicPr>
                  <pic:blipFill>
                    <a:blip r:embed="rId10"/>
                    <a:stretch>
                      <a:fillRect/>
                    </a:stretch>
                  </pic:blipFill>
                  <pic:spPr>
                    <a:xfrm>
                      <a:off x="0" y="0"/>
                      <a:ext cx="1760588" cy="526261"/>
                    </a:xfrm>
                    <a:prstGeom prst="rect">
                      <a:avLst/>
                    </a:prstGeom>
                  </pic:spPr>
                </pic:pic>
              </a:graphicData>
            </a:graphic>
          </wp:inline>
        </w:drawing>
      </w:r>
      <w:r w:rsidR="001B5535">
        <w:tab/>
      </w:r>
      <w:bookmarkStart w:id="1" w:name="_Hlk214366482"/>
    </w:p>
    <w:p w14:paraId="42123277" w14:textId="77777777" w:rsidR="001B5535" w:rsidRDefault="001B5535" w:rsidP="001B5535">
      <w:pPr>
        <w:spacing w:after="0" w:line="240" w:lineRule="auto"/>
        <w:jc w:val="both"/>
        <w:rPr>
          <w:rFonts w:ascii="Verdana" w:eastAsia="Calibri" w:hAnsi="Verdana" w:cs="Arial"/>
          <w:b/>
          <w:bCs/>
          <w:lang w:eastAsia="es-ES"/>
        </w:rPr>
      </w:pPr>
      <w:r>
        <w:rPr>
          <w:rFonts w:ascii="Verdana" w:eastAsia="Calibri" w:hAnsi="Verdana" w:cs="Arial"/>
          <w:b/>
          <w:bCs/>
          <w:lang w:eastAsia="es-ES"/>
        </w:rPr>
        <w:t>Señor</w:t>
      </w:r>
    </w:p>
    <w:p w14:paraId="4F26D147" w14:textId="77777777" w:rsidR="001B5535" w:rsidRDefault="001B5535" w:rsidP="001B5535">
      <w:pPr>
        <w:spacing w:after="0" w:line="240" w:lineRule="auto"/>
        <w:jc w:val="both"/>
        <w:rPr>
          <w:rFonts w:ascii="Verdana" w:eastAsia="Calibri" w:hAnsi="Verdana" w:cs="Arial"/>
          <w:b/>
          <w:bCs/>
          <w:lang w:eastAsia="es-ES"/>
        </w:rPr>
      </w:pPr>
      <w:r>
        <w:rPr>
          <w:rFonts w:ascii="Verdana" w:eastAsia="Calibri" w:hAnsi="Verdana" w:cs="Arial"/>
          <w:b/>
          <w:bCs/>
          <w:lang w:eastAsia="es-ES"/>
        </w:rPr>
        <w:t>Juan Diego Barón</w:t>
      </w:r>
    </w:p>
    <w:p w14:paraId="1F3766AA" w14:textId="77777777" w:rsidR="001B5535" w:rsidRDefault="001B5535" w:rsidP="001B5535">
      <w:pPr>
        <w:spacing w:after="0" w:line="240" w:lineRule="auto"/>
        <w:jc w:val="both"/>
        <w:rPr>
          <w:rFonts w:ascii="Verdana" w:eastAsia="Calibri" w:hAnsi="Verdana" w:cs="Arial"/>
          <w:b/>
          <w:bCs/>
          <w:lang w:eastAsia="es-ES"/>
        </w:rPr>
      </w:pPr>
      <w:hyperlink r:id="rId11" w:history="1">
        <w:r w:rsidRPr="000D42E2">
          <w:rPr>
            <w:rStyle w:val="Hipervnculo"/>
            <w:rFonts w:ascii="Verdana" w:eastAsia="Calibri" w:hAnsi="Verdana" w:cs="Arial"/>
            <w:b/>
            <w:bCs/>
            <w:lang w:eastAsia="es-ES"/>
          </w:rPr>
          <w:t>juandiegobaron9900@gmail.com</w:t>
        </w:r>
      </w:hyperlink>
    </w:p>
    <w:p w14:paraId="2B6A4161" w14:textId="77777777" w:rsidR="001B5535" w:rsidRPr="00A75807" w:rsidRDefault="001B5535" w:rsidP="001B5535">
      <w:pPr>
        <w:spacing w:after="0" w:line="240" w:lineRule="auto"/>
        <w:jc w:val="both"/>
        <w:rPr>
          <w:rFonts w:ascii="Verdana" w:hAnsi="Verdana"/>
        </w:rPr>
      </w:pPr>
      <w:r>
        <w:rPr>
          <w:rFonts w:ascii="Verdana" w:hAnsi="Verdana"/>
        </w:rPr>
        <w:t xml:space="preserve">Ciudad </w:t>
      </w:r>
    </w:p>
    <w:p w14:paraId="265AF3DE" w14:textId="77777777" w:rsidR="001B5535" w:rsidRPr="00A75807" w:rsidRDefault="001B5535" w:rsidP="001B5535">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237"/>
      </w:tblGrid>
      <w:tr w:rsidR="001B5535" w:rsidRPr="005644FE" w14:paraId="41BE49E1" w14:textId="77777777" w:rsidTr="00923E53">
        <w:trPr>
          <w:trHeight w:val="162"/>
        </w:trPr>
        <w:tc>
          <w:tcPr>
            <w:tcW w:w="2552" w:type="dxa"/>
          </w:tcPr>
          <w:p w14:paraId="0A4A4605" w14:textId="77777777" w:rsidR="001B5535" w:rsidRPr="00A75807" w:rsidRDefault="001B5535" w:rsidP="00142A8C">
            <w:pPr>
              <w:jc w:val="both"/>
              <w:rPr>
                <w:rFonts w:ascii="Verdana" w:eastAsia="Calibri" w:hAnsi="Verdana" w:cs="Arial"/>
                <w:b/>
                <w:bCs/>
                <w:color w:val="7030A0"/>
                <w:lang w:eastAsia="es-ES_tradnl"/>
              </w:rPr>
            </w:pPr>
          </w:p>
        </w:tc>
        <w:tc>
          <w:tcPr>
            <w:tcW w:w="6237" w:type="dxa"/>
          </w:tcPr>
          <w:p w14:paraId="5E6CF466" w14:textId="77777777" w:rsidR="001B5535" w:rsidRPr="005644FE" w:rsidRDefault="001B5535" w:rsidP="00142A8C">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422 de 2026</w:t>
            </w:r>
          </w:p>
          <w:p w14:paraId="14E8CAF1" w14:textId="77777777" w:rsidR="001B5535" w:rsidRPr="005644FE" w:rsidRDefault="001B5535" w:rsidP="00142A8C">
            <w:pPr>
              <w:jc w:val="both"/>
              <w:rPr>
                <w:rFonts w:ascii="Verdana" w:eastAsia="Calibri" w:hAnsi="Verdana" w:cs="Arial"/>
                <w:b/>
                <w:bCs/>
                <w:color w:val="7030A0"/>
                <w:lang w:eastAsia="es-ES"/>
              </w:rPr>
            </w:pPr>
          </w:p>
        </w:tc>
      </w:tr>
      <w:tr w:rsidR="001B5535" w:rsidRPr="005644FE" w14:paraId="07724096" w14:textId="77777777" w:rsidTr="00923E53">
        <w:trPr>
          <w:trHeight w:val="884"/>
        </w:trPr>
        <w:tc>
          <w:tcPr>
            <w:tcW w:w="2552" w:type="dxa"/>
          </w:tcPr>
          <w:p w14:paraId="3C251DC5" w14:textId="77777777" w:rsidR="001B5535" w:rsidRPr="005644FE" w:rsidRDefault="001B5535" w:rsidP="00142A8C">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6237" w:type="dxa"/>
          </w:tcPr>
          <w:p w14:paraId="76F3F105" w14:textId="77777777" w:rsidR="001B5535" w:rsidRPr="00A35D25" w:rsidRDefault="001B5535" w:rsidP="00142A8C">
            <w:pPr>
              <w:spacing w:line="276" w:lineRule="auto"/>
              <w:jc w:val="both"/>
              <w:rPr>
                <w:rFonts w:ascii="Verdana" w:hAnsi="Verdana"/>
                <w:lang w:val="es-ES"/>
              </w:rPr>
            </w:pPr>
            <w:r>
              <w:rPr>
                <w:rFonts w:ascii="Verdana" w:hAnsi="Verdana"/>
                <w:lang w:val="es-ES"/>
              </w:rPr>
              <w:t xml:space="preserve">CONVENIO Y CONTRATO INTERADMINISTRATIVO – Alcance – Diferencias / CONTRATOS DE COLABORACIÓN – Artículo 355 de la Constitución Política – Objeto / CONVENIOS DE ASOCIACIÓN – Ley 489 de 1998 – Decreto 092 de 2007 - Finalidad – Características – Proceso competitivo – Excepción / </w:t>
            </w:r>
            <w:r>
              <w:rPr>
                <w:rFonts w:ascii="Verdana" w:hAnsi="Verdana" w:cs="Arial"/>
                <w:color w:val="000000" w:themeColor="text1"/>
              </w:rPr>
              <w:t xml:space="preserve">LEY DE GARANTÍAS ELECTORALES – Propósito / LEY DE GARANTÍAS ELECTORALES – Prohibiciones – Restricciones / LEY DE GARANTÍAS ELECTORALES – Artículo 33 – Ámbito material / LEY DE GARANTÍAS ELECTORALES – Destinatarios / LEY DE GARANTÍAS ELECTORALES – Excepciones / </w:t>
            </w:r>
            <w:r w:rsidRPr="00F337DA">
              <w:rPr>
                <w:rFonts w:ascii="Verdana" w:hAnsi="Verdana" w:cs="Arial"/>
                <w:color w:val="000000" w:themeColor="text1"/>
              </w:rPr>
              <w:t>LEY DE GARANTÍAS ELECTORALES</w:t>
            </w:r>
            <w:r>
              <w:rPr>
                <w:rFonts w:ascii="Verdana" w:hAnsi="Verdana" w:cs="Arial"/>
                <w:color w:val="000000" w:themeColor="text1"/>
              </w:rPr>
              <w:t xml:space="preserve"> – Parágrafo del artículo 38 - Alcance / LEY DE GARANTÍAS ELECTORALES – Convenios interadministrativos – Contratos interadministrativos / CONSEJO DE ESTADO -P</w:t>
            </w:r>
            <w:r w:rsidRPr="00CB37FD">
              <w:rPr>
                <w:rFonts w:ascii="Verdana" w:hAnsi="Verdana" w:cs="Arial"/>
                <w:color w:val="000000" w:themeColor="text1"/>
              </w:rPr>
              <w:t>osición</w:t>
            </w:r>
            <w:r>
              <w:rPr>
                <w:rFonts w:ascii="Verdana" w:hAnsi="Verdana" w:cs="Arial"/>
                <w:color w:val="000000" w:themeColor="text1"/>
              </w:rPr>
              <w:t xml:space="preserve"> </w:t>
            </w:r>
            <w:r>
              <w:rPr>
                <w:rFonts w:ascii="Verdana" w:hAnsi="Verdana"/>
                <w:lang w:val="es-ES"/>
              </w:rPr>
              <w:t xml:space="preserve">   </w:t>
            </w:r>
          </w:p>
        </w:tc>
      </w:tr>
      <w:tr w:rsidR="001B5535" w:rsidRPr="005644FE" w14:paraId="497E0CEE" w14:textId="77777777" w:rsidTr="00923E53">
        <w:tc>
          <w:tcPr>
            <w:tcW w:w="2552" w:type="dxa"/>
          </w:tcPr>
          <w:p w14:paraId="45246008" w14:textId="77777777" w:rsidR="001B5535" w:rsidRPr="005644FE" w:rsidRDefault="001B5535" w:rsidP="00142A8C">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6237" w:type="dxa"/>
          </w:tcPr>
          <w:p w14:paraId="1F84ECD3" w14:textId="77777777" w:rsidR="001B5535" w:rsidRPr="00F04657" w:rsidRDefault="001B5535" w:rsidP="00142A8C">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E32639">
              <w:rPr>
                <w:rFonts w:ascii="Verdana" w:eastAsia="Calibri" w:hAnsi="Verdana" w:cs="Arial"/>
                <w:lang w:eastAsia="es-ES_tradnl"/>
              </w:rPr>
              <w:t>1_2026_03_16_003610</w:t>
            </w:r>
          </w:p>
        </w:tc>
      </w:tr>
    </w:tbl>
    <w:p w14:paraId="03C2DBBC" w14:textId="77777777" w:rsidR="001B5535" w:rsidRPr="005644FE" w:rsidRDefault="001B5535" w:rsidP="001B5535">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65746388" w14:textId="77777777" w:rsidR="001B5535" w:rsidRPr="005644FE" w:rsidRDefault="001B5535" w:rsidP="001B5535">
      <w:pPr>
        <w:spacing w:after="0" w:line="276" w:lineRule="auto"/>
        <w:jc w:val="both"/>
        <w:rPr>
          <w:rFonts w:ascii="Verdana" w:eastAsia="Calibri" w:hAnsi="Verdana" w:cs="Arial"/>
          <w:lang w:eastAsia="es-ES"/>
        </w:rPr>
      </w:pPr>
      <w:r>
        <w:rPr>
          <w:rFonts w:ascii="Verdana" w:eastAsia="Calibri" w:hAnsi="Verdana" w:cs="Arial"/>
          <w:lang w:eastAsia="es-ES"/>
        </w:rPr>
        <w:t xml:space="preserve">Estimado señor Barón: </w:t>
      </w:r>
    </w:p>
    <w:p w14:paraId="3D1B4700" w14:textId="77777777" w:rsidR="001B5535" w:rsidRPr="00E02524" w:rsidRDefault="001B5535" w:rsidP="001B5535">
      <w:pPr>
        <w:spacing w:after="0" w:line="276" w:lineRule="auto"/>
        <w:jc w:val="both"/>
        <w:rPr>
          <w:rFonts w:ascii="Verdana" w:hAnsi="Verdana"/>
          <w:lang w:val="es-MX"/>
        </w:rPr>
      </w:pPr>
    </w:p>
    <w:p w14:paraId="5A7FA8BC" w14:textId="77777777" w:rsidR="001B5535" w:rsidRDefault="001B5535" w:rsidP="001B5535">
      <w:pPr>
        <w:spacing w:after="120" w:line="276" w:lineRule="auto"/>
        <w:jc w:val="both"/>
        <w:rPr>
          <w:rFonts w:ascii="Verdana" w:eastAsia="Calibri" w:hAnsi="Verdana" w:cs="Arial"/>
          <w:lang w:eastAsia="es-ES"/>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 xml:space="preserve"> y </w:t>
      </w:r>
      <w:r w:rsidRPr="00E02524">
        <w:rPr>
          <w:rFonts w:ascii="Verdana" w:hAnsi="Verdana"/>
        </w:rPr>
        <w:t>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r w:rsidRPr="00E02524">
        <w:rPr>
          <w:rFonts w:ascii="Verdana" w:eastAsia="Times New Roman" w:hAnsi="Verdana" w:cs="Segoe UI"/>
          <w:lang w:eastAsia="es-CO"/>
        </w:rPr>
        <w:t xml:space="preserve">N° 469 del 2025 </w:t>
      </w:r>
      <w:r w:rsidRPr="00E02524">
        <w:rPr>
          <w:rFonts w:ascii="Verdana" w:hAnsi="Verdana"/>
        </w:rPr>
        <w:t xml:space="preserve">expedida por esta Agencia, </w:t>
      </w:r>
      <w:r w:rsidRPr="005644FE">
        <w:rPr>
          <w:rFonts w:ascii="Verdana" w:eastAsia="Calibri" w:hAnsi="Verdana" w:cs="Arial"/>
          <w:lang w:eastAsia="es-ES"/>
        </w:rPr>
        <w:t>responde su solicitud de consulta de fecha</w:t>
      </w:r>
      <w:r>
        <w:rPr>
          <w:rFonts w:ascii="Verdana" w:eastAsia="Calibri" w:hAnsi="Verdana" w:cs="Arial"/>
          <w:lang w:eastAsia="es-ES"/>
        </w:rPr>
        <w:t xml:space="preserve"> 16 de marzo de 2026, previo traslado por parte del Departamento Administrativo de la Función Pública mediante radicado </w:t>
      </w:r>
      <w:r w:rsidRPr="001C17F6">
        <w:rPr>
          <w:rFonts w:ascii="Verdana" w:eastAsia="Calibri" w:hAnsi="Verdana" w:cs="Arial"/>
          <w:lang w:eastAsia="es-ES"/>
        </w:rPr>
        <w:t>20266000098991</w:t>
      </w:r>
      <w:r>
        <w:rPr>
          <w:rFonts w:ascii="Verdana" w:eastAsia="Calibri" w:hAnsi="Verdana" w:cs="Arial"/>
          <w:lang w:eastAsia="es-ES"/>
        </w:rPr>
        <w:t xml:space="preserve"> del 10 de marzo de 2026, </w:t>
      </w:r>
      <w:r w:rsidRPr="005644FE">
        <w:rPr>
          <w:rFonts w:ascii="Verdana" w:eastAsia="Calibri" w:hAnsi="Verdana" w:cs="Arial"/>
          <w:lang w:eastAsia="es-ES"/>
        </w:rPr>
        <w:t>en la cual manifiesta lo siguiente:</w:t>
      </w:r>
    </w:p>
    <w:p w14:paraId="6E79170D" w14:textId="77777777" w:rsidR="001B5535" w:rsidRPr="00886C89" w:rsidRDefault="001B5535" w:rsidP="001B5535">
      <w:pPr>
        <w:spacing w:after="120" w:line="276" w:lineRule="auto"/>
        <w:jc w:val="both"/>
        <w:rPr>
          <w:rFonts w:ascii="Verdana" w:eastAsia="Calibri" w:hAnsi="Verdana" w:cs="Arial"/>
          <w:lang w:eastAsia="es-ES"/>
        </w:rPr>
      </w:pPr>
      <w:r w:rsidRPr="00E02524">
        <w:rPr>
          <w:rFonts w:ascii="Verdana" w:hAnsi="Verdana"/>
        </w:rPr>
        <w:t xml:space="preserve">PETICIÓN REALIZADA </w:t>
      </w:r>
    </w:p>
    <w:p w14:paraId="367636FF" w14:textId="77777777" w:rsidR="001B5535" w:rsidRPr="00A35D25" w:rsidRDefault="001B5535" w:rsidP="001B5535">
      <w:pPr>
        <w:pStyle w:val="isselectedend"/>
        <w:numPr>
          <w:ilvl w:val="0"/>
          <w:numId w:val="23"/>
        </w:numPr>
        <w:ind w:right="758"/>
        <w:jc w:val="both"/>
        <w:rPr>
          <w:rFonts w:ascii="Verdana" w:hAnsi="Verdana"/>
          <w:sz w:val="20"/>
          <w:szCs w:val="20"/>
        </w:rPr>
      </w:pPr>
      <w:r w:rsidRPr="001C17F6">
        <w:rPr>
          <w:rFonts w:ascii="Verdana" w:hAnsi="Verdana"/>
          <w:sz w:val="20"/>
          <w:szCs w:val="20"/>
        </w:rPr>
        <w:t xml:space="preserve">“(…) </w:t>
      </w:r>
      <w:bookmarkStart w:id="2" w:name="_Hlk224028022"/>
      <w:r w:rsidRPr="001C17F6">
        <w:rPr>
          <w:rFonts w:ascii="Verdana" w:hAnsi="Verdana"/>
          <w:sz w:val="20"/>
          <w:szCs w:val="20"/>
        </w:rPr>
        <w:t>Diferenciación y alcance: ¿Cómo debe distinguirse, para efectos de la Ley 996 de 2005, entre:</w:t>
      </w:r>
    </w:p>
    <w:p w14:paraId="7028B66A" w14:textId="77777777" w:rsidR="001B5535" w:rsidRDefault="001B5535" w:rsidP="001B5535">
      <w:pPr>
        <w:pStyle w:val="isselectedend"/>
        <w:numPr>
          <w:ilvl w:val="1"/>
          <w:numId w:val="23"/>
        </w:numPr>
        <w:ind w:right="758"/>
        <w:jc w:val="both"/>
        <w:rPr>
          <w:rFonts w:ascii="Verdana" w:hAnsi="Verdana"/>
          <w:sz w:val="20"/>
          <w:szCs w:val="20"/>
        </w:rPr>
      </w:pPr>
      <w:r w:rsidRPr="001C17F6">
        <w:rPr>
          <w:rFonts w:ascii="Verdana" w:hAnsi="Verdana"/>
          <w:sz w:val="20"/>
          <w:szCs w:val="20"/>
        </w:rPr>
        <w:t>convenios interadministrativos (entre entidades estatales) que se consideren contratos estatales</w:t>
      </w:r>
    </w:p>
    <w:p w14:paraId="64EB0248" w14:textId="77777777" w:rsidR="001B5535" w:rsidRDefault="001B5535" w:rsidP="001B5535">
      <w:pPr>
        <w:pStyle w:val="isselectedend"/>
        <w:numPr>
          <w:ilvl w:val="1"/>
          <w:numId w:val="23"/>
        </w:numPr>
        <w:ind w:right="758"/>
        <w:jc w:val="both"/>
        <w:rPr>
          <w:rFonts w:ascii="Verdana" w:hAnsi="Verdana"/>
          <w:sz w:val="20"/>
          <w:szCs w:val="20"/>
        </w:rPr>
      </w:pPr>
      <w:r w:rsidRPr="001C17F6">
        <w:rPr>
          <w:rFonts w:ascii="Verdana" w:hAnsi="Verdana"/>
          <w:sz w:val="20"/>
          <w:szCs w:val="20"/>
        </w:rPr>
        <w:t>convenios de cooperación o convenios interinstitucionales celebrados con instituciones de educación superior (públicas o privadas), y</w:t>
      </w:r>
    </w:p>
    <w:p w14:paraId="26C37513" w14:textId="77777777" w:rsidR="001B5535" w:rsidRDefault="001B5535" w:rsidP="001B5535">
      <w:pPr>
        <w:pStyle w:val="isselectedend"/>
        <w:numPr>
          <w:ilvl w:val="1"/>
          <w:numId w:val="23"/>
        </w:numPr>
        <w:ind w:right="758"/>
        <w:jc w:val="both"/>
        <w:rPr>
          <w:rFonts w:ascii="Verdana" w:hAnsi="Verdana"/>
          <w:sz w:val="20"/>
          <w:szCs w:val="20"/>
        </w:rPr>
      </w:pPr>
      <w:r w:rsidRPr="001C17F6">
        <w:rPr>
          <w:rFonts w:ascii="Verdana" w:hAnsi="Verdana"/>
          <w:sz w:val="20"/>
          <w:szCs w:val="20"/>
        </w:rPr>
        <w:t>convenios marco y convenios específicos asociados a la gestión de prácticas universitarias o prácticas laborales?</w:t>
      </w:r>
    </w:p>
    <w:p w14:paraId="336F297A" w14:textId="77777777" w:rsidR="001B5535" w:rsidRPr="001C17F6" w:rsidRDefault="001B5535" w:rsidP="001B5535">
      <w:pPr>
        <w:pStyle w:val="isselectedend"/>
        <w:ind w:left="1440" w:right="758"/>
        <w:jc w:val="both"/>
        <w:rPr>
          <w:rFonts w:ascii="Verdana" w:hAnsi="Verdana"/>
          <w:sz w:val="20"/>
          <w:szCs w:val="20"/>
        </w:rPr>
      </w:pPr>
      <w:r w:rsidRPr="001C17F6">
        <w:rPr>
          <w:rFonts w:ascii="Verdana" w:hAnsi="Verdana"/>
          <w:sz w:val="20"/>
          <w:szCs w:val="20"/>
        </w:rPr>
        <w:t>Se solicita indicar criterios para determinar cuándo estos instrumentos se consideran “contratación directa” sometida al artículo 33.</w:t>
      </w:r>
    </w:p>
    <w:bookmarkEnd w:id="2"/>
    <w:p w14:paraId="4A97036A" w14:textId="77777777" w:rsidR="001B5535" w:rsidRPr="00A35D25" w:rsidRDefault="001B5535" w:rsidP="001B5535">
      <w:pPr>
        <w:pStyle w:val="isselectedend"/>
        <w:numPr>
          <w:ilvl w:val="0"/>
          <w:numId w:val="23"/>
        </w:numPr>
        <w:ind w:right="758"/>
        <w:jc w:val="both"/>
        <w:rPr>
          <w:rFonts w:ascii="Verdana" w:hAnsi="Verdana"/>
          <w:sz w:val="20"/>
          <w:szCs w:val="20"/>
        </w:rPr>
      </w:pPr>
      <w:r w:rsidRPr="001C17F6">
        <w:rPr>
          <w:rFonts w:ascii="Verdana" w:hAnsi="Verdana"/>
          <w:sz w:val="20"/>
          <w:szCs w:val="20"/>
        </w:rPr>
        <w:t>Contrato de aprendizaje: Confirmar si, durante la vigencia de la Ley 996 de 2005, una entidad pública puede suscribir contratos de aprendizaje y adelantar su vinculación, y si para ello puede suscribir instrumentos como convenios de coordinación o cooperación o interadministrativos con instituciones educativas sin que ello se entienda como una modalidad prohibida de contratación directa.</w:t>
      </w:r>
    </w:p>
    <w:p w14:paraId="1E6AC809" w14:textId="77777777" w:rsidR="001B5535" w:rsidRPr="001C17F6" w:rsidRDefault="001B5535" w:rsidP="001B5535">
      <w:pPr>
        <w:pStyle w:val="isselectedend"/>
        <w:numPr>
          <w:ilvl w:val="0"/>
          <w:numId w:val="23"/>
        </w:numPr>
        <w:ind w:right="758"/>
        <w:jc w:val="both"/>
        <w:rPr>
          <w:rFonts w:ascii="Verdana" w:hAnsi="Verdana"/>
          <w:sz w:val="20"/>
          <w:szCs w:val="20"/>
        </w:rPr>
      </w:pPr>
      <w:r w:rsidRPr="001C17F6">
        <w:rPr>
          <w:rFonts w:ascii="Verdana" w:hAnsi="Verdana"/>
          <w:sz w:val="20"/>
          <w:szCs w:val="20"/>
        </w:rPr>
        <w:t>Requisitos y buenas prácticas: En caso de que ciertos convenios sí estén restringidos, agradecería indicar alternativas administrativas compatibles con la Ley 996 de 2005 (por ejemplo, uso de convenios marco suscrito con anterioridad, adhesión a instrumentos ya vigentes, u otros mecanismos permitidos), precisando las condiciones generales para su procedencia (…)”.</w:t>
      </w:r>
    </w:p>
    <w:p w14:paraId="0188C289" w14:textId="77777777" w:rsidR="001B5535" w:rsidRPr="00BD091E" w:rsidRDefault="001B5535" w:rsidP="001B5535">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w:t>
      </w:r>
      <w:r w:rsidRPr="00BD091E">
        <w:rPr>
          <w:rFonts w:ascii="Verdana" w:eastAsia="Calibri" w:hAnsi="Verdana" w:cs="Arial"/>
          <w:color w:val="000000"/>
          <w:lang w:eastAsia="es-ES"/>
        </w:rPr>
        <w:t xml:space="preserve">asesorías sobre casos puntuales. </w:t>
      </w:r>
    </w:p>
    <w:p w14:paraId="769BBD42" w14:textId="77777777" w:rsidR="001B5535" w:rsidRPr="00BD091E" w:rsidRDefault="001B5535" w:rsidP="001B5535">
      <w:pPr>
        <w:spacing w:after="120" w:line="276" w:lineRule="auto"/>
        <w:ind w:firstLine="709"/>
        <w:jc w:val="both"/>
        <w:rPr>
          <w:rFonts w:ascii="Verdana" w:eastAsia="Calibri" w:hAnsi="Verdana" w:cs="Arial"/>
          <w:lang w:eastAsia="es-ES"/>
        </w:rPr>
      </w:pPr>
      <w:r w:rsidRPr="00BD091E">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 los problemas jurídicos de su consulta.</w:t>
      </w:r>
      <w:r w:rsidRPr="00BD091E">
        <w:rPr>
          <w:rFonts w:ascii="Verdana" w:eastAsia="Calibri" w:hAnsi="Verdana" w:cs="Arial"/>
          <w:lang w:eastAsia="es-ES"/>
        </w:rPr>
        <w:t xml:space="preserve">  </w:t>
      </w:r>
    </w:p>
    <w:p w14:paraId="4FB895B9" w14:textId="77777777" w:rsidR="001B5535" w:rsidRPr="00BD091E" w:rsidRDefault="001B5535" w:rsidP="001B5535">
      <w:pPr>
        <w:spacing w:after="120" w:line="276" w:lineRule="auto"/>
        <w:jc w:val="both"/>
        <w:rPr>
          <w:rFonts w:ascii="Verdana" w:eastAsia="Calibri" w:hAnsi="Verdana" w:cs="Arial"/>
          <w:lang w:eastAsia="es-ES"/>
        </w:rPr>
      </w:pPr>
      <w:r w:rsidRPr="00BD091E">
        <w:rPr>
          <w:rFonts w:ascii="Verdana" w:eastAsia="Century Gothic" w:hAnsi="Verdana" w:cs="Century Gothic"/>
          <w:b/>
          <w:bCs/>
        </w:rPr>
        <w:t>1. Problema planteado:</w:t>
      </w:r>
    </w:p>
    <w:p w14:paraId="7754AC40" w14:textId="06367F05" w:rsidR="001B5535" w:rsidRPr="00F76FC0" w:rsidRDefault="001B5535" w:rsidP="001B5535">
      <w:pPr>
        <w:spacing w:after="120" w:line="276" w:lineRule="auto"/>
        <w:jc w:val="both"/>
        <w:rPr>
          <w:rFonts w:ascii="Verdana" w:hAnsi="Verdana" w:cs="Arial"/>
        </w:rPr>
      </w:pPr>
      <w:r w:rsidRPr="00BD091E">
        <w:rPr>
          <w:rFonts w:ascii="Verdana" w:eastAsia="Calibri" w:hAnsi="Verdana" w:cs="Arial"/>
          <w:color w:val="000000"/>
          <w:lang w:eastAsia="es-ES"/>
        </w:rPr>
        <w:t>De acuerdo con el contenido de su solicitud, esta Agencia resolverá el siguiente problema jurídico: i) ¿</w:t>
      </w:r>
      <w:r w:rsidRPr="00BD091E">
        <w:rPr>
          <w:rFonts w:ascii="Verdana" w:hAnsi="Verdana"/>
          <w:lang w:val="es-ES"/>
        </w:rPr>
        <w:t xml:space="preserve">Cuáles son las características de los convenios interadministrativos? ii) </w:t>
      </w:r>
      <w:r>
        <w:rPr>
          <w:rFonts w:ascii="Verdana" w:eastAsia="Century Gothic" w:hAnsi="Verdana" w:cs="Century Gothic"/>
        </w:rPr>
        <w:t xml:space="preserve">Cuál es el alcance de los </w:t>
      </w:r>
      <w:r w:rsidRPr="00D4658D">
        <w:rPr>
          <w:rFonts w:ascii="Verdana" w:eastAsia="Century Gothic" w:hAnsi="Verdana" w:cs="Century Gothic"/>
        </w:rPr>
        <w:t>convenios</w:t>
      </w:r>
      <w:r>
        <w:rPr>
          <w:rFonts w:ascii="Verdana" w:eastAsia="Century Gothic" w:hAnsi="Verdana" w:cs="Century Gothic"/>
        </w:rPr>
        <w:t xml:space="preserve"> de</w:t>
      </w:r>
      <w:r w:rsidRPr="00D4658D">
        <w:rPr>
          <w:rFonts w:ascii="Verdana" w:eastAsia="Century Gothic" w:hAnsi="Verdana" w:cs="Century Gothic"/>
        </w:rPr>
        <w:t xml:space="preserve"> que trata </w:t>
      </w:r>
      <w:r w:rsidRPr="00D4658D">
        <w:rPr>
          <w:rFonts w:ascii="Verdana" w:hAnsi="Verdana"/>
        </w:rPr>
        <w:t xml:space="preserve">el artículo 355 de la Constitución Política y el Decreto 092 de 2017, </w:t>
      </w:r>
      <w:r w:rsidRPr="00D4658D">
        <w:rPr>
          <w:rFonts w:ascii="Verdana" w:eastAsia="Century Gothic" w:hAnsi="Verdana" w:cs="Century Gothic"/>
        </w:rPr>
        <w:t>con entidades sin ánimo</w:t>
      </w:r>
      <w:r w:rsidR="007E5D6E">
        <w:rPr>
          <w:rFonts w:ascii="Verdana" w:eastAsia="Century Gothic" w:hAnsi="Verdana" w:cs="Century Gothic"/>
        </w:rPr>
        <w:t xml:space="preserve"> de lucro</w:t>
      </w:r>
      <w:r w:rsidRPr="00BD091E">
        <w:rPr>
          <w:rFonts w:ascii="Verdana" w:hAnsi="Verdana"/>
          <w:lang w:val="es-ES"/>
        </w:rPr>
        <w:t xml:space="preserve">? iii) ¿Le resulta aplicable las restricciones contenidas en la Ley 996 de 2005 a los convenios interadministrativos o </w:t>
      </w:r>
      <w:r>
        <w:rPr>
          <w:rFonts w:ascii="Verdana" w:hAnsi="Verdana"/>
          <w:lang w:val="es-ES"/>
        </w:rPr>
        <w:t xml:space="preserve">convenios previsto en el artículo 355 de la Constitución Política y el Decreto 092 de 2017? </w:t>
      </w:r>
    </w:p>
    <w:p w14:paraId="06610F7C" w14:textId="77777777" w:rsidR="001B5535" w:rsidRPr="00886C89" w:rsidRDefault="001B5535" w:rsidP="001B5535">
      <w:pPr>
        <w:spacing w:after="0" w:line="276" w:lineRule="auto"/>
        <w:jc w:val="both"/>
        <w:rPr>
          <w:rFonts w:ascii="Verdana" w:hAnsi="Verdana" w:cs="Arial"/>
        </w:rPr>
      </w:pPr>
      <w:r w:rsidRPr="00B33011">
        <w:rPr>
          <w:rFonts w:ascii="Verdana" w:eastAsia="Century Gothic" w:hAnsi="Verdana" w:cs="Century Gothic"/>
          <w:b/>
          <w:bCs/>
        </w:rPr>
        <w:t>2. Respuesta:</w:t>
      </w:r>
    </w:p>
    <w:p w14:paraId="549BC1D1" w14:textId="77777777" w:rsidR="001B5535" w:rsidRPr="005644FE" w:rsidRDefault="001B5535" w:rsidP="001B5535">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1B5535" w:rsidRPr="005644FE" w14:paraId="0064FF67" w14:textId="77777777" w:rsidTr="00142A8C">
        <w:tc>
          <w:tcPr>
            <w:tcW w:w="8828" w:type="dxa"/>
          </w:tcPr>
          <w:p w14:paraId="76674A7C" w14:textId="77777777" w:rsidR="001B5535" w:rsidRDefault="001B5535" w:rsidP="00142A8C">
            <w:pPr>
              <w:spacing w:after="120" w:line="276" w:lineRule="auto"/>
              <w:jc w:val="both"/>
              <w:rPr>
                <w:rFonts w:ascii="Verdana" w:eastAsia="Calibri" w:hAnsi="Verdana" w:cs="Arial"/>
                <w:lang w:eastAsia="es-ES"/>
              </w:rPr>
            </w:pPr>
            <w:r w:rsidRPr="00A35D25">
              <w:rPr>
                <w:rFonts w:ascii="Verdana" w:eastAsia="Calibri" w:hAnsi="Verdana" w:cs="Arial"/>
                <w:lang w:eastAsia="es-ES"/>
              </w:rPr>
              <w:t xml:space="preserve">Las restricciones contenidas en el artículo 33 de la Ley 996 de 2005 aplica para “la contratación directa” de todos los entes del Estado, </w:t>
            </w:r>
            <w:r w:rsidRPr="00A35D25">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A35D25">
              <w:rPr>
                <w:rFonts w:ascii="Verdana" w:eastAsia="Calibri" w:hAnsi="Verdana" w:cs="Arial"/>
                <w:lang w:eastAsia="es-ES"/>
              </w:rPr>
              <w:t xml:space="preserve">Se trata de la prohibición de </w:t>
            </w:r>
            <w:r w:rsidRPr="00A35D25">
              <w:rPr>
                <w:rFonts w:ascii="Verdana" w:hAnsi="Verdana" w:cs="Arial"/>
                <w:bCs/>
                <w:lang w:eastAsia="x-none"/>
              </w:rPr>
              <w:t>aquellos contratos en los que no exista un proceso abierto y competitivo.</w:t>
            </w:r>
            <w:r w:rsidRPr="00A35D25">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 o los procesos competitivos establecidos en los manuales de contratación de las entidades con regímenes exceptuados. Adicionalmente, la celebración de la contratación directa </w:t>
            </w:r>
            <w:r w:rsidRPr="00A35D25">
              <w:rPr>
                <w:rFonts w:ascii="Verdana" w:eastAsia="Calibri" w:hAnsi="Verdana" w:cs="Arial"/>
                <w:lang w:eastAsia="es-ES"/>
              </w:rPr>
              <w:t xml:space="preserve">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 </w:t>
            </w:r>
          </w:p>
          <w:p w14:paraId="73A175E6" w14:textId="77777777" w:rsidR="001B5535" w:rsidRDefault="001B5535" w:rsidP="00142A8C">
            <w:pPr>
              <w:spacing w:after="120" w:line="276" w:lineRule="auto"/>
              <w:ind w:firstLine="709"/>
              <w:jc w:val="both"/>
              <w:rPr>
                <w:rFonts w:ascii="Verdana" w:eastAsia="Calibri" w:hAnsi="Verdana" w:cs="Arial"/>
                <w:lang w:eastAsia="es-ES"/>
              </w:rPr>
            </w:pPr>
            <w:r w:rsidRPr="00A35D25">
              <w:rPr>
                <w:rFonts w:ascii="Verdana" w:eastAsia="Calibri" w:hAnsi="Verdana" w:cs="Arial"/>
                <w:lang w:eastAsia="es-ES"/>
              </w:rPr>
              <w:t xml:space="preserve">La entidad definirá si la contratación que pretende celebrar se enmarca en alguna de las excepciones definidas en el artículo 33 de la Ley 996 de 2005, esto es, que se pretenda cubrir emergencias educativas, de tal manera que las excepciones contempladas no permiten efectuar una interpretación extensiva para incluir otros supuestos. </w:t>
            </w:r>
          </w:p>
          <w:p w14:paraId="1434E654" w14:textId="77777777" w:rsidR="001B5535" w:rsidRDefault="001B5535" w:rsidP="00142A8C">
            <w:pPr>
              <w:spacing w:after="120" w:line="276" w:lineRule="auto"/>
              <w:ind w:firstLine="709"/>
              <w:jc w:val="both"/>
              <w:rPr>
                <w:rFonts w:ascii="Verdana" w:eastAsia="Calibri" w:hAnsi="Verdana" w:cs="Arial"/>
                <w:lang w:eastAsia="es-ES"/>
              </w:rPr>
            </w:pPr>
            <w:r w:rsidRPr="00A35D25">
              <w:rPr>
                <w:rFonts w:ascii="Verdana" w:eastAsia="Calibri" w:hAnsi="Verdana" w:cs="Arial"/>
                <w:lang w:eastAsia="es-ES"/>
              </w:rPr>
              <w:t xml:space="preserve">La restricción contenida en el parágrafo del artículo 38 de la Ley 996 de 2005 se refiere a la celebración de convenios interadministrativos para la ejecución de recursos públicos, independientemente de que se configuren los supuestos de excepción que señala en artículo 33 de la misma ley.  </w:t>
            </w:r>
          </w:p>
          <w:p w14:paraId="4C74DC09" w14:textId="77777777" w:rsidR="001B5535" w:rsidRDefault="001B5535" w:rsidP="00142A8C">
            <w:pPr>
              <w:spacing w:after="120" w:line="276" w:lineRule="auto"/>
              <w:ind w:firstLine="709"/>
              <w:jc w:val="both"/>
              <w:rPr>
                <w:rFonts w:ascii="Verdana" w:eastAsia="Calibri" w:hAnsi="Verdana" w:cs="Arial"/>
                <w:lang w:eastAsia="es-ES"/>
              </w:rPr>
            </w:pPr>
            <w:r w:rsidRPr="00A35D25">
              <w:rPr>
                <w:rFonts w:ascii="Verdana" w:eastAsia="Calibri" w:hAnsi="Verdana" w:cs="Arial"/>
                <w:lang w:eastAsia="es-ES"/>
              </w:rPr>
              <w:t xml:space="preserve">La posición definida en las decisiones adoptadas por la Sección Tercera del Consejo de Estado se enmarcó en la imposibilidad de extender la aplicación de la restricción a los contratos interadministrativos que, en vigencia de la prohibición del parágrafo del artículo 38 de la Ley de Garantías Electorales se trata, esto es, en las elecciones distintas a las presidenciales. Específicamente, en la sentencia del 17 de octubre de 2025, el alto tribunal declaró la nulidad parcial del numeral 16.2 de la Circular Externa Única de 2022, por lo tanto, cuando dos entidades públicas celebran un contrato interadministrativo, independientemente del objeto, dicho contrato puede suscribirse durante el periodo preelectoral. </w:t>
            </w:r>
          </w:p>
          <w:p w14:paraId="2089EC6C" w14:textId="77777777" w:rsidR="00C309E5" w:rsidRDefault="00C309E5" w:rsidP="00C309E5">
            <w:pPr>
              <w:spacing w:after="120" w:line="276" w:lineRule="auto"/>
              <w:ind w:firstLine="709"/>
              <w:jc w:val="both"/>
              <w:rPr>
                <w:rFonts w:ascii="Verdana" w:eastAsia="Calibri" w:hAnsi="Verdana" w:cs="Arial"/>
                <w:lang w:val="es-ES"/>
              </w:rPr>
            </w:pPr>
            <w:r>
              <w:rPr>
                <w:rFonts w:ascii="Verdana" w:eastAsia="Times New Roman" w:hAnsi="Verdana" w:cs="Arial"/>
                <w:lang w:val="es-MX" w:eastAsia="es-CO"/>
              </w:rPr>
              <w:t>Ahora bien, para dar respuesta al problema jurídico planteado, debe advertirse que e</w:t>
            </w:r>
            <w:r w:rsidRPr="00377ED6">
              <w:rPr>
                <w:rFonts w:ascii="Verdana" w:eastAsia="Calibri" w:hAnsi="Verdana" w:cs="Arial"/>
                <w:lang w:val="es-ES"/>
              </w:rPr>
              <w:t xml:space="preserv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ii) los convenios de asociación, para el desarrollo conjunto de actividades relacionadas con las funciones de las entidades estatales, en desarrollo del artículo 96 de la Ley 489 de 1998. </w:t>
            </w:r>
          </w:p>
          <w:p w14:paraId="663FA527" w14:textId="77777777" w:rsidR="00C309E5" w:rsidRDefault="00C309E5" w:rsidP="00C309E5">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Para celebrar el primer tipo de contratos, </w:t>
            </w:r>
            <w:r w:rsidRPr="00377ED6">
              <w:rPr>
                <w:rFonts w:ascii="Verdana" w:eastAsia="Calibri" w:hAnsi="Verdana" w:cs="Arial"/>
                <w:lang w:val="es-ES"/>
              </w:rPr>
              <w:t xml:space="preserve">según lo establece el artículo 3 del Decreto 092 de 2017, la entidad debe adelantar un proceso competitivo para seleccionar la entidad sin ánimo de lucro </w:t>
            </w:r>
            <w:r>
              <w:rPr>
                <w:rFonts w:ascii="Verdana" w:eastAsia="Calibri" w:hAnsi="Verdana" w:cs="Arial"/>
                <w:lang w:val="es-ES"/>
              </w:rPr>
              <w:t xml:space="preserve">que ejecutará el contrato. De acuerdo con esto, la celebración de los contratos los que se refiere el artículo 355 superior, regidos por los artículos 2, 3 y 4 del Decreto 092 de 2017, no se afecta por la restricción del artículo 33 de la Ley 996 de 2005, en la medida en que su suscripción debe darse previo desarrollo de proceso competitivo.  </w:t>
            </w:r>
          </w:p>
          <w:p w14:paraId="3459D2B7" w14:textId="77777777" w:rsidR="008E7044" w:rsidRDefault="00C309E5" w:rsidP="00C309E5">
            <w:pPr>
              <w:spacing w:line="276" w:lineRule="auto"/>
              <w:ind w:firstLine="709"/>
              <w:jc w:val="both"/>
              <w:rPr>
                <w:rFonts w:ascii="Verdana" w:eastAsia="Calibri" w:hAnsi="Verdana" w:cs="Arial"/>
                <w:lang w:val="es-ES"/>
              </w:rPr>
            </w:pPr>
            <w:r w:rsidRPr="697BF333">
              <w:rPr>
                <w:rFonts w:ascii="Verdana" w:eastAsia="Calibri" w:hAnsi="Verdana" w:cs="Arial"/>
                <w:lang w:val="es-ES"/>
              </w:rPr>
              <w:t xml:space="preserve">De otro lado, la celebración de los </w:t>
            </w:r>
            <w:r w:rsidRPr="697BF333">
              <w:rPr>
                <w:rFonts w:ascii="Verdana" w:eastAsia="Calibri" w:hAnsi="Verdana" w:cs="Arial"/>
                <w:i/>
                <w:lang w:val="es-ES"/>
              </w:rPr>
              <w:t xml:space="preserve">convenios de asociación </w:t>
            </w:r>
            <w:r w:rsidRPr="697BF333">
              <w:rPr>
                <w:rFonts w:ascii="Verdana" w:eastAsia="Calibri" w:hAnsi="Verdana" w:cs="Arial"/>
                <w:lang w:val="es-ES"/>
              </w:rPr>
              <w:t>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si entra dentro del ámbito de aplicación de la mencionada prohibición, de manera que no es posible su aplicación en vigencia de la restricción a la contratación directa.</w:t>
            </w:r>
          </w:p>
          <w:p w14:paraId="32AFB2AB" w14:textId="76D71552" w:rsidR="00C309E5" w:rsidRDefault="00C309E5" w:rsidP="00C309E5">
            <w:pPr>
              <w:spacing w:line="276" w:lineRule="auto"/>
              <w:ind w:firstLine="709"/>
              <w:jc w:val="both"/>
              <w:rPr>
                <w:rFonts w:ascii="Verdana" w:eastAsia="Calibri" w:hAnsi="Verdana" w:cs="Arial"/>
                <w:lang w:val="es-ES"/>
              </w:rPr>
            </w:pPr>
            <w:r w:rsidRPr="697BF333">
              <w:rPr>
                <w:rFonts w:ascii="Verdana" w:eastAsia="Calibri" w:hAnsi="Verdana" w:cs="Arial"/>
                <w:lang w:val="es-ES"/>
              </w:rPr>
              <w:t xml:space="preserve">  </w:t>
            </w:r>
          </w:p>
          <w:p w14:paraId="3A2A35F6" w14:textId="30F401CA" w:rsidR="001B5535" w:rsidRPr="00A35D25" w:rsidRDefault="00C309E5" w:rsidP="008E7044">
            <w:pPr>
              <w:spacing w:after="120" w:line="276" w:lineRule="auto"/>
              <w:jc w:val="both"/>
              <w:rPr>
                <w:rFonts w:ascii="Verdana" w:eastAsia="Calibri" w:hAnsi="Verdana" w:cs="Arial"/>
                <w:lang w:eastAsia="es-ES"/>
              </w:rPr>
            </w:pPr>
            <w:r>
              <w:rPr>
                <w:rFonts w:ascii="Verdana" w:hAnsi="Verdana" w:cs="Arial"/>
                <w:bCs/>
                <w:color w:val="000000" w:themeColor="text1"/>
                <w:lang w:val="es-MX" w:eastAsia="x-none"/>
              </w:rPr>
              <w:t>Al suscribir cualquier tipo de contrato o convenio bajo la modalidad de contratación directa en el periodo de la restricción definida en el artículo 33 de la Ley 996 de 2005, los servidores públicos pueden estar incursos en investigaciones de tipo penal, responsabilidad disciplinaria y responsabilidad fiscal.</w:t>
            </w:r>
          </w:p>
        </w:tc>
      </w:tr>
    </w:tbl>
    <w:p w14:paraId="3DA6CE83" w14:textId="77777777" w:rsidR="001B5535" w:rsidRDefault="001B5535" w:rsidP="001B5535">
      <w:pPr>
        <w:tabs>
          <w:tab w:val="left" w:pos="142"/>
          <w:tab w:val="left" w:pos="284"/>
        </w:tabs>
        <w:spacing w:after="0" w:line="276" w:lineRule="auto"/>
        <w:jc w:val="both"/>
        <w:rPr>
          <w:rFonts w:ascii="Verdana" w:eastAsia="Century Gothic" w:hAnsi="Verdana" w:cs="Century Gothic"/>
          <w:b/>
          <w:bCs/>
        </w:rPr>
      </w:pPr>
    </w:p>
    <w:p w14:paraId="434D44FE" w14:textId="77777777" w:rsidR="001B5535" w:rsidRPr="005644FE" w:rsidRDefault="001B5535" w:rsidP="001B5535">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065C9E7E" w14:textId="77777777" w:rsidR="001B5535" w:rsidRPr="005644FE" w:rsidRDefault="001B5535" w:rsidP="001B5535">
      <w:pPr>
        <w:pStyle w:val="Prrafodelista"/>
        <w:tabs>
          <w:tab w:val="left" w:pos="142"/>
          <w:tab w:val="left" w:pos="284"/>
        </w:tabs>
        <w:spacing w:after="0" w:line="240" w:lineRule="auto"/>
        <w:ind w:left="0"/>
        <w:contextualSpacing w:val="0"/>
        <w:jc w:val="both"/>
        <w:rPr>
          <w:rFonts w:ascii="Verdana" w:eastAsia="Calibri" w:hAnsi="Verdana" w:cs="Arial"/>
        </w:rPr>
      </w:pPr>
    </w:p>
    <w:p w14:paraId="2A38EF90" w14:textId="77777777" w:rsidR="001B5535" w:rsidRDefault="001B5535" w:rsidP="001B5535">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654B2C18" w14:textId="77777777" w:rsidR="001B5535" w:rsidRDefault="001B5535" w:rsidP="001B5535">
      <w:pPr>
        <w:tabs>
          <w:tab w:val="left" w:pos="142"/>
          <w:tab w:val="left" w:pos="284"/>
          <w:tab w:val="left" w:pos="6975"/>
        </w:tabs>
        <w:spacing w:after="0" w:line="240" w:lineRule="auto"/>
        <w:jc w:val="both"/>
        <w:rPr>
          <w:rFonts w:ascii="Verdana" w:eastAsia="Calibri" w:hAnsi="Verdana" w:cs="Arial"/>
        </w:rPr>
      </w:pPr>
    </w:p>
    <w:p w14:paraId="0FE78B2F" w14:textId="77777777" w:rsidR="001B5535" w:rsidRPr="00B57A1B" w:rsidRDefault="001B5535" w:rsidP="001B5535">
      <w:pPr>
        <w:tabs>
          <w:tab w:val="left" w:pos="7851"/>
        </w:tabs>
        <w:spacing w:after="120" w:line="276" w:lineRule="auto"/>
        <w:jc w:val="both"/>
        <w:rPr>
          <w:rFonts w:ascii="Arial" w:hAnsi="Arial" w:cs="Arial"/>
          <w:b/>
        </w:rPr>
      </w:pPr>
      <w:r>
        <w:rPr>
          <w:rFonts w:ascii="Verdana" w:eastAsiaTheme="minorEastAsia" w:hAnsi="Verdana" w:cs="Arial"/>
          <w:lang w:eastAsia="es-CO"/>
        </w:rPr>
        <w:t>i) E</w:t>
      </w:r>
      <w:r w:rsidRPr="00B57A1B">
        <w:rPr>
          <w:rFonts w:ascii="Verdana" w:eastAsiaTheme="minorEastAsia" w:hAnsi="Verdana" w:cs="Arial"/>
          <w:lang w:eastAsia="es-CO"/>
        </w:rPr>
        <w:t>l convenio</w:t>
      </w:r>
      <w:r>
        <w:rPr>
          <w:rFonts w:ascii="Verdana" w:eastAsiaTheme="minorEastAsia" w:hAnsi="Verdana" w:cs="Arial"/>
          <w:lang w:eastAsia="es-CO"/>
        </w:rPr>
        <w:t xml:space="preserve"> o contrato</w:t>
      </w:r>
      <w:r w:rsidRPr="00B57A1B">
        <w:rPr>
          <w:rFonts w:ascii="Verdana" w:eastAsiaTheme="minorEastAsia" w:hAnsi="Verdana" w:cs="Arial"/>
          <w:lang w:eastAsia="es-CO"/>
        </w:rPr>
        <w:t xml:space="preserve">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w:t>
      </w:r>
      <w:r w:rsidRPr="00B57A1B">
        <w:rPr>
          <w:rFonts w:ascii="Verdana" w:eastAsiaTheme="minorEastAsia" w:hAnsi="Verdana" w:cs="Arial"/>
          <w:spacing w:val="-6"/>
          <w:lang w:eastAsia="es-CO"/>
        </w:rPr>
        <w:t xml:space="preserve"> </w:t>
      </w:r>
      <w:r w:rsidRPr="00B57A1B">
        <w:rPr>
          <w:rFonts w:ascii="Verdana" w:eastAsiaTheme="minorEastAsia" w:hAnsi="Verdana" w:cs="Arial"/>
          <w:lang w:eastAsia="es-CO"/>
        </w:rPr>
        <w:t>Estatales.</w:t>
      </w:r>
    </w:p>
    <w:p w14:paraId="40D34438" w14:textId="77777777" w:rsidR="001B5535" w:rsidRPr="00B57A1B" w:rsidRDefault="001B5535" w:rsidP="001B5535">
      <w:pPr>
        <w:spacing w:after="120" w:line="276" w:lineRule="auto"/>
        <w:ind w:firstLine="709"/>
        <w:jc w:val="both"/>
        <w:rPr>
          <w:rFonts w:ascii="Verdana" w:eastAsiaTheme="minorEastAsia" w:hAnsi="Verdana" w:cs="Arial"/>
          <w:lang w:eastAsia="es-CO"/>
        </w:rPr>
      </w:pPr>
      <w:r>
        <w:rPr>
          <w:rFonts w:ascii="Verdana" w:eastAsiaTheme="minorEastAsia" w:hAnsi="Verdana" w:cs="Arial"/>
          <w:lang w:eastAsia="es-CO"/>
        </w:rPr>
        <w:t xml:space="preserve">Ahora bien, aun cuando </w:t>
      </w:r>
      <w:r w:rsidRPr="00B57A1B">
        <w:rPr>
          <w:rFonts w:ascii="Verdana" w:eastAsiaTheme="minorEastAsia" w:hAnsi="Verdana" w:cs="Arial"/>
          <w:lang w:eastAsia="es-CO"/>
        </w:rPr>
        <w:t>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03ECF063" w14:textId="77777777" w:rsidR="001B5535" w:rsidRPr="00B57A1B" w:rsidRDefault="001B5535" w:rsidP="001B5535">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B57A1B">
        <w:rPr>
          <w:rFonts w:ascii="Verdana" w:eastAsiaTheme="minorEastAsia" w:hAnsi="Verdana" w:cs="Arial"/>
          <w:vertAlign w:val="superscript"/>
          <w:lang w:eastAsia="es-CO"/>
        </w:rPr>
        <w:footnoteReference w:id="1"/>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w:t>
      </w:r>
    </w:p>
    <w:p w14:paraId="33CEC9DA" w14:textId="77777777" w:rsidR="001B5535" w:rsidRPr="00B57A1B" w:rsidRDefault="001B5535" w:rsidP="001B5535">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w:t>
      </w:r>
      <w:r w:rsidRPr="00B57A1B">
        <w:rPr>
          <w:rFonts w:ascii="Verdana" w:eastAsiaTheme="minorEastAsia" w:hAnsi="Verdana" w:cs="Arial"/>
          <w:vertAlign w:val="superscript"/>
          <w:lang w:eastAsia="es-CO"/>
        </w:rPr>
        <w:footnoteReference w:id="2"/>
      </w:r>
      <w:r w:rsidRPr="00B57A1B">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w:t>
      </w:r>
    </w:p>
    <w:p w14:paraId="1F227967" w14:textId="77777777" w:rsidR="001B5535" w:rsidRPr="00B57A1B" w:rsidRDefault="001B5535" w:rsidP="001B5535">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089829A8" w14:textId="77777777" w:rsidR="001B5535" w:rsidRPr="00A35D25" w:rsidRDefault="001B5535" w:rsidP="001B5535">
      <w:pPr>
        <w:spacing w:after="0" w:line="240" w:lineRule="auto"/>
        <w:ind w:left="709" w:right="709"/>
        <w:jc w:val="both"/>
        <w:rPr>
          <w:rFonts w:ascii="Verdana" w:eastAsiaTheme="minorEastAsia" w:hAnsi="Verdana" w:cs="Arial"/>
          <w:sz w:val="20"/>
          <w:szCs w:val="20"/>
          <w:lang w:eastAsia="es-CO"/>
        </w:rPr>
      </w:pPr>
      <w:r w:rsidRPr="00A35D25">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5082BF36" w14:textId="77777777" w:rsidR="001B5535" w:rsidRPr="00A35D25" w:rsidRDefault="001B5535" w:rsidP="001B5535">
      <w:pPr>
        <w:numPr>
          <w:ilvl w:val="0"/>
          <w:numId w:val="24"/>
        </w:numPr>
        <w:spacing w:after="0" w:line="240" w:lineRule="auto"/>
        <w:ind w:left="709" w:right="709"/>
        <w:contextualSpacing/>
        <w:jc w:val="both"/>
        <w:rPr>
          <w:rFonts w:ascii="Verdana" w:eastAsiaTheme="minorEastAsia" w:hAnsi="Verdana" w:cs="Arial"/>
          <w:sz w:val="20"/>
          <w:szCs w:val="20"/>
          <w:lang w:val="es-ES" w:eastAsia="es-CO"/>
        </w:rPr>
      </w:pPr>
      <w:r w:rsidRPr="00A35D25">
        <w:rPr>
          <w:rFonts w:ascii="Verdana" w:eastAsiaTheme="minorEastAsia" w:hAnsi="Verdana" w:cs="Arial"/>
          <w:sz w:val="20"/>
          <w:szCs w:val="20"/>
          <w:lang w:val="es-ES" w:eastAsia="es-CO"/>
        </w:rPr>
        <w:t xml:space="preserve">El objeto de los contratos lo constituyen obligaciones de contenido patrimonial y, por </w:t>
      </w:r>
      <w:r w:rsidRPr="00A35D25">
        <w:rPr>
          <w:rFonts w:ascii="Verdana" w:eastAsiaTheme="minorEastAsia" w:hAnsi="Verdana" w:cs="Arial"/>
          <w:sz w:val="20"/>
          <w:szCs w:val="20"/>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42EE68C3" w14:textId="77777777" w:rsidR="001B5535" w:rsidRPr="00A35D25" w:rsidRDefault="001B5535" w:rsidP="001B5535">
      <w:pPr>
        <w:numPr>
          <w:ilvl w:val="0"/>
          <w:numId w:val="24"/>
        </w:numPr>
        <w:spacing w:after="0" w:line="240" w:lineRule="auto"/>
        <w:ind w:left="709" w:right="709"/>
        <w:contextualSpacing/>
        <w:jc w:val="both"/>
        <w:rPr>
          <w:rFonts w:ascii="Verdana" w:eastAsiaTheme="minorEastAsia" w:hAnsi="Verdana" w:cs="Arial"/>
          <w:sz w:val="20"/>
          <w:szCs w:val="20"/>
          <w:lang w:val="es-ES" w:eastAsia="es-CO"/>
        </w:rPr>
      </w:pPr>
      <w:r w:rsidRPr="00A35D25">
        <w:rPr>
          <w:rFonts w:ascii="Verdana" w:eastAsiaTheme="minorEastAsia" w:hAnsi="Verdana" w:cs="Arial"/>
          <w:sz w:val="20"/>
          <w:szCs w:val="20"/>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6024561B" w14:textId="56BFB99D" w:rsidR="001B5535" w:rsidRPr="001B5535" w:rsidRDefault="001B5535" w:rsidP="001B5535">
      <w:pPr>
        <w:numPr>
          <w:ilvl w:val="0"/>
          <w:numId w:val="24"/>
        </w:numPr>
        <w:spacing w:after="0" w:line="240" w:lineRule="auto"/>
        <w:ind w:left="709" w:right="709"/>
        <w:contextualSpacing/>
        <w:jc w:val="both"/>
        <w:rPr>
          <w:rFonts w:ascii="Verdana" w:eastAsiaTheme="minorEastAsia" w:hAnsi="Verdana" w:cs="Arial"/>
          <w:sz w:val="20"/>
          <w:szCs w:val="20"/>
          <w:lang w:val="es-ES" w:eastAsia="es-CO"/>
        </w:rPr>
      </w:pPr>
      <w:r w:rsidRPr="00A35D25">
        <w:rPr>
          <w:rFonts w:ascii="Verdana" w:eastAsiaTheme="minorEastAsia" w:hAnsi="Verdana" w:cs="Arial"/>
          <w:sz w:val="20"/>
          <w:szCs w:val="20"/>
          <w:lang w:eastAsia="es-CO"/>
        </w:rPr>
        <w:t>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A35D25">
        <w:rPr>
          <w:rFonts w:ascii="Verdana" w:eastAsiaTheme="minorEastAsia" w:hAnsi="Verdana" w:cs="Arial"/>
          <w:sz w:val="20"/>
          <w:szCs w:val="20"/>
          <w:vertAlign w:val="superscript"/>
          <w:lang w:eastAsia="es-CO"/>
        </w:rPr>
        <w:footnoteReference w:id="3"/>
      </w:r>
      <w:r w:rsidRPr="00A35D25">
        <w:rPr>
          <w:rFonts w:ascii="Verdana" w:eastAsiaTheme="minorEastAsia" w:hAnsi="Verdana" w:cs="Arial"/>
          <w:sz w:val="20"/>
          <w:szCs w:val="20"/>
          <w:lang w:eastAsia="es-CO"/>
        </w:rPr>
        <w:t>.</w:t>
      </w:r>
    </w:p>
    <w:p w14:paraId="6D0830D5" w14:textId="77777777" w:rsidR="001B5535" w:rsidRPr="00B57A1B" w:rsidRDefault="001B5535" w:rsidP="001B5535">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6E465236" w14:textId="77777777" w:rsidR="001B5535" w:rsidRPr="00B57A1B" w:rsidRDefault="001B5535" w:rsidP="001B5535">
      <w:pPr>
        <w:spacing w:after="0" w:line="240" w:lineRule="auto"/>
        <w:ind w:left="709" w:right="709"/>
        <w:jc w:val="both"/>
        <w:rPr>
          <w:rFonts w:ascii="Verdana" w:eastAsiaTheme="minorEastAsia" w:hAnsi="Verdana" w:cs="Arial"/>
          <w:lang w:eastAsia="es-CO"/>
        </w:rPr>
      </w:pPr>
      <w:r w:rsidRPr="00B57A1B">
        <w:rPr>
          <w:rFonts w:ascii="Verdana" w:eastAsiaTheme="minorEastAsia" w:hAnsi="Verdana" w:cs="Arial"/>
          <w:sz w:val="21"/>
          <w:szCs w:val="21"/>
          <w:lang w:eastAsia="es-CO"/>
        </w:rPr>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1ACCE51E" w14:textId="77777777" w:rsidR="001B5535" w:rsidRPr="00B57A1B" w:rsidRDefault="001B5535" w:rsidP="001B5535">
      <w:pPr>
        <w:spacing w:after="0" w:line="240" w:lineRule="auto"/>
        <w:ind w:left="709" w:right="709"/>
        <w:jc w:val="both"/>
        <w:rPr>
          <w:rFonts w:ascii="Verdana" w:eastAsiaTheme="minorEastAsia" w:hAnsi="Verdana" w:cs="Arial"/>
          <w:sz w:val="21"/>
          <w:szCs w:val="21"/>
          <w:lang w:eastAsia="es-CO"/>
        </w:rPr>
      </w:pPr>
      <w:r w:rsidRPr="00B57A1B">
        <w:rPr>
          <w:rFonts w:ascii="Verdana" w:eastAsiaTheme="minorEastAsia" w:hAnsi="Verdana" w:cs="Arial"/>
          <w:sz w:val="21"/>
          <w:szCs w:val="21"/>
          <w:lang w:eastAsia="es-CO"/>
        </w:rPr>
        <w:t>[…]</w:t>
      </w:r>
    </w:p>
    <w:p w14:paraId="417E8159" w14:textId="77777777" w:rsidR="001B5535" w:rsidRDefault="001B5535" w:rsidP="001B5535">
      <w:pPr>
        <w:autoSpaceDE w:val="0"/>
        <w:autoSpaceDN w:val="0"/>
        <w:adjustRightInd w:val="0"/>
        <w:spacing w:after="0" w:line="240" w:lineRule="auto"/>
        <w:ind w:left="709" w:right="709"/>
        <w:jc w:val="both"/>
        <w:rPr>
          <w:rFonts w:ascii="Verdana" w:hAnsi="Verdana" w:cs="Weiss"/>
          <w:sz w:val="21"/>
          <w:szCs w:val="21"/>
        </w:rPr>
      </w:pPr>
      <w:r w:rsidRPr="00B57A1B">
        <w:rPr>
          <w:rFonts w:ascii="Verdana" w:hAnsi="Verdana" w:cs="Weiss"/>
          <w:sz w:val="21"/>
          <w:szCs w:val="21"/>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B57A1B">
        <w:rPr>
          <w:rFonts w:ascii="Verdana" w:hAnsi="Verdana" w:cs="Weiss"/>
          <w:sz w:val="21"/>
          <w:szCs w:val="21"/>
          <w:vertAlign w:val="superscript"/>
        </w:rPr>
        <w:footnoteReference w:id="4"/>
      </w:r>
      <w:r w:rsidRPr="00B57A1B">
        <w:rPr>
          <w:rFonts w:ascii="Verdana" w:hAnsi="Verdana" w:cs="Weiss"/>
          <w:sz w:val="21"/>
          <w:szCs w:val="21"/>
        </w:rPr>
        <w:t>.</w:t>
      </w:r>
    </w:p>
    <w:p w14:paraId="2D34F7D1" w14:textId="77777777" w:rsidR="001B5535" w:rsidRDefault="001B5535" w:rsidP="001B5535">
      <w:pPr>
        <w:tabs>
          <w:tab w:val="left" w:pos="142"/>
          <w:tab w:val="left" w:pos="284"/>
          <w:tab w:val="left" w:pos="6912"/>
        </w:tabs>
        <w:spacing w:after="120" w:line="276" w:lineRule="auto"/>
        <w:jc w:val="both"/>
        <w:rPr>
          <w:rFonts w:ascii="Verdana" w:eastAsia="Times New Roman" w:hAnsi="Verdana" w:cs="Arial"/>
          <w:bCs/>
          <w:lang w:eastAsia="es-CO"/>
        </w:rPr>
      </w:pPr>
    </w:p>
    <w:p w14:paraId="6413E783" w14:textId="77777777" w:rsidR="001B5535" w:rsidRPr="00F17EB6" w:rsidRDefault="001B5535" w:rsidP="001B5535">
      <w:pPr>
        <w:spacing w:after="120" w:line="276" w:lineRule="auto"/>
        <w:jc w:val="both"/>
        <w:rPr>
          <w:rFonts w:ascii="Verdana" w:eastAsia="Calibri" w:hAnsi="Verdana" w:cs="Arial"/>
          <w:color w:val="000000"/>
          <w:lang w:val="es-MX"/>
        </w:rPr>
      </w:pPr>
      <w:r>
        <w:rPr>
          <w:rFonts w:ascii="Verdana" w:eastAsia="Times New Roman" w:hAnsi="Verdana" w:cs="Arial"/>
          <w:bCs/>
          <w:lang w:eastAsia="es-CO"/>
        </w:rPr>
        <w:t xml:space="preserve">ii) </w:t>
      </w:r>
      <w:r w:rsidRPr="00F17EB6">
        <w:rPr>
          <w:rFonts w:ascii="Verdana" w:eastAsia="Calibri" w:hAnsi="Verdana" w:cs="Arial"/>
          <w:color w:val="000000"/>
          <w:lang w:val="es-MX"/>
        </w:rPr>
        <w:t>E</w:t>
      </w:r>
      <w:r>
        <w:rPr>
          <w:rFonts w:ascii="Verdana" w:eastAsia="Calibri" w:hAnsi="Verdana" w:cs="Arial"/>
          <w:color w:val="000000"/>
          <w:lang w:val="es-MX"/>
        </w:rPr>
        <w:t>n cuanto al segundo problema jurídico e</w:t>
      </w:r>
      <w:r w:rsidRPr="00F17EB6">
        <w:rPr>
          <w:rFonts w:ascii="Verdana" w:eastAsia="Calibri" w:hAnsi="Verdana" w:cs="Arial"/>
          <w:color w:val="000000"/>
          <w:lang w:val="es-MX"/>
        </w:rPr>
        <w:t>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w:t>
      </w:r>
      <w:r>
        <w:rPr>
          <w:rFonts w:ascii="Verdana" w:eastAsia="Calibri" w:hAnsi="Verdana" w:cs="Arial"/>
          <w:color w:val="000000"/>
          <w:lang w:val="es-MX"/>
        </w:rPr>
        <w:t>,</w:t>
      </w:r>
      <w:r w:rsidRPr="00F17EB6">
        <w:rPr>
          <w:rFonts w:ascii="Verdana" w:eastAsia="Calibri" w:hAnsi="Verdana" w:cs="Arial"/>
          <w:color w:val="000000"/>
          <w:lang w:val="es-MX"/>
        </w:rPr>
        <w:t xml:space="preserve"> con el fin de impulsar programas y actividades de interés público acordes con el plan nacional y los planes seccionales de desarrollo</w:t>
      </w:r>
      <w:r w:rsidRPr="00F17EB6">
        <w:rPr>
          <w:rFonts w:ascii="Verdana" w:eastAsia="Calibri" w:hAnsi="Verdana" w:cs="Arial"/>
          <w:color w:val="000000"/>
          <w:vertAlign w:val="superscript"/>
          <w:lang w:val="es-MX"/>
        </w:rPr>
        <w:footnoteReference w:id="5"/>
      </w:r>
      <w:r w:rsidRPr="00F17EB6">
        <w:rPr>
          <w:rFonts w:ascii="Verdana" w:eastAsia="Calibri" w:hAnsi="Verdana" w:cs="Arial"/>
          <w:color w:val="000000"/>
          <w:lang w:val="es-MX"/>
        </w:rPr>
        <w:t>. 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w:t>
      </w:r>
      <w:r w:rsidRPr="00F17EB6">
        <w:rPr>
          <w:rFonts w:ascii="Verdana" w:eastAsia="Calibri" w:hAnsi="Verdana" w:cs="Arial"/>
          <w:color w:val="000000"/>
          <w:vertAlign w:val="superscript"/>
          <w:lang w:val="es-MX"/>
        </w:rPr>
        <w:footnoteReference w:id="6"/>
      </w:r>
      <w:r w:rsidRPr="00F17EB6">
        <w:rPr>
          <w:rFonts w:ascii="Verdana" w:eastAsia="Calibri" w:hAnsi="Verdana" w:cs="Arial"/>
          <w:color w:val="000000"/>
          <w:lang w:val="es-MX"/>
        </w:rPr>
        <w:t>. Ambas figuras tienen como fin desarrollar conjuntamente actividades relacionadas con los cometidos y funciones legales asignadas a la entidad.</w:t>
      </w:r>
    </w:p>
    <w:p w14:paraId="6AA57D94" w14:textId="77777777" w:rsidR="001B5535" w:rsidRPr="00C0741C" w:rsidRDefault="001B5535" w:rsidP="001B5535">
      <w:pPr>
        <w:spacing w:after="120" w:line="276" w:lineRule="auto"/>
        <w:ind w:firstLine="709"/>
        <w:jc w:val="both"/>
        <w:rPr>
          <w:rFonts w:ascii="Verdana" w:eastAsia="Calibri" w:hAnsi="Verdana" w:cs="Arial"/>
          <w:color w:val="000000"/>
          <w:lang w:val="es-MX"/>
        </w:rPr>
      </w:pPr>
      <w:r w:rsidRPr="00F17EB6">
        <w:rPr>
          <w:rFonts w:ascii="Verdana" w:eastAsia="Calibri" w:hAnsi="Verdana" w:cs="Arial"/>
          <w:color w:val="000000"/>
          <w:lang w:val="es-MX"/>
        </w:rPr>
        <w:t xml:space="preserve">En desarrollo del artículo 355 de la Constitución, el Gobierno Nacional expidió el Decreto 92 de 2017, que dispone las reglas para las contrataciones que realicen las entidades estatales con las ESAL. El Decreto regula dos eventos: </w:t>
      </w:r>
      <w:r>
        <w:rPr>
          <w:rFonts w:ascii="Verdana" w:eastAsia="Calibri" w:hAnsi="Verdana" w:cs="Arial"/>
          <w:color w:val="000000"/>
          <w:lang w:val="es-MX"/>
        </w:rPr>
        <w:t>a</w:t>
      </w:r>
      <w:r w:rsidRPr="00F17EB6">
        <w:rPr>
          <w:rFonts w:ascii="Verdana" w:eastAsia="Calibri" w:hAnsi="Verdana" w:cs="Arial"/>
          <w:color w:val="000000"/>
          <w:lang w:val="es-MX"/>
        </w:rPr>
        <w:t xml:space="preserve">) los </w:t>
      </w:r>
      <w:r w:rsidRPr="00F17EB6">
        <w:rPr>
          <w:rFonts w:ascii="Verdana" w:eastAsia="Calibri" w:hAnsi="Verdana" w:cs="Arial"/>
          <w:i/>
          <w:iCs/>
          <w:color w:val="000000"/>
          <w:lang w:val="es-MX"/>
        </w:rPr>
        <w:t>contratos de colaboración</w:t>
      </w:r>
      <w:r w:rsidRPr="00F17EB6">
        <w:rPr>
          <w:rFonts w:ascii="Verdana" w:eastAsia="Calibri" w:hAnsi="Verdana" w:cs="Arial"/>
          <w:color w:val="000000"/>
          <w:lang w:val="es-MX"/>
        </w:rPr>
        <w:t xml:space="preserve"> o de interés público, con el fin impulsar programas y actividades de interés público de acuerdo con el Plan Nacional o los planes seccionales de desarrollo, en los términos del artículo 355 de la Constitución Política; y </w:t>
      </w:r>
      <w:r>
        <w:rPr>
          <w:rFonts w:ascii="Verdana" w:eastAsia="Calibri" w:hAnsi="Verdana" w:cs="Arial"/>
          <w:color w:val="000000"/>
          <w:lang w:val="es-MX"/>
        </w:rPr>
        <w:t>b</w:t>
      </w:r>
      <w:r w:rsidRPr="00F17EB6">
        <w:rPr>
          <w:rFonts w:ascii="Verdana" w:eastAsia="Calibri" w:hAnsi="Verdana" w:cs="Arial"/>
          <w:color w:val="000000"/>
          <w:lang w:val="es-MX"/>
        </w:rPr>
        <w:t xml:space="preserve">) los </w:t>
      </w:r>
      <w:r w:rsidRPr="00F17EB6">
        <w:rPr>
          <w:rFonts w:ascii="Verdana" w:eastAsia="Calibri" w:hAnsi="Verdana" w:cs="Arial"/>
          <w:i/>
          <w:iCs/>
          <w:color w:val="000000"/>
          <w:lang w:val="es-MX"/>
        </w:rPr>
        <w:t>convenios de asociación</w:t>
      </w:r>
      <w:r w:rsidRPr="00F17EB6">
        <w:rPr>
          <w:rFonts w:ascii="Verdana" w:eastAsia="Calibri" w:hAnsi="Verdana" w:cs="Arial"/>
          <w:color w:val="000000"/>
          <w:lang w:val="es-MX"/>
        </w:rPr>
        <w:t xml:space="preserve">, para el desarrollo conjunto de actividades relacionadas con las funciones de las entidades estatales, en desarrollo del artículo 96 de la Ley 489 de 1998. Los primeros están regulados en el artículo 2 del Decreto 92 de 2017, mientras que los segundos en los artículos 5, 6, 7 y 8 </w:t>
      </w:r>
      <w:r w:rsidRPr="00F17EB6">
        <w:rPr>
          <w:rFonts w:ascii="Verdana" w:eastAsia="Calibri" w:hAnsi="Verdana" w:cs="Arial"/>
          <w:i/>
          <w:iCs/>
          <w:color w:val="000000"/>
          <w:lang w:val="es-MX"/>
        </w:rPr>
        <w:t>ibidem</w:t>
      </w:r>
      <w:r w:rsidRPr="00F17EB6">
        <w:rPr>
          <w:rFonts w:ascii="Verdana" w:eastAsia="Calibri" w:hAnsi="Verdana" w:cs="Arial"/>
          <w:color w:val="000000"/>
          <w:lang w:val="es-MX"/>
        </w:rPr>
        <w:t xml:space="preserve">. Es posible diferenciar, pues, los </w:t>
      </w:r>
      <w:r w:rsidRPr="00F17EB6">
        <w:rPr>
          <w:rFonts w:ascii="Verdana" w:eastAsia="Calibri" w:hAnsi="Verdana" w:cs="Arial"/>
          <w:i/>
          <w:iCs/>
          <w:color w:val="000000"/>
          <w:lang w:val="es-MX"/>
        </w:rPr>
        <w:t>convenios de asociación</w:t>
      </w:r>
      <w:r w:rsidRPr="00F17EB6">
        <w:rPr>
          <w:rFonts w:ascii="Verdana" w:eastAsia="Calibri" w:hAnsi="Verdana" w:cs="Arial"/>
          <w:color w:val="000000"/>
          <w:lang w:val="es-MX"/>
        </w:rPr>
        <w:t xml:space="preserve">, regulados en el artículo 5, de los </w:t>
      </w:r>
      <w:r w:rsidRPr="00F17EB6">
        <w:rPr>
          <w:rFonts w:ascii="Verdana" w:eastAsia="Calibri" w:hAnsi="Verdana" w:cs="Arial"/>
          <w:i/>
          <w:iCs/>
          <w:color w:val="000000"/>
          <w:lang w:val="es-MX"/>
        </w:rPr>
        <w:t>contratos de colaboración</w:t>
      </w:r>
      <w:r w:rsidRPr="00F17EB6">
        <w:rPr>
          <w:rFonts w:ascii="Verdana" w:eastAsia="Calibri" w:hAnsi="Verdana" w:cs="Arial"/>
          <w:color w:val="000000"/>
          <w:lang w:val="es-MX"/>
        </w:rPr>
        <w:t>, establecidos en el artículo 2 del Decreto 092 de 2017</w:t>
      </w:r>
      <w:r w:rsidRPr="00F17EB6">
        <w:rPr>
          <w:rFonts w:ascii="Verdana" w:eastAsia="Calibri" w:hAnsi="Verdana" w:cs="Arial"/>
          <w:color w:val="000000"/>
          <w:vertAlign w:val="superscript"/>
          <w:lang w:val="es-MX"/>
        </w:rPr>
        <w:footnoteReference w:id="7"/>
      </w:r>
      <w:r w:rsidRPr="00F17EB6">
        <w:rPr>
          <w:rFonts w:ascii="Verdana" w:eastAsia="Calibri" w:hAnsi="Verdana" w:cs="Arial"/>
          <w:color w:val="000000"/>
          <w:lang w:val="es-MX"/>
        </w:rPr>
        <w:t xml:space="preserve">. </w:t>
      </w:r>
      <w:r w:rsidRPr="00A745FA">
        <w:rPr>
          <w:rFonts w:ascii="Verdana" w:eastAsia="Calibri" w:hAnsi="Verdana" w:cs="Arial"/>
          <w:color w:val="000000"/>
        </w:rPr>
        <w:t xml:space="preserve">Al respecto, La Sala de Consulta y Servicio Civil del Consejo de Estado haciendo un análisis del Decreto 777 de 1992 y asimilándolo en el Decreto 092 de 2017, estableció diferencias entre los contratos de apoyo y los convenios de asociación, expresando: </w:t>
      </w:r>
    </w:p>
    <w:p w14:paraId="69CF93AB" w14:textId="77777777" w:rsidR="001B5535" w:rsidRPr="008C1758" w:rsidRDefault="001B5535" w:rsidP="001B5535">
      <w:pPr>
        <w:spacing w:after="0" w:line="240" w:lineRule="auto"/>
        <w:ind w:left="709" w:right="709"/>
        <w:jc w:val="both"/>
        <w:rPr>
          <w:rFonts w:ascii="Verdana" w:eastAsia="Calibri" w:hAnsi="Verdana"/>
          <w:bCs/>
          <w:iCs/>
          <w:color w:val="000000"/>
          <w:sz w:val="20"/>
          <w:szCs w:val="20"/>
        </w:rPr>
      </w:pPr>
      <w:r>
        <w:rPr>
          <w:rFonts w:ascii="Verdana" w:eastAsia="Calibri" w:hAnsi="Verdana"/>
          <w:color w:val="000000"/>
          <w:sz w:val="20"/>
          <w:szCs w:val="20"/>
          <w:lang w:val="es-ES"/>
        </w:rPr>
        <w:t>“</w:t>
      </w:r>
      <w:r w:rsidRPr="008C1758">
        <w:rPr>
          <w:rFonts w:ascii="Verdana" w:eastAsia="Calibri" w:hAnsi="Verdana"/>
          <w:bCs/>
          <w:iCs/>
          <w:color w:val="000000"/>
          <w:sz w:val="20"/>
          <w:szCs w:val="20"/>
        </w:rPr>
        <w:t>1ª) Los contratos de apoyo se celebran con personas jurídicas privadas sin ánimo de lucro. Los contratos de asociación se celebran con personas jurídicas privadas con o sin ánimo de lucro.</w:t>
      </w:r>
    </w:p>
    <w:p w14:paraId="5B60FF74" w14:textId="77777777" w:rsidR="001B5535" w:rsidRPr="008C1758" w:rsidRDefault="001B5535" w:rsidP="001B5535">
      <w:pPr>
        <w:spacing w:after="0" w:line="240" w:lineRule="auto"/>
        <w:ind w:left="709" w:right="709"/>
        <w:jc w:val="both"/>
        <w:rPr>
          <w:rFonts w:ascii="Verdana" w:eastAsia="Calibri" w:hAnsi="Verdana"/>
          <w:bCs/>
          <w:iCs/>
          <w:color w:val="000000"/>
          <w:sz w:val="20"/>
          <w:szCs w:val="20"/>
        </w:rPr>
      </w:pPr>
    </w:p>
    <w:p w14:paraId="3334FA68" w14:textId="77777777" w:rsidR="001B5535" w:rsidRPr="008C1758" w:rsidRDefault="001B5535" w:rsidP="001B5535">
      <w:pPr>
        <w:spacing w:after="0" w:line="240" w:lineRule="auto"/>
        <w:ind w:left="709" w:right="709"/>
        <w:jc w:val="both"/>
        <w:rPr>
          <w:rFonts w:ascii="Verdana" w:eastAsia="Calibri" w:hAnsi="Verdana"/>
          <w:bCs/>
          <w:iCs/>
          <w:color w:val="000000"/>
          <w:sz w:val="20"/>
          <w:szCs w:val="20"/>
        </w:rPr>
      </w:pPr>
      <w:r w:rsidRPr="008C1758">
        <w:rPr>
          <w:rFonts w:ascii="Verdana" w:eastAsia="Calibri" w:hAnsi="Verdana"/>
          <w:bCs/>
          <w:iCs/>
          <w:color w:val="000000"/>
          <w:sz w:val="20"/>
          <w:szCs w:val="20"/>
        </w:rPr>
        <w:t>2ª) Los contratos de apoyo se celebran para impulsar programas y actividades de interés público acordes con los planes de desarrollo. Los contratos de asociación se pueden celebrar con esa finalidad, pero también para el desarrollo conjunto de actividades en relación con los cometidos y funciones asignadas legalmente a las entidades estatales.</w:t>
      </w:r>
    </w:p>
    <w:p w14:paraId="12772586" w14:textId="77777777" w:rsidR="001B5535" w:rsidRPr="008C1758" w:rsidRDefault="001B5535" w:rsidP="001B5535">
      <w:pPr>
        <w:spacing w:after="0" w:line="240" w:lineRule="auto"/>
        <w:ind w:left="709" w:right="709"/>
        <w:jc w:val="both"/>
        <w:rPr>
          <w:rFonts w:ascii="Verdana" w:eastAsia="Calibri" w:hAnsi="Verdana"/>
          <w:bCs/>
          <w:iCs/>
          <w:color w:val="000000"/>
          <w:sz w:val="20"/>
          <w:szCs w:val="20"/>
        </w:rPr>
      </w:pPr>
    </w:p>
    <w:p w14:paraId="7FE752ED" w14:textId="77777777" w:rsidR="001B5535" w:rsidRPr="008C1758" w:rsidRDefault="001B5535" w:rsidP="001B5535">
      <w:pPr>
        <w:spacing w:after="0" w:line="240" w:lineRule="auto"/>
        <w:ind w:left="709" w:right="709"/>
        <w:jc w:val="both"/>
        <w:rPr>
          <w:rFonts w:ascii="Verdana" w:eastAsia="Calibri" w:hAnsi="Verdana"/>
          <w:bCs/>
          <w:iCs/>
          <w:color w:val="000000"/>
          <w:sz w:val="20"/>
          <w:szCs w:val="20"/>
        </w:rPr>
      </w:pPr>
      <w:r w:rsidRPr="008C1758">
        <w:rPr>
          <w:rFonts w:ascii="Verdana" w:eastAsia="Calibri" w:hAnsi="Verdana" w:cs="Arial"/>
          <w:bCs/>
          <w:iCs/>
          <w:color w:val="000000"/>
          <w:sz w:val="20"/>
          <w:szCs w:val="20"/>
        </w:rPr>
        <w:t xml:space="preserve">3ª) Los contratos de apoyo se celebran con cargo al respectivo presupuesto de la entidad pública. En los contratos de asociación se deben determinar, como señala el inciso segundo del citado artículo </w:t>
      </w:r>
      <w:r w:rsidRPr="004608D1">
        <w:rPr>
          <w:rFonts w:ascii="Verdana" w:eastAsia="Calibri" w:hAnsi="Verdana" w:cs="Arial"/>
          <w:bCs/>
          <w:iCs/>
          <w:color w:val="000000"/>
          <w:sz w:val="20"/>
          <w:szCs w:val="20"/>
        </w:rPr>
        <w:t>96, los</w:t>
      </w:r>
      <w:r w:rsidRPr="008C1758">
        <w:rPr>
          <w:rFonts w:ascii="Verdana" w:eastAsia="Calibri" w:hAnsi="Verdana" w:cs="Arial"/>
          <w:bCs/>
          <w:iCs/>
          <w:color w:val="000000"/>
          <w:sz w:val="20"/>
          <w:szCs w:val="20"/>
        </w:rPr>
        <w:t xml:space="preserve"> </w:t>
      </w:r>
      <w:r w:rsidRPr="008C1758">
        <w:rPr>
          <w:rFonts w:ascii="Verdana" w:eastAsia="Calibri" w:hAnsi="Verdana" w:cs="Arial"/>
          <w:bCs/>
          <w:i/>
          <w:iCs/>
          <w:color w:val="000000"/>
          <w:sz w:val="20"/>
          <w:szCs w:val="20"/>
        </w:rPr>
        <w:t>“aportes”</w:t>
      </w:r>
      <w:r w:rsidRPr="008C1758">
        <w:rPr>
          <w:rFonts w:ascii="Verdana" w:eastAsia="Calibri" w:hAnsi="Verdana" w:cs="Arial"/>
          <w:bCs/>
          <w:iCs/>
          <w:color w:val="000000"/>
          <w:sz w:val="20"/>
          <w:szCs w:val="20"/>
        </w:rPr>
        <w:t xml:space="preserve"> tanto de la entidad pública como de la persona jurídica particular</w:t>
      </w:r>
      <w:r>
        <w:rPr>
          <w:rFonts w:ascii="Verdana" w:eastAsia="Calibri" w:hAnsi="Verdana" w:cs="Arial"/>
          <w:color w:val="000000"/>
          <w:sz w:val="20"/>
          <w:szCs w:val="20"/>
        </w:rPr>
        <w:t>”</w:t>
      </w:r>
      <w:r w:rsidRPr="008C1758">
        <w:rPr>
          <w:rFonts w:ascii="Verdana" w:eastAsia="Calibri" w:hAnsi="Verdana" w:cs="Arial"/>
          <w:bCs/>
          <w:iCs/>
          <w:color w:val="000000"/>
          <w:sz w:val="20"/>
          <w:szCs w:val="20"/>
          <w:vertAlign w:val="superscript"/>
        </w:rPr>
        <w:footnoteReference w:id="8"/>
      </w:r>
      <w:r w:rsidRPr="008C1758">
        <w:rPr>
          <w:rFonts w:ascii="Verdana" w:eastAsia="Calibri" w:hAnsi="Verdana" w:cs="Arial"/>
          <w:bCs/>
          <w:iCs/>
          <w:color w:val="000000"/>
          <w:sz w:val="20"/>
          <w:szCs w:val="20"/>
        </w:rPr>
        <w:t>.</w:t>
      </w:r>
    </w:p>
    <w:p w14:paraId="686558B6" w14:textId="77777777" w:rsidR="001B5535" w:rsidRPr="00A745FA" w:rsidRDefault="001B5535" w:rsidP="001B5535">
      <w:pPr>
        <w:spacing w:after="0" w:line="276" w:lineRule="auto"/>
        <w:ind w:firstLine="708"/>
        <w:jc w:val="both"/>
        <w:rPr>
          <w:rFonts w:ascii="Verdana" w:eastAsia="Calibri" w:hAnsi="Verdana" w:cs="Arial"/>
          <w:color w:val="000000"/>
          <w:lang w:val="es-MX"/>
        </w:rPr>
      </w:pPr>
    </w:p>
    <w:p w14:paraId="13093FD2" w14:textId="77777777" w:rsidR="001B5535" w:rsidRDefault="001B5535" w:rsidP="001B5535">
      <w:pPr>
        <w:spacing w:after="120" w:line="276" w:lineRule="auto"/>
        <w:ind w:firstLine="708"/>
        <w:jc w:val="both"/>
        <w:rPr>
          <w:rFonts w:ascii="Verdana" w:eastAsia="Calibri" w:hAnsi="Verdana" w:cs="Arial"/>
          <w:color w:val="000000"/>
          <w:lang w:val="es-MX"/>
        </w:rPr>
      </w:pPr>
      <w:r w:rsidRPr="00F17EB6">
        <w:rPr>
          <w:rFonts w:ascii="Verdana" w:eastAsia="Calibri" w:hAnsi="Verdana" w:cs="Arial"/>
          <w:color w:val="000000"/>
          <w:lang w:val="es-MX"/>
        </w:rPr>
        <w:t xml:space="preserve">Los </w:t>
      </w:r>
      <w:r w:rsidRPr="00F17EB6">
        <w:rPr>
          <w:rFonts w:ascii="Verdana" w:eastAsia="Calibri" w:hAnsi="Verdana" w:cs="Arial"/>
          <w:i/>
          <w:iCs/>
          <w:color w:val="000000"/>
          <w:lang w:val="es-MX"/>
        </w:rPr>
        <w:t>contratos</w:t>
      </w:r>
      <w:r>
        <w:rPr>
          <w:rFonts w:ascii="Verdana" w:eastAsia="Calibri" w:hAnsi="Verdana" w:cs="Arial"/>
          <w:i/>
          <w:iCs/>
          <w:color w:val="000000"/>
          <w:lang w:val="es-MX"/>
        </w:rPr>
        <w:t xml:space="preserve"> o convenios</w:t>
      </w:r>
      <w:r w:rsidRPr="00F17EB6">
        <w:rPr>
          <w:rFonts w:ascii="Verdana" w:eastAsia="Calibri" w:hAnsi="Verdana" w:cs="Arial"/>
          <w:i/>
          <w:iCs/>
          <w:color w:val="000000"/>
          <w:lang w:val="es-MX"/>
        </w:rPr>
        <w:t xml:space="preserve"> de colaboración </w:t>
      </w:r>
      <w:r w:rsidRPr="00F17EB6">
        <w:rPr>
          <w:rFonts w:ascii="Verdana" w:eastAsia="Calibri" w:hAnsi="Verdana" w:cs="Arial"/>
          <w:color w:val="000000"/>
          <w:lang w:val="es-MX"/>
        </w:rPr>
        <w:t xml:space="preserve">tienen como objeto promover acciones de fomento social en beneficio de los sectores más desprotegidos de la población, previstas en los planes de desarrollo, motivo por el cual no dan lugar a una contraprestación directa a favor de la entidad y tampoco a una relación conmutativa entre esta y la ESAL, toda vez que el beneficio real y directo lo reciben, en últimas, los terceros beneficiarios de este tipo de acciones de fomento. </w:t>
      </w:r>
    </w:p>
    <w:p w14:paraId="1FD5D838" w14:textId="77777777" w:rsidR="001B5535" w:rsidRDefault="001B5535" w:rsidP="001B5535">
      <w:pPr>
        <w:shd w:val="clear" w:color="auto" w:fill="FFFFFF"/>
        <w:spacing w:after="120" w:line="276" w:lineRule="auto"/>
        <w:ind w:firstLine="708"/>
        <w:jc w:val="both"/>
        <w:textAlignment w:val="baseline"/>
        <w:rPr>
          <w:rFonts w:ascii="Verdana" w:eastAsia="Calibri" w:hAnsi="Verdana" w:cs="Arial"/>
          <w:color w:val="000000" w:themeColor="text1"/>
        </w:rPr>
      </w:pPr>
      <w:r w:rsidRPr="00D44070">
        <w:rPr>
          <w:rFonts w:ascii="Verdana" w:eastAsia="Calibri" w:hAnsi="Verdana" w:cs="Arial"/>
          <w:color w:val="000000" w:themeColor="text1"/>
        </w:rPr>
        <w:t xml:space="preserve">De otro lado, los </w:t>
      </w:r>
      <w:r w:rsidRPr="00D44070">
        <w:rPr>
          <w:rFonts w:ascii="Verdana" w:eastAsia="Calibri" w:hAnsi="Verdana" w:cs="Arial"/>
          <w:i/>
          <w:iCs/>
          <w:color w:val="000000" w:themeColor="text1"/>
        </w:rPr>
        <w:t xml:space="preserve">convenios de asociación </w:t>
      </w:r>
      <w:r w:rsidRPr="00D44070">
        <w:rPr>
          <w:rFonts w:ascii="Verdana" w:eastAsia="Calibri" w:hAnsi="Verdana" w:cs="Arial"/>
          <w:color w:val="000000" w:themeColor="text1"/>
        </w:rPr>
        <w:t>“[…] [t]ienen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E277D4">
        <w:rPr>
          <w:rFonts w:ascii="Verdana" w:hAnsi="Verdana"/>
          <w:vertAlign w:val="superscript"/>
        </w:rPr>
        <w:footnoteReference w:id="9"/>
      </w:r>
      <w:r w:rsidRPr="00D44070">
        <w:rPr>
          <w:rFonts w:ascii="Verdana" w:eastAsia="Calibri" w:hAnsi="Verdana" w:cs="Arial"/>
          <w:color w:val="000000" w:themeColor="text1"/>
        </w:rPr>
        <w:t xml:space="preserve">. En estos convenios – al igual que en los contratos de colaboración antes explicados – no existe contraprestación o pago, sino aportes, los cuales están dirigidos, exclusivamente, a lograr la ejecución del convenio no a remunerar la actividad o actuaciones del asociado. </w:t>
      </w:r>
      <w:r>
        <w:rPr>
          <w:rFonts w:ascii="Verdana" w:eastAsia="Calibri" w:hAnsi="Verdana" w:cs="Arial"/>
          <w:color w:val="000000" w:themeColor="text1"/>
        </w:rPr>
        <w:t xml:space="preserve">Para analizar un poco sobre este tipo de convenios se desarrollará el siguiente apartado. </w:t>
      </w:r>
    </w:p>
    <w:p w14:paraId="51C74B12" w14:textId="448AE73D" w:rsidR="001B5535" w:rsidRPr="001B5535" w:rsidRDefault="001B5535" w:rsidP="001B5535">
      <w:pPr>
        <w:shd w:val="clear" w:color="auto" w:fill="FFFFFF"/>
        <w:spacing w:after="120" w:line="276" w:lineRule="auto"/>
        <w:ind w:firstLine="708"/>
        <w:jc w:val="both"/>
        <w:textAlignment w:val="baseline"/>
        <w:rPr>
          <w:rFonts w:ascii="Verdana" w:eastAsia="Calibri" w:hAnsi="Verdana" w:cs="Arial"/>
          <w:color w:val="000000" w:themeColor="text1"/>
        </w:rPr>
      </w:pPr>
      <w:r w:rsidRPr="00E9090B">
        <w:rPr>
          <w:rFonts w:ascii="Verdana" w:eastAsia="Calibri" w:hAnsi="Verdana" w:cs="Arial"/>
          <w:lang w:val="es-MX"/>
        </w:rPr>
        <w:t xml:space="preserve">Los </w:t>
      </w:r>
      <w:r w:rsidRPr="00E9090B">
        <w:rPr>
          <w:rFonts w:ascii="Verdana" w:eastAsia="Calibri" w:hAnsi="Verdana" w:cs="Arial"/>
          <w:i/>
          <w:iCs/>
          <w:lang w:val="es-MX"/>
        </w:rPr>
        <w:t>convenios de asociación</w:t>
      </w:r>
      <w:r w:rsidRPr="00E9090B">
        <w:rPr>
          <w:rFonts w:ascii="Verdana" w:eastAsia="Calibri" w:hAnsi="Verdana" w:cs="Arial"/>
          <w:lang w:val="es-MX"/>
        </w:rPr>
        <w:t xml:space="preserve"> tienen como fin que la entidad estatal, cualquiera que sea su naturaleza y orden administrativo como es el caso de las entidades territoriales –distritos, municipios, departamentos, entre otros- se asocien con personas jurídicas particulares para el desarrollo conjunto de actividades relacionadas con los cometidos y funciones asignadas a aquellas conforme a la Constitución y a la Ley. Los convenios de asociación están regulados en el artículo 5° del Decreto 092 de 2017 y el artículo 96 de la Ley 489 de 1998, sin dejar de lado los artículos 6,7, 8, 9, 10 y 11 del precitado Decreto</w:t>
      </w:r>
      <w:r>
        <w:rPr>
          <w:rFonts w:ascii="Verdana" w:eastAsia="Calibri" w:hAnsi="Verdana" w:cs="Arial"/>
          <w:lang w:val="es-MX"/>
        </w:rPr>
        <w:t xml:space="preserve"> Autónomo</w:t>
      </w:r>
      <w:r w:rsidRPr="00E9090B">
        <w:rPr>
          <w:rFonts w:ascii="Verdana" w:eastAsia="Calibri" w:hAnsi="Verdana" w:cs="Arial"/>
          <w:lang w:val="es-MX"/>
        </w:rPr>
        <w:t xml:space="preserve">. </w:t>
      </w:r>
    </w:p>
    <w:p w14:paraId="6597C741" w14:textId="77777777" w:rsidR="001B5535" w:rsidRPr="00E9090B" w:rsidRDefault="001B5535" w:rsidP="001B5535">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 xml:space="preserve">En estos convenios no existe contraprestación o pago, sino aportes, los cuales están dirigidos, exclusivamente, a lograr la ejecución del convenio y no a remunerar la actividad o actuaciones del asociado. De todos modos, la entidad debe adelantar un proceso competitivo, salvo cuando la ESAL comprometa recursos en dinero para la ejecución de estas actividades, en una proporción no inferior al 30% del valor total del convenio. </w:t>
      </w:r>
    </w:p>
    <w:p w14:paraId="0AC40107" w14:textId="77777777" w:rsidR="001B5535" w:rsidRPr="00E9090B" w:rsidRDefault="001B5535" w:rsidP="001B5535">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De conformidad con el inciso segundo del artículo 96 de la Ley 489 de 1998, en est</w:t>
      </w:r>
      <w:r>
        <w:rPr>
          <w:rFonts w:ascii="Verdana" w:eastAsia="Calibri" w:hAnsi="Verdana" w:cs="Arial"/>
          <w:lang w:val="es-MX"/>
        </w:rPr>
        <w:t>os convenios debe determinarse “</w:t>
      </w:r>
      <w:r w:rsidRPr="00E9090B">
        <w:rPr>
          <w:rFonts w:ascii="Verdana" w:eastAsia="Calibri" w:hAnsi="Verdana" w:cs="Arial"/>
          <w:lang w:val="es-MX"/>
        </w:rPr>
        <w:t>con precisión su objeto, término, obligaciones de las partes, aportes, coordinación y todos aquellos aspecto</w:t>
      </w:r>
      <w:r>
        <w:rPr>
          <w:rFonts w:ascii="Verdana" w:eastAsia="Calibri" w:hAnsi="Verdana" w:cs="Arial"/>
          <w:lang w:val="es-MX"/>
        </w:rPr>
        <w:t>s que se consideren pertinentes”</w:t>
      </w:r>
      <w:r w:rsidRPr="00E9090B">
        <w:rPr>
          <w:rFonts w:ascii="Verdana" w:eastAsia="Calibri" w:hAnsi="Verdana" w:cs="Arial"/>
          <w:lang w:val="es-MX"/>
        </w:rPr>
        <w:t xml:space="preserve">, elementos dentro de los que resalta la exigencia de aportes, que debe interpretarse en el sentido de que las ESAL deben realizar aportes a los convenios que suscriban, los cuales pueden ser en dinero, en porcentajes inferiores o superiores al 30%, o en especie, los cuales deben servir al desarrollo de los objetivos comunes de la asociación. </w:t>
      </w:r>
    </w:p>
    <w:p w14:paraId="1C68190D" w14:textId="77777777" w:rsidR="001B5535" w:rsidRPr="00E9090B" w:rsidRDefault="001B5535" w:rsidP="001B5535">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 xml:space="preserve">La normativa vigente no impide que varias entidades suscriban conjuntamente el convenio de asociación ni tampoco que dos o más ESAL pueden hacerlo a través de las figuras asociativas autorizadas por la ley, por ejemplo, la unión temporal o el consorcio. Sin embargo, comoquiera que el artículo 96 de la Ley 489 de 1998 determina que el convenio debe buscar el desarrollo conjunto de actividades relacionadas con los cometidos y funciones que la ley les asigna a las entidades estatales involucradas, es necesario que las funciones legales de las entidades estatales que suscriben conjuntamente el convenio coincidan de alguna de tal manera que, los cometidos funcionales de una y otra entidad se relacionen con el objeto del convenio.  </w:t>
      </w:r>
    </w:p>
    <w:p w14:paraId="6095C157" w14:textId="77777777" w:rsidR="001B5535" w:rsidRPr="00E9090B" w:rsidRDefault="001B5535" w:rsidP="001B5535">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Igualmente, considerando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una o varias ESAL, aporten al menos el treinta por ciento (30%), en dinero, del valor del convenio para celebrarlo directamente, pues de lo contrario deberá adelantarse un proceso competitivo. Además, en atención al inciso 2 del artículo 5 del Decreto 092 de 2017, deben “asegurarse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r w:rsidRPr="00E9090B">
        <w:rPr>
          <w:rFonts w:ascii="Verdana" w:eastAsia="Calibri" w:hAnsi="Verdana" w:cs="Arial"/>
          <w:vertAlign w:val="superscript"/>
          <w:lang w:val="es-MX"/>
        </w:rPr>
        <w:footnoteReference w:id="10"/>
      </w:r>
      <w:r w:rsidRPr="00E9090B">
        <w:rPr>
          <w:rFonts w:ascii="Verdana" w:eastAsia="Calibri" w:hAnsi="Verdana" w:cs="Arial"/>
          <w:lang w:val="es-MX"/>
        </w:rPr>
        <w:t>.</w:t>
      </w:r>
    </w:p>
    <w:p w14:paraId="6C271A98" w14:textId="77777777" w:rsidR="001B5535" w:rsidRPr="00E9090B" w:rsidRDefault="001B5535" w:rsidP="001B5535">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 xml:space="preserve">La noción “seleccionar de forma objetiva”, contenida en la disposición </w:t>
      </w:r>
      <w:r w:rsidRPr="00E9090B">
        <w:rPr>
          <w:rFonts w:ascii="Verdana" w:eastAsia="Calibri" w:hAnsi="Verdana" w:cs="Arial"/>
          <w:i/>
          <w:iCs/>
          <w:lang w:val="es-MX"/>
        </w:rPr>
        <w:t xml:space="preserve">sub examine </w:t>
      </w:r>
      <w:r w:rsidRPr="00E9090B">
        <w:rPr>
          <w:rFonts w:ascii="Verdana" w:eastAsia="Calibri" w:hAnsi="Verdana" w:cs="Arial"/>
          <w:lang w:val="es-MX"/>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92 de 2017.</w:t>
      </w:r>
    </w:p>
    <w:p w14:paraId="333419F4" w14:textId="77777777" w:rsidR="001B5535" w:rsidRDefault="001B5535" w:rsidP="001B5535">
      <w:pPr>
        <w:spacing w:after="120" w:line="276" w:lineRule="auto"/>
        <w:ind w:firstLine="708"/>
        <w:jc w:val="both"/>
        <w:textAlignment w:val="baseline"/>
        <w:rPr>
          <w:rFonts w:ascii="Verdana" w:eastAsia="Calibri" w:hAnsi="Verdana" w:cs="Arial"/>
          <w:lang w:val="es-MX"/>
        </w:rPr>
      </w:pPr>
      <w:r w:rsidRPr="00E9090B">
        <w:rPr>
          <w:rFonts w:ascii="Verdana" w:eastAsia="Arial" w:hAnsi="Verdana" w:cs="Arial"/>
          <w:lang w:val="es-ES"/>
        </w:rPr>
        <w:t>En suma, las entidades estatales son autónomas en la configuración del proceso competitivo en desarrollo del artículo 5 del Decreto 092 de 2017. En todo caso, el proceso competitivo que definan las entidades estatales para sus convenios de asociación debe garantizar que esté relacionado con las funciones de la entidad, la libre concurrencia y la pluralidad de interesados y la comparación objetiva de las ofertas. Este procedimiento puede ser análogo a otros donde existe competencia, como la licitación pública</w:t>
      </w:r>
      <w:r>
        <w:rPr>
          <w:rFonts w:ascii="Verdana" w:eastAsia="Calibri" w:hAnsi="Verdana" w:cs="Arial"/>
          <w:lang w:val="es-MX"/>
        </w:rPr>
        <w:t>.</w:t>
      </w:r>
    </w:p>
    <w:p w14:paraId="70D46C4C" w14:textId="77777777" w:rsidR="001B5535" w:rsidRPr="003356E7" w:rsidRDefault="001B5535" w:rsidP="001B5535">
      <w:pPr>
        <w:spacing w:after="120" w:line="276" w:lineRule="auto"/>
        <w:ind w:firstLine="708"/>
        <w:jc w:val="both"/>
        <w:textAlignment w:val="baseline"/>
        <w:rPr>
          <w:rFonts w:ascii="Verdana" w:eastAsia="Calibri" w:hAnsi="Verdana" w:cs="Arial"/>
        </w:rPr>
      </w:pPr>
      <w:r>
        <w:rPr>
          <w:rFonts w:ascii="Verdana" w:eastAsia="Calibri" w:hAnsi="Verdana" w:cs="Arial"/>
          <w:lang w:val="es-MX"/>
        </w:rPr>
        <w:t xml:space="preserve">A partir de lo expuesto, se encuentra que en la Nueva </w:t>
      </w:r>
      <w:r w:rsidRPr="00886DAE">
        <w:rPr>
          <w:rFonts w:ascii="Verdana" w:eastAsia="Calibri" w:hAnsi="Verdana" w:cs="Arial"/>
          <w:bCs/>
        </w:rPr>
        <w:t>“</w:t>
      </w:r>
      <w:r w:rsidRPr="00886DAE">
        <w:rPr>
          <w:rFonts w:ascii="Verdana" w:eastAsia="Calibri" w:hAnsi="Verdana" w:cs="Arial"/>
          <w:bCs/>
          <w:i/>
          <w:iCs/>
        </w:rPr>
        <w:t>Guía para la contratación con entidades privadas sin ánimo de lucro y de reconocida idoneidad”</w:t>
      </w:r>
      <w:r>
        <w:rPr>
          <w:rFonts w:ascii="Verdana" w:eastAsia="Calibri" w:hAnsi="Verdana" w:cs="Arial"/>
          <w:bCs/>
          <w:i/>
          <w:iCs/>
        </w:rPr>
        <w:t xml:space="preserve"> </w:t>
      </w:r>
      <w:r>
        <w:rPr>
          <w:rFonts w:ascii="Verdana" w:eastAsia="Calibri" w:hAnsi="Verdana" w:cs="Arial"/>
          <w:lang w:val="es-MX"/>
        </w:rPr>
        <w:t>se establece tres condiciones para contratar mediante convenios de asociación: en primer lugar, e</w:t>
      </w:r>
      <w:r w:rsidRPr="0033599C">
        <w:rPr>
          <w:rFonts w:ascii="Verdana" w:eastAsia="Calibri" w:hAnsi="Verdana" w:cs="Arial"/>
        </w:rPr>
        <w:t xml:space="preserve">l </w:t>
      </w:r>
      <w:r>
        <w:rPr>
          <w:rFonts w:ascii="Verdana" w:eastAsia="Calibri" w:hAnsi="Verdana" w:cs="Arial"/>
        </w:rPr>
        <w:t xml:space="preserve">convenio de asociación debe suscribirse mediante un proceso competitivo </w:t>
      </w:r>
      <w:r w:rsidRPr="0033599C">
        <w:rPr>
          <w:rFonts w:ascii="Verdana" w:eastAsia="Calibri" w:hAnsi="Verdana" w:cs="Arial"/>
        </w:rPr>
        <w:t>con</w:t>
      </w:r>
      <w:r>
        <w:rPr>
          <w:rFonts w:ascii="Verdana" w:eastAsia="Calibri" w:hAnsi="Verdana" w:cs="Arial"/>
        </w:rPr>
        <w:t xml:space="preserve"> </w:t>
      </w:r>
      <w:r w:rsidRPr="0033599C">
        <w:rPr>
          <w:rFonts w:ascii="Verdana" w:eastAsia="Calibri" w:hAnsi="Verdana" w:cs="Arial"/>
        </w:rPr>
        <w:t>Entidades Privadas Sin Ánimo de Lucro de</w:t>
      </w:r>
      <w:r>
        <w:rPr>
          <w:rFonts w:ascii="Verdana" w:eastAsia="Calibri" w:hAnsi="Verdana" w:cs="Arial"/>
        </w:rPr>
        <w:t xml:space="preserve"> </w:t>
      </w:r>
      <w:r w:rsidRPr="0033599C">
        <w:rPr>
          <w:rFonts w:ascii="Verdana" w:eastAsia="Calibri" w:hAnsi="Verdana" w:cs="Arial"/>
        </w:rPr>
        <w:t xml:space="preserve">reconocida idoneidad, </w:t>
      </w:r>
      <w:r>
        <w:rPr>
          <w:rFonts w:ascii="Verdana" w:eastAsia="Calibri" w:hAnsi="Verdana" w:cs="Arial"/>
        </w:rPr>
        <w:t xml:space="preserve">con la condición de que el </w:t>
      </w:r>
      <w:r w:rsidRPr="0033599C">
        <w:rPr>
          <w:rFonts w:ascii="Verdana" w:eastAsia="Calibri" w:hAnsi="Verdana" w:cs="Arial"/>
        </w:rPr>
        <w:t>aporte de la Entidad Privada Sin Ánimo de</w:t>
      </w:r>
      <w:r>
        <w:rPr>
          <w:rFonts w:ascii="Verdana" w:eastAsia="Calibri" w:hAnsi="Verdana" w:cs="Arial"/>
        </w:rPr>
        <w:t xml:space="preserve"> </w:t>
      </w:r>
      <w:r w:rsidRPr="0033599C">
        <w:rPr>
          <w:rFonts w:ascii="Verdana" w:eastAsia="Calibri" w:hAnsi="Verdana" w:cs="Arial"/>
        </w:rPr>
        <w:t>Lucro sea inferior al 30% en dinero propio o</w:t>
      </w:r>
      <w:r>
        <w:rPr>
          <w:rFonts w:ascii="Verdana" w:eastAsia="Calibri" w:hAnsi="Verdana" w:cs="Arial"/>
        </w:rPr>
        <w:t xml:space="preserve"> </w:t>
      </w:r>
      <w:r w:rsidRPr="0033599C">
        <w:rPr>
          <w:rFonts w:ascii="Verdana" w:eastAsia="Calibri" w:hAnsi="Verdana" w:cs="Arial"/>
        </w:rPr>
        <w:t>de cooperación internacional.</w:t>
      </w:r>
      <w:r>
        <w:rPr>
          <w:rFonts w:ascii="Verdana" w:eastAsia="Calibri" w:hAnsi="Verdana" w:cs="Arial"/>
        </w:rPr>
        <w:t xml:space="preserve"> En segundo lugar, la suscripción del convenio de asociación d</w:t>
      </w:r>
      <w:r w:rsidRPr="0033599C">
        <w:rPr>
          <w:rFonts w:ascii="Verdana" w:eastAsia="Calibri" w:hAnsi="Verdana" w:cs="Arial"/>
        </w:rPr>
        <w:t>el convenio de asociación</w:t>
      </w:r>
      <w:r>
        <w:rPr>
          <w:rFonts w:ascii="Verdana" w:eastAsia="Calibri" w:hAnsi="Verdana" w:cs="Arial"/>
        </w:rPr>
        <w:t xml:space="preserve"> no está </w:t>
      </w:r>
      <w:r w:rsidRPr="0033599C">
        <w:rPr>
          <w:rFonts w:ascii="Verdana" w:eastAsia="Calibri" w:hAnsi="Verdana" w:cs="Arial"/>
        </w:rPr>
        <w:t>sujeto a un proceso competitivo</w:t>
      </w:r>
      <w:r>
        <w:rPr>
          <w:rFonts w:ascii="Verdana" w:eastAsia="Calibri" w:hAnsi="Verdana" w:cs="Arial"/>
        </w:rPr>
        <w:t xml:space="preserve"> </w:t>
      </w:r>
      <w:r w:rsidRPr="0033599C">
        <w:rPr>
          <w:rFonts w:ascii="Verdana" w:eastAsia="Calibri" w:hAnsi="Verdana" w:cs="Arial"/>
        </w:rPr>
        <w:t>cuando la Entidad Privada Sin Ánimo de Lucro</w:t>
      </w:r>
      <w:r>
        <w:rPr>
          <w:rFonts w:ascii="Verdana" w:eastAsia="Calibri" w:hAnsi="Verdana" w:cs="Arial"/>
        </w:rPr>
        <w:t xml:space="preserve"> </w:t>
      </w:r>
      <w:r w:rsidRPr="0033599C">
        <w:rPr>
          <w:rFonts w:ascii="Verdana" w:eastAsia="Calibri" w:hAnsi="Verdana" w:cs="Arial"/>
        </w:rPr>
        <w:t>comprometa recursos en dinero propio o de</w:t>
      </w:r>
      <w:r>
        <w:rPr>
          <w:rFonts w:ascii="Verdana" w:eastAsia="Calibri" w:hAnsi="Verdana" w:cs="Arial"/>
        </w:rPr>
        <w:t xml:space="preserve"> </w:t>
      </w:r>
      <w:r w:rsidRPr="0033599C">
        <w:rPr>
          <w:rFonts w:ascii="Verdana" w:eastAsia="Calibri" w:hAnsi="Verdana" w:cs="Arial"/>
        </w:rPr>
        <w:t>cooperación internacional para la ejecución</w:t>
      </w:r>
      <w:r>
        <w:rPr>
          <w:rFonts w:ascii="Verdana" w:eastAsia="Calibri" w:hAnsi="Verdana" w:cs="Arial"/>
        </w:rPr>
        <w:t xml:space="preserve"> </w:t>
      </w:r>
      <w:r w:rsidRPr="0033599C">
        <w:rPr>
          <w:rFonts w:ascii="Verdana" w:eastAsia="Calibri" w:hAnsi="Verdana" w:cs="Arial"/>
        </w:rPr>
        <w:t>de las actividades en un porcentaje no inferior</w:t>
      </w:r>
      <w:r>
        <w:rPr>
          <w:rFonts w:ascii="Verdana" w:eastAsia="Calibri" w:hAnsi="Verdana" w:cs="Arial"/>
        </w:rPr>
        <w:t xml:space="preserve"> </w:t>
      </w:r>
      <w:r w:rsidRPr="0033599C">
        <w:rPr>
          <w:rFonts w:ascii="Verdana" w:eastAsia="Calibri" w:hAnsi="Verdana" w:cs="Arial"/>
        </w:rPr>
        <w:t>al 3</w:t>
      </w:r>
      <w:r>
        <w:rPr>
          <w:rFonts w:ascii="Verdana" w:eastAsia="Calibri" w:hAnsi="Verdana" w:cs="Arial"/>
        </w:rPr>
        <w:t>0% del valor total del convenio. Por último, s</w:t>
      </w:r>
      <w:r w:rsidRPr="0033599C">
        <w:rPr>
          <w:rFonts w:ascii="Verdana" w:eastAsia="Calibri" w:hAnsi="Verdana" w:cs="Arial"/>
        </w:rPr>
        <w:t>i más de una Entidad Privada Sin Ánimo</w:t>
      </w:r>
      <w:r>
        <w:rPr>
          <w:rFonts w:ascii="Verdana" w:eastAsia="Calibri" w:hAnsi="Verdana" w:cs="Arial"/>
        </w:rPr>
        <w:t xml:space="preserve"> </w:t>
      </w:r>
      <w:r w:rsidRPr="0033599C">
        <w:rPr>
          <w:rFonts w:ascii="Verdana" w:eastAsia="Calibri" w:hAnsi="Verdana" w:cs="Arial"/>
        </w:rPr>
        <w:t>de Lucro promete recursos en dinero para el</w:t>
      </w:r>
      <w:r>
        <w:rPr>
          <w:rFonts w:ascii="Verdana" w:eastAsia="Calibri" w:hAnsi="Verdana" w:cs="Arial"/>
        </w:rPr>
        <w:t xml:space="preserve"> </w:t>
      </w:r>
      <w:r w:rsidRPr="0033599C">
        <w:rPr>
          <w:rFonts w:ascii="Verdana" w:eastAsia="Calibri" w:hAnsi="Verdana" w:cs="Arial"/>
        </w:rPr>
        <w:t>desarrollo de las actividades del convenio de</w:t>
      </w:r>
      <w:r>
        <w:rPr>
          <w:rFonts w:ascii="Verdana" w:eastAsia="Calibri" w:hAnsi="Verdana" w:cs="Arial"/>
        </w:rPr>
        <w:t xml:space="preserve"> </w:t>
      </w:r>
      <w:r w:rsidRPr="0033599C">
        <w:rPr>
          <w:rFonts w:ascii="Verdana" w:eastAsia="Calibri" w:hAnsi="Verdana" w:cs="Arial"/>
        </w:rPr>
        <w:t>asociación en un porcentaje no inferior al 30%</w:t>
      </w:r>
      <w:r>
        <w:rPr>
          <w:rFonts w:ascii="Verdana" w:eastAsia="Calibri" w:hAnsi="Verdana" w:cs="Arial"/>
        </w:rPr>
        <w:t xml:space="preserve"> </w:t>
      </w:r>
      <w:r w:rsidRPr="0033599C">
        <w:rPr>
          <w:rFonts w:ascii="Verdana" w:eastAsia="Calibri" w:hAnsi="Verdana" w:cs="Arial"/>
        </w:rPr>
        <w:t xml:space="preserve">del valor total del convenio, la Entidad </w:t>
      </w:r>
      <w:r>
        <w:rPr>
          <w:rFonts w:ascii="Verdana" w:eastAsia="Calibri" w:hAnsi="Verdana" w:cs="Arial"/>
        </w:rPr>
        <w:t>debe</w:t>
      </w:r>
      <w:r w:rsidRPr="0033599C">
        <w:rPr>
          <w:rFonts w:ascii="Verdana" w:eastAsia="Calibri" w:hAnsi="Verdana" w:cs="Arial"/>
        </w:rPr>
        <w:t xml:space="preserve"> seleccionar </w:t>
      </w:r>
      <w:r>
        <w:rPr>
          <w:rFonts w:ascii="Verdana" w:eastAsia="Calibri" w:hAnsi="Verdana" w:cs="Arial"/>
        </w:rPr>
        <w:t xml:space="preserve">de forma objetiva y con justificación las razones </w:t>
      </w:r>
      <w:r w:rsidRPr="0033599C">
        <w:rPr>
          <w:rFonts w:ascii="Verdana" w:eastAsia="Calibri" w:hAnsi="Verdana" w:cs="Arial"/>
        </w:rPr>
        <w:t>para dicha</w:t>
      </w:r>
      <w:r>
        <w:rPr>
          <w:rFonts w:ascii="Verdana" w:eastAsia="Calibri" w:hAnsi="Verdana" w:cs="Arial"/>
        </w:rPr>
        <w:t xml:space="preserve"> </w:t>
      </w:r>
      <w:r w:rsidRPr="003356E7">
        <w:rPr>
          <w:rFonts w:ascii="Verdana" w:eastAsia="Calibri" w:hAnsi="Verdana" w:cs="Arial"/>
        </w:rPr>
        <w:t>selección</w:t>
      </w:r>
      <w:r w:rsidRPr="00C0741C">
        <w:rPr>
          <w:rFonts w:ascii="Verdana" w:eastAsia="Calibri" w:hAnsi="Verdana" w:cs="Arial"/>
          <w:bCs/>
          <w:vertAlign w:val="superscript"/>
        </w:rPr>
        <w:footnoteReference w:id="11"/>
      </w:r>
      <w:r w:rsidRPr="00C0741C">
        <w:rPr>
          <w:rFonts w:ascii="Verdana" w:eastAsia="Calibri" w:hAnsi="Verdana" w:cs="Arial"/>
        </w:rPr>
        <w:t>.</w:t>
      </w:r>
    </w:p>
    <w:p w14:paraId="204B8477" w14:textId="77777777" w:rsidR="001B5535" w:rsidRPr="00E9090B" w:rsidRDefault="001B5535" w:rsidP="001B5535">
      <w:pPr>
        <w:spacing w:after="120" w:line="276" w:lineRule="auto"/>
        <w:ind w:firstLine="709"/>
        <w:jc w:val="both"/>
        <w:rPr>
          <w:rFonts w:ascii="Verdana" w:eastAsia="Calibri" w:hAnsi="Verdana" w:cs="Arial"/>
          <w:lang w:val="es-MX"/>
        </w:rPr>
      </w:pPr>
      <w:r w:rsidRPr="00E9090B">
        <w:rPr>
          <w:rFonts w:ascii="Verdana" w:eastAsia="Calibri" w:hAnsi="Verdana" w:cs="Arial"/>
          <w:lang w:val="es-MX"/>
        </w:rPr>
        <w:t>Ahora bien, el Consejo de Estado, en el Auto del 6 de agosto de 2019 de la Sección Tercera, Subsección A –Exp. 62.003–, estudió la solicitud de suspensión provisional</w:t>
      </w:r>
      <w:r w:rsidRPr="00E9090B">
        <w:rPr>
          <w:rFonts w:ascii="Verdana" w:eastAsia="Calibri" w:hAnsi="Verdana" w:cs="Arial"/>
          <w:vertAlign w:val="superscript"/>
          <w:lang w:val="es-MX"/>
        </w:rPr>
        <w:footnoteReference w:id="12"/>
      </w:r>
      <w:r w:rsidRPr="00E9090B">
        <w:rPr>
          <w:rFonts w:ascii="Verdana" w:eastAsia="Calibri" w:hAnsi="Verdana" w:cs="Arial"/>
          <w:lang w:val="es-MX"/>
        </w:rPr>
        <w:t xml:space="preserve"> del inciso 2 del artículo 1, literales a y c del artículo 2, inciso 5 del artículo 2, inciso 2 del artículo 3, inciso final del artículo 4 y artículo 5 del Decreto 092 de 2017. No obstante, sobre esta última norma concluyó que el análisis de esta disposición debe realizarse a profundidad para establecer si efectivamente existe una contradicción normativa que implique que se afectó la competencia del legislador. En consecuencia, negó la solicitud de suspensión provisional frente a la última disposición relacionada con los convenios de asociación, reservando el análisis sobre la legalidad de dicho artículo a la sentencia de fondo. Por tanto, si se pretende realizar un </w:t>
      </w:r>
      <w:r w:rsidRPr="00E9090B">
        <w:rPr>
          <w:rFonts w:ascii="Verdana" w:eastAsia="Calibri" w:hAnsi="Verdana" w:cs="Arial"/>
          <w:i/>
          <w:iCs/>
          <w:lang w:val="es-MX"/>
        </w:rPr>
        <w:t>convenio de asociación</w:t>
      </w:r>
      <w:r w:rsidRPr="00E9090B">
        <w:rPr>
          <w:rFonts w:ascii="Verdana" w:eastAsia="Calibri" w:hAnsi="Verdana" w:cs="Arial"/>
          <w:lang w:val="es-MX"/>
        </w:rPr>
        <w:t xml:space="preserve"> con ESAL de reconocida idoneidad para el cumplimiento de las funciones que la ley les asigna a las entidades públicas, debe aplicarse lo dispuesto en el artículo 5 del Decreto 092 de 2017. </w:t>
      </w:r>
      <w:r w:rsidRPr="00E9090B">
        <w:rPr>
          <w:rFonts w:ascii="Verdana" w:eastAsia="Calibri" w:hAnsi="Verdana" w:cs="Arial"/>
          <w:lang w:val="es-ES_tradnl"/>
        </w:rPr>
        <w:t>En todo caso, conviene precisar que mediante Auto del 15 de marzo de 2022</w:t>
      </w:r>
      <w:r w:rsidRPr="00E9090B">
        <w:rPr>
          <w:rFonts w:ascii="Verdana" w:eastAsia="Calibri" w:hAnsi="Verdana" w:cs="Arial"/>
          <w:vertAlign w:val="superscript"/>
          <w:lang w:val="es-ES_tradnl"/>
        </w:rPr>
        <w:footnoteReference w:id="13"/>
      </w:r>
      <w:r w:rsidRPr="00E9090B">
        <w:rPr>
          <w:rFonts w:ascii="Verdana" w:eastAsia="Calibri" w:hAnsi="Verdana" w:cs="Arial"/>
          <w:lang w:val="es-ES_tradnl"/>
        </w:rPr>
        <w:t>, el Consejo de Estado levantó la medida cautelar de suspensión provisional respecto del inciso 2 del artículo 1 y el inciso 2 del artículo 3, del Decreto 092 de 2007, por lo que surten en la actualidad efectos jurídicos</w:t>
      </w:r>
      <w:r w:rsidRPr="00E9090B">
        <w:rPr>
          <w:rFonts w:ascii="Verdana" w:eastAsia="Calibri" w:hAnsi="Verdana" w:cs="Arial"/>
          <w:vertAlign w:val="superscript"/>
          <w:lang w:val="es-ES_tradnl"/>
        </w:rPr>
        <w:footnoteReference w:id="14"/>
      </w:r>
      <w:r w:rsidRPr="00E9090B">
        <w:rPr>
          <w:rFonts w:ascii="Verdana" w:eastAsia="Calibri" w:hAnsi="Verdana" w:cs="Arial"/>
          <w:lang w:val="es-ES_tradnl"/>
        </w:rPr>
        <w:t>.</w:t>
      </w:r>
    </w:p>
    <w:p w14:paraId="0C258F97" w14:textId="77777777" w:rsidR="001B5535" w:rsidRPr="00E9090B" w:rsidRDefault="001B5535" w:rsidP="001B5535">
      <w:pPr>
        <w:spacing w:before="120" w:after="0" w:line="276" w:lineRule="auto"/>
        <w:ind w:firstLine="708"/>
        <w:jc w:val="both"/>
        <w:textAlignment w:val="baseline"/>
        <w:rPr>
          <w:rFonts w:ascii="Verdana" w:eastAsia="Calibri" w:hAnsi="Verdana" w:cs="Arial"/>
          <w:lang w:val="es-ES_tradnl" w:eastAsia="es-ES_tradnl"/>
        </w:rPr>
      </w:pPr>
      <w:r w:rsidRPr="00E9090B">
        <w:rPr>
          <w:rFonts w:ascii="Verdana" w:eastAsia="Calibri" w:hAnsi="Verdana" w:cs="Arial"/>
          <w:lang w:val="es-MX"/>
        </w:rPr>
        <w:t xml:space="preserve">Como se explicó, en relación con los convenios de asociación, el artículo 5 del citado Decreto establece que el proceso para la selección de la ESAL, por regla general, debe estar sujeto a competencia; salvo en aquellos casos en que </w:t>
      </w:r>
      <w:r w:rsidRPr="00E9090B">
        <w:rPr>
          <w:rFonts w:ascii="Verdana" w:eastAsia="Calibri" w:hAnsi="Verdana" w:cs="Arial"/>
          <w:i/>
          <w:iCs/>
          <w:lang w:val="es-MX"/>
        </w:rPr>
        <w:t>una</w:t>
      </w:r>
      <w:r w:rsidRPr="00E9090B">
        <w:rPr>
          <w:rFonts w:ascii="Verdana" w:eastAsia="Calibri" w:hAnsi="Verdana" w:cs="Arial"/>
          <w:lang w:val="es-MX"/>
        </w:rPr>
        <w:t xml:space="preserve"> entidad sin ánimo de lucro comprometa recursos en dinero por un valor igual o superior al 30% del valor total del convenio</w:t>
      </w:r>
      <w:r w:rsidRPr="00E9090B">
        <w:rPr>
          <w:rFonts w:ascii="Verdana" w:eastAsia="Calibri" w:hAnsi="Verdana" w:cs="Arial"/>
          <w:vertAlign w:val="superscript"/>
          <w:lang w:val="es-MX"/>
        </w:rPr>
        <w:footnoteReference w:id="15"/>
      </w:r>
      <w:r w:rsidRPr="00E9090B">
        <w:rPr>
          <w:rFonts w:ascii="Verdana" w:eastAsia="Calibri" w:hAnsi="Verdana" w:cs="Arial"/>
          <w:lang w:val="es-MX"/>
        </w:rPr>
        <w:t>, y siempre que la entidad estatal verifique previamente que no existe ninguna otra entidad sin ánimo de lucro que ofrezca aportes en dinero iguales o superiores al 30%, ya que en este último evento también deberá adelantar un proceso competitivo. De hecho, en relación con la naturaleza y cuantía de los convenios, la norma anteriormente citada no prohíbe la celebración de convenios en que la ESAL aporte menos del 30% o cuando aporten recursos en especie. En efecto, solo indica que en esos casos la entidad estatal debe acudir al proceso competitivo para seleccionar a la entidad sin ánimo de lucro con la cual celebrará el respectivo convenio.</w:t>
      </w:r>
    </w:p>
    <w:p w14:paraId="18025CD7" w14:textId="77777777" w:rsidR="001B5535" w:rsidRPr="00E9090B" w:rsidRDefault="001B5535" w:rsidP="001B5535">
      <w:pPr>
        <w:spacing w:before="120" w:after="120" w:line="276" w:lineRule="auto"/>
        <w:ind w:firstLine="709"/>
        <w:jc w:val="both"/>
        <w:rPr>
          <w:rFonts w:ascii="Verdana" w:eastAsia="Calibri" w:hAnsi="Verdana" w:cs="Arial"/>
          <w:lang w:val="es-ES_tradnl"/>
        </w:rPr>
      </w:pPr>
      <w:r w:rsidRPr="00E9090B">
        <w:rPr>
          <w:rFonts w:ascii="Verdana" w:eastAsia="Calibri" w:hAnsi="Verdana" w:cs="Arial"/>
          <w:lang w:val="es-ES_tradnl" w:eastAsia="es-ES_tradnl"/>
        </w:rPr>
        <w:t xml:space="preserve">Finalmente, sintetizando lo expresado en relación con los </w:t>
      </w:r>
      <w:r w:rsidRPr="00E9090B">
        <w:rPr>
          <w:rFonts w:ascii="Verdana" w:eastAsia="Calibri" w:hAnsi="Verdana" w:cs="Arial"/>
          <w:i/>
          <w:iCs/>
          <w:lang w:val="es-ES_tradnl" w:eastAsia="es-ES_tradnl"/>
        </w:rPr>
        <w:t xml:space="preserve">convenios de </w:t>
      </w:r>
      <w:r w:rsidRPr="00E9090B">
        <w:rPr>
          <w:rFonts w:ascii="Verdana" w:eastAsia="Calibri" w:hAnsi="Verdana" w:cs="Arial"/>
          <w:lang w:val="es-ES_tradnl" w:eastAsia="es-ES_tradnl"/>
        </w:rPr>
        <w:t xml:space="preserve">asociación, la finalidad de los aportes está dirigido concretamente a lograr la ejecución del convenio. De todos modos, la entidad deberá adelantar un proceso competitivo, salvo cuando la ESAL comprometa recursos en dinero para la ejecución de estas actividades, en una proporción no inferior al 30% del valor total del convenio. Así, </w:t>
      </w:r>
      <w:r w:rsidRPr="00E9090B">
        <w:rPr>
          <w:rFonts w:ascii="Verdana" w:eastAsia="Calibri" w:hAnsi="Verdana" w:cs="Arial"/>
          <w:lang w:val="es-ES_tradnl"/>
        </w:rPr>
        <w:t xml:space="preserve">si se pretende suscribir un </w:t>
      </w:r>
      <w:r w:rsidRPr="00E9090B">
        <w:rPr>
          <w:rFonts w:ascii="Verdana" w:eastAsia="Calibri" w:hAnsi="Verdana" w:cs="Arial"/>
          <w:i/>
          <w:iCs/>
          <w:lang w:val="es-ES_tradnl"/>
        </w:rPr>
        <w:t>convenio de asociación</w:t>
      </w:r>
      <w:r w:rsidRPr="00E9090B">
        <w:rPr>
          <w:rFonts w:ascii="Verdana" w:eastAsia="Calibri" w:hAnsi="Verdana" w:cs="Arial"/>
          <w:lang w:val="es-ES_tradnl"/>
        </w:rPr>
        <w:t xml:space="preserve"> con una ESAL de reconocida idoneidad para el cumplimiento de las funciones que la ley les asigna a las entidades públicas, deben aplicar lo dispuesto en el artículo 5 del Decreto 92 de 2017. Como se estableció </w:t>
      </w:r>
      <w:r w:rsidRPr="00E9090B">
        <w:rPr>
          <w:rFonts w:ascii="Verdana" w:eastAsia="Calibri" w:hAnsi="Verdana" w:cs="Arial"/>
          <w:i/>
          <w:iCs/>
          <w:lang w:val="es-ES_tradnl"/>
        </w:rPr>
        <w:t>supra</w:t>
      </w:r>
      <w:r w:rsidRPr="00E9090B">
        <w:rPr>
          <w:rFonts w:ascii="Verdana" w:eastAsia="Calibri" w:hAnsi="Verdana" w:cs="Arial"/>
          <w:lang w:val="es-ES_tradnl"/>
        </w:rPr>
        <w:t xml:space="preserve">, este artículo dispone que el proceso para la escogencia de la ESAL, por regla general, debe estar sujeto a competencia. </w:t>
      </w:r>
    </w:p>
    <w:p w14:paraId="2DB05470" w14:textId="77777777" w:rsidR="001B5535" w:rsidRPr="00E9090B" w:rsidRDefault="001B5535" w:rsidP="001B5535">
      <w:pPr>
        <w:spacing w:before="120" w:after="120" w:line="276" w:lineRule="auto"/>
        <w:ind w:firstLine="709"/>
        <w:jc w:val="both"/>
        <w:rPr>
          <w:rFonts w:ascii="Verdana" w:eastAsia="Calibri" w:hAnsi="Verdana" w:cs="Arial"/>
          <w:lang w:val="es-ES"/>
        </w:rPr>
      </w:pPr>
      <w:r w:rsidRPr="00E9090B">
        <w:rPr>
          <w:rFonts w:ascii="Verdana" w:eastAsia="Calibri" w:hAnsi="Verdana" w:cs="Arial"/>
          <w:lang w:val="es-ES"/>
        </w:rPr>
        <w:t xml:space="preserve">Esto, salvo en aquellos casos en los que una ESAL manifieste su compromiso de aportar recursos en dinero por un valor igual o superior al 30% del valor total del convenio, con la condición de que no existan otras ESAL que ofrezca aportes en monto igual o superior a dicho porcentaje, pues en este evento también se tendría que realizar un proceso competitivo. Finalmente, dada la regla concreta y específica establecida en la norma, si los aportes no son en dinero, sino únicamente en especie, esto es, bienes diferentes o no equivalente al dinero, no se dará aplicación a dicha regla y el proceso de selección será competitivo. </w:t>
      </w:r>
    </w:p>
    <w:p w14:paraId="60A4063B" w14:textId="77777777" w:rsidR="001B5535" w:rsidRDefault="001B5535" w:rsidP="001B5535">
      <w:pPr>
        <w:spacing w:after="0" w:line="276" w:lineRule="auto"/>
        <w:ind w:firstLine="709"/>
        <w:jc w:val="both"/>
        <w:textAlignment w:val="baseline"/>
        <w:rPr>
          <w:rFonts w:ascii="Verdana" w:eastAsia="Calibri" w:hAnsi="Verdana" w:cs="Arial"/>
          <w:bCs/>
          <w:lang w:val="es-MX"/>
        </w:rPr>
      </w:pPr>
      <w:r w:rsidRPr="00E9090B">
        <w:rPr>
          <w:rFonts w:ascii="Verdana" w:eastAsia="Calibri" w:hAnsi="Verdana" w:cs="Arial"/>
          <w:lang w:val="es-ES"/>
        </w:rPr>
        <w:t xml:space="preserve">En ese contexto, cuando el aporte de la ESAL al convenio de asociación, que se realizará con una entidad estatal bajo los términos del artículo 5 del Decreto 092 de 2017, no sea en dinero, sino en especie, esto es, con bienes tangibles e intangibles distintos al dinero o que no sean equivalentes a este, en los términos indicados en el párrafo anterior, </w:t>
      </w:r>
      <w:r w:rsidRPr="00E9090B">
        <w:rPr>
          <w:rFonts w:ascii="Verdana" w:eastAsia="Calibri" w:hAnsi="Verdana" w:cs="Arial"/>
          <w:i/>
          <w:iCs/>
          <w:lang w:val="es-ES"/>
        </w:rPr>
        <w:t>no</w:t>
      </w:r>
      <w:r w:rsidRPr="00E9090B">
        <w:rPr>
          <w:rFonts w:ascii="Verdana" w:eastAsia="Calibri" w:hAnsi="Verdana" w:cs="Arial"/>
          <w:lang w:val="es-ES"/>
        </w:rPr>
        <w:t xml:space="preserve"> se aplicará la regla que determina que si el aporte de recursos en dinero es igual o superior a un 30% del valor del convenio, este se podrá celebrar de forma directa, por lo que deberá adelantarse un proceso competitivo. No obstante, se precisa que no significa que no puedan hacerse aportes en especie, sino que como mínimo debe realizarse un aporte en dinero del 30% del valor del convenio de asociación para que pueda aplicar la selección directa de la ESAL, siempre que no haya otra entidad privada sin ánimo de lucro que realice el mismo ofrecimiento.</w:t>
      </w:r>
      <w:r>
        <w:rPr>
          <w:rFonts w:ascii="Verdana" w:eastAsia="Calibri" w:hAnsi="Verdana" w:cs="Arial"/>
          <w:lang w:val="es-ES"/>
        </w:rPr>
        <w:t xml:space="preserve"> </w:t>
      </w:r>
    </w:p>
    <w:p w14:paraId="0F8FF275" w14:textId="77777777" w:rsidR="001B5535" w:rsidRDefault="001B5535" w:rsidP="001B5535">
      <w:pPr>
        <w:spacing w:after="0" w:line="240" w:lineRule="auto"/>
        <w:ind w:firstLine="709"/>
        <w:jc w:val="both"/>
        <w:textAlignment w:val="baseline"/>
        <w:rPr>
          <w:rFonts w:ascii="Verdana" w:eastAsia="Calibri" w:hAnsi="Verdana" w:cs="Arial"/>
          <w:lang w:val="es-ES"/>
        </w:rPr>
      </w:pPr>
    </w:p>
    <w:p w14:paraId="205530FF" w14:textId="77777777" w:rsidR="001B5535" w:rsidRPr="009D221F" w:rsidRDefault="001B5535" w:rsidP="001B5535">
      <w:pPr>
        <w:tabs>
          <w:tab w:val="left" w:pos="142"/>
          <w:tab w:val="left" w:pos="284"/>
          <w:tab w:val="left" w:pos="6912"/>
        </w:tabs>
        <w:spacing w:after="120" w:line="276" w:lineRule="auto"/>
        <w:jc w:val="both"/>
        <w:rPr>
          <w:rFonts w:ascii="Verdana" w:eastAsia="Times New Roman" w:hAnsi="Verdana" w:cs="Arial"/>
          <w:bCs/>
          <w:lang w:eastAsia="es-CO"/>
        </w:rPr>
      </w:pPr>
      <w:r>
        <w:rPr>
          <w:rFonts w:ascii="Verdana" w:eastAsia="Times New Roman" w:hAnsi="Verdana" w:cs="Arial"/>
          <w:bCs/>
          <w:lang w:val="es-ES" w:eastAsia="es-CO"/>
        </w:rPr>
        <w:t>i</w:t>
      </w:r>
      <w:r w:rsidRPr="001C2D5B">
        <w:rPr>
          <w:rFonts w:ascii="Verdana" w:eastAsia="Times New Roman" w:hAnsi="Verdana" w:cs="Arial"/>
          <w:bCs/>
          <w:lang w:val="es-ES" w:eastAsia="es-CO"/>
        </w:rPr>
        <w:t>i</w:t>
      </w:r>
      <w:r w:rsidRPr="001C2D5B">
        <w:rPr>
          <w:rFonts w:ascii="Verdana" w:eastAsia="Times New Roman" w:hAnsi="Verdana" w:cs="Arial"/>
          <w:bCs/>
          <w:lang w:eastAsia="es-CO"/>
        </w:rPr>
        <w:t xml:space="preserve">i) </w:t>
      </w:r>
      <w:r>
        <w:rPr>
          <w:rFonts w:ascii="Verdana" w:eastAsia="Times New Roman" w:hAnsi="Verdana" w:cs="Arial"/>
          <w:bCs/>
          <w:lang w:eastAsia="es-CO"/>
        </w:rPr>
        <w:t>Respecto del alcance de la Ley de Garantías Electorales y su incidencia en la aplicación en los convenios interadministrativos y aquellos contratos definidos en el artículo 355 de la Constitución Política y de los convenios del Decreto 092 de 2017, el</w:t>
      </w:r>
      <w:r w:rsidRPr="001C2D5B">
        <w:rPr>
          <w:rFonts w:ascii="Verdana" w:eastAsia="Times New Roman" w:hAnsi="Verdana" w:cs="Arial"/>
          <w:bCs/>
          <w:lang w:eastAsia="es-CO"/>
        </w:rPr>
        <w:t xml:space="preserve">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1C2D5B">
        <w:rPr>
          <w:rStyle w:val="Refdenotaalpie"/>
          <w:rFonts w:ascii="Verdana" w:eastAsia="Calibri" w:hAnsi="Verdana" w:cs="Arial"/>
          <w:bCs/>
        </w:rPr>
        <w:footnoteReference w:id="16"/>
      </w:r>
      <w:r w:rsidRPr="001C2D5B">
        <w:rPr>
          <w:rFonts w:ascii="Verdana" w:eastAsia="Calibri" w:hAnsi="Verdana" w:cs="Arial"/>
          <w:bCs/>
        </w:rPr>
        <w:t>.</w:t>
      </w:r>
      <w:r w:rsidRPr="00F10E52">
        <w:rPr>
          <w:rFonts w:ascii="Verdana" w:eastAsia="Calibri" w:hAnsi="Verdana" w:cs="Arial"/>
          <w:bCs/>
        </w:rPr>
        <w:t xml:space="preserve"> </w:t>
      </w:r>
    </w:p>
    <w:p w14:paraId="7F456CD7" w14:textId="77777777" w:rsidR="001B5535" w:rsidRDefault="001B5535" w:rsidP="001B5535">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xml:space="preserve">, se suma al andamiaje de orden constitucional y legal que se ha ocupado de evitar la injerencia inadecuada de intereses particulares en el ejercicio de la función pública. Esta </w:t>
      </w:r>
      <w:r>
        <w:rPr>
          <w:rFonts w:ascii="Verdana" w:eastAsia="Times New Roman" w:hAnsi="Verdana" w:cs="Arial"/>
          <w:bCs/>
          <w:lang w:eastAsia="es-CO"/>
        </w:rPr>
        <w:t>L</w:t>
      </w:r>
      <w:r w:rsidRPr="00F10E52">
        <w:rPr>
          <w:rFonts w:ascii="Verdana" w:eastAsia="Times New Roman" w:hAnsi="Verdana" w:cs="Arial"/>
          <w:bCs/>
          <w:lang w:eastAsia="es-CO"/>
        </w:rPr>
        <w:t>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17"/>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256D7BE1" w14:textId="77777777" w:rsidR="001B5535" w:rsidRPr="00F10E52" w:rsidRDefault="001B5535" w:rsidP="001B5535">
      <w:pPr>
        <w:tabs>
          <w:tab w:val="left" w:pos="426"/>
        </w:tabs>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74361F4E" w14:textId="77777777" w:rsidR="001B5535" w:rsidRPr="00F10E52" w:rsidRDefault="001B5535" w:rsidP="001B5535">
      <w:pPr>
        <w:tabs>
          <w:tab w:val="left" w:pos="426"/>
        </w:tabs>
        <w:spacing w:after="0" w:line="276" w:lineRule="auto"/>
        <w:ind w:firstLine="709"/>
        <w:jc w:val="both"/>
        <w:rPr>
          <w:rFonts w:ascii="Verdana" w:eastAsia="Times New Roman" w:hAnsi="Verdana" w:cs="Arial"/>
          <w:bCs/>
          <w:lang w:eastAsia="es-CO"/>
        </w:rPr>
      </w:pPr>
    </w:p>
    <w:p w14:paraId="5B5BF8DB" w14:textId="77777777" w:rsidR="001B5535" w:rsidRPr="00A35D25" w:rsidRDefault="001B5535" w:rsidP="001B5535">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6F56C434" w14:textId="3B9C9B2E" w:rsidR="001B5535" w:rsidRPr="001B5535" w:rsidRDefault="001B5535" w:rsidP="001B5535">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18"/>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3" w:name="_Hlk78818186"/>
    </w:p>
    <w:p w14:paraId="6EB1DF9F" w14:textId="77777777" w:rsidR="001B5535" w:rsidRDefault="001B5535" w:rsidP="001B5535">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este contexto, la Ley de Garantías Electorales establece el marco jurídico para el desarrollo de las elecciones, procurando condiciones de igualdad y transparencia para los aspirantes</w:t>
      </w:r>
      <w:r>
        <w:rPr>
          <w:rFonts w:ascii="Verdana" w:eastAsia="Times New Roman" w:hAnsi="Verdana" w:cs="Arial"/>
          <w:bCs/>
          <w:lang w:eastAsia="es-CO"/>
        </w:rPr>
        <w:t>. P</w:t>
      </w:r>
      <w:r w:rsidRPr="00F10E52">
        <w:rPr>
          <w:rFonts w:ascii="Verdana" w:eastAsia="Times New Roman" w:hAnsi="Verdana" w:cs="Arial"/>
          <w:bCs/>
          <w:lang w:eastAsia="es-CO"/>
        </w:rPr>
        <w:t>aralelamente</w:t>
      </w:r>
      <w:r>
        <w:rPr>
          <w:rFonts w:ascii="Verdana" w:eastAsia="Times New Roman" w:hAnsi="Verdana" w:cs="Arial"/>
          <w:bCs/>
          <w:lang w:eastAsia="es-CO"/>
        </w:rPr>
        <w:t>,</w:t>
      </w:r>
      <w:r w:rsidRPr="00F10E52">
        <w:rPr>
          <w:rFonts w:ascii="Verdana" w:eastAsia="Times New Roman" w:hAnsi="Verdana" w:cs="Arial"/>
          <w:bCs/>
          <w:lang w:eastAsia="es-CO"/>
        </w:rPr>
        <w:t xml:space="preserve"> incluye restricciones en el actuar de los servidores públicos, evitando interferencias en la contienda electoral, así como la posible desviación de recursos públicos en aspiraciones electorales. </w:t>
      </w:r>
      <w:bookmarkEnd w:id="3"/>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38DCC3C8" w14:textId="77777777" w:rsidR="001B5535" w:rsidRPr="002D6B92" w:rsidRDefault="001B5535" w:rsidP="001B5535">
      <w:pPr>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efecto, la Sala de Consulta y Servicio Civil del Consejo de Estado al analizar la referida </w:t>
      </w:r>
      <w:r>
        <w:rPr>
          <w:rFonts w:ascii="Verdana" w:eastAsia="Times New Roman" w:hAnsi="Verdana" w:cs="Arial"/>
          <w:bCs/>
          <w:lang w:eastAsia="es-CO"/>
        </w:rPr>
        <w:t>L</w:t>
      </w:r>
      <w:r w:rsidRPr="00F10E52">
        <w:rPr>
          <w:rFonts w:ascii="Verdana" w:eastAsia="Times New Roman" w:hAnsi="Verdana" w:cs="Arial"/>
          <w:bCs/>
          <w:lang w:eastAsia="es-CO"/>
        </w:rPr>
        <w:t>ey, precisó lo siguiente:</w:t>
      </w:r>
    </w:p>
    <w:p w14:paraId="084FB497" w14:textId="77777777" w:rsidR="001B5535" w:rsidRPr="002D6B92" w:rsidRDefault="001B5535" w:rsidP="001B5535">
      <w:pPr>
        <w:spacing w:after="0" w:line="240" w:lineRule="auto"/>
        <w:ind w:firstLine="709"/>
        <w:jc w:val="both"/>
        <w:rPr>
          <w:rFonts w:ascii="Verdana" w:eastAsia="Times New Roman" w:hAnsi="Verdana" w:cs="Arial"/>
          <w:bCs/>
          <w:lang w:eastAsia="es-CO"/>
        </w:rPr>
      </w:pPr>
    </w:p>
    <w:p w14:paraId="74CFABAA" w14:textId="77777777" w:rsidR="001B5535" w:rsidRPr="009B20C5" w:rsidRDefault="001B5535" w:rsidP="001B5535">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DF99C68" w14:textId="77777777" w:rsidR="001B5535" w:rsidRDefault="001B5535" w:rsidP="001B5535">
      <w:pPr>
        <w:spacing w:after="0" w:line="240" w:lineRule="auto"/>
        <w:ind w:left="709" w:right="709"/>
        <w:jc w:val="both"/>
        <w:rPr>
          <w:rFonts w:ascii="Verdana" w:eastAsia="Times New Roman" w:hAnsi="Verdana" w:cs="Arial"/>
          <w:bCs/>
          <w:sz w:val="20"/>
          <w:szCs w:val="20"/>
          <w:lang w:eastAsia="es-CO"/>
        </w:rPr>
      </w:pPr>
    </w:p>
    <w:p w14:paraId="22EF2ADE" w14:textId="6FDEA6A6" w:rsidR="001B5535" w:rsidRPr="001B5535" w:rsidRDefault="001B5535" w:rsidP="001B5535">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19"/>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20"/>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21"/>
      </w:r>
      <w:r w:rsidRPr="009B20C5">
        <w:rPr>
          <w:rFonts w:ascii="Verdana" w:eastAsia="Times New Roman" w:hAnsi="Verdana" w:cs="Arial"/>
          <w:bCs/>
          <w:sz w:val="20"/>
          <w:szCs w:val="20"/>
          <w:lang w:eastAsia="es-CO"/>
        </w:rPr>
        <w:t>.</w:t>
      </w:r>
    </w:p>
    <w:p w14:paraId="4C4C3B9F" w14:textId="77777777" w:rsidR="001B5535" w:rsidRDefault="001B5535" w:rsidP="001B5535">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4"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23982CB6" w14:textId="77777777" w:rsidR="001B5535" w:rsidRPr="00F10E52" w:rsidRDefault="001B5535" w:rsidP="001B5535">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Específicamente, las restricciones consagradas en la citada </w:t>
      </w:r>
      <w:r>
        <w:rPr>
          <w:rFonts w:ascii="Verdana" w:eastAsia="Arial" w:hAnsi="Verdana" w:cs="Arial"/>
          <w:lang w:val="es-ES" w:eastAsia="es-ES" w:bidi="es-ES"/>
        </w:rPr>
        <w:t>L</w:t>
      </w:r>
      <w:r w:rsidRPr="00F10E52">
        <w:rPr>
          <w:rFonts w:ascii="Verdana" w:eastAsia="Arial" w:hAnsi="Verdana" w:cs="Arial"/>
          <w:lang w:val="es-ES" w:eastAsia="es-ES" w:bidi="es-ES"/>
        </w:rPr>
        <w:t>ey se dirigen a dos (2) tipos de campañas electorales claramente diferenciadas: las presidenciales y las demás que se adelanten para la elección de los demás cargos de elección popular, tanto a nivel nacional como a nivel territorial.</w:t>
      </w:r>
      <w:bookmarkEnd w:id="4"/>
    </w:p>
    <w:p w14:paraId="1FF815D0" w14:textId="77777777" w:rsidR="001B5535" w:rsidRPr="00F10E52" w:rsidRDefault="001B5535" w:rsidP="001B5535">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w:t>
      </w:r>
      <w:r w:rsidRPr="00642D0F">
        <w:rPr>
          <w:rFonts w:ascii="Verdana" w:eastAsia="Calibri" w:hAnsi="Verdana" w:cs="Arial"/>
          <w:i/>
        </w:rPr>
        <w:t>el artículo 33</w:t>
      </w:r>
      <w:r w:rsidRPr="00F10E52">
        <w:rPr>
          <w:rFonts w:ascii="Verdana" w:eastAsia="Calibri" w:hAnsi="Verdana" w:cs="Arial"/>
        </w:rPr>
        <w:t xml:space="preserve">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22"/>
      </w:r>
      <w:r w:rsidRPr="00F10E52">
        <w:rPr>
          <w:rFonts w:ascii="Verdana" w:eastAsia="Calibri" w:hAnsi="Verdana" w:cs="Arial"/>
        </w:rPr>
        <w:t>.</w:t>
      </w:r>
    </w:p>
    <w:p w14:paraId="0B69A249" w14:textId="77777777" w:rsidR="001B5535" w:rsidRDefault="001B5535" w:rsidP="001B5535">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w:t>
      </w:r>
      <w:r w:rsidRPr="00B625A1">
        <w:rPr>
          <w:rFonts w:ascii="Verdana" w:eastAsia="Calibri" w:hAnsi="Verdana" w:cs="Arial"/>
          <w:i/>
        </w:rPr>
        <w:t xml:space="preserve">el parágrafo del artículo 38 </w:t>
      </w:r>
      <w:r w:rsidRPr="00F10E52">
        <w:rPr>
          <w:rFonts w:ascii="Verdana" w:eastAsia="Calibri" w:hAnsi="Verdana" w:cs="Arial"/>
        </w:rPr>
        <w:t xml:space="preserve">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23"/>
      </w:r>
      <w:r w:rsidRPr="00F10E52">
        <w:rPr>
          <w:rFonts w:ascii="Verdana" w:eastAsia="Calibri" w:hAnsi="Verdana" w:cs="Arial"/>
        </w:rPr>
        <w:t>.</w:t>
      </w:r>
      <w:r w:rsidRPr="00F10E52">
        <w:rPr>
          <w:rFonts w:ascii="Verdana" w:eastAsia="Arial" w:hAnsi="Verdana" w:cs="Arial"/>
          <w:lang w:val="es-ES" w:eastAsia="es-ES" w:bidi="es-ES"/>
        </w:rPr>
        <w:t xml:space="preserve"> </w:t>
      </w:r>
    </w:p>
    <w:p w14:paraId="6E837633" w14:textId="77777777" w:rsidR="001B5535" w:rsidRPr="006A51F6" w:rsidRDefault="001B5535" w:rsidP="001B5535">
      <w:pPr>
        <w:widowControl w:val="0"/>
        <w:autoSpaceDE w:val="0"/>
        <w:autoSpaceDN w:val="0"/>
        <w:spacing w:after="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445A7EC2" w14:textId="77777777" w:rsidR="001B5535" w:rsidRDefault="001B5535" w:rsidP="001B5535">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5EBDB89C" w14:textId="77777777" w:rsidR="001B5535" w:rsidRPr="00A35D25" w:rsidRDefault="001B5535" w:rsidP="001B5535">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9B20C5">
        <w:rPr>
          <w:rFonts w:ascii="Verdana" w:eastAsia="Arial" w:hAnsi="Verdana" w:cs="Arial"/>
          <w:sz w:val="20"/>
          <w:szCs w:val="20"/>
          <w:lang w:val="es-ES" w:eastAsia="es-ES" w:bidi="es-ES"/>
        </w:rPr>
        <w:t>se integran parcialmente</w:t>
      </w:r>
      <w:bookmarkEnd w:id="7"/>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24"/>
      </w:r>
      <w:r>
        <w:rPr>
          <w:rFonts w:ascii="Verdana" w:eastAsia="Arial" w:hAnsi="Verdana" w:cs="Arial"/>
          <w:sz w:val="20"/>
          <w:szCs w:val="20"/>
          <w:lang w:val="es-ES" w:eastAsia="es-ES" w:bidi="es-ES"/>
        </w:rPr>
        <w:t>.</w:t>
      </w:r>
    </w:p>
    <w:p w14:paraId="2F60143C" w14:textId="77777777" w:rsidR="001B5535" w:rsidRPr="00F10E52" w:rsidRDefault="001B5535" w:rsidP="001B5535">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8" w:name="_Hlk99438241"/>
      <w:r w:rsidRPr="00F10E52">
        <w:rPr>
          <w:rFonts w:ascii="Verdana" w:eastAsia="Arial" w:hAnsi="Verdana" w:cs="Arial"/>
          <w:lang w:val="es-ES" w:eastAsia="es-ES" w:bidi="es-ES"/>
        </w:rPr>
        <w:t xml:space="preserve">, </w:t>
      </w:r>
      <w:bookmarkStart w:id="9" w:name="_Hlk77236420"/>
      <w:bookmarkStart w:id="10" w:name="_Hlk78818435"/>
      <w:bookmarkStart w:id="11"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8"/>
    <w:bookmarkEnd w:id="10"/>
    <w:p w14:paraId="13F51A4A" w14:textId="77777777" w:rsidR="001B5535" w:rsidRPr="00F10E52" w:rsidRDefault="001B5535" w:rsidP="001B5535">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1"/>
    <w:p w14:paraId="3CFE5037" w14:textId="77777777" w:rsidR="001B5535" w:rsidRDefault="001B5535" w:rsidP="001B5535">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035824D4" w14:textId="77777777" w:rsidR="001B5535" w:rsidRDefault="001B5535" w:rsidP="001B5535">
      <w:pPr>
        <w:spacing w:after="120" w:line="276" w:lineRule="auto"/>
        <w:ind w:firstLine="709"/>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lo anterior, a continuación, se hará un análisis sobre los dos tipos de restricciones, con el fin de determinar si los convenios interadministrativos o los convenios o contratos celebrados con entidades sin ánimo de lucro se enmarcan en alguno de los supuestos que señalan las normas. </w:t>
      </w:r>
    </w:p>
    <w:p w14:paraId="201F4F22" w14:textId="5D0A0B7D" w:rsidR="001B5535" w:rsidRPr="001B5535" w:rsidRDefault="001B5535" w:rsidP="001B5535">
      <w:pPr>
        <w:spacing w:after="0" w:line="276" w:lineRule="auto"/>
        <w:ind w:firstLine="709"/>
        <w:jc w:val="both"/>
        <w:rPr>
          <w:rFonts w:ascii="Verdana" w:hAnsi="Verdana" w:cs="Arial"/>
          <w:lang w:eastAsia="es-CO"/>
        </w:rPr>
      </w:pPr>
      <w:r>
        <w:rPr>
          <w:rFonts w:ascii="Verdana" w:hAnsi="Verdana" w:cs="Arial"/>
          <w:bCs/>
          <w:lang w:eastAsia="x-none"/>
        </w:rPr>
        <w:t>En primer lugar, e</w:t>
      </w:r>
      <w:r w:rsidRPr="00195E24">
        <w:rPr>
          <w:rFonts w:ascii="Verdana" w:hAnsi="Verdana" w:cs="Arial"/>
          <w:bCs/>
          <w:lang w:eastAsia="x-none"/>
        </w:rPr>
        <w:t xml:space="preserve">l ámbito material de la prohibición contenida </w:t>
      </w:r>
      <w:bookmarkStart w:id="12" w:name="_Hlk75628761"/>
      <w:r w:rsidRPr="00195E24">
        <w:rPr>
          <w:rFonts w:ascii="Verdana" w:hAnsi="Verdana" w:cs="Arial"/>
          <w:bCs/>
          <w:lang w:eastAsia="x-none"/>
        </w:rPr>
        <w:t xml:space="preserve">en el artículo 33 de la </w:t>
      </w:r>
      <w:r>
        <w:rPr>
          <w:rFonts w:ascii="Verdana" w:hAnsi="Verdana" w:cs="Arial"/>
          <w:bCs/>
          <w:lang w:eastAsia="x-none"/>
        </w:rPr>
        <w:t>L</w:t>
      </w:r>
      <w:r w:rsidRPr="00195E24">
        <w:rPr>
          <w:rFonts w:ascii="Verdana" w:hAnsi="Verdana" w:cs="Arial"/>
          <w:bCs/>
          <w:lang w:eastAsia="x-none"/>
        </w:rPr>
        <w:t xml:space="preserve">ey 996 de 2005 </w:t>
      </w:r>
      <w:bookmarkEnd w:id="12"/>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6C2B8A97" w14:textId="77777777" w:rsidR="001B5535" w:rsidRPr="005800D0" w:rsidRDefault="001B5535" w:rsidP="001B5535">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25"/>
      </w:r>
      <w:r w:rsidRPr="005800D0">
        <w:rPr>
          <w:rFonts w:ascii="Verdana" w:hAnsi="Verdana" w:cs="Arial"/>
          <w:sz w:val="20"/>
          <w:szCs w:val="20"/>
        </w:rPr>
        <w:t>.</w:t>
      </w:r>
    </w:p>
    <w:p w14:paraId="5D70A862" w14:textId="77777777" w:rsidR="001B5535" w:rsidRDefault="001B5535" w:rsidP="001B5535">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que para los efectos de la ley de garantías, y dada su finalidad, el enunciado ´contratación directa´ es sinónimo </w:t>
      </w:r>
      <w:bookmarkStart w:id="13" w:name="_Hlk75741738"/>
      <w:r w:rsidRPr="005800D0">
        <w:rPr>
          <w:rFonts w:ascii="Verdana" w:hAnsi="Verdana" w:cs="Arial"/>
          <w:sz w:val="20"/>
          <w:szCs w:val="20"/>
        </w:rPr>
        <w:t xml:space="preserve">de cualquier sistema que no implique convocatoria pública y posibilidad de pluralidad de oferentes, </w:t>
      </w:r>
      <w:bookmarkEnd w:id="13"/>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26"/>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27"/>
      </w:r>
      <w:r w:rsidRPr="005800D0">
        <w:rPr>
          <w:rFonts w:ascii="Verdana" w:hAnsi="Verdana" w:cs="Arial"/>
          <w:sz w:val="20"/>
          <w:szCs w:val="20"/>
        </w:rPr>
        <w:t>.</w:t>
      </w:r>
    </w:p>
    <w:p w14:paraId="45F8963C" w14:textId="77777777" w:rsidR="001B5535" w:rsidRPr="005800D0" w:rsidRDefault="001B5535" w:rsidP="001B5535">
      <w:pPr>
        <w:spacing w:after="0" w:line="240" w:lineRule="auto"/>
        <w:ind w:left="709" w:right="709"/>
        <w:jc w:val="both"/>
        <w:rPr>
          <w:rFonts w:ascii="Verdana" w:hAnsi="Verdana" w:cs="Arial"/>
        </w:rPr>
      </w:pPr>
    </w:p>
    <w:p w14:paraId="6CA86572" w14:textId="77777777" w:rsidR="001B5535" w:rsidRPr="00195E24" w:rsidRDefault="001B5535" w:rsidP="001B5535">
      <w:pPr>
        <w:spacing w:after="120" w:line="276" w:lineRule="auto"/>
        <w:ind w:firstLine="709"/>
        <w:jc w:val="both"/>
        <w:rPr>
          <w:rFonts w:ascii="Verdana" w:hAnsi="Verdana" w:cs="Arial"/>
          <w:bCs/>
          <w:lang w:eastAsia="x-none"/>
        </w:rPr>
      </w:pPr>
      <w:bookmarkStart w:id="15" w:name="_Hlk94521748"/>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 xml:space="preserve">u otros </w:t>
      </w:r>
      <w:r>
        <w:rPr>
          <w:rFonts w:ascii="Verdana" w:hAnsi="Verdana" w:cs="Arial"/>
          <w:lang w:eastAsia="x-none"/>
        </w:rPr>
        <w:t xml:space="preserve">procedimientos abiertos y competitivos </w:t>
      </w:r>
      <w:r w:rsidRPr="00195E24">
        <w:rPr>
          <w:rFonts w:ascii="Verdana" w:hAnsi="Verdana" w:cs="Arial"/>
          <w:lang w:eastAsia="x-none"/>
        </w:rPr>
        <w:t>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28"/>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29"/>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5"/>
    <w:p w14:paraId="1348A49A" w14:textId="77777777" w:rsidR="001B5535" w:rsidRPr="00195E24" w:rsidRDefault="001B5535" w:rsidP="001B5535">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30"/>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64DF67DB" w14:textId="77777777" w:rsidR="001B5535" w:rsidRPr="00195E24" w:rsidRDefault="001B5535" w:rsidP="001B5535">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6"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6"/>
      <w:r w:rsidRPr="00195E24">
        <w:rPr>
          <w:rFonts w:ascii="Verdana" w:hAnsi="Verdana" w:cs="Arial"/>
          <w:vertAlign w:val="superscript"/>
          <w:lang w:eastAsia="x-none"/>
        </w:rPr>
        <w:footnoteReference w:id="31"/>
      </w:r>
      <w:r w:rsidRPr="00195E24">
        <w:rPr>
          <w:rFonts w:ascii="Verdana" w:hAnsi="Verdana" w:cs="Arial"/>
          <w:lang w:eastAsia="x-none"/>
        </w:rPr>
        <w:t xml:space="preserve">. </w:t>
      </w:r>
    </w:p>
    <w:p w14:paraId="69A03A70" w14:textId="77777777" w:rsidR="001B5535" w:rsidRPr="00CE0712" w:rsidRDefault="001B5535" w:rsidP="001B5535">
      <w:pPr>
        <w:spacing w:after="120" w:line="276" w:lineRule="auto"/>
        <w:ind w:firstLine="709"/>
        <w:jc w:val="both"/>
        <w:rPr>
          <w:rFonts w:ascii="Verdana" w:hAnsi="Verdana" w:cs="Arial"/>
          <w:bCs/>
          <w:lang w:eastAsia="es-CO"/>
        </w:rPr>
      </w:pPr>
      <w:r w:rsidRPr="00195E24">
        <w:rPr>
          <w:rFonts w:ascii="Verdana" w:hAnsi="Verdana" w:cs="Arial"/>
          <w:bCs/>
          <w:lang w:eastAsia="es-CO"/>
        </w:rPr>
        <w:t>Como se advierte de lo anterior, el Consejo de Estado realiza una interpretación amplia de la contratación directa, para efectos de aplicar las restricciones establecidas en la Ley de Garantías</w:t>
      </w:r>
      <w:r>
        <w:rPr>
          <w:rFonts w:ascii="Verdana" w:hAnsi="Verdana" w:cs="Arial"/>
          <w:bCs/>
          <w:lang w:eastAsia="es-CO"/>
        </w:rPr>
        <w:t xml:space="preserve"> Electorales</w:t>
      </w:r>
      <w:r w:rsidRPr="00195E24">
        <w:rPr>
          <w:rFonts w:ascii="Verdana" w:hAnsi="Verdana" w:cs="Arial"/>
          <w:bCs/>
          <w:lang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42EEBA85" w14:textId="77777777" w:rsidR="001B5535" w:rsidRDefault="001B5535" w:rsidP="001B5535">
      <w:pPr>
        <w:spacing w:after="120" w:line="276" w:lineRule="auto"/>
        <w:ind w:firstLine="709"/>
        <w:jc w:val="both"/>
        <w:rPr>
          <w:rFonts w:ascii="Verdana" w:hAnsi="Verdana" w:cs="Arial"/>
          <w:vertAlign w:val="superscript"/>
          <w:lang w:eastAsia="x-none"/>
        </w:rPr>
      </w:pPr>
      <w:bookmarkStart w:id="17"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32"/>
      </w:r>
      <w:r w:rsidRPr="007E27D9">
        <w:rPr>
          <w:rFonts w:ascii="Verdana" w:hAnsi="Verdana" w:cs="Arial"/>
          <w:lang w:eastAsia="x-none"/>
        </w:rPr>
        <w:t>.</w:t>
      </w:r>
      <w:r w:rsidRPr="007E27D9">
        <w:rPr>
          <w:rFonts w:ascii="Verdana" w:hAnsi="Verdana" w:cs="Arial"/>
          <w:vertAlign w:val="superscript"/>
          <w:lang w:eastAsia="x-none"/>
        </w:rPr>
        <w:t xml:space="preserve"> </w:t>
      </w:r>
    </w:p>
    <w:p w14:paraId="5B76665E" w14:textId="77777777" w:rsidR="001B5535" w:rsidRPr="007E27D9" w:rsidRDefault="001B5535" w:rsidP="001B5535">
      <w:pPr>
        <w:spacing w:after="120" w:line="276" w:lineRule="auto"/>
        <w:ind w:firstLine="709"/>
        <w:jc w:val="both"/>
        <w:rPr>
          <w:rFonts w:ascii="Verdana" w:hAnsi="Verdana" w:cs="Arial"/>
          <w:lang w:eastAsia="x-none"/>
        </w:rPr>
      </w:pPr>
      <w:r w:rsidRPr="00AD17FF">
        <w:rPr>
          <w:rFonts w:ascii="Verdana" w:hAnsi="Verdana" w:cs="Arial"/>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Style w:val="Refdenotaalpie"/>
          <w:rFonts w:ascii="Verdana" w:hAnsi="Verdana" w:cs="Arial"/>
          <w:lang w:eastAsia="x-none"/>
        </w:rPr>
        <w:footnoteReference w:id="33"/>
      </w:r>
      <w:r w:rsidRPr="00AD17FF">
        <w:rPr>
          <w:rFonts w:ascii="Verdana" w:hAnsi="Verdana" w:cs="Arial"/>
          <w:lang w:eastAsia="x-none"/>
        </w:rPr>
        <w:t>.</w:t>
      </w:r>
    </w:p>
    <w:bookmarkEnd w:id="17"/>
    <w:p w14:paraId="68420D1F" w14:textId="77777777" w:rsidR="001B5535" w:rsidRPr="007E27D9" w:rsidRDefault="001B5535" w:rsidP="001B5535">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p>
    <w:p w14:paraId="48FE4A75" w14:textId="77777777" w:rsidR="001B5535" w:rsidRPr="00CE0712" w:rsidRDefault="001B5535" w:rsidP="001B5535">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5E7B4F6E" w14:textId="77777777" w:rsidR="001B5535" w:rsidRDefault="001B5535" w:rsidP="001B5535">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 xml:space="preserve">La Sala de Consulta y Servicio Civil del Consejo de Estado, en Concepto 1727 del 20 de febrero de 2006, consideró que el artículo 33 de la </w:t>
      </w:r>
      <w:r>
        <w:rPr>
          <w:rFonts w:ascii="Verdana" w:hAnsi="Verdana" w:cs="Arial"/>
          <w:color w:val="000000" w:themeColor="text1"/>
          <w:lang w:val="es-MX"/>
        </w:rPr>
        <w:t>L</w:t>
      </w:r>
      <w:r w:rsidRPr="73D21086">
        <w:rPr>
          <w:rFonts w:ascii="Verdana" w:hAnsi="Verdana" w:cs="Arial"/>
          <w:color w:val="000000" w:themeColor="text1"/>
          <w:lang w:val="es-MX"/>
        </w:rPr>
        <w:t xml:space="preserve">ey 996 de 2005, efectivamente se aplica incluso a las </w:t>
      </w:r>
      <w:r>
        <w:rPr>
          <w:rFonts w:ascii="Verdana" w:hAnsi="Verdana" w:cs="Arial"/>
          <w:color w:val="000000" w:themeColor="text1"/>
          <w:lang w:val="es-MX"/>
        </w:rPr>
        <w:t>e</w:t>
      </w:r>
      <w:r w:rsidRPr="73D21086">
        <w:rPr>
          <w:rFonts w:ascii="Verdana" w:hAnsi="Verdana" w:cs="Arial"/>
          <w:color w:val="000000" w:themeColor="text1"/>
          <w:lang w:val="es-MX"/>
        </w:rPr>
        <w:t xml:space="preserve">ntidades </w:t>
      </w:r>
      <w:r>
        <w:rPr>
          <w:rFonts w:ascii="Verdana" w:hAnsi="Verdana" w:cs="Arial"/>
          <w:color w:val="000000" w:themeColor="text1"/>
          <w:lang w:val="es-MX"/>
        </w:rPr>
        <w:t>e</w:t>
      </w:r>
      <w:r w:rsidRPr="73D21086">
        <w:rPr>
          <w:rFonts w:ascii="Verdana" w:hAnsi="Verdana" w:cs="Arial"/>
          <w:color w:val="000000" w:themeColor="text1"/>
          <w:lang w:val="es-MX"/>
        </w:rPr>
        <w:t>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34"/>
      </w:r>
      <w:r w:rsidRPr="73D21086">
        <w:rPr>
          <w:rFonts w:ascii="Verdana" w:hAnsi="Verdana" w:cs="Arial"/>
          <w:color w:val="000000" w:themeColor="text1"/>
          <w:lang w:val="es-MX"/>
        </w:rPr>
        <w:t xml:space="preserve">. </w:t>
      </w:r>
    </w:p>
    <w:p w14:paraId="3BA32280" w14:textId="77777777" w:rsidR="001B5535" w:rsidRPr="002D6B92" w:rsidRDefault="001B5535" w:rsidP="001B5535">
      <w:pPr>
        <w:spacing w:after="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35"/>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7C6F65C8" w14:textId="77777777" w:rsidR="001B5535" w:rsidRPr="002D6B92" w:rsidRDefault="001B5535" w:rsidP="001B5535">
      <w:pPr>
        <w:spacing w:after="0" w:line="240" w:lineRule="auto"/>
        <w:ind w:firstLine="709"/>
        <w:jc w:val="both"/>
        <w:rPr>
          <w:rFonts w:ascii="Verdana" w:hAnsi="Verdana" w:cs="Arial"/>
          <w:color w:val="000000" w:themeColor="text1"/>
          <w:lang w:val="es-MX"/>
        </w:rPr>
      </w:pPr>
    </w:p>
    <w:p w14:paraId="58A0AF54" w14:textId="77777777" w:rsidR="001B5535" w:rsidRPr="005800D0" w:rsidRDefault="001B5535" w:rsidP="001B5535">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27730528" w14:textId="77777777" w:rsidR="001B5535" w:rsidRDefault="001B5535" w:rsidP="001B5535">
      <w:pPr>
        <w:spacing w:after="0" w:line="240" w:lineRule="auto"/>
        <w:ind w:left="709" w:right="709"/>
        <w:jc w:val="both"/>
        <w:rPr>
          <w:rFonts w:ascii="Verdana" w:hAnsi="Verdana" w:cs="Arial"/>
          <w:color w:val="000000" w:themeColor="text1"/>
          <w:sz w:val="20"/>
          <w:szCs w:val="20"/>
          <w:lang w:val="es-MX"/>
        </w:rPr>
      </w:pPr>
    </w:p>
    <w:p w14:paraId="029988A1" w14:textId="77777777" w:rsidR="001B5535" w:rsidRPr="00435A6A" w:rsidRDefault="001B5535" w:rsidP="001B5535">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36"/>
      </w:r>
      <w:r w:rsidRPr="005800D0">
        <w:rPr>
          <w:rFonts w:ascii="Verdana" w:hAnsi="Verdana" w:cs="Arial"/>
          <w:color w:val="000000" w:themeColor="text1"/>
          <w:sz w:val="20"/>
          <w:szCs w:val="20"/>
          <w:lang w:val="es-MX" w:eastAsia="x-none"/>
        </w:rPr>
        <w:t>.</w:t>
      </w:r>
    </w:p>
    <w:p w14:paraId="571B4BB3" w14:textId="77777777" w:rsidR="001B5535" w:rsidRDefault="001B5535" w:rsidP="001B5535">
      <w:pPr>
        <w:spacing w:after="0" w:line="240" w:lineRule="auto"/>
        <w:ind w:firstLine="709"/>
        <w:jc w:val="both"/>
        <w:rPr>
          <w:rFonts w:ascii="Verdana" w:hAnsi="Verdana" w:cs="Arial"/>
          <w:color w:val="000000" w:themeColor="text1"/>
          <w:lang w:val="es-MX"/>
        </w:rPr>
      </w:pPr>
    </w:p>
    <w:p w14:paraId="4D33E93F" w14:textId="77777777" w:rsidR="001B5535" w:rsidRDefault="001B5535" w:rsidP="001B5535">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37"/>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5B87F0D9" w14:textId="77777777" w:rsidR="001B5535" w:rsidRPr="00195E24" w:rsidRDefault="001B5535" w:rsidP="001B5535">
      <w:pPr>
        <w:spacing w:after="120" w:line="276" w:lineRule="auto"/>
        <w:ind w:firstLine="709"/>
        <w:jc w:val="both"/>
        <w:rPr>
          <w:rFonts w:ascii="Verdana" w:hAnsi="Verdana" w:cs="Arial"/>
          <w:color w:val="000000" w:themeColor="text1"/>
          <w:lang w:eastAsia="es-CO"/>
        </w:rPr>
      </w:pPr>
      <w:r>
        <w:rPr>
          <w:rFonts w:ascii="Verdana" w:hAnsi="Verdana" w:cs="Arial"/>
          <w:color w:val="000000" w:themeColor="text1"/>
          <w:lang w:eastAsia="es-CO"/>
        </w:rPr>
        <w:t>Conforme l</w:t>
      </w:r>
      <w:r w:rsidRPr="00CE0D82">
        <w:rPr>
          <w:rFonts w:ascii="Verdana" w:hAnsi="Verdana" w:cs="Arial"/>
          <w:color w:val="000000" w:themeColor="text1"/>
          <w:lang w:eastAsia="es-CO"/>
        </w:rPr>
        <w:t>os pronunciamientos de la Sala de Consulta y Servicio Civil</w:t>
      </w:r>
      <w:r w:rsidRPr="00CE0D82">
        <w:rPr>
          <w:rFonts w:ascii="Verdana" w:hAnsi="Verdana" w:cs="Arial"/>
          <w:color w:val="000000" w:themeColor="text1"/>
          <w:lang w:val="es-MX"/>
        </w:rPr>
        <w:t xml:space="preserve">,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092FA24E" w14:textId="77777777" w:rsidR="001B5535" w:rsidRPr="00CE0712" w:rsidRDefault="001B5535" w:rsidP="001B5535">
      <w:pPr>
        <w:spacing w:after="120" w:line="276" w:lineRule="auto"/>
        <w:ind w:firstLine="709"/>
        <w:jc w:val="both"/>
        <w:rPr>
          <w:rFonts w:ascii="Verdana" w:hAnsi="Verdana" w:cs="Arial"/>
          <w:bCs/>
          <w:color w:val="000000" w:themeColor="text1"/>
          <w:lang w:val="es-MX" w:eastAsia="x-none"/>
        </w:rPr>
      </w:pPr>
      <w:r>
        <w:rPr>
          <w:rFonts w:ascii="Verdana" w:hAnsi="Verdana" w:cs="Arial"/>
          <w:color w:val="000000" w:themeColor="text1"/>
          <w:lang w:val="es-MX"/>
        </w:rPr>
        <w:t>No</w:t>
      </w:r>
      <w:r w:rsidRPr="73D21086">
        <w:rPr>
          <w:rFonts w:ascii="Verdana" w:hAnsi="Verdana" w:cs="Arial"/>
          <w:color w:val="000000" w:themeColor="text1"/>
          <w:lang w:val="es-MX"/>
        </w:rPr>
        <w:t xml:space="preserve">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03724C47" w14:textId="77777777" w:rsidR="001B5535" w:rsidRDefault="001B5535" w:rsidP="001B5535">
      <w:pPr>
        <w:spacing w:after="120" w:line="276" w:lineRule="auto"/>
        <w:ind w:firstLine="709"/>
        <w:jc w:val="both"/>
        <w:rPr>
          <w:rFonts w:ascii="Verdana" w:eastAsia="Times New Roman" w:hAnsi="Verdana" w:cs="Arial"/>
          <w:bCs/>
          <w:lang w:val="es-ES" w:eastAsia="es-CO" w:bidi="es-ES"/>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52E4ED46" w14:textId="77777777" w:rsidR="001B5535" w:rsidRDefault="001B5535" w:rsidP="001B5535">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336F7A16" w14:textId="77777777" w:rsidR="001B5535" w:rsidRDefault="001B5535" w:rsidP="001B5535">
      <w:pPr>
        <w:spacing w:after="120" w:line="276" w:lineRule="auto"/>
        <w:ind w:firstLine="709"/>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9" w:name="_Hlk74309042"/>
      <w:r w:rsidRPr="00F8199A">
        <w:rPr>
          <w:rFonts w:ascii="Verdana" w:hAnsi="Verdana" w:cs="Arial"/>
          <w:bCs/>
          <w:lang w:val="es-MX" w:eastAsia="x-none"/>
        </w:rPr>
        <w:t xml:space="preserve">que </w:t>
      </w:r>
      <w:r>
        <w:rPr>
          <w:rFonts w:ascii="Verdana" w:hAnsi="Verdana" w:cs="Arial"/>
          <w:bCs/>
          <w:lang w:val="es-MX" w:eastAsia="x-none"/>
        </w:rPr>
        <w:t>“</w:t>
      </w:r>
      <w:bookmarkEnd w:id="19"/>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20"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38"/>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20"/>
    </w:p>
    <w:p w14:paraId="56AB67CC" w14:textId="77777777" w:rsidR="001B5535" w:rsidRPr="0004207F" w:rsidRDefault="001B5535" w:rsidP="001B5535">
      <w:pPr>
        <w:spacing w:after="120" w:line="276" w:lineRule="auto"/>
        <w:ind w:firstLine="709"/>
        <w:jc w:val="both"/>
        <w:rPr>
          <w:rFonts w:ascii="Verdana" w:hAnsi="Verdana" w:cs="Arial"/>
          <w:bCs/>
          <w:lang w:val="es-MX" w:eastAsia="x-none"/>
        </w:rPr>
      </w:pPr>
      <w:r w:rsidRPr="0004207F">
        <w:rPr>
          <w:rFonts w:ascii="Verdana" w:hAnsi="Verdana" w:cs="Arial"/>
          <w:bCs/>
          <w:lang w:val="es-MX" w:eastAsia="x-none"/>
        </w:rPr>
        <w:t>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w:t>
      </w:r>
      <w:r>
        <w:rPr>
          <w:rFonts w:ascii="Verdana" w:hAnsi="Verdana" w:cs="Arial"/>
          <w:bCs/>
          <w:lang w:val="es-MX" w:eastAsia="x-none"/>
        </w:rPr>
        <w:t>(…)</w:t>
      </w:r>
      <w:r w:rsidRPr="0004207F">
        <w:rPr>
          <w:rFonts w:ascii="Verdana" w:hAnsi="Verdana" w:cs="Arial"/>
          <w:bCs/>
          <w:lang w:val="es-MX" w:eastAsia="x-none"/>
        </w:rPr>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bCs/>
          <w:lang w:val="es-MX" w:eastAsia="x-none"/>
        </w:rPr>
        <w:t>(…)</w:t>
      </w:r>
      <w:r w:rsidRPr="0004207F">
        <w:rPr>
          <w:rFonts w:ascii="Verdana" w:hAnsi="Verdana" w:cs="Arial"/>
          <w:bCs/>
          <w:lang w:val="es-MX" w:eastAsia="x-none"/>
        </w:rPr>
        <w:t>”</w:t>
      </w:r>
      <w:r w:rsidRPr="0004207F">
        <w:rPr>
          <w:rStyle w:val="Refdenotaalpie"/>
          <w:rFonts w:ascii="Verdana" w:hAnsi="Verdana" w:cs="Arial"/>
          <w:lang w:val="es-ES_tradnl" w:eastAsia="es-CO"/>
        </w:rPr>
        <w:footnoteReference w:id="39"/>
      </w:r>
      <w:r w:rsidRPr="0004207F">
        <w:rPr>
          <w:rFonts w:ascii="Verdana" w:hAnsi="Verdana" w:cs="Arial"/>
          <w:bCs/>
          <w:lang w:val="es-MX" w:eastAsia="x-none"/>
        </w:rPr>
        <w:t>.</w:t>
      </w:r>
    </w:p>
    <w:p w14:paraId="08B9D3BB" w14:textId="77777777" w:rsidR="001B5535" w:rsidRPr="0004207F" w:rsidRDefault="001B5535" w:rsidP="001B5535">
      <w:pPr>
        <w:shd w:val="clear" w:color="auto" w:fill="FFFFFF" w:themeFill="background1"/>
        <w:spacing w:after="120" w:line="276" w:lineRule="auto"/>
        <w:ind w:firstLine="709"/>
        <w:jc w:val="both"/>
        <w:rPr>
          <w:rFonts w:ascii="Verdana" w:hAnsi="Verdana" w:cs="Arial"/>
          <w:lang w:val="es-ES" w:eastAsia="es-CO"/>
        </w:rPr>
      </w:pPr>
      <w:r w:rsidRPr="2E79A5E2">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w:t>
      </w:r>
      <w:r>
        <w:rPr>
          <w:rFonts w:ascii="Verdana" w:hAnsi="Verdana" w:cs="Arial"/>
          <w:lang w:val="es-ES" w:eastAsia="es-CO"/>
        </w:rPr>
        <w:t>L</w:t>
      </w:r>
      <w:r w:rsidRPr="2E79A5E2">
        <w:rPr>
          <w:rFonts w:ascii="Verdana" w:hAnsi="Verdana" w:cs="Arial"/>
          <w:lang w:val="es-ES" w:eastAsia="es-CO"/>
        </w:rPr>
        <w:t>ey mencionada no pueden ir en detrimento de intereses públicos. Por lo anterior, la Alta Corte consideró que las excepciones para la prohibición de contratación se encontraban justificadas, declarando su exequibilidad. Así, por ejemplo, la Corte Constitucional explicó que “</w:t>
      </w:r>
      <w:r>
        <w:rPr>
          <w:rFonts w:ascii="Verdana" w:hAnsi="Verdana" w:cs="Arial"/>
          <w:lang w:val="es-ES" w:eastAsia="es-CO"/>
        </w:rPr>
        <w:t>(…)</w:t>
      </w:r>
      <w:r w:rsidRPr="2E79A5E2">
        <w:rPr>
          <w:rFonts w:ascii="Verdana" w:hAnsi="Verdana" w:cs="Arial"/>
          <w:lang w:val="es-ES" w:eastAsia="es-CO"/>
        </w:rPr>
        <w:t xml:space="preserve">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2E79A5E2">
        <w:rPr>
          <w:rStyle w:val="Refdenotaalpie"/>
          <w:rFonts w:ascii="Verdana" w:hAnsi="Verdana" w:cs="Arial"/>
          <w:lang w:val="es-ES" w:eastAsia="es-CO"/>
        </w:rPr>
        <w:footnoteReference w:id="40"/>
      </w:r>
      <w:r w:rsidRPr="2E79A5E2">
        <w:rPr>
          <w:rFonts w:ascii="Verdana" w:hAnsi="Verdana" w:cs="Arial"/>
          <w:lang w:val="es-ES" w:eastAsia="es-CO"/>
        </w:rPr>
        <w:t xml:space="preserve">. </w:t>
      </w:r>
    </w:p>
    <w:p w14:paraId="5BFC5F82" w14:textId="77777777" w:rsidR="001B5535" w:rsidRPr="0004207F" w:rsidRDefault="001B5535" w:rsidP="001B5535">
      <w:pPr>
        <w:shd w:val="clear" w:color="auto" w:fill="FFFFFF"/>
        <w:spacing w:after="120" w:line="276" w:lineRule="auto"/>
        <w:ind w:firstLine="709"/>
        <w:jc w:val="both"/>
        <w:rPr>
          <w:rFonts w:ascii="Verdana" w:hAnsi="Verdana" w:cs="Arial"/>
          <w:lang w:val="es-ES_tradnl" w:eastAsia="es-CO"/>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7BE8EF5D" w14:textId="77777777" w:rsidR="001B5535" w:rsidRPr="00687B5B" w:rsidRDefault="001B5535" w:rsidP="001B5535">
      <w:pPr>
        <w:spacing w:after="120" w:line="276" w:lineRule="auto"/>
        <w:ind w:firstLine="708"/>
        <w:jc w:val="both"/>
        <w:rPr>
          <w:rFonts w:ascii="Verdana" w:eastAsia="Calibri" w:hAnsi="Verdana" w:cs="Arial"/>
        </w:rPr>
      </w:pPr>
      <w:r w:rsidRPr="0004207F">
        <w:rPr>
          <w:rFonts w:ascii="Verdana" w:hAnsi="Verdana" w:cs="Arial"/>
          <w:bCs/>
          <w:lang w:val="es-MX" w:eastAsia="x-none"/>
        </w:rPr>
        <w:t>Entre las excepciones del artículo en comento se encuentran “</w:t>
      </w:r>
      <w:r>
        <w:rPr>
          <w:rFonts w:ascii="Verdana" w:hAnsi="Verdana" w:cs="Arial"/>
          <w:bCs/>
          <w:lang w:val="es-MX" w:eastAsia="x-none"/>
        </w:rPr>
        <w:t>(…)</w:t>
      </w:r>
      <w:r w:rsidRPr="0004207F">
        <w:rPr>
          <w:rFonts w:ascii="Verdana" w:hAnsi="Verdana" w:cs="Arial"/>
          <w:bCs/>
          <w:lang w:val="es-MX" w:eastAsia="x-none"/>
        </w:rPr>
        <w:t xml:space="preserve"> l</w:t>
      </w:r>
      <w:r w:rsidRPr="0004207F">
        <w:rPr>
          <w:rFonts w:ascii="Verdana" w:hAnsi="Verdana" w:cs="Arial"/>
          <w:bCs/>
          <w:lang w:eastAsia="x-none"/>
        </w:rPr>
        <w:t xml:space="preserve">os requeridos para cubrir las emergencias educativas, sanitarias y desastres </w:t>
      </w:r>
      <w:r>
        <w:rPr>
          <w:rFonts w:ascii="Verdana" w:hAnsi="Verdana" w:cs="Arial"/>
          <w:bCs/>
          <w:lang w:eastAsia="x-none"/>
        </w:rPr>
        <w:t>(…)</w:t>
      </w:r>
      <w:r w:rsidRPr="0004207F">
        <w:rPr>
          <w:rFonts w:ascii="Verdana" w:hAnsi="Verdana" w:cs="Arial"/>
          <w:bCs/>
          <w:lang w:val="es-MX" w:eastAsia="x-none"/>
        </w:rPr>
        <w:t>”</w:t>
      </w:r>
      <w:r w:rsidRPr="0004207F">
        <w:rPr>
          <w:rFonts w:ascii="Verdana" w:eastAsia="Calibri" w:hAnsi="Verdana" w:cs="Arial"/>
        </w:rPr>
        <w:t xml:space="preserve">. Sobre el alcance de estas excepciones, es necesario tener en cuenta que el </w:t>
      </w:r>
      <w:r w:rsidRPr="0004207F">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04207F">
        <w:rPr>
          <w:rFonts w:ascii="Verdana" w:eastAsia="Calibri" w:hAnsi="Verdana" w:cs="Arial"/>
          <w:bCs/>
          <w:i/>
          <w:iCs/>
          <w:color w:val="000000" w:themeColor="text1"/>
        </w:rPr>
        <w:t>ibidem</w:t>
      </w:r>
      <w:r w:rsidRPr="0004207F">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04207F">
        <w:rPr>
          <w:rStyle w:val="Refdenotaalpie"/>
          <w:rFonts w:ascii="Verdana" w:eastAsia="Calibri" w:hAnsi="Verdana" w:cs="Arial"/>
          <w:bCs/>
          <w:color w:val="000000" w:themeColor="text1"/>
        </w:rPr>
        <w:footnoteReference w:id="41"/>
      </w:r>
      <w:r w:rsidRPr="0004207F">
        <w:rPr>
          <w:rFonts w:ascii="Verdana" w:eastAsia="Calibri" w:hAnsi="Verdana" w:cs="Arial"/>
          <w:bCs/>
          <w:color w:val="000000" w:themeColor="text1"/>
        </w:rPr>
        <w:t>.</w:t>
      </w:r>
      <w:r w:rsidRPr="3683B926">
        <w:rPr>
          <w:rFonts w:ascii="Verdana" w:eastAsia="Calibri" w:hAnsi="Verdana" w:cs="Arial"/>
          <w:lang w:val="es-ES"/>
        </w:rPr>
        <w:t xml:space="preserve"> </w:t>
      </w:r>
    </w:p>
    <w:p w14:paraId="3233CDA1" w14:textId="77777777" w:rsidR="001B5535" w:rsidRDefault="001B5535" w:rsidP="001B5535">
      <w:pPr>
        <w:spacing w:before="120" w:after="0" w:line="276" w:lineRule="auto"/>
        <w:ind w:firstLine="709"/>
        <w:jc w:val="both"/>
        <w:rPr>
          <w:rFonts w:ascii="Verdana" w:eastAsia="Calibri" w:hAnsi="Verdana" w:cs="Arial"/>
          <w:lang w:val="es-ES"/>
        </w:rPr>
      </w:pPr>
      <w:r>
        <w:rPr>
          <w:rFonts w:ascii="Verdana" w:hAnsi="Verdana" w:cs="Arial"/>
          <w:lang w:val="es-ES"/>
        </w:rPr>
        <w:t>En segundo lugar</w:t>
      </w:r>
      <w:r w:rsidRPr="00B91291">
        <w:rPr>
          <w:rFonts w:ascii="Verdana" w:hAnsi="Verdana" w:cs="Arial"/>
          <w:lang w:val="es-ES"/>
        </w:rPr>
        <w:t xml:space="preserve">, respecto del alcance del parágrafo </w:t>
      </w:r>
      <w:r w:rsidRPr="00B91291">
        <w:rPr>
          <w:rFonts w:ascii="Verdana" w:hAnsi="Verdana" w:cs="Arial"/>
        </w:rPr>
        <w:t xml:space="preserve">del artículo 38 de la Ley 996 de 2005,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w:t>
      </w:r>
      <w:r w:rsidRPr="00B91291">
        <w:rPr>
          <w:rFonts w:ascii="Verdana" w:hAnsi="Verdana" w:cs="Arial"/>
          <w:i/>
          <w:iCs/>
        </w:rPr>
        <w:t>convenios interadministrativos</w:t>
      </w:r>
      <w:r w:rsidRPr="00B91291">
        <w:rPr>
          <w:rFonts w:ascii="Verdana" w:hAnsi="Verdana" w:cs="Arial"/>
        </w:rPr>
        <w:t xml:space="preserve"> </w:t>
      </w:r>
      <w:r w:rsidRPr="00B91291">
        <w:rPr>
          <w:rFonts w:ascii="Verdana" w:hAnsi="Verdana" w:cs="Arial"/>
          <w:i/>
          <w:iCs/>
        </w:rPr>
        <w:t>para la ejecución de recursos públicos</w:t>
      </w:r>
      <w:r w:rsidRPr="00B91291">
        <w:rPr>
          <w:rFonts w:ascii="Verdana" w:hAnsi="Verdana" w:cs="Arial"/>
        </w:rPr>
        <w:t>”.</w:t>
      </w:r>
      <w:r w:rsidRPr="00B91291">
        <w:rPr>
          <w:rFonts w:ascii="Verdana" w:eastAsia="Times New Roman" w:hAnsi="Verdana" w:cs="Arial"/>
          <w:lang w:val="es-MX" w:eastAsia="x-none"/>
        </w:rPr>
        <w:t xml:space="preserve"> </w:t>
      </w:r>
      <w:r>
        <w:rPr>
          <w:rFonts w:ascii="Verdana" w:eastAsia="Times New Roman" w:hAnsi="Verdana" w:cs="Arial"/>
          <w:lang w:val="es-MX" w:eastAsia="x-none"/>
        </w:rPr>
        <w:t>(</w:t>
      </w:r>
      <w:r w:rsidRPr="00B91291">
        <w:rPr>
          <w:rFonts w:ascii="Verdana" w:eastAsia="Times New Roman" w:hAnsi="Verdana" w:cs="Arial"/>
          <w:lang w:val="es-MX" w:eastAsia="x-none"/>
        </w:rPr>
        <w:t>Énfasis fuera del texto original</w:t>
      </w:r>
      <w:r>
        <w:rPr>
          <w:rFonts w:ascii="Verdana" w:eastAsia="Times New Roman" w:hAnsi="Verdana" w:cs="Arial"/>
          <w:lang w:val="es-MX" w:eastAsia="x-none"/>
        </w:rPr>
        <w:t>)</w:t>
      </w:r>
    </w:p>
    <w:p w14:paraId="0864634C" w14:textId="77777777" w:rsidR="001B5535" w:rsidRDefault="001B5535" w:rsidP="001B5535">
      <w:pPr>
        <w:spacing w:before="120" w:after="0" w:line="276" w:lineRule="auto"/>
        <w:ind w:firstLine="709"/>
        <w:jc w:val="both"/>
        <w:rPr>
          <w:rFonts w:ascii="Verdana" w:eastAsia="Calibri" w:hAnsi="Verdana" w:cs="Arial"/>
          <w:lang w:val="es-ES"/>
        </w:rPr>
      </w:pPr>
      <w:r w:rsidRPr="00B91291">
        <w:rPr>
          <w:rFonts w:ascii="Verdana" w:eastAsia="Times New Roman" w:hAnsi="Verdana" w:cs="Arial"/>
          <w:lang w:val="es-ES" w:eastAsia="es-ES"/>
        </w:rPr>
        <w:t xml:space="preserve">Para tales efectos, debe precisarse que </w:t>
      </w:r>
      <w:r w:rsidRPr="00B91291">
        <w:rPr>
          <w:rFonts w:ascii="Verdana" w:eastAsia="Times New Roman" w:hAnsi="Verdana" w:cs="Arial"/>
          <w:color w:val="000000" w:themeColor="text1"/>
          <w:lang w:val="es-ES" w:eastAsia="es-CO"/>
        </w:rPr>
        <w:t>los contratos o convenios interadministrativos están determinados</w:t>
      </w:r>
      <w:r w:rsidRPr="00667CD6">
        <w:rPr>
          <w:rFonts w:ascii="Verdana" w:eastAsia="Times New Roman" w:hAnsi="Verdana" w:cs="Arial"/>
          <w:color w:val="000000" w:themeColor="text1"/>
          <w:lang w:val="es-ES" w:eastAsia="es-CO"/>
        </w:rPr>
        <w:t xml:space="preserve">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42"/>
      </w:r>
      <w:r w:rsidRPr="00667CD6">
        <w:rPr>
          <w:rFonts w:ascii="Verdana" w:hAnsi="Verdana" w:cs="Arial"/>
          <w:lang w:eastAsia="es-ES"/>
        </w:rPr>
        <w:t>.</w:t>
      </w:r>
    </w:p>
    <w:p w14:paraId="0E420ADE" w14:textId="77777777" w:rsidR="001B5535" w:rsidRPr="00AD17FF" w:rsidRDefault="001B5535" w:rsidP="001B5535">
      <w:pPr>
        <w:spacing w:before="120" w:after="0" w:line="276" w:lineRule="auto"/>
        <w:ind w:firstLine="709"/>
        <w:jc w:val="both"/>
        <w:rPr>
          <w:rFonts w:ascii="Verdana" w:eastAsia="Calibri" w:hAnsi="Verdana" w:cs="Arial"/>
          <w:lang w:val="es-ES"/>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16A7993A" w14:textId="77777777" w:rsidR="001B5535" w:rsidRPr="00667CD6" w:rsidRDefault="001B5535" w:rsidP="001B5535">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43"/>
      </w:r>
      <w:r w:rsidRPr="2035D652">
        <w:rPr>
          <w:rFonts w:ascii="Verdana" w:hAnsi="Verdana" w:cs="Arial"/>
          <w:lang w:val="es-ES"/>
        </w:rPr>
        <w:t>. Nótese que, en este caso, lo que cambia es la modalidad de selección y no la naturaleza de contrato interadministrativo.</w:t>
      </w:r>
    </w:p>
    <w:p w14:paraId="36AE10DA" w14:textId="77777777" w:rsidR="001B5535" w:rsidRPr="00667CD6" w:rsidRDefault="001B5535" w:rsidP="001B5535">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44"/>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4EC9394F" w14:textId="77777777" w:rsidR="001B5535" w:rsidRPr="00B8078E" w:rsidRDefault="001B5535" w:rsidP="001B5535">
      <w:pPr>
        <w:spacing w:before="120" w:after="0" w:line="276" w:lineRule="auto"/>
        <w:ind w:firstLine="708"/>
        <w:jc w:val="both"/>
        <w:rPr>
          <w:rFonts w:ascii="Verdana" w:hAnsi="Verdana"/>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45"/>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B8078E">
        <w:rPr>
          <w:rFonts w:ascii="Verdana" w:hAnsi="Verdana"/>
          <w:lang w:eastAsia="es-CO"/>
        </w:rPr>
        <w:t>.</w:t>
      </w:r>
    </w:p>
    <w:p w14:paraId="18A87BCB" w14:textId="77777777" w:rsidR="001B5535" w:rsidRDefault="001B5535" w:rsidP="001B5535">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w:t>
      </w:r>
      <w:r>
        <w:rPr>
          <w:rFonts w:ascii="Verdana" w:eastAsia="Times New Roman" w:hAnsi="Verdana" w:cs="Arial"/>
          <w:lang w:val="es-MX" w:eastAsia="es-CO"/>
        </w:rPr>
        <w:t xml:space="preserve">es decir, </w:t>
      </w:r>
      <w:r w:rsidRPr="00E60AD8">
        <w:rPr>
          <w:rFonts w:ascii="Verdana" w:eastAsia="Times New Roman" w:hAnsi="Verdana" w:cs="Arial"/>
          <w:lang w:eastAsia="es-CO"/>
        </w:rPr>
        <w:t>alcaldías, gobernaciones, secretarías de despacho, así como entidades</w:t>
      </w:r>
      <w:r>
        <w:rPr>
          <w:rFonts w:ascii="Verdana" w:eastAsia="Times New Roman" w:hAnsi="Verdana" w:cs="Arial"/>
          <w:lang w:eastAsia="es-CO"/>
        </w:rPr>
        <w:t xml:space="preserve"> descentralizadas por servicios del orden municipal, departamental o distrital</w:t>
      </w:r>
      <w:r w:rsidRPr="00E60AD8">
        <w:rPr>
          <w:rFonts w:ascii="Verdana" w:eastAsia="Times New Roman" w:hAnsi="Verdana" w:cs="Arial"/>
          <w:lang w:eastAsia="es-CO"/>
        </w:rPr>
        <w:t xml:space="preserve"> </w:t>
      </w:r>
      <w:r w:rsidRPr="00667CD6">
        <w:rPr>
          <w:rFonts w:ascii="Verdana" w:eastAsia="Times New Roman" w:hAnsi="Verdana" w:cs="Arial"/>
          <w:lang w:val="es-MX" w:eastAsia="es-CO"/>
        </w:rPr>
        <w:t xml:space="preserve">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w:t>
      </w:r>
      <w:r>
        <w:rPr>
          <w:rFonts w:ascii="Verdana" w:eastAsia="Times New Roman" w:hAnsi="Verdana" w:cs="Arial"/>
          <w:lang w:val="es-MX" w:eastAsia="es-CO"/>
        </w:rPr>
        <w:t xml:space="preserve">se refiere </w:t>
      </w:r>
      <w:r w:rsidRPr="00667CD6">
        <w:rPr>
          <w:rFonts w:ascii="Verdana" w:eastAsia="Times New Roman" w:hAnsi="Verdana" w:cs="Arial"/>
          <w:lang w:val="es-MX" w:eastAsia="es-CO"/>
        </w:rPr>
        <w:t xml:space="preserve">a dicha tipología contractual sin que el legislador hubiere contemplado un efecto extensivo a otra tipología. </w:t>
      </w:r>
    </w:p>
    <w:p w14:paraId="12A1EA66" w14:textId="77777777" w:rsidR="001B5535" w:rsidRDefault="001B5535" w:rsidP="001B5535">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Respecto del alcance de esta prohibición la Circular Externa No. 006 de 2025 expedida por la ANCP -CCE, en los literales ii) y iv)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68AA01C0" w14:textId="77777777" w:rsidR="001B5535" w:rsidRPr="00667CD6" w:rsidRDefault="001B5535" w:rsidP="001B5535">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46"/>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5D121384" w14:textId="77777777" w:rsidR="001B5535" w:rsidRPr="00667CD6" w:rsidRDefault="001B5535" w:rsidP="001B5535">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Pr>
          <w:rFonts w:ascii="Verdana" w:eastAsia="Times New Roman" w:hAnsi="Verdana" w:cs="Arial"/>
          <w:lang w:eastAsia="es-CO"/>
        </w:rPr>
        <w:t xml:space="preserve">Es decir, las excepciones contempladas en el artículo 33 no son aplicables a la restricción del artículo 38. </w:t>
      </w:r>
    </w:p>
    <w:p w14:paraId="198396F5" w14:textId="77777777" w:rsidR="001B5535" w:rsidRPr="00667CD6" w:rsidRDefault="001B5535" w:rsidP="001B5535">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En este punto, vale la pena destacar que</w:t>
      </w:r>
      <w:r>
        <w:rPr>
          <w:rFonts w:ascii="Verdana" w:eastAsia="Times New Roman" w:hAnsi="Verdana" w:cs="Arial"/>
          <w:lang w:eastAsia="es-CO"/>
        </w:rPr>
        <w:t>,</w:t>
      </w:r>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47"/>
      </w:r>
      <w:r w:rsidRPr="00667CD6">
        <w:rPr>
          <w:rFonts w:ascii="Verdana" w:hAnsi="Verdana" w:cs="Arial"/>
        </w:rPr>
        <w:t xml:space="preserve">: </w:t>
      </w:r>
    </w:p>
    <w:p w14:paraId="6842ECF9" w14:textId="77777777" w:rsidR="001B5535" w:rsidRPr="00667CD6" w:rsidRDefault="001B5535" w:rsidP="001B5535">
      <w:pPr>
        <w:spacing w:after="0" w:line="240" w:lineRule="auto"/>
        <w:ind w:firstLine="709"/>
        <w:jc w:val="both"/>
        <w:rPr>
          <w:rFonts w:ascii="Verdana" w:hAnsi="Verdana" w:cs="Arial"/>
        </w:rPr>
      </w:pPr>
    </w:p>
    <w:p w14:paraId="6A8A0098" w14:textId="77777777" w:rsidR="001B5535" w:rsidRDefault="001B5535" w:rsidP="001B5535">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4B45B5E3" w14:textId="77777777" w:rsidR="001B5535" w:rsidRPr="00667CD6" w:rsidRDefault="001B5535" w:rsidP="001B5535">
      <w:pPr>
        <w:spacing w:after="0" w:line="240" w:lineRule="auto"/>
        <w:ind w:left="709" w:right="709"/>
        <w:jc w:val="both"/>
        <w:rPr>
          <w:rFonts w:ascii="Verdana" w:hAnsi="Verdana" w:cs="Arial"/>
          <w:sz w:val="20"/>
          <w:szCs w:val="20"/>
        </w:rPr>
      </w:pPr>
    </w:p>
    <w:p w14:paraId="4C5FAA2B" w14:textId="77777777" w:rsidR="001B5535" w:rsidRPr="00667CD6" w:rsidRDefault="001B5535" w:rsidP="001B5535">
      <w:pPr>
        <w:spacing w:after="0" w:line="240" w:lineRule="auto"/>
        <w:ind w:left="709" w:right="709"/>
        <w:jc w:val="both"/>
        <w:rPr>
          <w:rFonts w:ascii="Verdana" w:hAnsi="Verdana" w:cs="Arial"/>
          <w:sz w:val="20"/>
          <w:szCs w:val="20"/>
        </w:rPr>
      </w:pPr>
      <w:r w:rsidRPr="00667CD6">
        <w:rPr>
          <w:rFonts w:ascii="Verdana" w:hAnsi="Verdana" w:cs="Arial"/>
          <w:sz w:val="20"/>
          <w:szCs w:val="20"/>
        </w:rPr>
        <w:t xml:space="preserve">ii)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0D101242" w14:textId="77777777" w:rsidR="001B5535" w:rsidRPr="00667CD6" w:rsidRDefault="001B5535" w:rsidP="001B5535">
      <w:pPr>
        <w:spacing w:after="0" w:line="276" w:lineRule="auto"/>
        <w:ind w:left="709" w:right="709"/>
        <w:jc w:val="both"/>
        <w:rPr>
          <w:rFonts w:ascii="Verdana" w:hAnsi="Verdana" w:cs="Arial"/>
        </w:rPr>
      </w:pPr>
    </w:p>
    <w:p w14:paraId="3C993143" w14:textId="77777777" w:rsidR="001B5535" w:rsidRPr="00667CD6" w:rsidRDefault="001B5535" w:rsidP="001B5535">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5C03B586" w14:textId="77777777" w:rsidR="001B5535" w:rsidRPr="00667CD6" w:rsidRDefault="001B5535" w:rsidP="001B5535">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48"/>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1557BBE3" w14:textId="77777777" w:rsidR="001B5535" w:rsidRDefault="001B5535" w:rsidP="001B5535">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Finalmente, mediante sentencia del 17 de octubre de 2025, emitida por la S</w:t>
      </w:r>
      <w:r>
        <w:rPr>
          <w:rFonts w:ascii="Verdana" w:eastAsia="Arial" w:hAnsi="Verdana" w:cs="Arial"/>
          <w:lang w:eastAsia="es-ES" w:bidi="es-ES"/>
        </w:rPr>
        <w:t xml:space="preserve">ección Tercera del </w:t>
      </w:r>
      <w:r w:rsidRPr="31E4E861">
        <w:rPr>
          <w:rFonts w:ascii="Verdana" w:eastAsia="Arial" w:hAnsi="Verdana" w:cs="Arial"/>
          <w:lang w:eastAsia="es-ES" w:bidi="es-ES"/>
        </w:rPr>
        <w:t xml:space="preserve">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w:t>
      </w:r>
      <w:r>
        <w:rPr>
          <w:rFonts w:ascii="Verdana" w:eastAsia="Times New Roman" w:hAnsi="Verdana" w:cs="Times New Roman"/>
          <w:lang w:eastAsia="es-ES"/>
        </w:rPr>
        <w:t xml:space="preserve"> contratos interadministrativos (…)</w:t>
      </w:r>
      <w:r w:rsidRPr="31E4E861">
        <w:rPr>
          <w:rFonts w:ascii="Verdana" w:eastAsia="Times New Roman" w:hAnsi="Verdana" w:cs="Times New Roman"/>
          <w:lang w:eastAsia="es-ES"/>
        </w:rPr>
        <w:t xml:space="preserve">”. </w:t>
      </w:r>
    </w:p>
    <w:p w14:paraId="61CF9DA6" w14:textId="77777777" w:rsidR="001B5535" w:rsidRDefault="001B5535" w:rsidP="001B5535">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49"/>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74DFCD42" w14:textId="77777777" w:rsidR="001B5535" w:rsidRDefault="001B5535" w:rsidP="001B5535">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50"/>
      </w:r>
      <w:r>
        <w:rPr>
          <w:rFonts w:ascii="Verdana" w:eastAsia="Times New Roman" w:hAnsi="Verdana" w:cs="Arial"/>
          <w:lang w:eastAsia="es-CO"/>
        </w:rPr>
        <w:t>. C</w:t>
      </w:r>
      <w:r w:rsidRPr="00667CD6">
        <w:rPr>
          <w:rFonts w:ascii="Verdana" w:eastAsia="Times New Roman" w:hAnsi="Verdana" w:cs="Arial"/>
          <w:lang w:eastAsia="es-CO"/>
        </w:rPr>
        <w:t xml:space="preserve">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independientemente del objeto, dicho contrato puede suscribirse durante el periodo preelectoral.</w:t>
      </w:r>
    </w:p>
    <w:p w14:paraId="48D242A7" w14:textId="77777777" w:rsidR="001B5535" w:rsidRDefault="001B5535" w:rsidP="001B5535">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celebraron el 8 de marzo de 2026. Esta restricción se extiende a las elecciones presidenciales que se celebrarán el 31 de mayo de 2026, así como una posible segunda vuelta tres semanas después, es decir, el 21 de junio de 2026. </w:t>
      </w:r>
    </w:p>
    <w:p w14:paraId="4553ED3D" w14:textId="77777777" w:rsidR="001B5535" w:rsidRDefault="001B5535" w:rsidP="001B5535">
      <w:pPr>
        <w:spacing w:after="120" w:line="276" w:lineRule="auto"/>
        <w:ind w:firstLine="708"/>
        <w:jc w:val="both"/>
        <w:rPr>
          <w:rFonts w:ascii="Verdana" w:eastAsia="Calibri" w:hAnsi="Verdana" w:cs="Arial"/>
          <w:lang w:val="es-ES" w:eastAsia="es-ES"/>
        </w:rPr>
      </w:pPr>
      <w:r w:rsidRPr="00667CD6">
        <w:rPr>
          <w:rFonts w:ascii="Verdana" w:eastAsia="Times New Roman" w:hAnsi="Verdana" w:cs="Arial"/>
          <w:lang w:eastAsia="es-CO"/>
        </w:rPr>
        <w:t xml:space="preserve"> </w:t>
      </w:r>
      <w:r w:rsidRPr="605533EB">
        <w:rPr>
          <w:rFonts w:ascii="Verdana" w:eastAsia="Times New Roman" w:hAnsi="Verdana" w:cs="Arial"/>
          <w:lang w:eastAsia="es-CO"/>
        </w:rPr>
        <w:t xml:space="preserve">No </w:t>
      </w:r>
      <w:r>
        <w:rPr>
          <w:rFonts w:ascii="Verdana" w:eastAsia="Times New Roman" w:hAnsi="Verdana" w:cs="Arial"/>
          <w:lang w:eastAsia="es-CO"/>
        </w:rPr>
        <w:t>obstante</w:t>
      </w:r>
      <w:r w:rsidRPr="605533EB">
        <w:rPr>
          <w:rFonts w:ascii="Verdana" w:eastAsia="Times New Roman" w:hAnsi="Verdana" w:cs="Arial"/>
          <w:lang w:eastAsia="es-CO"/>
        </w:rPr>
        <w:t xml:space="preserve">, es importante mencionar que aún se encuentra por definir la demanda </w:t>
      </w:r>
      <w:r w:rsidRPr="605533EB">
        <w:rPr>
          <w:rFonts w:ascii="Verdana" w:eastAsia="Calibri" w:hAnsi="Verdana" w:cs="Arial"/>
          <w:lang w:val="es-ES" w:eastAsia="es-ES"/>
        </w:rPr>
        <w:t xml:space="preserve">de nulidad simple, identificada con el Radicado número 11001-03-26-000-2025-00016-00,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p>
    <w:p w14:paraId="3FC11E91" w14:textId="77777777" w:rsidR="001B5535" w:rsidRPr="00BD091E" w:rsidRDefault="001B5535" w:rsidP="001B5535">
      <w:pPr>
        <w:spacing w:after="120" w:line="276" w:lineRule="auto"/>
        <w:ind w:firstLine="709"/>
        <w:jc w:val="both"/>
        <w:rPr>
          <w:rFonts w:ascii="Verdana" w:eastAsia="Calibri" w:hAnsi="Verdana" w:cs="Arial"/>
          <w:color w:val="000000" w:themeColor="text1"/>
        </w:rPr>
      </w:pPr>
      <w:r>
        <w:rPr>
          <w:rFonts w:ascii="Verdana" w:eastAsia="Times New Roman" w:hAnsi="Verdana" w:cs="Arial"/>
          <w:bCs/>
          <w:lang w:eastAsia="es-CO"/>
        </w:rPr>
        <w:t xml:space="preserve">Ahora bien, y en atención a lo expuesto en párrafos precedentes relativo a los </w:t>
      </w:r>
      <w:r w:rsidRPr="00A90DCC">
        <w:rPr>
          <w:rFonts w:ascii="Verdana" w:eastAsia="Times New Roman" w:hAnsi="Verdana" w:cs="Arial"/>
          <w:bCs/>
          <w:lang w:eastAsia="es-CO"/>
        </w:rPr>
        <w:t xml:space="preserve">contratos del artículo 355 de la Constitución Política y los convenios de asociación </w:t>
      </w:r>
      <w:r w:rsidRPr="00A90DCC">
        <w:rPr>
          <w:rFonts w:ascii="Verdana" w:eastAsia="Calibri" w:hAnsi="Verdana" w:cs="Arial"/>
          <w:lang w:val="es-ES"/>
        </w:rPr>
        <w:t>del artículo 96 de la Ley 489 de 19</w:t>
      </w:r>
      <w:r w:rsidRPr="00377ED6">
        <w:rPr>
          <w:rFonts w:ascii="Verdana" w:eastAsia="Calibri" w:hAnsi="Verdana" w:cs="Arial"/>
          <w:lang w:val="es-ES"/>
        </w:rPr>
        <w:t>98</w:t>
      </w:r>
      <w:r>
        <w:rPr>
          <w:rFonts w:ascii="Verdana" w:eastAsia="Calibri" w:hAnsi="Verdana" w:cs="Arial"/>
          <w:lang w:val="es-ES"/>
        </w:rPr>
        <w:t xml:space="preserve">, </w:t>
      </w:r>
      <w:r>
        <w:rPr>
          <w:rFonts w:ascii="Verdana" w:eastAsia="Calibri" w:hAnsi="Verdana" w:cs="Arial"/>
          <w:color w:val="000000" w:themeColor="text1"/>
        </w:rPr>
        <w:t xml:space="preserve">si lo que se pretende es </w:t>
      </w:r>
      <w:r w:rsidRPr="00377ED6">
        <w:rPr>
          <w:rFonts w:ascii="Verdana" w:eastAsia="Calibri" w:hAnsi="Verdana" w:cs="Arial"/>
          <w:color w:val="000000" w:themeColor="text1"/>
        </w:rPr>
        <w:t xml:space="preserve">realizar un </w:t>
      </w:r>
      <w:r w:rsidRPr="00377ED6">
        <w:rPr>
          <w:rFonts w:ascii="Verdana" w:eastAsia="Calibri" w:hAnsi="Verdana" w:cs="Arial"/>
          <w:i/>
          <w:iCs/>
          <w:color w:val="000000" w:themeColor="text1"/>
        </w:rPr>
        <w:t>convenio de asociación</w:t>
      </w:r>
      <w:r w:rsidRPr="00377ED6">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w:t>
      </w:r>
      <w:r>
        <w:rPr>
          <w:rFonts w:ascii="Verdana" w:eastAsia="Calibri" w:hAnsi="Verdana" w:cs="Arial"/>
          <w:color w:val="000000" w:themeColor="text1"/>
        </w:rPr>
        <w:t>Por lo tanto</w:t>
      </w:r>
      <w:r w:rsidRPr="00377ED6">
        <w:rPr>
          <w:rFonts w:ascii="Verdana" w:eastAsia="Calibri" w:hAnsi="Verdana" w:cs="Arial"/>
          <w:color w:val="000000" w:themeColor="text1"/>
        </w:rPr>
        <w:t>, deben estar sujetos a competencia, salvo en aquellos casos en que una entidad sin ánimo de lucro comprometa recursos en dinero por un valor igual o superior al 30% del valor total del convenio</w:t>
      </w:r>
      <w:r w:rsidRPr="00377ED6">
        <w:rPr>
          <w:rFonts w:ascii="Verdana" w:hAnsi="Verdana" w:cs="Arial"/>
          <w:color w:val="000000" w:themeColor="text1"/>
          <w:vertAlign w:val="superscript"/>
        </w:rPr>
        <w:footnoteReference w:id="51"/>
      </w:r>
      <w:r w:rsidRPr="00377ED6">
        <w:rPr>
          <w:rFonts w:ascii="Verdana" w:eastAsia="Calibri" w:hAnsi="Verdana" w:cs="Arial"/>
          <w:color w:val="000000" w:themeColor="text1"/>
        </w:rPr>
        <w:t xml:space="preserve">, y siempre que la entidad estatal verifique previamente que no existe ninguna otra entidad sin ánimo de lucro que ofrezca aportes iguales o superiores al 30%. </w:t>
      </w:r>
      <w:r>
        <w:rPr>
          <w:rFonts w:ascii="Verdana" w:eastAsia="Calibri" w:hAnsi="Verdana" w:cs="Arial"/>
          <w:color w:val="000000" w:themeColor="text1"/>
        </w:rPr>
        <w:t xml:space="preserve">En ese orden, en vigencia de la </w:t>
      </w:r>
      <w:r w:rsidRPr="00377ED6">
        <w:rPr>
          <w:rFonts w:ascii="Verdana" w:eastAsia="Calibri" w:hAnsi="Verdana" w:cs="Arial"/>
          <w:color w:val="000000"/>
        </w:rPr>
        <w:t>restricci</w:t>
      </w:r>
      <w:r>
        <w:rPr>
          <w:rFonts w:ascii="Verdana" w:eastAsia="Calibri" w:hAnsi="Verdana" w:cs="Arial"/>
          <w:color w:val="000000"/>
        </w:rPr>
        <w:t>ón</w:t>
      </w:r>
      <w:r w:rsidRPr="00377ED6">
        <w:rPr>
          <w:rFonts w:ascii="Verdana" w:eastAsia="Calibri" w:hAnsi="Verdana" w:cs="Arial"/>
          <w:color w:val="000000"/>
        </w:rPr>
        <w:t xml:space="preserve"> prevista en el artículo 33 de la Ley de Garantías</w:t>
      </w:r>
      <w:r>
        <w:rPr>
          <w:rFonts w:ascii="Verdana" w:eastAsia="Calibri" w:hAnsi="Verdana" w:cs="Arial"/>
          <w:color w:val="000000"/>
        </w:rPr>
        <w:t xml:space="preserve"> Electorales, según el artículo 5 del Decreto 092 de 2017, solo podrán celebrarse convenios previo desarrollo de proceso competitivo.</w:t>
      </w:r>
    </w:p>
    <w:p w14:paraId="6EBE7F9B" w14:textId="77777777" w:rsidR="001B5535" w:rsidRDefault="001B5535" w:rsidP="001B5535">
      <w:pPr>
        <w:spacing w:before="120" w:after="120" w:line="276" w:lineRule="auto"/>
        <w:ind w:firstLine="709"/>
        <w:jc w:val="both"/>
        <w:rPr>
          <w:rFonts w:ascii="Verdana" w:eastAsia="Calibri" w:hAnsi="Verdana" w:cs="Arial"/>
          <w:lang w:val="es-ES"/>
        </w:rPr>
      </w:pPr>
      <w:r>
        <w:rPr>
          <w:rFonts w:ascii="Verdana" w:eastAsia="Calibri" w:hAnsi="Verdana" w:cs="Arial"/>
          <w:color w:val="000000"/>
        </w:rPr>
        <w:t xml:space="preserve">En otras palabras, los convenios de asociación </w:t>
      </w:r>
      <w:r w:rsidRPr="697BF333">
        <w:rPr>
          <w:rFonts w:ascii="Verdana" w:eastAsia="Calibri" w:hAnsi="Verdana" w:cs="Arial"/>
          <w:lang w:val="es-ES"/>
        </w:rPr>
        <w:t>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w:t>
      </w:r>
      <w:r>
        <w:rPr>
          <w:rFonts w:ascii="Verdana" w:eastAsia="Calibri" w:hAnsi="Verdana" w:cs="Arial"/>
          <w:lang w:val="es-ES"/>
        </w:rPr>
        <w:t>í</w:t>
      </w:r>
      <w:r w:rsidRPr="697BF333">
        <w:rPr>
          <w:rFonts w:ascii="Verdana" w:eastAsia="Calibri" w:hAnsi="Verdana" w:cs="Arial"/>
          <w:lang w:val="es-ES"/>
        </w:rPr>
        <w:t xml:space="preserve"> entra dentro del ámbito de aplicación de la mencionada prohibición, de manera que no es posible su aplicación en vigencia de la restricción a la contratación directa.</w:t>
      </w:r>
    </w:p>
    <w:p w14:paraId="1D3262D5" w14:textId="77777777" w:rsidR="001B5535" w:rsidRDefault="001B5535" w:rsidP="001B5535">
      <w:pPr>
        <w:spacing w:before="120" w:after="0" w:line="276" w:lineRule="auto"/>
        <w:ind w:firstLine="709"/>
        <w:jc w:val="both"/>
        <w:rPr>
          <w:rFonts w:ascii="Verdana" w:eastAsia="Calibri" w:hAnsi="Verdana" w:cs="Arial"/>
          <w:lang w:val="es-ES"/>
        </w:rPr>
      </w:pPr>
      <w:r>
        <w:rPr>
          <w:rFonts w:ascii="Verdana" w:eastAsia="Times New Roman" w:hAnsi="Verdana" w:cs="Arial"/>
          <w:lang w:val="es-MX" w:eastAsia="x-none"/>
        </w:rPr>
        <w:t>Sin perjuicio de lo anterior</w:t>
      </w:r>
      <w:r w:rsidRPr="00F02C5A">
        <w:rPr>
          <w:rFonts w:ascii="Verdana" w:eastAsia="Times New Roman" w:hAnsi="Verdana" w:cs="Arial"/>
          <w:lang w:val="es-MX" w:eastAsia="x-none"/>
        </w:rPr>
        <w:t xml:space="preserve">, la restricción prevista en </w:t>
      </w:r>
      <w:r>
        <w:rPr>
          <w:rFonts w:ascii="Verdana" w:eastAsia="Times New Roman" w:hAnsi="Verdana" w:cs="Arial"/>
          <w:lang w:val="es-MX" w:eastAsia="x-none"/>
        </w:rPr>
        <w:t xml:space="preserve">el artículo 33 de la </w:t>
      </w:r>
      <w:r w:rsidRPr="00F02C5A">
        <w:rPr>
          <w:rFonts w:ascii="Verdana" w:eastAsia="Times New Roman" w:hAnsi="Verdana" w:cs="Arial"/>
          <w:lang w:val="es-MX" w:eastAsia="x-none"/>
        </w:rPr>
        <w:t>Ley de Garantías Electorales</w:t>
      </w:r>
      <w:r>
        <w:rPr>
          <w:rFonts w:ascii="Verdana" w:eastAsia="Times New Roman" w:hAnsi="Verdana" w:cs="Arial"/>
          <w:lang w:val="es-MX" w:eastAsia="x-none"/>
        </w:rPr>
        <w:t xml:space="preserve"> contempla algunas excepciones</w:t>
      </w:r>
      <w:r w:rsidRPr="00F02C5A">
        <w:rPr>
          <w:rFonts w:ascii="Verdana" w:eastAsia="Times New Roman" w:hAnsi="Verdana" w:cs="Arial"/>
          <w:lang w:val="es-MX" w:eastAsia="x-none"/>
        </w:rPr>
        <w:t xml:space="preserve">, con fundamento en las cuales podrán las entidades públicas adelantar procedimientos de </w:t>
      </w:r>
      <w:r>
        <w:rPr>
          <w:rFonts w:ascii="Verdana" w:eastAsia="Times New Roman" w:hAnsi="Verdana" w:cs="Arial"/>
          <w:lang w:val="es-MX" w:eastAsia="x-none"/>
        </w:rPr>
        <w:t>contratación</w:t>
      </w:r>
      <w:r w:rsidRPr="00F02C5A">
        <w:rPr>
          <w:rFonts w:ascii="Verdana" w:eastAsia="Times New Roman" w:hAnsi="Verdana" w:cs="Arial"/>
          <w:lang w:val="es-MX" w:eastAsia="x-none"/>
        </w:rPr>
        <w:t xml:space="preserve"> directa en períodos previos a la contienda electoral por la Presidencia, </w:t>
      </w:r>
      <w:r>
        <w:rPr>
          <w:rFonts w:ascii="Verdana" w:eastAsia="Times New Roman" w:hAnsi="Verdana" w:cs="Arial"/>
          <w:lang w:val="es-MX" w:eastAsia="x-none"/>
        </w:rPr>
        <w:t xml:space="preserve">siempre que se subsuma en los supuestos contemplados de </w:t>
      </w:r>
      <w:r w:rsidRPr="00F02C5A">
        <w:rPr>
          <w:rFonts w:ascii="Verdana" w:eastAsia="Times New Roman" w:hAnsi="Verdana" w:cs="Arial"/>
          <w:lang w:val="es-MX" w:eastAsia="x-none"/>
        </w:rPr>
        <w:t>manera taxativa en el inciso final del citado artículo 33 de la Ley 996 de 2005.</w:t>
      </w:r>
      <w:r>
        <w:rPr>
          <w:rFonts w:ascii="Verdana" w:eastAsia="Times New Roman" w:hAnsi="Verdana" w:cs="Arial"/>
          <w:lang w:val="es-MX" w:eastAsia="x-none"/>
        </w:rPr>
        <w:t xml:space="preserve"> Por lo tanto, será</w:t>
      </w:r>
      <w:r w:rsidRPr="00F02C5A">
        <w:rPr>
          <w:rFonts w:ascii="Verdana" w:eastAsia="Times New Roman" w:hAnsi="Verdana" w:cs="Arial"/>
          <w:lang w:val="es-MX" w:eastAsia="es-CO"/>
        </w:rPr>
        <w:t xml:space="preserve"> responsabilidad de</w:t>
      </w:r>
      <w:r>
        <w:rPr>
          <w:rFonts w:ascii="Verdana" w:eastAsia="Times New Roman" w:hAnsi="Verdana" w:cs="Arial"/>
          <w:lang w:val="es-MX" w:eastAsia="es-CO"/>
        </w:rPr>
        <w:t xml:space="preserve"> la entidad estatal</w:t>
      </w:r>
      <w:r w:rsidRPr="00F02C5A">
        <w:rPr>
          <w:rFonts w:ascii="Verdana" w:eastAsia="Times New Roman" w:hAnsi="Verdana" w:cs="Arial"/>
          <w:lang w:val="es-MX" w:eastAsia="es-CO"/>
        </w:rPr>
        <w:t>, examinar en cada caso la naturaleza de las actividades que adelanta y determinar si las mismas se enmarcan en alguna de las mencionadas excepciones</w:t>
      </w:r>
      <w:r>
        <w:rPr>
          <w:rFonts w:ascii="Verdana" w:eastAsia="Times New Roman" w:hAnsi="Verdana" w:cs="Arial"/>
          <w:lang w:val="es-MX" w:eastAsia="es-CO"/>
        </w:rPr>
        <w:t xml:space="preserve">. </w:t>
      </w:r>
      <w:r w:rsidRPr="697BF333">
        <w:rPr>
          <w:rFonts w:ascii="Verdana" w:eastAsia="Calibri" w:hAnsi="Verdana" w:cs="Arial"/>
          <w:lang w:val="es-ES"/>
        </w:rPr>
        <w:t xml:space="preserve"> </w:t>
      </w:r>
    </w:p>
    <w:p w14:paraId="3106533B" w14:textId="77777777" w:rsidR="001B5535" w:rsidRDefault="001B5535" w:rsidP="001B5535">
      <w:pPr>
        <w:spacing w:before="120" w:after="0" w:line="276" w:lineRule="auto"/>
        <w:ind w:firstLine="709"/>
        <w:jc w:val="both"/>
        <w:rPr>
          <w:rFonts w:ascii="Verdana" w:eastAsia="Calibri" w:hAnsi="Verdana" w:cs="Arial"/>
          <w:lang w:val="es-ES"/>
        </w:rPr>
      </w:pPr>
      <w:r>
        <w:rPr>
          <w:rFonts w:ascii="Verdana" w:eastAsia="Calibri" w:hAnsi="Verdana" w:cs="Arial"/>
          <w:lang w:val="es-ES" w:eastAsia="es-ES"/>
        </w:rPr>
        <w:t xml:space="preserve">De acuerdo con lo anterior se presentan las siguientes conclusiones: </w:t>
      </w:r>
    </w:p>
    <w:p w14:paraId="5AB3CDB5" w14:textId="77777777" w:rsidR="001B5535" w:rsidRDefault="001B5535" w:rsidP="001B5535">
      <w:pPr>
        <w:spacing w:after="0" w:line="240" w:lineRule="auto"/>
        <w:jc w:val="both"/>
        <w:rPr>
          <w:rFonts w:ascii="Verdana" w:eastAsia="Calibri" w:hAnsi="Verdana" w:cs="Arial"/>
          <w:lang w:val="es-ES" w:eastAsia="es-ES"/>
        </w:rPr>
      </w:pPr>
    </w:p>
    <w:p w14:paraId="3EE77956" w14:textId="77777777" w:rsidR="001B5535" w:rsidRPr="00E64C1B" w:rsidRDefault="001B5535" w:rsidP="001B5535">
      <w:pPr>
        <w:pStyle w:val="Prrafodelista"/>
        <w:numPr>
          <w:ilvl w:val="0"/>
          <w:numId w:val="22"/>
        </w:numPr>
        <w:spacing w:after="120" w:line="276" w:lineRule="auto"/>
        <w:ind w:left="357" w:hanging="357"/>
        <w:jc w:val="both"/>
        <w:rPr>
          <w:rFonts w:ascii="Verdana" w:hAnsi="Verdana" w:cs="Arial"/>
          <w:bCs/>
          <w:color w:val="000000" w:themeColor="text1"/>
          <w:lang w:val="es-MX" w:eastAsia="x-none"/>
        </w:rPr>
      </w:pPr>
      <w:r w:rsidRPr="00954F55">
        <w:rPr>
          <w:rFonts w:ascii="Verdana" w:eastAsia="Calibri" w:hAnsi="Verdana" w:cs="Arial"/>
          <w:lang w:eastAsia="es-ES"/>
        </w:rPr>
        <w:t xml:space="preserve">Las restricciones contenidas en el artículo 33 de la Ley 996 de 2005 aplica para “la contratación directa” de todos los entes del Estado, </w:t>
      </w:r>
      <w:r w:rsidRPr="00954F55">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954F55">
        <w:rPr>
          <w:rFonts w:ascii="Verdana" w:eastAsia="Calibri" w:hAnsi="Verdana" w:cs="Arial"/>
          <w:lang w:eastAsia="es-ES"/>
        </w:rPr>
        <w:t xml:space="preserve">Se trata de la prohibición de </w:t>
      </w:r>
      <w:r w:rsidRPr="00954F55">
        <w:rPr>
          <w:rFonts w:ascii="Verdana" w:hAnsi="Verdana" w:cs="Arial"/>
          <w:bCs/>
          <w:lang w:eastAsia="x-none"/>
        </w:rPr>
        <w:t>aquellos contratos en los que no exista un proceso abierto y competitivo.</w:t>
      </w:r>
      <w:r w:rsidRPr="00954F55">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w:t>
      </w:r>
      <w:r>
        <w:rPr>
          <w:rFonts w:ascii="Verdana" w:hAnsi="Verdana" w:cs="Arial"/>
          <w:lang w:eastAsia="x-none"/>
        </w:rPr>
        <w:t xml:space="preserve"> o los procesos competitivos establecidos en los manuales de contratación de las entidades con regímenes exceptuados</w:t>
      </w:r>
      <w:r w:rsidRPr="00954F55">
        <w:rPr>
          <w:rFonts w:ascii="Verdana" w:hAnsi="Verdana" w:cs="Arial"/>
          <w:lang w:eastAsia="x-none"/>
        </w:rPr>
        <w:t xml:space="preserve">. Adicionalmente, la celebración de la contratación directa </w:t>
      </w:r>
      <w:r w:rsidRPr="00954F55">
        <w:rPr>
          <w:rFonts w:ascii="Verdana" w:eastAsia="Calibri" w:hAnsi="Verdana" w:cs="Arial"/>
          <w:lang w:val="es-CO" w:eastAsia="es-ES"/>
        </w:rPr>
        <w:t>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w:t>
      </w:r>
      <w:r w:rsidRPr="00954F55">
        <w:rPr>
          <w:rStyle w:val="Refdenotaalpie"/>
          <w:rFonts w:ascii="Verdana" w:eastAsia="Calibri" w:hAnsi="Verdana" w:cs="Arial"/>
          <w:lang w:val="es-CO" w:eastAsia="es-ES"/>
        </w:rPr>
        <w:footnoteReference w:id="52"/>
      </w:r>
      <w:r w:rsidRPr="00954F55">
        <w:rPr>
          <w:rFonts w:ascii="Verdana" w:eastAsia="Calibri" w:hAnsi="Verdana" w:cs="Arial"/>
          <w:lang w:val="es-CO" w:eastAsia="es-ES"/>
        </w:rPr>
        <w:t xml:space="preserve">. </w:t>
      </w:r>
    </w:p>
    <w:p w14:paraId="5126B740" w14:textId="77777777" w:rsidR="001B5535" w:rsidRPr="00E64C1B" w:rsidRDefault="001B5535" w:rsidP="001B5535">
      <w:pPr>
        <w:pStyle w:val="Prrafodelista"/>
        <w:spacing w:after="0" w:line="240" w:lineRule="auto"/>
        <w:ind w:left="0"/>
        <w:jc w:val="both"/>
        <w:rPr>
          <w:rFonts w:ascii="Verdana" w:hAnsi="Verdana" w:cs="Arial"/>
          <w:bCs/>
          <w:color w:val="000000" w:themeColor="text1"/>
          <w:lang w:val="es-MX" w:eastAsia="x-none"/>
        </w:rPr>
      </w:pPr>
    </w:p>
    <w:p w14:paraId="5550F860" w14:textId="77777777" w:rsidR="001B5535" w:rsidRDefault="001B5535" w:rsidP="001B5535">
      <w:pPr>
        <w:pStyle w:val="Prrafodelista"/>
        <w:numPr>
          <w:ilvl w:val="0"/>
          <w:numId w:val="22"/>
        </w:numPr>
        <w:spacing w:after="120" w:line="276" w:lineRule="auto"/>
        <w:ind w:left="357" w:hanging="357"/>
        <w:jc w:val="both"/>
        <w:rPr>
          <w:rFonts w:ascii="Verdana" w:eastAsia="Calibri" w:hAnsi="Verdana" w:cs="Arial"/>
          <w:lang w:eastAsia="es-ES"/>
        </w:rPr>
      </w:pPr>
      <w:r w:rsidRPr="00E64C1B">
        <w:rPr>
          <w:rFonts w:ascii="Verdana" w:eastAsia="Calibri" w:hAnsi="Verdana" w:cs="Arial"/>
          <w:lang w:eastAsia="es-ES"/>
        </w:rPr>
        <w:t xml:space="preserve">La entidad definirá si la contratación que pretende celebrar se enmarca en alguna de las excepciones definidas en el artículo 33 de la Ley 996 de 2005, esto es, que se pretenda cubrir emergencias educativas, de tal manera que las excepciones contempladas no permiten efectuar una interpretación extensiva para incluir otros supuestos. </w:t>
      </w:r>
    </w:p>
    <w:p w14:paraId="1E556AD2" w14:textId="77777777" w:rsidR="001B5535" w:rsidRPr="00E80F85" w:rsidRDefault="001B5535" w:rsidP="001B5535">
      <w:pPr>
        <w:pStyle w:val="Prrafodelista"/>
        <w:spacing w:after="0" w:line="240" w:lineRule="auto"/>
        <w:ind w:left="0"/>
        <w:rPr>
          <w:rFonts w:ascii="Verdana" w:eastAsia="Calibri" w:hAnsi="Verdana" w:cs="Arial"/>
          <w:lang w:eastAsia="es-ES"/>
        </w:rPr>
      </w:pPr>
    </w:p>
    <w:p w14:paraId="4DEFBC00" w14:textId="77777777" w:rsidR="001B5535" w:rsidRDefault="001B5535" w:rsidP="001B5535">
      <w:pPr>
        <w:pStyle w:val="Prrafodelista"/>
        <w:numPr>
          <w:ilvl w:val="0"/>
          <w:numId w:val="22"/>
        </w:numPr>
        <w:spacing w:after="120" w:line="276" w:lineRule="auto"/>
        <w:ind w:left="360"/>
        <w:jc w:val="both"/>
        <w:rPr>
          <w:rFonts w:ascii="Verdana" w:eastAsia="Calibri" w:hAnsi="Verdana" w:cs="Arial"/>
          <w:lang w:eastAsia="es-ES"/>
        </w:rPr>
      </w:pPr>
      <w:r w:rsidRPr="00E80F85">
        <w:rPr>
          <w:rFonts w:ascii="Verdana" w:eastAsia="Calibri" w:hAnsi="Verdana" w:cs="Arial"/>
          <w:lang w:eastAsia="es-ES"/>
        </w:rPr>
        <w:t xml:space="preserve">La restricción </w:t>
      </w:r>
      <w:r>
        <w:rPr>
          <w:rFonts w:ascii="Verdana" w:eastAsia="Calibri" w:hAnsi="Verdana" w:cs="Arial"/>
          <w:lang w:eastAsia="es-ES"/>
        </w:rPr>
        <w:t xml:space="preserve">contenida </w:t>
      </w:r>
      <w:r w:rsidRPr="00E80F85">
        <w:rPr>
          <w:rFonts w:ascii="Verdana" w:eastAsia="Calibri" w:hAnsi="Verdana" w:cs="Arial"/>
          <w:lang w:eastAsia="es-ES"/>
        </w:rPr>
        <w:t xml:space="preserve">en el </w:t>
      </w:r>
      <w:r>
        <w:rPr>
          <w:rFonts w:ascii="Verdana" w:eastAsia="Calibri" w:hAnsi="Verdana" w:cs="Arial"/>
          <w:lang w:eastAsia="es-ES"/>
        </w:rPr>
        <w:t xml:space="preserve">parágrafo del </w:t>
      </w:r>
      <w:r w:rsidRPr="00E80F85">
        <w:rPr>
          <w:rFonts w:ascii="Verdana" w:eastAsia="Calibri" w:hAnsi="Verdana" w:cs="Arial"/>
          <w:lang w:eastAsia="es-ES"/>
        </w:rPr>
        <w:t>artículo 38 de la Ley 996 de 2005 se refiere a la celebración de convenios interadministrativos para la ejecución de recursos públicos, independientemente de que se configuren los supuestos de excepción que señala en artículo 33 de la misma ley.</w:t>
      </w:r>
      <w:r>
        <w:rPr>
          <w:rFonts w:ascii="Verdana" w:eastAsia="Calibri" w:hAnsi="Verdana" w:cs="Arial"/>
          <w:lang w:eastAsia="es-ES"/>
        </w:rPr>
        <w:t xml:space="preserve"> </w:t>
      </w:r>
      <w:r w:rsidRPr="00E80F85">
        <w:rPr>
          <w:rFonts w:ascii="Verdana" w:eastAsia="Calibri" w:hAnsi="Verdana" w:cs="Arial"/>
          <w:lang w:eastAsia="es-ES"/>
        </w:rPr>
        <w:t xml:space="preserve"> </w:t>
      </w:r>
    </w:p>
    <w:p w14:paraId="010C314F" w14:textId="77777777" w:rsidR="001B5535" w:rsidRPr="00DD5A6D" w:rsidRDefault="001B5535" w:rsidP="001B5535">
      <w:pPr>
        <w:pStyle w:val="Prrafodelista"/>
        <w:spacing w:after="0" w:line="240" w:lineRule="auto"/>
        <w:rPr>
          <w:rFonts w:ascii="Verdana" w:eastAsia="Calibri" w:hAnsi="Verdana" w:cs="Arial"/>
          <w:lang w:eastAsia="es-ES"/>
        </w:rPr>
      </w:pPr>
    </w:p>
    <w:p w14:paraId="4BCC46FD" w14:textId="77777777" w:rsidR="001B5535" w:rsidRDefault="001B5535" w:rsidP="001B5535">
      <w:pPr>
        <w:pStyle w:val="Prrafodelista"/>
        <w:numPr>
          <w:ilvl w:val="0"/>
          <w:numId w:val="22"/>
        </w:numPr>
        <w:spacing w:after="120" w:line="276" w:lineRule="auto"/>
        <w:ind w:left="357" w:hanging="357"/>
        <w:jc w:val="both"/>
        <w:rPr>
          <w:rFonts w:ascii="Verdana" w:eastAsia="Calibri" w:hAnsi="Verdana" w:cs="Arial"/>
          <w:lang w:eastAsia="es-ES"/>
        </w:rPr>
      </w:pPr>
      <w:r>
        <w:rPr>
          <w:rFonts w:ascii="Verdana" w:eastAsia="Calibri" w:hAnsi="Verdana" w:cs="Arial"/>
          <w:lang w:eastAsia="es-ES"/>
        </w:rPr>
        <w:t xml:space="preserve">La posición definida en las decisiones adoptadas por la Sección Tercera del Consejo de Estado se enmarcó en la imposibilidad de extender la aplicación de la restricción a los contratos interadministrativos que, en vigencia de la prohibición del parágrafo del artículo 38 de la Ley de Garantías Electorales se trata, esto es, en las elecciones distintas a las presidenciales. Específicamente, en la sentencia del 17 de octubre de 2025, el alto tribunal declaró la nulidad </w:t>
      </w:r>
      <w:r w:rsidRPr="00F35E92">
        <w:rPr>
          <w:rFonts w:ascii="Verdana" w:eastAsia="Calibri" w:hAnsi="Verdana" w:cs="Arial"/>
          <w:lang w:eastAsia="es-ES"/>
        </w:rPr>
        <w:t xml:space="preserve">parcial del numeral 16.2 de la Circular Externa Única de 2022, por lo tanto, cuando dos entidades públicas celebran un contrato interadministrativo, independientemente del objeto, dicho contrato puede suscribirse durante el periodo preelectoral. </w:t>
      </w:r>
    </w:p>
    <w:p w14:paraId="76CC46F4" w14:textId="77777777" w:rsidR="001B5535" w:rsidRPr="00A35D25" w:rsidRDefault="001B5535" w:rsidP="001B5535">
      <w:pPr>
        <w:pStyle w:val="Prrafodelista"/>
        <w:spacing w:after="0" w:line="240" w:lineRule="auto"/>
        <w:rPr>
          <w:rFonts w:ascii="Verdana" w:eastAsia="Calibri" w:hAnsi="Verdana" w:cs="Arial"/>
          <w:color w:val="000000"/>
        </w:rPr>
      </w:pPr>
    </w:p>
    <w:p w14:paraId="15CAEB4A" w14:textId="77777777" w:rsidR="001B5535" w:rsidRPr="00A35D25" w:rsidRDefault="001B5535" w:rsidP="001B5535">
      <w:pPr>
        <w:pStyle w:val="Prrafodelista"/>
        <w:numPr>
          <w:ilvl w:val="0"/>
          <w:numId w:val="22"/>
        </w:numPr>
        <w:spacing w:after="120" w:line="276" w:lineRule="auto"/>
        <w:ind w:left="357" w:hanging="357"/>
        <w:jc w:val="both"/>
        <w:rPr>
          <w:rFonts w:ascii="Verdana" w:eastAsia="Calibri" w:hAnsi="Verdana" w:cs="Arial"/>
          <w:lang w:eastAsia="es-ES"/>
        </w:rPr>
      </w:pPr>
      <w:r>
        <w:rPr>
          <w:rFonts w:ascii="Verdana" w:eastAsia="Calibri" w:hAnsi="Verdana" w:cs="Arial"/>
          <w:color w:val="000000"/>
        </w:rPr>
        <w:t>L</w:t>
      </w:r>
      <w:r w:rsidRPr="00A35D25">
        <w:rPr>
          <w:rFonts w:ascii="Verdana" w:eastAsia="Calibri" w:hAnsi="Verdana" w:cs="Arial"/>
          <w:color w:val="000000"/>
        </w:rPr>
        <w:t xml:space="preserve">os convenios de asociación </w:t>
      </w:r>
      <w:r w:rsidRPr="00A35D25">
        <w:rPr>
          <w:rFonts w:ascii="Verdana" w:eastAsia="Calibri" w:hAnsi="Verdana" w:cs="Arial"/>
        </w:rPr>
        <w:t xml:space="preserve">regidos por el artículo 96 de la Ley 489 de 1998, así como por el artículo 5 del Decreto 092 de 2017, por regla general, </w:t>
      </w:r>
      <w:r>
        <w:rPr>
          <w:rFonts w:ascii="Verdana" w:eastAsia="Calibri" w:hAnsi="Verdana" w:cs="Arial"/>
        </w:rPr>
        <w:t xml:space="preserve">se celebran </w:t>
      </w:r>
      <w:r w:rsidRPr="00A35D25">
        <w:rPr>
          <w:rFonts w:ascii="Verdana" w:eastAsia="Calibri" w:hAnsi="Verdana" w:cs="Arial"/>
        </w:rPr>
        <w:t xml:space="preserve">previo desarrollo de un proceso competitivo, por lo que, en principio, su suscripción </w:t>
      </w:r>
      <w:r>
        <w:rPr>
          <w:rFonts w:ascii="Verdana" w:eastAsia="Calibri" w:hAnsi="Verdana" w:cs="Arial"/>
        </w:rPr>
        <w:t>no debería</w:t>
      </w:r>
      <w:r w:rsidRPr="00A35D25">
        <w:rPr>
          <w:rFonts w:ascii="Verdana" w:eastAsia="Calibri" w:hAnsi="Verdana" w:cs="Arial"/>
        </w:rPr>
        <w:t xml:space="preserve">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sí entra dentro del ámbito de aplicación de la mencionada prohibición, de manera que no es posible su aplicación en vigencia de la restricción a la contratación directa.</w:t>
      </w:r>
    </w:p>
    <w:p w14:paraId="24B1380C" w14:textId="77777777" w:rsidR="001B5535" w:rsidRPr="00A97278" w:rsidRDefault="001B5535" w:rsidP="001B5535">
      <w:pPr>
        <w:pStyle w:val="Textoindependiente"/>
        <w:spacing w:before="0" w:after="120" w:line="276" w:lineRule="auto"/>
        <w:ind w:firstLine="709"/>
        <w:jc w:val="both"/>
        <w:rPr>
          <w:rFonts w:ascii="Verdana" w:hAnsi="Verdana"/>
          <w:sz w:val="22"/>
          <w:szCs w:val="22"/>
          <w:lang w:val="es-ES_tradnl"/>
        </w:rPr>
      </w:pPr>
      <w:r w:rsidRPr="00A97278">
        <w:rPr>
          <w:rFonts w:ascii="Verdana" w:hAnsi="Verdana" w:cs="Arial"/>
          <w:bCs/>
          <w:color w:val="000000" w:themeColor="text1"/>
          <w:sz w:val="22"/>
          <w:szCs w:val="22"/>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DBFE6BF" w14:textId="77777777" w:rsidR="001B5535" w:rsidRDefault="001B5535" w:rsidP="001B5535">
      <w:pPr>
        <w:spacing w:after="0" w:line="276" w:lineRule="auto"/>
        <w:ind w:firstLine="709"/>
        <w:jc w:val="both"/>
        <w:rPr>
          <w:rFonts w:ascii="Verdana" w:hAnsi="Verdana" w:cs="Arial"/>
          <w:bCs/>
          <w:color w:val="000000" w:themeColor="text1"/>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060404AF" w14:textId="77777777" w:rsidR="001B5535" w:rsidRPr="0086689B" w:rsidRDefault="001B5535" w:rsidP="001B5535">
      <w:pPr>
        <w:spacing w:after="0" w:line="240" w:lineRule="auto"/>
        <w:jc w:val="both"/>
        <w:rPr>
          <w:rFonts w:ascii="Verdana" w:hAnsi="Verdana" w:cs="Arial"/>
          <w:bCs/>
          <w:color w:val="000000" w:themeColor="text1"/>
        </w:rPr>
      </w:pPr>
    </w:p>
    <w:p w14:paraId="63345223" w14:textId="77777777" w:rsidR="001B5535" w:rsidRDefault="001B5535" w:rsidP="001B5535">
      <w:pPr>
        <w:spacing w:after="0" w:line="276" w:lineRule="auto"/>
        <w:jc w:val="both"/>
        <w:rPr>
          <w:rFonts w:ascii="Verdana" w:eastAsia="Century Gothic" w:hAnsi="Verdana" w:cs="Century Gothic"/>
          <w:b/>
          <w:bCs/>
        </w:rPr>
      </w:pPr>
      <w:bookmarkStart w:id="21"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1"/>
    </w:p>
    <w:p w14:paraId="693FFB21" w14:textId="77777777" w:rsidR="001B5535" w:rsidRPr="000B6E79" w:rsidRDefault="001B5535" w:rsidP="001B5535">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B5535" w:rsidRPr="002D2C18" w14:paraId="18AC6E60" w14:textId="77777777" w:rsidTr="00142A8C">
        <w:trPr>
          <w:trHeight w:val="56"/>
          <w:jc w:val="center"/>
        </w:trPr>
        <w:tc>
          <w:tcPr>
            <w:tcW w:w="8647" w:type="dxa"/>
          </w:tcPr>
          <w:p w14:paraId="569208D6" w14:textId="77777777" w:rsidR="001B5535" w:rsidRDefault="001B5535" w:rsidP="001B5535">
            <w:pPr>
              <w:pStyle w:val="Prrafodelista"/>
              <w:numPr>
                <w:ilvl w:val="0"/>
                <w:numId w:val="21"/>
              </w:numPr>
              <w:spacing w:after="120" w:line="276" w:lineRule="auto"/>
              <w:jc w:val="both"/>
              <w:rPr>
                <w:rFonts w:ascii="Verdana" w:hAnsi="Verdana" w:cs="Arial"/>
                <w:lang w:eastAsia="es-ES"/>
              </w:rPr>
            </w:pPr>
            <w:r w:rsidRPr="004B51CA">
              <w:rPr>
                <w:rFonts w:ascii="Verdana" w:hAnsi="Verdana" w:cs="Arial"/>
                <w:lang w:eastAsia="es-ES"/>
              </w:rPr>
              <w:t>Constitución Política. Artículo 127, 355.</w:t>
            </w:r>
          </w:p>
          <w:p w14:paraId="3B69F081" w14:textId="77777777" w:rsidR="001B5535" w:rsidRDefault="001B5535" w:rsidP="001B5535">
            <w:pPr>
              <w:pStyle w:val="Prrafodelista"/>
              <w:numPr>
                <w:ilvl w:val="0"/>
                <w:numId w:val="21"/>
              </w:numPr>
              <w:spacing w:after="120" w:line="276" w:lineRule="auto"/>
              <w:jc w:val="both"/>
              <w:rPr>
                <w:rFonts w:ascii="Verdana" w:hAnsi="Verdana" w:cs="Arial"/>
                <w:lang w:eastAsia="es-ES"/>
              </w:rPr>
            </w:pPr>
            <w:r>
              <w:rPr>
                <w:rFonts w:ascii="Verdana" w:hAnsi="Verdana" w:cs="Arial"/>
                <w:lang w:eastAsia="es-ES"/>
              </w:rPr>
              <w:t xml:space="preserve">Código Civil. Artículo 27. </w:t>
            </w:r>
          </w:p>
          <w:p w14:paraId="6A3C5AE1" w14:textId="77777777" w:rsidR="001B5535" w:rsidRPr="004B51CA" w:rsidRDefault="001B5535" w:rsidP="001B5535">
            <w:pPr>
              <w:pStyle w:val="Prrafodelista"/>
              <w:numPr>
                <w:ilvl w:val="0"/>
                <w:numId w:val="21"/>
              </w:numPr>
              <w:spacing w:after="120" w:line="276" w:lineRule="auto"/>
              <w:jc w:val="both"/>
              <w:rPr>
                <w:rFonts w:ascii="Verdana" w:hAnsi="Verdana" w:cs="Arial"/>
                <w:lang w:eastAsia="es-ES"/>
              </w:rPr>
            </w:pPr>
            <w:r w:rsidRPr="004B51CA">
              <w:rPr>
                <w:rFonts w:ascii="Verdana" w:hAnsi="Verdana" w:cs="Arial"/>
                <w:lang w:eastAsia="es-ES"/>
              </w:rPr>
              <w:t xml:space="preserve">Ley 80 de 1993. Artículo 41. </w:t>
            </w:r>
          </w:p>
          <w:p w14:paraId="287757A9" w14:textId="77777777" w:rsidR="001B5535" w:rsidRDefault="001B5535" w:rsidP="001B5535">
            <w:pPr>
              <w:pStyle w:val="Prrafodelista"/>
              <w:numPr>
                <w:ilvl w:val="0"/>
                <w:numId w:val="21"/>
              </w:numPr>
              <w:spacing w:after="120" w:line="276" w:lineRule="auto"/>
              <w:jc w:val="both"/>
              <w:rPr>
                <w:rFonts w:ascii="Verdana" w:hAnsi="Verdana" w:cs="Arial"/>
                <w:lang w:eastAsia="es-ES"/>
              </w:rPr>
            </w:pPr>
            <w:r>
              <w:rPr>
                <w:rFonts w:ascii="Verdana" w:hAnsi="Verdana" w:cs="Arial"/>
                <w:lang w:eastAsia="es-ES"/>
              </w:rPr>
              <w:t>Ley 489 de 1998. Artículo 96.</w:t>
            </w:r>
          </w:p>
          <w:p w14:paraId="056AB3C8" w14:textId="77777777" w:rsidR="001B5535" w:rsidRDefault="001B5535" w:rsidP="001B5535">
            <w:pPr>
              <w:pStyle w:val="Prrafodelista"/>
              <w:numPr>
                <w:ilvl w:val="0"/>
                <w:numId w:val="21"/>
              </w:numPr>
              <w:spacing w:after="120" w:line="276" w:lineRule="auto"/>
              <w:jc w:val="both"/>
              <w:rPr>
                <w:rFonts w:ascii="Verdana" w:hAnsi="Verdana" w:cs="Arial"/>
                <w:lang w:eastAsia="es-ES"/>
              </w:rPr>
            </w:pPr>
            <w:r>
              <w:rPr>
                <w:rFonts w:ascii="Verdana" w:hAnsi="Verdana" w:cs="Arial"/>
                <w:lang w:eastAsia="es-ES"/>
              </w:rPr>
              <w:t>Ley 996 de 2005. Artículos 33 y 38.</w:t>
            </w:r>
          </w:p>
          <w:p w14:paraId="697FBAC6" w14:textId="77777777" w:rsidR="001B5535" w:rsidRDefault="001B5535" w:rsidP="001B5535">
            <w:pPr>
              <w:pStyle w:val="Prrafodelista"/>
              <w:numPr>
                <w:ilvl w:val="0"/>
                <w:numId w:val="21"/>
              </w:numPr>
              <w:spacing w:after="120" w:line="276" w:lineRule="auto"/>
              <w:jc w:val="both"/>
              <w:rPr>
                <w:rFonts w:ascii="Verdana" w:hAnsi="Verdana" w:cs="Arial"/>
                <w:lang w:eastAsia="es-ES"/>
              </w:rPr>
            </w:pPr>
            <w:r>
              <w:rPr>
                <w:rFonts w:ascii="Verdana" w:hAnsi="Verdana" w:cs="Arial"/>
                <w:lang w:eastAsia="es-ES"/>
              </w:rPr>
              <w:t>Ley 1150 de 2007. Artículo 2, numeral 4 literal c).</w:t>
            </w:r>
          </w:p>
          <w:p w14:paraId="642D23D5" w14:textId="77777777" w:rsidR="001B5535" w:rsidRDefault="001B5535" w:rsidP="001B5535">
            <w:pPr>
              <w:pStyle w:val="Prrafodelista"/>
              <w:numPr>
                <w:ilvl w:val="0"/>
                <w:numId w:val="21"/>
              </w:numPr>
              <w:spacing w:after="120" w:line="276" w:lineRule="auto"/>
              <w:jc w:val="both"/>
              <w:rPr>
                <w:rFonts w:ascii="Verdana" w:hAnsi="Verdana" w:cs="Arial"/>
                <w:lang w:eastAsia="es-ES"/>
              </w:rPr>
            </w:pPr>
            <w:r>
              <w:rPr>
                <w:rFonts w:ascii="Verdana" w:hAnsi="Verdana" w:cs="Arial"/>
                <w:lang w:eastAsia="es-ES"/>
              </w:rPr>
              <w:t xml:space="preserve">Decreto 092 de 2017. Artículos </w:t>
            </w:r>
            <w:r w:rsidRPr="00F17EB6">
              <w:rPr>
                <w:rFonts w:ascii="Verdana" w:eastAsia="Calibri" w:hAnsi="Verdana" w:cs="Arial"/>
                <w:color w:val="000000"/>
                <w:lang w:val="es-MX"/>
              </w:rPr>
              <w:t>5, 6, 7 y 8</w:t>
            </w:r>
            <w:r>
              <w:rPr>
                <w:rFonts w:ascii="Verdana" w:eastAsia="Calibri" w:hAnsi="Verdana" w:cs="Arial"/>
                <w:color w:val="000000"/>
                <w:lang w:val="es-MX"/>
              </w:rPr>
              <w:t>.</w:t>
            </w:r>
          </w:p>
          <w:p w14:paraId="32C47D6B" w14:textId="77777777" w:rsidR="001B5535" w:rsidRDefault="001B5535" w:rsidP="001B5535">
            <w:pPr>
              <w:pStyle w:val="Prrafodelista"/>
              <w:numPr>
                <w:ilvl w:val="0"/>
                <w:numId w:val="21"/>
              </w:numPr>
              <w:spacing w:after="120" w:line="276" w:lineRule="auto"/>
              <w:jc w:val="both"/>
              <w:rPr>
                <w:rFonts w:ascii="Verdana" w:hAnsi="Verdana" w:cs="Arial"/>
                <w:lang w:eastAsia="es-ES"/>
              </w:rPr>
            </w:pPr>
            <w:r w:rsidRPr="008F03F6">
              <w:rPr>
                <w:rFonts w:ascii="Verdana" w:hAnsi="Verdana" w:cs="Arial"/>
                <w:lang w:eastAsia="es-ES"/>
              </w:rPr>
              <w:t xml:space="preserve">Consejo de Estado. Sala de Consulta y Servicio Civil. Concepto no. 2257 del 26 de julio de 2016, C.P. Álvaro Namén Vargas. </w:t>
            </w:r>
          </w:p>
          <w:p w14:paraId="370C3FF2" w14:textId="77777777" w:rsidR="001B5535" w:rsidRDefault="001B5535" w:rsidP="001B5535">
            <w:pPr>
              <w:pStyle w:val="Prrafodelista"/>
              <w:numPr>
                <w:ilvl w:val="0"/>
                <w:numId w:val="21"/>
              </w:numPr>
              <w:spacing w:after="120" w:line="276" w:lineRule="auto"/>
              <w:jc w:val="both"/>
              <w:rPr>
                <w:rFonts w:ascii="Verdana" w:hAnsi="Verdana" w:cs="Arial"/>
                <w:lang w:eastAsia="es-ES"/>
              </w:rPr>
            </w:pPr>
            <w:r w:rsidRPr="008F03F6">
              <w:rPr>
                <w:rFonts w:ascii="Verdana" w:hAnsi="Verdana" w:cs="Arial"/>
                <w:lang w:eastAsia="es-ES"/>
              </w:rPr>
              <w:t>Consejo de Estado. Sala de lo Contencioso Administrativo. Sección Tercera, Subsección A. Sentencia del 23 de junio de 2010. C.P. Mauricio Fajardo Gómez. Exp 17860</w:t>
            </w:r>
            <w:r>
              <w:rPr>
                <w:rFonts w:ascii="Verdana" w:hAnsi="Verdana" w:cs="Arial"/>
                <w:lang w:eastAsia="es-ES"/>
              </w:rPr>
              <w:t>.</w:t>
            </w:r>
          </w:p>
          <w:p w14:paraId="6BFE0B17" w14:textId="77777777" w:rsidR="001B5535" w:rsidRDefault="001B5535" w:rsidP="001B5535">
            <w:pPr>
              <w:pStyle w:val="Prrafodelista"/>
              <w:numPr>
                <w:ilvl w:val="0"/>
                <w:numId w:val="21"/>
              </w:numPr>
              <w:spacing w:after="120" w:line="276" w:lineRule="auto"/>
              <w:jc w:val="both"/>
              <w:rPr>
                <w:rFonts w:ascii="Verdana" w:hAnsi="Verdana" w:cs="Arial"/>
                <w:lang w:eastAsia="es-ES"/>
              </w:rPr>
            </w:pPr>
            <w:r w:rsidRPr="008F03F6">
              <w:rPr>
                <w:rFonts w:ascii="Verdana" w:hAnsi="Verdana" w:cs="Arial"/>
                <w:lang w:eastAsia="es-ES"/>
              </w:rPr>
              <w:t>Consejo de Estado. Sala de lo Contencioso Administrativo. Sección Tercera. Subsección B. Auto del 4 de octubre de 2024. Exp 70313. C.P. Fredy Ibarra Martínez.</w:t>
            </w:r>
          </w:p>
          <w:p w14:paraId="0BFC6BF1" w14:textId="77777777" w:rsidR="001B5535" w:rsidRPr="008F03F6" w:rsidRDefault="001B5535" w:rsidP="001B5535">
            <w:pPr>
              <w:pStyle w:val="Prrafodelista"/>
              <w:numPr>
                <w:ilvl w:val="0"/>
                <w:numId w:val="21"/>
              </w:numPr>
              <w:spacing w:after="120" w:line="276" w:lineRule="auto"/>
              <w:jc w:val="both"/>
              <w:rPr>
                <w:rFonts w:ascii="Verdana" w:hAnsi="Verdana" w:cs="Arial"/>
                <w:lang w:eastAsia="es-ES"/>
              </w:rPr>
            </w:pPr>
            <w:r w:rsidRPr="008F03F6">
              <w:rPr>
                <w:rFonts w:ascii="Verdana" w:hAnsi="Verdana"/>
              </w:rPr>
              <w:t xml:space="preserve">Consejo De Estado. Sala de Consulta y Servicio Civil. Concepto del 30 de mayo de 2017. Rad. 2.319. C.P. Edgar González López. </w:t>
            </w:r>
          </w:p>
          <w:p w14:paraId="6DC5B651" w14:textId="77777777" w:rsidR="001B5535" w:rsidRDefault="001B5535" w:rsidP="001B5535">
            <w:pPr>
              <w:pStyle w:val="Prrafodelista"/>
              <w:numPr>
                <w:ilvl w:val="0"/>
                <w:numId w:val="21"/>
              </w:numPr>
              <w:spacing w:after="120" w:line="276" w:lineRule="auto"/>
              <w:jc w:val="both"/>
              <w:rPr>
                <w:rFonts w:ascii="Verdana" w:hAnsi="Verdana" w:cs="Arial"/>
                <w:lang w:eastAsia="es-ES"/>
              </w:rPr>
            </w:pPr>
            <w:r w:rsidRPr="008A6CED">
              <w:rPr>
                <w:rFonts w:ascii="Verdana" w:hAnsi="Verdana" w:cs="Arial"/>
                <w:lang w:eastAsia="es-ES"/>
              </w:rPr>
              <w:t>Consejo de Estado. Sala Plena. Auto del 15 de marzo de 2022. Expediente: 62.003. C.P: Rocío Araujo Oñate.</w:t>
            </w:r>
          </w:p>
          <w:p w14:paraId="54F0435A" w14:textId="77777777" w:rsidR="001B5535" w:rsidRPr="00033152" w:rsidRDefault="001B5535" w:rsidP="001B5535">
            <w:pPr>
              <w:pStyle w:val="Prrafodelista"/>
              <w:numPr>
                <w:ilvl w:val="0"/>
                <w:numId w:val="21"/>
              </w:numPr>
              <w:spacing w:after="120" w:line="276" w:lineRule="auto"/>
              <w:jc w:val="both"/>
              <w:rPr>
                <w:rFonts w:ascii="Verdana" w:hAnsi="Verdana" w:cs="Arial"/>
                <w:lang w:eastAsia="es-ES"/>
              </w:rPr>
            </w:pPr>
            <w:r w:rsidRPr="00033152">
              <w:rPr>
                <w:rFonts w:ascii="Verdana" w:hAnsi="Verdana" w:cs="Arial"/>
                <w:lang w:eastAsia="es-ES"/>
              </w:rPr>
              <w:t xml:space="preserve">Consejo de Estado. Sala de lo Contencioso Administrativo. Sección Primera. Sentencia de 3 de marzo de 2005. Radicado: 25001-23-15-000-2004-00823-01 (PI). C.P: Camilo Arciniegas Andrade. </w:t>
            </w:r>
          </w:p>
          <w:p w14:paraId="2054AC56" w14:textId="77777777" w:rsidR="001B5535" w:rsidRPr="00033152" w:rsidRDefault="001B5535" w:rsidP="001B5535">
            <w:pPr>
              <w:pStyle w:val="Prrafodelista"/>
              <w:numPr>
                <w:ilvl w:val="0"/>
                <w:numId w:val="21"/>
              </w:numPr>
              <w:spacing w:after="120" w:line="276" w:lineRule="auto"/>
              <w:jc w:val="both"/>
              <w:rPr>
                <w:rFonts w:ascii="Verdana" w:hAnsi="Verdana" w:cs="Arial"/>
                <w:lang w:eastAsia="es-ES"/>
              </w:rPr>
            </w:pPr>
            <w:r w:rsidRPr="00033152">
              <w:rPr>
                <w:rFonts w:ascii="Verdana" w:hAnsi="Verdana" w:cs="Arial"/>
                <w:lang w:eastAsia="es-ES"/>
              </w:rPr>
              <w:t>Consejo de Estado. Sala de lo Contencioso Administrativo Sección Tercera. Sentencia de 22 de enero de 2002, expediente número 2001-0148-01.</w:t>
            </w:r>
          </w:p>
          <w:p w14:paraId="6B643482" w14:textId="77777777" w:rsidR="001B5535" w:rsidRPr="00033152" w:rsidRDefault="001B5535" w:rsidP="001B5535">
            <w:pPr>
              <w:pStyle w:val="Prrafodelista"/>
              <w:numPr>
                <w:ilvl w:val="0"/>
                <w:numId w:val="21"/>
              </w:numPr>
              <w:spacing w:after="120" w:line="276" w:lineRule="auto"/>
              <w:jc w:val="both"/>
              <w:rPr>
                <w:rFonts w:ascii="Verdana" w:hAnsi="Verdana" w:cs="Arial"/>
                <w:lang w:eastAsia="es-ES"/>
              </w:rPr>
            </w:pPr>
            <w:r w:rsidRPr="00033152">
              <w:rPr>
                <w:rFonts w:ascii="Verdana" w:hAnsi="Verdana" w:cs="Arial"/>
                <w:lang w:eastAsia="es-ES"/>
              </w:rPr>
              <w:t>Consejo de Estado. Sala de lo Contencioso Administrativo. Sección Tercera. Sentencia de 20 de noviembre de 2001, expediente número 2001-0130-01(PI).</w:t>
            </w:r>
          </w:p>
          <w:p w14:paraId="7E3F5430" w14:textId="77777777" w:rsidR="001B5535" w:rsidRPr="00033152" w:rsidRDefault="001B5535" w:rsidP="001B5535">
            <w:pPr>
              <w:pStyle w:val="Prrafodelista"/>
              <w:numPr>
                <w:ilvl w:val="0"/>
                <w:numId w:val="21"/>
              </w:numPr>
              <w:spacing w:after="120" w:line="276" w:lineRule="auto"/>
              <w:jc w:val="both"/>
              <w:rPr>
                <w:rFonts w:ascii="Verdana" w:hAnsi="Verdana" w:cs="Arial"/>
                <w:lang w:eastAsia="es-ES"/>
              </w:rPr>
            </w:pPr>
            <w:r w:rsidRPr="00033152">
              <w:rPr>
                <w:rFonts w:ascii="Verdana" w:hAnsi="Verdana" w:cs="Arial"/>
                <w:lang w:eastAsia="es-ES"/>
              </w:rPr>
              <w:t xml:space="preserve">Consejo de Estado, Sala de Consulta y Servicio Civil. 24 de julio de 2013. Radicado: 11001-03-06-000-2013-00407-00 (2166). C.P. Álvaro Namén Vargas.  </w:t>
            </w:r>
          </w:p>
          <w:p w14:paraId="5E8DA41B" w14:textId="77777777" w:rsidR="001B5535" w:rsidRPr="00033152" w:rsidRDefault="001B5535" w:rsidP="001B5535">
            <w:pPr>
              <w:pStyle w:val="Prrafodelista"/>
              <w:numPr>
                <w:ilvl w:val="0"/>
                <w:numId w:val="21"/>
              </w:numPr>
              <w:spacing w:after="120" w:line="276" w:lineRule="auto"/>
              <w:jc w:val="both"/>
              <w:rPr>
                <w:rFonts w:ascii="Verdana" w:hAnsi="Verdana" w:cs="Arial"/>
                <w:lang w:eastAsia="es-ES"/>
              </w:rPr>
            </w:pPr>
            <w:r w:rsidRPr="00033152">
              <w:rPr>
                <w:rFonts w:ascii="Verdana" w:hAnsi="Verdana" w:cs="Arial"/>
                <w:lang w:eastAsia="es-ES"/>
              </w:rPr>
              <w:t>Consejo de Estado. Sala de Consulta y Servicio Civil. Concepto del 17 de febrero de 2015. Radicado: 11001-03-06-000-2015-00164-00 (2269). C.P. William Zambrano Cetina.</w:t>
            </w:r>
          </w:p>
          <w:p w14:paraId="7ADD8495" w14:textId="77777777" w:rsidR="001B5535" w:rsidRPr="00033152" w:rsidRDefault="001B5535" w:rsidP="001B5535">
            <w:pPr>
              <w:pStyle w:val="Prrafodelista"/>
              <w:numPr>
                <w:ilvl w:val="0"/>
                <w:numId w:val="21"/>
              </w:numPr>
              <w:spacing w:after="120" w:line="276" w:lineRule="auto"/>
              <w:jc w:val="both"/>
              <w:rPr>
                <w:rFonts w:ascii="Verdana" w:hAnsi="Verdana" w:cs="Arial"/>
                <w:lang w:eastAsia="es-ES"/>
              </w:rPr>
            </w:pPr>
            <w:r w:rsidRPr="00033152">
              <w:rPr>
                <w:rFonts w:ascii="Verdana" w:hAnsi="Verdana" w:cs="Arial"/>
                <w:lang w:eastAsia="es-ES"/>
              </w:rPr>
              <w:t>Consejo de Estado. Sala de Consulta y Servicio Civil. Concepto del 2 de septiembre de 2013. Radicación número: 11001-03-06-000-2013-00412-00 (2168). C.P: Álvaro Namén Vargas.</w:t>
            </w:r>
          </w:p>
          <w:p w14:paraId="1F345419" w14:textId="77777777" w:rsidR="001B5535" w:rsidRPr="00033152" w:rsidRDefault="001B5535" w:rsidP="001B5535">
            <w:pPr>
              <w:pStyle w:val="Prrafodelista"/>
              <w:numPr>
                <w:ilvl w:val="0"/>
                <w:numId w:val="21"/>
              </w:numPr>
              <w:spacing w:after="120" w:line="276" w:lineRule="auto"/>
              <w:jc w:val="both"/>
              <w:rPr>
                <w:rFonts w:ascii="Verdana" w:hAnsi="Verdana" w:cs="Arial"/>
                <w:lang w:eastAsia="es-ES"/>
              </w:rPr>
            </w:pPr>
            <w:r w:rsidRPr="00033152">
              <w:rPr>
                <w:rFonts w:ascii="Verdana" w:hAnsi="Verdana" w:cs="Arial"/>
                <w:lang w:eastAsia="es-ES"/>
              </w:rPr>
              <w:t>Consejo de Estado. Sala de Consulta y Servicio Civil, Concepto de 8 de mayo de 2018. Radicación Número: 11001-03-06-000-2018-00095-00 (2382). C.P: Álvaro Namén Vargas.</w:t>
            </w:r>
          </w:p>
          <w:p w14:paraId="358B023F" w14:textId="77777777" w:rsidR="001B5535" w:rsidRDefault="001B5535" w:rsidP="001B5535">
            <w:pPr>
              <w:pStyle w:val="Prrafodelista"/>
              <w:numPr>
                <w:ilvl w:val="0"/>
                <w:numId w:val="21"/>
              </w:numPr>
              <w:spacing w:after="120" w:line="276" w:lineRule="auto"/>
              <w:jc w:val="both"/>
              <w:rPr>
                <w:rFonts w:ascii="Verdana" w:hAnsi="Verdana" w:cs="Arial"/>
                <w:lang w:eastAsia="es-ES"/>
              </w:rPr>
            </w:pPr>
            <w:r w:rsidRPr="00033152">
              <w:rPr>
                <w:rFonts w:ascii="Verdana" w:hAnsi="Verdana" w:cs="Arial"/>
                <w:lang w:eastAsia="es-ES"/>
              </w:rPr>
              <w:t>Consejo de Estado. Sala de Consulta y Servicio Civil. Concepto de 20 de febrero de 2006. Radicación Número: 11001-03-06-000-2006-00026-00 (1727). C.P: Enrique José Arboleda Perdomo.</w:t>
            </w:r>
          </w:p>
          <w:p w14:paraId="30E20973" w14:textId="77777777" w:rsidR="001B5535" w:rsidRDefault="001B5535" w:rsidP="001B5535">
            <w:pPr>
              <w:pStyle w:val="Prrafodelista"/>
              <w:numPr>
                <w:ilvl w:val="0"/>
                <w:numId w:val="21"/>
              </w:numPr>
              <w:spacing w:after="120" w:line="276" w:lineRule="auto"/>
              <w:jc w:val="both"/>
              <w:rPr>
                <w:rFonts w:ascii="Verdana" w:hAnsi="Verdana" w:cs="Arial"/>
                <w:lang w:eastAsia="es-ES"/>
              </w:rPr>
            </w:pPr>
            <w:r w:rsidRPr="004B51CA">
              <w:rPr>
                <w:rFonts w:ascii="Verdana" w:hAnsi="Verdana" w:cs="Arial"/>
                <w:lang w:eastAsia="es-ES"/>
              </w:rPr>
              <w:t>Consejo de Estado. Sala de Consulta y Servicio Civil. Concepto de 6 de abril de 2006. Radicación Número: 11001-03-06-000-2006-00038-00 (1738). C.P: Enrique José Arboleda Perdomo</w:t>
            </w:r>
            <w:r>
              <w:rPr>
                <w:rFonts w:ascii="Verdana" w:hAnsi="Verdana" w:cs="Arial"/>
                <w:lang w:eastAsia="es-ES"/>
              </w:rPr>
              <w:t>.</w:t>
            </w:r>
          </w:p>
          <w:p w14:paraId="6A913D18" w14:textId="77777777" w:rsidR="001B5535" w:rsidRPr="00033152" w:rsidRDefault="001B5535" w:rsidP="001B5535">
            <w:pPr>
              <w:pStyle w:val="Prrafodelista"/>
              <w:numPr>
                <w:ilvl w:val="0"/>
                <w:numId w:val="21"/>
              </w:numPr>
              <w:spacing w:after="120" w:line="276" w:lineRule="auto"/>
              <w:jc w:val="both"/>
              <w:rPr>
                <w:rFonts w:ascii="Verdana" w:hAnsi="Verdana" w:cs="Arial"/>
                <w:lang w:eastAsia="es-ES"/>
              </w:rPr>
            </w:pPr>
            <w:r w:rsidRPr="004B51CA">
              <w:rPr>
                <w:rFonts w:ascii="Verdana" w:hAnsi="Verdana" w:cs="Arial"/>
                <w:lang w:eastAsia="es-ES"/>
              </w:rPr>
              <w:t>Consejo de Estado. Sala de Consulta y Servicio Civil. Concepto del 18 de febrero 2010. Rad. 11001-03-06-000-2010-00006-00 (1985). C.P. Enrique José Arboleda Perdomo.</w:t>
            </w:r>
          </w:p>
          <w:p w14:paraId="60E1A406" w14:textId="77777777" w:rsidR="001B5535" w:rsidRPr="00033152" w:rsidRDefault="001B5535" w:rsidP="001B5535">
            <w:pPr>
              <w:pStyle w:val="Prrafodelista"/>
              <w:numPr>
                <w:ilvl w:val="0"/>
                <w:numId w:val="21"/>
              </w:numPr>
              <w:spacing w:line="276" w:lineRule="auto"/>
              <w:ind w:left="714" w:hanging="357"/>
              <w:jc w:val="both"/>
              <w:rPr>
                <w:rFonts w:ascii="Verdana" w:hAnsi="Verdana" w:cs="Arial"/>
                <w:lang w:eastAsia="es-ES"/>
              </w:rPr>
            </w:pPr>
            <w:r w:rsidRPr="00033152">
              <w:rPr>
                <w:rFonts w:ascii="Verdana" w:hAnsi="Verdana" w:cs="Arial"/>
                <w:lang w:eastAsia="es-ES"/>
              </w:rPr>
              <w:t>Consejo de Estado. Sala de lo Contencioso Administrativo. Sección Tercera. Sentencia del 21 de febrero de 2025. Exp. 68.280. CP: José Roberto Sáchica Méndez.</w:t>
            </w:r>
          </w:p>
          <w:p w14:paraId="4B5E6002" w14:textId="77777777" w:rsidR="001B5535" w:rsidRPr="00033152" w:rsidRDefault="001B5535" w:rsidP="001B5535">
            <w:pPr>
              <w:pStyle w:val="Prrafodelista"/>
              <w:numPr>
                <w:ilvl w:val="0"/>
                <w:numId w:val="21"/>
              </w:numPr>
              <w:spacing w:line="276" w:lineRule="auto"/>
              <w:ind w:left="714" w:hanging="357"/>
              <w:jc w:val="both"/>
              <w:rPr>
                <w:rFonts w:ascii="Verdana" w:hAnsi="Verdana" w:cs="Arial"/>
                <w:lang w:eastAsia="es-ES"/>
              </w:rPr>
            </w:pPr>
            <w:r w:rsidRPr="00033152">
              <w:rPr>
                <w:rFonts w:ascii="Verdana" w:hAnsi="Verdana" w:cs="Arial"/>
                <w:lang w:eastAsia="es-ES"/>
              </w:rPr>
              <w:t>Consejo de Estado. Sala de lo Contencioso Administrativo. Sección Tercera. Subsección B. Auto del 4 de octubre de 2024. Exp. 70.313. C.P: Fredy Ibarra Martínez.</w:t>
            </w:r>
          </w:p>
          <w:p w14:paraId="7E9600CB" w14:textId="77777777" w:rsidR="001B5535" w:rsidRPr="00033152" w:rsidRDefault="001B5535" w:rsidP="001B5535">
            <w:pPr>
              <w:pStyle w:val="Prrafodelista"/>
              <w:numPr>
                <w:ilvl w:val="0"/>
                <w:numId w:val="21"/>
              </w:numPr>
              <w:spacing w:line="276" w:lineRule="auto"/>
              <w:ind w:left="714" w:hanging="357"/>
              <w:jc w:val="both"/>
              <w:rPr>
                <w:rFonts w:ascii="Verdana" w:hAnsi="Verdana" w:cs="Arial"/>
                <w:lang w:eastAsia="es-ES"/>
              </w:rPr>
            </w:pPr>
            <w:r w:rsidRPr="00033152">
              <w:rPr>
                <w:rFonts w:ascii="Verdana" w:hAnsi="Verdana" w:cs="Arial"/>
                <w:lang w:eastAsia="es-ES"/>
              </w:rPr>
              <w:t>Consejo de Estado, Sección Tercera. Auto del 6 de noviembre de 2025. Exp. 72.424. C.P: Fernando Alexei Pardo Flórez.</w:t>
            </w:r>
          </w:p>
          <w:p w14:paraId="5BA9644E" w14:textId="77777777" w:rsidR="001B5535" w:rsidRPr="00033152" w:rsidRDefault="001B5535" w:rsidP="001B5535">
            <w:pPr>
              <w:pStyle w:val="Prrafodelista"/>
              <w:numPr>
                <w:ilvl w:val="0"/>
                <w:numId w:val="21"/>
              </w:numPr>
              <w:spacing w:line="276" w:lineRule="auto"/>
              <w:ind w:left="714" w:hanging="357"/>
              <w:jc w:val="both"/>
              <w:rPr>
                <w:rFonts w:ascii="Verdana" w:hAnsi="Verdana" w:cs="Arial"/>
                <w:lang w:eastAsia="es-ES"/>
              </w:rPr>
            </w:pPr>
            <w:r w:rsidRPr="00033152">
              <w:rPr>
                <w:rFonts w:ascii="Verdana" w:hAnsi="Verdana" w:cs="Arial"/>
                <w:lang w:eastAsia="es-ES"/>
              </w:rPr>
              <w:t>Corte Constitucional. Sentencia C- 1153 de 2005, M.P: Marco Gerardo Monroy Cabra.</w:t>
            </w:r>
            <w:r w:rsidRPr="00033152">
              <w:rPr>
                <w:rFonts w:ascii="Verdana" w:hAnsi="Verdana" w:cs="Arial"/>
                <w:lang w:eastAsia="es-ES"/>
              </w:rPr>
              <w:tab/>
            </w:r>
          </w:p>
          <w:p w14:paraId="0C79E838" w14:textId="77777777" w:rsidR="001B5535" w:rsidRDefault="001B5535" w:rsidP="001B5535">
            <w:pPr>
              <w:pStyle w:val="Prrafodelista"/>
              <w:numPr>
                <w:ilvl w:val="0"/>
                <w:numId w:val="21"/>
              </w:numPr>
              <w:spacing w:after="120" w:line="276" w:lineRule="auto"/>
              <w:jc w:val="both"/>
              <w:rPr>
                <w:rFonts w:ascii="Verdana" w:hAnsi="Verdana" w:cs="Arial"/>
                <w:lang w:eastAsia="es-ES"/>
              </w:rPr>
            </w:pPr>
            <w:r w:rsidRPr="008F03F6">
              <w:rPr>
                <w:rFonts w:ascii="Verdana" w:hAnsi="Verdana" w:cs="Arial"/>
                <w:lang w:eastAsia="es-ES"/>
              </w:rPr>
              <w:t xml:space="preserve">Corte Constitucional. Sentencia C-671 de 2005. M.P. Álvaro Tafur Galvis. </w:t>
            </w:r>
          </w:p>
          <w:p w14:paraId="3BCE64B1" w14:textId="77777777" w:rsidR="001B5535" w:rsidRPr="00033152" w:rsidRDefault="001B5535" w:rsidP="001B5535">
            <w:pPr>
              <w:pStyle w:val="Prrafodelista"/>
              <w:numPr>
                <w:ilvl w:val="0"/>
                <w:numId w:val="21"/>
              </w:numPr>
              <w:spacing w:after="120" w:line="276" w:lineRule="auto"/>
              <w:jc w:val="both"/>
              <w:rPr>
                <w:rFonts w:ascii="Verdana" w:hAnsi="Verdana" w:cs="Arial"/>
                <w:lang w:eastAsia="es-ES"/>
              </w:rPr>
            </w:pPr>
            <w:r w:rsidRPr="00033152">
              <w:rPr>
                <w:rFonts w:ascii="Verdana" w:hAnsi="Verdana" w:cs="Arial"/>
                <w:lang w:eastAsia="es-ES"/>
              </w:rPr>
              <w:t>Corte Constitucional. Sentencia C-233 de 4 de abril de 2002. M.P: Álvaro Tafur Galvis.</w:t>
            </w:r>
          </w:p>
          <w:p w14:paraId="77F9A48D" w14:textId="77777777" w:rsidR="001B5535" w:rsidRPr="00033152" w:rsidRDefault="001B5535" w:rsidP="001B5535">
            <w:pPr>
              <w:pStyle w:val="Prrafodelista"/>
              <w:numPr>
                <w:ilvl w:val="0"/>
                <w:numId w:val="21"/>
              </w:numPr>
              <w:spacing w:after="120" w:line="276" w:lineRule="auto"/>
              <w:jc w:val="both"/>
              <w:rPr>
                <w:rFonts w:ascii="Verdana" w:hAnsi="Verdana" w:cs="Arial"/>
                <w:lang w:eastAsia="es-ES"/>
              </w:rPr>
            </w:pPr>
            <w:r w:rsidRPr="00033152">
              <w:rPr>
                <w:rFonts w:ascii="Verdana" w:hAnsi="Verdana" w:cs="Arial"/>
                <w:lang w:eastAsia="es-ES"/>
              </w:rPr>
              <w:t>Corte Constitucional. Sentencia C-551 de 9 de julio de 2003. M.P: Eduardo Montealegre Lynnet.</w:t>
            </w:r>
          </w:p>
          <w:p w14:paraId="3F2AB5A6" w14:textId="77777777" w:rsidR="001B5535" w:rsidRDefault="001B5535" w:rsidP="001B5535">
            <w:pPr>
              <w:pStyle w:val="Prrafodelista"/>
              <w:numPr>
                <w:ilvl w:val="0"/>
                <w:numId w:val="21"/>
              </w:numPr>
              <w:spacing w:after="120" w:line="276" w:lineRule="auto"/>
              <w:jc w:val="both"/>
              <w:rPr>
                <w:rFonts w:ascii="Verdana" w:hAnsi="Verdana" w:cs="Arial"/>
                <w:lang w:eastAsia="es-ES"/>
              </w:rPr>
            </w:pPr>
            <w:r w:rsidRPr="00033152">
              <w:rPr>
                <w:rFonts w:ascii="Verdana" w:hAnsi="Verdana" w:cs="Arial"/>
                <w:lang w:eastAsia="es-ES"/>
              </w:rPr>
              <w:t>Corte Constitucional. Sentencia C-353 de 20 de mayo de 2009. M.P: Jorge Iván Palacio Palacio.</w:t>
            </w:r>
          </w:p>
          <w:p w14:paraId="64878808" w14:textId="77777777" w:rsidR="001B5535" w:rsidRPr="008A6CED" w:rsidRDefault="001B5535" w:rsidP="001B5535">
            <w:pPr>
              <w:pStyle w:val="Prrafodelista"/>
              <w:numPr>
                <w:ilvl w:val="0"/>
                <w:numId w:val="21"/>
              </w:numPr>
              <w:spacing w:after="120" w:line="276" w:lineRule="auto"/>
              <w:jc w:val="both"/>
              <w:rPr>
                <w:rFonts w:ascii="Verdana" w:hAnsi="Verdana" w:cs="Arial"/>
                <w:lang w:eastAsia="es-ES"/>
              </w:rPr>
            </w:pPr>
            <w:r w:rsidRPr="008A6CED">
              <w:rPr>
                <w:rFonts w:ascii="Verdana" w:hAnsi="Verdana"/>
              </w:rPr>
              <w:t xml:space="preserve">Agencia Nacional de Contratación Pública –Colombia Compra Eficiente. </w:t>
            </w:r>
            <w:r w:rsidRPr="008A6CED">
              <w:rPr>
                <w:rFonts w:ascii="Verdana" w:hAnsi="Verdana"/>
                <w:bCs/>
                <w:iCs/>
                <w:lang w:val="es-CO"/>
              </w:rPr>
              <w:t xml:space="preserve">Guía para la contratación con entidades privadas sin ánimo de lucro y de reconocida idoneidad, 2025. p. 14. Disponible en </w:t>
            </w:r>
            <w:hyperlink r:id="rId12" w:history="1">
              <w:r w:rsidRPr="008A6CED">
                <w:rPr>
                  <w:rStyle w:val="Hipervnculo"/>
                  <w:rFonts w:ascii="Verdana" w:hAnsi="Verdana"/>
                  <w:bCs/>
                  <w:iCs/>
                  <w:lang w:val="es-CO"/>
                </w:rPr>
                <w:t>Guia-ESALES-CCE-V2_2025.pdf</w:t>
              </w:r>
            </w:hyperlink>
            <w:r w:rsidRPr="008A6CED">
              <w:rPr>
                <w:rFonts w:ascii="Verdana" w:hAnsi="Verdana"/>
                <w:bCs/>
                <w:i/>
                <w:iCs/>
                <w:lang w:val="es-CO"/>
              </w:rPr>
              <w:t xml:space="preserve"> </w:t>
            </w:r>
          </w:p>
          <w:p w14:paraId="3E7A75DF" w14:textId="77777777" w:rsidR="001B5535" w:rsidRPr="008A6CED" w:rsidRDefault="001B5535" w:rsidP="001B5535">
            <w:pPr>
              <w:pStyle w:val="Prrafodelista"/>
              <w:numPr>
                <w:ilvl w:val="0"/>
                <w:numId w:val="21"/>
              </w:numPr>
              <w:spacing w:after="120" w:line="276" w:lineRule="auto"/>
              <w:jc w:val="both"/>
              <w:rPr>
                <w:rFonts w:ascii="Verdana" w:hAnsi="Verdana" w:cs="Arial"/>
                <w:lang w:eastAsia="es-ES"/>
              </w:rPr>
            </w:pPr>
            <w:r w:rsidRPr="00033152">
              <w:rPr>
                <w:rFonts w:ascii="Verdana" w:hAnsi="Verdana"/>
              </w:rPr>
              <w:t xml:space="preserve">Agencia Nacional de Contratación Pública – Colombia Compra Eficiente. Circular Externa 006 del 25 de septiembre de 2025. Disponible en </w:t>
            </w:r>
            <w:hyperlink r:id="rId13" w:history="1">
              <w:r w:rsidRPr="00033152">
                <w:rPr>
                  <w:rStyle w:val="Hipervnculo"/>
                  <w:rFonts w:ascii="Verdana" w:hAnsi="Verdana"/>
                  <w:lang w:val="es-CO"/>
                </w:rPr>
                <w:t>006-de-2025-Circular-Externa-L996-ajustado-comentarios-BM-BID-Rev-ARSC-V3.d-1.pdf</w:t>
              </w:r>
            </w:hyperlink>
          </w:p>
          <w:p w14:paraId="7B08B31E" w14:textId="77777777" w:rsidR="001B5535" w:rsidRPr="008A6CED" w:rsidRDefault="001B5535" w:rsidP="001B5535">
            <w:pPr>
              <w:pStyle w:val="Prrafodelista"/>
              <w:numPr>
                <w:ilvl w:val="0"/>
                <w:numId w:val="21"/>
              </w:numPr>
              <w:spacing w:after="120" w:line="276" w:lineRule="auto"/>
              <w:jc w:val="both"/>
              <w:rPr>
                <w:rFonts w:ascii="Verdana" w:hAnsi="Verdana" w:cs="Arial"/>
                <w:lang w:eastAsia="es-ES"/>
              </w:rPr>
            </w:pPr>
            <w:r w:rsidRPr="008F03F6">
              <w:rPr>
                <w:rFonts w:ascii="Verdana" w:hAnsi="Verdana"/>
              </w:rPr>
              <w:t>SANTOS RODRÍGUEZ, Jorge Enrique. Consideraciones sobre los contratos y convenios interadministrativos. En: Revista Digital de Derecho Administrativo, 2008.</w:t>
            </w:r>
          </w:p>
          <w:p w14:paraId="17CC6E34" w14:textId="77777777" w:rsidR="001B5535" w:rsidRPr="00033152" w:rsidRDefault="001B5535" w:rsidP="001B5535">
            <w:pPr>
              <w:pStyle w:val="Prrafodelista"/>
              <w:numPr>
                <w:ilvl w:val="0"/>
                <w:numId w:val="21"/>
              </w:numPr>
              <w:spacing w:after="120" w:line="276" w:lineRule="auto"/>
              <w:jc w:val="both"/>
              <w:rPr>
                <w:rFonts w:ascii="Verdana" w:hAnsi="Verdana" w:cs="Arial"/>
                <w:lang w:eastAsia="es-ES"/>
              </w:rPr>
            </w:pPr>
            <w:r w:rsidRPr="00033152">
              <w:rPr>
                <w:rFonts w:ascii="Verdana" w:hAnsi="Verdana" w:cs="Arial"/>
                <w:lang w:eastAsia="es-ES"/>
              </w:rPr>
              <w:t>CLARO SOLAR, Luis. Explicaciones de derecho civil chileno y comparado. Volumen I. Tomo I. Santiago:</w:t>
            </w:r>
            <w:r w:rsidRPr="00EB6D0E">
              <w:rPr>
                <w:rFonts w:ascii="Verdana" w:hAnsi="Verdana" w:cs="Arial"/>
                <w:lang w:eastAsia="es-ES"/>
              </w:rPr>
              <w:t xml:space="preserve"> Editorial Jurídica de Chile, 2013.</w:t>
            </w:r>
          </w:p>
        </w:tc>
      </w:tr>
    </w:tbl>
    <w:p w14:paraId="2A13162B" w14:textId="77777777" w:rsidR="001B5535" w:rsidRDefault="001B5535" w:rsidP="001B5535">
      <w:pPr>
        <w:tabs>
          <w:tab w:val="left" w:pos="142"/>
          <w:tab w:val="left" w:pos="284"/>
          <w:tab w:val="left" w:pos="3828"/>
        </w:tabs>
        <w:spacing w:after="0" w:line="276" w:lineRule="auto"/>
        <w:jc w:val="both"/>
        <w:rPr>
          <w:rFonts w:ascii="Verdana" w:eastAsia="Century Gothic" w:hAnsi="Verdana" w:cs="Century Gothic"/>
          <w:b/>
          <w:bCs/>
        </w:rPr>
      </w:pPr>
    </w:p>
    <w:p w14:paraId="3946396D" w14:textId="77777777" w:rsidR="001B5535" w:rsidRPr="0091091D" w:rsidRDefault="001B5535" w:rsidP="001B5535">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5615E137" w14:textId="77777777" w:rsidR="001B5535" w:rsidRPr="007A3DD4" w:rsidRDefault="001B5535" w:rsidP="001B5535">
      <w:pPr>
        <w:widowControl w:val="0"/>
        <w:autoSpaceDE w:val="0"/>
        <w:autoSpaceDN w:val="0"/>
        <w:spacing w:after="0" w:line="240" w:lineRule="auto"/>
        <w:jc w:val="both"/>
        <w:rPr>
          <w:rStyle w:val="normaltextrun"/>
          <w:rFonts w:ascii="Verdana" w:hAnsi="Verdana" w:cs="Arial"/>
          <w:shd w:val="clear" w:color="auto" w:fill="FFFFFF"/>
        </w:rPr>
      </w:pPr>
    </w:p>
    <w:p w14:paraId="206DD3EC" w14:textId="77777777" w:rsidR="001B5535" w:rsidRPr="00147D6A" w:rsidRDefault="001B5535" w:rsidP="001B5535">
      <w:pPr>
        <w:widowControl w:val="0"/>
        <w:autoSpaceDE w:val="0"/>
        <w:autoSpaceDN w:val="0"/>
        <w:spacing w:after="120" w:line="276" w:lineRule="auto"/>
        <w:jc w:val="both"/>
        <w:rPr>
          <w:rFonts w:ascii="Verdana" w:hAnsi="Verdana" w:cs="Arial"/>
          <w:shd w:val="clear" w:color="auto" w:fill="FFFFFF"/>
        </w:rPr>
      </w:pPr>
      <w:r w:rsidRPr="00147D6A">
        <w:rPr>
          <w:rFonts w:ascii="Verdana" w:hAnsi="Verdana" w:cs="Arial"/>
          <w:shd w:val="clear" w:color="auto" w:fill="FFFFFF"/>
        </w:rPr>
        <w:t xml:space="preserve">Esta Subdirección se ha pronunciado sobre la Ley de Garantías Electorales en  los conceptos C-681 del 7 de diciembre de 2021, C-686 del 21 de diciembre de 2021, C-134 del 7 de abril de 2022, C-697 del 3 de enero de 2022, C-180 del 21 de marzo de 2025, C-317 del 25 de abril de 2025, C-510 del 4 de junio de 2025, C -635 del 27 de junio de 2025, C–750 de 17 de julio 2025, C-868 del 12 de agosto de 2025, C-1124 del 18 de septiembre de 2025, C-1174 del 29 de septiembre de 2025, C-1491 del 20 de noviembre de 2025, C- 1492 del </w:t>
      </w:r>
      <w:r w:rsidRPr="00147D6A">
        <w:rPr>
          <w:rFonts w:ascii="Verdana" w:hAnsi="Verdana"/>
        </w:rPr>
        <w:t>21 de noviembre del 2025, C-1629, C-1646 del 17 de diciembre de 2025, C-1662 del 22 de diciembre de 2025</w:t>
      </w:r>
      <w:r w:rsidRPr="00147D6A">
        <w:rPr>
          <w:rStyle w:val="normaltextrun"/>
          <w:rFonts w:ascii="Verdana" w:hAnsi="Verdana" w:cs="Arial"/>
          <w:shd w:val="clear" w:color="auto" w:fill="FFFFFF"/>
          <w:lang w:val="es-ES"/>
        </w:rPr>
        <w:t xml:space="preserve">, C-063 del 23 de febrero de 2026, C-160 del 24 de febrero de 2026, </w:t>
      </w:r>
      <w:r>
        <w:rPr>
          <w:rStyle w:val="normaltextrun"/>
          <w:rFonts w:ascii="Verdana" w:hAnsi="Verdana" w:cs="Arial"/>
          <w:shd w:val="clear" w:color="auto" w:fill="FFFFFF"/>
          <w:lang w:val="es-ES"/>
        </w:rPr>
        <w:t xml:space="preserve">C-095 del 4 de marzo de 2026, </w:t>
      </w:r>
      <w:r w:rsidRPr="00147D6A">
        <w:rPr>
          <w:rStyle w:val="normaltextrun"/>
          <w:rFonts w:ascii="Verdana" w:hAnsi="Verdana" w:cs="Arial"/>
          <w:shd w:val="clear" w:color="auto" w:fill="FFFFFF"/>
          <w:lang w:val="es-ES"/>
        </w:rPr>
        <w:t>C-108 del 4 de marzo de 2026, C-177 del 16 de marzo de 2026,</w:t>
      </w:r>
      <w:r>
        <w:rPr>
          <w:rStyle w:val="normaltextrun"/>
          <w:rFonts w:ascii="Verdana" w:hAnsi="Verdana" w:cs="Arial"/>
          <w:shd w:val="clear" w:color="auto" w:fill="FFFFFF"/>
          <w:lang w:val="es-ES"/>
        </w:rPr>
        <w:t xml:space="preserve"> C-276 del 5 de abril de 2026, </w:t>
      </w:r>
      <w:r w:rsidRPr="00147D6A">
        <w:rPr>
          <w:rStyle w:val="normaltextrun"/>
          <w:rFonts w:ascii="Verdana" w:hAnsi="Verdana" w:cs="Arial"/>
          <w:shd w:val="clear" w:color="auto" w:fill="FFFFFF"/>
          <w:lang w:val="es-ES"/>
        </w:rPr>
        <w:t>entre otros.</w:t>
      </w:r>
      <w:r w:rsidRPr="00147D6A">
        <w:rPr>
          <w:rFonts w:ascii="Verdana" w:hAnsi="Verdana" w:cs="Arial"/>
          <w:shd w:val="clear" w:color="auto" w:fill="FFFFFF"/>
          <w:lang w:val="es-ES"/>
        </w:rPr>
        <w:t xml:space="preserve"> </w:t>
      </w:r>
      <w:r w:rsidRPr="00147D6A">
        <w:rPr>
          <w:rFonts w:ascii="Verdana" w:hAnsi="Verdana" w:cs="Arial"/>
        </w:rPr>
        <w:t xml:space="preserve">Estos y otros </w:t>
      </w:r>
      <w:r w:rsidRPr="00147D6A">
        <w:rPr>
          <w:rFonts w:ascii="Verdana" w:hAnsi="Verdana"/>
        </w:rPr>
        <w:t>conceptos se encuentran disponibles para consulta en el Sistema de relatoría de la Agencia, al cual se puede acceder a través del siguiente enlace:</w:t>
      </w:r>
      <w:r w:rsidRPr="00147D6A">
        <w:rPr>
          <w:rFonts w:ascii="Verdana" w:hAnsi="Verdana" w:cs="Arial"/>
          <w:shd w:val="clear" w:color="auto" w:fill="FFFFFF"/>
        </w:rPr>
        <w:t xml:space="preserve"> </w:t>
      </w:r>
      <w:hyperlink r:id="rId14" w:history="1">
        <w:r w:rsidRPr="00147D6A">
          <w:rPr>
            <w:rFonts w:ascii="Verdana" w:hAnsi="Verdana" w:cs="Arial"/>
            <w:color w:val="0563C1" w:themeColor="hyperlink"/>
            <w:u w:val="single"/>
            <w:shd w:val="clear" w:color="auto" w:fill="FFFFFF"/>
          </w:rPr>
          <w:t>https://relatoria.colombiacompra.gov.co/busqueda/conceptos</w:t>
        </w:r>
      </w:hyperlink>
      <w:r w:rsidRPr="00147D6A">
        <w:rPr>
          <w:rFonts w:ascii="Verdana" w:hAnsi="Verdana" w:cs="Arial"/>
          <w:shd w:val="clear" w:color="auto" w:fill="FFFFFF"/>
        </w:rPr>
        <w:t>.</w:t>
      </w:r>
      <w:r w:rsidRPr="00147D6A">
        <w:rPr>
          <w:rFonts w:ascii="Verdana" w:hAnsi="Verdana" w:cs="Arial"/>
          <w:color w:val="FF0000"/>
          <w:shd w:val="clear" w:color="auto" w:fill="FFFFFF"/>
        </w:rPr>
        <w:t xml:space="preserve"> </w:t>
      </w:r>
      <w:r w:rsidRPr="00147D6A">
        <w:rPr>
          <w:rFonts w:ascii="Verdana" w:hAnsi="Verdana" w:cs="Arial"/>
          <w:color w:val="000000" w:themeColor="text1"/>
          <w:shd w:val="clear" w:color="auto" w:fill="FFFFFF"/>
        </w:rPr>
        <w:t>  </w:t>
      </w:r>
    </w:p>
    <w:p w14:paraId="3067CF84" w14:textId="77777777" w:rsidR="001B5535" w:rsidRDefault="001B5535" w:rsidP="001B5535">
      <w:pPr>
        <w:widowControl w:val="0"/>
        <w:autoSpaceDE w:val="0"/>
        <w:autoSpaceDN w:val="0"/>
        <w:spacing w:after="120" w:line="276" w:lineRule="auto"/>
        <w:jc w:val="both"/>
        <w:rPr>
          <w:rFonts w:ascii="Verdana" w:hAnsi="Verdana" w:cs="Arial"/>
        </w:rPr>
      </w:pPr>
      <w:r w:rsidRPr="00147D6A">
        <w:rPr>
          <w:rFonts w:ascii="Verdana" w:hAnsi="Verdana"/>
        </w:rPr>
        <w:t>La sostenibilidad no es una opción, es una obligación. Por ello</w:t>
      </w:r>
      <w:r w:rsidRPr="009A385A">
        <w:rPr>
          <w:rFonts w:ascii="Verdana" w:hAnsi="Verdana"/>
        </w:rPr>
        <w:t xml:space="preserve">,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8746BD">
          <w:rPr>
            <w:rStyle w:val="Hipervnculo"/>
            <w:rFonts w:ascii="Verdana" w:hAnsi="Verdana"/>
          </w:rPr>
          <w:t>https://formacionvirtual.colombiacompra.gov.co/mod/page/view.php?id=3718</w:t>
        </w:r>
      </w:hyperlink>
    </w:p>
    <w:p w14:paraId="1990B912" w14:textId="77777777" w:rsidR="001B5535" w:rsidRDefault="001B5535" w:rsidP="001B5535">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8746BD">
        <w:rPr>
          <w:rFonts w:ascii="Verdana" w:hAnsi="Verdana"/>
        </w:rPr>
        <w:t xml:space="preserve">Consulta y descarga los documentos aquí: </w:t>
      </w:r>
      <w:hyperlink r:id="rId16" w:tgtFrame="_new" w:history="1">
        <w:r w:rsidRPr="008746BD">
          <w:rPr>
            <w:rStyle w:val="Hipervnculo"/>
            <w:rFonts w:ascii="Verdana" w:hAnsi="Verdana"/>
          </w:rPr>
          <w:t>https://www.colombiacompra.gov.co/normativa-y-relatoria/documentos-tipo</w:t>
        </w:r>
      </w:hyperlink>
    </w:p>
    <w:p w14:paraId="6018B144" w14:textId="77777777" w:rsidR="001B5535" w:rsidRDefault="001B5535" w:rsidP="001B5535">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8746BD">
        <w:rPr>
          <w:rFonts w:ascii="Verdana" w:hAnsi="Verdana"/>
        </w:rPr>
        <w:t>Además se incluyeron lineamientos que orientan la implementación de los criterios ambientales y sociales incluidos en los documentos tipo: Consulta la guía aquí:</w:t>
      </w:r>
      <w:r w:rsidRPr="008746BD">
        <w:rPr>
          <w:rFonts w:ascii="Verdana" w:hAnsi="Verdana"/>
        </w:rPr>
        <w:br/>
      </w:r>
      <w:hyperlink r:id="rId17" w:tgtFrame="_new" w:history="1">
        <w:r w:rsidRPr="008746B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E5573B7" w14:textId="77777777" w:rsidR="001B5535" w:rsidRPr="007A3DD4" w:rsidRDefault="001B5535" w:rsidP="001B5535">
      <w:pPr>
        <w:widowControl w:val="0"/>
        <w:autoSpaceDE w:val="0"/>
        <w:autoSpaceDN w:val="0"/>
        <w:spacing w:after="120" w:line="276" w:lineRule="auto"/>
        <w:jc w:val="both"/>
        <w:rPr>
          <w:rFonts w:ascii="Verdana" w:hAnsi="Verdana" w:cs="Arial"/>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1F45108B" w14:textId="77777777" w:rsidR="001B5535" w:rsidRPr="00116940" w:rsidRDefault="001B5535" w:rsidP="001B5535">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7986EE7" w14:textId="77777777" w:rsidR="001B5535" w:rsidRPr="00116940" w:rsidRDefault="001B5535" w:rsidP="001B5535">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6DE3558D" w14:textId="77777777" w:rsidR="001B5535" w:rsidRPr="00116940" w:rsidRDefault="001B5535" w:rsidP="001B5535">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8">
        <w:r w:rsidRPr="00116940">
          <w:rPr>
            <w:rStyle w:val="Hipervnculo"/>
            <w:rFonts w:ascii="Verdana" w:eastAsia="Verdana" w:hAnsi="Verdana" w:cs="Verdana"/>
            <w:lang w:val="es-MX"/>
          </w:rPr>
          <w:t>ventanilladeradicacion@colombiacompra.gov.co</w:t>
        </w:r>
      </w:hyperlink>
    </w:p>
    <w:p w14:paraId="455606EC" w14:textId="77777777" w:rsidR="001B5535" w:rsidRPr="00116940" w:rsidRDefault="001B5535" w:rsidP="001B5535">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9">
        <w:r w:rsidRPr="00116940">
          <w:rPr>
            <w:rStyle w:val="Hipervnculo"/>
            <w:rFonts w:ascii="Verdana" w:eastAsia="Verdana" w:hAnsi="Verdana" w:cs="Verdana"/>
            <w:lang w:val="es-MX"/>
          </w:rPr>
          <w:t>https://www.colombiacompra.gov.co/pqrsd/informacion-importante-antes-de-formular-una-pqrsd</w:t>
        </w:r>
      </w:hyperlink>
    </w:p>
    <w:p w14:paraId="10545997" w14:textId="77777777" w:rsidR="001B5535" w:rsidRPr="00116940" w:rsidRDefault="001B5535" w:rsidP="001B5535">
      <w:pPr>
        <w:spacing w:after="0" w:line="276" w:lineRule="auto"/>
        <w:ind w:left="720"/>
        <w:jc w:val="both"/>
        <w:rPr>
          <w:rFonts w:ascii="Verdana" w:hAnsi="Verdana"/>
        </w:rPr>
      </w:pPr>
    </w:p>
    <w:p w14:paraId="0EFD9EC5" w14:textId="77777777" w:rsidR="001B5535" w:rsidRDefault="001B5535" w:rsidP="001B5535">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20" w:history="1">
        <w:r w:rsidRPr="008746BD">
          <w:rPr>
            <w:rStyle w:val="Hipervnculo"/>
            <w:rFonts w:ascii="Verdana" w:eastAsia="Verdana" w:hAnsi="Verdana" w:cs="Verdana"/>
            <w:lang w:val="es-MX"/>
          </w:rPr>
          <w:t>https://forms.office.com/r/pPHyWVs2SZ</w:t>
        </w:r>
      </w:hyperlink>
      <w:r w:rsidRPr="008746B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31EDDC6D" w14:textId="77777777" w:rsidR="008E7044" w:rsidRDefault="008E7044" w:rsidP="001B5535">
      <w:pPr>
        <w:spacing w:after="0" w:line="276" w:lineRule="auto"/>
        <w:jc w:val="both"/>
        <w:rPr>
          <w:rFonts w:ascii="Verdana" w:hAnsi="Verdana"/>
        </w:rPr>
      </w:pPr>
    </w:p>
    <w:p w14:paraId="3ACBA149" w14:textId="77777777" w:rsidR="008E7044" w:rsidRDefault="008E7044" w:rsidP="001B5535">
      <w:pPr>
        <w:spacing w:after="0" w:line="276" w:lineRule="auto"/>
        <w:jc w:val="both"/>
        <w:rPr>
          <w:rFonts w:ascii="Verdana" w:hAnsi="Verdana"/>
        </w:rPr>
      </w:pPr>
    </w:p>
    <w:p w14:paraId="18AD4F47" w14:textId="77777777" w:rsidR="008E7044" w:rsidRDefault="008E7044" w:rsidP="001B5535">
      <w:pPr>
        <w:spacing w:after="0" w:line="276" w:lineRule="auto"/>
        <w:jc w:val="both"/>
        <w:rPr>
          <w:rFonts w:ascii="Verdana" w:hAnsi="Verdana"/>
        </w:rPr>
      </w:pPr>
    </w:p>
    <w:p w14:paraId="316B4200" w14:textId="77777777" w:rsidR="008E7044" w:rsidRDefault="008E7044" w:rsidP="001B5535">
      <w:pPr>
        <w:spacing w:after="0" w:line="276" w:lineRule="auto"/>
        <w:jc w:val="both"/>
        <w:rPr>
          <w:rFonts w:ascii="Verdana" w:hAnsi="Verdana"/>
        </w:rPr>
      </w:pPr>
    </w:p>
    <w:p w14:paraId="12DC06D3" w14:textId="77777777" w:rsidR="008E7044" w:rsidRDefault="008E7044" w:rsidP="001B5535">
      <w:pPr>
        <w:spacing w:after="0" w:line="276" w:lineRule="auto"/>
        <w:jc w:val="both"/>
        <w:rPr>
          <w:rFonts w:ascii="Verdana" w:hAnsi="Verdana"/>
        </w:rPr>
      </w:pPr>
    </w:p>
    <w:p w14:paraId="45E85648" w14:textId="77777777" w:rsidR="008E7044" w:rsidRDefault="008E7044" w:rsidP="001B5535">
      <w:pPr>
        <w:spacing w:after="0" w:line="276" w:lineRule="auto"/>
        <w:jc w:val="both"/>
        <w:rPr>
          <w:rFonts w:ascii="Verdana" w:hAnsi="Verdana"/>
        </w:rPr>
      </w:pPr>
    </w:p>
    <w:p w14:paraId="0C85670D" w14:textId="77777777" w:rsidR="008E7044" w:rsidRDefault="008E7044" w:rsidP="001B5535">
      <w:pPr>
        <w:spacing w:after="0" w:line="276" w:lineRule="auto"/>
        <w:jc w:val="both"/>
        <w:rPr>
          <w:rFonts w:ascii="Verdana" w:hAnsi="Verdana"/>
        </w:rPr>
      </w:pPr>
    </w:p>
    <w:p w14:paraId="32C0A5C9" w14:textId="16F21F4E" w:rsidR="001B5535" w:rsidRPr="00116940" w:rsidRDefault="001B5535" w:rsidP="001B5535">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0972C5AD" w14:textId="77777777" w:rsidR="001B5535" w:rsidRPr="00116940" w:rsidRDefault="001B5535" w:rsidP="001B5535">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3162111" w14:textId="77777777" w:rsidR="001B5535" w:rsidRPr="00116940" w:rsidRDefault="001B5535" w:rsidP="001B5535">
      <w:pPr>
        <w:spacing w:after="0" w:line="276"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52FF4AE3" w14:textId="77777777" w:rsidR="001B5535" w:rsidRPr="00116940" w:rsidRDefault="001B5535" w:rsidP="001B5535">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6E8CBC5" w14:textId="77777777" w:rsidR="001B5535" w:rsidRDefault="001B5535" w:rsidP="001B5535">
      <w:pPr>
        <w:spacing w:after="0" w:line="276" w:lineRule="auto"/>
        <w:jc w:val="both"/>
        <w:rPr>
          <w:rFonts w:ascii="Verdana" w:hAnsi="Verdana"/>
          <w:lang w:val="es-MX"/>
        </w:rPr>
      </w:pPr>
    </w:p>
    <w:p w14:paraId="4BDE0E38" w14:textId="77777777" w:rsidR="001B5535" w:rsidRPr="00330029" w:rsidRDefault="001B5535" w:rsidP="001B5535">
      <w:pPr>
        <w:spacing w:after="0" w:line="276" w:lineRule="auto"/>
        <w:jc w:val="both"/>
        <w:rPr>
          <w:rFonts w:ascii="Verdana" w:hAnsi="Verdana"/>
          <w:lang w:val="es-MX"/>
        </w:rPr>
      </w:pPr>
      <w:r w:rsidRPr="00E02524">
        <w:rPr>
          <w:rFonts w:ascii="Verdana" w:hAnsi="Verdana"/>
          <w:lang w:val="es-MX"/>
        </w:rPr>
        <w:t>Cordialmente,</w:t>
      </w:r>
    </w:p>
    <w:p w14:paraId="20D46964" w14:textId="6AA42711" w:rsidR="001B5535" w:rsidRDefault="001B5535" w:rsidP="001B5535">
      <w:pPr>
        <w:spacing w:after="0" w:line="256" w:lineRule="auto"/>
        <w:jc w:val="center"/>
        <w:rPr>
          <w:rFonts w:ascii="Verdana" w:eastAsia="Calibri" w:hAnsi="Verdana" w:cs="Times New Roman"/>
        </w:rPr>
      </w:pPr>
    </w:p>
    <w:p w14:paraId="0FDBDC26" w14:textId="72B88A14" w:rsidR="001B5535" w:rsidRDefault="00AF0A60" w:rsidP="001B5535">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2C96285D" wp14:editId="20DC840A">
            <wp:extent cx="2930316" cy="1380630"/>
            <wp:effectExtent l="0" t="0" r="381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1"/>
                    <a:stretch>
                      <a:fillRect/>
                    </a:stretch>
                  </pic:blipFill>
                  <pic:spPr>
                    <a:xfrm>
                      <a:off x="0" y="0"/>
                      <a:ext cx="2939288" cy="1384857"/>
                    </a:xfrm>
                    <a:prstGeom prst="rect">
                      <a:avLst/>
                    </a:prstGeom>
                  </pic:spPr>
                </pic:pic>
              </a:graphicData>
            </a:graphic>
          </wp:inline>
        </w:drawing>
      </w:r>
    </w:p>
    <w:p w14:paraId="009967D7" w14:textId="77777777" w:rsidR="001B5535" w:rsidRDefault="001B5535" w:rsidP="001B5535">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1B5535" w:rsidRPr="005644FE" w14:paraId="270A18B2" w14:textId="77777777" w:rsidTr="00142A8C">
        <w:trPr>
          <w:trHeight w:val="288"/>
        </w:trPr>
        <w:tc>
          <w:tcPr>
            <w:tcW w:w="893" w:type="dxa"/>
            <w:vAlign w:val="center"/>
            <w:hideMark/>
          </w:tcPr>
          <w:p w14:paraId="183141E7" w14:textId="77777777" w:rsidR="001B5535" w:rsidRPr="005644FE" w:rsidRDefault="001B5535" w:rsidP="00142A8C">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34BA077F" w14:textId="77777777" w:rsidR="001B5535" w:rsidRPr="005644FE" w:rsidRDefault="001B5535" w:rsidP="00142A8C">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5FBE6A8A" w14:textId="77777777" w:rsidR="001B5535" w:rsidRPr="005644FE" w:rsidRDefault="001B5535" w:rsidP="00142A8C">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1B5535" w:rsidRPr="005644FE" w14:paraId="71F8C9E3" w14:textId="77777777" w:rsidTr="00142A8C">
        <w:trPr>
          <w:trHeight w:val="330"/>
        </w:trPr>
        <w:tc>
          <w:tcPr>
            <w:tcW w:w="893" w:type="dxa"/>
            <w:vAlign w:val="center"/>
            <w:hideMark/>
          </w:tcPr>
          <w:p w14:paraId="49623DAE" w14:textId="77777777" w:rsidR="001B5535" w:rsidRPr="005644FE" w:rsidRDefault="001B5535" w:rsidP="00142A8C">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58E50DF5" w14:textId="77777777" w:rsidR="001B5535" w:rsidRPr="00147D6A" w:rsidRDefault="001B5535" w:rsidP="00142A8C">
            <w:pPr>
              <w:pStyle w:val="paragraph"/>
              <w:spacing w:before="0" w:beforeAutospacing="0" w:after="0" w:afterAutospacing="0"/>
              <w:contextualSpacing/>
              <w:textAlignment w:val="baseline"/>
              <w:rPr>
                <w:rStyle w:val="normaltextrun"/>
                <w:rFonts w:ascii="Verdana" w:hAnsi="Verdana"/>
                <w:sz w:val="16"/>
                <w:szCs w:val="16"/>
              </w:rPr>
            </w:pPr>
            <w:r w:rsidRPr="00147D6A">
              <w:rPr>
                <w:rStyle w:val="normaltextrun"/>
                <w:rFonts w:ascii="Verdana" w:hAnsi="Verdana"/>
                <w:sz w:val="16"/>
                <w:szCs w:val="16"/>
              </w:rPr>
              <w:t>Adriana Katerine López</w:t>
            </w:r>
            <w:r>
              <w:rPr>
                <w:rStyle w:val="normaltextrun"/>
                <w:rFonts w:ascii="Verdana" w:hAnsi="Verdana"/>
                <w:sz w:val="16"/>
                <w:szCs w:val="16"/>
              </w:rPr>
              <w:t xml:space="preserve"> Rodríguez. </w:t>
            </w:r>
          </w:p>
          <w:p w14:paraId="6655505C" w14:textId="77777777" w:rsidR="001B5535" w:rsidRPr="00147D6A" w:rsidRDefault="001B5535" w:rsidP="00142A8C">
            <w:pPr>
              <w:pStyle w:val="paragraph"/>
              <w:spacing w:before="0" w:beforeAutospacing="0" w:after="0" w:afterAutospacing="0"/>
              <w:contextualSpacing/>
              <w:textAlignment w:val="baseline"/>
              <w:rPr>
                <w:rFonts w:ascii="Verdana" w:hAnsi="Verdana" w:cs="Segoe UI"/>
                <w:sz w:val="16"/>
                <w:szCs w:val="16"/>
              </w:rPr>
            </w:pPr>
            <w:r w:rsidRPr="00147D6A">
              <w:rPr>
                <w:rStyle w:val="normaltextrun"/>
                <w:rFonts w:ascii="Verdana" w:hAnsi="Verdana"/>
                <w:sz w:val="16"/>
                <w:szCs w:val="16"/>
              </w:rPr>
              <w:t xml:space="preserve">Contratista Subdirección Gestión Contractual  </w:t>
            </w:r>
          </w:p>
        </w:tc>
      </w:tr>
      <w:tr w:rsidR="001B5535" w:rsidRPr="005644FE" w14:paraId="601F8EB4" w14:textId="77777777" w:rsidTr="00142A8C">
        <w:trPr>
          <w:trHeight w:val="300"/>
        </w:trPr>
        <w:tc>
          <w:tcPr>
            <w:tcW w:w="893" w:type="dxa"/>
            <w:vAlign w:val="center"/>
          </w:tcPr>
          <w:p w14:paraId="7065FBF4" w14:textId="77777777" w:rsidR="001B5535" w:rsidRPr="005644FE" w:rsidRDefault="001B5535" w:rsidP="00142A8C">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137FAE76" w14:textId="77777777" w:rsidR="001B5535" w:rsidRPr="00147D6A" w:rsidRDefault="001B5535" w:rsidP="00142A8C">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Carolina Quintero Gacharná</w:t>
            </w:r>
          </w:p>
          <w:p w14:paraId="2454B139" w14:textId="77777777" w:rsidR="001B5535" w:rsidRPr="00147D6A" w:rsidRDefault="001B5535" w:rsidP="00142A8C">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Subdirectora de Gestión Contractual ANCP – CCE</w:t>
            </w:r>
          </w:p>
        </w:tc>
      </w:tr>
      <w:bookmarkEnd w:id="1"/>
    </w:tbl>
    <w:p w14:paraId="35B275AB" w14:textId="77777777" w:rsidR="001B5535" w:rsidRPr="0024624F" w:rsidRDefault="001B5535" w:rsidP="001B5535">
      <w:pPr>
        <w:spacing w:after="0"/>
        <w:rPr>
          <w:rFonts w:ascii="Verdana" w:eastAsia="Verdana" w:hAnsi="Verdana" w:cs="Verdana"/>
        </w:rPr>
      </w:pPr>
    </w:p>
    <w:p w14:paraId="1A58F8A4" w14:textId="77777777" w:rsidR="001B5535" w:rsidRPr="005E05EF" w:rsidRDefault="001B5535" w:rsidP="001B5535"/>
    <w:p w14:paraId="6247650C" w14:textId="77777777" w:rsidR="001B5535" w:rsidRPr="0024624F" w:rsidRDefault="001B5535" w:rsidP="001B5535">
      <w:pPr>
        <w:spacing w:after="0"/>
        <w:rPr>
          <w:rFonts w:ascii="Verdana" w:eastAsia="Verdana" w:hAnsi="Verdana" w:cs="Verdana"/>
        </w:rPr>
      </w:pPr>
    </w:p>
    <w:bookmarkEnd w:id="0"/>
    <w:p w14:paraId="12443EE0" w14:textId="77777777" w:rsidR="00C15139" w:rsidRPr="009D61F8" w:rsidRDefault="00C15139" w:rsidP="009D61F8"/>
    <w:sectPr w:rsidR="00C15139" w:rsidRPr="009D61F8"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BC7D7F" w14:textId="77777777" w:rsidR="006753C7" w:rsidRDefault="006753C7" w:rsidP="004A1847">
      <w:pPr>
        <w:spacing w:after="0" w:line="240" w:lineRule="auto"/>
      </w:pPr>
      <w:r>
        <w:separator/>
      </w:r>
    </w:p>
  </w:endnote>
  <w:endnote w:type="continuationSeparator" w:id="0">
    <w:p w14:paraId="47CF7863" w14:textId="77777777" w:rsidR="006753C7" w:rsidRDefault="006753C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Weiss">
    <w:panose1 w:val="00000000000000000000"/>
    <w:charset w:val="00"/>
    <w:family w:val="roman"/>
    <w:notTrueType/>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C4B418" w14:textId="77777777" w:rsidR="006753C7" w:rsidRDefault="006753C7" w:rsidP="004A1847">
      <w:pPr>
        <w:spacing w:after="0" w:line="240" w:lineRule="auto"/>
      </w:pPr>
      <w:r>
        <w:separator/>
      </w:r>
    </w:p>
  </w:footnote>
  <w:footnote w:type="continuationSeparator" w:id="0">
    <w:p w14:paraId="4FFB4204" w14:textId="77777777" w:rsidR="006753C7" w:rsidRDefault="006753C7" w:rsidP="004A1847">
      <w:pPr>
        <w:spacing w:after="0" w:line="240" w:lineRule="auto"/>
      </w:pPr>
      <w:r>
        <w:continuationSeparator/>
      </w:r>
    </w:p>
  </w:footnote>
  <w:footnote w:id="1">
    <w:p w14:paraId="0CB6257C" w14:textId="77777777" w:rsidR="001B5535" w:rsidRDefault="001B5535" w:rsidP="001B5535">
      <w:pPr>
        <w:spacing w:after="0" w:line="240" w:lineRule="auto"/>
        <w:ind w:firstLine="709"/>
        <w:contextualSpacing/>
        <w:jc w:val="both"/>
        <w:rPr>
          <w:rFonts w:ascii="Verdana" w:hAnsi="Verdana" w:cs="Arial"/>
          <w:sz w:val="16"/>
          <w:szCs w:val="16"/>
        </w:rPr>
      </w:pPr>
      <w:r w:rsidRPr="00004E12">
        <w:rPr>
          <w:rStyle w:val="Refdenotaalpie"/>
          <w:rFonts w:ascii="Verdana" w:hAnsi="Verdana" w:cs="Arial"/>
          <w:sz w:val="16"/>
          <w:szCs w:val="16"/>
        </w:rPr>
        <w:footnoteRef/>
      </w:r>
      <w:r w:rsidRPr="00004E12">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004E12">
        <w:rPr>
          <w:rFonts w:ascii="Verdana" w:hAnsi="Verdana" w:cs="Arial"/>
          <w:spacing w:val="-6"/>
          <w:sz w:val="16"/>
          <w:szCs w:val="16"/>
        </w:rPr>
        <w:t xml:space="preserve"> </w:t>
      </w:r>
      <w:r w:rsidRPr="00004E12">
        <w:rPr>
          <w:rFonts w:ascii="Verdana" w:hAnsi="Verdana" w:cs="Arial"/>
          <w:sz w:val="16"/>
          <w:szCs w:val="16"/>
        </w:rPr>
        <w:t>artículo”.</w:t>
      </w:r>
    </w:p>
    <w:p w14:paraId="42C8BCF8" w14:textId="77777777" w:rsidR="001B5535" w:rsidRPr="00004E12" w:rsidRDefault="001B5535" w:rsidP="001B5535">
      <w:pPr>
        <w:spacing w:after="0" w:line="240" w:lineRule="auto"/>
        <w:ind w:firstLine="709"/>
        <w:contextualSpacing/>
        <w:jc w:val="both"/>
        <w:rPr>
          <w:rFonts w:ascii="Verdana" w:hAnsi="Verdana" w:cs="Arial"/>
          <w:sz w:val="16"/>
          <w:szCs w:val="16"/>
        </w:rPr>
      </w:pPr>
    </w:p>
  </w:footnote>
  <w:footnote w:id="2">
    <w:p w14:paraId="2A065567" w14:textId="77777777" w:rsidR="001B5535" w:rsidRPr="00004E12" w:rsidRDefault="001B5535" w:rsidP="001B5535">
      <w:pPr>
        <w:pStyle w:val="Textonotapie"/>
        <w:ind w:firstLine="708"/>
        <w:rPr>
          <w:rFonts w:ascii="Verdana" w:hAnsi="Verdana"/>
          <w:sz w:val="16"/>
          <w:szCs w:val="16"/>
        </w:rPr>
      </w:pPr>
      <w:r w:rsidRPr="00004E12">
        <w:rPr>
          <w:rStyle w:val="Refdenotaalpie"/>
          <w:rFonts w:ascii="Verdana" w:hAnsi="Verdana"/>
          <w:sz w:val="16"/>
          <w:szCs w:val="16"/>
        </w:rPr>
        <w:footnoteRef/>
      </w:r>
      <w:r w:rsidRPr="00004E12">
        <w:rPr>
          <w:rFonts w:ascii="Verdana" w:hAnsi="Verdana"/>
          <w:sz w:val="16"/>
          <w:szCs w:val="16"/>
          <w:lang w:val="pt-BR"/>
        </w:rPr>
        <w:t xml:space="preserve"> C</w:t>
      </w:r>
      <w:r>
        <w:rPr>
          <w:rFonts w:ascii="Verdana" w:hAnsi="Verdana"/>
          <w:sz w:val="16"/>
          <w:szCs w:val="16"/>
          <w:lang w:val="pt-BR"/>
        </w:rPr>
        <w:t>orte Constitucional</w:t>
      </w:r>
      <w:r w:rsidRPr="00004E12">
        <w:rPr>
          <w:rFonts w:ascii="Verdana" w:hAnsi="Verdana"/>
          <w:sz w:val="16"/>
          <w:szCs w:val="16"/>
          <w:lang w:val="pt-BR"/>
        </w:rPr>
        <w:t xml:space="preserve">. Sentencia C-671 de 2005. </w:t>
      </w:r>
      <w:r w:rsidRPr="00004E12">
        <w:rPr>
          <w:rFonts w:ascii="Verdana" w:hAnsi="Verdana"/>
          <w:sz w:val="16"/>
          <w:szCs w:val="16"/>
        </w:rPr>
        <w:t xml:space="preserve">M.P. Álvaro Tafur Galvis. </w:t>
      </w:r>
    </w:p>
  </w:footnote>
  <w:footnote w:id="3">
    <w:p w14:paraId="50072C0E" w14:textId="77777777" w:rsidR="001B5535" w:rsidRDefault="001B5535" w:rsidP="001B5535">
      <w:pPr>
        <w:pStyle w:val="Textonotapie"/>
        <w:ind w:firstLine="708"/>
        <w:jc w:val="both"/>
        <w:rPr>
          <w:rFonts w:ascii="Verdana" w:hAnsi="Verdana"/>
          <w:sz w:val="16"/>
          <w:szCs w:val="16"/>
          <w:lang w:val="es-CO"/>
        </w:rPr>
      </w:pPr>
      <w:r w:rsidRPr="00004E12">
        <w:rPr>
          <w:rStyle w:val="Refdenotaalpie"/>
          <w:rFonts w:ascii="Verdana" w:hAnsi="Verdana"/>
          <w:sz w:val="16"/>
          <w:szCs w:val="16"/>
        </w:rPr>
        <w:footnoteRef/>
      </w:r>
      <w:r w:rsidRPr="00004E12">
        <w:rPr>
          <w:rFonts w:ascii="Verdana" w:hAnsi="Verdana"/>
          <w:sz w:val="16"/>
          <w:szCs w:val="16"/>
        </w:rPr>
        <w:t xml:space="preserve"> </w:t>
      </w:r>
      <w:r w:rsidRPr="00004E12">
        <w:rPr>
          <w:rFonts w:ascii="Verdana" w:hAnsi="Verdana"/>
          <w:sz w:val="16"/>
          <w:szCs w:val="16"/>
          <w:lang w:val="es-CO"/>
        </w:rPr>
        <w:t>C</w:t>
      </w:r>
      <w:r>
        <w:rPr>
          <w:rFonts w:ascii="Verdana" w:hAnsi="Verdana"/>
          <w:sz w:val="16"/>
          <w:szCs w:val="16"/>
          <w:lang w:val="es-CO"/>
        </w:rPr>
        <w:t>onsejo de Estado.</w:t>
      </w:r>
      <w:r w:rsidRPr="00004E12">
        <w:rPr>
          <w:rFonts w:ascii="Verdana" w:hAnsi="Verdana"/>
          <w:sz w:val="16"/>
          <w:szCs w:val="16"/>
          <w:lang w:val="es-CO"/>
        </w:rPr>
        <w:t xml:space="preserve"> Sala de Consulta y Servicio Civil. Concepto no. 2257 del 26 de julio de 2016, C.P. Álvaro Namén Vargas</w:t>
      </w:r>
      <w:r>
        <w:rPr>
          <w:rFonts w:ascii="Verdana" w:hAnsi="Verdana"/>
          <w:sz w:val="16"/>
          <w:szCs w:val="16"/>
          <w:lang w:val="es-CO"/>
        </w:rPr>
        <w:t>. Consejo de Estado. Sala de lo Contencioso Administrativo.</w:t>
      </w:r>
      <w:r w:rsidRPr="00004E12">
        <w:rPr>
          <w:rFonts w:ascii="Verdana" w:hAnsi="Verdana"/>
          <w:sz w:val="16"/>
          <w:szCs w:val="16"/>
          <w:lang w:val="es-CO"/>
        </w:rPr>
        <w:t xml:space="preserve"> Sección Tercera, Subsección A. Sentencia del 23 de junio de 2010. C.P. Mauricio Fajardo Gómez. </w:t>
      </w:r>
      <w:proofErr w:type="spellStart"/>
      <w:r w:rsidRPr="00004E12">
        <w:rPr>
          <w:rFonts w:ascii="Verdana" w:hAnsi="Verdana"/>
          <w:sz w:val="16"/>
          <w:szCs w:val="16"/>
          <w:lang w:val="es-CO"/>
        </w:rPr>
        <w:t>Exp</w:t>
      </w:r>
      <w:proofErr w:type="spellEnd"/>
      <w:r w:rsidRPr="00004E12">
        <w:rPr>
          <w:rFonts w:ascii="Verdana" w:hAnsi="Verdana"/>
          <w:sz w:val="16"/>
          <w:szCs w:val="16"/>
          <w:lang w:val="es-CO"/>
        </w:rPr>
        <w:t xml:space="preserve"> 17860; </w:t>
      </w:r>
      <w:r>
        <w:rPr>
          <w:rFonts w:ascii="Verdana" w:hAnsi="Verdana"/>
          <w:sz w:val="16"/>
          <w:szCs w:val="16"/>
          <w:lang w:val="es-CO"/>
        </w:rPr>
        <w:t>Consejo de Estado. Sala de lo Contencioso Administrativo.</w:t>
      </w:r>
      <w:r w:rsidRPr="00004E12">
        <w:rPr>
          <w:rFonts w:ascii="Verdana" w:hAnsi="Verdana"/>
          <w:sz w:val="16"/>
          <w:szCs w:val="16"/>
          <w:lang w:val="es-CO"/>
        </w:rPr>
        <w:t xml:space="preserve"> Sección Tercera. </w:t>
      </w:r>
      <w:r>
        <w:rPr>
          <w:rFonts w:ascii="Verdana" w:hAnsi="Verdana"/>
          <w:sz w:val="16"/>
          <w:szCs w:val="16"/>
          <w:lang w:val="es-CO"/>
        </w:rPr>
        <w:t xml:space="preserve">Subsección B. </w:t>
      </w:r>
      <w:r w:rsidRPr="00004E12">
        <w:rPr>
          <w:rFonts w:ascii="Verdana" w:hAnsi="Verdana"/>
          <w:sz w:val="16"/>
          <w:szCs w:val="16"/>
          <w:lang w:val="es-CO"/>
        </w:rPr>
        <w:t xml:space="preserve">Auto del 4 de octubre de 2024. </w:t>
      </w:r>
      <w:proofErr w:type="spellStart"/>
      <w:r w:rsidRPr="00004E12">
        <w:rPr>
          <w:rFonts w:ascii="Verdana" w:hAnsi="Verdana"/>
          <w:sz w:val="16"/>
          <w:szCs w:val="16"/>
          <w:lang w:val="es-CO"/>
        </w:rPr>
        <w:t>Exp</w:t>
      </w:r>
      <w:proofErr w:type="spellEnd"/>
      <w:r w:rsidRPr="00004E12">
        <w:rPr>
          <w:rFonts w:ascii="Verdana" w:hAnsi="Verdana"/>
          <w:sz w:val="16"/>
          <w:szCs w:val="16"/>
          <w:lang w:val="es-CO"/>
        </w:rPr>
        <w:t xml:space="preserve"> </w:t>
      </w:r>
      <w:r w:rsidRPr="00004E12">
        <w:rPr>
          <w:rFonts w:ascii="Verdana" w:hAnsi="Verdana"/>
          <w:bCs/>
          <w:sz w:val="16"/>
          <w:szCs w:val="16"/>
        </w:rPr>
        <w:t xml:space="preserve">70313. </w:t>
      </w:r>
      <w:r w:rsidRPr="00004E12">
        <w:rPr>
          <w:rFonts w:ascii="Verdana" w:hAnsi="Verdana"/>
          <w:sz w:val="16"/>
          <w:szCs w:val="16"/>
          <w:lang w:val="es-CO"/>
        </w:rPr>
        <w:t xml:space="preserve">C.P. Fredy Ibarra Martínez. </w:t>
      </w:r>
    </w:p>
    <w:p w14:paraId="3E31F48C" w14:textId="77777777" w:rsidR="001B5535" w:rsidRPr="00004E12" w:rsidRDefault="001B5535" w:rsidP="001B5535">
      <w:pPr>
        <w:pStyle w:val="Textonotapie"/>
        <w:ind w:firstLine="708"/>
        <w:jc w:val="both"/>
        <w:rPr>
          <w:rFonts w:ascii="Verdana" w:hAnsi="Verdana"/>
          <w:sz w:val="16"/>
          <w:szCs w:val="16"/>
          <w:lang w:val="es-CO"/>
        </w:rPr>
      </w:pPr>
    </w:p>
  </w:footnote>
  <w:footnote w:id="4">
    <w:p w14:paraId="1D7F6213" w14:textId="77777777" w:rsidR="001B5535" w:rsidRDefault="001B5535" w:rsidP="001B5535">
      <w:pPr>
        <w:pStyle w:val="Textonotapie"/>
        <w:ind w:firstLine="708"/>
        <w:jc w:val="both"/>
        <w:rPr>
          <w:rFonts w:ascii="Verdana" w:hAnsi="Verdana"/>
          <w:sz w:val="16"/>
          <w:szCs w:val="16"/>
          <w:lang w:val="es-CO"/>
        </w:rPr>
      </w:pPr>
      <w:r w:rsidRPr="00004E12">
        <w:rPr>
          <w:rStyle w:val="Refdenotaalpie"/>
          <w:rFonts w:ascii="Verdana" w:hAnsi="Verdana"/>
          <w:sz w:val="16"/>
          <w:szCs w:val="16"/>
        </w:rPr>
        <w:footnoteRef/>
      </w:r>
      <w:r w:rsidRPr="00004E12">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004E12">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p w14:paraId="3AE223C2" w14:textId="77777777" w:rsidR="001B5535" w:rsidRPr="00004E12" w:rsidRDefault="001B5535" w:rsidP="001B5535">
      <w:pPr>
        <w:pStyle w:val="Textonotapie"/>
        <w:ind w:firstLine="708"/>
        <w:jc w:val="both"/>
        <w:rPr>
          <w:rFonts w:ascii="Verdana" w:hAnsi="Verdana"/>
          <w:sz w:val="16"/>
          <w:szCs w:val="16"/>
          <w:lang w:val="es-CO"/>
        </w:rPr>
      </w:pPr>
    </w:p>
  </w:footnote>
  <w:footnote w:id="5">
    <w:p w14:paraId="10828D71" w14:textId="77777777" w:rsidR="001B5535" w:rsidRDefault="001B5535" w:rsidP="001B5535">
      <w:pPr>
        <w:pStyle w:val="Textonotapie"/>
        <w:ind w:firstLine="708"/>
        <w:jc w:val="both"/>
        <w:rPr>
          <w:rFonts w:ascii="Verdana" w:hAnsi="Verdana" w:cs="Arial"/>
          <w:color w:val="000000"/>
          <w:sz w:val="16"/>
          <w:szCs w:val="16"/>
        </w:rPr>
      </w:pPr>
      <w:r w:rsidRPr="00F54C54">
        <w:rPr>
          <w:rStyle w:val="Refdenotaalpie"/>
          <w:rFonts w:ascii="Verdana" w:hAnsi="Verdana" w:cs="Arial"/>
          <w:color w:val="000000"/>
          <w:sz w:val="16"/>
          <w:szCs w:val="16"/>
        </w:rPr>
        <w:footnoteRef/>
      </w:r>
      <w:r w:rsidRPr="00F54C54">
        <w:rPr>
          <w:rFonts w:ascii="Verdana" w:hAnsi="Verdana" w:cs="Arial"/>
          <w:color w:val="000000"/>
          <w:sz w:val="16"/>
          <w:szCs w:val="16"/>
        </w:rPr>
        <w:t xml:space="preserve"> Sobre esta norma consultar los conceptos del 8 de octubre de 2019, con radicado 2201913000007532, y del 20 de diciembre de 2019, cuyo radicado es el No. 4201913000008240.</w:t>
      </w:r>
    </w:p>
    <w:p w14:paraId="7B78D1DC" w14:textId="77777777" w:rsidR="001B5535" w:rsidRPr="00F54C54" w:rsidRDefault="001B5535" w:rsidP="001B5535">
      <w:pPr>
        <w:pStyle w:val="Textonotapie"/>
        <w:ind w:firstLine="708"/>
        <w:jc w:val="both"/>
        <w:rPr>
          <w:rFonts w:ascii="Verdana" w:hAnsi="Verdana" w:cs="Arial"/>
          <w:color w:val="000000"/>
          <w:sz w:val="16"/>
          <w:szCs w:val="16"/>
        </w:rPr>
      </w:pPr>
    </w:p>
  </w:footnote>
  <w:footnote w:id="6">
    <w:p w14:paraId="6517CC65" w14:textId="77777777" w:rsidR="001B5535" w:rsidRPr="00F54C54" w:rsidRDefault="001B5535" w:rsidP="001B5535">
      <w:pPr>
        <w:pStyle w:val="Textonotapie"/>
        <w:ind w:firstLine="708"/>
        <w:jc w:val="both"/>
        <w:rPr>
          <w:rFonts w:ascii="Verdana" w:hAnsi="Verdana" w:cs="Arial"/>
          <w:color w:val="000000"/>
          <w:sz w:val="16"/>
          <w:szCs w:val="16"/>
        </w:rPr>
      </w:pPr>
      <w:r w:rsidRPr="00F54C54">
        <w:rPr>
          <w:rStyle w:val="Refdenotaalpie"/>
          <w:rFonts w:ascii="Verdana" w:hAnsi="Verdana" w:cs="Arial"/>
          <w:color w:val="000000"/>
          <w:sz w:val="16"/>
          <w:szCs w:val="16"/>
        </w:rPr>
        <w:footnoteRef/>
      </w:r>
      <w:r w:rsidRPr="00F54C54">
        <w:rPr>
          <w:rFonts w:ascii="Verdana" w:hAnsi="Verdana" w:cs="Arial"/>
          <w:color w:val="000000"/>
          <w:sz w:val="16"/>
          <w:szCs w:val="16"/>
        </w:rPr>
        <w:t xml:space="preserve"> </w:t>
      </w:r>
      <w:proofErr w:type="spellStart"/>
      <w:r w:rsidRPr="00F54C54">
        <w:rPr>
          <w:rFonts w:ascii="Verdana" w:hAnsi="Verdana" w:cs="Arial"/>
          <w:color w:val="000000"/>
          <w:sz w:val="16"/>
          <w:szCs w:val="16"/>
        </w:rPr>
        <w:t>Articulo</w:t>
      </w:r>
      <w:proofErr w:type="spellEnd"/>
      <w:r w:rsidRPr="00F54C54">
        <w:rPr>
          <w:rFonts w:ascii="Verdana" w:hAnsi="Verdana" w:cs="Arial"/>
          <w:color w:val="000000"/>
          <w:sz w:val="16"/>
          <w:szCs w:val="16"/>
        </w:rPr>
        <w:t xml:space="preserve"> 96. Constitución de asociaciones y fundaciones para el cumplimiento de las actividades propias de las entidades públicas con participación de particulares.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5D09390C" w14:textId="77777777" w:rsidR="001B5535" w:rsidRDefault="001B5535" w:rsidP="001B5535">
      <w:pPr>
        <w:pStyle w:val="Textonotapie"/>
        <w:ind w:firstLine="708"/>
        <w:jc w:val="both"/>
        <w:rPr>
          <w:rFonts w:ascii="Verdana" w:hAnsi="Verdana" w:cs="Arial"/>
          <w:color w:val="000000"/>
          <w:sz w:val="16"/>
          <w:szCs w:val="16"/>
        </w:rPr>
      </w:pPr>
      <w:r w:rsidRPr="00F54C54">
        <w:rPr>
          <w:rFonts w:ascii="Verdana" w:hAnsi="Verdana" w:cs="Arial"/>
          <w:color w:val="000000"/>
          <w:sz w:val="16"/>
          <w:szCs w:val="16"/>
        </w:rPr>
        <w:t>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p w14:paraId="45DE72F3" w14:textId="77777777" w:rsidR="001B5535" w:rsidRPr="00F54C54" w:rsidRDefault="001B5535" w:rsidP="001B5535">
      <w:pPr>
        <w:pStyle w:val="Textonotapie"/>
        <w:ind w:firstLine="708"/>
        <w:jc w:val="both"/>
        <w:rPr>
          <w:rFonts w:ascii="Verdana" w:hAnsi="Verdana" w:cs="Arial"/>
          <w:color w:val="000000"/>
          <w:sz w:val="16"/>
          <w:szCs w:val="16"/>
        </w:rPr>
      </w:pPr>
    </w:p>
  </w:footnote>
  <w:footnote w:id="7">
    <w:p w14:paraId="01ECBC35" w14:textId="77777777" w:rsidR="001B5535" w:rsidRDefault="001B5535" w:rsidP="001B5535">
      <w:pPr>
        <w:pStyle w:val="Textonotapie"/>
        <w:ind w:firstLine="708"/>
        <w:jc w:val="both"/>
        <w:rPr>
          <w:rFonts w:ascii="Verdana" w:hAnsi="Verdana" w:cs="Arial"/>
          <w:color w:val="000000"/>
          <w:sz w:val="16"/>
          <w:szCs w:val="16"/>
        </w:rPr>
      </w:pPr>
      <w:r w:rsidRPr="001C2D5B">
        <w:rPr>
          <w:rStyle w:val="Refdenotaalpie"/>
          <w:rFonts w:ascii="Verdana" w:hAnsi="Verdana" w:cs="Arial"/>
          <w:color w:val="000000"/>
          <w:sz w:val="16"/>
          <w:szCs w:val="16"/>
        </w:rPr>
        <w:footnoteRef/>
      </w:r>
      <w:r w:rsidRPr="001C2D5B">
        <w:rPr>
          <w:rFonts w:ascii="Verdana" w:hAnsi="Verdana" w:cs="Arial"/>
          <w:color w:val="000000"/>
          <w:sz w:val="16"/>
          <w:szCs w:val="16"/>
        </w:rPr>
        <w:t xml:space="preserve"> En el concepto emitido el 5 de febrero de 2019, dentro del radicado No. 2201913000000663, se dijo: «[l]os convenios de asociación del artículo 5 son distintos a los contratos de colaboración del artículo 2 del Decreto 092 de 2017».</w:t>
      </w:r>
    </w:p>
    <w:p w14:paraId="71FCEE41" w14:textId="77777777" w:rsidR="001B5535" w:rsidRPr="001C2D5B" w:rsidRDefault="001B5535" w:rsidP="001B5535">
      <w:pPr>
        <w:pStyle w:val="Textonotapie"/>
        <w:ind w:firstLine="708"/>
        <w:jc w:val="both"/>
        <w:rPr>
          <w:rFonts w:ascii="Verdana" w:hAnsi="Verdana" w:cs="Arial"/>
          <w:color w:val="000000"/>
          <w:sz w:val="16"/>
          <w:szCs w:val="16"/>
        </w:rPr>
      </w:pPr>
    </w:p>
  </w:footnote>
  <w:footnote w:id="8">
    <w:p w14:paraId="0F4D2BE1" w14:textId="77777777" w:rsidR="001B5535" w:rsidRDefault="001B5535" w:rsidP="001B5535">
      <w:pPr>
        <w:pStyle w:val="Textonotapie"/>
        <w:ind w:firstLine="708"/>
        <w:jc w:val="both"/>
        <w:rPr>
          <w:rFonts w:ascii="Verdana" w:hAnsi="Verdana"/>
          <w:sz w:val="16"/>
          <w:szCs w:val="16"/>
        </w:rPr>
      </w:pPr>
      <w:r w:rsidRPr="001C2D5B">
        <w:rPr>
          <w:rStyle w:val="Refdenotaalpie"/>
          <w:rFonts w:ascii="Verdana" w:hAnsi="Verdana"/>
          <w:sz w:val="16"/>
          <w:szCs w:val="16"/>
        </w:rPr>
        <w:footnoteRef/>
      </w:r>
      <w:r w:rsidRPr="001C2D5B">
        <w:rPr>
          <w:rFonts w:ascii="Verdana" w:hAnsi="Verdana"/>
          <w:sz w:val="16"/>
          <w:szCs w:val="16"/>
        </w:rPr>
        <w:t xml:space="preserve"> Consejo De Estado. Sala de Consulta y Servicio Civil. Concepto del 30 de mayo de 2017. Rad. 2.319.</w:t>
      </w:r>
      <w:r>
        <w:rPr>
          <w:rFonts w:ascii="Verdana" w:hAnsi="Verdana"/>
          <w:sz w:val="16"/>
          <w:szCs w:val="16"/>
        </w:rPr>
        <w:t xml:space="preserve"> </w:t>
      </w:r>
      <w:r w:rsidRPr="001C2D5B">
        <w:rPr>
          <w:rFonts w:ascii="Verdana" w:hAnsi="Verdana"/>
          <w:sz w:val="16"/>
          <w:szCs w:val="16"/>
        </w:rPr>
        <w:t xml:space="preserve">C.P. Edgar González López. </w:t>
      </w:r>
    </w:p>
    <w:p w14:paraId="1E990F50" w14:textId="77777777" w:rsidR="001B5535" w:rsidRPr="001C2D5B" w:rsidRDefault="001B5535" w:rsidP="001B5535">
      <w:pPr>
        <w:pStyle w:val="Textonotapie"/>
        <w:ind w:firstLine="708"/>
        <w:jc w:val="both"/>
        <w:rPr>
          <w:rFonts w:ascii="Verdana" w:hAnsi="Verdana"/>
          <w:sz w:val="16"/>
          <w:szCs w:val="16"/>
        </w:rPr>
      </w:pPr>
    </w:p>
  </w:footnote>
  <w:footnote w:id="9">
    <w:p w14:paraId="70ED28DB" w14:textId="77777777" w:rsidR="001B5535" w:rsidRPr="001C2D5B" w:rsidRDefault="001B5535" w:rsidP="001B5535">
      <w:pPr>
        <w:pStyle w:val="Textonotapie"/>
        <w:ind w:firstLine="709"/>
        <w:jc w:val="both"/>
        <w:rPr>
          <w:rFonts w:ascii="Verdana" w:hAnsi="Verdana" w:cs="Arial"/>
          <w:color w:val="000000" w:themeColor="text1"/>
          <w:sz w:val="16"/>
          <w:szCs w:val="16"/>
        </w:rPr>
      </w:pPr>
      <w:r w:rsidRPr="001C2D5B">
        <w:rPr>
          <w:rStyle w:val="Refdenotaalpie"/>
          <w:rFonts w:ascii="Verdana" w:hAnsi="Verdana" w:cs="Arial"/>
          <w:color w:val="000000" w:themeColor="text1"/>
          <w:sz w:val="16"/>
          <w:szCs w:val="16"/>
        </w:rPr>
        <w:footnoteRef/>
      </w:r>
      <w:r w:rsidRPr="001C2D5B">
        <w:rPr>
          <w:rFonts w:ascii="Verdana" w:hAnsi="Verdana" w:cs="Arial"/>
          <w:color w:val="000000" w:themeColor="text1"/>
          <w:sz w:val="16"/>
          <w:szCs w:val="16"/>
        </w:rPr>
        <w:t xml:space="preserve"> Agencia Nacional de Contratación Pública – Colombia Compra Eficiente. Concepto del 3 de septiembre de 2019, con radicado No. 2201913000006512.</w:t>
      </w:r>
    </w:p>
    <w:p w14:paraId="55454D9F" w14:textId="77777777" w:rsidR="001B5535" w:rsidRPr="00237249" w:rsidRDefault="001B5535" w:rsidP="001B5535">
      <w:pPr>
        <w:pStyle w:val="Textonotapie"/>
        <w:ind w:firstLine="709"/>
        <w:jc w:val="both"/>
        <w:rPr>
          <w:rFonts w:ascii="Verdana" w:hAnsi="Verdana" w:cs="Arial"/>
          <w:color w:val="000000" w:themeColor="text1"/>
          <w:sz w:val="14"/>
          <w:szCs w:val="14"/>
        </w:rPr>
      </w:pPr>
    </w:p>
  </w:footnote>
  <w:footnote w:id="10">
    <w:p w14:paraId="5EBFB489" w14:textId="77777777" w:rsidR="001B5535" w:rsidRPr="001C2D5B" w:rsidRDefault="001B5535" w:rsidP="001B5535">
      <w:pPr>
        <w:pStyle w:val="Textonotapie"/>
        <w:ind w:firstLine="708"/>
        <w:jc w:val="both"/>
        <w:rPr>
          <w:rFonts w:ascii="Verdana" w:hAnsi="Verdana" w:cs="Arial"/>
          <w:color w:val="000000"/>
          <w:sz w:val="16"/>
          <w:szCs w:val="16"/>
          <w:lang w:val="es-ES"/>
        </w:rPr>
      </w:pPr>
      <w:r w:rsidRPr="001C2D5B">
        <w:rPr>
          <w:rStyle w:val="Refdenotaalpie"/>
          <w:rFonts w:ascii="Verdana" w:hAnsi="Verdana" w:cs="Arial"/>
          <w:color w:val="000000"/>
          <w:sz w:val="16"/>
          <w:szCs w:val="16"/>
        </w:rPr>
        <w:footnoteRef/>
      </w:r>
      <w:r w:rsidRPr="001C2D5B">
        <w:rPr>
          <w:rFonts w:ascii="Verdana" w:hAnsi="Verdana" w:cs="Arial"/>
          <w:color w:val="000000"/>
          <w:sz w:val="16"/>
          <w:szCs w:val="16"/>
        </w:rPr>
        <w:t xml:space="preserve"> Concepto del 19 de noviembre de 2019, emitido en el radicado No. 2201913000008611.</w:t>
      </w:r>
    </w:p>
  </w:footnote>
  <w:footnote w:id="11">
    <w:p w14:paraId="7B7DDB8F" w14:textId="77777777" w:rsidR="001B5535" w:rsidRDefault="001B5535" w:rsidP="001B5535">
      <w:pPr>
        <w:pStyle w:val="Textonotapie"/>
        <w:ind w:firstLine="708"/>
        <w:jc w:val="both"/>
        <w:rPr>
          <w:rFonts w:ascii="Verdana" w:hAnsi="Verdana"/>
          <w:bCs/>
          <w:i/>
          <w:iCs/>
          <w:sz w:val="16"/>
          <w:szCs w:val="16"/>
          <w:lang w:val="es-CO"/>
        </w:rPr>
      </w:pPr>
      <w:r w:rsidRPr="001C2D5B">
        <w:rPr>
          <w:rStyle w:val="Refdenotaalpie"/>
          <w:rFonts w:ascii="Verdana" w:hAnsi="Verdana"/>
          <w:sz w:val="16"/>
          <w:szCs w:val="16"/>
        </w:rPr>
        <w:footnoteRef/>
      </w:r>
      <w:r w:rsidRPr="001C2D5B">
        <w:rPr>
          <w:rFonts w:ascii="Verdana" w:hAnsi="Verdana"/>
          <w:sz w:val="16"/>
          <w:szCs w:val="16"/>
        </w:rPr>
        <w:t xml:space="preserve"> Agencia Nacional de Contratación Pública –Colombia Compra Eficiente. </w:t>
      </w:r>
      <w:r w:rsidRPr="001C2D5B">
        <w:rPr>
          <w:rFonts w:ascii="Verdana" w:hAnsi="Verdana"/>
          <w:bCs/>
          <w:iCs/>
          <w:sz w:val="16"/>
          <w:szCs w:val="16"/>
          <w:lang w:val="es-CO"/>
        </w:rPr>
        <w:t>Guía para la contratación con entidades privadas sin ánimo de lucro y de reconocida idoneidad, 2025. p. 14.</w:t>
      </w:r>
      <w:r>
        <w:rPr>
          <w:rFonts w:ascii="Verdana" w:hAnsi="Verdana"/>
          <w:bCs/>
          <w:iCs/>
          <w:sz w:val="16"/>
          <w:szCs w:val="16"/>
          <w:lang w:val="es-CO"/>
        </w:rPr>
        <w:t xml:space="preserve"> Disponible en </w:t>
      </w:r>
      <w:hyperlink r:id="rId1" w:history="1">
        <w:r w:rsidRPr="00C0741C">
          <w:rPr>
            <w:rStyle w:val="Hipervnculo"/>
            <w:rFonts w:ascii="Verdana" w:hAnsi="Verdana"/>
            <w:bCs/>
            <w:iCs/>
            <w:sz w:val="16"/>
            <w:szCs w:val="16"/>
            <w:lang w:val="es-CO"/>
          </w:rPr>
          <w:t>Guia-ESALES-CCE-V2_2025.pdf</w:t>
        </w:r>
      </w:hyperlink>
      <w:r w:rsidRPr="001C2D5B">
        <w:rPr>
          <w:rFonts w:ascii="Verdana" w:hAnsi="Verdana"/>
          <w:bCs/>
          <w:i/>
          <w:iCs/>
          <w:sz w:val="16"/>
          <w:szCs w:val="16"/>
          <w:lang w:val="es-CO"/>
        </w:rPr>
        <w:t xml:space="preserve"> </w:t>
      </w:r>
    </w:p>
    <w:p w14:paraId="265CFD74" w14:textId="77777777" w:rsidR="001B5535" w:rsidRPr="001C2D5B" w:rsidRDefault="001B5535" w:rsidP="001B5535">
      <w:pPr>
        <w:pStyle w:val="Textonotapie"/>
        <w:ind w:firstLine="708"/>
        <w:jc w:val="both"/>
        <w:rPr>
          <w:rFonts w:ascii="Verdana" w:hAnsi="Verdana"/>
          <w:sz w:val="16"/>
          <w:szCs w:val="16"/>
          <w:lang w:val="es-ES"/>
        </w:rPr>
      </w:pPr>
    </w:p>
  </w:footnote>
  <w:footnote w:id="12">
    <w:p w14:paraId="58741265" w14:textId="77777777" w:rsidR="001B5535" w:rsidRDefault="001B5535" w:rsidP="001B5535">
      <w:pPr>
        <w:pStyle w:val="Textonotapie"/>
        <w:ind w:firstLine="708"/>
        <w:jc w:val="both"/>
        <w:rPr>
          <w:rFonts w:ascii="Verdana" w:hAnsi="Verdana" w:cs="Arial"/>
          <w:color w:val="000000"/>
          <w:sz w:val="16"/>
          <w:szCs w:val="16"/>
        </w:rPr>
      </w:pPr>
      <w:r w:rsidRPr="001C2D5B">
        <w:rPr>
          <w:rStyle w:val="Refdenotaalpie"/>
          <w:rFonts w:ascii="Verdana" w:hAnsi="Verdana" w:cs="Arial"/>
          <w:color w:val="000000"/>
          <w:sz w:val="16"/>
          <w:szCs w:val="16"/>
        </w:rPr>
        <w:footnoteRef/>
      </w:r>
      <w:r w:rsidRPr="001C2D5B">
        <w:rPr>
          <w:rFonts w:ascii="Verdana" w:hAnsi="Verdana" w:cs="Arial"/>
          <w:color w:val="000000"/>
          <w:sz w:val="16"/>
          <w:szCs w:val="16"/>
        </w:rPr>
        <w:t xml:space="preserve"> Se precisa que la suspensión provisional, de acuerdo con el artículo 231 de la Ley 1437 de 2011, es una medida cautelar que busca proteger y garantizar, de forma provisional, que la norma demandada no genere actos contrarios al ordenamiento jurídico, razón por la cual, para decretarla es necesario que la transgresión de las normas superiores invocadas surja de la comparación entre estas y los actos acusados o del estudio de las pruebas aportadas con la solicitud.</w:t>
      </w:r>
    </w:p>
    <w:p w14:paraId="77F2A2ED" w14:textId="77777777" w:rsidR="001B5535" w:rsidRPr="001C2D5B" w:rsidRDefault="001B5535" w:rsidP="001B5535">
      <w:pPr>
        <w:pStyle w:val="Textonotapie"/>
        <w:ind w:firstLine="708"/>
        <w:jc w:val="both"/>
        <w:rPr>
          <w:rFonts w:ascii="Verdana" w:hAnsi="Verdana" w:cs="Arial"/>
          <w:color w:val="000000"/>
          <w:sz w:val="16"/>
          <w:szCs w:val="16"/>
        </w:rPr>
      </w:pPr>
    </w:p>
  </w:footnote>
  <w:footnote w:id="13">
    <w:p w14:paraId="32615011" w14:textId="77777777" w:rsidR="001B5535" w:rsidRPr="001C2D5B" w:rsidRDefault="001B5535" w:rsidP="001B5535">
      <w:pPr>
        <w:pStyle w:val="Textonotapie"/>
        <w:ind w:firstLine="708"/>
        <w:jc w:val="both"/>
        <w:rPr>
          <w:rFonts w:ascii="Verdana" w:hAnsi="Verdana" w:cs="Arial"/>
          <w:sz w:val="16"/>
          <w:szCs w:val="16"/>
          <w:lang w:val="es-ES"/>
        </w:rPr>
      </w:pPr>
      <w:r w:rsidRPr="001C2D5B">
        <w:rPr>
          <w:rStyle w:val="Refdenotaalpie"/>
          <w:rFonts w:ascii="Verdana" w:hAnsi="Verdana" w:cs="Arial"/>
          <w:sz w:val="16"/>
          <w:szCs w:val="16"/>
        </w:rPr>
        <w:footnoteRef/>
      </w:r>
      <w:r w:rsidRPr="001C2D5B">
        <w:rPr>
          <w:rFonts w:ascii="Verdana" w:hAnsi="Verdana" w:cs="Arial"/>
          <w:sz w:val="16"/>
          <w:szCs w:val="16"/>
        </w:rPr>
        <w:t xml:space="preserve"> </w:t>
      </w:r>
      <w:r w:rsidRPr="001C2D5B">
        <w:rPr>
          <w:rFonts w:ascii="Verdana" w:hAnsi="Verdana" w:cs="Arial"/>
          <w:sz w:val="16"/>
          <w:szCs w:val="16"/>
          <w:lang w:val="es-ES"/>
        </w:rPr>
        <w:t>Consejo de Estado. Sala Plena. Auto del 15 de marzo de 2022. Expediente: 62.003. C</w:t>
      </w:r>
      <w:r>
        <w:rPr>
          <w:rFonts w:ascii="Verdana" w:hAnsi="Verdana" w:cs="Arial"/>
          <w:sz w:val="16"/>
          <w:szCs w:val="16"/>
          <w:lang w:val="es-ES"/>
        </w:rPr>
        <w:t>.P</w:t>
      </w:r>
      <w:r w:rsidRPr="001C2D5B">
        <w:rPr>
          <w:rFonts w:ascii="Verdana" w:hAnsi="Verdana" w:cs="Arial"/>
          <w:sz w:val="16"/>
          <w:szCs w:val="16"/>
          <w:lang w:val="es-ES"/>
        </w:rPr>
        <w:t>: Rocío Araujo Oñate. En esta decisión, en efecto, se decidió: “REVOCAR los numerales primero y tercero de la parte resolutiva del auto proferido el 6 de agosto de 2019, que suspendieron de manera provisional los efectos del inciso segundo del artículo 1 y del inciso segundo del artículo 3 del Decreto 92 de 2017, respectivamente, y en su lugar NEGAR la medida cautelar”, y “CONFIRMAR LA SUSPENSIÓN PROVISIONAL de los literales a) y c) del artículo segundo y el inciso quinto de la misma norma, así como del inciso final del artículo 4 del Decreto 92 de 2017, por las razones expuestas”.</w:t>
      </w:r>
    </w:p>
    <w:p w14:paraId="5A495A4A" w14:textId="77777777" w:rsidR="001B5535" w:rsidRPr="001C2D5B" w:rsidRDefault="001B5535" w:rsidP="001B5535">
      <w:pPr>
        <w:pStyle w:val="Textonotapie"/>
        <w:ind w:firstLine="708"/>
        <w:jc w:val="both"/>
        <w:rPr>
          <w:rFonts w:ascii="Verdana" w:hAnsi="Verdana" w:cs="Arial"/>
          <w:sz w:val="16"/>
          <w:szCs w:val="16"/>
          <w:lang w:val="es-ES"/>
        </w:rPr>
      </w:pPr>
    </w:p>
  </w:footnote>
  <w:footnote w:id="14">
    <w:p w14:paraId="4B19B8FA" w14:textId="77777777" w:rsidR="001B5535" w:rsidRDefault="001B5535" w:rsidP="001B5535">
      <w:pPr>
        <w:spacing w:after="0" w:line="240" w:lineRule="auto"/>
        <w:ind w:firstLine="708"/>
        <w:jc w:val="both"/>
        <w:textAlignment w:val="baseline"/>
        <w:rPr>
          <w:rFonts w:ascii="Verdana" w:eastAsia="Calibri" w:hAnsi="Verdana" w:cs="Arial"/>
          <w:color w:val="000000"/>
          <w:sz w:val="16"/>
          <w:szCs w:val="16"/>
          <w:lang w:val="es-MX"/>
        </w:rPr>
      </w:pPr>
      <w:r w:rsidRPr="001C2D5B">
        <w:rPr>
          <w:rStyle w:val="Refdenotaalpie"/>
          <w:rFonts w:ascii="Verdana" w:hAnsi="Verdana" w:cs="Arial"/>
          <w:sz w:val="16"/>
          <w:szCs w:val="16"/>
        </w:rPr>
        <w:footnoteRef/>
      </w:r>
      <w:r w:rsidRPr="001C2D5B">
        <w:rPr>
          <w:rFonts w:ascii="Verdana" w:hAnsi="Verdana" w:cs="Arial"/>
          <w:sz w:val="16"/>
          <w:szCs w:val="16"/>
        </w:rPr>
        <w:t xml:space="preserve"> </w:t>
      </w:r>
      <w:r w:rsidRPr="001C2D5B">
        <w:rPr>
          <w:rFonts w:ascii="Verdana" w:eastAsia="Calibri" w:hAnsi="Verdana" w:cs="Arial"/>
          <w:color w:val="000000"/>
          <w:sz w:val="16"/>
          <w:szCs w:val="16"/>
          <w:lang w:val="es-MX"/>
        </w:rPr>
        <w:t>E</w:t>
      </w:r>
      <w:r w:rsidRPr="001C2D5B">
        <w:rPr>
          <w:rFonts w:ascii="Verdana" w:eastAsia="Calibri" w:hAnsi="Verdana" w:cs="Arial"/>
          <w:sz w:val="16"/>
          <w:szCs w:val="16"/>
          <w:lang w:val="es-ES_tradnl" w:eastAsia="es-ES_tradnl"/>
        </w:rPr>
        <w:t xml:space="preserve">n armonía con lo anterior, las siguientes son las conclusiones que dedujo esta Agencia en relación con los </w:t>
      </w:r>
      <w:r w:rsidRPr="001C2D5B">
        <w:rPr>
          <w:rFonts w:ascii="Verdana" w:eastAsia="Calibri" w:hAnsi="Verdana" w:cs="Arial"/>
          <w:i/>
          <w:iCs/>
          <w:sz w:val="16"/>
          <w:szCs w:val="16"/>
          <w:lang w:val="es-ES_tradnl" w:eastAsia="es-ES_tradnl"/>
        </w:rPr>
        <w:t>contratos de colaboración</w:t>
      </w:r>
      <w:r w:rsidRPr="001C2D5B">
        <w:rPr>
          <w:rFonts w:ascii="Verdana" w:eastAsia="Calibri" w:hAnsi="Verdana" w:cs="Arial"/>
          <w:sz w:val="16"/>
          <w:szCs w:val="16"/>
          <w:lang w:val="es-ES_tradnl" w:eastAsia="es-ES_tradnl"/>
        </w:rPr>
        <w:t>, tal como se expresa, por ejemplo, en el concepto C-529 del 11 de agosto de 2020: “</w:t>
      </w:r>
      <w:r w:rsidRPr="001C2D5B">
        <w:rPr>
          <w:rFonts w:ascii="Verdana" w:eastAsia="Calibri" w:hAnsi="Verdana" w:cs="Arial"/>
          <w:color w:val="000000"/>
          <w:sz w:val="16"/>
          <w:szCs w:val="16"/>
          <w:lang w:val="es-MX"/>
        </w:rPr>
        <w:t xml:space="preserve">En este orden de ideas, la contratación con entidades sin ánimo de lucro se sigue rigiendo por el Decreto 092 de 2017, salvo lo que fue objeto de suspensión provisional. Por lo tanto, las entidades públicas que desean celebrar contratos de interés público, en los términos del artículo 355 de la Constitución Política, deben contratar con ESAL de reconocida idoneidad, como ya se dijo, realizando un proceso competitivo, y teniendo en cuenta, se insiste, las siguientes características: i) no se debe condicionar el proceso de contratación a la inexistencia de oferta en el mercado de bienes y servicios; </w:t>
      </w:r>
      <w:proofErr w:type="spellStart"/>
      <w:r w:rsidRPr="001C2D5B">
        <w:rPr>
          <w:rFonts w:ascii="Verdana" w:eastAsia="Calibri" w:hAnsi="Verdana" w:cs="Arial"/>
          <w:color w:val="000000"/>
          <w:sz w:val="16"/>
          <w:szCs w:val="16"/>
          <w:lang w:val="es-MX"/>
        </w:rPr>
        <w:t>ii</w:t>
      </w:r>
      <w:proofErr w:type="spellEnd"/>
      <w:r w:rsidRPr="001C2D5B">
        <w:rPr>
          <w:rFonts w:ascii="Verdana" w:eastAsia="Calibri" w:hAnsi="Verdana" w:cs="Arial"/>
          <w:color w:val="000000"/>
          <w:sz w:val="16"/>
          <w:szCs w:val="16"/>
          <w:lang w:val="es-MX"/>
        </w:rPr>
        <w:t xml:space="preserve">) tampoco se debe condicionar a que la contratación con las ESAL garantice la optimización de los recursos públicos en términos de eficiencia, eficacia, economía y manejo del riesgo; </w:t>
      </w:r>
      <w:proofErr w:type="spellStart"/>
      <w:r w:rsidRPr="001C2D5B">
        <w:rPr>
          <w:rFonts w:ascii="Verdana" w:eastAsia="Calibri" w:hAnsi="Verdana" w:cs="Arial"/>
          <w:color w:val="000000"/>
          <w:sz w:val="16"/>
          <w:szCs w:val="16"/>
          <w:lang w:val="es-MX"/>
        </w:rPr>
        <w:t>iii</w:t>
      </w:r>
      <w:proofErr w:type="spellEnd"/>
      <w:r w:rsidRPr="001C2D5B">
        <w:rPr>
          <w:rFonts w:ascii="Verdana" w:eastAsia="Calibri" w:hAnsi="Verdana" w:cs="Arial"/>
          <w:color w:val="000000"/>
          <w:sz w:val="16"/>
          <w:szCs w:val="16"/>
          <w:lang w:val="es-MX"/>
        </w:rPr>
        <w:t xml:space="preserve">) el objeto del contrato debe estar acorde con el plan nacional o seccional de desarrollo; </w:t>
      </w:r>
      <w:proofErr w:type="spellStart"/>
      <w:r w:rsidRPr="001C2D5B">
        <w:rPr>
          <w:rFonts w:ascii="Verdana" w:eastAsia="Calibri" w:hAnsi="Verdana" w:cs="Arial"/>
          <w:color w:val="000000"/>
          <w:sz w:val="16"/>
          <w:szCs w:val="16"/>
          <w:lang w:val="es-MX"/>
        </w:rPr>
        <w:t>iv</w:t>
      </w:r>
      <w:proofErr w:type="spellEnd"/>
      <w:r w:rsidRPr="001C2D5B">
        <w:rPr>
          <w:rFonts w:ascii="Verdana" w:eastAsia="Calibri" w:hAnsi="Verdana" w:cs="Arial"/>
          <w:color w:val="000000"/>
          <w:sz w:val="16"/>
          <w:szCs w:val="16"/>
          <w:lang w:val="es-MX"/>
        </w:rPr>
        <w:t xml:space="preserve">) no se puede condicionar únicamente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1C2D5B">
        <w:rPr>
          <w:rFonts w:ascii="Verdana" w:eastAsia="Calibri" w:hAnsi="Verdana" w:cs="Arial"/>
          <w:color w:val="000000"/>
          <w:sz w:val="16"/>
          <w:szCs w:val="16"/>
          <w:lang w:val="es-MX"/>
        </w:rPr>
        <w:t>iii</w:t>
      </w:r>
      <w:proofErr w:type="spellEnd"/>
      <w:r w:rsidRPr="001C2D5B">
        <w:rPr>
          <w:rFonts w:ascii="Verdana" w:eastAsia="Calibri" w:hAnsi="Verdana" w:cs="Arial"/>
          <w:color w:val="000000"/>
          <w:sz w:val="16"/>
          <w:szCs w:val="16"/>
          <w:lang w:val="es-MX"/>
        </w:rPr>
        <w:t>); y v) el contrato no establezca una relación conmutativa en el cual haya una contraprestación directa a favor de la entidad, ni instrucciones precisas dadas por esta al contratista para cumplir con el objeto del contrato”.</w:t>
      </w:r>
    </w:p>
    <w:p w14:paraId="34DA1E78" w14:textId="77777777" w:rsidR="001B5535" w:rsidRPr="001C2D5B" w:rsidRDefault="001B5535" w:rsidP="001B5535">
      <w:pPr>
        <w:spacing w:after="0" w:line="240" w:lineRule="auto"/>
        <w:ind w:firstLine="708"/>
        <w:jc w:val="both"/>
        <w:textAlignment w:val="baseline"/>
        <w:rPr>
          <w:rFonts w:ascii="Verdana" w:hAnsi="Verdana" w:cs="Arial"/>
          <w:sz w:val="16"/>
          <w:szCs w:val="16"/>
        </w:rPr>
      </w:pPr>
    </w:p>
  </w:footnote>
  <w:footnote w:id="15">
    <w:p w14:paraId="2ECFBEA8" w14:textId="77777777" w:rsidR="001B5535" w:rsidRPr="001C2D5B" w:rsidRDefault="001B5535" w:rsidP="001B5535">
      <w:pPr>
        <w:pStyle w:val="Textonotapie"/>
        <w:ind w:firstLine="708"/>
        <w:jc w:val="both"/>
        <w:rPr>
          <w:rFonts w:ascii="Verdana" w:hAnsi="Verdana" w:cs="Arial"/>
          <w:color w:val="000000"/>
          <w:sz w:val="16"/>
          <w:szCs w:val="16"/>
        </w:rPr>
      </w:pPr>
      <w:r w:rsidRPr="001C2D5B">
        <w:rPr>
          <w:rStyle w:val="Refdenotaalpie"/>
          <w:rFonts w:ascii="Verdana" w:hAnsi="Verdana" w:cs="Arial"/>
          <w:color w:val="000000"/>
          <w:sz w:val="16"/>
          <w:szCs w:val="16"/>
        </w:rPr>
        <w:footnoteRef/>
      </w:r>
      <w:r w:rsidRPr="001C2D5B">
        <w:rPr>
          <w:rFonts w:ascii="Verdana" w:hAnsi="Verdana" w:cs="Arial"/>
          <w:color w:val="000000"/>
          <w:sz w:val="16"/>
          <w:szCs w:val="16"/>
        </w:rPr>
        <w:t xml:space="preserve"> Decreto 092,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 w:id="16">
    <w:p w14:paraId="72D1FD6F" w14:textId="77777777" w:rsidR="001B5535" w:rsidRPr="00D71B7F" w:rsidRDefault="001B5535" w:rsidP="001B5535">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CF47352" w14:textId="77777777" w:rsidR="001B5535" w:rsidRPr="00D71B7F" w:rsidRDefault="001B5535" w:rsidP="001B5535">
      <w:pPr>
        <w:pStyle w:val="Textonotapie"/>
        <w:ind w:firstLine="709"/>
        <w:jc w:val="both"/>
        <w:rPr>
          <w:rFonts w:ascii="Verdana" w:hAnsi="Verdana" w:cs="Arial"/>
          <w:sz w:val="16"/>
          <w:szCs w:val="16"/>
        </w:rPr>
      </w:pPr>
      <w:r w:rsidRPr="00D71B7F">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48F9157D" w14:textId="77777777" w:rsidR="001B5535" w:rsidRPr="00D71B7F" w:rsidRDefault="001B5535" w:rsidP="001B5535">
      <w:pPr>
        <w:pStyle w:val="Textonotapie"/>
        <w:ind w:firstLine="709"/>
        <w:jc w:val="both"/>
        <w:rPr>
          <w:rFonts w:ascii="Verdana" w:hAnsi="Verdana" w:cs="Arial"/>
          <w:sz w:val="16"/>
          <w:szCs w:val="16"/>
        </w:rPr>
      </w:pPr>
    </w:p>
  </w:footnote>
  <w:footnote w:id="17">
    <w:p w14:paraId="16BA2A43" w14:textId="77777777" w:rsidR="001B5535" w:rsidRPr="00D71B7F" w:rsidRDefault="001B5535" w:rsidP="001B5535">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Gaceta del Congreso de la República No. 71 del 2005.</w:t>
      </w:r>
    </w:p>
    <w:p w14:paraId="7EF41B9C" w14:textId="77777777" w:rsidR="001B5535" w:rsidRPr="00D71B7F" w:rsidRDefault="001B5535" w:rsidP="001B5535">
      <w:pPr>
        <w:pStyle w:val="Textonotapie"/>
        <w:ind w:firstLine="709"/>
        <w:jc w:val="both"/>
        <w:rPr>
          <w:rFonts w:ascii="Verdana" w:hAnsi="Verdana" w:cs="Arial"/>
          <w:sz w:val="16"/>
          <w:szCs w:val="16"/>
        </w:rPr>
      </w:pPr>
    </w:p>
  </w:footnote>
  <w:footnote w:id="18">
    <w:p w14:paraId="75D4369D" w14:textId="77777777" w:rsidR="001B5535" w:rsidRPr="00D71B7F" w:rsidRDefault="001B5535" w:rsidP="001B5535">
      <w:pPr>
        <w:pStyle w:val="Textonotapie"/>
        <w:tabs>
          <w:tab w:val="left" w:pos="8145"/>
        </w:tabs>
        <w:ind w:firstLine="709"/>
        <w:jc w:val="both"/>
        <w:rPr>
          <w:rFonts w:ascii="Verdana" w:hAnsi="Verdana" w:cs="Arial"/>
          <w:sz w:val="16"/>
          <w:szCs w:val="16"/>
          <w:lang w:val="pt-PT"/>
        </w:rPr>
      </w:pPr>
      <w:r w:rsidRPr="00D71B7F">
        <w:rPr>
          <w:rStyle w:val="Refdenotaalpie"/>
          <w:rFonts w:ascii="Verdana" w:hAnsi="Verdana" w:cs="Arial"/>
          <w:sz w:val="16"/>
          <w:szCs w:val="16"/>
        </w:rPr>
        <w:footnoteRef/>
      </w:r>
      <w:r w:rsidRPr="00D71B7F">
        <w:rPr>
          <w:rFonts w:ascii="Verdana" w:hAnsi="Verdana" w:cs="Arial"/>
          <w:sz w:val="16"/>
          <w:szCs w:val="16"/>
          <w:lang w:val="pt-PT"/>
        </w:rPr>
        <w:t xml:space="preserve"> Corte Constitucional. Sentencia C- 1153 de 2005, M.P: Marco Gerardo Monroy Cabra.</w:t>
      </w:r>
      <w:r w:rsidRPr="00D71B7F">
        <w:rPr>
          <w:rFonts w:ascii="Verdana" w:hAnsi="Verdana" w:cs="Arial"/>
          <w:sz w:val="16"/>
          <w:szCs w:val="16"/>
          <w:lang w:val="pt-PT"/>
        </w:rPr>
        <w:tab/>
      </w:r>
    </w:p>
    <w:p w14:paraId="69402A7B" w14:textId="77777777" w:rsidR="001B5535" w:rsidRPr="00D71B7F" w:rsidRDefault="001B5535" w:rsidP="001B5535">
      <w:pPr>
        <w:pStyle w:val="Textonotapie"/>
        <w:tabs>
          <w:tab w:val="left" w:pos="8145"/>
        </w:tabs>
        <w:ind w:firstLine="709"/>
        <w:jc w:val="both"/>
        <w:rPr>
          <w:rFonts w:ascii="Verdana" w:hAnsi="Verdana" w:cs="Arial"/>
          <w:sz w:val="16"/>
          <w:szCs w:val="16"/>
          <w:lang w:val="pt-PT"/>
        </w:rPr>
      </w:pPr>
    </w:p>
  </w:footnote>
  <w:footnote w:id="19">
    <w:p w14:paraId="5DAA9DDA" w14:textId="77777777" w:rsidR="001B5535" w:rsidRPr="00D71B7F" w:rsidRDefault="001B5535" w:rsidP="001B5535">
      <w:pPr>
        <w:pStyle w:val="Textonotapie"/>
        <w:ind w:firstLine="709"/>
        <w:jc w:val="both"/>
        <w:rPr>
          <w:rFonts w:ascii="Verdana" w:hAnsi="Verdana" w:cs="Arial"/>
          <w:sz w:val="16"/>
          <w:szCs w:val="16"/>
          <w:lang w:val="pt-PT"/>
        </w:rPr>
      </w:pPr>
      <w:r w:rsidRPr="00D71B7F">
        <w:rPr>
          <w:rStyle w:val="Refdenotaalpie"/>
          <w:rFonts w:ascii="Verdana" w:hAnsi="Verdana" w:cs="Arial"/>
          <w:sz w:val="16"/>
          <w:szCs w:val="16"/>
        </w:rPr>
        <w:footnoteRef/>
      </w:r>
      <w:r w:rsidRPr="00D71B7F">
        <w:rPr>
          <w:rFonts w:ascii="Verdana" w:hAnsi="Verdana" w:cs="Arial"/>
          <w:sz w:val="16"/>
          <w:szCs w:val="16"/>
          <w:lang w:val="pt-PT"/>
        </w:rPr>
        <w:t xml:space="preserve"> </w:t>
      </w:r>
      <w:r w:rsidRPr="00D71B7F">
        <w:rPr>
          <w:rFonts w:ascii="Verdana" w:hAnsi="Verdana" w:cs="Arial"/>
          <w:sz w:val="16"/>
          <w:szCs w:val="16"/>
          <w:lang w:val="es-CO"/>
        </w:rPr>
        <w:t xml:space="preserve">Corte Constitucional. Sentencias: C-233 de 4 de abril de 2002. M.P: Álvaro Tafur Galvis; C-551 de 9 de julio de 2003. M.P: Eduardo Montealegre Lynnet; C-353 de 20 de mayo de 2009. M.P: Jorge Iván Palacio </w:t>
      </w:r>
      <w:proofErr w:type="spellStart"/>
      <w:r w:rsidRPr="00D71B7F">
        <w:rPr>
          <w:rFonts w:ascii="Verdana" w:hAnsi="Verdana" w:cs="Arial"/>
          <w:sz w:val="16"/>
          <w:szCs w:val="16"/>
          <w:lang w:val="es-CO"/>
        </w:rPr>
        <w:t>Palacio</w:t>
      </w:r>
      <w:proofErr w:type="spellEnd"/>
      <w:r w:rsidRPr="00D71B7F">
        <w:rPr>
          <w:rFonts w:ascii="Verdana" w:hAnsi="Verdana" w:cs="Arial"/>
          <w:sz w:val="16"/>
          <w:szCs w:val="16"/>
          <w:lang w:val="es-CO"/>
        </w:rPr>
        <w:t>; C-541 de 30 de junio de 2010. M.P: Gabriel Eduardo Mendoza Martelo; entre otras.</w:t>
      </w:r>
    </w:p>
    <w:p w14:paraId="7576A6FC" w14:textId="77777777" w:rsidR="001B5535" w:rsidRPr="00D71B7F" w:rsidRDefault="001B5535" w:rsidP="001B5535">
      <w:pPr>
        <w:pStyle w:val="Textonotapie"/>
        <w:ind w:firstLine="709"/>
        <w:jc w:val="both"/>
        <w:rPr>
          <w:rFonts w:ascii="Verdana" w:hAnsi="Verdana" w:cs="Arial"/>
          <w:sz w:val="16"/>
          <w:szCs w:val="16"/>
          <w:lang w:val="pt-PT"/>
        </w:rPr>
      </w:pPr>
    </w:p>
  </w:footnote>
  <w:footnote w:id="20">
    <w:p w14:paraId="63F0F5E0" w14:textId="77777777" w:rsidR="001B5535" w:rsidRPr="00D71B7F" w:rsidRDefault="001B5535" w:rsidP="001B5535">
      <w:pPr>
        <w:pStyle w:val="Textonotapie"/>
        <w:ind w:firstLine="709"/>
        <w:jc w:val="both"/>
        <w:rPr>
          <w:rFonts w:ascii="Verdana" w:hAnsi="Verdana" w:cs="Arial"/>
          <w:sz w:val="16"/>
          <w:szCs w:val="16"/>
          <w:lang w:val="es-CO"/>
        </w:rPr>
      </w:pPr>
      <w:r w:rsidRPr="00D71B7F">
        <w:rPr>
          <w:rStyle w:val="Refdenotaalpie"/>
          <w:rFonts w:ascii="Verdana" w:hAnsi="Verdana" w:cs="Arial"/>
          <w:sz w:val="16"/>
          <w:szCs w:val="16"/>
        </w:rPr>
        <w:footnoteRef/>
      </w:r>
      <w:r w:rsidRPr="00D71B7F">
        <w:rPr>
          <w:rFonts w:ascii="Verdana" w:hAnsi="Verdana" w:cs="Arial"/>
          <w:sz w:val="16"/>
          <w:szCs w:val="16"/>
          <w:lang w:val="es-CO"/>
        </w:rPr>
        <w:t xml:space="preserve"> Consejo de Estado. Sala de lo Contencioso Administrativo. Sección Primera. Sentencia de 3 de marzo de 2005. Radicado: </w:t>
      </w:r>
      <w:r w:rsidRPr="00D71B7F">
        <w:rPr>
          <w:rFonts w:ascii="Verdana" w:hAnsi="Verdana" w:cs="Arial"/>
          <w:sz w:val="16"/>
          <w:szCs w:val="16"/>
          <w:lang w:val="es-ES"/>
        </w:rPr>
        <w:t xml:space="preserve">25001-23-15-000-2004-00823-01 (PI). </w:t>
      </w:r>
      <w:r w:rsidRPr="00D71B7F">
        <w:rPr>
          <w:rFonts w:ascii="Verdana" w:hAnsi="Verdana" w:cs="Arial"/>
          <w:sz w:val="16"/>
          <w:szCs w:val="16"/>
          <w:lang w:val="es-CO"/>
        </w:rPr>
        <w:t>C.P: Camilo Arciniegas Andrade. Ver también, de la Sección Tercera. Sentencia de 22 de enero de 2002, expediente número 2001-0148-01 y, Sección Tercera. Sentencia de 20 de noviembre de 2001, expediente número 2001-0130-01(PI), entre otras.</w:t>
      </w:r>
    </w:p>
    <w:p w14:paraId="2E15749B" w14:textId="77777777" w:rsidR="001B5535" w:rsidRPr="00D71B7F" w:rsidRDefault="001B5535" w:rsidP="001B5535">
      <w:pPr>
        <w:pStyle w:val="Textonotapie"/>
        <w:ind w:firstLine="709"/>
        <w:jc w:val="both"/>
        <w:rPr>
          <w:rFonts w:ascii="Verdana" w:hAnsi="Verdana" w:cs="Arial"/>
          <w:sz w:val="16"/>
          <w:szCs w:val="16"/>
          <w:lang w:val="es-CO"/>
        </w:rPr>
      </w:pPr>
    </w:p>
  </w:footnote>
  <w:footnote w:id="21">
    <w:p w14:paraId="08273D2C" w14:textId="77777777" w:rsidR="001B5535" w:rsidRPr="00D71B7F" w:rsidRDefault="001B5535" w:rsidP="001B5535">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24 de julio de 2013. Radicado: </w:t>
      </w:r>
      <w:r w:rsidRPr="00D71B7F">
        <w:rPr>
          <w:rFonts w:ascii="Verdana" w:hAnsi="Verdana" w:cs="Arial"/>
          <w:sz w:val="16"/>
          <w:szCs w:val="16"/>
          <w:lang w:val="es-CO"/>
        </w:rPr>
        <w:t xml:space="preserve">11001-03-06-000-2013-00407-00 </w:t>
      </w:r>
      <w:r w:rsidRPr="00D71B7F">
        <w:rPr>
          <w:rFonts w:ascii="Verdana" w:hAnsi="Verdana" w:cs="Arial"/>
          <w:sz w:val="16"/>
          <w:szCs w:val="16"/>
        </w:rPr>
        <w:t xml:space="preserve">(2166). C.P. Álvaro Namén Vargas.  </w:t>
      </w:r>
    </w:p>
    <w:p w14:paraId="646272CF" w14:textId="77777777" w:rsidR="001B5535" w:rsidRPr="00D71B7F" w:rsidRDefault="001B5535" w:rsidP="001B5535">
      <w:pPr>
        <w:pStyle w:val="Textonotapie"/>
        <w:ind w:firstLine="709"/>
        <w:jc w:val="both"/>
        <w:rPr>
          <w:rFonts w:ascii="Verdana" w:hAnsi="Verdana" w:cs="Arial"/>
          <w:sz w:val="16"/>
          <w:szCs w:val="16"/>
        </w:rPr>
      </w:pPr>
    </w:p>
  </w:footnote>
  <w:footnote w:id="22">
    <w:p w14:paraId="2FDB6763" w14:textId="77777777" w:rsidR="001B5535" w:rsidRPr="00D71B7F" w:rsidRDefault="001B5535" w:rsidP="001B5535">
      <w:pPr>
        <w:spacing w:after="0" w:line="240" w:lineRule="auto"/>
        <w:ind w:firstLine="709"/>
        <w:jc w:val="both"/>
        <w:rPr>
          <w:rFonts w:ascii="Verdana" w:eastAsia="Times New Roman"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bookmarkStart w:id="5" w:name="33"/>
      <w:r w:rsidRPr="00D71B7F">
        <w:rPr>
          <w:rFonts w:ascii="Verdana" w:eastAsia="Calibri" w:hAnsi="Verdana" w:cs="Arial"/>
          <w:color w:val="000000"/>
          <w:sz w:val="16"/>
          <w:szCs w:val="16"/>
        </w:rPr>
        <w:t>“</w:t>
      </w:r>
      <w:r w:rsidRPr="00D71B7F">
        <w:rPr>
          <w:rFonts w:ascii="Verdana" w:eastAsia="Times New Roman" w:hAnsi="Verdana" w:cs="Arial"/>
          <w:sz w:val="16"/>
          <w:szCs w:val="16"/>
        </w:rPr>
        <w:t>Artículo 33. Restricciones a la contratación pública.</w:t>
      </w:r>
      <w:bookmarkEnd w:id="5"/>
      <w:r w:rsidRPr="00D71B7F">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0F1A01EE" w14:textId="77777777" w:rsidR="001B5535" w:rsidRPr="00D71B7F" w:rsidRDefault="001B5535" w:rsidP="001B5535">
      <w:pPr>
        <w:spacing w:after="0" w:line="240" w:lineRule="auto"/>
        <w:ind w:firstLine="709"/>
        <w:jc w:val="both"/>
        <w:rPr>
          <w:rFonts w:ascii="Verdana" w:eastAsia="Times New Roman" w:hAnsi="Verdana" w:cs="Arial"/>
          <w:sz w:val="16"/>
          <w:szCs w:val="16"/>
        </w:rPr>
      </w:pPr>
      <w:r w:rsidRPr="00D71B7F">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3C8CD71" w14:textId="77777777" w:rsidR="001B5535" w:rsidRPr="00D71B7F" w:rsidRDefault="001B5535" w:rsidP="001B5535">
      <w:pPr>
        <w:spacing w:after="0" w:line="240" w:lineRule="auto"/>
        <w:ind w:firstLine="709"/>
        <w:jc w:val="both"/>
        <w:rPr>
          <w:rFonts w:ascii="Verdana" w:eastAsia="Times New Roman" w:hAnsi="Verdana" w:cs="Arial"/>
          <w:sz w:val="16"/>
          <w:szCs w:val="16"/>
        </w:rPr>
      </w:pPr>
    </w:p>
  </w:footnote>
  <w:footnote w:id="23">
    <w:p w14:paraId="797E5AEA" w14:textId="77777777" w:rsidR="001B5535" w:rsidRPr="00D71B7F" w:rsidRDefault="001B5535" w:rsidP="001B5535">
      <w:pPr>
        <w:pStyle w:val="NormalWeb"/>
        <w:spacing w:before="0" w:beforeAutospacing="0" w:after="0" w:afterAutospacing="0"/>
        <w:ind w:firstLine="709"/>
        <w:jc w:val="both"/>
        <w:rPr>
          <w:rFonts w:ascii="Verdana" w:hAnsi="Verdana" w:cs="Arial"/>
          <w:sz w:val="16"/>
          <w:szCs w:val="16"/>
          <w:lang w:val="es-MX"/>
        </w:rPr>
      </w:pPr>
      <w:r w:rsidRPr="00D71B7F">
        <w:rPr>
          <w:rStyle w:val="Refdenotaalpie"/>
          <w:rFonts w:ascii="Verdana" w:eastAsiaTheme="majorEastAsia" w:hAnsi="Verdana" w:cs="Arial"/>
          <w:sz w:val="16"/>
          <w:szCs w:val="16"/>
        </w:rPr>
        <w:footnoteRef/>
      </w:r>
      <w:r w:rsidRPr="00D71B7F">
        <w:rPr>
          <w:rFonts w:ascii="Verdana" w:hAnsi="Verdana" w:cs="Arial"/>
          <w:sz w:val="16"/>
          <w:szCs w:val="16"/>
        </w:rPr>
        <w:t xml:space="preserve"> </w:t>
      </w:r>
      <w:bookmarkStart w:id="6" w:name="38"/>
      <w:r w:rsidRPr="00D71B7F">
        <w:rPr>
          <w:rFonts w:ascii="Verdana" w:eastAsia="Calibri" w:hAnsi="Verdana" w:cs="Arial"/>
          <w:color w:val="000000"/>
          <w:sz w:val="16"/>
          <w:szCs w:val="16"/>
        </w:rPr>
        <w:t>“</w:t>
      </w:r>
      <w:r w:rsidRPr="00D71B7F">
        <w:rPr>
          <w:rFonts w:ascii="Verdana" w:hAnsi="Verdana" w:cs="Arial"/>
          <w:sz w:val="16"/>
          <w:szCs w:val="16"/>
          <w:lang w:val="es-MX"/>
        </w:rPr>
        <w:t>Artículo 38. Prohibiciones para los servidores públicos. A los empleados del Estado les está prohibido:</w:t>
      </w:r>
      <w:bookmarkEnd w:id="6"/>
    </w:p>
    <w:p w14:paraId="7F72AE60" w14:textId="77777777" w:rsidR="001B5535" w:rsidRPr="00D71B7F" w:rsidRDefault="001B5535" w:rsidP="001B5535">
      <w:pPr>
        <w:pStyle w:val="NormalWeb"/>
        <w:spacing w:before="0" w:beforeAutospacing="0" w:after="0" w:afterAutospacing="0"/>
        <w:ind w:firstLine="709"/>
        <w:jc w:val="both"/>
        <w:rPr>
          <w:rFonts w:ascii="Verdana" w:hAnsi="Verdana" w:cs="Arial"/>
          <w:sz w:val="16"/>
          <w:szCs w:val="16"/>
          <w:lang w:val="es-MX"/>
        </w:rPr>
      </w:pPr>
      <w:r w:rsidRPr="00D71B7F">
        <w:rPr>
          <w:rFonts w:ascii="Verdana" w:hAnsi="Verdana" w:cs="Arial"/>
          <w:sz w:val="16"/>
          <w:szCs w:val="16"/>
          <w:lang w:val="es-MX"/>
        </w:rPr>
        <w:t>(…)</w:t>
      </w:r>
    </w:p>
    <w:p w14:paraId="6D98A450" w14:textId="77777777" w:rsidR="001B5535" w:rsidRPr="00D71B7F" w:rsidRDefault="001B5535" w:rsidP="001B5535">
      <w:pPr>
        <w:pStyle w:val="NormalWeb"/>
        <w:spacing w:before="0" w:beforeAutospacing="0" w:after="0" w:afterAutospacing="0"/>
        <w:ind w:firstLine="709"/>
        <w:jc w:val="both"/>
        <w:rPr>
          <w:rFonts w:ascii="Verdana" w:eastAsia="Calibri" w:hAnsi="Verdana" w:cs="Arial"/>
          <w:color w:val="000000"/>
          <w:sz w:val="16"/>
          <w:szCs w:val="16"/>
        </w:rPr>
      </w:pPr>
      <w:r w:rsidRPr="00D71B7F">
        <w:rPr>
          <w:rStyle w:val="baj"/>
          <w:rFonts w:ascii="Verdana" w:hAnsi="Verdana" w:cs="Arial"/>
          <w:sz w:val="16"/>
          <w:szCs w:val="16"/>
          <w:lang w:val="es-MX"/>
        </w:rPr>
        <w:t>Parágrafo.</w:t>
      </w:r>
      <w:r w:rsidRPr="00D71B7F">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71B7F">
        <w:rPr>
          <w:rFonts w:ascii="Verdana" w:eastAsia="Calibri" w:hAnsi="Verdana" w:cs="Arial"/>
          <w:color w:val="000000"/>
          <w:sz w:val="16"/>
          <w:szCs w:val="16"/>
        </w:rPr>
        <w:t>”.</w:t>
      </w:r>
    </w:p>
    <w:p w14:paraId="13E4929E" w14:textId="77777777" w:rsidR="001B5535" w:rsidRPr="00D71B7F" w:rsidRDefault="001B5535" w:rsidP="001B5535">
      <w:pPr>
        <w:pStyle w:val="NormalWeb"/>
        <w:spacing w:before="0" w:beforeAutospacing="0" w:after="0" w:afterAutospacing="0"/>
        <w:ind w:firstLine="709"/>
        <w:jc w:val="both"/>
        <w:rPr>
          <w:rFonts w:ascii="Verdana" w:hAnsi="Verdana" w:cs="Arial"/>
          <w:sz w:val="16"/>
          <w:szCs w:val="16"/>
          <w:lang w:val="es-MX"/>
        </w:rPr>
      </w:pPr>
    </w:p>
  </w:footnote>
  <w:footnote w:id="24">
    <w:p w14:paraId="42D96D1F" w14:textId="77777777" w:rsidR="001B5535" w:rsidRPr="00D71B7F" w:rsidRDefault="001B5535" w:rsidP="001B5535">
      <w:pPr>
        <w:tabs>
          <w:tab w:val="left" w:pos="2127"/>
        </w:tabs>
        <w:spacing w:after="0" w:line="240" w:lineRule="auto"/>
        <w:ind w:left="100" w:right="244"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17 de febrero de 2015. Radicado: 11001-03-06-000-2015-00164-00 (2269). C.P. William Zambrano Cetina.</w:t>
      </w:r>
    </w:p>
    <w:p w14:paraId="2A3C212B" w14:textId="77777777" w:rsidR="001B5535" w:rsidRPr="00D71B7F" w:rsidRDefault="001B5535" w:rsidP="001B5535">
      <w:pPr>
        <w:spacing w:after="0" w:line="240" w:lineRule="auto"/>
        <w:ind w:left="100" w:right="244" w:firstLine="709"/>
        <w:jc w:val="both"/>
        <w:rPr>
          <w:rFonts w:ascii="Verdana" w:hAnsi="Verdana" w:cs="Arial"/>
          <w:sz w:val="16"/>
          <w:szCs w:val="16"/>
          <w:lang w:val="es-ES"/>
        </w:rPr>
      </w:pPr>
    </w:p>
  </w:footnote>
  <w:footnote w:id="25">
    <w:p w14:paraId="5FD13F78" w14:textId="77777777" w:rsidR="001B5535" w:rsidRPr="00D71B7F" w:rsidRDefault="001B5535" w:rsidP="001B5535">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sz w:val="16"/>
          <w:szCs w:val="16"/>
          <w:lang w:val="es-ES"/>
        </w:rPr>
        <w:t xml:space="preserve">[25] </w:t>
      </w:r>
      <w:r w:rsidRPr="00D71B7F">
        <w:rPr>
          <w:rFonts w:ascii="Verdana" w:hAnsi="Verdana" w:cs="Arial"/>
          <w:sz w:val="16"/>
          <w:szCs w:val="16"/>
        </w:rPr>
        <w:t>Cfr. Consejo de Estado. Sección Tercera. Sentencia de 3 de diciembre de 2007. Radicados: 24.715, 25.206, 25.409, 24.524, 27.834, 25.410, 26.105, 28.244, 31.447 -acumulados</w:t>
      </w:r>
      <w:proofErr w:type="gramStart"/>
      <w:r w:rsidRPr="00D71B7F">
        <w:rPr>
          <w:rFonts w:ascii="Verdana" w:hAnsi="Verdana" w:cs="Arial"/>
          <w:sz w:val="16"/>
          <w:szCs w:val="16"/>
        </w:rPr>
        <w:t>-“</w:t>
      </w:r>
      <w:proofErr w:type="gramEnd"/>
      <w:r w:rsidRPr="00D71B7F">
        <w:rPr>
          <w:rFonts w:ascii="Verdana" w:hAnsi="Verdana" w:cs="Arial"/>
          <w:sz w:val="16"/>
          <w:szCs w:val="16"/>
        </w:rPr>
        <w:t>.</w:t>
      </w:r>
    </w:p>
    <w:p w14:paraId="797CB80E" w14:textId="77777777" w:rsidR="001B5535" w:rsidRPr="00D71B7F" w:rsidRDefault="001B5535" w:rsidP="001B5535">
      <w:pPr>
        <w:pStyle w:val="Textonotapie"/>
        <w:ind w:firstLine="709"/>
        <w:jc w:val="both"/>
        <w:rPr>
          <w:rFonts w:ascii="Verdana" w:hAnsi="Verdana" w:cs="Arial"/>
          <w:sz w:val="16"/>
          <w:szCs w:val="16"/>
        </w:rPr>
      </w:pPr>
    </w:p>
  </w:footnote>
  <w:footnote w:id="26">
    <w:p w14:paraId="40ADECA5" w14:textId="77777777" w:rsidR="001B5535" w:rsidRPr="00D71B7F" w:rsidRDefault="001B5535" w:rsidP="001B5535">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bookmarkStart w:id="14" w:name="_Hlk74294506"/>
      <w:r w:rsidRPr="00D71B7F">
        <w:rPr>
          <w:rFonts w:ascii="Verdana" w:hAnsi="Verdana" w:cs="Arial"/>
          <w:sz w:val="16"/>
          <w:szCs w:val="16"/>
        </w:rPr>
        <w:t>“</w:t>
      </w:r>
      <w:r w:rsidRPr="00D71B7F">
        <w:rPr>
          <w:rFonts w:ascii="Verdana" w:hAnsi="Verdana" w:cs="Arial"/>
          <w:sz w:val="16"/>
          <w:szCs w:val="16"/>
          <w:lang w:val="es-ES"/>
        </w:rPr>
        <w:t xml:space="preserve">[26] </w:t>
      </w:r>
      <w:bookmarkEnd w:id="14"/>
      <w:r w:rsidRPr="00D71B7F">
        <w:rPr>
          <w:rFonts w:ascii="Verdana" w:hAnsi="Verdana" w:cs="Arial"/>
          <w:sz w:val="16"/>
          <w:szCs w:val="16"/>
        </w:rPr>
        <w:t>Al respecto ver el concepto 1712 de 2 de febrero de 2006. Consejo de Estado Sala de Consulta y Servicio Civil”.</w:t>
      </w:r>
    </w:p>
    <w:p w14:paraId="6B5C3DA5" w14:textId="77777777" w:rsidR="001B5535" w:rsidRPr="00D71B7F" w:rsidRDefault="001B5535" w:rsidP="001B5535">
      <w:pPr>
        <w:pStyle w:val="Textonotapie"/>
        <w:ind w:firstLine="709"/>
        <w:jc w:val="both"/>
        <w:rPr>
          <w:rFonts w:ascii="Verdana" w:hAnsi="Verdana" w:cs="Arial"/>
          <w:sz w:val="16"/>
          <w:szCs w:val="16"/>
        </w:rPr>
      </w:pPr>
    </w:p>
  </w:footnote>
  <w:footnote w:id="27">
    <w:p w14:paraId="4CB5DCA0" w14:textId="77777777" w:rsidR="001B5535" w:rsidRPr="00D71B7F" w:rsidRDefault="001B5535" w:rsidP="001B5535">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2 de septiembre de 2013. Radicación número: 11001-03-06-000-2013-00412-00 (2168). C.P: Álvaro Namén Vargas.</w:t>
      </w:r>
    </w:p>
    <w:p w14:paraId="77DDBF5D" w14:textId="77777777" w:rsidR="001B5535" w:rsidRPr="00D71B7F" w:rsidRDefault="001B5535" w:rsidP="001B5535">
      <w:pPr>
        <w:pStyle w:val="Textonotapie"/>
        <w:ind w:firstLine="709"/>
        <w:jc w:val="both"/>
        <w:rPr>
          <w:rFonts w:ascii="Verdana" w:hAnsi="Verdana" w:cs="Arial"/>
          <w:sz w:val="16"/>
          <w:szCs w:val="16"/>
        </w:rPr>
      </w:pPr>
    </w:p>
  </w:footnote>
  <w:footnote w:id="28">
    <w:p w14:paraId="11033971" w14:textId="77777777" w:rsidR="001B5535" w:rsidRPr="00D71B7F" w:rsidRDefault="001B5535" w:rsidP="001B5535">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sz w:val="16"/>
          <w:szCs w:val="16"/>
          <w:lang w:val="es-ES"/>
        </w:rPr>
        <w:t xml:space="preserve">Artículo 2. </w:t>
      </w:r>
    </w:p>
    <w:p w14:paraId="43BF51D5" w14:textId="77777777" w:rsidR="001B5535" w:rsidRPr="00D71B7F" w:rsidRDefault="001B5535" w:rsidP="001B5535">
      <w:pPr>
        <w:pStyle w:val="Textonotapie"/>
        <w:ind w:firstLine="709"/>
        <w:rPr>
          <w:rFonts w:ascii="Verdana" w:hAnsi="Verdana" w:cs="Arial"/>
          <w:sz w:val="16"/>
          <w:szCs w:val="16"/>
          <w:lang w:val="es-ES"/>
        </w:rPr>
      </w:pPr>
    </w:p>
  </w:footnote>
  <w:footnote w:id="29">
    <w:p w14:paraId="1DB3318C" w14:textId="77777777" w:rsidR="001B5535" w:rsidRPr="00D71B7F" w:rsidRDefault="001B5535" w:rsidP="001B5535">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i/>
          <w:sz w:val="16"/>
          <w:szCs w:val="16"/>
          <w:lang w:val="es-ES"/>
        </w:rPr>
        <w:t>Ídem</w:t>
      </w:r>
      <w:r w:rsidRPr="00D71B7F">
        <w:rPr>
          <w:rFonts w:ascii="Verdana" w:hAnsi="Verdana" w:cs="Arial"/>
          <w:sz w:val="16"/>
          <w:szCs w:val="16"/>
          <w:lang w:val="es-ES"/>
        </w:rPr>
        <w:t>.</w:t>
      </w:r>
    </w:p>
    <w:p w14:paraId="7E80812D" w14:textId="77777777" w:rsidR="001B5535" w:rsidRPr="00D71B7F" w:rsidRDefault="001B5535" w:rsidP="001B5535">
      <w:pPr>
        <w:pStyle w:val="Textonotapie"/>
        <w:ind w:firstLine="709"/>
        <w:rPr>
          <w:rFonts w:ascii="Verdana" w:hAnsi="Verdana" w:cs="Arial"/>
          <w:sz w:val="16"/>
          <w:szCs w:val="16"/>
          <w:lang w:val="es-ES"/>
        </w:rPr>
      </w:pPr>
    </w:p>
  </w:footnote>
  <w:footnote w:id="30">
    <w:p w14:paraId="22E899D4" w14:textId="77777777" w:rsidR="001B5535" w:rsidRPr="00D71B7F" w:rsidRDefault="001B5535" w:rsidP="001B5535">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Style w:val="Refdenotaalpie"/>
          <w:rFonts w:ascii="Verdana" w:hAnsi="Verdana" w:cs="Arial"/>
          <w:sz w:val="16"/>
          <w:szCs w:val="16"/>
        </w:rPr>
        <w:t xml:space="preserve"> </w:t>
      </w:r>
      <w:r w:rsidRPr="00D71B7F">
        <w:rPr>
          <w:rFonts w:ascii="Verdana" w:hAnsi="Verdana" w:cs="Arial"/>
          <w:sz w:val="16"/>
          <w:szCs w:val="16"/>
          <w:lang w:val="es-ES"/>
        </w:rPr>
        <w:t xml:space="preserve">[…] A este respecto, cabe recordar que el artículo 860 del Código de Comercio regula la licitación en el derecho privado. </w:t>
      </w:r>
    </w:p>
    <w:p w14:paraId="506224DE" w14:textId="77777777" w:rsidR="001B5535" w:rsidRPr="00D71B7F" w:rsidRDefault="001B5535" w:rsidP="001B5535">
      <w:pPr>
        <w:pStyle w:val="Textonotapie"/>
        <w:ind w:firstLine="709"/>
        <w:rPr>
          <w:rFonts w:ascii="Verdana" w:hAnsi="Verdana" w:cs="Arial"/>
          <w:sz w:val="16"/>
          <w:szCs w:val="16"/>
          <w:lang w:val="es-ES"/>
        </w:rPr>
      </w:pPr>
    </w:p>
  </w:footnote>
  <w:footnote w:id="31">
    <w:p w14:paraId="602D4418" w14:textId="77777777" w:rsidR="001B5535" w:rsidRPr="00D71B7F" w:rsidRDefault="001B5535" w:rsidP="001B5535">
      <w:pPr>
        <w:shd w:val="clear" w:color="auto" w:fill="FFFFFF"/>
        <w:spacing w:after="0" w:line="240" w:lineRule="auto"/>
        <w:ind w:firstLine="709"/>
        <w:jc w:val="both"/>
        <w:rPr>
          <w:rFonts w:ascii="Verdana" w:hAnsi="Verdana" w:cs="Arial"/>
          <w:sz w:val="16"/>
          <w:szCs w:val="16"/>
          <w:lang w:val="es-ES"/>
        </w:rPr>
      </w:pPr>
      <w:r w:rsidRPr="00D71B7F">
        <w:rPr>
          <w:rStyle w:val="Refdenotaalpie"/>
          <w:rFonts w:ascii="Verdana" w:hAnsi="Verdana" w:cs="Arial"/>
          <w:sz w:val="16"/>
          <w:szCs w:val="16"/>
        </w:rPr>
        <w:footnoteRef/>
      </w:r>
      <w:r w:rsidRPr="00D71B7F">
        <w:rPr>
          <w:rStyle w:val="Refdenotaalpie"/>
          <w:rFonts w:ascii="Verdana" w:hAnsi="Verdana" w:cs="Arial"/>
          <w:sz w:val="16"/>
          <w:szCs w:val="16"/>
        </w:rPr>
        <w:t xml:space="preserve"> </w:t>
      </w:r>
      <w:r w:rsidRPr="00D71B7F">
        <w:rPr>
          <w:rFonts w:ascii="Verdana" w:hAnsi="Verdana" w:cs="Arial"/>
          <w:sz w:val="16"/>
          <w:szCs w:val="16"/>
          <w:lang w:val="es-ES"/>
        </w:rPr>
        <w:t>Consejo de Estado. Sala de Consulta y Servicio Civil, Concepto de 8 de mayo de 2018. Radicación Número: 11001-03-06-000-2018-00095-00 (2382). C.P: Álvaro Namén Vargas.</w:t>
      </w:r>
    </w:p>
    <w:p w14:paraId="439A38B1" w14:textId="77777777" w:rsidR="001B5535" w:rsidRPr="00D71B7F" w:rsidRDefault="001B5535" w:rsidP="001B5535">
      <w:pPr>
        <w:shd w:val="clear" w:color="auto" w:fill="FFFFFF"/>
        <w:spacing w:after="0" w:line="240" w:lineRule="auto"/>
        <w:ind w:firstLine="709"/>
        <w:jc w:val="both"/>
        <w:rPr>
          <w:rFonts w:ascii="Verdana" w:hAnsi="Verdana" w:cs="Arial"/>
          <w:sz w:val="16"/>
          <w:szCs w:val="16"/>
          <w:lang w:val="es-ES"/>
        </w:rPr>
      </w:pPr>
    </w:p>
  </w:footnote>
  <w:footnote w:id="32">
    <w:p w14:paraId="0E7DAE54" w14:textId="77777777" w:rsidR="001B5535" w:rsidRPr="00D71B7F" w:rsidRDefault="001B5535" w:rsidP="001B5535">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08 de mayo de 2018. </w:t>
      </w:r>
      <w:proofErr w:type="spellStart"/>
      <w:r w:rsidRPr="00D71B7F">
        <w:rPr>
          <w:rFonts w:ascii="Verdana" w:hAnsi="Verdana" w:cs="Arial"/>
          <w:sz w:val="16"/>
          <w:szCs w:val="16"/>
        </w:rPr>
        <w:t>Exp</w:t>
      </w:r>
      <w:proofErr w:type="spellEnd"/>
      <w:r w:rsidRPr="00D71B7F">
        <w:rPr>
          <w:rFonts w:ascii="Verdana" w:hAnsi="Verdana" w:cs="Arial"/>
          <w:sz w:val="16"/>
          <w:szCs w:val="16"/>
        </w:rPr>
        <w:t>. 2.382. C.P. Álvaro Namén Vargas.</w:t>
      </w:r>
    </w:p>
    <w:p w14:paraId="06957FB2" w14:textId="77777777" w:rsidR="001B5535" w:rsidRPr="00D71B7F" w:rsidRDefault="001B5535" w:rsidP="001B5535">
      <w:pPr>
        <w:pStyle w:val="Textonotapie"/>
        <w:ind w:firstLine="709"/>
        <w:jc w:val="both"/>
        <w:rPr>
          <w:rFonts w:ascii="Verdana" w:hAnsi="Verdana" w:cs="Arial"/>
          <w:sz w:val="16"/>
          <w:szCs w:val="16"/>
        </w:rPr>
      </w:pPr>
    </w:p>
  </w:footnote>
  <w:footnote w:id="33">
    <w:p w14:paraId="30508577" w14:textId="77777777" w:rsidR="001B5535" w:rsidRPr="00D71B7F" w:rsidRDefault="001B5535" w:rsidP="001B5535">
      <w:pPr>
        <w:pStyle w:val="Textonotapie"/>
        <w:ind w:firstLine="709"/>
        <w:jc w:val="both"/>
        <w:rPr>
          <w:rFonts w:ascii="Verdana" w:hAnsi="Verdana"/>
          <w:sz w:val="16"/>
          <w:szCs w:val="16"/>
          <w:lang w:val="es-ES"/>
        </w:rPr>
      </w:pPr>
      <w:r w:rsidRPr="00D71B7F">
        <w:rPr>
          <w:rStyle w:val="Refdenotaalpie"/>
          <w:rFonts w:ascii="Verdana" w:hAnsi="Verdana"/>
          <w:sz w:val="16"/>
          <w:szCs w:val="16"/>
        </w:rPr>
        <w:footnoteRef/>
      </w:r>
      <w:r w:rsidRPr="00D71B7F">
        <w:rPr>
          <w:rFonts w:ascii="Verdana" w:hAnsi="Verdana"/>
          <w:sz w:val="16"/>
          <w:szCs w:val="16"/>
        </w:rPr>
        <w:t xml:space="preserve"> </w:t>
      </w:r>
      <w:r w:rsidRPr="00D71B7F">
        <w:rPr>
          <w:rFonts w:ascii="Verdana" w:hAnsi="Verdana"/>
          <w:sz w:val="16"/>
          <w:szCs w:val="16"/>
          <w:lang w:val="es-ES"/>
        </w:rPr>
        <w:t xml:space="preserve">Agencia Nacional de Contratación Pública. Circular Externa 006 del 25 de septiembre de 2025. Disponible en </w:t>
      </w:r>
      <w:hyperlink r:id="rId2" w:history="1">
        <w:r w:rsidRPr="00D71B7F">
          <w:rPr>
            <w:rStyle w:val="Hipervnculo"/>
            <w:rFonts w:ascii="Verdana" w:hAnsi="Verdana"/>
            <w:sz w:val="16"/>
            <w:szCs w:val="16"/>
            <w:lang w:val="es-CO"/>
          </w:rPr>
          <w:t>006-de-2025-Circular-Externa-L996-ajustado-comentarios-BM-BID-Rev-ARSC-V3.d-1.pdf</w:t>
        </w:r>
      </w:hyperlink>
    </w:p>
    <w:p w14:paraId="1C1CE9BE" w14:textId="77777777" w:rsidR="001B5535" w:rsidRPr="00D71B7F" w:rsidRDefault="001B5535" w:rsidP="001B5535">
      <w:pPr>
        <w:pStyle w:val="Textonotapie"/>
        <w:rPr>
          <w:rFonts w:ascii="Verdana" w:hAnsi="Verdana"/>
          <w:sz w:val="16"/>
          <w:szCs w:val="16"/>
          <w:lang w:val="es-ES"/>
        </w:rPr>
      </w:pPr>
    </w:p>
  </w:footnote>
  <w:footnote w:id="34">
    <w:p w14:paraId="1C3FEAC1" w14:textId="77777777" w:rsidR="001B5535" w:rsidRPr="00D71B7F" w:rsidRDefault="001B5535" w:rsidP="001B5535">
      <w:pPr>
        <w:spacing w:after="0" w:line="240" w:lineRule="auto"/>
        <w:ind w:firstLine="709"/>
        <w:jc w:val="both"/>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5B1DA196" w14:textId="77777777" w:rsidR="001B5535" w:rsidRPr="00D71B7F" w:rsidRDefault="001B5535" w:rsidP="001B5535">
      <w:pPr>
        <w:spacing w:after="0" w:line="240" w:lineRule="auto"/>
        <w:ind w:firstLine="709"/>
        <w:jc w:val="both"/>
        <w:rPr>
          <w:rFonts w:ascii="Verdana" w:hAnsi="Verdana" w:cs="Arial"/>
          <w:color w:val="000000" w:themeColor="text1"/>
          <w:sz w:val="16"/>
          <w:szCs w:val="16"/>
        </w:rPr>
      </w:pPr>
    </w:p>
  </w:footnote>
  <w:footnote w:id="35">
    <w:p w14:paraId="1ACCEF88" w14:textId="77777777" w:rsidR="001B5535" w:rsidRPr="00D71B7F" w:rsidRDefault="001B5535" w:rsidP="001B5535">
      <w:pPr>
        <w:pStyle w:val="Textonotapie"/>
        <w:ind w:firstLine="709"/>
        <w:jc w:val="both"/>
        <w:rPr>
          <w:rFonts w:ascii="Verdana" w:eastAsia="Times New Roman" w:hAnsi="Verdana" w:cs="Arial"/>
          <w:color w:val="000000" w:themeColor="text1"/>
          <w:sz w:val="16"/>
          <w:szCs w:val="16"/>
          <w:lang w:eastAsia="x-none"/>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6 de abril de 2006. Radicación Número: 11001-03-06-000-2006-00038-00 (1738). C.P: Enrique José Arboleda Perdomo:</w:t>
      </w:r>
      <w:r w:rsidRPr="00D71B7F">
        <w:rPr>
          <w:rFonts w:ascii="Verdana" w:eastAsia="Times New Roman" w:hAnsi="Verdana" w:cs="Arial"/>
          <w:color w:val="000000" w:themeColor="text1"/>
          <w:sz w:val="16"/>
          <w:szCs w:val="16"/>
          <w:lang w:eastAsia="x-none"/>
        </w:rPr>
        <w:t xml:space="preserve"> </w:t>
      </w:r>
      <w:bookmarkStart w:id="18" w:name="_Hlk97890572"/>
      <w:r w:rsidRPr="00D71B7F">
        <w:rPr>
          <w:rFonts w:ascii="Verdana" w:eastAsia="Times New Roman" w:hAnsi="Verdana" w:cs="Arial"/>
          <w:color w:val="000000" w:themeColor="text1"/>
          <w:sz w:val="16"/>
          <w:szCs w:val="16"/>
          <w:lang w:eastAsia="x-none"/>
        </w:rPr>
        <w:t>“</w:t>
      </w:r>
      <w:r w:rsidRPr="00D71B7F">
        <w:rPr>
          <w:rFonts w:ascii="Verdana" w:hAnsi="Verdana" w:cs="Arial"/>
          <w:color w:val="000000" w:themeColor="text1"/>
          <w:sz w:val="16"/>
          <w:szCs w:val="16"/>
        </w:rPr>
        <w:t xml:space="preserve">Si bien en el tema del concepto del que se extractaron </w:t>
      </w:r>
      <w:bookmarkEnd w:id="18"/>
      <w:r w:rsidRPr="00D71B7F">
        <w:rPr>
          <w:rFonts w:ascii="Verdana" w:hAnsi="Verdana" w:cs="Arial"/>
          <w:color w:val="000000" w:themeColor="text1"/>
          <w:sz w:val="16"/>
          <w:szCs w:val="16"/>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D71B7F">
        <w:rPr>
          <w:rFonts w:ascii="Verdana" w:eastAsia="Times New Roman" w:hAnsi="Verdana" w:cs="Arial"/>
          <w:color w:val="000000" w:themeColor="text1"/>
          <w:sz w:val="16"/>
          <w:szCs w:val="16"/>
          <w:lang w:eastAsia="x-none"/>
        </w:rPr>
        <w:t>”.</w:t>
      </w:r>
    </w:p>
    <w:p w14:paraId="430DE76F" w14:textId="77777777" w:rsidR="001B5535" w:rsidRPr="00D71B7F" w:rsidRDefault="001B5535" w:rsidP="001B5535">
      <w:pPr>
        <w:pStyle w:val="Textonotapie"/>
        <w:ind w:firstLine="709"/>
        <w:jc w:val="both"/>
        <w:rPr>
          <w:rFonts w:ascii="Verdana" w:hAnsi="Verdana" w:cs="Arial"/>
          <w:color w:val="000000" w:themeColor="text1"/>
          <w:sz w:val="16"/>
          <w:szCs w:val="16"/>
        </w:rPr>
      </w:pPr>
    </w:p>
  </w:footnote>
  <w:footnote w:id="36">
    <w:p w14:paraId="07745B8E" w14:textId="77777777" w:rsidR="001B5535" w:rsidRPr="00D71B7F" w:rsidRDefault="001B5535" w:rsidP="001B5535">
      <w:pPr>
        <w:spacing w:after="0" w:line="240" w:lineRule="auto"/>
        <w:ind w:firstLine="709"/>
        <w:jc w:val="both"/>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6 de abril de 2006. Radicación Número: 11001-03-06-000-2006-00038-00(1738). C.P: Enrique José Arboleda Perdomo. </w:t>
      </w:r>
    </w:p>
    <w:p w14:paraId="15E8FBFA" w14:textId="77777777" w:rsidR="001B5535" w:rsidRPr="00D71B7F" w:rsidRDefault="001B5535" w:rsidP="001B5535">
      <w:pPr>
        <w:spacing w:after="0" w:line="240" w:lineRule="auto"/>
        <w:ind w:firstLine="709"/>
        <w:jc w:val="both"/>
        <w:rPr>
          <w:rFonts w:ascii="Verdana" w:hAnsi="Verdana" w:cs="Arial"/>
          <w:color w:val="000000" w:themeColor="text1"/>
          <w:sz w:val="16"/>
          <w:szCs w:val="16"/>
        </w:rPr>
      </w:pPr>
    </w:p>
  </w:footnote>
  <w:footnote w:id="37">
    <w:p w14:paraId="261771CD" w14:textId="77777777" w:rsidR="001B5535" w:rsidRPr="00D71B7F" w:rsidRDefault="001B5535" w:rsidP="001B5535">
      <w:pPr>
        <w:pStyle w:val="Textonotapie"/>
        <w:ind w:firstLine="709"/>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ídem.</w:t>
      </w:r>
    </w:p>
    <w:p w14:paraId="6C757FFD" w14:textId="77777777" w:rsidR="001B5535" w:rsidRPr="00D71B7F" w:rsidRDefault="001B5535" w:rsidP="001B5535">
      <w:pPr>
        <w:pStyle w:val="Textonotapie"/>
        <w:ind w:firstLine="709"/>
        <w:rPr>
          <w:rFonts w:ascii="Verdana" w:hAnsi="Verdana" w:cs="Arial"/>
          <w:color w:val="000000" w:themeColor="text1"/>
          <w:sz w:val="16"/>
          <w:szCs w:val="16"/>
        </w:rPr>
      </w:pPr>
    </w:p>
  </w:footnote>
  <w:footnote w:id="38">
    <w:p w14:paraId="72BC07CA" w14:textId="77777777" w:rsidR="001B5535" w:rsidRPr="00D71B7F" w:rsidRDefault="001B5535" w:rsidP="001B5535">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proofErr w:type="spellStart"/>
      <w:r w:rsidRPr="00D71B7F">
        <w:rPr>
          <w:rFonts w:ascii="Verdana" w:hAnsi="Verdana" w:cs="Arial"/>
          <w:sz w:val="16"/>
          <w:szCs w:val="16"/>
        </w:rPr>
        <w:t>N°</w:t>
      </w:r>
      <w:proofErr w:type="spellEnd"/>
      <w:r w:rsidRPr="00D71B7F">
        <w:rPr>
          <w:rFonts w:ascii="Verdana" w:hAnsi="Verdana" w:cs="Arial"/>
          <w:sz w:val="16"/>
          <w:szCs w:val="16"/>
        </w:rPr>
        <w:t xml:space="preserve"> 216/05 Senado, </w:t>
      </w:r>
      <w:proofErr w:type="spellStart"/>
      <w:r w:rsidRPr="00D71B7F">
        <w:rPr>
          <w:rFonts w:ascii="Verdana" w:hAnsi="Verdana" w:cs="Arial"/>
          <w:sz w:val="16"/>
          <w:szCs w:val="16"/>
        </w:rPr>
        <w:t>N°</w:t>
      </w:r>
      <w:proofErr w:type="spellEnd"/>
      <w:r w:rsidRPr="00D71B7F">
        <w:rPr>
          <w:rFonts w:ascii="Verdana" w:hAnsi="Verdana" w:cs="Arial"/>
          <w:sz w:val="16"/>
          <w:szCs w:val="16"/>
        </w:rPr>
        <w:t xml:space="preserve"> 235-Cámara que dio lugar a la Ley de Garantías Electorales.</w:t>
      </w:r>
    </w:p>
    <w:p w14:paraId="3283CC64" w14:textId="77777777" w:rsidR="001B5535" w:rsidRPr="00D71B7F" w:rsidRDefault="001B5535" w:rsidP="001B5535">
      <w:pPr>
        <w:pStyle w:val="Textonotapie"/>
        <w:ind w:firstLine="709"/>
        <w:jc w:val="both"/>
        <w:rPr>
          <w:rFonts w:ascii="Verdana" w:hAnsi="Verdana" w:cs="Arial"/>
          <w:sz w:val="16"/>
          <w:szCs w:val="16"/>
        </w:rPr>
      </w:pPr>
    </w:p>
  </w:footnote>
  <w:footnote w:id="39">
    <w:p w14:paraId="0544E37C" w14:textId="77777777" w:rsidR="001B5535" w:rsidRPr="00D71B7F" w:rsidRDefault="001B5535" w:rsidP="001B5535">
      <w:pPr>
        <w:pStyle w:val="Textonotapie"/>
        <w:ind w:firstLine="708"/>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18 de febrero 2010. Rad. 11001-03-06-000-2010-00006-00 (1985). C.P. Enrique José Arboleda Perdomo.</w:t>
      </w:r>
    </w:p>
    <w:p w14:paraId="3ED7C6A4" w14:textId="77777777" w:rsidR="001B5535" w:rsidRPr="00D71B7F" w:rsidRDefault="001B5535" w:rsidP="001B5535">
      <w:pPr>
        <w:pStyle w:val="Textonotapie"/>
        <w:ind w:firstLine="708"/>
        <w:jc w:val="both"/>
        <w:rPr>
          <w:rFonts w:ascii="Verdana" w:hAnsi="Verdana" w:cs="Arial"/>
          <w:sz w:val="16"/>
          <w:szCs w:val="16"/>
        </w:rPr>
      </w:pPr>
    </w:p>
  </w:footnote>
  <w:footnote w:id="40">
    <w:p w14:paraId="76EC5D10" w14:textId="77777777" w:rsidR="001B5535" w:rsidRPr="00D71B7F" w:rsidRDefault="001B5535" w:rsidP="001B5535">
      <w:pPr>
        <w:pStyle w:val="Textonotapie"/>
        <w:ind w:firstLine="708"/>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Corte Constitucional. Sentencia C-1153 de 2005 M.P. Marco Gerardo Monroy Cabra. </w:t>
      </w:r>
    </w:p>
    <w:p w14:paraId="64BB26B2" w14:textId="77777777" w:rsidR="001B5535" w:rsidRPr="00D71B7F" w:rsidRDefault="001B5535" w:rsidP="001B5535">
      <w:pPr>
        <w:pStyle w:val="Textonotapie"/>
        <w:ind w:firstLine="708"/>
        <w:jc w:val="both"/>
        <w:rPr>
          <w:rFonts w:ascii="Verdana" w:hAnsi="Verdana" w:cs="Arial"/>
          <w:sz w:val="16"/>
          <w:szCs w:val="16"/>
        </w:rPr>
      </w:pPr>
    </w:p>
  </w:footnote>
  <w:footnote w:id="41">
    <w:p w14:paraId="7AC86C7A" w14:textId="77777777" w:rsidR="001B5535" w:rsidRPr="00D71B7F" w:rsidRDefault="001B5535" w:rsidP="001B5535">
      <w:pPr>
        <w:pStyle w:val="Textonotapie"/>
        <w:ind w:firstLine="708"/>
        <w:jc w:val="both"/>
        <w:rPr>
          <w:rFonts w:ascii="Verdana" w:hAnsi="Verdana"/>
          <w:sz w:val="16"/>
          <w:szCs w:val="16"/>
          <w:lang w:val="es-CO"/>
        </w:rPr>
      </w:pPr>
      <w:r w:rsidRPr="00D71B7F">
        <w:rPr>
          <w:rStyle w:val="Refdenotaalpie"/>
          <w:rFonts w:ascii="Verdana" w:hAnsi="Verdana"/>
          <w:sz w:val="16"/>
          <w:szCs w:val="16"/>
        </w:rPr>
        <w:footnoteRef/>
      </w:r>
      <w:r w:rsidRPr="00D71B7F">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D71B7F">
        <w:rPr>
          <w:rFonts w:ascii="Verdana" w:hAnsi="Verdana"/>
          <w:i/>
          <w:sz w:val="16"/>
          <w:szCs w:val="16"/>
        </w:rPr>
        <w:t>las palabras de la ley se entenderán en su sentido natural y obvio, según el uso general de las mismas palabras</w:t>
      </w:r>
      <w:r w:rsidRPr="00D71B7F">
        <w:rPr>
          <w:rFonts w:ascii="Verdana" w:hAnsi="Verdana"/>
          <w:sz w:val="16"/>
          <w:szCs w:val="16"/>
        </w:rPr>
        <w:t>’, es decir, el uso de la gente educada. El Diccionario de la Lengua publicado por la Real Academia Española goza a este respecto de gran autoridad. ‘</w:t>
      </w:r>
      <w:r w:rsidRPr="00D71B7F">
        <w:rPr>
          <w:rFonts w:ascii="Verdana" w:hAnsi="Verdana"/>
          <w:i/>
          <w:sz w:val="16"/>
          <w:szCs w:val="16"/>
        </w:rPr>
        <w:t>Pero cuando el legislador</w:t>
      </w:r>
      <w:r w:rsidRPr="00D71B7F">
        <w:rPr>
          <w:rFonts w:ascii="Verdana" w:hAnsi="Verdana"/>
          <w:sz w:val="16"/>
          <w:szCs w:val="16"/>
        </w:rPr>
        <w:t xml:space="preserve">, agrega el artículo 20, </w:t>
      </w:r>
      <w:r w:rsidRPr="00D71B7F">
        <w:rPr>
          <w:rFonts w:ascii="Verdana" w:hAnsi="Verdana"/>
          <w:i/>
          <w:sz w:val="16"/>
          <w:szCs w:val="16"/>
        </w:rPr>
        <w:t>las haya definido expresamente para ciertas materias se les dará en éstas su significado legal</w:t>
      </w:r>
      <w:r w:rsidRPr="00D71B7F">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w:t>
      </w:r>
      <w:r w:rsidRPr="006C7BAC">
        <w:rPr>
          <w:rFonts w:ascii="Verdana" w:hAnsi="Verdana"/>
          <w:sz w:val="16"/>
          <w:szCs w:val="16"/>
        </w:rPr>
        <w:t xml:space="preserve"> </w:t>
      </w:r>
      <w:r w:rsidRPr="00D71B7F">
        <w:rPr>
          <w:rFonts w:ascii="Verdana" w:hAnsi="Verdana"/>
          <w:sz w:val="16"/>
          <w:szCs w:val="16"/>
        </w:rPr>
        <w:t>aparezca de manifiesto y con toda claridad” (CLARO SOLAR, Luis. Explicaciones de derecho civil chileno y comparado. Volumen I. Tomo I. Santiago: Editorial Jurídica de Chile, 2013. p. 117. Énfasis dentro del texto).</w:t>
      </w:r>
    </w:p>
  </w:footnote>
  <w:footnote w:id="42">
    <w:p w14:paraId="75F68126" w14:textId="77777777" w:rsidR="001B5535" w:rsidRDefault="001B5535" w:rsidP="001B5535">
      <w:pPr>
        <w:pStyle w:val="Textonotapie"/>
        <w:ind w:firstLine="709"/>
        <w:contextualSpacing/>
        <w:jc w:val="both"/>
        <w:rPr>
          <w:rFonts w:ascii="Verdana" w:hAnsi="Verdana" w:cs="Arial"/>
          <w:sz w:val="16"/>
          <w:szCs w:val="16"/>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cs="Arial"/>
          <w:sz w:val="16"/>
          <w:szCs w:val="16"/>
        </w:rPr>
        <w:t xml:space="preserve">Consejo de Estado. Sala de lo Contencioso Administrativo. Sección Tercera. Sentencia del 21 de febrero de 2025. </w:t>
      </w:r>
      <w:proofErr w:type="spellStart"/>
      <w:r w:rsidRPr="00B8078E">
        <w:rPr>
          <w:rFonts w:ascii="Verdana" w:hAnsi="Verdana" w:cs="Arial"/>
          <w:sz w:val="16"/>
          <w:szCs w:val="16"/>
        </w:rPr>
        <w:t>Exp</w:t>
      </w:r>
      <w:proofErr w:type="spellEnd"/>
      <w:r w:rsidRPr="00B8078E">
        <w:rPr>
          <w:rFonts w:ascii="Verdana" w:hAnsi="Verdana" w:cs="Arial"/>
          <w:sz w:val="16"/>
          <w:szCs w:val="16"/>
        </w:rPr>
        <w:t>. 68.280. CP: José Roberto Sáchica Méndez.</w:t>
      </w:r>
    </w:p>
    <w:p w14:paraId="0CC58053" w14:textId="77777777" w:rsidR="001B5535" w:rsidRPr="009D0D83" w:rsidRDefault="001B5535" w:rsidP="001B5535">
      <w:pPr>
        <w:pStyle w:val="Textonotapie"/>
        <w:ind w:firstLine="709"/>
        <w:contextualSpacing/>
        <w:jc w:val="both"/>
        <w:rPr>
          <w:rFonts w:ascii="Verdana" w:hAnsi="Verdana" w:cs="Arial"/>
          <w:sz w:val="16"/>
          <w:szCs w:val="16"/>
        </w:rPr>
      </w:pPr>
    </w:p>
  </w:footnote>
  <w:footnote w:id="43">
    <w:p w14:paraId="0FD8AAD3" w14:textId="77777777" w:rsidR="001B5535" w:rsidRPr="00B8078E" w:rsidRDefault="001B5535" w:rsidP="001B5535">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sz w:val="16"/>
          <w:szCs w:val="16"/>
          <w:vertAlign w:val="superscript"/>
        </w:rPr>
        <w:t xml:space="preserve"> </w:t>
      </w:r>
      <w:r w:rsidRPr="00B8078E">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061E1CC0" w14:textId="77777777" w:rsidR="001B5535" w:rsidRPr="00B8078E" w:rsidRDefault="001B5535" w:rsidP="001B5535">
      <w:pPr>
        <w:pStyle w:val="Textonotapie"/>
        <w:ind w:firstLine="709"/>
        <w:contextualSpacing/>
        <w:jc w:val="both"/>
        <w:rPr>
          <w:rFonts w:ascii="Verdana" w:hAnsi="Verdana" w:cs="Arial"/>
          <w:sz w:val="16"/>
          <w:szCs w:val="16"/>
        </w:rPr>
      </w:pPr>
    </w:p>
  </w:footnote>
  <w:footnote w:id="44">
    <w:p w14:paraId="4C4198CA" w14:textId="77777777" w:rsidR="001B5535" w:rsidRPr="00B8078E" w:rsidRDefault="001B5535" w:rsidP="001B5535">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0B8F4937" w14:textId="77777777" w:rsidR="001B5535" w:rsidRPr="00B8078E" w:rsidRDefault="001B5535" w:rsidP="001B5535">
      <w:pPr>
        <w:pStyle w:val="Textonotapie"/>
        <w:ind w:firstLine="709"/>
        <w:contextualSpacing/>
        <w:jc w:val="both"/>
        <w:rPr>
          <w:rFonts w:ascii="Verdana" w:hAnsi="Verdana" w:cs="Arial"/>
          <w:sz w:val="16"/>
          <w:szCs w:val="16"/>
        </w:rPr>
      </w:pPr>
    </w:p>
  </w:footnote>
  <w:footnote w:id="45">
    <w:p w14:paraId="12F86F91" w14:textId="77777777" w:rsidR="001B5535" w:rsidRDefault="001B5535" w:rsidP="001B5535">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Código Civil: “Artículo 27. Cuando el sentido de la ley sea claro, no se desatenderá su tenor a pretexto de consultar su espíritu”.</w:t>
      </w:r>
    </w:p>
    <w:p w14:paraId="5FDCC412" w14:textId="77777777" w:rsidR="001B5535" w:rsidRPr="00852048" w:rsidRDefault="001B5535" w:rsidP="001B5535">
      <w:pPr>
        <w:pStyle w:val="Textonotapie"/>
        <w:ind w:firstLine="709"/>
        <w:contextualSpacing/>
        <w:jc w:val="both"/>
        <w:rPr>
          <w:rFonts w:ascii="Verdana" w:hAnsi="Verdana" w:cs="Arial"/>
          <w:sz w:val="16"/>
          <w:szCs w:val="16"/>
        </w:rPr>
      </w:pPr>
    </w:p>
  </w:footnote>
  <w:footnote w:id="46">
    <w:p w14:paraId="335AE1CC" w14:textId="77777777" w:rsidR="001B5535" w:rsidRPr="00B8078E" w:rsidRDefault="001B5535" w:rsidP="001B5535">
      <w:pPr>
        <w:pStyle w:val="Textonotapie"/>
        <w:ind w:firstLine="708"/>
        <w:jc w:val="both"/>
        <w:rPr>
          <w:rFonts w:ascii="Verdana" w:hAnsi="Verdana"/>
          <w:sz w:val="16"/>
          <w:szCs w:val="16"/>
          <w:lang w:val="es-ES"/>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proofErr w:type="spellStart"/>
      <w:r w:rsidRPr="00B8078E">
        <w:rPr>
          <w:rFonts w:ascii="Verdana" w:hAnsi="Verdana"/>
          <w:i/>
          <w:sz w:val="16"/>
          <w:szCs w:val="16"/>
          <w:lang w:val="es-ES"/>
        </w:rPr>
        <w:t>Ubi</w:t>
      </w:r>
      <w:proofErr w:type="spellEnd"/>
      <w:r w:rsidRPr="00B8078E">
        <w:rPr>
          <w:rFonts w:ascii="Verdana" w:hAnsi="Verdana"/>
          <w:i/>
          <w:sz w:val="16"/>
          <w:szCs w:val="16"/>
          <w:lang w:val="es-ES"/>
        </w:rPr>
        <w:t xml:space="preserve"> lex non </w:t>
      </w:r>
      <w:proofErr w:type="spellStart"/>
      <w:r w:rsidRPr="00B8078E">
        <w:rPr>
          <w:rFonts w:ascii="Verdana" w:hAnsi="Verdana"/>
          <w:i/>
          <w:sz w:val="16"/>
          <w:szCs w:val="16"/>
          <w:lang w:val="es-ES"/>
        </w:rPr>
        <w:t>distinguit</w:t>
      </w:r>
      <w:proofErr w:type="spellEnd"/>
      <w:r w:rsidRPr="00B8078E">
        <w:rPr>
          <w:rFonts w:ascii="Verdana" w:hAnsi="Verdana"/>
          <w:i/>
          <w:sz w:val="16"/>
          <w:szCs w:val="16"/>
          <w:lang w:val="es-ES"/>
        </w:rPr>
        <w:t xml:space="preserve"> </w:t>
      </w:r>
      <w:proofErr w:type="spellStart"/>
      <w:r w:rsidRPr="00B8078E">
        <w:rPr>
          <w:rFonts w:ascii="Verdana" w:hAnsi="Verdana"/>
          <w:i/>
          <w:sz w:val="16"/>
          <w:szCs w:val="16"/>
          <w:lang w:val="es-ES"/>
        </w:rPr>
        <w:t>nec</w:t>
      </w:r>
      <w:proofErr w:type="spellEnd"/>
      <w:r w:rsidRPr="00B8078E">
        <w:rPr>
          <w:rFonts w:ascii="Verdana" w:hAnsi="Verdana"/>
          <w:i/>
          <w:sz w:val="16"/>
          <w:szCs w:val="16"/>
          <w:lang w:val="es-ES"/>
        </w:rPr>
        <w:t xml:space="preserve"> nos </w:t>
      </w:r>
      <w:proofErr w:type="spellStart"/>
      <w:r w:rsidRPr="00B8078E">
        <w:rPr>
          <w:rFonts w:ascii="Verdana" w:hAnsi="Verdana"/>
          <w:i/>
          <w:sz w:val="16"/>
          <w:szCs w:val="16"/>
          <w:lang w:val="es-ES"/>
        </w:rPr>
        <w:t>distinguere</w:t>
      </w:r>
      <w:proofErr w:type="spellEnd"/>
      <w:r w:rsidRPr="00B8078E">
        <w:rPr>
          <w:rFonts w:ascii="Verdana" w:hAnsi="Verdana"/>
          <w:i/>
          <w:sz w:val="16"/>
          <w:szCs w:val="16"/>
          <w:lang w:val="es-ES"/>
        </w:rPr>
        <w:t xml:space="preserve"> </w:t>
      </w:r>
      <w:proofErr w:type="spellStart"/>
      <w:r w:rsidRPr="00B8078E">
        <w:rPr>
          <w:rFonts w:ascii="Verdana" w:hAnsi="Verdana"/>
          <w:i/>
          <w:sz w:val="16"/>
          <w:szCs w:val="16"/>
          <w:lang w:val="es-ES"/>
        </w:rPr>
        <w:t>debemus</w:t>
      </w:r>
      <w:proofErr w:type="spellEnd"/>
      <w:r w:rsidRPr="00B8078E">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4095213B" w14:textId="77777777" w:rsidR="001B5535" w:rsidRPr="00B8078E" w:rsidRDefault="001B5535" w:rsidP="001B5535">
      <w:pPr>
        <w:pStyle w:val="Textonotapie"/>
        <w:ind w:firstLine="708"/>
        <w:jc w:val="both"/>
        <w:rPr>
          <w:rFonts w:ascii="Verdana" w:hAnsi="Verdana"/>
          <w:sz w:val="16"/>
          <w:szCs w:val="16"/>
        </w:rPr>
      </w:pPr>
      <w:r w:rsidRPr="00B8078E">
        <w:rPr>
          <w:rFonts w:ascii="Verdana" w:hAnsi="Verdana"/>
          <w:sz w:val="16"/>
          <w:szCs w:val="16"/>
          <w:lang w:val="es-ES"/>
        </w:rPr>
        <w:t xml:space="preserve">En el derecho antiguo y en el derecho canónico se distinguían las leyes en favorables y odiosas, para ampliar o restringir su interpretación. </w:t>
      </w:r>
      <w:r w:rsidRPr="00B8078E">
        <w:rPr>
          <w:rFonts w:ascii="Verdana" w:hAnsi="Verdana"/>
          <w:i/>
          <w:sz w:val="16"/>
          <w:szCs w:val="16"/>
          <w:lang w:val="es-ES"/>
        </w:rPr>
        <w:t xml:space="preserve">Odia restringí et favores </w:t>
      </w:r>
      <w:proofErr w:type="spellStart"/>
      <w:r w:rsidRPr="00B8078E">
        <w:rPr>
          <w:rFonts w:ascii="Verdana" w:hAnsi="Verdana"/>
          <w:i/>
          <w:sz w:val="16"/>
          <w:szCs w:val="16"/>
          <w:lang w:val="es-ES"/>
        </w:rPr>
        <w:t>convenit</w:t>
      </w:r>
      <w:proofErr w:type="spellEnd"/>
      <w:r w:rsidRPr="00B8078E">
        <w:rPr>
          <w:rFonts w:ascii="Verdana" w:hAnsi="Verdana"/>
          <w:i/>
          <w:sz w:val="16"/>
          <w:szCs w:val="16"/>
          <w:lang w:val="es-ES"/>
        </w:rPr>
        <w:t xml:space="preserve"> </w:t>
      </w:r>
      <w:proofErr w:type="spellStart"/>
      <w:r w:rsidRPr="00B8078E">
        <w:rPr>
          <w:rFonts w:ascii="Verdana" w:hAnsi="Verdana"/>
          <w:i/>
          <w:sz w:val="16"/>
          <w:szCs w:val="16"/>
          <w:lang w:val="es-ES"/>
        </w:rPr>
        <w:t>ampliari</w:t>
      </w:r>
      <w:proofErr w:type="spellEnd"/>
      <w:r w:rsidRPr="00B8078E">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B8078E">
        <w:rPr>
          <w:rFonts w:ascii="Verdana" w:hAnsi="Verdana"/>
          <w:sz w:val="16"/>
          <w:szCs w:val="16"/>
        </w:rPr>
        <w:t>CLARO SOLAR, Luis. Explicaciones de derecho civil chileno y comparado. Volumen I. Tomo I. Santiago: Editorial Jurídica de Chile, 2013. p. 119. Énfasis dentro del texto).</w:t>
      </w:r>
    </w:p>
    <w:p w14:paraId="3428B145" w14:textId="77777777" w:rsidR="001B5535" w:rsidRPr="00B8078E" w:rsidRDefault="001B5535" w:rsidP="001B5535">
      <w:pPr>
        <w:pStyle w:val="Textonotapie"/>
        <w:ind w:firstLine="708"/>
        <w:jc w:val="both"/>
        <w:rPr>
          <w:rFonts w:ascii="Verdana" w:hAnsi="Verdana"/>
          <w:sz w:val="16"/>
          <w:szCs w:val="16"/>
          <w:lang w:val="es-CO"/>
        </w:rPr>
      </w:pPr>
    </w:p>
  </w:footnote>
  <w:footnote w:id="47">
    <w:p w14:paraId="18257FEE" w14:textId="77777777" w:rsidR="001B5535" w:rsidRPr="00B8078E" w:rsidRDefault="001B5535" w:rsidP="001B5535">
      <w:pPr>
        <w:spacing w:after="0" w:line="240" w:lineRule="auto"/>
        <w:ind w:firstLine="709"/>
        <w:jc w:val="both"/>
        <w:rPr>
          <w:rFonts w:ascii="Verdana" w:hAnsi="Verdana" w:cs="Arial"/>
          <w:sz w:val="16"/>
          <w:szCs w:val="16"/>
          <w:lang w:eastAsia="es-ES"/>
        </w:rPr>
      </w:pPr>
      <w:r w:rsidRPr="00B8078E">
        <w:rPr>
          <w:rStyle w:val="Refdenotaalpie"/>
          <w:rFonts w:ascii="Verdana" w:hAnsi="Verdana"/>
          <w:sz w:val="16"/>
          <w:szCs w:val="16"/>
        </w:rPr>
        <w:footnoteRef/>
      </w:r>
      <w:r w:rsidRPr="00B8078E">
        <w:rPr>
          <w:rFonts w:ascii="Verdana" w:hAnsi="Verdana"/>
          <w:sz w:val="16"/>
          <w:szCs w:val="16"/>
        </w:rPr>
        <w:t xml:space="preserve"> Consejo de Estado. Sala de lo Contencioso Administrativo. Sección Tercera. Subsección B. Auto del 4 de octubre de 2024. </w:t>
      </w:r>
      <w:proofErr w:type="spellStart"/>
      <w:r w:rsidRPr="00B8078E">
        <w:rPr>
          <w:rFonts w:ascii="Verdana" w:hAnsi="Verdana"/>
          <w:sz w:val="16"/>
          <w:szCs w:val="16"/>
        </w:rPr>
        <w:t>Exp</w:t>
      </w:r>
      <w:proofErr w:type="spellEnd"/>
      <w:r w:rsidRPr="00B8078E">
        <w:rPr>
          <w:rFonts w:ascii="Verdana" w:hAnsi="Verdana"/>
          <w:sz w:val="16"/>
          <w:szCs w:val="16"/>
        </w:rPr>
        <w:t>. 70.313. C.P: Fredy Ibarra Martínez.</w:t>
      </w:r>
    </w:p>
    <w:p w14:paraId="71A99B75" w14:textId="77777777" w:rsidR="001B5535" w:rsidRPr="00B8078E" w:rsidRDefault="001B5535" w:rsidP="001B5535">
      <w:pPr>
        <w:pStyle w:val="Textonotapie"/>
        <w:ind w:firstLine="709"/>
        <w:contextualSpacing/>
        <w:jc w:val="both"/>
        <w:rPr>
          <w:rFonts w:ascii="Verdana" w:hAnsi="Verdana"/>
          <w:sz w:val="16"/>
          <w:szCs w:val="16"/>
          <w:lang w:val="es-CO"/>
        </w:rPr>
      </w:pPr>
    </w:p>
  </w:footnote>
  <w:footnote w:id="48">
    <w:p w14:paraId="12BDDB15" w14:textId="77777777" w:rsidR="001B5535" w:rsidRPr="00B8078E" w:rsidRDefault="001B5535" w:rsidP="001B5535">
      <w:pPr>
        <w:pStyle w:val="Textonotapie"/>
        <w:ind w:firstLine="709"/>
        <w:contextualSpacing/>
        <w:jc w:val="both"/>
        <w:rPr>
          <w:rFonts w:ascii="Verdana" w:hAnsi="Verdana"/>
          <w:sz w:val="16"/>
          <w:szCs w:val="16"/>
          <w:lang w:val="es-CO"/>
        </w:rPr>
      </w:pPr>
      <w:r w:rsidRPr="00B8078E">
        <w:rPr>
          <w:rStyle w:val="Refdenotaalpie"/>
          <w:rFonts w:ascii="Verdana" w:hAnsi="Verdana"/>
          <w:sz w:val="16"/>
          <w:szCs w:val="16"/>
        </w:rPr>
        <w:footnoteRef/>
      </w:r>
      <w:r w:rsidRPr="00B8078E">
        <w:rPr>
          <w:rFonts w:ascii="Verdana" w:hAnsi="Verdana"/>
          <w:sz w:val="16"/>
          <w:szCs w:val="16"/>
        </w:rPr>
        <w:t xml:space="preserve"> La parte resolutiva del auto dispone lo siguiente; “</w:t>
      </w:r>
      <w:r w:rsidRPr="00B8078E">
        <w:rPr>
          <w:rFonts w:ascii="Verdana" w:hAnsi="Verdana"/>
          <w:b/>
          <w:sz w:val="16"/>
          <w:szCs w:val="16"/>
          <w:lang w:val="es-CO"/>
        </w:rPr>
        <w:t xml:space="preserve">PRIMERO: DECRETAR </w:t>
      </w:r>
      <w:r w:rsidRPr="00B8078E">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B8078E">
        <w:rPr>
          <w:rFonts w:ascii="Verdana" w:hAnsi="Verdana"/>
          <w:i/>
          <w:sz w:val="16"/>
          <w:szCs w:val="16"/>
          <w:lang w:val="es-CO"/>
        </w:rPr>
        <w:t>“[e]</w:t>
      </w:r>
      <w:proofErr w:type="spellStart"/>
      <w:r w:rsidRPr="00B8078E">
        <w:rPr>
          <w:rFonts w:ascii="Verdana" w:hAnsi="Verdana"/>
          <w:i/>
          <w:sz w:val="16"/>
          <w:szCs w:val="16"/>
          <w:lang w:val="es-CO"/>
        </w:rPr>
        <w:t>sta</w:t>
      </w:r>
      <w:proofErr w:type="spellEnd"/>
      <w:r w:rsidRPr="00B8078E">
        <w:rPr>
          <w:rFonts w:ascii="Verdana" w:hAnsi="Verdana"/>
          <w:i/>
          <w:sz w:val="16"/>
          <w:szCs w:val="16"/>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B8078E">
        <w:rPr>
          <w:rFonts w:ascii="Verdana" w:hAnsi="Verdana"/>
          <w:sz w:val="16"/>
          <w:szCs w:val="16"/>
          <w:lang w:val="es-CO"/>
        </w:rPr>
        <w:t xml:space="preserve">, por las razones expuestas en precedencia. </w:t>
      </w:r>
    </w:p>
    <w:p w14:paraId="188A669C" w14:textId="77777777" w:rsidR="001B5535" w:rsidRDefault="001B5535" w:rsidP="001B5535">
      <w:pPr>
        <w:pStyle w:val="Textonotapie"/>
        <w:ind w:firstLine="709"/>
        <w:contextualSpacing/>
        <w:jc w:val="both"/>
        <w:rPr>
          <w:rFonts w:ascii="Verdana" w:hAnsi="Verdana"/>
          <w:sz w:val="16"/>
          <w:szCs w:val="16"/>
          <w:lang w:val="es-CO"/>
        </w:rPr>
      </w:pPr>
      <w:r w:rsidRPr="00B8078E">
        <w:rPr>
          <w:rFonts w:ascii="Verdana" w:hAnsi="Verdana"/>
          <w:b/>
          <w:sz w:val="16"/>
          <w:szCs w:val="16"/>
          <w:lang w:val="es-CO"/>
        </w:rPr>
        <w:t xml:space="preserve">SEGUNDO: DECRETAR </w:t>
      </w:r>
      <w:r w:rsidRPr="00B8078E">
        <w:rPr>
          <w:rFonts w:ascii="Verdana" w:hAnsi="Verdana"/>
          <w:sz w:val="16"/>
          <w:szCs w:val="16"/>
          <w:lang w:val="es-CO"/>
        </w:rPr>
        <w:t>la suspensión provisional de la expresión “</w:t>
      </w:r>
      <w:r w:rsidRPr="00B8078E">
        <w:rPr>
          <w:rFonts w:ascii="Verdana" w:hAnsi="Verdana"/>
          <w:i/>
          <w:sz w:val="16"/>
          <w:szCs w:val="16"/>
          <w:lang w:val="es-CO"/>
        </w:rPr>
        <w:t>contratos</w:t>
      </w:r>
      <w:r w:rsidRPr="00B8078E">
        <w:rPr>
          <w:rFonts w:ascii="Verdana" w:hAnsi="Verdana"/>
          <w:sz w:val="16"/>
          <w:szCs w:val="16"/>
          <w:lang w:val="es-CO"/>
        </w:rPr>
        <w:t xml:space="preserve">” y del párrafo </w:t>
      </w:r>
      <w:r w:rsidRPr="00B8078E">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B8078E">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B8078E">
        <w:rPr>
          <w:rFonts w:ascii="Verdana" w:hAnsi="Verdana"/>
          <w:sz w:val="16"/>
          <w:szCs w:val="16"/>
          <w:lang w:val="es-CO"/>
        </w:rPr>
        <w:t>Exp</w:t>
      </w:r>
      <w:proofErr w:type="spellEnd"/>
      <w:r w:rsidRPr="00B8078E">
        <w:rPr>
          <w:rFonts w:ascii="Verdana" w:hAnsi="Verdana"/>
          <w:sz w:val="16"/>
          <w:szCs w:val="16"/>
          <w:lang w:val="es-CO"/>
        </w:rPr>
        <w:t>. 72.424. C.P: Fernando Alexei Pardo Flórez.</w:t>
      </w:r>
      <w:r w:rsidRPr="009D0D83">
        <w:rPr>
          <w:rFonts w:ascii="Verdana" w:hAnsi="Verdana"/>
          <w:sz w:val="16"/>
          <w:szCs w:val="16"/>
          <w:lang w:val="es-CO"/>
        </w:rPr>
        <w:t xml:space="preserve"> </w:t>
      </w:r>
    </w:p>
    <w:p w14:paraId="108F2812" w14:textId="77777777" w:rsidR="001B5535" w:rsidRPr="009D0D83" w:rsidRDefault="001B5535" w:rsidP="001B5535">
      <w:pPr>
        <w:pStyle w:val="Textonotapie"/>
        <w:ind w:firstLine="709"/>
        <w:contextualSpacing/>
        <w:jc w:val="both"/>
        <w:rPr>
          <w:rFonts w:ascii="Verdana" w:hAnsi="Verdana"/>
          <w:sz w:val="16"/>
          <w:szCs w:val="16"/>
          <w:lang w:val="es-CO"/>
        </w:rPr>
      </w:pPr>
    </w:p>
  </w:footnote>
  <w:footnote w:id="49">
    <w:p w14:paraId="5F00F342" w14:textId="77777777" w:rsidR="001B5535" w:rsidRDefault="001B5535" w:rsidP="001B5535">
      <w:pPr>
        <w:spacing w:after="0" w:line="240" w:lineRule="auto"/>
        <w:ind w:firstLine="709"/>
        <w:contextualSpacing/>
        <w:jc w:val="both"/>
        <w:rPr>
          <w:rFonts w:ascii="Verdana" w:eastAsia="Times New Roman" w:hAnsi="Verdana" w:cs="Times New Roman"/>
          <w:sz w:val="16"/>
          <w:szCs w:val="16"/>
          <w:lang w:eastAsia="es-ES"/>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eastAsia="Times New Roman" w:hAnsi="Verdana" w:cs="Times New Roman"/>
          <w:sz w:val="16"/>
          <w:szCs w:val="16"/>
          <w:lang w:eastAsia="es-ES"/>
        </w:rPr>
        <w:t xml:space="preserve">Consejo de Estado. Sala de lo Contencioso Administrativo. Sección Tercera. Subsección B. 17 de octubre de 2025. C.P. Fredy Ibarra Martínez. </w:t>
      </w:r>
      <w:r w:rsidRPr="00B8078E">
        <w:rPr>
          <w:rFonts w:ascii="Verdana" w:hAnsi="Verdana"/>
          <w:sz w:val="16"/>
          <w:szCs w:val="16"/>
        </w:rPr>
        <w:t xml:space="preserve">La parte de la providencia señala: </w:t>
      </w:r>
      <w:r w:rsidRPr="00B8078E">
        <w:rPr>
          <w:rFonts w:ascii="Verdana" w:eastAsia="Times New Roman" w:hAnsi="Verdana" w:cs="Times New Roman"/>
          <w:sz w:val="16"/>
          <w:szCs w:val="16"/>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B8078E">
        <w:rPr>
          <w:rFonts w:ascii="Verdana" w:eastAsia="Times New Roman" w:hAnsi="Verdana" w:cs="Times New Roman"/>
          <w:sz w:val="16"/>
          <w:szCs w:val="16"/>
          <w:lang w:eastAsia="es-ES"/>
        </w:rPr>
        <w:t>ii</w:t>
      </w:r>
      <w:proofErr w:type="spellEnd"/>
      <w:r w:rsidRPr="00B8078E">
        <w:rPr>
          <w:rFonts w:ascii="Verdana" w:eastAsia="Times New Roman" w:hAnsi="Verdana" w:cs="Times New Roman"/>
          <w:sz w:val="16"/>
          <w:szCs w:val="16"/>
          <w:lang w:eastAsia="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42811813" w14:textId="77777777" w:rsidR="001B5535" w:rsidRPr="00852048" w:rsidRDefault="001B5535" w:rsidP="001B5535">
      <w:pPr>
        <w:spacing w:after="0" w:line="240" w:lineRule="auto"/>
        <w:ind w:firstLine="709"/>
        <w:contextualSpacing/>
        <w:jc w:val="both"/>
        <w:rPr>
          <w:rFonts w:ascii="Verdana" w:eastAsia="Times New Roman" w:hAnsi="Verdana" w:cs="Times New Roman"/>
          <w:sz w:val="16"/>
          <w:szCs w:val="16"/>
          <w:lang w:eastAsia="es-ES"/>
        </w:rPr>
      </w:pPr>
    </w:p>
  </w:footnote>
  <w:footnote w:id="50">
    <w:p w14:paraId="6D85565C" w14:textId="77777777" w:rsidR="001B5535" w:rsidRDefault="001B5535" w:rsidP="001B5535">
      <w:pPr>
        <w:pStyle w:val="Textonotapie"/>
        <w:ind w:firstLine="709"/>
        <w:jc w:val="both"/>
        <w:rPr>
          <w:rFonts w:ascii="Verdana" w:hAnsi="Verdana"/>
          <w:sz w:val="16"/>
          <w:szCs w:val="16"/>
        </w:rPr>
      </w:pPr>
      <w:r w:rsidRPr="00B8078E">
        <w:rPr>
          <w:rStyle w:val="Refdenotaalpie"/>
          <w:rFonts w:ascii="Verdana" w:hAnsi="Verdana"/>
          <w:sz w:val="16"/>
          <w:szCs w:val="16"/>
        </w:rPr>
        <w:footnoteRef/>
      </w:r>
      <w:r w:rsidRPr="00B8078E">
        <w:rPr>
          <w:rFonts w:ascii="Verdana" w:hAnsi="Verdana"/>
          <w:sz w:val="16"/>
          <w:szCs w:val="16"/>
        </w:rPr>
        <w:t xml:space="preserve"> No </w:t>
      </w:r>
      <w:proofErr w:type="gramStart"/>
      <w:r w:rsidRPr="00B8078E">
        <w:rPr>
          <w:rFonts w:ascii="Verdana" w:hAnsi="Verdana"/>
          <w:sz w:val="16"/>
          <w:szCs w:val="16"/>
        </w:rPr>
        <w:t>obstante</w:t>
      </w:r>
      <w:proofErr w:type="gramEnd"/>
      <w:r w:rsidRPr="00B8078E">
        <w:rPr>
          <w:rFonts w:ascii="Verdana" w:hAnsi="Verdana"/>
          <w:sz w:val="16"/>
          <w:szCs w:val="16"/>
        </w:rPr>
        <w:t xml:space="preserv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p w14:paraId="2F4EEFE0" w14:textId="77777777" w:rsidR="001B5535" w:rsidRPr="00B8078E" w:rsidRDefault="001B5535" w:rsidP="001B5535">
      <w:pPr>
        <w:pStyle w:val="Textonotapie"/>
        <w:ind w:firstLine="709"/>
        <w:jc w:val="both"/>
        <w:rPr>
          <w:rFonts w:ascii="Verdana" w:hAnsi="Verdana"/>
          <w:sz w:val="16"/>
          <w:szCs w:val="16"/>
          <w:lang w:val="es-CO"/>
        </w:rPr>
      </w:pPr>
    </w:p>
  </w:footnote>
  <w:footnote w:id="51">
    <w:p w14:paraId="02551FF2" w14:textId="77777777" w:rsidR="001B5535" w:rsidRPr="00BD091E" w:rsidRDefault="001B5535" w:rsidP="001B5535">
      <w:pPr>
        <w:pStyle w:val="Textonotapie"/>
        <w:ind w:firstLine="708"/>
        <w:jc w:val="both"/>
        <w:rPr>
          <w:rFonts w:ascii="Verdana" w:hAnsi="Verdana" w:cs="Arial"/>
          <w:color w:val="000000" w:themeColor="text1"/>
          <w:sz w:val="16"/>
          <w:szCs w:val="16"/>
        </w:rPr>
      </w:pPr>
      <w:r w:rsidRPr="00BD091E">
        <w:rPr>
          <w:rStyle w:val="Refdenotaalpie"/>
          <w:rFonts w:ascii="Verdana" w:hAnsi="Verdana" w:cs="Arial"/>
          <w:color w:val="000000" w:themeColor="text1"/>
          <w:sz w:val="16"/>
          <w:szCs w:val="16"/>
        </w:rPr>
        <w:footnoteRef/>
      </w:r>
      <w:r w:rsidRPr="00BD091E">
        <w:rPr>
          <w:rFonts w:ascii="Verdana" w:hAnsi="Verdana" w:cs="Arial"/>
          <w:color w:val="000000" w:themeColor="text1"/>
          <w:sz w:val="16"/>
          <w:szCs w:val="16"/>
        </w:rPr>
        <w:t xml:space="preserve"> Decreto 092 de 2017,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 w:id="52">
    <w:p w14:paraId="16B749E7" w14:textId="77777777" w:rsidR="001B5535" w:rsidRPr="00DD5A6D" w:rsidRDefault="001B5535" w:rsidP="001B5535">
      <w:pPr>
        <w:pStyle w:val="Textonotapie"/>
        <w:ind w:firstLine="709"/>
        <w:rPr>
          <w:rFonts w:ascii="Verdana" w:hAnsi="Verdana"/>
          <w:sz w:val="16"/>
          <w:szCs w:val="16"/>
          <w:lang w:val="es-ES"/>
        </w:rPr>
      </w:pPr>
      <w:r w:rsidRPr="00DD5A6D">
        <w:rPr>
          <w:rStyle w:val="Refdenotaalpie"/>
          <w:rFonts w:ascii="Verdana" w:hAnsi="Verdana"/>
          <w:sz w:val="16"/>
          <w:szCs w:val="16"/>
        </w:rPr>
        <w:footnoteRef/>
      </w:r>
      <w:r w:rsidRPr="00DD5A6D">
        <w:rPr>
          <w:rFonts w:ascii="Verdana" w:hAnsi="Verdana"/>
          <w:sz w:val="16"/>
          <w:szCs w:val="16"/>
        </w:rPr>
        <w:t xml:space="preserve"> </w:t>
      </w:r>
      <w:r w:rsidRPr="00DD5A6D">
        <w:rPr>
          <w:rFonts w:ascii="Verdana" w:hAnsi="Verdana"/>
          <w:sz w:val="16"/>
          <w:szCs w:val="16"/>
          <w:lang w:val="es-ES"/>
        </w:rPr>
        <w:t xml:space="preserve">Agencia Nacional de Contratación Pública – Colombia Compra Eficiente. Circular Externa No. 006 del 25 de septiembre de 2025. Disponible en </w:t>
      </w:r>
      <w:hyperlink r:id="rId3" w:history="1">
        <w:r w:rsidRPr="00DD5A6D">
          <w:rPr>
            <w:rStyle w:val="Hipervnculo"/>
            <w:rFonts w:ascii="Verdana" w:hAnsi="Verdana"/>
            <w:sz w:val="16"/>
            <w:szCs w:val="16"/>
            <w:lang w:val="es-CO"/>
          </w:rPr>
          <w:t>006-de-2025-Circular-Externa-L996-ajustado-comentarios-BM-BID-Rev-ARSC-V3.d-1.pdf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05pt;height:12.0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FBC25EC"/>
    <w:multiLevelType w:val="hybridMultilevel"/>
    <w:tmpl w:val="3F7C01B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E30246E"/>
    <w:multiLevelType w:val="hybridMultilevel"/>
    <w:tmpl w:val="5718B7D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E9F2209"/>
    <w:multiLevelType w:val="multilevel"/>
    <w:tmpl w:val="A77244CC"/>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30C755D"/>
    <w:multiLevelType w:val="hybridMultilevel"/>
    <w:tmpl w:val="12B0297C"/>
    <w:lvl w:ilvl="0" w:tplc="E68C2B30">
      <w:start w:val="1"/>
      <w:numFmt w:val="lowerLetter"/>
      <w:lvlText w:val="%1."/>
      <w:lvlJc w:val="left"/>
      <w:pPr>
        <w:ind w:left="720" w:hanging="360"/>
      </w:pPr>
      <w:rPr>
        <w:rFonts w:ascii="Verdana" w:eastAsiaTheme="minorEastAsia" w:hAnsi="Verdana" w:cs="Aria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406798103">
    <w:abstractNumId w:val="6"/>
  </w:num>
  <w:num w:numId="2" w16cid:durableId="753362833">
    <w:abstractNumId w:val="1"/>
  </w:num>
  <w:num w:numId="3" w16cid:durableId="1523399649">
    <w:abstractNumId w:val="4"/>
  </w:num>
  <w:num w:numId="4" w16cid:durableId="26812018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91719558">
    <w:abstractNumId w:val="1"/>
  </w:num>
  <w:num w:numId="6" w16cid:durableId="348215480">
    <w:abstractNumId w:val="14"/>
  </w:num>
  <w:num w:numId="7" w16cid:durableId="1641183852">
    <w:abstractNumId w:val="5"/>
  </w:num>
  <w:num w:numId="8" w16cid:durableId="1730765949">
    <w:abstractNumId w:val="12"/>
  </w:num>
  <w:num w:numId="9" w16cid:durableId="1882354022">
    <w:abstractNumId w:val="7"/>
  </w:num>
  <w:num w:numId="10" w16cid:durableId="1220242348">
    <w:abstractNumId w:val="11"/>
  </w:num>
  <w:num w:numId="11" w16cid:durableId="822627559">
    <w:abstractNumId w:val="8"/>
  </w:num>
  <w:num w:numId="12" w16cid:durableId="155805277">
    <w:abstractNumId w:val="0"/>
  </w:num>
  <w:num w:numId="13" w16cid:durableId="2078550082">
    <w:abstractNumId w:val="3"/>
  </w:num>
  <w:num w:numId="14" w16cid:durableId="1097170386">
    <w:abstractNumId w:val="15"/>
  </w:num>
  <w:num w:numId="15" w16cid:durableId="1763254520">
    <w:abstractNumId w:val="10"/>
  </w:num>
  <w:num w:numId="16" w16cid:durableId="12038331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6582374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425225955">
    <w:abstractNumId w:val="9"/>
  </w:num>
  <w:num w:numId="19" w16cid:durableId="344672218">
    <w:abstractNumId w:val="2"/>
  </w:num>
  <w:num w:numId="20" w16cid:durableId="1789158528">
    <w:abstractNumId w:val="10"/>
  </w:num>
  <w:num w:numId="21" w16cid:durableId="735128110">
    <w:abstractNumId w:val="2"/>
  </w:num>
  <w:num w:numId="22" w16cid:durableId="1846749842">
    <w:abstractNumId w:val="9"/>
  </w:num>
  <w:num w:numId="23" w16cid:durableId="1762871130">
    <w:abstractNumId w:val="13"/>
  </w:num>
  <w:num w:numId="24" w16cid:durableId="3419027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A5D57"/>
    <w:rsid w:val="001B5535"/>
    <w:rsid w:val="001B67D0"/>
    <w:rsid w:val="001E4177"/>
    <w:rsid w:val="001F0B24"/>
    <w:rsid w:val="001F7DC6"/>
    <w:rsid w:val="002152DD"/>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6D28"/>
    <w:rsid w:val="00322A85"/>
    <w:rsid w:val="00324168"/>
    <w:rsid w:val="00330834"/>
    <w:rsid w:val="003448F4"/>
    <w:rsid w:val="00374052"/>
    <w:rsid w:val="00374F5E"/>
    <w:rsid w:val="00377E3E"/>
    <w:rsid w:val="003A779E"/>
    <w:rsid w:val="003D0F4D"/>
    <w:rsid w:val="003D5B0D"/>
    <w:rsid w:val="003E0499"/>
    <w:rsid w:val="003E4F80"/>
    <w:rsid w:val="003E6439"/>
    <w:rsid w:val="003F2978"/>
    <w:rsid w:val="003F3941"/>
    <w:rsid w:val="00406575"/>
    <w:rsid w:val="00414C74"/>
    <w:rsid w:val="0042722E"/>
    <w:rsid w:val="0044528D"/>
    <w:rsid w:val="00466E39"/>
    <w:rsid w:val="004A1847"/>
    <w:rsid w:val="004A305D"/>
    <w:rsid w:val="004F21C4"/>
    <w:rsid w:val="004F685F"/>
    <w:rsid w:val="005566E8"/>
    <w:rsid w:val="00574867"/>
    <w:rsid w:val="00582C30"/>
    <w:rsid w:val="00591460"/>
    <w:rsid w:val="005A65E0"/>
    <w:rsid w:val="005C3777"/>
    <w:rsid w:val="005C5CDC"/>
    <w:rsid w:val="005D476C"/>
    <w:rsid w:val="006200BF"/>
    <w:rsid w:val="006219F8"/>
    <w:rsid w:val="006302F7"/>
    <w:rsid w:val="00646B9F"/>
    <w:rsid w:val="00665D70"/>
    <w:rsid w:val="006753C7"/>
    <w:rsid w:val="006900D9"/>
    <w:rsid w:val="00706C16"/>
    <w:rsid w:val="007340C3"/>
    <w:rsid w:val="0075235A"/>
    <w:rsid w:val="00756841"/>
    <w:rsid w:val="007649AB"/>
    <w:rsid w:val="00771D0C"/>
    <w:rsid w:val="007833AC"/>
    <w:rsid w:val="007B268C"/>
    <w:rsid w:val="007B7171"/>
    <w:rsid w:val="007C0C0F"/>
    <w:rsid w:val="007C3DC2"/>
    <w:rsid w:val="007E5497"/>
    <w:rsid w:val="007E5D6E"/>
    <w:rsid w:val="00806F5F"/>
    <w:rsid w:val="00820278"/>
    <w:rsid w:val="008258C9"/>
    <w:rsid w:val="00844AE9"/>
    <w:rsid w:val="00867F95"/>
    <w:rsid w:val="008843B6"/>
    <w:rsid w:val="00891928"/>
    <w:rsid w:val="008A1AF2"/>
    <w:rsid w:val="008A446D"/>
    <w:rsid w:val="008A5F36"/>
    <w:rsid w:val="008B25F1"/>
    <w:rsid w:val="008D180B"/>
    <w:rsid w:val="008E7044"/>
    <w:rsid w:val="008F0EA7"/>
    <w:rsid w:val="00923E53"/>
    <w:rsid w:val="00923EEF"/>
    <w:rsid w:val="009419F9"/>
    <w:rsid w:val="0095685E"/>
    <w:rsid w:val="00961B09"/>
    <w:rsid w:val="00965334"/>
    <w:rsid w:val="0097093E"/>
    <w:rsid w:val="009A0DFA"/>
    <w:rsid w:val="009A1C6F"/>
    <w:rsid w:val="009B2D26"/>
    <w:rsid w:val="009C71FA"/>
    <w:rsid w:val="009C72E7"/>
    <w:rsid w:val="009C7F7E"/>
    <w:rsid w:val="009D3058"/>
    <w:rsid w:val="009D61F8"/>
    <w:rsid w:val="009F3A13"/>
    <w:rsid w:val="00A122D3"/>
    <w:rsid w:val="00A14468"/>
    <w:rsid w:val="00A17F13"/>
    <w:rsid w:val="00A20739"/>
    <w:rsid w:val="00A23AF9"/>
    <w:rsid w:val="00A274CC"/>
    <w:rsid w:val="00A33C78"/>
    <w:rsid w:val="00AB0ADB"/>
    <w:rsid w:val="00AF0A60"/>
    <w:rsid w:val="00B00C0E"/>
    <w:rsid w:val="00B01B1A"/>
    <w:rsid w:val="00B0381D"/>
    <w:rsid w:val="00B44A47"/>
    <w:rsid w:val="00B72CD3"/>
    <w:rsid w:val="00B72FFF"/>
    <w:rsid w:val="00B92FC0"/>
    <w:rsid w:val="00BC3D36"/>
    <w:rsid w:val="00BD54A6"/>
    <w:rsid w:val="00BD7F72"/>
    <w:rsid w:val="00BF7425"/>
    <w:rsid w:val="00C04FB3"/>
    <w:rsid w:val="00C11D8B"/>
    <w:rsid w:val="00C15139"/>
    <w:rsid w:val="00C309E5"/>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A5DC3"/>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2526"/>
    <w:rsid w:val="00F23FEA"/>
    <w:rsid w:val="00F31EDC"/>
    <w:rsid w:val="00F462B3"/>
    <w:rsid w:val="00F5664F"/>
    <w:rsid w:val="00F615B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B5535"/>
    <w:rPr>
      <w:rFonts w:ascii="Geomanist Light" w:hAnsi="Geomanist Light"/>
      <w:lang w:val="es-ES"/>
    </w:rPr>
  </w:style>
  <w:style w:type="paragraph" w:customStyle="1" w:styleId="Appelnotedebasde">
    <w:name w:val="Appel note de bas de..."/>
    <w:basedOn w:val="Normal"/>
    <w:link w:val="Refdenotaalpie"/>
    <w:uiPriority w:val="99"/>
    <w:rsid w:val="001B5535"/>
    <w:pPr>
      <w:spacing w:line="240" w:lineRule="exact"/>
    </w:pPr>
    <w:rPr>
      <w:vertAlign w:val="superscript"/>
    </w:rPr>
  </w:style>
  <w:style w:type="character" w:customStyle="1" w:styleId="NormalWebCar">
    <w:name w:val="Normal (Web) Car"/>
    <w:link w:val="NormalWeb"/>
    <w:uiPriority w:val="99"/>
    <w:locked/>
    <w:rsid w:val="001B5535"/>
    <w:rPr>
      <w:rFonts w:ascii="Times New Roman" w:eastAsia="Times New Roman" w:hAnsi="Times New Roman" w:cs="Times New Roman"/>
      <w:sz w:val="24"/>
      <w:szCs w:val="24"/>
      <w:lang w:eastAsia="es-CO"/>
    </w:rPr>
  </w:style>
  <w:style w:type="character" w:customStyle="1" w:styleId="baj">
    <w:name w:val="b_aj"/>
    <w:basedOn w:val="Fuentedeprrafopredeter"/>
    <w:rsid w:val="001B5535"/>
  </w:style>
  <w:style w:type="paragraph" w:styleId="Textoindependiente">
    <w:name w:val="Body Text"/>
    <w:basedOn w:val="Normal"/>
    <w:link w:val="TextoindependienteCar"/>
    <w:qFormat/>
    <w:rsid w:val="001B5535"/>
    <w:pPr>
      <w:spacing w:before="180" w:after="180" w:line="240" w:lineRule="auto"/>
    </w:pPr>
    <w:rPr>
      <w:sz w:val="24"/>
      <w:szCs w:val="24"/>
    </w:rPr>
  </w:style>
  <w:style w:type="character" w:customStyle="1" w:styleId="TextoindependienteCar">
    <w:name w:val="Texto independiente Car"/>
    <w:basedOn w:val="Fuentedeprrafopredeter"/>
    <w:link w:val="Textoindependiente"/>
    <w:rsid w:val="001B5535"/>
    <w:rPr>
      <w:sz w:val="24"/>
      <w:szCs w:val="24"/>
    </w:rPr>
  </w:style>
  <w:style w:type="paragraph" w:customStyle="1" w:styleId="isselectedend">
    <w:name w:val="isselectedend"/>
    <w:basedOn w:val="Normal"/>
    <w:rsid w:val="001B5535"/>
    <w:pPr>
      <w:spacing w:before="100" w:beforeAutospacing="1" w:after="100" w:afterAutospacing="1" w:line="240" w:lineRule="auto"/>
    </w:pPr>
    <w:rPr>
      <w:rFonts w:ascii="Times New Roman" w:eastAsia="Times New Roman" w:hAnsi="Times New Roman" w:cs="Times New Roman"/>
      <w:sz w:val="24"/>
      <w:szCs w:val="24"/>
      <w:lang w:val="es-419" w:eastAsia="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olombiacompra.gov.co/wp-content/uploads/2025/09/006-de-2025-Circular-Externa-L996-ajustado-comentarios-BM-BID-Rev-ARSC-V3.d-1.pdf"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webSettings" Target="webSettings.xml"/><Relationship Id="rId12" Type="http://schemas.openxmlformats.org/officeDocument/2006/relationships/hyperlink" Target="https://colombiacompra.gov.co/wp-content/uploads/2024/08/Guia-ESALES-CCE-V2_2025.pdf"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andiegobaron9900@gmail.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www.colombiacompra.gov.co/pqrsd/informacion-importante-antes-de-formular-una-pqrs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colombiacompra.gov.co/wp-content/uploads/2025/09/006-de-2025-Circular-Externa-L996-ajustado-comentarios-BM-BID-Rev-ARSC-V3.d-1.pdf" TargetMode="External"/><Relationship Id="rId2" Type="http://schemas.openxmlformats.org/officeDocument/2006/relationships/hyperlink" Target="https://colombiacompra.gov.co/wp-content/uploads/2025/09/006-de-2025-Circular-Externa-L996-ajustado-comentarios-BM-BID-Rev-ARSC-V3.d-1.pdf" TargetMode="External"/><Relationship Id="rId1" Type="http://schemas.openxmlformats.org/officeDocument/2006/relationships/hyperlink" Target="https://colombiacompra.gov.co/wp-content/uploads/2024/08/Guia-ESALES-CCE-V2_2025.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33103BC7-29EF-4927-8C31-E471FEE81A86}"/>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16624</Words>
  <Characters>91436</Characters>
  <Application>Microsoft Office Word</Application>
  <DocSecurity>0</DocSecurity>
  <Lines>761</Lines>
  <Paragraphs>215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5</cp:revision>
  <cp:lastPrinted>2023-01-10T21:18:00Z</cp:lastPrinted>
  <dcterms:created xsi:type="dcterms:W3CDTF">2026-05-03T14:16:00Z</dcterms:created>
  <dcterms:modified xsi:type="dcterms:W3CDTF">2026-05-03T14:19:00Z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