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C80D00" w14:textId="0CA7AF9D" w:rsidR="00AE61CF" w:rsidRDefault="00AE61CF" w:rsidP="00B66025">
      <w:pPr>
        <w:spacing w:after="0" w:line="240" w:lineRule="auto"/>
        <w:jc w:val="both"/>
        <w:rPr>
          <w:rFonts w:ascii="Verdana" w:eastAsia="Calibri" w:hAnsi="Verdana" w:cs="Arial"/>
          <w:b/>
          <w:bCs/>
          <w:lang w:val="es-ES" w:eastAsia="es-ES"/>
        </w:rPr>
      </w:pPr>
      <w:bookmarkStart w:id="0" w:name="_Hlk143780582"/>
      <w:r w:rsidRPr="00AE61CF">
        <w:rPr>
          <w:rFonts w:ascii="Verdana" w:eastAsia="Calibri" w:hAnsi="Verdana" w:cs="Arial"/>
          <w:b/>
          <w:bCs/>
          <w:lang w:val="es-ES" w:eastAsia="es-ES"/>
        </w:rPr>
        <w:t>PLAN ANUAL DE ADQUISICIONES – Noción – Carácter estimativo</w:t>
      </w:r>
    </w:p>
    <w:p w14:paraId="180EE0EF" w14:textId="77777777" w:rsidR="00AE61CF" w:rsidRDefault="00AE61CF" w:rsidP="00B66025">
      <w:pPr>
        <w:spacing w:after="0" w:line="240" w:lineRule="auto"/>
        <w:jc w:val="both"/>
        <w:rPr>
          <w:rFonts w:ascii="Verdana" w:eastAsia="Calibri" w:hAnsi="Verdana" w:cs="Arial"/>
          <w:b/>
          <w:bCs/>
          <w:lang w:val="es-ES" w:eastAsia="es-ES"/>
        </w:rPr>
      </w:pPr>
    </w:p>
    <w:p w14:paraId="598D9466" w14:textId="77777777" w:rsidR="00AE61CF" w:rsidRPr="00AE61CF" w:rsidRDefault="00AE61CF" w:rsidP="00AE61CF">
      <w:pPr>
        <w:spacing w:after="0" w:line="240" w:lineRule="auto"/>
        <w:contextualSpacing/>
        <w:jc w:val="both"/>
        <w:rPr>
          <w:rFonts w:ascii="Verdana" w:eastAsia="Calibri" w:hAnsi="Verdana" w:cs="Arial"/>
          <w:sz w:val="20"/>
          <w:szCs w:val="20"/>
        </w:rPr>
      </w:pPr>
      <w:r w:rsidRPr="00AE61CF">
        <w:rPr>
          <w:rFonts w:ascii="Verdana" w:eastAsia="Calibri" w:hAnsi="Verdana" w:cs="Arial"/>
          <w:sz w:val="20"/>
          <w:szCs w:val="20"/>
        </w:rPr>
        <w:t>La Guía para elaborar el Plan Anual de Adquisiciones de esta Agencia, define al Plan Anual de Adquisiciones, en adelante PAA como “un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Sin perjuicio de lo anterior, el PAA no restringe las decisiones en la contratación que habrán de adoptarse dentro de la anualidad respectiva, por lo que se considera un documento de carácter estimativo que tiene entre otras finalidades, la de “servir como referente inicial para evaluar la ejecución de presupuesto y pronosticar la demanda de bienes y servicios de la entidad durante el año referido del plan”.</w:t>
      </w:r>
    </w:p>
    <w:p w14:paraId="63F4CFF5" w14:textId="77777777" w:rsidR="00AE61CF" w:rsidRPr="00AE61CF" w:rsidRDefault="00AE61CF" w:rsidP="00AE61CF">
      <w:pPr>
        <w:spacing w:after="0" w:line="240" w:lineRule="auto"/>
        <w:contextualSpacing/>
        <w:jc w:val="both"/>
        <w:rPr>
          <w:rFonts w:ascii="Verdana" w:eastAsia="Calibri" w:hAnsi="Verdana" w:cs="Arial"/>
          <w:sz w:val="20"/>
          <w:szCs w:val="20"/>
        </w:rPr>
      </w:pPr>
    </w:p>
    <w:p w14:paraId="32AB1E1D" w14:textId="11A26D3C" w:rsidR="00AE61CF" w:rsidRPr="00AE61CF" w:rsidRDefault="00AE61CF" w:rsidP="00AE61CF">
      <w:pPr>
        <w:spacing w:after="0" w:line="240" w:lineRule="auto"/>
        <w:contextualSpacing/>
        <w:jc w:val="both"/>
        <w:rPr>
          <w:rFonts w:ascii="Verdana" w:eastAsia="Calibri" w:hAnsi="Verdana" w:cs="Arial"/>
          <w:sz w:val="20"/>
          <w:szCs w:val="20"/>
        </w:rPr>
      </w:pPr>
      <w:r w:rsidRPr="00AE61CF">
        <w:rPr>
          <w:rFonts w:ascii="Verdana" w:eastAsia="Calibri" w:hAnsi="Verdana" w:cs="Arial"/>
          <w:sz w:val="20"/>
          <w:szCs w:val="20"/>
          <w:lang w:val="es-ES"/>
        </w:rPr>
        <w:t xml:space="preserve">De acuerdo con el artículo </w:t>
      </w:r>
      <w:r w:rsidRPr="00AE61CF">
        <w:rPr>
          <w:rFonts w:ascii="Verdana" w:eastAsia="Calibri" w:hAnsi="Verdana" w:cs="Arial"/>
          <w:kern w:val="2"/>
          <w:sz w:val="20"/>
          <w:szCs w:val="20"/>
          <w14:ligatures w14:val="standardContextual"/>
        </w:rPr>
        <w:t>2.2.1.1.1.3.1 del Decreto 1082 de 2015, el PAA es el plan general de compras al que se refiere el artículo 74 de la Ley 1474 de 2011 y el plan de compras al que se refiere la Ley Anual de Presupuesto. Asimismo, el artículo 2.1.1.1.3.1 del Decreto 1082 de 2015 lo define como un instrumento de planeación contractual que las Entidades Estatales debe diligenciar, publicar y actualizar.</w:t>
      </w:r>
      <w:r w:rsidRPr="00AE61CF">
        <w:rPr>
          <w:rFonts w:ascii="Verdana" w:eastAsia="Calibri" w:hAnsi="Verdana" w:cs="Arial"/>
          <w:sz w:val="20"/>
          <w:szCs w:val="20"/>
          <w:lang w:val="es-ES"/>
        </w:rPr>
        <w:t xml:space="preserve"> En particular, el artículo 74 de la Ley 1474 de 2011 dispone que “todas las entidades del Estado” deben publicar, a más tardar el 31</w:t>
      </w:r>
      <w:r w:rsidRPr="00AE61CF">
        <w:rPr>
          <w:rFonts w:ascii="Verdana" w:eastAsia="Calibri" w:hAnsi="Verdana" w:cs="Arial"/>
          <w:sz w:val="20"/>
          <w:szCs w:val="20"/>
          <w:lang w:val="es-ES_tradnl"/>
        </w:rPr>
        <w:t xml:space="preserve"> de enero de cada año, en su respectiva página web, el plan de acción, en el cual se incluye el plan general de compras. Como ya se indicó, el plan general de compras para el ordenamiento vigente corresponde con el concepto de Plan Anual de Adquisiciones como lo establece el artículo 2.2.1.1.1.3.1. del Decreto 1082 de 2015</w:t>
      </w:r>
      <w:r>
        <w:rPr>
          <w:rFonts w:ascii="Verdana" w:eastAsia="Calibri" w:hAnsi="Verdana" w:cs="Arial"/>
          <w:sz w:val="20"/>
          <w:szCs w:val="20"/>
          <w:lang w:val="es-ES_tradnl"/>
        </w:rPr>
        <w:t>.</w:t>
      </w:r>
    </w:p>
    <w:p w14:paraId="4976AC20" w14:textId="77777777" w:rsidR="00AE61CF" w:rsidRDefault="00AE61CF" w:rsidP="00B66025">
      <w:pPr>
        <w:spacing w:after="0" w:line="240" w:lineRule="auto"/>
        <w:jc w:val="both"/>
        <w:rPr>
          <w:rFonts w:ascii="Verdana" w:eastAsia="Geomanist Light" w:hAnsi="Verdana" w:cs="Arial"/>
          <w:color w:val="000000" w:themeColor="text1"/>
          <w:lang w:val="es-MX"/>
        </w:rPr>
      </w:pPr>
    </w:p>
    <w:p w14:paraId="312E2160" w14:textId="19EC947C" w:rsidR="00AE61CF" w:rsidRPr="00AE61CF" w:rsidRDefault="00AE61CF" w:rsidP="00B66025">
      <w:pPr>
        <w:spacing w:after="0" w:line="240" w:lineRule="auto"/>
        <w:jc w:val="both"/>
        <w:rPr>
          <w:rFonts w:ascii="Verdana" w:eastAsia="Geomanist Light" w:hAnsi="Verdana" w:cs="Arial"/>
          <w:b/>
          <w:bCs/>
          <w:color w:val="000000" w:themeColor="text1"/>
          <w:lang w:val="es-MX"/>
        </w:rPr>
      </w:pPr>
      <w:r w:rsidRPr="00AE61CF">
        <w:rPr>
          <w:rFonts w:ascii="Verdana" w:eastAsia="Calibri" w:hAnsi="Verdana" w:cs="Arial"/>
          <w:b/>
          <w:bCs/>
          <w:lang w:val="es-ES" w:eastAsia="es-ES"/>
        </w:rPr>
        <w:t>PLAN ANUAL DE ADQUISICIONES – Obligatoriedad de elaboración – Sujetos obligados</w:t>
      </w:r>
      <w:r>
        <w:rPr>
          <w:rFonts w:ascii="Verdana" w:eastAsia="Calibri" w:hAnsi="Verdana" w:cs="Arial"/>
          <w:b/>
          <w:bCs/>
          <w:lang w:val="es-ES" w:eastAsia="es-ES"/>
        </w:rPr>
        <w:t xml:space="preserve"> </w:t>
      </w:r>
      <w:r w:rsidR="00FE78B0" w:rsidRPr="00FE78B0">
        <w:rPr>
          <w:rFonts w:ascii="Verdana" w:eastAsia="Calibri" w:hAnsi="Verdana" w:cs="Arial"/>
          <w:b/>
          <w:bCs/>
          <w:lang w:val="es-ES" w:eastAsia="es-ES"/>
        </w:rPr>
        <w:t>–</w:t>
      </w:r>
      <w:r>
        <w:rPr>
          <w:rFonts w:ascii="Verdana" w:eastAsia="Calibri" w:hAnsi="Verdana" w:cs="Arial"/>
          <w:b/>
          <w:bCs/>
          <w:lang w:val="es-ES" w:eastAsia="es-ES"/>
        </w:rPr>
        <w:t xml:space="preserve"> </w:t>
      </w:r>
      <w:r w:rsidRPr="00AE61CF">
        <w:rPr>
          <w:rFonts w:ascii="Verdana" w:eastAsia="Calibri" w:hAnsi="Verdana" w:cs="Arial"/>
          <w:b/>
          <w:bCs/>
          <w:lang w:val="es-ES" w:eastAsia="es-ES"/>
        </w:rPr>
        <w:t xml:space="preserve">PLAN ANUAL DE ADQUISICIONES </w:t>
      </w:r>
      <w:r w:rsidR="00FE78B0" w:rsidRPr="00FE78B0">
        <w:rPr>
          <w:rFonts w:ascii="Verdana" w:eastAsia="Calibri" w:hAnsi="Verdana" w:cs="Arial"/>
          <w:b/>
          <w:bCs/>
          <w:lang w:val="es-ES" w:eastAsia="es-ES"/>
        </w:rPr>
        <w:t>–</w:t>
      </w:r>
      <w:r w:rsidRPr="00AE61CF">
        <w:rPr>
          <w:rFonts w:ascii="Verdana" w:eastAsia="Calibri" w:hAnsi="Verdana" w:cs="Arial"/>
          <w:b/>
          <w:bCs/>
          <w:lang w:val="es-ES" w:eastAsia="es-ES"/>
        </w:rPr>
        <w:t xml:space="preserve"> Contenido</w:t>
      </w:r>
    </w:p>
    <w:p w14:paraId="458D8110" w14:textId="77777777" w:rsidR="00AE61CF" w:rsidRDefault="00AE61CF" w:rsidP="00B66025">
      <w:pPr>
        <w:spacing w:after="0" w:line="240" w:lineRule="auto"/>
        <w:jc w:val="both"/>
        <w:rPr>
          <w:rFonts w:ascii="Verdana" w:eastAsia="Geomanist Light" w:hAnsi="Verdana" w:cs="Arial"/>
          <w:color w:val="000000" w:themeColor="text1"/>
          <w:lang w:val="es-MX"/>
        </w:rPr>
      </w:pPr>
    </w:p>
    <w:p w14:paraId="06351987" w14:textId="77777777" w:rsidR="00AE61CF" w:rsidRDefault="00AE61CF" w:rsidP="00AE61CF">
      <w:pPr>
        <w:spacing w:after="0" w:line="240" w:lineRule="auto"/>
        <w:contextualSpacing/>
        <w:jc w:val="both"/>
        <w:rPr>
          <w:rFonts w:ascii="Verdana" w:eastAsia="Calibri" w:hAnsi="Verdana" w:cs="Arial"/>
          <w:sz w:val="20"/>
          <w:szCs w:val="20"/>
        </w:rPr>
      </w:pPr>
      <w:r w:rsidRPr="00AE61CF">
        <w:rPr>
          <w:rFonts w:ascii="Verdana" w:eastAsia="Calibri" w:hAnsi="Verdana" w:cs="Arial"/>
          <w:sz w:val="20"/>
          <w:szCs w:val="20"/>
        </w:rPr>
        <w:t xml:space="preserve">A la luz de lo dispuesto en el artículo 2.2.1.1.1.4.1 del Decreto 1082 de 2015, el Plan Anual de Adquisiciones debe contener un listado de lo que la entidad adquirirá durante el año, para satisfacer su necesidad de bienes, obras o servicios, y que debe contener información desagregada, principalmente en los siguientes aspectos: : i) identificación con el clasificador de bienes y servicios, </w:t>
      </w:r>
      <w:proofErr w:type="spellStart"/>
      <w:r w:rsidRPr="00AE61CF">
        <w:rPr>
          <w:rFonts w:ascii="Verdana" w:eastAsia="Calibri" w:hAnsi="Verdana" w:cs="Arial"/>
          <w:sz w:val="20"/>
          <w:szCs w:val="20"/>
        </w:rPr>
        <w:t>ii</w:t>
      </w:r>
      <w:proofErr w:type="spellEnd"/>
      <w:r w:rsidRPr="00AE61CF">
        <w:rPr>
          <w:rFonts w:ascii="Verdana" w:eastAsia="Calibri" w:hAnsi="Verdana" w:cs="Arial"/>
          <w:sz w:val="20"/>
          <w:szCs w:val="20"/>
        </w:rPr>
        <w:t xml:space="preserve">) valor estimado del contrato, </w:t>
      </w:r>
      <w:proofErr w:type="spellStart"/>
      <w:r w:rsidRPr="00AE61CF">
        <w:rPr>
          <w:rFonts w:ascii="Verdana" w:eastAsia="Calibri" w:hAnsi="Verdana" w:cs="Arial"/>
          <w:sz w:val="20"/>
          <w:szCs w:val="20"/>
        </w:rPr>
        <w:t>iii</w:t>
      </w:r>
      <w:proofErr w:type="spellEnd"/>
      <w:r w:rsidRPr="00AE61CF">
        <w:rPr>
          <w:rFonts w:ascii="Verdana" w:eastAsia="Calibri" w:hAnsi="Verdana" w:cs="Arial"/>
          <w:sz w:val="20"/>
          <w:szCs w:val="20"/>
        </w:rPr>
        <w:t xml:space="preserve">) tipo de recursos, </w:t>
      </w:r>
      <w:proofErr w:type="spellStart"/>
      <w:r w:rsidRPr="00AE61CF">
        <w:rPr>
          <w:rFonts w:ascii="Verdana" w:eastAsia="Calibri" w:hAnsi="Verdana" w:cs="Arial"/>
          <w:sz w:val="20"/>
          <w:szCs w:val="20"/>
        </w:rPr>
        <w:t>iv</w:t>
      </w:r>
      <w:proofErr w:type="spellEnd"/>
      <w:r w:rsidRPr="00AE61CF">
        <w:rPr>
          <w:rFonts w:ascii="Verdana" w:eastAsia="Calibri" w:hAnsi="Verdana" w:cs="Arial"/>
          <w:sz w:val="20"/>
          <w:szCs w:val="20"/>
        </w:rPr>
        <w:t>) modalidad de selección y v) fecha de inicio del proceso contractual.</w:t>
      </w:r>
    </w:p>
    <w:p w14:paraId="1502FC20" w14:textId="77777777" w:rsidR="00AE61CF" w:rsidRPr="00AE61CF" w:rsidRDefault="00AE61CF" w:rsidP="00AE61CF">
      <w:pPr>
        <w:spacing w:after="0" w:line="240" w:lineRule="auto"/>
        <w:contextualSpacing/>
        <w:jc w:val="both"/>
        <w:rPr>
          <w:rFonts w:ascii="Verdana" w:eastAsia="Calibri" w:hAnsi="Verdana" w:cs="Arial"/>
          <w:sz w:val="20"/>
          <w:szCs w:val="20"/>
        </w:rPr>
      </w:pPr>
    </w:p>
    <w:p w14:paraId="3E20F6A2" w14:textId="77777777" w:rsidR="00AE61CF" w:rsidRPr="00AE61CF" w:rsidRDefault="00AE61CF" w:rsidP="00AE61CF">
      <w:pPr>
        <w:spacing w:after="0" w:line="240" w:lineRule="auto"/>
        <w:contextualSpacing/>
        <w:jc w:val="both"/>
        <w:rPr>
          <w:rFonts w:ascii="Verdana" w:eastAsia="Calibri" w:hAnsi="Verdana" w:cs="Arial"/>
          <w:sz w:val="20"/>
          <w:szCs w:val="20"/>
        </w:rPr>
      </w:pPr>
      <w:r w:rsidRPr="00AE61CF">
        <w:rPr>
          <w:rFonts w:ascii="Verdana" w:eastAsia="Calibri" w:hAnsi="Verdana" w:cs="Arial"/>
          <w:sz w:val="20"/>
          <w:szCs w:val="20"/>
        </w:rPr>
        <w:t xml:space="preserve">En ese sentido, la norma citada dispone que el Plan Anual de Adquisiciones tiene un contenido esencial –la lista de bienes, obras y servicios que la entidad pretenda adquirir–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p>
    <w:p w14:paraId="5AFBBAAB" w14:textId="77777777" w:rsidR="00AE61CF" w:rsidRPr="00AE61CF" w:rsidRDefault="00AE61CF" w:rsidP="00B66025">
      <w:pPr>
        <w:spacing w:after="0" w:line="240" w:lineRule="auto"/>
        <w:jc w:val="both"/>
        <w:rPr>
          <w:rFonts w:ascii="Verdana" w:eastAsia="Geomanist Light" w:hAnsi="Verdana" w:cs="Arial"/>
          <w:color w:val="000000" w:themeColor="text1"/>
        </w:rPr>
      </w:pPr>
    </w:p>
    <w:p w14:paraId="07161C32" w14:textId="77777777" w:rsidR="00AE61CF" w:rsidRDefault="00AE61CF" w:rsidP="00B66025">
      <w:pPr>
        <w:spacing w:after="0" w:line="240" w:lineRule="auto"/>
        <w:jc w:val="both"/>
        <w:rPr>
          <w:rFonts w:ascii="Verdana" w:eastAsia="Geomanist Light" w:hAnsi="Verdana" w:cs="Arial"/>
          <w:color w:val="000000" w:themeColor="text1"/>
          <w:lang w:val="es-MX"/>
        </w:rPr>
      </w:pPr>
    </w:p>
    <w:p w14:paraId="390DFFA3" w14:textId="77777777" w:rsidR="00AE61CF" w:rsidRDefault="00AE61CF" w:rsidP="00B66025">
      <w:pPr>
        <w:spacing w:after="0" w:line="240" w:lineRule="auto"/>
        <w:jc w:val="both"/>
        <w:rPr>
          <w:rFonts w:ascii="Verdana" w:eastAsia="Geomanist Light" w:hAnsi="Verdana" w:cs="Arial"/>
          <w:color w:val="000000" w:themeColor="text1"/>
          <w:lang w:val="es-MX"/>
        </w:rPr>
      </w:pPr>
    </w:p>
    <w:p w14:paraId="61897696" w14:textId="77777777" w:rsidR="00AE61CF" w:rsidRDefault="00AE61CF" w:rsidP="00B66025">
      <w:pPr>
        <w:spacing w:after="0" w:line="240" w:lineRule="auto"/>
        <w:jc w:val="both"/>
        <w:rPr>
          <w:rFonts w:ascii="Verdana" w:eastAsia="Geomanist Light" w:hAnsi="Verdana" w:cs="Arial"/>
          <w:color w:val="000000" w:themeColor="text1"/>
          <w:lang w:val="es-MX"/>
        </w:rPr>
      </w:pPr>
    </w:p>
    <w:p w14:paraId="5152EE76" w14:textId="77777777" w:rsidR="00AE61CF" w:rsidRDefault="00AE61CF" w:rsidP="00B66025">
      <w:pPr>
        <w:spacing w:after="0" w:line="240" w:lineRule="auto"/>
        <w:jc w:val="both"/>
        <w:rPr>
          <w:rFonts w:ascii="Verdana" w:eastAsia="Geomanist Light" w:hAnsi="Verdana" w:cs="Arial"/>
          <w:color w:val="000000" w:themeColor="text1"/>
          <w:lang w:val="es-MX"/>
        </w:rPr>
      </w:pPr>
    </w:p>
    <w:p w14:paraId="0548223E" w14:textId="1FFEBB9E" w:rsidR="00B66025" w:rsidRPr="00F50E68" w:rsidRDefault="00B66025" w:rsidP="00B66025">
      <w:pPr>
        <w:spacing w:after="0" w:line="240" w:lineRule="auto"/>
        <w:jc w:val="both"/>
        <w:rPr>
          <w:rFonts w:ascii="Verdana" w:eastAsia="Calibri" w:hAnsi="Verdana" w:cs="Arial"/>
          <w:lang w:val="es-ES"/>
        </w:rPr>
      </w:pPr>
      <w:r w:rsidRPr="00CF64C0">
        <w:rPr>
          <w:rFonts w:ascii="Verdana" w:eastAsia="Geomanist Light" w:hAnsi="Verdana" w:cs="Arial"/>
          <w:color w:val="000000" w:themeColor="text1"/>
          <w:lang w:val="es-MX"/>
        </w:rPr>
        <w:lastRenderedPageBreak/>
        <w:t>Bogotá D.C., </w:t>
      </w:r>
      <w:r w:rsidR="0006046F">
        <w:rPr>
          <w:rFonts w:ascii="Verdana" w:eastAsia="Geomanist Light" w:hAnsi="Verdana" w:cs="Arial"/>
          <w:color w:val="201F1E"/>
          <w:lang w:val="es-MX"/>
        </w:rPr>
        <w:t>22</w:t>
      </w:r>
      <w:r w:rsidRPr="00CF64C0">
        <w:rPr>
          <w:rFonts w:ascii="Verdana" w:eastAsia="Geomanist Light" w:hAnsi="Verdana" w:cs="Arial"/>
          <w:color w:val="201F1E"/>
          <w:lang w:val="es-MX"/>
        </w:rPr>
        <w:t xml:space="preserve"> de </w:t>
      </w:r>
      <w:r w:rsidR="0006046F">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06046F">
        <w:rPr>
          <w:rFonts w:ascii="Verdana" w:eastAsia="Geomanist Light" w:hAnsi="Verdana" w:cs="Arial"/>
          <w:color w:val="201F1E"/>
          <w:lang w:val="es-MX"/>
        </w:rPr>
        <w:t>2026</w:t>
      </w:r>
    </w:p>
    <w:p w14:paraId="3B56638A" w14:textId="38522478" w:rsidR="00B66025" w:rsidRPr="00F50E68" w:rsidRDefault="00B66025" w:rsidP="00B66025">
      <w:pPr>
        <w:spacing w:after="0" w:line="240" w:lineRule="auto"/>
        <w:jc w:val="right"/>
        <w:rPr>
          <w:rFonts w:ascii="Verdana" w:eastAsia="Calibri" w:hAnsi="Verdana" w:cs="Arial"/>
          <w:lang w:val="es-ES"/>
        </w:rPr>
      </w:pPr>
    </w:p>
    <w:p w14:paraId="7C3575C1" w14:textId="45EBDCE7" w:rsidR="00B66025" w:rsidRPr="00F50E68" w:rsidRDefault="00B66025" w:rsidP="0006046F">
      <w:pPr>
        <w:spacing w:after="0" w:line="240" w:lineRule="auto"/>
        <w:ind w:left="4956"/>
        <w:jc w:val="both"/>
        <w:rPr>
          <w:rFonts w:ascii="Verdana" w:eastAsia="Calibri" w:hAnsi="Verdana" w:cs="Arial"/>
          <w:lang w:val="es-ES"/>
        </w:rPr>
      </w:pPr>
    </w:p>
    <w:p w14:paraId="29F3580A" w14:textId="424DCEC2" w:rsidR="00B66025" w:rsidRDefault="00FE78B0" w:rsidP="00B66025">
      <w:pPr>
        <w:spacing w:after="0"/>
        <w:rPr>
          <w:rFonts w:ascii="Verdana" w:eastAsia="Verdana" w:hAnsi="Verdana" w:cs="Verdana"/>
        </w:rPr>
      </w:pPr>
      <w:r w:rsidRPr="0006046F">
        <w:rPr>
          <w:rFonts w:ascii="Verdana" w:eastAsia="Calibri" w:hAnsi="Verdana" w:cs="Arial"/>
          <w:noProof/>
          <w:lang w:val="es-ES"/>
        </w:rPr>
        <w:drawing>
          <wp:anchor distT="0" distB="0" distL="114300" distR="114300" simplePos="0" relativeHeight="251658240" behindDoc="0" locked="0" layoutInCell="1" allowOverlap="1" wp14:anchorId="0FE1E2A9" wp14:editId="4641709E">
            <wp:simplePos x="0" y="0"/>
            <wp:positionH relativeFrom="margin">
              <wp:align>right</wp:align>
            </wp:positionH>
            <wp:positionV relativeFrom="paragraph">
              <wp:posOffset>8558</wp:posOffset>
            </wp:positionV>
            <wp:extent cx="2712720" cy="834390"/>
            <wp:effectExtent l="0" t="0" r="0" b="3810"/>
            <wp:wrapSquare wrapText="bothSides"/>
            <wp:docPr id="11591533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153366" name=""/>
                    <pic:cNvPicPr/>
                  </pic:nvPicPr>
                  <pic:blipFill>
                    <a:blip r:embed="rId11">
                      <a:extLst>
                        <a:ext uri="{28A0092B-C50C-407E-A947-70E740481C1C}">
                          <a14:useLocalDpi xmlns:a14="http://schemas.microsoft.com/office/drawing/2010/main" val="0"/>
                        </a:ext>
                      </a:extLst>
                    </a:blip>
                    <a:stretch>
                      <a:fillRect/>
                    </a:stretch>
                  </pic:blipFill>
                  <pic:spPr>
                    <a:xfrm>
                      <a:off x="0" y="0"/>
                      <a:ext cx="2721937" cy="837724"/>
                    </a:xfrm>
                    <a:prstGeom prst="rect">
                      <a:avLst/>
                    </a:prstGeom>
                  </pic:spPr>
                </pic:pic>
              </a:graphicData>
            </a:graphic>
            <wp14:sizeRelH relativeFrom="margin">
              <wp14:pctWidth>0</wp14:pctWidth>
            </wp14:sizeRelH>
            <wp14:sizeRelV relativeFrom="margin">
              <wp14:pctHeight>0</wp14:pctHeight>
            </wp14:sizeRelV>
          </wp:anchor>
        </w:drawing>
      </w:r>
      <w:r w:rsidR="00B66025">
        <w:rPr>
          <w:rFonts w:ascii="Verdana" w:eastAsia="Verdana" w:hAnsi="Verdana" w:cs="Verdana"/>
        </w:rPr>
        <w:t xml:space="preserve">Señor </w:t>
      </w:r>
    </w:p>
    <w:p w14:paraId="778532E6" w14:textId="77777777" w:rsidR="00B66025" w:rsidRPr="00FE660F" w:rsidRDefault="00B66025" w:rsidP="00B66025">
      <w:pPr>
        <w:spacing w:after="0"/>
        <w:rPr>
          <w:rFonts w:ascii="Verdana" w:eastAsia="Verdana" w:hAnsi="Verdana" w:cs="Verdana"/>
          <w:b/>
          <w:bCs/>
        </w:rPr>
      </w:pPr>
      <w:r w:rsidRPr="00FE660F">
        <w:rPr>
          <w:rFonts w:ascii="Verdana" w:eastAsia="Verdana" w:hAnsi="Verdana" w:cs="Verdana"/>
          <w:b/>
          <w:bCs/>
        </w:rPr>
        <w:t>Alejandro Pérez Lopera</w:t>
      </w:r>
    </w:p>
    <w:p w14:paraId="4BFE9565" w14:textId="77777777" w:rsidR="00B66025" w:rsidRPr="00FE660F" w:rsidRDefault="00B66025" w:rsidP="00B66025">
      <w:pPr>
        <w:spacing w:after="0"/>
        <w:rPr>
          <w:rFonts w:ascii="Verdana" w:eastAsia="Verdana" w:hAnsi="Verdana" w:cs="Verdana"/>
        </w:rPr>
      </w:pPr>
      <w:hyperlink r:id="rId12" w:history="1">
        <w:r w:rsidRPr="00FE660F">
          <w:rPr>
            <w:rStyle w:val="Hipervnculo"/>
            <w:rFonts w:ascii="Verdana" w:eastAsia="Verdana" w:hAnsi="Verdana" w:cs="Verdana"/>
          </w:rPr>
          <w:t>alejoperez93@h</w:t>
        </w:r>
        <w:r>
          <w:rPr>
            <w:rStyle w:val="Hipervnculo"/>
            <w:rFonts w:ascii="Verdana" w:eastAsia="Verdana" w:hAnsi="Verdana" w:cs="Verdana"/>
          </w:rPr>
          <w:t>otmail.com</w:t>
        </w:r>
      </w:hyperlink>
    </w:p>
    <w:p w14:paraId="00B616A4" w14:textId="77777777" w:rsidR="00B66025" w:rsidRDefault="00B66025" w:rsidP="00B66025">
      <w:pPr>
        <w:spacing w:after="0"/>
        <w:rPr>
          <w:rFonts w:ascii="Verdana" w:eastAsia="Verdana" w:hAnsi="Verdana" w:cs="Verdana"/>
        </w:rPr>
      </w:pPr>
      <w:r>
        <w:rPr>
          <w:rFonts w:ascii="Verdana" w:eastAsia="Verdana" w:hAnsi="Verdana" w:cs="Verdana"/>
        </w:rPr>
        <w:t>Ciudad</w:t>
      </w:r>
    </w:p>
    <w:p w14:paraId="648F47F9" w14:textId="77777777" w:rsidR="00B66025" w:rsidRPr="00F50E68" w:rsidRDefault="00B66025" w:rsidP="00B66025">
      <w:pPr>
        <w:spacing w:after="0" w:line="240" w:lineRule="auto"/>
        <w:rPr>
          <w:rFonts w:ascii="Verdana" w:eastAsia="Calibri" w:hAnsi="Verdana" w:cs="Arial"/>
          <w:b/>
          <w:bCs/>
          <w:lang w:val="es-ES" w:eastAsia="es-ES"/>
        </w:rPr>
      </w:pPr>
    </w:p>
    <w:p w14:paraId="67C916B7" w14:textId="77777777" w:rsidR="00B66025" w:rsidRPr="00F50E68" w:rsidRDefault="00B66025" w:rsidP="00B66025">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66025" w:rsidRPr="00F50E68" w14:paraId="416A69CA" w14:textId="77777777" w:rsidTr="00B945AC">
        <w:trPr>
          <w:trHeight w:val="884"/>
        </w:trPr>
        <w:tc>
          <w:tcPr>
            <w:tcW w:w="2689" w:type="dxa"/>
          </w:tcPr>
          <w:p w14:paraId="28794811" w14:textId="77777777" w:rsidR="00B66025" w:rsidRPr="00F50E68" w:rsidRDefault="00B66025" w:rsidP="00B945AC">
            <w:pPr>
              <w:jc w:val="both"/>
              <w:rPr>
                <w:rFonts w:ascii="Verdana" w:eastAsia="Calibri" w:hAnsi="Verdana" w:cs="Arial"/>
                <w:b/>
                <w:bCs/>
                <w:lang w:val="es-ES_tradnl" w:eastAsia="es-ES_tradnl"/>
              </w:rPr>
            </w:pPr>
          </w:p>
        </w:tc>
        <w:tc>
          <w:tcPr>
            <w:tcW w:w="6100" w:type="dxa"/>
          </w:tcPr>
          <w:p w14:paraId="4FCE88FE" w14:textId="77777777" w:rsidR="00B66025" w:rsidRPr="00F50E68" w:rsidRDefault="00B66025" w:rsidP="00B945AC">
            <w:pPr>
              <w:jc w:val="both"/>
              <w:rPr>
                <w:rFonts w:ascii="Verdana" w:eastAsia="Calibri" w:hAnsi="Verdana" w:cs="Arial"/>
                <w:b/>
                <w:bCs/>
                <w:lang w:val="es-ES" w:eastAsia="es-ES"/>
              </w:rPr>
            </w:pPr>
            <w:r w:rsidRPr="00423EEA">
              <w:rPr>
                <w:rFonts w:ascii="Verdana" w:eastAsia="Calibri" w:hAnsi="Verdana" w:cs="Arial"/>
                <w:b/>
                <w:bCs/>
                <w:lang w:val="es-ES" w:eastAsia="es-ES"/>
              </w:rPr>
              <w:t>Concepto C</w:t>
            </w:r>
            <w:r>
              <w:rPr>
                <w:rFonts w:ascii="Verdana" w:eastAsia="Calibri" w:hAnsi="Verdana" w:cs="Arial"/>
                <w:b/>
                <w:bCs/>
                <w:lang w:val="es-ES" w:eastAsia="es-ES"/>
              </w:rPr>
              <w:t>- 424</w:t>
            </w:r>
            <w:r w:rsidRPr="00423EEA">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B66025" w:rsidRPr="00F50E68" w14:paraId="07D4DBFB" w14:textId="77777777" w:rsidTr="00B945AC">
        <w:trPr>
          <w:trHeight w:val="884"/>
        </w:trPr>
        <w:tc>
          <w:tcPr>
            <w:tcW w:w="2689" w:type="dxa"/>
          </w:tcPr>
          <w:p w14:paraId="2A694B57" w14:textId="77777777" w:rsidR="00B66025" w:rsidRPr="00F50E68" w:rsidRDefault="00B66025" w:rsidP="00B945AC">
            <w:pPr>
              <w:jc w:val="both"/>
              <w:rPr>
                <w:rFonts w:ascii="Verdana" w:eastAsia="Calibri" w:hAnsi="Verdana" w:cs="Arial"/>
                <w:lang w:val="es-ES_tradnl" w:eastAsia="es-ES_tradnl"/>
              </w:rPr>
            </w:pPr>
            <w:r w:rsidRPr="00F50E68">
              <w:rPr>
                <w:rFonts w:ascii="Verdana" w:eastAsia="Calibri" w:hAnsi="Verdana" w:cs="Arial"/>
                <w:b/>
                <w:lang w:val="es-ES_tradnl" w:eastAsia="es-ES_tradnl"/>
              </w:rPr>
              <w:t>Temas:</w:t>
            </w:r>
            <w:r w:rsidRPr="00F50E68">
              <w:rPr>
                <w:rFonts w:ascii="Verdana" w:eastAsia="Calibri" w:hAnsi="Verdana" w:cs="Arial"/>
                <w:lang w:val="es-ES_tradnl" w:eastAsia="es-ES_tradnl"/>
              </w:rPr>
              <w:t xml:space="preserve">                   </w:t>
            </w:r>
          </w:p>
        </w:tc>
        <w:tc>
          <w:tcPr>
            <w:tcW w:w="6100" w:type="dxa"/>
          </w:tcPr>
          <w:p w14:paraId="247C2418" w14:textId="77777777" w:rsidR="00B66025" w:rsidRPr="00F50E68" w:rsidRDefault="00B66025" w:rsidP="00B945AC">
            <w:pPr>
              <w:spacing w:line="276" w:lineRule="auto"/>
              <w:jc w:val="both"/>
              <w:rPr>
                <w:rFonts w:ascii="Verdana" w:eastAsia="Calibri" w:hAnsi="Verdana" w:cs="Arial"/>
                <w:lang w:val="es-ES" w:eastAsia="es-ES"/>
              </w:rPr>
            </w:pPr>
            <w:r w:rsidRPr="00AF6EE3">
              <w:rPr>
                <w:rFonts w:ascii="Verdana" w:eastAsia="Calibri" w:hAnsi="Verdana" w:cs="Arial"/>
                <w:lang w:val="es-ES" w:eastAsia="es-ES"/>
              </w:rPr>
              <w:t>PLAN ANUAL DE ADQUISICIONES – Noción – Carácter estimativo / PLAN ANUAL DE ADQUISICIONES – Obligatoriedad de elaboración – Sujetos obligados / PLAN ANUAL DE ADQUISICIONES - Contenido</w:t>
            </w:r>
          </w:p>
          <w:p w14:paraId="49817E3E" w14:textId="77777777" w:rsidR="00B66025" w:rsidRPr="00F50E68" w:rsidRDefault="00B66025" w:rsidP="00B945AC">
            <w:pPr>
              <w:spacing w:line="276" w:lineRule="auto"/>
              <w:jc w:val="both"/>
              <w:rPr>
                <w:rFonts w:ascii="Verdana" w:eastAsia="Calibri" w:hAnsi="Verdana" w:cs="Arial"/>
                <w:lang w:val="es-ES" w:eastAsia="es-ES"/>
              </w:rPr>
            </w:pPr>
          </w:p>
        </w:tc>
      </w:tr>
      <w:tr w:rsidR="00B66025" w:rsidRPr="00F50E68" w14:paraId="61D9507C" w14:textId="77777777" w:rsidTr="00B945AC">
        <w:tc>
          <w:tcPr>
            <w:tcW w:w="2689" w:type="dxa"/>
          </w:tcPr>
          <w:p w14:paraId="0C07DC4B" w14:textId="77777777" w:rsidR="00B66025" w:rsidRPr="00F50E68" w:rsidRDefault="00B66025" w:rsidP="00B945AC">
            <w:pPr>
              <w:jc w:val="both"/>
              <w:rPr>
                <w:rFonts w:ascii="Verdana" w:eastAsia="Calibri" w:hAnsi="Verdana" w:cs="Arial"/>
                <w:b/>
                <w:lang w:val="es-ES_tradnl" w:eastAsia="es-ES_tradnl"/>
              </w:rPr>
            </w:pPr>
            <w:r w:rsidRPr="00F50E68">
              <w:rPr>
                <w:rFonts w:ascii="Verdana" w:eastAsia="Calibri" w:hAnsi="Verdana" w:cs="Arial"/>
                <w:b/>
                <w:lang w:val="es-ES_tradnl" w:eastAsia="es-ES_tradnl"/>
              </w:rPr>
              <w:t>Radicación:</w:t>
            </w:r>
            <w:r w:rsidRPr="00F50E68">
              <w:rPr>
                <w:rFonts w:ascii="Verdana" w:eastAsia="Calibri" w:hAnsi="Verdana" w:cs="Arial"/>
                <w:lang w:val="es-ES_tradnl" w:eastAsia="es-ES_tradnl"/>
              </w:rPr>
              <w:t xml:space="preserve">               </w:t>
            </w:r>
          </w:p>
        </w:tc>
        <w:tc>
          <w:tcPr>
            <w:tcW w:w="6100" w:type="dxa"/>
          </w:tcPr>
          <w:p w14:paraId="249ACDE3" w14:textId="77777777" w:rsidR="00B66025" w:rsidRPr="00F50E68" w:rsidRDefault="00B66025" w:rsidP="00B945AC">
            <w:pPr>
              <w:jc w:val="both"/>
              <w:rPr>
                <w:rFonts w:ascii="Verdana" w:eastAsia="Calibri" w:hAnsi="Verdana" w:cs="Arial"/>
                <w:lang w:val="es-ES" w:eastAsia="es-ES"/>
              </w:rPr>
            </w:pPr>
            <w:r w:rsidRPr="4D8C9812">
              <w:rPr>
                <w:rFonts w:ascii="Verdana" w:eastAsia="Calibri" w:hAnsi="Verdana" w:cs="Arial"/>
                <w:lang w:val="es-ES" w:eastAsia="es-ES"/>
              </w:rPr>
              <w:t xml:space="preserve">Respuesta a consulta con radicado No. </w:t>
            </w:r>
            <w:r w:rsidRPr="00AF6EE3">
              <w:rPr>
                <w:rFonts w:ascii="Verdana" w:eastAsia="Calibri" w:hAnsi="Verdana" w:cs="Arial"/>
                <w:lang w:val="es-ES" w:eastAsia="es-ES"/>
              </w:rPr>
              <w:t>1_2026_04_09_004824</w:t>
            </w:r>
          </w:p>
        </w:tc>
      </w:tr>
    </w:tbl>
    <w:p w14:paraId="68F188C6" w14:textId="77777777" w:rsidR="00B66025" w:rsidRPr="00F50E68" w:rsidRDefault="00B66025" w:rsidP="00B66025">
      <w:pPr>
        <w:spacing w:after="0" w:line="240" w:lineRule="auto"/>
        <w:jc w:val="both"/>
        <w:rPr>
          <w:rFonts w:ascii="Verdana" w:eastAsia="Calibri" w:hAnsi="Verdana" w:cs="Arial"/>
          <w:lang w:val="es-ES_tradnl" w:eastAsia="es-ES_tradnl"/>
        </w:rPr>
      </w:pPr>
    </w:p>
    <w:p w14:paraId="15190B12" w14:textId="77777777" w:rsidR="00B66025" w:rsidRPr="00F50E68" w:rsidRDefault="00B66025" w:rsidP="00B66025">
      <w:pPr>
        <w:spacing w:after="0" w:line="276" w:lineRule="auto"/>
        <w:jc w:val="both"/>
        <w:rPr>
          <w:rFonts w:ascii="Verdana" w:eastAsia="Calibri" w:hAnsi="Verdana" w:cs="Arial"/>
          <w:lang w:val="es-ES" w:eastAsia="es-ES"/>
        </w:rPr>
      </w:pPr>
      <w:r w:rsidRPr="00F50E68">
        <w:rPr>
          <w:rFonts w:ascii="Verdana" w:eastAsia="Calibri" w:hAnsi="Verdana" w:cs="Arial"/>
          <w:lang w:val="es-ES" w:eastAsia="es-ES"/>
        </w:rPr>
        <w:t>Estimad</w:t>
      </w:r>
      <w:r>
        <w:rPr>
          <w:rFonts w:ascii="Verdana" w:eastAsia="Calibri" w:hAnsi="Verdana" w:cs="Arial"/>
          <w:lang w:val="es-ES" w:eastAsia="es-ES"/>
        </w:rPr>
        <w:t>o</w:t>
      </w:r>
      <w:r w:rsidRPr="00F50E68">
        <w:rPr>
          <w:rFonts w:ascii="Verdana" w:eastAsia="Calibri" w:hAnsi="Verdana" w:cs="Arial"/>
          <w:lang w:val="es-ES" w:eastAsia="es-ES"/>
        </w:rPr>
        <w:t xml:space="preserve"> señor </w:t>
      </w:r>
      <w:r>
        <w:rPr>
          <w:rFonts w:ascii="Verdana" w:eastAsia="Calibri" w:hAnsi="Verdana" w:cs="Arial"/>
          <w:lang w:val="es-ES" w:eastAsia="es-ES"/>
        </w:rPr>
        <w:t>Pérez Lopera</w:t>
      </w:r>
      <w:r w:rsidRPr="00F50E68">
        <w:rPr>
          <w:rFonts w:ascii="Verdana" w:eastAsia="Calibri" w:hAnsi="Verdana" w:cs="Arial"/>
          <w:lang w:val="es-ES" w:eastAsia="es-ES"/>
        </w:rPr>
        <w:t>:</w:t>
      </w:r>
    </w:p>
    <w:p w14:paraId="7CCA5DAB" w14:textId="77777777" w:rsidR="00B66025" w:rsidRPr="00F50E68" w:rsidRDefault="00B66025" w:rsidP="00B66025">
      <w:pPr>
        <w:tabs>
          <w:tab w:val="left" w:pos="3768"/>
        </w:tabs>
        <w:spacing w:after="0" w:line="276" w:lineRule="auto"/>
        <w:jc w:val="both"/>
        <w:rPr>
          <w:rFonts w:ascii="Verdana" w:eastAsia="Calibri" w:hAnsi="Verdana" w:cs="Arial"/>
          <w:lang w:val="es-ES" w:eastAsia="es-ES"/>
        </w:rPr>
      </w:pPr>
    </w:p>
    <w:p w14:paraId="7A7868CC" w14:textId="77777777" w:rsidR="00B66025" w:rsidRDefault="00B66025" w:rsidP="00B66025">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así como lo establecido en</w:t>
      </w:r>
      <w:r>
        <w:rPr>
          <w:rFonts w:ascii="Verdana" w:hAnsi="Verdana" w:cs="Arial"/>
        </w:rPr>
        <w:t xml:space="preserve"> la</w:t>
      </w:r>
      <w:r w:rsidRPr="00960F72">
        <w:rPr>
          <w:rFonts w:ascii="Verdana" w:hAnsi="Verdana" w:cs="Arial"/>
        </w:rPr>
        <w:t xml:space="preserve"> </w:t>
      </w:r>
      <w:r w:rsidRPr="000F2158">
        <w:rPr>
          <w:rFonts w:ascii="Verdana" w:eastAsia="Calibri" w:hAnsi="Verdana" w:cs="Arial"/>
          <w:lang w:eastAsia="es-ES"/>
        </w:rPr>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w:t>
      </w:r>
      <w:r w:rsidRPr="00960F72">
        <w:rPr>
          <w:rFonts w:ascii="Verdana" w:hAnsi="Verdana" w:cs="Arial"/>
        </w:rPr>
        <w:t xml:space="preserve">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recibida por competencia en esta Agencia el pasado 09 </w:t>
      </w:r>
      <w:r w:rsidRPr="00960F72">
        <w:rPr>
          <w:rFonts w:ascii="Verdana" w:eastAsia="Calibri" w:hAnsi="Verdana" w:cs="Arial"/>
          <w:lang w:eastAsia="es-ES"/>
        </w:rPr>
        <w:t xml:space="preserve">de </w:t>
      </w:r>
      <w:r>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en la cual manifiesta lo siguiente</w:t>
      </w:r>
      <w:r>
        <w:rPr>
          <w:rFonts w:ascii="Verdana" w:eastAsia="Calibri" w:hAnsi="Verdana" w:cs="Arial"/>
          <w:lang w:eastAsia="es-ES"/>
        </w:rPr>
        <w:t>:</w:t>
      </w:r>
    </w:p>
    <w:p w14:paraId="785947BA" w14:textId="77777777" w:rsidR="00B66025" w:rsidRDefault="00B66025" w:rsidP="00B66025">
      <w:pPr>
        <w:spacing w:after="0" w:line="276" w:lineRule="auto"/>
        <w:jc w:val="both"/>
        <w:rPr>
          <w:rFonts w:ascii="Verdana" w:eastAsia="Calibri" w:hAnsi="Verdana" w:cs="Arial"/>
          <w:lang w:eastAsia="es-ES"/>
        </w:rPr>
      </w:pPr>
    </w:p>
    <w:p w14:paraId="1421A0E3" w14:textId="77777777" w:rsidR="00B66025" w:rsidRPr="00AF6EE3" w:rsidRDefault="00B66025" w:rsidP="00B66025">
      <w:pPr>
        <w:spacing w:after="0" w:line="276" w:lineRule="auto"/>
        <w:jc w:val="both"/>
        <w:rPr>
          <w:rFonts w:ascii="Verdana" w:eastAsia="Calibri" w:hAnsi="Verdana" w:cs="Arial"/>
          <w:i/>
          <w:iCs/>
          <w:lang w:val="es-ES" w:eastAsia="es-ES"/>
        </w:rPr>
      </w:pPr>
      <w:r w:rsidRPr="00AF6EE3">
        <w:rPr>
          <w:rFonts w:ascii="Verdana" w:eastAsia="Calibri" w:hAnsi="Verdana" w:cs="Arial"/>
          <w:i/>
          <w:iCs/>
          <w:lang w:val="es-ES" w:eastAsia="es-ES"/>
        </w:rPr>
        <w:t>“[…]</w:t>
      </w:r>
    </w:p>
    <w:p w14:paraId="6925D0BF" w14:textId="77777777" w:rsidR="00B66025" w:rsidRPr="00AF6EE3" w:rsidRDefault="00B66025" w:rsidP="00B66025">
      <w:pPr>
        <w:numPr>
          <w:ilvl w:val="0"/>
          <w:numId w:val="17"/>
        </w:numPr>
        <w:spacing w:before="120" w:after="0" w:line="240" w:lineRule="auto"/>
        <w:ind w:right="709"/>
        <w:jc w:val="both"/>
        <w:rPr>
          <w:rFonts w:ascii="Verdana" w:eastAsia="Calibri" w:hAnsi="Verdana" w:cs="Arial"/>
          <w:i/>
          <w:iCs/>
          <w:sz w:val="20"/>
          <w:szCs w:val="20"/>
        </w:rPr>
      </w:pPr>
      <w:r w:rsidRPr="00AF6EE3">
        <w:rPr>
          <w:rFonts w:ascii="Verdana" w:eastAsia="Calibri" w:hAnsi="Verdana" w:cs="Arial"/>
          <w:i/>
          <w:iCs/>
          <w:sz w:val="20"/>
          <w:szCs w:val="20"/>
        </w:rPr>
        <w:t xml:space="preserve">Si por ejemplo, en el mes de octubre 2026 de una anualidad, se presenta un tema extraordinario, para el caso, digamos eventos de la naturaleza, que hacen necesario que una Administración Municipal adelante un proceso de contratación para atender dicha situación, tendríamos que la necesidad se debe incorporar en el Plan Anual de la Vigencia 2026, pero que su proceso de contratación podría iniciar en diciembre del 2026 o inclusive en el año siguiente (2027), pero con la certeza de que la obra si o si, tendrá realización de labores en el 2027, ¿Cómo sería el tratamiento en el Plan Anual de Adquisiciones de esa necesidad con miras al principio </w:t>
      </w:r>
      <w:r w:rsidRPr="00AF6EE3">
        <w:rPr>
          <w:rFonts w:ascii="Verdana" w:eastAsia="Calibri" w:hAnsi="Verdana" w:cs="Arial"/>
          <w:i/>
          <w:iCs/>
          <w:sz w:val="20"/>
          <w:szCs w:val="20"/>
        </w:rPr>
        <w:lastRenderedPageBreak/>
        <w:t xml:space="preserve">de anualidad? Es decir, la necesidad se planeó e incluyo en el </w:t>
      </w:r>
      <w:proofErr w:type="gramStart"/>
      <w:r w:rsidRPr="00AF6EE3">
        <w:rPr>
          <w:rFonts w:ascii="Verdana" w:eastAsia="Calibri" w:hAnsi="Verdana" w:cs="Arial"/>
          <w:i/>
          <w:iCs/>
          <w:sz w:val="20"/>
          <w:szCs w:val="20"/>
        </w:rPr>
        <w:t>PAA  del</w:t>
      </w:r>
      <w:proofErr w:type="gramEnd"/>
      <w:r w:rsidRPr="00AF6EE3">
        <w:rPr>
          <w:rFonts w:ascii="Verdana" w:eastAsia="Calibri" w:hAnsi="Verdana" w:cs="Arial"/>
          <w:i/>
          <w:iCs/>
          <w:sz w:val="20"/>
          <w:szCs w:val="20"/>
        </w:rPr>
        <w:t xml:space="preserve"> 2026 con fecha de inicio digamos diciembre de 2026, pero se ejecutó tanto en 2026 y 2027, además, teniendo en cuenta </w:t>
      </w:r>
      <w:proofErr w:type="gramStart"/>
      <w:r w:rsidRPr="00AF6EE3">
        <w:rPr>
          <w:rFonts w:ascii="Verdana" w:eastAsia="Calibri" w:hAnsi="Verdana" w:cs="Arial"/>
          <w:i/>
          <w:iCs/>
          <w:sz w:val="20"/>
          <w:szCs w:val="20"/>
        </w:rPr>
        <w:t>que</w:t>
      </w:r>
      <w:proofErr w:type="gramEnd"/>
      <w:r w:rsidRPr="00AF6EE3">
        <w:rPr>
          <w:rFonts w:ascii="Verdana" w:eastAsia="Calibri" w:hAnsi="Verdana" w:cs="Arial"/>
          <w:i/>
          <w:iCs/>
          <w:sz w:val="20"/>
          <w:szCs w:val="20"/>
        </w:rPr>
        <w:t xml:space="preserve"> para esta misma, no se tienen vivencias futuras.</w:t>
      </w:r>
    </w:p>
    <w:p w14:paraId="6AC616A3" w14:textId="77777777" w:rsidR="00B66025" w:rsidRPr="00AF6EE3" w:rsidRDefault="00B66025" w:rsidP="00B66025">
      <w:pPr>
        <w:numPr>
          <w:ilvl w:val="0"/>
          <w:numId w:val="17"/>
        </w:numPr>
        <w:spacing w:before="120" w:after="0" w:line="240" w:lineRule="auto"/>
        <w:ind w:right="709"/>
        <w:jc w:val="both"/>
        <w:rPr>
          <w:rFonts w:ascii="Verdana" w:eastAsia="Calibri" w:hAnsi="Verdana" w:cs="Arial"/>
          <w:i/>
          <w:iCs/>
          <w:sz w:val="20"/>
          <w:szCs w:val="20"/>
        </w:rPr>
      </w:pPr>
      <w:r w:rsidRPr="00AF6EE3">
        <w:rPr>
          <w:rFonts w:ascii="Verdana" w:eastAsia="Calibri" w:hAnsi="Verdana" w:cs="Arial"/>
          <w:i/>
          <w:iCs/>
          <w:sz w:val="20"/>
          <w:szCs w:val="20"/>
        </w:rPr>
        <w:t>Si una necesidad de infraestructura se planea e incluye en el Plan Anual de Adquisiciones de una entidad en abril del 2026, pero con fecha de inicio de junio del mismo período, con una duración que supera la anualidad debido a lo que se demora la obra contratada, la cual no cuenta con vivencias futuras, ¿Estaría bien bajo este supuesto que supere la anualidad? ¿O se vulnera el principio de anualidad?</w:t>
      </w:r>
    </w:p>
    <w:p w14:paraId="4C5F5098" w14:textId="77777777" w:rsidR="00B66025" w:rsidRPr="00AF6EE3" w:rsidRDefault="00B66025" w:rsidP="00B66025">
      <w:pPr>
        <w:numPr>
          <w:ilvl w:val="0"/>
          <w:numId w:val="17"/>
        </w:numPr>
        <w:spacing w:before="120" w:after="0" w:line="240" w:lineRule="auto"/>
        <w:ind w:right="709"/>
        <w:jc w:val="both"/>
        <w:rPr>
          <w:rFonts w:ascii="Verdana" w:eastAsia="Calibri" w:hAnsi="Verdana" w:cs="Arial"/>
          <w:i/>
          <w:iCs/>
          <w:sz w:val="20"/>
          <w:szCs w:val="20"/>
        </w:rPr>
      </w:pPr>
      <w:r w:rsidRPr="00AF6EE3">
        <w:rPr>
          <w:rFonts w:ascii="Verdana" w:eastAsia="Calibri" w:hAnsi="Verdana" w:cs="Arial"/>
          <w:i/>
          <w:iCs/>
          <w:sz w:val="20"/>
          <w:szCs w:val="20"/>
        </w:rPr>
        <w:t>¿Contratos cómo comodatos que no tienen erogación económica dónde es la entidad quien actúa como comodante deben contemplarse en el Plan Anual de Adquisiciones? Esto teniendo en cuenta que no es una adquisición como tal de la entidad si no la cesión de un bien de forma gratuita para el uso por parte del Comodatario.</w:t>
      </w:r>
    </w:p>
    <w:p w14:paraId="7FA3A7EA" w14:textId="77777777" w:rsidR="00B66025" w:rsidRPr="00AF6EE3" w:rsidRDefault="00B66025" w:rsidP="00B66025">
      <w:pPr>
        <w:spacing w:before="120" w:after="0" w:line="240" w:lineRule="auto"/>
        <w:ind w:left="709" w:right="709"/>
        <w:jc w:val="both"/>
        <w:rPr>
          <w:rFonts w:ascii="Verdana" w:eastAsia="Calibri" w:hAnsi="Verdana" w:cs="Arial"/>
          <w:i/>
          <w:iCs/>
          <w:sz w:val="20"/>
          <w:szCs w:val="20"/>
          <w:lang w:val="es-MX"/>
        </w:rPr>
      </w:pPr>
      <w:r w:rsidRPr="00AF6EE3">
        <w:rPr>
          <w:rFonts w:ascii="Verdana" w:eastAsia="Calibri" w:hAnsi="Verdana" w:cs="Arial"/>
          <w:i/>
          <w:iCs/>
          <w:sz w:val="20"/>
          <w:szCs w:val="20"/>
          <w:lang w:val="es-MX"/>
        </w:rPr>
        <w:t>[…]</w:t>
      </w:r>
    </w:p>
    <w:p w14:paraId="446DADE6" w14:textId="77777777" w:rsidR="00B66025" w:rsidRPr="00AF6EE3" w:rsidRDefault="00B66025" w:rsidP="00B66025">
      <w:pPr>
        <w:numPr>
          <w:ilvl w:val="0"/>
          <w:numId w:val="17"/>
        </w:numPr>
        <w:spacing w:before="120" w:after="0" w:line="240" w:lineRule="auto"/>
        <w:ind w:right="709"/>
        <w:jc w:val="both"/>
        <w:rPr>
          <w:rFonts w:ascii="Verdana" w:eastAsia="Calibri" w:hAnsi="Verdana" w:cs="Arial"/>
          <w:i/>
          <w:iCs/>
          <w:sz w:val="20"/>
          <w:szCs w:val="20"/>
        </w:rPr>
      </w:pPr>
      <w:r w:rsidRPr="00AF6EE3">
        <w:rPr>
          <w:rFonts w:ascii="Verdana" w:eastAsia="Calibri" w:hAnsi="Verdana" w:cs="Arial"/>
          <w:i/>
          <w:iCs/>
          <w:sz w:val="20"/>
          <w:szCs w:val="20"/>
        </w:rPr>
        <w:t>¿Los contratos de cesión de bienes con erogación económica dónde una entidad municipal permita el uso de un bien, deben incluirse en el Plan Anual de Adquisiciones de esta entidad que cede? </w:t>
      </w:r>
    </w:p>
    <w:p w14:paraId="3EB52DFE" w14:textId="77777777" w:rsidR="00B66025" w:rsidRPr="00AF6EE3" w:rsidRDefault="00B66025" w:rsidP="00B66025">
      <w:pPr>
        <w:numPr>
          <w:ilvl w:val="0"/>
          <w:numId w:val="17"/>
        </w:numPr>
        <w:spacing w:before="120" w:after="0" w:line="240" w:lineRule="auto"/>
        <w:ind w:right="709"/>
        <w:jc w:val="both"/>
        <w:rPr>
          <w:rFonts w:ascii="Verdana" w:eastAsia="Calibri" w:hAnsi="Verdana" w:cs="Arial"/>
          <w:i/>
          <w:iCs/>
          <w:sz w:val="20"/>
          <w:szCs w:val="20"/>
        </w:rPr>
      </w:pPr>
      <w:r w:rsidRPr="00AF6EE3">
        <w:rPr>
          <w:rFonts w:ascii="Verdana" w:eastAsia="Calibri" w:hAnsi="Verdana" w:cs="Arial"/>
          <w:i/>
          <w:iCs/>
          <w:sz w:val="20"/>
          <w:szCs w:val="20"/>
        </w:rPr>
        <w:t>Los contratos de cesión de bienes con erogación económica dónde una entidad municipal es quien recibe el uso de un bien y paga por ello, deben incluirse en el Plan Anual de Adquisiciones de esta entidad que cede?</w:t>
      </w:r>
    </w:p>
    <w:p w14:paraId="47B23028" w14:textId="77777777" w:rsidR="00B66025" w:rsidRPr="00AF6EE3" w:rsidRDefault="00B66025" w:rsidP="00B66025">
      <w:pPr>
        <w:numPr>
          <w:ilvl w:val="0"/>
          <w:numId w:val="17"/>
        </w:numPr>
        <w:spacing w:before="120" w:after="0" w:line="240" w:lineRule="auto"/>
        <w:ind w:right="709"/>
        <w:jc w:val="both"/>
        <w:rPr>
          <w:rFonts w:ascii="Verdana" w:eastAsia="Calibri" w:hAnsi="Verdana" w:cs="Arial"/>
          <w:i/>
          <w:iCs/>
          <w:sz w:val="20"/>
          <w:szCs w:val="20"/>
        </w:rPr>
      </w:pPr>
      <w:r w:rsidRPr="00AF6EE3">
        <w:rPr>
          <w:rFonts w:ascii="Verdana" w:eastAsia="Calibri" w:hAnsi="Verdana" w:cs="Arial"/>
          <w:i/>
          <w:iCs/>
          <w:sz w:val="20"/>
          <w:szCs w:val="20"/>
        </w:rPr>
        <w:t>¿Los bienes enajene/venda una entidad municipal deben incluirse en el Plan Anual de Adquisiciones? Esto, analizando el tema desde el supuesto que no sería una adquisición, y por tanto, en teoría no deberían ingresar.</w:t>
      </w:r>
      <w:r w:rsidRPr="00AF6EE3">
        <w:rPr>
          <w:rFonts w:ascii="Verdana" w:eastAsia="Calibri" w:hAnsi="Verdana" w:cs="Arial"/>
          <w:i/>
          <w:iCs/>
          <w:sz w:val="20"/>
          <w:szCs w:val="20"/>
          <w:lang w:val="es-MX"/>
        </w:rPr>
        <w:t>” [sic] […]”</w:t>
      </w:r>
    </w:p>
    <w:p w14:paraId="19EE41EE" w14:textId="77777777" w:rsidR="00B66025" w:rsidRPr="00F50E68" w:rsidRDefault="00B66025" w:rsidP="00B66025">
      <w:pPr>
        <w:tabs>
          <w:tab w:val="left" w:pos="142"/>
          <w:tab w:val="left" w:pos="284"/>
        </w:tabs>
        <w:spacing w:line="276" w:lineRule="auto"/>
        <w:contextualSpacing/>
        <w:jc w:val="both"/>
        <w:rPr>
          <w:rFonts w:ascii="Verdana" w:eastAsia="Century Gothic" w:hAnsi="Verdana" w:cs="Century Gothic"/>
          <w:b/>
          <w:bCs/>
          <w:lang w:val="es-ES"/>
        </w:rPr>
      </w:pPr>
    </w:p>
    <w:p w14:paraId="6464014E" w14:textId="77777777" w:rsidR="00B66025" w:rsidRPr="00F50E68" w:rsidRDefault="00B66025" w:rsidP="00B66025">
      <w:pPr>
        <w:spacing w:after="120" w:line="276" w:lineRule="auto"/>
        <w:ind w:firstLine="709"/>
        <w:jc w:val="both"/>
        <w:rPr>
          <w:rFonts w:ascii="Verdana" w:eastAsia="Calibri" w:hAnsi="Verdana" w:cs="Arial"/>
          <w:szCs w:val="24"/>
          <w:lang w:val="es-ES_tradnl" w:eastAsia="es-ES_tradnl"/>
        </w:rPr>
      </w:pPr>
      <w:r w:rsidRPr="00F50E6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w:t>
      </w:r>
      <w:r w:rsidRPr="00F50E68">
        <w:rPr>
          <w:rFonts w:ascii="Verdana" w:eastAsia="Calibri" w:hAnsi="Verdana" w:cs="Arial"/>
          <w:lang w:val="es-ES" w:eastAsia="es-ES"/>
        </w:rPr>
        <w:lastRenderedPageBreak/>
        <w:t xml:space="preserve">extenderse a la resolución de controversias, ni a brindar asesorías sobre casos puntuales. </w:t>
      </w:r>
      <w:r w:rsidRPr="00F50E68">
        <w:rPr>
          <w:rFonts w:ascii="Verdana" w:eastAsia="Calibri" w:hAnsi="Verdana" w:cs="Arial"/>
          <w:szCs w:val="24"/>
          <w:lang w:val="es-ES_tradnl" w:eastAsia="es-ES_tradnl"/>
        </w:rPr>
        <w:tab/>
      </w:r>
    </w:p>
    <w:p w14:paraId="6B92EFDD" w14:textId="77777777" w:rsidR="00B66025" w:rsidRPr="00F50E68" w:rsidRDefault="00B66025" w:rsidP="00B66025">
      <w:pPr>
        <w:spacing w:after="0" w:line="276" w:lineRule="auto"/>
        <w:ind w:firstLine="709"/>
        <w:jc w:val="both"/>
        <w:rPr>
          <w:rFonts w:ascii="Verdana" w:eastAsia="Calibri" w:hAnsi="Verdana" w:cs="Arial"/>
          <w:lang w:val="es-ES" w:eastAsia="es-ES"/>
        </w:rPr>
      </w:pPr>
      <w:r w:rsidRPr="00F50E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F08EC04" w14:textId="77777777" w:rsidR="00B66025" w:rsidRPr="00F50E68" w:rsidRDefault="00B66025" w:rsidP="00B66025">
      <w:pPr>
        <w:spacing w:after="0" w:line="276" w:lineRule="auto"/>
        <w:ind w:firstLine="709"/>
        <w:jc w:val="both"/>
        <w:rPr>
          <w:rFonts w:ascii="Verdana" w:eastAsia="Calibri" w:hAnsi="Verdana" w:cs="Arial"/>
          <w:lang w:val="es-ES" w:eastAsia="es-ES"/>
        </w:rPr>
      </w:pPr>
    </w:p>
    <w:p w14:paraId="145343AD" w14:textId="77777777" w:rsidR="00B66025" w:rsidRPr="00F50E68" w:rsidRDefault="00B66025" w:rsidP="00B66025">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F50E68">
        <w:rPr>
          <w:rFonts w:ascii="Verdana" w:eastAsia="Arial" w:hAnsi="Verdana" w:cs="Arial"/>
          <w:b/>
          <w:bCs/>
          <w:lang w:val="es-ES"/>
        </w:rPr>
        <w:t>1. Problema planteado:</w:t>
      </w:r>
    </w:p>
    <w:p w14:paraId="5957FED1" w14:textId="77777777" w:rsidR="00B66025" w:rsidRPr="00F50E68" w:rsidRDefault="00B66025" w:rsidP="00B66025">
      <w:pPr>
        <w:tabs>
          <w:tab w:val="left" w:pos="426"/>
        </w:tabs>
        <w:spacing w:after="0" w:line="276" w:lineRule="auto"/>
        <w:jc w:val="both"/>
        <w:rPr>
          <w:rFonts w:ascii="Verdana" w:eastAsia="Century Gothic" w:hAnsi="Verdana" w:cs="Century Gothic"/>
          <w:lang w:val="es-ES"/>
        </w:rPr>
      </w:pPr>
    </w:p>
    <w:p w14:paraId="1FD76FE5" w14:textId="77777777" w:rsidR="00B66025" w:rsidRPr="00F50E68" w:rsidRDefault="00B66025" w:rsidP="00B66025">
      <w:pPr>
        <w:spacing w:after="0" w:line="276" w:lineRule="auto"/>
        <w:jc w:val="both"/>
        <w:rPr>
          <w:rFonts w:ascii="Verdana" w:eastAsia="Century Gothic" w:hAnsi="Verdana" w:cs="Century Gothic"/>
        </w:rPr>
      </w:pPr>
      <w:r w:rsidRPr="00F50E68">
        <w:rPr>
          <w:rFonts w:ascii="Verdana" w:eastAsia="Century Gothic" w:hAnsi="Verdana" w:cs="Century Gothic"/>
        </w:rPr>
        <w:t xml:space="preserve">De acuerdo con el contenido de su solicitud, le informamos que la misma será atendida desde los siguientes interrogantes: i) ¿Cuál es la noción jurídica del Plan Anual de Adquisiciones?; </w:t>
      </w:r>
      <w:proofErr w:type="spellStart"/>
      <w:r w:rsidRPr="00F50E68">
        <w:rPr>
          <w:rFonts w:ascii="Verdana" w:eastAsia="Century Gothic" w:hAnsi="Verdana" w:cs="Century Gothic"/>
        </w:rPr>
        <w:t>ii</w:t>
      </w:r>
      <w:proofErr w:type="spellEnd"/>
      <w:r w:rsidRPr="00F50E68">
        <w:rPr>
          <w:rFonts w:ascii="Verdana" w:eastAsia="Century Gothic" w:hAnsi="Verdana" w:cs="Century Gothic"/>
        </w:rPr>
        <w:t xml:space="preserve">) ¿Qué información debe relacionarse en el Plan Anual de Adquisiciones?; y </w:t>
      </w:r>
      <w:proofErr w:type="spellStart"/>
      <w:r w:rsidRPr="00F50E68">
        <w:rPr>
          <w:rFonts w:ascii="Verdana" w:eastAsia="Century Gothic" w:hAnsi="Verdana" w:cs="Century Gothic"/>
        </w:rPr>
        <w:t>iii</w:t>
      </w:r>
      <w:proofErr w:type="spellEnd"/>
      <w:r w:rsidRPr="00F50E68">
        <w:rPr>
          <w:rFonts w:ascii="Verdana" w:eastAsia="Century Gothic" w:hAnsi="Verdana" w:cs="Century Gothic"/>
        </w:rPr>
        <w:t>) ¿En qué circunstancias debe actualizarse el Plan Anual de Adquisiciones?</w:t>
      </w:r>
    </w:p>
    <w:p w14:paraId="26EC611C" w14:textId="77777777" w:rsidR="00B66025" w:rsidRPr="00F50E68" w:rsidRDefault="00B66025" w:rsidP="00B66025">
      <w:pPr>
        <w:spacing w:after="0" w:line="276" w:lineRule="auto"/>
        <w:jc w:val="both"/>
        <w:rPr>
          <w:rFonts w:ascii="Verdana" w:eastAsia="Calibri" w:hAnsi="Verdana" w:cs="Arial"/>
          <w:lang w:val="es-ES"/>
        </w:rPr>
      </w:pPr>
      <w:bookmarkStart w:id="1" w:name="_Hlk171070029"/>
    </w:p>
    <w:bookmarkEnd w:id="1"/>
    <w:p w14:paraId="55563C7F" w14:textId="77777777" w:rsidR="00B66025" w:rsidRPr="00F50E68" w:rsidRDefault="00B66025" w:rsidP="00B66025">
      <w:pPr>
        <w:widowControl w:val="0"/>
        <w:autoSpaceDE w:val="0"/>
        <w:autoSpaceDN w:val="0"/>
        <w:spacing w:before="1" w:after="0" w:line="240" w:lineRule="auto"/>
        <w:jc w:val="both"/>
        <w:outlineLvl w:val="0"/>
        <w:rPr>
          <w:rFonts w:ascii="Verdana" w:eastAsia="Arial" w:hAnsi="Verdana" w:cs="Arial"/>
          <w:b/>
          <w:bCs/>
          <w:lang w:val="es-ES"/>
        </w:rPr>
      </w:pPr>
      <w:r w:rsidRPr="00F50E68">
        <w:rPr>
          <w:rFonts w:ascii="Verdana" w:eastAsia="Arial" w:hAnsi="Verdana" w:cs="Arial"/>
          <w:b/>
          <w:bCs/>
          <w:lang w:val="es-ES"/>
        </w:rPr>
        <w:t>2. Respuesta:</w:t>
      </w:r>
    </w:p>
    <w:p w14:paraId="685BBF5B" w14:textId="77777777" w:rsidR="00B66025" w:rsidRPr="00F50E68" w:rsidRDefault="00B66025" w:rsidP="00B66025">
      <w:pPr>
        <w:spacing w:after="0"/>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66025" w:rsidRPr="00F50E68" w14:paraId="415A4F13" w14:textId="77777777" w:rsidTr="00B945AC">
        <w:tc>
          <w:tcPr>
            <w:tcW w:w="8828" w:type="dxa"/>
          </w:tcPr>
          <w:p w14:paraId="22C9037E" w14:textId="77777777" w:rsidR="00B66025" w:rsidRPr="00F50E68" w:rsidRDefault="00B66025" w:rsidP="00B945AC">
            <w:pPr>
              <w:tabs>
                <w:tab w:val="left" w:pos="7237"/>
              </w:tabs>
              <w:snapToGrid w:val="0"/>
              <w:spacing w:before="120" w:line="276" w:lineRule="auto"/>
              <w:jc w:val="both"/>
              <w:rPr>
                <w:rFonts w:ascii="Verdana" w:eastAsia="Calibri" w:hAnsi="Verdana" w:cs="Arial"/>
              </w:rPr>
            </w:pPr>
            <w:bookmarkStart w:id="2" w:name="_Hlk171067516"/>
            <w:r w:rsidRPr="00F50E68">
              <w:rPr>
                <w:rFonts w:ascii="Verdana" w:eastAsia="Calibri" w:hAnsi="Verdana" w:cs="Arial"/>
              </w:rPr>
              <w:t>i) Estudiado el marco jurídico aplicable al Plan Anual de Adquisiciones, se observa que este constituye a un instrumento de planificación y orientación de la contratación de las Entidades Estatales,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De este modo, el Plan Anual de Adquisiciones, se considera un documento de carácter estimativo que tiene entre otras finalidades, la de “servir como referente inicial para evaluar la ejecución de presupuesto y pronosticar la demanda de bienes y servicios de la entidad durante el año referido del plan”.</w:t>
            </w:r>
          </w:p>
          <w:p w14:paraId="1497AECD" w14:textId="77777777" w:rsidR="00B66025" w:rsidRPr="00F50E68" w:rsidRDefault="00B66025" w:rsidP="00B945AC">
            <w:pPr>
              <w:tabs>
                <w:tab w:val="left" w:pos="7237"/>
              </w:tabs>
              <w:snapToGrid w:val="0"/>
              <w:spacing w:before="120" w:line="276" w:lineRule="auto"/>
              <w:jc w:val="both"/>
              <w:rPr>
                <w:rFonts w:ascii="Verdana" w:eastAsia="Calibri" w:hAnsi="Verdana" w:cs="Arial"/>
              </w:rPr>
            </w:pPr>
            <w:proofErr w:type="spellStart"/>
            <w:r w:rsidRPr="00F50E68">
              <w:rPr>
                <w:rFonts w:ascii="Verdana" w:eastAsia="Calibri" w:hAnsi="Verdana" w:cs="Arial"/>
              </w:rPr>
              <w:t>ii</w:t>
            </w:r>
            <w:proofErr w:type="spellEnd"/>
            <w:r w:rsidRPr="00F50E68">
              <w:rPr>
                <w:rFonts w:ascii="Verdana" w:eastAsia="Calibri" w:hAnsi="Verdana" w:cs="Arial"/>
              </w:rPr>
              <w:t xml:space="preserve">) A la luz de lo dispuesto en el artículo 2.2.1.1.1.4.1 del Decreto 1082 de 2015, el Plan Anual de Adquisiciones debe contener un listado de lo que la entidad adquirirá durante el año, para satisfacer su necesidad de bienes, obras o servicios, y que debe contener información desagregada, principalmente en los siguientes aspectos: : i) identificación con el clasificador de bienes y </w:t>
            </w:r>
            <w:r w:rsidRPr="00F50E68">
              <w:rPr>
                <w:rFonts w:ascii="Verdana" w:eastAsia="Calibri" w:hAnsi="Verdana" w:cs="Arial"/>
              </w:rPr>
              <w:lastRenderedPageBreak/>
              <w:t xml:space="preserve">servicios, </w:t>
            </w:r>
            <w:proofErr w:type="spellStart"/>
            <w:r w:rsidRPr="00F50E68">
              <w:rPr>
                <w:rFonts w:ascii="Verdana" w:eastAsia="Calibri" w:hAnsi="Verdana" w:cs="Arial"/>
              </w:rPr>
              <w:t>ii</w:t>
            </w:r>
            <w:proofErr w:type="spellEnd"/>
            <w:r w:rsidRPr="00F50E68">
              <w:rPr>
                <w:rFonts w:ascii="Verdana" w:eastAsia="Calibri" w:hAnsi="Verdana" w:cs="Arial"/>
              </w:rPr>
              <w:t xml:space="preserve">) valor estimado del contrato, </w:t>
            </w:r>
            <w:proofErr w:type="spellStart"/>
            <w:r w:rsidRPr="00F50E68">
              <w:rPr>
                <w:rFonts w:ascii="Verdana" w:eastAsia="Calibri" w:hAnsi="Verdana" w:cs="Arial"/>
              </w:rPr>
              <w:t>iii</w:t>
            </w:r>
            <w:proofErr w:type="spellEnd"/>
            <w:r w:rsidRPr="00F50E68">
              <w:rPr>
                <w:rFonts w:ascii="Verdana" w:eastAsia="Calibri" w:hAnsi="Verdana" w:cs="Arial"/>
              </w:rPr>
              <w:t xml:space="preserve">) tipo de recursos, </w:t>
            </w:r>
            <w:proofErr w:type="spellStart"/>
            <w:r w:rsidRPr="00F50E68">
              <w:rPr>
                <w:rFonts w:ascii="Verdana" w:eastAsia="Calibri" w:hAnsi="Verdana" w:cs="Arial"/>
              </w:rPr>
              <w:t>iv</w:t>
            </w:r>
            <w:proofErr w:type="spellEnd"/>
            <w:r w:rsidRPr="00F50E68">
              <w:rPr>
                <w:rFonts w:ascii="Verdana" w:eastAsia="Calibri" w:hAnsi="Verdana" w:cs="Arial"/>
              </w:rPr>
              <w:t>) modalidad de selección y v) fecha de inicio del proceso contractual.</w:t>
            </w:r>
          </w:p>
          <w:p w14:paraId="1A19A087" w14:textId="77777777" w:rsidR="00B66025" w:rsidRPr="00F50E68" w:rsidRDefault="00B66025" w:rsidP="00B945AC">
            <w:pPr>
              <w:snapToGrid w:val="0"/>
              <w:spacing w:before="120" w:line="276" w:lineRule="auto"/>
              <w:ind w:firstLine="709"/>
              <w:jc w:val="both"/>
              <w:rPr>
                <w:rFonts w:ascii="Verdana" w:eastAsia="Calibri" w:hAnsi="Verdana" w:cs="Arial"/>
              </w:rPr>
            </w:pPr>
            <w:r w:rsidRPr="00F50E68">
              <w:rPr>
                <w:rFonts w:ascii="Verdana" w:eastAsia="Calibri" w:hAnsi="Verdana" w:cs="Arial"/>
              </w:rPr>
              <w:t xml:space="preserve">En ese sentido, la norma citada dispone que el Plan Anual de Adquisiciones tiene un contenido esencial –la lista de bienes, obras y servicios que la entidad pretenda adquirir–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p>
          <w:p w14:paraId="64301B68" w14:textId="77777777" w:rsidR="00B66025" w:rsidRPr="00F50E68" w:rsidRDefault="00B66025" w:rsidP="00B945AC">
            <w:pPr>
              <w:snapToGrid w:val="0"/>
              <w:spacing w:before="120" w:line="276" w:lineRule="auto"/>
              <w:jc w:val="both"/>
              <w:rPr>
                <w:rFonts w:ascii="Verdana" w:eastAsia="Calibri" w:hAnsi="Verdana" w:cs="Arial"/>
              </w:rPr>
            </w:pPr>
            <w:proofErr w:type="spellStart"/>
            <w:r w:rsidRPr="00F50E68">
              <w:rPr>
                <w:rFonts w:ascii="Verdana" w:eastAsia="Calibri" w:hAnsi="Verdana" w:cs="Arial"/>
              </w:rPr>
              <w:t>iii</w:t>
            </w:r>
            <w:proofErr w:type="spellEnd"/>
            <w:r w:rsidRPr="00F50E68">
              <w:rPr>
                <w:rFonts w:ascii="Verdana" w:eastAsia="Calibri" w:hAnsi="Verdana" w:cs="Arial"/>
              </w:rPr>
              <w:t>) Sobre el particular se precisa, que de acuerdo con lo dispuesto en el artículo.2.1.1.1.4.4. del Decreto 1082 de 2015, las Entidades Estatales tienen el deber de actualizar el Plan Anual de Adquisiciones, una vez al año cuando menos, pues el contenido inicial de este no es rígido ni inmodificable y, en consecuencia, por la misma dinámica de la actividad contractual de la Administración, estos datos necesariamente tendrán que modificarse. Además, la norma no limita la actualización del plan a un tope máximo, pero estableció un número mínimo, pues indicó que debían actualizarlo por lo menos una vez durante su vigencia.</w:t>
            </w:r>
          </w:p>
          <w:p w14:paraId="24983FBF" w14:textId="77777777" w:rsidR="00B66025" w:rsidRPr="00F50E68" w:rsidRDefault="00B66025" w:rsidP="00B945AC">
            <w:pPr>
              <w:snapToGrid w:val="0"/>
              <w:spacing w:before="120" w:line="276" w:lineRule="auto"/>
              <w:ind w:firstLine="709"/>
              <w:jc w:val="both"/>
              <w:rPr>
                <w:rFonts w:ascii="Verdana" w:eastAsia="Calibri" w:hAnsi="Verdana" w:cs="Arial"/>
              </w:rPr>
            </w:pPr>
            <w:r w:rsidRPr="00F50E68">
              <w:rPr>
                <w:rFonts w:ascii="Verdana" w:eastAsia="Calibri" w:hAnsi="Verdana" w:cs="Arial"/>
              </w:rPr>
              <w:t xml:space="preserve">En ese sentido, el inciso segundo (2) del artículo citado estableció cuatro (4) eventos en los que procede actualizar el Plan Anual de Adquisiciones: i) ajustes en los cronogramas de adquisición, valores, modalidad de selección y origen de los recursos; </w:t>
            </w:r>
            <w:proofErr w:type="spellStart"/>
            <w:r w:rsidRPr="00F50E68">
              <w:rPr>
                <w:rFonts w:ascii="Verdana" w:eastAsia="Calibri" w:hAnsi="Verdana" w:cs="Arial"/>
              </w:rPr>
              <w:t>ii</w:t>
            </w:r>
            <w:proofErr w:type="spellEnd"/>
            <w:r w:rsidRPr="00F50E68">
              <w:rPr>
                <w:rFonts w:ascii="Verdana" w:eastAsia="Calibri" w:hAnsi="Verdana" w:cs="Arial"/>
              </w:rPr>
              <w:t xml:space="preserve">) para incluir nuevas obras, bienes o servicios; </w:t>
            </w:r>
            <w:proofErr w:type="spellStart"/>
            <w:r w:rsidRPr="00F50E68">
              <w:rPr>
                <w:rFonts w:ascii="Verdana" w:eastAsia="Calibri" w:hAnsi="Verdana" w:cs="Arial"/>
              </w:rPr>
              <w:t>iii</w:t>
            </w:r>
            <w:proofErr w:type="spellEnd"/>
            <w:r w:rsidRPr="00F50E68">
              <w:rPr>
                <w:rFonts w:ascii="Verdana" w:eastAsia="Calibri" w:hAnsi="Verdana" w:cs="Arial"/>
              </w:rPr>
              <w:t xml:space="preserve">) excluir obras, bienes o servicios y </w:t>
            </w:r>
            <w:proofErr w:type="spellStart"/>
            <w:r w:rsidRPr="00F50E68">
              <w:rPr>
                <w:rFonts w:ascii="Verdana" w:eastAsia="Calibri" w:hAnsi="Verdana" w:cs="Arial"/>
              </w:rPr>
              <w:t>iv</w:t>
            </w:r>
            <w:proofErr w:type="spellEnd"/>
            <w:r w:rsidRPr="00F50E68">
              <w:rPr>
                <w:rFonts w:ascii="Verdana" w:eastAsia="Calibri" w:hAnsi="Verdana" w:cs="Arial"/>
              </w:rPr>
              <w:t>) modificar el presupuesto anual de adquisiciones. El inciso citado solo estableció los eventos en los que tiene que actualizarse, sin limitar la modificación a ciertos topes, como, por ejemplo, aumentar o disminuir valores. La norma no enfatizó en este punto, por lo cual, en principio, podrá modificarse.</w:t>
            </w:r>
          </w:p>
          <w:p w14:paraId="7FD2497D" w14:textId="77777777" w:rsidR="00B66025" w:rsidRPr="00F50E68" w:rsidRDefault="00B66025" w:rsidP="00B945AC">
            <w:pPr>
              <w:spacing w:before="120" w:after="120" w:line="276" w:lineRule="auto"/>
              <w:jc w:val="both"/>
              <w:rPr>
                <w:rFonts w:ascii="Verdana" w:eastAsia="Calibri" w:hAnsi="Verdana" w:cs="Arial"/>
              </w:rPr>
            </w:pPr>
            <w:r w:rsidRPr="00F50E68">
              <w:rPr>
                <w:rFonts w:ascii="Verdana" w:eastAsia="Calibri" w:hAnsi="Verdana" w:cs="Arial"/>
              </w:rPr>
              <w:t xml:space="preserve">Finalmente, debe advertirse que el análisis requerido para resolver problemas específicos en torno a la elaboración del PAA,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w:t>
            </w:r>
            <w:r w:rsidRPr="00F50E68">
              <w:rPr>
                <w:rFonts w:ascii="Verdana" w:eastAsia="Calibri" w:hAnsi="Verdana" w:cs="Arial"/>
              </w:rPr>
              <w:lastRenderedPageBreak/>
              <w:t xml:space="preserve">a los interesados de adoptar la decisión y, en caso de conflicto, a las autoridades judiciales, fiscales y disciplinarias.  </w:t>
            </w:r>
          </w:p>
        </w:tc>
      </w:tr>
      <w:bookmarkEnd w:id="2"/>
    </w:tbl>
    <w:p w14:paraId="40985FBF" w14:textId="77777777" w:rsidR="00B66025" w:rsidRPr="00F50E68" w:rsidRDefault="00B66025" w:rsidP="00B66025">
      <w:pPr>
        <w:tabs>
          <w:tab w:val="left" w:pos="142"/>
          <w:tab w:val="left" w:pos="967"/>
        </w:tabs>
        <w:spacing w:after="0" w:line="276" w:lineRule="auto"/>
        <w:jc w:val="both"/>
        <w:rPr>
          <w:rFonts w:ascii="Verdana" w:eastAsia="Century Gothic" w:hAnsi="Verdana" w:cs="Century Gothic"/>
          <w:b/>
          <w:bCs/>
          <w:lang w:val="es-ES"/>
        </w:rPr>
      </w:pPr>
    </w:p>
    <w:p w14:paraId="309E060B" w14:textId="77777777" w:rsidR="00B66025" w:rsidRPr="00F50E68" w:rsidRDefault="00B66025" w:rsidP="00B66025">
      <w:pPr>
        <w:widowControl w:val="0"/>
        <w:autoSpaceDE w:val="0"/>
        <w:autoSpaceDN w:val="0"/>
        <w:spacing w:before="1" w:after="0" w:line="240" w:lineRule="auto"/>
        <w:ind w:left="360" w:hanging="360"/>
        <w:outlineLvl w:val="0"/>
        <w:rPr>
          <w:rFonts w:ascii="Verdana" w:eastAsia="Arial" w:hAnsi="Verdana" w:cs="Arial"/>
          <w:b/>
          <w:bCs/>
          <w:lang w:val="es-ES"/>
        </w:rPr>
      </w:pPr>
      <w:r w:rsidRPr="00F50E68">
        <w:rPr>
          <w:rFonts w:ascii="Verdana" w:eastAsia="Arial" w:hAnsi="Verdana" w:cs="Arial"/>
          <w:b/>
          <w:bCs/>
          <w:lang w:val="es-ES"/>
        </w:rPr>
        <w:t>3. Razones de la respuesta</w:t>
      </w:r>
    </w:p>
    <w:p w14:paraId="395A9DCD" w14:textId="77777777" w:rsidR="00B66025" w:rsidRPr="00F50E68" w:rsidRDefault="00B66025" w:rsidP="00B66025">
      <w:pPr>
        <w:spacing w:after="0" w:line="276" w:lineRule="auto"/>
        <w:jc w:val="both"/>
        <w:rPr>
          <w:rFonts w:ascii="Verdana" w:eastAsia="Calibri" w:hAnsi="Verdana" w:cs="Arial"/>
          <w:lang w:val="es-ES"/>
        </w:rPr>
      </w:pPr>
    </w:p>
    <w:p w14:paraId="64649816" w14:textId="77777777" w:rsidR="00B66025" w:rsidRPr="00F50E68" w:rsidRDefault="00B66025" w:rsidP="00B66025">
      <w:pPr>
        <w:spacing w:after="0" w:line="276" w:lineRule="auto"/>
        <w:jc w:val="both"/>
        <w:rPr>
          <w:rFonts w:ascii="Verdana" w:eastAsia="Calibri" w:hAnsi="Verdana" w:cs="Arial"/>
          <w:lang w:val="es-ES"/>
        </w:rPr>
      </w:pPr>
      <w:r w:rsidRPr="00F50E68">
        <w:rPr>
          <w:rFonts w:ascii="Verdana" w:eastAsia="Calibri" w:hAnsi="Verdana" w:cs="Arial"/>
          <w:lang w:val="es-ES"/>
        </w:rPr>
        <w:t xml:space="preserve">La respuesta anterior se sustenta en las siguientes consideraciones: </w:t>
      </w:r>
    </w:p>
    <w:p w14:paraId="022B834D" w14:textId="77777777" w:rsidR="00B66025" w:rsidRPr="00F50E68" w:rsidRDefault="00B66025" w:rsidP="00B66025">
      <w:pPr>
        <w:spacing w:after="0" w:line="276" w:lineRule="auto"/>
        <w:jc w:val="both"/>
        <w:rPr>
          <w:rFonts w:ascii="Verdana" w:eastAsia="Calibri" w:hAnsi="Verdana" w:cs="Arial"/>
          <w:lang w:val="es-ES"/>
        </w:rPr>
      </w:pPr>
    </w:p>
    <w:p w14:paraId="5A58C563" w14:textId="77777777" w:rsidR="00B66025" w:rsidRPr="00F50E68" w:rsidRDefault="00B66025" w:rsidP="00B66025">
      <w:pPr>
        <w:spacing w:after="0" w:line="276" w:lineRule="auto"/>
        <w:contextualSpacing/>
        <w:jc w:val="both"/>
        <w:rPr>
          <w:rFonts w:ascii="Verdana" w:eastAsia="Calibri" w:hAnsi="Verdana" w:cs="Arial"/>
        </w:rPr>
      </w:pPr>
      <w:r w:rsidRPr="00F50E68">
        <w:rPr>
          <w:rFonts w:ascii="Verdana" w:eastAsia="Calibri" w:hAnsi="Verdana" w:cs="Arial"/>
        </w:rPr>
        <w:t>La Guía para elaborar el Plan Anual de Adquisiciones</w:t>
      </w:r>
      <w:r w:rsidRPr="00F50E68">
        <w:rPr>
          <w:rFonts w:ascii="Verdana" w:eastAsia="Calibri" w:hAnsi="Verdana" w:cs="Arial"/>
          <w:vertAlign w:val="superscript"/>
        </w:rPr>
        <w:footnoteReference w:id="1"/>
      </w:r>
      <w:r w:rsidRPr="00F50E68">
        <w:rPr>
          <w:rFonts w:ascii="Verdana" w:eastAsia="Calibri" w:hAnsi="Verdana" w:cs="Arial"/>
        </w:rPr>
        <w:t xml:space="preserve"> de esta Agencia, define al Plan Anual de Adquisiciones, en adelante PAA como “un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Sin perjuicio de lo anterior, el PAA no restringe las decisiones en la contratación que habrán de adoptarse dentro de la anualidad respectiva, por lo que se considera un documento de carácter estimativo que tiene entre otras finalidades, la de “servir como referente inicial para evaluar la ejecución de presupuesto y pronosticar la demanda de bienes y servicios de la entidad durante el año referido del plan”</w:t>
      </w:r>
      <w:r w:rsidRPr="00F50E68">
        <w:rPr>
          <w:rFonts w:ascii="Verdana" w:eastAsia="Aptos" w:hAnsi="Verdana" w:cs="Times New Roman"/>
          <w:color w:val="000000"/>
          <w:vertAlign w:val="superscript"/>
        </w:rPr>
        <w:footnoteReference w:id="2"/>
      </w:r>
      <w:r w:rsidRPr="00F50E68">
        <w:rPr>
          <w:rFonts w:ascii="Verdana" w:eastAsia="Calibri" w:hAnsi="Verdana" w:cs="Arial"/>
        </w:rPr>
        <w:t>.</w:t>
      </w:r>
    </w:p>
    <w:p w14:paraId="1A994B73" w14:textId="77777777" w:rsidR="00B66025" w:rsidRPr="00F50E68" w:rsidRDefault="00B66025" w:rsidP="00B66025">
      <w:pPr>
        <w:tabs>
          <w:tab w:val="left" w:pos="0"/>
        </w:tabs>
        <w:spacing w:before="120" w:after="120" w:line="276" w:lineRule="auto"/>
        <w:jc w:val="both"/>
        <w:rPr>
          <w:rFonts w:ascii="Verdana" w:eastAsia="Calibri" w:hAnsi="Verdana" w:cs="Arial"/>
          <w:lang w:val="es-ES"/>
        </w:rPr>
      </w:pPr>
      <w:r w:rsidRPr="00F50E68">
        <w:rPr>
          <w:rFonts w:ascii="Verdana" w:eastAsia="Calibri" w:hAnsi="Verdana" w:cs="Arial"/>
          <w:lang w:val="es-ES"/>
        </w:rPr>
        <w:tab/>
        <w:t xml:space="preserve">De acuerdo con el artículo </w:t>
      </w:r>
      <w:r w:rsidRPr="00F50E68">
        <w:rPr>
          <w:rFonts w:ascii="Verdana" w:eastAsia="Calibri" w:hAnsi="Verdana" w:cs="Arial"/>
          <w:kern w:val="2"/>
          <w14:ligatures w14:val="standardContextual"/>
        </w:rPr>
        <w:t>2.2.1.1.1.3.1 del Decreto 1082 de 2015, el PAA es el plan general de compras al que se refiere el artículo 74 de la Ley 1474 de 2011 y el plan de compras al que se refiere la Ley Anual de Presupuesto. Asimismo, el artículo 2.1.1.1.3.1 del Decreto 1082 de 2015 lo define como un instrumento de planeación contractual que las Entidades Estatales debe diligenciar, publicar y actualizar.</w:t>
      </w:r>
      <w:r w:rsidRPr="00F50E68">
        <w:rPr>
          <w:rFonts w:ascii="Verdana" w:eastAsia="Calibri" w:hAnsi="Verdana" w:cs="Arial"/>
          <w:lang w:val="es-ES"/>
        </w:rPr>
        <w:t xml:space="preserve"> En particular, el artículo 74 de la Ley 1474 de 2011 dispone que “todas las entidades del Estado” deben publicar, a más tardar el 31</w:t>
      </w:r>
      <w:r w:rsidRPr="00F50E68">
        <w:rPr>
          <w:rFonts w:ascii="Verdana" w:eastAsia="Calibri" w:hAnsi="Verdana" w:cs="Arial"/>
          <w:lang w:val="es-ES_tradnl"/>
        </w:rPr>
        <w:t xml:space="preserve"> de enero de cada año, en su respectiva página web, el plan de acción, en el cual se incluye el plan general de compras</w:t>
      </w:r>
      <w:r w:rsidRPr="00F50E68">
        <w:rPr>
          <w:rFonts w:ascii="Verdana" w:eastAsia="Calibri" w:hAnsi="Verdana" w:cs="Arial"/>
          <w:vertAlign w:val="superscript"/>
          <w:lang w:val="es-ES_tradnl"/>
        </w:rPr>
        <w:footnoteReference w:id="3"/>
      </w:r>
      <w:r w:rsidRPr="00F50E68">
        <w:rPr>
          <w:rFonts w:ascii="Verdana" w:eastAsia="Calibri" w:hAnsi="Verdana" w:cs="Arial"/>
          <w:lang w:val="es-ES_tradnl"/>
        </w:rPr>
        <w:t xml:space="preserve">. Como ya se indicó, el plan general </w:t>
      </w:r>
      <w:r w:rsidRPr="00F50E68">
        <w:rPr>
          <w:rFonts w:ascii="Verdana" w:eastAsia="Calibri" w:hAnsi="Verdana" w:cs="Arial"/>
          <w:lang w:val="es-ES_tradnl"/>
        </w:rPr>
        <w:lastRenderedPageBreak/>
        <w:t>de compras para el ordenamiento vigente corresponde con el concepto de Plan Anual de Adquisiciones como lo establece el artículo 2.2.1.1.1.3.1. del Decreto 1082 de 2015</w:t>
      </w:r>
      <w:r w:rsidRPr="00F50E68">
        <w:rPr>
          <w:rFonts w:ascii="Verdana" w:eastAsia="Calibri" w:hAnsi="Verdana" w:cs="Arial"/>
          <w:vertAlign w:val="superscript"/>
          <w:lang w:val="es-ES_tradnl"/>
        </w:rPr>
        <w:footnoteReference w:id="4"/>
      </w:r>
      <w:r w:rsidRPr="00F50E68">
        <w:rPr>
          <w:rFonts w:ascii="Verdana" w:eastAsia="Calibri" w:hAnsi="Verdana" w:cs="Arial"/>
          <w:lang w:val="es-ES_tradnl"/>
        </w:rPr>
        <w:t xml:space="preserve">.  </w:t>
      </w:r>
    </w:p>
    <w:p w14:paraId="05F03526" w14:textId="77777777" w:rsidR="00B66025" w:rsidRPr="00F50E68" w:rsidRDefault="00B66025" w:rsidP="00B66025">
      <w:pPr>
        <w:tabs>
          <w:tab w:val="left" w:pos="0"/>
        </w:tabs>
        <w:spacing w:line="276" w:lineRule="auto"/>
        <w:jc w:val="both"/>
        <w:rPr>
          <w:rFonts w:ascii="Verdana" w:eastAsia="Calibri" w:hAnsi="Verdana" w:cs="Arial"/>
          <w:lang w:val="es-ES"/>
        </w:rPr>
      </w:pPr>
      <w:r w:rsidRPr="00F50E68">
        <w:rPr>
          <w:rFonts w:ascii="Verdana" w:eastAsia="Calibri" w:hAnsi="Verdana" w:cs="Arial"/>
          <w:lang w:val="es-ES"/>
        </w:rPr>
        <w:tab/>
        <w:t xml:space="preserve">Además, de acuerdo con el artículo </w:t>
      </w:r>
      <w:r w:rsidRPr="00F50E68">
        <w:rPr>
          <w:rFonts w:ascii="Verdana" w:eastAsia="Calibri" w:hAnsi="Verdana" w:cs="Arial"/>
          <w:lang w:val="es-ES_tradnl"/>
        </w:rPr>
        <w:t>2.2.1.1.1.4.3 ibidem</w:t>
      </w:r>
      <w:r w:rsidRPr="00F50E68">
        <w:rPr>
          <w:rFonts w:ascii="Verdana" w:eastAsia="Calibri" w:hAnsi="Verdana" w:cs="Arial"/>
          <w:i/>
          <w:iCs/>
          <w:lang w:val="es-ES_tradnl"/>
        </w:rPr>
        <w:t xml:space="preserve">, </w:t>
      </w:r>
      <w:r w:rsidRPr="00F50E68">
        <w:rPr>
          <w:rFonts w:ascii="Verdana" w:eastAsia="Calibri" w:hAnsi="Verdana" w:cs="Arial"/>
          <w:lang w:val="es-ES_tradnl"/>
        </w:rPr>
        <w:t>el PAA también debe publicarse en el SECOP</w:t>
      </w:r>
      <w:r w:rsidRPr="00F50E68">
        <w:rPr>
          <w:rFonts w:ascii="Verdana" w:eastAsia="Calibri" w:hAnsi="Verdana" w:cs="Arial"/>
          <w:vertAlign w:val="superscript"/>
        </w:rPr>
        <w:footnoteReference w:id="5"/>
      </w:r>
      <w:r w:rsidRPr="00F50E68">
        <w:rPr>
          <w:rFonts w:ascii="Verdana" w:eastAsia="Calibri" w:hAnsi="Verdana" w:cs="Arial"/>
          <w:lang w:val="es-ES"/>
        </w:rPr>
        <w:t>. Se trata de una obligación que involucra a todas las Entidades del Estado sin importar la rama a la cual pertenecen, o si se trata de entidades descentralizadas territorialmente o por servicios; las empresas del Estado y las sociedades en las que el Estado tenga participación, sin que importe su monto.</w:t>
      </w:r>
    </w:p>
    <w:p w14:paraId="6B33B963" w14:textId="77777777" w:rsidR="00B66025" w:rsidRPr="00F50E68" w:rsidRDefault="00B66025" w:rsidP="00B66025">
      <w:pPr>
        <w:tabs>
          <w:tab w:val="left" w:pos="0"/>
        </w:tabs>
        <w:spacing w:line="276" w:lineRule="auto"/>
        <w:jc w:val="both"/>
        <w:rPr>
          <w:rStyle w:val="normaltextrun"/>
          <w:rFonts w:ascii="Verdana" w:hAnsi="Verdana" w:cs="Arial"/>
          <w:lang w:val="es-ES"/>
        </w:rPr>
      </w:pPr>
      <w:r w:rsidRPr="00F50E68">
        <w:rPr>
          <w:rFonts w:ascii="Verdana" w:eastAsia="Calibri" w:hAnsi="Verdana" w:cs="Arial"/>
          <w:kern w:val="2"/>
          <w14:ligatures w14:val="standardContextual"/>
        </w:rPr>
        <w:tab/>
        <w:t xml:space="preserve">Ahora bien, teniendo en cuenta que </w:t>
      </w:r>
      <w:r w:rsidRPr="00F50E68">
        <w:rPr>
          <w:rStyle w:val="normaltextrun"/>
          <w:rFonts w:ascii="Verdana" w:hAnsi="Verdana" w:cs="Arial"/>
          <w:lang w:val="es-ES"/>
        </w:rPr>
        <w:t xml:space="preserve">el artículo 2.1.1.2.1.10 del Decreto 1082 de 2015 dispone que los sujetos obligados que contraten con cargo a recursos públicos tienen la obligación de publicar el PAA en el SECOP, se sugiere consultar los lineamientos dispuestos por esta Agencia en el documento denominado “Plan Anual de Adquisiciones en SECOP II – Creación y publicación del PAA” disponible </w:t>
      </w:r>
      <w:hyperlink r:id="rId13" w:history="1">
        <w:r w:rsidRPr="00F50E68">
          <w:rPr>
            <w:rStyle w:val="Hipervnculo"/>
            <w:rFonts w:ascii="Verdana" w:hAnsi="Verdana" w:cs="Arial"/>
            <w:lang w:val="es-ES"/>
          </w:rPr>
          <w:t>aquí</w:t>
        </w:r>
      </w:hyperlink>
    </w:p>
    <w:p w14:paraId="3A5BE8DA" w14:textId="77777777" w:rsidR="00B66025" w:rsidRPr="00F50E68" w:rsidRDefault="00B66025" w:rsidP="00B66025">
      <w:pPr>
        <w:spacing w:before="120" w:after="0" w:line="276" w:lineRule="auto"/>
        <w:ind w:firstLine="708"/>
        <w:jc w:val="both"/>
        <w:rPr>
          <w:rFonts w:ascii="Verdana" w:hAnsi="Verdana" w:cs="Arial"/>
          <w:lang w:val="es-ES"/>
        </w:rPr>
      </w:pPr>
      <w:r w:rsidRPr="00F50E68">
        <w:rPr>
          <w:rFonts w:ascii="Verdana" w:hAnsi="Verdana" w:cs="Arial"/>
          <w:lang w:val="es-ES"/>
        </w:rPr>
        <w:t xml:space="preserve">Adicionalmente se aclara, que los sujetos que no contratan con cargo a recursos públicos no están obligados a publicarlo, mientras que aquellos que </w:t>
      </w:r>
      <w:r w:rsidRPr="00F50E68">
        <w:rPr>
          <w:rFonts w:ascii="Verdana" w:hAnsi="Verdana" w:cs="Arial"/>
          <w:lang w:val="es-ES"/>
        </w:rPr>
        <w:lastRenderedPageBreak/>
        <w:t>contratan tanto con cargo a recursos públicos como con aquellos que no tienen esta naturaleza, solamente están obligados a publicar el PAA para los recursos de carácter público que se ejecutarán duranta la vigencia fiscal.</w:t>
      </w:r>
    </w:p>
    <w:p w14:paraId="7300BD99" w14:textId="77777777" w:rsidR="00B66025" w:rsidRPr="00F50E68" w:rsidRDefault="00B66025" w:rsidP="00B66025">
      <w:pPr>
        <w:spacing w:before="120" w:after="120" w:line="276" w:lineRule="auto"/>
        <w:jc w:val="both"/>
        <w:rPr>
          <w:rFonts w:ascii="Verdana" w:eastAsia="Calibri" w:hAnsi="Verdana" w:cs="Arial"/>
          <w:sz w:val="24"/>
          <w:szCs w:val="24"/>
          <w:lang w:val="es-ES" w:eastAsia="es-ES_tradnl"/>
        </w:rPr>
      </w:pPr>
      <w:r w:rsidRPr="00F50E68">
        <w:rPr>
          <w:rFonts w:ascii="Verdana" w:eastAsia="Calibri" w:hAnsi="Verdana" w:cs="Arial"/>
          <w:lang w:val="es-ES"/>
        </w:rPr>
        <w:tab/>
      </w:r>
      <w:r w:rsidRPr="00F50E68">
        <w:rPr>
          <w:rStyle w:val="normaltextrun"/>
          <w:rFonts w:ascii="Verdana" w:hAnsi="Verdana" w:cs="Arial"/>
          <w:lang w:val="es-ES"/>
        </w:rPr>
        <w:t>Teniendo en claro lo anterior, el artículo 2.2.1.1.1.4.1 del Decreto 1082 de 2015 establece el deber de elaborar el PAA, que debe contener un listado de lo que la entidad adquirirá durante el año, para satisfacer su necesidad de bienes, obras o servicios, y que debe tener la información desagregada, principalmente en los siguientes aspectos</w:t>
      </w:r>
      <w:r w:rsidRPr="00F50E68">
        <w:rPr>
          <w:rFonts w:ascii="Verdana" w:eastAsia="Calibri" w:hAnsi="Verdana" w:cs="Arial"/>
          <w:lang w:val="es-ES" w:eastAsia="es-ES_tradnl"/>
        </w:rPr>
        <w:t xml:space="preserve">: i) identificación con el clasificador de bienes y servicios, </w:t>
      </w:r>
      <w:proofErr w:type="spellStart"/>
      <w:r w:rsidRPr="00F50E68">
        <w:rPr>
          <w:rFonts w:ascii="Verdana" w:eastAsia="Calibri" w:hAnsi="Verdana" w:cs="Arial"/>
          <w:lang w:val="es-ES" w:eastAsia="es-ES_tradnl"/>
        </w:rPr>
        <w:t>ii</w:t>
      </w:r>
      <w:proofErr w:type="spellEnd"/>
      <w:r w:rsidRPr="00F50E68">
        <w:rPr>
          <w:rFonts w:ascii="Verdana" w:eastAsia="Calibri" w:hAnsi="Verdana" w:cs="Arial"/>
          <w:lang w:val="es-ES" w:eastAsia="es-ES_tradnl"/>
        </w:rPr>
        <w:t xml:space="preserve">) valor estimado del contrato, </w:t>
      </w:r>
      <w:proofErr w:type="spellStart"/>
      <w:r w:rsidRPr="00F50E68">
        <w:rPr>
          <w:rFonts w:ascii="Verdana" w:eastAsia="Calibri" w:hAnsi="Verdana" w:cs="Arial"/>
          <w:lang w:val="es-ES" w:eastAsia="es-ES_tradnl"/>
        </w:rPr>
        <w:t>iii</w:t>
      </w:r>
      <w:proofErr w:type="spellEnd"/>
      <w:r w:rsidRPr="00F50E68">
        <w:rPr>
          <w:rFonts w:ascii="Verdana" w:eastAsia="Calibri" w:hAnsi="Verdana" w:cs="Arial"/>
          <w:lang w:val="es-ES" w:eastAsia="es-ES_tradnl"/>
        </w:rPr>
        <w:t xml:space="preserve">) tipo de recursos, </w:t>
      </w:r>
      <w:proofErr w:type="spellStart"/>
      <w:r w:rsidRPr="00F50E68">
        <w:rPr>
          <w:rFonts w:ascii="Verdana" w:eastAsia="Calibri" w:hAnsi="Verdana" w:cs="Arial"/>
          <w:lang w:val="es-ES" w:eastAsia="es-ES_tradnl"/>
        </w:rPr>
        <w:t>iv</w:t>
      </w:r>
      <w:proofErr w:type="spellEnd"/>
      <w:r w:rsidRPr="00F50E68">
        <w:rPr>
          <w:rFonts w:ascii="Verdana" w:eastAsia="Calibri" w:hAnsi="Verdana" w:cs="Arial"/>
          <w:lang w:val="es-ES" w:eastAsia="es-ES_tradnl"/>
        </w:rPr>
        <w:t>) modalidad de selección y v) fecha de inicio del proceso contractual</w:t>
      </w:r>
      <w:r w:rsidRPr="00F50E68">
        <w:rPr>
          <w:rFonts w:ascii="Verdana" w:eastAsia="Calibri" w:hAnsi="Verdana" w:cs="Arial"/>
          <w:vertAlign w:val="superscript"/>
          <w:lang w:eastAsia="es-ES_tradnl"/>
        </w:rPr>
        <w:footnoteReference w:id="6"/>
      </w:r>
      <w:r w:rsidRPr="00F50E68">
        <w:rPr>
          <w:rFonts w:ascii="Verdana" w:eastAsia="Calibri" w:hAnsi="Verdana" w:cs="Arial"/>
          <w:lang w:val="es-ES" w:eastAsia="es-ES_tradnl"/>
        </w:rPr>
        <w:t>.</w:t>
      </w:r>
    </w:p>
    <w:p w14:paraId="7E767E94" w14:textId="77777777" w:rsidR="00B66025" w:rsidRPr="00F50E68" w:rsidRDefault="00B66025" w:rsidP="00B66025">
      <w:pPr>
        <w:tabs>
          <w:tab w:val="left" w:pos="0"/>
        </w:tabs>
        <w:spacing w:line="276" w:lineRule="auto"/>
        <w:jc w:val="both"/>
        <w:rPr>
          <w:rFonts w:ascii="Verdana" w:eastAsia="Calibri" w:hAnsi="Verdana" w:cs="Arial"/>
          <w:lang w:val="es-ES"/>
        </w:rPr>
      </w:pPr>
      <w:r w:rsidRPr="00F50E68">
        <w:rPr>
          <w:rFonts w:ascii="Verdana" w:eastAsia="Calibri" w:hAnsi="Verdana" w:cs="Arial"/>
          <w:lang w:val="es-ES"/>
        </w:rPr>
        <w:tab/>
        <w:t>Con relación a la configuración de dicho listado, en primer lugar, es necesario resaltar que el objetivo del PAA es indicar los bienes, obras y servicios que la entidad pretende adquirir, sin consideración a la forma en que estos se obtendrán, pues es el criterio de necesidad de aquellos el que fundamenta la inclusión o no en la lista del plan y no el carácter pecuniario de este ni su modalidad de contratación. Por tanto, bastará con que la entidad identifique la necesidad contractual para que deba incluirlo en el listado.</w:t>
      </w:r>
    </w:p>
    <w:p w14:paraId="22E2F877" w14:textId="77777777" w:rsidR="00B66025" w:rsidRPr="00F50E68" w:rsidRDefault="00B66025" w:rsidP="00B66025">
      <w:pPr>
        <w:spacing w:after="120" w:line="276" w:lineRule="auto"/>
        <w:ind w:firstLine="703"/>
        <w:jc w:val="both"/>
        <w:textAlignment w:val="baseline"/>
        <w:rPr>
          <w:rFonts w:ascii="Verdana" w:eastAsia="Times New Roman" w:hAnsi="Verdana" w:cs="Segoe UI"/>
          <w:lang w:eastAsia="es-CO"/>
        </w:rPr>
      </w:pPr>
      <w:r w:rsidRPr="00F50E68">
        <w:rPr>
          <w:rFonts w:ascii="Verdana" w:eastAsia="Times New Roman" w:hAnsi="Verdana" w:cs="Arial"/>
          <w:lang w:val="es-ES" w:eastAsia="es-CO"/>
        </w:rPr>
        <w:t xml:space="preserve">Un interrogante surge de lo anterior: ¿cómo puede la entidad definir si debe o no incluir un bien, obra o servicio en el plan? Basta consultar el artículo </w:t>
      </w:r>
      <w:r w:rsidRPr="00F50E68">
        <w:rPr>
          <w:rFonts w:ascii="Verdana" w:eastAsia="Times New Roman" w:hAnsi="Verdana" w:cs="Arial"/>
          <w:lang w:val="es-ES" w:eastAsia="es-CO"/>
        </w:rPr>
        <w:lastRenderedPageBreak/>
        <w:t>2.2.1.1.1.4.1. del Decreto 1082 de 2015, donde señala que “[…]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que no siendo menos importante es complementaria y descriptiva de la información esencialísima del plan, como se explicará a continuación. </w:t>
      </w:r>
      <w:r w:rsidRPr="00F50E68">
        <w:rPr>
          <w:rFonts w:ascii="Verdana" w:eastAsia="Times New Roman" w:hAnsi="Verdana" w:cs="Arial"/>
          <w:lang w:eastAsia="es-CO"/>
        </w:rPr>
        <w:t> </w:t>
      </w:r>
    </w:p>
    <w:p w14:paraId="7862BB14" w14:textId="77777777" w:rsidR="00B66025" w:rsidRPr="00F50E68" w:rsidRDefault="00B66025" w:rsidP="00B66025">
      <w:pPr>
        <w:spacing w:after="120" w:line="276" w:lineRule="auto"/>
        <w:ind w:firstLine="703"/>
        <w:jc w:val="both"/>
        <w:textAlignment w:val="baseline"/>
        <w:rPr>
          <w:rFonts w:ascii="Verdana" w:eastAsia="Times New Roman" w:hAnsi="Verdana" w:cs="Segoe UI"/>
          <w:lang w:eastAsia="es-CO"/>
        </w:rPr>
      </w:pPr>
      <w:r w:rsidRPr="00F50E68">
        <w:rPr>
          <w:rFonts w:ascii="Verdana" w:eastAsia="Times New Roman" w:hAnsi="Verdana" w:cs="Arial"/>
          <w:lang w:val="es-ES" w:eastAsia="es-CO"/>
        </w:rPr>
        <w:t>La norma citada en el párrafo precedente dispone que el PAA tiene un contenido esencial –la lista de bienes, obras y servicios que la entidad pretenda adquirir–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r w:rsidRPr="00F50E68">
        <w:rPr>
          <w:rFonts w:ascii="Verdana" w:eastAsia="Times New Roman" w:hAnsi="Verdana" w:cs="Arial"/>
          <w:lang w:eastAsia="es-CO"/>
        </w:rPr>
        <w:t> </w:t>
      </w:r>
    </w:p>
    <w:p w14:paraId="7EAFE3E6" w14:textId="77777777" w:rsidR="00B66025" w:rsidRPr="00F50E68" w:rsidRDefault="00B66025" w:rsidP="00B66025">
      <w:pPr>
        <w:spacing w:after="120" w:line="276" w:lineRule="auto"/>
        <w:ind w:firstLine="703"/>
        <w:jc w:val="both"/>
        <w:rPr>
          <w:rFonts w:ascii="Verdana" w:eastAsia="Times New Roman" w:hAnsi="Verdana" w:cs="Arial"/>
          <w:lang w:val="es-ES" w:eastAsia="es-CO"/>
        </w:rPr>
      </w:pPr>
      <w:r w:rsidRPr="00F50E68">
        <w:rPr>
          <w:rFonts w:ascii="Verdana" w:eastAsia="Times New Roman" w:hAnsi="Verdana" w:cs="Arial"/>
          <w:lang w:val="es-ES" w:eastAsia="es-ES_tradnl"/>
        </w:rPr>
        <w:t xml:space="preserve">Del primer aparte de la norma, se observa que su finalidad es clara: todos los bienes, obras o servicios que la entidad tenga intención de adquirir deben incluirse en el plan. Es decir, la obligación de incluir un contenido específico en el </w:t>
      </w:r>
      <w:proofErr w:type="gramStart"/>
      <w:r w:rsidRPr="00F50E68">
        <w:rPr>
          <w:rFonts w:ascii="Verdana" w:eastAsia="Times New Roman" w:hAnsi="Verdana" w:cs="Arial"/>
          <w:lang w:val="es-ES" w:eastAsia="es-ES_tradnl"/>
        </w:rPr>
        <w:t>plan,</w:t>
      </w:r>
      <w:proofErr w:type="gramEnd"/>
      <w:r w:rsidRPr="00F50E68">
        <w:rPr>
          <w:rFonts w:ascii="Verdana" w:eastAsia="Times New Roman" w:hAnsi="Verdana" w:cs="Arial"/>
          <w:lang w:val="es-ES" w:eastAsia="es-ES_tradnl"/>
        </w:rPr>
        <w:t xml:space="preserve"> se fundamenta únicamente en que se trate de un bien, obra o servicio que la entidad pretenda adquirir</w:t>
      </w:r>
      <w:r w:rsidRPr="00F50E68">
        <w:rPr>
          <w:rFonts w:ascii="Verdana" w:eastAsia="Times New Roman" w:hAnsi="Verdana" w:cs="Arial"/>
          <w:i/>
          <w:iCs/>
          <w:lang w:val="es-ES" w:eastAsia="es-ES_tradnl"/>
        </w:rPr>
        <w:t>.</w:t>
      </w:r>
      <w:r w:rsidRPr="00F50E68">
        <w:rPr>
          <w:rFonts w:ascii="Verdana" w:eastAsia="Times New Roman" w:hAnsi="Verdana" w:cs="Arial"/>
          <w:lang w:val="es-ES" w:eastAsia="es-CO"/>
        </w:rPr>
        <w:t xml:space="preserve">  Adicionalmente, cuando el primer aparte señala que el plan “[…] deberá contener la lista de bienes, obras y servicios que pretenden adquirir durante un año”, es claro que adquirir es el elemento determinante para concluir que se debe enlistar un bien, obra o servicio en el plan. Esto, a pesar de que la misma disposición establezca otra información adicional que debe incluir este documento –modalidad, valor estimado–, pero que resulta ser complementaria o descriptiva a la señalada como información mínima o esencialísima del plan. </w:t>
      </w:r>
    </w:p>
    <w:p w14:paraId="3CC6F5A7" w14:textId="77777777" w:rsidR="00B66025" w:rsidRPr="00F50E68" w:rsidRDefault="00B66025" w:rsidP="00B66025">
      <w:pPr>
        <w:spacing w:before="120" w:after="0" w:line="276" w:lineRule="auto"/>
        <w:ind w:firstLine="709"/>
        <w:jc w:val="both"/>
        <w:rPr>
          <w:rFonts w:ascii="Verdana" w:eastAsia="Calibri" w:hAnsi="Verdana" w:cs="Arial"/>
          <w:lang w:val="es-ES"/>
        </w:rPr>
      </w:pPr>
      <w:r w:rsidRPr="00F50E68">
        <w:rPr>
          <w:rFonts w:ascii="Verdana" w:eastAsia="Calibri" w:hAnsi="Verdana" w:cs="Arial"/>
          <w:lang w:val="es-ES"/>
        </w:rPr>
        <w:t xml:space="preserve">Esta Agencia, con el fin de orientar a las Entidades Estatales en la elaboración y actualización del PAA, incorporó en la guía sobre el tema, el “Anexo 2 – Adquisiciones Planeadas” en el que de manera ilustrativa se relaciona la </w:t>
      </w:r>
      <w:r w:rsidRPr="00F50E68">
        <w:rPr>
          <w:rFonts w:ascii="Verdana" w:eastAsia="Calibri" w:hAnsi="Verdana" w:cs="Arial"/>
          <w:lang w:val="es-ES"/>
        </w:rPr>
        <w:lastRenderedPageBreak/>
        <w:t xml:space="preserve">información mínima y obligatoria que debe contener dicho plan. Parte de este anexo se inserta a continuación: </w:t>
      </w:r>
    </w:p>
    <w:p w14:paraId="37CACE54" w14:textId="77777777" w:rsidR="00B66025" w:rsidRPr="00F50E68" w:rsidRDefault="00B66025" w:rsidP="00B66025">
      <w:pPr>
        <w:spacing w:before="120" w:after="0" w:line="276" w:lineRule="auto"/>
        <w:ind w:firstLine="709"/>
        <w:jc w:val="both"/>
        <w:rPr>
          <w:rFonts w:ascii="Verdana" w:eastAsia="Calibri" w:hAnsi="Verdana" w:cs="Arial"/>
          <w:lang w:val="es-ES"/>
        </w:rPr>
      </w:pPr>
      <w:r w:rsidRPr="00F50E68">
        <w:rPr>
          <w:rFonts w:ascii="Verdana" w:eastAsia="Calibri" w:hAnsi="Verdana" w:cs="Arial"/>
          <w:noProof/>
          <w:lang w:val="es-ES"/>
        </w:rPr>
        <w:drawing>
          <wp:inline distT="0" distB="0" distL="0" distR="0" wp14:anchorId="57EBE3FC" wp14:editId="0F962F5D">
            <wp:extent cx="4782633" cy="1623974"/>
            <wp:effectExtent l="0" t="0" r="0" b="0"/>
            <wp:docPr id="3386663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666340" name=""/>
                    <pic:cNvPicPr/>
                  </pic:nvPicPr>
                  <pic:blipFill>
                    <a:blip r:embed="rId14"/>
                    <a:stretch>
                      <a:fillRect/>
                    </a:stretch>
                  </pic:blipFill>
                  <pic:spPr>
                    <a:xfrm>
                      <a:off x="0" y="0"/>
                      <a:ext cx="4796023" cy="1628521"/>
                    </a:xfrm>
                    <a:prstGeom prst="rect">
                      <a:avLst/>
                    </a:prstGeom>
                  </pic:spPr>
                </pic:pic>
              </a:graphicData>
            </a:graphic>
          </wp:inline>
        </w:drawing>
      </w:r>
    </w:p>
    <w:p w14:paraId="7A5A2B01" w14:textId="77777777" w:rsidR="00B66025" w:rsidRPr="00F50E68" w:rsidRDefault="00B66025" w:rsidP="00B66025">
      <w:pPr>
        <w:spacing w:after="0" w:line="276" w:lineRule="auto"/>
        <w:ind w:firstLine="703"/>
        <w:jc w:val="both"/>
        <w:rPr>
          <w:rFonts w:ascii="Verdana" w:eastAsia="Times New Roman" w:hAnsi="Verdana" w:cs="Segoe UI"/>
          <w:lang w:eastAsia="es-ES_tradnl"/>
        </w:rPr>
      </w:pPr>
    </w:p>
    <w:p w14:paraId="7030B1EF" w14:textId="77777777" w:rsidR="00B66025" w:rsidRPr="00F50E68" w:rsidRDefault="00B66025" w:rsidP="00B66025">
      <w:pPr>
        <w:spacing w:after="0" w:line="276" w:lineRule="auto"/>
        <w:ind w:firstLine="703"/>
        <w:jc w:val="both"/>
        <w:rPr>
          <w:rFonts w:ascii="Verdana" w:eastAsia="Calibri" w:hAnsi="Verdana" w:cs="Arial"/>
          <w:lang w:val="es-ES" w:eastAsia="es-ES_tradnl"/>
        </w:rPr>
      </w:pPr>
      <w:r w:rsidRPr="00F50E68">
        <w:rPr>
          <w:rFonts w:ascii="Verdana" w:eastAsia="Calibri" w:hAnsi="Verdana" w:cs="Arial"/>
          <w:lang w:eastAsia="es-ES_tradnl"/>
        </w:rPr>
        <w:t xml:space="preserve">Por otra parte, y al resultar relevante con el objeto de consulta, debe precisarse que el inciso primero (1) del artículo </w:t>
      </w:r>
      <w:r w:rsidRPr="00F50E68">
        <w:rPr>
          <w:rFonts w:ascii="Verdana" w:eastAsia="Calibri" w:hAnsi="Verdana" w:cs="Arial"/>
          <w:lang w:val="es-ES" w:eastAsia="es-ES_tradnl"/>
        </w:rPr>
        <w:t>2.2.1.1.1.4.4 del Decreto 1082 de 2015</w:t>
      </w:r>
      <w:r w:rsidRPr="00F50E68">
        <w:rPr>
          <w:rFonts w:ascii="Verdana" w:eastAsia="Calibri" w:hAnsi="Verdana" w:cs="Arial"/>
          <w:vertAlign w:val="superscript"/>
          <w:lang w:eastAsia="es-ES_tradnl"/>
        </w:rPr>
        <w:footnoteReference w:id="7"/>
      </w:r>
      <w:r w:rsidRPr="00F50E68">
        <w:rPr>
          <w:rFonts w:ascii="Verdana" w:eastAsia="Calibri" w:hAnsi="Verdana" w:cs="Arial"/>
          <w:lang w:val="es-ES" w:eastAsia="es-ES_tradnl"/>
        </w:rPr>
        <w:t xml:space="preserve">, fijó el alcance de la facultad otorgada a las Entidades Estatales para actualizar el PAA. Por ello es pertinente consultar el significado natural del verbo rector de la disposición y luego establecer los límites establecidos en la norma. </w:t>
      </w:r>
    </w:p>
    <w:p w14:paraId="1726FF4F" w14:textId="77777777" w:rsidR="00B66025" w:rsidRPr="00F50E68" w:rsidRDefault="00B66025" w:rsidP="00B66025">
      <w:pPr>
        <w:spacing w:before="120" w:after="120" w:line="276" w:lineRule="auto"/>
        <w:ind w:firstLine="709"/>
        <w:jc w:val="both"/>
        <w:rPr>
          <w:rFonts w:ascii="Verdana" w:eastAsia="Calibri" w:hAnsi="Verdana" w:cs="Arial"/>
          <w:lang w:val="es-ES" w:eastAsia="es-ES_tradnl"/>
        </w:rPr>
      </w:pPr>
      <w:r w:rsidRPr="00F50E68">
        <w:rPr>
          <w:rFonts w:ascii="Verdana" w:eastAsia="Calibri" w:hAnsi="Verdana" w:cs="Arial"/>
          <w:lang w:val="es-ES" w:eastAsia="es-ES_tradnl"/>
        </w:rPr>
        <w:t>En ese sentido, se tiene que el Diccionario de la Lengua Española define “actualizar” como “hacer actual algo, darle actualidad” o “poner al día datos, normas, precios rentas, salarios”. Es decir, “actualizar” se puede asociar con la acción de traer al presente un dato establecido en el pasado. Aplicada esta definición a la norma citada, se tendría que el reglamento facultó a las Entidades Estatales para poner al día la información contenida en el documento del PAA.</w:t>
      </w:r>
    </w:p>
    <w:p w14:paraId="4E1D3950" w14:textId="77777777" w:rsidR="00B66025" w:rsidRPr="00F50E68" w:rsidRDefault="00B66025" w:rsidP="00B66025">
      <w:pPr>
        <w:spacing w:after="120" w:line="276" w:lineRule="auto"/>
        <w:ind w:firstLine="709"/>
        <w:jc w:val="both"/>
        <w:rPr>
          <w:rFonts w:ascii="Verdana" w:eastAsia="Calibri" w:hAnsi="Verdana" w:cs="Arial"/>
          <w:lang w:val="es-ES" w:eastAsia="es-ES_tradnl"/>
        </w:rPr>
      </w:pPr>
      <w:r w:rsidRPr="00F50E68">
        <w:rPr>
          <w:rFonts w:ascii="Verdana" w:eastAsia="Calibri" w:hAnsi="Verdana" w:cs="Arial"/>
          <w:lang w:val="es-ES" w:eastAsia="es-ES_tradnl"/>
        </w:rPr>
        <w:t xml:space="preserve">Así pues, y con el deber de actualizar el PAA, una vez al año cuando menos, implícitamente se señala que el contenido inicial no es rígido ni inmodificable y, en consecuencia, por la misma dinámica de la actividad contractual de la Administración, estos datos necesariamente tendrán que modificarse. Además, la norma no limita la actualización del plan a un tope </w:t>
      </w:r>
      <w:r w:rsidRPr="00F50E68">
        <w:rPr>
          <w:rFonts w:ascii="Verdana" w:eastAsia="Calibri" w:hAnsi="Verdana" w:cs="Arial"/>
          <w:lang w:val="es-ES" w:eastAsia="es-ES_tradnl"/>
        </w:rPr>
        <w:lastRenderedPageBreak/>
        <w:t xml:space="preserve">máximo, pero estableció un número mínimo, pues indicó que debían actualizarlo por lo menos una vez durante su vigencia. </w:t>
      </w:r>
    </w:p>
    <w:p w14:paraId="522C9411" w14:textId="77777777" w:rsidR="00B66025" w:rsidRPr="00F50E68" w:rsidRDefault="00B66025" w:rsidP="00B66025">
      <w:pPr>
        <w:spacing w:after="120" w:line="276" w:lineRule="auto"/>
        <w:ind w:firstLine="709"/>
        <w:jc w:val="both"/>
        <w:rPr>
          <w:rFonts w:ascii="Verdana" w:eastAsia="Calibri" w:hAnsi="Verdana" w:cs="Arial"/>
          <w:lang w:val="es-ES" w:eastAsia="es-ES_tradnl"/>
        </w:rPr>
      </w:pPr>
      <w:r w:rsidRPr="00F50E68">
        <w:rPr>
          <w:rFonts w:ascii="Verdana" w:eastAsia="Calibri" w:hAnsi="Verdana" w:cs="Arial"/>
          <w:lang w:val="es-ES" w:eastAsia="es-ES_tradnl"/>
        </w:rPr>
        <w:t xml:space="preserve">El inciso 2 del artículo citado estableció cuatro (4) eventos en los que es factible actualizar el PAA, estos son: i) ajustes en los cronogramas de adquisición, valores, modalidad de selección y origen de los recursos; </w:t>
      </w:r>
      <w:proofErr w:type="spellStart"/>
      <w:r w:rsidRPr="00F50E68">
        <w:rPr>
          <w:rFonts w:ascii="Verdana" w:eastAsia="Calibri" w:hAnsi="Verdana" w:cs="Arial"/>
          <w:lang w:val="es-ES" w:eastAsia="es-ES_tradnl"/>
        </w:rPr>
        <w:t>ii</w:t>
      </w:r>
      <w:proofErr w:type="spellEnd"/>
      <w:r w:rsidRPr="00F50E68">
        <w:rPr>
          <w:rFonts w:ascii="Verdana" w:eastAsia="Calibri" w:hAnsi="Verdana" w:cs="Arial"/>
          <w:lang w:val="es-ES" w:eastAsia="es-ES_tradnl"/>
        </w:rPr>
        <w:t xml:space="preserve">) para incluir nuevas obras, bienes o servicios; </w:t>
      </w:r>
      <w:proofErr w:type="spellStart"/>
      <w:r w:rsidRPr="00F50E68">
        <w:rPr>
          <w:rFonts w:ascii="Verdana" w:eastAsia="Calibri" w:hAnsi="Verdana" w:cs="Arial"/>
          <w:lang w:val="es-ES" w:eastAsia="es-ES_tradnl"/>
        </w:rPr>
        <w:t>iii</w:t>
      </w:r>
      <w:proofErr w:type="spellEnd"/>
      <w:r w:rsidRPr="00F50E68">
        <w:rPr>
          <w:rFonts w:ascii="Verdana" w:eastAsia="Calibri" w:hAnsi="Verdana" w:cs="Arial"/>
          <w:lang w:val="es-ES" w:eastAsia="es-ES_tradnl"/>
        </w:rPr>
        <w:t xml:space="preserve">) excluir obras, bienes o servicios y </w:t>
      </w:r>
      <w:proofErr w:type="spellStart"/>
      <w:r w:rsidRPr="00F50E68">
        <w:rPr>
          <w:rFonts w:ascii="Verdana" w:eastAsia="Calibri" w:hAnsi="Verdana" w:cs="Arial"/>
          <w:lang w:val="es-ES" w:eastAsia="es-ES_tradnl"/>
        </w:rPr>
        <w:t>iv</w:t>
      </w:r>
      <w:proofErr w:type="spellEnd"/>
      <w:r w:rsidRPr="00F50E68">
        <w:rPr>
          <w:rFonts w:ascii="Verdana" w:eastAsia="Calibri" w:hAnsi="Verdana" w:cs="Arial"/>
          <w:lang w:val="es-ES" w:eastAsia="es-ES_tradnl"/>
        </w:rPr>
        <w:t xml:space="preserve">) modificar el presupuesto anual de adquisiciones. El inciso de la referencia solo estableció los eventos en los que tiene que actualizarse, sin limitar la modificación a ciertos topes, como, por ejemplo, aumentar o disminuir valores. La norma no enfatizó en este punto, por lo cual, en principio, podrá modificarse. </w:t>
      </w:r>
    </w:p>
    <w:p w14:paraId="1339407F" w14:textId="77777777" w:rsidR="00B66025" w:rsidRPr="00F50E68" w:rsidRDefault="00B66025" w:rsidP="00B66025">
      <w:pPr>
        <w:spacing w:before="120" w:after="120" w:line="276" w:lineRule="auto"/>
        <w:jc w:val="both"/>
        <w:rPr>
          <w:rFonts w:ascii="Verdana" w:eastAsia="Calibri" w:hAnsi="Verdana" w:cs="Arial"/>
        </w:rPr>
      </w:pPr>
      <w:r w:rsidRPr="00F50E68">
        <w:rPr>
          <w:rFonts w:ascii="Verdana" w:eastAsia="Calibri" w:hAnsi="Verdana" w:cs="Arial"/>
        </w:rPr>
        <w:tab/>
        <w:t xml:space="preserve">En ese orden, se considera que el PAA es un instrumento de planificación y orientación de las Entidades Estatales,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 </w:t>
      </w:r>
    </w:p>
    <w:p w14:paraId="166C0654" w14:textId="77777777" w:rsidR="00B66025" w:rsidRPr="00F50E68" w:rsidRDefault="00B66025" w:rsidP="00B66025">
      <w:pPr>
        <w:spacing w:before="120" w:after="120" w:line="276" w:lineRule="auto"/>
        <w:ind w:firstLine="708"/>
        <w:jc w:val="both"/>
        <w:rPr>
          <w:rFonts w:ascii="Verdana" w:eastAsia="Calibri" w:hAnsi="Verdana" w:cs="Arial"/>
        </w:rPr>
      </w:pPr>
      <w:r w:rsidRPr="00F50E68">
        <w:rPr>
          <w:rFonts w:ascii="Verdana" w:eastAsia="Calibri" w:hAnsi="Verdana" w:cs="Arial"/>
        </w:rPr>
        <w:t>Lo anterior, explica por qué no tiene que existir necesariamente identidad entre el valor del contrato previsto en el plan y el de cada procedimiento de contratación, porque la norma señaló que el valor del contrato, señalado en el plan, es “estimado”. Al respecto, es preciso indicar que el Consejo de Estado, en el Concepto No. 1.920 del 2008, asimila el “valor inicial” del contrato, como aquel aproximado o estimado</w:t>
      </w:r>
      <w:r w:rsidRPr="00F50E68">
        <w:rPr>
          <w:rFonts w:ascii="Verdana" w:eastAsia="Calibri" w:hAnsi="Verdana" w:cs="Arial"/>
          <w:i/>
          <w:iCs/>
        </w:rPr>
        <w:t xml:space="preserve"> </w:t>
      </w:r>
      <w:r w:rsidRPr="00F50E68">
        <w:rPr>
          <w:rFonts w:ascii="Verdana" w:eastAsia="Calibri" w:hAnsi="Verdana" w:cs="Arial"/>
        </w:rPr>
        <w:t xml:space="preserve">por el que se firmó el contrato. Esto significa que el valor estimado debe entenderse como la estimación inicial de todos los compromisos económicos que puedan derivar del contrato, sin importar si es una entidad la que realiza el aporte o varias. En conclusión, el valor estimado del contrato que las entidades incluyen en el </w:t>
      </w:r>
      <w:proofErr w:type="gramStart"/>
      <w:r w:rsidRPr="00F50E68">
        <w:rPr>
          <w:rFonts w:ascii="Verdana" w:eastAsia="Calibri" w:hAnsi="Verdana" w:cs="Arial"/>
        </w:rPr>
        <w:t>PAA,</w:t>
      </w:r>
      <w:proofErr w:type="gramEnd"/>
      <w:r w:rsidRPr="00F50E68">
        <w:rPr>
          <w:rFonts w:ascii="Verdana" w:eastAsia="Calibri" w:hAnsi="Verdana" w:cs="Arial"/>
        </w:rPr>
        <w:t xml:space="preserve"> es el valor total del proceso contractual.</w:t>
      </w:r>
    </w:p>
    <w:p w14:paraId="493B9537" w14:textId="77777777" w:rsidR="00B66025" w:rsidRPr="00F50E68" w:rsidRDefault="00B66025" w:rsidP="00B66025">
      <w:pPr>
        <w:spacing w:after="120" w:line="276" w:lineRule="auto"/>
        <w:ind w:firstLine="709"/>
        <w:jc w:val="both"/>
        <w:rPr>
          <w:rFonts w:ascii="Verdana" w:eastAsia="Calibri" w:hAnsi="Verdana" w:cs="Arial"/>
          <w:lang w:eastAsia="es-ES_tradnl"/>
        </w:rPr>
      </w:pPr>
      <w:r w:rsidRPr="00F50E68">
        <w:rPr>
          <w:rFonts w:ascii="Verdana" w:eastAsia="Times New Roman" w:hAnsi="Verdana" w:cs="Arial"/>
          <w:lang w:eastAsia="es-ES_tradnl"/>
        </w:rPr>
        <w:t xml:space="preserve">Adicionalmente, vale la pena aclarar que pese a que </w:t>
      </w:r>
      <w:r w:rsidRPr="00F50E68">
        <w:rPr>
          <w:rFonts w:ascii="Verdana" w:eastAsia="Calibri" w:hAnsi="Verdana" w:cs="Arial"/>
          <w:lang w:eastAsia="es-ES_tradnl"/>
        </w:rPr>
        <w:t xml:space="preserve">el PAA es un instrumento de planeación, no es el único documento a través del cual se materializa la planeación en un proceso de contratación, el cual también debe atender a los demás instrumentos generales de planeación que obligan a la entidad contratante –por ejemplo, planes de desarrollo nacionales, presupuestos plurianuales, planes territoriales, etc.–, además de requerir la expedición de los estudios técnicos, jurídicos y/o financieros necesarios, según el caso, para determinar la conveniencia y la legalidad de la contratación–art. 25 de la Ley 80 </w:t>
      </w:r>
      <w:r w:rsidRPr="00F50E68">
        <w:rPr>
          <w:rFonts w:ascii="Verdana" w:eastAsia="Calibri" w:hAnsi="Verdana" w:cs="Arial"/>
          <w:lang w:eastAsia="es-ES_tradnl"/>
        </w:rPr>
        <w:lastRenderedPageBreak/>
        <w:t xml:space="preserve">de 1993– , los estudios previos y el análisis del sector relativo a la contratación que se pretende adelantar –2.2.1.1.2.1.1 y 2.2.1.1.1.6.1 del Decreto 1082 de 2015–.  </w:t>
      </w:r>
    </w:p>
    <w:p w14:paraId="0DD82A83" w14:textId="77777777" w:rsidR="00B66025" w:rsidRPr="00F50E68" w:rsidRDefault="00B66025" w:rsidP="00B66025">
      <w:pPr>
        <w:spacing w:after="120" w:line="276" w:lineRule="auto"/>
        <w:ind w:firstLine="708"/>
        <w:jc w:val="both"/>
        <w:rPr>
          <w:rFonts w:ascii="Verdana" w:eastAsia="Calibri" w:hAnsi="Verdana" w:cs="Arial"/>
        </w:rPr>
      </w:pPr>
      <w:r w:rsidRPr="00F50E68">
        <w:rPr>
          <w:rFonts w:ascii="Verdana" w:eastAsia="Calibri" w:hAnsi="Verdana" w:cs="Arial"/>
        </w:rPr>
        <w:t xml:space="preserve">Finalmente, debe advertirse que el análisis requerido para resolver problemas específicos en torno a la elaboración del PAA,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8E39AAA" w14:textId="77777777" w:rsidR="00B66025" w:rsidRPr="00F50E68" w:rsidRDefault="00B66025" w:rsidP="00B66025">
      <w:pPr>
        <w:spacing w:after="120" w:line="276" w:lineRule="auto"/>
        <w:ind w:firstLine="708"/>
        <w:jc w:val="both"/>
        <w:rPr>
          <w:rFonts w:ascii="Verdana" w:eastAsia="Calibri" w:hAnsi="Verdana" w:cs="Arial"/>
        </w:rPr>
      </w:pPr>
      <w:r w:rsidRPr="00F50E68">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EB132A5" w14:textId="77777777" w:rsidR="00B66025" w:rsidRPr="00F50E68" w:rsidRDefault="00B66025" w:rsidP="00B66025">
      <w:pPr>
        <w:widowControl w:val="0"/>
        <w:autoSpaceDE w:val="0"/>
        <w:autoSpaceDN w:val="0"/>
        <w:spacing w:after="0" w:line="276" w:lineRule="auto"/>
        <w:contextualSpacing/>
        <w:jc w:val="both"/>
        <w:rPr>
          <w:rFonts w:ascii="Verdana" w:hAnsi="Verdana" w:cs="Arial"/>
        </w:rPr>
      </w:pPr>
    </w:p>
    <w:p w14:paraId="3EF090F9" w14:textId="77777777" w:rsidR="00B66025" w:rsidRPr="00F50E68" w:rsidRDefault="00B66025" w:rsidP="00B66025">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4. Referencias normativas, jurisprudenciales y otras fuentes:</w:t>
      </w:r>
    </w:p>
    <w:p w14:paraId="2DF680AB" w14:textId="77777777" w:rsidR="00B66025" w:rsidRPr="00F50E68" w:rsidRDefault="00B66025" w:rsidP="00B6602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66025" w:rsidRPr="00F50E68" w14:paraId="61F73469" w14:textId="77777777" w:rsidTr="00B945AC">
        <w:trPr>
          <w:trHeight w:val="870"/>
        </w:trPr>
        <w:tc>
          <w:tcPr>
            <w:tcW w:w="8647" w:type="dxa"/>
          </w:tcPr>
          <w:p w14:paraId="64B2DC49" w14:textId="77777777" w:rsidR="00B66025" w:rsidRPr="00F50E68" w:rsidRDefault="00B66025" w:rsidP="00B66025">
            <w:pPr>
              <w:widowControl w:val="0"/>
              <w:numPr>
                <w:ilvl w:val="0"/>
                <w:numId w:val="16"/>
              </w:numPr>
              <w:autoSpaceDE w:val="0"/>
              <w:autoSpaceDN w:val="0"/>
              <w:spacing w:line="276" w:lineRule="auto"/>
              <w:contextualSpacing/>
              <w:jc w:val="both"/>
              <w:rPr>
                <w:rFonts w:ascii="Verdana" w:eastAsia="Aptos" w:hAnsi="Verdana" w:cs="Arial"/>
              </w:rPr>
            </w:pPr>
            <w:r w:rsidRPr="00F50E68">
              <w:rPr>
                <w:rFonts w:ascii="Verdana" w:eastAsia="Calibri" w:hAnsi="Verdana" w:cs="Arial"/>
                <w:lang w:val="es-ES"/>
              </w:rPr>
              <w:t xml:space="preserve">Decreto 1082 de 2015. Artículo </w:t>
            </w:r>
            <w:r w:rsidRPr="00F50E68">
              <w:rPr>
                <w:rFonts w:ascii="Verdana" w:eastAsia="Calibri" w:hAnsi="Verdana" w:cs="Arial"/>
                <w:kern w:val="2"/>
                <w14:ligatures w14:val="standardContextual"/>
              </w:rPr>
              <w:t xml:space="preserve">2.2.1.1.1.3.1, 2.2.1.1.1.4.1, </w:t>
            </w:r>
            <w:r w:rsidRPr="00F50E68">
              <w:rPr>
                <w:rFonts w:ascii="Verdana" w:eastAsia="Calibri" w:hAnsi="Verdana" w:cs="Arial"/>
                <w:noProof/>
                <w:lang w:val="es-ES_tradnl"/>
              </w:rPr>
              <w:t>2.2.1.1.1.4.3 y 2.2.1.1.1.4.4</w:t>
            </w:r>
          </w:p>
          <w:p w14:paraId="3CB9D741" w14:textId="77777777" w:rsidR="00B66025" w:rsidRPr="00F50E68" w:rsidRDefault="00B66025" w:rsidP="00B66025">
            <w:pPr>
              <w:widowControl w:val="0"/>
              <w:numPr>
                <w:ilvl w:val="0"/>
                <w:numId w:val="16"/>
              </w:numPr>
              <w:autoSpaceDE w:val="0"/>
              <w:autoSpaceDN w:val="0"/>
              <w:spacing w:line="276" w:lineRule="auto"/>
              <w:contextualSpacing/>
              <w:jc w:val="both"/>
              <w:rPr>
                <w:rFonts w:ascii="Verdana" w:eastAsia="Aptos" w:hAnsi="Verdana" w:cs="Arial"/>
              </w:rPr>
            </w:pPr>
            <w:r w:rsidRPr="00F50E68">
              <w:rPr>
                <w:rFonts w:ascii="Verdana" w:eastAsia="Calibri" w:hAnsi="Verdana" w:cs="Arial"/>
                <w:kern w:val="2"/>
                <w14:ligatures w14:val="standardContextual"/>
              </w:rPr>
              <w:t>Ley 1474 de 2011. Artículo 74</w:t>
            </w:r>
          </w:p>
          <w:p w14:paraId="4083A052" w14:textId="77777777" w:rsidR="00B66025" w:rsidRPr="00F50E68" w:rsidRDefault="00B66025" w:rsidP="00B66025">
            <w:pPr>
              <w:widowControl w:val="0"/>
              <w:numPr>
                <w:ilvl w:val="0"/>
                <w:numId w:val="16"/>
              </w:numPr>
              <w:autoSpaceDE w:val="0"/>
              <w:autoSpaceDN w:val="0"/>
              <w:spacing w:line="276" w:lineRule="auto"/>
              <w:contextualSpacing/>
              <w:jc w:val="both"/>
              <w:rPr>
                <w:rFonts w:ascii="Verdana" w:eastAsia="Aptos" w:hAnsi="Verdana" w:cs="Arial"/>
              </w:rPr>
            </w:pPr>
            <w:r w:rsidRPr="00F50E68">
              <w:rPr>
                <w:rFonts w:ascii="Verdana" w:eastAsia="Calibri" w:hAnsi="Verdana" w:cs="Arial"/>
                <w:kern w:val="2"/>
                <w14:ligatures w14:val="standardContextual"/>
              </w:rPr>
              <w:t>Decreto 1081 de 2015. Artículo 2.1.1.2.1.10</w:t>
            </w:r>
          </w:p>
          <w:p w14:paraId="14AA3D1D" w14:textId="77777777" w:rsidR="00B66025" w:rsidRPr="00F50E68" w:rsidRDefault="00B66025" w:rsidP="00B66025">
            <w:pPr>
              <w:widowControl w:val="0"/>
              <w:numPr>
                <w:ilvl w:val="0"/>
                <w:numId w:val="16"/>
              </w:numPr>
              <w:autoSpaceDE w:val="0"/>
              <w:autoSpaceDN w:val="0"/>
              <w:spacing w:after="120" w:line="276" w:lineRule="auto"/>
              <w:contextualSpacing/>
              <w:jc w:val="both"/>
              <w:rPr>
                <w:rFonts w:ascii="Verdana" w:eastAsia="Aptos" w:hAnsi="Verdana" w:cs="Arial"/>
              </w:rPr>
            </w:pPr>
            <w:r w:rsidRPr="00F50E68">
              <w:rPr>
                <w:rFonts w:ascii="Verdana" w:eastAsia="Calibri" w:hAnsi="Verdana" w:cs="Arial"/>
                <w:kern w:val="2"/>
                <w14:ligatures w14:val="standardContextual"/>
              </w:rPr>
              <w:t xml:space="preserve">Guía para Elaborar el Plan Anual de Adquisiciones. Disponible </w:t>
            </w:r>
            <w:hyperlink r:id="rId15" w:history="1">
              <w:r w:rsidRPr="00F50E68">
                <w:rPr>
                  <w:rFonts w:ascii="Verdana" w:eastAsia="Calibri" w:hAnsi="Verdana" w:cs="Arial"/>
                  <w:color w:val="467886"/>
                  <w:kern w:val="2"/>
                  <w:u w:val="single"/>
                  <w14:ligatures w14:val="standardContextual"/>
                </w:rPr>
                <w:t>aquí</w:t>
              </w:r>
            </w:hyperlink>
          </w:p>
        </w:tc>
      </w:tr>
    </w:tbl>
    <w:p w14:paraId="63A286CB" w14:textId="77777777" w:rsidR="00B66025" w:rsidRPr="00F50E68" w:rsidRDefault="00B66025" w:rsidP="00B66025">
      <w:pPr>
        <w:widowControl w:val="0"/>
        <w:autoSpaceDE w:val="0"/>
        <w:autoSpaceDN w:val="0"/>
        <w:spacing w:after="0" w:line="276" w:lineRule="auto"/>
        <w:jc w:val="both"/>
        <w:rPr>
          <w:rFonts w:ascii="Verdana" w:hAnsi="Verdana" w:cs="Arial"/>
        </w:rPr>
      </w:pPr>
    </w:p>
    <w:p w14:paraId="6D1A141A" w14:textId="77777777" w:rsidR="00B66025" w:rsidRPr="00F50E68" w:rsidRDefault="00B66025" w:rsidP="00B66025">
      <w:pPr>
        <w:widowControl w:val="0"/>
        <w:autoSpaceDE w:val="0"/>
        <w:autoSpaceDN w:val="0"/>
        <w:spacing w:before="1" w:after="0" w:line="240" w:lineRule="auto"/>
        <w:outlineLvl w:val="0"/>
        <w:rPr>
          <w:rFonts w:ascii="Verdana" w:eastAsia="Arial" w:hAnsi="Verdana" w:cs="Arial"/>
          <w:b/>
          <w:bCs/>
          <w:lang w:val="es-ES"/>
        </w:rPr>
      </w:pPr>
      <w:r w:rsidRPr="00F50E68">
        <w:rPr>
          <w:rFonts w:ascii="Verdana" w:eastAsia="Arial" w:hAnsi="Verdana" w:cs="Arial"/>
          <w:b/>
          <w:bCs/>
          <w:lang w:val="es-ES"/>
        </w:rPr>
        <w:t>5. Doctrina de la Agencia Nacional de Contratación Pública:</w:t>
      </w:r>
    </w:p>
    <w:p w14:paraId="1C821B0A" w14:textId="77777777" w:rsidR="00B66025" w:rsidRPr="00F50E68" w:rsidRDefault="00B66025" w:rsidP="00B66025">
      <w:pPr>
        <w:widowControl w:val="0"/>
        <w:autoSpaceDE w:val="0"/>
        <w:autoSpaceDN w:val="0"/>
        <w:spacing w:after="0" w:line="276" w:lineRule="auto"/>
        <w:jc w:val="both"/>
        <w:rPr>
          <w:rFonts w:ascii="Verdana" w:hAnsi="Verdana" w:cs="Arial"/>
        </w:rPr>
      </w:pPr>
    </w:p>
    <w:p w14:paraId="46541032" w14:textId="77777777" w:rsidR="00B66025" w:rsidRPr="00F50E68" w:rsidRDefault="00B66025" w:rsidP="00B66025">
      <w:pPr>
        <w:widowControl w:val="0"/>
        <w:autoSpaceDE w:val="0"/>
        <w:autoSpaceDN w:val="0"/>
        <w:spacing w:after="0" w:line="276" w:lineRule="auto"/>
        <w:jc w:val="both"/>
        <w:rPr>
          <w:rFonts w:ascii="Verdana" w:hAnsi="Verdana" w:cs="Arial"/>
          <w:shd w:val="clear" w:color="auto" w:fill="FFFFFF"/>
          <w:lang w:val="es-ES"/>
        </w:rPr>
      </w:pPr>
      <w:r w:rsidRPr="00F50E68">
        <w:rPr>
          <w:rFonts w:ascii="Verdana" w:eastAsia="Aptos" w:hAnsi="Verdana" w:cs="Arial"/>
          <w:shd w:val="clear" w:color="auto" w:fill="FFFFFF"/>
          <w:lang w:val="es-ES"/>
        </w:rPr>
        <w:t xml:space="preserve">Sobre el marco jurídico del PAA, esta Subdirección se ha referido en los Conceptos </w:t>
      </w:r>
      <w:r w:rsidRPr="00F50E68">
        <w:rPr>
          <w:rFonts w:ascii="Verdana" w:eastAsia="Calibri" w:hAnsi="Verdana" w:cs="Arial"/>
          <w:lang w:val="es-ES_tradnl" w:eastAsia="es-MX"/>
        </w:rPr>
        <w:t>C-257 de 3 de junio de 2021, C-258 de 3 de junio de 2021, C-345 de 13 de julio de 2021, C-376 de 26 de julio de 2021, C-489 de 13 de septiembre de 2021, C-637 del 7 de diciembre de 2021, C-733 del 13 de enero de 2022,  C-</w:t>
      </w:r>
      <w:r w:rsidRPr="00F50E68">
        <w:rPr>
          <w:rFonts w:ascii="Verdana" w:eastAsia="Calibri" w:hAnsi="Verdana" w:cs="Arial"/>
          <w:lang w:val="es-ES_tradnl" w:eastAsia="es-MX"/>
        </w:rPr>
        <w:lastRenderedPageBreak/>
        <w:t>026 del 18 de febrero de 2022, C-027 del 25 de febrero de 2022, C-047 del 2 de marzo de 2022, C-087 del 17 de marzo de 2022, C-408 del 23 de junio de 2022, C-622 de 28 de septiembre de 2022, C-754 de 9 de noviembre de 2022 , C-763 de 15 de noviembre de 2022, C-889 de 26 de diciembre de 2022, C-062 del 18 de abril de 2023, C-142 de 30 de mayo de 2023, C-196 de 15 de junio de 2023, C-122 de 21 de junio de 2023, C-364 de 6 de septiembre de 2023, C-438 del 24 de octubre 2023</w:t>
      </w:r>
      <w:r w:rsidRPr="00F50E68">
        <w:rPr>
          <w:rFonts w:ascii="Verdana" w:eastAsia="Aptos" w:hAnsi="Verdana" w:cs="Arial"/>
          <w:shd w:val="clear" w:color="auto" w:fill="FFFFFF"/>
          <w:lang w:val="es-ES"/>
        </w:rPr>
        <w:t xml:space="preserve">, C-887 del 20 de diciembre de 2024, C-934 del 30 de diciembre de 2024, C-1015 del 30 de diciembre de 2024, C-023 del 29 de enero de 2025, entre otros. </w:t>
      </w:r>
      <w:r w:rsidRPr="00F50E68">
        <w:rPr>
          <w:rFonts w:ascii="Verdana" w:hAnsi="Verdana" w:cs="Arial"/>
          <w:shd w:val="clear" w:color="auto" w:fill="FFFFFF"/>
          <w:lang w:val="es-ES"/>
        </w:rPr>
        <w:t>Es</w:t>
      </w:r>
      <w:r w:rsidRPr="00F50E68">
        <w:rPr>
          <w:rFonts w:ascii="Verdana" w:hAnsi="Verdana"/>
        </w:rPr>
        <w:t>tos y otros conceptos se encuentran disponibles para consulta en el Sistema de relatoría de la Agencia, al cual se puede acceder a través del siguiente enlace:</w:t>
      </w:r>
      <w:r w:rsidRPr="00F50E68">
        <w:rPr>
          <w:rFonts w:ascii="Verdana" w:hAnsi="Verdana" w:cs="Arial"/>
          <w:shd w:val="clear" w:color="auto" w:fill="FFFFFF"/>
          <w:lang w:val="es-ES"/>
        </w:rPr>
        <w:t xml:space="preserve"> </w:t>
      </w:r>
      <w:hyperlink r:id="rId16" w:history="1">
        <w:r w:rsidRPr="00F50E68">
          <w:rPr>
            <w:rFonts w:ascii="Verdana" w:hAnsi="Verdana" w:cs="Arial"/>
            <w:color w:val="0563C1" w:themeColor="hyperlink"/>
            <w:u w:val="single"/>
            <w:shd w:val="clear" w:color="auto" w:fill="FFFFFF"/>
            <w:lang w:val="es-ES"/>
          </w:rPr>
          <w:t>https://relatoria.colombiacompra.gov.co/busqueda/conceptos</w:t>
        </w:r>
      </w:hyperlink>
      <w:r w:rsidRPr="00F50E68">
        <w:rPr>
          <w:rFonts w:ascii="Verdana" w:hAnsi="Verdana" w:cs="Arial"/>
          <w:color w:val="FF0000"/>
          <w:shd w:val="clear" w:color="auto" w:fill="FFFFFF"/>
          <w:lang w:val="es-ES"/>
        </w:rPr>
        <w:t>.</w:t>
      </w:r>
    </w:p>
    <w:p w14:paraId="21FE2588" w14:textId="77777777" w:rsidR="00B66025" w:rsidRPr="00F50E68" w:rsidRDefault="00B66025" w:rsidP="00B66025">
      <w:pPr>
        <w:spacing w:before="120" w:after="120"/>
        <w:ind w:firstLine="709"/>
        <w:jc w:val="both"/>
        <w:rPr>
          <w:rFonts w:ascii="Verdana" w:eastAsia="Aptos" w:hAnsi="Verdana" w:cs="Times New Roman"/>
        </w:rPr>
      </w:pPr>
      <w:r w:rsidRPr="00F50E68">
        <w:rPr>
          <w:rFonts w:ascii="Verdana" w:eastAsia="Aptos" w:hAnsi="Verdana" w:cs="Times New Roman"/>
        </w:rPr>
        <w:t xml:space="preserve">La sostenibilidad no es una opción, es una obligación. Por ello, la Agencia Nacional de Contratación Pública –Colombia Compra Eficiente– te invita a realizar el </w:t>
      </w:r>
      <w:r w:rsidRPr="00F50E68">
        <w:rPr>
          <w:rFonts w:ascii="Verdana" w:eastAsia="Aptos" w:hAnsi="Verdana" w:cs="Times New Roman"/>
          <w:b/>
          <w:bCs/>
        </w:rPr>
        <w:t>Curso de Contratación Pública Sostenible y Socialmente Responsable</w:t>
      </w:r>
      <w:r w:rsidRPr="00F50E68">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50E68">
        <w:rPr>
          <w:rFonts w:ascii="Verdana" w:eastAsia="Aptos" w:hAnsi="Verdana" w:cs="Times New Roman"/>
        </w:rPr>
        <w:br/>
      </w:r>
      <w:hyperlink r:id="rId17" w:tgtFrame="_new" w:history="1">
        <w:r w:rsidRPr="00F50E68">
          <w:rPr>
            <w:rFonts w:ascii="Verdana" w:eastAsia="Aptos" w:hAnsi="Verdana" w:cs="Times New Roman"/>
            <w:color w:val="0000FF"/>
            <w:u w:val="single"/>
          </w:rPr>
          <w:t>https://formacionvirtual.colombiacompra.gov.co/mod/page/view.php?id=3718</w:t>
        </w:r>
      </w:hyperlink>
    </w:p>
    <w:p w14:paraId="2DF2A44E" w14:textId="77777777" w:rsidR="00B66025" w:rsidRPr="00F50E68" w:rsidRDefault="00B66025" w:rsidP="00B66025">
      <w:pPr>
        <w:ind w:firstLine="708"/>
        <w:jc w:val="both"/>
        <w:rPr>
          <w:rFonts w:ascii="Verdana" w:eastAsia="Aptos" w:hAnsi="Verdana" w:cs="Times New Roman"/>
        </w:rPr>
      </w:pPr>
      <w:r w:rsidRPr="00F50E68">
        <w:rPr>
          <w:rFonts w:ascii="Verdana" w:eastAsia="Aptos" w:hAnsi="Verdana" w:cs="Times New Roman"/>
        </w:rPr>
        <w:t xml:space="preserve">De otro lado, te contamos que esta Agencia ha da un paso decisivo en la estandarización y modernización del </w:t>
      </w:r>
      <w:r w:rsidRPr="00F50E68">
        <w:rPr>
          <w:rFonts w:ascii="Verdana" w:eastAsia="Aptos" w:hAnsi="Verdana" w:cs="Times New Roman"/>
          <w:b/>
          <w:bCs/>
        </w:rPr>
        <w:t>sector  social</w:t>
      </w:r>
      <w:r w:rsidRPr="00F50E68">
        <w:rPr>
          <w:rFonts w:ascii="Verdana" w:eastAsia="Aptos" w:hAnsi="Verdana" w:cs="Times New Roman"/>
        </w:rPr>
        <w:t xml:space="preserve"> con la expedición de las </w:t>
      </w:r>
      <w:r w:rsidRPr="00F50E68">
        <w:rPr>
          <w:rFonts w:ascii="Verdana" w:eastAsia="Aptos" w:hAnsi="Verdana" w:cs="Times New Roman"/>
          <w:b/>
          <w:bCs/>
        </w:rPr>
        <w:t>Resoluciones 539, 540, 541, 952 y 953 de 2025</w:t>
      </w:r>
      <w:r w:rsidRPr="00F50E68">
        <w:rPr>
          <w:rFonts w:ascii="Verdana" w:eastAsia="Aptos" w:hAnsi="Verdana" w:cs="Times New Roman"/>
        </w:rPr>
        <w:t xml:space="preserve">, </w:t>
      </w:r>
      <w:r w:rsidRPr="00F50E68">
        <w:rPr>
          <w:rFonts w:ascii="Verdana" w:eastAsia="Aptos" w:hAnsi="Verdana" w:cs="Times New Roman"/>
          <w:b/>
          <w:bCs/>
        </w:rPr>
        <w:t>mediante las cuales adoptó Documentos Tipo</w:t>
      </w:r>
      <w:r w:rsidRPr="00F50E68">
        <w:rPr>
          <w:rFonts w:ascii="Verdana" w:eastAsia="Aptos" w:hAnsi="Verdana" w:cs="Times New Roman"/>
        </w:rPr>
        <w:t xml:space="preserve"> para las modalidades de selección de</w:t>
      </w:r>
      <w:r w:rsidRPr="00F50E68">
        <w:rPr>
          <w:rFonts w:ascii="Verdana" w:eastAsia="Aptos" w:hAnsi="Verdana" w:cs="Times New Roman"/>
          <w:b/>
          <w:bCs/>
        </w:rPr>
        <w:t xml:space="preserve"> licitación pública (versión 2), selección abreviada de menor cuantía, mínima cuantía, consultoría e interventoría</w:t>
      </w:r>
      <w:r w:rsidRPr="00F50E68">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F50E68">
          <w:rPr>
            <w:rFonts w:ascii="Verdana" w:eastAsia="Aptos" w:hAnsi="Verdana" w:cs="Times New Roman"/>
            <w:color w:val="0000FF"/>
            <w:u w:val="single"/>
          </w:rPr>
          <w:t>https://www.colombiacompra.gov.co/normativa-y-relatoria/documentos-tipo</w:t>
        </w:r>
      </w:hyperlink>
    </w:p>
    <w:p w14:paraId="50960C44" w14:textId="77777777" w:rsidR="00B66025" w:rsidRPr="00F50E68" w:rsidRDefault="00B66025" w:rsidP="00B66025">
      <w:pPr>
        <w:widowControl w:val="0"/>
        <w:autoSpaceDE w:val="0"/>
        <w:autoSpaceDN w:val="0"/>
        <w:spacing w:after="0" w:line="276" w:lineRule="auto"/>
        <w:ind w:firstLine="708"/>
        <w:jc w:val="both"/>
        <w:rPr>
          <w:rFonts w:ascii="Verdana" w:hAnsi="Verdana"/>
        </w:rPr>
      </w:pPr>
      <w:r w:rsidRPr="00F50E68">
        <w:rPr>
          <w:rFonts w:ascii="Verdana" w:eastAsia="Aptos" w:hAnsi="Verdana" w:cs="Times New Roman"/>
        </w:rPr>
        <w:t xml:space="preserve">Si quieres conocer más sobre la aplicación de Documentos Tipo puedes consultar la última versión de la </w:t>
      </w:r>
      <w:r w:rsidRPr="00F50E68">
        <w:rPr>
          <w:rFonts w:ascii="Verdana" w:eastAsia="Aptos" w:hAnsi="Verdana" w:cs="Times New Roman"/>
          <w:b/>
          <w:bCs/>
        </w:rPr>
        <w:t>Guía para la comprensión e implementación de los Documentos Tipo de obra pública de infraestructura de transporte</w:t>
      </w:r>
      <w:r w:rsidRPr="00F50E68">
        <w:rPr>
          <w:rFonts w:ascii="Verdana" w:eastAsia="Aptos" w:hAnsi="Verdana" w:cs="Times New Roman"/>
        </w:rPr>
        <w:t xml:space="preserve">. En esta actualización se incorporaron orientaciones prácticas dirigidas a entidades públicas, proveedores, organismos de control y demás interesados, con el propósito de facilitar la adecuada </w:t>
      </w:r>
      <w:r w:rsidRPr="00F50E68">
        <w:rPr>
          <w:rFonts w:ascii="Verdana" w:eastAsia="Aptos" w:hAnsi="Verdana" w:cs="Times New Roman"/>
        </w:rPr>
        <w:lastRenderedPageBreak/>
        <w:t>implementación de estos instrumentos en los procesos contractuales. Además se incluyeron lineamientos que orientan la implementación de los criterios ambientales y sociales incluidos en los documentos tipo: Consulta la guía aquí:</w:t>
      </w:r>
      <w:r w:rsidRPr="00F50E68">
        <w:rPr>
          <w:rFonts w:ascii="Verdana" w:eastAsia="Aptos" w:hAnsi="Verdana" w:cs="Times New Roman"/>
        </w:rPr>
        <w:br/>
      </w:r>
      <w:hyperlink r:id="rId19" w:tgtFrame="_new" w:history="1">
        <w:r w:rsidRPr="00F50E68">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276174EE" w14:textId="77777777" w:rsidR="00B66025" w:rsidRPr="00F50E68" w:rsidRDefault="00B66025" w:rsidP="00B66025">
      <w:pPr>
        <w:widowControl w:val="0"/>
        <w:autoSpaceDE w:val="0"/>
        <w:autoSpaceDN w:val="0"/>
        <w:spacing w:after="0" w:line="276" w:lineRule="auto"/>
        <w:jc w:val="both"/>
        <w:rPr>
          <w:rFonts w:ascii="Verdana" w:hAnsi="Verdana" w:cs="Arial"/>
          <w:shd w:val="clear" w:color="auto" w:fill="FFFFFF"/>
          <w:lang w:val="es-ES"/>
        </w:rPr>
      </w:pPr>
    </w:p>
    <w:p w14:paraId="60CF9B56" w14:textId="77777777" w:rsidR="00B66025" w:rsidRPr="00F50E68" w:rsidRDefault="00B66025" w:rsidP="00B66025">
      <w:pPr>
        <w:spacing w:after="0" w:line="240" w:lineRule="auto"/>
        <w:jc w:val="both"/>
        <w:rPr>
          <w:rFonts w:ascii="Verdana" w:hAnsi="Verdana"/>
        </w:rPr>
      </w:pPr>
      <w:r w:rsidRPr="00F50E68">
        <w:rPr>
          <w:rFonts w:ascii="Verdana" w:hAnsi="Verdana"/>
        </w:rPr>
        <w:t xml:space="preserve">Por último, lo invitamos a seguirnos en las redes sociales en las cuales se difunde información institucional: </w:t>
      </w:r>
    </w:p>
    <w:p w14:paraId="17871A05" w14:textId="77777777" w:rsidR="00B66025" w:rsidRPr="00F50E68" w:rsidRDefault="00B66025" w:rsidP="00B66025">
      <w:pPr>
        <w:spacing w:after="0" w:line="240" w:lineRule="auto"/>
        <w:jc w:val="both"/>
        <w:rPr>
          <w:rFonts w:ascii="Verdana" w:hAnsi="Verdana"/>
        </w:rPr>
      </w:pPr>
    </w:p>
    <w:p w14:paraId="34FDFB3F" w14:textId="77777777" w:rsidR="00B66025" w:rsidRPr="00F50E68" w:rsidRDefault="00B66025" w:rsidP="00B66025">
      <w:pPr>
        <w:spacing w:after="0" w:line="240" w:lineRule="auto"/>
        <w:jc w:val="both"/>
        <w:rPr>
          <w:rFonts w:ascii="Verdana" w:hAnsi="Verdana"/>
        </w:rPr>
      </w:pPr>
      <w:r w:rsidRPr="00F50E68">
        <w:rPr>
          <w:rFonts w:ascii="Verdana" w:hAnsi="Verdana"/>
        </w:rPr>
        <w:t xml:space="preserve">Twitter: </w:t>
      </w:r>
      <w:r w:rsidRPr="00F50E68">
        <w:rPr>
          <w:rFonts w:ascii="Verdana" w:hAnsi="Verdana"/>
          <w:color w:val="4472C4" w:themeColor="accent1"/>
          <w:u w:val="single"/>
        </w:rPr>
        <w:t>@colombiacompra</w:t>
      </w:r>
      <w:r w:rsidRPr="00F50E68">
        <w:rPr>
          <w:rFonts w:ascii="Verdana" w:hAnsi="Verdana"/>
          <w:color w:val="4472C4" w:themeColor="accent1"/>
        </w:rPr>
        <w:t xml:space="preserve"> </w:t>
      </w:r>
    </w:p>
    <w:p w14:paraId="0E9C7A07" w14:textId="77777777" w:rsidR="00B66025" w:rsidRPr="00F50E68" w:rsidRDefault="00B66025" w:rsidP="00B66025">
      <w:pPr>
        <w:spacing w:after="0" w:line="240" w:lineRule="auto"/>
        <w:jc w:val="both"/>
        <w:rPr>
          <w:rFonts w:ascii="Verdana" w:hAnsi="Verdana"/>
        </w:rPr>
      </w:pPr>
      <w:r w:rsidRPr="00F50E68">
        <w:rPr>
          <w:rFonts w:ascii="Verdana" w:hAnsi="Verdana"/>
        </w:rPr>
        <w:t xml:space="preserve">Facebook: </w:t>
      </w:r>
      <w:proofErr w:type="spellStart"/>
      <w:r w:rsidRPr="00F50E68">
        <w:rPr>
          <w:rFonts w:ascii="Verdana" w:hAnsi="Verdana"/>
          <w:color w:val="4472C4" w:themeColor="accent1"/>
          <w:u w:val="single"/>
        </w:rPr>
        <w:t>ColombiaCompraEficiente</w:t>
      </w:r>
      <w:proofErr w:type="spellEnd"/>
    </w:p>
    <w:p w14:paraId="240225BA" w14:textId="77777777" w:rsidR="00B66025" w:rsidRPr="00F50E68" w:rsidRDefault="00B66025" w:rsidP="00B66025">
      <w:pPr>
        <w:spacing w:after="0" w:line="240" w:lineRule="auto"/>
        <w:jc w:val="both"/>
        <w:rPr>
          <w:rFonts w:ascii="Verdana" w:hAnsi="Verdana"/>
        </w:rPr>
      </w:pPr>
      <w:r w:rsidRPr="00F50E68">
        <w:rPr>
          <w:rFonts w:ascii="Verdana" w:hAnsi="Verdana"/>
        </w:rPr>
        <w:t xml:space="preserve">LinkedIn: </w:t>
      </w:r>
      <w:r w:rsidRPr="00F50E68">
        <w:rPr>
          <w:rFonts w:ascii="Verdana" w:hAnsi="Verdana"/>
          <w:color w:val="4472C4" w:themeColor="accent1"/>
          <w:u w:val="single"/>
        </w:rPr>
        <w:t>Agencia Nacional de Contratación Pública - Colombia Compra Eficiente</w:t>
      </w:r>
      <w:r w:rsidRPr="00F50E68">
        <w:rPr>
          <w:rFonts w:ascii="Verdana" w:hAnsi="Verdana"/>
          <w:color w:val="4472C4" w:themeColor="accent1"/>
        </w:rPr>
        <w:t xml:space="preserve"> </w:t>
      </w:r>
      <w:r w:rsidRPr="00F50E68">
        <w:rPr>
          <w:rFonts w:ascii="Verdana" w:hAnsi="Verdana"/>
        </w:rPr>
        <w:t xml:space="preserve">Instagram: </w:t>
      </w:r>
      <w:r w:rsidRPr="00F50E68">
        <w:rPr>
          <w:rFonts w:ascii="Verdana" w:hAnsi="Verdana"/>
          <w:color w:val="4472C4" w:themeColor="accent1"/>
          <w:u w:val="single"/>
        </w:rPr>
        <w:t>@colombiacompraeficiente_cce</w:t>
      </w:r>
    </w:p>
    <w:p w14:paraId="016E197B" w14:textId="77777777" w:rsidR="00B66025" w:rsidRPr="00F50E68" w:rsidRDefault="00B66025" w:rsidP="00B66025">
      <w:pPr>
        <w:widowControl w:val="0"/>
        <w:autoSpaceDE w:val="0"/>
        <w:autoSpaceDN w:val="0"/>
        <w:spacing w:after="0" w:line="276" w:lineRule="auto"/>
        <w:jc w:val="both"/>
        <w:rPr>
          <w:rFonts w:ascii="Verdana" w:hAnsi="Verdana" w:cs="Arial"/>
        </w:rPr>
      </w:pPr>
    </w:p>
    <w:p w14:paraId="77D42D0A" w14:textId="77777777" w:rsidR="00B66025" w:rsidRPr="00F50E68" w:rsidRDefault="00B66025" w:rsidP="00B66025">
      <w:pPr>
        <w:widowControl w:val="0"/>
        <w:autoSpaceDE w:val="0"/>
        <w:autoSpaceDN w:val="0"/>
        <w:spacing w:after="0" w:line="276" w:lineRule="auto"/>
        <w:jc w:val="both"/>
        <w:rPr>
          <w:rFonts w:ascii="Verdana" w:hAnsi="Verdana" w:cs="Arial"/>
          <w:lang w:val="es-ES_tradnl"/>
        </w:rPr>
      </w:pPr>
      <w:r w:rsidRPr="00F50E68">
        <w:rPr>
          <w:rFonts w:ascii="Verdana" w:hAnsi="Verdana" w:cs="Arial"/>
        </w:rPr>
        <w:t xml:space="preserve">Este concepto tiene el alcance previsto en el artículo 28 del Código de Procedimiento Administrativo y de lo Contencioso Administrativo </w:t>
      </w:r>
      <w:r w:rsidRPr="00F50E68">
        <w:rPr>
          <w:rFonts w:ascii="Verdana" w:hAnsi="Verdana" w:cs="Arial"/>
          <w:lang w:val="es-ES_tradnl"/>
        </w:rPr>
        <w:t>y las expresiones aquí utilizadas con mayúscula inicial deben ser entendidas con el significado que les otorga el artículo 2.2.1.1.1.3.1. del Decreto 1082 de 2015.</w:t>
      </w:r>
    </w:p>
    <w:p w14:paraId="21D0E307" w14:textId="77777777" w:rsidR="00B66025" w:rsidRPr="00F50E68" w:rsidRDefault="00B66025" w:rsidP="00B66025">
      <w:pPr>
        <w:widowControl w:val="0"/>
        <w:autoSpaceDE w:val="0"/>
        <w:autoSpaceDN w:val="0"/>
        <w:spacing w:after="0" w:line="276" w:lineRule="auto"/>
        <w:jc w:val="both"/>
        <w:rPr>
          <w:rFonts w:ascii="Verdana" w:hAnsi="Verdana" w:cs="Arial"/>
        </w:rPr>
      </w:pPr>
    </w:p>
    <w:p w14:paraId="65A25570" w14:textId="77777777" w:rsidR="00B66025" w:rsidRPr="00F50E68" w:rsidRDefault="00B66025" w:rsidP="00B66025">
      <w:pPr>
        <w:spacing w:after="0" w:line="240" w:lineRule="auto"/>
        <w:rPr>
          <w:rFonts w:ascii="Verdana" w:hAnsi="Verdana" w:cs="Arial"/>
          <w:lang w:eastAsia="es-CO"/>
        </w:rPr>
      </w:pPr>
      <w:r w:rsidRPr="00F50E68">
        <w:rPr>
          <w:rFonts w:ascii="Verdana" w:eastAsia="Times New Roman" w:hAnsi="Verdana" w:cs="Arial"/>
          <w:lang w:eastAsia="es-CO"/>
        </w:rPr>
        <w:t>Atentamente,</w:t>
      </w:r>
      <w:r w:rsidRPr="00F50E68">
        <w:rPr>
          <w:rFonts w:ascii="Verdana" w:hAnsi="Verdana" w:cs="Arial"/>
          <w:lang w:eastAsia="es-CO"/>
        </w:rPr>
        <w:t xml:space="preserve"> </w:t>
      </w:r>
    </w:p>
    <w:p w14:paraId="1FB497FC" w14:textId="36626F18" w:rsidR="00B66025" w:rsidRPr="00F50E68" w:rsidRDefault="0006046F" w:rsidP="00B66025">
      <w:pPr>
        <w:spacing w:line="276" w:lineRule="auto"/>
        <w:jc w:val="center"/>
        <w:rPr>
          <w:rFonts w:ascii="Verdana" w:hAnsi="Verdana" w:cs="Arial"/>
          <w:lang w:val="es-ES_tradnl" w:eastAsia="es-CO"/>
        </w:rPr>
      </w:pPr>
      <w:r w:rsidRPr="002C3AD6">
        <w:rPr>
          <w:rFonts w:ascii="Century Gothic" w:hAnsi="Century Gothic"/>
          <w:noProof/>
        </w:rPr>
        <w:drawing>
          <wp:inline distT="0" distB="0" distL="0" distR="0" wp14:anchorId="794CAC14" wp14:editId="0D727C9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B66025" w:rsidRPr="00F50E68" w14:paraId="118A6C65" w14:textId="77777777" w:rsidTr="00B945AC">
        <w:trPr>
          <w:trHeight w:val="286"/>
        </w:trPr>
        <w:tc>
          <w:tcPr>
            <w:tcW w:w="901" w:type="dxa"/>
            <w:vAlign w:val="center"/>
            <w:hideMark/>
          </w:tcPr>
          <w:p w14:paraId="6E376068" w14:textId="77777777" w:rsidR="00B66025" w:rsidRPr="00F50E68" w:rsidRDefault="00B66025" w:rsidP="00B945AC">
            <w:pPr>
              <w:rPr>
                <w:rFonts w:ascii="Verdana" w:hAnsi="Verdana" w:cs="Arial"/>
                <w:sz w:val="14"/>
                <w:szCs w:val="14"/>
                <w:lang w:eastAsia="es-ES"/>
              </w:rPr>
            </w:pPr>
            <w:r w:rsidRPr="00F50E68">
              <w:rPr>
                <w:rFonts w:ascii="Verdana"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5D7A6905" w14:textId="77777777" w:rsidR="00B66025" w:rsidRPr="00F50E68" w:rsidRDefault="00B66025" w:rsidP="00B945AC">
            <w:pPr>
              <w:rPr>
                <w:rFonts w:ascii="Verdana" w:hAnsi="Verdana" w:cs="Arial"/>
                <w:sz w:val="14"/>
                <w:szCs w:val="14"/>
                <w:lang w:eastAsia="es-ES"/>
              </w:rPr>
            </w:pPr>
            <w:r>
              <w:rPr>
                <w:rFonts w:ascii="Verdana" w:hAnsi="Verdana" w:cs="Arial"/>
                <w:sz w:val="14"/>
                <w:szCs w:val="14"/>
                <w:lang w:eastAsia="es-ES"/>
              </w:rPr>
              <w:t>Richard Andrés Montenegro Siefken</w:t>
            </w:r>
          </w:p>
          <w:p w14:paraId="3C1BCCBE" w14:textId="77777777" w:rsidR="00B66025" w:rsidRPr="00F50E68" w:rsidRDefault="00B66025" w:rsidP="00B945AC">
            <w:pPr>
              <w:rPr>
                <w:rFonts w:ascii="Verdana" w:hAnsi="Verdana" w:cs="Arial"/>
                <w:sz w:val="14"/>
                <w:szCs w:val="14"/>
                <w:lang w:eastAsia="es-ES"/>
              </w:rPr>
            </w:pPr>
            <w:r>
              <w:rPr>
                <w:rFonts w:ascii="Verdana" w:hAnsi="Verdana" w:cs="Arial"/>
                <w:sz w:val="14"/>
                <w:szCs w:val="14"/>
                <w:lang w:eastAsia="es-ES"/>
              </w:rPr>
              <w:t>Contratista</w:t>
            </w:r>
            <w:r w:rsidRPr="00F50E68">
              <w:rPr>
                <w:rFonts w:ascii="Verdana" w:hAnsi="Verdana" w:cs="Arial"/>
                <w:sz w:val="14"/>
                <w:szCs w:val="14"/>
                <w:lang w:eastAsia="es-ES"/>
              </w:rPr>
              <w:t xml:space="preserve"> de la Subdirección de Gestión Contractual</w:t>
            </w:r>
          </w:p>
        </w:tc>
      </w:tr>
      <w:tr w:rsidR="00B66025" w:rsidRPr="00F50E68" w14:paraId="4C57F8F2" w14:textId="77777777" w:rsidTr="00B945AC">
        <w:trPr>
          <w:trHeight w:val="299"/>
        </w:trPr>
        <w:tc>
          <w:tcPr>
            <w:tcW w:w="901" w:type="dxa"/>
            <w:vAlign w:val="center"/>
          </w:tcPr>
          <w:p w14:paraId="066D0A3B" w14:textId="77777777" w:rsidR="00B66025" w:rsidRPr="00F50E68" w:rsidRDefault="00B66025" w:rsidP="00B945AC">
            <w:pPr>
              <w:rPr>
                <w:rFonts w:ascii="Verdana" w:hAnsi="Verdana" w:cs="Arial"/>
                <w:sz w:val="14"/>
                <w:szCs w:val="14"/>
                <w:lang w:eastAsia="es-ES"/>
              </w:rPr>
            </w:pPr>
            <w:r w:rsidRPr="00F50E68">
              <w:rPr>
                <w:rFonts w:ascii="Verdana"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202E1B01" w14:textId="77777777" w:rsidR="00B66025" w:rsidRPr="00F50E68" w:rsidRDefault="00B66025" w:rsidP="00B945AC">
            <w:pPr>
              <w:rPr>
                <w:rFonts w:ascii="Verdana" w:hAnsi="Verdana" w:cs="Arial"/>
                <w:sz w:val="14"/>
                <w:szCs w:val="14"/>
                <w:lang w:eastAsia="es-ES"/>
              </w:rPr>
            </w:pPr>
            <w:r>
              <w:rPr>
                <w:rFonts w:ascii="Verdana" w:hAnsi="Verdana" w:cs="Arial"/>
                <w:sz w:val="14"/>
                <w:szCs w:val="14"/>
                <w:lang w:eastAsia="es-ES"/>
              </w:rPr>
              <w:t>Juan David Cardenas Cabezas</w:t>
            </w:r>
          </w:p>
          <w:p w14:paraId="23CEB73A" w14:textId="77777777" w:rsidR="00B66025" w:rsidRPr="00F50E68" w:rsidRDefault="00B66025" w:rsidP="00B945AC">
            <w:pPr>
              <w:rPr>
                <w:rFonts w:ascii="Verdana" w:hAnsi="Verdana" w:cs="Arial"/>
                <w:sz w:val="14"/>
                <w:szCs w:val="14"/>
                <w:lang w:eastAsia="es-ES"/>
              </w:rPr>
            </w:pPr>
            <w:r w:rsidRPr="00F50E68">
              <w:rPr>
                <w:rFonts w:ascii="Verdana" w:hAnsi="Verdana" w:cs="Arial"/>
                <w:sz w:val="14"/>
                <w:szCs w:val="14"/>
                <w:lang w:eastAsia="es-ES"/>
              </w:rPr>
              <w:t>Contratista de la Subdirección de Gestión Contractual</w:t>
            </w:r>
          </w:p>
        </w:tc>
      </w:tr>
      <w:tr w:rsidR="00B66025" w:rsidRPr="00F50E68" w14:paraId="6D805615" w14:textId="77777777" w:rsidTr="00B945AC">
        <w:trPr>
          <w:trHeight w:val="272"/>
        </w:trPr>
        <w:tc>
          <w:tcPr>
            <w:tcW w:w="901" w:type="dxa"/>
            <w:vAlign w:val="center"/>
            <w:hideMark/>
          </w:tcPr>
          <w:p w14:paraId="65F643B0" w14:textId="77777777" w:rsidR="00B66025" w:rsidRPr="00F50E68" w:rsidRDefault="00B66025" w:rsidP="00B945AC">
            <w:pPr>
              <w:rPr>
                <w:rFonts w:ascii="Verdana" w:hAnsi="Verdana" w:cs="Arial"/>
                <w:sz w:val="14"/>
                <w:szCs w:val="14"/>
                <w:lang w:eastAsia="es-ES"/>
              </w:rPr>
            </w:pPr>
            <w:r w:rsidRPr="00F50E68">
              <w:rPr>
                <w:rFonts w:ascii="Verdana"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338FA6BB" w14:textId="77777777" w:rsidR="00B66025" w:rsidRPr="00F50E68" w:rsidRDefault="00B66025" w:rsidP="00B945AC">
            <w:pPr>
              <w:rPr>
                <w:rFonts w:ascii="Verdana" w:hAnsi="Verdana" w:cs="Arial"/>
                <w:sz w:val="14"/>
                <w:szCs w:val="14"/>
                <w:lang w:eastAsia="es-ES"/>
              </w:rPr>
            </w:pPr>
            <w:r w:rsidRPr="00F50E68">
              <w:rPr>
                <w:rFonts w:ascii="Verdana" w:hAnsi="Verdana" w:cs="Arial"/>
                <w:sz w:val="14"/>
                <w:szCs w:val="14"/>
                <w:lang w:eastAsia="es-ES"/>
              </w:rPr>
              <w:t>Carolina Quintero Gacharná</w:t>
            </w:r>
          </w:p>
          <w:p w14:paraId="28FC2E13" w14:textId="77777777" w:rsidR="00B66025" w:rsidRPr="00F50E68" w:rsidRDefault="00B66025" w:rsidP="00B945AC">
            <w:pPr>
              <w:rPr>
                <w:rFonts w:ascii="Verdana" w:hAnsi="Verdana" w:cs="Arial"/>
                <w:sz w:val="14"/>
                <w:szCs w:val="14"/>
                <w:lang w:eastAsia="es-ES"/>
              </w:rPr>
            </w:pPr>
            <w:r w:rsidRPr="00F50E68">
              <w:rPr>
                <w:rFonts w:ascii="Verdana" w:hAnsi="Verdana" w:cs="Arial"/>
                <w:sz w:val="14"/>
                <w:szCs w:val="14"/>
                <w:lang w:eastAsia="es-ES"/>
              </w:rPr>
              <w:t>Subdirectora de Gestión Contractual ANCP – CCE</w:t>
            </w:r>
          </w:p>
        </w:tc>
      </w:tr>
    </w:tbl>
    <w:p w14:paraId="6F7352E5" w14:textId="77777777" w:rsidR="00B66025" w:rsidRPr="00F50E68" w:rsidRDefault="00B66025" w:rsidP="00B66025">
      <w:pPr>
        <w:spacing w:after="0" w:line="240" w:lineRule="auto"/>
        <w:rPr>
          <w:rFonts w:ascii="Verdana" w:eastAsia="Times New Roman" w:hAnsi="Verdana" w:cs="Arial"/>
          <w:sz w:val="24"/>
          <w:szCs w:val="24"/>
          <w:lang w:eastAsia="es-ES"/>
        </w:rPr>
      </w:pPr>
    </w:p>
    <w:p w14:paraId="3640115B" w14:textId="77777777" w:rsidR="00B66025" w:rsidRPr="00F50E68" w:rsidRDefault="00B66025" w:rsidP="00B66025">
      <w:pPr>
        <w:rPr>
          <w:rFonts w:ascii="Verdana" w:hAnsi="Verdana"/>
        </w:rPr>
      </w:pPr>
    </w:p>
    <w:p w14:paraId="52E694C4" w14:textId="77777777" w:rsidR="00B66025" w:rsidRPr="00F50E68" w:rsidRDefault="00B66025" w:rsidP="00B66025">
      <w:pPr>
        <w:spacing w:after="0"/>
        <w:jc w:val="both"/>
        <w:rPr>
          <w:rFonts w:ascii="Verdana" w:hAnsi="Verdana"/>
        </w:rPr>
      </w:pPr>
    </w:p>
    <w:p w14:paraId="72E612B2" w14:textId="77777777" w:rsidR="00B66025" w:rsidRPr="000E2B93" w:rsidRDefault="00B66025" w:rsidP="00B66025">
      <w:pPr>
        <w:spacing w:after="0" w:line="240" w:lineRule="auto"/>
        <w:jc w:val="both"/>
        <w:textAlignment w:val="baseline"/>
        <w:rPr>
          <w:rFonts w:ascii="Verdana" w:eastAsia="Verdana" w:hAnsi="Verdana" w:cs="Verdana"/>
          <w:lang w:eastAsia="es-CO"/>
        </w:rPr>
      </w:pPr>
    </w:p>
    <w:p w14:paraId="7F681B4A" w14:textId="77777777" w:rsidR="00B66025" w:rsidRPr="000E2B93" w:rsidRDefault="00B66025" w:rsidP="00B6602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1F7F50F4" w:rsidR="00127233" w:rsidRPr="00EE576D" w:rsidRDefault="00127233" w:rsidP="00EE576D"/>
    <w:sectPr w:rsidR="00127233" w:rsidRPr="00EE576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54C53" w14:textId="77777777" w:rsidR="00900669" w:rsidRDefault="00900669" w:rsidP="004A1847">
      <w:pPr>
        <w:spacing w:after="0" w:line="240" w:lineRule="auto"/>
      </w:pPr>
      <w:r>
        <w:separator/>
      </w:r>
    </w:p>
  </w:endnote>
  <w:endnote w:type="continuationSeparator" w:id="0">
    <w:p w14:paraId="5E81086E" w14:textId="77777777" w:rsidR="00900669" w:rsidRDefault="0090066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E576D"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EE576D">
      <w:rPr>
        <w:rFonts w:ascii="Verdana" w:eastAsia="Verdana" w:hAnsi="Verdana" w:cs="Verdana"/>
        <w:b/>
        <w:bCs/>
        <w:color w:val="000000" w:themeColor="text1"/>
        <w:sz w:val="18"/>
        <w:szCs w:val="18"/>
        <w:lang w:val="pt-PT" w:eastAsia="es-CO"/>
      </w:rPr>
      <w:t xml:space="preserve">Código: </w:t>
    </w:r>
    <w:r w:rsidRPr="00EE576D">
      <w:rPr>
        <w:rFonts w:ascii="Verdana" w:eastAsia="Verdana" w:hAnsi="Verdana" w:cs="Verdana"/>
        <w:color w:val="000000" w:themeColor="text1"/>
        <w:sz w:val="18"/>
        <w:szCs w:val="18"/>
        <w:lang w:val="pt-PT" w:eastAsia="es-CO"/>
      </w:rPr>
      <w:t xml:space="preserve">CCE-REC-FM-17 </w:t>
    </w:r>
    <w:r w:rsidRPr="00EE576D">
      <w:rPr>
        <w:rFonts w:ascii="Verdana" w:eastAsia="Verdana" w:hAnsi="Verdana" w:cs="Verdana"/>
        <w:b/>
        <w:bCs/>
        <w:color w:val="000000" w:themeColor="text1"/>
        <w:sz w:val="18"/>
        <w:szCs w:val="18"/>
        <w:lang w:val="pt-PT" w:eastAsia="es-CO"/>
      </w:rPr>
      <w:t xml:space="preserve">V: </w:t>
    </w:r>
    <w:r w:rsidRPr="00EE576D">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0F543" w14:textId="77777777" w:rsidR="00900669" w:rsidRDefault="00900669" w:rsidP="004A1847">
      <w:pPr>
        <w:spacing w:after="0" w:line="240" w:lineRule="auto"/>
      </w:pPr>
      <w:r>
        <w:separator/>
      </w:r>
    </w:p>
  </w:footnote>
  <w:footnote w:type="continuationSeparator" w:id="0">
    <w:p w14:paraId="75B6F4B7" w14:textId="77777777" w:rsidR="00900669" w:rsidRDefault="00900669" w:rsidP="004A1847">
      <w:pPr>
        <w:spacing w:after="0" w:line="240" w:lineRule="auto"/>
      </w:pPr>
      <w:r>
        <w:continuationSeparator/>
      </w:r>
    </w:p>
  </w:footnote>
  <w:footnote w:id="1">
    <w:p w14:paraId="78F2C287" w14:textId="77777777" w:rsidR="00B66025" w:rsidRPr="00F50E68" w:rsidRDefault="00B66025" w:rsidP="00B66025">
      <w:pPr>
        <w:pStyle w:val="Textonotapie"/>
        <w:ind w:firstLine="708"/>
        <w:jc w:val="both"/>
        <w:rPr>
          <w:rFonts w:ascii="Verdana" w:hAnsi="Verdana"/>
          <w:sz w:val="18"/>
          <w:szCs w:val="18"/>
        </w:rPr>
      </w:pPr>
      <w:r w:rsidRPr="00F50E68">
        <w:rPr>
          <w:rStyle w:val="Refdenotaalpie"/>
          <w:rFonts w:ascii="Verdana" w:hAnsi="Verdana"/>
          <w:sz w:val="18"/>
          <w:szCs w:val="18"/>
        </w:rPr>
        <w:footnoteRef/>
      </w:r>
      <w:r w:rsidRPr="00F50E68">
        <w:rPr>
          <w:rFonts w:ascii="Verdana" w:hAnsi="Verdana"/>
          <w:sz w:val="18"/>
          <w:szCs w:val="18"/>
        </w:rPr>
        <w:t>Disponible en este enlace:</w:t>
      </w:r>
    </w:p>
    <w:p w14:paraId="141DA55D" w14:textId="77777777" w:rsidR="00B66025" w:rsidRPr="00F50E68" w:rsidRDefault="00B66025" w:rsidP="00B66025">
      <w:pPr>
        <w:pStyle w:val="Textonotapie"/>
        <w:ind w:firstLine="708"/>
        <w:jc w:val="both"/>
        <w:rPr>
          <w:rFonts w:ascii="Verdana" w:hAnsi="Verdana"/>
          <w:sz w:val="18"/>
          <w:szCs w:val="18"/>
          <w:lang w:val="es-CO"/>
        </w:rPr>
      </w:pPr>
      <w:hyperlink r:id="rId1" w:history="1">
        <w:r w:rsidRPr="00F50E68">
          <w:rPr>
            <w:rStyle w:val="Hipervnculo"/>
            <w:rFonts w:ascii="Verdana" w:hAnsi="Verdana"/>
            <w:sz w:val="18"/>
            <w:szCs w:val="18"/>
          </w:rPr>
          <w:t>https://www.colombiacompra.gov.co/sites/cce_public/files/cce_documents/guia_para_elaborar_el_plan_anual_de_adquisiciones_0.pdf</w:t>
        </w:r>
      </w:hyperlink>
      <w:r w:rsidRPr="00F50E68">
        <w:rPr>
          <w:rFonts w:ascii="Verdana" w:hAnsi="Verdana"/>
          <w:sz w:val="18"/>
          <w:szCs w:val="18"/>
        </w:rPr>
        <w:t xml:space="preserve"> </w:t>
      </w:r>
    </w:p>
  </w:footnote>
  <w:footnote w:id="2">
    <w:p w14:paraId="505D9F0D" w14:textId="77777777" w:rsidR="00B66025" w:rsidRPr="00F50E68" w:rsidRDefault="00B66025" w:rsidP="00B66025">
      <w:pPr>
        <w:pStyle w:val="Textonotapie"/>
        <w:ind w:firstLine="708"/>
        <w:jc w:val="both"/>
        <w:rPr>
          <w:rFonts w:ascii="Verdana" w:hAnsi="Verdana" w:cs="Arial"/>
          <w:sz w:val="18"/>
          <w:szCs w:val="18"/>
          <w:lang w:val="es-CO"/>
        </w:rPr>
      </w:pPr>
      <w:r w:rsidRPr="00F50E68">
        <w:rPr>
          <w:rStyle w:val="Refdenotaalpie"/>
          <w:rFonts w:ascii="Verdana" w:hAnsi="Verdana" w:cs="Arial"/>
          <w:sz w:val="18"/>
          <w:szCs w:val="18"/>
        </w:rPr>
        <w:footnoteRef/>
      </w:r>
      <w:r w:rsidRPr="00F50E68">
        <w:rPr>
          <w:rFonts w:ascii="Verdana" w:eastAsia="Calibri" w:hAnsi="Verdana" w:cs="Arial"/>
          <w:sz w:val="18"/>
          <w:szCs w:val="18"/>
        </w:rPr>
        <w:t xml:space="preserve"> Agencia Nacional de Contratación Pública </w:t>
      </w:r>
      <w:r w:rsidRPr="00F50E68">
        <w:rPr>
          <w:rFonts w:ascii="Verdana" w:eastAsia="Calibri" w:hAnsi="Verdana" w:cs="Arial"/>
          <w:bCs/>
          <w:sz w:val="18"/>
          <w:szCs w:val="18"/>
        </w:rPr>
        <w:t xml:space="preserve">– </w:t>
      </w:r>
      <w:r w:rsidRPr="00F50E68">
        <w:rPr>
          <w:rFonts w:ascii="Verdana" w:eastAsia="Calibri" w:hAnsi="Verdana" w:cs="Arial"/>
          <w:sz w:val="18"/>
          <w:szCs w:val="18"/>
        </w:rPr>
        <w:t>Colombia Compra Eficiente</w:t>
      </w:r>
      <w:r w:rsidRPr="00F50E68">
        <w:rPr>
          <w:rFonts w:ascii="Verdana" w:hAnsi="Verdana" w:cs="Arial"/>
          <w:sz w:val="18"/>
          <w:szCs w:val="18"/>
          <w:lang w:val="es-CO"/>
        </w:rPr>
        <w:t xml:space="preserve"> Guía para elaborar el Plan Anual de Adquisiciones. Página 4. </w:t>
      </w:r>
    </w:p>
  </w:footnote>
  <w:footnote w:id="3">
    <w:p w14:paraId="32AB8D64" w14:textId="77777777" w:rsidR="00B66025" w:rsidRPr="00F50E68" w:rsidRDefault="00B66025" w:rsidP="00B66025">
      <w:pPr>
        <w:pStyle w:val="Textonotapie"/>
        <w:ind w:firstLine="708"/>
        <w:jc w:val="both"/>
        <w:rPr>
          <w:rFonts w:ascii="Verdana" w:hAnsi="Verdana" w:cs="Arial"/>
          <w:sz w:val="18"/>
          <w:szCs w:val="18"/>
        </w:rPr>
      </w:pPr>
    </w:p>
    <w:p w14:paraId="7A5BFCBB" w14:textId="77777777" w:rsidR="00B66025" w:rsidRPr="00F50E68" w:rsidRDefault="00B66025" w:rsidP="00B66025">
      <w:pPr>
        <w:pStyle w:val="Textonotapie"/>
        <w:ind w:firstLine="708"/>
        <w:jc w:val="both"/>
        <w:rPr>
          <w:rFonts w:ascii="Verdana" w:hAnsi="Verdana" w:cs="Arial"/>
          <w:sz w:val="18"/>
          <w:szCs w:val="18"/>
          <w:lang w:val="es-ES"/>
        </w:rPr>
      </w:pPr>
      <w:r w:rsidRPr="00F50E68">
        <w:rPr>
          <w:rStyle w:val="Refdenotaalpie"/>
          <w:rFonts w:ascii="Verdana" w:hAnsi="Verdana" w:cs="Arial"/>
          <w:sz w:val="18"/>
          <w:szCs w:val="18"/>
        </w:rPr>
        <w:footnoteRef/>
      </w:r>
      <w:r w:rsidRPr="00F50E68">
        <w:rPr>
          <w:rFonts w:ascii="Verdana" w:hAnsi="Verdana" w:cs="Arial"/>
          <w:sz w:val="18"/>
          <w:szCs w:val="18"/>
        </w:rPr>
        <w:t xml:space="preserve"> El artículo 74 de la Ley 1474 prescribe: “</w:t>
      </w:r>
      <w:r w:rsidRPr="00F50E68">
        <w:rPr>
          <w:rFonts w:ascii="Verdana" w:hAnsi="Verdana" w:cs="Arial"/>
          <w:sz w:val="18"/>
          <w:szCs w:val="18"/>
          <w:lang w:val="es-ES"/>
        </w:rPr>
        <w:t>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35FB961C" w14:textId="77777777" w:rsidR="00B66025" w:rsidRPr="00F50E68" w:rsidRDefault="00B66025" w:rsidP="00B66025">
      <w:pPr>
        <w:pStyle w:val="Textonotapie"/>
        <w:ind w:firstLine="708"/>
        <w:jc w:val="both"/>
        <w:rPr>
          <w:rFonts w:ascii="Verdana" w:hAnsi="Verdana" w:cs="Arial"/>
          <w:sz w:val="18"/>
          <w:szCs w:val="18"/>
          <w:lang w:val="es-ES"/>
        </w:rPr>
      </w:pPr>
      <w:r w:rsidRPr="00F50E68">
        <w:rPr>
          <w:rFonts w:ascii="Verdana" w:hAnsi="Verdana" w:cs="Arial"/>
          <w:sz w:val="18"/>
          <w:szCs w:val="18"/>
          <w:lang w:val="es-ES"/>
        </w:rPr>
        <w:t>A partir del año siguiente, el Plan de Acción deberá estar acompañado del informe de gestión del año inmediatamente anterior.</w:t>
      </w:r>
    </w:p>
    <w:p w14:paraId="0FBA7389" w14:textId="77777777" w:rsidR="00B66025" w:rsidRPr="00F50E68" w:rsidRDefault="00B66025" w:rsidP="00B66025">
      <w:pPr>
        <w:pStyle w:val="Textonotapie"/>
        <w:ind w:firstLine="708"/>
        <w:jc w:val="both"/>
        <w:rPr>
          <w:rFonts w:ascii="Verdana" w:hAnsi="Verdana" w:cs="Arial"/>
          <w:sz w:val="18"/>
          <w:szCs w:val="18"/>
          <w:lang w:val="es-ES"/>
        </w:rPr>
      </w:pPr>
      <w:r w:rsidRPr="00F50E68">
        <w:rPr>
          <w:rFonts w:ascii="Verdana" w:hAnsi="Verdana" w:cs="Arial"/>
          <w:sz w:val="18"/>
          <w:szCs w:val="18"/>
          <w:lang w:val="es-ES"/>
        </w:rPr>
        <w:t>Igualmente publicarán por dicho medio su presupuesto debidamente desagregado, así como las modificaciones a este o a su desagregación.</w:t>
      </w:r>
      <w:r w:rsidRPr="00F50E68">
        <w:rPr>
          <w:rFonts w:ascii="Verdana" w:hAnsi="Verdana" w:cs="Arial"/>
          <w:sz w:val="18"/>
          <w:szCs w:val="18"/>
          <w:lang w:val="es-ES"/>
        </w:rPr>
        <w:tab/>
      </w:r>
    </w:p>
    <w:p w14:paraId="7EEF0D8E" w14:textId="77777777" w:rsidR="00B66025" w:rsidRPr="00F50E68" w:rsidRDefault="00B66025" w:rsidP="00B66025">
      <w:pPr>
        <w:pStyle w:val="Textonotapie"/>
        <w:ind w:firstLine="708"/>
        <w:jc w:val="both"/>
        <w:rPr>
          <w:rFonts w:ascii="Verdana" w:hAnsi="Verdana" w:cs="Arial"/>
          <w:sz w:val="18"/>
          <w:szCs w:val="18"/>
          <w:lang w:val="es-ES"/>
        </w:rPr>
      </w:pPr>
      <w:r w:rsidRPr="00F50E68">
        <w:rPr>
          <w:rFonts w:ascii="Verdana" w:hAnsi="Verdana" w:cs="Arial"/>
          <w:sz w:val="18"/>
          <w:szCs w:val="18"/>
          <w:lang w:val="es-ES"/>
        </w:rPr>
        <w:t>Parágrafo. Las empresas industriales y comerciales del Estado y las Sociedades de Economía Mixta estarán exentas de publicar la información relacionada con sus proyectos de inversión”.</w:t>
      </w:r>
    </w:p>
    <w:p w14:paraId="33E80908" w14:textId="77777777" w:rsidR="00B66025" w:rsidRPr="00F50E68" w:rsidRDefault="00B66025" w:rsidP="00B66025">
      <w:pPr>
        <w:pStyle w:val="Textonotapie"/>
        <w:ind w:firstLine="708"/>
        <w:jc w:val="both"/>
        <w:rPr>
          <w:rFonts w:ascii="Verdana" w:hAnsi="Verdana" w:cs="Arial"/>
          <w:sz w:val="18"/>
          <w:szCs w:val="18"/>
          <w:lang w:val="es-ES"/>
        </w:rPr>
      </w:pPr>
      <w:r w:rsidRPr="00F50E68">
        <w:rPr>
          <w:rFonts w:ascii="Verdana" w:hAnsi="Verdana" w:cs="Arial"/>
          <w:sz w:val="18"/>
          <w:szCs w:val="18"/>
          <w:lang w:val="es-ES"/>
        </w:rPr>
        <w:t xml:space="preserve"> </w:t>
      </w:r>
    </w:p>
  </w:footnote>
  <w:footnote w:id="4">
    <w:p w14:paraId="67AF48E7" w14:textId="77777777" w:rsidR="00B66025" w:rsidRPr="00F50E68" w:rsidRDefault="00B66025" w:rsidP="00B66025">
      <w:pPr>
        <w:pStyle w:val="Textonotapie"/>
        <w:ind w:firstLine="709"/>
        <w:jc w:val="both"/>
        <w:rPr>
          <w:rFonts w:ascii="Verdana" w:hAnsi="Verdana" w:cs="Arial"/>
          <w:color w:val="000000"/>
          <w:sz w:val="18"/>
          <w:szCs w:val="18"/>
          <w:shd w:val="clear" w:color="auto" w:fill="FFFFFF"/>
        </w:rPr>
      </w:pPr>
      <w:r w:rsidRPr="00F50E68">
        <w:rPr>
          <w:rStyle w:val="Refdenotaalpie"/>
          <w:rFonts w:ascii="Verdana" w:hAnsi="Verdana" w:cs="Arial"/>
          <w:color w:val="000000"/>
          <w:sz w:val="18"/>
          <w:szCs w:val="18"/>
        </w:rPr>
        <w:footnoteRef/>
      </w:r>
      <w:r w:rsidRPr="00F50E68">
        <w:rPr>
          <w:rFonts w:ascii="Verdana" w:hAnsi="Verdana" w:cs="Arial"/>
          <w:color w:val="000000"/>
          <w:sz w:val="18"/>
          <w:szCs w:val="18"/>
        </w:rPr>
        <w:t xml:space="preserve"> “</w:t>
      </w:r>
      <w:r w:rsidRPr="00F50E68">
        <w:rPr>
          <w:rStyle w:val="Fuerte"/>
          <w:rFonts w:ascii="Verdana" w:hAnsi="Verdana" w:cs="Arial"/>
          <w:color w:val="000000"/>
          <w:sz w:val="18"/>
          <w:szCs w:val="18"/>
          <w:shd w:val="clear" w:color="auto" w:fill="FFFFFF"/>
        </w:rPr>
        <w:t>Artículo 2.2.1.1.1.3.1. </w:t>
      </w:r>
      <w:r w:rsidRPr="00F50E68">
        <w:rPr>
          <w:rStyle w:val="nfasis"/>
          <w:rFonts w:ascii="Verdana" w:hAnsi="Verdana" w:cs="Arial"/>
          <w:color w:val="000000"/>
          <w:sz w:val="18"/>
          <w:szCs w:val="18"/>
          <w:shd w:val="clear" w:color="auto" w:fill="FFFFFF"/>
        </w:rPr>
        <w:t>Definiciones. </w:t>
      </w:r>
      <w:r w:rsidRPr="00F50E68">
        <w:rPr>
          <w:rFonts w:ascii="Verdana" w:hAnsi="Verdana" w:cs="Arial"/>
          <w:color w:val="000000"/>
          <w:sz w:val="18"/>
          <w:szCs w:val="18"/>
          <w:shd w:val="clear" w:color="auto" w:fill="FFFFFF"/>
        </w:rPr>
        <w:t>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4A8CAD52" w14:textId="77777777" w:rsidR="00B66025" w:rsidRPr="00F50E68" w:rsidRDefault="00B66025" w:rsidP="00B66025">
      <w:pPr>
        <w:pStyle w:val="Textonotapie"/>
        <w:ind w:firstLine="709"/>
        <w:jc w:val="both"/>
        <w:rPr>
          <w:rFonts w:ascii="Verdana" w:hAnsi="Verdana" w:cs="Arial"/>
          <w:color w:val="000000"/>
          <w:sz w:val="18"/>
          <w:szCs w:val="18"/>
          <w:shd w:val="clear" w:color="auto" w:fill="FFFFFF"/>
        </w:rPr>
      </w:pPr>
      <w:r w:rsidRPr="00F50E68">
        <w:rPr>
          <w:rFonts w:ascii="Verdana" w:hAnsi="Verdana" w:cs="Arial"/>
          <w:color w:val="000000"/>
          <w:sz w:val="18"/>
          <w:szCs w:val="18"/>
          <w:shd w:val="clear" w:color="auto" w:fill="FFFFFF"/>
        </w:rPr>
        <w:t>[…]</w:t>
      </w:r>
    </w:p>
    <w:p w14:paraId="11E1EFBE" w14:textId="77777777" w:rsidR="00B66025" w:rsidRPr="00F50E68" w:rsidRDefault="00B66025" w:rsidP="00B66025">
      <w:pPr>
        <w:pStyle w:val="Textonotapie"/>
        <w:ind w:firstLine="709"/>
        <w:jc w:val="both"/>
        <w:rPr>
          <w:rFonts w:ascii="Verdana" w:hAnsi="Verdana" w:cs="Arial"/>
          <w:color w:val="000000"/>
          <w:sz w:val="18"/>
          <w:szCs w:val="18"/>
        </w:rPr>
      </w:pPr>
      <w:r w:rsidRPr="00F50E68">
        <w:rPr>
          <w:rStyle w:val="nfasis"/>
          <w:rFonts w:ascii="Verdana" w:hAnsi="Verdana" w:cs="Arial"/>
          <w:color w:val="000000"/>
          <w:sz w:val="18"/>
          <w:szCs w:val="18"/>
        </w:rPr>
        <w:t>Plan Anual de Adquisiciones: </w:t>
      </w:r>
      <w:r w:rsidRPr="00F50E68">
        <w:rPr>
          <w:rFonts w:ascii="Verdana" w:hAnsi="Verdana" w:cs="Arial"/>
          <w:color w:val="000000"/>
          <w:sz w:val="18"/>
          <w:szCs w:val="18"/>
        </w:rPr>
        <w:t>Plan general de compras al que se refiere el </w:t>
      </w:r>
      <w:hyperlink r:id="rId2" w:history="1">
        <w:r w:rsidRPr="00F50E68">
          <w:rPr>
            <w:rStyle w:val="Hipervnculo1"/>
            <w:rFonts w:ascii="Verdana" w:hAnsi="Verdana" w:cs="Arial"/>
            <w:color w:val="000000"/>
            <w:sz w:val="18"/>
            <w:szCs w:val="18"/>
          </w:rPr>
          <w:t>artículo 74 de la Ley 1474 de 2011</w:t>
        </w:r>
      </w:hyperlink>
      <w:r w:rsidRPr="00F50E68">
        <w:rPr>
          <w:rFonts w:ascii="Verdana" w:hAnsi="Verdana" w:cs="Arial"/>
          <w:color w:val="000000"/>
          <w:sz w:val="18"/>
          <w:szCs w:val="18"/>
        </w:rPr>
        <w:t> y el plan de compras al que se refiere la Ley Anual de Presupuesto. Es un instrumento de planeación contractual que las Entidades Estatales deben diligenciar, publicar y actualizar en los términos del presente título”.</w:t>
      </w:r>
    </w:p>
  </w:footnote>
  <w:footnote w:id="5">
    <w:p w14:paraId="23B71468" w14:textId="77777777" w:rsidR="00B66025" w:rsidRPr="00F50E68" w:rsidRDefault="00B66025" w:rsidP="00B66025">
      <w:pPr>
        <w:pStyle w:val="Textonotapie"/>
        <w:ind w:firstLine="708"/>
        <w:jc w:val="both"/>
        <w:rPr>
          <w:rFonts w:ascii="Verdana" w:hAnsi="Verdana" w:cs="Arial"/>
          <w:sz w:val="18"/>
          <w:szCs w:val="18"/>
        </w:rPr>
      </w:pPr>
      <w:r w:rsidRPr="00F50E68">
        <w:rPr>
          <w:rStyle w:val="Refdenotaalpie"/>
          <w:rFonts w:ascii="Verdana" w:hAnsi="Verdana" w:cs="Arial"/>
          <w:sz w:val="18"/>
          <w:szCs w:val="18"/>
        </w:rPr>
        <w:footnoteRef/>
      </w:r>
      <w:r w:rsidRPr="00F50E68">
        <w:rPr>
          <w:rFonts w:ascii="Verdana" w:hAnsi="Verdana" w:cs="Arial"/>
          <w:sz w:val="18"/>
          <w:szCs w:val="18"/>
        </w:rPr>
        <w:t xml:space="preserve"> Decreto 1082 de 2015: “Artículo 2.2.1.1.1.4.3. Publicación del Plan Anual de Adquisiciones.</w:t>
      </w:r>
      <w:r w:rsidRPr="00F50E68">
        <w:rPr>
          <w:rFonts w:ascii="Verdana" w:hAnsi="Verdana" w:cs="Arial"/>
          <w:i/>
          <w:sz w:val="18"/>
          <w:szCs w:val="18"/>
        </w:rPr>
        <w:t> </w:t>
      </w:r>
      <w:r w:rsidRPr="00F50E68">
        <w:rPr>
          <w:rFonts w:ascii="Verdana" w:hAnsi="Verdana" w:cs="Arial"/>
          <w:sz w:val="18"/>
          <w:szCs w:val="18"/>
        </w:rPr>
        <w:t>La Entidad Estatal debe publicar su Plan Anual de Adquisiciones y las actualizaciones del mismo en su página web y en el SECOP, en la forma que para el efecto disponga Colombia Compra Eficiente”.</w:t>
      </w:r>
    </w:p>
    <w:p w14:paraId="41969F17" w14:textId="77777777" w:rsidR="00B66025" w:rsidRPr="00F50E68" w:rsidRDefault="00B66025" w:rsidP="00B66025">
      <w:pPr>
        <w:pStyle w:val="Textonotapie"/>
        <w:ind w:firstLine="708"/>
        <w:jc w:val="both"/>
        <w:rPr>
          <w:rFonts w:ascii="Verdana" w:hAnsi="Verdana" w:cs="Arial"/>
          <w:sz w:val="18"/>
          <w:szCs w:val="18"/>
        </w:rPr>
      </w:pPr>
    </w:p>
  </w:footnote>
  <w:footnote w:id="6">
    <w:p w14:paraId="4A620FDE" w14:textId="77777777" w:rsidR="00B66025" w:rsidRPr="00F50E68" w:rsidRDefault="00B66025" w:rsidP="00B66025">
      <w:pPr>
        <w:pStyle w:val="Textonotapie"/>
        <w:ind w:firstLine="708"/>
        <w:jc w:val="both"/>
        <w:rPr>
          <w:rFonts w:ascii="Verdana" w:hAnsi="Verdana" w:cs="Arial"/>
          <w:sz w:val="18"/>
          <w:szCs w:val="18"/>
        </w:rPr>
      </w:pPr>
      <w:r w:rsidRPr="00F50E68">
        <w:rPr>
          <w:rStyle w:val="Refdenotaalpie"/>
          <w:rFonts w:ascii="Verdana" w:hAnsi="Verdana" w:cs="Arial"/>
          <w:sz w:val="18"/>
          <w:szCs w:val="18"/>
        </w:rPr>
        <w:footnoteRef/>
      </w:r>
      <w:r w:rsidRPr="00F50E68">
        <w:rPr>
          <w:rFonts w:ascii="Verdana" w:hAnsi="Verdana" w:cs="Arial"/>
          <w:sz w:val="18"/>
          <w:szCs w:val="18"/>
        </w:rPr>
        <w:t xml:space="preserve"> Decreto 1082 de 2015, modificado por artículo 2 del Decreto 142 de 2023: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p>
    <w:p w14:paraId="2F07A1AC" w14:textId="77777777" w:rsidR="00B66025" w:rsidRPr="00F50E68" w:rsidRDefault="00B66025" w:rsidP="00B66025">
      <w:pPr>
        <w:pStyle w:val="Textonotapie"/>
        <w:ind w:firstLine="708"/>
        <w:jc w:val="both"/>
        <w:rPr>
          <w:rFonts w:ascii="Verdana" w:hAnsi="Verdana" w:cs="Arial"/>
          <w:sz w:val="18"/>
          <w:szCs w:val="18"/>
        </w:rPr>
      </w:pPr>
      <w:r w:rsidRPr="00F50E68">
        <w:rPr>
          <w:rFonts w:ascii="Verdana" w:hAnsi="Verdana" w:cs="Arial"/>
          <w:sz w:val="18"/>
          <w:szCs w:val="18"/>
        </w:rPr>
        <w:t>Las entidades estatales deberán planear su contratación de manera que se promueva la división de Procesos de Contratación en lotes o segmentos en los que se facilite la participación de las Mipymes.</w:t>
      </w:r>
    </w:p>
    <w:p w14:paraId="52D21E26" w14:textId="77777777" w:rsidR="00B66025" w:rsidRPr="00F50E68" w:rsidRDefault="00B66025" w:rsidP="00B66025">
      <w:pPr>
        <w:pStyle w:val="Textonotapie"/>
        <w:ind w:firstLine="708"/>
        <w:jc w:val="both"/>
        <w:rPr>
          <w:rFonts w:ascii="Verdana" w:hAnsi="Verdana" w:cs="Arial"/>
          <w:sz w:val="18"/>
          <w:szCs w:val="18"/>
        </w:rPr>
      </w:pPr>
      <w:r w:rsidRPr="00F50E68">
        <w:rPr>
          <w:rFonts w:ascii="Verdana" w:hAnsi="Verdana" w:cs="Arial"/>
          <w:sz w:val="18"/>
          <w:szCs w:val="18"/>
        </w:rPr>
        <w:t xml:space="preserve">Dentro de estas Mipymes se encuentran entre otras, las cooperativas de acuerdo con los requisitos del artículo 23 de la Ley 2069 de 2020 o las que se constituyan como entidades de economía solidaria de acuerdo con los requisitos del artículo 6 de la Ley 454 de 1998 o la norma que las modifique o sustituya. </w:t>
      </w:r>
    </w:p>
    <w:p w14:paraId="61DB6966" w14:textId="77777777" w:rsidR="00B66025" w:rsidRPr="00F50E68" w:rsidRDefault="00B66025" w:rsidP="00B66025">
      <w:pPr>
        <w:pStyle w:val="Textonotapie"/>
        <w:ind w:firstLine="708"/>
        <w:jc w:val="both"/>
        <w:rPr>
          <w:rFonts w:ascii="Verdana" w:hAnsi="Verdana" w:cs="Arial"/>
          <w:sz w:val="18"/>
          <w:szCs w:val="18"/>
        </w:rPr>
      </w:pPr>
      <w:r w:rsidRPr="00F50E68">
        <w:rPr>
          <w:rFonts w:ascii="Verdana" w:hAnsi="Verdana" w:cs="Arial"/>
          <w:sz w:val="18"/>
          <w:szCs w:val="18"/>
        </w:rPr>
        <w:t>Las asociaciones conformadas por sujetos de especial protección constitucional, asociaciones de pequeños productores locales y productores locales agropecuarios cuyos sistemas productivos pertenezcan a la Agricultura Campesina, Familiar y Comunitaria podrán ser clasificadas como Mipymes en los términos previstos en el artículo 23 de la Ley 2069 de 2020, el artículo 2 de la Ley 590 de 2000 y por el Decreto 957 de 2019 o las normas que los modifiquen”.</w:t>
      </w:r>
    </w:p>
  </w:footnote>
  <w:footnote w:id="7">
    <w:p w14:paraId="396766D7" w14:textId="77777777" w:rsidR="00B66025" w:rsidRPr="00F50E68" w:rsidRDefault="00B66025" w:rsidP="00B66025">
      <w:pPr>
        <w:pStyle w:val="NormalWeb"/>
        <w:shd w:val="clear" w:color="auto" w:fill="FFFFFF"/>
        <w:spacing w:before="0" w:beforeAutospacing="0" w:after="0" w:afterAutospacing="0"/>
        <w:ind w:firstLine="708"/>
        <w:jc w:val="both"/>
        <w:rPr>
          <w:rFonts w:ascii="Verdana" w:eastAsiaTheme="minorHAnsi" w:hAnsi="Verdana" w:cs="Arial"/>
          <w:sz w:val="18"/>
          <w:szCs w:val="18"/>
          <w:lang w:val="es-MX" w:eastAsia="en-US"/>
        </w:rPr>
      </w:pPr>
      <w:r w:rsidRPr="00F50E68">
        <w:rPr>
          <w:rStyle w:val="Refdenotaalpie"/>
          <w:rFonts w:ascii="Verdana" w:eastAsiaTheme="majorEastAsia" w:hAnsi="Verdana" w:cs="Arial"/>
          <w:sz w:val="18"/>
          <w:szCs w:val="18"/>
        </w:rPr>
        <w:footnoteRef/>
      </w:r>
      <w:r w:rsidRPr="00F50E68">
        <w:rPr>
          <w:rFonts w:ascii="Verdana" w:hAnsi="Verdana" w:cs="Arial"/>
          <w:sz w:val="18"/>
          <w:szCs w:val="18"/>
        </w:rPr>
        <w:t xml:space="preserve"> Decreto 1082 de 2015:”</w:t>
      </w:r>
      <w:r w:rsidRPr="00F50E68">
        <w:rPr>
          <w:rFonts w:ascii="Verdana" w:eastAsiaTheme="minorHAnsi" w:hAnsi="Verdana" w:cs="Arial"/>
          <w:sz w:val="18"/>
          <w:szCs w:val="18"/>
          <w:lang w:val="es-MX" w:eastAsia="en-US"/>
        </w:rPr>
        <w:t xml:space="preserve"> Artículo 2.2.1.1.1.4.4. Actualización del Plan Anual de Adquisiciones. La Entidad Estatal debe actualizar el Plan Anual de Adquisiciones por lo menos una vez durante su vigencia, en la forma y la oportunidad que para el efecto disponga Colombia Compra Eficiente.</w:t>
      </w:r>
    </w:p>
    <w:p w14:paraId="4EE11873" w14:textId="77777777" w:rsidR="00B66025" w:rsidRPr="00F50E68" w:rsidRDefault="00B66025" w:rsidP="00B66025">
      <w:pPr>
        <w:pStyle w:val="NormalWeb"/>
        <w:shd w:val="clear" w:color="auto" w:fill="FFFFFF"/>
        <w:spacing w:before="0" w:beforeAutospacing="0" w:after="0" w:afterAutospacing="0"/>
        <w:ind w:firstLine="708"/>
        <w:jc w:val="both"/>
        <w:rPr>
          <w:rFonts w:ascii="Verdana" w:eastAsiaTheme="minorHAnsi" w:hAnsi="Verdana" w:cs="Arial"/>
          <w:sz w:val="18"/>
          <w:szCs w:val="18"/>
          <w:lang w:val="es-MX" w:eastAsia="en-US"/>
        </w:rPr>
      </w:pPr>
      <w:r w:rsidRPr="00F50E68">
        <w:rPr>
          <w:rFonts w:ascii="Verdana" w:eastAsiaTheme="minorHAnsi" w:hAnsi="Verdana" w:cs="Arial"/>
          <w:sz w:val="18"/>
          <w:szCs w:val="18"/>
          <w:lang w:val="es-MX" w:eastAsia="en-US"/>
        </w:rPr>
        <w:t>“La Entidad Estatal debe actualizar el Plan Anual de Adquisiciones cuando: (i) haya ajustes en los cronogramas de adquisición, valores, modalidad de selección, origen de los recursos; (ii) para incluir nuevas obras, bienes y/o servicios; (iii) excluir obras, bienes y/o servicios; o (iv) modificar el presupuesto anual de adquisiciones”.</w:t>
      </w:r>
    </w:p>
    <w:p w14:paraId="2C73E585" w14:textId="77777777" w:rsidR="00B66025" w:rsidRPr="00F50E68" w:rsidRDefault="00B66025" w:rsidP="00B66025">
      <w:pPr>
        <w:pStyle w:val="NormalWeb"/>
        <w:shd w:val="clear" w:color="auto" w:fill="FFFFFF"/>
        <w:spacing w:before="0" w:beforeAutospacing="0" w:after="0" w:afterAutospacing="0"/>
        <w:ind w:firstLine="708"/>
        <w:jc w:val="both"/>
        <w:rPr>
          <w:rFonts w:ascii="Verdana" w:eastAsiaTheme="minorHAnsi" w:hAnsi="Verdana" w:cs="Arial"/>
          <w:sz w:val="18"/>
          <w:szCs w:val="18"/>
          <w:lang w:val="es-MX" w:eastAsia="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9700C17"/>
    <w:multiLevelType w:val="multilevel"/>
    <w:tmpl w:val="906865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 w:numId="17" w16cid:durableId="18409570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046F"/>
    <w:rsid w:val="00061B2A"/>
    <w:rsid w:val="00082362"/>
    <w:rsid w:val="0009347B"/>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0E21"/>
    <w:rsid w:val="00574867"/>
    <w:rsid w:val="00591460"/>
    <w:rsid w:val="005A65E0"/>
    <w:rsid w:val="005C3777"/>
    <w:rsid w:val="005C5CDC"/>
    <w:rsid w:val="005D476C"/>
    <w:rsid w:val="006200BF"/>
    <w:rsid w:val="006219F8"/>
    <w:rsid w:val="006302F7"/>
    <w:rsid w:val="00646B9F"/>
    <w:rsid w:val="00665D70"/>
    <w:rsid w:val="00667B4B"/>
    <w:rsid w:val="006900D9"/>
    <w:rsid w:val="006A39FB"/>
    <w:rsid w:val="006C2EE2"/>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0669"/>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E61CF"/>
    <w:rsid w:val="00B00C0E"/>
    <w:rsid w:val="00B01B1A"/>
    <w:rsid w:val="00B0381D"/>
    <w:rsid w:val="00B44A47"/>
    <w:rsid w:val="00B66025"/>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E0746"/>
    <w:rsid w:val="00CE33ED"/>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576D"/>
    <w:rsid w:val="00F23FEA"/>
    <w:rsid w:val="00F31EDC"/>
    <w:rsid w:val="00F462B3"/>
    <w:rsid w:val="00F5664F"/>
    <w:rsid w:val="00F666C4"/>
    <w:rsid w:val="00F76AFC"/>
    <w:rsid w:val="00F96EB5"/>
    <w:rsid w:val="00FA47C0"/>
    <w:rsid w:val="00FB5DD1"/>
    <w:rsid w:val="00FC2B5D"/>
    <w:rsid w:val="00FE78B0"/>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66025"/>
    <w:pPr>
      <w:spacing w:line="240" w:lineRule="exact"/>
    </w:pPr>
    <w:rPr>
      <w:vertAlign w:val="superscript"/>
    </w:rPr>
  </w:style>
  <w:style w:type="table" w:customStyle="1" w:styleId="Tablaconcuadrcula11">
    <w:name w:val="Tabla con cuadrícula11"/>
    <w:basedOn w:val="Tablanormal"/>
    <w:next w:val="Tablaconcuadrcula"/>
    <w:uiPriority w:val="59"/>
    <w:qFormat/>
    <w:rsid w:val="00B660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B66025"/>
    <w:rPr>
      <w:b/>
      <w:bCs/>
    </w:rPr>
  </w:style>
  <w:style w:type="character" w:styleId="nfasis">
    <w:name w:val="Emphasis"/>
    <w:basedOn w:val="Fuentedeprrafopredeter"/>
    <w:uiPriority w:val="20"/>
    <w:qFormat/>
    <w:rsid w:val="00B66025"/>
    <w:rPr>
      <w:i/>
      <w:iCs/>
    </w:rPr>
  </w:style>
  <w:style w:type="character" w:customStyle="1" w:styleId="Hipervnculo1">
    <w:name w:val="Hipervínculo1"/>
    <w:basedOn w:val="Fuentedeprrafopredeter"/>
    <w:uiPriority w:val="99"/>
    <w:unhideWhenUsed/>
    <w:rsid w:val="00B66025"/>
    <w:rPr>
      <w:color w:val="F2F2F2"/>
      <w:u w:val="single"/>
    </w:rPr>
  </w:style>
  <w:style w:type="character" w:customStyle="1" w:styleId="NormalWebCar">
    <w:name w:val="Normal (Web) Car"/>
    <w:link w:val="NormalWeb"/>
    <w:uiPriority w:val="99"/>
    <w:rsid w:val="00B66025"/>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plan-anual-de-adquisiciones-en-secop-ii-creacion-y-publicacion-del-paa" TargetMode="External"/><Relationship Id="rId18" Type="http://schemas.openxmlformats.org/officeDocument/2006/relationships/hyperlink" Target="https://www.colombiacompra.gov.co/normativa-y-relatoria/documentos-tipo"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splaneacion@gachala-cundinamarca.gov.co" TargetMode="External"/><Relationship Id="rId17" Type="http://schemas.openxmlformats.org/officeDocument/2006/relationships/hyperlink" Target="https://formacionvirtual.colombiacompra.gov.co/mod/page/view.php?id=3718"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sites/cce_public/files/cce_documents/guia_para_elaborar_el_plan_anual_de_adquisiciones_0.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alcaldiabogota.gov.co/sisjur/normas/Norma1.jsp?i=43292" TargetMode="External"/><Relationship Id="rId1" Type="http://schemas.openxmlformats.org/officeDocument/2006/relationships/hyperlink" Target="https://www.colombiacompra.gov.co/sites/cce_public/files/cce_documents/guia_para_elaborar_el_plan_anual_de_adquisiciones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511454-3CA1-40AC-8F49-118C674152A3}">
  <ds:schemaRefs>
    <ds:schemaRef ds:uri="http://schemas.openxmlformats.org/officeDocument/2006/bibliography"/>
  </ds:schemaRefs>
</ds:datastoreItem>
</file>

<file path=customXml/itemProps2.xml><?xml version="1.0" encoding="utf-8"?>
<ds:datastoreItem xmlns:ds="http://schemas.openxmlformats.org/officeDocument/2006/customXml" ds:itemID="{2B73BA9F-5080-43EE-8684-F07741952D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14</Pages>
  <Words>4492</Words>
  <Characters>24712</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2026-05-25T18:31:00Z</dcterms:created>
  <dcterms:modified xsi:type="dcterms:W3CDTF">2026-05-26T20:12:00Z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