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74BA36" w14:textId="77777777" w:rsidR="001249CC" w:rsidRPr="00056CD6" w:rsidRDefault="001249CC" w:rsidP="001249CC">
      <w:pPr>
        <w:pStyle w:val="Textoindependiente"/>
        <w:contextualSpacing/>
        <w:jc w:val="both"/>
        <w:rPr>
          <w:b/>
        </w:rPr>
      </w:pPr>
      <w:r w:rsidRPr="00056CD6">
        <w:rPr>
          <w:b/>
        </w:rPr>
        <w:t>SELECCIÓN OBJETIVA ― Noción y factores de escogencia</w:t>
      </w:r>
    </w:p>
    <w:p w14:paraId="11189E5C" w14:textId="77777777" w:rsidR="001249CC" w:rsidRPr="00056CD6" w:rsidRDefault="001249CC" w:rsidP="001249CC">
      <w:pPr>
        <w:pStyle w:val="Textoindependiente"/>
        <w:contextualSpacing/>
        <w:jc w:val="both"/>
        <w:rPr>
          <w:b/>
        </w:rPr>
      </w:pPr>
    </w:p>
    <w:p w14:paraId="787FE2BF" w14:textId="77777777" w:rsidR="001249CC" w:rsidRPr="00193326" w:rsidRDefault="001249CC" w:rsidP="001249CC">
      <w:pPr>
        <w:pStyle w:val="Textoindependiente"/>
        <w:contextualSpacing/>
        <w:jc w:val="both"/>
        <w:rPr>
          <w:rFonts w:cs="Arial"/>
          <w:color w:val="000000" w:themeColor="text1"/>
          <w:sz w:val="20"/>
          <w:szCs w:val="20"/>
        </w:rPr>
      </w:pPr>
      <w:r w:rsidRPr="676726B4">
        <w:rPr>
          <w:rFonts w:cs="Arial"/>
          <w:color w:val="000000" w:themeColor="text1"/>
          <w:sz w:val="20"/>
          <w:szCs w:val="20"/>
        </w:rPr>
        <w:t>[…] se considera objetiva la selección en la cual la escogencia se haga al ofrecimiento más favorable a la Entidad y a los fines que ella busca, sin tener en consideración factores de afecto o de interés y, en general, cualquier clase de motivación subjetiva</w:t>
      </w:r>
      <w:r w:rsidRPr="676726B4">
        <w:rPr>
          <w:rFonts w:cs="Arial"/>
          <w:i/>
          <w:iCs/>
          <w:color w:val="000000" w:themeColor="text1"/>
          <w:sz w:val="20"/>
          <w:szCs w:val="20"/>
        </w:rPr>
        <w:t>.</w:t>
      </w:r>
      <w:r w:rsidRPr="676726B4">
        <w:rPr>
          <w:rFonts w:cs="Arial"/>
          <w:color w:val="000000" w:themeColor="text1"/>
          <w:sz w:val="20"/>
          <w:szCs w:val="20"/>
        </w:rPr>
        <w:t xml:space="preserve"> En ese contexto, los factores de escogencia y calificación que establezcan las Entidades en los pliegos de condiciones o en sus documentos equivalentes deberán tener en cuenta, entre otras cuestiones, los criterios establecidos en dicha disposición.</w:t>
      </w:r>
    </w:p>
    <w:p w14:paraId="5D2AA37C" w14:textId="77777777" w:rsidR="001249CC" w:rsidRPr="00193326" w:rsidRDefault="001249CC" w:rsidP="001249CC">
      <w:pPr>
        <w:pStyle w:val="Textoindependiente"/>
        <w:contextualSpacing/>
        <w:jc w:val="both"/>
        <w:rPr>
          <w:rFonts w:cs="Arial"/>
          <w:color w:val="000000" w:themeColor="text1"/>
          <w:sz w:val="20"/>
          <w:szCs w:val="20"/>
          <w:lang w:val="es-ES_tradnl"/>
        </w:rPr>
      </w:pPr>
    </w:p>
    <w:p w14:paraId="47CEADAE" w14:textId="77777777" w:rsidR="001249CC" w:rsidRPr="00193326" w:rsidRDefault="001249CC" w:rsidP="001249CC">
      <w:pPr>
        <w:pStyle w:val="Textoindependiente"/>
        <w:contextualSpacing/>
        <w:jc w:val="both"/>
        <w:rPr>
          <w:rFonts w:cs="Arial"/>
          <w:color w:val="000000" w:themeColor="text1"/>
          <w:sz w:val="20"/>
          <w:szCs w:val="20"/>
          <w:lang w:val="es-ES_tradnl"/>
        </w:rPr>
      </w:pPr>
      <w:r w:rsidRPr="00193326">
        <w:rPr>
          <w:rFonts w:cs="Arial"/>
          <w:color w:val="000000" w:themeColor="text1"/>
          <w:sz w:val="20"/>
          <w:szCs w:val="20"/>
          <w:lang w:val="es-ES_tradnl"/>
        </w:rPr>
        <w:t>[…] los criterios habilitantes que determine la Entidad deberán ser adecuados y proporcionales a la naturaleza del contrato a suscribir y a su valor. De esta manera, las condiciones habilitantes que no resulten adecuadas para determinar la idoneidad o capacidad del proponente para cumplir con el objeto del contrato, o que sean desproporcionados frente a este, serán contrarias al deber de selección objetiva.</w:t>
      </w:r>
    </w:p>
    <w:p w14:paraId="5EE9B9AF" w14:textId="77777777" w:rsidR="001249CC" w:rsidRPr="00056CD6" w:rsidRDefault="001249CC" w:rsidP="001249CC">
      <w:pPr>
        <w:pStyle w:val="Textoindependiente"/>
        <w:contextualSpacing/>
        <w:jc w:val="both"/>
        <w:rPr>
          <w:b/>
        </w:rPr>
      </w:pPr>
    </w:p>
    <w:p w14:paraId="478567BC" w14:textId="77777777" w:rsidR="001249CC" w:rsidRPr="004B7931" w:rsidRDefault="001249CC" w:rsidP="001249CC">
      <w:pPr>
        <w:pStyle w:val="Textoindependiente"/>
        <w:contextualSpacing/>
        <w:jc w:val="both"/>
        <w:rPr>
          <w:b/>
          <w:bCs/>
        </w:rPr>
      </w:pPr>
      <w:r w:rsidRPr="00056CD6">
        <w:rPr>
          <w:b/>
        </w:rPr>
        <w:t>REQUISITOS HABILITANTES DE LA LEY 1150 DE 2007 ― Carácter enunciativo</w:t>
      </w:r>
      <w:r w:rsidRPr="004B7931">
        <w:rPr>
          <w:rFonts w:eastAsia="Calibri" w:cs="Arial"/>
          <w:lang w:eastAsia="es-ES_tradnl"/>
        </w:rPr>
        <w:t xml:space="preserve"> </w:t>
      </w:r>
      <w:r>
        <w:rPr>
          <w:rFonts w:eastAsia="Calibri" w:cs="Arial"/>
          <w:lang w:eastAsia="es-ES_tradnl"/>
        </w:rPr>
        <w:t xml:space="preserve">- </w:t>
      </w:r>
      <w:r w:rsidRPr="004B7931">
        <w:rPr>
          <w:rFonts w:eastAsia="Calibri" w:cs="Arial"/>
          <w:b/>
          <w:bCs/>
          <w:lang w:eastAsia="es-ES_tradnl"/>
        </w:rPr>
        <w:t>Proporcionalidad y adecuación</w:t>
      </w:r>
    </w:p>
    <w:p w14:paraId="63E9661F" w14:textId="77777777" w:rsidR="001249CC" w:rsidRDefault="001249CC" w:rsidP="001249CC">
      <w:pPr>
        <w:pStyle w:val="Textoindependiente"/>
        <w:contextualSpacing/>
        <w:jc w:val="both"/>
        <w:rPr>
          <w:rFonts w:eastAsia="Times New Roman" w:cs="Arial"/>
          <w:lang w:val="es-ES_tradnl" w:eastAsia="es-MX"/>
        </w:rPr>
      </w:pPr>
    </w:p>
    <w:p w14:paraId="0BFF9067" w14:textId="77777777" w:rsidR="001249CC" w:rsidRPr="00193326" w:rsidRDefault="001249CC" w:rsidP="001249CC">
      <w:pPr>
        <w:pStyle w:val="Textoindependiente"/>
        <w:contextualSpacing/>
        <w:jc w:val="both"/>
        <w:rPr>
          <w:rFonts w:eastAsia="Times New Roman" w:cs="Arial"/>
          <w:sz w:val="20"/>
          <w:szCs w:val="20"/>
          <w:lang w:val="es-ES_tradnl" w:eastAsia="es-MX"/>
        </w:rPr>
      </w:pPr>
      <w:r w:rsidRPr="00193326">
        <w:rPr>
          <w:rFonts w:eastAsia="Times New Roman" w:cs="Arial"/>
          <w:sz w:val="20"/>
          <w:szCs w:val="20"/>
          <w:lang w:val="es-ES_tradnl" w:eastAsia="es-MX"/>
        </w:rPr>
        <w:t>La Agencia Nacional de Contratación Pública – Colombia Compra Eficiente ha defendido el carácter enunciativo del listado de los requisitos habilitantes contenidos en el numeral 1 del artículo 5 de la Ley 1150 de 2007, en la medida en que la mencionada disposición, al referirse a los requisitos habilitantes, no contiene una expresión como “únicamente” o “solo”, de la que pueda colegirse la taxatividad de los requisitos señalados. Esta conclusión además se apoya en una la lectura integral de las normas que regulan la contratación estatal, en virtud de la cual es posible evidenciar que existen otras condiciones que deben cumplirse para la contratación con Entidades Estatales, de las que derivan requisitos habilitantes, como sucede, por ejemplo, con la capacidad residual a la que se refiere el artículo 6º, parágrafo 1, de la Ley 1150 de 2007.</w:t>
      </w:r>
    </w:p>
    <w:p w14:paraId="66536A6D" w14:textId="77777777" w:rsidR="001249CC" w:rsidRPr="00193326" w:rsidRDefault="001249CC" w:rsidP="001249CC">
      <w:pPr>
        <w:pStyle w:val="Textoindependiente"/>
        <w:contextualSpacing/>
        <w:jc w:val="both"/>
        <w:rPr>
          <w:rFonts w:eastAsia="Times New Roman" w:cs="Arial"/>
          <w:sz w:val="20"/>
          <w:szCs w:val="20"/>
          <w:lang w:val="es-ES_tradnl" w:eastAsia="es-MX"/>
        </w:rPr>
      </w:pPr>
    </w:p>
    <w:p w14:paraId="2926BB7B" w14:textId="77777777" w:rsidR="001249CC" w:rsidRPr="00193326" w:rsidRDefault="001249CC" w:rsidP="001249CC">
      <w:pPr>
        <w:pStyle w:val="Textoindependiente"/>
        <w:contextualSpacing/>
        <w:jc w:val="both"/>
        <w:rPr>
          <w:rFonts w:eastAsia="Times New Roman" w:cs="Arial"/>
          <w:bCs/>
          <w:sz w:val="20"/>
          <w:szCs w:val="20"/>
          <w:lang w:val="es-ES_tradnl" w:eastAsia="es-MX" w:bidi="es-ES"/>
        </w:rPr>
      </w:pPr>
      <w:r w:rsidRPr="00193326">
        <w:rPr>
          <w:rFonts w:eastAsia="Times New Roman" w:cs="Arial"/>
          <w:sz w:val="20"/>
          <w:szCs w:val="20"/>
          <w:lang w:val="es-ES_tradnl" w:eastAsia="es-MX"/>
        </w:rPr>
        <w:t xml:space="preserve">[…] </w:t>
      </w:r>
      <w:r w:rsidRPr="00193326">
        <w:rPr>
          <w:rFonts w:eastAsia="Times New Roman" w:cs="Arial"/>
          <w:bCs/>
          <w:sz w:val="20"/>
          <w:szCs w:val="20"/>
          <w:lang w:val="es-ES_tradnl" w:eastAsia="es-MX" w:bidi="es-ES"/>
        </w:rPr>
        <w:t xml:space="preserve">En especial, señala la Ley que los criterios habilitantes que determine la Entidad deberán ser </w:t>
      </w:r>
      <w:r w:rsidRPr="00193326">
        <w:rPr>
          <w:rFonts w:eastAsia="Times New Roman" w:cs="Arial"/>
          <w:bCs/>
          <w:i/>
          <w:iCs/>
          <w:sz w:val="20"/>
          <w:szCs w:val="20"/>
          <w:lang w:val="es-ES_tradnl" w:eastAsia="es-MX" w:bidi="es-ES"/>
        </w:rPr>
        <w:t>adecuados y proporcionales</w:t>
      </w:r>
      <w:r w:rsidRPr="00193326">
        <w:rPr>
          <w:rFonts w:eastAsia="Times New Roman" w:cs="Arial"/>
          <w:bCs/>
          <w:sz w:val="20"/>
          <w:szCs w:val="20"/>
          <w:lang w:val="es-ES_tradnl" w:eastAsia="es-MX" w:bidi="es-ES"/>
        </w:rPr>
        <w:t xml:space="preserve"> a la naturaleza del contrato a suscribir y a su valor. De esta manera, las condiciones habilitantes que no resulten adecuadas para determinar la idoneidad o capacidad del proponente para cumplir con el objeto del contrato, o que sean desproporcionados frente a este, serán contrarias al deber de selección objetiva.</w:t>
      </w:r>
      <w:r w:rsidRPr="00193326">
        <w:rPr>
          <w:rFonts w:eastAsia="Times New Roman" w:cs="Arial"/>
          <w:sz w:val="20"/>
          <w:szCs w:val="20"/>
          <w:lang w:val="es-ES_tradnl" w:eastAsia="es-MX"/>
        </w:rPr>
        <w:t xml:space="preserve"> </w:t>
      </w:r>
      <w:r w:rsidRPr="00193326">
        <w:rPr>
          <w:rFonts w:eastAsia="Times New Roman" w:cs="Arial"/>
          <w:sz w:val="20"/>
          <w:szCs w:val="20"/>
          <w:lang w:eastAsia="es-MX"/>
        </w:rPr>
        <w:t>[…]</w:t>
      </w:r>
    </w:p>
    <w:p w14:paraId="4DF31607" w14:textId="77777777" w:rsidR="001249CC" w:rsidRDefault="001249CC" w:rsidP="001249CC">
      <w:pPr>
        <w:spacing w:after="0" w:line="240" w:lineRule="auto"/>
        <w:rPr>
          <w:rFonts w:ascii="Verdana" w:hAnsi="Verdana"/>
        </w:rPr>
      </w:pPr>
    </w:p>
    <w:p w14:paraId="01A0FB2A" w14:textId="77777777" w:rsidR="001249CC" w:rsidRPr="0076474D" w:rsidRDefault="001249CC" w:rsidP="001249CC">
      <w:pPr>
        <w:spacing w:after="0" w:line="240" w:lineRule="auto"/>
        <w:rPr>
          <w:rFonts w:ascii="Verdana" w:hAnsi="Verdana"/>
          <w:b/>
        </w:rPr>
      </w:pPr>
      <w:r w:rsidRPr="0076474D">
        <w:rPr>
          <w:rFonts w:ascii="Verdana" w:eastAsia="Calibri" w:hAnsi="Verdana" w:cs="Arial"/>
          <w:b/>
          <w:lang w:val="es-ES" w:eastAsia="es-ES_tradnl"/>
        </w:rPr>
        <w:t>ESTABLECIMIENTO DE COMERCIO – Definición – Requisito habilitante</w:t>
      </w:r>
    </w:p>
    <w:p w14:paraId="17D02DF6" w14:textId="77777777" w:rsidR="001249CC" w:rsidRDefault="001249CC" w:rsidP="001249CC">
      <w:pPr>
        <w:spacing w:after="0" w:line="240" w:lineRule="auto"/>
        <w:rPr>
          <w:rFonts w:ascii="Verdana" w:hAnsi="Verdana"/>
        </w:rPr>
      </w:pPr>
    </w:p>
    <w:p w14:paraId="287FF695" w14:textId="77777777" w:rsidR="001249CC" w:rsidRPr="00193326" w:rsidRDefault="001249CC" w:rsidP="001249CC">
      <w:pPr>
        <w:spacing w:after="0" w:line="240" w:lineRule="auto"/>
        <w:jc w:val="both"/>
        <w:rPr>
          <w:rFonts w:ascii="Verdana" w:hAnsi="Verdana"/>
          <w:sz w:val="20"/>
          <w:szCs w:val="20"/>
        </w:rPr>
      </w:pPr>
      <w:r w:rsidRPr="00193326">
        <w:rPr>
          <w:rFonts w:ascii="Verdana" w:hAnsi="Verdana"/>
          <w:sz w:val="20"/>
          <w:szCs w:val="20"/>
        </w:rPr>
        <w:t xml:space="preserve">El establecimiento de comercio es el instrumento del que se vale el empresario para cumplir los fines de su empresa y por medio del cual se realiza la actividad organizada. La doctrina lo define como el conjunto de bienes materiales e inmateriales organizados para una finalidad económica en el que la organización adquiere un significado fundamental como factor aglutinante de los elementos que integran la hacienda, </w:t>
      </w:r>
      <w:r w:rsidRPr="00193326">
        <w:rPr>
          <w:rFonts w:ascii="Verdana" w:hAnsi="Verdana"/>
          <w:sz w:val="20"/>
          <w:szCs w:val="20"/>
        </w:rPr>
        <w:lastRenderedPageBreak/>
        <w:t>teniendo en cuenta la función económica a la que están destinados todos: la producción o distribución de bienes y servicios en el mercado.</w:t>
      </w:r>
    </w:p>
    <w:p w14:paraId="50238AA8" w14:textId="77777777" w:rsidR="001249CC" w:rsidRPr="00193326" w:rsidRDefault="001249CC" w:rsidP="001249CC">
      <w:pPr>
        <w:spacing w:after="0" w:line="240" w:lineRule="auto"/>
        <w:jc w:val="both"/>
        <w:rPr>
          <w:rFonts w:ascii="Verdana" w:hAnsi="Verdana"/>
          <w:sz w:val="20"/>
          <w:szCs w:val="20"/>
        </w:rPr>
      </w:pPr>
    </w:p>
    <w:p w14:paraId="7E8B2D06" w14:textId="77777777" w:rsidR="001249CC" w:rsidRPr="0028183F" w:rsidRDefault="001249CC" w:rsidP="001249CC">
      <w:pPr>
        <w:spacing w:after="0" w:line="240" w:lineRule="auto"/>
        <w:jc w:val="both"/>
        <w:rPr>
          <w:rFonts w:ascii="Verdana" w:hAnsi="Verdana"/>
          <w:sz w:val="20"/>
          <w:szCs w:val="20"/>
        </w:rPr>
      </w:pPr>
      <w:r w:rsidRPr="0028183F">
        <w:rPr>
          <w:rFonts w:ascii="Verdana" w:hAnsi="Verdana"/>
          <w:sz w:val="20"/>
          <w:szCs w:val="20"/>
        </w:rPr>
        <w:t>En este contexto, en principio no se advierte la viabilidad de exigir la existencia de un establecimiento de comercio o “local” propio como condición habilitante para la ejecución de un contrato de suministro. No obstante, debido a que la entidad cuenta con discrecionalidad para determinar los requisitos habilitantes, resulta indispensable analizar dicho requerimiento a la luz de las condiciones técnicas específicas del contrato y si constituye un requisito estrictamente indispensable para garantizar el adecuado desarrollo del objeto contractual y la correcta prestación del servicio.</w:t>
      </w:r>
    </w:p>
    <w:p w14:paraId="67AF105D" w14:textId="77777777" w:rsidR="001249CC" w:rsidRDefault="001249CC" w:rsidP="00652F21">
      <w:pPr>
        <w:spacing w:after="0" w:line="240" w:lineRule="auto"/>
        <w:jc w:val="both"/>
        <w:rPr>
          <w:rFonts w:ascii="Verdana" w:hAnsi="Verdana"/>
        </w:rPr>
      </w:pPr>
    </w:p>
    <w:p w14:paraId="0AAABF3B" w14:textId="77777777" w:rsidR="001249CC" w:rsidRDefault="001249CC" w:rsidP="00652F21">
      <w:pPr>
        <w:spacing w:after="0" w:line="240" w:lineRule="auto"/>
        <w:jc w:val="both"/>
        <w:rPr>
          <w:rFonts w:ascii="Verdana" w:hAnsi="Verdana"/>
        </w:rPr>
      </w:pPr>
    </w:p>
    <w:p w14:paraId="17971288" w14:textId="77777777" w:rsidR="001249CC" w:rsidRDefault="001249CC" w:rsidP="00652F21">
      <w:pPr>
        <w:spacing w:after="0" w:line="240" w:lineRule="auto"/>
        <w:jc w:val="both"/>
        <w:rPr>
          <w:rFonts w:ascii="Verdana" w:hAnsi="Verdana"/>
        </w:rPr>
      </w:pPr>
    </w:p>
    <w:p w14:paraId="5B992FB2" w14:textId="77777777" w:rsidR="001249CC" w:rsidRDefault="001249CC" w:rsidP="00652F21">
      <w:pPr>
        <w:spacing w:after="0" w:line="240" w:lineRule="auto"/>
        <w:jc w:val="both"/>
        <w:rPr>
          <w:rFonts w:ascii="Verdana" w:hAnsi="Verdana"/>
        </w:rPr>
      </w:pPr>
    </w:p>
    <w:p w14:paraId="69FF9F8B" w14:textId="77777777" w:rsidR="001249CC" w:rsidRDefault="001249CC" w:rsidP="00652F21">
      <w:pPr>
        <w:spacing w:after="0" w:line="240" w:lineRule="auto"/>
        <w:jc w:val="both"/>
        <w:rPr>
          <w:rFonts w:ascii="Verdana" w:hAnsi="Verdana"/>
        </w:rPr>
      </w:pPr>
    </w:p>
    <w:p w14:paraId="0B154CD6" w14:textId="77777777" w:rsidR="001249CC" w:rsidRDefault="001249CC" w:rsidP="00652F21">
      <w:pPr>
        <w:spacing w:after="0" w:line="240" w:lineRule="auto"/>
        <w:jc w:val="both"/>
        <w:rPr>
          <w:rFonts w:ascii="Verdana" w:hAnsi="Verdana"/>
        </w:rPr>
      </w:pPr>
    </w:p>
    <w:p w14:paraId="432BB355" w14:textId="77777777" w:rsidR="001249CC" w:rsidRDefault="001249CC" w:rsidP="00652F21">
      <w:pPr>
        <w:spacing w:after="0" w:line="240" w:lineRule="auto"/>
        <w:jc w:val="both"/>
        <w:rPr>
          <w:rFonts w:ascii="Verdana" w:hAnsi="Verdana"/>
        </w:rPr>
      </w:pPr>
    </w:p>
    <w:p w14:paraId="4B48A35F" w14:textId="77777777" w:rsidR="001249CC" w:rsidRDefault="001249CC" w:rsidP="00652F21">
      <w:pPr>
        <w:spacing w:after="0" w:line="240" w:lineRule="auto"/>
        <w:jc w:val="both"/>
        <w:rPr>
          <w:rFonts w:ascii="Verdana" w:hAnsi="Verdana"/>
        </w:rPr>
      </w:pPr>
    </w:p>
    <w:p w14:paraId="5368FDCC" w14:textId="77777777" w:rsidR="001249CC" w:rsidRDefault="001249CC" w:rsidP="00652F21">
      <w:pPr>
        <w:spacing w:after="0" w:line="240" w:lineRule="auto"/>
        <w:jc w:val="both"/>
        <w:rPr>
          <w:rFonts w:ascii="Verdana" w:hAnsi="Verdana"/>
        </w:rPr>
      </w:pPr>
    </w:p>
    <w:p w14:paraId="2F4A3D5D" w14:textId="77777777" w:rsidR="001249CC" w:rsidRDefault="001249CC" w:rsidP="00652F21">
      <w:pPr>
        <w:spacing w:after="0" w:line="240" w:lineRule="auto"/>
        <w:jc w:val="both"/>
        <w:rPr>
          <w:rFonts w:ascii="Verdana" w:hAnsi="Verdana"/>
        </w:rPr>
      </w:pPr>
    </w:p>
    <w:p w14:paraId="6022C024" w14:textId="77777777" w:rsidR="001249CC" w:rsidRDefault="001249CC" w:rsidP="00652F21">
      <w:pPr>
        <w:spacing w:after="0" w:line="240" w:lineRule="auto"/>
        <w:jc w:val="both"/>
        <w:rPr>
          <w:rFonts w:ascii="Verdana" w:hAnsi="Verdana"/>
        </w:rPr>
      </w:pPr>
    </w:p>
    <w:p w14:paraId="0C65E882" w14:textId="77777777" w:rsidR="001249CC" w:rsidRDefault="001249CC" w:rsidP="00652F21">
      <w:pPr>
        <w:spacing w:after="0" w:line="240" w:lineRule="auto"/>
        <w:jc w:val="both"/>
        <w:rPr>
          <w:rFonts w:ascii="Verdana" w:hAnsi="Verdana"/>
        </w:rPr>
      </w:pPr>
    </w:p>
    <w:p w14:paraId="4CD52A9D" w14:textId="77777777" w:rsidR="001249CC" w:rsidRDefault="001249CC" w:rsidP="00652F21">
      <w:pPr>
        <w:spacing w:after="0" w:line="240" w:lineRule="auto"/>
        <w:jc w:val="both"/>
        <w:rPr>
          <w:rFonts w:ascii="Verdana" w:hAnsi="Verdana"/>
        </w:rPr>
      </w:pPr>
    </w:p>
    <w:p w14:paraId="689D6AAE" w14:textId="77777777" w:rsidR="001249CC" w:rsidRDefault="001249CC" w:rsidP="00652F21">
      <w:pPr>
        <w:spacing w:after="0" w:line="240" w:lineRule="auto"/>
        <w:jc w:val="both"/>
        <w:rPr>
          <w:rFonts w:ascii="Verdana" w:hAnsi="Verdana"/>
        </w:rPr>
      </w:pPr>
    </w:p>
    <w:p w14:paraId="3473E6C5" w14:textId="77777777" w:rsidR="001249CC" w:rsidRDefault="001249CC" w:rsidP="00652F21">
      <w:pPr>
        <w:spacing w:after="0" w:line="240" w:lineRule="auto"/>
        <w:jc w:val="both"/>
        <w:rPr>
          <w:rFonts w:ascii="Verdana" w:hAnsi="Verdana"/>
        </w:rPr>
      </w:pPr>
    </w:p>
    <w:p w14:paraId="1B1E1AD7" w14:textId="77777777" w:rsidR="001249CC" w:rsidRDefault="001249CC" w:rsidP="00652F21">
      <w:pPr>
        <w:spacing w:after="0" w:line="240" w:lineRule="auto"/>
        <w:jc w:val="both"/>
        <w:rPr>
          <w:rFonts w:ascii="Verdana" w:hAnsi="Verdana"/>
        </w:rPr>
      </w:pPr>
    </w:p>
    <w:p w14:paraId="0E9B3545" w14:textId="77777777" w:rsidR="001249CC" w:rsidRDefault="001249CC" w:rsidP="00652F21">
      <w:pPr>
        <w:spacing w:after="0" w:line="240" w:lineRule="auto"/>
        <w:jc w:val="both"/>
        <w:rPr>
          <w:rFonts w:ascii="Verdana" w:hAnsi="Verdana"/>
        </w:rPr>
      </w:pPr>
    </w:p>
    <w:p w14:paraId="790ACD5E" w14:textId="77777777" w:rsidR="001249CC" w:rsidRDefault="001249CC" w:rsidP="00652F21">
      <w:pPr>
        <w:spacing w:after="0" w:line="240" w:lineRule="auto"/>
        <w:jc w:val="both"/>
        <w:rPr>
          <w:rFonts w:ascii="Verdana" w:hAnsi="Verdana"/>
        </w:rPr>
      </w:pPr>
    </w:p>
    <w:p w14:paraId="7056B270" w14:textId="77777777" w:rsidR="001249CC" w:rsidRDefault="001249CC" w:rsidP="00652F21">
      <w:pPr>
        <w:spacing w:after="0" w:line="240" w:lineRule="auto"/>
        <w:jc w:val="both"/>
        <w:rPr>
          <w:rFonts w:ascii="Verdana" w:hAnsi="Verdana"/>
        </w:rPr>
      </w:pPr>
    </w:p>
    <w:p w14:paraId="628019EB" w14:textId="77777777" w:rsidR="001249CC" w:rsidRDefault="001249CC" w:rsidP="00652F21">
      <w:pPr>
        <w:spacing w:after="0" w:line="240" w:lineRule="auto"/>
        <w:jc w:val="both"/>
        <w:rPr>
          <w:rFonts w:ascii="Verdana" w:hAnsi="Verdana"/>
        </w:rPr>
      </w:pPr>
    </w:p>
    <w:p w14:paraId="3027BFA0" w14:textId="77777777" w:rsidR="001249CC" w:rsidRDefault="001249CC" w:rsidP="00652F21">
      <w:pPr>
        <w:spacing w:after="0" w:line="240" w:lineRule="auto"/>
        <w:jc w:val="both"/>
        <w:rPr>
          <w:rFonts w:ascii="Verdana" w:hAnsi="Verdana"/>
        </w:rPr>
      </w:pPr>
    </w:p>
    <w:p w14:paraId="13427FC4" w14:textId="77777777" w:rsidR="001249CC" w:rsidRDefault="001249CC" w:rsidP="00652F21">
      <w:pPr>
        <w:spacing w:after="0" w:line="240" w:lineRule="auto"/>
        <w:jc w:val="both"/>
        <w:rPr>
          <w:rFonts w:ascii="Verdana" w:hAnsi="Verdana"/>
        </w:rPr>
      </w:pPr>
    </w:p>
    <w:p w14:paraId="2F22B0BF" w14:textId="77777777" w:rsidR="001249CC" w:rsidRDefault="001249CC" w:rsidP="00652F21">
      <w:pPr>
        <w:spacing w:after="0" w:line="240" w:lineRule="auto"/>
        <w:jc w:val="both"/>
        <w:rPr>
          <w:rFonts w:ascii="Verdana" w:hAnsi="Verdana"/>
        </w:rPr>
      </w:pPr>
    </w:p>
    <w:p w14:paraId="0F5FA6B6" w14:textId="77777777" w:rsidR="001249CC" w:rsidRDefault="001249CC" w:rsidP="00652F21">
      <w:pPr>
        <w:spacing w:after="0" w:line="240" w:lineRule="auto"/>
        <w:jc w:val="both"/>
        <w:rPr>
          <w:rFonts w:ascii="Verdana" w:hAnsi="Verdana"/>
        </w:rPr>
      </w:pPr>
    </w:p>
    <w:p w14:paraId="72041B5A" w14:textId="77777777" w:rsidR="001249CC" w:rsidRDefault="001249CC" w:rsidP="00652F21">
      <w:pPr>
        <w:spacing w:after="0" w:line="240" w:lineRule="auto"/>
        <w:jc w:val="both"/>
        <w:rPr>
          <w:rFonts w:ascii="Verdana" w:hAnsi="Verdana"/>
        </w:rPr>
      </w:pPr>
    </w:p>
    <w:p w14:paraId="13C90F08" w14:textId="77777777" w:rsidR="001249CC" w:rsidRDefault="001249CC" w:rsidP="00652F21">
      <w:pPr>
        <w:spacing w:after="0" w:line="240" w:lineRule="auto"/>
        <w:jc w:val="both"/>
        <w:rPr>
          <w:rFonts w:ascii="Verdana" w:hAnsi="Verdana"/>
        </w:rPr>
      </w:pPr>
    </w:p>
    <w:p w14:paraId="27D48671" w14:textId="77777777" w:rsidR="001249CC" w:rsidRDefault="001249CC" w:rsidP="00652F21">
      <w:pPr>
        <w:spacing w:after="0" w:line="240" w:lineRule="auto"/>
        <w:jc w:val="both"/>
        <w:rPr>
          <w:rFonts w:ascii="Verdana" w:hAnsi="Verdana"/>
        </w:rPr>
      </w:pPr>
    </w:p>
    <w:p w14:paraId="0420612C" w14:textId="77777777" w:rsidR="001249CC" w:rsidRDefault="001249CC" w:rsidP="00652F21">
      <w:pPr>
        <w:spacing w:after="0" w:line="240" w:lineRule="auto"/>
        <w:jc w:val="both"/>
        <w:rPr>
          <w:rFonts w:ascii="Verdana" w:hAnsi="Verdana"/>
        </w:rPr>
      </w:pPr>
    </w:p>
    <w:p w14:paraId="52EA016D" w14:textId="77777777" w:rsidR="001249CC" w:rsidRDefault="001249CC" w:rsidP="00652F21">
      <w:pPr>
        <w:spacing w:after="0" w:line="240" w:lineRule="auto"/>
        <w:jc w:val="both"/>
        <w:rPr>
          <w:rFonts w:ascii="Verdana" w:hAnsi="Verdana"/>
        </w:rPr>
      </w:pPr>
    </w:p>
    <w:p w14:paraId="659F510E" w14:textId="77777777" w:rsidR="001249CC" w:rsidRDefault="001249CC" w:rsidP="00652F21">
      <w:pPr>
        <w:spacing w:after="0" w:line="240" w:lineRule="auto"/>
        <w:jc w:val="both"/>
        <w:rPr>
          <w:rFonts w:ascii="Verdana" w:hAnsi="Verdana"/>
        </w:rPr>
      </w:pPr>
    </w:p>
    <w:p w14:paraId="02CC31FA" w14:textId="77777777" w:rsidR="001249CC" w:rsidRDefault="001249CC" w:rsidP="00652F21">
      <w:pPr>
        <w:spacing w:after="0" w:line="240" w:lineRule="auto"/>
        <w:jc w:val="both"/>
        <w:rPr>
          <w:rFonts w:ascii="Verdana" w:hAnsi="Verdana"/>
        </w:rPr>
      </w:pPr>
    </w:p>
    <w:p w14:paraId="6EAE400F" w14:textId="77777777" w:rsidR="001249CC" w:rsidRDefault="001249CC" w:rsidP="00652F21">
      <w:pPr>
        <w:spacing w:after="0" w:line="240" w:lineRule="auto"/>
        <w:jc w:val="both"/>
        <w:rPr>
          <w:rFonts w:ascii="Verdana" w:hAnsi="Verdana"/>
        </w:rPr>
      </w:pPr>
    </w:p>
    <w:p w14:paraId="42D54BDC" w14:textId="3A4732CD" w:rsidR="00652F21" w:rsidRPr="008E4F36" w:rsidRDefault="002A1951" w:rsidP="00652F21">
      <w:pPr>
        <w:spacing w:after="0" w:line="240" w:lineRule="auto"/>
        <w:jc w:val="both"/>
        <w:rPr>
          <w:rFonts w:ascii="Verdana" w:hAnsi="Verdana"/>
        </w:rPr>
      </w:pPr>
      <w:r w:rsidRPr="002A1951">
        <w:rPr>
          <w:rFonts w:ascii="Verdana" w:hAnsi="Verdana"/>
        </w:rPr>
        <w:lastRenderedPageBreak/>
        <w:t xml:space="preserve">Bogotá D.C., 30 </w:t>
      </w:r>
      <w:r w:rsidR="001249CC">
        <w:rPr>
          <w:rFonts w:ascii="Verdana" w:hAnsi="Verdana"/>
        </w:rPr>
        <w:t>a</w:t>
      </w:r>
      <w:r w:rsidRPr="002A1951">
        <w:rPr>
          <w:rFonts w:ascii="Verdana" w:hAnsi="Verdana"/>
        </w:rPr>
        <w:t xml:space="preserve">bril 2026 </w:t>
      </w:r>
      <w:r>
        <w:rPr>
          <w:rFonts w:ascii="Verdana" w:hAnsi="Verdana"/>
        </w:rPr>
        <w:t xml:space="preserve"> </w:t>
      </w:r>
      <w:r w:rsidR="00652F21">
        <w:rPr>
          <w:rFonts w:ascii="Verdana" w:hAnsi="Verdana"/>
        </w:rPr>
        <w:t xml:space="preserve"> </w:t>
      </w:r>
    </w:p>
    <w:p w14:paraId="0BCC0946" w14:textId="6DC489E5" w:rsidR="00652F21" w:rsidRPr="008E4F36" w:rsidRDefault="002A1951" w:rsidP="00652F21">
      <w:pPr>
        <w:spacing w:after="0" w:line="240" w:lineRule="auto"/>
        <w:jc w:val="both"/>
        <w:rPr>
          <w:rFonts w:ascii="Verdana" w:eastAsia="Calibri" w:hAnsi="Verdana" w:cs="Arial"/>
          <w:lang w:eastAsia="es-ES"/>
        </w:rPr>
      </w:pPr>
      <w:bookmarkStart w:id="0" w:name="_Hlk197462763"/>
      <w:bookmarkStart w:id="1" w:name="_Hlk197529996"/>
      <w:r w:rsidRPr="002A1951">
        <w:rPr>
          <w:rFonts w:ascii="Verdana" w:eastAsia="Calibri" w:hAnsi="Verdana" w:cs="Arial"/>
          <w:noProof/>
          <w:lang w:eastAsia="es-ES"/>
        </w:rPr>
        <w:drawing>
          <wp:anchor distT="0" distB="0" distL="114300" distR="114300" simplePos="0" relativeHeight="251660288" behindDoc="1" locked="0" layoutInCell="1" allowOverlap="1" wp14:anchorId="561AE702" wp14:editId="43605B65">
            <wp:simplePos x="0" y="0"/>
            <wp:positionH relativeFrom="column">
              <wp:posOffset>3570947</wp:posOffset>
            </wp:positionH>
            <wp:positionV relativeFrom="paragraph">
              <wp:posOffset>166370</wp:posOffset>
            </wp:positionV>
            <wp:extent cx="2543175" cy="752475"/>
            <wp:effectExtent l="0" t="0" r="9525" b="9525"/>
            <wp:wrapTight wrapText="bothSides">
              <wp:wrapPolygon edited="0">
                <wp:start x="0" y="0"/>
                <wp:lineTo x="0" y="21327"/>
                <wp:lineTo x="21519" y="21327"/>
                <wp:lineTo x="21519" y="0"/>
                <wp:lineTo x="0" y="0"/>
              </wp:wrapPolygon>
            </wp:wrapTight>
            <wp:docPr id="208797001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7970012" name=""/>
                    <pic:cNvPicPr/>
                  </pic:nvPicPr>
                  <pic:blipFill>
                    <a:blip r:embed="rId7">
                      <a:extLst>
                        <a:ext uri="{28A0092B-C50C-407E-A947-70E740481C1C}">
                          <a14:useLocalDpi xmlns:a14="http://schemas.microsoft.com/office/drawing/2010/main" val="0"/>
                        </a:ext>
                      </a:extLst>
                    </a:blip>
                    <a:stretch>
                      <a:fillRect/>
                    </a:stretch>
                  </pic:blipFill>
                  <pic:spPr>
                    <a:xfrm>
                      <a:off x="0" y="0"/>
                      <a:ext cx="2543175" cy="752475"/>
                    </a:xfrm>
                    <a:prstGeom prst="rect">
                      <a:avLst/>
                    </a:prstGeom>
                  </pic:spPr>
                </pic:pic>
              </a:graphicData>
            </a:graphic>
          </wp:anchor>
        </w:drawing>
      </w:r>
    </w:p>
    <w:p w14:paraId="2D8C6772" w14:textId="351124FB" w:rsidR="00652F21" w:rsidRDefault="00652F21" w:rsidP="00652F21">
      <w:pPr>
        <w:spacing w:after="0" w:line="240" w:lineRule="auto"/>
        <w:jc w:val="both"/>
        <w:rPr>
          <w:rFonts w:ascii="Verdana" w:eastAsia="Calibri" w:hAnsi="Verdana" w:cs="Arial"/>
          <w:lang w:eastAsia="es-ES"/>
        </w:rPr>
      </w:pPr>
    </w:p>
    <w:p w14:paraId="7E694FE9" w14:textId="4DA98315" w:rsidR="00652F21" w:rsidRPr="00A03D09" w:rsidRDefault="00652F21" w:rsidP="00652F21">
      <w:pPr>
        <w:spacing w:after="0" w:line="240" w:lineRule="auto"/>
        <w:jc w:val="both"/>
        <w:rPr>
          <w:rFonts w:ascii="Verdana" w:eastAsia="Calibri" w:hAnsi="Verdana" w:cs="Arial"/>
          <w:lang w:eastAsia="es-ES"/>
        </w:rPr>
      </w:pPr>
      <w:r w:rsidRPr="00A03D09">
        <w:rPr>
          <w:rFonts w:ascii="Verdana" w:eastAsia="Calibri" w:hAnsi="Verdana" w:cs="Arial"/>
          <w:lang w:eastAsia="es-ES"/>
        </w:rPr>
        <w:t>Señor</w:t>
      </w:r>
    </w:p>
    <w:p w14:paraId="292B9322" w14:textId="77777777" w:rsidR="00652F21" w:rsidRPr="00A03D09" w:rsidRDefault="00652F21" w:rsidP="00652F21">
      <w:pPr>
        <w:spacing w:after="0" w:line="240" w:lineRule="auto"/>
        <w:jc w:val="both"/>
        <w:rPr>
          <w:rFonts w:ascii="Verdana" w:eastAsia="Calibri" w:hAnsi="Verdana" w:cs="Arial"/>
          <w:b/>
          <w:bCs/>
          <w:lang w:eastAsia="es-ES"/>
        </w:rPr>
      </w:pPr>
      <w:r w:rsidRPr="00A03D09">
        <w:rPr>
          <w:rFonts w:ascii="Verdana" w:eastAsia="Calibri" w:hAnsi="Verdana" w:cs="Arial"/>
          <w:b/>
          <w:bCs/>
          <w:lang w:eastAsia="es-ES"/>
        </w:rPr>
        <w:t>Fabio Alonso Castellanos Blanco</w:t>
      </w:r>
    </w:p>
    <w:p w14:paraId="07B85200" w14:textId="77777777" w:rsidR="00652F21" w:rsidRPr="00A03D09" w:rsidRDefault="00652F21" w:rsidP="00652F21">
      <w:pPr>
        <w:spacing w:after="0" w:line="240" w:lineRule="auto"/>
        <w:jc w:val="both"/>
        <w:rPr>
          <w:rFonts w:ascii="Verdana" w:eastAsia="Calibri" w:hAnsi="Verdana" w:cs="Arial"/>
          <w:lang w:eastAsia="es-ES"/>
        </w:rPr>
      </w:pPr>
      <w:r w:rsidRPr="00A03D09">
        <w:rPr>
          <w:rFonts w:ascii="Verdana" w:eastAsia="Calibri" w:hAnsi="Verdana" w:cs="Arial"/>
          <w:lang w:eastAsia="es-ES"/>
        </w:rPr>
        <w:t>Soto Norte Green S.A.S.</w:t>
      </w:r>
    </w:p>
    <w:p w14:paraId="452E8AE3" w14:textId="77777777" w:rsidR="00652F21" w:rsidRPr="00A03D09" w:rsidRDefault="00652F21" w:rsidP="00652F21">
      <w:pPr>
        <w:spacing w:after="0" w:line="240" w:lineRule="auto"/>
        <w:jc w:val="both"/>
        <w:rPr>
          <w:rFonts w:ascii="Verdana" w:eastAsia="Calibri" w:hAnsi="Verdana" w:cs="Arial"/>
          <w:b/>
          <w:bCs/>
          <w:color w:val="000000"/>
          <w:lang w:val="it-CH" w:eastAsia="es-ES_tradnl"/>
        </w:rPr>
      </w:pPr>
      <w:hyperlink r:id="rId8" w:history="1">
        <w:r w:rsidRPr="00A03D09">
          <w:rPr>
            <w:rStyle w:val="Hipervnculo"/>
            <w:rFonts w:ascii="Verdana" w:eastAsia="Calibri" w:hAnsi="Verdana" w:cs="Arial"/>
            <w:b/>
            <w:bCs/>
            <w:lang w:val="it-CH" w:eastAsia="es-ES_tradnl"/>
          </w:rPr>
          <w:t>sotonortegreen@gmail.com</w:t>
        </w:r>
      </w:hyperlink>
    </w:p>
    <w:p w14:paraId="25930BD8" w14:textId="77777777" w:rsidR="00652F21" w:rsidRDefault="00652F21" w:rsidP="00652F21">
      <w:pPr>
        <w:spacing w:after="0" w:line="240" w:lineRule="auto"/>
        <w:jc w:val="both"/>
        <w:rPr>
          <w:rFonts w:ascii="Verdana" w:eastAsia="Calibri" w:hAnsi="Verdana" w:cs="Arial"/>
          <w:color w:val="000000"/>
          <w:lang w:val="it-CH" w:eastAsia="es-ES_tradnl"/>
        </w:rPr>
      </w:pPr>
      <w:r w:rsidRPr="00A03D09">
        <w:rPr>
          <w:rFonts w:ascii="Verdana" w:eastAsia="Calibri" w:hAnsi="Verdana" w:cs="Arial"/>
          <w:color w:val="000000"/>
          <w:lang w:val="it-CH" w:eastAsia="es-ES_tradnl"/>
        </w:rPr>
        <w:t xml:space="preserve">Suratá, Santander </w:t>
      </w:r>
    </w:p>
    <w:p w14:paraId="153A2E18" w14:textId="77777777" w:rsidR="00652F21" w:rsidRPr="00A03D09" w:rsidRDefault="00652F21" w:rsidP="00652F21">
      <w:pPr>
        <w:spacing w:after="0" w:line="240" w:lineRule="auto"/>
        <w:jc w:val="both"/>
        <w:rPr>
          <w:rFonts w:ascii="Verdana" w:eastAsia="Calibri" w:hAnsi="Verdana" w:cs="Arial"/>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652F21" w:rsidRPr="002842E0" w14:paraId="2B3A848D" w14:textId="77777777" w:rsidTr="00245CE3">
        <w:trPr>
          <w:trHeight w:val="162"/>
        </w:trPr>
        <w:tc>
          <w:tcPr>
            <w:tcW w:w="3119" w:type="dxa"/>
          </w:tcPr>
          <w:p w14:paraId="74071346" w14:textId="77777777" w:rsidR="00652F21" w:rsidRPr="005B4C57" w:rsidRDefault="00652F21" w:rsidP="00245CE3">
            <w:pPr>
              <w:jc w:val="both"/>
              <w:rPr>
                <w:rFonts w:ascii="Verdana" w:eastAsia="Calibri" w:hAnsi="Verdana" w:cs="Arial"/>
                <w:b/>
                <w:bCs/>
                <w:color w:val="7030A0"/>
                <w:lang w:val="it-CH" w:eastAsia="es-ES_tradnl"/>
              </w:rPr>
            </w:pPr>
          </w:p>
        </w:tc>
        <w:tc>
          <w:tcPr>
            <w:tcW w:w="5670" w:type="dxa"/>
          </w:tcPr>
          <w:p w14:paraId="4E7B6C59" w14:textId="77777777" w:rsidR="00652F21" w:rsidRPr="00801462" w:rsidRDefault="00652F21" w:rsidP="00245CE3">
            <w:pPr>
              <w:jc w:val="both"/>
              <w:rPr>
                <w:rFonts w:ascii="Verdana" w:eastAsia="Calibri" w:hAnsi="Verdana" w:cs="Arial"/>
                <w:b/>
                <w:bCs/>
                <w:lang w:eastAsia="es-ES"/>
              </w:rPr>
            </w:pPr>
            <w:r w:rsidRPr="00083AB6">
              <w:rPr>
                <w:rFonts w:ascii="Verdana" w:eastAsia="Calibri" w:hAnsi="Verdana" w:cs="Arial"/>
                <w:b/>
                <w:bCs/>
                <w:lang w:eastAsia="es-ES"/>
              </w:rPr>
              <w:t xml:space="preserve">Concepto C- </w:t>
            </w:r>
            <w:r>
              <w:rPr>
                <w:rFonts w:ascii="Verdana" w:eastAsia="Calibri" w:hAnsi="Verdana" w:cs="Arial"/>
                <w:b/>
                <w:bCs/>
                <w:lang w:eastAsia="es-ES"/>
              </w:rPr>
              <w:t>433 de 2026</w:t>
            </w:r>
          </w:p>
          <w:p w14:paraId="6FF87F5A" w14:textId="77777777" w:rsidR="00652F21" w:rsidRPr="00801462" w:rsidRDefault="00652F21" w:rsidP="00245CE3">
            <w:pPr>
              <w:jc w:val="both"/>
              <w:rPr>
                <w:rFonts w:ascii="Verdana" w:eastAsia="Calibri" w:hAnsi="Verdana" w:cs="Arial"/>
                <w:b/>
                <w:bCs/>
                <w:color w:val="7030A0"/>
                <w:lang w:eastAsia="es-ES"/>
              </w:rPr>
            </w:pPr>
          </w:p>
        </w:tc>
      </w:tr>
      <w:tr w:rsidR="00652F21" w:rsidRPr="002842E0" w14:paraId="1491B1F0" w14:textId="77777777" w:rsidTr="00245CE3">
        <w:trPr>
          <w:trHeight w:val="884"/>
        </w:trPr>
        <w:tc>
          <w:tcPr>
            <w:tcW w:w="3119" w:type="dxa"/>
          </w:tcPr>
          <w:p w14:paraId="7EFBDB94" w14:textId="77777777" w:rsidR="00652F21" w:rsidRPr="00801462" w:rsidRDefault="00652F21" w:rsidP="00245CE3">
            <w:pPr>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1F23AC1D" w14:textId="77777777" w:rsidR="00652F21" w:rsidRDefault="00652F21" w:rsidP="00245CE3">
            <w:pPr>
              <w:jc w:val="both"/>
              <w:rPr>
                <w:rFonts w:ascii="Verdana" w:eastAsia="Calibri" w:hAnsi="Verdana" w:cs="Arial"/>
                <w:lang w:val="es-ES" w:eastAsia="es-ES"/>
              </w:rPr>
            </w:pPr>
            <w:r w:rsidRPr="00F649C4">
              <w:rPr>
                <w:rFonts w:ascii="Verdana" w:eastAsia="Calibri" w:hAnsi="Verdana" w:cs="Arial"/>
                <w:lang w:val="es-ES" w:eastAsia="es-ES"/>
              </w:rPr>
              <w:t>SELECCIÓN OBJETIVA ― Noción y factores de escogencia / REQUISITOS HABILITANTES ― Carácter enunciativo – Proporcionalidad y adecuación / ESTABLECIMIENTO DE COMERCIO – Definición – Requisito habilitante</w:t>
            </w:r>
          </w:p>
          <w:p w14:paraId="368E8504" w14:textId="77777777" w:rsidR="00652F21" w:rsidRPr="00F649C4" w:rsidRDefault="00652F21" w:rsidP="00245CE3">
            <w:pPr>
              <w:jc w:val="both"/>
              <w:rPr>
                <w:rFonts w:ascii="Verdana" w:eastAsia="Calibri" w:hAnsi="Verdana" w:cs="Arial"/>
                <w:lang w:val="es-ES" w:eastAsia="es-ES"/>
              </w:rPr>
            </w:pPr>
          </w:p>
        </w:tc>
      </w:tr>
      <w:tr w:rsidR="00652F21" w:rsidRPr="00AD7F29" w14:paraId="4428E763" w14:textId="77777777" w:rsidTr="00245CE3">
        <w:tc>
          <w:tcPr>
            <w:tcW w:w="3119" w:type="dxa"/>
          </w:tcPr>
          <w:p w14:paraId="3464029B" w14:textId="77777777" w:rsidR="00652F21" w:rsidRPr="00AD7F29" w:rsidRDefault="00652F21" w:rsidP="00245CE3">
            <w:pPr>
              <w:jc w:val="both"/>
              <w:rPr>
                <w:rFonts w:ascii="Verdana" w:eastAsia="Calibri" w:hAnsi="Verdana" w:cs="Arial"/>
                <w:b/>
                <w:lang w:eastAsia="es-ES_tradnl"/>
              </w:rPr>
            </w:pPr>
            <w:r w:rsidRPr="00AD7F29">
              <w:rPr>
                <w:rFonts w:ascii="Verdana" w:eastAsia="Calibri" w:hAnsi="Verdana" w:cs="Arial"/>
                <w:b/>
                <w:lang w:eastAsia="es-ES_tradnl"/>
              </w:rPr>
              <w:t>Radicación:</w:t>
            </w:r>
            <w:r w:rsidRPr="00AD7F29">
              <w:rPr>
                <w:rFonts w:ascii="Verdana" w:eastAsia="Calibri" w:hAnsi="Verdana" w:cs="Arial"/>
                <w:lang w:eastAsia="es-ES_tradnl"/>
              </w:rPr>
              <w:t xml:space="preserve">               </w:t>
            </w:r>
          </w:p>
        </w:tc>
        <w:tc>
          <w:tcPr>
            <w:tcW w:w="5670" w:type="dxa"/>
          </w:tcPr>
          <w:p w14:paraId="7BC4B38B" w14:textId="77777777" w:rsidR="00652F21" w:rsidRPr="00AD7F29" w:rsidRDefault="00652F21" w:rsidP="00245CE3">
            <w:pPr>
              <w:jc w:val="both"/>
              <w:rPr>
                <w:rFonts w:ascii="Verdana" w:eastAsia="Calibri" w:hAnsi="Verdana" w:cs="Arial"/>
                <w:lang w:eastAsia="es-ES_tradnl"/>
              </w:rPr>
            </w:pPr>
            <w:r w:rsidRPr="00AD7F29">
              <w:rPr>
                <w:rFonts w:ascii="Verdana" w:eastAsia="Calibri" w:hAnsi="Verdana" w:cs="Arial"/>
                <w:lang w:eastAsia="es-ES_tradnl"/>
              </w:rPr>
              <w:t xml:space="preserve">Respuesta a consulta con radicado 1_2026_03_17_003687 </w:t>
            </w:r>
          </w:p>
        </w:tc>
      </w:tr>
    </w:tbl>
    <w:p w14:paraId="70419F99" w14:textId="77777777" w:rsidR="00652F21" w:rsidRDefault="00652F21" w:rsidP="00652F21">
      <w:pPr>
        <w:spacing w:after="0" w:line="276" w:lineRule="auto"/>
        <w:jc w:val="both"/>
        <w:rPr>
          <w:rFonts w:ascii="Verdana" w:eastAsia="Calibri" w:hAnsi="Verdana" w:cs="Arial"/>
          <w:lang w:eastAsia="es-ES_tradnl"/>
        </w:rPr>
      </w:pPr>
    </w:p>
    <w:p w14:paraId="20949A3C" w14:textId="77777777" w:rsidR="00652F21" w:rsidRPr="008E4F36" w:rsidRDefault="00652F21" w:rsidP="00652F21">
      <w:pPr>
        <w:spacing w:after="0" w:line="276" w:lineRule="auto"/>
        <w:jc w:val="both"/>
        <w:rPr>
          <w:rFonts w:ascii="Verdana" w:eastAsia="Calibri" w:hAnsi="Verdana" w:cs="Arial"/>
          <w:lang w:eastAsia="es-ES"/>
        </w:rPr>
      </w:pPr>
      <w:r w:rsidRPr="00083AB6">
        <w:rPr>
          <w:rFonts w:ascii="Verdana" w:eastAsia="Calibri" w:hAnsi="Verdana" w:cs="Arial"/>
          <w:lang w:eastAsia="es-ES"/>
        </w:rPr>
        <w:t>Estimado señor</w:t>
      </w:r>
      <w:r>
        <w:rPr>
          <w:rFonts w:ascii="Verdana" w:eastAsia="Calibri" w:hAnsi="Verdana" w:cs="Arial"/>
          <w:lang w:eastAsia="es-ES"/>
        </w:rPr>
        <w:t xml:space="preserve"> </w:t>
      </w:r>
      <w:r>
        <w:rPr>
          <w:rFonts w:ascii="Verdana" w:eastAsia="Calibri" w:hAnsi="Verdana" w:cs="Arial"/>
          <w:bCs/>
          <w:lang w:eastAsia="es-ES_tradnl"/>
        </w:rPr>
        <w:t>Castellanos</w:t>
      </w:r>
      <w:r w:rsidRPr="00083AB6">
        <w:rPr>
          <w:rFonts w:ascii="Verdana" w:eastAsia="Calibri" w:hAnsi="Verdana" w:cs="Arial"/>
          <w:lang w:eastAsia="es-ES"/>
        </w:rPr>
        <w:t>:</w:t>
      </w:r>
      <w:r w:rsidRPr="008E4F36">
        <w:rPr>
          <w:rFonts w:ascii="Verdana" w:eastAsia="Calibri" w:hAnsi="Verdana" w:cs="Arial"/>
          <w:lang w:eastAsia="es-ES"/>
        </w:rPr>
        <w:t xml:space="preserve"> </w:t>
      </w:r>
    </w:p>
    <w:p w14:paraId="7FEDA7C4" w14:textId="77777777" w:rsidR="00652F21" w:rsidRDefault="00652F21" w:rsidP="00652F21">
      <w:pPr>
        <w:tabs>
          <w:tab w:val="left" w:pos="3768"/>
        </w:tabs>
        <w:spacing w:after="0" w:line="240" w:lineRule="auto"/>
        <w:jc w:val="both"/>
        <w:rPr>
          <w:rFonts w:ascii="Verdana" w:eastAsia="Calibri" w:hAnsi="Verdana" w:cs="Arial"/>
          <w:lang w:eastAsia="es-ES"/>
        </w:rPr>
      </w:pPr>
    </w:p>
    <w:p w14:paraId="5B49FE57" w14:textId="77777777" w:rsidR="00652F21" w:rsidRPr="008E4F36" w:rsidRDefault="00652F21" w:rsidP="00652F21">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fecha </w:t>
      </w:r>
      <w:r>
        <w:rPr>
          <w:rFonts w:ascii="Verdana" w:eastAsia="Calibri" w:hAnsi="Verdana" w:cs="Arial"/>
          <w:lang w:eastAsia="es-ES"/>
        </w:rPr>
        <w:t>17</w:t>
      </w:r>
      <w:r w:rsidRPr="00AF6D58">
        <w:rPr>
          <w:rFonts w:ascii="Verdana" w:eastAsia="Calibri" w:hAnsi="Verdana" w:cs="Arial"/>
          <w:lang w:eastAsia="es-ES"/>
        </w:rPr>
        <w:t xml:space="preserve"> de </w:t>
      </w:r>
      <w:r>
        <w:rPr>
          <w:rFonts w:ascii="Verdana" w:eastAsia="Calibri" w:hAnsi="Verdana" w:cs="Arial"/>
          <w:lang w:eastAsia="es-ES"/>
        </w:rPr>
        <w:t>marzo</w:t>
      </w:r>
      <w:r w:rsidRPr="00AF6D58">
        <w:rPr>
          <w:rFonts w:ascii="Verdana" w:eastAsia="Calibri" w:hAnsi="Verdana" w:cs="Arial"/>
          <w:lang w:eastAsia="es-ES"/>
        </w:rPr>
        <w:t xml:space="preserve"> de 202</w:t>
      </w:r>
      <w:r>
        <w:rPr>
          <w:rFonts w:ascii="Verdana" w:eastAsia="Calibri" w:hAnsi="Verdana" w:cs="Arial"/>
          <w:lang w:eastAsia="es-ES"/>
        </w:rPr>
        <w:t>6</w:t>
      </w:r>
      <w:r w:rsidRPr="00AF6D58">
        <w:rPr>
          <w:rFonts w:ascii="Verdana" w:eastAsia="Calibri" w:hAnsi="Verdana" w:cs="Arial"/>
          <w:lang w:eastAsia="es-ES"/>
        </w:rPr>
        <w:t>,</w:t>
      </w:r>
      <w:r w:rsidRPr="000F2158">
        <w:rPr>
          <w:rFonts w:ascii="Verdana" w:eastAsia="Calibri" w:hAnsi="Verdana" w:cs="Arial"/>
          <w:lang w:eastAsia="es-ES"/>
        </w:rPr>
        <w:t xml:space="preserve"> en la cual manifiesta lo siguiente:</w:t>
      </w:r>
    </w:p>
    <w:p w14:paraId="40AF3E6D" w14:textId="77777777" w:rsidR="00652F21" w:rsidRPr="00EC5E04" w:rsidRDefault="00652F21" w:rsidP="00652F21">
      <w:pPr>
        <w:spacing w:line="240" w:lineRule="auto"/>
        <w:ind w:left="709" w:right="709"/>
        <w:jc w:val="both"/>
        <w:rPr>
          <w:rFonts w:ascii="Verdana" w:eastAsia="Calibri" w:hAnsi="Verdana" w:cs="Arial"/>
          <w:i/>
          <w:iCs/>
          <w:color w:val="000000" w:themeColor="text1"/>
          <w:sz w:val="20"/>
          <w:szCs w:val="20"/>
        </w:rPr>
      </w:pPr>
    </w:p>
    <w:p w14:paraId="1DFAA7E1" w14:textId="77777777" w:rsidR="00652F21" w:rsidRPr="00EC5E04" w:rsidRDefault="00652F21" w:rsidP="00652F21">
      <w:pPr>
        <w:numPr>
          <w:ilvl w:val="0"/>
          <w:numId w:val="4"/>
        </w:numPr>
        <w:ind w:right="709"/>
        <w:jc w:val="both"/>
        <w:rPr>
          <w:rFonts w:ascii="Verdana" w:eastAsia="Calibri" w:hAnsi="Verdana" w:cs="Arial"/>
          <w:i/>
          <w:iCs/>
          <w:color w:val="000000" w:themeColor="text1"/>
          <w:sz w:val="20"/>
          <w:szCs w:val="20"/>
        </w:rPr>
      </w:pPr>
      <w:bookmarkStart w:id="2" w:name="_Hlk192699624"/>
      <w:bookmarkStart w:id="3" w:name="_Hlk199394899"/>
      <w:r w:rsidRPr="00EC5E04">
        <w:rPr>
          <w:rFonts w:ascii="Verdana" w:eastAsia="Calibri" w:hAnsi="Verdana" w:cs="Arial"/>
          <w:i/>
          <w:iCs/>
          <w:color w:val="000000" w:themeColor="text1"/>
          <w:sz w:val="20"/>
          <w:szCs w:val="20"/>
        </w:rPr>
        <w:t>“</w:t>
      </w:r>
      <w:bookmarkEnd w:id="2"/>
      <w:bookmarkEnd w:id="3"/>
      <w:r w:rsidRPr="00EC5E04">
        <w:rPr>
          <w:rFonts w:ascii="Verdana" w:eastAsia="Calibri" w:hAnsi="Verdana" w:cs="Arial"/>
          <w:i/>
          <w:iCs/>
          <w:color w:val="000000" w:themeColor="text1"/>
          <w:sz w:val="20"/>
          <w:szCs w:val="20"/>
        </w:rPr>
        <w:t>Si jurídicamente un </w:t>
      </w:r>
      <w:r w:rsidRPr="00EC5E04">
        <w:rPr>
          <w:rFonts w:ascii="Verdana" w:eastAsia="Calibri" w:hAnsi="Verdana" w:cs="Arial"/>
          <w:b/>
          <w:bCs/>
          <w:i/>
          <w:iCs/>
          <w:color w:val="000000" w:themeColor="text1"/>
          <w:sz w:val="20"/>
          <w:szCs w:val="20"/>
        </w:rPr>
        <w:t>establecimiento de comercio ubicado en un corregimiento perteneciente a un municipio</w:t>
      </w:r>
      <w:r w:rsidRPr="00EC5E04">
        <w:rPr>
          <w:rFonts w:ascii="Verdana" w:eastAsia="Calibri" w:hAnsi="Verdana" w:cs="Arial"/>
          <w:i/>
          <w:iCs/>
          <w:color w:val="000000" w:themeColor="text1"/>
          <w:sz w:val="20"/>
          <w:szCs w:val="20"/>
        </w:rPr>
        <w:t> puede considerarse como establecimiento ubicado dentro del mismo municipio para efectos de cumplir requisitos establecidos en procesos de contratación pública.</w:t>
      </w:r>
    </w:p>
    <w:p w14:paraId="340712C5" w14:textId="77777777" w:rsidR="00652F21" w:rsidRPr="003722E7" w:rsidRDefault="00652F21" w:rsidP="00652F21">
      <w:pPr>
        <w:numPr>
          <w:ilvl w:val="0"/>
          <w:numId w:val="4"/>
        </w:numPr>
        <w:spacing w:line="240" w:lineRule="auto"/>
        <w:ind w:right="709"/>
        <w:jc w:val="both"/>
        <w:rPr>
          <w:rFonts w:ascii="Verdana" w:eastAsia="Calibri" w:hAnsi="Verdana" w:cs="Arial"/>
          <w:i/>
          <w:iCs/>
          <w:color w:val="000000" w:themeColor="text1"/>
          <w:sz w:val="20"/>
          <w:szCs w:val="20"/>
        </w:rPr>
      </w:pPr>
      <w:r w:rsidRPr="003722E7">
        <w:rPr>
          <w:rFonts w:ascii="Verdana" w:eastAsia="Calibri" w:hAnsi="Verdana" w:cs="Arial"/>
          <w:i/>
          <w:iCs/>
          <w:color w:val="000000" w:themeColor="text1"/>
          <w:sz w:val="20"/>
          <w:szCs w:val="20"/>
        </w:rPr>
        <w:t>Si exigir que el establecimiento se encuentre exclusivamente en la </w:t>
      </w:r>
      <w:r w:rsidRPr="003722E7">
        <w:rPr>
          <w:rFonts w:ascii="Verdana" w:eastAsia="Calibri" w:hAnsi="Verdana" w:cs="Arial"/>
          <w:b/>
          <w:bCs/>
          <w:i/>
          <w:iCs/>
          <w:color w:val="000000" w:themeColor="text1"/>
          <w:sz w:val="20"/>
          <w:szCs w:val="20"/>
        </w:rPr>
        <w:t>cabecera municipal</w:t>
      </w:r>
      <w:r w:rsidRPr="003722E7">
        <w:rPr>
          <w:rFonts w:ascii="Verdana" w:eastAsia="Calibri" w:hAnsi="Verdana" w:cs="Arial"/>
          <w:i/>
          <w:iCs/>
          <w:color w:val="000000" w:themeColor="text1"/>
          <w:sz w:val="20"/>
          <w:szCs w:val="20"/>
        </w:rPr>
        <w:t> podría constituir una </w:t>
      </w:r>
      <w:r w:rsidRPr="003722E7">
        <w:rPr>
          <w:rFonts w:ascii="Verdana" w:eastAsia="Calibri" w:hAnsi="Verdana" w:cs="Arial"/>
          <w:b/>
          <w:bCs/>
          <w:i/>
          <w:iCs/>
          <w:color w:val="000000" w:themeColor="text1"/>
          <w:sz w:val="20"/>
          <w:szCs w:val="20"/>
        </w:rPr>
        <w:t>restricción a la libre concurrencia o limitación injustificada a la participación de proponentes</w:t>
      </w:r>
      <w:r w:rsidRPr="003722E7">
        <w:rPr>
          <w:rFonts w:ascii="Verdana" w:eastAsia="Calibri" w:hAnsi="Verdana" w:cs="Arial"/>
          <w:i/>
          <w:iCs/>
          <w:color w:val="000000" w:themeColor="text1"/>
          <w:sz w:val="20"/>
          <w:szCs w:val="20"/>
        </w:rPr>
        <w:t>, a la luz de los principios de la contratación estatal previstos en la Ley 80 de 1993 y la Ley 1150 de 2007.</w:t>
      </w:r>
    </w:p>
    <w:p w14:paraId="0E67D39B" w14:textId="77777777" w:rsidR="00652F21" w:rsidRPr="00EC5E04" w:rsidRDefault="00652F21" w:rsidP="00652F21">
      <w:pPr>
        <w:numPr>
          <w:ilvl w:val="0"/>
          <w:numId w:val="4"/>
        </w:numPr>
        <w:spacing w:line="240" w:lineRule="auto"/>
        <w:ind w:right="709"/>
        <w:jc w:val="both"/>
        <w:rPr>
          <w:rFonts w:ascii="Verdana" w:eastAsia="Calibri" w:hAnsi="Verdana" w:cs="Arial"/>
          <w:i/>
          <w:iCs/>
          <w:color w:val="000000" w:themeColor="text1"/>
          <w:sz w:val="20"/>
          <w:szCs w:val="20"/>
        </w:rPr>
      </w:pPr>
      <w:r w:rsidRPr="003722E7">
        <w:rPr>
          <w:rFonts w:ascii="Verdana" w:eastAsia="Calibri" w:hAnsi="Verdana" w:cs="Arial"/>
          <w:i/>
          <w:iCs/>
          <w:color w:val="000000" w:themeColor="text1"/>
          <w:sz w:val="20"/>
          <w:szCs w:val="20"/>
        </w:rPr>
        <w:lastRenderedPageBreak/>
        <w:t>Si este tipo de requisitos podría considerarse </w:t>
      </w:r>
      <w:r w:rsidRPr="003722E7">
        <w:rPr>
          <w:rFonts w:ascii="Verdana" w:eastAsia="Calibri" w:hAnsi="Verdana" w:cs="Arial"/>
          <w:b/>
          <w:bCs/>
          <w:i/>
          <w:iCs/>
          <w:color w:val="000000" w:themeColor="text1"/>
          <w:sz w:val="20"/>
          <w:szCs w:val="20"/>
        </w:rPr>
        <w:t>discriminatorio o restrictivo de la pluralidad de oferentes</w:t>
      </w:r>
      <w:r w:rsidRPr="003722E7">
        <w:rPr>
          <w:rFonts w:ascii="Verdana" w:eastAsia="Calibri" w:hAnsi="Verdana" w:cs="Arial"/>
          <w:i/>
          <w:iCs/>
          <w:color w:val="000000" w:themeColor="text1"/>
          <w:sz w:val="20"/>
          <w:szCs w:val="20"/>
        </w:rPr>
        <w:t>, cuando no existe una justificación técnica o jurídica suficiente que sustente dicha exigencia.</w:t>
      </w:r>
      <w:r w:rsidRPr="00EC5E04">
        <w:rPr>
          <w:rFonts w:ascii="Verdana" w:eastAsia="Calibri" w:hAnsi="Verdana" w:cs="Arial"/>
          <w:i/>
          <w:iCs/>
          <w:color w:val="000000" w:themeColor="text1"/>
          <w:sz w:val="20"/>
          <w:szCs w:val="20"/>
        </w:rPr>
        <w:t>”</w:t>
      </w:r>
    </w:p>
    <w:p w14:paraId="402D9216" w14:textId="77777777" w:rsidR="00652F21" w:rsidRDefault="00652F21" w:rsidP="00652F21">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2F4A3959" w14:textId="77777777" w:rsidR="00652F21" w:rsidRPr="00054383" w:rsidRDefault="00652F21" w:rsidP="00652F21">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4D86DFA0" w14:textId="77777777" w:rsidR="00652F21" w:rsidRPr="008E4F36" w:rsidRDefault="00652F21" w:rsidP="00652F21">
      <w:pPr>
        <w:spacing w:after="0"/>
        <w:ind w:firstLine="709"/>
        <w:jc w:val="both"/>
        <w:rPr>
          <w:rFonts w:ascii="Verdana" w:eastAsia="Calibri" w:hAnsi="Verdana" w:cs="Arial"/>
          <w:color w:val="000000"/>
          <w:lang w:eastAsia="es-ES"/>
        </w:rPr>
      </w:pPr>
    </w:p>
    <w:p w14:paraId="4A3DE43A" w14:textId="77777777" w:rsidR="00652F21" w:rsidRDefault="00652F21" w:rsidP="00652F21">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43695C83" w14:textId="77777777" w:rsidR="00652F21" w:rsidRDefault="00652F21" w:rsidP="00652F21">
      <w:pPr>
        <w:spacing w:after="0" w:line="276" w:lineRule="auto"/>
        <w:jc w:val="both"/>
        <w:rPr>
          <w:rFonts w:ascii="Verdana" w:eastAsia="Calibri" w:hAnsi="Verdana" w:cs="Arial"/>
          <w:color w:val="000000"/>
          <w:highlight w:val="yellow"/>
          <w:lang w:eastAsia="es-ES"/>
        </w:rPr>
      </w:pPr>
    </w:p>
    <w:p w14:paraId="3C0EE675" w14:textId="77777777" w:rsidR="00652F21" w:rsidRPr="00BF51E0" w:rsidRDefault="00652F21" w:rsidP="00652F21">
      <w:pPr>
        <w:spacing w:after="0" w:line="276" w:lineRule="auto"/>
        <w:jc w:val="both"/>
        <w:rPr>
          <w:rFonts w:ascii="Verdana" w:eastAsia="Calibri" w:hAnsi="Verdana" w:cs="Arial"/>
          <w:color w:val="000000"/>
          <w:lang w:eastAsia="es-ES"/>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w:t>
      </w:r>
      <w:r>
        <w:rPr>
          <w:rFonts w:ascii="Verdana" w:eastAsia="Calibri" w:hAnsi="Verdana" w:cs="Arial"/>
          <w:color w:val="000000"/>
          <w:lang w:eastAsia="es-ES"/>
        </w:rPr>
        <w:t xml:space="preserve"> </w:t>
      </w:r>
      <w:r w:rsidRPr="00BF51E0">
        <w:rPr>
          <w:rFonts w:ascii="Times New Roman" w:eastAsia="Times New Roman" w:hAnsi="Times New Roman" w:cs="Times New Roman"/>
          <w:sz w:val="24"/>
          <w:szCs w:val="24"/>
          <w:lang w:eastAsia="es-CO"/>
        </w:rPr>
        <w:t xml:space="preserve"> </w:t>
      </w:r>
      <w:r w:rsidRPr="00BF51E0">
        <w:rPr>
          <w:rFonts w:ascii="Verdana" w:eastAsia="Calibri" w:hAnsi="Verdana" w:cs="Arial"/>
          <w:color w:val="000000"/>
          <w:lang w:eastAsia="es-ES"/>
        </w:rPr>
        <w:t xml:space="preserve">i) </w:t>
      </w:r>
      <w:r>
        <w:rPr>
          <w:rFonts w:ascii="Verdana" w:eastAsia="Calibri" w:hAnsi="Verdana" w:cs="Arial"/>
          <w:color w:val="000000"/>
          <w:lang w:eastAsia="es-ES"/>
        </w:rPr>
        <w:t>¿</w:t>
      </w:r>
      <w:r w:rsidRPr="0009466F">
        <w:rPr>
          <w:rFonts w:ascii="Verdana" w:eastAsia="Century Gothic" w:hAnsi="Verdana" w:cs="Century Gothic"/>
          <w:color w:val="000000" w:themeColor="text1"/>
        </w:rPr>
        <w:t xml:space="preserve">Puede una Entidad Estatal exigir como requisito de participación que los proponentes cuenten con establecimiento de comercio en un lugar específico, aun cuando dicha exigencia no esté prevista expresamente en la Ley 80 de 1993 ni en la Ley 1150 de 2007, y determinar si dicha exigencia constituye un requisito habilitante </w:t>
      </w:r>
      <w:r>
        <w:rPr>
          <w:rFonts w:ascii="Verdana" w:eastAsia="Century Gothic" w:hAnsi="Verdana" w:cs="Century Gothic"/>
          <w:color w:val="000000" w:themeColor="text1"/>
        </w:rPr>
        <w:t>y</w:t>
      </w:r>
      <w:r w:rsidRPr="0009466F">
        <w:rPr>
          <w:rFonts w:ascii="Verdana" w:eastAsia="Century Gothic" w:hAnsi="Verdana" w:cs="Century Gothic"/>
          <w:color w:val="000000" w:themeColor="text1"/>
        </w:rPr>
        <w:t xml:space="preserve"> una condición de ejecución contractual?</w:t>
      </w:r>
      <w:r>
        <w:rPr>
          <w:rFonts w:ascii="Verdana" w:eastAsia="Calibri" w:hAnsi="Verdana" w:cs="Arial"/>
          <w:color w:val="000000"/>
          <w:lang w:eastAsia="es-ES"/>
        </w:rPr>
        <w:t xml:space="preserve"> </w:t>
      </w:r>
      <w:proofErr w:type="spellStart"/>
      <w:r w:rsidRPr="00BF51E0">
        <w:rPr>
          <w:rFonts w:ascii="Verdana" w:eastAsia="Calibri" w:hAnsi="Verdana" w:cs="Arial"/>
          <w:color w:val="000000"/>
          <w:lang w:eastAsia="es-ES"/>
        </w:rPr>
        <w:t>ii</w:t>
      </w:r>
      <w:proofErr w:type="spellEnd"/>
      <w:r w:rsidRPr="00BF51E0">
        <w:rPr>
          <w:rFonts w:ascii="Verdana" w:eastAsia="Calibri" w:hAnsi="Verdana" w:cs="Arial"/>
          <w:color w:val="000000"/>
          <w:lang w:eastAsia="es-ES"/>
        </w:rPr>
        <w:t>) ¿Es válida la exigencia de ubicar el establecimiento exclusivamente en la cabecera municipal, o constituye una restricción injustificada a la libre concurrencia y a los principios de selección objetiva e igualdad?</w:t>
      </w:r>
    </w:p>
    <w:p w14:paraId="22ABDA51" w14:textId="77777777" w:rsidR="00652F21" w:rsidRPr="00D90CF6" w:rsidRDefault="00652F21" w:rsidP="00652F21">
      <w:pPr>
        <w:spacing w:after="0" w:line="276" w:lineRule="auto"/>
        <w:jc w:val="both"/>
        <w:rPr>
          <w:rFonts w:ascii="Verdana" w:eastAsia="Calibri" w:hAnsi="Verdana" w:cs="Times New Roman"/>
        </w:rPr>
      </w:pPr>
    </w:p>
    <w:p w14:paraId="35E317AA" w14:textId="77777777" w:rsidR="00652F21" w:rsidRPr="008E4F36" w:rsidRDefault="00652F21" w:rsidP="00652F21">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640F9E1C" w14:textId="77777777" w:rsidR="00652F21" w:rsidRPr="008E4F36" w:rsidRDefault="00652F21" w:rsidP="00652F21">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652F21" w:rsidRPr="008E4F36" w14:paraId="2384A53E" w14:textId="77777777" w:rsidTr="00245CE3">
        <w:tc>
          <w:tcPr>
            <w:tcW w:w="8828" w:type="dxa"/>
          </w:tcPr>
          <w:p w14:paraId="463191B5" w14:textId="77777777" w:rsidR="00652F21" w:rsidRPr="00275B0F" w:rsidRDefault="00652F21" w:rsidP="00245CE3">
            <w:pPr>
              <w:spacing w:after="120" w:line="276" w:lineRule="auto"/>
              <w:jc w:val="both"/>
              <w:rPr>
                <w:rFonts w:ascii="Verdana" w:hAnsi="Verdana"/>
              </w:rPr>
            </w:pPr>
            <w:r>
              <w:rPr>
                <w:rFonts w:ascii="Verdana" w:hAnsi="Verdana"/>
              </w:rPr>
              <w:lastRenderedPageBreak/>
              <w:t xml:space="preserve">i) </w:t>
            </w:r>
            <w:r w:rsidRPr="00275B0F">
              <w:rPr>
                <w:rFonts w:ascii="Verdana" w:hAnsi="Verdana"/>
              </w:rPr>
              <w:t>Los factores de escogencia y calificación que establezcan las Entidades en los pliegos de condiciones o sus documentos equivalentes deberán tener en cuenta el deber de selección objetiva. En especial, señala la Ley que los criterios habilitantes que determine la Entidad deberán ser adecuados y proporcionales a la naturaleza del contrato a suscribir y a su valor. De esta manera, las condiciones habilitantes que no resulten adecuadas para determinar la idoneidad o capacidad del proponente para cumplir con el objeto del contrato, o que sean desproporcionados frente a este, serán contrarias al deber de selección objetiva.</w:t>
            </w:r>
          </w:p>
          <w:p w14:paraId="76AF980E" w14:textId="77777777" w:rsidR="00652F21" w:rsidRPr="00275B0F" w:rsidRDefault="00652F21" w:rsidP="00245CE3">
            <w:pPr>
              <w:spacing w:after="120" w:line="276" w:lineRule="auto"/>
              <w:ind w:firstLine="743"/>
              <w:jc w:val="both"/>
              <w:rPr>
                <w:rFonts w:ascii="Verdana" w:hAnsi="Verdana"/>
              </w:rPr>
            </w:pPr>
            <w:r w:rsidRPr="00275B0F">
              <w:rPr>
                <w:rFonts w:ascii="Verdana" w:hAnsi="Verdana"/>
              </w:rPr>
              <w:t xml:space="preserve">En este sentido, si bien las Entidades Estatales son autónomas para definir los requisitos habilitantes, tal facultad no puede ejercerse de forma arbitraria, caprichosa y, mucho menos, con el ánimo de direccionar el </w:t>
            </w:r>
            <w:r>
              <w:rPr>
                <w:rFonts w:ascii="Verdana" w:hAnsi="Verdana"/>
              </w:rPr>
              <w:t>P</w:t>
            </w:r>
            <w:r w:rsidRPr="00275B0F">
              <w:rPr>
                <w:rFonts w:ascii="Verdana" w:hAnsi="Verdana"/>
              </w:rPr>
              <w:t xml:space="preserve">roceso de </w:t>
            </w:r>
            <w:r>
              <w:rPr>
                <w:rFonts w:ascii="Verdana" w:hAnsi="Verdana"/>
              </w:rPr>
              <w:t>C</w:t>
            </w:r>
            <w:r w:rsidRPr="00275B0F">
              <w:rPr>
                <w:rFonts w:ascii="Verdana" w:hAnsi="Verdana"/>
              </w:rPr>
              <w:t xml:space="preserve">ontratación o favorecer a alguno de los proponentes. Dicha autonomía debe ser ejercida procurando diseñar condiciones habilitantes de manera objetiva, de suerte que estas sirvan para determinar si los participantes del </w:t>
            </w:r>
            <w:r>
              <w:rPr>
                <w:rFonts w:ascii="Verdana" w:hAnsi="Verdana"/>
              </w:rPr>
              <w:t>P</w:t>
            </w:r>
            <w:r w:rsidRPr="00275B0F">
              <w:rPr>
                <w:rFonts w:ascii="Verdana" w:hAnsi="Verdana"/>
              </w:rPr>
              <w:t xml:space="preserve">roceso de </w:t>
            </w:r>
            <w:r>
              <w:rPr>
                <w:rFonts w:ascii="Verdana" w:hAnsi="Verdana"/>
              </w:rPr>
              <w:t>C</w:t>
            </w:r>
            <w:r w:rsidRPr="00275B0F">
              <w:rPr>
                <w:rFonts w:ascii="Verdana" w:hAnsi="Verdana"/>
              </w:rPr>
              <w:t xml:space="preserve">ontratación cuentan con las capacidades que los hacen aptos para ejecutar el objeto contractual. Para esto resulta indispensable que los requisitos establecidos por la entidad, además se fijen de manera adecuada y proporcional a las características del objeto a contratar, procurando además ceñirse a la normativa que resulte aplicable. </w:t>
            </w:r>
          </w:p>
          <w:p w14:paraId="49693FFB" w14:textId="77777777" w:rsidR="00652F21" w:rsidRPr="00AB3889" w:rsidRDefault="00652F21" w:rsidP="00245CE3">
            <w:pPr>
              <w:spacing w:after="120" w:line="276" w:lineRule="auto"/>
              <w:ind w:firstLine="743"/>
              <w:jc w:val="both"/>
              <w:rPr>
                <w:rFonts w:ascii="Verdana" w:hAnsi="Verdana"/>
              </w:rPr>
            </w:pPr>
            <w:proofErr w:type="spellStart"/>
            <w:r w:rsidRPr="00AB3889">
              <w:rPr>
                <w:rFonts w:ascii="Verdana" w:hAnsi="Verdana"/>
                <w:lang w:val="es-ES"/>
              </w:rPr>
              <w:t>ii</w:t>
            </w:r>
            <w:proofErr w:type="spellEnd"/>
            <w:r w:rsidRPr="00AB3889">
              <w:rPr>
                <w:rFonts w:ascii="Verdana" w:hAnsi="Verdana"/>
                <w:lang w:val="es-ES"/>
              </w:rPr>
              <w:t>)</w:t>
            </w:r>
            <w:r w:rsidRPr="00AB3889">
              <w:rPr>
                <w:rFonts w:ascii="Times New Roman" w:eastAsia="Times New Roman" w:hAnsi="Times New Roman" w:cs="Times New Roman"/>
                <w:sz w:val="24"/>
                <w:szCs w:val="24"/>
                <w:lang w:eastAsia="es-CO"/>
              </w:rPr>
              <w:t xml:space="preserve"> </w:t>
            </w:r>
            <w:r w:rsidRPr="00AB3889">
              <w:rPr>
                <w:rFonts w:ascii="Verdana" w:hAnsi="Verdana"/>
              </w:rPr>
              <w:t>La exigencia de ubicar el establecimiento de comercio exclusivamente en la cabecera municipal debe analizarse conforme al marco normativo que rige la contratación estatal, en particular el artículo 5 de la Ley 1150 de 2007 y el Decreto 1082 de 2015. Estas disposiciones establecen que los requisitos habilitantes deben ser objeto de verificación —no de calificación— y, en todo caso, deben ser adecuados y proporcionales a la naturaleza y valor del contrato, en desarrollo del principio de selección objetiva.</w:t>
            </w:r>
          </w:p>
          <w:p w14:paraId="65C8536D" w14:textId="77777777" w:rsidR="00652F21" w:rsidRPr="00AB3889" w:rsidRDefault="00652F21" w:rsidP="00245CE3">
            <w:pPr>
              <w:spacing w:after="120" w:line="276" w:lineRule="auto"/>
              <w:ind w:firstLine="743"/>
              <w:jc w:val="both"/>
              <w:rPr>
                <w:rFonts w:ascii="Verdana" w:hAnsi="Verdana"/>
              </w:rPr>
            </w:pPr>
            <w:r w:rsidRPr="00AB3889">
              <w:rPr>
                <w:rFonts w:ascii="Verdana" w:hAnsi="Verdana"/>
              </w:rPr>
              <w:t xml:space="preserve">En ese sentido, si bien las entidades estatales cuentan con una facultad de configuración de los pliegos de condiciones, dicha potestad no es discrecional en sentido absoluto, sino que se encuentra limitada por los principios de igualdad, libre concurrencia, transparencia y selección objetiva. En consecuencia, los requisitos habilitantes deben guardar una relación directa, necesaria y razonable con el objeto contractual, de modo que permitan </w:t>
            </w:r>
            <w:r w:rsidRPr="00AB3889">
              <w:rPr>
                <w:rFonts w:ascii="Verdana" w:hAnsi="Verdana"/>
              </w:rPr>
              <w:lastRenderedPageBreak/>
              <w:t>verificar la idoneidad del proponente sin introducir barreras injustificadas a la participación.</w:t>
            </w:r>
          </w:p>
          <w:p w14:paraId="5135753B" w14:textId="77777777" w:rsidR="00652F21" w:rsidRPr="00AB3889" w:rsidRDefault="00652F21" w:rsidP="00245CE3">
            <w:pPr>
              <w:spacing w:after="120" w:line="276" w:lineRule="auto"/>
              <w:ind w:firstLine="743"/>
              <w:jc w:val="both"/>
              <w:rPr>
                <w:rFonts w:ascii="Verdana" w:hAnsi="Verdana"/>
              </w:rPr>
            </w:pPr>
            <w:r w:rsidRPr="00AB3889">
              <w:rPr>
                <w:rFonts w:ascii="Verdana" w:hAnsi="Verdana"/>
              </w:rPr>
              <w:t>Bajo estos parámetros, la exigencia de que el establecimiento de comercio se ubique exclusivamente en la cabecera municipal, por regla general, constituye una restricción injustificada, en la medida en que introduce un criterio de localización que no se encuentra previsto como condición habilitante en la ley (capacidad jurídica, experiencia, capacidad financiera y organizacional) ni resulta, en principio, determinante para acreditar la aptitud del proponente. Así, dicha exigencia puede limitar la participación de oferentes ubicados en otras zonas del mismo municipio —como corregimientos— sin que ello incida en la correcta ejecución del contrato, vulnerando los principios de igualdad y libre concurrencia.</w:t>
            </w:r>
          </w:p>
          <w:p w14:paraId="0ADF4336" w14:textId="77777777" w:rsidR="00652F21" w:rsidRPr="00AB3889" w:rsidRDefault="00652F21" w:rsidP="00245CE3">
            <w:pPr>
              <w:spacing w:after="120" w:line="276" w:lineRule="auto"/>
              <w:ind w:firstLine="743"/>
              <w:jc w:val="both"/>
              <w:rPr>
                <w:rFonts w:ascii="Verdana" w:hAnsi="Verdana"/>
              </w:rPr>
            </w:pPr>
            <w:r w:rsidRPr="00AB3889">
              <w:rPr>
                <w:rFonts w:ascii="Verdana" w:hAnsi="Verdana"/>
              </w:rPr>
              <w:t>No obstante, de manera excepcional, la entidad podría establecer una condición de localización específica como requisito habilitante de carácter técnico, siempre que esté debidamente justificada en los estudios previos, conforme a lo dispuesto en el artículo 2.2.1.1.1.6.2 del Decreto 1082 de 2015, y que se demuestre que dicha exigencia es estrictamente necesaria, adecuada y proporcional para garantizar la ejecución del contrato, en atención a sus particularidades (por ejemplo, cuando la inmediatez, disponibilidad o logística del servicio lo exijan y no existan medios alternativos menos restrictivos).</w:t>
            </w:r>
          </w:p>
          <w:p w14:paraId="32221BE0" w14:textId="77777777" w:rsidR="00652F21" w:rsidRDefault="00652F21" w:rsidP="00245CE3">
            <w:pPr>
              <w:spacing w:after="120" w:line="276" w:lineRule="auto"/>
              <w:ind w:firstLine="743"/>
              <w:jc w:val="both"/>
              <w:rPr>
                <w:rFonts w:ascii="Verdana" w:hAnsi="Verdana"/>
              </w:rPr>
            </w:pPr>
            <w:r w:rsidRPr="00AB3889">
              <w:rPr>
                <w:rFonts w:ascii="Verdana" w:hAnsi="Verdana"/>
              </w:rPr>
              <w:t>En ausencia de dicha justificación técnica y objetiva, la exigencia deviene contraria al principio de selección objetiva y puede configurarse como una limitación indebida a la libre concurrencia, susceptible de control por las autoridades competentes.</w:t>
            </w:r>
          </w:p>
          <w:p w14:paraId="61942F1F" w14:textId="77777777" w:rsidR="00652F21" w:rsidRPr="00C04EC9" w:rsidRDefault="00652F21" w:rsidP="00245CE3">
            <w:pPr>
              <w:spacing w:after="120" w:line="276" w:lineRule="auto"/>
              <w:ind w:firstLine="743"/>
              <w:jc w:val="both"/>
              <w:rPr>
                <w:rFonts w:ascii="Verdana" w:hAnsi="Verdana"/>
              </w:rPr>
            </w:pPr>
            <w:r w:rsidRPr="00C04EC9">
              <w:rPr>
                <w:rFonts w:ascii="Verdana" w:hAnsi="Verdana"/>
              </w:rPr>
              <w:t>Finalmente, debe precisarse que la validez de este tipo de exigencias debe analizarse en cada caso concreto por la entidad estatal, en la etapa de planeación del proceso contractual, conforme a los criterios de adecuación, necesidad y proporcionalidad previstos en el artículo 5 de la Ley 1150 de 2007 y el Decreto 1082 de 2015.</w:t>
            </w:r>
          </w:p>
          <w:p w14:paraId="0CE0B4CC" w14:textId="77777777" w:rsidR="00652F21" w:rsidRPr="00AB3889" w:rsidRDefault="00652F21" w:rsidP="00245CE3">
            <w:pPr>
              <w:spacing w:after="120" w:line="276" w:lineRule="auto"/>
              <w:ind w:firstLine="743"/>
              <w:jc w:val="both"/>
              <w:rPr>
                <w:rFonts w:ascii="Verdana" w:hAnsi="Verdana"/>
              </w:rPr>
            </w:pPr>
            <w:r w:rsidRPr="00C04EC9">
              <w:rPr>
                <w:rFonts w:ascii="Verdana" w:hAnsi="Verdana"/>
              </w:rPr>
              <w:t xml:space="preserve">En ese sentido, no es posible fijar reglas absolutas en abstracto, sino criterios generales de interpretación. Así, corresponde a cada entidad definir los requisitos habilitantes bajo su responsabilidad, sin que la Agencia Nacional de Contratación Pública – Colombia Compra Eficiente valide previamente sus </w:t>
            </w:r>
            <w:r w:rsidRPr="00C04EC9">
              <w:rPr>
                <w:rFonts w:ascii="Verdana" w:hAnsi="Verdana"/>
              </w:rPr>
              <w:lastRenderedPageBreak/>
              <w:t>actuaciones, las cuales estarán sujetas al control de las autoridades competentes.</w:t>
            </w:r>
          </w:p>
        </w:tc>
      </w:tr>
    </w:tbl>
    <w:p w14:paraId="32C3F8AB" w14:textId="77777777" w:rsidR="00652F21" w:rsidRDefault="00652F21" w:rsidP="00652F21">
      <w:pPr>
        <w:tabs>
          <w:tab w:val="left" w:pos="142"/>
          <w:tab w:val="left" w:pos="284"/>
        </w:tabs>
        <w:spacing w:after="0" w:line="276" w:lineRule="auto"/>
        <w:jc w:val="both"/>
        <w:rPr>
          <w:rFonts w:ascii="Verdana" w:eastAsia="Century Gothic" w:hAnsi="Verdana" w:cs="Century Gothic"/>
          <w:b/>
          <w:bCs/>
        </w:rPr>
      </w:pPr>
    </w:p>
    <w:p w14:paraId="232773FE" w14:textId="77777777" w:rsidR="00652F21" w:rsidRPr="008E4F36" w:rsidRDefault="00652F21" w:rsidP="00652F21">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3B998FC5" w14:textId="77777777" w:rsidR="00652F21" w:rsidRDefault="00652F21" w:rsidP="00652F21">
      <w:pPr>
        <w:pStyle w:val="Prrafodelista"/>
        <w:tabs>
          <w:tab w:val="left" w:pos="142"/>
          <w:tab w:val="left" w:pos="284"/>
        </w:tabs>
        <w:spacing w:after="0" w:line="276" w:lineRule="auto"/>
        <w:ind w:left="0"/>
        <w:contextualSpacing w:val="0"/>
        <w:jc w:val="both"/>
        <w:rPr>
          <w:rFonts w:ascii="Verdana" w:eastAsia="Calibri" w:hAnsi="Verdana" w:cs="Arial"/>
        </w:rPr>
      </w:pPr>
    </w:p>
    <w:p w14:paraId="0D2D50C3" w14:textId="77777777" w:rsidR="00652F21" w:rsidRDefault="00652F21" w:rsidP="00652F21">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1E7FF44D" w14:textId="77777777" w:rsidR="00652F21" w:rsidRDefault="00652F21" w:rsidP="00652F21">
      <w:pPr>
        <w:spacing w:after="120" w:line="276" w:lineRule="auto"/>
        <w:jc w:val="both"/>
        <w:rPr>
          <w:rFonts w:ascii="Verdana" w:eastAsia="Calibri" w:hAnsi="Verdana" w:cs="Arial"/>
          <w:color w:val="000000"/>
          <w:shd w:val="clear" w:color="auto" w:fill="FFFFFF"/>
          <w:lang w:val="es-ES"/>
        </w:rPr>
      </w:pPr>
    </w:p>
    <w:p w14:paraId="2DCBEEF0" w14:textId="77777777" w:rsidR="00652F21" w:rsidRPr="00275B0F" w:rsidRDefault="00652F21" w:rsidP="00652F21">
      <w:pPr>
        <w:spacing w:after="120" w:line="276" w:lineRule="auto"/>
        <w:jc w:val="both"/>
        <w:rPr>
          <w:rFonts w:ascii="Verdana" w:hAnsi="Verdana" w:cs="Arial"/>
          <w:bCs/>
          <w:lang w:val="es-ES_tradnl" w:eastAsia="es-ES" w:bidi="es-ES"/>
        </w:rPr>
      </w:pPr>
      <w:r>
        <w:rPr>
          <w:rFonts w:ascii="Verdana" w:hAnsi="Verdana" w:cs="Arial"/>
          <w:bCs/>
          <w:lang w:val="es-ES_tradnl" w:eastAsia="es-ES" w:bidi="es-ES"/>
        </w:rPr>
        <w:t xml:space="preserve">i. </w:t>
      </w:r>
      <w:r w:rsidRPr="00275B0F">
        <w:rPr>
          <w:rFonts w:ascii="Verdana" w:hAnsi="Verdana" w:cs="Arial"/>
          <w:bCs/>
          <w:lang w:val="es-ES_tradnl" w:eastAsia="es-ES" w:bidi="es-ES"/>
        </w:rPr>
        <w:t xml:space="preserve">Los </w:t>
      </w:r>
      <w:r w:rsidRPr="00275B0F">
        <w:rPr>
          <w:rFonts w:ascii="Verdana" w:hAnsi="Verdana" w:cs="Arial"/>
          <w:bCs/>
          <w:i/>
          <w:iCs/>
          <w:lang w:val="es-ES_tradnl" w:eastAsia="es-ES" w:bidi="es-ES"/>
        </w:rPr>
        <w:t>requisitos habilitantes</w:t>
      </w:r>
      <w:r w:rsidRPr="00275B0F">
        <w:rPr>
          <w:rFonts w:ascii="Verdana" w:hAnsi="Verdana" w:cs="Arial"/>
          <w:bCs/>
          <w:lang w:val="es-ES_tradnl" w:eastAsia="es-ES" w:bidi="es-ES"/>
        </w:rPr>
        <w:t xml:space="preserve"> se definen como exigencias de participación en los procedimientos de selección, establecidas en disposiciones normativas de carácter legal o reglamentario, o contenidas en el acto administrativo que regula las reglas de la convocatoria, es decir, en el pliego de condiciones o el documento equivalente a este. Se diferencian de los </w:t>
      </w:r>
      <w:r w:rsidRPr="00275B0F">
        <w:rPr>
          <w:rFonts w:ascii="Verdana" w:hAnsi="Verdana" w:cs="Arial"/>
          <w:bCs/>
          <w:i/>
          <w:iCs/>
          <w:lang w:val="es-ES_tradnl" w:eastAsia="es-ES" w:bidi="es-ES"/>
        </w:rPr>
        <w:t>criterios de evaluación</w:t>
      </w:r>
      <w:r w:rsidRPr="00275B0F">
        <w:rPr>
          <w:rFonts w:ascii="Verdana" w:hAnsi="Verdana" w:cs="Arial"/>
          <w:bCs/>
          <w:lang w:val="es-ES_tradnl" w:eastAsia="es-ES" w:bidi="es-ES"/>
        </w:rPr>
        <w:t xml:space="preserve"> –también conocidos como </w:t>
      </w:r>
      <w:r w:rsidRPr="00275B0F">
        <w:rPr>
          <w:rFonts w:ascii="Verdana" w:hAnsi="Verdana" w:cs="Arial"/>
          <w:bCs/>
          <w:i/>
          <w:iCs/>
          <w:lang w:val="es-ES_tradnl" w:eastAsia="es-ES" w:bidi="es-ES"/>
        </w:rPr>
        <w:t>criterios de calificación</w:t>
      </w:r>
      <w:r w:rsidRPr="00275B0F">
        <w:rPr>
          <w:rFonts w:ascii="Verdana" w:hAnsi="Verdana" w:cs="Arial"/>
          <w:bCs/>
          <w:lang w:val="es-ES_tradnl" w:eastAsia="es-ES" w:bidi="es-ES"/>
        </w:rPr>
        <w:t xml:space="preserve">– en que estos son los factores definidos por la Entidad Estatal para la asignación de puntaje en el momento de la comparación de las ofertas, y que, a partir de su ponderación, permiten establecer el orden de elegibilidad y, por ende, la propuesta ganadora. </w:t>
      </w:r>
    </w:p>
    <w:p w14:paraId="039A332D" w14:textId="77777777" w:rsidR="00652F21" w:rsidRPr="00275B0F" w:rsidRDefault="00652F21" w:rsidP="00652F21">
      <w:pPr>
        <w:spacing w:after="120" w:line="276" w:lineRule="auto"/>
        <w:ind w:firstLine="708"/>
        <w:jc w:val="both"/>
        <w:rPr>
          <w:rFonts w:ascii="Verdana" w:eastAsia="Calibri" w:hAnsi="Verdana" w:cs="Arial"/>
          <w:lang w:val="es-ES" w:eastAsia="es-MX"/>
        </w:rPr>
      </w:pPr>
      <w:bookmarkStart w:id="4" w:name="_Hlk191626670"/>
      <w:r w:rsidRPr="00275B0F">
        <w:rPr>
          <w:rFonts w:ascii="Verdana" w:eastAsia="Calibri" w:hAnsi="Verdana" w:cs="Arial"/>
          <w:lang w:val="es-ES" w:eastAsia="es-MX"/>
        </w:rPr>
        <w:t xml:space="preserve">Los requisitos habilitantes constituyen los requisitos mínimos con los que deben cumplir los proponentes para poder participar en el procedimiento de selección, razón por la que los mismos no se valoran con un puntaje tendiente a determinar el orden de escogencia, sino que se analizan como criterios previos a la evaluación en sentido estricto. De esta manera, quienes no los reúnan no pueden continuar en el procedimiento de selección, es decir, incurren en causal de rechazo. </w:t>
      </w:r>
      <w:bookmarkEnd w:id="4"/>
      <w:r w:rsidRPr="00275B0F">
        <w:rPr>
          <w:rFonts w:ascii="Verdana" w:eastAsia="Calibri" w:hAnsi="Verdana" w:cs="Arial"/>
          <w:lang w:val="es-ES" w:eastAsia="es-MX"/>
        </w:rPr>
        <w:t xml:space="preserve">Esto, sin perjuicio del derecho que tienen los oferentes de subsanar los defectos que se presenten en la prueba de tales requisitos, de conformidad con el </w:t>
      </w:r>
      <w:bookmarkStart w:id="5" w:name="_Hlk191626971"/>
      <w:r w:rsidRPr="00275B0F">
        <w:rPr>
          <w:rFonts w:ascii="Verdana" w:eastAsia="Calibri" w:hAnsi="Verdana" w:cs="Arial"/>
          <w:lang w:val="es-ES" w:eastAsia="es-MX"/>
        </w:rPr>
        <w:t>artículo 5, parágrafos 1º al 4º, de la Ley 1150 de 2007</w:t>
      </w:r>
      <w:bookmarkEnd w:id="5"/>
      <w:r w:rsidRPr="00275B0F">
        <w:rPr>
          <w:rFonts w:ascii="Verdana" w:eastAsia="Calibri" w:hAnsi="Verdana" w:cs="Arial"/>
          <w:lang w:val="es-ES" w:eastAsia="es-MX"/>
        </w:rPr>
        <w:t>.</w:t>
      </w:r>
    </w:p>
    <w:p w14:paraId="4DA9EB7C" w14:textId="77777777" w:rsidR="00652F21" w:rsidRPr="00275B0F" w:rsidRDefault="00652F21" w:rsidP="00652F21">
      <w:pPr>
        <w:spacing w:after="120" w:line="276" w:lineRule="auto"/>
        <w:ind w:firstLine="708"/>
        <w:jc w:val="both"/>
        <w:rPr>
          <w:rFonts w:ascii="Verdana" w:hAnsi="Verdana" w:cs="Arial"/>
          <w:color w:val="000000" w:themeColor="text1"/>
          <w:lang w:val="es-ES_tradnl"/>
        </w:rPr>
      </w:pPr>
      <w:r w:rsidRPr="00275B0F">
        <w:rPr>
          <w:rFonts w:ascii="Verdana" w:hAnsi="Verdana" w:cs="Arial"/>
          <w:color w:val="000000" w:themeColor="text1"/>
          <w:lang w:val="es-ES_tradnl"/>
        </w:rPr>
        <w:t>El mencionado artículo dispone que se considera objetiva la selección en la cual la escogencia se haga al ofrecimiento más favorable a la Entidad y a los fines que ella busca, sin tener en consideración factores de afecto o de interés y, en general, cualquier clase de motivación subjetiva</w:t>
      </w:r>
      <w:r w:rsidRPr="00275B0F">
        <w:rPr>
          <w:rFonts w:ascii="Verdana" w:hAnsi="Verdana" w:cs="Arial"/>
          <w:i/>
          <w:iCs/>
          <w:color w:val="000000" w:themeColor="text1"/>
          <w:lang w:val="es-ES_tradnl"/>
        </w:rPr>
        <w:t>.</w:t>
      </w:r>
      <w:r w:rsidRPr="00275B0F">
        <w:rPr>
          <w:rFonts w:ascii="Verdana" w:hAnsi="Verdana" w:cs="Arial"/>
          <w:color w:val="000000" w:themeColor="text1"/>
          <w:lang w:val="es-ES_tradnl"/>
        </w:rPr>
        <w:t xml:space="preserve"> En ese contexto, los factores de escogencia y calificación que establezcan las Entidades en los pliegos de condiciones o en sus documentos equivalentes deberán tener en cuenta, entre otras cuestiones, los criterios establecidos en dicha disposición. </w:t>
      </w:r>
    </w:p>
    <w:p w14:paraId="0ABBDF59" w14:textId="77777777" w:rsidR="00652F21" w:rsidRPr="00275B0F" w:rsidRDefault="00652F21" w:rsidP="00652F21">
      <w:pPr>
        <w:spacing w:after="0" w:line="276" w:lineRule="auto"/>
        <w:ind w:firstLine="708"/>
        <w:jc w:val="both"/>
        <w:rPr>
          <w:rFonts w:ascii="Verdana" w:hAnsi="Verdana" w:cs="Arial"/>
          <w:bCs/>
          <w:lang w:val="es-ES" w:eastAsia="es-ES" w:bidi="es-ES"/>
        </w:rPr>
      </w:pPr>
      <w:r w:rsidRPr="00275B0F">
        <w:rPr>
          <w:rFonts w:ascii="Verdana" w:hAnsi="Verdana" w:cs="Arial"/>
          <w:bCs/>
          <w:lang w:val="es-ES" w:eastAsia="es-ES" w:bidi="es-ES"/>
        </w:rPr>
        <w:t xml:space="preserve">Específicamente, el numeral 1º del artículo 5 de la Ley 1150 de 2007 establece que, en los procesos de selección de contratistas, serán objeto de </w:t>
      </w:r>
      <w:r w:rsidRPr="00275B0F">
        <w:rPr>
          <w:rFonts w:ascii="Verdana" w:hAnsi="Verdana" w:cs="Arial"/>
          <w:bCs/>
          <w:lang w:val="es-ES" w:eastAsia="es-ES" w:bidi="es-ES"/>
        </w:rPr>
        <w:lastRenderedPageBreak/>
        <w:t xml:space="preserve">verificación, como requisitos habilitantes, </w:t>
      </w:r>
      <w:r w:rsidRPr="00275B0F">
        <w:rPr>
          <w:rFonts w:ascii="Verdana" w:hAnsi="Verdana" w:cs="Arial"/>
          <w:bCs/>
          <w:i/>
          <w:iCs/>
          <w:lang w:val="es-ES" w:eastAsia="es-ES" w:bidi="es-ES"/>
        </w:rPr>
        <w:t>entre otros</w:t>
      </w:r>
      <w:r w:rsidRPr="00275B0F">
        <w:rPr>
          <w:rFonts w:ascii="Verdana" w:hAnsi="Verdana" w:cs="Arial"/>
          <w:bCs/>
          <w:lang w:val="es-ES" w:eastAsia="es-ES" w:bidi="es-ES"/>
        </w:rPr>
        <w:t>, los siguientes: (i) la capacidad jurídica; (</w:t>
      </w:r>
      <w:proofErr w:type="spellStart"/>
      <w:r w:rsidRPr="00275B0F">
        <w:rPr>
          <w:rFonts w:ascii="Verdana" w:hAnsi="Verdana" w:cs="Arial"/>
          <w:bCs/>
          <w:lang w:val="es-ES" w:eastAsia="es-ES" w:bidi="es-ES"/>
        </w:rPr>
        <w:t>ii</w:t>
      </w:r>
      <w:proofErr w:type="spellEnd"/>
      <w:r w:rsidRPr="00275B0F">
        <w:rPr>
          <w:rFonts w:ascii="Verdana" w:hAnsi="Verdana" w:cs="Arial"/>
          <w:bCs/>
          <w:lang w:val="es-ES" w:eastAsia="es-ES" w:bidi="es-ES"/>
        </w:rPr>
        <w:t>) la experiencia; (</w:t>
      </w:r>
      <w:proofErr w:type="spellStart"/>
      <w:r w:rsidRPr="00275B0F">
        <w:rPr>
          <w:rFonts w:ascii="Verdana" w:hAnsi="Verdana" w:cs="Arial"/>
          <w:bCs/>
          <w:lang w:val="es-ES" w:eastAsia="es-ES" w:bidi="es-ES"/>
        </w:rPr>
        <w:t>iii</w:t>
      </w:r>
      <w:proofErr w:type="spellEnd"/>
      <w:r w:rsidRPr="00275B0F">
        <w:rPr>
          <w:rFonts w:ascii="Verdana" w:hAnsi="Verdana" w:cs="Arial"/>
          <w:bCs/>
          <w:lang w:val="es-ES" w:eastAsia="es-ES" w:bidi="es-ES"/>
        </w:rPr>
        <w:t>) la capacidad financiera y (</w:t>
      </w:r>
      <w:proofErr w:type="spellStart"/>
      <w:r w:rsidRPr="00275B0F">
        <w:rPr>
          <w:rFonts w:ascii="Verdana" w:hAnsi="Verdana" w:cs="Arial"/>
          <w:bCs/>
          <w:lang w:val="es-ES" w:eastAsia="es-ES" w:bidi="es-ES"/>
        </w:rPr>
        <w:t>iv</w:t>
      </w:r>
      <w:proofErr w:type="spellEnd"/>
      <w:r w:rsidRPr="00275B0F">
        <w:rPr>
          <w:rFonts w:ascii="Verdana" w:hAnsi="Verdana" w:cs="Arial"/>
          <w:bCs/>
          <w:lang w:val="es-ES" w:eastAsia="es-ES" w:bidi="es-ES"/>
        </w:rPr>
        <w:t>) la capacidad de organización. En efecto, la normativa citada prescribe:</w:t>
      </w:r>
    </w:p>
    <w:p w14:paraId="64741100" w14:textId="77777777" w:rsidR="00652F21" w:rsidRPr="00275B0F" w:rsidRDefault="00652F21" w:rsidP="00652F21">
      <w:pPr>
        <w:spacing w:after="0" w:line="276" w:lineRule="auto"/>
        <w:ind w:firstLine="708"/>
        <w:jc w:val="both"/>
        <w:rPr>
          <w:rFonts w:ascii="Verdana" w:hAnsi="Verdana" w:cs="Arial"/>
          <w:bCs/>
          <w:lang w:val="es-ES" w:eastAsia="es-ES" w:bidi="es-ES"/>
        </w:rPr>
      </w:pPr>
    </w:p>
    <w:p w14:paraId="53BD2BA1" w14:textId="77777777" w:rsidR="00652F21" w:rsidRPr="00275B0F" w:rsidRDefault="00652F21" w:rsidP="00652F21">
      <w:pPr>
        <w:spacing w:after="0" w:line="240" w:lineRule="auto"/>
        <w:ind w:left="709" w:right="709"/>
        <w:jc w:val="both"/>
        <w:rPr>
          <w:rFonts w:ascii="Verdana" w:hAnsi="Verdana" w:cs="Arial"/>
          <w:sz w:val="20"/>
          <w:szCs w:val="20"/>
          <w:lang w:val="es-ES_tradnl" w:eastAsia="es-ES" w:bidi="es-ES"/>
        </w:rPr>
      </w:pPr>
      <w:r w:rsidRPr="00275B0F">
        <w:rPr>
          <w:rFonts w:ascii="Verdana" w:hAnsi="Verdana" w:cs="Arial"/>
          <w:i/>
          <w:sz w:val="20"/>
          <w:szCs w:val="20"/>
          <w:lang w:val="es-ES_tradnl" w:eastAsia="es-ES" w:bidi="es-ES"/>
        </w:rPr>
        <w:t>“</w:t>
      </w:r>
      <w:r w:rsidRPr="00275B0F">
        <w:rPr>
          <w:rFonts w:ascii="Verdana" w:hAnsi="Verdana" w:cs="Arial"/>
          <w:sz w:val="20"/>
          <w:szCs w:val="20"/>
          <w:lang w:val="es-ES_tradnl" w:eastAsia="es-ES" w:bidi="es-ES"/>
        </w:rPr>
        <w:t xml:space="preserve">Artículo 5. De la Selección Objetiva. </w:t>
      </w:r>
    </w:p>
    <w:p w14:paraId="1B3F9848" w14:textId="77777777" w:rsidR="00652F21" w:rsidRPr="00275B0F" w:rsidRDefault="00652F21" w:rsidP="00652F21">
      <w:pPr>
        <w:spacing w:after="0" w:line="240" w:lineRule="auto"/>
        <w:ind w:left="709" w:right="709"/>
        <w:jc w:val="both"/>
        <w:rPr>
          <w:rFonts w:ascii="Verdana" w:hAnsi="Verdana" w:cs="Arial"/>
          <w:sz w:val="20"/>
          <w:szCs w:val="20"/>
          <w:lang w:val="es-ES_tradnl" w:eastAsia="es-ES" w:bidi="es-ES"/>
        </w:rPr>
      </w:pPr>
      <w:r w:rsidRPr="00275B0F">
        <w:rPr>
          <w:rFonts w:ascii="Verdana" w:hAnsi="Verdana" w:cs="Arial"/>
          <w:sz w:val="20"/>
          <w:szCs w:val="20"/>
          <w:lang w:val="es-ES_tradnl" w:eastAsia="es-ES" w:bidi="es-ES"/>
        </w:rPr>
        <w:t>[…]</w:t>
      </w:r>
    </w:p>
    <w:p w14:paraId="71C1BEFF" w14:textId="77777777" w:rsidR="00652F21" w:rsidRPr="00275B0F" w:rsidRDefault="00652F21" w:rsidP="00652F21">
      <w:pPr>
        <w:spacing w:after="0" w:line="240" w:lineRule="auto"/>
        <w:ind w:left="709" w:right="709"/>
        <w:jc w:val="both"/>
        <w:rPr>
          <w:rFonts w:ascii="Verdana" w:hAnsi="Verdana" w:cs="Arial"/>
          <w:sz w:val="20"/>
          <w:szCs w:val="20"/>
          <w:lang w:val="es-ES" w:eastAsia="es-ES" w:bidi="es-ES"/>
        </w:rPr>
      </w:pPr>
      <w:r w:rsidRPr="00275B0F">
        <w:rPr>
          <w:rFonts w:ascii="Verdana" w:hAnsi="Verdana" w:cs="Arial"/>
          <w:sz w:val="20"/>
          <w:szCs w:val="20"/>
          <w:lang w:val="es-ES" w:eastAsia="es-ES" w:bidi="es-ES"/>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w:t>
      </w:r>
    </w:p>
    <w:p w14:paraId="30C9295C" w14:textId="77777777" w:rsidR="00652F21" w:rsidRPr="00275B0F" w:rsidRDefault="00652F21" w:rsidP="00652F21">
      <w:pPr>
        <w:spacing w:after="0" w:line="276" w:lineRule="auto"/>
        <w:ind w:right="709"/>
        <w:jc w:val="both"/>
        <w:rPr>
          <w:rFonts w:ascii="Verdana" w:hAnsi="Verdana" w:cs="Arial"/>
          <w:lang w:val="es-ES" w:eastAsia="es-ES" w:bidi="es-ES"/>
        </w:rPr>
      </w:pPr>
    </w:p>
    <w:p w14:paraId="3044777A" w14:textId="77777777" w:rsidR="00652F21" w:rsidRPr="00275B0F" w:rsidRDefault="00652F21" w:rsidP="00652F21">
      <w:pPr>
        <w:spacing w:after="120" w:line="276" w:lineRule="auto"/>
        <w:ind w:firstLine="708"/>
        <w:jc w:val="both"/>
        <w:rPr>
          <w:rFonts w:ascii="Verdana" w:eastAsia="Times New Roman" w:hAnsi="Verdana" w:cs="Arial"/>
          <w:highlight w:val="cyan"/>
          <w:lang w:val="es-ES_tradnl" w:eastAsia="es-MX"/>
        </w:rPr>
      </w:pPr>
      <w:bookmarkStart w:id="6" w:name="_Hlk99547809"/>
      <w:bookmarkStart w:id="7" w:name="_Hlk99546625"/>
      <w:r w:rsidRPr="00275B0F">
        <w:rPr>
          <w:rFonts w:ascii="Verdana" w:eastAsia="Times New Roman" w:hAnsi="Verdana" w:cs="Arial"/>
          <w:lang w:val="es-ES_tradnl" w:eastAsia="es-MX"/>
        </w:rPr>
        <w:t xml:space="preserve">La Agencia Nacional de Contratación Pública – Colombia Compra Eficiente ha defendido el carácter </w:t>
      </w:r>
      <w:bookmarkStart w:id="8" w:name="_Hlk99547799"/>
      <w:r w:rsidRPr="00275B0F">
        <w:rPr>
          <w:rFonts w:ascii="Verdana" w:eastAsia="Times New Roman" w:hAnsi="Verdana" w:cs="Arial"/>
          <w:lang w:val="es-ES_tradnl" w:eastAsia="es-MX"/>
        </w:rPr>
        <w:t xml:space="preserve">enunciativo del listado de los requisitos habilitantes contenidos en el numeral 1 del artículo 5 de la Ley 1150 de 2007, en la medida en que la mencionada disposición, al referirse a los requisitos habilitantes, no contiene una expresión como “únicamente” o “solo”, de la que pueda colegirse la taxatividad de los requisitos señalados. </w:t>
      </w:r>
      <w:bookmarkEnd w:id="6"/>
      <w:bookmarkEnd w:id="8"/>
      <w:r w:rsidRPr="00275B0F">
        <w:rPr>
          <w:rFonts w:ascii="Verdana" w:eastAsia="Times New Roman" w:hAnsi="Verdana" w:cs="Arial"/>
          <w:lang w:val="es-ES_tradnl" w:eastAsia="es-MX"/>
        </w:rPr>
        <w:t>Esta conclusión además se apoya en una la lectura integral de las normas que regulan la contratación estatal, en virtud de la cual es posible evidenciar que existen otras condiciones que deben cumplirse para la contratación con Entidades Estatales, de las que derivan requisitos habilitantes, como sucede, por ejemplo, con la capacidad residual a la que se refiere el artículo 6º, parágrafo 1, de la Ley 1150 de 2007</w:t>
      </w:r>
      <w:bookmarkEnd w:id="7"/>
      <w:r w:rsidRPr="00275B0F">
        <w:rPr>
          <w:rFonts w:ascii="Verdana" w:eastAsia="Times New Roman" w:hAnsi="Verdana" w:cs="Arial"/>
          <w:vertAlign w:val="superscript"/>
          <w:lang w:val="es-ES_tradnl" w:eastAsia="es-MX"/>
        </w:rPr>
        <w:footnoteReference w:id="1"/>
      </w:r>
      <w:r w:rsidRPr="00275B0F">
        <w:rPr>
          <w:rFonts w:ascii="Verdana" w:eastAsia="Times New Roman" w:hAnsi="Verdana" w:cs="Arial"/>
          <w:lang w:val="es-ES_tradnl" w:eastAsia="es-MX"/>
        </w:rPr>
        <w:t xml:space="preserve">. </w:t>
      </w:r>
    </w:p>
    <w:p w14:paraId="4DA860FB" w14:textId="77777777" w:rsidR="00652F21" w:rsidRPr="00275B0F" w:rsidRDefault="00652F21" w:rsidP="00652F21">
      <w:pPr>
        <w:spacing w:after="120" w:line="276" w:lineRule="auto"/>
        <w:jc w:val="both"/>
        <w:rPr>
          <w:rFonts w:ascii="Verdana" w:hAnsi="Verdana" w:cs="Arial"/>
          <w:bCs/>
          <w:lang w:val="es-ES" w:eastAsia="es-ES" w:bidi="es-ES"/>
        </w:rPr>
      </w:pPr>
      <w:proofErr w:type="spellStart"/>
      <w:r>
        <w:rPr>
          <w:rFonts w:ascii="Verdana" w:eastAsia="Times New Roman" w:hAnsi="Verdana" w:cs="Arial"/>
          <w:lang w:val="es-ES" w:eastAsia="es-MX"/>
        </w:rPr>
        <w:t>ii.</w:t>
      </w:r>
      <w:r w:rsidRPr="00275B0F">
        <w:rPr>
          <w:rFonts w:ascii="Verdana" w:eastAsia="Times New Roman" w:hAnsi="Verdana" w:cs="Arial"/>
          <w:lang w:val="es-ES" w:eastAsia="es-MX"/>
        </w:rPr>
        <w:t>Por</w:t>
      </w:r>
      <w:proofErr w:type="spellEnd"/>
      <w:r w:rsidRPr="00275B0F">
        <w:rPr>
          <w:rFonts w:ascii="Verdana" w:eastAsia="Times New Roman" w:hAnsi="Verdana" w:cs="Arial"/>
          <w:lang w:val="es-ES" w:eastAsia="es-MX"/>
        </w:rPr>
        <w:t xml:space="preserve"> otro lado, </w:t>
      </w:r>
      <w:r w:rsidRPr="00275B0F">
        <w:rPr>
          <w:rFonts w:ascii="Verdana" w:hAnsi="Verdana" w:cs="Arial"/>
          <w:bCs/>
          <w:lang w:val="es-ES" w:eastAsia="es-ES" w:bidi="es-ES"/>
        </w:rPr>
        <w:t xml:space="preserve">el artículo 5 de la Ley 1150 de 2007 dispone que se considera </w:t>
      </w:r>
      <w:r w:rsidRPr="00275B0F">
        <w:rPr>
          <w:rFonts w:ascii="Verdana" w:hAnsi="Verdana" w:cs="Arial"/>
          <w:bCs/>
          <w:i/>
          <w:iCs/>
          <w:lang w:val="es-ES" w:eastAsia="es-ES" w:bidi="es-ES"/>
        </w:rPr>
        <w:t xml:space="preserve">“objetiva la selección en la cual la escogencia se haga al ofrecimiento más favorable a la entidad y a los fines que ella busca, sin tener en consideración factores de afecto o de interés y, en general, cualquier clase de motivación </w:t>
      </w:r>
      <w:r w:rsidRPr="00275B0F">
        <w:rPr>
          <w:rFonts w:ascii="Verdana" w:hAnsi="Verdana" w:cs="Arial"/>
          <w:bCs/>
          <w:i/>
          <w:iCs/>
          <w:lang w:val="es-ES" w:eastAsia="es-ES" w:bidi="es-ES"/>
        </w:rPr>
        <w:lastRenderedPageBreak/>
        <w:t>subjetiva”.</w:t>
      </w:r>
      <w:r w:rsidRPr="00275B0F">
        <w:rPr>
          <w:rFonts w:ascii="Verdana" w:hAnsi="Verdana" w:cs="Arial"/>
          <w:bCs/>
          <w:lang w:val="es-ES" w:eastAsia="es-ES" w:bidi="es-ES"/>
        </w:rPr>
        <w:t xml:space="preserve"> En ese contexto, los factores de escogencia y calificación que establezcan las Entidades en los pliegos de condiciones o sus documentos equivalentes deberán tener en cuenta, entre otras cuestiones, el deber de selección objetiva, según los criterios establecidos en dicha disposición. </w:t>
      </w:r>
    </w:p>
    <w:p w14:paraId="4F9D58F8" w14:textId="77777777" w:rsidR="00652F21" w:rsidRPr="00275B0F" w:rsidRDefault="00652F21" w:rsidP="00652F21">
      <w:pPr>
        <w:spacing w:after="120" w:line="276" w:lineRule="auto"/>
        <w:ind w:firstLine="708"/>
        <w:jc w:val="both"/>
        <w:rPr>
          <w:rFonts w:ascii="Verdana" w:hAnsi="Verdana" w:cs="Arial"/>
          <w:bCs/>
          <w:lang w:val="es-ES" w:eastAsia="es-ES" w:bidi="es-ES"/>
        </w:rPr>
      </w:pPr>
      <w:bookmarkStart w:id="9" w:name="_Hlk214518420"/>
      <w:r w:rsidRPr="00275B0F">
        <w:rPr>
          <w:rFonts w:ascii="Verdana" w:hAnsi="Verdana" w:cs="Arial"/>
          <w:bCs/>
          <w:lang w:val="es-ES" w:eastAsia="es-ES" w:bidi="es-ES"/>
        </w:rPr>
        <w:t xml:space="preserve">En especial, señala la Ley que los criterios habilitantes que determine la Entidad deberán ser </w:t>
      </w:r>
      <w:r w:rsidRPr="00275B0F">
        <w:rPr>
          <w:rFonts w:ascii="Verdana" w:hAnsi="Verdana" w:cs="Arial"/>
          <w:bCs/>
          <w:i/>
          <w:iCs/>
          <w:sz w:val="21"/>
          <w:szCs w:val="21"/>
          <w:lang w:val="es-ES" w:eastAsia="es-ES" w:bidi="es-ES"/>
        </w:rPr>
        <w:t>adecuados y proporcionales</w:t>
      </w:r>
      <w:r w:rsidRPr="00275B0F">
        <w:rPr>
          <w:rFonts w:ascii="Verdana" w:hAnsi="Verdana" w:cs="Arial"/>
          <w:bCs/>
          <w:sz w:val="21"/>
          <w:szCs w:val="21"/>
          <w:lang w:val="es-ES" w:eastAsia="es-ES" w:bidi="es-ES"/>
        </w:rPr>
        <w:t xml:space="preserve"> a la naturaleza del contrato a suscribir y a su valor. De esta manera, las condiciones habilitantes que no resulten adecuadas para determinar la idoneidad o capacidad del proponente para cumplir con el objeto del contrato, o que sean desproporcionados frente a este, serán contrarias al deber de selección objetiva.</w:t>
      </w:r>
    </w:p>
    <w:bookmarkEnd w:id="9"/>
    <w:p w14:paraId="626B0F7D" w14:textId="77777777" w:rsidR="00652F21" w:rsidRPr="00275B0F" w:rsidRDefault="00652F21" w:rsidP="00652F21">
      <w:pPr>
        <w:spacing w:after="120" w:line="276" w:lineRule="auto"/>
        <w:ind w:firstLine="708"/>
        <w:jc w:val="both"/>
        <w:rPr>
          <w:rFonts w:ascii="Verdana" w:eastAsia="Times New Roman" w:hAnsi="Verdana" w:cs="Arial"/>
          <w:lang w:val="es-ES" w:eastAsia="es-MX"/>
        </w:rPr>
      </w:pPr>
      <w:r w:rsidRPr="00275B0F">
        <w:rPr>
          <w:rFonts w:ascii="Verdana" w:eastAsia="Times New Roman" w:hAnsi="Verdana" w:cs="Arial"/>
          <w:lang w:val="es-ES" w:eastAsia="es-MX"/>
        </w:rPr>
        <w:t xml:space="preserve">En línea con lo anterior, el </w:t>
      </w:r>
      <w:bookmarkStart w:id="10" w:name="_Hlk191627190"/>
      <w:r w:rsidRPr="00275B0F">
        <w:rPr>
          <w:rFonts w:ascii="Verdana" w:eastAsia="Times New Roman" w:hAnsi="Verdana" w:cs="Arial"/>
          <w:lang w:val="es-ES" w:eastAsia="es-MX"/>
        </w:rPr>
        <w:t>“Manual para determinar y verificar los requisitos habilitantes en los Procesos de Contratación</w:t>
      </w:r>
      <w:bookmarkEnd w:id="10"/>
      <w:r w:rsidRPr="00275B0F">
        <w:rPr>
          <w:rFonts w:ascii="Verdana" w:eastAsia="Times New Roman" w:hAnsi="Verdana" w:cs="Arial"/>
          <w:lang w:val="es-ES" w:eastAsia="es-MX"/>
        </w:rPr>
        <w:t>”</w:t>
      </w:r>
      <w:r w:rsidRPr="00275B0F">
        <w:rPr>
          <w:rFonts w:ascii="Verdana" w:eastAsia="Times New Roman" w:hAnsi="Verdana" w:cs="Arial"/>
          <w:vertAlign w:val="superscript"/>
          <w:lang w:val="es-ES" w:eastAsia="es-MX"/>
        </w:rPr>
        <w:footnoteReference w:id="2"/>
      </w:r>
      <w:r w:rsidRPr="00275B0F">
        <w:rPr>
          <w:rFonts w:ascii="Verdana" w:eastAsia="Calibri" w:hAnsi="Verdana" w:cs="Arial"/>
          <w:lang w:val="es-ES" w:eastAsia="es-MX"/>
        </w:rPr>
        <w:t>,</w:t>
      </w:r>
      <w:r w:rsidRPr="00275B0F">
        <w:rPr>
          <w:rFonts w:ascii="Verdana" w:eastAsia="Times New Roman" w:hAnsi="Verdana" w:cs="Arial"/>
          <w:lang w:val="es-ES" w:eastAsia="es-MX"/>
        </w:rPr>
        <w:t xml:space="preserve"> expedido por la </w:t>
      </w:r>
      <w:r w:rsidRPr="00275B0F">
        <w:rPr>
          <w:rFonts w:ascii="Verdana" w:eastAsia="Calibri" w:hAnsi="Verdana" w:cs="Arial"/>
          <w:lang w:val="es-ES" w:eastAsia="es-MX"/>
        </w:rPr>
        <w:t>Agencia Nacional de Contratación Pública – Colombia Compra Eficiente,</w:t>
      </w:r>
      <w:r w:rsidRPr="00275B0F">
        <w:rPr>
          <w:rFonts w:ascii="Verdana" w:eastAsia="Times New Roman" w:hAnsi="Verdana" w:cs="Arial"/>
          <w:lang w:val="es-ES" w:eastAsia="es-MX"/>
        </w:rPr>
        <w:t xml:space="preserve"> determinó los parámetros para establecer, acreditar y subsanar los requisitos habilitantes. Al respecto, precisa que estos tienen como fin primordial medir “</w:t>
      </w:r>
      <w:bookmarkStart w:id="11" w:name="_Hlk191627260"/>
      <w:r w:rsidRPr="00275B0F">
        <w:rPr>
          <w:rFonts w:ascii="Verdana" w:eastAsia="Times New Roman" w:hAnsi="Verdana" w:cs="Arial"/>
          <w:lang w:val="es-ES" w:eastAsia="es-MX"/>
        </w:rPr>
        <w:t xml:space="preserve">la aptitud del proponente para participar en un Proceso de Contratación como oferente y eventualmente asumir la ejecución del contrato, por lo que están referidos a su capacidad jurídica, financiera, organizacional y experiencia”. </w:t>
      </w:r>
      <w:bookmarkEnd w:id="11"/>
      <w:r w:rsidRPr="00275B0F">
        <w:rPr>
          <w:rFonts w:ascii="Verdana" w:eastAsia="Times New Roman" w:hAnsi="Verdana" w:cs="Arial"/>
          <w:lang w:val="es-ES" w:eastAsia="es-MX"/>
        </w:rPr>
        <w:t xml:space="preserve">De acuerdo con el Manual, su propósito consiste en “establecer unas condiciones mínimas </w:t>
      </w:r>
      <w:r w:rsidRPr="00275B0F">
        <w:rPr>
          <w:rFonts w:ascii="Verdana" w:eastAsia="Times New Roman" w:hAnsi="Verdana" w:cs="Arial"/>
          <w:lang w:eastAsia="es-MX"/>
        </w:rPr>
        <w:t>para la participación en los procedimientos de selección, establecidas en disposiciones normativas</w:t>
      </w:r>
      <w:r w:rsidRPr="00275B0F">
        <w:rPr>
          <w:rFonts w:ascii="Verdana" w:eastAsia="Times New Roman" w:hAnsi="Verdana" w:cs="Arial"/>
          <w:lang w:val="es-ES" w:eastAsia="es-MX"/>
        </w:rPr>
        <w:t xml:space="preserve">”. </w:t>
      </w:r>
    </w:p>
    <w:p w14:paraId="403E0FBE" w14:textId="77777777" w:rsidR="00652F21" w:rsidRPr="00275B0F" w:rsidRDefault="00652F21" w:rsidP="00652F21">
      <w:pPr>
        <w:spacing w:after="120" w:line="276" w:lineRule="auto"/>
        <w:ind w:firstLine="709"/>
        <w:jc w:val="both"/>
        <w:rPr>
          <w:rFonts w:ascii="Verdana" w:eastAsia="Times New Roman" w:hAnsi="Verdana" w:cs="Arial"/>
          <w:lang w:val="es-ES" w:eastAsia="es-MX"/>
        </w:rPr>
      </w:pPr>
      <w:r w:rsidRPr="00275B0F">
        <w:rPr>
          <w:rFonts w:ascii="Verdana" w:eastAsia="Times New Roman" w:hAnsi="Verdana" w:cs="Arial"/>
          <w:lang w:val="es-ES" w:eastAsia="es-MX"/>
        </w:rPr>
        <w:t xml:space="preserve">Así las cosas, al tratarse de condiciones mínimas, significa que </w:t>
      </w:r>
      <w:bookmarkStart w:id="12" w:name="_Hlk191627287"/>
      <w:r w:rsidRPr="00275B0F">
        <w:rPr>
          <w:rFonts w:ascii="Verdana" w:eastAsia="Times New Roman" w:hAnsi="Verdana" w:cs="Arial"/>
          <w:lang w:val="es-ES" w:eastAsia="es-MX"/>
        </w:rPr>
        <w:t xml:space="preserve">las Entidades podrían establecer otras, según su autonomía de la voluntad, y teniendo en cuenta el objeto del contrato, los riesgos detectados en los estudios previos, el presupuesto oficial, entre otros factores. Sin embargo, esto no implica que las Entidades puedan establecer cualquier tipo de requisitos, pues su exigencia debe en todo caso ser </w:t>
      </w:r>
      <w:r w:rsidRPr="00275B0F">
        <w:rPr>
          <w:rFonts w:ascii="Verdana" w:eastAsia="Times New Roman" w:hAnsi="Verdana" w:cs="Arial"/>
          <w:i/>
          <w:lang w:val="es-ES" w:eastAsia="es-MX"/>
        </w:rPr>
        <w:t>proporcional y adecuada</w:t>
      </w:r>
      <w:r w:rsidRPr="00275B0F">
        <w:rPr>
          <w:rFonts w:ascii="Verdana" w:eastAsia="Times New Roman" w:hAnsi="Verdana" w:cs="Arial"/>
          <w:lang w:val="es-ES" w:eastAsia="es-MX"/>
        </w:rPr>
        <w:t xml:space="preserve"> frente a la naturaleza y el valor del contrato.</w:t>
      </w:r>
    </w:p>
    <w:p w14:paraId="27EEC3FE" w14:textId="77777777" w:rsidR="00652F21" w:rsidRPr="00275B0F" w:rsidRDefault="00652F21" w:rsidP="00652F21">
      <w:pPr>
        <w:tabs>
          <w:tab w:val="left" w:pos="426"/>
        </w:tabs>
        <w:spacing w:after="120" w:line="276" w:lineRule="auto"/>
        <w:ind w:firstLine="709"/>
        <w:jc w:val="both"/>
        <w:rPr>
          <w:rFonts w:ascii="Verdana" w:eastAsia="Times New Roman" w:hAnsi="Verdana" w:cs="Arial"/>
          <w:lang w:val="es-ES_tradnl" w:eastAsia="es-MX"/>
        </w:rPr>
      </w:pPr>
      <w:bookmarkStart w:id="13" w:name="_Hlk99548027"/>
      <w:bookmarkEnd w:id="12"/>
      <w:r w:rsidRPr="00275B0F">
        <w:rPr>
          <w:rFonts w:ascii="Verdana" w:eastAsia="Times New Roman" w:hAnsi="Verdana" w:cs="Arial"/>
          <w:lang w:val="es-ES_tradnl" w:eastAsia="es-MX"/>
        </w:rPr>
        <w:t xml:space="preserve">En ese sentido, </w:t>
      </w:r>
      <w:bookmarkStart w:id="14" w:name="_Hlk191627322"/>
      <w:r w:rsidRPr="00275B0F">
        <w:rPr>
          <w:rFonts w:ascii="Verdana" w:eastAsia="Times New Roman" w:hAnsi="Verdana" w:cs="Arial"/>
          <w:lang w:val="es-ES_tradnl" w:eastAsia="es-MX"/>
        </w:rPr>
        <w:t xml:space="preserve">si bien </w:t>
      </w:r>
      <w:r w:rsidRPr="00275B0F">
        <w:rPr>
          <w:rFonts w:ascii="Verdana" w:eastAsia="Calibri" w:hAnsi="Verdana" w:cs="Arial"/>
          <w:lang w:val="es-ES_tradnl" w:eastAsia="es-MX"/>
        </w:rPr>
        <w:t xml:space="preserve">la Ley 1150 de 2007 estableció unos requisitos habilitantes para los proponentes –la capacidad jurídica, las condiciones de experiencia, la capacidad financiera y la capacidad de organización–, estos no </w:t>
      </w:r>
      <w:r w:rsidRPr="00275B0F">
        <w:rPr>
          <w:rFonts w:ascii="Verdana" w:eastAsia="Calibri" w:hAnsi="Verdana" w:cs="Arial"/>
          <w:lang w:val="es-ES_tradnl" w:eastAsia="es-MX"/>
        </w:rPr>
        <w:lastRenderedPageBreak/>
        <w:t xml:space="preserve">son taxativos. </w:t>
      </w:r>
      <w:r w:rsidRPr="00275B0F">
        <w:rPr>
          <w:rFonts w:ascii="Verdana" w:eastAsia="Times New Roman" w:hAnsi="Verdana" w:cs="Arial"/>
          <w:lang w:val="es-ES_tradnl" w:eastAsia="es-MX"/>
        </w:rPr>
        <w:t xml:space="preserve">En consecuencia, corresponde a las Entidades Estatales, durante la etapa de planeación del contrato estatal, estudiar y </w:t>
      </w:r>
      <w:r w:rsidRPr="00275B0F">
        <w:rPr>
          <w:rFonts w:ascii="Verdana" w:eastAsia="Times New Roman" w:hAnsi="Verdana" w:cs="Arial"/>
          <w:bCs/>
          <w:iCs/>
          <w:lang w:val="es-ES_tradnl" w:eastAsia="es-MX"/>
        </w:rPr>
        <w:t>determinar</w:t>
      </w:r>
      <w:r w:rsidRPr="00275B0F">
        <w:rPr>
          <w:rFonts w:ascii="Verdana" w:eastAsia="Times New Roman" w:hAnsi="Verdana" w:cs="Arial"/>
          <w:lang w:val="es-ES_tradnl" w:eastAsia="es-MX"/>
        </w:rPr>
        <w:t xml:space="preserve"> los requisitos habilitantes que establecerán en los pliegos de condiciones o documentos equivalentes, </w:t>
      </w:r>
      <w:r w:rsidRPr="00275B0F">
        <w:rPr>
          <w:rFonts w:ascii="Verdana" w:eastAsia="Times New Roman" w:hAnsi="Verdana" w:cs="Arial"/>
          <w:i/>
          <w:iCs/>
          <w:lang w:val="es-ES_tradnl" w:eastAsia="es-MX"/>
        </w:rPr>
        <w:t>los cuales deben fijarse de forma adecuada y proporcional</w:t>
      </w:r>
      <w:r w:rsidRPr="00275B0F">
        <w:rPr>
          <w:rFonts w:ascii="Verdana" w:eastAsia="Times New Roman" w:hAnsi="Verdana" w:cs="Arial"/>
          <w:lang w:val="es-ES_tradnl" w:eastAsia="es-MX"/>
        </w:rPr>
        <w:t xml:space="preserve">. </w:t>
      </w:r>
      <w:bookmarkEnd w:id="13"/>
      <w:bookmarkEnd w:id="14"/>
      <w:r w:rsidRPr="00275B0F">
        <w:rPr>
          <w:rFonts w:ascii="Verdana" w:eastAsia="Times New Roman" w:hAnsi="Verdana" w:cs="Arial"/>
          <w:lang w:val="es-ES_tradnl" w:eastAsia="es-MX"/>
        </w:rPr>
        <w:t>Al respecto, en la Sentencia C-004 de 2017, la Corte Constitucional señaló que:</w:t>
      </w:r>
    </w:p>
    <w:p w14:paraId="0DE1A432" w14:textId="77777777" w:rsidR="00652F21" w:rsidRPr="00275B0F" w:rsidRDefault="00652F21" w:rsidP="00652F21">
      <w:pPr>
        <w:tabs>
          <w:tab w:val="left" w:pos="426"/>
        </w:tabs>
        <w:spacing w:after="0" w:line="276" w:lineRule="auto"/>
        <w:ind w:firstLine="709"/>
        <w:jc w:val="both"/>
        <w:rPr>
          <w:rFonts w:ascii="Verdana" w:eastAsia="Times New Roman" w:hAnsi="Verdana" w:cs="Arial"/>
          <w:lang w:val="es-ES_tradnl" w:eastAsia="es-MX"/>
        </w:rPr>
      </w:pPr>
    </w:p>
    <w:p w14:paraId="2464B921" w14:textId="77777777" w:rsidR="00652F21" w:rsidRPr="00275B0F" w:rsidRDefault="00652F21" w:rsidP="00652F21">
      <w:pPr>
        <w:spacing w:after="0" w:line="240" w:lineRule="auto"/>
        <w:ind w:left="709" w:right="709"/>
        <w:jc w:val="both"/>
        <w:rPr>
          <w:rFonts w:ascii="Verdana" w:hAnsi="Verdana" w:cs="Arial"/>
          <w:sz w:val="20"/>
          <w:szCs w:val="20"/>
          <w:lang w:val="es-ES_tradnl" w:eastAsia="es-ES" w:bidi="es-ES"/>
        </w:rPr>
      </w:pPr>
      <w:r w:rsidRPr="00275B0F">
        <w:rPr>
          <w:rFonts w:ascii="Verdana" w:hAnsi="Verdana" w:cs="Arial"/>
          <w:sz w:val="20"/>
          <w:szCs w:val="20"/>
          <w:lang w:val="es-ES_tradnl" w:eastAsia="es-ES" w:bidi="es-ES"/>
        </w:rPr>
        <w:t>“[l]a determinación de dichas condiciones habilitantes para participar, es competencia de la entidad que planee la celebración del contrato, a través de la valoración en concreto de las características mínimas de idoneidad, experiencia, capacidad jurídica y financiera para que la realización del objeto contractual resulte eficiente y eficaz frente a la necesidad identificada”.</w:t>
      </w:r>
    </w:p>
    <w:p w14:paraId="471EEBD9" w14:textId="77777777" w:rsidR="00652F21" w:rsidRPr="00275B0F" w:rsidRDefault="00652F21" w:rsidP="00652F21">
      <w:pPr>
        <w:spacing w:after="0" w:line="276" w:lineRule="auto"/>
        <w:ind w:left="709" w:right="709"/>
        <w:jc w:val="both"/>
        <w:rPr>
          <w:rFonts w:ascii="Verdana" w:hAnsi="Verdana" w:cs="Arial"/>
          <w:bCs/>
          <w:lang w:val="es-ES_tradnl" w:eastAsia="es-ES" w:bidi="es-ES"/>
        </w:rPr>
      </w:pPr>
    </w:p>
    <w:p w14:paraId="084ABAE7" w14:textId="77777777" w:rsidR="00652F21" w:rsidRPr="00275B0F" w:rsidRDefault="00652F21" w:rsidP="00652F21">
      <w:pPr>
        <w:tabs>
          <w:tab w:val="left" w:pos="426"/>
        </w:tabs>
        <w:spacing w:after="120" w:line="276" w:lineRule="auto"/>
        <w:ind w:firstLine="709"/>
        <w:jc w:val="both"/>
        <w:rPr>
          <w:rFonts w:ascii="Verdana" w:eastAsia="Times New Roman" w:hAnsi="Verdana" w:cs="Arial"/>
          <w:lang w:val="es-ES_tradnl" w:eastAsia="es-MX"/>
        </w:rPr>
      </w:pPr>
      <w:r w:rsidRPr="00275B0F">
        <w:rPr>
          <w:rFonts w:ascii="Verdana" w:eastAsia="Times New Roman" w:hAnsi="Verdana" w:cs="Arial"/>
          <w:lang w:val="es-ES_tradnl" w:eastAsia="es-MX"/>
        </w:rPr>
        <w:t xml:space="preserve">El </w:t>
      </w:r>
      <w:bookmarkStart w:id="15" w:name="_Hlk191627359"/>
      <w:r w:rsidRPr="00275B0F">
        <w:rPr>
          <w:rFonts w:ascii="Verdana" w:eastAsia="Times New Roman" w:hAnsi="Verdana" w:cs="Arial"/>
          <w:lang w:val="es-ES_tradnl" w:eastAsia="es-MX"/>
        </w:rPr>
        <w:t xml:space="preserve">Decreto 1082 de 2015 en su artículo 2.2.1.1.1.6.2. </w:t>
      </w:r>
      <w:bookmarkEnd w:id="15"/>
      <w:r w:rsidRPr="00275B0F">
        <w:rPr>
          <w:rFonts w:ascii="Verdana" w:eastAsia="Times New Roman" w:hAnsi="Verdana" w:cs="Arial"/>
          <w:lang w:val="es-ES_tradnl" w:eastAsia="es-MX"/>
        </w:rPr>
        <w:t>reglamenta los requisitos habilitantes, estableciendo que estos deben ser señalados en los pliegos de condiciones o en la invitación</w:t>
      </w:r>
      <w:r w:rsidRPr="00275B0F">
        <w:rPr>
          <w:rFonts w:ascii="Verdana" w:eastAsia="Times New Roman" w:hAnsi="Verdana" w:cs="Arial"/>
          <w:vertAlign w:val="superscript"/>
          <w:lang w:val="es-ES_tradnl" w:eastAsia="es-MX"/>
        </w:rPr>
        <w:footnoteReference w:id="3"/>
      </w:r>
      <w:r w:rsidRPr="00275B0F">
        <w:rPr>
          <w:rFonts w:ascii="Verdana" w:eastAsia="Times New Roman" w:hAnsi="Verdana" w:cs="Arial"/>
          <w:lang w:val="es-ES_tradnl" w:eastAsia="es-MX"/>
        </w:rPr>
        <w:t xml:space="preserve">, lo cual es concordante con el </w:t>
      </w:r>
      <w:bookmarkStart w:id="16" w:name="_Hlk191627380"/>
      <w:r w:rsidRPr="00275B0F">
        <w:rPr>
          <w:rFonts w:ascii="Verdana" w:eastAsia="Times New Roman" w:hAnsi="Verdana" w:cs="Arial"/>
          <w:lang w:val="es-ES_tradnl" w:eastAsia="es-MX"/>
        </w:rPr>
        <w:t>numeral 5 del artículo 2.2.1.1.2.1.3</w:t>
      </w:r>
      <w:bookmarkEnd w:id="16"/>
      <w:r w:rsidRPr="00275B0F">
        <w:rPr>
          <w:rFonts w:ascii="Verdana" w:eastAsia="Times New Roman" w:hAnsi="Verdana" w:cs="Arial"/>
          <w:lang w:val="es-ES_tradnl" w:eastAsia="es-MX"/>
        </w:rPr>
        <w:t>, en el que se establece como uno de los componentes mínimos de los pliegos de condiciones</w:t>
      </w:r>
      <w:r w:rsidRPr="00275B0F">
        <w:rPr>
          <w:rFonts w:ascii="Verdana" w:hAnsi="Verdana" w:cs="Arial"/>
          <w:color w:val="000000"/>
        </w:rPr>
        <w:t xml:space="preserve"> a las reglas aplicables a la presentación y evaluación de las ofertas, entre las que se inscriben las relativas a la acreditación de las condiciones habilitantes. </w:t>
      </w:r>
      <w:r w:rsidRPr="00275B0F">
        <w:rPr>
          <w:rFonts w:ascii="Verdana" w:eastAsia="Times New Roman" w:hAnsi="Verdana" w:cs="Arial"/>
          <w:lang w:val="es-ES_tradnl" w:eastAsia="es-MX"/>
        </w:rPr>
        <w:t xml:space="preserve">Además, el artículo 2.2.1.1.1.6.2 establece que la determinación de los requisitos habilitantes debe ser realizada en función de criterios </w:t>
      </w:r>
      <w:r w:rsidRPr="00275B0F">
        <w:rPr>
          <w:rFonts w:ascii="Verdana" w:eastAsia="Times New Roman" w:hAnsi="Verdana" w:cs="Arial"/>
          <w:i/>
          <w:iCs/>
          <w:lang w:val="es-ES_tradnl" w:eastAsia="es-MX"/>
        </w:rPr>
        <w:t>como el riesgo del proceso de contratación, el valor del contrato, el análisis del sector económico respectivo y el conocimiento de fondo de los posibles oferentes desde la perspectiva comercial</w:t>
      </w:r>
      <w:r w:rsidRPr="00275B0F">
        <w:rPr>
          <w:rFonts w:ascii="Verdana" w:eastAsia="Times New Roman" w:hAnsi="Verdana" w:cs="Arial"/>
          <w:lang w:val="es-ES_tradnl" w:eastAsia="es-MX"/>
        </w:rPr>
        <w:t xml:space="preserve">. </w:t>
      </w:r>
    </w:p>
    <w:p w14:paraId="35F0E5F1" w14:textId="77777777" w:rsidR="00652F21" w:rsidRPr="00275B0F" w:rsidRDefault="00652F21" w:rsidP="00652F21">
      <w:pPr>
        <w:tabs>
          <w:tab w:val="left" w:pos="426"/>
        </w:tabs>
        <w:spacing w:after="120" w:line="276" w:lineRule="auto"/>
        <w:ind w:firstLine="709"/>
        <w:jc w:val="both"/>
        <w:rPr>
          <w:rFonts w:ascii="Verdana" w:eastAsia="Times New Roman" w:hAnsi="Verdana" w:cs="Arial"/>
          <w:lang w:val="es-ES" w:eastAsia="es-MX"/>
        </w:rPr>
      </w:pPr>
      <w:r w:rsidRPr="00275B0F">
        <w:rPr>
          <w:rFonts w:ascii="Verdana" w:eastAsia="Times New Roman" w:hAnsi="Verdana" w:cs="Arial"/>
          <w:lang w:val="es-ES" w:eastAsia="es-MX"/>
        </w:rPr>
        <w:lastRenderedPageBreak/>
        <w:t xml:space="preserve">En este punto, debe señalarse que, si bien la determinación de los requisitos habilitantes exigidos para participar en un proceso de contratación es una facultad discrecional de la Entidad Estatal, que obedece a la autonomía que le asiste para estructurar sus procesos de contratación, esta debe ejercerse respetando los principios que rigen en materia de contratación pública, como el selección objetiva e igualdad, y las normas de orden legal. Así, los mencionados criterios deben ser establecidos por parte de la Entidad que adelanta el proceso de contratación de manera tal que, de la ponderación de </w:t>
      </w:r>
      <w:proofErr w:type="gramStart"/>
      <w:r w:rsidRPr="00275B0F">
        <w:rPr>
          <w:rFonts w:ascii="Verdana" w:eastAsia="Times New Roman" w:hAnsi="Verdana" w:cs="Arial"/>
          <w:lang w:val="es-ES" w:eastAsia="es-MX"/>
        </w:rPr>
        <w:t>los mismos</w:t>
      </w:r>
      <w:proofErr w:type="gramEnd"/>
      <w:r w:rsidRPr="00275B0F">
        <w:rPr>
          <w:rFonts w:ascii="Verdana" w:eastAsia="Times New Roman" w:hAnsi="Verdana" w:cs="Arial"/>
          <w:lang w:val="es-ES" w:eastAsia="es-MX"/>
        </w:rPr>
        <w:t xml:space="preserve"> resulten requisitos que permitan medir la aptitud de los oferentes para cumplir con el contrato, y que, además de ser proporcionales y adecuados a su objeto, no limiten la participación en el proceso de selección</w:t>
      </w:r>
      <w:r w:rsidRPr="00275B0F">
        <w:rPr>
          <w:rFonts w:ascii="Verdana" w:eastAsia="Times New Roman" w:hAnsi="Verdana" w:cs="Arial"/>
          <w:vertAlign w:val="superscript"/>
          <w:lang w:val="es-ES" w:eastAsia="es-MX"/>
        </w:rPr>
        <w:footnoteReference w:id="4"/>
      </w:r>
      <w:r w:rsidRPr="00275B0F">
        <w:rPr>
          <w:rFonts w:ascii="Verdana" w:eastAsia="Times New Roman" w:hAnsi="Verdana" w:cs="Arial"/>
          <w:lang w:val="es-ES" w:eastAsia="es-MX"/>
        </w:rPr>
        <w:t xml:space="preserve">. </w:t>
      </w:r>
    </w:p>
    <w:p w14:paraId="75B226F7" w14:textId="77777777" w:rsidR="00652F21" w:rsidRPr="00275B0F" w:rsidRDefault="00652F21" w:rsidP="00652F21">
      <w:pPr>
        <w:tabs>
          <w:tab w:val="left" w:pos="426"/>
        </w:tabs>
        <w:spacing w:after="120" w:line="276" w:lineRule="auto"/>
        <w:ind w:firstLine="709"/>
        <w:jc w:val="both"/>
        <w:rPr>
          <w:rFonts w:ascii="Verdana" w:eastAsia="Times New Roman" w:hAnsi="Verdana" w:cs="Arial"/>
          <w:lang w:val="es-ES" w:eastAsia="es-MX"/>
        </w:rPr>
      </w:pPr>
      <w:r w:rsidRPr="00275B0F">
        <w:rPr>
          <w:rFonts w:ascii="Verdana" w:eastAsia="Times New Roman" w:hAnsi="Verdana" w:cs="Arial"/>
          <w:lang w:eastAsia="es-MX"/>
        </w:rPr>
        <w:t xml:space="preserve">Que deban ser </w:t>
      </w:r>
      <w:r w:rsidRPr="00275B0F">
        <w:rPr>
          <w:rFonts w:ascii="Verdana" w:eastAsia="Times New Roman" w:hAnsi="Verdana" w:cs="Arial"/>
          <w:i/>
          <w:iCs/>
          <w:lang w:eastAsia="es-MX"/>
        </w:rPr>
        <w:t>adecuados</w:t>
      </w:r>
      <w:r w:rsidRPr="00275B0F">
        <w:rPr>
          <w:rFonts w:ascii="Verdana" w:eastAsia="Times New Roman" w:hAnsi="Verdana" w:cs="Arial"/>
          <w:lang w:eastAsia="es-MX"/>
        </w:rPr>
        <w:t xml:space="preserve">, significa que los requisitos habilitantes que se contemplen deben tener una relación directa con el objeto del contrato, de suerte que su acreditación sea efectiva para demostrar que el proponente es idóneo para ejecutar el contrato. A su vez, los requisitos que se establezcan deben ser </w:t>
      </w:r>
      <w:r w:rsidRPr="00275B0F">
        <w:rPr>
          <w:rFonts w:ascii="Verdana" w:eastAsia="Times New Roman" w:hAnsi="Verdana" w:cs="Arial"/>
          <w:i/>
          <w:iCs/>
          <w:lang w:eastAsia="es-MX"/>
        </w:rPr>
        <w:t>proporcionales</w:t>
      </w:r>
      <w:r w:rsidRPr="00275B0F">
        <w:rPr>
          <w:rFonts w:ascii="Verdana" w:eastAsia="Times New Roman" w:hAnsi="Verdana" w:cs="Arial"/>
          <w:lang w:eastAsia="es-MX"/>
        </w:rPr>
        <w:t xml:space="preserve"> a las condiciones del contrato, de tal manera que los mismos no establezcan condiciones más allá de las necesarias para verificar la idoneidad requerida de los proponentes respecto del objeto ofertado, ya que lo contrario limita la libre concurrencia. Que </w:t>
      </w:r>
      <w:r w:rsidRPr="00275B0F">
        <w:rPr>
          <w:rFonts w:ascii="Verdana" w:eastAsia="Times New Roman" w:hAnsi="Verdana" w:cs="Arial"/>
          <w:i/>
          <w:iCs/>
          <w:lang w:eastAsia="es-MX"/>
        </w:rPr>
        <w:t>no limiten la participación o la libre concurrencia</w:t>
      </w:r>
      <w:r w:rsidRPr="00275B0F">
        <w:rPr>
          <w:rFonts w:ascii="Verdana" w:eastAsia="Times New Roman" w:hAnsi="Verdana" w:cs="Arial"/>
          <w:lang w:eastAsia="es-MX"/>
        </w:rPr>
        <w:t xml:space="preserve"> en el proceso de selección significa que los requisitos establecidos no deben crear barreras injustificadas para el </w:t>
      </w:r>
      <w:r w:rsidRPr="00275B0F">
        <w:rPr>
          <w:rFonts w:ascii="Verdana" w:hAnsi="Verdana"/>
        </w:rPr>
        <w:t>acceso a la contratación pública de los oferentes</w:t>
      </w:r>
      <w:r w:rsidRPr="00275B0F">
        <w:rPr>
          <w:rFonts w:ascii="Verdana" w:eastAsia="Times New Roman" w:hAnsi="Verdana" w:cs="Arial"/>
          <w:lang w:val="es-ES" w:eastAsia="es-MX"/>
        </w:rPr>
        <w:t xml:space="preserve"> interesados, promoviendo una mayor competencia. </w:t>
      </w:r>
    </w:p>
    <w:p w14:paraId="4E8DB875" w14:textId="77777777" w:rsidR="00652F21" w:rsidRDefault="00652F21" w:rsidP="00652F21">
      <w:pPr>
        <w:tabs>
          <w:tab w:val="left" w:pos="426"/>
        </w:tabs>
        <w:spacing w:after="120" w:line="276" w:lineRule="auto"/>
        <w:ind w:firstLine="709"/>
        <w:jc w:val="both"/>
        <w:rPr>
          <w:rFonts w:ascii="Verdana" w:eastAsia="Times New Roman" w:hAnsi="Verdana" w:cs="Arial"/>
          <w:lang w:val="es-ES" w:eastAsia="es-MX"/>
        </w:rPr>
      </w:pPr>
      <w:r w:rsidRPr="00275B0F">
        <w:rPr>
          <w:rFonts w:ascii="Verdana" w:eastAsia="Times New Roman" w:hAnsi="Verdana" w:cs="Arial"/>
          <w:lang w:val="es-ES" w:eastAsia="es-MX"/>
        </w:rPr>
        <w:t xml:space="preserve">En ese sentido, las Entidades Estatales tienen autonomía para estructurar los requisitos habilitantes en los procesos que adelantan, </w:t>
      </w:r>
      <w:r w:rsidRPr="00275B0F">
        <w:rPr>
          <w:rFonts w:ascii="Verdana" w:eastAsia="Times New Roman" w:hAnsi="Verdana" w:cs="Arial"/>
          <w:i/>
          <w:iCs/>
          <w:lang w:val="es-ES" w:eastAsia="es-MX"/>
        </w:rPr>
        <w:t>pero tal facultad no puede ejercerse de forma arbitraria, caprichosa y, mucho menos, con el ánimo de direccionar el proceso de contratación</w:t>
      </w:r>
      <w:r w:rsidRPr="00275B0F">
        <w:rPr>
          <w:rFonts w:ascii="Verdana" w:eastAsia="Times New Roman" w:hAnsi="Verdana" w:cs="Arial"/>
          <w:lang w:val="es-ES" w:eastAsia="es-MX"/>
        </w:rPr>
        <w:t xml:space="preserve"> o favorecer a alguno de los proponentes. Tampoco puede suceder que el ejercicio de dicha atribución se realice con desconocimiento de los límites impuestos por la normativa vigente, como, por ejemplo, el parágrafo 2 del artículo 5 de la Ley 1150 de 2007, que prohíbe exigir certificaciones de sistemas de gestión de calidad como requisito habilitante. </w:t>
      </w:r>
    </w:p>
    <w:p w14:paraId="2DEA3B8B" w14:textId="77777777" w:rsidR="00652F21" w:rsidRPr="00530CC2" w:rsidRDefault="00652F21" w:rsidP="00652F21">
      <w:pPr>
        <w:tabs>
          <w:tab w:val="left" w:pos="426"/>
        </w:tabs>
        <w:spacing w:after="120" w:line="276" w:lineRule="auto"/>
        <w:jc w:val="both"/>
        <w:rPr>
          <w:rFonts w:ascii="Verdana" w:eastAsia="Times New Roman" w:hAnsi="Verdana" w:cs="Arial"/>
          <w:lang w:val="es-ES" w:eastAsia="es-MX"/>
        </w:rPr>
      </w:pPr>
      <w:proofErr w:type="spellStart"/>
      <w:r w:rsidRPr="21C8F415">
        <w:rPr>
          <w:rFonts w:ascii="Verdana" w:eastAsia="Times New Roman" w:hAnsi="Verdana" w:cs="Arial"/>
          <w:lang w:val="es-ES" w:eastAsia="es-MX"/>
        </w:rPr>
        <w:lastRenderedPageBreak/>
        <w:t>iii.Ahora</w:t>
      </w:r>
      <w:proofErr w:type="spellEnd"/>
      <w:r w:rsidRPr="21C8F415">
        <w:rPr>
          <w:rFonts w:ascii="Verdana" w:eastAsia="Times New Roman" w:hAnsi="Verdana" w:cs="Arial"/>
          <w:lang w:val="es-ES" w:eastAsia="es-MX"/>
        </w:rPr>
        <w:t xml:space="preserve"> bien, Frente a los interrogantes planteados, es necesario partir de que, conforme al artículo 5 de la Ley 1150 de 2007, los requisitos habilitantes deben ser adecuados y proporcionales a la naturaleza y valor del contrato, en desarrollo del principio de selección objetiva, y que, si bien las entidades cuentan con autonomía para definirlos, esta se encuentra limitada por los principios de igualdad y libre concurrencia.</w:t>
      </w:r>
    </w:p>
    <w:p w14:paraId="0DFB1193" w14:textId="77777777" w:rsidR="00652F21" w:rsidRPr="00530CC2" w:rsidRDefault="00652F21" w:rsidP="00652F21">
      <w:pPr>
        <w:tabs>
          <w:tab w:val="left" w:pos="426"/>
        </w:tabs>
        <w:spacing w:after="120" w:line="276" w:lineRule="auto"/>
        <w:ind w:firstLine="709"/>
        <w:jc w:val="both"/>
        <w:rPr>
          <w:rFonts w:ascii="Verdana" w:eastAsia="Times New Roman" w:hAnsi="Verdana" w:cs="Arial"/>
          <w:lang w:val="es-ES_tradnl" w:eastAsia="es-MX"/>
        </w:rPr>
      </w:pPr>
      <w:r w:rsidRPr="00530CC2">
        <w:rPr>
          <w:rFonts w:ascii="Verdana" w:eastAsia="Times New Roman" w:hAnsi="Verdana" w:cs="Arial"/>
          <w:lang w:val="es-ES_tradnl" w:eastAsia="es-MX"/>
        </w:rPr>
        <w:t>En ese contexto, frente a la posibilidad de exigir que los proponentes cuenten con un establecimiento de comercio en un lugar específico, debe tenerse en cuenta que dicha exigencia no se encuentra prevista expresamente en la Ley 80 de 1993 ni en la Ley 1150 de 2007 como requisito habilitante. Además, el establecimiento de comercio, de acuerdo con el artículo 25 del Código de Comercio, constituye un medio para el desarrollo de la actividad empresarial, mas no un atributo de la capacidad jurídica del proponente. Por tanto, en principio, no resulta procedente exigirlo como requisito habilitante, en la medida en que no está directamente relacionado con la verificación de la capacidad jurídica, financiera, organizacional o de experiencia.</w:t>
      </w:r>
    </w:p>
    <w:p w14:paraId="73DDF237" w14:textId="77777777" w:rsidR="00652F21" w:rsidRPr="00530CC2" w:rsidRDefault="00652F21" w:rsidP="00652F21">
      <w:pPr>
        <w:tabs>
          <w:tab w:val="left" w:pos="426"/>
        </w:tabs>
        <w:spacing w:after="120" w:line="276" w:lineRule="auto"/>
        <w:ind w:firstLine="709"/>
        <w:jc w:val="both"/>
        <w:rPr>
          <w:rFonts w:ascii="Verdana" w:eastAsia="Times New Roman" w:hAnsi="Verdana" w:cs="Arial"/>
          <w:lang w:val="es-ES_tradnl" w:eastAsia="es-MX"/>
        </w:rPr>
      </w:pPr>
      <w:r w:rsidRPr="00530CC2">
        <w:rPr>
          <w:rFonts w:ascii="Verdana" w:eastAsia="Times New Roman" w:hAnsi="Verdana" w:cs="Arial"/>
          <w:lang w:val="es-ES_tradnl" w:eastAsia="es-MX"/>
        </w:rPr>
        <w:t>No obstante, en virtud de la facultad de estructuración de los procesos contractuales, la entidad podría, de manera excepcional, exigir condiciones relacionadas con infraestructura o localización como requisitos de carácter técnico, siempre que estas estén debidamente justificadas en los estudios previos y se demuestre que son necesarias, adecuadas y proporcionales para garantizar la correcta ejecución del contrato. En caso contrario, dicha exigencia correspondería más propiamente a una condición de ejecución contractual, esto es, una obligación que debe cumplirse durante el desarrollo del contrato y no como requisito previo de habilitación.</w:t>
      </w:r>
    </w:p>
    <w:p w14:paraId="24A22291" w14:textId="77777777" w:rsidR="00652F21" w:rsidRPr="00530CC2" w:rsidRDefault="00652F21" w:rsidP="00652F21">
      <w:pPr>
        <w:tabs>
          <w:tab w:val="left" w:pos="426"/>
        </w:tabs>
        <w:spacing w:after="120" w:line="276" w:lineRule="auto"/>
        <w:ind w:firstLine="709"/>
        <w:jc w:val="both"/>
        <w:rPr>
          <w:rFonts w:ascii="Verdana" w:eastAsia="Times New Roman" w:hAnsi="Verdana" w:cs="Arial"/>
          <w:lang w:val="es-ES_tradnl" w:eastAsia="es-MX"/>
        </w:rPr>
      </w:pPr>
      <w:r w:rsidRPr="00530CC2">
        <w:rPr>
          <w:rFonts w:ascii="Verdana" w:eastAsia="Times New Roman" w:hAnsi="Verdana" w:cs="Arial"/>
          <w:lang w:val="es-ES_tradnl" w:eastAsia="es-MX"/>
        </w:rPr>
        <w:t>Ahora bien, en relación con la exigencia de ubicar el establecimiento exclusivamente en la cabecera municipal, debe señalarse que, por regla general, esta constituye una restricción injustificada a la libre concurrencia, en la medida en que introduce una limitación geográfica que no necesariamente guarda relación directa con la idoneidad del proponente para ejecutar el contrato. En efecto, dicha exigencia puede excluir oferentes ubicados en otras zonas del mismo municipio —como corregimientos— que cuentan con las capacidades necesarias, vulnerando así los principios de igualdad y selección objetiva.</w:t>
      </w:r>
    </w:p>
    <w:p w14:paraId="7B14CE71" w14:textId="77777777" w:rsidR="00652F21" w:rsidRPr="00530CC2" w:rsidRDefault="00652F21" w:rsidP="00652F21">
      <w:pPr>
        <w:tabs>
          <w:tab w:val="left" w:pos="426"/>
        </w:tabs>
        <w:spacing w:after="120" w:line="276" w:lineRule="auto"/>
        <w:ind w:firstLine="709"/>
        <w:jc w:val="both"/>
        <w:rPr>
          <w:rFonts w:ascii="Verdana" w:eastAsia="Times New Roman" w:hAnsi="Verdana" w:cs="Arial"/>
          <w:lang w:val="es-ES_tradnl" w:eastAsia="es-MX"/>
        </w:rPr>
      </w:pPr>
      <w:r w:rsidRPr="00530CC2">
        <w:rPr>
          <w:rFonts w:ascii="Verdana" w:eastAsia="Times New Roman" w:hAnsi="Verdana" w:cs="Arial"/>
          <w:lang w:val="es-ES_tradnl" w:eastAsia="es-MX"/>
        </w:rPr>
        <w:lastRenderedPageBreak/>
        <w:t>En este sentido, la jurisprudencia del Consejo de Estado ha sido clara en advertir que la Administración no puede imponer requisitos que carezcan de justificación objetiva o que no sean indispensables para la ejecución del contrato, pues ello configura barreras de acceso injustificadas y puede evidenciar un ejercicio arbitrario de la facultad de configuración de los pliegos.</w:t>
      </w:r>
    </w:p>
    <w:p w14:paraId="6840C6F9" w14:textId="77777777" w:rsidR="00652F21" w:rsidRPr="00530CC2" w:rsidRDefault="00652F21" w:rsidP="00652F21">
      <w:pPr>
        <w:tabs>
          <w:tab w:val="left" w:pos="426"/>
        </w:tabs>
        <w:spacing w:after="120" w:line="276" w:lineRule="auto"/>
        <w:ind w:firstLine="709"/>
        <w:jc w:val="both"/>
        <w:rPr>
          <w:rFonts w:ascii="Verdana" w:eastAsia="Times New Roman" w:hAnsi="Verdana" w:cs="Arial"/>
          <w:lang w:val="es-ES_tradnl" w:eastAsia="es-MX"/>
        </w:rPr>
      </w:pPr>
      <w:r w:rsidRPr="00530CC2">
        <w:rPr>
          <w:rFonts w:ascii="Verdana" w:eastAsia="Times New Roman" w:hAnsi="Verdana" w:cs="Arial"/>
          <w:lang w:val="es-ES_tradnl" w:eastAsia="es-MX"/>
        </w:rPr>
        <w:t>En consecuencia, la exigencia de localización específica en la cabecera municipal solo podría considerarse válida de manera excepcional, cuando la entidad acredite, con fundamento técnico, que dicha condición es indispensable para la prestación del servicio y que no existen medidas menos restrictivas para lograr el mismo fin. De lo contrario, la exigencia deviene desproporcionada y contraria al principio de selección objetiva.</w:t>
      </w:r>
    </w:p>
    <w:p w14:paraId="181E3D77" w14:textId="77777777" w:rsidR="00652F21" w:rsidRDefault="00652F21" w:rsidP="00652F21">
      <w:pPr>
        <w:tabs>
          <w:tab w:val="left" w:pos="426"/>
        </w:tabs>
        <w:spacing w:after="120" w:line="276" w:lineRule="auto"/>
        <w:ind w:firstLine="709"/>
        <w:jc w:val="both"/>
        <w:rPr>
          <w:rFonts w:ascii="Verdana" w:eastAsia="Times New Roman" w:hAnsi="Verdana" w:cs="Arial"/>
          <w:lang w:val="es-ES_tradnl" w:eastAsia="es-MX"/>
        </w:rPr>
      </w:pPr>
      <w:r w:rsidRPr="00530CC2">
        <w:rPr>
          <w:rFonts w:ascii="Verdana" w:eastAsia="Times New Roman" w:hAnsi="Verdana" w:cs="Arial"/>
          <w:lang w:val="es-ES_tradnl" w:eastAsia="es-MX"/>
        </w:rPr>
        <w:t>Finalmente, debe precisarse que la determinación de este tipo de requisitos corresponde a cada entidad estatal en el caso concreto, con fundamento en los estudios previos y en las particularidades del objeto contractual, de conformidad con el Decreto 1082 de 2015. En ese sentido, no es posible establecer reglas absolutas en abstracto, sino criterios generales de análisis, quedando la definición y eventual control de legalidad de tales exigencias en cabeza de las autoridades competentes.</w:t>
      </w:r>
    </w:p>
    <w:p w14:paraId="5B28AD22" w14:textId="77777777" w:rsidR="00652F21" w:rsidRPr="00275B0F" w:rsidRDefault="00652F21" w:rsidP="00652F21">
      <w:pPr>
        <w:pBdr>
          <w:top w:val="nil"/>
          <w:left w:val="nil"/>
          <w:bottom w:val="nil"/>
          <w:right w:val="nil"/>
          <w:between w:val="nil"/>
        </w:pBdr>
        <w:spacing w:after="120" w:line="276" w:lineRule="auto"/>
        <w:ind w:firstLine="708"/>
        <w:jc w:val="both"/>
        <w:rPr>
          <w:rFonts w:ascii="Verdana" w:eastAsia="Calibri" w:hAnsi="Verdana" w:cs="Arial"/>
          <w:color w:val="000000" w:themeColor="text1"/>
        </w:rPr>
      </w:pPr>
      <w:r w:rsidRPr="00275B0F">
        <w:rPr>
          <w:rFonts w:ascii="Verdana" w:hAnsi="Verdana" w:cs="Arial"/>
          <w:lang w:eastAsia="es-ES"/>
        </w:rPr>
        <w:t>Al margen de la explicación precedente debe advertirse que, el análisis requerido para resolver problemas específicos en torno a la gestión contractual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286E651" w14:textId="77777777" w:rsidR="00652F21" w:rsidRPr="00ED22F4" w:rsidRDefault="00652F21" w:rsidP="00652F21">
      <w:pPr>
        <w:spacing w:after="120" w:line="276" w:lineRule="auto"/>
        <w:ind w:firstLine="709"/>
        <w:jc w:val="both"/>
        <w:rPr>
          <w:rFonts w:ascii="Verdana" w:hAnsi="Verdana" w:cs="Arial"/>
          <w:lang w:eastAsia="es-ES"/>
        </w:rPr>
      </w:pPr>
      <w:r w:rsidRPr="00275B0F">
        <w:rPr>
          <w:rFonts w:ascii="Verdana" w:hAnsi="Verdana" w:cs="Arial"/>
          <w:lang w:eastAsia="es-ES"/>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w:t>
      </w:r>
      <w:r w:rsidRPr="00275B0F">
        <w:rPr>
          <w:rFonts w:ascii="Verdana" w:hAnsi="Verdana" w:cs="Arial"/>
          <w:lang w:eastAsia="es-ES"/>
        </w:rPr>
        <w:lastRenderedPageBreak/>
        <w:t>el principio de juridicidad. Así, cada Entidad definirá la forma de adelantar su gestión contractual, sin que sea atribución de Colombia Compra Eficiente validar sus actuaciones.</w:t>
      </w:r>
    </w:p>
    <w:p w14:paraId="4C3E79A8" w14:textId="77777777" w:rsidR="00652F21" w:rsidRPr="001F283D" w:rsidRDefault="00652F21" w:rsidP="00652F21">
      <w:pPr>
        <w:tabs>
          <w:tab w:val="left" w:pos="142"/>
          <w:tab w:val="left" w:pos="284"/>
        </w:tabs>
        <w:spacing w:after="0" w:line="276" w:lineRule="auto"/>
        <w:rPr>
          <w:rFonts w:ascii="Verdana" w:eastAsia="Century Gothic" w:hAnsi="Verdana" w:cs="Century Gothic"/>
          <w:b/>
          <w:bCs/>
        </w:rPr>
      </w:pPr>
      <w:bookmarkStart w:id="18" w:name="_Hlk204854194"/>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18"/>
    <w:p w14:paraId="13CDFFC5" w14:textId="77777777" w:rsidR="00652F21" w:rsidRPr="00593A5F" w:rsidRDefault="00652F21" w:rsidP="00652F21">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52F21" w:rsidRPr="002407CE" w14:paraId="703EC7C6" w14:textId="77777777" w:rsidTr="00245CE3">
        <w:trPr>
          <w:trHeight w:val="870"/>
          <w:jc w:val="center"/>
        </w:trPr>
        <w:tc>
          <w:tcPr>
            <w:tcW w:w="8647" w:type="dxa"/>
          </w:tcPr>
          <w:p w14:paraId="60D9E4F5" w14:textId="77777777" w:rsidR="00652F21" w:rsidRPr="00275B0F" w:rsidRDefault="00652F21" w:rsidP="00652F21">
            <w:pPr>
              <w:numPr>
                <w:ilvl w:val="0"/>
                <w:numId w:val="2"/>
              </w:numPr>
              <w:spacing w:after="160" w:line="276" w:lineRule="auto"/>
              <w:contextualSpacing/>
              <w:jc w:val="both"/>
              <w:rPr>
                <w:rFonts w:ascii="Verdana" w:eastAsia="Calibri" w:hAnsi="Verdana" w:cs="Arial"/>
                <w:lang w:val="es-ES" w:eastAsia="es-MX"/>
              </w:rPr>
            </w:pPr>
            <w:r w:rsidRPr="00275B0F">
              <w:rPr>
                <w:rFonts w:ascii="Verdana" w:eastAsia="Calibri" w:hAnsi="Verdana" w:cs="Arial"/>
                <w:lang w:val="es-ES" w:eastAsia="es-MX"/>
              </w:rPr>
              <w:t xml:space="preserve">Ley 1150 de 2007: Artículo 5 y artículo 6. </w:t>
            </w:r>
          </w:p>
          <w:p w14:paraId="22317448" w14:textId="77777777" w:rsidR="00652F21" w:rsidRPr="00275B0F" w:rsidRDefault="00652F21" w:rsidP="00652F21">
            <w:pPr>
              <w:numPr>
                <w:ilvl w:val="0"/>
                <w:numId w:val="2"/>
              </w:numPr>
              <w:spacing w:after="160" w:line="276" w:lineRule="auto"/>
              <w:contextualSpacing/>
              <w:jc w:val="both"/>
              <w:rPr>
                <w:rFonts w:ascii="Verdana" w:eastAsia="Calibri" w:hAnsi="Verdana" w:cs="Arial"/>
                <w:lang w:val="es-ES" w:eastAsia="es-MX"/>
              </w:rPr>
            </w:pPr>
            <w:r w:rsidRPr="00275B0F">
              <w:rPr>
                <w:rFonts w:ascii="Verdana" w:eastAsia="Calibri" w:hAnsi="Verdana" w:cs="Arial"/>
                <w:lang w:val="es-ES" w:eastAsia="es-MX"/>
              </w:rPr>
              <w:t xml:space="preserve">Ley 1437 de 2011: Artículo 44. </w:t>
            </w:r>
          </w:p>
          <w:p w14:paraId="5E46A97F" w14:textId="77777777" w:rsidR="00652F21" w:rsidRPr="00275B0F" w:rsidRDefault="00652F21" w:rsidP="00652F21">
            <w:pPr>
              <w:numPr>
                <w:ilvl w:val="0"/>
                <w:numId w:val="2"/>
              </w:numPr>
              <w:spacing w:after="160" w:line="276" w:lineRule="auto"/>
              <w:contextualSpacing/>
              <w:jc w:val="both"/>
              <w:rPr>
                <w:rFonts w:ascii="Verdana" w:eastAsia="Calibri" w:hAnsi="Verdana" w:cs="Arial"/>
                <w:lang w:val="es-ES" w:eastAsia="es-MX"/>
              </w:rPr>
            </w:pPr>
            <w:r w:rsidRPr="00275B0F">
              <w:rPr>
                <w:rFonts w:ascii="Verdana" w:eastAsia="Calibri" w:hAnsi="Verdana" w:cs="Arial"/>
                <w:lang w:val="es-ES" w:eastAsia="es-MX"/>
              </w:rPr>
              <w:t>Código de Comercio: Artículo 25.</w:t>
            </w:r>
          </w:p>
          <w:p w14:paraId="57E167F1" w14:textId="77777777" w:rsidR="00652F21" w:rsidRPr="00275B0F" w:rsidRDefault="00652F21" w:rsidP="00652F21">
            <w:pPr>
              <w:numPr>
                <w:ilvl w:val="0"/>
                <w:numId w:val="2"/>
              </w:numPr>
              <w:spacing w:after="160" w:line="276" w:lineRule="auto"/>
              <w:contextualSpacing/>
              <w:jc w:val="both"/>
              <w:rPr>
                <w:rFonts w:ascii="Verdana" w:eastAsia="Calibri" w:hAnsi="Verdana" w:cs="Arial"/>
                <w:lang w:val="es-ES" w:eastAsia="es-MX"/>
              </w:rPr>
            </w:pPr>
            <w:r w:rsidRPr="00275B0F">
              <w:rPr>
                <w:rFonts w:ascii="Verdana" w:eastAsia="Calibri" w:hAnsi="Verdana" w:cs="Arial"/>
                <w:lang w:val="es-ES" w:eastAsia="es-MX"/>
              </w:rPr>
              <w:t xml:space="preserve">Decreto 1082 de 2015: Artículo 2.2.1.1.1.6.2. </w:t>
            </w:r>
          </w:p>
          <w:p w14:paraId="7D5D7D96" w14:textId="77777777" w:rsidR="00652F21" w:rsidRPr="00275B0F" w:rsidRDefault="00652F21" w:rsidP="00652F21">
            <w:pPr>
              <w:numPr>
                <w:ilvl w:val="0"/>
                <w:numId w:val="2"/>
              </w:numPr>
              <w:spacing w:after="160" w:line="276" w:lineRule="auto"/>
              <w:contextualSpacing/>
              <w:jc w:val="both"/>
              <w:rPr>
                <w:rFonts w:ascii="Verdana" w:eastAsia="Calibri" w:hAnsi="Verdana" w:cs="Arial"/>
                <w:lang w:val="es-ES" w:eastAsia="es-MX"/>
              </w:rPr>
            </w:pPr>
            <w:r w:rsidRPr="00275B0F">
              <w:rPr>
                <w:rFonts w:ascii="Verdana" w:hAnsi="Verdana"/>
                <w:lang w:val="es-ES"/>
              </w:rPr>
              <w:t xml:space="preserve">Consejo de Estado. Sección Tercera. Subsección A. Sentencia del 19 de mayo de 2025. </w:t>
            </w:r>
            <w:proofErr w:type="spellStart"/>
            <w:r w:rsidRPr="00275B0F">
              <w:rPr>
                <w:rFonts w:ascii="Verdana" w:hAnsi="Verdana"/>
                <w:lang w:val="es-ES"/>
              </w:rPr>
              <w:t>Exp</w:t>
            </w:r>
            <w:proofErr w:type="spellEnd"/>
            <w:r w:rsidRPr="00275B0F">
              <w:rPr>
                <w:rFonts w:ascii="Verdana" w:hAnsi="Verdana"/>
                <w:lang w:val="es-ES"/>
              </w:rPr>
              <w:t>. 69503. C.P. José Roberto Sáchica Méndez.</w:t>
            </w:r>
          </w:p>
          <w:p w14:paraId="06A7D90F" w14:textId="77777777" w:rsidR="00652F21" w:rsidRPr="00A57FA0" w:rsidRDefault="00652F21" w:rsidP="00652F21">
            <w:pPr>
              <w:pStyle w:val="NormalWeb"/>
              <w:numPr>
                <w:ilvl w:val="0"/>
                <w:numId w:val="2"/>
              </w:numPr>
              <w:spacing w:before="120" w:beforeAutospacing="0" w:after="0" w:afterAutospacing="0" w:line="276" w:lineRule="auto"/>
              <w:jc w:val="both"/>
              <w:rPr>
                <w:rFonts w:ascii="Verdana" w:hAnsi="Verdana" w:cs="Arial"/>
                <w:color w:val="000000" w:themeColor="text1"/>
                <w:sz w:val="22"/>
                <w:szCs w:val="22"/>
              </w:rPr>
            </w:pPr>
            <w:r w:rsidRPr="00275B0F">
              <w:rPr>
                <w:rFonts w:ascii="Verdana" w:eastAsia="Calibri" w:hAnsi="Verdana" w:cs="Arial"/>
                <w:lang w:val="es-ES" w:eastAsia="es-MX"/>
              </w:rPr>
              <w:t xml:space="preserve">Agencia Nacional de Contratación Pública – Colombia Compra Eficiente. Manual para determinar y verificar los requisitos habilitantes en los Procesos de Contratación. Disponible en: </w:t>
            </w:r>
            <w:hyperlink r:id="rId9" w:history="1">
              <w:r w:rsidRPr="0045027B">
                <w:rPr>
                  <w:rFonts w:ascii="Verdana" w:hAnsi="Verdana"/>
                  <w:color w:val="0000FF"/>
                  <w:u w:val="single"/>
                  <w:lang w:val="es-ES"/>
                </w:rPr>
                <w:t>cce-eicp-ma-04._manual_requisitos_habilitantes_v3_29-09-2023.pdf</w:t>
              </w:r>
            </w:hyperlink>
            <w:r>
              <w:t xml:space="preserve"> </w:t>
            </w:r>
          </w:p>
        </w:tc>
      </w:tr>
    </w:tbl>
    <w:p w14:paraId="3382E107" w14:textId="77777777" w:rsidR="00652F21" w:rsidRPr="00277E26" w:rsidRDefault="00652F21" w:rsidP="00652F21">
      <w:pPr>
        <w:widowControl w:val="0"/>
        <w:autoSpaceDE w:val="0"/>
        <w:autoSpaceDN w:val="0"/>
        <w:spacing w:after="0" w:line="276" w:lineRule="auto"/>
        <w:jc w:val="both"/>
        <w:rPr>
          <w:rFonts w:ascii="Verdana" w:hAnsi="Verdana" w:cs="Arial"/>
        </w:rPr>
      </w:pPr>
    </w:p>
    <w:p w14:paraId="3EFFAB2D" w14:textId="77777777" w:rsidR="00652F21" w:rsidRPr="001F283D" w:rsidRDefault="00652F21" w:rsidP="00652F21">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7156AAD2" w14:textId="77777777" w:rsidR="00652F21" w:rsidRDefault="00652F21" w:rsidP="00652F21">
      <w:pPr>
        <w:widowControl w:val="0"/>
        <w:autoSpaceDE w:val="0"/>
        <w:autoSpaceDN w:val="0"/>
        <w:spacing w:after="0" w:line="240" w:lineRule="auto"/>
        <w:jc w:val="both"/>
        <w:rPr>
          <w:rStyle w:val="normaltextrun"/>
          <w:rFonts w:ascii="Verdana" w:hAnsi="Verdana" w:cs="Arial"/>
          <w:highlight w:val="yellow"/>
          <w:shd w:val="clear" w:color="auto" w:fill="FFFFFF"/>
          <w:lang w:val="es-ES"/>
        </w:rPr>
      </w:pPr>
    </w:p>
    <w:p w14:paraId="24E43373" w14:textId="77777777" w:rsidR="00652F21" w:rsidRPr="00275B0F" w:rsidRDefault="00652F21" w:rsidP="00652F21">
      <w:pPr>
        <w:widowControl w:val="0"/>
        <w:autoSpaceDE w:val="0"/>
        <w:autoSpaceDN w:val="0"/>
        <w:spacing w:after="0" w:line="276" w:lineRule="auto"/>
        <w:jc w:val="both"/>
        <w:rPr>
          <w:rFonts w:ascii="Verdana" w:hAnsi="Verdana" w:cs="Arial"/>
          <w:color w:val="000000" w:themeColor="text1"/>
          <w:shd w:val="clear" w:color="auto" w:fill="FFFFFF"/>
          <w:lang w:val="es-ES"/>
        </w:rPr>
      </w:pPr>
      <w:r w:rsidRPr="00275B0F">
        <w:rPr>
          <w:rFonts w:ascii="Verdana" w:eastAsia="Calibri" w:hAnsi="Verdana" w:cs="Arial"/>
          <w:color w:val="000000" w:themeColor="text1"/>
          <w:lang w:eastAsia="es-ES_tradnl"/>
        </w:rPr>
        <w:t xml:space="preserve">La Agencia Nacional de Contratación Pública – Colombia Compra Eficiente </w:t>
      </w:r>
      <w:r w:rsidRPr="00275B0F">
        <w:rPr>
          <w:rFonts w:ascii="Verdana" w:eastAsia="Arial" w:hAnsi="Verdana" w:cs="Arial"/>
          <w:lang w:val="es-MX" w:eastAsia="es-ES_tradnl"/>
        </w:rPr>
        <w:t xml:space="preserve">se ha referido a la determinación de los requisitos habilitantes en los conceptos C-120 del 3 de marzo de 2020, C-204 del 31 de marzo de 2020, C-099 del 6 de abril  de 2020, C-195 del 13 de abril de 2020, C-013 del 17 de abril de 2020, C-330 del 27 de mayo de 2020 y C-396 de 16 de julio </w:t>
      </w:r>
      <w:r w:rsidRPr="00275B0F">
        <w:rPr>
          <w:rFonts w:ascii="Verdana" w:hAnsi="Verdana" w:cs="Arial"/>
          <w:shd w:val="clear" w:color="auto" w:fill="FFFFFF"/>
          <w:lang w:val="es-ES"/>
        </w:rPr>
        <w:t>de 2020, C-142 del 30 de marzo de 2022,  C-337 de 18</w:t>
      </w:r>
      <w:r>
        <w:rPr>
          <w:rFonts w:ascii="Verdana" w:hAnsi="Verdana" w:cs="Arial"/>
          <w:shd w:val="clear" w:color="auto" w:fill="FFFFFF"/>
          <w:lang w:val="es-ES"/>
        </w:rPr>
        <w:t xml:space="preserve"> </w:t>
      </w:r>
      <w:r w:rsidRPr="00275B0F">
        <w:rPr>
          <w:rFonts w:ascii="Verdana" w:hAnsi="Verdana" w:cs="Arial"/>
          <w:shd w:val="clear" w:color="auto" w:fill="FFFFFF"/>
          <w:lang w:val="es-ES"/>
        </w:rPr>
        <w:t xml:space="preserve">de agosto de 2023, C-483 del 26 de septiembre de 2024, Concepto C- 662 de 2024 del 29 de enero de 2025, C–043 del 28 </w:t>
      </w:r>
      <w:proofErr w:type="spellStart"/>
      <w:r w:rsidRPr="00275B0F">
        <w:rPr>
          <w:rFonts w:ascii="Verdana" w:hAnsi="Verdana" w:cs="Arial"/>
          <w:shd w:val="clear" w:color="auto" w:fill="FFFFFF"/>
          <w:lang w:val="es-ES"/>
        </w:rPr>
        <w:t>del</w:t>
      </w:r>
      <w:proofErr w:type="spellEnd"/>
      <w:r w:rsidRPr="00275B0F">
        <w:rPr>
          <w:rFonts w:ascii="Verdana" w:hAnsi="Verdana" w:cs="Arial"/>
          <w:shd w:val="clear" w:color="auto" w:fill="FFFFFF"/>
          <w:lang w:val="es-ES"/>
        </w:rPr>
        <w:t xml:space="preserve"> febrero de 2025, C- 116 del 1 de marzo de 2025, C-1297 del 17 de octubre de 2025. Estos se encuentran disponibles para consulta en el Sistema de relatoría de la Agencia, al cual puede accederse a través del siguiente enlace:</w:t>
      </w:r>
      <w:r w:rsidRPr="00275B0F">
        <w:rPr>
          <w:rFonts w:ascii="Verdana" w:hAnsi="Verdana"/>
          <w:lang w:val="es-ES"/>
        </w:rPr>
        <w:t xml:space="preserve"> </w:t>
      </w:r>
      <w:hyperlink r:id="rId10" w:history="1">
        <w:r w:rsidRPr="00275B0F">
          <w:rPr>
            <w:rFonts w:ascii="Verdana" w:hAnsi="Verdana" w:cs="Arial"/>
            <w:color w:val="0000FF"/>
            <w:u w:val="single"/>
            <w:shd w:val="clear" w:color="auto" w:fill="FFFFFF"/>
          </w:rPr>
          <w:t>https://relatoria.colombiacompra.gov.co/busqueda/conceptos</w:t>
        </w:r>
      </w:hyperlink>
      <w:r w:rsidRPr="00275B0F">
        <w:rPr>
          <w:rFonts w:ascii="Verdana" w:hAnsi="Verdana"/>
          <w:color w:val="0000FF"/>
          <w:u w:val="single"/>
        </w:rPr>
        <w:t>.</w:t>
      </w:r>
      <w:r w:rsidRPr="00275B0F">
        <w:rPr>
          <w:rFonts w:ascii="Verdana" w:hAnsi="Verdana" w:cs="Arial"/>
          <w:color w:val="000000" w:themeColor="text1"/>
          <w:shd w:val="clear" w:color="auto" w:fill="FFFFFF"/>
        </w:rPr>
        <w:t xml:space="preserve"> </w:t>
      </w:r>
      <w:r w:rsidRPr="00275B0F">
        <w:rPr>
          <w:rFonts w:ascii="Verdana" w:hAnsi="Verdana" w:cs="Arial"/>
          <w:color w:val="000000" w:themeColor="text1"/>
          <w:shd w:val="clear" w:color="auto" w:fill="FFFFFF"/>
          <w:lang w:val="es-ES"/>
        </w:rPr>
        <w:t xml:space="preserve"> </w:t>
      </w:r>
    </w:p>
    <w:p w14:paraId="619691AD" w14:textId="77777777" w:rsidR="00652F21" w:rsidRPr="00900D7D" w:rsidRDefault="00652F21" w:rsidP="00652F21">
      <w:pPr>
        <w:widowControl w:val="0"/>
        <w:autoSpaceDE w:val="0"/>
        <w:autoSpaceDN w:val="0"/>
        <w:spacing w:after="120" w:line="276" w:lineRule="auto"/>
        <w:jc w:val="both"/>
        <w:rPr>
          <w:rFonts w:ascii="Verdana" w:eastAsia="Calibri" w:hAnsi="Verdana" w:cs="Arial"/>
          <w:color w:val="000000" w:themeColor="text1"/>
          <w:lang w:eastAsia="es-ES_tradnl"/>
        </w:rPr>
      </w:pPr>
    </w:p>
    <w:p w14:paraId="685F7DF3" w14:textId="77777777" w:rsidR="00652F21" w:rsidRPr="00237766" w:rsidRDefault="00652F21" w:rsidP="00652F21">
      <w:pPr>
        <w:spacing w:after="120" w:line="276" w:lineRule="auto"/>
        <w:jc w:val="both"/>
        <w:rPr>
          <w:rFonts w:ascii="Verdana" w:eastAsia="Calibri" w:hAnsi="Verdana" w:cs="Times New Roman"/>
        </w:rPr>
      </w:pPr>
      <w:r w:rsidRPr="008E4F36">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w:t>
      </w:r>
      <w:r w:rsidRPr="008E4F36">
        <w:rPr>
          <w:rFonts w:ascii="Verdana" w:hAnsi="Verdana"/>
        </w:rPr>
        <w:lastRenderedPageBreak/>
        <w:t xml:space="preserve">requiera en el marco de nuestras funciones a través de nuestros diferentes canales de atención: </w:t>
      </w:r>
    </w:p>
    <w:p w14:paraId="326FC6E5" w14:textId="77777777" w:rsidR="00652F21" w:rsidRPr="008E4F36" w:rsidRDefault="00652F21" w:rsidP="00652F21">
      <w:pPr>
        <w:pStyle w:val="Prrafodelista"/>
        <w:numPr>
          <w:ilvl w:val="0"/>
          <w:numId w:val="3"/>
        </w:numPr>
        <w:spacing w:after="0" w:line="276" w:lineRule="auto"/>
        <w:contextualSpacing w:val="0"/>
        <w:jc w:val="both"/>
        <w:rPr>
          <w:rFonts w:ascii="Verdana" w:hAnsi="Verdana"/>
        </w:rPr>
      </w:pPr>
      <w:r w:rsidRPr="008E4F36">
        <w:rPr>
          <w:rFonts w:ascii="Verdana" w:hAnsi="Verdana"/>
        </w:rPr>
        <w:t>Línea nacional gratuita o servicio a la ciudadanía: 01800 0520808</w:t>
      </w:r>
    </w:p>
    <w:p w14:paraId="052DFD16" w14:textId="77777777" w:rsidR="00652F21" w:rsidRPr="008E4F36" w:rsidRDefault="00652F21" w:rsidP="00652F21">
      <w:pPr>
        <w:pStyle w:val="Prrafodelista"/>
        <w:numPr>
          <w:ilvl w:val="0"/>
          <w:numId w:val="3"/>
        </w:numPr>
        <w:spacing w:after="0" w:line="276" w:lineRule="auto"/>
        <w:contextualSpacing w:val="0"/>
        <w:jc w:val="both"/>
        <w:rPr>
          <w:rFonts w:ascii="Verdana" w:hAnsi="Verdana"/>
        </w:rPr>
      </w:pPr>
      <w:r w:rsidRPr="008E4F36">
        <w:rPr>
          <w:rFonts w:ascii="Verdana" w:hAnsi="Verdana"/>
        </w:rPr>
        <w:t>Línea en Bogotá (Mesa de servicio): +57 601 7456788</w:t>
      </w:r>
    </w:p>
    <w:p w14:paraId="5052E9D1" w14:textId="77777777" w:rsidR="00652F21" w:rsidRPr="008E4F36" w:rsidRDefault="00652F21" w:rsidP="00652F21">
      <w:pPr>
        <w:pStyle w:val="Prrafodelista"/>
        <w:numPr>
          <w:ilvl w:val="0"/>
          <w:numId w:val="3"/>
        </w:numPr>
        <w:spacing w:after="0" w:line="276" w:lineRule="auto"/>
        <w:contextualSpacing w:val="0"/>
        <w:jc w:val="both"/>
        <w:rPr>
          <w:rFonts w:ascii="Verdana" w:hAnsi="Verdana"/>
        </w:rPr>
      </w:pPr>
      <w:r w:rsidRPr="008E4F36">
        <w:rPr>
          <w:rFonts w:ascii="Verdana" w:hAnsi="Verdana"/>
        </w:rPr>
        <w:t>Línea de servicio y atención al ciudadano: +57 601 7956600</w:t>
      </w:r>
    </w:p>
    <w:p w14:paraId="17E0D2F1" w14:textId="77777777" w:rsidR="00652F21" w:rsidRPr="008E4F36" w:rsidRDefault="00652F21" w:rsidP="00652F21">
      <w:pPr>
        <w:pStyle w:val="Prrafodelista"/>
        <w:numPr>
          <w:ilvl w:val="0"/>
          <w:numId w:val="3"/>
        </w:numPr>
        <w:spacing w:after="0" w:line="276" w:lineRule="auto"/>
        <w:contextualSpacing w:val="0"/>
        <w:jc w:val="both"/>
        <w:rPr>
          <w:rFonts w:ascii="Verdana" w:hAnsi="Verdana"/>
        </w:rPr>
      </w:pPr>
      <w:r w:rsidRPr="008E4F36">
        <w:rPr>
          <w:rFonts w:ascii="Verdana" w:hAnsi="Verdana"/>
        </w:rPr>
        <w:t xml:space="preserve">Página web: </w:t>
      </w:r>
      <w:hyperlink r:id="rId11" w:history="1">
        <w:r w:rsidRPr="008E4F36">
          <w:rPr>
            <w:rStyle w:val="Hipervnculo"/>
            <w:rFonts w:ascii="Verdana" w:hAnsi="Verdana"/>
          </w:rPr>
          <w:t>www.colombiacompra.gov.co</w:t>
        </w:r>
      </w:hyperlink>
    </w:p>
    <w:p w14:paraId="27091D20" w14:textId="77777777" w:rsidR="00652F21" w:rsidRPr="008E4F36" w:rsidRDefault="00652F21" w:rsidP="00652F21">
      <w:pPr>
        <w:spacing w:before="120" w:after="0" w:line="276" w:lineRule="auto"/>
        <w:jc w:val="both"/>
        <w:rPr>
          <w:rFonts w:ascii="Verdana" w:hAnsi="Verdana"/>
        </w:rPr>
      </w:pPr>
      <w:r w:rsidRPr="008E4F36">
        <w:rPr>
          <w:rFonts w:ascii="Verdana" w:hAnsi="Verdana"/>
        </w:rPr>
        <w:t>Por ú</w:t>
      </w:r>
      <w:r>
        <w:rPr>
          <w:rFonts w:ascii="Verdana" w:hAnsi="Verdana"/>
        </w:rPr>
        <w:t>l</w:t>
      </w:r>
      <w:r w:rsidRPr="008E4F36">
        <w:rPr>
          <w:rFonts w:ascii="Verdana" w:hAnsi="Verdana"/>
        </w:rPr>
        <w:t xml:space="preserve">timo, lo invitamos a seguirnos en las redes sociales en las cuales se difunde información institucional: </w:t>
      </w:r>
    </w:p>
    <w:p w14:paraId="23AF2999" w14:textId="77777777" w:rsidR="00652F21" w:rsidRPr="008E4F36" w:rsidRDefault="00652F21" w:rsidP="00652F21">
      <w:pPr>
        <w:spacing w:after="0" w:line="276" w:lineRule="auto"/>
        <w:jc w:val="both"/>
        <w:rPr>
          <w:rFonts w:ascii="Verdana" w:hAnsi="Verdana"/>
        </w:rPr>
      </w:pPr>
    </w:p>
    <w:p w14:paraId="11DB8550" w14:textId="77777777" w:rsidR="00652F21" w:rsidRPr="008E4F36" w:rsidRDefault="00652F21" w:rsidP="00652F21">
      <w:pPr>
        <w:spacing w:after="0" w:line="276" w:lineRule="auto"/>
        <w:jc w:val="both"/>
        <w:rPr>
          <w:rFonts w:ascii="Verdana" w:hAnsi="Verdana"/>
        </w:rPr>
      </w:pPr>
      <w:r w:rsidRPr="008E4F36">
        <w:rPr>
          <w:rFonts w:ascii="Verdana" w:hAnsi="Verdana"/>
        </w:rPr>
        <w:t xml:space="preserve">Twitter: </w:t>
      </w:r>
      <w:r w:rsidRPr="008E4F36">
        <w:rPr>
          <w:rStyle w:val="Hipervnculo"/>
          <w:rFonts w:ascii="Verdana" w:hAnsi="Verdana"/>
        </w:rPr>
        <w:t>@colombiacompra</w:t>
      </w:r>
      <w:r w:rsidRPr="008E4F36">
        <w:rPr>
          <w:rFonts w:ascii="Verdana" w:hAnsi="Verdana"/>
        </w:rPr>
        <w:t xml:space="preserve"> </w:t>
      </w:r>
    </w:p>
    <w:p w14:paraId="2D96006A" w14:textId="77777777" w:rsidR="00652F21" w:rsidRPr="008E4F36" w:rsidRDefault="00652F21" w:rsidP="00652F21">
      <w:pPr>
        <w:spacing w:after="0" w:line="276" w:lineRule="auto"/>
        <w:jc w:val="both"/>
        <w:rPr>
          <w:rFonts w:ascii="Verdana" w:hAnsi="Verdana"/>
        </w:rPr>
      </w:pPr>
      <w:r w:rsidRPr="008E4F36">
        <w:rPr>
          <w:rFonts w:ascii="Verdana" w:hAnsi="Verdana"/>
        </w:rPr>
        <w:t xml:space="preserve">Facebook: </w:t>
      </w:r>
      <w:proofErr w:type="spellStart"/>
      <w:r w:rsidRPr="008E4F36">
        <w:rPr>
          <w:rStyle w:val="Hipervnculo"/>
          <w:rFonts w:ascii="Verdana" w:hAnsi="Verdana"/>
        </w:rPr>
        <w:t>ColombiaCompraEficiente</w:t>
      </w:r>
      <w:proofErr w:type="spellEnd"/>
    </w:p>
    <w:p w14:paraId="6E9ABEBE" w14:textId="77777777" w:rsidR="00652F21" w:rsidRPr="008E4F36" w:rsidRDefault="00652F21" w:rsidP="00652F21">
      <w:pPr>
        <w:spacing w:after="0" w:line="276" w:lineRule="auto"/>
        <w:jc w:val="both"/>
        <w:rPr>
          <w:rFonts w:ascii="Verdana" w:hAnsi="Verdana"/>
        </w:rPr>
      </w:pPr>
      <w:r w:rsidRPr="008E4F36">
        <w:rPr>
          <w:rFonts w:ascii="Verdana" w:hAnsi="Verdana"/>
        </w:rPr>
        <w:t xml:space="preserve">LinkedIn: </w:t>
      </w:r>
      <w:r w:rsidRPr="008E4F36">
        <w:rPr>
          <w:rStyle w:val="Hipervnculo"/>
          <w:rFonts w:ascii="Verdana" w:hAnsi="Verdana"/>
        </w:rPr>
        <w:t>Agencia Nacional de Contratación Pública - Colombia Compra Eficiente</w:t>
      </w:r>
      <w:r w:rsidRPr="008E4F36">
        <w:rPr>
          <w:rFonts w:ascii="Verdana" w:hAnsi="Verdana"/>
        </w:rPr>
        <w:t xml:space="preserve"> Instagram: </w:t>
      </w:r>
      <w:r w:rsidRPr="008E4F36">
        <w:rPr>
          <w:rStyle w:val="Hipervnculo"/>
          <w:rFonts w:ascii="Verdana" w:hAnsi="Verdana"/>
        </w:rPr>
        <w:t>@colombiacompraeficiente_cce</w:t>
      </w:r>
    </w:p>
    <w:p w14:paraId="41946FDE" w14:textId="77777777" w:rsidR="00652F21" w:rsidRDefault="00652F21" w:rsidP="00652F21">
      <w:pPr>
        <w:spacing w:before="120" w:after="0" w:line="276" w:lineRule="auto"/>
        <w:jc w:val="both"/>
        <w:rPr>
          <w:rFonts w:ascii="Verdana" w:hAnsi="Verdana"/>
        </w:rPr>
      </w:pPr>
    </w:p>
    <w:p w14:paraId="76946067" w14:textId="77777777" w:rsidR="00652F21" w:rsidRPr="00FB6C33" w:rsidRDefault="00652F21" w:rsidP="00652F21">
      <w:pPr>
        <w:spacing w:before="120" w:after="0" w:line="276" w:lineRule="auto"/>
        <w:jc w:val="both"/>
        <w:rPr>
          <w:rFonts w:ascii="Verdana" w:hAnsi="Verdana"/>
        </w:rPr>
      </w:pPr>
      <w:r w:rsidRPr="00FB6C33">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5433792" w14:textId="77777777" w:rsidR="00652F21" w:rsidRPr="008E4F36" w:rsidRDefault="00652F21" w:rsidP="00652F21">
      <w:pPr>
        <w:spacing w:after="0" w:line="276" w:lineRule="auto"/>
        <w:jc w:val="both"/>
        <w:rPr>
          <w:rFonts w:ascii="Verdana" w:eastAsia="Calibri" w:hAnsi="Verdana" w:cs="Times New Roman"/>
        </w:rPr>
      </w:pPr>
    </w:p>
    <w:p w14:paraId="6EB7A218" w14:textId="77777777" w:rsidR="00652F21" w:rsidRDefault="00652F21" w:rsidP="00652F21">
      <w:pPr>
        <w:spacing w:after="0" w:line="276" w:lineRule="auto"/>
        <w:jc w:val="both"/>
        <w:rPr>
          <w:rFonts w:ascii="Verdana" w:eastAsia="Calibri" w:hAnsi="Verdana" w:cs="Times New Roman"/>
        </w:rPr>
      </w:pPr>
      <w:r w:rsidRPr="008E4F36">
        <w:rPr>
          <w:rFonts w:ascii="Verdana" w:eastAsia="Calibri" w:hAnsi="Verdana" w:cs="Times New Roman"/>
        </w:rPr>
        <w:t>Atentamente,</w:t>
      </w:r>
    </w:p>
    <w:bookmarkEnd w:id="0"/>
    <w:bookmarkEnd w:id="1"/>
    <w:p w14:paraId="39CC0CC2" w14:textId="77777777" w:rsidR="00652F21" w:rsidRDefault="00652F21" w:rsidP="00652F21">
      <w:pPr>
        <w:spacing w:after="0"/>
        <w:rPr>
          <w:rFonts w:ascii="Verdana" w:hAnsi="Verdana"/>
        </w:rPr>
      </w:pPr>
    </w:p>
    <w:p w14:paraId="4244B9FA" w14:textId="77777777" w:rsidR="00652F21" w:rsidRDefault="00652F21" w:rsidP="00652F21">
      <w:pPr>
        <w:spacing w:after="0"/>
        <w:rPr>
          <w:rFonts w:ascii="Verdana" w:hAnsi="Verdana"/>
        </w:rPr>
      </w:pPr>
    </w:p>
    <w:p w14:paraId="619F849C" w14:textId="4363F33B" w:rsidR="00652F21" w:rsidRDefault="00C26FF5" w:rsidP="00C26FF5">
      <w:pPr>
        <w:spacing w:after="0"/>
        <w:jc w:val="center"/>
        <w:rPr>
          <w:rFonts w:ascii="Verdana" w:hAnsi="Verdana"/>
        </w:rPr>
      </w:pPr>
      <w:r w:rsidRPr="002C3AD6">
        <w:rPr>
          <w:rFonts w:ascii="Century Gothic" w:hAnsi="Century Gothic"/>
          <w:noProof/>
        </w:rPr>
        <w:drawing>
          <wp:inline distT="0" distB="0" distL="0" distR="0" wp14:anchorId="6C7709E1" wp14:editId="2DC2E8B6">
            <wp:extent cx="3771900" cy="1318260"/>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2"/>
                    <a:stretch>
                      <a:fillRect/>
                    </a:stretch>
                  </pic:blipFill>
                  <pic:spPr>
                    <a:xfrm>
                      <a:off x="0" y="0"/>
                      <a:ext cx="3772426" cy="1318444"/>
                    </a:xfrm>
                    <a:prstGeom prst="rect">
                      <a:avLst/>
                    </a:prstGeom>
                  </pic:spPr>
                </pic:pic>
              </a:graphicData>
            </a:graphic>
          </wp:inline>
        </w:drawing>
      </w:r>
    </w:p>
    <w:p w14:paraId="3FFF7919" w14:textId="77777777" w:rsidR="00652F21" w:rsidRDefault="00652F21" w:rsidP="00652F21">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52F21" w:rsidRPr="002423D6" w14:paraId="32AAE397" w14:textId="77777777" w:rsidTr="00245CE3">
        <w:trPr>
          <w:trHeight w:val="315"/>
        </w:trPr>
        <w:tc>
          <w:tcPr>
            <w:tcW w:w="893" w:type="dxa"/>
            <w:vAlign w:val="center"/>
            <w:hideMark/>
          </w:tcPr>
          <w:p w14:paraId="46D57D10" w14:textId="77777777" w:rsidR="00652F21" w:rsidRPr="002423D6" w:rsidRDefault="00652F21" w:rsidP="00245CE3">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72BA582" w14:textId="77777777" w:rsidR="00652F21" w:rsidRPr="002423D6" w:rsidRDefault="00652F21" w:rsidP="00245CE3">
            <w:pPr>
              <w:contextualSpacing/>
              <w:rPr>
                <w:rFonts w:ascii="Verdana" w:eastAsia="Arial" w:hAnsi="Verdana" w:cs="Arial"/>
                <w:color w:val="000000" w:themeColor="text1"/>
                <w:sz w:val="16"/>
                <w:szCs w:val="16"/>
              </w:rPr>
            </w:pPr>
            <w:r w:rsidRPr="002423D6">
              <w:rPr>
                <w:rFonts w:ascii="Verdana" w:eastAsia="Arial" w:hAnsi="Verdana" w:cs="Arial"/>
                <w:color w:val="000000" w:themeColor="text1"/>
                <w:sz w:val="16"/>
                <w:szCs w:val="16"/>
              </w:rPr>
              <w:t>An</w:t>
            </w:r>
            <w:r>
              <w:rPr>
                <w:rFonts w:ascii="Verdana" w:eastAsia="Arial" w:hAnsi="Verdana" w:cs="Arial"/>
                <w:color w:val="000000" w:themeColor="text1"/>
                <w:sz w:val="16"/>
                <w:szCs w:val="16"/>
              </w:rPr>
              <w:t xml:space="preserve">dreina Cerpa Muñoz </w:t>
            </w:r>
          </w:p>
          <w:p w14:paraId="307925C6" w14:textId="77777777" w:rsidR="00652F21" w:rsidRPr="002423D6" w:rsidRDefault="00652F21" w:rsidP="00245CE3">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652F21" w:rsidRPr="002423D6" w14:paraId="5979AA11" w14:textId="77777777" w:rsidTr="00245CE3">
        <w:trPr>
          <w:trHeight w:val="330"/>
        </w:trPr>
        <w:tc>
          <w:tcPr>
            <w:tcW w:w="893" w:type="dxa"/>
            <w:vAlign w:val="center"/>
            <w:hideMark/>
          </w:tcPr>
          <w:p w14:paraId="60E9D658" w14:textId="77777777" w:rsidR="00652F21" w:rsidRPr="002423D6" w:rsidRDefault="00652F21" w:rsidP="00245CE3">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5D0DA8B" w14:textId="77777777" w:rsidR="00652F21" w:rsidRPr="002423D6" w:rsidRDefault="00652F21" w:rsidP="00245CE3">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Martha Alicia Romero Vargas</w:t>
            </w:r>
          </w:p>
          <w:p w14:paraId="385CC18A" w14:textId="77777777" w:rsidR="00652F21" w:rsidRPr="002423D6" w:rsidRDefault="00652F21" w:rsidP="00245CE3">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Gestor T1-15</w:t>
            </w:r>
            <w:r w:rsidRPr="002423D6">
              <w:rPr>
                <w:rStyle w:val="normaltextrun"/>
                <w:rFonts w:ascii="Verdana" w:hAnsi="Verdana" w:cs="Arial"/>
                <w:color w:val="000000" w:themeColor="text1"/>
                <w:sz w:val="16"/>
                <w:szCs w:val="16"/>
                <w:lang w:val="es-ES"/>
              </w:rPr>
              <w:t xml:space="preserve"> de la Subdirección de Gestión Contractual</w:t>
            </w:r>
            <w:r w:rsidRPr="002423D6">
              <w:rPr>
                <w:rStyle w:val="eop"/>
                <w:rFonts w:ascii="Verdana" w:hAnsi="Verdana" w:cs="Arial"/>
                <w:color w:val="000000" w:themeColor="text1"/>
                <w:sz w:val="16"/>
                <w:szCs w:val="16"/>
              </w:rPr>
              <w:t> </w:t>
            </w:r>
          </w:p>
        </w:tc>
      </w:tr>
      <w:tr w:rsidR="00652F21" w:rsidRPr="002423D6" w14:paraId="545D6213" w14:textId="77777777" w:rsidTr="00245CE3">
        <w:trPr>
          <w:trHeight w:val="300"/>
        </w:trPr>
        <w:tc>
          <w:tcPr>
            <w:tcW w:w="893" w:type="dxa"/>
            <w:vAlign w:val="center"/>
          </w:tcPr>
          <w:p w14:paraId="2B7E2D56" w14:textId="77777777" w:rsidR="00652F21" w:rsidRPr="002423D6" w:rsidRDefault="00652F21" w:rsidP="00245CE3">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29E09F2" w14:textId="77777777" w:rsidR="00652F21" w:rsidRPr="002423D6" w:rsidRDefault="00652F21" w:rsidP="00245CE3">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 xml:space="preserve">Carolina Quintero </w:t>
            </w:r>
            <w:proofErr w:type="spellStart"/>
            <w:r w:rsidRPr="002423D6">
              <w:rPr>
                <w:rFonts w:ascii="Verdana" w:eastAsia="Calibri" w:hAnsi="Verdana" w:cs="Arial"/>
                <w:color w:val="000000" w:themeColor="text1"/>
                <w:sz w:val="16"/>
                <w:szCs w:val="16"/>
                <w:lang w:val="pt-BR" w:eastAsia="es-ES"/>
              </w:rPr>
              <w:t>Gacharná</w:t>
            </w:r>
            <w:proofErr w:type="spellEnd"/>
          </w:p>
          <w:p w14:paraId="23F04A41" w14:textId="77777777" w:rsidR="00652F21" w:rsidRPr="002423D6" w:rsidRDefault="00652F21" w:rsidP="00245CE3">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w:t>
            </w:r>
            <w:proofErr w:type="spellStart"/>
            <w:r w:rsidRPr="002423D6">
              <w:rPr>
                <w:rFonts w:ascii="Verdana" w:eastAsia="Calibri" w:hAnsi="Verdana" w:cs="Arial"/>
                <w:color w:val="000000" w:themeColor="text1"/>
                <w:sz w:val="16"/>
                <w:szCs w:val="16"/>
                <w:lang w:val="pt-BR" w:eastAsia="es-ES"/>
              </w:rPr>
              <w:t>Contractual</w:t>
            </w:r>
            <w:proofErr w:type="spellEnd"/>
            <w:r w:rsidRPr="002423D6">
              <w:rPr>
                <w:rFonts w:ascii="Verdana" w:eastAsia="Calibri" w:hAnsi="Verdana" w:cs="Arial"/>
                <w:color w:val="000000" w:themeColor="text1"/>
                <w:sz w:val="16"/>
                <w:szCs w:val="16"/>
                <w:lang w:val="pt-BR" w:eastAsia="es-ES"/>
              </w:rPr>
              <w:t xml:space="preserve"> ANCP – CCE</w:t>
            </w:r>
          </w:p>
        </w:tc>
      </w:tr>
    </w:tbl>
    <w:p w14:paraId="5F75FCA5" w14:textId="77777777" w:rsidR="000F5A42" w:rsidRPr="00697D10" w:rsidRDefault="000F5A42" w:rsidP="00697D10"/>
    <w:sectPr w:rsidR="000F5A42" w:rsidRPr="00697D10" w:rsidSect="000202F1">
      <w:headerReference w:type="default" r:id="rId13"/>
      <w:footerReference w:type="default" r:id="rId14"/>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421690" w14:textId="77777777" w:rsidR="000E2202" w:rsidRDefault="000E2202">
      <w:pPr>
        <w:spacing w:after="0" w:line="240" w:lineRule="auto"/>
      </w:pPr>
      <w:r>
        <w:separator/>
      </w:r>
    </w:p>
  </w:endnote>
  <w:endnote w:type="continuationSeparator" w:id="0">
    <w:p w14:paraId="3A45EC1B" w14:textId="77777777" w:rsidR="000E2202" w:rsidRDefault="000E22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0CC340" w14:textId="77777777" w:rsidR="000202F1" w:rsidRDefault="000202F1" w:rsidP="000849D5">
    <w:pPr>
      <w:spacing w:after="0"/>
      <w:rPr>
        <w:rFonts w:ascii="Verdana" w:hAnsi="Verdana"/>
        <w:b/>
        <w:bCs/>
        <w:sz w:val="20"/>
        <w:szCs w:val="20"/>
      </w:rPr>
    </w:pPr>
  </w:p>
  <w:p w14:paraId="44AB561A" w14:textId="77777777" w:rsidR="000202F1" w:rsidRPr="00174B77" w:rsidRDefault="000202F1"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7C12F3D7" w14:textId="77777777" w:rsidR="000202F1" w:rsidRDefault="000202F1"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7E217B7C" w14:textId="77777777" w:rsidR="000202F1" w:rsidRPr="00E41027" w:rsidRDefault="000202F1" w:rsidP="000849D5">
    <w:pPr>
      <w:spacing w:after="0"/>
      <w:jc w:val="both"/>
      <w:rPr>
        <w:rFonts w:ascii="Verdana" w:hAnsi="Verdana"/>
        <w:sz w:val="18"/>
        <w:szCs w:val="18"/>
      </w:rPr>
    </w:pPr>
    <w:r w:rsidRPr="00E41027">
      <w:rPr>
        <w:rFonts w:ascii="Verdana" w:hAnsi="Verdana"/>
        <w:sz w:val="18"/>
        <w:szCs w:val="18"/>
      </w:rPr>
      <w:t>Mesa de servicio: (+57) 601 7456788</w:t>
    </w:r>
  </w:p>
  <w:p w14:paraId="658B31F7" w14:textId="77777777" w:rsidR="000202F1" w:rsidRDefault="000202F1"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2808BC8E" w14:textId="77777777" w:rsidR="000202F1" w:rsidRPr="007D04B2" w:rsidRDefault="000202F1" w:rsidP="000849D5">
    <w:pPr>
      <w:pStyle w:val="Piedepgina"/>
    </w:pPr>
  </w:p>
  <w:p w14:paraId="723655AC" w14:textId="77777777" w:rsidR="000202F1" w:rsidRPr="000849D5" w:rsidRDefault="000202F1"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19AB31" w14:textId="77777777" w:rsidR="000E2202" w:rsidRDefault="000E2202">
      <w:pPr>
        <w:spacing w:after="0" w:line="240" w:lineRule="auto"/>
      </w:pPr>
      <w:r>
        <w:separator/>
      </w:r>
    </w:p>
  </w:footnote>
  <w:footnote w:type="continuationSeparator" w:id="0">
    <w:p w14:paraId="3B3DF1B0" w14:textId="77777777" w:rsidR="000E2202" w:rsidRDefault="000E2202">
      <w:pPr>
        <w:spacing w:after="0" w:line="240" w:lineRule="auto"/>
      </w:pPr>
      <w:r>
        <w:continuationSeparator/>
      </w:r>
    </w:p>
  </w:footnote>
  <w:footnote w:id="1">
    <w:p w14:paraId="6F69F574" w14:textId="77777777" w:rsidR="00652F21" w:rsidRPr="000418A8" w:rsidRDefault="00652F21" w:rsidP="00652F21">
      <w:pPr>
        <w:pStyle w:val="NormalWeb"/>
        <w:snapToGrid w:val="0"/>
        <w:spacing w:before="0" w:beforeAutospacing="0" w:after="0" w:afterAutospacing="0"/>
        <w:ind w:firstLine="709"/>
        <w:contextualSpacing/>
        <w:jc w:val="both"/>
        <w:rPr>
          <w:rFonts w:ascii="Verdana" w:hAnsi="Verdana" w:cs="Arial"/>
          <w:sz w:val="16"/>
          <w:szCs w:val="16"/>
        </w:rPr>
      </w:pPr>
      <w:r w:rsidRPr="000418A8">
        <w:rPr>
          <w:rStyle w:val="Refdenotaalpie"/>
          <w:rFonts w:ascii="Verdana" w:eastAsiaTheme="majorEastAsia" w:hAnsi="Verdana" w:cs="Arial"/>
          <w:sz w:val="16"/>
          <w:szCs w:val="16"/>
        </w:rPr>
        <w:footnoteRef/>
      </w:r>
      <w:r w:rsidRPr="000418A8">
        <w:rPr>
          <w:rFonts w:ascii="Verdana" w:hAnsi="Verdana" w:cs="Arial"/>
          <w:sz w:val="16"/>
          <w:szCs w:val="16"/>
        </w:rPr>
        <w:t xml:space="preserve"> </w:t>
      </w:r>
      <w:r w:rsidRPr="000418A8">
        <w:rPr>
          <w:rFonts w:ascii="Verdana" w:hAnsi="Verdana" w:cs="Arial"/>
          <w:sz w:val="16"/>
          <w:szCs w:val="16"/>
          <w:lang w:val="es-ES"/>
        </w:rPr>
        <w:t>“</w:t>
      </w:r>
      <w:r w:rsidRPr="000418A8">
        <w:rPr>
          <w:rFonts w:ascii="Verdana" w:hAnsi="Verdana" w:cs="Arial"/>
          <w:sz w:val="16"/>
          <w:szCs w:val="16"/>
        </w:rPr>
        <w:t xml:space="preserve">Para poder participar en los procesos de selección de los contratos de obra, la capacidad residual del proponente o K de contratación deberá ser igual o superior al que la entidad haya establecido para el efecto en los pliegos de condiciones. </w:t>
      </w:r>
    </w:p>
    <w:p w14:paraId="4EFA4E10" w14:textId="77777777" w:rsidR="00652F21" w:rsidRPr="000418A8" w:rsidRDefault="00652F21" w:rsidP="00652F21">
      <w:pPr>
        <w:snapToGrid w:val="0"/>
        <w:spacing w:after="0" w:line="240" w:lineRule="auto"/>
        <w:ind w:firstLine="708"/>
        <w:contextualSpacing/>
        <w:jc w:val="both"/>
        <w:rPr>
          <w:rFonts w:ascii="Verdana" w:hAnsi="Verdana" w:cs="Arial"/>
          <w:sz w:val="16"/>
          <w:szCs w:val="16"/>
        </w:rPr>
      </w:pPr>
      <w:r w:rsidRPr="000418A8">
        <w:rPr>
          <w:rFonts w:ascii="Verdana" w:hAnsi="Verdana" w:cs="Arial"/>
          <w:sz w:val="16"/>
          <w:szCs w:val="16"/>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footnote>
  <w:footnote w:id="2">
    <w:p w14:paraId="73919D71" w14:textId="77777777" w:rsidR="00652F21" w:rsidRPr="000418A8" w:rsidRDefault="00652F21" w:rsidP="00652F21">
      <w:pPr>
        <w:pStyle w:val="Textonotapie"/>
        <w:ind w:firstLine="708"/>
        <w:contextualSpacing/>
        <w:jc w:val="both"/>
        <w:rPr>
          <w:rFonts w:ascii="Verdana" w:hAnsi="Verdana"/>
          <w:sz w:val="16"/>
          <w:szCs w:val="16"/>
        </w:rPr>
      </w:pPr>
      <w:r w:rsidRPr="000418A8">
        <w:rPr>
          <w:rStyle w:val="Refdenotaalpie"/>
          <w:rFonts w:ascii="Verdana" w:hAnsi="Verdana"/>
          <w:sz w:val="16"/>
          <w:szCs w:val="16"/>
        </w:rPr>
        <w:footnoteRef/>
      </w:r>
      <w:r w:rsidRPr="000418A8">
        <w:rPr>
          <w:rFonts w:ascii="Verdana" w:hAnsi="Verdana"/>
          <w:sz w:val="16"/>
          <w:szCs w:val="16"/>
        </w:rPr>
        <w:t xml:space="preserve"> El </w:t>
      </w:r>
      <w:r w:rsidRPr="000418A8">
        <w:rPr>
          <w:rFonts w:ascii="Verdana" w:eastAsia="Times New Roman" w:hAnsi="Verdana" w:cs="Arial"/>
          <w:sz w:val="16"/>
          <w:szCs w:val="16"/>
          <w:lang w:val="es-ES" w:eastAsia="es-MX"/>
        </w:rPr>
        <w:t>“Manual para determinar y verificar los requisitos habilitantes en los Procesos de Contratación”</w:t>
      </w:r>
      <w:r w:rsidRPr="000418A8">
        <w:rPr>
          <w:rFonts w:ascii="Verdana" w:eastAsia="Calibri" w:hAnsi="Verdana" w:cs="Arial"/>
          <w:sz w:val="16"/>
          <w:szCs w:val="16"/>
          <w:lang w:val="es-ES" w:eastAsia="es-MX"/>
        </w:rPr>
        <w:t>,</w:t>
      </w:r>
      <w:r w:rsidRPr="000418A8">
        <w:rPr>
          <w:rFonts w:ascii="Verdana" w:eastAsia="Times New Roman" w:hAnsi="Verdana" w:cs="Arial"/>
          <w:sz w:val="16"/>
          <w:szCs w:val="16"/>
          <w:lang w:val="es-ES" w:eastAsia="es-MX"/>
        </w:rPr>
        <w:t xml:space="preserve"> expedido por la </w:t>
      </w:r>
      <w:r w:rsidRPr="000418A8">
        <w:rPr>
          <w:rFonts w:ascii="Verdana" w:eastAsia="Calibri" w:hAnsi="Verdana" w:cs="Arial"/>
          <w:sz w:val="16"/>
          <w:szCs w:val="16"/>
          <w:lang w:val="es-ES" w:eastAsia="es-MX"/>
        </w:rPr>
        <w:t xml:space="preserve">Agencia Nacional de Contratación Pública – Colombia Compra Eficiente, puede ser consultado en el siguiente enlace: </w:t>
      </w:r>
      <w:hyperlink r:id="rId1" w:history="1">
        <w:r w:rsidRPr="000418A8">
          <w:rPr>
            <w:rStyle w:val="Hipervnculo"/>
            <w:rFonts w:ascii="Verdana" w:eastAsia="Calibri" w:hAnsi="Verdana" w:cs="Arial"/>
            <w:sz w:val="16"/>
            <w:szCs w:val="16"/>
            <w:lang w:val="es-ES" w:eastAsia="es-MX"/>
          </w:rPr>
          <w:t>https://colombiacompra.gov.co/sites/cce_public/files/cce_documents/cce-eicp-ma-04._manual_requisitos_habilitantes_v3_29-09-2023.pdf</w:t>
        </w:r>
      </w:hyperlink>
      <w:r w:rsidRPr="000418A8">
        <w:rPr>
          <w:rFonts w:ascii="Verdana" w:eastAsia="Calibri" w:hAnsi="Verdana" w:cs="Arial"/>
          <w:sz w:val="16"/>
          <w:szCs w:val="16"/>
          <w:lang w:val="es-ES" w:eastAsia="es-MX"/>
        </w:rPr>
        <w:t xml:space="preserve">  </w:t>
      </w:r>
    </w:p>
  </w:footnote>
  <w:footnote w:id="3">
    <w:p w14:paraId="3451EBE4" w14:textId="77777777" w:rsidR="00652F21" w:rsidRPr="000418A8" w:rsidRDefault="00652F21" w:rsidP="00652F21">
      <w:pPr>
        <w:pStyle w:val="NormalWeb"/>
        <w:snapToGrid w:val="0"/>
        <w:spacing w:before="0" w:beforeAutospacing="0" w:after="0" w:afterAutospacing="0"/>
        <w:ind w:firstLine="709"/>
        <w:contextualSpacing/>
        <w:jc w:val="both"/>
        <w:rPr>
          <w:rFonts w:ascii="Verdana" w:hAnsi="Verdana" w:cs="Arial"/>
          <w:sz w:val="16"/>
          <w:szCs w:val="16"/>
          <w:lang w:val="es-ES"/>
        </w:rPr>
      </w:pPr>
      <w:r w:rsidRPr="000418A8">
        <w:rPr>
          <w:rStyle w:val="Refdenotaalpie"/>
          <w:rFonts w:ascii="Verdana" w:eastAsiaTheme="majorEastAsia" w:hAnsi="Verdana" w:cs="Arial"/>
          <w:sz w:val="16"/>
          <w:szCs w:val="16"/>
        </w:rPr>
        <w:footnoteRef/>
      </w:r>
      <w:r w:rsidRPr="000418A8">
        <w:rPr>
          <w:rStyle w:val="Refdenotaalpie"/>
          <w:rFonts w:ascii="Verdana" w:eastAsiaTheme="majorEastAsia" w:hAnsi="Verdana" w:cs="Arial"/>
          <w:sz w:val="16"/>
          <w:szCs w:val="16"/>
        </w:rPr>
        <w:t xml:space="preserve"> </w:t>
      </w:r>
      <w:r w:rsidRPr="000418A8">
        <w:rPr>
          <w:rFonts w:ascii="Verdana" w:hAnsi="Verdana" w:cs="Arial"/>
          <w:sz w:val="16"/>
          <w:szCs w:val="16"/>
        </w:rPr>
        <w:t>“</w:t>
      </w:r>
      <w:r w:rsidRPr="000418A8">
        <w:rPr>
          <w:rFonts w:ascii="Verdana" w:hAnsi="Verdana" w:cs="Arial"/>
          <w:sz w:val="16"/>
          <w:szCs w:val="16"/>
          <w:lang w:val="es-ES"/>
        </w:rPr>
        <w:t>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45D35CC6" w14:textId="77777777" w:rsidR="00652F21" w:rsidRPr="0045027B" w:rsidRDefault="00652F21" w:rsidP="00652F21">
      <w:pPr>
        <w:pStyle w:val="NormalWeb"/>
        <w:snapToGrid w:val="0"/>
        <w:spacing w:before="0" w:beforeAutospacing="0" w:after="0" w:afterAutospacing="0"/>
        <w:ind w:firstLine="709"/>
        <w:contextualSpacing/>
        <w:jc w:val="both"/>
        <w:rPr>
          <w:rFonts w:ascii="Verdana" w:hAnsi="Verdana" w:cs="Arial"/>
          <w:sz w:val="16"/>
          <w:szCs w:val="16"/>
          <w:lang w:val="es-ES"/>
        </w:rPr>
      </w:pPr>
      <w:r w:rsidRPr="000418A8">
        <w:rPr>
          <w:rFonts w:ascii="Verdana" w:hAnsi="Verdana" w:cs="Arial"/>
          <w:sz w:val="16"/>
          <w:szCs w:val="16"/>
          <w:lang w:val="es-ES"/>
        </w:rPr>
        <w:t xml:space="preserve">Parágrafo Transitorio. De conformidad con los parágrafos transitorios de los artículos 2.2.1.1.1.5.2. y 2.2.1.1.1.5.6., yen desarrollo del deber de análisis de las Entidades Estatales, de que trata el artículo 2.2.1.1.1.6.1. de este Decreto, a partir del 1 de julio de 2021 las Entidades Estatales establecerán y evaluarán los requisitos habilitantes de capacidad financiera y organizacional teniendo en cuenta la información que </w:t>
      </w:r>
      <w:r w:rsidRPr="0045027B">
        <w:rPr>
          <w:rFonts w:ascii="Verdana" w:hAnsi="Verdana" w:cs="Arial"/>
          <w:sz w:val="16"/>
          <w:szCs w:val="16"/>
          <w:lang w:val="es-ES"/>
        </w:rPr>
        <w:t>conste en el Registro Único de Proponentes. En todo caso, se establecerán indicadores proporcionales al procedimiento de contratación.</w:t>
      </w:r>
    </w:p>
    <w:p w14:paraId="589AF4B1" w14:textId="77777777" w:rsidR="00652F21" w:rsidRPr="0045027B" w:rsidRDefault="00652F21" w:rsidP="00652F21">
      <w:pPr>
        <w:pStyle w:val="NormalWeb"/>
        <w:snapToGrid w:val="0"/>
        <w:spacing w:before="0" w:beforeAutospacing="0" w:after="0" w:afterAutospacing="0"/>
        <w:ind w:firstLine="708"/>
        <w:contextualSpacing/>
        <w:jc w:val="both"/>
        <w:rPr>
          <w:rFonts w:ascii="Verdana" w:hAnsi="Verdana" w:cs="Arial"/>
          <w:sz w:val="16"/>
          <w:szCs w:val="16"/>
          <w:lang w:val="es-ES"/>
        </w:rPr>
      </w:pPr>
      <w:r w:rsidRPr="0045027B">
        <w:rPr>
          <w:rFonts w:ascii="Verdana" w:hAnsi="Verdana" w:cs="Arial"/>
          <w:sz w:val="16"/>
          <w:szCs w:val="16"/>
          <w:lang w:val="es-ES"/>
        </w:rPr>
        <w:t>Para ello, atendiendo a las condiciones aludidas, en relación con los indicadores de la capacidad financiera y organizacional, de los procesos de selección cuyo acto administrativo de apertura o invitación se publique a partir del 1 de julio de 2021, se tendrá en cuenta la información vigente y en firme en el RUP, por lo que las Entidades Estatales evaluarán estos indicadores, teniendo en cuenta el mejor año fiscal que se refleje en el registro de cada proponente</w:t>
      </w:r>
      <w:r w:rsidRPr="0045027B">
        <w:rPr>
          <w:rFonts w:ascii="Verdana" w:hAnsi="Verdana" w:cs="Verdana"/>
          <w:sz w:val="16"/>
          <w:szCs w:val="16"/>
          <w:lang w:val="es-ES"/>
        </w:rPr>
        <w:t>”</w:t>
      </w:r>
      <w:r w:rsidRPr="0045027B">
        <w:rPr>
          <w:rFonts w:ascii="Verdana" w:hAnsi="Verdana" w:cs="Arial"/>
          <w:sz w:val="16"/>
          <w:szCs w:val="16"/>
          <w:lang w:val="es-ES"/>
        </w:rPr>
        <w:t>.</w:t>
      </w:r>
    </w:p>
    <w:p w14:paraId="4BA9FF32" w14:textId="77777777" w:rsidR="00652F21" w:rsidRPr="0045027B" w:rsidRDefault="00652F21" w:rsidP="00652F21">
      <w:pPr>
        <w:pStyle w:val="NormalWeb"/>
        <w:snapToGrid w:val="0"/>
        <w:spacing w:before="0" w:beforeAutospacing="0" w:after="0" w:afterAutospacing="0"/>
        <w:ind w:firstLine="708"/>
        <w:contextualSpacing/>
        <w:jc w:val="both"/>
        <w:rPr>
          <w:rStyle w:val="Refdenotaalpie"/>
          <w:rFonts w:ascii="Verdana" w:eastAsiaTheme="majorEastAsia" w:hAnsi="Verdana"/>
          <w:sz w:val="16"/>
          <w:szCs w:val="16"/>
        </w:rPr>
      </w:pPr>
    </w:p>
  </w:footnote>
  <w:footnote w:id="4">
    <w:p w14:paraId="53AFF349" w14:textId="77777777" w:rsidR="00652F21" w:rsidRPr="0045027B" w:rsidRDefault="00652F21" w:rsidP="00652F21">
      <w:pPr>
        <w:pStyle w:val="Textonotapie"/>
        <w:ind w:firstLine="708"/>
        <w:contextualSpacing/>
        <w:jc w:val="both"/>
        <w:rPr>
          <w:rFonts w:ascii="Verdana" w:hAnsi="Verdana"/>
          <w:sz w:val="16"/>
          <w:szCs w:val="16"/>
        </w:rPr>
      </w:pPr>
      <w:r w:rsidRPr="0045027B">
        <w:rPr>
          <w:rStyle w:val="Refdenotaalpie"/>
          <w:rFonts w:ascii="Verdana" w:hAnsi="Verdana"/>
          <w:sz w:val="16"/>
          <w:szCs w:val="16"/>
        </w:rPr>
        <w:footnoteRef/>
      </w:r>
      <w:r w:rsidRPr="0045027B">
        <w:rPr>
          <w:rFonts w:ascii="Verdana" w:hAnsi="Verdana"/>
          <w:sz w:val="16"/>
          <w:szCs w:val="16"/>
        </w:rPr>
        <w:t xml:space="preserve"> </w:t>
      </w:r>
      <w:bookmarkStart w:id="17" w:name="44"/>
      <w:r w:rsidRPr="0045027B">
        <w:rPr>
          <w:rFonts w:ascii="Verdana" w:hAnsi="Verdana"/>
          <w:sz w:val="16"/>
          <w:szCs w:val="16"/>
        </w:rPr>
        <w:t xml:space="preserve">Sobre el particular el </w:t>
      </w:r>
      <w:r w:rsidRPr="0045027B">
        <w:rPr>
          <w:rFonts w:ascii="Verdana" w:hAnsi="Verdana"/>
          <w:sz w:val="16"/>
          <w:szCs w:val="16"/>
          <w:lang w:val="es-CO"/>
        </w:rPr>
        <w:t>artículo 44 de la Ley 1437 de 2011, dispone: “Decisiones Discrecionales.</w:t>
      </w:r>
      <w:bookmarkEnd w:id="17"/>
      <w:r w:rsidRPr="0045027B">
        <w:rPr>
          <w:rFonts w:ascii="Verdana" w:hAnsi="Verdana"/>
          <w:sz w:val="16"/>
          <w:szCs w:val="16"/>
          <w:lang w:val="es-CO"/>
        </w:rPr>
        <w:t xml:space="preserve"> En la medida en que el contenido de una decisión de carácter general o particular sea discrecional, debe ser adecuada a los fines de la norma que la autoriza, y proporcional a los hechos que le sirven de causa”.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18E0B8" w14:textId="77777777" w:rsidR="000202F1" w:rsidRDefault="000202F1" w:rsidP="00515FB5">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08B61337" wp14:editId="4C0BC8A5">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7B1D4D76" wp14:editId="2E319ACF">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771C411" w14:textId="77777777" w:rsidR="000202F1" w:rsidRDefault="000202F1" w:rsidP="00515FB5">
    <w:pPr>
      <w:pStyle w:val="Encabezado"/>
    </w:pPr>
  </w:p>
  <w:p w14:paraId="227B961F" w14:textId="77777777" w:rsidR="000202F1" w:rsidRDefault="000202F1" w:rsidP="00515FB5">
    <w:pPr>
      <w:pStyle w:val="Encabezado"/>
    </w:pPr>
  </w:p>
  <w:p w14:paraId="7A3AE3D9" w14:textId="77777777" w:rsidR="000202F1" w:rsidRPr="00515FB5" w:rsidRDefault="000202F1"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4pt;height:10.4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79A5723"/>
    <w:multiLevelType w:val="hybridMultilevel"/>
    <w:tmpl w:val="28AEE5C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4" w15:restartNumberingAfterBreak="0">
    <w:nsid w:val="6F363AF7"/>
    <w:multiLevelType w:val="multilevel"/>
    <w:tmpl w:val="AD16C9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41274352">
    <w:abstractNumId w:val="0"/>
  </w:num>
  <w:num w:numId="2" w16cid:durableId="679089576">
    <w:abstractNumId w:val="2"/>
  </w:num>
  <w:num w:numId="3" w16cid:durableId="390349800">
    <w:abstractNumId w:val="3"/>
  </w:num>
  <w:num w:numId="4" w16cid:durableId="1200557552">
    <w:abstractNumId w:val="4"/>
  </w:num>
  <w:num w:numId="5" w16cid:durableId="1194183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02F1"/>
    <w:rsid w:val="00016B39"/>
    <w:rsid w:val="000202F1"/>
    <w:rsid w:val="000478A2"/>
    <w:rsid w:val="00074BAC"/>
    <w:rsid w:val="000E2202"/>
    <w:rsid w:val="000F5A42"/>
    <w:rsid w:val="00106AEB"/>
    <w:rsid w:val="001249CC"/>
    <w:rsid w:val="001F1FAE"/>
    <w:rsid w:val="00241171"/>
    <w:rsid w:val="00270311"/>
    <w:rsid w:val="002A1951"/>
    <w:rsid w:val="002B784D"/>
    <w:rsid w:val="00322426"/>
    <w:rsid w:val="00360197"/>
    <w:rsid w:val="003628F3"/>
    <w:rsid w:val="003722E7"/>
    <w:rsid w:val="003C460F"/>
    <w:rsid w:val="00442D83"/>
    <w:rsid w:val="004440C6"/>
    <w:rsid w:val="0055766B"/>
    <w:rsid w:val="00585373"/>
    <w:rsid w:val="005F2789"/>
    <w:rsid w:val="005F3027"/>
    <w:rsid w:val="00643E32"/>
    <w:rsid w:val="00652F21"/>
    <w:rsid w:val="00697D10"/>
    <w:rsid w:val="006A1278"/>
    <w:rsid w:val="00730AF7"/>
    <w:rsid w:val="00730CA0"/>
    <w:rsid w:val="00827273"/>
    <w:rsid w:val="00855793"/>
    <w:rsid w:val="0088092C"/>
    <w:rsid w:val="009F7E9D"/>
    <w:rsid w:val="00A12218"/>
    <w:rsid w:val="00A84167"/>
    <w:rsid w:val="00A90678"/>
    <w:rsid w:val="00AD7F29"/>
    <w:rsid w:val="00AE197B"/>
    <w:rsid w:val="00BF51E0"/>
    <w:rsid w:val="00C26FF5"/>
    <w:rsid w:val="00C3189A"/>
    <w:rsid w:val="00C76865"/>
    <w:rsid w:val="00CD511E"/>
    <w:rsid w:val="00D06118"/>
    <w:rsid w:val="00D6140B"/>
    <w:rsid w:val="00D90CF6"/>
    <w:rsid w:val="00DA0FB2"/>
    <w:rsid w:val="00E01B15"/>
    <w:rsid w:val="00EA32E4"/>
    <w:rsid w:val="00EC5E04"/>
    <w:rsid w:val="00F2299D"/>
    <w:rsid w:val="00F649C4"/>
    <w:rsid w:val="00F8230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951417"/>
  <w15:chartTrackingRefBased/>
  <w15:docId w15:val="{151E2A6A-BF08-4B73-8B07-F5B9B20B2D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02F1"/>
    <w:rPr>
      <w:kern w:val="0"/>
      <w14:ligatures w14:val="none"/>
    </w:rPr>
  </w:style>
  <w:style w:type="paragraph" w:styleId="Ttulo1">
    <w:name w:val="heading 1"/>
    <w:basedOn w:val="Normal"/>
    <w:next w:val="Normal"/>
    <w:link w:val="Ttulo1Car"/>
    <w:uiPriority w:val="9"/>
    <w:qFormat/>
    <w:rsid w:val="000202F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0202F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0202F1"/>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0202F1"/>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0202F1"/>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0202F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202F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202F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202F1"/>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202F1"/>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0202F1"/>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0202F1"/>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0202F1"/>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0202F1"/>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0202F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202F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202F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202F1"/>
    <w:rPr>
      <w:rFonts w:eastAsiaTheme="majorEastAsia" w:cstheme="majorBidi"/>
      <w:color w:val="272727" w:themeColor="text1" w:themeTint="D8"/>
    </w:rPr>
  </w:style>
  <w:style w:type="paragraph" w:styleId="Ttulo">
    <w:name w:val="Title"/>
    <w:basedOn w:val="Normal"/>
    <w:next w:val="Normal"/>
    <w:link w:val="TtuloCar"/>
    <w:uiPriority w:val="10"/>
    <w:qFormat/>
    <w:rsid w:val="000202F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202F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202F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202F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202F1"/>
    <w:pPr>
      <w:spacing w:before="160"/>
      <w:jc w:val="center"/>
    </w:pPr>
    <w:rPr>
      <w:i/>
      <w:iCs/>
      <w:color w:val="404040" w:themeColor="text1" w:themeTint="BF"/>
    </w:rPr>
  </w:style>
  <w:style w:type="character" w:customStyle="1" w:styleId="CitaCar">
    <w:name w:val="Cita Car"/>
    <w:basedOn w:val="Fuentedeprrafopredeter"/>
    <w:link w:val="Cita"/>
    <w:uiPriority w:val="29"/>
    <w:rsid w:val="000202F1"/>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0202F1"/>
    <w:pPr>
      <w:ind w:left="720"/>
      <w:contextualSpacing/>
    </w:pPr>
  </w:style>
  <w:style w:type="character" w:styleId="nfasisintenso">
    <w:name w:val="Intense Emphasis"/>
    <w:basedOn w:val="Fuentedeprrafopredeter"/>
    <w:uiPriority w:val="21"/>
    <w:qFormat/>
    <w:rsid w:val="000202F1"/>
    <w:rPr>
      <w:i/>
      <w:iCs/>
      <w:color w:val="0F4761" w:themeColor="accent1" w:themeShade="BF"/>
    </w:rPr>
  </w:style>
  <w:style w:type="paragraph" w:styleId="Citadestacada">
    <w:name w:val="Intense Quote"/>
    <w:basedOn w:val="Normal"/>
    <w:next w:val="Normal"/>
    <w:link w:val="CitadestacadaCar"/>
    <w:uiPriority w:val="30"/>
    <w:qFormat/>
    <w:rsid w:val="000202F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0202F1"/>
    <w:rPr>
      <w:i/>
      <w:iCs/>
      <w:color w:val="0F4761" w:themeColor="accent1" w:themeShade="BF"/>
    </w:rPr>
  </w:style>
  <w:style w:type="character" w:styleId="Referenciaintensa">
    <w:name w:val="Intense Reference"/>
    <w:basedOn w:val="Fuentedeprrafopredeter"/>
    <w:uiPriority w:val="32"/>
    <w:qFormat/>
    <w:rsid w:val="000202F1"/>
    <w:rPr>
      <w:b/>
      <w:bCs/>
      <w:smallCaps/>
      <w:color w:val="0F4761" w:themeColor="accent1" w:themeShade="BF"/>
      <w:spacing w:val="5"/>
    </w:rPr>
  </w:style>
  <w:style w:type="paragraph" w:styleId="Encabezado">
    <w:name w:val="header"/>
    <w:basedOn w:val="Normal"/>
    <w:link w:val="EncabezadoCar"/>
    <w:uiPriority w:val="99"/>
    <w:unhideWhenUsed/>
    <w:rsid w:val="000202F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202F1"/>
    <w:rPr>
      <w:kern w:val="0"/>
      <w14:ligatures w14:val="none"/>
    </w:rPr>
  </w:style>
  <w:style w:type="paragraph" w:styleId="Piedepgina">
    <w:name w:val="footer"/>
    <w:basedOn w:val="Normal"/>
    <w:link w:val="PiedepginaCar"/>
    <w:uiPriority w:val="99"/>
    <w:unhideWhenUsed/>
    <w:rsid w:val="000202F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202F1"/>
    <w:rPr>
      <w:kern w:val="0"/>
      <w14:ligatures w14:val="none"/>
    </w:rPr>
  </w:style>
  <w:style w:type="table" w:styleId="Tablaconcuadrcula">
    <w:name w:val="Table Grid"/>
    <w:basedOn w:val="Tablanormal"/>
    <w:uiPriority w:val="39"/>
    <w:qFormat/>
    <w:rsid w:val="000202F1"/>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0202F1"/>
    <w:rPr>
      <w:color w:val="467886" w:themeColor="hyperlink"/>
      <w:u w:val="single"/>
    </w:rPr>
  </w:style>
  <w:style w:type="character" w:customStyle="1" w:styleId="normaltextrun">
    <w:name w:val="normaltextrun"/>
    <w:basedOn w:val="Fuentedeprrafopredeter"/>
    <w:rsid w:val="000202F1"/>
  </w:style>
  <w:style w:type="character" w:customStyle="1" w:styleId="eop">
    <w:name w:val="eop"/>
    <w:basedOn w:val="Fuentedeprrafopredeter"/>
    <w:rsid w:val="000202F1"/>
  </w:style>
  <w:style w:type="paragraph" w:customStyle="1" w:styleId="paragraph">
    <w:name w:val="paragraph"/>
    <w:basedOn w:val="Normal"/>
    <w:rsid w:val="000202F1"/>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202F1"/>
  </w:style>
  <w:style w:type="paragraph" w:styleId="NormalWeb">
    <w:name w:val="Normal (Web)"/>
    <w:basedOn w:val="Normal"/>
    <w:link w:val="NormalWebCar"/>
    <w:uiPriority w:val="99"/>
    <w:unhideWhenUsed/>
    <w:rsid w:val="000202F1"/>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locked/>
    <w:rsid w:val="000202F1"/>
    <w:rPr>
      <w:rFonts w:ascii="Times New Roman" w:eastAsia="Times New Roman" w:hAnsi="Times New Roman" w:cs="Times New Roman"/>
      <w:kern w:val="0"/>
      <w:sz w:val="24"/>
      <w:szCs w:val="24"/>
      <w:lang w:eastAsia="es-CO"/>
      <w14:ligatures w14:val="none"/>
    </w:rPr>
  </w:style>
  <w:style w:type="character" w:styleId="Mencinsinresolver">
    <w:name w:val="Unresolved Mention"/>
    <w:basedOn w:val="Fuentedeprrafopredeter"/>
    <w:uiPriority w:val="99"/>
    <w:semiHidden/>
    <w:unhideWhenUsed/>
    <w:rsid w:val="00EA32E4"/>
    <w:rPr>
      <w:color w:val="605E5C"/>
      <w:shd w:val="clear" w:color="auto" w:fill="E1DFDD"/>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E01B15"/>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E01B15"/>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E01B15"/>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E01B15"/>
    <w:rPr>
      <w:vertAlign w:val="superscript"/>
    </w:rPr>
  </w:style>
  <w:style w:type="paragraph" w:customStyle="1" w:styleId="Appelnotedebasde">
    <w:name w:val="Appel note de bas de..."/>
    <w:basedOn w:val="Normal"/>
    <w:link w:val="Refdenotaalpie"/>
    <w:uiPriority w:val="99"/>
    <w:rsid w:val="00E01B15"/>
    <w:pPr>
      <w:spacing w:line="240" w:lineRule="exact"/>
    </w:pPr>
    <w:rPr>
      <w:kern w:val="2"/>
      <w:vertAlign w:val="superscript"/>
      <w14:ligatures w14:val="standardContextual"/>
    </w:rPr>
  </w:style>
  <w:style w:type="paragraph" w:customStyle="1" w:styleId="Car1">
    <w:name w:val="Car1"/>
    <w:basedOn w:val="Normal"/>
    <w:next w:val="Textonotapie"/>
    <w:uiPriority w:val="99"/>
    <w:unhideWhenUsed/>
    <w:qFormat/>
    <w:rsid w:val="00E01B15"/>
    <w:pPr>
      <w:spacing w:after="0" w:line="240" w:lineRule="auto"/>
    </w:pPr>
    <w:rPr>
      <w:sz w:val="20"/>
      <w:szCs w:val="20"/>
      <w:lang w:val="es-MX"/>
    </w:rPr>
  </w:style>
  <w:style w:type="paragraph" w:styleId="Textoindependiente">
    <w:name w:val="Body Text"/>
    <w:basedOn w:val="Normal"/>
    <w:link w:val="TextoindependienteCar"/>
    <w:uiPriority w:val="1"/>
    <w:qFormat/>
    <w:rsid w:val="001249CC"/>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1249CC"/>
    <w:rPr>
      <w:rFonts w:ascii="Verdana" w:eastAsia="Verdana" w:hAnsi="Verdana" w:cs="Verdana"/>
      <w:kern w:val="0"/>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otonortegreen@gmail.com" TargetMode="External"/><Relationship Id="rId13" Type="http://schemas.openxmlformats.org/officeDocument/2006/relationships/header" Target="header1.xml"/><Relationship Id="rId1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3.png"/><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olombiacompra.gov.co"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relatoria.colombiacompra.gov.co/busqueda/conceptos" TargetMode="External"/><Relationship Id="rId19"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hyperlink" Target="https://operaciones.colombiacompra.gov.co/sites/cce_public/files/cce_documents/cce-eicp-ma-04._manual_requisitos_habilitantes_v3_29-09-2023.pdf" TargetMode="Externa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sites/cce_public/files/cce_documents/cce-eicp-ma-04._manual_requisitos_habilitantes_v3_29-09-2023.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66A5F71-C3AB-48D1-AC6E-F0620305797E}"/>
</file>

<file path=customXml/itemProps2.xml><?xml version="1.0" encoding="utf-8"?>
<ds:datastoreItem xmlns:ds="http://schemas.openxmlformats.org/officeDocument/2006/customXml" ds:itemID="{618576BB-58E7-4651-8EA0-81D1EFB17E93}"/>
</file>

<file path=customXml/itemProps3.xml><?xml version="1.0" encoding="utf-8"?>
<ds:datastoreItem xmlns:ds="http://schemas.openxmlformats.org/officeDocument/2006/customXml" ds:itemID="{7437251B-88B1-4A31-8594-3BBE91DB94AE}"/>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184</TotalTime>
  <Pages>15</Pages>
  <Words>4741</Words>
  <Characters>26080</Characters>
  <Application>Microsoft Office Word</Application>
  <DocSecurity>0</DocSecurity>
  <Lines>217</Lines>
  <Paragraphs>61</Paragraphs>
  <ScaleCrop>false</ScaleCrop>
  <Company/>
  <LinksUpToDate>false</LinksUpToDate>
  <CharactersWithSpaces>30760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44</cp:revision>
  <dcterms:created xsi:type="dcterms:W3CDTF">2026-03-30T20:27:00Z</dcterms:created>
  <dcterms:modified xsi:type="dcterms:W3CDTF">2026-04-30T18:10:00Z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