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15F3D" w14:textId="77777777" w:rsidR="00386C8E" w:rsidRDefault="00386C8E" w:rsidP="00386C8E">
      <w:pPr>
        <w:spacing w:after="0" w:line="240" w:lineRule="auto"/>
        <w:rPr>
          <w:rFonts w:ascii="Verdana" w:eastAsia="Calibri" w:hAnsi="Verdana" w:cs="Arial"/>
          <w:b/>
          <w:bCs/>
          <w:lang w:val="es-ES" w:eastAsia="es-ES"/>
        </w:rPr>
      </w:pPr>
      <w:bookmarkStart w:id="0" w:name="_Hlk143780582"/>
    </w:p>
    <w:p w14:paraId="450DF006" w14:textId="2E923CD7" w:rsidR="00386C8E" w:rsidRPr="00F33A3B" w:rsidRDefault="00386C8E" w:rsidP="00386C8E">
      <w:pPr>
        <w:rPr>
          <w:rFonts w:ascii="Verdana" w:eastAsia="Aptos" w:hAnsi="Verdana" w:cs="Arial"/>
          <w:b/>
          <w:bCs/>
          <w:lang w:val="es-MX" w:eastAsia="es-ES"/>
        </w:rPr>
      </w:pPr>
      <w:r w:rsidRPr="00DB7533">
        <w:rPr>
          <w:rFonts w:ascii="Verdana" w:eastAsia="Aptos" w:hAnsi="Verdana" w:cs="Arial"/>
          <w:b/>
          <w:bCs/>
          <w:lang w:val="es-MX" w:eastAsia="es-ES"/>
        </w:rPr>
        <w:t xml:space="preserve">LEY DE GARANTÍAS ELECTORALES ‒ Finalidad </w:t>
      </w:r>
    </w:p>
    <w:p w14:paraId="08F900A9" w14:textId="3B34CD9C" w:rsidR="00386C8E" w:rsidRDefault="00386C8E" w:rsidP="00386C8E">
      <w:pPr>
        <w:jc w:val="both"/>
        <w:rPr>
          <w:rFonts w:ascii="Verdana" w:eastAsia="Calibri" w:hAnsi="Verdana" w:cs="Arial"/>
          <w:sz w:val="20"/>
          <w:szCs w:val="20"/>
        </w:rPr>
      </w:pPr>
      <w:r w:rsidRPr="00410D8E">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410D8E">
        <w:rPr>
          <w:rFonts w:ascii="Verdana" w:eastAsia="Calibri" w:hAnsi="Verdana" w:cs="Arial"/>
          <w:i/>
          <w:sz w:val="20"/>
          <w:szCs w:val="20"/>
        </w:rPr>
        <w:t xml:space="preserve">. </w:t>
      </w:r>
      <w:r w:rsidRPr="00410D8E">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electoral</w:t>
      </w:r>
    </w:p>
    <w:p w14:paraId="539B0226" w14:textId="77777777" w:rsidR="00386C8E" w:rsidRDefault="00386C8E" w:rsidP="00386C8E">
      <w:pPr>
        <w:jc w:val="both"/>
        <w:rPr>
          <w:rFonts w:ascii="Verdana" w:eastAsia="Aptos" w:hAnsi="Verdana" w:cs="Arial"/>
          <w:b/>
          <w:bCs/>
          <w:lang w:val="es-MX" w:eastAsia="es-ES"/>
        </w:rPr>
      </w:pPr>
      <w:r w:rsidRPr="00410D8E">
        <w:rPr>
          <w:rFonts w:ascii="Verdana" w:eastAsia="Aptos" w:hAnsi="Verdana" w:cs="Arial"/>
          <w:b/>
          <w:bCs/>
          <w:lang w:val="es-MX" w:eastAsia="es-ES"/>
        </w:rPr>
        <w:t xml:space="preserve">LEY DE GARANTÍAS ELECTORALES ‒ Tipos de restricciones ‒ Ámbito temporal – Celebración </w:t>
      </w:r>
      <w:r>
        <w:rPr>
          <w:rFonts w:ascii="Verdana" w:eastAsia="Aptos" w:hAnsi="Verdana" w:cs="Arial"/>
          <w:b/>
          <w:bCs/>
          <w:lang w:val="es-MX" w:eastAsia="es-ES"/>
        </w:rPr>
        <w:t>–</w:t>
      </w:r>
      <w:r w:rsidRPr="00410D8E">
        <w:rPr>
          <w:rFonts w:ascii="Verdana" w:eastAsia="Aptos" w:hAnsi="Verdana" w:cs="Arial"/>
          <w:b/>
          <w:bCs/>
          <w:lang w:val="es-MX" w:eastAsia="es-ES"/>
        </w:rPr>
        <w:t xml:space="preserve"> Límite</w:t>
      </w:r>
    </w:p>
    <w:p w14:paraId="7CAE52D4" w14:textId="77777777" w:rsidR="00386C8E" w:rsidRPr="00E93D58" w:rsidRDefault="00386C8E" w:rsidP="00386C8E">
      <w:pPr>
        <w:spacing w:after="0" w:line="240" w:lineRule="auto"/>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46AC85DA" w14:textId="77777777" w:rsidR="00386C8E" w:rsidRPr="00E93D58" w:rsidRDefault="00386C8E" w:rsidP="00386C8E">
      <w:pPr>
        <w:spacing w:after="0" w:line="240" w:lineRule="auto"/>
        <w:jc w:val="both"/>
        <w:rPr>
          <w:rFonts w:ascii="Verdana" w:eastAsia="Times New Roman" w:hAnsi="Verdana" w:cs="Arial"/>
          <w:sz w:val="20"/>
          <w:szCs w:val="20"/>
          <w:lang w:val="es-MX" w:eastAsia="es-CO"/>
        </w:rPr>
      </w:pPr>
    </w:p>
    <w:p w14:paraId="6397D954" w14:textId="77777777" w:rsidR="00386C8E" w:rsidRDefault="00386C8E" w:rsidP="00386C8E">
      <w:pPr>
        <w:spacing w:after="0" w:line="240" w:lineRule="auto"/>
        <w:contextualSpacing/>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93D58">
        <w:rPr>
          <w:rFonts w:ascii="Verdana" w:eastAsia="Times New Roman" w:hAnsi="Verdana" w:cs="Arial"/>
          <w:sz w:val="20"/>
          <w:szCs w:val="20"/>
          <w:lang w:val="es-MX" w:eastAsia="es-CO"/>
        </w:rPr>
        <w:t>legis</w:t>
      </w:r>
      <w:proofErr w:type="spellEnd"/>
      <w:r w:rsidRPr="00E93D58">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2E17220" w14:textId="77777777" w:rsidR="00386C8E" w:rsidRPr="00E93D58" w:rsidRDefault="00386C8E" w:rsidP="00386C8E">
      <w:pPr>
        <w:spacing w:after="0" w:line="240" w:lineRule="auto"/>
        <w:contextualSpacing/>
        <w:jc w:val="both"/>
        <w:rPr>
          <w:rFonts w:ascii="Verdana" w:eastAsia="Times New Roman" w:hAnsi="Verdana" w:cs="Arial"/>
          <w:sz w:val="20"/>
          <w:szCs w:val="20"/>
          <w:lang w:val="es-MX" w:eastAsia="es-CO"/>
        </w:rPr>
      </w:pPr>
    </w:p>
    <w:p w14:paraId="4DE43AB2" w14:textId="77777777" w:rsidR="00386C8E" w:rsidRPr="00E93D58" w:rsidRDefault="00386C8E" w:rsidP="00386C8E">
      <w:pPr>
        <w:spacing w:after="0" w:line="240" w:lineRule="auto"/>
        <w:contextualSpacing/>
        <w:jc w:val="both"/>
        <w:rPr>
          <w:rFonts w:ascii="Verdana" w:eastAsia="Times New Roman" w:hAnsi="Verdana" w:cs="Arial"/>
          <w:sz w:val="20"/>
          <w:szCs w:val="20"/>
          <w:lang w:val="es-MX" w:eastAsia="es-CO"/>
        </w:rPr>
      </w:pPr>
    </w:p>
    <w:p w14:paraId="47ACAF48" w14:textId="77777777" w:rsidR="00386C8E" w:rsidRDefault="00386C8E" w:rsidP="00386C8E">
      <w:pPr>
        <w:spacing w:after="0" w:line="276" w:lineRule="auto"/>
        <w:jc w:val="both"/>
        <w:rPr>
          <w:rFonts w:ascii="Verdana" w:eastAsia="Aptos" w:hAnsi="Verdana" w:cs="Arial"/>
          <w:b/>
          <w:bCs/>
          <w:lang w:val="es-MX" w:eastAsia="es-ES"/>
        </w:rPr>
      </w:pPr>
      <w:r w:rsidRPr="00653699">
        <w:rPr>
          <w:rFonts w:ascii="Verdana" w:eastAsia="Aptos" w:hAnsi="Verdana" w:cs="Arial"/>
          <w:b/>
          <w:bCs/>
          <w:lang w:val="es-MX" w:eastAsia="es-ES"/>
        </w:rPr>
        <w:t>LEY DE GARANTÍAS ELECTORALES – Prohibición – Artículo 33 – Contratación directa – Alcance</w:t>
      </w:r>
    </w:p>
    <w:p w14:paraId="46CD3738" w14:textId="77777777" w:rsidR="00386C8E" w:rsidRDefault="00386C8E" w:rsidP="00386C8E">
      <w:pPr>
        <w:spacing w:after="0" w:line="276" w:lineRule="auto"/>
        <w:jc w:val="both"/>
        <w:rPr>
          <w:rFonts w:ascii="Verdana" w:eastAsia="Aptos" w:hAnsi="Verdana" w:cs="Arial"/>
          <w:b/>
          <w:bCs/>
          <w:lang w:val="es-MX" w:eastAsia="es-ES"/>
        </w:rPr>
      </w:pPr>
    </w:p>
    <w:p w14:paraId="731DEF62" w14:textId="12A7DFEF" w:rsidR="00B32D95" w:rsidRPr="00386C8E" w:rsidRDefault="00386C8E" w:rsidP="00386C8E">
      <w:pPr>
        <w:spacing w:after="120" w:line="276" w:lineRule="auto"/>
        <w:jc w:val="both"/>
        <w:rPr>
          <w:rFonts w:ascii="Verdana" w:eastAsia="Arial" w:hAnsi="Verdana" w:cs="Arial"/>
          <w:sz w:val="20"/>
          <w:szCs w:val="20"/>
          <w:lang w:val="es-ES" w:eastAsia="es-ES" w:bidi="es-ES"/>
        </w:rPr>
      </w:pPr>
      <w:r w:rsidRPr="00B27122">
        <w:rPr>
          <w:rFonts w:ascii="Verdana" w:eastAsia="Times New Roman" w:hAnsi="Verdana" w:cs="Arial"/>
          <w:sz w:val="20"/>
          <w:szCs w:val="20"/>
          <w:lang w:val="es-MX" w:eastAsia="es-CO"/>
        </w:rPr>
        <w:t>De</w:t>
      </w:r>
      <w:r w:rsidRPr="00B27122">
        <w:rPr>
          <w:rFonts w:ascii="Verdana" w:eastAsia="Arial" w:hAnsi="Verdana" w:cs="Arial"/>
          <w:sz w:val="20"/>
          <w:szCs w:val="20"/>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5D9EC449" w14:textId="2FE38F3F" w:rsidR="00A57EA0" w:rsidRPr="00A57EA0" w:rsidRDefault="00C15139" w:rsidP="00A57EA0">
      <w:pPr>
        <w:spacing w:after="0"/>
      </w:pPr>
      <w:r>
        <w:lastRenderedPageBreak/>
        <w:tab/>
      </w:r>
      <w:r>
        <w:br/>
      </w:r>
      <w:r>
        <w:tab/>
      </w:r>
      <w:r w:rsidR="00A57EA0">
        <w:t xml:space="preserve">                                                                                       </w:t>
      </w:r>
      <w:r w:rsidR="00A57EA0" w:rsidRPr="00F36E61">
        <w:rPr>
          <w:rFonts w:ascii="Verdana" w:eastAsia="Calibri" w:hAnsi="Verdana" w:cs="Arial"/>
          <w:noProof/>
          <w:lang w:val="es-ES" w:eastAsia="es-ES"/>
        </w:rPr>
        <w:drawing>
          <wp:inline distT="0" distB="0" distL="0" distR="0" wp14:anchorId="3BDDAA39" wp14:editId="25FB9F7F">
            <wp:extent cx="2235220" cy="619125"/>
            <wp:effectExtent l="0" t="0" r="0" b="0"/>
            <wp:docPr id="8344414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5220" cy="619125"/>
                    </a:xfrm>
                    <a:prstGeom prst="rect">
                      <a:avLst/>
                    </a:prstGeom>
                    <a:noFill/>
                    <a:ln>
                      <a:noFill/>
                    </a:ln>
                  </pic:spPr>
                </pic:pic>
              </a:graphicData>
            </a:graphic>
          </wp:inline>
        </w:drawing>
      </w:r>
      <w:r w:rsidR="00A57EA0" w:rsidRPr="00A57EA0">
        <w:rPr>
          <w:rFonts w:ascii="Verdana" w:hAnsi="Verdana"/>
        </w:rPr>
        <w:t>Bogotá D.C., 28 Abril 2026</w:t>
      </w:r>
    </w:p>
    <w:p w14:paraId="45A9972C" w14:textId="0F47313C" w:rsidR="009A4CD3" w:rsidRPr="00F36E61" w:rsidRDefault="00F36E61" w:rsidP="00F36E61">
      <w:pPr>
        <w:spacing w:after="0"/>
        <w:rPr>
          <w:rFonts w:ascii="Verdana" w:eastAsia="Verdana" w:hAnsi="Verdana" w:cs="Verdana"/>
        </w:rPr>
      </w:pPr>
      <w:r>
        <w:t xml:space="preserve">                                                                                              </w:t>
      </w:r>
    </w:p>
    <w:p w14:paraId="16195AC3" w14:textId="77777777" w:rsidR="009A4CD3" w:rsidRDefault="009A4CD3" w:rsidP="009A4CD3">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65BBB445" w14:textId="77777777" w:rsidR="009A4CD3" w:rsidRPr="00A57EA0" w:rsidRDefault="009A4CD3" w:rsidP="009A4CD3">
      <w:pPr>
        <w:spacing w:after="0" w:line="240" w:lineRule="auto"/>
        <w:rPr>
          <w:rFonts w:ascii="Verdana" w:eastAsia="Calibri" w:hAnsi="Verdana" w:cs="Arial"/>
          <w:b/>
          <w:bCs/>
          <w:lang w:eastAsia="es-ES"/>
        </w:rPr>
      </w:pPr>
      <w:r w:rsidRPr="00A57EA0">
        <w:rPr>
          <w:rFonts w:ascii="Verdana" w:eastAsia="Calibri" w:hAnsi="Verdana" w:cs="Arial"/>
          <w:b/>
          <w:bCs/>
          <w:lang w:eastAsia="es-ES"/>
        </w:rPr>
        <w:t xml:space="preserve">David Santiago Castro Muneva </w:t>
      </w:r>
    </w:p>
    <w:p w14:paraId="6CFF9534" w14:textId="77777777" w:rsidR="009A4CD3" w:rsidRPr="00A16D12" w:rsidRDefault="009A4CD3" w:rsidP="009A4CD3">
      <w:pPr>
        <w:spacing w:after="0" w:line="240" w:lineRule="auto"/>
        <w:rPr>
          <w:rFonts w:ascii="Verdana" w:eastAsia="Calibri" w:hAnsi="Verdana" w:cs="Arial"/>
          <w:lang w:val="en-US" w:eastAsia="es-ES"/>
        </w:rPr>
      </w:pPr>
      <w:r w:rsidRPr="00A16D12">
        <w:rPr>
          <w:rFonts w:ascii="Verdana" w:eastAsia="Calibri" w:hAnsi="Verdana" w:cs="Arial"/>
          <w:lang w:val="en-US" w:eastAsia="es-ES"/>
        </w:rPr>
        <w:t>dvcastro97@gmail.com</w:t>
      </w:r>
    </w:p>
    <w:p w14:paraId="240BD970" w14:textId="77777777" w:rsidR="009A4CD3" w:rsidRPr="008F670B" w:rsidRDefault="009A4CD3" w:rsidP="009A4CD3">
      <w:pPr>
        <w:spacing w:after="0" w:line="240" w:lineRule="auto"/>
        <w:rPr>
          <w:rFonts w:ascii="Verdana" w:eastAsia="Times New Roman" w:hAnsi="Verdana" w:cs="Calibri"/>
          <w:lang w:val="en-US" w:eastAsia="es-CO"/>
        </w:rPr>
      </w:pPr>
      <w:r w:rsidRPr="008F670B">
        <w:rPr>
          <w:rFonts w:ascii="Verdana" w:eastAsia="Times New Roman" w:hAnsi="Verdana" w:cs="Calibri"/>
          <w:lang w:val="en-US" w:eastAsia="es-CO"/>
        </w:rPr>
        <w:t>Ciudad</w:t>
      </w:r>
    </w:p>
    <w:p w14:paraId="75A166BD" w14:textId="77777777" w:rsidR="009A4CD3" w:rsidRPr="006209EF" w:rsidRDefault="009A4CD3" w:rsidP="009A4CD3">
      <w:pPr>
        <w:spacing w:after="0"/>
        <w:rPr>
          <w:rFonts w:ascii="Verdana" w:eastAsia="Calibri" w:hAnsi="Verdana" w:cs="Arial"/>
          <w:color w:val="ED7D31" w:themeColor="accent2"/>
          <w:lang w:val="es-MX" w:eastAsia="es-ES"/>
        </w:rPr>
      </w:pPr>
    </w:p>
    <w:p w14:paraId="4BEF64AF" w14:textId="77777777" w:rsidR="009A4CD3" w:rsidRPr="006733BD" w:rsidRDefault="009A4CD3" w:rsidP="009A4CD3">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A4CD3" w:rsidRPr="006733BD" w14:paraId="61F1F091" w14:textId="77777777" w:rsidTr="00EA2F5A">
        <w:trPr>
          <w:trHeight w:val="300"/>
        </w:trPr>
        <w:tc>
          <w:tcPr>
            <w:tcW w:w="2410" w:type="dxa"/>
          </w:tcPr>
          <w:p w14:paraId="39F66983" w14:textId="77777777" w:rsidR="009A4CD3" w:rsidRDefault="009A4CD3" w:rsidP="00EA2F5A">
            <w:pPr>
              <w:ind w:left="-142"/>
              <w:jc w:val="both"/>
              <w:rPr>
                <w:rFonts w:ascii="Verdana" w:eastAsia="Calibri" w:hAnsi="Verdana" w:cs="Arial"/>
                <w:b/>
                <w:bCs/>
                <w:lang w:val="es-ES" w:eastAsia="es-ES_tradnl"/>
              </w:rPr>
            </w:pPr>
          </w:p>
          <w:p w14:paraId="3D3A9B8F" w14:textId="77777777" w:rsidR="009A4CD3" w:rsidRPr="00A54BCB" w:rsidRDefault="009A4CD3" w:rsidP="00EA2F5A">
            <w:pPr>
              <w:ind w:left="-142"/>
              <w:jc w:val="both"/>
              <w:rPr>
                <w:rFonts w:ascii="Verdana" w:eastAsia="Calibri" w:hAnsi="Verdana" w:cs="Arial"/>
                <w:b/>
                <w:bCs/>
                <w:lang w:val="es-ES" w:eastAsia="es-ES_tradnl"/>
              </w:rPr>
            </w:pPr>
          </w:p>
        </w:tc>
        <w:tc>
          <w:tcPr>
            <w:tcW w:w="6100" w:type="dxa"/>
          </w:tcPr>
          <w:p w14:paraId="0C6E960B" w14:textId="77777777" w:rsidR="009A4CD3" w:rsidRPr="00A54BCB" w:rsidRDefault="009A4CD3" w:rsidP="00EA2F5A">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434</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097ED65A" w14:textId="77777777" w:rsidR="009A4CD3" w:rsidRPr="00305400" w:rsidRDefault="009A4CD3" w:rsidP="00EA2F5A">
            <w:pPr>
              <w:ind w:left="3"/>
              <w:jc w:val="both"/>
              <w:rPr>
                <w:rFonts w:ascii="Verdana" w:eastAsia="Calibri" w:hAnsi="Verdana" w:cs="Arial"/>
                <w:b/>
                <w:bCs/>
                <w:lang w:eastAsia="es-ES"/>
              </w:rPr>
            </w:pPr>
          </w:p>
        </w:tc>
      </w:tr>
      <w:tr w:rsidR="009A4CD3" w:rsidRPr="006733BD" w14:paraId="4FEE20BF" w14:textId="77777777" w:rsidTr="00EA2F5A">
        <w:trPr>
          <w:trHeight w:val="300"/>
        </w:trPr>
        <w:tc>
          <w:tcPr>
            <w:tcW w:w="2410" w:type="dxa"/>
          </w:tcPr>
          <w:p w14:paraId="19A6DB85" w14:textId="77777777" w:rsidR="009A4CD3" w:rsidRPr="006733BD" w:rsidRDefault="009A4CD3" w:rsidP="00EA2F5A">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314045EC" w14:textId="77777777" w:rsidR="009A4CD3" w:rsidRPr="008D79BB" w:rsidRDefault="009A4CD3" w:rsidP="00EA2F5A">
            <w:pPr>
              <w:spacing w:line="276" w:lineRule="auto"/>
              <w:jc w:val="both"/>
              <w:rPr>
                <w:rFonts w:ascii="Verdana" w:eastAsia="Calibri" w:hAnsi="Verdana" w:cs="Arial"/>
                <w:lang w:eastAsia="es-ES"/>
              </w:rPr>
            </w:pPr>
            <w:r w:rsidRPr="00343E12">
              <w:rPr>
                <w:rFonts w:ascii="Verdana" w:eastAsia="Aptos" w:hAnsi="Verdana" w:cs="Arial"/>
                <w:lang w:val="es-MX" w:eastAsia="es-ES"/>
              </w:rPr>
              <w:t xml:space="preserve">LEY DE GARANTÍAS ELECTORALES ‒ Finalidad / LEY DE GARANTÍAS ELECTORALES ‒ Tipos de restricciones ‒ Ámbito temporal – Celebración - Límite / LEY DE GARANTÍAS ELECTORALES – Prohibición – Artículo 33 – Contratación directa – Alcance / LEY DE GARANTÍAS ELECTORALES – Excepciones / </w:t>
            </w:r>
            <w:r w:rsidRPr="00343E12">
              <w:rPr>
                <w:rFonts w:ascii="Verdana" w:eastAsia="Times New Roman" w:hAnsi="Verdana" w:cs="Arial"/>
                <w:color w:val="000000"/>
                <w:lang w:val="es-ES"/>
              </w:rPr>
              <w:t xml:space="preserve">LEY DE GARANTÍAS ELECTORALES – Excepciones – Destinatarios - Entidades sanitarias y hospitalarias / </w:t>
            </w:r>
            <w:r w:rsidRPr="00343E12">
              <w:rPr>
                <w:rFonts w:ascii="Verdana" w:eastAsia="Aptos" w:hAnsi="Verdana" w:cs="Arial"/>
                <w:lang w:val="es-MX" w:eastAsia="es-ES_tradnl"/>
              </w:rPr>
              <w:t xml:space="preserve">CONVENIOS INTERADMINISTRATIVOS </w:t>
            </w:r>
          </w:p>
          <w:p w14:paraId="09C748F4" w14:textId="77777777" w:rsidR="009A4CD3" w:rsidRPr="00305400" w:rsidRDefault="009A4CD3" w:rsidP="00EA2F5A">
            <w:pPr>
              <w:tabs>
                <w:tab w:val="left" w:pos="3374"/>
              </w:tabs>
              <w:jc w:val="both"/>
              <w:rPr>
                <w:rFonts w:ascii="Verdana" w:eastAsia="Calibri" w:hAnsi="Verdana" w:cs="Arial"/>
                <w:lang w:eastAsia="es-ES"/>
              </w:rPr>
            </w:pPr>
          </w:p>
          <w:p w14:paraId="3D46606E" w14:textId="77777777" w:rsidR="009A4CD3" w:rsidRPr="008F679F" w:rsidRDefault="009A4CD3" w:rsidP="00EA2F5A">
            <w:pPr>
              <w:tabs>
                <w:tab w:val="left" w:pos="3374"/>
              </w:tabs>
              <w:jc w:val="both"/>
              <w:rPr>
                <w:rFonts w:ascii="Verdana" w:eastAsia="Calibri" w:hAnsi="Verdana" w:cs="Arial"/>
                <w:color w:val="ED7D31" w:themeColor="accent2"/>
                <w:lang w:val="es-ES"/>
              </w:rPr>
            </w:pPr>
          </w:p>
        </w:tc>
      </w:tr>
      <w:tr w:rsidR="009A4CD3" w:rsidRPr="00C5490E" w14:paraId="4B074F5F" w14:textId="77777777" w:rsidTr="00EA2F5A">
        <w:tc>
          <w:tcPr>
            <w:tcW w:w="2410" w:type="dxa"/>
          </w:tcPr>
          <w:p w14:paraId="7D6B0F7B" w14:textId="77777777" w:rsidR="009A4CD3" w:rsidRPr="006733BD" w:rsidRDefault="009A4CD3" w:rsidP="00EA2F5A">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0F3DE88F" w14:textId="77777777" w:rsidR="009A4CD3" w:rsidRPr="00972B2F" w:rsidRDefault="009A4CD3" w:rsidP="00EA2F5A">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1_2026_03_17_003688</w:t>
            </w:r>
          </w:p>
          <w:p w14:paraId="550F67A0" w14:textId="77777777" w:rsidR="009A4CD3" w:rsidRPr="00C5490E" w:rsidRDefault="009A4CD3" w:rsidP="00EA2F5A">
            <w:pPr>
              <w:ind w:left="3"/>
              <w:jc w:val="both"/>
              <w:rPr>
                <w:rFonts w:ascii="Verdana" w:hAnsi="Verdana"/>
                <w:lang w:val="es-ES"/>
              </w:rPr>
            </w:pPr>
          </w:p>
        </w:tc>
      </w:tr>
    </w:tbl>
    <w:p w14:paraId="727CDF14" w14:textId="77777777" w:rsidR="009A4CD3" w:rsidRDefault="009A4CD3" w:rsidP="009A4CD3">
      <w:pPr>
        <w:spacing w:after="0" w:line="276" w:lineRule="auto"/>
        <w:jc w:val="both"/>
        <w:rPr>
          <w:rFonts w:ascii="Verdana" w:eastAsia="Calibri" w:hAnsi="Verdana" w:cs="Arial"/>
          <w:lang w:val="es-ES" w:eastAsia="es-ES"/>
        </w:rPr>
      </w:pPr>
    </w:p>
    <w:p w14:paraId="3B86EDDD" w14:textId="77777777" w:rsidR="009A4CD3" w:rsidRPr="00C5490E" w:rsidRDefault="009A4CD3" w:rsidP="009A4CD3">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42600AD5" w14:textId="77777777" w:rsidR="009A4CD3" w:rsidRPr="00C5490E" w:rsidRDefault="009A4CD3" w:rsidP="009A4CD3">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798C5528" w14:textId="77777777" w:rsidR="009A4CD3" w:rsidRDefault="009A4CD3" w:rsidP="009A4CD3">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17</w:t>
      </w:r>
      <w:r w:rsidRPr="00852F26">
        <w:rPr>
          <w:rFonts w:ascii="Verdana" w:eastAsia="Calibri" w:hAnsi="Verdana" w:cs="Arial"/>
          <w:lang w:val="es-ES" w:eastAsia="es-ES"/>
        </w:rPr>
        <w:t xml:space="preserve"> de </w:t>
      </w:r>
      <w:r>
        <w:rPr>
          <w:rFonts w:ascii="Verdana" w:eastAsia="Calibri" w:hAnsi="Verdana" w:cs="Arial"/>
          <w:lang w:val="es-ES" w:eastAsia="es-ES"/>
        </w:rPr>
        <w:t xml:space="preserve">marzo </w:t>
      </w:r>
      <w:r w:rsidRPr="00852F26">
        <w:rPr>
          <w:rFonts w:ascii="Verdana" w:eastAsia="Calibri" w:hAnsi="Verdana" w:cs="Arial"/>
          <w:lang w:val="es-ES" w:eastAsia="es-ES"/>
        </w:rPr>
        <w:t>de 2026, en la cual manifiesta lo siguiente:</w:t>
      </w:r>
    </w:p>
    <w:p w14:paraId="17ABE030" w14:textId="77777777" w:rsidR="009A4CD3" w:rsidRPr="00305400" w:rsidRDefault="009A4CD3" w:rsidP="009A4CD3">
      <w:pPr>
        <w:spacing w:after="0" w:line="276" w:lineRule="auto"/>
        <w:jc w:val="both"/>
        <w:rPr>
          <w:rFonts w:ascii="Verdana" w:eastAsia="Calibri" w:hAnsi="Verdana" w:cs="Arial"/>
          <w:lang w:val="es-ES" w:eastAsia="es-ES"/>
        </w:rPr>
      </w:pPr>
    </w:p>
    <w:p w14:paraId="37C44045" w14:textId="77777777" w:rsidR="009A4CD3" w:rsidRPr="003C262A" w:rsidRDefault="009A4CD3" w:rsidP="009A4CD3">
      <w:pPr>
        <w:spacing w:after="0" w:line="240" w:lineRule="auto"/>
        <w:ind w:left="737" w:right="737"/>
        <w:jc w:val="both"/>
        <w:rPr>
          <w:rFonts w:ascii="Verdana" w:eastAsia="Calibri" w:hAnsi="Verdana" w:cs="Arial"/>
          <w:sz w:val="20"/>
          <w:szCs w:val="20"/>
          <w:lang w:val="es-ES" w:eastAsia="es-ES"/>
        </w:rPr>
      </w:pPr>
      <w:r>
        <w:rPr>
          <w:rFonts w:ascii="Verdana" w:eastAsia="Calibri" w:hAnsi="Verdana" w:cs="Arial"/>
          <w:sz w:val="20"/>
          <w:szCs w:val="20"/>
          <w:lang w:val="es-ES" w:eastAsia="es-ES"/>
        </w:rPr>
        <w:t>“</w:t>
      </w:r>
      <w:r w:rsidRPr="003C262A">
        <w:rPr>
          <w:rFonts w:ascii="Verdana" w:eastAsia="Calibri" w:hAnsi="Verdana" w:cs="Arial"/>
          <w:sz w:val="20"/>
          <w:szCs w:val="20"/>
          <w:lang w:val="es-ES" w:eastAsia="es-ES"/>
        </w:rPr>
        <w:t>Buen día</w:t>
      </w:r>
    </w:p>
    <w:p w14:paraId="7EE25EB2" w14:textId="77777777" w:rsidR="009A4CD3" w:rsidRPr="00305400" w:rsidRDefault="009A4CD3" w:rsidP="009A4CD3">
      <w:pPr>
        <w:spacing w:after="0" w:line="240" w:lineRule="auto"/>
        <w:ind w:leftChars="737" w:left="1621" w:right="737"/>
        <w:jc w:val="both"/>
        <w:rPr>
          <w:rFonts w:ascii="Verdana" w:eastAsia="Calibri" w:hAnsi="Verdana" w:cs="Arial"/>
          <w:i/>
          <w:iCs/>
          <w:sz w:val="20"/>
          <w:szCs w:val="20"/>
          <w:lang w:val="es-ES" w:eastAsia="es-ES"/>
        </w:rPr>
      </w:pPr>
      <w:r w:rsidRPr="00305400">
        <w:rPr>
          <w:rFonts w:ascii="Verdana" w:eastAsia="Calibri" w:hAnsi="Verdana" w:cs="Arial"/>
          <w:i/>
          <w:iCs/>
          <w:sz w:val="20"/>
          <w:szCs w:val="20"/>
          <w:lang w:val="es-ES" w:eastAsia="es-ES"/>
        </w:rPr>
        <w:lastRenderedPageBreak/>
        <w:t>Me gustaría elevar una consulta referente a las excepciones de la ley de garantías En el artículo 33 se establece como excepción la contratación que deban realizar las entidades sanitarias y hospitalarias</w:t>
      </w:r>
    </w:p>
    <w:p w14:paraId="4D57C561" w14:textId="77777777" w:rsidR="009A4CD3" w:rsidRPr="00305400" w:rsidRDefault="009A4CD3" w:rsidP="009A4CD3">
      <w:pPr>
        <w:spacing w:after="0" w:line="240" w:lineRule="auto"/>
        <w:ind w:leftChars="737" w:left="1621" w:right="737"/>
        <w:jc w:val="both"/>
        <w:rPr>
          <w:rFonts w:ascii="Verdana" w:eastAsia="Calibri" w:hAnsi="Verdana" w:cs="Arial"/>
          <w:i/>
          <w:iCs/>
          <w:sz w:val="20"/>
          <w:szCs w:val="20"/>
          <w:lang w:val="es-ES" w:eastAsia="es-ES"/>
        </w:rPr>
      </w:pPr>
    </w:p>
    <w:p w14:paraId="3B3BF7AD" w14:textId="77777777" w:rsidR="009A4CD3" w:rsidRPr="00305400" w:rsidRDefault="009A4CD3" w:rsidP="009A4CD3">
      <w:pPr>
        <w:spacing w:after="120" w:line="276" w:lineRule="auto"/>
        <w:ind w:leftChars="737" w:left="1621" w:right="737"/>
        <w:jc w:val="both"/>
        <w:rPr>
          <w:rFonts w:ascii="Verdana" w:eastAsia="Calibri" w:hAnsi="Verdana" w:cs="Arial"/>
          <w:i/>
          <w:iCs/>
          <w:sz w:val="20"/>
          <w:szCs w:val="20"/>
          <w:lang w:val="es-ES" w:eastAsia="es-ES"/>
        </w:rPr>
      </w:pPr>
      <w:r w:rsidRPr="00305400">
        <w:rPr>
          <w:rFonts w:ascii="Verdana" w:eastAsia="Calibri" w:hAnsi="Verdana" w:cs="Arial"/>
          <w:i/>
          <w:iCs/>
          <w:sz w:val="20"/>
          <w:szCs w:val="20"/>
          <w:lang w:val="es-ES" w:eastAsia="es-ES"/>
        </w:rPr>
        <w:t>Dicha excepción hace referencia a la totalidad de contratos o a los que estén vinculados con el objeto misional de la entidad Muchas gracias”.</w:t>
      </w:r>
    </w:p>
    <w:p w14:paraId="06996EBC" w14:textId="77777777" w:rsidR="009A4CD3" w:rsidRPr="00305400" w:rsidRDefault="009A4CD3" w:rsidP="009A4CD3">
      <w:pPr>
        <w:spacing w:before="120" w:after="120"/>
        <w:ind w:right="709"/>
        <w:contextualSpacing/>
        <w:jc w:val="both"/>
        <w:rPr>
          <w:rFonts w:ascii="Verdana" w:eastAsia="Century Gothic" w:hAnsi="Verdana" w:cs="Century Gothic"/>
          <w:i/>
          <w:iCs/>
          <w:sz w:val="20"/>
          <w:szCs w:val="20"/>
        </w:rPr>
      </w:pPr>
    </w:p>
    <w:p w14:paraId="4739CF54" w14:textId="77777777" w:rsidR="009A4CD3" w:rsidRPr="00CD496A" w:rsidRDefault="009A4CD3" w:rsidP="009A4CD3">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0FD3A9BA" w14:textId="77777777" w:rsidR="009A4CD3" w:rsidRPr="00CD496A" w:rsidRDefault="009A4CD3" w:rsidP="009A4CD3">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62300BD" w14:textId="77777777" w:rsidR="009A4CD3" w:rsidRPr="00CD496A" w:rsidRDefault="009A4CD3" w:rsidP="009A4CD3">
      <w:pPr>
        <w:spacing w:after="0" w:line="276" w:lineRule="auto"/>
        <w:ind w:firstLine="709"/>
        <w:jc w:val="both"/>
        <w:rPr>
          <w:rFonts w:ascii="Verdana" w:eastAsia="Calibri" w:hAnsi="Verdana" w:cs="Arial"/>
          <w:lang w:val="es-ES" w:eastAsia="es-ES"/>
        </w:rPr>
      </w:pPr>
    </w:p>
    <w:p w14:paraId="47E02707" w14:textId="77777777" w:rsidR="009A4CD3" w:rsidRDefault="009A4CD3" w:rsidP="009A4CD3">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7D46259C" w14:textId="77777777" w:rsidR="009A4CD3" w:rsidRPr="00305400" w:rsidRDefault="009A4CD3" w:rsidP="009A4CD3">
      <w:pPr>
        <w:tabs>
          <w:tab w:val="left" w:pos="142"/>
          <w:tab w:val="left" w:pos="284"/>
        </w:tabs>
        <w:spacing w:after="0" w:line="276" w:lineRule="auto"/>
        <w:contextualSpacing/>
        <w:jc w:val="both"/>
        <w:rPr>
          <w:rFonts w:ascii="Verdana" w:eastAsia="Century Gothic" w:hAnsi="Verdana" w:cs="Century Gothic"/>
          <w:b/>
          <w:lang w:val="es-ES"/>
        </w:rPr>
      </w:pPr>
    </w:p>
    <w:p w14:paraId="071DCB5C" w14:textId="77777777" w:rsidR="009A4CD3" w:rsidRDefault="009A4CD3" w:rsidP="009A4CD3">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305400">
        <w:t xml:space="preserve"> </w:t>
      </w:r>
      <w:r>
        <w:rPr>
          <w:rFonts w:ascii="Verdana" w:eastAsia="Century Gothic" w:hAnsi="Verdana" w:cs="Century Gothic"/>
        </w:rPr>
        <w:t>¿</w:t>
      </w:r>
      <w:r w:rsidRPr="00305400">
        <w:rPr>
          <w:rFonts w:ascii="Verdana" w:eastAsia="Century Gothic" w:hAnsi="Verdana" w:cs="Century Gothic"/>
        </w:rPr>
        <w:t>La excepción prevista en el artículo 33 de la Ley 996 de 2005 para las entidades sanitarias y hospitalarias cobija la totalidad de su contratación o se restringe a aquella directamente relacionada con su objeto misional?</w:t>
      </w:r>
    </w:p>
    <w:p w14:paraId="1D0F3B4D" w14:textId="77777777" w:rsidR="009A4CD3" w:rsidRDefault="009A4CD3" w:rsidP="009A4CD3">
      <w:pPr>
        <w:spacing w:after="0" w:line="276" w:lineRule="auto"/>
        <w:jc w:val="both"/>
        <w:rPr>
          <w:rFonts w:ascii="Verdana" w:eastAsia="Century Gothic" w:hAnsi="Verdana" w:cs="Century Gothic"/>
          <w:color w:val="ED7D31" w:themeColor="accent2"/>
        </w:rPr>
      </w:pPr>
    </w:p>
    <w:p w14:paraId="2856EEDD" w14:textId="77777777" w:rsidR="00767C36" w:rsidRDefault="00767C36" w:rsidP="009A4CD3">
      <w:pPr>
        <w:spacing w:after="0" w:line="276" w:lineRule="auto"/>
        <w:jc w:val="both"/>
        <w:rPr>
          <w:rFonts w:ascii="Verdana" w:eastAsia="Century Gothic" w:hAnsi="Verdana" w:cs="Century Gothic"/>
          <w:color w:val="ED7D31" w:themeColor="accent2"/>
        </w:rPr>
      </w:pPr>
    </w:p>
    <w:p w14:paraId="351666A4" w14:textId="77777777" w:rsidR="00767C36" w:rsidRDefault="00767C36" w:rsidP="009A4CD3">
      <w:pPr>
        <w:spacing w:after="0" w:line="276" w:lineRule="auto"/>
        <w:jc w:val="both"/>
        <w:rPr>
          <w:rFonts w:ascii="Verdana" w:eastAsia="Century Gothic" w:hAnsi="Verdana" w:cs="Century Gothic"/>
          <w:color w:val="ED7D31" w:themeColor="accent2"/>
        </w:rPr>
      </w:pPr>
    </w:p>
    <w:p w14:paraId="260F0328" w14:textId="77777777" w:rsidR="00386C8E" w:rsidRDefault="00386C8E" w:rsidP="009A4CD3">
      <w:pPr>
        <w:spacing w:after="0" w:line="276" w:lineRule="auto"/>
        <w:jc w:val="both"/>
        <w:rPr>
          <w:rFonts w:ascii="Verdana" w:eastAsia="Century Gothic" w:hAnsi="Verdana" w:cs="Century Gothic"/>
          <w:color w:val="ED7D31" w:themeColor="accent2"/>
        </w:rPr>
      </w:pPr>
    </w:p>
    <w:p w14:paraId="6BC57D94" w14:textId="77777777" w:rsidR="00386C8E" w:rsidRDefault="00386C8E" w:rsidP="009A4CD3">
      <w:pPr>
        <w:spacing w:after="0" w:line="276" w:lineRule="auto"/>
        <w:jc w:val="both"/>
        <w:rPr>
          <w:rFonts w:ascii="Verdana" w:eastAsia="Century Gothic" w:hAnsi="Verdana" w:cs="Century Gothic"/>
          <w:color w:val="ED7D31" w:themeColor="accent2"/>
        </w:rPr>
      </w:pPr>
    </w:p>
    <w:p w14:paraId="5922D1EA" w14:textId="77777777" w:rsidR="00386C8E" w:rsidRPr="006733BD" w:rsidRDefault="00386C8E" w:rsidP="009A4CD3">
      <w:pPr>
        <w:spacing w:after="0" w:line="276" w:lineRule="auto"/>
        <w:jc w:val="both"/>
        <w:rPr>
          <w:rFonts w:ascii="Verdana" w:eastAsia="Century Gothic" w:hAnsi="Verdana" w:cs="Century Gothic"/>
          <w:color w:val="ED7D31" w:themeColor="accent2"/>
        </w:rPr>
      </w:pPr>
    </w:p>
    <w:p w14:paraId="6C62B942" w14:textId="77777777" w:rsidR="009A4CD3" w:rsidRPr="006733BD" w:rsidRDefault="009A4CD3" w:rsidP="009A4CD3">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226A1356" w14:textId="77777777" w:rsidR="009A4CD3" w:rsidRPr="006733BD" w:rsidRDefault="009A4CD3" w:rsidP="009A4CD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A4CD3" w:rsidRPr="006733BD" w14:paraId="38097CF0" w14:textId="77777777" w:rsidTr="00EA2F5A">
        <w:tc>
          <w:tcPr>
            <w:tcW w:w="8828" w:type="dxa"/>
          </w:tcPr>
          <w:p w14:paraId="5A74958B" w14:textId="77777777" w:rsidR="009A4CD3" w:rsidRDefault="009A4CD3" w:rsidP="00EA2F5A">
            <w:pPr>
              <w:spacing w:after="120" w:line="276" w:lineRule="auto"/>
              <w:ind w:firstLine="709"/>
              <w:jc w:val="both"/>
              <w:rPr>
                <w:rFonts w:ascii="Verdana" w:eastAsia="Times New Roman" w:hAnsi="Verdana" w:cs="Arial"/>
              </w:rPr>
            </w:pPr>
            <w:r>
              <w:rPr>
                <w:rFonts w:ascii="Verdana" w:eastAsia="Calibri" w:hAnsi="Verdana" w:cs="Arial"/>
                <w:lang w:eastAsia="es-ES" w:bidi="es-ES"/>
              </w:rPr>
              <w:t>De acuerdo al problema jurídico planteado, e</w:t>
            </w:r>
            <w:r w:rsidRPr="00FF007A">
              <w:rPr>
                <w:rFonts w:ascii="Verdana" w:eastAsia="Calibri" w:hAnsi="Verdana" w:cs="Arial"/>
                <w:lang w:eastAsia="es-ES" w:bidi="es-ES"/>
              </w:rPr>
              <w:t xml:space="preserv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4599E464" w14:textId="77777777" w:rsidR="009A4CD3" w:rsidRDefault="009A4CD3" w:rsidP="00EA2F5A">
            <w:pPr>
              <w:tabs>
                <w:tab w:val="left" w:pos="426"/>
              </w:tabs>
              <w:spacing w:before="120" w:line="276" w:lineRule="auto"/>
              <w:ind w:firstLine="709"/>
              <w:jc w:val="both"/>
              <w:rPr>
                <w:rFonts w:ascii="Verdana" w:hAnsi="Verdana" w:cs="Arial"/>
                <w:bCs/>
                <w:color w:val="000000" w:themeColor="text1"/>
              </w:rPr>
            </w:pPr>
            <w:r>
              <w:rPr>
                <w:rFonts w:ascii="Verdana" w:hAnsi="Verdana" w:cs="Arial"/>
                <w:bCs/>
                <w:color w:val="000000" w:themeColor="text1"/>
              </w:rPr>
              <w:t xml:space="preserve">En ese sentido,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BDBA393" w14:textId="77777777" w:rsidR="009A4CD3" w:rsidRDefault="009A4CD3" w:rsidP="00EA2F5A">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741F10AC" w14:textId="77777777" w:rsidR="009A4CD3" w:rsidRDefault="009A4CD3" w:rsidP="00EA2F5A">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w:t>
            </w:r>
            <w:r w:rsidRPr="00FF007A">
              <w:rPr>
                <w:rFonts w:ascii="Verdana" w:eastAsia="Arial" w:hAnsi="Verdana" w:cs="Arial"/>
                <w:bCs/>
                <w:color w:val="000000" w:themeColor="text1"/>
              </w:rPr>
              <w:lastRenderedPageBreak/>
              <w:t xml:space="preserve">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66CF8141" w14:textId="7CE7A9A7" w:rsidR="009A4CD3" w:rsidRDefault="009A4CD3" w:rsidP="00EA2F5A">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w:t>
            </w:r>
            <w:r w:rsidRPr="4D902665">
              <w:rPr>
                <w:rFonts w:ascii="Verdana" w:eastAsia="Arial" w:hAnsi="Verdana" w:cs="Arial"/>
                <w:color w:val="000000" w:themeColor="text1"/>
              </w:rPr>
              <w:t>y verificar si</w:t>
            </w:r>
            <w:r w:rsidRPr="00FF007A">
              <w:rPr>
                <w:rFonts w:ascii="Verdana" w:eastAsia="Arial" w:hAnsi="Verdana" w:cs="Arial"/>
                <w:bCs/>
                <w:color w:val="000000" w:themeColor="text1"/>
              </w:rPr>
              <w:t xml:space="preserve"> se configura alguna de las excepciones previstas en la norma. </w:t>
            </w:r>
          </w:p>
          <w:p w14:paraId="419E94AC" w14:textId="77777777" w:rsidR="009A4CD3" w:rsidRDefault="009A4CD3" w:rsidP="00EA2F5A">
            <w:pPr>
              <w:spacing w:after="120" w:line="276" w:lineRule="auto"/>
              <w:ind w:firstLine="709"/>
              <w:jc w:val="both"/>
              <w:rPr>
                <w:rFonts w:ascii="Verdana" w:eastAsia="Calibri" w:hAnsi="Verdana" w:cs="Arial"/>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7BBA6033" w14:textId="77777777" w:rsidR="009A4CD3" w:rsidRPr="00305400" w:rsidRDefault="009A4CD3" w:rsidP="00EA2F5A">
            <w:pPr>
              <w:spacing w:line="276" w:lineRule="auto"/>
              <w:jc w:val="both"/>
              <w:rPr>
                <w:rFonts w:ascii="Verdana" w:eastAsia="Arial" w:hAnsi="Verdana" w:cs="Arial"/>
                <w:color w:val="000000" w:themeColor="text1"/>
              </w:rPr>
            </w:pPr>
            <w:r w:rsidRPr="00667CD6">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w:t>
            </w:r>
            <w:r>
              <w:rPr>
                <w:rFonts w:ascii="Verdana" w:eastAsia="Arial" w:hAnsi="Verdana" w:cs="Arial"/>
                <w:bCs/>
                <w:color w:val="000000" w:themeColor="text1"/>
              </w:rPr>
              <w:t xml:space="preserve"> </w:t>
            </w:r>
            <w:r w:rsidRPr="00667CD6">
              <w:rPr>
                <w:rFonts w:ascii="Verdana" w:eastAsia="Arial" w:hAnsi="Verdana" w:cs="Arial"/>
                <w:bCs/>
                <w:color w:val="000000" w:themeColor="text1"/>
              </w:rPr>
              <w:t xml:space="preserve">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5F0AD921" w14:textId="77777777" w:rsidR="009A4CD3" w:rsidRPr="00416686" w:rsidRDefault="009A4CD3" w:rsidP="009A4CD3">
      <w:pPr>
        <w:tabs>
          <w:tab w:val="left" w:pos="142"/>
          <w:tab w:val="left" w:pos="284"/>
        </w:tabs>
        <w:spacing w:after="0" w:line="276" w:lineRule="auto"/>
        <w:jc w:val="both"/>
        <w:rPr>
          <w:rFonts w:ascii="Verdana" w:eastAsia="Century Gothic" w:hAnsi="Verdana" w:cs="Century Gothic"/>
          <w:b/>
          <w:bCs/>
        </w:rPr>
      </w:pPr>
    </w:p>
    <w:p w14:paraId="372E1A6E" w14:textId="77777777" w:rsidR="00386C8E" w:rsidRDefault="00386C8E" w:rsidP="009A4CD3">
      <w:pPr>
        <w:tabs>
          <w:tab w:val="left" w:pos="142"/>
          <w:tab w:val="left" w:pos="284"/>
        </w:tabs>
        <w:spacing w:after="0" w:line="276" w:lineRule="auto"/>
        <w:jc w:val="both"/>
        <w:rPr>
          <w:rFonts w:ascii="Verdana" w:eastAsia="Century Gothic" w:hAnsi="Verdana" w:cs="Century Gothic"/>
          <w:b/>
          <w:lang w:val="es-ES"/>
        </w:rPr>
      </w:pPr>
    </w:p>
    <w:p w14:paraId="0E635CDA" w14:textId="77777777" w:rsidR="00386C8E" w:rsidRDefault="00386C8E" w:rsidP="009A4CD3">
      <w:pPr>
        <w:tabs>
          <w:tab w:val="left" w:pos="142"/>
          <w:tab w:val="left" w:pos="284"/>
        </w:tabs>
        <w:spacing w:after="0" w:line="276" w:lineRule="auto"/>
        <w:jc w:val="both"/>
        <w:rPr>
          <w:rFonts w:ascii="Verdana" w:eastAsia="Century Gothic" w:hAnsi="Verdana" w:cs="Century Gothic"/>
          <w:b/>
          <w:lang w:val="es-ES"/>
        </w:rPr>
      </w:pPr>
    </w:p>
    <w:p w14:paraId="0156FC3B" w14:textId="77777777" w:rsidR="00386C8E" w:rsidRDefault="00386C8E" w:rsidP="009A4CD3">
      <w:pPr>
        <w:tabs>
          <w:tab w:val="left" w:pos="142"/>
          <w:tab w:val="left" w:pos="284"/>
        </w:tabs>
        <w:spacing w:after="0" w:line="276" w:lineRule="auto"/>
        <w:jc w:val="both"/>
        <w:rPr>
          <w:rFonts w:ascii="Verdana" w:eastAsia="Century Gothic" w:hAnsi="Verdana" w:cs="Century Gothic"/>
          <w:b/>
          <w:lang w:val="es-ES"/>
        </w:rPr>
      </w:pPr>
    </w:p>
    <w:p w14:paraId="6C278DB7" w14:textId="77777777" w:rsidR="00386C8E" w:rsidRDefault="00386C8E" w:rsidP="009A4CD3">
      <w:pPr>
        <w:tabs>
          <w:tab w:val="left" w:pos="142"/>
          <w:tab w:val="left" w:pos="284"/>
        </w:tabs>
        <w:spacing w:after="0" w:line="276" w:lineRule="auto"/>
        <w:jc w:val="both"/>
        <w:rPr>
          <w:rFonts w:ascii="Verdana" w:eastAsia="Century Gothic" w:hAnsi="Verdana" w:cs="Century Gothic"/>
          <w:b/>
          <w:lang w:val="es-ES"/>
        </w:rPr>
      </w:pPr>
    </w:p>
    <w:p w14:paraId="3E38ADF1" w14:textId="01170BAD" w:rsidR="009A4CD3" w:rsidRDefault="009A4CD3" w:rsidP="009A4CD3">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bookmarkStart w:id="1" w:name="_Hlk102983874"/>
      <w:bookmarkStart w:id="2" w:name="_Hlk102388095"/>
    </w:p>
    <w:p w14:paraId="1F75C00F" w14:textId="77777777" w:rsidR="009A4CD3" w:rsidRPr="00305400" w:rsidRDefault="009A4CD3" w:rsidP="009A4CD3">
      <w:pPr>
        <w:tabs>
          <w:tab w:val="left" w:pos="142"/>
          <w:tab w:val="left" w:pos="284"/>
        </w:tabs>
        <w:spacing w:after="0" w:line="276" w:lineRule="auto"/>
        <w:jc w:val="both"/>
        <w:rPr>
          <w:rFonts w:ascii="Verdana" w:eastAsia="Century Gothic" w:hAnsi="Verdana" w:cs="Century Gothic"/>
          <w:b/>
          <w:lang w:val="es-ES"/>
        </w:rPr>
      </w:pPr>
    </w:p>
    <w:p w14:paraId="0355BA32" w14:textId="77777777" w:rsidR="009A4CD3" w:rsidRPr="00343E12" w:rsidRDefault="009A4CD3" w:rsidP="009A4CD3">
      <w:pPr>
        <w:tabs>
          <w:tab w:val="left" w:pos="142"/>
          <w:tab w:val="left" w:pos="284"/>
        </w:tabs>
        <w:spacing w:after="0" w:line="276" w:lineRule="auto"/>
        <w:jc w:val="both"/>
        <w:rPr>
          <w:rFonts w:ascii="Verdana" w:eastAsia="Calibri" w:hAnsi="Verdana" w:cs="Arial"/>
        </w:rPr>
      </w:pPr>
      <w:r w:rsidRPr="00343E12">
        <w:rPr>
          <w:rFonts w:ascii="Verdana" w:eastAsia="Calibri" w:hAnsi="Verdana" w:cs="Arial"/>
        </w:rPr>
        <w:t xml:space="preserve">Lo anterior se sustenta en las siguientes consideraciones: </w:t>
      </w:r>
    </w:p>
    <w:p w14:paraId="0AD4D33A" w14:textId="77777777" w:rsidR="009A4CD3" w:rsidRPr="00343E12" w:rsidRDefault="009A4CD3" w:rsidP="009A4CD3">
      <w:pPr>
        <w:tabs>
          <w:tab w:val="left" w:pos="142"/>
          <w:tab w:val="left" w:pos="284"/>
        </w:tabs>
        <w:spacing w:after="0" w:line="240" w:lineRule="auto"/>
        <w:jc w:val="both"/>
        <w:rPr>
          <w:rFonts w:ascii="Verdana" w:eastAsia="Calibri" w:hAnsi="Verdana" w:cs="Arial"/>
        </w:rPr>
      </w:pPr>
    </w:p>
    <w:p w14:paraId="21B8215A" w14:textId="77777777" w:rsidR="009A4CD3" w:rsidRPr="00343E12" w:rsidRDefault="009A4CD3" w:rsidP="009A4CD3">
      <w:pPr>
        <w:tabs>
          <w:tab w:val="left" w:pos="142"/>
          <w:tab w:val="left" w:pos="284"/>
        </w:tabs>
        <w:spacing w:after="120" w:line="276" w:lineRule="auto"/>
        <w:ind w:firstLine="709"/>
        <w:jc w:val="both"/>
        <w:rPr>
          <w:rFonts w:ascii="Verdana" w:eastAsia="Calibri" w:hAnsi="Verdana" w:cs="Arial"/>
        </w:rPr>
      </w:pPr>
      <w:r>
        <w:rPr>
          <w:rFonts w:ascii="Verdana" w:eastAsia="Calibri" w:hAnsi="Verdana" w:cs="Arial"/>
        </w:rPr>
        <w:lastRenderedPageBreak/>
        <w:t>i)</w:t>
      </w:r>
      <w:r w:rsidRPr="00343E12">
        <w:rPr>
          <w:rFonts w:ascii="Verdana" w:eastAsia="Calibri" w:hAnsi="Verdana" w:cs="Arial"/>
        </w:rPr>
        <w:t>El ordenamiento jurídico colombiano contempla previsiones claras para evitar la obtención de beneficios personales en asuntos propios de la administración pública</w:t>
      </w:r>
      <w:r w:rsidRPr="00343E12">
        <w:rPr>
          <w:rFonts w:ascii="Verdana" w:eastAsia="Calibri" w:hAnsi="Verdana" w:cs="Arial"/>
          <w:i/>
        </w:rPr>
        <w:t xml:space="preserve">. </w:t>
      </w:r>
      <w:r w:rsidRPr="00343E12">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43E12">
        <w:rPr>
          <w:rFonts w:ascii="Verdana" w:eastAsia="Aptos" w:hAnsi="Verdana" w:cs="Times New Roman"/>
          <w:vertAlign w:val="superscript"/>
        </w:rPr>
        <w:footnoteReference w:id="1"/>
      </w:r>
      <w:r w:rsidRPr="00343E12">
        <w:rPr>
          <w:rFonts w:ascii="Verdana" w:eastAsia="Calibri" w:hAnsi="Verdana" w:cs="Arial"/>
        </w:rPr>
        <w:t>.</w:t>
      </w:r>
    </w:p>
    <w:p w14:paraId="2FE445E6" w14:textId="77777777" w:rsidR="009A4CD3" w:rsidRPr="00343E12" w:rsidRDefault="009A4CD3" w:rsidP="009A4CD3">
      <w:pPr>
        <w:tabs>
          <w:tab w:val="left" w:pos="142"/>
          <w:tab w:val="left" w:pos="284"/>
        </w:tabs>
        <w:spacing w:after="120" w:line="276" w:lineRule="auto"/>
        <w:ind w:firstLine="709"/>
        <w:jc w:val="both"/>
        <w:rPr>
          <w:rFonts w:ascii="Verdana" w:eastAsia="Calibri" w:hAnsi="Verdana" w:cs="Arial"/>
        </w:rPr>
      </w:pPr>
      <w:r w:rsidRPr="00343E12">
        <w:rPr>
          <w:rFonts w:ascii="Verdana" w:eastAsia="Calibri" w:hAnsi="Verdana" w:cs="Arial"/>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43E12">
        <w:rPr>
          <w:rFonts w:ascii="Verdana" w:eastAsia="Calibri" w:hAnsi="Verdana" w:cs="Arial"/>
          <w:vertAlign w:val="superscript"/>
        </w:rPr>
        <w:footnoteReference w:id="2"/>
      </w:r>
      <w:r w:rsidRPr="00343E12">
        <w:rPr>
          <w:rFonts w:ascii="Verdana" w:eastAsia="Calibri" w:hAnsi="Verdana" w:cs="Arial"/>
        </w:rPr>
        <w:t>. En esta medida, introduce limitaciones para realizar nombramientos, postulaciones, contrataciones o cualquier otro tipo de actividad que implique destinación de recursos públicos bajo el devenir propio de las entidades estatales.</w:t>
      </w:r>
    </w:p>
    <w:p w14:paraId="635A57FA" w14:textId="77777777" w:rsidR="009A4CD3" w:rsidRPr="00343E12" w:rsidRDefault="009A4CD3" w:rsidP="009A4CD3">
      <w:pPr>
        <w:tabs>
          <w:tab w:val="left" w:pos="142"/>
          <w:tab w:val="left" w:pos="284"/>
        </w:tabs>
        <w:spacing w:after="120" w:line="276" w:lineRule="auto"/>
        <w:ind w:firstLine="709"/>
        <w:jc w:val="both"/>
        <w:rPr>
          <w:rFonts w:ascii="Verdana" w:eastAsia="Calibri" w:hAnsi="Verdana" w:cs="Arial"/>
        </w:rPr>
      </w:pPr>
      <w:r w:rsidRPr="00343E12">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BEE0058"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ES" w:eastAsia="es-CO"/>
        </w:rPr>
        <w:t xml:space="preserve">“[…] </w:t>
      </w:r>
      <w:r w:rsidRPr="00305400">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48FE060"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p>
    <w:p w14:paraId="6E9F8363"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 xml:space="preserve">[…] </w:t>
      </w:r>
    </w:p>
    <w:p w14:paraId="788055DC"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p>
    <w:p w14:paraId="6E6AE483"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w:t>
      </w:r>
      <w:r w:rsidRPr="00305400">
        <w:rPr>
          <w:rFonts w:ascii="Verdana" w:eastAsia="Times New Roman" w:hAnsi="Verdana" w:cs="Arial"/>
          <w:sz w:val="20"/>
          <w:szCs w:val="20"/>
          <w:lang w:val="es-MX"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sidRPr="00305400">
        <w:rPr>
          <w:rFonts w:ascii="Verdana" w:eastAsia="Calibri" w:hAnsi="Verdana" w:cs="Arial"/>
          <w:sz w:val="20"/>
          <w:szCs w:val="20"/>
          <w:vertAlign w:val="superscript"/>
          <w:lang w:val="es-MX"/>
        </w:rPr>
        <w:footnoteReference w:id="3"/>
      </w:r>
      <w:r w:rsidRPr="00305400">
        <w:rPr>
          <w:rFonts w:ascii="Verdana" w:eastAsia="Times New Roman" w:hAnsi="Verdana" w:cs="Arial"/>
          <w:sz w:val="20"/>
          <w:szCs w:val="20"/>
          <w:lang w:val="es-MX" w:eastAsia="es-CO"/>
        </w:rPr>
        <w:t>.</w:t>
      </w:r>
    </w:p>
    <w:p w14:paraId="15CD5EB8" w14:textId="77777777" w:rsidR="009A4CD3" w:rsidRPr="00343E12" w:rsidRDefault="009A4CD3" w:rsidP="009A4CD3">
      <w:pPr>
        <w:spacing w:after="0" w:line="240" w:lineRule="auto"/>
        <w:ind w:firstLine="709"/>
        <w:jc w:val="both"/>
        <w:rPr>
          <w:rFonts w:ascii="Verdana" w:eastAsia="Times New Roman" w:hAnsi="Verdana" w:cs="Arial"/>
          <w:lang w:val="es-MX" w:eastAsia="es-CO"/>
        </w:rPr>
      </w:pPr>
    </w:p>
    <w:p w14:paraId="02B76654" w14:textId="77777777" w:rsidR="009A4CD3" w:rsidRDefault="009A4CD3" w:rsidP="009A4CD3">
      <w:pPr>
        <w:spacing w:after="120" w:line="276" w:lineRule="auto"/>
        <w:ind w:firstLine="709"/>
        <w:jc w:val="both"/>
        <w:rPr>
          <w:rFonts w:ascii="Verdana" w:eastAsia="Times New Roman" w:hAnsi="Verdana" w:cs="Arial"/>
          <w:lang w:val="es-MX" w:eastAsia="es-CO"/>
        </w:rPr>
      </w:pPr>
      <w:r w:rsidRPr="00F53072">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50DD61CE" w14:textId="77777777" w:rsidR="009A4CD3" w:rsidRPr="00305400" w:rsidRDefault="009A4CD3" w:rsidP="009A4CD3">
      <w:pPr>
        <w:spacing w:after="0" w:line="276" w:lineRule="auto"/>
        <w:ind w:firstLine="709"/>
        <w:jc w:val="both"/>
        <w:rPr>
          <w:rFonts w:ascii="Verdana" w:eastAsia="Times New Roman" w:hAnsi="Verdana" w:cs="Arial"/>
          <w:sz w:val="20"/>
          <w:szCs w:val="20"/>
          <w:lang w:val="es-MX" w:eastAsia="es-CO"/>
        </w:rPr>
      </w:pPr>
    </w:p>
    <w:p w14:paraId="57FE0C01"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05400">
        <w:rPr>
          <w:rFonts w:ascii="Verdana" w:eastAsia="Times New Roman" w:hAnsi="Verdana" w:cs="Arial"/>
          <w:sz w:val="20"/>
          <w:szCs w:val="20"/>
          <w:lang w:val="es-MX" w:eastAsia="es-CO"/>
        </w:rPr>
        <w:t>legis</w:t>
      </w:r>
      <w:proofErr w:type="spellEnd"/>
      <w:r w:rsidRPr="00305400">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81F6FFC" w14:textId="77777777" w:rsidR="009A4CD3" w:rsidRPr="00305400" w:rsidRDefault="009A4CD3" w:rsidP="009A4CD3">
      <w:pPr>
        <w:spacing w:after="0" w:line="240" w:lineRule="auto"/>
        <w:ind w:right="709"/>
        <w:contextualSpacing/>
        <w:jc w:val="both"/>
        <w:rPr>
          <w:rFonts w:ascii="Verdana" w:eastAsia="Times New Roman" w:hAnsi="Verdana" w:cs="Arial"/>
          <w:sz w:val="20"/>
          <w:szCs w:val="20"/>
          <w:lang w:val="es-MX" w:eastAsia="es-CO"/>
        </w:rPr>
      </w:pPr>
    </w:p>
    <w:p w14:paraId="7917E66B" w14:textId="77777777" w:rsidR="009A4CD3" w:rsidRPr="00305400" w:rsidRDefault="009A4CD3" w:rsidP="009A4CD3">
      <w:pPr>
        <w:spacing w:after="0" w:line="240" w:lineRule="auto"/>
        <w:ind w:left="709" w:right="709"/>
        <w:contextualSpacing/>
        <w:jc w:val="both"/>
        <w:rPr>
          <w:rFonts w:ascii="Verdana" w:eastAsia="Times New Roman" w:hAnsi="Verdana" w:cs="Arial"/>
          <w:sz w:val="20"/>
          <w:szCs w:val="20"/>
          <w:lang w:val="es-MX" w:eastAsia="es-CO"/>
        </w:rPr>
      </w:pPr>
      <w:r w:rsidRPr="00305400">
        <w:rPr>
          <w:rFonts w:ascii="Verdana" w:eastAsia="Times New Roman" w:hAnsi="Verdana" w:cs="Arial"/>
          <w:sz w:val="20"/>
          <w:szCs w:val="20"/>
          <w:lang w:val="es-MX" w:eastAsia="es-CO"/>
        </w:rPr>
        <w:t>La jurisprudencia de la Corte Constitucional</w:t>
      </w:r>
      <w:r w:rsidRPr="00305400">
        <w:rPr>
          <w:rFonts w:ascii="Verdana" w:eastAsia="Times New Roman" w:hAnsi="Verdana" w:cs="Arial"/>
          <w:sz w:val="20"/>
          <w:szCs w:val="20"/>
          <w:vertAlign w:val="superscript"/>
          <w:lang w:val="es-MX" w:eastAsia="es-CO"/>
        </w:rPr>
        <w:footnoteReference w:id="4"/>
      </w:r>
      <w:r w:rsidRPr="00305400">
        <w:rPr>
          <w:rFonts w:ascii="Verdana" w:eastAsia="Times New Roman" w:hAnsi="Verdana" w:cs="Arial"/>
          <w:sz w:val="20"/>
          <w:szCs w:val="20"/>
          <w:lang w:val="es-MX" w:eastAsia="es-CO"/>
        </w:rPr>
        <w:t> y del Consejo de Estado</w:t>
      </w:r>
      <w:r w:rsidRPr="00305400">
        <w:rPr>
          <w:rFonts w:ascii="Verdana" w:eastAsia="Times New Roman" w:hAnsi="Verdana" w:cs="Arial"/>
          <w:sz w:val="20"/>
          <w:szCs w:val="20"/>
          <w:vertAlign w:val="superscript"/>
          <w:lang w:val="es-MX" w:eastAsia="es-CO"/>
        </w:rPr>
        <w:footnoteReference w:id="5"/>
      </w:r>
      <w:r w:rsidRPr="00305400">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305400">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305400">
        <w:rPr>
          <w:rFonts w:ascii="Verdana" w:eastAsia="Times New Roman" w:hAnsi="Verdana" w:cs="Arial"/>
          <w:sz w:val="20"/>
          <w:szCs w:val="20"/>
          <w:vertAlign w:val="superscript"/>
          <w:lang w:val="es-MX" w:eastAsia="es-CO"/>
        </w:rPr>
        <w:footnoteReference w:id="6"/>
      </w:r>
      <w:r w:rsidRPr="00305400">
        <w:rPr>
          <w:rFonts w:ascii="Verdana" w:eastAsia="Times New Roman" w:hAnsi="Verdana" w:cs="Arial"/>
          <w:sz w:val="20"/>
          <w:szCs w:val="20"/>
          <w:lang w:val="es-MX" w:eastAsia="es-CO"/>
        </w:rPr>
        <w:t>.</w:t>
      </w:r>
    </w:p>
    <w:p w14:paraId="24EF88D7" w14:textId="77777777" w:rsidR="009A4CD3" w:rsidRPr="00343E12" w:rsidRDefault="009A4CD3" w:rsidP="009A4CD3">
      <w:pPr>
        <w:spacing w:after="0" w:line="276" w:lineRule="auto"/>
        <w:jc w:val="both"/>
        <w:rPr>
          <w:rFonts w:ascii="Verdana" w:eastAsia="Calibri" w:hAnsi="Verdana" w:cs="Arial"/>
          <w:bCs/>
          <w:lang w:val="es-ES_tradnl"/>
        </w:rPr>
      </w:pPr>
    </w:p>
    <w:p w14:paraId="14615E39" w14:textId="77777777" w:rsidR="009A4CD3"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Times New Roman" w:hAnsi="Verdana" w:cs="Arial"/>
          <w:lang w:val="es-MX" w:eastAsia="es-CO"/>
        </w:rPr>
        <w:t>De</w:t>
      </w:r>
      <w:r w:rsidRPr="00343E12">
        <w:rPr>
          <w:rFonts w:ascii="Verdana" w:eastAsia="Arial" w:hAnsi="Verdana" w:cs="Arial"/>
          <w:lang w:val="es-ES" w:eastAsia="es-ES" w:bidi="es-ES"/>
        </w:rPr>
        <w:t xml:space="preserve"> conformidad con lo anterior, </w:t>
      </w:r>
      <w:bookmarkStart w:id="3" w:name="_Hlk77236098"/>
      <w:bookmarkStart w:id="4" w:name="_Hlk100679383"/>
      <w:r w:rsidRPr="00343E12">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6687A6F" w14:textId="77777777" w:rsidR="009A4CD3"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212DEA57" w14:textId="77777777" w:rsidR="009A4CD3"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Calibri" w:hAnsi="Verdana" w:cs="Arial"/>
        </w:rPr>
        <w:t xml:space="preserve">Por un lado, el </w:t>
      </w:r>
      <w:r w:rsidRPr="00343E12">
        <w:rPr>
          <w:rFonts w:ascii="Verdana" w:eastAsia="Calibri" w:hAnsi="Verdana" w:cs="Arial"/>
          <w:i/>
          <w:iCs/>
        </w:rPr>
        <w:t>artículo 33 de la Ley 996 de 2005</w:t>
      </w:r>
      <w:r w:rsidRPr="00343E12">
        <w:rPr>
          <w:rFonts w:ascii="Verdana" w:eastAsia="Calibri" w:hAnsi="Verdana" w:cs="Arial"/>
        </w:rPr>
        <w:t xml:space="preserve"> prohíbe “(…) la contratación directa por parte de todos los entes del Estado (…)”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r w:rsidRPr="00343E12">
        <w:rPr>
          <w:rFonts w:ascii="Verdana" w:eastAsia="Calibri" w:hAnsi="Verdana" w:cs="Arial"/>
          <w:vertAlign w:val="superscript"/>
        </w:rPr>
        <w:footnoteReference w:id="7"/>
      </w:r>
      <w:r w:rsidRPr="00343E12">
        <w:rPr>
          <w:rFonts w:ascii="Verdana" w:eastAsia="Calibri" w:hAnsi="Verdana" w:cs="Arial"/>
        </w:rPr>
        <w:t>.</w:t>
      </w:r>
    </w:p>
    <w:p w14:paraId="7983C260" w14:textId="77777777" w:rsidR="009A4CD3" w:rsidRPr="00343E12"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Calibri" w:hAnsi="Verdana" w:cs="Arial"/>
        </w:rPr>
        <w:t xml:space="preserve">Por otro lado, </w:t>
      </w:r>
      <w:r w:rsidRPr="00343E12">
        <w:rPr>
          <w:rFonts w:ascii="Verdana" w:eastAsia="Calibri" w:hAnsi="Verdana" w:cs="Arial"/>
          <w:i/>
          <w:iCs/>
        </w:rPr>
        <w:t>el parágrafo del artículo 38 de la Ley 996 de 2005</w:t>
      </w:r>
      <w:r w:rsidRPr="00343E12">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43E12">
        <w:rPr>
          <w:rFonts w:ascii="Verdana" w:eastAsia="Calibri" w:hAnsi="Verdana" w:cs="Arial"/>
          <w:lang w:val="es-MX"/>
        </w:rPr>
        <w:t xml:space="preserve">celebrar convenios interadministrativos para la </w:t>
      </w:r>
      <w:r w:rsidRPr="00343E12">
        <w:rPr>
          <w:rFonts w:ascii="Verdana" w:eastAsia="Calibri" w:hAnsi="Verdana" w:cs="Arial"/>
          <w:lang w:val="es-MX"/>
        </w:rPr>
        <w:lastRenderedPageBreak/>
        <w:t>ejecución de recursos públicos, ni participar, promover y destinar recursos públicos de las entidades a su cargo, como tampoco de las que participen como miembros de sus juntas directivas, en o para reuniones de carácter proselitista (…)</w:t>
      </w:r>
      <w:r w:rsidRPr="00343E12">
        <w:rPr>
          <w:rFonts w:ascii="Verdana" w:eastAsia="Calibri" w:hAnsi="Verdana" w:cs="Arial"/>
        </w:rPr>
        <w:t>”</w:t>
      </w:r>
      <w:bookmarkEnd w:id="4"/>
      <w:r w:rsidRPr="00343E12">
        <w:rPr>
          <w:rFonts w:ascii="Verdana" w:eastAsia="Calibri" w:hAnsi="Verdana" w:cs="Arial"/>
          <w:vertAlign w:val="superscript"/>
        </w:rPr>
        <w:footnoteReference w:id="8"/>
      </w:r>
      <w:r w:rsidRPr="00343E12">
        <w:rPr>
          <w:rFonts w:ascii="Verdana" w:eastAsia="Calibri" w:hAnsi="Verdana" w:cs="Arial"/>
          <w:lang w:val="es-MX"/>
        </w:rPr>
        <w:t>.</w:t>
      </w:r>
      <w:r w:rsidRPr="00343E12">
        <w:rPr>
          <w:rFonts w:ascii="Verdana" w:eastAsia="Arial" w:hAnsi="Verdana" w:cs="Arial"/>
          <w:lang w:val="es-ES" w:eastAsia="es-ES" w:bidi="es-ES"/>
        </w:rPr>
        <w:t xml:space="preserve"> </w:t>
      </w:r>
    </w:p>
    <w:p w14:paraId="4EC4D49C" w14:textId="77777777" w:rsidR="009A4CD3" w:rsidRPr="00343E12" w:rsidRDefault="009A4CD3" w:rsidP="009A4CD3">
      <w:pPr>
        <w:widowControl w:val="0"/>
        <w:autoSpaceDE w:val="0"/>
        <w:autoSpaceDN w:val="0"/>
        <w:spacing w:after="120" w:line="276" w:lineRule="auto"/>
        <w:ind w:firstLine="709"/>
        <w:contextualSpacing/>
        <w:jc w:val="both"/>
        <w:rPr>
          <w:rFonts w:ascii="Verdana" w:eastAsia="Arial" w:hAnsi="Verdana" w:cs="Arial"/>
          <w:lang w:val="es-ES" w:eastAsia="es-ES" w:bidi="es-ES"/>
        </w:rPr>
      </w:pPr>
      <w:r w:rsidRPr="00343E1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01D48B3" w14:textId="77777777" w:rsidR="009A4CD3" w:rsidRPr="00343E12" w:rsidRDefault="009A4CD3" w:rsidP="009A4CD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E7AE7AD" w14:textId="77777777" w:rsidR="009A4CD3" w:rsidRPr="00F53072" w:rsidRDefault="009A4CD3" w:rsidP="009A4CD3">
      <w:pPr>
        <w:widowControl w:val="0"/>
        <w:autoSpaceDE w:val="0"/>
        <w:autoSpaceDN w:val="0"/>
        <w:spacing w:after="0" w:line="240" w:lineRule="auto"/>
        <w:ind w:left="709" w:right="709"/>
        <w:jc w:val="both"/>
        <w:rPr>
          <w:rFonts w:ascii="Verdana" w:eastAsia="Arial" w:hAnsi="Verdana" w:cs="Arial"/>
          <w:sz w:val="21"/>
          <w:szCs w:val="21"/>
          <w:lang w:eastAsia="es-ES" w:bidi="es-ES"/>
        </w:rPr>
      </w:pPr>
      <w:r w:rsidRPr="00F53072">
        <w:rPr>
          <w:rFonts w:ascii="Verdana" w:eastAsia="Arial" w:hAnsi="Verdana" w:cs="Arial"/>
          <w:sz w:val="21"/>
          <w:szCs w:val="21"/>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F53072">
        <w:rPr>
          <w:rFonts w:ascii="Verdana" w:eastAsia="Arial" w:hAnsi="Verdana" w:cs="Arial"/>
          <w:sz w:val="21"/>
          <w:szCs w:val="21"/>
          <w:vertAlign w:val="superscript"/>
          <w:lang w:eastAsia="es-ES" w:bidi="es-ES"/>
        </w:rPr>
        <w:footnoteReference w:id="9"/>
      </w:r>
      <w:r w:rsidRPr="00F53072">
        <w:rPr>
          <w:rFonts w:ascii="Verdana" w:eastAsia="Arial" w:hAnsi="Verdana" w:cs="Arial"/>
          <w:sz w:val="21"/>
          <w:szCs w:val="21"/>
          <w:lang w:eastAsia="es-ES" w:bidi="es-ES"/>
        </w:rPr>
        <w:t>.</w:t>
      </w:r>
    </w:p>
    <w:p w14:paraId="3C169A03" w14:textId="77777777" w:rsidR="009A4CD3" w:rsidRPr="00343E12" w:rsidRDefault="009A4CD3" w:rsidP="009A4CD3">
      <w:pPr>
        <w:widowControl w:val="0"/>
        <w:autoSpaceDE w:val="0"/>
        <w:autoSpaceDN w:val="0"/>
        <w:spacing w:after="0" w:line="240" w:lineRule="auto"/>
        <w:contextualSpacing/>
        <w:rPr>
          <w:rFonts w:ascii="Verdana" w:eastAsia="Arial" w:hAnsi="Verdana" w:cs="Arial"/>
          <w:lang w:val="es-ES" w:eastAsia="es-ES" w:bidi="es-ES"/>
        </w:rPr>
      </w:pPr>
    </w:p>
    <w:p w14:paraId="4A1F277A" w14:textId="77777777" w:rsidR="009A4CD3" w:rsidRPr="00343E12"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343E12">
        <w:rPr>
          <w:rFonts w:ascii="Verdana" w:eastAsia="Arial" w:hAnsi="Verdana" w:cs="Arial"/>
          <w:i/>
          <w:iCs/>
          <w:lang w:val="es-ES" w:eastAsia="es-ES" w:bidi="es-ES"/>
        </w:rPr>
        <w:t>En primer lugar</w:t>
      </w:r>
      <w:r w:rsidRPr="00343E12">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343E12">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283A4A9D" w14:textId="77777777" w:rsidR="009A4CD3"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i/>
          <w:iCs/>
          <w:lang w:val="es-ES" w:eastAsia="es-ES" w:bidi="es-ES"/>
        </w:rPr>
        <w:t>En segundo lugar</w:t>
      </w:r>
      <w:r w:rsidRPr="00343E1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F4D33F6" w14:textId="77777777" w:rsidR="009A4CD3" w:rsidRPr="00343E12"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2FCF56C9" w14:textId="77777777" w:rsidR="009A4CD3" w:rsidRPr="00343E12" w:rsidRDefault="009A4CD3" w:rsidP="009A4CD3">
      <w:pPr>
        <w:spacing w:after="120" w:line="276" w:lineRule="auto"/>
        <w:ind w:firstLine="709"/>
        <w:jc w:val="both"/>
        <w:rPr>
          <w:rFonts w:ascii="Verdana" w:eastAsia="Arial" w:hAnsi="Verdana" w:cs="Arial"/>
          <w:lang w:val="es-ES" w:eastAsia="es-ES" w:bidi="es-ES"/>
        </w:rPr>
      </w:pPr>
      <w:r w:rsidRPr="00343E1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0411E82" w14:textId="77777777" w:rsidR="009A4CD3" w:rsidRPr="00343E12" w:rsidRDefault="009A4CD3" w:rsidP="009A4CD3">
      <w:pPr>
        <w:widowControl w:val="0"/>
        <w:spacing w:after="120" w:line="276" w:lineRule="auto"/>
        <w:ind w:right="113" w:firstLine="709"/>
        <w:jc w:val="both"/>
        <w:rPr>
          <w:rFonts w:ascii="Verdana" w:eastAsia="Times New Roman" w:hAnsi="Verdana" w:cs="Arial"/>
          <w:bCs/>
          <w:lang w:eastAsia="es-CO"/>
        </w:rPr>
      </w:pPr>
      <w:r w:rsidRPr="00343E12">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343E12">
        <w:rPr>
          <w:rFonts w:ascii="Verdana" w:eastAsia="Times New Roman" w:hAnsi="Verdana" w:cs="Arial"/>
          <w:bCs/>
          <w:lang w:eastAsia="es-CO"/>
        </w:rPr>
        <w:t>1. </w:t>
      </w:r>
      <w:r w:rsidRPr="00343E12">
        <w:rPr>
          <w:rFonts w:ascii="Verdana" w:eastAsia="Times New Roman" w:hAnsi="Verdana" w:cs="Arial"/>
          <w:bCs/>
          <w:i/>
          <w:iCs/>
          <w:lang w:eastAsia="es-CO"/>
        </w:rPr>
        <w:t>Gral.</w:t>
      </w:r>
      <w:r w:rsidRPr="00343E12">
        <w:rPr>
          <w:rFonts w:ascii="Verdana" w:eastAsia="Times New Roman" w:hAnsi="Verdana" w:cs="Arial"/>
          <w:bCs/>
          <w:lang w:eastAsia="es-CO"/>
        </w:rPr>
        <w:t xml:space="preserve"> Otorgar o firmar un contrato. 2. </w:t>
      </w:r>
      <w:proofErr w:type="spellStart"/>
      <w:r w:rsidRPr="00343E12">
        <w:rPr>
          <w:rFonts w:ascii="Verdana" w:eastAsia="Times New Roman" w:hAnsi="Verdana" w:cs="Arial"/>
          <w:bCs/>
          <w:i/>
          <w:iCs/>
          <w:lang w:eastAsia="es-CO"/>
        </w:rPr>
        <w:t>Proc</w:t>
      </w:r>
      <w:proofErr w:type="spellEnd"/>
      <w:r w:rsidRPr="00343E12">
        <w:rPr>
          <w:rFonts w:ascii="Verdana" w:eastAsia="Times New Roman" w:hAnsi="Verdana" w:cs="Arial"/>
          <w:bCs/>
          <w:i/>
          <w:iCs/>
          <w:lang w:eastAsia="es-CO"/>
        </w:rPr>
        <w:t>.</w:t>
      </w:r>
      <w:r w:rsidRPr="00343E12">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w:t>
      </w:r>
      <w:r w:rsidRPr="00343E12">
        <w:rPr>
          <w:rFonts w:ascii="Verdana" w:eastAsia="Times New Roman" w:hAnsi="Verdana" w:cs="Arial"/>
          <w:bCs/>
          <w:lang w:eastAsia="es-CO"/>
        </w:rPr>
        <w:lastRenderedPageBreak/>
        <w:t xml:space="preserve">Electorales es la primera, esto es, al perfeccionamiento del contrato. </w:t>
      </w:r>
    </w:p>
    <w:p w14:paraId="1D3C31A1" w14:textId="77777777" w:rsidR="009A4CD3" w:rsidRPr="00343E12" w:rsidRDefault="009A4CD3" w:rsidP="009A4CD3">
      <w:pPr>
        <w:spacing w:after="120" w:line="276" w:lineRule="auto"/>
        <w:ind w:firstLine="709"/>
        <w:jc w:val="both"/>
        <w:rPr>
          <w:rFonts w:ascii="Verdana" w:eastAsia="Times New Roman" w:hAnsi="Verdana" w:cs="Arial"/>
          <w:bCs/>
          <w:lang w:val="es-ES" w:eastAsia="es-CO"/>
        </w:rPr>
      </w:pPr>
      <w:r w:rsidRPr="00343E12">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43E1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343E12">
        <w:rPr>
          <w:rFonts w:ascii="Verdana" w:eastAsia="Times New Roman" w:hAnsi="Verdana" w:cs="Arial"/>
          <w:bCs/>
          <w:i/>
          <w:lang w:val="es-ES" w:eastAsia="es-CO"/>
        </w:rPr>
        <w:t>ibídem</w:t>
      </w:r>
      <w:proofErr w:type="spellEnd"/>
      <w:r w:rsidRPr="00343E12">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9489D25" w14:textId="77777777" w:rsidR="009A4CD3" w:rsidRPr="00343E12" w:rsidRDefault="009A4CD3" w:rsidP="009A4CD3">
      <w:pPr>
        <w:spacing w:after="120" w:line="276" w:lineRule="auto"/>
        <w:ind w:firstLine="709"/>
        <w:jc w:val="both"/>
        <w:rPr>
          <w:rFonts w:ascii="Verdana" w:eastAsia="Times New Roman" w:hAnsi="Verdana" w:cs="Arial"/>
          <w:bCs/>
          <w:lang w:val="es-ES" w:eastAsia="es-CO"/>
        </w:rPr>
      </w:pPr>
      <w:r w:rsidRPr="00343E12">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1C15BFF" w14:textId="77777777" w:rsidR="009A4CD3" w:rsidRDefault="009A4CD3" w:rsidP="009A4CD3">
      <w:pPr>
        <w:spacing w:after="120" w:line="276" w:lineRule="auto"/>
        <w:ind w:firstLine="709"/>
        <w:jc w:val="both"/>
        <w:rPr>
          <w:rFonts w:ascii="Verdana" w:eastAsia="Times New Roman" w:hAnsi="Verdana" w:cs="Arial"/>
          <w:bCs/>
          <w:lang w:val="es-MX" w:eastAsia="es-CO"/>
        </w:rPr>
      </w:pPr>
      <w:r w:rsidRPr="00343E12">
        <w:rPr>
          <w:rFonts w:ascii="Verdana" w:eastAsia="Times New Roman" w:hAnsi="Verdana" w:cs="Arial"/>
          <w:bCs/>
          <w:lang w:val="es-ES" w:eastAsia="es-CO"/>
        </w:rPr>
        <w:t xml:space="preserve">Así mismo, </w:t>
      </w:r>
      <w:r w:rsidRPr="00343E12">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43E12">
        <w:rPr>
          <w:rFonts w:ascii="Verdana" w:eastAsia="Times New Roman" w:hAnsi="Verdana" w:cs="Arial"/>
          <w:bCs/>
          <w:vertAlign w:val="superscript"/>
          <w:lang w:val="es-MX" w:eastAsia="es-CO"/>
        </w:rPr>
        <w:footnoteReference w:id="10"/>
      </w:r>
      <w:r w:rsidRPr="00343E12">
        <w:rPr>
          <w:rFonts w:ascii="Verdana" w:eastAsia="Times New Roman" w:hAnsi="Verdana" w:cs="Arial"/>
          <w:bCs/>
          <w:lang w:val="es-MX" w:eastAsia="es-CO"/>
        </w:rPr>
        <w:t xml:space="preserve">. </w:t>
      </w:r>
    </w:p>
    <w:p w14:paraId="51F33162" w14:textId="77777777" w:rsidR="009A4CD3" w:rsidRPr="008F0091" w:rsidRDefault="009A4CD3" w:rsidP="009A4CD3">
      <w:pPr>
        <w:spacing w:after="120" w:line="276" w:lineRule="auto"/>
        <w:ind w:firstLine="709"/>
        <w:jc w:val="both"/>
        <w:rPr>
          <w:rFonts w:ascii="Verdana" w:eastAsia="Times New Roman" w:hAnsi="Verdana" w:cs="Arial"/>
          <w:bCs/>
          <w:lang w:val="es-ES" w:eastAsia="es-CO"/>
        </w:rPr>
      </w:pPr>
      <w:r w:rsidRPr="00343E12">
        <w:rPr>
          <w:rFonts w:ascii="Verdana" w:eastAsia="Arial" w:hAnsi="Verdana" w:cs="Arial"/>
          <w:lang w:val="es-ES" w:eastAsia="es-ES" w:bidi="es-ES"/>
        </w:rPr>
        <w:t xml:space="preserve">Ahora bien, </w:t>
      </w:r>
      <w:r w:rsidRPr="00343E12">
        <w:rPr>
          <w:rFonts w:ascii="Verdana" w:eastAsia="Calibri" w:hAnsi="Verdana" w:cs="Arial"/>
          <w:lang w:eastAsia="es-ES" w:bidi="es-ES"/>
        </w:rPr>
        <w:t xml:space="preserve">para responder al problema jurídico planteado resulta necesario precisar el alcance de la prohibición </w:t>
      </w:r>
      <w:r w:rsidRPr="00343E12">
        <w:rPr>
          <w:rFonts w:ascii="Verdana" w:eastAsia="Arial" w:hAnsi="Verdana" w:cs="Arial"/>
          <w:lang w:val="es-ES" w:eastAsia="es-ES" w:bidi="es-ES"/>
        </w:rPr>
        <w:t>establecida en e</w:t>
      </w:r>
      <w:r w:rsidRPr="00343E12">
        <w:rPr>
          <w:rFonts w:ascii="Verdana" w:eastAsia="Calibri" w:hAnsi="Verdana" w:cs="Arial"/>
        </w:rPr>
        <w:t xml:space="preserve">l </w:t>
      </w:r>
      <w:r w:rsidRPr="00343E12">
        <w:rPr>
          <w:rFonts w:ascii="Verdana" w:eastAsia="Times New Roman" w:hAnsi="Verdana" w:cs="Arial"/>
          <w:lang w:val="es-MX"/>
        </w:rPr>
        <w:t xml:space="preserve">artículo 33 de la Ley 996 de 2005. El ámbito material de la prohibición contenida en esta disposición está delimitado por la expresión </w:t>
      </w:r>
      <w:r w:rsidRPr="00343E12">
        <w:rPr>
          <w:rFonts w:ascii="Verdana" w:eastAsia="Calibri" w:hAnsi="Verdana" w:cs="Arial"/>
          <w:lang w:val="es-MX"/>
        </w:rPr>
        <w:t>“</w:t>
      </w:r>
      <w:r w:rsidRPr="00343E12">
        <w:rPr>
          <w:rFonts w:ascii="Verdana" w:eastAsia="Times New Roman" w:hAnsi="Verdana" w:cs="Arial"/>
          <w:lang w:val="es-MX"/>
        </w:rPr>
        <w:t xml:space="preserve">queda prohibida la contratación </w:t>
      </w:r>
      <w:r w:rsidRPr="00343E12">
        <w:rPr>
          <w:rFonts w:ascii="Verdana" w:eastAsia="Times New Roman" w:hAnsi="Verdana" w:cs="Arial"/>
          <w:lang w:val="es-MX"/>
        </w:rPr>
        <w:lastRenderedPageBreak/>
        <w:t>directa</w:t>
      </w:r>
      <w:r w:rsidRPr="00343E12">
        <w:rPr>
          <w:rFonts w:ascii="Verdana" w:eastAsia="Calibri" w:hAnsi="Verdana" w:cs="Arial"/>
          <w:lang w:val="es-MX"/>
        </w:rPr>
        <w:t>”</w:t>
      </w:r>
      <w:r w:rsidRPr="00343E12">
        <w:rPr>
          <w:rFonts w:ascii="Verdana" w:eastAsia="Times New Roman" w:hAnsi="Verdana" w:cs="Arial"/>
          <w:lang w:val="es-MX"/>
        </w:rPr>
        <w:t xml:space="preserve">. </w:t>
      </w:r>
      <w:r w:rsidRPr="00343E12">
        <w:rPr>
          <w:rFonts w:ascii="Verdana" w:eastAsia="Times New Roman" w:hAnsi="Verdana" w:cs="Arial"/>
          <w:lang w:val="es-MX" w:eastAsia="es-CO"/>
        </w:rPr>
        <w:t xml:space="preserve">A propósito de </w:t>
      </w:r>
      <w:r w:rsidRPr="00343E12">
        <w:rPr>
          <w:rFonts w:ascii="Verdana" w:eastAsia="Times New Roman" w:hAnsi="Verdana" w:cs="Arial"/>
          <w:lang w:eastAsia="es-CO"/>
        </w:rPr>
        <w:t>esta restricción de la Ley de Garantías Electorales, la Sala de Consulta y Servicio Civil del Consejo de Estado ha considerado que:</w:t>
      </w:r>
    </w:p>
    <w:p w14:paraId="79BA5E14" w14:textId="77777777" w:rsidR="009A4CD3" w:rsidRPr="00305400" w:rsidRDefault="009A4CD3" w:rsidP="009A4CD3">
      <w:pPr>
        <w:spacing w:after="0" w:line="276" w:lineRule="auto"/>
        <w:ind w:left="708" w:right="709"/>
        <w:jc w:val="both"/>
        <w:rPr>
          <w:rFonts w:ascii="Verdana" w:eastAsia="Calibri" w:hAnsi="Verdana" w:cs="Arial"/>
          <w:sz w:val="20"/>
          <w:szCs w:val="20"/>
          <w:lang w:val="es-MX"/>
        </w:rPr>
      </w:pPr>
    </w:p>
    <w:p w14:paraId="7DB83187" w14:textId="77777777" w:rsidR="009A4CD3" w:rsidRPr="00305400" w:rsidRDefault="009A4CD3" w:rsidP="009A4CD3">
      <w:pPr>
        <w:spacing w:after="0" w:line="240" w:lineRule="auto"/>
        <w:ind w:left="709" w:right="709"/>
        <w:jc w:val="both"/>
        <w:rPr>
          <w:rFonts w:ascii="Verdana" w:eastAsia="Calibri" w:hAnsi="Verdana" w:cs="Arial"/>
          <w:sz w:val="20"/>
          <w:szCs w:val="20"/>
          <w:lang w:val="es-MX"/>
        </w:rPr>
      </w:pPr>
      <w:r w:rsidRPr="00305400">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05400">
        <w:rPr>
          <w:rFonts w:ascii="Verdana" w:eastAsia="Times New Roman" w:hAnsi="Verdana" w:cs="Arial"/>
          <w:sz w:val="20"/>
          <w:szCs w:val="20"/>
          <w:vertAlign w:val="superscript"/>
          <w:lang w:eastAsia="es-CO"/>
        </w:rPr>
        <w:footnoteReference w:id="11"/>
      </w:r>
      <w:r w:rsidRPr="00305400">
        <w:rPr>
          <w:rFonts w:ascii="Verdana" w:eastAsia="Calibri" w:hAnsi="Verdana" w:cs="Arial"/>
          <w:sz w:val="20"/>
          <w:szCs w:val="20"/>
          <w:lang w:val="es-MX"/>
        </w:rPr>
        <w:t>.</w:t>
      </w:r>
    </w:p>
    <w:p w14:paraId="1E510972" w14:textId="77777777" w:rsidR="009A4CD3" w:rsidRPr="00305400" w:rsidRDefault="009A4CD3" w:rsidP="009A4CD3">
      <w:pPr>
        <w:spacing w:after="0" w:line="240" w:lineRule="auto"/>
        <w:ind w:left="709" w:right="709"/>
        <w:jc w:val="both"/>
        <w:rPr>
          <w:rFonts w:ascii="Verdana" w:eastAsia="Calibri" w:hAnsi="Verdana" w:cs="Arial"/>
          <w:sz w:val="20"/>
          <w:szCs w:val="20"/>
          <w:lang w:val="es-MX"/>
        </w:rPr>
      </w:pPr>
    </w:p>
    <w:p w14:paraId="25E42891" w14:textId="77777777" w:rsidR="009A4CD3" w:rsidRPr="00305400" w:rsidRDefault="009A4CD3" w:rsidP="009A4CD3">
      <w:pPr>
        <w:spacing w:after="0" w:line="240" w:lineRule="auto"/>
        <w:ind w:left="709" w:right="709"/>
        <w:jc w:val="both"/>
        <w:rPr>
          <w:rFonts w:ascii="Verdana" w:hAnsi="Verdana"/>
          <w:sz w:val="20"/>
          <w:szCs w:val="20"/>
        </w:rPr>
      </w:pPr>
      <w:r w:rsidRPr="00305400">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05400">
        <w:rPr>
          <w:rFonts w:ascii="Verdana" w:eastAsia="Times New Roman" w:hAnsi="Verdana" w:cs="Arial"/>
          <w:sz w:val="20"/>
          <w:szCs w:val="20"/>
          <w:vertAlign w:val="superscript"/>
          <w:lang w:val="es-MX"/>
        </w:rPr>
        <w:footnoteReference w:id="12"/>
      </w:r>
      <w:r w:rsidRPr="00305400">
        <w:rPr>
          <w:rFonts w:ascii="Verdana" w:eastAsia="Times New Roman" w:hAnsi="Verdana" w:cs="Arial"/>
          <w:sz w:val="20"/>
          <w:szCs w:val="20"/>
          <w:vertAlign w:val="superscript"/>
          <w:lang w:val="es-MX"/>
        </w:rPr>
        <w:t>.</w:t>
      </w:r>
      <w:r w:rsidRPr="00305400">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05400">
        <w:rPr>
          <w:rFonts w:ascii="Verdana" w:eastAsia="Times New Roman" w:hAnsi="Verdana" w:cs="Arial"/>
          <w:sz w:val="20"/>
          <w:szCs w:val="20"/>
          <w:vertAlign w:val="superscript"/>
          <w:lang w:eastAsia="es-CO"/>
        </w:rPr>
        <w:footnoteReference w:id="13"/>
      </w:r>
    </w:p>
    <w:p w14:paraId="3CF50776" w14:textId="77777777" w:rsidR="009A4CD3" w:rsidRPr="00E25E93" w:rsidRDefault="009A4CD3" w:rsidP="009A4CD3">
      <w:pPr>
        <w:spacing w:after="120" w:line="276" w:lineRule="auto"/>
        <w:ind w:firstLine="709"/>
        <w:jc w:val="both"/>
        <w:rPr>
          <w:rFonts w:ascii="Verdana" w:hAnsi="Verdana"/>
        </w:rPr>
      </w:pPr>
    </w:p>
    <w:p w14:paraId="1F2C09F8" w14:textId="77777777" w:rsidR="009A4CD3" w:rsidRPr="00E25E93" w:rsidRDefault="009A4CD3" w:rsidP="009A4CD3">
      <w:pPr>
        <w:spacing w:after="120" w:line="276" w:lineRule="auto"/>
        <w:ind w:firstLine="709"/>
        <w:jc w:val="both"/>
        <w:rPr>
          <w:rFonts w:ascii="Verdana" w:eastAsia="Times New Roman" w:hAnsi="Verdana" w:cs="Arial"/>
          <w:bCs/>
          <w:lang w:eastAsia="x-none"/>
        </w:rPr>
      </w:pPr>
      <w:r w:rsidRPr="00E25E93">
        <w:rPr>
          <w:rFonts w:ascii="Verdana" w:eastAsia="Times New Roman" w:hAnsi="Verdana" w:cs="Arial"/>
          <w:lang w:eastAsia="x-none"/>
        </w:rPr>
        <w:t xml:space="preserve">De acuerdo con el citado concepto, la prohibición del artículo 33 de la Ley de Garantías Electorales se refiere a </w:t>
      </w:r>
      <w:r w:rsidRPr="00E25E93">
        <w:rPr>
          <w:rFonts w:ascii="Verdana" w:eastAsia="Times New Roman" w:hAnsi="Verdana" w:cs="Arial"/>
          <w:lang w:eastAsia="en-GB"/>
        </w:rPr>
        <w:t>“</w:t>
      </w:r>
      <w:r w:rsidRPr="00E25E93">
        <w:rPr>
          <w:rFonts w:ascii="Verdana" w:eastAsia="Times New Roman" w:hAnsi="Verdana" w:cs="Arial"/>
          <w:lang w:eastAsia="x-none"/>
        </w:rPr>
        <w:t>cualquier sistema que no implique convocatoria pública y posibilidad de pluralidad de oferentes</w:t>
      </w:r>
      <w:r w:rsidRPr="00E25E93">
        <w:rPr>
          <w:rFonts w:ascii="Verdana" w:eastAsia="Times New Roman" w:hAnsi="Verdana" w:cs="Arial"/>
          <w:lang w:eastAsia="en-GB"/>
        </w:rPr>
        <w:t>”</w:t>
      </w:r>
      <w:r w:rsidRPr="00E25E93">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E25E93">
        <w:rPr>
          <w:rFonts w:ascii="Verdana" w:eastAsia="Times New Roman" w:hAnsi="Verdana" w:cs="Arial"/>
          <w:lang w:val="es-ES_tradnl" w:eastAsia="x-none"/>
        </w:rPr>
        <w:t>y la mínima cuantía</w:t>
      </w:r>
      <w:r w:rsidRPr="00E25E93" w:rsidDel="00A85D9F">
        <w:rPr>
          <w:rFonts w:ascii="Verdana" w:eastAsia="Times New Roman" w:hAnsi="Verdana" w:cs="Arial"/>
          <w:lang w:eastAsia="x-none"/>
        </w:rPr>
        <w:t xml:space="preserve"> </w:t>
      </w:r>
      <w:r w:rsidRPr="00E25E93">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E25E93">
        <w:rPr>
          <w:rFonts w:ascii="Verdana" w:eastAsia="Times New Roman" w:hAnsi="Verdana" w:cs="Arial"/>
          <w:vertAlign w:val="superscript"/>
          <w:lang w:val="en-GB" w:eastAsia="x-none"/>
        </w:rPr>
        <w:footnoteReference w:id="14"/>
      </w:r>
      <w:r w:rsidRPr="00E25E93">
        <w:rPr>
          <w:rFonts w:ascii="Verdana" w:eastAsia="Times New Roman" w:hAnsi="Verdana" w:cs="Arial"/>
          <w:lang w:eastAsia="x-none"/>
        </w:rPr>
        <w:t xml:space="preserve"> y sistematizó las causales de contratación directa</w:t>
      </w:r>
      <w:r w:rsidRPr="00E25E93">
        <w:rPr>
          <w:rFonts w:ascii="Verdana" w:eastAsia="Times New Roman" w:hAnsi="Verdana" w:cs="Arial"/>
          <w:vertAlign w:val="superscript"/>
          <w:lang w:val="en-GB" w:eastAsia="x-none"/>
        </w:rPr>
        <w:footnoteReference w:id="15"/>
      </w:r>
      <w:r w:rsidRPr="00E25E93">
        <w:rPr>
          <w:rFonts w:ascii="Verdana" w:eastAsia="Times New Roman" w:hAnsi="Verdana" w:cs="Arial"/>
          <w:lang w:eastAsia="x-none"/>
        </w:rPr>
        <w:t xml:space="preserve">, </w:t>
      </w:r>
      <w:r w:rsidRPr="00E25E93">
        <w:rPr>
          <w:rFonts w:ascii="Verdana" w:eastAsia="Calibri" w:hAnsi="Verdana" w:cs="Arial"/>
          <w:lang w:eastAsia="x-none"/>
        </w:rPr>
        <w:t xml:space="preserve">además lo es con la posterior creación de </w:t>
      </w:r>
      <w:r w:rsidRPr="00E25E93">
        <w:rPr>
          <w:rFonts w:ascii="Verdana" w:eastAsia="Calibri" w:hAnsi="Verdana" w:cs="Arial"/>
          <w:lang w:eastAsia="x-none"/>
        </w:rPr>
        <w:lastRenderedPageBreak/>
        <w:t>la modalidad de mínima cuantía establecida actualmente en el numeral 5 del artículo 2 de la Ley 1150 de 2007, de acuerdo con las modificaciones realizadas por leyes posteriores.</w:t>
      </w:r>
    </w:p>
    <w:p w14:paraId="7787293C" w14:textId="77777777" w:rsidR="009A4CD3" w:rsidRPr="00E25E93" w:rsidRDefault="009A4CD3" w:rsidP="009A4CD3">
      <w:pPr>
        <w:spacing w:after="120" w:line="276" w:lineRule="auto"/>
        <w:ind w:firstLine="709"/>
        <w:jc w:val="both"/>
        <w:rPr>
          <w:rFonts w:ascii="Verdana" w:eastAsia="Times New Roman" w:hAnsi="Verdana" w:cs="Arial"/>
          <w:lang w:val="es-MX"/>
        </w:rPr>
      </w:pPr>
      <w:r w:rsidRPr="00E25E93">
        <w:rPr>
          <w:rFonts w:ascii="Verdana" w:eastAsia="Times New Roman" w:hAnsi="Verdana" w:cs="Arial"/>
          <w:lang w:eastAsia="x-none"/>
        </w:rPr>
        <w:t xml:space="preserve">De esta forma, con fundamento en la evolución de la normativa sobre la contratación pública, se ha depurado la noción de </w:t>
      </w:r>
      <w:r w:rsidRPr="00E25E93">
        <w:rPr>
          <w:rFonts w:ascii="Verdana" w:eastAsia="Times New Roman" w:hAnsi="Verdana" w:cs="Arial"/>
          <w:lang w:eastAsia="en-GB"/>
        </w:rPr>
        <w:t>“</w:t>
      </w:r>
      <w:r w:rsidRPr="00E25E93">
        <w:rPr>
          <w:rFonts w:ascii="Verdana" w:eastAsia="Times New Roman" w:hAnsi="Verdana" w:cs="Arial"/>
          <w:lang w:eastAsia="x-none"/>
        </w:rPr>
        <w:t>contratación directa</w:t>
      </w:r>
      <w:r w:rsidRPr="00E25E93">
        <w:rPr>
          <w:rFonts w:ascii="Verdana" w:eastAsia="Times New Roman" w:hAnsi="Verdana" w:cs="Arial"/>
          <w:lang w:eastAsia="en-GB"/>
        </w:rPr>
        <w:t>”</w:t>
      </w:r>
      <w:r w:rsidRPr="00E25E93">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E25E93">
        <w:rPr>
          <w:rFonts w:ascii="Verdana" w:eastAsia="Times New Roman" w:hAnsi="Verdana" w:cs="Arial"/>
          <w:vertAlign w:val="superscript"/>
          <w:lang w:val="en-GB"/>
        </w:rPr>
        <w:footnoteReference w:id="16"/>
      </w:r>
      <w:r w:rsidRPr="00E25E93">
        <w:rPr>
          <w:rFonts w:ascii="Verdana" w:eastAsia="Times New Roman" w:hAnsi="Verdana" w:cs="Arial"/>
          <w:lang w:eastAsia="x-none"/>
        </w:rPr>
        <w:t>, han establecido sistemas de contratación que implican convocatoria pública y participación de varios oferentes</w:t>
      </w:r>
      <w:r w:rsidRPr="00E25E93">
        <w:rPr>
          <w:rFonts w:ascii="Verdana" w:eastAsia="Times New Roman" w:hAnsi="Verdana" w:cs="Arial"/>
          <w:lang w:eastAsia="en-GB"/>
        </w:rPr>
        <w:t>”</w:t>
      </w:r>
      <w:r w:rsidRPr="00E25E93">
        <w:rPr>
          <w:rFonts w:ascii="Verdana" w:eastAsia="Times New Roman" w:hAnsi="Verdana" w:cs="Arial"/>
          <w:lang w:eastAsia="x-none"/>
        </w:rPr>
        <w:t xml:space="preserve">. </w:t>
      </w:r>
    </w:p>
    <w:p w14:paraId="1745E134" w14:textId="77777777" w:rsidR="009A4CD3" w:rsidRPr="00E25E93" w:rsidRDefault="009A4CD3" w:rsidP="009A4CD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lang w:val="es-MX"/>
        </w:rPr>
        <w:t>E</w:t>
      </w:r>
      <w:r w:rsidRPr="00E25E93">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E25E93">
        <w:rPr>
          <w:rFonts w:ascii="Verdana" w:eastAsia="Times New Roman" w:hAnsi="Verdana" w:cs="Arial"/>
          <w:vertAlign w:val="superscript"/>
          <w:lang w:eastAsia="x-none"/>
        </w:rPr>
        <w:footnoteReference w:id="17"/>
      </w:r>
      <w:r w:rsidRPr="00E25E93">
        <w:rPr>
          <w:rFonts w:ascii="Verdana" w:eastAsia="Times New Roman" w:hAnsi="Verdana" w:cs="Arial"/>
          <w:lang w:eastAsia="x-none"/>
        </w:rPr>
        <w:t xml:space="preserve">. </w:t>
      </w:r>
    </w:p>
    <w:p w14:paraId="6EDD4BD9" w14:textId="77777777" w:rsidR="009A4CD3" w:rsidRPr="00E25E93" w:rsidRDefault="009A4CD3" w:rsidP="009A4CD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sidRPr="00E25E93">
        <w:rPr>
          <w:rFonts w:ascii="Verdana" w:eastAsia="Times New Roman" w:hAnsi="Verdana" w:cs="Arial"/>
          <w:lang w:val="es-MX" w:eastAsia="es-CO"/>
        </w:rPr>
        <w:t xml:space="preserve"> Electorales</w:t>
      </w:r>
      <w:r w:rsidRPr="00E25E93">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E25E93">
        <w:rPr>
          <w:rFonts w:ascii="Verdana" w:eastAsia="Times New Roman" w:hAnsi="Verdana" w:cs="Arial"/>
          <w:lang w:val="es-MX" w:eastAsia="es-CO"/>
        </w:rPr>
        <w:t>“</w:t>
      </w:r>
      <w:r w:rsidRPr="00E25E93">
        <w:rPr>
          <w:rFonts w:ascii="Verdana" w:eastAsia="Times New Roman" w:hAnsi="Verdana" w:cs="Arial"/>
          <w:bCs/>
          <w:lang w:val="es-MX" w:eastAsia="es-CO"/>
        </w:rPr>
        <w:t>contratación directa</w:t>
      </w:r>
      <w:r w:rsidRPr="00E25E93">
        <w:rPr>
          <w:rFonts w:ascii="Verdana" w:eastAsia="Times New Roman" w:hAnsi="Verdana" w:cs="Arial"/>
          <w:lang w:val="es-MX" w:eastAsia="es-CO"/>
        </w:rPr>
        <w:t>”.</w:t>
      </w:r>
    </w:p>
    <w:p w14:paraId="3AB3BA5F" w14:textId="77777777" w:rsidR="009A4CD3" w:rsidRPr="00E25E93" w:rsidRDefault="009A4CD3" w:rsidP="009A4CD3">
      <w:pPr>
        <w:spacing w:after="120" w:line="276" w:lineRule="auto"/>
        <w:ind w:firstLine="709"/>
        <w:jc w:val="both"/>
        <w:rPr>
          <w:rFonts w:ascii="Verdana" w:eastAsia="Times New Roman" w:hAnsi="Verdana" w:cs="Arial"/>
          <w:bCs/>
          <w:lang w:val="es-MX" w:eastAsia="x-none"/>
        </w:rPr>
      </w:pPr>
      <w:r w:rsidRPr="00E25E93">
        <w:rPr>
          <w:rFonts w:ascii="Verdana" w:eastAsia="Times New Roman" w:hAnsi="Verdana" w:cs="Arial"/>
          <w:bCs/>
          <w:lang w:val="es-MX" w:eastAsia="x-none"/>
        </w:rPr>
        <w:lastRenderedPageBreak/>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E25E93">
        <w:rPr>
          <w:rFonts w:ascii="Verdana" w:eastAsia="Times New Roman" w:hAnsi="Verdana" w:cs="Arial"/>
          <w:vertAlign w:val="superscript"/>
          <w:lang w:eastAsia="x-none"/>
        </w:rPr>
        <w:footnoteReference w:id="18"/>
      </w:r>
      <w:r w:rsidRPr="00E25E93">
        <w:rPr>
          <w:rFonts w:ascii="Verdana" w:eastAsia="Times New Roman" w:hAnsi="Verdana" w:cs="Arial"/>
          <w:bCs/>
          <w:lang w:val="es-MX" w:eastAsia="x-none"/>
        </w:rPr>
        <w:t>.</w:t>
      </w:r>
      <w:r w:rsidRPr="00E25E93">
        <w:rPr>
          <w:rFonts w:ascii="Verdana" w:eastAsia="Times New Roman" w:hAnsi="Verdana" w:cs="Arial"/>
          <w:vertAlign w:val="superscript"/>
          <w:lang w:eastAsia="x-none"/>
        </w:rPr>
        <w:t xml:space="preserve"> </w:t>
      </w:r>
    </w:p>
    <w:p w14:paraId="1C018FC7" w14:textId="77777777" w:rsidR="009A4CD3" w:rsidRPr="00E25E93" w:rsidRDefault="009A4CD3" w:rsidP="009A4CD3">
      <w:pPr>
        <w:spacing w:after="120" w:line="276" w:lineRule="auto"/>
        <w:ind w:firstLine="709"/>
        <w:jc w:val="both"/>
        <w:rPr>
          <w:rFonts w:ascii="Verdana" w:eastAsia="Times New Roman" w:hAnsi="Verdana" w:cs="Arial"/>
          <w:lang w:eastAsia="x-none"/>
        </w:rPr>
      </w:pPr>
      <w:r w:rsidRPr="00E25E93">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E25E93">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2F580CA" w14:textId="77777777" w:rsidR="009A4CD3" w:rsidRPr="00E25E93" w:rsidRDefault="009A4CD3" w:rsidP="009A4CD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w:t>
      </w:r>
      <w:r w:rsidRPr="00E25E93">
        <w:rPr>
          <w:rFonts w:ascii="Verdana" w:eastAsia="Times New Roman" w:hAnsi="Verdana" w:cs="Arial"/>
          <w:lang w:val="es-MX" w:eastAsia="es-CO"/>
        </w:rPr>
        <w:t xml:space="preserve"> Electorales</w:t>
      </w:r>
      <w:r w:rsidRPr="00E25E93">
        <w:rPr>
          <w:rFonts w:ascii="Verdana" w:eastAsia="Times New Roman" w:hAnsi="Verdana" w:cs="Arial"/>
          <w:bCs/>
          <w:lang w:val="es-MX" w:eastAsia="es-CO"/>
        </w:rPr>
        <w:t>, sin que ello haga nugatoria la restricción de la contratación directa y siempre que cumplan los principios de planeación, transparencia y responsabilidad</w:t>
      </w:r>
      <w:r w:rsidRPr="00E25E93">
        <w:rPr>
          <w:rFonts w:ascii="Verdana" w:eastAsia="Times New Roman" w:hAnsi="Verdana" w:cs="Arial"/>
          <w:bCs/>
          <w:vertAlign w:val="superscript"/>
          <w:lang w:val="es-MX" w:eastAsia="es-CO"/>
        </w:rPr>
        <w:footnoteReference w:id="19"/>
      </w:r>
      <w:r w:rsidRPr="00E25E93">
        <w:rPr>
          <w:rFonts w:ascii="Verdana" w:eastAsia="Times New Roman" w:hAnsi="Verdana" w:cs="Arial"/>
          <w:bCs/>
          <w:lang w:val="es-MX" w:eastAsia="es-CO"/>
        </w:rPr>
        <w:t xml:space="preserve">. Además, también es posible que contratos celebrados previamente se continúen ejecutando con normalidad. </w:t>
      </w:r>
    </w:p>
    <w:p w14:paraId="1F5A8167" w14:textId="77777777" w:rsidR="009A4CD3" w:rsidRPr="00E25E93" w:rsidRDefault="009A4CD3" w:rsidP="009A4CD3">
      <w:pPr>
        <w:spacing w:after="120" w:line="276" w:lineRule="auto"/>
        <w:ind w:firstLine="709"/>
        <w:jc w:val="both"/>
        <w:rPr>
          <w:rFonts w:ascii="Verdana" w:eastAsia="Times New Roman" w:hAnsi="Verdana" w:cs="Arial"/>
          <w:lang w:val="es-MX" w:eastAsia="es-CO"/>
        </w:rPr>
      </w:pPr>
      <w:r w:rsidRPr="00E25E93">
        <w:rPr>
          <w:rFonts w:ascii="Verdana" w:eastAsia="Times New Roman" w:hAnsi="Verdana" w:cs="Arial"/>
          <w:lang w:val="es-MX"/>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25E93">
        <w:rPr>
          <w:rFonts w:ascii="Verdana" w:eastAsia="Times New Roman" w:hAnsi="Verdana" w:cs="Arial"/>
          <w:lang w:val="es-MX"/>
        </w:rPr>
        <w:t>ii</w:t>
      </w:r>
      <w:proofErr w:type="spellEnd"/>
      <w:r w:rsidRPr="00E25E93">
        <w:rPr>
          <w:rFonts w:ascii="Verdana" w:eastAsia="Times New Roman" w:hAnsi="Verdana" w:cs="Arial"/>
          <w:lang w:val="es-MX"/>
        </w:rPr>
        <w:t xml:space="preserve">) los contratos de crédito público; </w:t>
      </w:r>
      <w:proofErr w:type="spellStart"/>
      <w:r w:rsidRPr="00E25E93">
        <w:rPr>
          <w:rFonts w:ascii="Verdana" w:eastAsia="Times New Roman" w:hAnsi="Verdana" w:cs="Arial"/>
          <w:lang w:val="es-MX"/>
        </w:rPr>
        <w:t>iii</w:t>
      </w:r>
      <w:proofErr w:type="spellEnd"/>
      <w:r w:rsidRPr="00E25E93">
        <w:rPr>
          <w:rFonts w:ascii="Verdana" w:eastAsia="Times New Roman" w:hAnsi="Verdana" w:cs="Arial"/>
          <w:lang w:val="es-MX"/>
        </w:rPr>
        <w:t xml:space="preserve">) los requeridos para cubrir las emergencias educativas, sanitarias y desastres; </w:t>
      </w:r>
      <w:proofErr w:type="spellStart"/>
      <w:r w:rsidRPr="00E25E93">
        <w:rPr>
          <w:rFonts w:ascii="Verdana" w:eastAsia="Times New Roman" w:hAnsi="Verdana" w:cs="Arial"/>
          <w:lang w:val="es-MX"/>
        </w:rPr>
        <w:t>iv</w:t>
      </w:r>
      <w:proofErr w:type="spellEnd"/>
      <w:r w:rsidRPr="00E25E93">
        <w:rPr>
          <w:rFonts w:ascii="Verdana" w:eastAsia="Times New Roman" w:hAnsi="Verdana" w:cs="Arial"/>
          <w:lang w:val="es-MX"/>
        </w:rPr>
        <w:t xml:space="preserve">) los utilizados para la reconstrucción de vías, puentes, carreteras, infraestructura energética y de </w:t>
      </w:r>
      <w:r w:rsidRPr="00E25E93">
        <w:rPr>
          <w:rFonts w:ascii="Verdana" w:eastAsia="Times New Roman" w:hAnsi="Verdana" w:cs="Arial"/>
          <w:lang w:val="es-MX"/>
        </w:rPr>
        <w:lastRenderedPageBreak/>
        <w:t xml:space="preserve">comunicaciones, en caso de que hayan sido objeto de atentados, acciones terroristas, desastres naturales o casos de fuerza mayor; y, v) </w:t>
      </w:r>
      <w:r w:rsidRPr="00E25E93">
        <w:rPr>
          <w:rFonts w:ascii="Verdana" w:eastAsia="Times New Roman" w:hAnsi="Verdana" w:cs="Arial"/>
          <w:i/>
          <w:lang w:val="es-MX"/>
        </w:rPr>
        <w:t>los que deban realizar las entidades sanitarias y hospitalarias.</w:t>
      </w:r>
      <w:r w:rsidRPr="00E25E93">
        <w:rPr>
          <w:rFonts w:ascii="Verdana" w:eastAsia="Times New Roman" w:hAnsi="Verdana" w:cs="Arial"/>
          <w:bCs/>
          <w:lang w:val="es-MX" w:eastAsia="es-CO"/>
        </w:rPr>
        <w:t xml:space="preserve"> </w:t>
      </w:r>
    </w:p>
    <w:p w14:paraId="6E2312DA" w14:textId="77777777" w:rsidR="009A4CD3" w:rsidRPr="00E25E93" w:rsidRDefault="009A4CD3" w:rsidP="009A4CD3">
      <w:pPr>
        <w:spacing w:after="120" w:line="276" w:lineRule="auto"/>
        <w:ind w:firstLine="709"/>
        <w:jc w:val="both"/>
        <w:rPr>
          <w:rFonts w:ascii="Verdana" w:eastAsia="Times New Roman" w:hAnsi="Verdana" w:cs="Arial"/>
          <w:bCs/>
          <w:lang w:val="es-MX" w:eastAsia="es-CO"/>
        </w:rPr>
      </w:pPr>
      <w:r w:rsidRPr="00E25E93">
        <w:rPr>
          <w:rFonts w:ascii="Verdana" w:eastAsia="Times New Roman" w:hAnsi="Verdana" w:cs="Arial"/>
          <w:lang w:val="es-MX" w:eastAsia="es-CO"/>
        </w:rPr>
        <w:t>Conforme a las anteriores excepciones, es</w:t>
      </w:r>
      <w:r w:rsidRPr="00E25E93">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2971C25" w14:textId="77777777" w:rsidR="009A4CD3" w:rsidRPr="00E25E93" w:rsidRDefault="009A4CD3" w:rsidP="009A4CD3">
      <w:pPr>
        <w:spacing w:after="120" w:line="276" w:lineRule="auto"/>
        <w:ind w:firstLine="709"/>
        <w:jc w:val="both"/>
        <w:rPr>
          <w:rFonts w:ascii="Verdana" w:eastAsia="Times New Roman" w:hAnsi="Verdana" w:cs="Arial"/>
          <w:lang w:val="es-MX"/>
        </w:rPr>
      </w:pPr>
      <w:r w:rsidRPr="00E25E93">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E25E93">
        <w:rPr>
          <w:rFonts w:ascii="Verdana" w:eastAsia="Calibri" w:hAnsi="Verdana" w:cs="Arial"/>
          <w:vertAlign w:val="superscript"/>
          <w:lang w:val="es-MX"/>
        </w:rPr>
        <w:footnoteReference w:id="20"/>
      </w:r>
      <w:r w:rsidRPr="00E25E93">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A1FA776" w14:textId="77777777" w:rsidR="009A4CD3" w:rsidRPr="00E25E93" w:rsidRDefault="009A4CD3" w:rsidP="009A4CD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En este punto, es pertinente analizar el quinto evento</w:t>
      </w:r>
      <w:r w:rsidRPr="00E25E93">
        <w:rPr>
          <w:rFonts w:ascii="Verdana" w:eastAsia="Aptos" w:hAnsi="Verdana" w:cs="Arial"/>
          <w:i/>
          <w:iCs/>
          <w:color w:val="000000"/>
          <w:lang w:val="es-ES"/>
        </w:rPr>
        <w:t xml:space="preserve"> </w:t>
      </w:r>
      <w:r w:rsidRPr="00E25E93">
        <w:rPr>
          <w:rFonts w:ascii="Verdana" w:eastAsia="Aptos" w:hAnsi="Verdana" w:cs="Arial"/>
          <w:color w:val="000000"/>
          <w:lang w:val="es-ES"/>
        </w:rPr>
        <w:t xml:space="preserve">exceptuado de la prohibición, relacionado con la contratación por parte de las entidades sanitarias y hospitalarias, </w:t>
      </w:r>
      <w:r w:rsidRPr="00E25E93">
        <w:rPr>
          <w:rFonts w:ascii="Verdana" w:eastAsia="Aptos" w:hAnsi="Verdana" w:cs="Arial"/>
          <w:color w:val="000000"/>
        </w:rPr>
        <w:t>a efectos de determinar si la excepción referida es aplicable a los contratos suscritos por las Empresas Sociales del Estado –ESE-</w:t>
      </w:r>
      <w:r w:rsidRPr="00E25E93">
        <w:rPr>
          <w:rFonts w:ascii="Verdana" w:eastAsia="Aptos" w:hAnsi="Verdana" w:cs="Arial"/>
          <w:color w:val="000000"/>
          <w:lang w:val="es-ES"/>
        </w:rPr>
        <w:t xml:space="preserve">. Para ello, debe tenerse en cuenta el artículo 94 de la Ley 100 de 1993, que dispone </w:t>
      </w:r>
      <w:r w:rsidRPr="00E25E93">
        <w:rPr>
          <w:rFonts w:ascii="Verdana" w:eastAsia="Aptos" w:hAnsi="Verdana" w:cs="Arial"/>
          <w:color w:val="000000"/>
          <w:lang w:val="es-ES" w:eastAsia="es-CO"/>
        </w:rPr>
        <w:t>“</w:t>
      </w:r>
      <w:r w:rsidRPr="00E25E93">
        <w:rPr>
          <w:rFonts w:ascii="Verdana" w:eastAsia="Aptos" w:hAnsi="Verdana" w:cs="Arial"/>
          <w:color w:val="000000"/>
          <w:lang w:val="es-ES"/>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7B68228B" w14:textId="77777777" w:rsidR="009A4CD3" w:rsidRPr="00E25E93" w:rsidRDefault="009A4CD3" w:rsidP="009A4CD3">
      <w:pPr>
        <w:tabs>
          <w:tab w:val="left" w:pos="426"/>
        </w:tabs>
        <w:spacing w:after="120" w:line="276" w:lineRule="auto"/>
        <w:ind w:firstLine="709"/>
        <w:jc w:val="both"/>
        <w:rPr>
          <w:rFonts w:ascii="Verdana" w:eastAsia="Aptos" w:hAnsi="Verdana" w:cs="Arial"/>
          <w:color w:val="000000"/>
        </w:rPr>
      </w:pPr>
      <w:r w:rsidRPr="00E25E93">
        <w:rPr>
          <w:rFonts w:ascii="Verdana" w:eastAsia="Aptos" w:hAnsi="Verdana" w:cs="Arial"/>
          <w:color w:val="000000"/>
          <w:lang w:val="es-ES"/>
        </w:rPr>
        <w:t xml:space="preserve">Es decir que, a partir de la entrada en vigencia de la Ley 100 de 1993, las Empresas Sociales del Estado son las entidades públicas que tienen a su cargo </w:t>
      </w:r>
      <w:r w:rsidRPr="00E25E93">
        <w:rPr>
          <w:rFonts w:ascii="Verdana" w:eastAsia="Aptos" w:hAnsi="Verdana" w:cs="Arial"/>
          <w:color w:val="000000"/>
          <w:lang w:val="es-ES"/>
        </w:rPr>
        <w:lastRenderedPageBreak/>
        <w:t>la prestación de servicios de salud de manera directa. Igualmente, el artículo 197 de la misma disposición</w:t>
      </w:r>
      <w:r w:rsidRPr="00E25E93">
        <w:rPr>
          <w:rFonts w:ascii="Verdana" w:eastAsia="Aptos" w:hAnsi="Verdana" w:cs="Arial"/>
          <w:color w:val="000000"/>
          <w:vertAlign w:val="superscript"/>
          <w:lang w:val="es-ES_tradnl"/>
        </w:rPr>
        <w:footnoteReference w:id="21"/>
      </w:r>
      <w:r w:rsidRPr="00E25E93">
        <w:rPr>
          <w:rFonts w:ascii="Verdana" w:eastAsia="Aptos" w:hAnsi="Verdana" w:cs="Arial"/>
          <w:color w:val="000000"/>
          <w:lang w:val="es-ES"/>
        </w:rPr>
        <w:t xml:space="preserve"> otorgó un término de seis (6) meses a las entidades territoriales prestadoras del servicio de salud para restructurarlas en Empresas Sociales del Estado. </w:t>
      </w:r>
    </w:p>
    <w:p w14:paraId="6502360A" w14:textId="77777777" w:rsidR="009A4CD3" w:rsidRPr="00E25E93" w:rsidRDefault="009A4CD3" w:rsidP="009A4CD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20E00E1A" w14:textId="77777777" w:rsidR="009A4CD3" w:rsidRPr="00E25E93" w:rsidRDefault="009A4CD3" w:rsidP="009A4CD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4E89C792" w14:textId="77777777" w:rsidR="009A4CD3" w:rsidRPr="00E25E93" w:rsidRDefault="009A4CD3" w:rsidP="009A4CD3">
      <w:pPr>
        <w:tabs>
          <w:tab w:val="left" w:pos="426"/>
        </w:tabs>
        <w:spacing w:after="120" w:line="276" w:lineRule="auto"/>
        <w:ind w:firstLine="709"/>
        <w:jc w:val="both"/>
        <w:rPr>
          <w:rFonts w:ascii="Verdana" w:eastAsia="Aptos" w:hAnsi="Verdana" w:cs="Arial"/>
          <w:color w:val="000000"/>
          <w:lang w:val="es-ES"/>
        </w:rPr>
      </w:pPr>
      <w:r w:rsidRPr="00E25E93">
        <w:rPr>
          <w:rFonts w:ascii="Verdana" w:eastAsia="Aptos" w:hAnsi="Verdana" w:cs="Arial"/>
          <w:color w:val="000000"/>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16BA1ADC" w14:textId="77777777" w:rsidR="009A4CD3" w:rsidRPr="00305400" w:rsidRDefault="009A4CD3" w:rsidP="009A4CD3">
      <w:pPr>
        <w:tabs>
          <w:tab w:val="left" w:pos="426"/>
        </w:tabs>
        <w:spacing w:after="0" w:line="240" w:lineRule="auto"/>
        <w:ind w:left="709" w:right="709"/>
        <w:jc w:val="both"/>
        <w:rPr>
          <w:rFonts w:ascii="Verdana" w:eastAsia="Aptos" w:hAnsi="Verdana" w:cs="Arial"/>
          <w:color w:val="000000"/>
          <w:sz w:val="20"/>
          <w:szCs w:val="20"/>
          <w:shd w:val="clear" w:color="auto" w:fill="FFFFFF"/>
          <w:lang w:val="es-ES"/>
        </w:rPr>
      </w:pPr>
      <w:r w:rsidRPr="00305400">
        <w:rPr>
          <w:rFonts w:ascii="Verdana" w:eastAsia="Aptos" w:hAnsi="Verdana" w:cs="Arial"/>
          <w:color w:val="000000"/>
          <w:sz w:val="20"/>
          <w:szCs w:val="20"/>
          <w:shd w:val="clear" w:color="auto" w:fill="FFFFFF"/>
          <w:lang w:val="es-ES"/>
        </w:rPr>
        <w:t xml:space="preserve">“(…) se encuentran cubiertos por la excepción contemplada en el inciso 2 del artículo 33 de la Ley de Garantías Electorales, las entidades hospitalarias que a la luz de las normas vigentes </w:t>
      </w:r>
      <w:r w:rsidRPr="00305400">
        <w:rPr>
          <w:rFonts w:ascii="Verdana" w:eastAsia="Aptos" w:hAnsi="Verdana" w:cs="Arial"/>
          <w:i/>
          <w:iCs/>
          <w:color w:val="000000"/>
          <w:sz w:val="20"/>
          <w:szCs w:val="20"/>
          <w:shd w:val="clear" w:color="auto" w:fill="FFFFFF"/>
          <w:lang w:val="es-ES"/>
        </w:rPr>
        <w:t>no son otras distintas que las Empresas Sociales del estado y todas aquellas instituciones públicas que a pesar de no haberse transformado en Empresas Sociales del Estado, prestan un servicio de salud directo sobre el usuario en su carácter general de entidad hospitalaria</w:t>
      </w:r>
      <w:r w:rsidRPr="00305400">
        <w:rPr>
          <w:rFonts w:ascii="Verdana" w:eastAsia="Aptos" w:hAnsi="Verdana" w:cs="Arial"/>
          <w:color w:val="000000"/>
          <w:sz w:val="20"/>
          <w:szCs w:val="20"/>
          <w:shd w:val="clear" w:color="auto" w:fill="FFFFFF"/>
          <w:lang w:val="es-ES"/>
        </w:rPr>
        <w:t xml:space="preserve"> (…)”.  </w:t>
      </w:r>
    </w:p>
    <w:p w14:paraId="7CA53632" w14:textId="77777777" w:rsidR="009A4CD3" w:rsidRPr="00343E12" w:rsidRDefault="009A4CD3" w:rsidP="009A4CD3">
      <w:pPr>
        <w:tabs>
          <w:tab w:val="left" w:pos="426"/>
        </w:tabs>
        <w:spacing w:after="0" w:line="276" w:lineRule="auto"/>
        <w:ind w:left="709" w:right="709"/>
        <w:jc w:val="both"/>
        <w:rPr>
          <w:rFonts w:ascii="Verdana" w:eastAsia="Aptos" w:hAnsi="Verdana" w:cs="Arial"/>
          <w:color w:val="000000"/>
          <w:lang w:val="es-ES"/>
        </w:rPr>
      </w:pPr>
    </w:p>
    <w:p w14:paraId="691D18EB" w14:textId="77777777" w:rsidR="009A4CD3" w:rsidRPr="00343E12" w:rsidRDefault="009A4CD3" w:rsidP="009A4CD3">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lastRenderedPageBreak/>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1C51D9D9" w14:textId="77777777" w:rsidR="009A4CD3" w:rsidRPr="00343E12" w:rsidRDefault="009A4CD3" w:rsidP="009A4CD3">
      <w:pPr>
        <w:tabs>
          <w:tab w:val="left" w:pos="426"/>
        </w:tabs>
        <w:spacing w:after="120" w:line="276" w:lineRule="auto"/>
        <w:ind w:firstLine="709"/>
        <w:jc w:val="both"/>
        <w:rPr>
          <w:rFonts w:ascii="Verdana" w:eastAsia="Aptos" w:hAnsi="Verdana" w:cs="Arial"/>
          <w:color w:val="000000"/>
          <w:lang w:val="es-ES"/>
        </w:rPr>
      </w:pPr>
      <w:r w:rsidRPr="00343E12">
        <w:rPr>
          <w:rFonts w:ascii="Verdana" w:eastAsia="Aptos" w:hAnsi="Verdana" w:cs="Arial"/>
          <w:color w:val="000000"/>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0B1F1195" w14:textId="77777777" w:rsidR="009A4CD3" w:rsidRPr="00343E12" w:rsidRDefault="009A4CD3" w:rsidP="009A4CD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343E12">
        <w:rPr>
          <w:rFonts w:ascii="Verdana" w:eastAsia="Times New Roman" w:hAnsi="Verdana" w:cs="Arial"/>
          <w:lang w:val="es-MX" w:eastAsia="es-CO"/>
        </w:rPr>
        <w:t>ii</w:t>
      </w:r>
      <w:proofErr w:type="spellEnd"/>
      <w:r w:rsidRPr="00343E12">
        <w:rPr>
          <w:rFonts w:ascii="Verdana" w:eastAsia="Times New Roman" w:hAnsi="Verdana" w:cs="Arial"/>
          <w:lang w:val="es-MX" w:eastAsia="es-CO"/>
        </w:rPr>
        <w:t xml:space="preserve">) y </w:t>
      </w:r>
      <w:proofErr w:type="spellStart"/>
      <w:r w:rsidRPr="00343E12">
        <w:rPr>
          <w:rFonts w:ascii="Verdana" w:eastAsia="Times New Roman" w:hAnsi="Verdana" w:cs="Arial"/>
          <w:lang w:val="es-MX" w:eastAsia="es-CO"/>
        </w:rPr>
        <w:t>iv</w:t>
      </w:r>
      <w:proofErr w:type="spellEnd"/>
      <w:r w:rsidRPr="00343E12">
        <w:rPr>
          <w:rFonts w:ascii="Verdana" w:eastAsia="Times New Roman" w:hAnsi="Verdana" w:cs="Arial"/>
          <w:lang w:val="es-MX" w:eastAsia="es-CO"/>
        </w:rPr>
        <w:t>) del numeral 2</w:t>
      </w:r>
      <w:r w:rsidRPr="00343E12">
        <w:rPr>
          <w:rFonts w:ascii="Verdana" w:eastAsia="Times New Roman" w:hAnsi="Verdana" w:cs="Arial"/>
          <w:lang w:eastAsia="es-CO"/>
        </w:rPr>
        <w:t>,</w:t>
      </w:r>
      <w:r w:rsidRPr="00343E12">
        <w:rPr>
          <w:rFonts w:ascii="Verdana" w:eastAsia="Times New Roman" w:hAnsi="Verdana" w:cs="Arial"/>
          <w:lang w:val="es-MX" w:eastAsia="es-CO"/>
        </w:rPr>
        <w:t xml:space="preserve"> indica que el </w:t>
      </w:r>
      <w:r w:rsidRPr="00343E12">
        <w:rPr>
          <w:rFonts w:ascii="Verdana" w:eastAsia="Times New Roman" w:hAnsi="Verdana" w:cs="Arial"/>
          <w:lang w:eastAsia="es-CO"/>
        </w:rPr>
        <w:t xml:space="preserve">parágrafo del artículo 38 de la Ley 996 de 2005 cobija expresamente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343E12">
        <w:rPr>
          <w:rFonts w:ascii="Verdana" w:eastAsia="Times New Roman" w:hAnsi="Verdana" w:cs="Arial"/>
          <w:i/>
          <w:iCs/>
          <w:lang w:eastAsia="es-CO"/>
        </w:rPr>
        <w:t>“aunque se configure alguno de los supuestos de excepción que señaló el inciso final del artículo 33”.</w:t>
      </w:r>
      <w:r w:rsidRPr="00343E12">
        <w:rPr>
          <w:rFonts w:ascii="Verdana" w:eastAsia="Times New Roman" w:hAnsi="Verdana" w:cs="Arial"/>
          <w:lang w:eastAsia="es-CO"/>
        </w:rPr>
        <w:t xml:space="preserve"> </w:t>
      </w:r>
    </w:p>
    <w:p w14:paraId="41F23A00" w14:textId="77777777" w:rsidR="009A4CD3" w:rsidRPr="00343E12" w:rsidRDefault="009A4CD3" w:rsidP="009A4CD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343E12">
        <w:rPr>
          <w:rFonts w:ascii="Verdana" w:eastAsia="Times New Roman" w:hAnsi="Verdana" w:cs="Arial"/>
          <w:i/>
          <w:iCs/>
          <w:lang w:eastAsia="es-CO"/>
        </w:rPr>
        <w:t>convenios interadministrativos</w:t>
      </w:r>
      <w:r w:rsidRPr="00343E12">
        <w:rPr>
          <w:rFonts w:ascii="Verdana" w:eastAsia="Times New Roman" w:hAnsi="Verdana" w:cs="Arial"/>
          <w:lang w:eastAsia="es-CO"/>
        </w:rPr>
        <w:t xml:space="preserve"> en los que se contemple la </w:t>
      </w:r>
      <w:r w:rsidRPr="00343E12">
        <w:rPr>
          <w:rFonts w:ascii="Verdana" w:eastAsia="Times New Roman" w:hAnsi="Verdana" w:cs="Arial"/>
          <w:i/>
          <w:iCs/>
          <w:lang w:eastAsia="es-CO"/>
        </w:rPr>
        <w:t>ejecución de recursos públicos</w:t>
      </w:r>
      <w:r w:rsidRPr="00343E12">
        <w:rPr>
          <w:rFonts w:ascii="Verdana" w:eastAsia="Times New Roman" w:hAnsi="Verdana" w:cs="Arial"/>
          <w:lang w:eastAsia="es-CO"/>
        </w:rPr>
        <w:t xml:space="preserve">. Esto significa que la prohibición no resulta aplicable a </w:t>
      </w:r>
      <w:r w:rsidRPr="00343E12">
        <w:rPr>
          <w:rFonts w:ascii="Verdana" w:eastAsia="Times New Roman" w:hAnsi="Verdana" w:cs="Arial"/>
          <w:i/>
          <w:iCs/>
          <w:lang w:eastAsia="es-CO"/>
        </w:rPr>
        <w:t>convenios interadministrativos a título gratuito,</w:t>
      </w:r>
      <w:r w:rsidRPr="00343E12">
        <w:rPr>
          <w:rFonts w:ascii="Verdana" w:eastAsia="Times New Roman" w:hAnsi="Verdana" w:cs="Arial"/>
          <w:lang w:eastAsia="es-CO"/>
        </w:rPr>
        <w:t xml:space="preserve"> los cuales pueden celebrarse válidamente durante la vigencia de la mencionada restricción. </w:t>
      </w:r>
    </w:p>
    <w:p w14:paraId="04A7E6AC" w14:textId="77777777" w:rsidR="009A4CD3" w:rsidRPr="00343E12" w:rsidRDefault="009A4CD3" w:rsidP="009A4CD3">
      <w:pPr>
        <w:spacing w:after="120" w:line="276" w:lineRule="auto"/>
        <w:ind w:firstLine="709"/>
        <w:jc w:val="both"/>
        <w:rPr>
          <w:rFonts w:ascii="Verdana" w:eastAsia="Times New Roman" w:hAnsi="Verdana" w:cs="Arial"/>
          <w:lang w:eastAsia="es-CO"/>
        </w:rPr>
      </w:pPr>
      <w:r w:rsidRPr="00343E12">
        <w:rPr>
          <w:rFonts w:ascii="Verdana" w:eastAsia="Times New Roman" w:hAnsi="Verdana" w:cs="Arial"/>
          <w:lang w:eastAsia="es-CO"/>
        </w:rPr>
        <w:t xml:space="preserve">De esta manera, conforme a lo dispuesto en la Circular referida, si se suscriben </w:t>
      </w:r>
      <w:r w:rsidRPr="00343E12">
        <w:rPr>
          <w:rFonts w:ascii="Verdana" w:eastAsia="Times New Roman" w:hAnsi="Verdana" w:cs="Arial"/>
          <w:i/>
          <w:iCs/>
          <w:lang w:eastAsia="es-CO"/>
        </w:rPr>
        <w:t>convenios interadministrativos para la ejecución de recursos públicos</w:t>
      </w:r>
      <w:r w:rsidRPr="00343E12">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343E12">
        <w:rPr>
          <w:rFonts w:ascii="Verdana" w:eastAsia="Times New Roman" w:hAnsi="Verdana" w:cs="Arial"/>
          <w:i/>
          <w:iCs/>
          <w:lang w:eastAsia="es-CO"/>
        </w:rPr>
        <w:t>ibidem</w:t>
      </w:r>
      <w:r w:rsidRPr="00343E12">
        <w:rPr>
          <w:rFonts w:ascii="Verdana" w:eastAsia="Times New Roman" w:hAnsi="Verdana" w:cs="Arial"/>
          <w:lang w:eastAsia="es-CO"/>
        </w:rPr>
        <w:t xml:space="preserve">, independientemente de que se configure alguno de los supuestos de excepción que señaló el inciso final del artículo 33, </w:t>
      </w:r>
      <w:r w:rsidRPr="00343E12">
        <w:rPr>
          <w:rFonts w:ascii="Verdana" w:eastAsia="Times New Roman" w:hAnsi="Verdana" w:cs="Arial"/>
          <w:lang w:eastAsia="es-CO"/>
        </w:rPr>
        <w:lastRenderedPageBreak/>
        <w:t>es decir, que se trate de:</w:t>
      </w:r>
      <w:r w:rsidRPr="00343E12">
        <w:rPr>
          <w:rFonts w:ascii="Verdana" w:eastAsia="Aptos" w:hAnsi="Verdana" w:cs="Arial"/>
          <w:bCs/>
          <w:lang w:val="es-MX" w:eastAsia="x-none"/>
        </w:rPr>
        <w:t xml:space="preserve"> i) la defensa y seguridad del Estado; </w:t>
      </w:r>
      <w:proofErr w:type="spellStart"/>
      <w:r w:rsidRPr="00343E12">
        <w:rPr>
          <w:rFonts w:ascii="Verdana" w:eastAsia="Aptos" w:hAnsi="Verdana" w:cs="Arial"/>
          <w:bCs/>
          <w:lang w:val="es-MX" w:eastAsia="x-none"/>
        </w:rPr>
        <w:t>ii</w:t>
      </w:r>
      <w:proofErr w:type="spellEnd"/>
      <w:r w:rsidRPr="00343E12">
        <w:rPr>
          <w:rFonts w:ascii="Verdana" w:eastAsia="Aptos" w:hAnsi="Verdana" w:cs="Arial"/>
          <w:bCs/>
          <w:lang w:val="es-MX" w:eastAsia="x-none"/>
        </w:rPr>
        <w:t xml:space="preserve">) los contratos de crédito público; </w:t>
      </w:r>
      <w:proofErr w:type="spellStart"/>
      <w:r w:rsidRPr="00343E12">
        <w:rPr>
          <w:rFonts w:ascii="Verdana" w:eastAsia="Aptos" w:hAnsi="Verdana" w:cs="Arial"/>
          <w:bCs/>
          <w:lang w:val="es-MX" w:eastAsia="x-none"/>
        </w:rPr>
        <w:t>iii</w:t>
      </w:r>
      <w:proofErr w:type="spellEnd"/>
      <w:r w:rsidRPr="00343E12">
        <w:rPr>
          <w:rFonts w:ascii="Verdana" w:eastAsia="Aptos" w:hAnsi="Verdana" w:cs="Arial"/>
          <w:bCs/>
          <w:lang w:val="es-MX" w:eastAsia="x-none"/>
        </w:rPr>
        <w:t xml:space="preserve">) los requeridos para cubrir las emergencias educativas, sanitarias y desastres; </w:t>
      </w:r>
      <w:proofErr w:type="spellStart"/>
      <w:r w:rsidRPr="00343E12">
        <w:rPr>
          <w:rFonts w:ascii="Verdana" w:eastAsia="Aptos" w:hAnsi="Verdana" w:cs="Arial"/>
          <w:bCs/>
          <w:lang w:val="es-MX" w:eastAsia="x-none"/>
        </w:rPr>
        <w:t>iv</w:t>
      </w:r>
      <w:proofErr w:type="spellEnd"/>
      <w:r w:rsidRPr="00343E12">
        <w:rPr>
          <w:rFonts w:ascii="Verdana" w:eastAsia="Aptos"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43E12">
        <w:rPr>
          <w:rFonts w:ascii="Verdana" w:eastAsia="Aptos" w:hAnsi="Verdana" w:cs="Arial"/>
          <w:bCs/>
          <w:lang w:val="es-MX" w:eastAsia="es-CO"/>
        </w:rPr>
        <w:t xml:space="preserve"> </w:t>
      </w:r>
      <w:r w:rsidRPr="00343E12">
        <w:rPr>
          <w:rFonts w:ascii="Verdana" w:eastAsia="Times New Roman" w:hAnsi="Verdana" w:cs="Arial"/>
          <w:lang w:eastAsia="es-CO"/>
        </w:rPr>
        <w:t xml:space="preserve">  </w:t>
      </w:r>
    </w:p>
    <w:p w14:paraId="384911B4" w14:textId="77777777" w:rsidR="009A4CD3" w:rsidRPr="00343E12" w:rsidRDefault="009A4CD3" w:rsidP="009A4CD3">
      <w:pPr>
        <w:spacing w:after="120" w:line="276" w:lineRule="auto"/>
        <w:ind w:firstLine="709"/>
        <w:jc w:val="both"/>
        <w:rPr>
          <w:rFonts w:ascii="Verdana" w:eastAsia="Times New Roman" w:hAnsi="Verdana" w:cs="Arial"/>
          <w:lang w:eastAsia="es-CO"/>
        </w:rPr>
      </w:pPr>
      <w:bookmarkStart w:id="7" w:name="_Hlk215234154"/>
      <w:r w:rsidRPr="00343E12">
        <w:rPr>
          <w:rFonts w:ascii="Verdana" w:eastAsia="Aptos"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638E93A" w14:textId="77777777" w:rsidR="009A4CD3" w:rsidRDefault="009A4CD3" w:rsidP="009A4CD3">
      <w:pPr>
        <w:spacing w:after="120" w:line="276" w:lineRule="auto"/>
        <w:ind w:firstLine="709"/>
        <w:jc w:val="both"/>
        <w:rPr>
          <w:rFonts w:ascii="Verdana" w:eastAsia="Aptos" w:hAnsi="Verdana" w:cs="Arial"/>
          <w:bCs/>
          <w:color w:val="000000"/>
        </w:rPr>
      </w:pPr>
      <w:r w:rsidRPr="00343E12">
        <w:rPr>
          <w:rFonts w:ascii="Verdana" w:eastAsia="Aptos"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7"/>
    </w:p>
    <w:p w14:paraId="4693DCEB" w14:textId="77777777" w:rsidR="00386C8E" w:rsidRDefault="00386C8E" w:rsidP="009A4CD3">
      <w:pPr>
        <w:spacing w:after="120" w:line="276" w:lineRule="auto"/>
        <w:ind w:firstLine="709"/>
        <w:jc w:val="both"/>
        <w:rPr>
          <w:rFonts w:ascii="Verdana" w:eastAsia="Aptos" w:hAnsi="Verdana" w:cs="Arial"/>
          <w:bCs/>
          <w:color w:val="000000"/>
        </w:rPr>
      </w:pPr>
    </w:p>
    <w:p w14:paraId="56F66262" w14:textId="77777777" w:rsidR="00386C8E" w:rsidRPr="00305400" w:rsidRDefault="00386C8E" w:rsidP="009A4CD3">
      <w:pPr>
        <w:spacing w:after="120" w:line="276" w:lineRule="auto"/>
        <w:ind w:firstLine="709"/>
        <w:jc w:val="both"/>
        <w:rPr>
          <w:rFonts w:ascii="Verdana" w:eastAsia="Aptos" w:hAnsi="Verdana" w:cs="Arial"/>
          <w:bCs/>
          <w:color w:val="000000"/>
        </w:rPr>
      </w:pPr>
    </w:p>
    <w:p w14:paraId="305830CF" w14:textId="77777777" w:rsidR="009A4CD3" w:rsidRPr="00144EB3" w:rsidRDefault="009A4CD3" w:rsidP="009A4CD3">
      <w:pPr>
        <w:tabs>
          <w:tab w:val="left" w:pos="709"/>
        </w:tabs>
        <w:spacing w:after="0" w:line="276" w:lineRule="auto"/>
        <w:jc w:val="both"/>
        <w:rPr>
          <w:rFonts w:ascii="Verdana" w:eastAsia="Calibri" w:hAnsi="Verdana" w:cs="Arial"/>
          <w:bCs/>
        </w:rPr>
      </w:pPr>
    </w:p>
    <w:bookmarkEnd w:id="1"/>
    <w:bookmarkEnd w:id="2"/>
    <w:p w14:paraId="42554DC4" w14:textId="77777777" w:rsidR="009A4CD3" w:rsidRDefault="009A4CD3" w:rsidP="009A4CD3">
      <w:pPr>
        <w:spacing w:after="0" w:line="276" w:lineRule="auto"/>
        <w:jc w:val="both"/>
        <w:rPr>
          <w:rFonts w:ascii="Verdana" w:eastAsia="Century Gothic" w:hAnsi="Verdana" w:cs="Century Gothic"/>
          <w:b/>
          <w:lang w:val="es-ES"/>
        </w:rPr>
      </w:pPr>
      <w:r>
        <w:rPr>
          <w:rFonts w:ascii="Verdana" w:eastAsia="Century Gothic" w:hAnsi="Verdana" w:cs="Century Gothic"/>
          <w:b/>
          <w:lang w:val="es-ES"/>
        </w:rPr>
        <w:t>IV</w:t>
      </w:r>
      <w:r w:rsidRPr="00144EB3">
        <w:rPr>
          <w:rFonts w:ascii="Verdana" w:eastAsia="Century Gothic" w:hAnsi="Verdana" w:cs="Century Gothic"/>
          <w:b/>
          <w:lang w:val="es-ES"/>
        </w:rPr>
        <w:t>. Referencias normativas, jurisprudenciales y otras fuentes:</w:t>
      </w:r>
    </w:p>
    <w:p w14:paraId="5D952680" w14:textId="77777777" w:rsidR="009A4CD3" w:rsidRPr="00144EB3" w:rsidRDefault="009A4CD3" w:rsidP="009A4CD3">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A4CD3" w:rsidRPr="00144EB3" w14:paraId="7A80D175" w14:textId="77777777" w:rsidTr="00EA2F5A">
        <w:trPr>
          <w:trHeight w:val="870"/>
        </w:trPr>
        <w:tc>
          <w:tcPr>
            <w:tcW w:w="8647" w:type="dxa"/>
          </w:tcPr>
          <w:p w14:paraId="3DF2F596"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Constitución Política de Colombia. Artículos: 127 y 197.</w:t>
            </w:r>
          </w:p>
          <w:p w14:paraId="2CC4435A"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Ley 80 de 1993. Artículos: 39 y 41.</w:t>
            </w:r>
          </w:p>
          <w:p w14:paraId="00588E98"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1150 de 2007. Artículo 2. </w:t>
            </w:r>
          </w:p>
          <w:p w14:paraId="606307DA"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lastRenderedPageBreak/>
              <w:t xml:space="preserve">Ley 996 de 2025. Artículos: 9, 33 y 38. </w:t>
            </w:r>
          </w:p>
          <w:p w14:paraId="52311D99"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Ley 100 de 1993. Artículos: 100 y 197. </w:t>
            </w:r>
          </w:p>
          <w:p w14:paraId="414951EB"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Consejo de Estado. Sala de lo Contencioso Administrativo. Sección Primera. Sentencia de 3 de marzo de 2005. Radicado: 25001-23-15-000-2004-00823-01(PI). C.P: Camilo Arciniegas Andrade. </w:t>
            </w:r>
          </w:p>
          <w:p w14:paraId="34D88E52"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24 de julio de 2013, radicado: 11001-03-06-000-2013-00407-00 (2166). C.P. Álvaro Namén Vargas.</w:t>
            </w:r>
          </w:p>
          <w:p w14:paraId="72D8B37B"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17 de febrero de 2015. Radicado: 11001-03-06-000-2015-00164-00 (2269). C.P. William Zambrano Cetina.</w:t>
            </w:r>
          </w:p>
          <w:p w14:paraId="7E6A71C3"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del 2 de septiembre de 2013. Radicación: 11001-03-06-000-2013-00412-00 (2168). Consejero Ponente: Álvaro Namén Vargas.</w:t>
            </w:r>
          </w:p>
          <w:p w14:paraId="549B3E40"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Consejo de Estado. Sala de Consulta y Servicio Civil. Concepto de 8 de mayo de 2018. Radicación: 11001-03-06-000-2018-00095-00 (2382). Consejero Ponente: Álvaro Namén Vargas.</w:t>
            </w:r>
          </w:p>
          <w:p w14:paraId="62AFF331"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C- 1153 de 2005. M.P. Marco Gerardo Monroy Cabra.</w:t>
            </w:r>
          </w:p>
          <w:p w14:paraId="131185C1"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C-233 de 4 de abril de 2002. M.P: Álvaro Tafur Galvis.</w:t>
            </w:r>
          </w:p>
          <w:p w14:paraId="2245069F"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C-551 de 9 de julio de 2003. M.P: Eduardo Montealegre Lynnet.</w:t>
            </w:r>
          </w:p>
          <w:p w14:paraId="4D1BBC81"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 xml:space="preserve">Corte Constitucional. Sentencia C-353 de 20 de mayo de 2009. M.P: Jorge Iván Palacio </w:t>
            </w:r>
            <w:proofErr w:type="spellStart"/>
            <w:r w:rsidRPr="00343E12">
              <w:rPr>
                <w:rFonts w:ascii="Verdana" w:eastAsia="Times New Roman" w:hAnsi="Verdana" w:cs="Arial"/>
                <w:color w:val="000000"/>
                <w:lang w:eastAsia="es-CO"/>
              </w:rPr>
              <w:t>Palacio</w:t>
            </w:r>
            <w:proofErr w:type="spellEnd"/>
            <w:r w:rsidRPr="00343E12">
              <w:rPr>
                <w:rFonts w:ascii="Verdana" w:eastAsia="Times New Roman" w:hAnsi="Verdana" w:cs="Arial"/>
                <w:color w:val="000000"/>
                <w:lang w:eastAsia="es-CO"/>
              </w:rPr>
              <w:t>.</w:t>
            </w:r>
          </w:p>
          <w:p w14:paraId="3C1B8A4A" w14:textId="77777777" w:rsidR="009A4CD3" w:rsidRPr="00343E12" w:rsidRDefault="009A4CD3" w:rsidP="009A4CD3">
            <w:pPr>
              <w:numPr>
                <w:ilvl w:val="0"/>
                <w:numId w:val="16"/>
              </w:numPr>
              <w:spacing w:before="120" w:line="276" w:lineRule="auto"/>
              <w:jc w:val="both"/>
              <w:rPr>
                <w:rFonts w:ascii="Verdana" w:eastAsia="Times New Roman" w:hAnsi="Verdana" w:cs="Arial"/>
                <w:color w:val="000000"/>
                <w:lang w:eastAsia="es-CO"/>
              </w:rPr>
            </w:pPr>
            <w:r w:rsidRPr="00343E12">
              <w:rPr>
                <w:rFonts w:ascii="Verdana" w:eastAsia="Times New Roman" w:hAnsi="Verdana" w:cs="Arial"/>
                <w:color w:val="000000"/>
                <w:lang w:eastAsia="es-CO"/>
              </w:rPr>
              <w:t>Corte Constitucional. Sentencia C-541 de 30 de junio de 2010. M.P: Gabriel Eduardo Mendoza Martelo.</w:t>
            </w:r>
          </w:p>
          <w:p w14:paraId="0795022B" w14:textId="77777777" w:rsidR="009A4CD3" w:rsidRPr="00144EB3" w:rsidRDefault="009A4CD3" w:rsidP="00EA2F5A">
            <w:pPr>
              <w:widowControl w:val="0"/>
              <w:autoSpaceDE w:val="0"/>
              <w:autoSpaceDN w:val="0"/>
              <w:spacing w:line="276" w:lineRule="auto"/>
              <w:jc w:val="both"/>
              <w:rPr>
                <w:rFonts w:ascii="Verdana" w:eastAsia="Arial MT" w:hAnsi="Verdana" w:cs="Arial"/>
                <w:color w:val="ED7D31" w:themeColor="accent2"/>
                <w:lang w:eastAsia="es-ES" w:bidi="es-ES"/>
              </w:rPr>
            </w:pPr>
          </w:p>
        </w:tc>
      </w:tr>
    </w:tbl>
    <w:p w14:paraId="3AF06B4B" w14:textId="77777777" w:rsidR="009A4CD3" w:rsidRPr="00144EB3" w:rsidRDefault="009A4CD3" w:rsidP="009A4CD3">
      <w:pPr>
        <w:widowControl w:val="0"/>
        <w:autoSpaceDE w:val="0"/>
        <w:autoSpaceDN w:val="0"/>
        <w:spacing w:after="0" w:line="276" w:lineRule="auto"/>
        <w:jc w:val="both"/>
        <w:rPr>
          <w:rFonts w:ascii="Verdana" w:hAnsi="Verdana" w:cs="Arial"/>
          <w:color w:val="ED7D31" w:themeColor="accent2"/>
          <w:lang w:val="es-ES"/>
        </w:rPr>
      </w:pPr>
    </w:p>
    <w:p w14:paraId="3450E467" w14:textId="77777777" w:rsidR="009A4CD3" w:rsidRPr="00144EB3" w:rsidRDefault="009A4CD3" w:rsidP="009A4CD3">
      <w:pPr>
        <w:spacing w:after="0" w:line="276" w:lineRule="auto"/>
        <w:jc w:val="both"/>
        <w:rPr>
          <w:rFonts w:ascii="Verdana" w:eastAsia="Aptos" w:hAnsi="Verdana" w:cs="Arial"/>
          <w:b/>
          <w:bCs/>
          <w:shd w:val="clear" w:color="auto" w:fill="FFFFFF"/>
        </w:rPr>
      </w:pPr>
    </w:p>
    <w:p w14:paraId="1E571A30" w14:textId="0151D6E5" w:rsidR="009A4CD3" w:rsidRPr="00144EB3" w:rsidRDefault="00475C68" w:rsidP="009A4CD3">
      <w:pPr>
        <w:spacing w:after="0" w:line="276" w:lineRule="auto"/>
        <w:jc w:val="both"/>
        <w:rPr>
          <w:rFonts w:ascii="Verdana" w:eastAsia="Aptos" w:hAnsi="Verdana" w:cs="Arial"/>
          <w:b/>
          <w:bCs/>
          <w:shd w:val="clear" w:color="auto" w:fill="FFFFFF"/>
        </w:rPr>
      </w:pPr>
      <w:r>
        <w:rPr>
          <w:rFonts w:ascii="Verdana" w:eastAsia="Aptos" w:hAnsi="Verdana" w:cs="Arial"/>
          <w:b/>
          <w:bCs/>
          <w:shd w:val="clear" w:color="auto" w:fill="FFFFFF"/>
        </w:rPr>
        <w:t>V</w:t>
      </w:r>
      <w:r w:rsidR="009A4CD3" w:rsidRPr="00144EB3">
        <w:rPr>
          <w:rFonts w:ascii="Verdana" w:eastAsia="Aptos" w:hAnsi="Verdana" w:cs="Arial"/>
          <w:b/>
          <w:bCs/>
          <w:shd w:val="clear" w:color="auto" w:fill="FFFFFF"/>
        </w:rPr>
        <w:t xml:space="preserve">. Doctrina de la Agencia Nacional de Contratación Pública: </w:t>
      </w:r>
    </w:p>
    <w:p w14:paraId="0E9463F4" w14:textId="77777777" w:rsidR="009A4CD3" w:rsidRPr="00144EB3" w:rsidRDefault="009A4CD3" w:rsidP="00535EDC">
      <w:pPr>
        <w:spacing w:after="0" w:line="240" w:lineRule="auto"/>
        <w:jc w:val="both"/>
        <w:rPr>
          <w:rFonts w:ascii="Verdana" w:eastAsia="Aptos" w:hAnsi="Verdana" w:cs="Arial"/>
          <w:b/>
          <w:bCs/>
          <w:shd w:val="clear" w:color="auto" w:fill="FFFFFF"/>
        </w:rPr>
      </w:pPr>
    </w:p>
    <w:p w14:paraId="6DCB4A2D" w14:textId="77777777" w:rsidR="009A4CD3" w:rsidRDefault="009A4CD3" w:rsidP="00535EDC">
      <w:pPr>
        <w:widowControl w:val="0"/>
        <w:autoSpaceDE w:val="0"/>
        <w:autoSpaceDN w:val="0"/>
        <w:spacing w:after="0" w:line="240" w:lineRule="auto"/>
        <w:jc w:val="both"/>
        <w:rPr>
          <w:rFonts w:ascii="Verdana" w:eastAsia="Aptos" w:hAnsi="Verdana" w:cs="Arial"/>
          <w:color w:val="FF0000"/>
          <w:shd w:val="clear" w:color="auto" w:fill="FFFFFF"/>
          <w:lang w:val="es-ES_tradnl"/>
        </w:rPr>
      </w:pPr>
      <w:r w:rsidRPr="00B41749">
        <w:rPr>
          <w:rFonts w:ascii="Verdana" w:eastAsia="Aptos" w:hAnsi="Verdana" w:cs="Arial"/>
          <w:shd w:val="clear" w:color="auto" w:fill="FFFFFF"/>
        </w:rPr>
        <w:t xml:space="preserve">Esta Subdirección se ha pronunciado sobre la finalidad y propósito de la Ley de </w:t>
      </w:r>
      <w:r w:rsidRPr="00B41749">
        <w:rPr>
          <w:rFonts w:ascii="Verdana" w:eastAsia="Aptos" w:hAnsi="Verdana" w:cs="Arial"/>
          <w:shd w:val="clear" w:color="auto" w:fill="FFFFFF"/>
        </w:rPr>
        <w:lastRenderedPageBreak/>
        <w:t xml:space="preserve">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y C-1492 de 21 de noviembre de 2025. </w:t>
      </w:r>
      <w:r w:rsidRPr="00B41749">
        <w:rPr>
          <w:rFonts w:ascii="Verdana" w:eastAsia="Aptos"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1" w:history="1">
        <w:r w:rsidRPr="00B41749">
          <w:rPr>
            <w:rFonts w:ascii="Verdana" w:eastAsia="Aptos" w:hAnsi="Verdana" w:cs="Arial"/>
            <w:color w:val="0000FF"/>
            <w:u w:val="single"/>
            <w:shd w:val="clear" w:color="auto" w:fill="FFFFFF"/>
            <w:lang w:val="es-ES_tradnl"/>
          </w:rPr>
          <w:t>https://relatoria.colombiacompra.gov.co/busqueda/conceptos</w:t>
        </w:r>
      </w:hyperlink>
      <w:r w:rsidRPr="00B41749">
        <w:rPr>
          <w:rFonts w:ascii="Verdana" w:eastAsia="Aptos" w:hAnsi="Verdana" w:cs="Arial"/>
          <w:shd w:val="clear" w:color="auto" w:fill="FFFFFF"/>
          <w:lang w:val="es-ES_tradnl"/>
        </w:rPr>
        <w:t xml:space="preserve">. </w:t>
      </w:r>
      <w:r w:rsidRPr="00B41749">
        <w:rPr>
          <w:rFonts w:ascii="Verdana" w:eastAsia="Aptos" w:hAnsi="Verdana" w:cs="Arial"/>
          <w:color w:val="FF0000"/>
          <w:shd w:val="clear" w:color="auto" w:fill="FFFFFF"/>
          <w:lang w:val="es-ES_tradnl"/>
        </w:rPr>
        <w:t xml:space="preserve"> </w:t>
      </w:r>
    </w:p>
    <w:p w14:paraId="5BB64186" w14:textId="77777777" w:rsidR="009A4CD3" w:rsidRPr="00305400" w:rsidRDefault="009A4CD3" w:rsidP="00535EDC">
      <w:pPr>
        <w:spacing w:after="0" w:line="240" w:lineRule="auto"/>
        <w:jc w:val="both"/>
        <w:rPr>
          <w:rFonts w:ascii="Verdana" w:hAnsi="Verdana" w:cs="Arial"/>
          <w:shd w:val="clear" w:color="auto" w:fill="FFFFFF"/>
          <w:lang w:val="es-ES_tradnl"/>
        </w:rPr>
      </w:pPr>
    </w:p>
    <w:p w14:paraId="79FCABCF" w14:textId="77777777" w:rsidR="009A4CD3" w:rsidRPr="00144EB3" w:rsidRDefault="009A4CD3" w:rsidP="00535EDC">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2" w:tgtFrame="_new" w:history="1">
        <w:r w:rsidRPr="00144EB3">
          <w:rPr>
            <w:rFonts w:ascii="Verdana" w:eastAsia="Calibri" w:hAnsi="Verdana" w:cs="Arial"/>
            <w:color w:val="0000FF"/>
            <w:u w:val="single"/>
          </w:rPr>
          <w:t>https://formacionvirtual.colombiacompra.gov.co/mod/page/view.php?id=3718</w:t>
        </w:r>
      </w:hyperlink>
    </w:p>
    <w:p w14:paraId="6D58273F" w14:textId="77777777" w:rsidR="009A4CD3" w:rsidRDefault="009A4CD3" w:rsidP="00535EDC">
      <w:pPr>
        <w:spacing w:after="0" w:line="240" w:lineRule="auto"/>
        <w:jc w:val="both"/>
        <w:rPr>
          <w:rFonts w:ascii="Verdana" w:eastAsia="Calibri" w:hAnsi="Verdana" w:cs="Arial"/>
        </w:rPr>
      </w:pPr>
    </w:p>
    <w:p w14:paraId="69E69040" w14:textId="77777777" w:rsidR="009A4CD3" w:rsidRPr="00144EB3" w:rsidRDefault="009A4CD3" w:rsidP="00535EDC">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144EB3">
          <w:rPr>
            <w:rFonts w:ascii="Verdana" w:eastAsia="Calibri" w:hAnsi="Verdana" w:cs="Arial"/>
            <w:color w:val="0000FF"/>
            <w:u w:val="single"/>
          </w:rPr>
          <w:t>https://www.colombiacompra.gov.co/normativa-y-relatoria/documentos-tipo</w:t>
        </w:r>
      </w:hyperlink>
    </w:p>
    <w:p w14:paraId="4D38C489" w14:textId="77777777" w:rsidR="009A4CD3" w:rsidRPr="00144EB3" w:rsidRDefault="009A4CD3" w:rsidP="00535EDC">
      <w:pPr>
        <w:spacing w:after="0" w:line="240" w:lineRule="auto"/>
        <w:jc w:val="both"/>
        <w:rPr>
          <w:rFonts w:ascii="Verdana" w:eastAsia="Calibri" w:hAnsi="Verdana" w:cs="Arial"/>
        </w:rPr>
      </w:pPr>
    </w:p>
    <w:p w14:paraId="15D89B15" w14:textId="77777777" w:rsidR="009A4CD3" w:rsidRPr="00144EB3" w:rsidRDefault="009A4CD3" w:rsidP="00535EDC">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144EB3">
        <w:rPr>
          <w:rFonts w:ascii="Verdana" w:eastAsia="Calibri" w:hAnsi="Verdana" w:cs="Arial"/>
        </w:rPr>
        <w:lastRenderedPageBreak/>
        <w:t>documentos tipo: Consulta la guía aquí:</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31C229E7" w14:textId="77777777" w:rsidR="009A4CD3" w:rsidRPr="00144EB3" w:rsidRDefault="009A4CD3" w:rsidP="00535EDC">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00CE6261" w14:textId="77777777" w:rsidR="009A4CD3" w:rsidRPr="00144EB3" w:rsidRDefault="009A4CD3" w:rsidP="00535EDC">
      <w:pPr>
        <w:spacing w:after="0" w:line="240" w:lineRule="auto"/>
        <w:jc w:val="both"/>
        <w:rPr>
          <w:rFonts w:ascii="Verdana" w:eastAsia="Calibri" w:hAnsi="Verdana" w:cs="Arial"/>
          <w:shd w:val="clear" w:color="auto" w:fill="FFFFFF"/>
        </w:rPr>
      </w:pPr>
    </w:p>
    <w:p w14:paraId="08A0E674" w14:textId="77777777" w:rsidR="009A4CD3" w:rsidRPr="00144EB3" w:rsidRDefault="009A4CD3" w:rsidP="00535EDC">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1FB5A0FF" w14:textId="77777777" w:rsidR="009A4CD3" w:rsidRPr="00144EB3" w:rsidRDefault="009A4CD3" w:rsidP="00535EDC">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15EE261A" w14:textId="77777777" w:rsidR="009A4CD3" w:rsidRPr="00144EB3" w:rsidRDefault="009A4CD3" w:rsidP="00535EDC">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6C386BE7" w14:textId="77777777" w:rsidR="009A4CD3" w:rsidRPr="00144EB3" w:rsidRDefault="009A4CD3" w:rsidP="00535EDC">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4B9064CE" w14:textId="77777777" w:rsidR="009A4CD3" w:rsidRPr="00144EB3" w:rsidRDefault="009A4CD3" w:rsidP="00535EDC">
      <w:pPr>
        <w:widowControl w:val="0"/>
        <w:autoSpaceDE w:val="0"/>
        <w:autoSpaceDN w:val="0"/>
        <w:spacing w:after="0" w:line="240" w:lineRule="auto"/>
        <w:jc w:val="both"/>
        <w:rPr>
          <w:rFonts w:ascii="Verdana" w:eastAsia="Calibri" w:hAnsi="Verdana" w:cs="Arial"/>
          <w:lang w:val="es-ES"/>
        </w:rPr>
      </w:pPr>
    </w:p>
    <w:p w14:paraId="7D781A02" w14:textId="77777777" w:rsidR="009A4CD3" w:rsidRPr="00144EB3" w:rsidRDefault="009A4CD3" w:rsidP="00535EDC">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38AC381" w14:textId="77777777" w:rsidR="009A4CD3" w:rsidRPr="00144EB3" w:rsidRDefault="009A4CD3" w:rsidP="00535EDC">
      <w:pPr>
        <w:spacing w:after="0" w:line="240" w:lineRule="auto"/>
        <w:jc w:val="both"/>
        <w:rPr>
          <w:rFonts w:ascii="Verdana" w:eastAsia="Verdana" w:hAnsi="Verdana" w:cs="Verdana"/>
        </w:rPr>
      </w:pPr>
    </w:p>
    <w:p w14:paraId="7D7ADA3E" w14:textId="77777777" w:rsidR="009A4CD3" w:rsidRPr="00144EB3" w:rsidRDefault="009A4CD3" w:rsidP="00535EDC">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5"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6D136712" w14:textId="77777777" w:rsidR="009A4CD3" w:rsidRPr="00144EB3" w:rsidRDefault="009A4CD3" w:rsidP="009A4CD3">
      <w:pPr>
        <w:spacing w:after="0" w:line="276" w:lineRule="auto"/>
        <w:rPr>
          <w:rFonts w:ascii="Verdana" w:eastAsia="Verdana" w:hAnsi="Verdana" w:cs="Verdana"/>
        </w:rPr>
      </w:pPr>
    </w:p>
    <w:p w14:paraId="1C6602C5" w14:textId="77777777" w:rsidR="009A4CD3" w:rsidRPr="00144EB3" w:rsidRDefault="009A4CD3" w:rsidP="009A4CD3">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78E45B2D" w14:textId="3CB530BD" w:rsidR="009A4CD3" w:rsidRPr="00057F8B" w:rsidRDefault="00057F8B" w:rsidP="00057F8B">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4DB2EE1D" wp14:editId="3CBA0FEB">
            <wp:extent cx="3219450" cy="1195099"/>
            <wp:effectExtent l="0" t="0" r="0" b="508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234415" cy="1200654"/>
                    </a:xfrm>
                    <a:prstGeom prst="rect">
                      <a:avLst/>
                    </a:prstGeom>
                  </pic:spPr>
                </pic:pic>
              </a:graphicData>
            </a:graphic>
          </wp:inline>
        </w:drawing>
      </w:r>
    </w:p>
    <w:p w14:paraId="272CAAA2" w14:textId="49017466" w:rsidR="00323065" w:rsidRPr="008278B1" w:rsidRDefault="00057F8B" w:rsidP="00057F8B">
      <w:pPr>
        <w:tabs>
          <w:tab w:val="left" w:pos="8130"/>
        </w:tabs>
        <w:spacing w:after="0" w:line="276" w:lineRule="auto"/>
        <w:rPr>
          <w:rFonts w:ascii="Verdana" w:hAnsi="Verdana" w:cs="Arial"/>
          <w:lang w:val="es-ES" w:eastAsia="es-CO"/>
        </w:rPr>
      </w:pPr>
      <w:r>
        <w:rPr>
          <w:rFonts w:ascii="Verdana" w:hAnsi="Verdana" w:cs="Arial"/>
          <w:lang w:val="es-ES" w:eastAsia="es-CO"/>
        </w:rPr>
        <w:tab/>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A4CD3" w:rsidRPr="008278B1" w14:paraId="5268050D" w14:textId="77777777" w:rsidTr="00EA2F5A">
        <w:trPr>
          <w:trHeight w:val="315"/>
        </w:trPr>
        <w:tc>
          <w:tcPr>
            <w:tcW w:w="893" w:type="dxa"/>
            <w:vAlign w:val="center"/>
            <w:hideMark/>
          </w:tcPr>
          <w:p w14:paraId="6B8AB3B3" w14:textId="77777777" w:rsidR="009A4CD3" w:rsidRPr="008278B1" w:rsidRDefault="009A4CD3" w:rsidP="00EA2F5A">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31CB8A9" w14:textId="77777777" w:rsidR="009A4CD3" w:rsidRPr="00860461" w:rsidRDefault="009A4CD3" w:rsidP="00EA2F5A">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3FE5151E" w14:textId="77777777" w:rsidR="009A4CD3" w:rsidRPr="00860461" w:rsidRDefault="009A4CD3" w:rsidP="00EA2F5A">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9A4CD3" w:rsidRPr="00F84F36" w14:paraId="73B145B7" w14:textId="77777777" w:rsidTr="00EA2F5A">
        <w:trPr>
          <w:trHeight w:val="330"/>
        </w:trPr>
        <w:tc>
          <w:tcPr>
            <w:tcW w:w="893" w:type="dxa"/>
            <w:vAlign w:val="center"/>
            <w:hideMark/>
          </w:tcPr>
          <w:p w14:paraId="7B96A5CD" w14:textId="77777777" w:rsidR="009A4CD3" w:rsidRPr="0025661F" w:rsidRDefault="009A4CD3" w:rsidP="00EA2F5A">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63A0C2" w14:textId="77777777" w:rsidR="009A4CD3" w:rsidRPr="00D62D2E" w:rsidRDefault="009A4CD3" w:rsidP="00EA2F5A">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 xml:space="preserve">Adriana Katherine López </w:t>
            </w:r>
            <w:proofErr w:type="spellStart"/>
            <w:r>
              <w:rPr>
                <w:rFonts w:ascii="Verdana" w:eastAsia="Times New Roman" w:hAnsi="Verdana" w:cs="Arial"/>
                <w:color w:val="000000" w:themeColor="text1"/>
                <w:sz w:val="16"/>
                <w:szCs w:val="16"/>
                <w:lang w:eastAsia="es-ES"/>
              </w:rPr>
              <w:t>Rodriguez</w:t>
            </w:r>
            <w:proofErr w:type="spellEnd"/>
          </w:p>
          <w:p w14:paraId="521B12E9" w14:textId="77777777" w:rsidR="009A4CD3" w:rsidRPr="0025661F" w:rsidRDefault="009A4CD3" w:rsidP="00EA2F5A">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9A4CD3" w:rsidRPr="00F84F36" w14:paraId="7EF02184" w14:textId="77777777" w:rsidTr="00EA2F5A">
        <w:trPr>
          <w:trHeight w:val="300"/>
        </w:trPr>
        <w:tc>
          <w:tcPr>
            <w:tcW w:w="893" w:type="dxa"/>
            <w:vAlign w:val="center"/>
          </w:tcPr>
          <w:p w14:paraId="72CC6BD9" w14:textId="77777777" w:rsidR="009A4CD3" w:rsidRPr="008278B1" w:rsidRDefault="009A4CD3" w:rsidP="00EA2F5A">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52531A" w14:textId="77777777" w:rsidR="009A4CD3" w:rsidRPr="008278B1" w:rsidRDefault="009A4CD3" w:rsidP="00EA2F5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C4ADC3F" w14:textId="77777777" w:rsidR="009A4CD3" w:rsidRPr="008278B1" w:rsidRDefault="009A4CD3" w:rsidP="00EA2F5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5D42D3D7" w14:textId="4122941E" w:rsidR="009A4CD3" w:rsidRPr="008E53E8" w:rsidRDefault="009A4CD3" w:rsidP="009A4CD3">
      <w:pPr>
        <w:spacing w:after="0"/>
        <w:rPr>
          <w:rFonts w:ascii="Verdana" w:eastAsia="Verdana" w:hAnsi="Verdana" w:cs="Verdana"/>
          <w:lang w:val="es-ES"/>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C5AED" w14:textId="77777777" w:rsidR="00AF45AF" w:rsidRDefault="00AF45AF" w:rsidP="004A1847">
      <w:pPr>
        <w:spacing w:after="0" w:line="240" w:lineRule="auto"/>
      </w:pPr>
      <w:r>
        <w:separator/>
      </w:r>
    </w:p>
  </w:endnote>
  <w:endnote w:type="continuationSeparator" w:id="0">
    <w:p w14:paraId="0A434432" w14:textId="77777777" w:rsidR="00AF45AF" w:rsidRDefault="00AF45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11376" w14:textId="77777777" w:rsidR="00AF45AF" w:rsidRDefault="00AF45AF" w:rsidP="004A1847">
      <w:pPr>
        <w:spacing w:after="0" w:line="240" w:lineRule="auto"/>
      </w:pPr>
      <w:r>
        <w:separator/>
      </w:r>
    </w:p>
  </w:footnote>
  <w:footnote w:type="continuationSeparator" w:id="0">
    <w:p w14:paraId="4A972641" w14:textId="77777777" w:rsidR="00AF45AF" w:rsidRDefault="00AF45AF" w:rsidP="004A1847">
      <w:pPr>
        <w:spacing w:after="0" w:line="240" w:lineRule="auto"/>
      </w:pPr>
      <w:r>
        <w:continuationSeparator/>
      </w:r>
    </w:p>
  </w:footnote>
  <w:footnote w:id="1">
    <w:p w14:paraId="5B11EC11" w14:textId="77777777" w:rsidR="009A4CD3" w:rsidRPr="00F3517D" w:rsidRDefault="009A4CD3" w:rsidP="009A4CD3">
      <w:pPr>
        <w:pStyle w:val="Textonotapie"/>
        <w:ind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99A2A55" w14:textId="77777777" w:rsidR="009A4CD3" w:rsidRPr="00F3517D" w:rsidRDefault="009A4CD3" w:rsidP="009A4CD3">
      <w:pPr>
        <w:pStyle w:val="Textonotapie"/>
        <w:ind w:firstLine="709"/>
        <w:jc w:val="both"/>
        <w:rPr>
          <w:rFonts w:ascii="Verdana" w:hAnsi="Verdana" w:cs="Arial"/>
          <w:sz w:val="16"/>
          <w:szCs w:val="16"/>
        </w:rPr>
      </w:pPr>
      <w:r w:rsidRPr="00F3517D">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A56D6C6" w14:textId="77777777" w:rsidR="009A4CD3" w:rsidRPr="00F3517D" w:rsidRDefault="009A4CD3" w:rsidP="009A4CD3">
      <w:pPr>
        <w:pStyle w:val="Textonotapie"/>
        <w:ind w:firstLine="709"/>
        <w:jc w:val="both"/>
        <w:rPr>
          <w:rFonts w:ascii="Verdana" w:hAnsi="Verdana" w:cs="Arial"/>
          <w:sz w:val="16"/>
          <w:szCs w:val="16"/>
        </w:rPr>
      </w:pPr>
    </w:p>
  </w:footnote>
  <w:footnote w:id="2">
    <w:p w14:paraId="407A1FE1" w14:textId="77777777" w:rsidR="009A4CD3" w:rsidRPr="00F3517D" w:rsidRDefault="009A4CD3" w:rsidP="009A4CD3">
      <w:pPr>
        <w:pStyle w:val="Textonotapie"/>
        <w:ind w:firstLine="709"/>
        <w:jc w:val="both"/>
        <w:rPr>
          <w:rFonts w:ascii="Verdana" w:hAnsi="Verdana" w:cs="Arial"/>
          <w:sz w:val="16"/>
          <w:szCs w:val="16"/>
        </w:rPr>
      </w:pPr>
      <w:r w:rsidRPr="00F3517D">
        <w:rPr>
          <w:rStyle w:val="Refdenotaalpie"/>
          <w:rFonts w:ascii="Verdana" w:hAnsi="Verdana"/>
          <w:sz w:val="16"/>
          <w:szCs w:val="16"/>
        </w:rPr>
        <w:footnoteRef/>
      </w:r>
      <w:r w:rsidRPr="00F3517D">
        <w:rPr>
          <w:rFonts w:ascii="Verdana" w:hAnsi="Verdana"/>
          <w:sz w:val="16"/>
          <w:szCs w:val="16"/>
        </w:rPr>
        <w:t xml:space="preserve"> </w:t>
      </w:r>
      <w:r w:rsidRPr="00F3517D">
        <w:rPr>
          <w:rFonts w:ascii="Verdana" w:hAnsi="Verdana" w:cs="Arial"/>
          <w:sz w:val="16"/>
          <w:szCs w:val="16"/>
        </w:rPr>
        <w:t>Gaceta del Congreso de la República No. 71 del 2005.</w:t>
      </w:r>
    </w:p>
    <w:p w14:paraId="2825CC30" w14:textId="77777777" w:rsidR="009A4CD3" w:rsidRPr="006A36BB" w:rsidRDefault="009A4CD3" w:rsidP="009A4CD3">
      <w:pPr>
        <w:pStyle w:val="Textonotapie"/>
        <w:jc w:val="both"/>
        <w:rPr>
          <w:rFonts w:ascii="Verdana" w:hAnsi="Verdana"/>
          <w:sz w:val="14"/>
          <w:szCs w:val="14"/>
        </w:rPr>
      </w:pPr>
    </w:p>
  </w:footnote>
  <w:footnote w:id="3">
    <w:p w14:paraId="4D1711EC" w14:textId="77777777" w:rsidR="009A4CD3" w:rsidRPr="00F3517D" w:rsidRDefault="009A4CD3" w:rsidP="009A4CD3">
      <w:pPr>
        <w:pStyle w:val="Textonotapie"/>
        <w:ind w:firstLine="709"/>
        <w:jc w:val="both"/>
        <w:rPr>
          <w:rFonts w:ascii="Verdana" w:hAnsi="Verdana" w:cs="Arial"/>
          <w:sz w:val="16"/>
          <w:szCs w:val="16"/>
          <w:lang w:val="pt-BR"/>
        </w:rPr>
      </w:pPr>
      <w:r w:rsidRPr="00F3517D">
        <w:rPr>
          <w:rStyle w:val="Refdenotaalpie"/>
          <w:rFonts w:ascii="Verdana" w:hAnsi="Verdana" w:cs="Arial"/>
          <w:sz w:val="16"/>
          <w:szCs w:val="16"/>
        </w:rPr>
        <w:footnoteRef/>
      </w:r>
      <w:r w:rsidRPr="00F3517D">
        <w:rPr>
          <w:rFonts w:ascii="Verdana" w:hAnsi="Verdana" w:cs="Arial"/>
          <w:sz w:val="16"/>
          <w:szCs w:val="16"/>
          <w:lang w:val="pt-BR"/>
        </w:rPr>
        <w:t xml:space="preserve"> Corte Constitucional, Sentencia C- 1153 de 2005, M.P. Marco Gerardo </w:t>
      </w:r>
      <w:proofErr w:type="spellStart"/>
      <w:r w:rsidRPr="00F3517D">
        <w:rPr>
          <w:rFonts w:ascii="Verdana" w:hAnsi="Verdana" w:cs="Arial"/>
          <w:sz w:val="16"/>
          <w:szCs w:val="16"/>
          <w:lang w:val="pt-BR"/>
        </w:rPr>
        <w:t>Monroy</w:t>
      </w:r>
      <w:proofErr w:type="spellEnd"/>
      <w:r w:rsidRPr="00F3517D">
        <w:rPr>
          <w:rFonts w:ascii="Verdana" w:hAnsi="Verdana" w:cs="Arial"/>
          <w:sz w:val="16"/>
          <w:szCs w:val="16"/>
          <w:lang w:val="pt-BR"/>
        </w:rPr>
        <w:t xml:space="preserve"> Cabra.</w:t>
      </w:r>
    </w:p>
  </w:footnote>
  <w:footnote w:id="4">
    <w:p w14:paraId="09176554" w14:textId="77777777" w:rsidR="009A4CD3" w:rsidRPr="00F3517D" w:rsidRDefault="009A4CD3" w:rsidP="009A4CD3">
      <w:pPr>
        <w:pStyle w:val="Textonotapie"/>
        <w:ind w:firstLine="709"/>
        <w:jc w:val="both"/>
        <w:rPr>
          <w:rFonts w:ascii="Verdana" w:hAnsi="Verdana" w:cs="Arial"/>
          <w:sz w:val="16"/>
          <w:szCs w:val="16"/>
          <w:lang w:val="es-CO"/>
        </w:rPr>
      </w:pPr>
      <w:r w:rsidRPr="00F3517D">
        <w:rPr>
          <w:rStyle w:val="Refdenotaalpie"/>
          <w:rFonts w:ascii="Verdana" w:hAnsi="Verdana" w:cs="Arial"/>
          <w:sz w:val="16"/>
          <w:szCs w:val="16"/>
        </w:rPr>
        <w:footnoteRef/>
      </w:r>
      <w:r w:rsidRPr="00F3517D">
        <w:rPr>
          <w:rFonts w:ascii="Verdana" w:hAnsi="Verdana" w:cs="Arial"/>
          <w:sz w:val="16"/>
          <w:szCs w:val="16"/>
          <w:lang w:val="pt-BR"/>
        </w:rPr>
        <w:t xml:space="preserve"> </w:t>
      </w:r>
      <w:r w:rsidRPr="00F3517D">
        <w:rPr>
          <w:rFonts w:ascii="Verdana" w:hAnsi="Verdana" w:cs="Arial"/>
          <w:sz w:val="16"/>
          <w:szCs w:val="16"/>
          <w:lang w:val="es-CO"/>
        </w:rPr>
        <w:t xml:space="preserve">Corte Constitucional. Sentencias: C-233 de 4 de abril de 2002. M.P: Álvaro Tafur Galvis; C-551 de 9 de julio de 2003. M.P: Eduardo Montealegre Lynnet; C-353 de 20 de mayo de 2009. M.P: Jorge Iván Palacio </w:t>
      </w:r>
      <w:proofErr w:type="spellStart"/>
      <w:r w:rsidRPr="00F3517D">
        <w:rPr>
          <w:rFonts w:ascii="Verdana" w:hAnsi="Verdana" w:cs="Arial"/>
          <w:sz w:val="16"/>
          <w:szCs w:val="16"/>
          <w:lang w:val="es-CO"/>
        </w:rPr>
        <w:t>Palacio</w:t>
      </w:r>
      <w:proofErr w:type="spellEnd"/>
      <w:r w:rsidRPr="00F3517D">
        <w:rPr>
          <w:rFonts w:ascii="Verdana" w:hAnsi="Verdana" w:cs="Arial"/>
          <w:sz w:val="16"/>
          <w:szCs w:val="16"/>
          <w:lang w:val="es-CO"/>
        </w:rPr>
        <w:t>; C-541 de 30 de junio de 2010. M.P: Gabriel Eduardo Mendoza Martelo; entre otras.</w:t>
      </w:r>
    </w:p>
    <w:p w14:paraId="6196EBC7" w14:textId="77777777" w:rsidR="009A4CD3" w:rsidRPr="00F3517D" w:rsidRDefault="009A4CD3" w:rsidP="009A4CD3">
      <w:pPr>
        <w:pStyle w:val="Textonotapie"/>
        <w:ind w:firstLine="709"/>
        <w:jc w:val="both"/>
        <w:rPr>
          <w:rFonts w:ascii="Verdana" w:hAnsi="Verdana" w:cs="Arial"/>
          <w:sz w:val="16"/>
          <w:szCs w:val="16"/>
          <w:lang w:val="pt-BR"/>
        </w:rPr>
      </w:pPr>
    </w:p>
  </w:footnote>
  <w:footnote w:id="5">
    <w:p w14:paraId="75E02E32" w14:textId="77777777" w:rsidR="009A4CD3" w:rsidRPr="00F3517D" w:rsidRDefault="009A4CD3" w:rsidP="009A4CD3">
      <w:pPr>
        <w:pStyle w:val="Textonotapie"/>
        <w:ind w:firstLine="709"/>
        <w:jc w:val="both"/>
        <w:rPr>
          <w:rFonts w:ascii="Verdana" w:hAnsi="Verdana" w:cs="Arial"/>
          <w:sz w:val="16"/>
          <w:szCs w:val="16"/>
          <w:lang w:val="es-ES"/>
        </w:rPr>
      </w:pPr>
      <w:r w:rsidRPr="00F3517D">
        <w:rPr>
          <w:rStyle w:val="Refdenotaalpie"/>
          <w:rFonts w:ascii="Verdana" w:hAnsi="Verdana" w:cs="Arial"/>
          <w:sz w:val="16"/>
          <w:szCs w:val="16"/>
        </w:rPr>
        <w:footnoteRef/>
      </w:r>
      <w:r w:rsidRPr="00F3517D">
        <w:rPr>
          <w:rFonts w:ascii="Verdana" w:hAnsi="Verdana" w:cs="Arial"/>
          <w:sz w:val="16"/>
          <w:szCs w:val="16"/>
          <w:lang w:val="es-CO"/>
        </w:rPr>
        <w:t xml:space="preserve"> Consejo de Estado. Sala de lo Contencioso Administrativo. Sección Primera. Sentencia de 3 de marzo de 2005. Radicado: </w:t>
      </w:r>
      <w:r w:rsidRPr="00F3517D">
        <w:rPr>
          <w:rFonts w:ascii="Verdana" w:hAnsi="Verdana" w:cs="Arial"/>
          <w:sz w:val="16"/>
          <w:szCs w:val="16"/>
          <w:lang w:val="es-ES"/>
        </w:rPr>
        <w:t xml:space="preserve">25001-23-15-000-2004-00823-01 (PI). </w:t>
      </w:r>
      <w:r w:rsidRPr="00F3517D">
        <w:rPr>
          <w:rFonts w:ascii="Verdana" w:hAnsi="Verdana" w:cs="Arial"/>
          <w:sz w:val="16"/>
          <w:szCs w:val="16"/>
          <w:lang w:val="es-CO"/>
        </w:rPr>
        <w:t xml:space="preserve">C.P: Camilo Arciniegas Andrade. Ver también, de la Sección Tercera. </w:t>
      </w:r>
    </w:p>
    <w:p w14:paraId="34592C80" w14:textId="77777777" w:rsidR="009A4CD3" w:rsidRPr="00F3517D" w:rsidRDefault="009A4CD3" w:rsidP="009A4CD3">
      <w:pPr>
        <w:pStyle w:val="Textonotapie"/>
        <w:ind w:firstLine="709"/>
        <w:jc w:val="both"/>
        <w:rPr>
          <w:rFonts w:ascii="Verdana" w:hAnsi="Verdana" w:cs="Arial"/>
          <w:sz w:val="16"/>
          <w:szCs w:val="16"/>
          <w:lang w:val="es-CO"/>
        </w:rPr>
      </w:pPr>
    </w:p>
  </w:footnote>
  <w:footnote w:id="6">
    <w:p w14:paraId="5C0CF98C" w14:textId="77777777" w:rsidR="009A4CD3" w:rsidRPr="00F3517D" w:rsidRDefault="009A4CD3" w:rsidP="009A4CD3">
      <w:pPr>
        <w:pStyle w:val="Textonotapie"/>
        <w:ind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Consejo de Estado, Sala de Consulta y Servicio Civil. 24 de julio de 2013. Radicado: </w:t>
      </w:r>
      <w:r w:rsidRPr="00F3517D">
        <w:rPr>
          <w:rFonts w:ascii="Verdana" w:hAnsi="Verdana" w:cs="Arial"/>
          <w:sz w:val="16"/>
          <w:szCs w:val="16"/>
          <w:lang w:val="es-CO"/>
        </w:rPr>
        <w:t xml:space="preserve">11001-03-06-000-2013-00407-00 </w:t>
      </w:r>
      <w:r w:rsidRPr="00F3517D">
        <w:rPr>
          <w:rFonts w:ascii="Verdana" w:hAnsi="Verdana" w:cs="Arial"/>
          <w:sz w:val="16"/>
          <w:szCs w:val="16"/>
        </w:rPr>
        <w:t xml:space="preserve">(2166). C.P. Álvaro Namén Vargas.  </w:t>
      </w:r>
    </w:p>
  </w:footnote>
  <w:footnote w:id="7">
    <w:p w14:paraId="78CE61E6" w14:textId="77777777" w:rsidR="009A4CD3" w:rsidRPr="00F3517D" w:rsidRDefault="009A4CD3" w:rsidP="009A4CD3">
      <w:pPr>
        <w:spacing w:after="0" w:line="240" w:lineRule="auto"/>
        <w:ind w:firstLine="709"/>
        <w:jc w:val="both"/>
        <w:rPr>
          <w:rFonts w:ascii="Verdana" w:eastAsia="Times New Roman"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w:t>
      </w:r>
      <w:bookmarkStart w:id="5" w:name="33"/>
      <w:r w:rsidRPr="00F3517D">
        <w:rPr>
          <w:rFonts w:ascii="Verdana" w:eastAsia="Calibri" w:hAnsi="Verdana" w:cs="Arial"/>
          <w:color w:val="000000"/>
          <w:sz w:val="16"/>
          <w:szCs w:val="16"/>
        </w:rPr>
        <w:t>“</w:t>
      </w:r>
      <w:r w:rsidRPr="00F3517D">
        <w:rPr>
          <w:rFonts w:ascii="Verdana" w:eastAsia="Times New Roman" w:hAnsi="Verdana" w:cs="Arial"/>
          <w:sz w:val="16"/>
          <w:szCs w:val="16"/>
        </w:rPr>
        <w:t>Artículo 33. Restricciones a la contratación pública.</w:t>
      </w:r>
      <w:bookmarkEnd w:id="5"/>
      <w:r w:rsidRPr="00F3517D">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08E9FEE" w14:textId="77777777" w:rsidR="009A4CD3" w:rsidRPr="00F3517D" w:rsidRDefault="009A4CD3" w:rsidP="009A4CD3">
      <w:pPr>
        <w:spacing w:after="0" w:line="240" w:lineRule="auto"/>
        <w:ind w:firstLine="709"/>
        <w:jc w:val="both"/>
        <w:rPr>
          <w:rFonts w:ascii="Verdana" w:eastAsia="Times New Roman" w:hAnsi="Verdana" w:cs="Arial"/>
          <w:sz w:val="16"/>
          <w:szCs w:val="16"/>
        </w:rPr>
      </w:pPr>
      <w:r w:rsidRPr="00F3517D">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3517D">
        <w:rPr>
          <w:rFonts w:ascii="Verdana" w:eastAsia="Calibri" w:hAnsi="Verdana" w:cs="Arial"/>
          <w:color w:val="000000"/>
          <w:sz w:val="16"/>
          <w:szCs w:val="16"/>
        </w:rPr>
        <w:t>”</w:t>
      </w:r>
      <w:r w:rsidRPr="00F3517D">
        <w:rPr>
          <w:rFonts w:ascii="Verdana" w:eastAsia="Times New Roman" w:hAnsi="Verdana" w:cs="Arial"/>
          <w:sz w:val="16"/>
          <w:szCs w:val="16"/>
        </w:rPr>
        <w:t>.</w:t>
      </w:r>
    </w:p>
    <w:p w14:paraId="1A9A2C2E" w14:textId="77777777" w:rsidR="009A4CD3" w:rsidRPr="00F3517D" w:rsidRDefault="009A4CD3" w:rsidP="009A4CD3">
      <w:pPr>
        <w:spacing w:after="0" w:line="240" w:lineRule="auto"/>
        <w:ind w:firstLine="709"/>
        <w:jc w:val="both"/>
        <w:rPr>
          <w:rFonts w:ascii="Verdana" w:eastAsia="Times New Roman" w:hAnsi="Verdana" w:cs="Arial"/>
          <w:sz w:val="16"/>
          <w:szCs w:val="16"/>
        </w:rPr>
      </w:pPr>
    </w:p>
  </w:footnote>
  <w:footnote w:id="8">
    <w:p w14:paraId="279D9576" w14:textId="77777777" w:rsidR="009A4CD3" w:rsidRPr="00F3517D" w:rsidRDefault="009A4CD3" w:rsidP="009A4CD3">
      <w:pPr>
        <w:pStyle w:val="NormalWeb"/>
        <w:spacing w:before="0" w:beforeAutospacing="0" w:after="0" w:afterAutospacing="0"/>
        <w:ind w:firstLine="709"/>
        <w:jc w:val="both"/>
        <w:rPr>
          <w:rFonts w:ascii="Verdana" w:hAnsi="Verdana" w:cs="Arial"/>
          <w:sz w:val="16"/>
          <w:szCs w:val="16"/>
          <w:lang w:val="es-MX"/>
        </w:rPr>
      </w:pPr>
      <w:r w:rsidRPr="00F3517D">
        <w:rPr>
          <w:rStyle w:val="Refdenotaalpie"/>
          <w:rFonts w:ascii="Verdana" w:eastAsiaTheme="majorEastAsia" w:hAnsi="Verdana" w:cs="Arial"/>
          <w:sz w:val="16"/>
          <w:szCs w:val="16"/>
        </w:rPr>
        <w:footnoteRef/>
      </w:r>
      <w:r w:rsidRPr="00F3517D">
        <w:rPr>
          <w:rFonts w:ascii="Verdana" w:hAnsi="Verdana" w:cs="Arial"/>
          <w:sz w:val="16"/>
          <w:szCs w:val="16"/>
        </w:rPr>
        <w:t xml:space="preserve"> </w:t>
      </w:r>
      <w:bookmarkStart w:id="6" w:name="38"/>
      <w:r w:rsidRPr="00F3517D">
        <w:rPr>
          <w:rFonts w:ascii="Verdana" w:eastAsia="Calibri" w:hAnsi="Verdana" w:cs="Arial"/>
          <w:color w:val="000000"/>
          <w:sz w:val="16"/>
          <w:szCs w:val="16"/>
        </w:rPr>
        <w:t>“</w:t>
      </w:r>
      <w:r w:rsidRPr="00F3517D">
        <w:rPr>
          <w:rFonts w:ascii="Verdana" w:hAnsi="Verdana" w:cs="Arial"/>
          <w:sz w:val="16"/>
          <w:szCs w:val="16"/>
          <w:lang w:val="es-MX"/>
        </w:rPr>
        <w:t>Artículo 38. Prohibiciones para los servidores públicos. A los empleados del Estado les está prohibido:</w:t>
      </w:r>
      <w:bookmarkEnd w:id="6"/>
      <w:r w:rsidRPr="00F3517D">
        <w:rPr>
          <w:rFonts w:ascii="Verdana" w:hAnsi="Verdana" w:cs="Arial"/>
          <w:sz w:val="16"/>
          <w:szCs w:val="16"/>
          <w:lang w:val="es-MX"/>
        </w:rPr>
        <w:t xml:space="preserve"> (…)</w:t>
      </w:r>
    </w:p>
    <w:p w14:paraId="637BA4E9" w14:textId="77777777" w:rsidR="009A4CD3" w:rsidRPr="00F3517D" w:rsidRDefault="009A4CD3" w:rsidP="009A4CD3">
      <w:pPr>
        <w:pStyle w:val="NormalWeb"/>
        <w:spacing w:before="0" w:beforeAutospacing="0" w:after="0" w:afterAutospacing="0"/>
        <w:ind w:firstLine="709"/>
        <w:jc w:val="both"/>
        <w:rPr>
          <w:rFonts w:ascii="Verdana" w:hAnsi="Verdana" w:cs="Arial"/>
          <w:sz w:val="16"/>
          <w:szCs w:val="16"/>
          <w:lang w:val="es-MX"/>
        </w:rPr>
      </w:pPr>
      <w:r w:rsidRPr="00F3517D">
        <w:rPr>
          <w:rStyle w:val="baj"/>
          <w:rFonts w:ascii="Verdana" w:hAnsi="Verdana" w:cs="Arial"/>
          <w:sz w:val="16"/>
          <w:szCs w:val="16"/>
          <w:lang w:val="es-MX"/>
        </w:rPr>
        <w:t>Parágrafo.</w:t>
      </w:r>
      <w:r w:rsidRPr="00F3517D">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517D">
        <w:rPr>
          <w:rFonts w:ascii="Verdana" w:eastAsia="Calibri" w:hAnsi="Verdana" w:cs="Arial"/>
          <w:color w:val="000000"/>
          <w:sz w:val="16"/>
          <w:szCs w:val="16"/>
        </w:rPr>
        <w:t>”</w:t>
      </w:r>
      <w:r w:rsidRPr="00F3517D">
        <w:rPr>
          <w:rFonts w:ascii="Verdana" w:hAnsi="Verdana" w:cs="Arial"/>
          <w:sz w:val="16"/>
          <w:szCs w:val="16"/>
          <w:lang w:val="es-MX"/>
        </w:rPr>
        <w:t>.</w:t>
      </w:r>
    </w:p>
  </w:footnote>
  <w:footnote w:id="9">
    <w:p w14:paraId="19725EB5" w14:textId="77777777" w:rsidR="009A4CD3" w:rsidRPr="00F3517D" w:rsidRDefault="009A4CD3" w:rsidP="009A4CD3">
      <w:pPr>
        <w:spacing w:after="0" w:line="240" w:lineRule="auto"/>
        <w:ind w:left="100" w:right="244" w:firstLine="709"/>
        <w:jc w:val="both"/>
        <w:rPr>
          <w:rFonts w:ascii="Verdana" w:hAnsi="Verdana" w:cs="Arial"/>
          <w:sz w:val="16"/>
          <w:szCs w:val="16"/>
          <w:lang w:val="es-ES"/>
        </w:rPr>
      </w:pPr>
      <w:r w:rsidRPr="00F3517D">
        <w:rPr>
          <w:rStyle w:val="Refdenotaalpie"/>
          <w:rFonts w:ascii="Verdana" w:hAnsi="Verdana" w:cs="Arial"/>
          <w:sz w:val="16"/>
          <w:szCs w:val="16"/>
        </w:rPr>
        <w:footnoteRef/>
      </w:r>
      <w:r w:rsidRPr="00F3517D">
        <w:rPr>
          <w:rFonts w:ascii="Verdana" w:hAnsi="Verdana" w:cs="Arial"/>
          <w:sz w:val="16"/>
          <w:szCs w:val="16"/>
        </w:rPr>
        <w:t xml:space="preserve"> Consejo de Estado. Sala de Consulta y Servicio Civil. Concepto del 17 de febrero de 2015. Radicado: 11001-03-06-000-2015-00164-00 (2269). C.P. William Zambrano Cetina.</w:t>
      </w:r>
    </w:p>
  </w:footnote>
  <w:footnote w:id="10">
    <w:p w14:paraId="53A7F3FC" w14:textId="77777777" w:rsidR="009A4CD3" w:rsidRPr="00F3517D" w:rsidRDefault="009A4CD3" w:rsidP="009A4CD3">
      <w:pPr>
        <w:pStyle w:val="Textonotapie"/>
        <w:ind w:firstLine="708"/>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Colombia Compra Eficiente. Circular Externa Única. Numeral 16.5. </w:t>
      </w:r>
    </w:p>
    <w:p w14:paraId="6D47E728" w14:textId="77777777" w:rsidR="009A4CD3" w:rsidRPr="00F3517D" w:rsidRDefault="009A4CD3" w:rsidP="009A4CD3">
      <w:pPr>
        <w:pStyle w:val="Textonotapie"/>
        <w:ind w:firstLine="708"/>
        <w:jc w:val="both"/>
        <w:rPr>
          <w:rFonts w:ascii="Verdana" w:hAnsi="Verdana" w:cs="Arial"/>
          <w:sz w:val="16"/>
          <w:szCs w:val="16"/>
        </w:rPr>
      </w:pPr>
    </w:p>
  </w:footnote>
  <w:footnote w:id="11">
    <w:p w14:paraId="7A7BD6D9" w14:textId="77777777" w:rsidR="009A4CD3" w:rsidRPr="00F3517D" w:rsidRDefault="009A4CD3" w:rsidP="009A4CD3">
      <w:pPr>
        <w:pStyle w:val="Textonotapie"/>
        <w:ind w:right="51" w:firstLine="709"/>
        <w:jc w:val="both"/>
        <w:rPr>
          <w:rFonts w:ascii="Verdana" w:hAnsi="Verdana" w:cs="Arial"/>
          <w:sz w:val="16"/>
          <w:szCs w:val="16"/>
        </w:rPr>
      </w:pPr>
      <w:r w:rsidRPr="00F3517D">
        <w:rPr>
          <w:rStyle w:val="Refdenotaalpie"/>
          <w:rFonts w:ascii="Verdana" w:hAnsi="Verdana" w:cs="Arial"/>
          <w:sz w:val="16"/>
          <w:szCs w:val="16"/>
        </w:rPr>
        <w:footnoteRef/>
      </w:r>
      <w:r w:rsidRPr="00F3517D">
        <w:rPr>
          <w:rFonts w:ascii="Verdana" w:hAnsi="Verdana" w:cs="Arial"/>
          <w:sz w:val="16"/>
          <w:szCs w:val="16"/>
        </w:rPr>
        <w:t xml:space="preserve"> “</w:t>
      </w:r>
      <w:r w:rsidRPr="00F3517D">
        <w:rPr>
          <w:rFonts w:ascii="Verdana" w:hAnsi="Verdana" w:cs="Arial"/>
          <w:sz w:val="16"/>
          <w:szCs w:val="16"/>
          <w:lang w:val="es-ES"/>
        </w:rPr>
        <w:t xml:space="preserve">[25] </w:t>
      </w:r>
      <w:r w:rsidRPr="00F3517D">
        <w:rPr>
          <w:rFonts w:ascii="Verdana" w:hAnsi="Verdana" w:cs="Arial"/>
          <w:sz w:val="16"/>
          <w:szCs w:val="16"/>
        </w:rPr>
        <w:t>Cfr. Consejo de Estado. Sección Tercera. Sentencia de 3 de diciembre de 2007. Radicados: 24.715, 25.206, 25.409, 24.524, 27.834, 25.410, 26.105, 28.244, 31.447 -acumulados- “.</w:t>
      </w:r>
    </w:p>
    <w:p w14:paraId="7BEE43A1" w14:textId="77777777" w:rsidR="009A4CD3" w:rsidRPr="00F3517D" w:rsidRDefault="009A4CD3" w:rsidP="009A4CD3">
      <w:pPr>
        <w:pStyle w:val="Textonotapie"/>
        <w:ind w:right="51" w:firstLine="709"/>
        <w:jc w:val="both"/>
        <w:rPr>
          <w:rFonts w:ascii="Verdana" w:hAnsi="Verdana" w:cs="Arial"/>
          <w:sz w:val="16"/>
          <w:szCs w:val="16"/>
        </w:rPr>
      </w:pPr>
    </w:p>
  </w:footnote>
  <w:footnote w:id="12">
    <w:p w14:paraId="7EA580FA" w14:textId="77777777" w:rsidR="009A4CD3" w:rsidRPr="00661481" w:rsidRDefault="009A4CD3" w:rsidP="009A4CD3">
      <w:pPr>
        <w:pStyle w:val="Textonotapie"/>
        <w:ind w:right="51"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sz w:val="16"/>
          <w:szCs w:val="16"/>
          <w:lang w:val="es-ES"/>
        </w:rPr>
        <w:t xml:space="preserve">[26] </w:t>
      </w:r>
      <w:r w:rsidRPr="00661481">
        <w:rPr>
          <w:rFonts w:ascii="Verdana" w:hAnsi="Verdana" w:cs="Arial"/>
          <w:sz w:val="16"/>
          <w:szCs w:val="16"/>
        </w:rPr>
        <w:t>Al respecto ver el concepto 1712 de 2 de febrero de 2006. Consejo de Estado Sala de Consulta y Servicio Civil”.</w:t>
      </w:r>
    </w:p>
  </w:footnote>
  <w:footnote w:id="13">
    <w:p w14:paraId="2E520303" w14:textId="77777777" w:rsidR="009A4CD3" w:rsidRPr="00661481" w:rsidRDefault="009A4CD3" w:rsidP="009A4CD3">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Consejo de Estado. Sala de Consulta y Servicio Civil. Concepto del 2 de septiembre de 2013. Radicación: 11001-03-06-000-2013-00412-00 (2168). Consejero Ponente: Álvaro Namén Vargas.</w:t>
      </w:r>
    </w:p>
    <w:p w14:paraId="1B4A5E3D" w14:textId="77777777" w:rsidR="009A4CD3" w:rsidRPr="00661481" w:rsidRDefault="009A4CD3" w:rsidP="009A4CD3">
      <w:pPr>
        <w:pStyle w:val="Textonotapie"/>
        <w:ind w:firstLine="709"/>
        <w:jc w:val="both"/>
        <w:rPr>
          <w:rFonts w:ascii="Verdana" w:hAnsi="Verdana" w:cs="Arial"/>
          <w:sz w:val="16"/>
          <w:szCs w:val="16"/>
        </w:rPr>
      </w:pPr>
    </w:p>
  </w:footnote>
  <w:footnote w:id="14">
    <w:p w14:paraId="0F0DFCF7" w14:textId="77777777" w:rsidR="009A4CD3" w:rsidRPr="00661481" w:rsidRDefault="009A4CD3" w:rsidP="009A4CD3">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sz w:val="16"/>
          <w:szCs w:val="16"/>
          <w:lang w:val="es-ES"/>
        </w:rPr>
        <w:t xml:space="preserve">Artículo 2. </w:t>
      </w:r>
    </w:p>
    <w:p w14:paraId="26AE490D" w14:textId="77777777" w:rsidR="009A4CD3" w:rsidRPr="00661481" w:rsidRDefault="009A4CD3" w:rsidP="009A4CD3">
      <w:pPr>
        <w:pStyle w:val="Textonotapie"/>
        <w:ind w:firstLine="709"/>
        <w:jc w:val="both"/>
        <w:rPr>
          <w:rFonts w:ascii="Verdana" w:hAnsi="Verdana" w:cs="Arial"/>
          <w:sz w:val="16"/>
          <w:szCs w:val="16"/>
          <w:lang w:val="es-ES"/>
        </w:rPr>
      </w:pPr>
    </w:p>
  </w:footnote>
  <w:footnote w:id="15">
    <w:p w14:paraId="07354FD8" w14:textId="77777777" w:rsidR="009A4CD3" w:rsidRPr="00661481" w:rsidRDefault="009A4CD3" w:rsidP="009A4CD3">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Fonts w:ascii="Verdana" w:hAnsi="Verdana" w:cs="Arial"/>
          <w:sz w:val="16"/>
          <w:szCs w:val="16"/>
        </w:rPr>
        <w:t xml:space="preserve"> </w:t>
      </w:r>
      <w:r w:rsidRPr="00661481">
        <w:rPr>
          <w:rFonts w:ascii="Verdana" w:hAnsi="Verdana" w:cs="Arial"/>
          <w:i/>
          <w:sz w:val="16"/>
          <w:szCs w:val="16"/>
          <w:lang w:val="es-ES"/>
        </w:rPr>
        <w:t>Ídem</w:t>
      </w:r>
      <w:r w:rsidRPr="00661481">
        <w:rPr>
          <w:rFonts w:ascii="Verdana" w:hAnsi="Verdana" w:cs="Arial"/>
          <w:sz w:val="16"/>
          <w:szCs w:val="16"/>
          <w:lang w:val="es-ES"/>
        </w:rPr>
        <w:t>.</w:t>
      </w:r>
    </w:p>
    <w:p w14:paraId="2344B5F6" w14:textId="77777777" w:rsidR="009A4CD3" w:rsidRPr="00661481" w:rsidRDefault="009A4CD3" w:rsidP="009A4CD3">
      <w:pPr>
        <w:pStyle w:val="Textonotapie"/>
        <w:ind w:firstLine="709"/>
        <w:jc w:val="both"/>
        <w:rPr>
          <w:rFonts w:ascii="Verdana" w:hAnsi="Verdana" w:cs="Arial"/>
          <w:sz w:val="16"/>
          <w:szCs w:val="16"/>
          <w:lang w:val="es-ES"/>
        </w:rPr>
      </w:pPr>
    </w:p>
  </w:footnote>
  <w:footnote w:id="16">
    <w:p w14:paraId="1E056374" w14:textId="77777777" w:rsidR="009A4CD3" w:rsidRPr="00661481" w:rsidRDefault="009A4CD3" w:rsidP="009A4CD3">
      <w:pPr>
        <w:pStyle w:val="Textonotapie"/>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Style w:val="Refdenotaalpie"/>
          <w:rFonts w:ascii="Verdana" w:hAnsi="Verdana" w:cs="Arial"/>
          <w:sz w:val="16"/>
          <w:szCs w:val="16"/>
        </w:rPr>
        <w:t xml:space="preserve"> </w:t>
      </w:r>
      <w:r w:rsidRPr="00661481">
        <w:rPr>
          <w:rFonts w:ascii="Verdana" w:hAnsi="Verdana" w:cs="Arial"/>
          <w:sz w:val="16"/>
          <w:szCs w:val="16"/>
          <w:lang w:val="es-ES"/>
        </w:rPr>
        <w:t xml:space="preserve">“[…] A este respecto, cabe recordar que el artículo 860 del Código de Comercio regula la licitación en el derecho privado”. </w:t>
      </w:r>
    </w:p>
    <w:p w14:paraId="4FC51EC0" w14:textId="77777777" w:rsidR="009A4CD3" w:rsidRPr="00661481" w:rsidRDefault="009A4CD3" w:rsidP="009A4CD3">
      <w:pPr>
        <w:pStyle w:val="Textonotapie"/>
        <w:ind w:firstLine="709"/>
        <w:jc w:val="both"/>
        <w:rPr>
          <w:rFonts w:ascii="Verdana" w:hAnsi="Verdana" w:cs="Arial"/>
          <w:sz w:val="16"/>
          <w:szCs w:val="16"/>
          <w:lang w:val="es-ES"/>
        </w:rPr>
      </w:pPr>
    </w:p>
  </w:footnote>
  <w:footnote w:id="17">
    <w:p w14:paraId="58397BC6" w14:textId="77777777" w:rsidR="009A4CD3" w:rsidRPr="00661481" w:rsidRDefault="009A4CD3" w:rsidP="009A4CD3">
      <w:pPr>
        <w:shd w:val="clear" w:color="auto" w:fill="FFFFFF"/>
        <w:spacing w:after="0" w:line="240" w:lineRule="auto"/>
        <w:ind w:firstLine="709"/>
        <w:jc w:val="both"/>
        <w:rPr>
          <w:rFonts w:ascii="Verdana" w:hAnsi="Verdana" w:cs="Arial"/>
          <w:sz w:val="16"/>
          <w:szCs w:val="16"/>
          <w:lang w:val="es-ES"/>
        </w:rPr>
      </w:pPr>
      <w:r w:rsidRPr="00661481">
        <w:rPr>
          <w:rStyle w:val="Refdenotaalpie"/>
          <w:rFonts w:ascii="Verdana" w:hAnsi="Verdana" w:cs="Arial"/>
          <w:sz w:val="16"/>
          <w:szCs w:val="16"/>
        </w:rPr>
        <w:footnoteRef/>
      </w:r>
      <w:r w:rsidRPr="00661481">
        <w:rPr>
          <w:rStyle w:val="Refdenotaalpie"/>
          <w:rFonts w:ascii="Verdana" w:hAnsi="Verdana" w:cs="Arial"/>
          <w:sz w:val="16"/>
          <w:szCs w:val="16"/>
        </w:rPr>
        <w:t xml:space="preserve"> </w:t>
      </w:r>
      <w:r w:rsidRPr="00661481">
        <w:rPr>
          <w:rFonts w:ascii="Verdana" w:hAnsi="Verdana" w:cs="Arial"/>
          <w:sz w:val="16"/>
          <w:szCs w:val="16"/>
          <w:lang w:val="es-ES"/>
        </w:rPr>
        <w:t>Consejo de Estado. Sala de Consulta y Servicio Civil. Concepto de 8 de mayo de 2018. Radicación: 11001-03-06-000-2018-00095-00 (2382). Consejero Ponente: Álvaro Namén Vargas.</w:t>
      </w:r>
    </w:p>
    <w:p w14:paraId="304E3478" w14:textId="77777777" w:rsidR="009A4CD3" w:rsidRPr="00661481" w:rsidRDefault="009A4CD3" w:rsidP="009A4CD3">
      <w:pPr>
        <w:shd w:val="clear" w:color="auto" w:fill="FFFFFF"/>
        <w:spacing w:after="0" w:line="240" w:lineRule="auto"/>
        <w:ind w:firstLine="709"/>
        <w:jc w:val="both"/>
        <w:rPr>
          <w:rFonts w:ascii="Verdana" w:hAnsi="Verdana" w:cs="Arial"/>
          <w:sz w:val="16"/>
          <w:szCs w:val="16"/>
          <w:lang w:val="es-ES"/>
        </w:rPr>
      </w:pPr>
    </w:p>
  </w:footnote>
  <w:footnote w:id="18">
    <w:p w14:paraId="433FBBC1" w14:textId="77777777" w:rsidR="009A4CD3" w:rsidRPr="00661481" w:rsidRDefault="009A4CD3" w:rsidP="009A4CD3">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w:t>
      </w:r>
      <w:proofErr w:type="spellStart"/>
      <w:r w:rsidRPr="00661481">
        <w:rPr>
          <w:rFonts w:ascii="Verdana" w:hAnsi="Verdana" w:cs="Arial"/>
          <w:sz w:val="16"/>
          <w:szCs w:val="16"/>
        </w:rPr>
        <w:t>Ibídem</w:t>
      </w:r>
      <w:proofErr w:type="spellEnd"/>
      <w:r w:rsidRPr="00661481">
        <w:rPr>
          <w:rFonts w:ascii="Verdana" w:hAnsi="Verdana" w:cs="Arial"/>
          <w:sz w:val="16"/>
          <w:szCs w:val="16"/>
        </w:rPr>
        <w:t>.</w:t>
      </w:r>
    </w:p>
  </w:footnote>
  <w:footnote w:id="19">
    <w:p w14:paraId="7F12C4FC" w14:textId="77777777" w:rsidR="009A4CD3" w:rsidRPr="00661481" w:rsidRDefault="009A4CD3" w:rsidP="009A4CD3">
      <w:pPr>
        <w:pStyle w:val="Textonotapie"/>
        <w:ind w:firstLine="708"/>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Colombia Compra Eficiente. Circular Única Externa.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 En </w:t>
      </w:r>
      <w:hyperlink r:id="rId1" w:history="1">
        <w:r w:rsidRPr="00661481">
          <w:rPr>
            <w:rStyle w:val="Hipervnculo"/>
            <w:rFonts w:ascii="Verdana" w:hAnsi="Verdana" w:cs="Arial"/>
            <w:sz w:val="16"/>
            <w:szCs w:val="16"/>
            <w:lang w:val="es-CO"/>
          </w:rPr>
          <w:t>circular_externa_unica_version_3_vf49.pdf</w:t>
        </w:r>
      </w:hyperlink>
    </w:p>
    <w:p w14:paraId="0E1BEAA4" w14:textId="77777777" w:rsidR="009A4CD3" w:rsidRPr="00661481" w:rsidRDefault="009A4CD3" w:rsidP="009A4CD3">
      <w:pPr>
        <w:pStyle w:val="Textonotapie"/>
        <w:ind w:firstLine="708"/>
        <w:jc w:val="both"/>
        <w:rPr>
          <w:rFonts w:ascii="Verdana" w:hAnsi="Verdana" w:cs="Arial"/>
          <w:sz w:val="16"/>
          <w:szCs w:val="16"/>
        </w:rPr>
      </w:pPr>
    </w:p>
  </w:footnote>
  <w:footnote w:id="20">
    <w:p w14:paraId="6005490D" w14:textId="77777777" w:rsidR="009A4CD3" w:rsidRPr="00661481" w:rsidRDefault="009A4CD3" w:rsidP="009A4CD3">
      <w:pPr>
        <w:pStyle w:val="Textonotapie"/>
        <w:ind w:firstLine="709"/>
        <w:jc w:val="both"/>
        <w:rPr>
          <w:rFonts w:ascii="Verdana" w:hAnsi="Verdana" w:cs="Arial"/>
          <w:sz w:val="16"/>
          <w:szCs w:val="16"/>
        </w:rPr>
      </w:pPr>
      <w:r w:rsidRPr="00661481">
        <w:rPr>
          <w:rStyle w:val="Refdenotaalpie"/>
          <w:rFonts w:ascii="Verdana" w:hAnsi="Verdana" w:cs="Arial"/>
          <w:sz w:val="16"/>
          <w:szCs w:val="16"/>
        </w:rPr>
        <w:footnoteRef/>
      </w:r>
      <w:r w:rsidRPr="0066148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661481">
        <w:rPr>
          <w:rFonts w:ascii="Verdana" w:hAnsi="Verdana" w:cs="Arial"/>
          <w:sz w:val="16"/>
          <w:szCs w:val="16"/>
        </w:rPr>
        <w:t>N°</w:t>
      </w:r>
      <w:proofErr w:type="spellEnd"/>
      <w:r w:rsidRPr="00661481">
        <w:rPr>
          <w:rFonts w:ascii="Verdana" w:hAnsi="Verdana" w:cs="Arial"/>
          <w:sz w:val="16"/>
          <w:szCs w:val="16"/>
        </w:rPr>
        <w:t xml:space="preserve"> 216/05 Senado, </w:t>
      </w:r>
      <w:proofErr w:type="spellStart"/>
      <w:r w:rsidRPr="00661481">
        <w:rPr>
          <w:rFonts w:ascii="Verdana" w:hAnsi="Verdana" w:cs="Arial"/>
          <w:sz w:val="16"/>
          <w:szCs w:val="16"/>
        </w:rPr>
        <w:t>N°</w:t>
      </w:r>
      <w:proofErr w:type="spellEnd"/>
      <w:r w:rsidRPr="00661481">
        <w:rPr>
          <w:rFonts w:ascii="Verdana" w:hAnsi="Verdana" w:cs="Arial"/>
          <w:sz w:val="16"/>
          <w:szCs w:val="16"/>
        </w:rPr>
        <w:t xml:space="preserve"> 235-Cámara que dio lugar a la Ley de Garantías Electorales.</w:t>
      </w:r>
    </w:p>
    <w:p w14:paraId="45D06FC2" w14:textId="77777777" w:rsidR="009A4CD3" w:rsidRPr="00661481" w:rsidRDefault="009A4CD3" w:rsidP="009A4CD3">
      <w:pPr>
        <w:pStyle w:val="Textonotapie"/>
        <w:ind w:firstLine="709"/>
        <w:jc w:val="both"/>
        <w:rPr>
          <w:rFonts w:ascii="Verdana" w:hAnsi="Verdana" w:cs="Arial"/>
          <w:sz w:val="16"/>
          <w:szCs w:val="16"/>
        </w:rPr>
      </w:pPr>
    </w:p>
  </w:footnote>
  <w:footnote w:id="21">
    <w:p w14:paraId="685C3EDD" w14:textId="77777777" w:rsidR="009A4CD3" w:rsidRPr="00661481" w:rsidRDefault="009A4CD3" w:rsidP="009A4CD3">
      <w:pPr>
        <w:pStyle w:val="Textonotapie"/>
        <w:ind w:firstLine="708"/>
        <w:jc w:val="both"/>
        <w:rPr>
          <w:rFonts w:ascii="Verdana" w:hAnsi="Verdana" w:cs="Arial"/>
          <w:color w:val="000000"/>
          <w:sz w:val="16"/>
          <w:szCs w:val="16"/>
          <w:lang w:val="es-ES"/>
        </w:rPr>
      </w:pPr>
      <w:r w:rsidRPr="00661481">
        <w:rPr>
          <w:rStyle w:val="Refdenotaalpie"/>
          <w:rFonts w:ascii="Verdana" w:hAnsi="Verdana" w:cs="Arial"/>
          <w:color w:val="000000"/>
          <w:sz w:val="16"/>
          <w:szCs w:val="16"/>
        </w:rPr>
        <w:footnoteRef/>
      </w:r>
      <w:r w:rsidRPr="00661481">
        <w:rPr>
          <w:rFonts w:ascii="Verdana" w:hAnsi="Verdana" w:cs="Arial"/>
          <w:color w:val="000000"/>
          <w:sz w:val="16"/>
          <w:szCs w:val="16"/>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63591210" w14:textId="77777777" w:rsidR="00227340" w:rsidRPr="00C925AC" w:rsidRDefault="00227340"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8255947">
    <w:abstractNumId w:val="5"/>
  </w:num>
  <w:num w:numId="2" w16cid:durableId="1640453901">
    <w:abstractNumId w:val="1"/>
  </w:num>
  <w:num w:numId="3" w16cid:durableId="120851100">
    <w:abstractNumId w:val="3"/>
  </w:num>
  <w:num w:numId="4" w16cid:durableId="21392986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92773444">
    <w:abstractNumId w:val="1"/>
  </w:num>
  <w:num w:numId="6" w16cid:durableId="542406619">
    <w:abstractNumId w:val="12"/>
  </w:num>
  <w:num w:numId="7" w16cid:durableId="766392538">
    <w:abstractNumId w:val="4"/>
  </w:num>
  <w:num w:numId="8" w16cid:durableId="1746147834">
    <w:abstractNumId w:val="11"/>
  </w:num>
  <w:num w:numId="9" w16cid:durableId="281571362">
    <w:abstractNumId w:val="6"/>
  </w:num>
  <w:num w:numId="10" w16cid:durableId="879824820">
    <w:abstractNumId w:val="10"/>
  </w:num>
  <w:num w:numId="11" w16cid:durableId="1649436724">
    <w:abstractNumId w:val="7"/>
  </w:num>
  <w:num w:numId="12" w16cid:durableId="19206282">
    <w:abstractNumId w:val="0"/>
  </w:num>
  <w:num w:numId="13" w16cid:durableId="718475268">
    <w:abstractNumId w:val="2"/>
  </w:num>
  <w:num w:numId="14" w16cid:durableId="717554730">
    <w:abstractNumId w:val="13"/>
  </w:num>
  <w:num w:numId="15" w16cid:durableId="694772076">
    <w:abstractNumId w:val="9"/>
  </w:num>
  <w:num w:numId="16" w16cid:durableId="20317585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7F8B"/>
    <w:rsid w:val="00061B2A"/>
    <w:rsid w:val="00070571"/>
    <w:rsid w:val="00082362"/>
    <w:rsid w:val="000A683E"/>
    <w:rsid w:val="000B19B9"/>
    <w:rsid w:val="000D0334"/>
    <w:rsid w:val="000D5DA7"/>
    <w:rsid w:val="000F6486"/>
    <w:rsid w:val="00116940"/>
    <w:rsid w:val="00125105"/>
    <w:rsid w:val="00127233"/>
    <w:rsid w:val="0015699B"/>
    <w:rsid w:val="001A33BF"/>
    <w:rsid w:val="001B1D48"/>
    <w:rsid w:val="001E4177"/>
    <w:rsid w:val="001F0B24"/>
    <w:rsid w:val="001F7DC6"/>
    <w:rsid w:val="0022400B"/>
    <w:rsid w:val="00227340"/>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3065"/>
    <w:rsid w:val="00324168"/>
    <w:rsid w:val="00330834"/>
    <w:rsid w:val="003448F4"/>
    <w:rsid w:val="00374F5E"/>
    <w:rsid w:val="00377E3E"/>
    <w:rsid w:val="00386C8E"/>
    <w:rsid w:val="003A779E"/>
    <w:rsid w:val="003D0F4D"/>
    <w:rsid w:val="003D5B0D"/>
    <w:rsid w:val="003E0499"/>
    <w:rsid w:val="003E4F80"/>
    <w:rsid w:val="003E6439"/>
    <w:rsid w:val="003F3941"/>
    <w:rsid w:val="00406575"/>
    <w:rsid w:val="00414C74"/>
    <w:rsid w:val="0042722E"/>
    <w:rsid w:val="0044528D"/>
    <w:rsid w:val="00466E39"/>
    <w:rsid w:val="00475C68"/>
    <w:rsid w:val="004A1847"/>
    <w:rsid w:val="004A305D"/>
    <w:rsid w:val="004F21C4"/>
    <w:rsid w:val="004F685F"/>
    <w:rsid w:val="00535EDC"/>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67C36"/>
    <w:rsid w:val="00771D0C"/>
    <w:rsid w:val="007833AC"/>
    <w:rsid w:val="007B268C"/>
    <w:rsid w:val="007B7171"/>
    <w:rsid w:val="007C0C0F"/>
    <w:rsid w:val="007C3DC2"/>
    <w:rsid w:val="007E4C62"/>
    <w:rsid w:val="007E5497"/>
    <w:rsid w:val="00806F5F"/>
    <w:rsid w:val="00820278"/>
    <w:rsid w:val="00820514"/>
    <w:rsid w:val="008258C9"/>
    <w:rsid w:val="00844AE9"/>
    <w:rsid w:val="00867F95"/>
    <w:rsid w:val="008843B6"/>
    <w:rsid w:val="00891928"/>
    <w:rsid w:val="008A446D"/>
    <w:rsid w:val="008B25F1"/>
    <w:rsid w:val="008D180B"/>
    <w:rsid w:val="008F0EA7"/>
    <w:rsid w:val="00904CB4"/>
    <w:rsid w:val="00923EEF"/>
    <w:rsid w:val="009419F9"/>
    <w:rsid w:val="0095685E"/>
    <w:rsid w:val="00961B09"/>
    <w:rsid w:val="00965334"/>
    <w:rsid w:val="00966678"/>
    <w:rsid w:val="0097093E"/>
    <w:rsid w:val="009A0DFA"/>
    <w:rsid w:val="009A1C6F"/>
    <w:rsid w:val="009A4CD3"/>
    <w:rsid w:val="009B2D26"/>
    <w:rsid w:val="009C71FA"/>
    <w:rsid w:val="009C72E7"/>
    <w:rsid w:val="009C7F7E"/>
    <w:rsid w:val="009D3058"/>
    <w:rsid w:val="009F3A13"/>
    <w:rsid w:val="00A122D3"/>
    <w:rsid w:val="00A14468"/>
    <w:rsid w:val="00A17F13"/>
    <w:rsid w:val="00A20739"/>
    <w:rsid w:val="00A23AF9"/>
    <w:rsid w:val="00A33C78"/>
    <w:rsid w:val="00A57EA0"/>
    <w:rsid w:val="00AB0ADB"/>
    <w:rsid w:val="00AF311B"/>
    <w:rsid w:val="00AF45AF"/>
    <w:rsid w:val="00B00C0E"/>
    <w:rsid w:val="00B01B1A"/>
    <w:rsid w:val="00B0381D"/>
    <w:rsid w:val="00B32D95"/>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588F"/>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6B4A"/>
    <w:rsid w:val="00E771DC"/>
    <w:rsid w:val="00E8772A"/>
    <w:rsid w:val="00E90F6B"/>
    <w:rsid w:val="00E92C27"/>
    <w:rsid w:val="00E964A4"/>
    <w:rsid w:val="00EA0E3D"/>
    <w:rsid w:val="00EC38A7"/>
    <w:rsid w:val="00EE1AA8"/>
    <w:rsid w:val="00F23FEA"/>
    <w:rsid w:val="00F31EDC"/>
    <w:rsid w:val="00F33A3B"/>
    <w:rsid w:val="00F36E61"/>
    <w:rsid w:val="00F462B3"/>
    <w:rsid w:val="00F5664F"/>
    <w:rsid w:val="00F666C4"/>
    <w:rsid w:val="00F747EE"/>
    <w:rsid w:val="00F76AFC"/>
    <w:rsid w:val="00FA47C0"/>
    <w:rsid w:val="00FB5DD1"/>
    <w:rsid w:val="00FC2B5D"/>
    <w:rsid w:val="00FD0607"/>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A4CD3"/>
    <w:pPr>
      <w:spacing w:line="240" w:lineRule="exact"/>
    </w:pPr>
    <w:rPr>
      <w:vertAlign w:val="superscript"/>
    </w:rPr>
  </w:style>
  <w:style w:type="character" w:customStyle="1" w:styleId="NormalWebCar">
    <w:name w:val="Normal (Web) Car"/>
    <w:link w:val="NormalWeb"/>
    <w:uiPriority w:val="99"/>
    <w:locked/>
    <w:rsid w:val="009A4CD3"/>
    <w:rPr>
      <w:rFonts w:ascii="Times New Roman" w:eastAsia="Times New Roman" w:hAnsi="Times New Roman" w:cs="Times New Roman"/>
      <w:sz w:val="24"/>
      <w:szCs w:val="24"/>
      <w:lang w:eastAsia="es-CO"/>
    </w:rPr>
  </w:style>
  <w:style w:type="character" w:customStyle="1" w:styleId="baj">
    <w:name w:val="b_aj"/>
    <w:basedOn w:val="Fuentedeprrafopredeter"/>
    <w:rsid w:val="009A4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circulares/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A9C13F-55D6-4954-B7D9-07A3FC551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21</Pages>
  <Words>7004</Words>
  <Characters>38528</Characters>
  <Application>Microsoft Office Word</Application>
  <DocSecurity>0</DocSecurity>
  <Lines>321</Lines>
  <Paragraphs>90</Paragraphs>
  <ScaleCrop>false</ScaleCrop>
  <Company/>
  <LinksUpToDate>false</LinksUpToDate>
  <CharactersWithSpaces>45442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2026-04-28T15:12:00Z</dcterms:created>
  <dcterms:modified xsi:type="dcterms:W3CDTF">2026-05-05T16:10:00Z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