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B82D4" w14:textId="2D9311DD" w:rsidR="00AE2503" w:rsidRDefault="00AE2503" w:rsidP="00AE2503">
      <w:pPr>
        <w:jc w:val="both"/>
        <w:rPr>
          <w:rFonts w:ascii="Verdana" w:eastAsia="Calibri" w:hAnsi="Verdana" w:cs="Arial"/>
          <w:lang w:val="es-ES" w:eastAsia="es-ES"/>
        </w:rPr>
      </w:pPr>
      <w:r w:rsidRPr="00AE2503">
        <w:rPr>
          <w:rFonts w:ascii="Verdana" w:eastAsia="Calibri" w:hAnsi="Verdana" w:cs="Arial"/>
          <w:b/>
          <w:bCs/>
          <w:lang w:val="es-ES" w:eastAsia="es-ES"/>
        </w:rPr>
        <w:t xml:space="preserve">SERVICIOS DE VIGILANCIA PRIVADA – Contratación – Ajuste de precio – Regulación tarifaría – Articulo 40 Ley 80 de 1993 – Limite </w:t>
      </w:r>
      <w:r>
        <w:rPr>
          <w:rFonts w:ascii="Verdana" w:eastAsia="Calibri" w:hAnsi="Verdana" w:cs="Arial"/>
          <w:b/>
          <w:bCs/>
          <w:lang w:val="es-ES" w:eastAsia="es-ES"/>
        </w:rPr>
        <w:t>–</w:t>
      </w:r>
      <w:r w:rsidRPr="00AE2503">
        <w:rPr>
          <w:rFonts w:ascii="Verdana" w:eastAsia="Calibri" w:hAnsi="Verdana" w:cs="Arial"/>
          <w:b/>
          <w:bCs/>
          <w:lang w:val="es-ES" w:eastAsia="es-ES"/>
        </w:rPr>
        <w:t xml:space="preserve"> Aplicabilidad</w:t>
      </w:r>
    </w:p>
    <w:p w14:paraId="63B8AEFE" w14:textId="0E4169F0" w:rsidR="00AE2503" w:rsidRPr="00AE2503" w:rsidRDefault="00AE2503" w:rsidP="00AE2503">
      <w:pPr>
        <w:tabs>
          <w:tab w:val="left" w:pos="567"/>
        </w:tabs>
        <w:spacing w:after="120" w:line="240" w:lineRule="auto"/>
        <w:jc w:val="both"/>
        <w:rPr>
          <w:rFonts w:ascii="Verdana" w:eastAsia="Calibri" w:hAnsi="Verdana" w:cs="Arial"/>
          <w:bCs/>
          <w:color w:val="000000" w:themeColor="text1"/>
          <w:sz w:val="20"/>
          <w:szCs w:val="20"/>
        </w:rPr>
      </w:pPr>
      <w:r w:rsidRPr="00AE2503">
        <w:rPr>
          <w:rFonts w:ascii="Verdana" w:eastAsia="Calibri" w:hAnsi="Verdana" w:cs="Arial"/>
          <w:sz w:val="20"/>
          <w:szCs w:val="20"/>
          <w:lang w:val="es-ES" w:eastAsia="es-ES"/>
        </w:rPr>
        <w:t xml:space="preserve">[…] </w:t>
      </w:r>
      <w:r w:rsidRPr="00AE2503">
        <w:rPr>
          <w:rFonts w:ascii="Verdana" w:eastAsia="Calibri" w:hAnsi="Verdana" w:cs="Times New Roman"/>
          <w:iCs/>
          <w:sz w:val="20"/>
          <w:szCs w:val="20"/>
          <w:lang w:val="es-ES"/>
        </w:rPr>
        <w:t>se precisa que, l</w:t>
      </w:r>
      <w:r w:rsidRPr="00AE2503">
        <w:rPr>
          <w:rFonts w:ascii="Verdana" w:eastAsia="Calibri" w:hAnsi="Verdana" w:cs="Arial"/>
          <w:bCs/>
          <w:color w:val="000000" w:themeColor="text1"/>
          <w:sz w:val="20"/>
          <w:szCs w:val="20"/>
        </w:rPr>
        <w:t xml:space="preserve">os servicios de vigilancia y seguridad privada se encuentran regulados por el Decreto Ley 356 de 1994, el cual establece el marco jurídico aplicable a la prestación de estos servicios y las condiciones bajo las cuales deben operar las empresas del sector. En desarrollo de dicho estatuto, la Superintendencia de Vigilancia y Seguridad Privada ejerce funciones de inspección, vigilancia y control, incluyendo la facultad de fijar tarifas mínimas obligatorias que garanticen la adecuada prestación del servicio y la protección de los derechos laborales del personal vinculado. En consecuencia, las entidades estatales que contratan estos servicios deben observar dichas tarifas como un parámetro imperativo. </w:t>
      </w:r>
    </w:p>
    <w:p w14:paraId="3F1E347E" w14:textId="77777777" w:rsidR="00AE2503" w:rsidRPr="00AE2503" w:rsidRDefault="00AE2503" w:rsidP="00AE2503">
      <w:pPr>
        <w:tabs>
          <w:tab w:val="left" w:pos="567"/>
        </w:tabs>
        <w:spacing w:after="120" w:line="240" w:lineRule="auto"/>
        <w:jc w:val="both"/>
        <w:rPr>
          <w:rFonts w:ascii="Verdana" w:eastAsia="Calibri" w:hAnsi="Verdana" w:cs="Arial"/>
          <w:bCs/>
          <w:color w:val="000000" w:themeColor="text1"/>
          <w:sz w:val="20"/>
          <w:szCs w:val="20"/>
        </w:rPr>
      </w:pPr>
      <w:r w:rsidRPr="00AE2503">
        <w:rPr>
          <w:rFonts w:ascii="Verdana" w:eastAsia="Calibri" w:hAnsi="Verdana" w:cs="Arial"/>
          <w:bCs/>
          <w:color w:val="000000" w:themeColor="text1"/>
          <w:sz w:val="20"/>
          <w:szCs w:val="20"/>
        </w:rPr>
        <w:t xml:space="preserve">Lo anterior, comoquiera que las tarifas mínimas establecidas para estos servicios en la Circular Externa de la Superintendencia de Vigilancia y Seguridad Privada 20241300000445 del 30 de diciembre de 2024 representan una medida regulatoria que hace que los ofrecimientos para la prestación de este tipo de servicios tiendan al valor mínimo permitido por dicha regulación tarifaria.  </w:t>
      </w:r>
    </w:p>
    <w:p w14:paraId="04D0A709" w14:textId="77777777" w:rsidR="00AE2503" w:rsidRPr="00AE2503" w:rsidRDefault="00AE2503" w:rsidP="00AE2503">
      <w:pPr>
        <w:spacing w:after="120" w:line="240" w:lineRule="auto"/>
        <w:jc w:val="both"/>
        <w:rPr>
          <w:rFonts w:ascii="Verdana" w:eastAsia="Calibri" w:hAnsi="Verdana" w:cs="Arial"/>
          <w:bCs/>
          <w:color w:val="000000" w:themeColor="text1"/>
          <w:sz w:val="20"/>
          <w:szCs w:val="20"/>
        </w:rPr>
      </w:pPr>
      <w:r w:rsidRPr="00AE2503">
        <w:rPr>
          <w:rFonts w:ascii="Verdana" w:eastAsia="Calibri" w:hAnsi="Verdana" w:cs="Arial"/>
          <w:bCs/>
          <w:color w:val="000000" w:themeColor="text1"/>
          <w:sz w:val="20"/>
          <w:szCs w:val="20"/>
        </w:rPr>
        <w:t>Ahora bien, cuando una entidad estatal deba ajustar el valor de un contrato de vigilancia y seguridad privada con el fin exclusivo de dar cumplimiento a la tarifa mínima obligatoria fijada por la Superintendencia de Vigilancia y Seguridad Privada, dicho ajuste debe respetar los límites legales y jurisprudenciales previstos para que procedan las modificaciones frente a las entidades sometidas al EGCAP, entre ellas la restricción prevista en el parágrafo del artículo 40 de la Ley 80 de 1993, relativa al límite del 50% para las adiciones contractuales.</w:t>
      </w:r>
    </w:p>
    <w:p w14:paraId="10C91CF2" w14:textId="53A4AEE7" w:rsidR="00AE2503" w:rsidRPr="00AA39FA" w:rsidRDefault="00AE2503" w:rsidP="00AE2503">
      <w:pPr>
        <w:jc w:val="both"/>
        <w:rPr>
          <w:rFonts w:ascii="Verdana" w:eastAsia="Calibri" w:hAnsi="Verdana" w:cs="Arial"/>
          <w:lang w:val="es-ES" w:eastAsia="es-ES"/>
        </w:rPr>
      </w:pPr>
      <w:r w:rsidRPr="00AA39FA">
        <w:rPr>
          <w:rFonts w:ascii="Verdana" w:eastAsia="Calibri" w:hAnsi="Verdana" w:cs="Arial"/>
          <w:lang w:val="es-ES" w:eastAsia="es-ES"/>
        </w:rPr>
        <w:t xml:space="preserve">               </w:t>
      </w:r>
    </w:p>
    <w:p w14:paraId="07277BE8" w14:textId="77777777" w:rsidR="00AE2503" w:rsidRPr="00AE2503" w:rsidRDefault="00AE2503" w:rsidP="00691563">
      <w:pPr>
        <w:spacing w:after="0" w:line="240" w:lineRule="auto"/>
        <w:jc w:val="both"/>
        <w:rPr>
          <w:rFonts w:ascii="Verdana" w:eastAsia="Times New Roman" w:hAnsi="Verdana" w:cs="Arial"/>
          <w:lang w:val="es-ES" w:eastAsia="es-CO"/>
        </w:rPr>
      </w:pPr>
    </w:p>
    <w:p w14:paraId="2B3468E9" w14:textId="77777777" w:rsidR="00AE2503" w:rsidRDefault="00AE2503" w:rsidP="00691563">
      <w:pPr>
        <w:spacing w:after="0" w:line="240" w:lineRule="auto"/>
        <w:jc w:val="both"/>
        <w:rPr>
          <w:rFonts w:ascii="Verdana" w:eastAsia="Times New Roman" w:hAnsi="Verdana" w:cs="Arial"/>
          <w:lang w:val="es-MX" w:eastAsia="es-CO"/>
        </w:rPr>
      </w:pPr>
    </w:p>
    <w:p w14:paraId="44CA81E3" w14:textId="77777777" w:rsidR="00AE2503" w:rsidRDefault="00AE2503" w:rsidP="00691563">
      <w:pPr>
        <w:spacing w:after="0" w:line="240" w:lineRule="auto"/>
        <w:jc w:val="both"/>
        <w:rPr>
          <w:rFonts w:ascii="Verdana" w:eastAsia="Times New Roman" w:hAnsi="Verdana" w:cs="Arial"/>
          <w:lang w:val="es-MX" w:eastAsia="es-CO"/>
        </w:rPr>
      </w:pPr>
    </w:p>
    <w:p w14:paraId="329A5928" w14:textId="77777777" w:rsidR="00AE2503" w:rsidRDefault="00AE2503" w:rsidP="00691563">
      <w:pPr>
        <w:spacing w:after="0" w:line="240" w:lineRule="auto"/>
        <w:jc w:val="both"/>
        <w:rPr>
          <w:rFonts w:ascii="Verdana" w:eastAsia="Times New Roman" w:hAnsi="Verdana" w:cs="Arial"/>
          <w:lang w:val="es-MX" w:eastAsia="es-CO"/>
        </w:rPr>
      </w:pPr>
    </w:p>
    <w:p w14:paraId="51811759" w14:textId="77777777" w:rsidR="00AE2503" w:rsidRDefault="00AE2503" w:rsidP="00691563">
      <w:pPr>
        <w:spacing w:after="0" w:line="240" w:lineRule="auto"/>
        <w:jc w:val="both"/>
        <w:rPr>
          <w:rFonts w:ascii="Verdana" w:eastAsia="Times New Roman" w:hAnsi="Verdana" w:cs="Arial"/>
          <w:lang w:val="es-MX" w:eastAsia="es-CO"/>
        </w:rPr>
      </w:pPr>
    </w:p>
    <w:p w14:paraId="4E712D1C" w14:textId="77777777" w:rsidR="00AE2503" w:rsidRDefault="00AE2503" w:rsidP="00691563">
      <w:pPr>
        <w:spacing w:after="0" w:line="240" w:lineRule="auto"/>
        <w:jc w:val="both"/>
        <w:rPr>
          <w:rFonts w:ascii="Verdana" w:eastAsia="Times New Roman" w:hAnsi="Verdana" w:cs="Arial"/>
          <w:lang w:val="es-MX" w:eastAsia="es-CO"/>
        </w:rPr>
      </w:pPr>
    </w:p>
    <w:p w14:paraId="30BA0EA6" w14:textId="77777777" w:rsidR="00AE2503" w:rsidRDefault="00AE2503" w:rsidP="00691563">
      <w:pPr>
        <w:spacing w:after="0" w:line="240" w:lineRule="auto"/>
        <w:jc w:val="both"/>
        <w:rPr>
          <w:rFonts w:ascii="Verdana" w:eastAsia="Times New Roman" w:hAnsi="Verdana" w:cs="Arial"/>
          <w:lang w:val="es-MX" w:eastAsia="es-CO"/>
        </w:rPr>
      </w:pPr>
    </w:p>
    <w:p w14:paraId="2243C7D0" w14:textId="77777777" w:rsidR="00AE2503" w:rsidRDefault="00AE2503" w:rsidP="00691563">
      <w:pPr>
        <w:spacing w:after="0" w:line="240" w:lineRule="auto"/>
        <w:jc w:val="both"/>
        <w:rPr>
          <w:rFonts w:ascii="Verdana" w:eastAsia="Times New Roman" w:hAnsi="Verdana" w:cs="Arial"/>
          <w:lang w:val="es-MX" w:eastAsia="es-CO"/>
        </w:rPr>
      </w:pPr>
    </w:p>
    <w:p w14:paraId="6A98EC81" w14:textId="77777777" w:rsidR="00AE2503" w:rsidRDefault="00AE2503" w:rsidP="00691563">
      <w:pPr>
        <w:spacing w:after="0" w:line="240" w:lineRule="auto"/>
        <w:jc w:val="both"/>
        <w:rPr>
          <w:rFonts w:ascii="Verdana" w:eastAsia="Times New Roman" w:hAnsi="Verdana" w:cs="Arial"/>
          <w:lang w:val="es-MX" w:eastAsia="es-CO"/>
        </w:rPr>
      </w:pPr>
    </w:p>
    <w:p w14:paraId="6D5ADA9F" w14:textId="77777777" w:rsidR="00AE2503" w:rsidRDefault="00AE2503" w:rsidP="00691563">
      <w:pPr>
        <w:spacing w:after="0" w:line="240" w:lineRule="auto"/>
        <w:jc w:val="both"/>
        <w:rPr>
          <w:rFonts w:ascii="Verdana" w:eastAsia="Times New Roman" w:hAnsi="Verdana" w:cs="Arial"/>
          <w:lang w:val="es-MX" w:eastAsia="es-CO"/>
        </w:rPr>
      </w:pPr>
    </w:p>
    <w:p w14:paraId="04B5A046" w14:textId="77777777" w:rsidR="00AE2503" w:rsidRDefault="00AE2503" w:rsidP="00691563">
      <w:pPr>
        <w:spacing w:after="0" w:line="240" w:lineRule="auto"/>
        <w:jc w:val="both"/>
        <w:rPr>
          <w:rFonts w:ascii="Verdana" w:eastAsia="Times New Roman" w:hAnsi="Verdana" w:cs="Arial"/>
          <w:lang w:val="es-MX" w:eastAsia="es-CO"/>
        </w:rPr>
      </w:pPr>
    </w:p>
    <w:p w14:paraId="0D8AC50D" w14:textId="77777777" w:rsidR="00AE2503" w:rsidRDefault="00AE2503" w:rsidP="00691563">
      <w:pPr>
        <w:spacing w:after="0" w:line="240" w:lineRule="auto"/>
        <w:jc w:val="both"/>
        <w:rPr>
          <w:rFonts w:ascii="Verdana" w:eastAsia="Times New Roman" w:hAnsi="Verdana" w:cs="Arial"/>
          <w:lang w:val="es-MX" w:eastAsia="es-CO"/>
        </w:rPr>
      </w:pPr>
    </w:p>
    <w:p w14:paraId="2DCC418D" w14:textId="77777777" w:rsidR="00AE2503" w:rsidRDefault="00AE2503" w:rsidP="00691563">
      <w:pPr>
        <w:spacing w:after="0" w:line="240" w:lineRule="auto"/>
        <w:jc w:val="both"/>
        <w:rPr>
          <w:rFonts w:ascii="Verdana" w:eastAsia="Times New Roman" w:hAnsi="Verdana" w:cs="Arial"/>
          <w:lang w:val="es-MX" w:eastAsia="es-CO"/>
        </w:rPr>
      </w:pPr>
    </w:p>
    <w:p w14:paraId="41F71022" w14:textId="77777777" w:rsidR="00AE2503" w:rsidRDefault="00AE2503" w:rsidP="00691563">
      <w:pPr>
        <w:spacing w:after="0" w:line="240" w:lineRule="auto"/>
        <w:jc w:val="both"/>
        <w:rPr>
          <w:rFonts w:ascii="Verdana" w:eastAsia="Times New Roman" w:hAnsi="Verdana" w:cs="Arial"/>
          <w:lang w:val="es-MX" w:eastAsia="es-CO"/>
        </w:rPr>
      </w:pPr>
    </w:p>
    <w:p w14:paraId="399622E6" w14:textId="77777777" w:rsidR="00AE2503" w:rsidRDefault="00AE2503" w:rsidP="00691563">
      <w:pPr>
        <w:spacing w:after="0" w:line="240" w:lineRule="auto"/>
        <w:jc w:val="both"/>
        <w:rPr>
          <w:rFonts w:ascii="Verdana" w:eastAsia="Times New Roman" w:hAnsi="Verdana" w:cs="Arial"/>
          <w:lang w:val="es-MX" w:eastAsia="es-CO"/>
        </w:rPr>
      </w:pPr>
    </w:p>
    <w:p w14:paraId="6DD42D48" w14:textId="77777777" w:rsidR="00AE2503" w:rsidRDefault="00AE2503" w:rsidP="00691563">
      <w:pPr>
        <w:spacing w:after="0" w:line="240" w:lineRule="auto"/>
        <w:jc w:val="both"/>
        <w:rPr>
          <w:rFonts w:ascii="Verdana" w:eastAsia="Times New Roman" w:hAnsi="Verdana" w:cs="Arial"/>
          <w:lang w:val="es-MX" w:eastAsia="es-CO"/>
        </w:rPr>
      </w:pPr>
    </w:p>
    <w:p w14:paraId="5FB3AF9C" w14:textId="38C50FC6" w:rsidR="00691563" w:rsidRPr="00020B42" w:rsidRDefault="00691563" w:rsidP="00AE2503">
      <w:pPr>
        <w:spacing w:after="0" w:line="240" w:lineRule="auto"/>
        <w:jc w:val="both"/>
        <w:rPr>
          <w:rFonts w:ascii="Verdana" w:eastAsia="Calibri" w:hAnsi="Verdana" w:cs="Arial"/>
          <w:color w:val="000000"/>
          <w:lang w:val="es-MX"/>
        </w:rPr>
      </w:pPr>
      <w:r w:rsidRPr="00152299">
        <w:rPr>
          <w:rFonts w:ascii="Verdana" w:eastAsia="Times New Roman" w:hAnsi="Verdana" w:cs="Arial"/>
          <w:lang w:val="es-MX" w:eastAsia="es-CO"/>
        </w:rPr>
        <w:lastRenderedPageBreak/>
        <w:t>Bogotá D.C., </w:t>
      </w:r>
      <w:r w:rsidR="00AE2503">
        <w:rPr>
          <w:rFonts w:ascii="Verdana" w:eastAsia="Times New Roman" w:hAnsi="Verdana" w:cs="Arial"/>
          <w:lang w:val="es-MX" w:eastAsia="es-CO"/>
        </w:rPr>
        <w:t>04</w:t>
      </w:r>
      <w:r w:rsidRPr="00152299">
        <w:rPr>
          <w:rFonts w:ascii="Verdana" w:eastAsia="Times New Roman" w:hAnsi="Verdana" w:cs="Arial"/>
          <w:lang w:val="es-MX" w:eastAsia="es-CO"/>
        </w:rPr>
        <w:t xml:space="preserve"> </w:t>
      </w:r>
      <w:r w:rsidR="00AE2503">
        <w:rPr>
          <w:rFonts w:ascii="Verdana" w:eastAsia="Times New Roman" w:hAnsi="Verdana" w:cs="Arial"/>
          <w:lang w:val="es-MX" w:eastAsia="es-CO"/>
        </w:rPr>
        <w:t>mayo de 2026</w:t>
      </w:r>
    </w:p>
    <w:p w14:paraId="0B64CC04" w14:textId="5E757267" w:rsidR="00691563" w:rsidRPr="00AA39FA" w:rsidRDefault="00691563" w:rsidP="00691563">
      <w:pPr>
        <w:spacing w:after="0" w:line="240" w:lineRule="auto"/>
        <w:jc w:val="both"/>
        <w:rPr>
          <w:rFonts w:ascii="Verdana" w:eastAsia="Calibri" w:hAnsi="Verdana" w:cs="Arial"/>
          <w:color w:val="000000"/>
          <w:lang w:val="es-ES"/>
        </w:rPr>
      </w:pPr>
    </w:p>
    <w:p w14:paraId="030009A5" w14:textId="74315DD5" w:rsidR="00AE2503" w:rsidRDefault="00AE2503" w:rsidP="00AE2503">
      <w:pPr>
        <w:spacing w:after="0" w:line="240" w:lineRule="auto"/>
        <w:ind w:left="4956"/>
        <w:jc w:val="both"/>
        <w:rPr>
          <w:rFonts w:ascii="Verdana" w:eastAsia="Calibri" w:hAnsi="Verdana" w:cs="Arial"/>
          <w:lang w:val="es-ES" w:eastAsia="es-ES"/>
        </w:rPr>
      </w:pPr>
    </w:p>
    <w:p w14:paraId="34F36ED9" w14:textId="5AB2BB33" w:rsidR="00691563" w:rsidRPr="00012220" w:rsidRDefault="00FA0A9A" w:rsidP="00691563">
      <w:pPr>
        <w:spacing w:after="0" w:line="240" w:lineRule="auto"/>
        <w:jc w:val="both"/>
        <w:rPr>
          <w:rFonts w:ascii="Verdana" w:eastAsia="Calibri" w:hAnsi="Verdana" w:cs="Arial"/>
          <w:lang w:val="es-ES" w:eastAsia="es-ES"/>
        </w:rPr>
      </w:pPr>
      <w:r w:rsidRPr="00AE2503">
        <w:rPr>
          <w:rFonts w:ascii="Verdana" w:eastAsia="Calibri" w:hAnsi="Verdana" w:cs="Arial"/>
          <w:noProof/>
          <w:lang w:val="es-ES" w:eastAsia="es-ES"/>
        </w:rPr>
        <w:drawing>
          <wp:anchor distT="0" distB="0" distL="114300" distR="114300" simplePos="0" relativeHeight="251658240" behindDoc="0" locked="0" layoutInCell="1" allowOverlap="1" wp14:anchorId="5B7B95C4" wp14:editId="56D146FF">
            <wp:simplePos x="0" y="0"/>
            <wp:positionH relativeFrom="margin">
              <wp:posOffset>3077845</wp:posOffset>
            </wp:positionH>
            <wp:positionV relativeFrom="paragraph">
              <wp:posOffset>8890</wp:posOffset>
            </wp:positionV>
            <wp:extent cx="2524125" cy="826770"/>
            <wp:effectExtent l="0" t="0" r="9525" b="0"/>
            <wp:wrapSquare wrapText="bothSides"/>
            <wp:docPr id="19060396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039602" name=""/>
                    <pic:cNvPicPr/>
                  </pic:nvPicPr>
                  <pic:blipFill>
                    <a:blip r:embed="rId10">
                      <a:extLst>
                        <a:ext uri="{28A0092B-C50C-407E-A947-70E740481C1C}">
                          <a14:useLocalDpi xmlns:a14="http://schemas.microsoft.com/office/drawing/2010/main" val="0"/>
                        </a:ext>
                      </a:extLst>
                    </a:blip>
                    <a:stretch>
                      <a:fillRect/>
                    </a:stretch>
                  </pic:blipFill>
                  <pic:spPr>
                    <a:xfrm>
                      <a:off x="0" y="0"/>
                      <a:ext cx="2524125" cy="826770"/>
                    </a:xfrm>
                    <a:prstGeom prst="rect">
                      <a:avLst/>
                    </a:prstGeom>
                  </pic:spPr>
                </pic:pic>
              </a:graphicData>
            </a:graphic>
            <wp14:sizeRelV relativeFrom="margin">
              <wp14:pctHeight>0</wp14:pctHeight>
            </wp14:sizeRelV>
          </wp:anchor>
        </w:drawing>
      </w:r>
      <w:r w:rsidR="00691563" w:rsidRPr="00012220">
        <w:rPr>
          <w:rFonts w:ascii="Verdana" w:eastAsia="Calibri" w:hAnsi="Verdana" w:cs="Arial"/>
          <w:lang w:val="es-ES" w:eastAsia="es-ES"/>
        </w:rPr>
        <w:t>Señor</w:t>
      </w:r>
    </w:p>
    <w:p w14:paraId="79F059EA" w14:textId="77777777" w:rsidR="00691563" w:rsidRPr="00012220" w:rsidRDefault="00691563" w:rsidP="00691563">
      <w:pPr>
        <w:spacing w:after="0" w:line="240" w:lineRule="auto"/>
        <w:rPr>
          <w:rFonts w:ascii="Verdana" w:eastAsia="Calibri" w:hAnsi="Verdana" w:cs="Arial"/>
          <w:b/>
          <w:lang w:val="es-ES_tradnl" w:eastAsia="es-ES_tradnl"/>
        </w:rPr>
      </w:pPr>
      <w:r w:rsidRPr="00012220">
        <w:rPr>
          <w:rFonts w:ascii="Verdana" w:eastAsia="Calibri" w:hAnsi="Verdana" w:cs="Arial"/>
          <w:b/>
          <w:lang w:val="es-ES_tradnl" w:eastAsia="es-ES_tradnl"/>
        </w:rPr>
        <w:t>Juan Pablo Bustos</w:t>
      </w:r>
    </w:p>
    <w:p w14:paraId="14B6531B" w14:textId="77777777" w:rsidR="00691563" w:rsidRPr="00012220" w:rsidRDefault="00691563" w:rsidP="00691563">
      <w:pPr>
        <w:spacing w:after="0" w:line="240" w:lineRule="auto"/>
        <w:rPr>
          <w:rFonts w:ascii="Verdana" w:eastAsia="Calibri" w:hAnsi="Verdana" w:cs="Arial"/>
          <w:lang w:val="es-ES" w:eastAsia="es-ES"/>
        </w:rPr>
      </w:pPr>
      <w:hyperlink r:id="rId11" w:history="1">
        <w:r w:rsidRPr="00012220">
          <w:rPr>
            <w:rStyle w:val="Hipervnculo"/>
            <w:rFonts w:ascii="Verdana" w:hAnsi="Verdana"/>
          </w:rPr>
          <w:t>jpbustosj@dane.gov.co</w:t>
        </w:r>
      </w:hyperlink>
      <w:r w:rsidRPr="00012220">
        <w:rPr>
          <w:rFonts w:ascii="Verdana" w:hAnsi="Verdana"/>
        </w:rPr>
        <w:t xml:space="preserve">;        </w:t>
      </w:r>
      <w:r w:rsidRPr="00012220">
        <w:rPr>
          <w:rFonts w:ascii="Verdana" w:eastAsia="Calibri" w:hAnsi="Verdana" w:cs="Arial"/>
          <w:lang w:val="es-ES" w:eastAsia="es-ES"/>
        </w:rPr>
        <w:t xml:space="preserve">    </w:t>
      </w:r>
    </w:p>
    <w:p w14:paraId="319EF845" w14:textId="77777777" w:rsidR="00691563" w:rsidRPr="00AA39FA" w:rsidRDefault="00691563" w:rsidP="00691563">
      <w:pPr>
        <w:spacing w:after="0" w:line="240" w:lineRule="auto"/>
        <w:rPr>
          <w:rFonts w:ascii="Verdana" w:eastAsia="Calibri" w:hAnsi="Verdana" w:cs="Arial"/>
          <w:lang w:val="es-ES" w:eastAsia="es-ES"/>
        </w:rPr>
      </w:pPr>
      <w:r w:rsidRPr="00AA39FA">
        <w:rPr>
          <w:rFonts w:ascii="Verdana" w:eastAsia="Calibri" w:hAnsi="Verdana" w:cs="Arial"/>
          <w:lang w:val="es-ES" w:eastAsia="es-ES"/>
        </w:rPr>
        <w:t xml:space="preserve">Bogotá D.C. </w:t>
      </w:r>
    </w:p>
    <w:p w14:paraId="3AA73127" w14:textId="77777777" w:rsidR="00691563" w:rsidRPr="00AA39FA" w:rsidRDefault="00691563" w:rsidP="00691563">
      <w:pPr>
        <w:spacing w:after="0" w:line="240" w:lineRule="auto"/>
        <w:rPr>
          <w:rFonts w:ascii="Verdana" w:eastAsia="Calibri" w:hAnsi="Verdana" w:cs="Arial"/>
          <w:b/>
          <w:bCs/>
          <w:color w:val="000000"/>
          <w:lang w:val="es-ES_tradnl" w:eastAsia="es-ES_tradnl"/>
        </w:rPr>
      </w:pPr>
    </w:p>
    <w:p w14:paraId="3B1586F3" w14:textId="77777777" w:rsidR="00691563" w:rsidRPr="00AA39FA" w:rsidRDefault="00691563" w:rsidP="0069156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91563" w:rsidRPr="00AA39FA" w14:paraId="52D3FA71" w14:textId="77777777" w:rsidTr="00BB4C80">
        <w:trPr>
          <w:trHeight w:val="884"/>
        </w:trPr>
        <w:tc>
          <w:tcPr>
            <w:tcW w:w="2689" w:type="dxa"/>
          </w:tcPr>
          <w:p w14:paraId="43E6F3B1" w14:textId="77777777" w:rsidR="00691563" w:rsidRPr="00AA39FA" w:rsidRDefault="00691563" w:rsidP="00BB4C80">
            <w:pPr>
              <w:jc w:val="both"/>
              <w:rPr>
                <w:rFonts w:ascii="Verdana" w:eastAsia="Calibri" w:hAnsi="Verdana" w:cs="Arial"/>
                <w:b/>
                <w:bCs/>
                <w:color w:val="7030A0"/>
                <w:lang w:val="es-ES_tradnl" w:eastAsia="es-ES_tradnl"/>
              </w:rPr>
            </w:pPr>
          </w:p>
        </w:tc>
        <w:tc>
          <w:tcPr>
            <w:tcW w:w="6100" w:type="dxa"/>
          </w:tcPr>
          <w:p w14:paraId="6D117C21" w14:textId="6E4C738D" w:rsidR="00691563" w:rsidRPr="00604D44" w:rsidRDefault="00691563" w:rsidP="00A943C4">
            <w:pPr>
              <w:jc w:val="both"/>
              <w:rPr>
                <w:rFonts w:ascii="Verdana" w:eastAsia="Calibri" w:hAnsi="Verdana" w:cs="Arial"/>
                <w:lang w:val="es-ES" w:eastAsia="es-ES"/>
              </w:rPr>
            </w:pPr>
            <w:r w:rsidRPr="00AA39FA">
              <w:rPr>
                <w:rFonts w:ascii="Verdana" w:eastAsia="Calibri" w:hAnsi="Verdana" w:cs="Arial"/>
                <w:b/>
                <w:bCs/>
                <w:lang w:val="es-ES" w:eastAsia="es-ES"/>
              </w:rPr>
              <w:t xml:space="preserve">Concepto C – </w:t>
            </w:r>
            <w:r>
              <w:rPr>
                <w:rFonts w:ascii="Verdana" w:eastAsia="Calibri" w:hAnsi="Verdana" w:cs="Arial"/>
                <w:b/>
                <w:bCs/>
                <w:lang w:val="es-ES" w:eastAsia="es-ES"/>
              </w:rPr>
              <w:t>435</w:t>
            </w:r>
            <w:r w:rsidRPr="00AA39FA">
              <w:rPr>
                <w:rFonts w:ascii="Verdana" w:eastAsia="Calibri" w:hAnsi="Verdana" w:cs="Arial"/>
                <w:b/>
                <w:bCs/>
                <w:lang w:val="es-ES" w:eastAsia="es-ES"/>
              </w:rPr>
              <w:t xml:space="preserve"> de 202</w:t>
            </w:r>
            <w:r>
              <w:rPr>
                <w:rFonts w:ascii="Verdana" w:eastAsia="Calibri" w:hAnsi="Verdana" w:cs="Arial"/>
                <w:b/>
                <w:bCs/>
                <w:lang w:val="es-ES" w:eastAsia="es-ES"/>
              </w:rPr>
              <w:t>6</w:t>
            </w:r>
          </w:p>
        </w:tc>
      </w:tr>
      <w:tr w:rsidR="00691563" w:rsidRPr="00AA39FA" w14:paraId="392ECB88" w14:textId="77777777" w:rsidTr="00BB4C80">
        <w:trPr>
          <w:trHeight w:val="884"/>
        </w:trPr>
        <w:tc>
          <w:tcPr>
            <w:tcW w:w="2689" w:type="dxa"/>
          </w:tcPr>
          <w:p w14:paraId="293BB604" w14:textId="77777777" w:rsidR="00691563" w:rsidRPr="00AA39FA" w:rsidRDefault="00691563" w:rsidP="00BB4C80">
            <w:pPr>
              <w:jc w:val="both"/>
              <w:rPr>
                <w:rFonts w:ascii="Verdana" w:eastAsia="Calibri" w:hAnsi="Verdana" w:cs="Arial"/>
                <w:color w:val="000000"/>
                <w:lang w:val="es-ES_tradnl" w:eastAsia="es-ES_tradnl"/>
              </w:rPr>
            </w:pPr>
            <w:r w:rsidRPr="00AA39FA">
              <w:rPr>
                <w:rFonts w:ascii="Verdana" w:eastAsia="Calibri" w:hAnsi="Verdana" w:cs="Arial"/>
                <w:b/>
                <w:color w:val="000000"/>
                <w:lang w:val="es-ES_tradnl" w:eastAsia="es-ES_tradnl"/>
              </w:rPr>
              <w:t>Temas:</w:t>
            </w:r>
            <w:r w:rsidRPr="00AA39FA">
              <w:rPr>
                <w:rFonts w:ascii="Verdana" w:eastAsia="Calibri" w:hAnsi="Verdana" w:cs="Arial"/>
                <w:color w:val="000000"/>
                <w:lang w:val="es-ES_tradnl" w:eastAsia="es-ES_tradnl"/>
              </w:rPr>
              <w:t xml:space="preserve">                   </w:t>
            </w:r>
          </w:p>
        </w:tc>
        <w:tc>
          <w:tcPr>
            <w:tcW w:w="6100" w:type="dxa"/>
          </w:tcPr>
          <w:p w14:paraId="72C27FAE" w14:textId="77777777" w:rsidR="00691563" w:rsidRPr="00AA39FA" w:rsidRDefault="00691563" w:rsidP="00BB4C80">
            <w:pPr>
              <w:jc w:val="both"/>
              <w:rPr>
                <w:rFonts w:ascii="Verdana" w:eastAsia="Calibri" w:hAnsi="Verdana" w:cs="Arial"/>
                <w:lang w:val="es-ES" w:eastAsia="es-ES"/>
              </w:rPr>
            </w:pPr>
            <w:r w:rsidRPr="00BC7055">
              <w:rPr>
                <w:rFonts w:ascii="Verdana" w:eastAsia="Calibri" w:hAnsi="Verdana" w:cs="Arial"/>
                <w:lang w:val="es-ES" w:eastAsia="es-ES"/>
              </w:rPr>
              <w:t>SERVICIOS DE VIGILANCIA PRIVADA – Contratación – Ajuste de precio – Regulación tarifaría – Articulo 40 Ley 80 de 1993 – Limite - Aplicabilidad</w:t>
            </w:r>
            <w:r w:rsidRPr="00AA39FA">
              <w:rPr>
                <w:rFonts w:ascii="Verdana" w:eastAsia="Calibri" w:hAnsi="Verdana" w:cs="Arial"/>
                <w:lang w:val="es-ES" w:eastAsia="es-ES"/>
              </w:rPr>
              <w:t xml:space="preserve">                    </w:t>
            </w:r>
          </w:p>
          <w:p w14:paraId="2AA93A50" w14:textId="77777777" w:rsidR="00691563" w:rsidRPr="00AA39FA" w:rsidRDefault="00691563" w:rsidP="00BB4C80">
            <w:pPr>
              <w:jc w:val="both"/>
              <w:rPr>
                <w:rFonts w:ascii="Verdana" w:eastAsia="Calibri" w:hAnsi="Verdana" w:cs="Arial"/>
                <w:lang w:val="es-ES" w:eastAsia="es-ES"/>
              </w:rPr>
            </w:pPr>
            <w:r w:rsidRPr="00AA39FA">
              <w:rPr>
                <w:rFonts w:ascii="Verdana" w:eastAsia="Calibri" w:hAnsi="Verdana" w:cs="Arial"/>
                <w:lang w:val="es-ES" w:eastAsia="es-ES"/>
              </w:rPr>
              <w:t xml:space="preserve">  </w:t>
            </w:r>
          </w:p>
        </w:tc>
      </w:tr>
      <w:tr w:rsidR="00691563" w:rsidRPr="00AA39FA" w14:paraId="579670A0" w14:textId="77777777" w:rsidTr="00BB4C80">
        <w:tc>
          <w:tcPr>
            <w:tcW w:w="2689" w:type="dxa"/>
          </w:tcPr>
          <w:p w14:paraId="5342EA49" w14:textId="77777777" w:rsidR="00691563" w:rsidRPr="00AA39FA" w:rsidRDefault="00691563" w:rsidP="00BB4C80">
            <w:pPr>
              <w:jc w:val="both"/>
              <w:rPr>
                <w:rFonts w:ascii="Verdana" w:eastAsia="Calibri" w:hAnsi="Verdana" w:cs="Arial"/>
                <w:b/>
                <w:lang w:val="es-ES_tradnl" w:eastAsia="es-ES_tradnl"/>
              </w:rPr>
            </w:pPr>
            <w:r w:rsidRPr="00AA39FA">
              <w:rPr>
                <w:rFonts w:ascii="Verdana" w:eastAsia="Calibri" w:hAnsi="Verdana" w:cs="Arial"/>
                <w:b/>
                <w:lang w:val="es-ES_tradnl" w:eastAsia="es-ES_tradnl"/>
              </w:rPr>
              <w:t>Radicación:</w:t>
            </w:r>
            <w:r w:rsidRPr="00AA39FA">
              <w:rPr>
                <w:rFonts w:ascii="Verdana" w:eastAsia="Calibri" w:hAnsi="Verdana" w:cs="Arial"/>
                <w:lang w:val="es-ES_tradnl" w:eastAsia="es-ES_tradnl"/>
              </w:rPr>
              <w:t xml:space="preserve">               </w:t>
            </w:r>
          </w:p>
        </w:tc>
        <w:tc>
          <w:tcPr>
            <w:tcW w:w="6100" w:type="dxa"/>
          </w:tcPr>
          <w:p w14:paraId="4922D01B" w14:textId="77777777" w:rsidR="00691563" w:rsidRPr="00AA39FA" w:rsidRDefault="00691563" w:rsidP="00BB4C80">
            <w:pPr>
              <w:jc w:val="both"/>
              <w:rPr>
                <w:rFonts w:ascii="Verdana" w:eastAsia="Calibri" w:hAnsi="Verdana" w:cs="Arial"/>
                <w:lang w:eastAsia="es-ES_tradnl"/>
              </w:rPr>
            </w:pPr>
            <w:r w:rsidRPr="00AA39FA">
              <w:rPr>
                <w:rFonts w:ascii="Verdana" w:eastAsia="Calibri" w:hAnsi="Verdana" w:cs="Arial"/>
                <w:lang w:val="es-ES_tradnl" w:eastAsia="es-ES_tradnl"/>
              </w:rPr>
              <w:t xml:space="preserve">Respuesta a la consulta con radicado No. </w:t>
            </w:r>
            <w:r w:rsidRPr="00DA5141">
              <w:rPr>
                <w:rFonts w:ascii="Verdana" w:eastAsia="Calibri" w:hAnsi="Verdana" w:cs="Arial"/>
                <w:lang w:val="es-ES_tradnl" w:eastAsia="es-ES_tradnl"/>
              </w:rPr>
              <w:t>1_2026_03_17_003691</w:t>
            </w:r>
            <w:r w:rsidRPr="00AA39FA">
              <w:rPr>
                <w:rFonts w:ascii="Verdana" w:eastAsia="Calibri" w:hAnsi="Verdana" w:cs="Arial"/>
                <w:lang w:val="es-ES_tradnl" w:eastAsia="es-ES_tradnl"/>
              </w:rPr>
              <w:t xml:space="preserve">                                     </w:t>
            </w:r>
          </w:p>
        </w:tc>
      </w:tr>
    </w:tbl>
    <w:p w14:paraId="416B9BA4" w14:textId="77777777" w:rsidR="00691563" w:rsidRPr="00AA39FA" w:rsidRDefault="00691563" w:rsidP="00691563">
      <w:pPr>
        <w:spacing w:after="0" w:line="240" w:lineRule="auto"/>
        <w:jc w:val="both"/>
        <w:rPr>
          <w:rFonts w:ascii="Verdana" w:eastAsia="Calibri" w:hAnsi="Verdana" w:cs="Arial"/>
          <w:color w:val="000000"/>
          <w:lang w:val="es-ES_tradnl" w:eastAsia="es-ES_tradnl"/>
        </w:rPr>
      </w:pPr>
    </w:p>
    <w:p w14:paraId="583EC389" w14:textId="77777777" w:rsidR="00691563" w:rsidRPr="00AA39FA" w:rsidRDefault="00691563" w:rsidP="00691563">
      <w:pPr>
        <w:spacing w:after="0" w:line="240" w:lineRule="auto"/>
        <w:jc w:val="both"/>
        <w:rPr>
          <w:rFonts w:ascii="Verdana" w:eastAsia="Calibri" w:hAnsi="Verdana" w:cs="Arial"/>
          <w:color w:val="000000"/>
          <w:lang w:val="es-ES_tradnl" w:eastAsia="es-ES_tradnl"/>
        </w:rPr>
      </w:pPr>
    </w:p>
    <w:p w14:paraId="7AE03A41" w14:textId="77777777" w:rsidR="00691563" w:rsidRPr="00AA39FA" w:rsidRDefault="00691563" w:rsidP="00691563">
      <w:pPr>
        <w:spacing w:after="0" w:line="276" w:lineRule="auto"/>
        <w:jc w:val="both"/>
        <w:rPr>
          <w:rFonts w:ascii="Verdana" w:eastAsia="Calibri" w:hAnsi="Verdana" w:cs="Arial"/>
          <w:lang w:val="es-ES" w:eastAsia="es-ES"/>
        </w:rPr>
      </w:pPr>
      <w:r w:rsidRPr="00AA39FA">
        <w:rPr>
          <w:rFonts w:ascii="Verdana" w:eastAsia="Calibri" w:hAnsi="Verdana" w:cs="Arial"/>
          <w:lang w:val="es-ES" w:eastAsia="es-ES"/>
        </w:rPr>
        <w:t xml:space="preserve">Estimado señor </w:t>
      </w:r>
      <w:r>
        <w:rPr>
          <w:rFonts w:ascii="Verdana" w:eastAsia="Calibri" w:hAnsi="Verdana" w:cs="Arial"/>
          <w:lang w:val="es-ES" w:eastAsia="es-ES"/>
        </w:rPr>
        <w:t>Bustos</w:t>
      </w:r>
      <w:r w:rsidRPr="00AA39FA">
        <w:rPr>
          <w:rFonts w:ascii="Verdana" w:eastAsia="Calibri" w:hAnsi="Verdana" w:cs="Arial"/>
          <w:lang w:val="es-ES" w:eastAsia="es-ES"/>
        </w:rPr>
        <w:t xml:space="preserve">: </w:t>
      </w:r>
    </w:p>
    <w:p w14:paraId="0727C781" w14:textId="77777777" w:rsidR="00691563" w:rsidRDefault="00691563" w:rsidP="0069156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C1D44F5" w14:textId="77777777" w:rsidR="00691563" w:rsidRDefault="00691563" w:rsidP="0069156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w:t>
      </w:r>
      <w:r>
        <w:rPr>
          <w:rFonts w:ascii="Verdana" w:hAnsi="Verdana" w:cs="Arial"/>
        </w:rPr>
        <w:t xml:space="preserve">en </w:t>
      </w:r>
      <w:r w:rsidRPr="00593A5F">
        <w:rPr>
          <w:rFonts w:ascii="Verdana" w:hAnsi="Verdana" w:cs="Arial"/>
        </w:rPr>
        <w:t xml:space="preserve">la Resolución </w:t>
      </w:r>
      <w:r w:rsidRPr="00A27102">
        <w:rPr>
          <w:rFonts w:ascii="Verdana" w:hAnsi="Verdana" w:cs="Arial"/>
        </w:rPr>
        <w:t xml:space="preserve">469 de 2025 </w:t>
      </w:r>
      <w:r w:rsidRPr="00593A5F">
        <w:rPr>
          <w:rFonts w:ascii="Verdana" w:hAnsi="Verdana" w:cs="Arial"/>
        </w:rPr>
        <w:t xml:space="preserve">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17 de marzo de 2026</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pregunta lo siguiente</w:t>
      </w:r>
      <w:r w:rsidRPr="008E6AD9">
        <w:rPr>
          <w:rFonts w:ascii="Verdana" w:eastAsia="Calibri" w:hAnsi="Verdana" w:cs="Arial"/>
          <w:lang w:val="es-ES" w:eastAsia="es-ES"/>
        </w:rPr>
        <w:t xml:space="preserve">: </w:t>
      </w:r>
      <w:bookmarkStart w:id="0" w:name="_Hlk95313578"/>
    </w:p>
    <w:p w14:paraId="29EB1B1C" w14:textId="77777777" w:rsidR="00691563" w:rsidRDefault="00691563" w:rsidP="00691563">
      <w:pPr>
        <w:spacing w:after="0" w:line="276" w:lineRule="auto"/>
        <w:jc w:val="both"/>
        <w:rPr>
          <w:rFonts w:ascii="Verdana" w:eastAsia="Calibri" w:hAnsi="Verdana" w:cs="Arial"/>
          <w:color w:val="7030A0"/>
          <w:lang w:val="es-ES" w:eastAsia="es-ES"/>
        </w:rPr>
      </w:pPr>
    </w:p>
    <w:p w14:paraId="3B7BCC2D" w14:textId="77777777" w:rsidR="00691563" w:rsidRPr="00DA5141" w:rsidRDefault="00691563" w:rsidP="00691563">
      <w:pPr>
        <w:spacing w:after="0" w:line="240" w:lineRule="auto"/>
        <w:ind w:left="709" w:right="709"/>
        <w:jc w:val="both"/>
        <w:rPr>
          <w:rFonts w:ascii="Verdana" w:eastAsia="Calibri" w:hAnsi="Verdana" w:cs="Arial"/>
          <w:color w:val="7030A0"/>
          <w:lang w:val="es-ES" w:eastAsia="es-ES"/>
        </w:rPr>
      </w:pPr>
      <w:r w:rsidRPr="00B9148F">
        <w:rPr>
          <w:rFonts w:ascii="Verdana" w:eastAsia="Century Gothic" w:hAnsi="Verdana" w:cs="Century Gothic"/>
          <w:sz w:val="20"/>
          <w:szCs w:val="20"/>
          <w:lang w:val="es-ES"/>
        </w:rPr>
        <w:t>“</w:t>
      </w:r>
      <w:bookmarkEnd w:id="0"/>
      <w:r w:rsidRPr="00DA5141">
        <w:rPr>
          <w:rFonts w:ascii="Verdana" w:eastAsia="Century Gothic" w:hAnsi="Verdana" w:cs="Century Gothic"/>
          <w:sz w:val="20"/>
          <w:szCs w:val="20"/>
        </w:rPr>
        <w:t>¿Cuándo una entidad estatal, sometida al Estatuto General</w:t>
      </w:r>
      <w:r>
        <w:rPr>
          <w:rFonts w:ascii="Verdana" w:eastAsia="Century Gothic" w:hAnsi="Verdana" w:cs="Century Gothic"/>
          <w:sz w:val="20"/>
          <w:szCs w:val="20"/>
        </w:rPr>
        <w:t xml:space="preserve"> de </w:t>
      </w:r>
      <w:r w:rsidRPr="00DA5141">
        <w:rPr>
          <w:rFonts w:ascii="Verdana" w:eastAsia="Century Gothic" w:hAnsi="Verdana" w:cs="Century Gothic"/>
          <w:sz w:val="20"/>
          <w:szCs w:val="20"/>
        </w:rPr>
        <w:t>Contratación, necesita ajustar el precio de un contrato de vigilancia y</w:t>
      </w:r>
      <w:r>
        <w:rPr>
          <w:rFonts w:ascii="Verdana" w:eastAsia="Calibri" w:hAnsi="Verdana" w:cs="Arial"/>
          <w:color w:val="7030A0"/>
          <w:lang w:val="es-ES" w:eastAsia="es-ES"/>
        </w:rPr>
        <w:t xml:space="preserve"> </w:t>
      </w:r>
      <w:r w:rsidRPr="00DA5141">
        <w:rPr>
          <w:rFonts w:ascii="Verdana" w:eastAsia="Century Gothic" w:hAnsi="Verdana" w:cs="Century Gothic"/>
          <w:sz w:val="20"/>
          <w:szCs w:val="20"/>
        </w:rPr>
        <w:t>seguridad privada exclusivamente para cumplir la tarifa mínima regulada</w:t>
      </w:r>
      <w:r>
        <w:rPr>
          <w:rFonts w:ascii="Verdana" w:eastAsia="Calibri" w:hAnsi="Verdana" w:cs="Arial"/>
          <w:color w:val="7030A0"/>
          <w:lang w:val="es-ES" w:eastAsia="es-ES"/>
        </w:rPr>
        <w:t xml:space="preserve"> </w:t>
      </w:r>
      <w:r w:rsidRPr="00DA5141">
        <w:rPr>
          <w:rFonts w:ascii="Verdana" w:eastAsia="Century Gothic" w:hAnsi="Verdana" w:cs="Century Gothic"/>
          <w:sz w:val="20"/>
          <w:szCs w:val="20"/>
        </w:rPr>
        <w:t>fijada por la Superintendencia de Vigilancia y Seguridad Privada, sin</w:t>
      </w:r>
      <w:r>
        <w:rPr>
          <w:rFonts w:ascii="Verdana" w:eastAsia="Century Gothic" w:hAnsi="Verdana" w:cs="Century Gothic"/>
          <w:sz w:val="20"/>
          <w:szCs w:val="20"/>
        </w:rPr>
        <w:t xml:space="preserve"> </w:t>
      </w:r>
      <w:r w:rsidRPr="00DA5141">
        <w:rPr>
          <w:rFonts w:ascii="Verdana" w:eastAsia="Century Gothic" w:hAnsi="Verdana" w:cs="Century Gothic"/>
          <w:sz w:val="20"/>
          <w:szCs w:val="20"/>
        </w:rPr>
        <w:t>modificar el objeto contractual, dicho ajuste está sujeto al tope del 50?%</w:t>
      </w:r>
      <w:r>
        <w:rPr>
          <w:rFonts w:ascii="Verdana" w:eastAsia="Calibri" w:hAnsi="Verdana" w:cs="Arial"/>
          <w:color w:val="7030A0"/>
          <w:lang w:val="es-ES" w:eastAsia="es-ES"/>
        </w:rPr>
        <w:t xml:space="preserve"> </w:t>
      </w:r>
      <w:r w:rsidRPr="00DA5141">
        <w:rPr>
          <w:rFonts w:ascii="Verdana" w:eastAsia="Century Gothic" w:hAnsi="Verdana" w:cs="Century Gothic"/>
          <w:sz w:val="20"/>
          <w:szCs w:val="20"/>
        </w:rPr>
        <w:t>previsto en el parágrafo del artículo 40 de la Ley 80 de 1993?</w:t>
      </w:r>
      <w:r>
        <w:rPr>
          <w:rFonts w:ascii="Verdana" w:eastAsia="Century Gothic" w:hAnsi="Verdana" w:cs="Century Gothic"/>
          <w:sz w:val="20"/>
          <w:szCs w:val="20"/>
        </w:rPr>
        <w:t>”</w:t>
      </w:r>
    </w:p>
    <w:p w14:paraId="1754AD5F" w14:textId="77777777" w:rsidR="00691563" w:rsidRPr="008E6AD9" w:rsidRDefault="00691563" w:rsidP="00691563">
      <w:pPr>
        <w:pStyle w:val="Prrafodelista"/>
        <w:tabs>
          <w:tab w:val="left" w:pos="142"/>
          <w:tab w:val="left" w:pos="284"/>
        </w:tabs>
        <w:spacing w:after="0" w:line="276" w:lineRule="auto"/>
        <w:ind w:left="0"/>
        <w:jc w:val="both"/>
        <w:rPr>
          <w:rFonts w:ascii="Verdana" w:eastAsia="Century Gothic" w:hAnsi="Verdana" w:cs="Century Gothic"/>
          <w:b/>
          <w:bCs/>
        </w:rPr>
      </w:pPr>
    </w:p>
    <w:p w14:paraId="268BD2E1" w14:textId="77777777" w:rsidR="00691563" w:rsidRPr="00A652FF" w:rsidRDefault="00691563" w:rsidP="0069156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93A5F">
        <w:rPr>
          <w:rFonts w:ascii="Verdana" w:eastAsia="Calibri" w:hAnsi="Verdana" w:cs="Arial"/>
          <w:color w:val="000000"/>
          <w:lang w:val="es-ES" w:eastAsia="es-ES"/>
        </w:rPr>
        <w:lastRenderedPageBreak/>
        <w:t xml:space="preserve">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D25D282" w14:textId="77777777" w:rsidR="00691563" w:rsidRDefault="00691563" w:rsidP="0069156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Pr>
          <w:rFonts w:ascii="Verdana" w:eastAsia="Calibri" w:hAnsi="Verdana" w:cs="Arial"/>
          <w:color w:val="000000"/>
          <w:lang w:val="es-ES" w:eastAsia="es-ES"/>
        </w:rPr>
        <w:t>los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F09BE17" w14:textId="77777777" w:rsidR="00691563" w:rsidRPr="00593A5F" w:rsidRDefault="00691563" w:rsidP="00691563">
      <w:pPr>
        <w:spacing w:after="0" w:line="276" w:lineRule="auto"/>
        <w:ind w:firstLine="709"/>
        <w:jc w:val="both"/>
        <w:rPr>
          <w:rFonts w:ascii="Verdana" w:eastAsia="Calibri" w:hAnsi="Verdana" w:cs="Arial"/>
          <w:color w:val="000000"/>
          <w:lang w:val="es-ES" w:eastAsia="es-ES"/>
        </w:rPr>
      </w:pPr>
    </w:p>
    <w:p w14:paraId="03CE2B50" w14:textId="77777777" w:rsidR="00691563" w:rsidRPr="00593A5F" w:rsidRDefault="00691563" w:rsidP="0069156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17603CF5" w14:textId="77777777" w:rsidR="00691563" w:rsidRPr="00593A5F" w:rsidRDefault="00691563" w:rsidP="00691563">
      <w:pPr>
        <w:tabs>
          <w:tab w:val="left" w:pos="426"/>
        </w:tabs>
        <w:spacing w:after="0" w:line="276" w:lineRule="auto"/>
        <w:jc w:val="both"/>
        <w:rPr>
          <w:rFonts w:ascii="Verdana" w:eastAsia="Century Gothic" w:hAnsi="Verdana" w:cs="Century Gothic"/>
          <w:lang w:val="es-ES"/>
        </w:rPr>
      </w:pPr>
    </w:p>
    <w:p w14:paraId="620F52E0" w14:textId="471D212C" w:rsidR="00691563" w:rsidRDefault="00691563" w:rsidP="00691563">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sidRPr="00DA5141">
        <w:rPr>
          <w:rFonts w:ascii="Verdana" w:eastAsia="Century Gothic" w:hAnsi="Verdana" w:cs="Century Gothic"/>
        </w:rPr>
        <w:t>¿El ajuste del valor de un contrato de vigilancia y seguridad privada, realizado</w:t>
      </w:r>
      <w:r>
        <w:rPr>
          <w:rFonts w:ascii="Verdana" w:eastAsia="Century Gothic" w:hAnsi="Verdana" w:cs="Century Gothic"/>
        </w:rPr>
        <w:t xml:space="preserve"> </w:t>
      </w:r>
      <w:r w:rsidRPr="00DA5141">
        <w:rPr>
          <w:rFonts w:ascii="Verdana" w:eastAsia="Century Gothic" w:hAnsi="Verdana" w:cs="Century Gothic"/>
        </w:rPr>
        <w:t xml:space="preserve">para cumplir la tarifa mínima regulada por la Superintendencia de Vigilancia y Seguridad Privada, está sujeto al límite del </w:t>
      </w:r>
      <w:r w:rsidR="008A177D">
        <w:rPr>
          <w:rFonts w:ascii="Verdana" w:eastAsia="Century Gothic" w:hAnsi="Verdana" w:cs="Century Gothic"/>
        </w:rPr>
        <w:t>cincuenta por ciento (</w:t>
      </w:r>
      <w:r w:rsidRPr="00DA5141">
        <w:rPr>
          <w:rFonts w:ascii="Verdana" w:eastAsia="Century Gothic" w:hAnsi="Verdana" w:cs="Century Gothic"/>
        </w:rPr>
        <w:t>50%</w:t>
      </w:r>
      <w:r w:rsidR="008A177D">
        <w:rPr>
          <w:rFonts w:ascii="Verdana" w:eastAsia="Century Gothic" w:hAnsi="Verdana" w:cs="Century Gothic"/>
        </w:rPr>
        <w:t>)</w:t>
      </w:r>
      <w:r w:rsidRPr="00DA5141">
        <w:rPr>
          <w:rFonts w:ascii="Verdana" w:eastAsia="Century Gothic" w:hAnsi="Verdana" w:cs="Century Gothic"/>
        </w:rPr>
        <w:t xml:space="preserve"> previsto en el parágrafo del artículo 40 de la Ley 80 de 1993?</w:t>
      </w:r>
    </w:p>
    <w:p w14:paraId="00EB4D58" w14:textId="77777777" w:rsidR="00691563" w:rsidRPr="004B140F" w:rsidRDefault="00691563" w:rsidP="00691563">
      <w:pPr>
        <w:spacing w:after="0" w:line="276" w:lineRule="auto"/>
        <w:jc w:val="both"/>
        <w:rPr>
          <w:rFonts w:ascii="Verdana" w:eastAsia="Calibri" w:hAnsi="Verdana" w:cs="Arial"/>
          <w:color w:val="7030A0"/>
        </w:rPr>
      </w:pPr>
    </w:p>
    <w:p w14:paraId="5E02E702" w14:textId="77777777" w:rsidR="00691563" w:rsidRPr="00593A5F" w:rsidRDefault="00691563" w:rsidP="0069156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06520DA" w14:textId="77777777" w:rsidR="00691563" w:rsidRPr="00593A5F" w:rsidRDefault="00691563" w:rsidP="0069156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91563" w:rsidRPr="00593A5F" w14:paraId="640B013E" w14:textId="77777777" w:rsidTr="00BB4C80">
        <w:trPr>
          <w:jc w:val="center"/>
        </w:trPr>
        <w:tc>
          <w:tcPr>
            <w:tcW w:w="8828" w:type="dxa"/>
          </w:tcPr>
          <w:p w14:paraId="32AA2A6E" w14:textId="77777777" w:rsidR="00691563" w:rsidRDefault="00691563" w:rsidP="00BB4C80">
            <w:pPr>
              <w:tabs>
                <w:tab w:val="left" w:pos="567"/>
              </w:tabs>
              <w:spacing w:after="120" w:line="257" w:lineRule="auto"/>
              <w:jc w:val="both"/>
              <w:rPr>
                <w:rFonts w:ascii="Verdana" w:eastAsia="Calibri" w:hAnsi="Verdana" w:cs="Times New Roman"/>
                <w:iCs/>
                <w:lang w:val="es-ES"/>
              </w:rPr>
            </w:pPr>
            <w:bookmarkStart w:id="1" w:name="_Hlk171694685"/>
            <w:r>
              <w:rPr>
                <w:rFonts w:ascii="Verdana" w:eastAsia="Calibri" w:hAnsi="Verdana" w:cs="Times New Roman"/>
                <w:iCs/>
                <w:lang w:val="es-ES"/>
              </w:rPr>
              <w:t xml:space="preserve">Dado que no se han expedido guías para la contratación del servicio objeto de consulta, la Agencia realiza las siguientes consideraciones conforme a la interpretación de las normas generales del sistema de compras públicas: </w:t>
            </w:r>
          </w:p>
          <w:p w14:paraId="452A92A1" w14:textId="77777777" w:rsidR="00691563" w:rsidRDefault="00691563" w:rsidP="00BB4C80">
            <w:pPr>
              <w:tabs>
                <w:tab w:val="left" w:pos="567"/>
              </w:tabs>
              <w:spacing w:after="120" w:line="257" w:lineRule="auto"/>
              <w:jc w:val="both"/>
              <w:rPr>
                <w:rFonts w:ascii="Verdana" w:eastAsia="Calibri" w:hAnsi="Verdana" w:cs="Arial"/>
                <w:bCs/>
                <w:color w:val="000000" w:themeColor="text1"/>
              </w:rPr>
            </w:pPr>
            <w:r w:rsidRPr="00185EE9">
              <w:rPr>
                <w:rFonts w:ascii="Verdana" w:eastAsia="Calibri" w:hAnsi="Verdana" w:cs="Times New Roman"/>
                <w:iCs/>
                <w:lang w:val="es-ES"/>
              </w:rPr>
              <w:t xml:space="preserve">En </w:t>
            </w:r>
            <w:r w:rsidRPr="00185EE9">
              <w:rPr>
                <w:rFonts w:ascii="Verdana" w:eastAsia="Calibri" w:hAnsi="Verdana" w:cs="Times New Roman"/>
                <w:i/>
                <w:lang w:val="es-ES"/>
              </w:rPr>
              <w:t>primer lugar</w:t>
            </w:r>
            <w:r w:rsidRPr="00185EE9">
              <w:rPr>
                <w:rFonts w:ascii="Verdana" w:eastAsia="Calibri" w:hAnsi="Verdana" w:cs="Times New Roman"/>
                <w:iCs/>
                <w:lang w:val="es-ES"/>
              </w:rPr>
              <w:t xml:space="preserve">, se precisa que, </w:t>
            </w:r>
            <w:r>
              <w:rPr>
                <w:rFonts w:ascii="Verdana" w:eastAsia="Calibri" w:hAnsi="Verdana" w:cs="Times New Roman"/>
                <w:iCs/>
                <w:lang w:val="es-ES"/>
              </w:rPr>
              <w:t>l</w:t>
            </w:r>
            <w:r w:rsidRPr="00185EE9">
              <w:rPr>
                <w:rFonts w:ascii="Verdana" w:eastAsia="Calibri" w:hAnsi="Verdana" w:cs="Arial"/>
                <w:bCs/>
                <w:color w:val="000000" w:themeColor="text1"/>
              </w:rPr>
              <w:t>os servicios de vigilancia y seguridad privada</w:t>
            </w:r>
            <w:r>
              <w:rPr>
                <w:rFonts w:ascii="Verdana" w:eastAsia="Calibri" w:hAnsi="Verdana" w:cs="Arial"/>
                <w:bCs/>
                <w:color w:val="000000" w:themeColor="text1"/>
              </w:rPr>
              <w:t xml:space="preserve"> se encuentran</w:t>
            </w:r>
            <w:r w:rsidRPr="00185EE9">
              <w:rPr>
                <w:rFonts w:ascii="Verdana" w:eastAsia="Calibri" w:hAnsi="Verdana" w:cs="Arial"/>
                <w:bCs/>
                <w:color w:val="000000" w:themeColor="text1"/>
              </w:rPr>
              <w:t xml:space="preserve"> regulados por el Decreto Ley 356 de 1994</w:t>
            </w:r>
            <w:r w:rsidRPr="00462996">
              <w:rPr>
                <w:rFonts w:ascii="Verdana" w:eastAsia="Calibri" w:hAnsi="Verdana" w:cs="Arial"/>
                <w:bCs/>
                <w:color w:val="000000" w:themeColor="text1"/>
              </w:rPr>
              <w:t>, el cual establece el marco jurídico aplicable a la prestación de estos servicios</w:t>
            </w:r>
            <w:r>
              <w:rPr>
                <w:rFonts w:ascii="Verdana" w:eastAsia="Calibri" w:hAnsi="Verdana" w:cs="Arial"/>
                <w:bCs/>
                <w:color w:val="000000" w:themeColor="text1"/>
              </w:rPr>
              <w:t xml:space="preserve"> y </w:t>
            </w:r>
            <w:r w:rsidRPr="00462996">
              <w:rPr>
                <w:rFonts w:ascii="Verdana" w:eastAsia="Calibri" w:hAnsi="Verdana" w:cs="Arial"/>
                <w:bCs/>
                <w:color w:val="000000" w:themeColor="text1"/>
              </w:rPr>
              <w:t>las condiciones bajo las cuales deben operar las empresas del sector. En desarrollo de dicho estatuto, la Superintendencia de Vigilancia y Seguridad Privada ejerce funciones de inspección, vigilancia y control, incluyendo la facultad de fijar tarifas mínimas obligatorias que garanticen la adecuada prestación del servicio y la protección de los derechos laborales del personal vinculado. En consecuencia, las entidades estatales que contratan estos servicios deben observar dichas tarifas como un parámetro imperativo</w:t>
            </w:r>
            <w:r>
              <w:rPr>
                <w:rFonts w:ascii="Verdana" w:eastAsia="Calibri" w:hAnsi="Verdana" w:cs="Arial"/>
                <w:bCs/>
                <w:color w:val="000000" w:themeColor="text1"/>
              </w:rPr>
              <w:t xml:space="preserve">. </w:t>
            </w:r>
          </w:p>
          <w:p w14:paraId="0D480E12" w14:textId="77777777" w:rsidR="00691563" w:rsidRPr="00185EE9" w:rsidRDefault="00691563" w:rsidP="00BB4C80">
            <w:pPr>
              <w:tabs>
                <w:tab w:val="left" w:pos="567"/>
              </w:tabs>
              <w:spacing w:after="120" w:line="257" w:lineRule="auto"/>
              <w:jc w:val="both"/>
              <w:rPr>
                <w:rFonts w:ascii="Verdana" w:eastAsia="Calibri" w:hAnsi="Verdana" w:cs="Arial"/>
                <w:bCs/>
                <w:color w:val="000000" w:themeColor="text1"/>
              </w:rPr>
            </w:pPr>
            <w:r>
              <w:rPr>
                <w:rFonts w:ascii="Verdana" w:eastAsia="Calibri" w:hAnsi="Verdana" w:cs="Arial"/>
                <w:bCs/>
                <w:color w:val="000000" w:themeColor="text1"/>
              </w:rPr>
              <w:lastRenderedPageBreak/>
              <w:t xml:space="preserve">Lo anterior, </w:t>
            </w:r>
            <w:r w:rsidRPr="00185EE9">
              <w:rPr>
                <w:rFonts w:ascii="Verdana" w:eastAsia="Calibri" w:hAnsi="Verdana" w:cs="Arial"/>
                <w:bCs/>
                <w:color w:val="000000" w:themeColor="text1"/>
              </w:rPr>
              <w:t xml:space="preserve">comoquiera que las tarifas mínimas establecidas para estos servicios en la Circular Externa de la Superintendencia de Vigilancia y Seguridad Privada </w:t>
            </w:r>
            <w:r w:rsidRPr="00BC7055">
              <w:rPr>
                <w:rFonts w:ascii="Verdana" w:eastAsia="Calibri" w:hAnsi="Verdana" w:cs="Arial"/>
                <w:bCs/>
                <w:color w:val="000000" w:themeColor="text1"/>
              </w:rPr>
              <w:t>20241300000445 del 30 de diciembre de 2024</w:t>
            </w:r>
            <w:r w:rsidRPr="00185EE9">
              <w:rPr>
                <w:rFonts w:ascii="Verdana" w:eastAsia="Calibri" w:hAnsi="Verdana" w:cs="Arial"/>
                <w:bCs/>
                <w:color w:val="000000" w:themeColor="text1"/>
              </w:rPr>
              <w:t xml:space="preserve"> representan una medida regulatoria que hace que los ofrecimientos para la prestación de este tipo de servicios tiendan al valor mínimo permitido por </w:t>
            </w:r>
            <w:r>
              <w:rPr>
                <w:rFonts w:ascii="Verdana" w:eastAsia="Calibri" w:hAnsi="Verdana" w:cs="Arial"/>
                <w:bCs/>
                <w:color w:val="000000" w:themeColor="text1"/>
              </w:rPr>
              <w:t xml:space="preserve">dicha </w:t>
            </w:r>
            <w:r w:rsidRPr="00185EE9">
              <w:rPr>
                <w:rFonts w:ascii="Verdana" w:eastAsia="Calibri" w:hAnsi="Verdana" w:cs="Arial"/>
                <w:bCs/>
                <w:color w:val="000000" w:themeColor="text1"/>
              </w:rPr>
              <w:t>regulación tarifaria</w:t>
            </w:r>
            <w:r>
              <w:rPr>
                <w:rFonts w:ascii="Verdana" w:eastAsia="Calibri" w:hAnsi="Verdana" w:cs="Arial"/>
                <w:bCs/>
                <w:color w:val="000000" w:themeColor="text1"/>
              </w:rPr>
              <w:t xml:space="preserve">. </w:t>
            </w:r>
            <w:r w:rsidRPr="00185EE9">
              <w:rPr>
                <w:rFonts w:ascii="Verdana" w:eastAsia="Calibri" w:hAnsi="Verdana" w:cs="Arial"/>
                <w:bCs/>
                <w:color w:val="000000" w:themeColor="text1"/>
              </w:rPr>
              <w:t xml:space="preserve"> </w:t>
            </w:r>
          </w:p>
          <w:p w14:paraId="20508B61" w14:textId="1170F945" w:rsidR="00691563" w:rsidRDefault="00337C34" w:rsidP="00BB4C80">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Ahora bien</w:t>
            </w:r>
            <w:r w:rsidR="00691563" w:rsidRPr="00462996">
              <w:rPr>
                <w:rFonts w:ascii="Verdana" w:eastAsia="Calibri" w:hAnsi="Verdana" w:cs="Arial"/>
                <w:bCs/>
                <w:color w:val="000000" w:themeColor="text1"/>
              </w:rPr>
              <w:t xml:space="preserve">, cuando una entidad estatal deba ajustar el valor de un contrato de vigilancia y seguridad privada con el fin exclusivo de dar cumplimiento a la tarifa mínima obligatoria fijada por la Superintendencia de Vigilancia y Seguridad Privada, dicho ajuste </w:t>
            </w:r>
            <w:r>
              <w:rPr>
                <w:rFonts w:ascii="Verdana" w:eastAsia="Calibri" w:hAnsi="Verdana" w:cs="Arial"/>
                <w:bCs/>
                <w:color w:val="000000" w:themeColor="text1"/>
              </w:rPr>
              <w:t>debe respetar los límites legales y jurisprudenciales previstos para que procedan las modificaciones frente a las entidades sometidas al EGCAP, entre ellas</w:t>
            </w:r>
            <w:r w:rsidR="00691563" w:rsidRPr="00462996">
              <w:rPr>
                <w:rFonts w:ascii="Verdana" w:eastAsia="Calibri" w:hAnsi="Verdana" w:cs="Arial"/>
                <w:bCs/>
                <w:color w:val="000000" w:themeColor="text1"/>
              </w:rPr>
              <w:t xml:space="preserve"> la restricción prevista en el parágrafo del artículo 40 de la Ley 80 de 1993, relativa al límite del 50% para las adiciones contractuales.</w:t>
            </w:r>
          </w:p>
          <w:p w14:paraId="4CFFBC9D" w14:textId="77777777" w:rsidR="00691563" w:rsidRDefault="00691563" w:rsidP="00BB4C80">
            <w:pPr>
              <w:spacing w:line="276" w:lineRule="auto"/>
              <w:ind w:firstLine="709"/>
              <w:jc w:val="both"/>
              <w:rPr>
                <w:rStyle w:val="s15"/>
                <w:rFonts w:ascii="Verdana" w:hAnsi="Verdana"/>
                <w:color w:val="000000"/>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09F3AB9B" w14:textId="77777777" w:rsidR="00691563" w:rsidRPr="001941FD" w:rsidRDefault="00691563" w:rsidP="00BB4C80">
            <w:pPr>
              <w:spacing w:line="276" w:lineRule="auto"/>
              <w:ind w:firstLine="709"/>
              <w:jc w:val="both"/>
              <w:rPr>
                <w:rFonts w:ascii="Verdana" w:eastAsia="Calibri" w:hAnsi="Verdana" w:cs="Arial"/>
                <w:bCs/>
                <w:color w:val="000000" w:themeColor="text1"/>
              </w:rPr>
            </w:pPr>
            <w:r>
              <w:rPr>
                <w:rFonts w:ascii="Verdana" w:hAnsi="Verdana" w:cs="Arial"/>
                <w:color w:val="000000" w:themeColor="text1"/>
              </w:rPr>
              <w:t>Por lo anterior</w:t>
            </w:r>
            <w:r w:rsidRPr="00957B79">
              <w:rPr>
                <w:rFonts w:ascii="Verdana" w:hAnsi="Verdana" w:cs="Arial"/>
                <w:color w:val="000000" w:themeColor="text1"/>
              </w:rPr>
              <w:t>, es pertinente señalar que Colombia Compra Eficiente, en ejercicio de su función consultiva, no está llamada a definir criterios universales y absolutos, sino a suministrar elementos hermenéuticos de carácter general que orienten a los partícipes del Sistema de Compras y Contratación Pública en la adopción de sus decisiones, en consonancia con el principio de juridicidad. En consecuencia, corresponde a las entidades estatales, en cada caso concreto, determinar los criterios aplicables, con sujeción a los principios y normas que rigen el Estatuto General de Contratación de la Administración Pública (EGCAP).</w:t>
            </w:r>
          </w:p>
        </w:tc>
      </w:tr>
    </w:tbl>
    <w:p w14:paraId="153BA09C" w14:textId="77777777" w:rsidR="00691563" w:rsidRPr="00593A5F" w:rsidRDefault="00691563" w:rsidP="00691563">
      <w:pPr>
        <w:tabs>
          <w:tab w:val="left" w:pos="142"/>
          <w:tab w:val="left" w:pos="284"/>
        </w:tabs>
        <w:spacing w:after="0" w:line="276" w:lineRule="auto"/>
        <w:jc w:val="both"/>
        <w:rPr>
          <w:rFonts w:ascii="Verdana" w:eastAsia="Century Gothic" w:hAnsi="Verdana" w:cs="Century Gothic"/>
          <w:b/>
          <w:bCs/>
          <w:lang w:val="es-ES"/>
        </w:rPr>
      </w:pPr>
    </w:p>
    <w:bookmarkEnd w:id="1"/>
    <w:p w14:paraId="2B8D4888" w14:textId="77777777" w:rsidR="00691563" w:rsidRPr="00593A5F" w:rsidRDefault="00691563" w:rsidP="0069156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6624444C" w14:textId="77777777" w:rsidR="00691563" w:rsidRPr="00593A5F" w:rsidRDefault="00691563" w:rsidP="00691563">
      <w:pPr>
        <w:spacing w:after="0" w:line="276" w:lineRule="auto"/>
        <w:jc w:val="both"/>
        <w:rPr>
          <w:rFonts w:ascii="Verdana" w:eastAsia="Calibri" w:hAnsi="Verdana" w:cs="Arial"/>
          <w:color w:val="7030A0"/>
          <w:lang w:val="es-ES"/>
        </w:rPr>
      </w:pPr>
    </w:p>
    <w:p w14:paraId="185D0EF9" w14:textId="77777777" w:rsidR="00691563" w:rsidRDefault="00691563" w:rsidP="00691563">
      <w:pPr>
        <w:spacing w:after="0" w:line="276" w:lineRule="auto"/>
        <w:jc w:val="both"/>
        <w:rPr>
          <w:rFonts w:ascii="Verdana" w:eastAsia="Calibri" w:hAnsi="Verdana" w:cs="Arial"/>
          <w:lang w:val="es-ES"/>
        </w:rPr>
      </w:pPr>
      <w:r w:rsidRPr="00B96799">
        <w:rPr>
          <w:rFonts w:ascii="Verdana" w:eastAsia="Calibri" w:hAnsi="Verdana" w:cs="Arial"/>
          <w:lang w:val="es-ES"/>
        </w:rPr>
        <w:lastRenderedPageBreak/>
        <w:t>Lo anterior se sustenta en las siguientes consideraciones:</w:t>
      </w:r>
    </w:p>
    <w:p w14:paraId="4514277F" w14:textId="77777777" w:rsidR="00691563" w:rsidRPr="00415608" w:rsidRDefault="00691563" w:rsidP="00691563">
      <w:pPr>
        <w:spacing w:after="0" w:line="276" w:lineRule="auto"/>
        <w:jc w:val="both"/>
        <w:rPr>
          <w:rFonts w:ascii="Verdana" w:eastAsia="Calibri" w:hAnsi="Verdana" w:cs="Arial"/>
          <w:lang w:val="es-ES"/>
        </w:rPr>
      </w:pPr>
    </w:p>
    <w:p w14:paraId="313C0017" w14:textId="77777777" w:rsidR="00691563" w:rsidRDefault="00691563" w:rsidP="00691563">
      <w:pPr>
        <w:tabs>
          <w:tab w:val="left" w:pos="284"/>
        </w:tabs>
        <w:spacing w:line="276" w:lineRule="auto"/>
        <w:ind w:firstLine="284"/>
        <w:jc w:val="both"/>
        <w:rPr>
          <w:rFonts w:ascii="Verdana" w:eastAsia="Calibri" w:hAnsi="Verdana" w:cs="Arial"/>
          <w:color w:val="000000"/>
        </w:rPr>
      </w:pPr>
      <w:r>
        <w:rPr>
          <w:rFonts w:ascii="Verdana" w:eastAsia="Calibri" w:hAnsi="Verdana" w:cs="Arial"/>
          <w:color w:val="000000"/>
        </w:rPr>
        <w:tab/>
      </w:r>
      <w:r w:rsidRPr="00B31C7B">
        <w:rPr>
          <w:rFonts w:ascii="Verdana" w:eastAsia="Calibri" w:hAnsi="Verdana" w:cs="Arial"/>
          <w:color w:val="000000"/>
        </w:rPr>
        <w:t xml:space="preserve">El </w:t>
      </w:r>
      <w:r w:rsidRPr="00A43452">
        <w:rPr>
          <w:rFonts w:ascii="Verdana" w:eastAsia="Calibri" w:hAnsi="Verdana" w:cs="Arial"/>
          <w:color w:val="000000"/>
        </w:rPr>
        <w:t xml:space="preserve">Estatuto General de Contratación de la Administración Pública (en adelante EGCAP) </w:t>
      </w:r>
      <w:r w:rsidRPr="00B31C7B">
        <w:rPr>
          <w:rFonts w:ascii="Verdana" w:eastAsia="Calibri" w:hAnsi="Verdana" w:cs="Arial"/>
          <w:color w:val="000000"/>
        </w:rPr>
        <w:t xml:space="preserve">no establece una regulación expresa sobre la posibilidad de modificar los contratos celebrados por las Entidades Estatales, salvo la potestad exorbitante de modificación unilateral y la regulación que fija los porcentajes límite para adicionar los valores inicialmente pactados, como </w:t>
      </w:r>
      <w:r>
        <w:rPr>
          <w:rFonts w:ascii="Verdana" w:eastAsia="Calibri" w:hAnsi="Verdana" w:cs="Arial"/>
          <w:color w:val="000000"/>
        </w:rPr>
        <w:t>es el caso d</w:t>
      </w:r>
      <w:r w:rsidRPr="00B31C7B">
        <w:rPr>
          <w:rFonts w:ascii="Verdana" w:eastAsia="Calibri" w:hAnsi="Verdana" w:cs="Arial"/>
          <w:color w:val="000000"/>
        </w:rPr>
        <w:t>el artículo 40 de la Ley 80 de 1993</w:t>
      </w:r>
      <w:r w:rsidRPr="00A43452">
        <w:rPr>
          <w:rFonts w:ascii="Verdana" w:eastAsia="Calibri" w:hAnsi="Verdana" w:cs="Arial"/>
          <w:color w:val="000000"/>
        </w:rPr>
        <w:footnoteReference w:id="1"/>
      </w:r>
      <w:r w:rsidRPr="00B31C7B">
        <w:rPr>
          <w:rFonts w:ascii="Verdana" w:eastAsia="Calibri" w:hAnsi="Verdana" w:cs="Arial"/>
          <w:color w:val="000000"/>
        </w:rPr>
        <w:t xml:space="preserve">. </w:t>
      </w:r>
    </w:p>
    <w:p w14:paraId="65DC3ABC" w14:textId="77777777" w:rsidR="00691563" w:rsidRPr="00B31C7B" w:rsidRDefault="00691563" w:rsidP="00691563">
      <w:pPr>
        <w:tabs>
          <w:tab w:val="left" w:pos="284"/>
        </w:tabs>
        <w:spacing w:line="276" w:lineRule="auto"/>
        <w:ind w:firstLine="284"/>
        <w:jc w:val="both"/>
        <w:rPr>
          <w:rFonts w:ascii="Verdana" w:eastAsia="Calibri" w:hAnsi="Verdana" w:cs="Arial"/>
          <w:color w:val="000000"/>
        </w:rPr>
      </w:pPr>
      <w:r>
        <w:rPr>
          <w:rFonts w:ascii="Verdana" w:eastAsia="Calibri" w:hAnsi="Verdana" w:cs="Arial"/>
          <w:color w:val="000000"/>
        </w:rPr>
        <w:tab/>
      </w:r>
      <w:r w:rsidRPr="00B31C7B">
        <w:rPr>
          <w:rFonts w:ascii="Verdana" w:eastAsia="Calibri" w:hAnsi="Verdana" w:cs="Arial"/>
          <w:color w:val="000000"/>
        </w:rPr>
        <w:t xml:space="preserve">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w:t>
      </w:r>
      <w:r>
        <w:rPr>
          <w:rFonts w:ascii="Verdana" w:eastAsia="Calibri" w:hAnsi="Verdana" w:cs="Arial"/>
          <w:color w:val="000000"/>
        </w:rPr>
        <w:t xml:space="preserve">planeación, </w:t>
      </w:r>
      <w:r w:rsidRPr="00B31C7B">
        <w:rPr>
          <w:rFonts w:ascii="Verdana" w:eastAsia="Calibri" w:hAnsi="Verdana" w:cs="Arial"/>
          <w:color w:val="000000"/>
        </w:rPr>
        <w:t xml:space="preserve">transparencia, economía y responsabilidad, así como los demás principios de la función administrativa aplicables al proceso de gestión contractual. </w:t>
      </w:r>
    </w:p>
    <w:p w14:paraId="4CC629F8" w14:textId="77777777" w:rsidR="00691563" w:rsidRPr="00B31C7B" w:rsidRDefault="00691563" w:rsidP="00691563">
      <w:pPr>
        <w:tabs>
          <w:tab w:val="left" w:pos="284"/>
        </w:tabs>
        <w:spacing w:line="276" w:lineRule="auto"/>
        <w:jc w:val="both"/>
        <w:rPr>
          <w:rFonts w:ascii="Verdana" w:eastAsia="Calibri" w:hAnsi="Verdana" w:cs="Arial"/>
          <w:color w:val="000000"/>
        </w:rPr>
      </w:pPr>
      <w:r w:rsidRPr="00B31C7B">
        <w:rPr>
          <w:rFonts w:ascii="Verdana" w:eastAsia="Calibri" w:hAnsi="Verdana" w:cs="Arial"/>
          <w:color w:val="000000"/>
        </w:rPr>
        <w:tab/>
      </w:r>
      <w:r w:rsidRPr="00B31C7B">
        <w:rPr>
          <w:rFonts w:ascii="Verdana" w:eastAsia="Calibri" w:hAnsi="Verdana" w:cs="Arial"/>
          <w:color w:val="000000"/>
        </w:rPr>
        <w:tab/>
        <w:t>Ahora bien, no existe restricción expresa para modificar los contratos estatales y los principios antes referidos puede</w:t>
      </w:r>
      <w:r>
        <w:rPr>
          <w:rFonts w:ascii="Verdana" w:eastAsia="Calibri" w:hAnsi="Verdana" w:cs="Arial"/>
          <w:color w:val="000000"/>
        </w:rPr>
        <w:t>n</w:t>
      </w:r>
      <w:r w:rsidRPr="00B31C7B">
        <w:rPr>
          <w:rFonts w:ascii="Verdana" w:eastAsia="Calibri" w:hAnsi="Verdana" w:cs="Arial"/>
          <w:color w:val="000000"/>
        </w:rPr>
        <w:t xml:space="preserve"> </w:t>
      </w:r>
      <w:r>
        <w:rPr>
          <w:rFonts w:ascii="Verdana" w:eastAsia="Calibri" w:hAnsi="Verdana" w:cs="Arial"/>
          <w:color w:val="000000"/>
        </w:rPr>
        <w:t xml:space="preserve">evidenciar </w:t>
      </w:r>
      <w:r w:rsidRPr="00B31C7B">
        <w:rPr>
          <w:rFonts w:ascii="Verdana" w:eastAsia="Calibri" w:hAnsi="Verdana" w:cs="Arial"/>
          <w:color w:val="000000"/>
        </w:rPr>
        <w:t xml:space="preserve">la necesidad de </w:t>
      </w:r>
      <w:r>
        <w:rPr>
          <w:rFonts w:ascii="Verdana" w:eastAsia="Calibri" w:hAnsi="Verdana" w:cs="Arial"/>
          <w:color w:val="000000"/>
        </w:rPr>
        <w:t xml:space="preserve">cambiar </w:t>
      </w:r>
      <w:r w:rsidRPr="00B31C7B">
        <w:rPr>
          <w:rFonts w:ascii="Verdana" w:eastAsia="Calibri" w:hAnsi="Verdana" w:cs="Arial"/>
          <w:color w:val="000000"/>
        </w:rPr>
        <w:t xml:space="preserve">las estipulaciones </w:t>
      </w:r>
      <w:r>
        <w:rPr>
          <w:rFonts w:ascii="Verdana" w:eastAsia="Calibri" w:hAnsi="Verdana" w:cs="Arial"/>
          <w:color w:val="000000"/>
        </w:rPr>
        <w:t xml:space="preserve">establecidas </w:t>
      </w:r>
      <w:r w:rsidRPr="00B31C7B">
        <w:rPr>
          <w:rFonts w:ascii="Verdana" w:eastAsia="Calibri" w:hAnsi="Verdana" w:cs="Arial"/>
          <w:color w:val="000000"/>
        </w:rPr>
        <w:t>en un comienzo. En</w:t>
      </w:r>
      <w:r>
        <w:rPr>
          <w:rFonts w:ascii="Verdana" w:eastAsia="Calibri" w:hAnsi="Verdana" w:cs="Arial"/>
          <w:color w:val="000000"/>
        </w:rPr>
        <w:t xml:space="preserve"> este contexto</w:t>
      </w:r>
      <w:r w:rsidRPr="00B31C7B">
        <w:rPr>
          <w:rFonts w:ascii="Verdana" w:eastAsia="Calibri" w:hAnsi="Verdana" w:cs="Arial"/>
          <w:color w:val="000000"/>
        </w:rPr>
        <w:t>, la jurisprudencia ha fijado pautas generales conforme a las cuales la Administración Pública debe evaluar</w:t>
      </w:r>
      <w:r>
        <w:rPr>
          <w:rFonts w:ascii="Verdana" w:eastAsia="Calibri" w:hAnsi="Verdana" w:cs="Arial"/>
          <w:color w:val="000000"/>
        </w:rPr>
        <w:t xml:space="preserve"> si es procedente modificar</w:t>
      </w:r>
      <w:r w:rsidRPr="00B31C7B">
        <w:rPr>
          <w:rFonts w:ascii="Verdana" w:eastAsia="Calibri" w:hAnsi="Verdana" w:cs="Arial"/>
          <w:color w:val="000000"/>
        </w:rPr>
        <w:t xml:space="preserve"> los contratos que ha celebrado</w:t>
      </w:r>
      <w:r>
        <w:rPr>
          <w:rFonts w:ascii="Verdana" w:eastAsia="Calibri" w:hAnsi="Verdana" w:cs="Arial"/>
          <w:color w:val="000000"/>
        </w:rPr>
        <w:t xml:space="preserve"> según </w:t>
      </w:r>
      <w:r w:rsidRPr="00B31C7B">
        <w:rPr>
          <w:rFonts w:ascii="Verdana" w:eastAsia="Calibri" w:hAnsi="Verdana" w:cs="Arial"/>
          <w:color w:val="000000"/>
        </w:rPr>
        <w:t>las particularidades de cada caso. Al respecto, la Corte Constitucional, mediante sentencia C–300 de 2012</w:t>
      </w:r>
      <w:r w:rsidRPr="00B31C7B">
        <w:rPr>
          <w:rFonts w:ascii="Verdana" w:eastAsia="Calibri" w:hAnsi="Verdana" w:cs="Arial"/>
          <w:color w:val="000000"/>
          <w:vertAlign w:val="superscript"/>
        </w:rPr>
        <w:footnoteReference w:id="2"/>
      </w:r>
      <w:r w:rsidRPr="00B31C7B">
        <w:rPr>
          <w:rFonts w:ascii="Verdana" w:eastAsia="Calibri" w:hAnsi="Verdana" w:cs="Arial"/>
          <w:color w:val="000000"/>
        </w:rPr>
        <w:t xml:space="preserve">, </w:t>
      </w:r>
      <w:r>
        <w:rPr>
          <w:rFonts w:ascii="Verdana" w:eastAsia="Calibri" w:hAnsi="Verdana" w:cs="Arial"/>
          <w:color w:val="000000"/>
        </w:rPr>
        <w:t xml:space="preserve">se refirió a </w:t>
      </w:r>
      <w:r w:rsidRPr="00B31C7B">
        <w:rPr>
          <w:rFonts w:ascii="Verdana" w:eastAsia="Calibri" w:hAnsi="Verdana" w:cs="Arial"/>
          <w:color w:val="000000"/>
        </w:rPr>
        <w:t>la posibilidad de modificar los contratos estatales</w:t>
      </w:r>
      <w:r>
        <w:rPr>
          <w:rFonts w:ascii="Verdana" w:eastAsia="Calibri" w:hAnsi="Verdana" w:cs="Arial"/>
          <w:color w:val="000000"/>
        </w:rPr>
        <w:t xml:space="preserve"> así</w:t>
      </w:r>
      <w:r w:rsidRPr="00B31C7B">
        <w:rPr>
          <w:rFonts w:ascii="Verdana" w:eastAsia="Calibri" w:hAnsi="Verdana" w:cs="Arial"/>
          <w:color w:val="000000"/>
        </w:rPr>
        <w:t>:</w:t>
      </w:r>
    </w:p>
    <w:p w14:paraId="6944E99B" w14:textId="77777777" w:rsidR="00691563" w:rsidRPr="006864B6" w:rsidRDefault="00691563" w:rsidP="00691563">
      <w:pPr>
        <w:tabs>
          <w:tab w:val="left" w:pos="284"/>
        </w:tabs>
        <w:snapToGrid w:val="0"/>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color w:val="000000"/>
          <w:sz w:val="20"/>
          <w:szCs w:val="20"/>
        </w:rPr>
        <w:t>“</w:t>
      </w:r>
      <w:r w:rsidRPr="006864B6">
        <w:rPr>
          <w:rFonts w:ascii="Verdana" w:eastAsia="Calibri" w:hAnsi="Verdana" w:cs="Arial"/>
          <w:bCs/>
          <w:color w:val="000000"/>
          <w:sz w:val="20"/>
          <w:szCs w:val="20"/>
          <w:lang w:val="es-ES"/>
        </w:rPr>
        <w:t xml:space="preserve">Por regla general, </w:t>
      </w:r>
      <w:r w:rsidRPr="006864B6">
        <w:rPr>
          <w:rFonts w:ascii="Verdana" w:eastAsia="Calibri" w:hAnsi="Verdana" w:cs="Arial"/>
          <w:b/>
          <w:bCs/>
          <w:color w:val="000000"/>
          <w:sz w:val="20"/>
          <w:szCs w:val="20"/>
          <w:lang w:val="es-ES"/>
        </w:rPr>
        <w:t>los contratos estatales pueden ser modificados cuando sea necesario para lograr su finalidad y en aras de la realización de los fines del Estado</w:t>
      </w:r>
      <w:r w:rsidRPr="006864B6">
        <w:rPr>
          <w:rFonts w:ascii="Verdana" w:eastAsia="Calibri" w:hAnsi="Verdana" w:cs="Arial"/>
          <w:bCs/>
          <w:color w:val="000000"/>
          <w:sz w:val="20"/>
          <w:szCs w:val="20"/>
          <w:lang w:val="es-ES"/>
        </w:rPr>
        <w:t>, a los cuales sirve el contrato.</w:t>
      </w:r>
      <w:r w:rsidRPr="006864B6">
        <w:rPr>
          <w:rFonts w:ascii="Verdana" w:eastAsia="Calibri" w:hAnsi="Verdana" w:cs="Arial"/>
          <w:bCs/>
          <w:color w:val="000000"/>
          <w:sz w:val="20"/>
          <w:szCs w:val="20"/>
          <w:vertAlign w:val="superscript"/>
          <w:lang w:val="es-ES"/>
        </w:rPr>
        <w:footnoteReference w:id="3"/>
      </w:r>
      <w:r w:rsidRPr="006864B6">
        <w:rPr>
          <w:rFonts w:ascii="Verdana" w:eastAsia="Calibri" w:hAnsi="Verdana" w:cs="Arial"/>
          <w:bCs/>
          <w:color w:val="000000"/>
          <w:sz w:val="20"/>
          <w:szCs w:val="20"/>
          <w:lang w:val="es-ES"/>
        </w:rPr>
        <w:t xml:space="preserve"> Así lo prevén por ejemplo los artículos 14 y 16 de la ley 80, los cuales facultan a la entidades contratantes a modificar los contratos de común acuerdo o de forma unilateral, para “(…) evitar la paralización o la afectación grave de los servicios públicos a su cargo y asegurar la inmediata, continua y adecuada prestación”, entre otros. En el mismo sentido, en la </w:t>
      </w:r>
      <w:r w:rsidRPr="006864B6">
        <w:rPr>
          <w:rFonts w:ascii="Verdana" w:eastAsia="Calibri" w:hAnsi="Verdana" w:cs="Arial"/>
          <w:b/>
          <w:bCs/>
          <w:color w:val="000000"/>
          <w:sz w:val="20"/>
          <w:szCs w:val="20"/>
          <w:lang w:val="es-ES"/>
        </w:rPr>
        <w:t>sentencia C-949 de 2001</w:t>
      </w:r>
      <w:r w:rsidRPr="006864B6">
        <w:rPr>
          <w:rFonts w:ascii="Verdana" w:eastAsia="Calibri" w:hAnsi="Verdana" w:cs="Arial"/>
          <w:bCs/>
          <w:color w:val="000000"/>
          <w:sz w:val="20"/>
          <w:szCs w:val="20"/>
          <w:vertAlign w:val="superscript"/>
          <w:lang w:val="es-ES"/>
        </w:rPr>
        <w:footnoteReference w:id="4"/>
      </w:r>
      <w:r w:rsidRPr="006864B6">
        <w:rPr>
          <w:rFonts w:ascii="Verdana" w:eastAsia="Calibri" w:hAnsi="Verdana" w:cs="Arial"/>
          <w:bCs/>
          <w:color w:val="000000"/>
          <w:sz w:val="20"/>
          <w:szCs w:val="20"/>
          <w:lang w:val="es-ES"/>
        </w:rPr>
        <w:t xml:space="preserve">, la Corte Constitucional señaló que las prórrogas de los </w:t>
      </w:r>
      <w:r w:rsidRPr="006864B6">
        <w:rPr>
          <w:rFonts w:ascii="Verdana" w:eastAsia="Calibri" w:hAnsi="Verdana" w:cs="Arial"/>
          <w:bCs/>
          <w:color w:val="000000"/>
          <w:sz w:val="20"/>
          <w:szCs w:val="20"/>
          <w:lang w:val="es-ES"/>
        </w:rPr>
        <w:lastRenderedPageBreak/>
        <w:t>contratos –como especie de modificación- pueden ser un instrumento útil para lograr los fines propios de la contratación estatal</w:t>
      </w:r>
      <w:r w:rsidRPr="006864B6">
        <w:rPr>
          <w:rFonts w:ascii="Verdana" w:eastAsia="Calibri" w:hAnsi="Verdana" w:cs="Arial"/>
          <w:bCs/>
          <w:color w:val="000000"/>
          <w:sz w:val="20"/>
          <w:szCs w:val="20"/>
          <w:vertAlign w:val="superscript"/>
          <w:lang w:val="es-ES"/>
        </w:rPr>
        <w:footnoteReference w:id="5"/>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 xml:space="preserve"> </w:t>
      </w:r>
    </w:p>
    <w:p w14:paraId="13C2C956" w14:textId="77777777" w:rsidR="00691563" w:rsidRPr="006864B6" w:rsidRDefault="00691563" w:rsidP="00691563">
      <w:pPr>
        <w:tabs>
          <w:tab w:val="left" w:pos="284"/>
        </w:tabs>
        <w:snapToGrid w:val="0"/>
        <w:spacing w:after="0" w:line="240" w:lineRule="auto"/>
        <w:ind w:left="709" w:right="709"/>
        <w:jc w:val="both"/>
        <w:rPr>
          <w:rFonts w:ascii="Verdana" w:eastAsia="Calibri" w:hAnsi="Verdana" w:cs="Arial"/>
          <w:bCs/>
          <w:color w:val="000000"/>
          <w:sz w:val="20"/>
          <w:szCs w:val="20"/>
          <w:lang w:val="es-ES"/>
        </w:rPr>
      </w:pPr>
    </w:p>
    <w:p w14:paraId="32B29C8B" w14:textId="77777777" w:rsidR="00691563" w:rsidRPr="006864B6" w:rsidRDefault="00691563" w:rsidP="00691563">
      <w:pPr>
        <w:tabs>
          <w:tab w:val="left" w:pos="284"/>
        </w:tabs>
        <w:snapToGrid w:val="0"/>
        <w:spacing w:after="0" w:line="240" w:lineRule="auto"/>
        <w:ind w:left="709" w:right="709"/>
        <w:jc w:val="both"/>
        <w:rPr>
          <w:rFonts w:ascii="Verdana" w:eastAsia="Calibri" w:hAnsi="Verdana" w:cs="Arial"/>
          <w:bCs/>
          <w:color w:val="000000"/>
          <w:sz w:val="20"/>
          <w:szCs w:val="20"/>
          <w:lang w:val="es-ES"/>
        </w:rPr>
      </w:pPr>
      <w:r>
        <w:rPr>
          <w:rFonts w:ascii="Verdana" w:eastAsia="Calibri" w:hAnsi="Verdana" w:cs="Arial"/>
          <w:bCs/>
          <w:color w:val="000000"/>
          <w:sz w:val="20"/>
          <w:szCs w:val="20"/>
          <w:lang w:val="es-ES"/>
        </w:rPr>
        <w:t>(…)</w:t>
      </w:r>
    </w:p>
    <w:p w14:paraId="092C5219" w14:textId="77777777" w:rsidR="00691563" w:rsidRDefault="00691563" w:rsidP="00691563">
      <w:pPr>
        <w:tabs>
          <w:tab w:val="left" w:pos="284"/>
        </w:tabs>
        <w:spacing w:after="0" w:line="240" w:lineRule="auto"/>
        <w:ind w:left="709" w:right="709"/>
        <w:jc w:val="both"/>
        <w:rPr>
          <w:rFonts w:ascii="Verdana" w:eastAsia="Calibri" w:hAnsi="Verdana" w:cs="Arial"/>
          <w:bCs/>
          <w:color w:val="000000"/>
          <w:sz w:val="20"/>
          <w:szCs w:val="20"/>
          <w:lang w:val="es-ES"/>
        </w:rPr>
      </w:pPr>
    </w:p>
    <w:p w14:paraId="04563525" w14:textId="77777777" w:rsidR="00691563" w:rsidRPr="006864B6" w:rsidRDefault="00691563" w:rsidP="00691563">
      <w:pPr>
        <w:tabs>
          <w:tab w:val="left" w:pos="284"/>
        </w:tabs>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bCs/>
          <w:color w:val="000000"/>
          <w:sz w:val="20"/>
          <w:szCs w:val="20"/>
          <w:lang w:val="es-ES"/>
        </w:rPr>
        <w:t xml:space="preserve">La modificación de los contratos estatales es especialmente importante en aquellos por naturaleza </w:t>
      </w:r>
      <w:r w:rsidRPr="006864B6">
        <w:rPr>
          <w:rFonts w:ascii="Verdana" w:eastAsia="Calibri" w:hAnsi="Verdana" w:cs="Arial"/>
          <w:b/>
          <w:color w:val="000000"/>
          <w:sz w:val="20"/>
          <w:szCs w:val="20"/>
          <w:lang w:val="es-ES"/>
        </w:rPr>
        <w:t>incompletos</w:t>
      </w:r>
      <w:r w:rsidRPr="006864B6">
        <w:rPr>
          <w:rFonts w:ascii="Verdana" w:eastAsia="Calibri" w:hAnsi="Verdana" w:cs="Arial"/>
          <w:bCs/>
          <w:color w:val="000000"/>
          <w:sz w:val="20"/>
          <w:szCs w:val="20"/>
          <w:lang w:val="es-ES"/>
        </w:rPr>
        <w:t xml:space="preserve">, es decir, </w:t>
      </w:r>
      <w:r w:rsidRPr="006864B6">
        <w:rPr>
          <w:rFonts w:ascii="Verdana" w:eastAsia="Calibri" w:hAnsi="Verdana" w:cs="Arial"/>
          <w:b/>
          <w:color w:val="000000"/>
          <w:sz w:val="20"/>
          <w:szCs w:val="20"/>
          <w:lang w:val="es-ES"/>
        </w:rPr>
        <w:t xml:space="preserve">(i) </w:t>
      </w:r>
      <w:r w:rsidRPr="006864B6">
        <w:rPr>
          <w:rFonts w:ascii="Verdana" w:eastAsia="Calibri" w:hAnsi="Verdana" w:cs="Arial"/>
          <w:bCs/>
          <w:color w:val="000000"/>
          <w:sz w:val="20"/>
          <w:szCs w:val="20"/>
          <w:lang w:val="es-ES"/>
        </w:rPr>
        <w:t xml:space="preserve">los afectados por asimetrías de información que impiden la previsión de todas las contingencias que pueden afectar su ejecución, y </w:t>
      </w:r>
      <w:r w:rsidRPr="006864B6">
        <w:rPr>
          <w:rFonts w:ascii="Verdana" w:eastAsia="Calibri" w:hAnsi="Verdana" w:cs="Arial"/>
          <w:b/>
          <w:color w:val="000000"/>
          <w:sz w:val="20"/>
          <w:szCs w:val="20"/>
          <w:lang w:val="es-ES"/>
        </w:rPr>
        <w:t>(</w:t>
      </w:r>
      <w:proofErr w:type="spellStart"/>
      <w:r w:rsidRPr="006864B6">
        <w:rPr>
          <w:rFonts w:ascii="Verdana" w:eastAsia="Calibri" w:hAnsi="Verdana" w:cs="Arial"/>
          <w:b/>
          <w:color w:val="000000"/>
          <w:sz w:val="20"/>
          <w:szCs w:val="20"/>
          <w:lang w:val="es-ES"/>
        </w:rPr>
        <w:t>ii</w:t>
      </w:r>
      <w:proofErr w:type="spellEnd"/>
      <w:r w:rsidRPr="006864B6">
        <w:rPr>
          <w:rFonts w:ascii="Verdana" w:eastAsia="Calibri" w:hAnsi="Verdana" w:cs="Arial"/>
          <w:b/>
          <w:color w:val="000000"/>
          <w:sz w:val="20"/>
          <w:szCs w:val="20"/>
          <w:lang w:val="es-ES"/>
        </w:rPr>
        <w:t xml:space="preserve">) </w:t>
      </w:r>
      <w:r w:rsidRPr="006864B6">
        <w:rPr>
          <w:rFonts w:ascii="Verdana" w:eastAsia="Calibri" w:hAnsi="Verdana" w:cs="Arial"/>
          <w:bCs/>
          <w:color w:val="000000"/>
          <w:sz w:val="20"/>
          <w:szCs w:val="20"/>
          <w:lang w:val="es-ES"/>
        </w:rPr>
        <w:t xml:space="preserve">en el marco de los cuales, por esa misma razón, es difícil prever </w:t>
      </w:r>
      <w:r w:rsidRPr="006864B6">
        <w:rPr>
          <w:rFonts w:ascii="Verdana" w:eastAsia="Calibri" w:hAnsi="Verdana" w:cs="Arial"/>
          <w:bCs/>
          <w:i/>
          <w:iCs/>
          <w:color w:val="000000"/>
          <w:sz w:val="20"/>
          <w:szCs w:val="20"/>
          <w:lang w:val="es-ES"/>
        </w:rPr>
        <w:t xml:space="preserve">ex ante </w:t>
      </w:r>
      <w:r w:rsidRPr="006864B6">
        <w:rPr>
          <w:rFonts w:ascii="Verdana" w:eastAsia="Calibri" w:hAnsi="Verdana" w:cs="Arial"/>
          <w:bCs/>
          <w:color w:val="000000"/>
          <w:sz w:val="20"/>
          <w:szCs w:val="20"/>
          <w:lang w:val="es-ES"/>
        </w:rPr>
        <w:t>los remedios necesarios para afrontar tales contingencias, como ocurre por lo general con los contratos de largo plazo.</w:t>
      </w:r>
      <w:r w:rsidRPr="006864B6">
        <w:rPr>
          <w:rFonts w:ascii="Verdana" w:eastAsia="Calibri" w:hAnsi="Verdana" w:cs="Arial"/>
          <w:bCs/>
          <w:color w:val="000000"/>
          <w:sz w:val="20"/>
          <w:szCs w:val="20"/>
          <w:vertAlign w:val="superscript"/>
          <w:lang w:val="es-ES"/>
        </w:rPr>
        <w:footnoteReference w:id="6"/>
      </w:r>
      <w:r w:rsidRPr="006864B6">
        <w:rPr>
          <w:rFonts w:ascii="Verdana" w:eastAsia="Calibri" w:hAnsi="Verdana" w:cs="Arial"/>
          <w:bCs/>
          <w:color w:val="000000"/>
          <w:sz w:val="20"/>
          <w:szCs w:val="20"/>
          <w:lang w:val="es-ES"/>
        </w:rPr>
        <w:t xml:space="preserve"> En efecto, con el paso del tiempo, pueden surgir nuevas exigencias sociales, tecnológicas, culturales, etc. sobre la forma cómo el Estado debe cumplir sus fines y sobre cómo se deben prestar los servicios públicos, o simplemente pueden aparecer circunstancias extraordinarias e imprevisibles al momento del diseño del negocio, para las que tampoco era posible, en dicho momento, prever un remedio adecuado y específico. En este tipo de contratos es preciso entonces el diseño de reglas que permitan la adaptación y la resolución pacífica de las controversias para evitar el fracaso” </w:t>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énfasis dentro del texto</w:t>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w:t>
      </w:r>
    </w:p>
    <w:p w14:paraId="7A41786C" w14:textId="77777777" w:rsidR="00691563" w:rsidRPr="00E54E87" w:rsidRDefault="00691563" w:rsidP="00691563">
      <w:pPr>
        <w:tabs>
          <w:tab w:val="left" w:pos="284"/>
        </w:tabs>
        <w:spacing w:after="0" w:line="240" w:lineRule="auto"/>
        <w:ind w:left="1049" w:right="709"/>
        <w:jc w:val="both"/>
        <w:rPr>
          <w:rFonts w:ascii="Verdana" w:eastAsia="Arial MT" w:hAnsi="Verdana" w:cs="Arial"/>
          <w:color w:val="000000"/>
        </w:rPr>
      </w:pPr>
    </w:p>
    <w:p w14:paraId="3CB5B8FA" w14:textId="77777777" w:rsidR="00691563" w:rsidRPr="00B31C7B" w:rsidRDefault="00691563" w:rsidP="00691563">
      <w:pPr>
        <w:widowControl w:val="0"/>
        <w:autoSpaceDE w:val="0"/>
        <w:autoSpaceDN w:val="0"/>
        <w:spacing w:after="0" w:line="276" w:lineRule="auto"/>
        <w:ind w:right="-2" w:firstLine="709"/>
        <w:jc w:val="both"/>
        <w:rPr>
          <w:rFonts w:ascii="Verdana" w:eastAsia="Calibri" w:hAnsi="Verdana" w:cs="Arial"/>
          <w:color w:val="000000"/>
        </w:rPr>
      </w:pPr>
      <w:r w:rsidRPr="00B31C7B">
        <w:rPr>
          <w:rFonts w:ascii="Verdana" w:eastAsia="Calibri" w:hAnsi="Verdana" w:cs="Arial"/>
          <w:color w:val="000000"/>
        </w:rPr>
        <w:t>A su turno, el Consejo de Estado</w:t>
      </w:r>
      <w:r w:rsidRPr="00B31C7B">
        <w:rPr>
          <w:rFonts w:ascii="Verdana" w:eastAsia="Calibri" w:hAnsi="Verdana" w:cs="Arial"/>
          <w:color w:val="000000"/>
          <w:vertAlign w:val="superscript"/>
        </w:rPr>
        <w:footnoteReference w:id="7"/>
      </w:r>
      <w:r w:rsidRPr="00B31C7B">
        <w:rPr>
          <w:rFonts w:ascii="Verdana" w:eastAsia="Calibri" w:hAnsi="Verdana" w:cs="Arial"/>
          <w:color w:val="000000"/>
        </w:rPr>
        <w:t>, ha</w:t>
      </w:r>
      <w:r>
        <w:rPr>
          <w:rFonts w:ascii="Verdana" w:eastAsia="Calibri" w:hAnsi="Verdana" w:cs="Arial"/>
          <w:color w:val="000000"/>
        </w:rPr>
        <w:t xml:space="preserve"> resaltado que la necesidad de modificar los contratos estatales persigue el cumplimiento de ciertos fines. De esta manera, aunque estos contratos se puedan modificar por acuerdo de la voluntad de las partes, este no puede ser el único fundamento. Señala entonces que las modificaciones deben obedecer a causas reales y ciertas derivadas de la ley y no únicamente de la voluntad de las partes</w:t>
      </w:r>
      <w:r w:rsidRPr="00B31C7B">
        <w:rPr>
          <w:rFonts w:ascii="Verdana" w:eastAsia="Calibri" w:hAnsi="Verdana" w:cs="Arial"/>
          <w:color w:val="000000"/>
        </w:rPr>
        <w:t>:</w:t>
      </w:r>
    </w:p>
    <w:p w14:paraId="22861E79" w14:textId="77777777" w:rsidR="00691563" w:rsidRPr="00B31C7B" w:rsidRDefault="00691563" w:rsidP="00691563">
      <w:pPr>
        <w:widowControl w:val="0"/>
        <w:autoSpaceDE w:val="0"/>
        <w:autoSpaceDN w:val="0"/>
        <w:spacing w:after="0" w:line="240" w:lineRule="auto"/>
        <w:ind w:firstLine="709"/>
        <w:jc w:val="both"/>
        <w:rPr>
          <w:rFonts w:ascii="Verdana" w:eastAsia="Calibri" w:hAnsi="Verdana" w:cs="Arial"/>
          <w:color w:val="000000"/>
        </w:rPr>
      </w:pPr>
    </w:p>
    <w:p w14:paraId="0E4BBEA8" w14:textId="77777777" w:rsidR="00691563" w:rsidRDefault="00691563" w:rsidP="00691563">
      <w:pPr>
        <w:tabs>
          <w:tab w:val="left" w:pos="284"/>
        </w:tabs>
        <w:snapToGrid w:val="0"/>
        <w:spacing w:after="12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lastRenderedPageBreak/>
        <w:t>“</w:t>
      </w:r>
      <w:r>
        <w:rPr>
          <w:rFonts w:ascii="Verdana" w:eastAsia="Calibri" w:hAnsi="Verdana" w:cs="Arial"/>
          <w:color w:val="000000"/>
          <w:sz w:val="20"/>
          <w:szCs w:val="20"/>
        </w:rPr>
        <w:t xml:space="preserve">[…] </w:t>
      </w:r>
      <w:r w:rsidRPr="006864B6">
        <w:rPr>
          <w:rFonts w:ascii="Verdana" w:eastAsia="Calibri" w:hAnsi="Verdana" w:cs="Arial"/>
          <w:color w:val="000000"/>
          <w:sz w:val="20"/>
          <w:szCs w:val="20"/>
        </w:rPr>
        <w:t>la posibilidad de modificar los contratos estatales es una especial forma de hacer prevalecer la finalidad del contrato sobre los restantes elementos del mismo. Por mutabilidad del contrato estatal se entiende el derecho que tiene la administración de variar, dadas ciertas condiciones, las obligaciones a cargo del contratista particular, cuando sea necesario para el cumplimiento del objeto y de los fines generales del Estado.</w:t>
      </w:r>
    </w:p>
    <w:p w14:paraId="0ADDFD70" w14:textId="77777777" w:rsidR="00691563" w:rsidRDefault="00691563" w:rsidP="00691563">
      <w:pPr>
        <w:tabs>
          <w:tab w:val="left" w:pos="284"/>
        </w:tabs>
        <w:snapToGrid w:val="0"/>
        <w:spacing w:before="120" w:after="12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p>
    <w:p w14:paraId="01507354" w14:textId="77777777" w:rsidR="00691563" w:rsidRPr="006864B6" w:rsidRDefault="00691563" w:rsidP="00691563">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La ley permite una cierta discrecionalidad en la toma de las decisiones de modificar los contratos, pues es muy difícil regular detalladamente el tema, en especial ante la infinidad de situaciones que pueden presentarse durante la ejecución. Por esto utiliza locuciones relativamente amplias, a las que debe someterse la administración</w:t>
      </w:r>
      <w:r>
        <w:rPr>
          <w:rFonts w:ascii="Verdana" w:eastAsia="Calibri" w:hAnsi="Verdana" w:cs="Arial"/>
          <w:color w:val="000000"/>
          <w:sz w:val="20"/>
          <w:szCs w:val="20"/>
        </w:rPr>
        <w:t xml:space="preserve"> […] </w:t>
      </w:r>
      <w:r w:rsidRPr="006864B6">
        <w:rPr>
          <w:rFonts w:ascii="Verdana" w:eastAsia="Calibri" w:hAnsi="Verdana" w:cs="Arial"/>
          <w:color w:val="000000"/>
          <w:sz w:val="20"/>
          <w:szCs w:val="20"/>
        </w:rPr>
        <w:t>Nótese que, sin embargo, en ellas van inmersas las ideas de una causa cierta y unos fines públicos que hay que salvaguardar.</w:t>
      </w:r>
    </w:p>
    <w:p w14:paraId="0665157E" w14:textId="77777777" w:rsidR="00691563" w:rsidRDefault="00691563" w:rsidP="00691563">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Puede adicionarse una razón a las expuestas para justificar que </w:t>
      </w:r>
      <w:r w:rsidRPr="000B0886">
        <w:rPr>
          <w:rFonts w:ascii="Verdana" w:eastAsia="Calibri" w:hAnsi="Verdana" w:cs="Arial"/>
          <w:i/>
          <w:iCs/>
          <w:color w:val="000000"/>
          <w:sz w:val="20"/>
          <w:szCs w:val="20"/>
          <w:u w:val="single"/>
        </w:rPr>
        <w:t>la simple voluntad de las partes no es causa de modificación de los contratos estatales, la cual consiste en el respeto por el principio de igualdad de los oferentes</w:t>
      </w:r>
      <w:r w:rsidRPr="006864B6">
        <w:rPr>
          <w:rFonts w:ascii="Verdana" w:eastAsia="Calibri" w:hAnsi="Verdana" w:cs="Arial"/>
          <w:color w:val="000000"/>
          <w:sz w:val="20"/>
          <w:szCs w:val="20"/>
        </w:rPr>
        <w:t xml:space="preserve">. Si se acepta que los contratos pueden modificarse por el simple común acuerdo, fácilmente se podría licitar determinado objeto con el fin de adjudicárselo a cierta persona, a sabiendas de que se cambiarán las obligaciones, una vez celebrado. </w:t>
      </w:r>
    </w:p>
    <w:p w14:paraId="6EF62A2F" w14:textId="77777777" w:rsidR="00691563" w:rsidRPr="006864B6" w:rsidRDefault="00691563" w:rsidP="00691563">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De lo expuesto, y a manera de solución al interrogante planteado, surgen estas dos ideas que han servido de hilo conductor al análisis que aquí se hace: el mutuo acuerdo es una forma de modificación del contrato estatal, la más usada en la práctica y preferida por la legislación vigente; advirtiendo, y esta es la segunda idea, que </w:t>
      </w:r>
      <w:r w:rsidRPr="000B0886">
        <w:rPr>
          <w:rFonts w:ascii="Verdana" w:eastAsia="Calibri" w:hAnsi="Verdana" w:cs="Arial"/>
          <w:i/>
          <w:iCs/>
          <w:color w:val="000000"/>
          <w:sz w:val="20"/>
          <w:szCs w:val="20"/>
          <w:u w:val="single"/>
        </w:rPr>
        <w:t>toda modificación debe tener una causa real y cierta, contemplada en la ley, diferente de la mera voluntad de los contratantes</w:t>
      </w:r>
      <w:r w:rsidRPr="006864B6">
        <w:rPr>
          <w:rFonts w:ascii="Verdana" w:eastAsia="Calibri" w:hAnsi="Verdana" w:cs="Arial"/>
          <w:color w:val="000000"/>
          <w:sz w:val="20"/>
          <w:szCs w:val="20"/>
        </w:rPr>
        <w:t>”.</w:t>
      </w:r>
    </w:p>
    <w:p w14:paraId="74BD473D" w14:textId="77777777" w:rsidR="00691563" w:rsidRPr="00E54E87" w:rsidRDefault="00691563" w:rsidP="00691563">
      <w:pPr>
        <w:tabs>
          <w:tab w:val="left" w:pos="284"/>
        </w:tabs>
        <w:spacing w:after="0" w:line="276" w:lineRule="auto"/>
        <w:ind w:left="709" w:right="709"/>
        <w:jc w:val="both"/>
        <w:rPr>
          <w:rFonts w:ascii="Verdana" w:eastAsia="Calibri" w:hAnsi="Verdana" w:cs="Arial"/>
          <w:color w:val="000000"/>
        </w:rPr>
      </w:pPr>
    </w:p>
    <w:p w14:paraId="1C62DAFC" w14:textId="77777777" w:rsidR="00691563" w:rsidRPr="000E3F53" w:rsidRDefault="00691563" w:rsidP="00691563">
      <w:pPr>
        <w:widowControl w:val="0"/>
        <w:autoSpaceDE w:val="0"/>
        <w:autoSpaceDN w:val="0"/>
        <w:ind w:firstLine="709"/>
        <w:jc w:val="both"/>
        <w:rPr>
          <w:rFonts w:ascii="Verdana" w:eastAsia="Arial" w:hAnsi="Verdana" w:cs="Arial"/>
          <w:color w:val="000000"/>
          <w:lang w:val="es-MX" w:eastAsia="es-ES" w:bidi="es-ES"/>
        </w:rPr>
      </w:pPr>
      <w:r w:rsidRPr="00B31C7B">
        <w:rPr>
          <w:rFonts w:ascii="Verdana" w:eastAsia="Arial" w:hAnsi="Verdana" w:cs="Arial"/>
          <w:color w:val="000000"/>
          <w:lang w:val="es-ES" w:eastAsia="es-ES" w:bidi="es-ES"/>
        </w:rPr>
        <w:t xml:space="preserve">En el mismo sentido, en el Concepto 2263 del 17 de marzo del 2016, la Sala de Consulta y Servicio Civil del Consejo de Estado precisó que </w:t>
      </w:r>
      <w:r w:rsidRPr="00B31C7B">
        <w:rPr>
          <w:rFonts w:ascii="Verdana" w:eastAsia="Arial" w:hAnsi="Verdana" w:cs="Arial"/>
          <w:color w:val="000000"/>
          <w:lang w:val="es-MX" w:eastAsia="es-ES" w:bidi="es-ES"/>
        </w:rPr>
        <w:t xml:space="preserve">la regla general es la no modificación del contrato, y la vía excepcional su modificación, sometida a </w:t>
      </w:r>
      <w:r>
        <w:rPr>
          <w:rFonts w:ascii="Verdana" w:eastAsia="Arial" w:hAnsi="Verdana" w:cs="Arial"/>
          <w:color w:val="000000"/>
          <w:lang w:val="es-MX" w:eastAsia="es-ES" w:bidi="es-ES"/>
        </w:rPr>
        <w:t xml:space="preserve">los siguientes </w:t>
      </w:r>
      <w:r w:rsidRPr="00B31C7B">
        <w:rPr>
          <w:rFonts w:ascii="Verdana" w:eastAsia="Arial" w:hAnsi="Verdana" w:cs="Arial"/>
          <w:color w:val="000000"/>
          <w:lang w:val="es-MX" w:eastAsia="es-ES" w:bidi="es-ES"/>
        </w:rPr>
        <w:t>límites legales:</w:t>
      </w:r>
    </w:p>
    <w:p w14:paraId="1777B7B6" w14:textId="77777777" w:rsidR="00691563" w:rsidRDefault="00691563" w:rsidP="00691563">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“1. La necesidad de preservar los principios de igualdad, transparencia y libertad de concurrencia, durante la fase de ejecución del contrato. </w:t>
      </w:r>
    </w:p>
    <w:p w14:paraId="66CF8380" w14:textId="77777777" w:rsidR="00691563" w:rsidRPr="00B31C7B" w:rsidRDefault="00691563" w:rsidP="00691563">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Este límite encuentra sustento en el hecho de que, para celebrar contratos estatales las entidades públicas eligen, dentro de un “régimen de concurrencia y de igualdad, las mejores condiciones de costo, calidad e idoneidad de la prestación requerida”, lo que supone que la selección objetiva de la oferta más favorable, se dirige a salvaguardar el interés público y, por lo tanto, celebrado el contrato en esas condiciones,  su </w:t>
      </w:r>
      <w:r w:rsidRPr="00B31C7B">
        <w:rPr>
          <w:rFonts w:ascii="Verdana" w:eastAsia="Calibri" w:hAnsi="Verdana" w:cs="Arial"/>
          <w:color w:val="000000"/>
          <w:sz w:val="20"/>
          <w:szCs w:val="20"/>
        </w:rPr>
        <w:lastRenderedPageBreak/>
        <w:t>eventual modificación debe asegurar que lo adjudicado, y posteriormente alterado, consulte la mejor opción para el servicio público.</w:t>
      </w:r>
    </w:p>
    <w:p w14:paraId="41F4C328" w14:textId="77777777" w:rsidR="00691563" w:rsidRPr="00B31C7B" w:rsidRDefault="00691563" w:rsidP="00691563">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Así, según lo expuesto en el concepto en cuestión “la aplicación de los principios de transparencia, de libertad de concurrencia y de igualdad, consagrados en el Estatuto Contractual, y las reglas sustanciales del pliego de condiciones, que permitieron elegir la mejor oferta, previo cumplimiento de los requisitos habilitantes y de ponderación, deben ser de estricta observancia por la Administración y por el contratista, y sus efectos trascienden y se aplican durante la ejecución del contrato y en su liquidación, como garantía de inalterabilidad de lo pactado y de acatamiento a la legalidad de las reglas aplicadas en la actuación previa.</w:t>
      </w:r>
    </w:p>
    <w:p w14:paraId="65EFA075" w14:textId="77777777" w:rsidR="00691563" w:rsidRDefault="00691563" w:rsidP="00691563">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2.Límites de orden temporal, entre los que están comprendidos: i) la vigencia del contrato, pues no podría modificarse un contrato cuyo plazo ha culminado y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la prohibición de consagrar prórrogas automáticas, sucesivas o indefinidas, en tanto resultan contrarias al derecho esencial de la libertad de competencia.</w:t>
      </w:r>
    </w:p>
    <w:p w14:paraId="34EB9AEC" w14:textId="77777777" w:rsidR="00691563" w:rsidRPr="00B31C7B" w:rsidRDefault="00691563" w:rsidP="00691563">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3. Límites de orden formal, que comprenden: i) La solemnidad del contrato de modificación, derivada del carácter solemne del contrato estatal, que exige que la modificación de los contratos conste por escrito</w:t>
      </w:r>
      <w:r w:rsidRPr="00B31C7B">
        <w:rPr>
          <w:rFonts w:ascii="Verdana" w:eastAsia="Calibri" w:hAnsi="Verdana" w:cs="Arial"/>
          <w:color w:val="000000"/>
          <w:sz w:val="20"/>
          <w:szCs w:val="20"/>
          <w:vertAlign w:val="superscript"/>
        </w:rPr>
        <w:footnoteReference w:id="8"/>
      </w:r>
      <w:r w:rsidRPr="00B31C7B">
        <w:rPr>
          <w:rFonts w:ascii="Verdana" w:eastAsia="Calibri" w:hAnsi="Verdana" w:cs="Arial"/>
          <w:color w:val="000000"/>
          <w:sz w:val="20"/>
          <w:szCs w:val="20"/>
        </w:rPr>
        <w:t xml:space="preserve">;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la motivación y justificación de la modificación, la cual constituye un elemento esencial que permite determinar la juridicidad y la necesidad de una modificación determinada; así como su racionalidad y la proporcionalidad de su contenido.</w:t>
      </w:r>
    </w:p>
    <w:p w14:paraId="4DA31139" w14:textId="77777777" w:rsidR="00691563" w:rsidRPr="00AD53BB" w:rsidRDefault="00691563" w:rsidP="00691563">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4. Límites de orden material, que corresponden a: i) la prohibición de modificar las condiciones sustanciales del contrato, que se presentará en los casos en que se incluyan elementos que, “habiendo figurado en el procedimiento inicial, hubiera permitido la participación de otros interesados aparte de los inicialmente admitidos, o seleccionar una oferta distinta de la inicialmente seleccionada”.</w:t>
      </w:r>
    </w:p>
    <w:p w14:paraId="03D8881C" w14:textId="77777777" w:rsidR="00691563" w:rsidRPr="00E54E87" w:rsidRDefault="00691563" w:rsidP="00691563">
      <w:pPr>
        <w:tabs>
          <w:tab w:val="left" w:pos="284"/>
        </w:tabs>
        <w:spacing w:after="0" w:line="240" w:lineRule="auto"/>
        <w:ind w:left="709" w:right="709"/>
        <w:jc w:val="both"/>
        <w:rPr>
          <w:rFonts w:ascii="Verdana" w:eastAsia="Calibri" w:hAnsi="Verdana" w:cs="Arial"/>
          <w:color w:val="000000"/>
        </w:rPr>
      </w:pPr>
    </w:p>
    <w:p w14:paraId="24EA49D4" w14:textId="77777777" w:rsidR="00691563" w:rsidRPr="00B31C7B" w:rsidRDefault="00691563" w:rsidP="00691563">
      <w:pPr>
        <w:widowControl w:val="0"/>
        <w:autoSpaceDE w:val="0"/>
        <w:autoSpaceDN w:val="0"/>
        <w:ind w:right="102" w:firstLine="709"/>
        <w:jc w:val="both"/>
        <w:rPr>
          <w:rFonts w:ascii="Verdana" w:eastAsia="Arial" w:hAnsi="Verdana" w:cs="Arial"/>
          <w:color w:val="000000"/>
          <w:lang w:val="es-MX" w:eastAsia="es-ES" w:bidi="es-ES"/>
        </w:rPr>
      </w:pPr>
      <w:r w:rsidRPr="00B31C7B">
        <w:rPr>
          <w:rFonts w:ascii="Verdana" w:eastAsia="Arial" w:hAnsi="Verdana" w:cs="Arial"/>
          <w:color w:val="000000"/>
          <w:lang w:val="es-MX" w:eastAsia="es-ES" w:bidi="es-ES"/>
        </w:rPr>
        <w:t>Sobre el alcance de dicha prohibición, la Sala de Consulta y Servicio Civil expresó lo siguiente</w:t>
      </w:r>
      <w:r w:rsidRPr="00B31C7B">
        <w:rPr>
          <w:rFonts w:ascii="Verdana" w:eastAsia="Arial" w:hAnsi="Verdana" w:cs="Arial"/>
          <w:color w:val="000000"/>
          <w:vertAlign w:val="superscript"/>
          <w:lang w:val="es-MX" w:eastAsia="es-ES" w:bidi="es-ES"/>
        </w:rPr>
        <w:footnoteReference w:id="9"/>
      </w:r>
      <w:r w:rsidRPr="00B31C7B">
        <w:rPr>
          <w:rFonts w:ascii="Verdana" w:eastAsia="Arial" w:hAnsi="Verdana" w:cs="Arial"/>
          <w:color w:val="000000"/>
          <w:lang w:val="es-MX" w:eastAsia="es-ES" w:bidi="es-ES"/>
        </w:rPr>
        <w:t>:</w:t>
      </w:r>
    </w:p>
    <w:p w14:paraId="4B1F1192" w14:textId="77777777" w:rsidR="00691563" w:rsidRPr="00B31C7B" w:rsidRDefault="00691563" w:rsidP="00691563">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“Así, frente a circunstancias excepcionales la Administración podría usar 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Estado </w:t>
      </w:r>
      <w:r w:rsidRPr="00B31C7B">
        <w:rPr>
          <w:rFonts w:ascii="Verdana" w:eastAsia="Arial" w:hAnsi="Verdana" w:cs="Arial"/>
          <w:bCs/>
          <w:iCs/>
          <w:color w:val="000000"/>
          <w:sz w:val="20"/>
          <w:szCs w:val="20"/>
          <w:lang w:val="es-MX" w:eastAsia="es-ES" w:bidi="es-ES"/>
        </w:rPr>
        <w:lastRenderedPageBreak/>
        <w:t>aportan los elementos necesarios que permiten orientar a la Administración sobre esta vía excepcional y sus requisitos:</w:t>
      </w:r>
    </w:p>
    <w:p w14:paraId="01F1F9CA" w14:textId="77777777" w:rsidR="00691563" w:rsidRDefault="00691563" w:rsidP="00691563">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No podría aceptarse un poder ilimitado o absoluto de modificación, aun frente a circunstancias excepcionales. Por ello la modificación no podrá afectar el núcleo esencial del objeto, o la naturaleza global del contrato. Con independencia de las razones y circunstancias imprevisibles que puedan presentarse, no es posible que el contrato mute o se transforme en un contrato sustancialmente distinto. Si se sustituyen las obras, los suministros o los servicios pactados por otros diferentes, o se modifica el tipo de contratación, o el núcleo esencial del objeto, se presentaría una novación del negocio jurídico y su objeto.</w:t>
      </w:r>
    </w:p>
    <w:p w14:paraId="3B087580" w14:textId="77777777" w:rsidR="00691563" w:rsidRDefault="00691563" w:rsidP="00691563">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w:t>
      </w:r>
    </w:p>
    <w:p w14:paraId="4E909567" w14:textId="77777777" w:rsidR="00691563" w:rsidRDefault="00691563" w:rsidP="00691563">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-Las causas que justificarían la modificación del contrato deben obedecer al acaecimiento de situaciones o circunstancias imposibles de prever, con una diligencia debida, que hagan imperiosa o necesaria la modificación de algunas estipulaciones del contrato, como única manera de conjurarlas. Debe tratarse de la existencia de circunstancias surgidas de un riesgo imprevisible, no necesariamente de una situación no prevista, que pueda razonablemente considerarse en un futuro mediato o que debieron ser previstas en la etapa de planeación del contrato. Ello supone la existencia de circunstancias posteriores, externas a las partes 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1BC08276" w14:textId="77777777" w:rsidR="00691563" w:rsidRDefault="00691563" w:rsidP="00691563">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 xml:space="preserve">[…] </w:t>
      </w:r>
    </w:p>
    <w:p w14:paraId="4359ADE0" w14:textId="77777777" w:rsidR="00691563" w:rsidRDefault="00691563" w:rsidP="00691563">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-La existencia de una necesidad de servicio público que justifique la modificación, hasta el punto de conjurar la nueva necesidad. La acreditación de estas circunstancias estará a cargo de la entidad estatal, justificada en los estudios previos y en la debida motivación del contrato modificatorio.</w:t>
      </w:r>
    </w:p>
    <w:p w14:paraId="62704F60" w14:textId="77777777" w:rsidR="00691563" w:rsidRDefault="00691563" w:rsidP="00691563">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-El cumplimiento del límite cuantitativo consagrado en la ley para los contratos adicionales. </w:t>
      </w:r>
    </w:p>
    <w:p w14:paraId="09A21063" w14:textId="77777777" w:rsidR="00691563" w:rsidRDefault="00691563" w:rsidP="00691563">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w:t>
      </w:r>
    </w:p>
    <w:p w14:paraId="295B58C5" w14:textId="77777777" w:rsidR="00691563" w:rsidRDefault="00691563" w:rsidP="00691563">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ES_tradnl" w:eastAsia="es-ES" w:bidi="es-ES"/>
        </w:rPr>
      </w:pPr>
      <w:r w:rsidRPr="00B31C7B">
        <w:rPr>
          <w:rFonts w:ascii="Verdana" w:eastAsia="Arial" w:hAnsi="Verdana" w:cs="Arial"/>
          <w:bCs/>
          <w:iCs/>
          <w:color w:val="000000"/>
          <w:sz w:val="20"/>
          <w:szCs w:val="20"/>
          <w:lang w:val="es-MX" w:eastAsia="es-ES" w:bidi="es-ES"/>
        </w:rPr>
        <w:t>-Debe tratarse de prestaciones necesarias e inseparables técnica o económicamente del contrato inicial, que no permitan su uso o aprovechamiento independiente. La modificación de las condiciones de la prestación o del contrato debe presuponer que no pueda ser materia de un nuevo proceso de selección, o de su contratación con un tercero, en razón a que, por su naturaleza, resulte inseparable técnica o económicamente de la prestación pactada en el contrato inicial</w:t>
      </w:r>
      <w:r>
        <w:rPr>
          <w:rFonts w:ascii="Verdana" w:eastAsia="Arial" w:hAnsi="Verdana" w:cs="Arial"/>
          <w:bCs/>
          <w:iCs/>
          <w:color w:val="000000"/>
          <w:sz w:val="20"/>
          <w:szCs w:val="20"/>
          <w:lang w:val="es-MX" w:eastAsia="es-ES" w:bidi="es-ES"/>
        </w:rPr>
        <w:t>”</w:t>
      </w:r>
      <w:r w:rsidRPr="00B31C7B">
        <w:rPr>
          <w:rFonts w:ascii="Verdana" w:eastAsia="Arial" w:hAnsi="Verdana" w:cs="Arial"/>
          <w:bCs/>
          <w:iCs/>
          <w:color w:val="000000"/>
          <w:sz w:val="20"/>
          <w:szCs w:val="20"/>
          <w:lang w:val="es-ES_tradnl" w:eastAsia="es-ES" w:bidi="es-ES"/>
        </w:rPr>
        <w:t>.</w:t>
      </w:r>
    </w:p>
    <w:p w14:paraId="306936E3" w14:textId="77777777" w:rsidR="00691563" w:rsidRDefault="00691563" w:rsidP="00691563">
      <w:pPr>
        <w:widowControl w:val="0"/>
        <w:autoSpaceDE w:val="0"/>
        <w:autoSpaceDN w:val="0"/>
        <w:spacing w:after="0" w:line="276" w:lineRule="auto"/>
        <w:ind w:right="49" w:firstLine="708"/>
        <w:jc w:val="both"/>
        <w:rPr>
          <w:rFonts w:ascii="Verdana" w:eastAsia="Arial" w:hAnsi="Verdana" w:cs="Arial"/>
          <w:lang w:val="es-MX" w:eastAsia="es-ES" w:bidi="es-ES"/>
        </w:rPr>
      </w:pPr>
    </w:p>
    <w:p w14:paraId="4F6B7A94" w14:textId="77777777" w:rsidR="00691563" w:rsidRPr="00AD53BB" w:rsidRDefault="00691563" w:rsidP="00691563">
      <w:pPr>
        <w:widowControl w:val="0"/>
        <w:autoSpaceDE w:val="0"/>
        <w:autoSpaceDN w:val="0"/>
        <w:spacing w:line="276" w:lineRule="auto"/>
        <w:ind w:right="51" w:firstLine="709"/>
        <w:jc w:val="both"/>
        <w:rPr>
          <w:rFonts w:ascii="Verdana" w:eastAsia="Arial" w:hAnsi="Verdana" w:cs="Arial"/>
          <w:lang w:val="es-MX" w:eastAsia="es-ES" w:bidi="es-ES"/>
        </w:rPr>
      </w:pPr>
      <w:r w:rsidRPr="00AD53BB">
        <w:rPr>
          <w:rFonts w:ascii="Verdana" w:eastAsia="Arial" w:hAnsi="Verdana" w:cs="Arial"/>
          <w:lang w:val="es-MX" w:eastAsia="es-ES" w:bidi="es-ES"/>
        </w:rPr>
        <w:t>En efecto,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 Estos límites deben ser respetados por la entidad contratante para preservar los principios de origen legal, como el de planeación, selección objetiva, libre concurrencia, transparencia, igualdad, entre otros</w:t>
      </w:r>
      <w:r w:rsidRPr="00AD53BB">
        <w:rPr>
          <w:rFonts w:ascii="Verdana" w:eastAsia="Arial" w:hAnsi="Verdana" w:cs="Arial"/>
          <w:vertAlign w:val="superscript"/>
          <w:lang w:val="es-MX" w:eastAsia="es-ES" w:bidi="es-ES"/>
        </w:rPr>
        <w:footnoteReference w:id="10"/>
      </w:r>
      <w:r w:rsidRPr="00AD53BB">
        <w:rPr>
          <w:rFonts w:ascii="Verdana" w:eastAsia="Arial" w:hAnsi="Verdana" w:cs="Arial"/>
          <w:lang w:val="es-MX" w:eastAsia="es-ES" w:bidi="es-ES"/>
        </w:rPr>
        <w:t xml:space="preserve">. </w:t>
      </w:r>
    </w:p>
    <w:p w14:paraId="694A70FB" w14:textId="77777777" w:rsidR="00691563" w:rsidRDefault="00691563" w:rsidP="00691563">
      <w:pPr>
        <w:widowControl w:val="0"/>
        <w:autoSpaceDE w:val="0"/>
        <w:autoSpaceDN w:val="0"/>
        <w:spacing w:line="276" w:lineRule="auto"/>
        <w:ind w:firstLine="709"/>
        <w:jc w:val="both"/>
        <w:rPr>
          <w:rFonts w:ascii="Verdana" w:eastAsia="Calibri" w:hAnsi="Verdana" w:cs="Arial"/>
        </w:rPr>
      </w:pPr>
      <w:r w:rsidRPr="00B31C7B">
        <w:rPr>
          <w:rFonts w:ascii="Verdana" w:hAnsi="Verdana"/>
        </w:rPr>
        <w:t xml:space="preserve">Dentro de los límites de </w:t>
      </w:r>
      <w:r w:rsidRPr="00B31C7B">
        <w:rPr>
          <w:rFonts w:ascii="Verdana" w:hAnsi="Verdana"/>
          <w:i/>
        </w:rPr>
        <w:t xml:space="preserve">orden temporal </w:t>
      </w:r>
      <w:r w:rsidRPr="00B31C7B">
        <w:rPr>
          <w:rFonts w:ascii="Verdana" w:hAnsi="Verdana"/>
        </w:rPr>
        <w:t xml:space="preserve">están comprendidos: </w:t>
      </w:r>
      <w:r w:rsidRPr="00B31C7B">
        <w:rPr>
          <w:rFonts w:ascii="Verdana" w:eastAsia="Arial" w:hAnsi="Verdana" w:cs="Arial"/>
          <w:lang w:val="es-MX" w:eastAsia="es-ES" w:bidi="es-ES"/>
        </w:rPr>
        <w:t xml:space="preserve">i) la vigencia del contrato, pues no podría modificarse un contrato cuyo plazo ha culminado y; </w:t>
      </w:r>
      <w:proofErr w:type="spellStart"/>
      <w:r w:rsidRPr="00B31C7B">
        <w:rPr>
          <w:rFonts w:ascii="Verdana" w:eastAsia="Arial" w:hAnsi="Verdana" w:cs="Arial"/>
          <w:lang w:val="es-MX" w:eastAsia="es-ES" w:bidi="es-ES"/>
        </w:rPr>
        <w:t>ii</w:t>
      </w:r>
      <w:proofErr w:type="spellEnd"/>
      <w:r w:rsidRPr="00B31C7B">
        <w:rPr>
          <w:rFonts w:ascii="Verdana" w:eastAsia="Arial" w:hAnsi="Verdana" w:cs="Arial"/>
          <w:lang w:val="es-MX" w:eastAsia="es-ES" w:bidi="es-ES"/>
        </w:rPr>
        <w:t>) la prohibición de consagrar prórrogas automáticas, sucesivas o indefinidas, en tanto resultan contrarias al derecho esencial de la libertad de competencia.</w:t>
      </w:r>
      <w:r w:rsidRPr="00B31C7B">
        <w:rPr>
          <w:rFonts w:ascii="Verdana" w:eastAsia="Calibri" w:hAnsi="Verdana" w:cs="Arial"/>
        </w:rPr>
        <w:t xml:space="preserve"> </w:t>
      </w:r>
    </w:p>
    <w:p w14:paraId="67DD38A1" w14:textId="77777777" w:rsidR="00691563" w:rsidRPr="000E3F53" w:rsidRDefault="00691563" w:rsidP="00691563">
      <w:pPr>
        <w:widowControl w:val="0"/>
        <w:autoSpaceDE w:val="0"/>
        <w:autoSpaceDN w:val="0"/>
        <w:spacing w:line="276" w:lineRule="auto"/>
        <w:ind w:firstLine="709"/>
        <w:jc w:val="both"/>
        <w:rPr>
          <w:rFonts w:ascii="Verdana" w:eastAsia="Calibri" w:hAnsi="Verdana" w:cs="Arial"/>
        </w:rPr>
      </w:pPr>
      <w:r w:rsidRPr="00B31C7B">
        <w:rPr>
          <w:rFonts w:ascii="Verdana" w:eastAsia="Calibri" w:hAnsi="Verdana" w:cs="Arial"/>
        </w:rPr>
        <w:t xml:space="preserve">En torno a los límites de </w:t>
      </w:r>
      <w:r w:rsidRPr="00B31C7B">
        <w:rPr>
          <w:rFonts w:ascii="Verdana" w:eastAsia="Calibri" w:hAnsi="Verdana" w:cs="Arial"/>
          <w:i/>
        </w:rPr>
        <w:t>orden formal</w:t>
      </w:r>
      <w:r w:rsidRPr="00B31C7B">
        <w:rPr>
          <w:rFonts w:ascii="Verdana" w:eastAsia="Calibri" w:hAnsi="Verdana" w:cs="Arial"/>
        </w:rPr>
        <w:t xml:space="preserve">, debe señalarse que, por un lado, es necesario que, la </w:t>
      </w:r>
      <w:r w:rsidRPr="00B31C7B">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B31C7B">
        <w:rPr>
          <w:rFonts w:ascii="Verdana" w:eastAsia="Arial" w:hAnsi="Verdana" w:cs="Arial"/>
          <w:vertAlign w:val="superscript"/>
          <w:lang w:val="es-MX" w:eastAsia="es-ES" w:bidi="es-ES"/>
        </w:rPr>
        <w:footnoteReference w:id="11"/>
      </w:r>
      <w:r w:rsidRPr="00B31C7B">
        <w:rPr>
          <w:rFonts w:ascii="Verdana" w:eastAsia="Arial" w:hAnsi="Verdana" w:cs="Arial"/>
          <w:lang w:val="es-MX" w:eastAsia="es-ES" w:bidi="es-ES"/>
        </w:rPr>
        <w:t xml:space="preserve"> y 12 de la Ley 80 de 1993</w:t>
      </w:r>
      <w:r w:rsidRPr="00B31C7B">
        <w:rPr>
          <w:rFonts w:ascii="Verdana" w:eastAsia="Arial" w:hAnsi="Verdana" w:cs="Arial"/>
          <w:vertAlign w:val="superscript"/>
          <w:lang w:val="es-MX" w:eastAsia="es-ES" w:bidi="es-ES"/>
        </w:rPr>
        <w:footnoteReference w:id="12"/>
      </w:r>
      <w:r w:rsidRPr="00B31C7B">
        <w:rPr>
          <w:rFonts w:ascii="Verdana" w:eastAsia="Arial" w:hAnsi="Verdana" w:cs="Arial"/>
          <w:lang w:val="es-MX" w:eastAsia="es-ES" w:bidi="es-ES"/>
        </w:rPr>
        <w:t xml:space="preserve">, así como el deber de la existencia de las disponibilidades presupuestales para el cumplimiento de las obligaciones. Por otro lado, </w:t>
      </w:r>
      <w:r w:rsidRPr="00B31C7B">
        <w:rPr>
          <w:rFonts w:ascii="Verdana" w:eastAsia="Calibri" w:hAnsi="Verdana" w:cs="Arial"/>
        </w:rPr>
        <w:t xml:space="preserve">la entidad debe motivar y justificar la modificación. Al respecto el Consejo de </w:t>
      </w:r>
      <w:r w:rsidRPr="00B31C7B">
        <w:rPr>
          <w:rFonts w:ascii="Verdana" w:eastAsia="Calibri" w:hAnsi="Verdana" w:cs="Arial"/>
        </w:rPr>
        <w:lastRenderedPageBreak/>
        <w:t>Estado ha señalado:</w:t>
      </w:r>
    </w:p>
    <w:p w14:paraId="2CD26476" w14:textId="77777777" w:rsidR="00691563" w:rsidRPr="00B31C7B" w:rsidRDefault="00691563" w:rsidP="00691563">
      <w:pPr>
        <w:spacing w:after="0" w:line="240" w:lineRule="auto"/>
        <w:ind w:left="709" w:right="709"/>
        <w:jc w:val="both"/>
        <w:rPr>
          <w:rFonts w:ascii="Verdana" w:hAnsi="Verdana"/>
          <w:sz w:val="20"/>
          <w:szCs w:val="20"/>
        </w:rPr>
      </w:pPr>
      <w:r w:rsidRPr="00B31C7B">
        <w:rPr>
          <w:rFonts w:ascii="Verdana" w:hAnsi="Verdana"/>
          <w:sz w:val="20"/>
          <w:szCs w:val="20"/>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del deber de planeación para el contrato inicial se imponen como requisito previo del contrato modificatorio. </w:t>
      </w:r>
    </w:p>
    <w:p w14:paraId="1E64D2E5" w14:textId="77777777" w:rsidR="00691563" w:rsidRPr="00B31C7B" w:rsidRDefault="00691563" w:rsidP="00691563">
      <w:pPr>
        <w:spacing w:after="0" w:line="240" w:lineRule="auto"/>
        <w:ind w:left="709" w:right="709"/>
        <w:jc w:val="both"/>
        <w:rPr>
          <w:rFonts w:ascii="Verdana" w:hAnsi="Verdana"/>
          <w:sz w:val="20"/>
          <w:szCs w:val="20"/>
        </w:rPr>
      </w:pPr>
      <w:r w:rsidRPr="00B31C7B">
        <w:rPr>
          <w:rFonts w:ascii="Verdana" w:hAnsi="Verdana"/>
          <w:sz w:val="20"/>
          <w:szCs w:val="20"/>
        </w:rPr>
        <w:t>La motivación del contrato modificatorio resulta un elemento esencial que permita determinar su juridicidad, la justificación de su necesidad, su racionalidad y la proporcionalidad de su contenido, en especial cuando se alteran los aspectos técnicos y financieros iniciales. Se trata de un requisito indispensable para el control de legalidad del contrato o del acto de modificación.</w:t>
      </w:r>
    </w:p>
    <w:p w14:paraId="1CFB4E5F" w14:textId="77777777" w:rsidR="00691563" w:rsidRDefault="00691563" w:rsidP="00691563">
      <w:pPr>
        <w:spacing w:after="0" w:line="240" w:lineRule="auto"/>
        <w:ind w:left="709" w:right="709"/>
        <w:jc w:val="both"/>
        <w:rPr>
          <w:rFonts w:ascii="Verdana" w:hAnsi="Verdana"/>
          <w:sz w:val="20"/>
          <w:szCs w:val="20"/>
        </w:rPr>
      </w:pPr>
    </w:p>
    <w:p w14:paraId="6FFA484F" w14:textId="77777777" w:rsidR="00691563" w:rsidRPr="00B31C7B" w:rsidRDefault="00691563" w:rsidP="00691563">
      <w:pPr>
        <w:spacing w:after="0" w:line="240" w:lineRule="auto"/>
        <w:ind w:left="709" w:right="709"/>
        <w:jc w:val="both"/>
        <w:rPr>
          <w:rFonts w:ascii="Verdana" w:hAnsi="Verdana"/>
          <w:sz w:val="20"/>
          <w:szCs w:val="20"/>
        </w:rPr>
      </w:pPr>
      <w:r w:rsidRPr="00B31C7B">
        <w:rPr>
          <w:rFonts w:ascii="Verdana" w:hAnsi="Verdana"/>
          <w:sz w:val="20"/>
          <w:szCs w:val="20"/>
        </w:rPr>
        <w:t>La modificación no es una facultad discrecional, cuyo ejercicio penda de criterios de mera conveniencia o de utilidad para la entidad estatal o para su contratista, ni puede servir como instrumento ilegal para mejorar o hacer más favorables las condiciones económicas del adjudicatario. A diferencia del contrato privado, solo procederá por necesidades de interés general que sustenten y justifiquen la legalidad de la modificación”</w:t>
      </w:r>
      <w:r w:rsidRPr="00B31C7B">
        <w:rPr>
          <w:rFonts w:ascii="Verdana" w:hAnsi="Verdana"/>
          <w:sz w:val="20"/>
          <w:szCs w:val="20"/>
          <w:vertAlign w:val="superscript"/>
        </w:rPr>
        <w:footnoteReference w:id="13"/>
      </w:r>
      <w:r w:rsidRPr="00B31C7B">
        <w:rPr>
          <w:rFonts w:ascii="Verdana" w:hAnsi="Verdana"/>
          <w:sz w:val="20"/>
          <w:szCs w:val="20"/>
        </w:rPr>
        <w:t>.</w:t>
      </w:r>
    </w:p>
    <w:p w14:paraId="6FB4E892" w14:textId="77777777" w:rsidR="00691563" w:rsidRPr="00B31C7B" w:rsidRDefault="00691563" w:rsidP="00691563">
      <w:pPr>
        <w:widowControl w:val="0"/>
        <w:autoSpaceDE w:val="0"/>
        <w:autoSpaceDN w:val="0"/>
        <w:spacing w:after="0" w:line="276" w:lineRule="auto"/>
        <w:jc w:val="both"/>
        <w:rPr>
          <w:rFonts w:ascii="Verdana" w:eastAsia="Calibri" w:hAnsi="Verdana" w:cs="Arial"/>
        </w:rPr>
      </w:pPr>
    </w:p>
    <w:p w14:paraId="0A4B1C35" w14:textId="77777777" w:rsidR="00691563" w:rsidRDefault="00691563" w:rsidP="00691563">
      <w:pPr>
        <w:widowControl w:val="0"/>
        <w:autoSpaceDE w:val="0"/>
        <w:autoSpaceDN w:val="0"/>
        <w:spacing w:line="276" w:lineRule="auto"/>
        <w:ind w:firstLine="709"/>
        <w:jc w:val="both"/>
        <w:rPr>
          <w:rFonts w:ascii="Verdana" w:eastAsia="Arial" w:hAnsi="Verdana" w:cs="Arial"/>
          <w:i/>
          <w:lang w:val="es-MX" w:eastAsia="es-ES" w:bidi="es-ES"/>
        </w:rPr>
      </w:pP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“habiendo figurado en el procedimiento inicial, hubiera permitido la participación de otros interesados aparte de los inicialmente admitidos, o seleccionar una oferta distinta de la inicialmente seleccionada”</w:t>
      </w:r>
      <w:r w:rsidRPr="00B31C7B">
        <w:rPr>
          <w:rFonts w:ascii="Verdana" w:eastAsia="Arial" w:hAnsi="Verdana" w:cs="Arial"/>
          <w:i/>
          <w:vertAlign w:val="superscript"/>
          <w:lang w:val="es-MX" w:eastAsia="es-ES" w:bidi="es-ES"/>
        </w:rPr>
        <w:footnoteReference w:id="14"/>
      </w:r>
      <w:r w:rsidRPr="00B31C7B">
        <w:rPr>
          <w:rFonts w:ascii="Verdana" w:eastAsia="Arial" w:hAnsi="Verdana" w:cs="Arial"/>
          <w:i/>
          <w:lang w:val="es-MX" w:eastAsia="es-ES" w:bidi="es-ES"/>
        </w:rPr>
        <w:t xml:space="preserve">. </w:t>
      </w:r>
    </w:p>
    <w:p w14:paraId="7E85D7C5" w14:textId="77777777" w:rsidR="00691563" w:rsidRPr="0018282A" w:rsidRDefault="00691563" w:rsidP="00691563">
      <w:pPr>
        <w:widowControl w:val="0"/>
        <w:autoSpaceDE w:val="0"/>
        <w:autoSpaceDN w:val="0"/>
        <w:spacing w:line="276" w:lineRule="auto"/>
        <w:ind w:firstLine="709"/>
        <w:jc w:val="both"/>
        <w:rPr>
          <w:rFonts w:ascii="Verdana" w:eastAsia="Arial" w:hAnsi="Verdana" w:cs="Arial"/>
          <w:i/>
          <w:lang w:val="es-MX" w:eastAsia="es-ES" w:bidi="es-ES"/>
        </w:rPr>
      </w:pP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 xml:space="preserve">Lo anterior, con la finalidad de realizar la escogencia diligente de la mejor oferta, para beneficiar los intereses y fines públicos inmersos en la contratación de las entidades estatales. </w:t>
      </w:r>
      <w:r w:rsidRPr="00B31C7B">
        <w:rPr>
          <w:rFonts w:ascii="Verdana" w:eastAsia="Arial" w:hAnsi="Verdana" w:cs="Arial"/>
          <w:lang w:val="es-MX" w:eastAsia="es-ES" w:bidi="es-ES"/>
        </w:rPr>
        <w:t>Este límite encuentra sustento en el hecho de que, para celebrar contratos estatales las entidades públicas eligen, dentro de un “régimen de concurrencia y de igualdad, las mejores condiciones de costo, calidad e idoneidad de la prestación requerida</w:t>
      </w:r>
      <w:r w:rsidRPr="00B31C7B">
        <w:rPr>
          <w:rFonts w:ascii="Verdana" w:eastAsia="Arial" w:hAnsi="Verdana" w:cs="Arial"/>
          <w:lang w:val="es-ES_tradnl" w:eastAsia="es-ES" w:bidi="es-ES"/>
        </w:rPr>
        <w:t>”</w:t>
      </w:r>
      <w:r w:rsidRPr="00B31C7B">
        <w:rPr>
          <w:rFonts w:ascii="Verdana" w:eastAsia="Arial" w:hAnsi="Verdana" w:cs="Arial"/>
          <w:lang w:val="es-MX" w:eastAsia="es-ES" w:bidi="es-ES"/>
        </w:rPr>
        <w:t xml:space="preserve">. Esto supone que la selección objetiva de la oferta más favorable se dirige a salvaguardar el interés público y, por lo tanto, celebrado el contrato en </w:t>
      </w:r>
      <w:r w:rsidRPr="00B31C7B">
        <w:rPr>
          <w:rFonts w:ascii="Verdana" w:eastAsia="Arial" w:hAnsi="Verdana" w:cs="Arial"/>
          <w:lang w:val="es-MX" w:eastAsia="es-ES" w:bidi="es-ES"/>
        </w:rPr>
        <w:lastRenderedPageBreak/>
        <w:t>esas condiciones, su eventual modificación debe asegurar que lo adjudicado, y posteriormente alterado, consulte la mejor opción para el servicio público.</w:t>
      </w:r>
      <w:r w:rsidRPr="00B31C7B">
        <w:rPr>
          <w:rFonts w:ascii="Verdana" w:eastAsia="Calibri" w:hAnsi="Verdana" w:cs="Arial"/>
          <w:lang w:val="es-MX" w:eastAsia="es-ES_tradnl"/>
        </w:rPr>
        <w:t xml:space="preserve"> </w:t>
      </w:r>
    </w:p>
    <w:p w14:paraId="6FB39B72" w14:textId="77777777" w:rsidR="00691563" w:rsidRPr="00B31C7B" w:rsidRDefault="00691563" w:rsidP="00691563">
      <w:pPr>
        <w:widowControl w:val="0"/>
        <w:autoSpaceDE w:val="0"/>
        <w:autoSpaceDN w:val="0"/>
        <w:spacing w:line="276" w:lineRule="auto"/>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Es claro, entonces, que </w:t>
      </w:r>
      <w:r>
        <w:rPr>
          <w:rFonts w:ascii="Verdana" w:eastAsia="Arial" w:hAnsi="Verdana" w:cs="Arial"/>
          <w:color w:val="000000"/>
          <w:lang w:val="es-ES" w:eastAsia="es-ES" w:bidi="es-ES"/>
        </w:rPr>
        <w:t xml:space="preserve">según el marco jurídico </w:t>
      </w:r>
      <w:r w:rsidRPr="00B31C7B">
        <w:rPr>
          <w:rFonts w:ascii="Verdana" w:eastAsia="Arial" w:hAnsi="Verdana" w:cs="Arial"/>
          <w:color w:val="000000"/>
          <w:lang w:val="es-ES" w:eastAsia="es-ES" w:bidi="es-ES"/>
        </w:rPr>
        <w:t>y</w:t>
      </w:r>
      <w:r>
        <w:rPr>
          <w:rFonts w:ascii="Verdana" w:eastAsia="Arial" w:hAnsi="Verdana" w:cs="Arial"/>
          <w:color w:val="000000"/>
          <w:lang w:val="es-ES" w:eastAsia="es-ES" w:bidi="es-ES"/>
        </w:rPr>
        <w:t xml:space="preserve"> los parámetros fijados por el </w:t>
      </w:r>
      <w:r w:rsidRPr="00B31C7B">
        <w:rPr>
          <w:rFonts w:ascii="Verdana" w:eastAsia="Arial" w:hAnsi="Verdana" w:cs="Arial"/>
          <w:color w:val="000000"/>
          <w:lang w:val="es-ES" w:eastAsia="es-ES" w:bidi="es-ES"/>
        </w:rPr>
        <w:t>Consejo de Estado y la Corte Constitucional, l</w:t>
      </w:r>
      <w:r>
        <w:rPr>
          <w:rFonts w:ascii="Verdana" w:eastAsia="Arial" w:hAnsi="Verdana" w:cs="Arial"/>
          <w:color w:val="000000"/>
          <w:lang w:val="es-ES" w:eastAsia="es-ES" w:bidi="es-ES"/>
        </w:rPr>
        <w:t>os</w:t>
      </w:r>
      <w:r w:rsidRPr="00B31C7B">
        <w:rPr>
          <w:rFonts w:ascii="Verdana" w:eastAsia="Arial" w:hAnsi="Verdana" w:cs="Arial"/>
          <w:color w:val="000000"/>
          <w:lang w:val="es-ES" w:eastAsia="es-ES" w:bidi="es-ES"/>
        </w:rPr>
        <w:t xml:space="preserve"> cual</w:t>
      </w:r>
      <w:r>
        <w:rPr>
          <w:rFonts w:ascii="Verdana" w:eastAsia="Arial" w:hAnsi="Verdana" w:cs="Arial"/>
          <w:color w:val="000000"/>
          <w:lang w:val="es-ES" w:eastAsia="es-ES" w:bidi="es-ES"/>
        </w:rPr>
        <w:t>es</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comparte </w:t>
      </w:r>
      <w:r w:rsidRPr="00B31C7B">
        <w:rPr>
          <w:rFonts w:ascii="Verdana" w:eastAsia="Arial" w:hAnsi="Verdana" w:cs="Arial"/>
          <w:color w:val="000000"/>
          <w:lang w:val="es-ES" w:eastAsia="es-ES" w:bidi="es-ES"/>
        </w:rPr>
        <w:t xml:space="preserve">esta Agencia, es viable jurídicamente modificar los contratos estatales, pero esta medida tienen </w:t>
      </w:r>
      <w:r w:rsidRPr="002C3F7C">
        <w:rPr>
          <w:rFonts w:ascii="Verdana" w:eastAsia="Arial" w:hAnsi="Verdana" w:cs="Arial"/>
          <w:i/>
          <w:iCs/>
          <w:color w:val="000000"/>
          <w:lang w:val="es-ES" w:eastAsia="es-ES" w:bidi="es-ES"/>
        </w:rPr>
        <w:t>carácter excepcional</w:t>
      </w:r>
      <w:r w:rsidRPr="00B31C7B">
        <w:rPr>
          <w:rFonts w:ascii="Verdana" w:eastAsia="Arial" w:hAnsi="Verdana" w:cs="Arial"/>
          <w:color w:val="000000"/>
          <w:lang w:val="es-ES" w:eastAsia="es-ES" w:bidi="es-ES"/>
        </w:rPr>
        <w:t xml:space="preserve"> y solo procede cuando</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se pretenda </w:t>
      </w:r>
      <w:r w:rsidRPr="00B31C7B">
        <w:rPr>
          <w:rFonts w:ascii="Verdana" w:eastAsia="Arial" w:hAnsi="Verdana" w:cs="Arial"/>
          <w:color w:val="000000"/>
          <w:lang w:val="es-ES" w:eastAsia="es-ES" w:bidi="es-ES"/>
        </w:rPr>
        <w:t xml:space="preserve">garantizar el interés público, la entidad haya verificado y </w:t>
      </w:r>
      <w:r>
        <w:rPr>
          <w:rFonts w:ascii="Verdana" w:eastAsia="Arial" w:hAnsi="Verdana" w:cs="Arial"/>
          <w:color w:val="000000"/>
          <w:lang w:val="es-ES" w:eastAsia="es-ES" w:bidi="es-ES"/>
        </w:rPr>
        <w:t xml:space="preserve">cualquiera </w:t>
      </w:r>
      <w:r w:rsidRPr="00B31C7B">
        <w:rPr>
          <w:rFonts w:ascii="Verdana" w:eastAsia="Arial" w:hAnsi="Verdana" w:cs="Arial"/>
          <w:color w:val="000000"/>
          <w:lang w:val="es-ES" w:eastAsia="es-ES" w:bidi="es-ES"/>
        </w:rPr>
        <w:t xml:space="preserve">pueda constatar que la causa de la modificación es real y cierta, y </w:t>
      </w:r>
      <w:r>
        <w:rPr>
          <w:rFonts w:ascii="Verdana" w:eastAsia="Arial" w:hAnsi="Verdana" w:cs="Arial"/>
          <w:color w:val="000000"/>
          <w:lang w:val="es-ES" w:eastAsia="es-ES" w:bidi="es-ES"/>
        </w:rPr>
        <w:t xml:space="preserve">la modificación </w:t>
      </w:r>
      <w:r w:rsidRPr="00B31C7B">
        <w:rPr>
          <w:rFonts w:ascii="Verdana" w:eastAsia="Arial" w:hAnsi="Verdana" w:cs="Arial"/>
          <w:color w:val="000000"/>
          <w:lang w:val="es-ES" w:eastAsia="es-ES" w:bidi="es-ES"/>
        </w:rPr>
        <w:t xml:space="preserve">cumpla con las limitaciones y condiciones que establezca la ley. En otras palabras, la modificación contractual encuentra sustento no solo en circunstancias fácticas propias de la ejecución del contrato, sino además debe cumplir con los principios y fines de la contratación estatal, así como con las condiciones y restricciones legales. </w:t>
      </w:r>
    </w:p>
    <w:p w14:paraId="5E02DA63" w14:textId="4212CC02" w:rsidR="00691563" w:rsidRDefault="00691563" w:rsidP="00691563">
      <w:pPr>
        <w:widowControl w:val="0"/>
        <w:autoSpaceDE w:val="0"/>
        <w:autoSpaceDN w:val="0"/>
        <w:spacing w:after="0" w:line="276" w:lineRule="auto"/>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En esta medida, </w:t>
      </w:r>
      <w:r>
        <w:rPr>
          <w:rFonts w:ascii="Verdana" w:eastAsia="Arial" w:hAnsi="Verdana" w:cs="Arial"/>
          <w:color w:val="000000"/>
          <w:lang w:val="es-ES" w:eastAsia="es-ES" w:bidi="es-ES"/>
        </w:rPr>
        <w:t xml:space="preserve">las </w:t>
      </w:r>
      <w:r w:rsidRPr="00B31C7B">
        <w:rPr>
          <w:rFonts w:ascii="Verdana" w:eastAsia="Arial" w:hAnsi="Verdana" w:cs="Arial"/>
          <w:color w:val="000000"/>
          <w:lang w:val="es-ES" w:eastAsia="es-ES" w:bidi="es-ES"/>
        </w:rPr>
        <w:t>modificacione</w:t>
      </w:r>
      <w:r>
        <w:rPr>
          <w:rFonts w:ascii="Verdana" w:eastAsia="Arial" w:hAnsi="Verdana" w:cs="Arial"/>
          <w:color w:val="000000"/>
          <w:lang w:val="es-ES" w:eastAsia="es-ES" w:bidi="es-ES"/>
        </w:rPr>
        <w:t xml:space="preserve">s </w:t>
      </w:r>
      <w:r w:rsidRPr="00B31C7B">
        <w:rPr>
          <w:rFonts w:ascii="Verdana" w:eastAsia="Arial" w:hAnsi="Verdana" w:cs="Arial"/>
          <w:color w:val="000000"/>
          <w:lang w:val="es-ES" w:eastAsia="es-ES" w:bidi="es-ES"/>
        </w:rPr>
        <w:t>se refieren a alteraciones, variaciones, cambios, correcciones en las condiciones y cláusulas del contrato</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Estas </w:t>
      </w:r>
      <w:r w:rsidRPr="00B31C7B">
        <w:rPr>
          <w:rFonts w:ascii="Verdana" w:eastAsia="Arial" w:hAnsi="Verdana" w:cs="Arial"/>
          <w:color w:val="000000"/>
          <w:lang w:val="es-ES" w:eastAsia="es-ES" w:bidi="es-ES"/>
        </w:rPr>
        <w:t xml:space="preserve">deben ser suscritas por las partes, sujetándose a lo previsto en la ley, esto es, que </w:t>
      </w:r>
      <w:r w:rsidRPr="000E6A15">
        <w:rPr>
          <w:rFonts w:ascii="Verdana" w:eastAsia="Arial" w:hAnsi="Verdana" w:cs="Arial"/>
          <w:i/>
          <w:iCs/>
          <w:color w:val="000000"/>
          <w:lang w:val="es-ES" w:eastAsia="es-ES" w:bidi="es-ES"/>
        </w:rPr>
        <w:t>se encuentren debidamente justificadas</w:t>
      </w:r>
      <w:r w:rsidRPr="00B31C7B">
        <w:rPr>
          <w:rFonts w:ascii="Verdana" w:eastAsia="Arial" w:hAnsi="Verdana" w:cs="Arial"/>
          <w:color w:val="000000"/>
          <w:lang w:val="es-ES" w:eastAsia="es-ES" w:bidi="es-ES"/>
        </w:rPr>
        <w:t xml:space="preserve">, que </w:t>
      </w:r>
      <w:r w:rsidRPr="000E6A15">
        <w:rPr>
          <w:rFonts w:ascii="Verdana" w:eastAsia="Arial" w:hAnsi="Verdana" w:cs="Arial"/>
          <w:i/>
          <w:iCs/>
          <w:color w:val="000000"/>
          <w:lang w:val="es-ES" w:eastAsia="es-ES" w:bidi="es-ES"/>
        </w:rPr>
        <w:t>no sean el resultado de una indebida planeación</w:t>
      </w:r>
      <w:r w:rsidRPr="00B31C7B">
        <w:rPr>
          <w:rFonts w:ascii="Verdana" w:eastAsia="Arial" w:hAnsi="Verdana" w:cs="Arial"/>
          <w:color w:val="000000"/>
          <w:lang w:val="es-ES" w:eastAsia="es-ES" w:bidi="es-ES"/>
        </w:rPr>
        <w:t xml:space="preserve"> y que consten por escrito, de tal manera que de las mismas se predique su existencia, validez y eficacia. </w:t>
      </w:r>
    </w:p>
    <w:p w14:paraId="22748139" w14:textId="6637E1B2" w:rsidR="00691563" w:rsidRPr="00B31C7B" w:rsidRDefault="00691563" w:rsidP="00691563">
      <w:pPr>
        <w:widowControl w:val="0"/>
        <w:autoSpaceDE w:val="0"/>
        <w:autoSpaceDN w:val="0"/>
        <w:spacing w:after="0" w:line="276" w:lineRule="auto"/>
        <w:ind w:firstLine="709"/>
        <w:jc w:val="both"/>
        <w:rPr>
          <w:rFonts w:ascii="Verdana" w:eastAsia="Arial" w:hAnsi="Verdana" w:cs="Arial"/>
          <w:color w:val="000000"/>
          <w:lang w:eastAsia="es-ES" w:bidi="es-ES"/>
        </w:rPr>
      </w:pPr>
      <w:r w:rsidRPr="00A43452">
        <w:rPr>
          <w:rFonts w:ascii="Verdana" w:eastAsia="Arial" w:hAnsi="Verdana" w:cs="Arial"/>
          <w:color w:val="000000"/>
          <w:lang w:val="es-ES" w:eastAsia="es-ES" w:bidi="es-ES"/>
        </w:rPr>
        <w:t>Dicho lo anterior, como se mencionó, una de las manifestaciones de modificación de los contratos es mediante la adición. Al respecto, es oportuno explicar que la palabra adición significa “acción y efecto de añadir o agregar”. Los contratos estatales pueden ser objeto de situaciones que impliquen la necesidad de adicionar o modificar las condiciones inicialmente pactadas, conforme lo prescribe el artículo 40 de la Ley 80 de 1993, pudiendo incluirse las modalidades, condiciones y, en general las cláusulas o estipulaciones que las partes consideren necesarias para el cabal cumplimiento del objeto contractual.</w:t>
      </w:r>
    </w:p>
    <w:p w14:paraId="6A8E393A" w14:textId="77777777" w:rsidR="00691563" w:rsidRPr="00B31C7B" w:rsidRDefault="00691563" w:rsidP="00691563">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B31C7B">
        <w:rPr>
          <w:rFonts w:ascii="Verdana" w:eastAsia="Calibri" w:hAnsi="Verdana" w:cs="Arial"/>
          <w:color w:val="000000"/>
          <w:szCs w:val="24"/>
          <w:lang w:eastAsia="es-ES_tradnl"/>
        </w:rPr>
        <w:t>ii</w:t>
      </w:r>
      <w:proofErr w:type="spellEnd"/>
      <w:r w:rsidRPr="00B31C7B">
        <w:rPr>
          <w:rFonts w:ascii="Verdana" w:eastAsia="Calibri" w:hAnsi="Verdana" w:cs="Arial"/>
          <w:color w:val="000000"/>
          <w:szCs w:val="24"/>
          <w:lang w:eastAsia="es-ES_tradnl"/>
        </w:rPr>
        <w:t xml:space="preserve">) la necesidad de </w:t>
      </w:r>
      <w:r w:rsidRPr="00B31C7B">
        <w:rPr>
          <w:rFonts w:ascii="Verdana" w:eastAsia="Calibri" w:hAnsi="Verdana" w:cs="Arial"/>
          <w:color w:val="000000"/>
          <w:szCs w:val="24"/>
          <w:lang w:eastAsia="es-ES_tradnl"/>
        </w:rPr>
        <w:lastRenderedPageBreak/>
        <w:t xml:space="preserve">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6D3657E2" w14:textId="77777777" w:rsidR="00691563" w:rsidRPr="00B31C7B" w:rsidRDefault="00691563" w:rsidP="00691563">
      <w:pPr>
        <w:spacing w:after="120" w:line="276" w:lineRule="auto"/>
        <w:ind w:firstLine="709"/>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Lo importante es que, frente a </w:t>
      </w:r>
      <w:r w:rsidRPr="00805B8B">
        <w:rPr>
          <w:rFonts w:ascii="Verdana" w:eastAsia="Calibri" w:hAnsi="Verdana" w:cs="Arial"/>
          <w:i/>
          <w:iCs/>
          <w:color w:val="000000"/>
          <w:szCs w:val="24"/>
          <w:u w:val="single"/>
          <w:lang w:eastAsia="es-ES_tradnl"/>
        </w:rPr>
        <w:t>cualquier i</w:t>
      </w:r>
      <w:r w:rsidRPr="00936EA7">
        <w:rPr>
          <w:rFonts w:ascii="Verdana" w:eastAsia="Calibri" w:hAnsi="Verdana" w:cs="Arial"/>
          <w:i/>
          <w:iCs/>
          <w:color w:val="000000"/>
          <w:szCs w:val="24"/>
          <w:u w:val="single"/>
          <w:lang w:eastAsia="es-ES_tradnl"/>
        </w:rPr>
        <w:t>ncremento del valor inicial</w:t>
      </w:r>
      <w:r w:rsidRPr="00B31C7B">
        <w:rPr>
          <w:rFonts w:ascii="Verdana" w:eastAsia="Calibri" w:hAnsi="Verdana" w:cs="Arial"/>
          <w:color w:val="000000"/>
          <w:szCs w:val="24"/>
          <w:lang w:eastAsia="es-ES_tradnl"/>
        </w:rPr>
        <w:t xml:space="preserve"> del contrato</w:t>
      </w:r>
      <w:r w:rsidRPr="00B31C7B">
        <w:rPr>
          <w:rFonts w:ascii="Verdana" w:eastAsia="Calibri" w:hAnsi="Verdana" w:cs="Arial"/>
          <w:i/>
          <w:iCs/>
          <w:color w:val="000000"/>
          <w:szCs w:val="24"/>
          <w:lang w:eastAsia="es-ES_tradnl"/>
        </w:rPr>
        <w:t xml:space="preserve"> </w:t>
      </w:r>
      <w:r w:rsidRPr="00B31C7B">
        <w:rPr>
          <w:rFonts w:ascii="Verdana" w:eastAsia="Calibri" w:hAnsi="Verdana" w:cs="Arial"/>
          <w:color w:val="000000"/>
          <w:szCs w:val="24"/>
          <w:lang w:eastAsia="es-ES_tradnl"/>
        </w:rPr>
        <w:t>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 que aplica a los contratos estatales, cuyos destinatarios son entidades sujetas al EGCAP</w:t>
      </w:r>
      <w:r w:rsidRPr="00B31C7B">
        <w:rPr>
          <w:rFonts w:ascii="Verdana" w:eastAsia="Calibri" w:hAnsi="Verdana" w:cs="Arial"/>
          <w:color w:val="000000"/>
          <w:szCs w:val="24"/>
          <w:vertAlign w:val="superscript"/>
          <w:lang w:eastAsia="es-ES_tradnl"/>
        </w:rPr>
        <w:footnoteReference w:id="15"/>
      </w:r>
      <w:r w:rsidRPr="00B31C7B">
        <w:rPr>
          <w:rFonts w:ascii="Verdana" w:eastAsia="Calibri" w:hAnsi="Verdana" w:cs="Arial"/>
          <w:color w:val="000000"/>
          <w:szCs w:val="24"/>
          <w:lang w:eastAsia="es-ES_tradnl"/>
        </w:rPr>
        <w:t>.</w:t>
      </w:r>
    </w:p>
    <w:p w14:paraId="58D675EE" w14:textId="77777777" w:rsidR="00691563" w:rsidRPr="00B31C7B" w:rsidRDefault="00691563" w:rsidP="00691563">
      <w:pPr>
        <w:spacing w:after="120" w:line="276" w:lineRule="auto"/>
        <w:ind w:firstLine="709"/>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 de manera que para adicionar un contrato debe dividirse el valor inicial por el salario mínimo vigente al momento de la suscripción del contrato, y luego dividirlo por dos (2);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ya que las modificaciones podrían hacerse en </w:t>
      </w:r>
      <w:r w:rsidRPr="00B31C7B">
        <w:rPr>
          <w:rFonts w:ascii="Verdana" w:eastAsia="Calibri" w:hAnsi="Verdana" w:cs="Arial"/>
          <w:color w:val="000000"/>
          <w:szCs w:val="24"/>
          <w:lang w:eastAsia="es-ES_tradnl"/>
        </w:rPr>
        <w:lastRenderedPageBreak/>
        <w:t xml:space="preserve">diferentes años, porque si el contrato se ejecuta sin existir variación en el valor del salario mínimo la operación sería la misma si se toma el monto en pesos. </w:t>
      </w:r>
    </w:p>
    <w:p w14:paraId="36771CFA" w14:textId="77777777" w:rsidR="00691563" w:rsidRDefault="00691563" w:rsidP="00691563">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El razonamiento anterior se fundamenta en la forma como la Ley 80 de 1993 estableció el tope para las adiciones, acudiendo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w:t>
      </w:r>
      <w:r>
        <w:rPr>
          <w:rFonts w:ascii="Verdana" w:eastAsia="Calibri" w:hAnsi="Verdana" w:cs="Arial"/>
          <w:color w:val="000000"/>
          <w:szCs w:val="24"/>
          <w:lang w:eastAsia="es-ES_tradnl"/>
        </w:rPr>
        <w:t xml:space="preserve"> expresada en SMLMV</w:t>
      </w:r>
      <w:r w:rsidRPr="00B31C7B">
        <w:rPr>
          <w:rFonts w:ascii="Verdana" w:eastAsia="Calibri" w:hAnsi="Verdana" w:cs="Arial"/>
          <w:color w:val="000000"/>
          <w:szCs w:val="24"/>
          <w:lang w:eastAsia="es-ES_tradnl"/>
        </w:rPr>
        <w:t xml:space="preserve">, y valga la redundancia, el valor inicial es el contemplado en el contrato originario y cualquier alteración a ese valor constituirá, técnicamente, una adición, independientemente de cuál sea su causa. </w:t>
      </w:r>
    </w:p>
    <w:p w14:paraId="129F83C8" w14:textId="77777777" w:rsidR="00691563" w:rsidRDefault="00691563" w:rsidP="00691563">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Sin perjuicio de lo anterior, actualmente existe una posibilidad para adicionar contratos en más del cincuenta por ciento (50%)</w:t>
      </w:r>
      <w:r>
        <w:rPr>
          <w:rFonts w:ascii="Verdana" w:eastAsia="Calibri" w:hAnsi="Verdana" w:cs="Arial"/>
          <w:color w:val="000000"/>
          <w:szCs w:val="24"/>
          <w:lang w:eastAsia="es-ES_tradnl"/>
        </w:rPr>
        <w:t xml:space="preserve"> del valor inicial del contrato expresado en SMLMV</w:t>
      </w:r>
      <w:r w:rsidRPr="00B31C7B">
        <w:rPr>
          <w:rFonts w:ascii="Verdana" w:eastAsia="Calibri" w:hAnsi="Verdana" w:cs="Arial"/>
          <w:color w:val="000000"/>
          <w:szCs w:val="24"/>
          <w:lang w:eastAsia="es-ES_tradnl"/>
        </w:rPr>
        <w:t xml:space="preserve"> y es la contenida en el artículo 85 de la Ley 1474 de 2011, para los contratos de interventoría que, por su naturaleza de seguimiento técnico, deberá someterse al plazo en que haya sido prorrogado el contrato objeto de vigilancia. Esta disposición, cumple con el objetivo de fortalecer la figura de la interventoría, como una herramienta integral, para proteger los intereses públicos y no causar un daño antijurídico al abandonar la vigilancia del contrato principal, por limitaciones presupuestales. </w:t>
      </w:r>
    </w:p>
    <w:p w14:paraId="0C8F44C9" w14:textId="77777777" w:rsidR="00691563" w:rsidRPr="00612B6B" w:rsidRDefault="00691563" w:rsidP="00691563">
      <w:pPr>
        <w:spacing w:after="120" w:line="276" w:lineRule="auto"/>
        <w:ind w:firstLine="709"/>
        <w:jc w:val="both"/>
        <w:rPr>
          <w:rFonts w:ascii="Verdana" w:hAnsi="Verdana" w:cs="Arial"/>
          <w:lang w:eastAsia="es-ES_tradnl"/>
        </w:rPr>
      </w:pPr>
      <w:r>
        <w:rPr>
          <w:rFonts w:ascii="Verdana" w:eastAsia="Calibri" w:hAnsi="Verdana" w:cs="Arial"/>
          <w:color w:val="000000"/>
          <w:szCs w:val="24"/>
          <w:lang w:eastAsia="es-ES_tradnl"/>
        </w:rPr>
        <w:t xml:space="preserve">Igualmente, </w:t>
      </w:r>
      <w:r w:rsidRPr="00612B6B">
        <w:rPr>
          <w:rFonts w:ascii="Verdana" w:hAnsi="Verdana" w:cs="Arial"/>
          <w:szCs w:val="24"/>
          <w:lang w:eastAsia="es-ES_tradnl"/>
        </w:rPr>
        <w:t xml:space="preserve">conforme </w:t>
      </w:r>
      <w:r>
        <w:rPr>
          <w:rFonts w:ascii="Verdana" w:hAnsi="Verdana" w:cs="Arial"/>
          <w:szCs w:val="24"/>
          <w:lang w:eastAsia="es-ES_tradnl"/>
        </w:rPr>
        <w:t xml:space="preserve">ha precisado </w:t>
      </w:r>
      <w:r w:rsidRPr="00612B6B">
        <w:rPr>
          <w:rFonts w:ascii="Verdana" w:hAnsi="Verdana" w:cs="Arial"/>
          <w:szCs w:val="24"/>
          <w:lang w:eastAsia="es-ES_tradnl"/>
        </w:rPr>
        <w:t>esta Subdirección</w:t>
      </w:r>
      <w:r>
        <w:rPr>
          <w:rFonts w:ascii="Verdana" w:hAnsi="Verdana" w:cs="Arial"/>
          <w:szCs w:val="24"/>
          <w:lang w:eastAsia="es-ES_tradnl"/>
        </w:rPr>
        <w:t xml:space="preserve">, en línea con lo dispuesto por la jurisprudencia del Consejo de Estado, </w:t>
      </w:r>
      <w:r w:rsidRPr="00612B6B">
        <w:rPr>
          <w:rFonts w:ascii="Verdana" w:hAnsi="Verdana" w:cs="Arial"/>
          <w:szCs w:val="24"/>
          <w:lang w:eastAsia="es-ES_tradnl"/>
        </w:rPr>
        <w:t xml:space="preserve">el límite a la adición previsto en segundo inciso del parágrafo del artículo 40 de la Ley 80 de 1993, no resulta </w:t>
      </w:r>
      <w:r>
        <w:rPr>
          <w:rFonts w:ascii="Verdana" w:hAnsi="Verdana" w:cs="Arial"/>
          <w:szCs w:val="24"/>
          <w:lang w:eastAsia="es-ES_tradnl"/>
        </w:rPr>
        <w:t xml:space="preserve">aplicable </w:t>
      </w:r>
      <w:r w:rsidRPr="00612B6B">
        <w:rPr>
          <w:rFonts w:ascii="Verdana" w:hAnsi="Verdana" w:cs="Arial"/>
          <w:szCs w:val="24"/>
          <w:lang w:eastAsia="es-ES_tradnl"/>
        </w:rPr>
        <w:t>a</w:t>
      </w:r>
      <w:r w:rsidRPr="00612B6B">
        <w:rPr>
          <w:rFonts w:ascii="Verdana" w:hAnsi="Verdana" w:cs="Arial"/>
          <w:lang w:eastAsia="es-ES_tradnl"/>
        </w:rPr>
        <w:t xml:space="preserve"> las mayores cantidades que deban ejecutarse en el marco de contratos cuya contraprestación se haya pactado bajo la modalidad de precios unitarios</w:t>
      </w:r>
      <w:r w:rsidRPr="00612B6B">
        <w:rPr>
          <w:rStyle w:val="Refdenotaalpie"/>
          <w:rFonts w:ascii="Verdana" w:hAnsi="Verdana" w:cs="Arial"/>
          <w:lang w:eastAsia="es-ES_tradnl"/>
        </w:rPr>
        <w:footnoteReference w:id="16"/>
      </w:r>
      <w:r w:rsidRPr="00612B6B">
        <w:rPr>
          <w:rFonts w:ascii="Verdana" w:hAnsi="Verdana" w:cs="Arial"/>
          <w:lang w:eastAsia="es-ES_tradnl"/>
        </w:rPr>
        <w:t xml:space="preserve">. </w:t>
      </w:r>
      <w:r w:rsidRPr="00612B6B">
        <w:rPr>
          <w:rFonts w:ascii="Verdana" w:eastAsia="Calibri" w:hAnsi="Verdana" w:cs="Arial"/>
        </w:rPr>
        <w:t xml:space="preserve">De acuerdo con la jurisprudencia reciente, esta limitación no es aplicable a dichos contratos, </w:t>
      </w:r>
      <w:r w:rsidRPr="00612B6B">
        <w:rPr>
          <w:rFonts w:ascii="Verdana" w:hAnsi="Verdana" w:cs="Arial"/>
          <w:lang w:eastAsia="es-ES_tradnl"/>
        </w:rPr>
        <w:t>por cuanto en estos contratos el valor estipulado es estimativo y está sujeto a multiplicar las cantidades de obra ejecutadas por el precio de cada una de ellas</w:t>
      </w:r>
      <w:r w:rsidRPr="00612B6B">
        <w:rPr>
          <w:rStyle w:val="Refdenotaalpie"/>
          <w:rFonts w:ascii="Verdana" w:hAnsi="Verdana" w:cs="Arial"/>
          <w:lang w:eastAsia="es-ES_tradnl"/>
        </w:rPr>
        <w:footnoteReference w:id="17"/>
      </w:r>
      <w:r w:rsidRPr="00612B6B">
        <w:rPr>
          <w:rFonts w:ascii="Verdana" w:hAnsi="Verdana" w:cs="Arial"/>
          <w:lang w:eastAsia="es-ES_tradnl"/>
        </w:rPr>
        <w:t>.</w:t>
      </w:r>
    </w:p>
    <w:p w14:paraId="6F4E7E2D" w14:textId="77777777" w:rsidR="00691563" w:rsidRPr="007C0B10" w:rsidRDefault="00691563" w:rsidP="00691563">
      <w:pPr>
        <w:spacing w:after="120" w:line="276" w:lineRule="auto"/>
        <w:ind w:firstLine="708"/>
        <w:jc w:val="both"/>
        <w:rPr>
          <w:rFonts w:ascii="Verdana" w:hAnsi="Verdana"/>
        </w:rPr>
      </w:pPr>
      <w:r w:rsidRPr="00B31C7B">
        <w:rPr>
          <w:rFonts w:ascii="Verdana" w:eastAsia="Calibri" w:hAnsi="Verdana" w:cs="Arial"/>
        </w:rPr>
        <w:lastRenderedPageBreak/>
        <w:t xml:space="preserve">Sin perjuicio de lo expuesto, </w:t>
      </w:r>
      <w:r w:rsidRPr="00B31C7B">
        <w:rPr>
          <w:rFonts w:ascii="Verdana" w:hAnsi="Verdana"/>
        </w:rPr>
        <w:t>fuera</w:t>
      </w:r>
      <w:r>
        <w:rPr>
          <w:rFonts w:ascii="Verdana" w:hAnsi="Verdana"/>
        </w:rPr>
        <w:t xml:space="preserve"> de los límites cuantitativos establecidos</w:t>
      </w:r>
      <w:r w:rsidRPr="00B31C7B">
        <w:rPr>
          <w:rFonts w:ascii="Verdana" w:hAnsi="Verdana"/>
        </w:rPr>
        <w:t xml:space="preserve"> en el parágrafo del artículo 40 de la Ley 80 de 1993 y de la cláusula excepcional de modificación de los contratos estatales, no existe un desarrollo legal o reglamentario sobre las reglas aplicables a la modificación del contrato estatales.</w:t>
      </w:r>
      <w:r>
        <w:rPr>
          <w:rFonts w:ascii="Verdana" w:hAnsi="Verdana"/>
        </w:rPr>
        <w:t xml:space="preserve"> </w:t>
      </w:r>
      <w:r w:rsidRPr="00B31C7B">
        <w:rPr>
          <w:rFonts w:ascii="Verdana" w:eastAsia="Calibri" w:hAnsi="Verdana" w:cs="Arial"/>
          <w:lang w:val="es-MX" w:eastAsia="es-ES_tradnl"/>
        </w:rPr>
        <w:t>E</w:t>
      </w:r>
      <w:r w:rsidRPr="00B31C7B">
        <w:rPr>
          <w:rFonts w:ascii="Verdana" w:eastAsia="Arial" w:hAnsi="Verdana" w:cs="Arial"/>
          <w:lang w:val="es-MX" w:eastAsia="es-ES" w:bidi="es-ES"/>
        </w:rPr>
        <w:t>n virtud de la aplicación de los principios de transparencia, libertad de concurrencia e igualdad, consagrados en el EGCAP, y las reglas sustanciales del Pliego de Condiciones, que permitieron elegir la mejor oferta, previo cumplimiento de unos requisitos con base en los cuales la oferta del contratista fue considerada la más favorable, estos deben ser de estricta observancia y deben mantenerse durante la ejecución del contrato y en su liquidación, como garantía de inalterabilidad de lo pactado y de acatamiento a la legalidad de las reglas aplicadas en la actuación previa</w:t>
      </w:r>
      <w:r w:rsidRPr="00B31C7B">
        <w:rPr>
          <w:rFonts w:ascii="Verdana" w:eastAsia="Arial" w:hAnsi="Verdana" w:cs="Arial"/>
          <w:lang w:val="es-ES_tradnl" w:eastAsia="es-ES" w:bidi="es-ES"/>
        </w:rPr>
        <w:t>.</w:t>
      </w:r>
      <w:r w:rsidRPr="00B31C7B">
        <w:rPr>
          <w:rFonts w:ascii="Verdana" w:eastAsia="Calibri" w:hAnsi="Verdana" w:cs="Arial"/>
          <w:bCs/>
          <w:lang w:eastAsia="es-ES_tradnl"/>
        </w:rPr>
        <w:t xml:space="preserve"> </w:t>
      </w:r>
    </w:p>
    <w:p w14:paraId="3700FFCD" w14:textId="4EB22528" w:rsidR="00691563" w:rsidRPr="00185EE9" w:rsidRDefault="00691563" w:rsidP="00A943C4">
      <w:pPr>
        <w:widowControl w:val="0"/>
        <w:autoSpaceDE w:val="0"/>
        <w:autoSpaceDN w:val="0"/>
        <w:spacing w:after="0" w:line="276" w:lineRule="auto"/>
        <w:ind w:firstLine="709"/>
        <w:jc w:val="both"/>
        <w:rPr>
          <w:rFonts w:ascii="Verdana" w:eastAsia="Calibri" w:hAnsi="Verdana" w:cs="Arial"/>
          <w:bCs/>
          <w:color w:val="000000" w:themeColor="text1"/>
        </w:rPr>
      </w:pPr>
      <w:r w:rsidRPr="00B31C7B">
        <w:rPr>
          <w:rFonts w:ascii="Verdana" w:eastAsia="Calibri" w:hAnsi="Verdana" w:cs="Arial"/>
          <w:lang w:eastAsia="es-ES_tradnl"/>
        </w:rPr>
        <w:t>Sumado a lo anterior, la posibilidad de ejecutar por encima del valor inicialmente estimado un contrato estructurado en el marco del sistema precios unitarios no puede usarse para desconocer la modalidad de selección aplicable al caso, de acuerdo con la cuantía del Proceso de Contratación, con miras a garantizar la transparencia, la selección objetiva y el principio de planeación en la actividad contractual.</w:t>
      </w:r>
      <w:r w:rsidRPr="00B31C7B">
        <w:rPr>
          <w:rFonts w:ascii="Verdana" w:eastAsia="Calibri" w:hAnsi="Verdana" w:cs="Arial"/>
        </w:rPr>
        <w:t xml:space="preserve"> Si bien en los contratos pactados en la </w:t>
      </w:r>
      <w:r w:rsidRPr="00B31C7B">
        <w:rPr>
          <w:rFonts w:ascii="Verdana" w:hAnsi="Verdana"/>
        </w:rPr>
        <w:t>modalidad de precios unitarios el valor inicial es estimativo, mientras que el valor real es el que resulta una vez se ha terminado la ejecución del contrato, lo cierto es que el valor estimado debe obedecer a estudios previos que determinen de la manera más exacta posible las cantidades de obra. Esto además es el presupuesto sobre el cual la Entidad Estatal contratante genera las apropiaciones presupuestales para ejecutar el contrato.</w:t>
      </w:r>
    </w:p>
    <w:p w14:paraId="3C622D72" w14:textId="11F07BF3" w:rsidR="00691563" w:rsidRDefault="00691563" w:rsidP="00691563">
      <w:pPr>
        <w:spacing w:after="120" w:line="276" w:lineRule="auto"/>
        <w:ind w:firstLine="708"/>
        <w:jc w:val="both"/>
        <w:rPr>
          <w:rFonts w:ascii="Verdana" w:eastAsia="Calibri" w:hAnsi="Verdana" w:cs="Arial"/>
          <w:bCs/>
          <w:color w:val="000000" w:themeColor="text1"/>
        </w:rPr>
      </w:pPr>
      <w:r w:rsidRPr="00717CDA">
        <w:rPr>
          <w:rFonts w:ascii="Verdana" w:eastAsia="Calibri" w:hAnsi="Verdana" w:cs="Arial"/>
          <w:bCs/>
          <w:color w:val="000000" w:themeColor="text1"/>
        </w:rPr>
        <w:t>Ahora bien, para responder su interrogante y en concordancia con lo anteriormente explicado, respecto a los servicios de vigilancia privada, estos servicios se encuentran sujetos a las tarifas mínimas establecidas en la Circular</w:t>
      </w:r>
      <w:r w:rsidRPr="00185EE9">
        <w:rPr>
          <w:rFonts w:ascii="Verdana" w:eastAsia="Calibri" w:hAnsi="Verdana" w:cs="Arial"/>
          <w:bCs/>
          <w:color w:val="000000" w:themeColor="text1"/>
        </w:rPr>
        <w:t xml:space="preserve"> Externa de la Superintendencia de Vigilancia y Seguridad Privada </w:t>
      </w:r>
      <w:r>
        <w:rPr>
          <w:rFonts w:ascii="Verdana" w:eastAsia="Calibri" w:hAnsi="Verdana" w:cs="Arial"/>
          <w:bCs/>
          <w:color w:val="000000" w:themeColor="text1"/>
        </w:rPr>
        <w:t xml:space="preserve">No. </w:t>
      </w:r>
      <w:r w:rsidRPr="00BA6BE6">
        <w:rPr>
          <w:rFonts w:ascii="Verdana" w:eastAsia="Calibri" w:hAnsi="Verdana" w:cs="Arial"/>
          <w:bCs/>
          <w:color w:val="000000" w:themeColor="text1"/>
        </w:rPr>
        <w:t>20241300000445</w:t>
      </w:r>
      <w:r w:rsidRPr="00185EE9">
        <w:rPr>
          <w:rFonts w:ascii="Verdana" w:eastAsia="Calibri" w:hAnsi="Verdana" w:cs="Arial"/>
          <w:bCs/>
          <w:color w:val="000000" w:themeColor="text1"/>
        </w:rPr>
        <w:t xml:space="preserve"> del 30 de diciembre de 202</w:t>
      </w:r>
      <w:r>
        <w:rPr>
          <w:rFonts w:ascii="Verdana" w:eastAsia="Calibri" w:hAnsi="Verdana" w:cs="Arial"/>
          <w:bCs/>
          <w:color w:val="000000" w:themeColor="text1"/>
        </w:rPr>
        <w:t>4</w:t>
      </w:r>
      <w:r>
        <w:rPr>
          <w:rStyle w:val="Refdenotaalpie"/>
          <w:rFonts w:ascii="Verdana" w:eastAsia="Calibri" w:hAnsi="Verdana" w:cs="Arial"/>
          <w:bCs/>
          <w:color w:val="000000" w:themeColor="text1"/>
        </w:rPr>
        <w:footnoteReference w:id="18"/>
      </w:r>
      <w:r w:rsidRPr="00185EE9">
        <w:rPr>
          <w:rFonts w:ascii="Verdana" w:eastAsia="Calibri" w:hAnsi="Verdana" w:cs="Arial"/>
          <w:bCs/>
          <w:color w:val="000000" w:themeColor="text1"/>
        </w:rPr>
        <w:t xml:space="preserve">. </w:t>
      </w:r>
      <w:r>
        <w:rPr>
          <w:rFonts w:ascii="Verdana" w:eastAsia="Calibri" w:hAnsi="Verdana" w:cs="Arial"/>
          <w:bCs/>
          <w:color w:val="000000" w:themeColor="text1"/>
        </w:rPr>
        <w:t xml:space="preserve">Por ende, </w:t>
      </w:r>
      <w:r w:rsidRPr="00717CDA">
        <w:rPr>
          <w:rFonts w:ascii="Verdana" w:eastAsia="Calibri" w:hAnsi="Verdana" w:cs="Arial"/>
          <w:bCs/>
          <w:color w:val="000000" w:themeColor="text1"/>
        </w:rPr>
        <w:t xml:space="preserve">se precisa que </w:t>
      </w:r>
      <w:r>
        <w:rPr>
          <w:rFonts w:ascii="Verdana" w:eastAsia="Calibri" w:hAnsi="Verdana" w:cs="Arial"/>
          <w:bCs/>
          <w:color w:val="000000" w:themeColor="text1"/>
        </w:rPr>
        <w:t xml:space="preserve">dichos servicios al encontrarse </w:t>
      </w:r>
      <w:r w:rsidRPr="00717CDA">
        <w:rPr>
          <w:rFonts w:ascii="Verdana" w:eastAsia="Calibri" w:hAnsi="Verdana" w:cs="Arial"/>
          <w:bCs/>
          <w:color w:val="000000" w:themeColor="text1"/>
        </w:rPr>
        <w:t xml:space="preserve">regulados por el Decreto Ley 356 de 1994, el cual </w:t>
      </w:r>
      <w:r w:rsidRPr="00717CDA">
        <w:rPr>
          <w:rFonts w:ascii="Verdana" w:eastAsia="Calibri" w:hAnsi="Verdana" w:cs="Arial"/>
          <w:bCs/>
          <w:color w:val="000000" w:themeColor="text1"/>
        </w:rPr>
        <w:lastRenderedPageBreak/>
        <w:t>establece el marco jurídico aplicable a la prestación de estos servicios,</w:t>
      </w:r>
      <w:r>
        <w:rPr>
          <w:rFonts w:ascii="Verdana" w:eastAsia="Calibri" w:hAnsi="Verdana" w:cs="Arial"/>
          <w:bCs/>
          <w:color w:val="000000" w:themeColor="text1"/>
        </w:rPr>
        <w:t xml:space="preserve"> definiendo </w:t>
      </w:r>
      <w:r w:rsidRPr="00717CDA">
        <w:rPr>
          <w:rFonts w:ascii="Verdana" w:eastAsia="Calibri" w:hAnsi="Verdana" w:cs="Arial"/>
          <w:bCs/>
          <w:color w:val="000000" w:themeColor="text1"/>
        </w:rPr>
        <w:t xml:space="preserve">las condiciones bajo las cuales deben operar las empresas del sector. En desarrollo de dicho estatuto, la Superintendencia de Vigilancia y Seguridad Privada ejerce funciones de inspección, vigilancia y control, incluyendo la facultad de fijar tarifas mínimas obligatorias que garanticen la adecuada prestación del servicio y la protección de los derechos laborales del personal vinculado. En consecuencia, las entidades estatales que contratan estos servicios deben observar dichas tarifas como un parámetro imperativo, lo que implica que cualquier ajuste en el valor del contrato orientado exclusivamente a dar cumplimiento a esta regulación no responde a una modificación </w:t>
      </w:r>
      <w:r>
        <w:rPr>
          <w:rFonts w:ascii="Verdana" w:eastAsia="Calibri" w:hAnsi="Verdana" w:cs="Arial"/>
          <w:bCs/>
          <w:color w:val="000000" w:themeColor="text1"/>
        </w:rPr>
        <w:t>discrecional</w:t>
      </w:r>
      <w:r w:rsidRPr="00717CDA">
        <w:rPr>
          <w:rFonts w:ascii="Verdana" w:eastAsia="Calibri" w:hAnsi="Verdana" w:cs="Arial"/>
          <w:bCs/>
          <w:color w:val="000000" w:themeColor="text1"/>
        </w:rPr>
        <w:t xml:space="preserve"> del acuerdo, sino a la necesidad de adecuarlo a una obligación normativa sobreviniente</w:t>
      </w:r>
      <w:r>
        <w:rPr>
          <w:rFonts w:ascii="Verdana" w:eastAsia="Calibri" w:hAnsi="Verdana" w:cs="Arial"/>
          <w:bCs/>
          <w:color w:val="000000" w:themeColor="text1"/>
        </w:rPr>
        <w:t xml:space="preserve">. </w:t>
      </w:r>
    </w:p>
    <w:p w14:paraId="51CFD166" w14:textId="184EEEC9" w:rsidR="00337C34" w:rsidRDefault="00337C34" w:rsidP="00A943C4">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No obstante, debe precisarse que, </w:t>
      </w:r>
      <w:r w:rsidRPr="00462996">
        <w:rPr>
          <w:rFonts w:ascii="Verdana" w:eastAsia="Calibri" w:hAnsi="Verdana" w:cs="Arial"/>
          <w:bCs/>
          <w:color w:val="000000" w:themeColor="text1"/>
        </w:rPr>
        <w:t xml:space="preserve">cuando una entidad estatal deba ajustar el valor de un contrato de vigilancia y seguridad privada con el fin exclusivo de dar cumplimiento a la tarifa mínima obligatoria fijada por la Superintendencia de Vigilancia y Seguridad Privada, dicho ajuste </w:t>
      </w:r>
      <w:r>
        <w:rPr>
          <w:rFonts w:ascii="Verdana" w:eastAsia="Calibri" w:hAnsi="Verdana" w:cs="Arial"/>
          <w:bCs/>
          <w:color w:val="000000" w:themeColor="text1"/>
        </w:rPr>
        <w:t>debe respetar los límites legales y jurisprudenciales previstos para que procedan las modificaciones frente a las entidades sometidas al EGCAP, entre ellas</w:t>
      </w:r>
      <w:r w:rsidRPr="00462996">
        <w:rPr>
          <w:rFonts w:ascii="Verdana" w:eastAsia="Calibri" w:hAnsi="Verdana" w:cs="Arial"/>
          <w:bCs/>
          <w:color w:val="000000" w:themeColor="text1"/>
        </w:rPr>
        <w:t xml:space="preserve"> la restricción prevista en el parágrafo del artículo 40 de la Ley 80 de 1993, relativa al límite del 50% para las adiciones contractuales.</w:t>
      </w:r>
    </w:p>
    <w:p w14:paraId="1D763D51" w14:textId="77777777" w:rsidR="00691563" w:rsidRDefault="00691563" w:rsidP="00691563">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C1B0A2A" w14:textId="77777777" w:rsidR="00691563" w:rsidRPr="00185EE9" w:rsidRDefault="00691563" w:rsidP="00691563">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E853DE">
        <w:rPr>
          <w:rFonts w:ascii="Verdana" w:eastAsia="Calibri" w:hAnsi="Verdana" w:cs="Arial"/>
          <w:bCs/>
          <w:color w:val="000000" w:themeColor="text1"/>
        </w:rPr>
        <w:lastRenderedPageBreak/>
        <w:t>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1461E0E0" w14:textId="77777777" w:rsidR="00691563" w:rsidRPr="00182C89" w:rsidRDefault="00691563" w:rsidP="00691563">
      <w:pPr>
        <w:tabs>
          <w:tab w:val="left" w:pos="709"/>
        </w:tabs>
        <w:spacing w:after="0" w:line="276" w:lineRule="auto"/>
        <w:jc w:val="both"/>
        <w:rPr>
          <w:rFonts w:ascii="Verdana" w:eastAsia="Calibri" w:hAnsi="Verdana" w:cs="Arial"/>
          <w:color w:val="000000" w:themeColor="text1"/>
        </w:rPr>
      </w:pPr>
    </w:p>
    <w:p w14:paraId="09FCAF45" w14:textId="77777777" w:rsidR="00691563" w:rsidRPr="00593A5F" w:rsidRDefault="00691563" w:rsidP="0069156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DDC9EE4" w14:textId="77777777" w:rsidR="00691563" w:rsidRPr="00593A5F" w:rsidRDefault="00691563" w:rsidP="0069156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91563" w:rsidRPr="002407CE" w14:paraId="3F879151" w14:textId="77777777" w:rsidTr="00BB4C80">
        <w:trPr>
          <w:trHeight w:val="870"/>
          <w:jc w:val="center"/>
        </w:trPr>
        <w:tc>
          <w:tcPr>
            <w:tcW w:w="8647" w:type="dxa"/>
          </w:tcPr>
          <w:p w14:paraId="53C86CD7" w14:textId="77777777" w:rsidR="00691563" w:rsidRDefault="00691563" w:rsidP="00BB4C8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B77306">
              <w:rPr>
                <w:rFonts w:ascii="Verdana" w:hAnsi="Verdana" w:cs="Arial"/>
              </w:rPr>
              <w:t>Decreto Ley 354 de 1994.</w:t>
            </w:r>
          </w:p>
          <w:p w14:paraId="4B04500B" w14:textId="77777777" w:rsidR="00691563" w:rsidRPr="00B77306" w:rsidRDefault="00691563" w:rsidP="00BB4C8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40.</w:t>
            </w:r>
          </w:p>
          <w:p w14:paraId="7F7F8AF6" w14:textId="77777777" w:rsidR="00691563" w:rsidRPr="00B77306" w:rsidRDefault="00691563" w:rsidP="00BB4C8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B77306">
              <w:rPr>
                <w:rFonts w:ascii="Verdana" w:hAnsi="Verdana" w:cs="Arial"/>
              </w:rPr>
              <w:t xml:space="preserve">Ley 1150 de 2007, artículo 2. </w:t>
            </w:r>
          </w:p>
          <w:p w14:paraId="5B02FED2" w14:textId="77777777" w:rsidR="00691563" w:rsidRPr="00B77306" w:rsidRDefault="00691563" w:rsidP="00BB4C8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B77306">
              <w:rPr>
                <w:rFonts w:ascii="Verdana" w:hAnsi="Verdana" w:cs="Arial"/>
              </w:rPr>
              <w:t>Ley 1920 de 2018, artículo 6.</w:t>
            </w:r>
          </w:p>
          <w:p w14:paraId="1CF69715" w14:textId="77777777" w:rsidR="00691563" w:rsidRPr="00B77306" w:rsidRDefault="00691563" w:rsidP="00BB4C8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B77306">
              <w:rPr>
                <w:rFonts w:ascii="Verdana" w:hAnsi="Verdana" w:cs="Arial"/>
              </w:rPr>
              <w:t xml:space="preserve">Decreto 1082 de 2015, artículos 2.2.2.1.1.1.3.1, </w:t>
            </w:r>
            <w:r w:rsidRPr="00B77306">
              <w:rPr>
                <w:rFonts w:ascii="Verdana" w:eastAsia="Calibri" w:hAnsi="Verdana" w:cs="Arial"/>
                <w:bCs/>
                <w:color w:val="000000" w:themeColor="text1"/>
              </w:rPr>
              <w:t>2.2.1.1.2.2.2</w:t>
            </w:r>
            <w:r w:rsidRPr="00B77306">
              <w:rPr>
                <w:rFonts w:ascii="Verdana" w:hAnsi="Verdana" w:cs="Arial"/>
              </w:rPr>
              <w:t xml:space="preserve"> </w:t>
            </w:r>
            <w:r w:rsidRPr="00B77306">
              <w:rPr>
                <w:rFonts w:ascii="Verdana" w:eastAsia="Calibri" w:hAnsi="Verdana" w:cs="Arial"/>
                <w:bCs/>
                <w:color w:val="000000" w:themeColor="text1"/>
              </w:rPr>
              <w:t>2.2.1.2.4.2.10, 2.2.1.2.4.2.11, 2.2.1.2.4.2.12 y 2.2.1.2.4.2.13</w:t>
            </w:r>
          </w:p>
          <w:p w14:paraId="3B0EBD79" w14:textId="77777777" w:rsidR="00691563" w:rsidRPr="00DA543F" w:rsidRDefault="00691563" w:rsidP="00BB4C80">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sidRPr="00B9148F">
              <w:rPr>
                <w:rFonts w:ascii="Verdana" w:eastAsia="Calibri" w:hAnsi="Verdana" w:cs="Arial"/>
                <w:bCs/>
                <w:color w:val="000000" w:themeColor="text1"/>
              </w:rPr>
              <w:t>Circular Externa de la Superintendencia de Vigilancia y Seguridad Privada No. 20241300000445 del 30 de diciembre de 2024</w:t>
            </w:r>
            <w:r>
              <w:rPr>
                <w:rFonts w:ascii="Verdana" w:eastAsia="Calibri" w:hAnsi="Verdana" w:cs="Arial"/>
                <w:bCs/>
                <w:color w:val="000000" w:themeColor="text1"/>
              </w:rPr>
              <w:t>.</w:t>
            </w:r>
          </w:p>
        </w:tc>
      </w:tr>
    </w:tbl>
    <w:p w14:paraId="4EDE9968" w14:textId="77777777" w:rsidR="00691563" w:rsidRPr="00B77306" w:rsidRDefault="00691563" w:rsidP="00691563">
      <w:pPr>
        <w:widowControl w:val="0"/>
        <w:autoSpaceDE w:val="0"/>
        <w:autoSpaceDN w:val="0"/>
        <w:spacing w:after="0" w:line="276" w:lineRule="auto"/>
        <w:jc w:val="both"/>
        <w:rPr>
          <w:rFonts w:ascii="Verdana" w:hAnsi="Verdana" w:cs="Arial"/>
        </w:rPr>
      </w:pPr>
    </w:p>
    <w:p w14:paraId="4CB00179" w14:textId="77777777" w:rsidR="00691563" w:rsidRPr="00B77306" w:rsidRDefault="00691563" w:rsidP="0069156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77306">
        <w:rPr>
          <w:rFonts w:ascii="Verdana" w:eastAsia="Century Gothic" w:hAnsi="Verdana" w:cs="Century Gothic"/>
          <w:b/>
          <w:bCs/>
        </w:rPr>
        <w:t>Doctrina de la Agencia Nacional de Contratación Pública:</w:t>
      </w:r>
    </w:p>
    <w:p w14:paraId="17355EDE" w14:textId="77777777" w:rsidR="00691563" w:rsidRPr="00B77306" w:rsidRDefault="00691563" w:rsidP="00691563">
      <w:pPr>
        <w:widowControl w:val="0"/>
        <w:autoSpaceDE w:val="0"/>
        <w:autoSpaceDN w:val="0"/>
        <w:spacing w:after="0" w:line="276" w:lineRule="auto"/>
        <w:jc w:val="both"/>
        <w:rPr>
          <w:rFonts w:ascii="Verdana" w:hAnsi="Verdana" w:cs="Arial"/>
        </w:rPr>
      </w:pPr>
    </w:p>
    <w:p w14:paraId="7585314E" w14:textId="4D82EF91" w:rsidR="00691563" w:rsidRPr="00982071" w:rsidRDefault="00691563" w:rsidP="00691563">
      <w:pPr>
        <w:jc w:val="both"/>
        <w:rPr>
          <w:rFonts w:ascii="Arial" w:eastAsia="Calibri" w:hAnsi="Arial" w:cs="Arial"/>
          <w:b/>
          <w:bCs/>
          <w:color w:val="000000" w:themeColor="text1"/>
          <w:lang w:val="es-ES_tradnl"/>
        </w:rPr>
      </w:pPr>
      <w:r w:rsidRPr="00923420">
        <w:rPr>
          <w:rFonts w:ascii="Verdana" w:hAnsi="Verdana"/>
          <w:lang w:val="es-ES"/>
        </w:rPr>
        <w:t xml:space="preserve">La Agencia Nacional de Contratación Pública – Colombia Compra Eficiente se ha referido sobre sobre </w:t>
      </w:r>
      <w:r>
        <w:rPr>
          <w:rFonts w:ascii="Verdana" w:hAnsi="Verdana"/>
          <w:lang w:val="es-ES"/>
        </w:rPr>
        <w:t xml:space="preserve">la </w:t>
      </w:r>
      <w:r w:rsidR="006A6A58">
        <w:rPr>
          <w:rFonts w:ascii="Verdana" w:hAnsi="Verdana"/>
          <w:lang w:val="es-ES"/>
        </w:rPr>
        <w:t xml:space="preserve">adición </w:t>
      </w:r>
      <w:r w:rsidR="006A6A58" w:rsidRPr="00923420">
        <w:rPr>
          <w:rFonts w:ascii="Verdana" w:hAnsi="Verdana"/>
          <w:lang w:val="es-ES"/>
        </w:rPr>
        <w:t>en</w:t>
      </w:r>
      <w:r w:rsidRPr="00923420">
        <w:rPr>
          <w:rFonts w:ascii="Verdana" w:hAnsi="Verdana"/>
          <w:lang w:val="es-ES"/>
        </w:rPr>
        <w:t xml:space="preserve"> los Conceptos C-938 del 27 de diciembre de 2022, C-774 del 20 de noviembre de 2024, C-565 del 10 de junio de 2025, C-1029 del 31 de julio de 2025, C-1035 del 8 de septiembre de 2025 y C-1429 del 21 de octubre de 2025, entre otros.</w:t>
      </w:r>
      <w:r w:rsidRPr="0041032A">
        <w:rPr>
          <w:rStyle w:val="normaltextrun"/>
          <w:rFonts w:ascii="Verdana" w:hAnsi="Verdana" w:cs="Arial"/>
          <w:shd w:val="clear" w:color="auto" w:fill="FFFFFF"/>
          <w:lang w:val="es-ES"/>
        </w:rPr>
        <w:t xml:space="preserve"> </w:t>
      </w:r>
      <w:r>
        <w:rPr>
          <w:rStyle w:val="normaltextrun"/>
          <w:rFonts w:ascii="Verdana" w:hAnsi="Verdana" w:cs="Arial"/>
          <w:shd w:val="clear" w:color="auto" w:fill="FFFFFF"/>
          <w:lang w:val="es-ES"/>
        </w:rPr>
        <w:t xml:space="preserve">sobre el AIU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w:t>
      </w:r>
      <w:r>
        <w:rPr>
          <w:rStyle w:val="normaltextrun"/>
          <w:rFonts w:ascii="Verdana" w:hAnsi="Verdana" w:cs="Arial"/>
          <w:shd w:val="clear" w:color="auto" w:fill="FFFFFF"/>
          <w:lang w:val="es-ES"/>
        </w:rPr>
        <w:lastRenderedPageBreak/>
        <w:t xml:space="preserve">diciembre de 2022, C-361 de septiembre de 2023, C-401 del 27 de septiembre de 2023, C-455 del 18 de septiembre de 2024 y C-248 de 2025, </w:t>
      </w:r>
      <w:r>
        <w:rPr>
          <w:rFonts w:ascii="Verdana" w:eastAsia="Calibri" w:hAnsi="Verdana" w:cs="Arial"/>
          <w:lang w:val="es-ES" w:eastAsia="es-ES"/>
        </w:rPr>
        <w:t>entre otros.</w:t>
      </w:r>
      <w:r w:rsidRPr="00923420">
        <w:rPr>
          <w:rFonts w:ascii="Verdana" w:hAnsi="Verdana"/>
          <w:lang w:val="es-ES"/>
        </w:rPr>
        <w:t xml:space="preserve"> 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2"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11C16231" w14:textId="77777777" w:rsidR="00691563" w:rsidRPr="00B77306" w:rsidRDefault="00691563" w:rsidP="00691563">
      <w:pPr>
        <w:widowControl w:val="0"/>
        <w:autoSpaceDE w:val="0"/>
        <w:autoSpaceDN w:val="0"/>
        <w:spacing w:after="0" w:line="276" w:lineRule="auto"/>
        <w:jc w:val="both"/>
        <w:rPr>
          <w:rFonts w:ascii="Verdana" w:hAnsi="Verdana" w:cs="Arial"/>
          <w:color w:val="000000" w:themeColor="text1"/>
          <w:shd w:val="clear" w:color="auto" w:fill="FFFFFF"/>
        </w:rPr>
      </w:pPr>
    </w:p>
    <w:p w14:paraId="42E0B829" w14:textId="77777777" w:rsidR="00691563" w:rsidRPr="009A385A" w:rsidRDefault="00691563" w:rsidP="00691563">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4205C5E0" w14:textId="77777777" w:rsidR="00691563" w:rsidRDefault="00691563" w:rsidP="00691563">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7284F910" w14:textId="77777777" w:rsidR="00691563" w:rsidRPr="009A385A" w:rsidRDefault="00691563" w:rsidP="00691563">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253E115" w14:textId="77777777" w:rsidR="00691563" w:rsidRPr="00717CDA" w:rsidRDefault="00691563" w:rsidP="00691563">
      <w:pPr>
        <w:widowControl w:val="0"/>
        <w:autoSpaceDE w:val="0"/>
        <w:autoSpaceDN w:val="0"/>
        <w:spacing w:after="0" w:line="276" w:lineRule="auto"/>
        <w:jc w:val="both"/>
        <w:rPr>
          <w:rFonts w:ascii="Verdana" w:hAnsi="Verdana" w:cs="Arial"/>
          <w:color w:val="FF0000"/>
          <w:shd w:val="clear" w:color="auto" w:fill="FFFFFF"/>
          <w:lang w:val="es-ES_tradnl"/>
        </w:rPr>
      </w:pPr>
      <w:r w:rsidRPr="004A2375">
        <w:rPr>
          <w:rFonts w:ascii="Verdana" w:hAnsi="Verdana"/>
        </w:rPr>
        <w:lastRenderedPageBreak/>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6EECFA7" w14:textId="77777777" w:rsidR="00691563" w:rsidRPr="00AE2042" w:rsidRDefault="00691563" w:rsidP="00691563">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nacional gratuita o servicio a la ciudadanía: 01800 0520808</w:t>
      </w:r>
    </w:p>
    <w:p w14:paraId="62A0F83B" w14:textId="77777777" w:rsidR="00691563" w:rsidRPr="00AE2042" w:rsidRDefault="00691563" w:rsidP="00691563">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en Bogotá (Mesa de servicio): +57 601 7456788</w:t>
      </w:r>
    </w:p>
    <w:p w14:paraId="545FE2F9" w14:textId="77777777" w:rsidR="00691563" w:rsidRPr="00AE2042" w:rsidRDefault="00691563" w:rsidP="00691563">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de servicio y atención al ciudadano: +57 601 7956600</w:t>
      </w:r>
    </w:p>
    <w:p w14:paraId="7D9347BD" w14:textId="77777777" w:rsidR="00691563" w:rsidRPr="00AE2042" w:rsidRDefault="00691563" w:rsidP="00691563">
      <w:pPr>
        <w:pStyle w:val="Prrafodelista"/>
        <w:numPr>
          <w:ilvl w:val="0"/>
          <w:numId w:val="15"/>
        </w:numPr>
        <w:spacing w:line="276" w:lineRule="auto"/>
        <w:contextualSpacing w:val="0"/>
        <w:jc w:val="both"/>
        <w:rPr>
          <w:rFonts w:ascii="Verdana" w:hAnsi="Verdana"/>
          <w:sz w:val="20"/>
          <w:szCs w:val="20"/>
          <w:lang w:val="es-CO"/>
        </w:rPr>
      </w:pPr>
      <w:r w:rsidRPr="00AE2042">
        <w:rPr>
          <w:rFonts w:ascii="Verdana" w:hAnsi="Verdana"/>
          <w:sz w:val="20"/>
          <w:szCs w:val="20"/>
          <w:lang w:val="es-CO"/>
        </w:rPr>
        <w:t xml:space="preserve">Página web: </w:t>
      </w:r>
      <w:hyperlink r:id="rId16" w:history="1">
        <w:r w:rsidRPr="00AE2042">
          <w:rPr>
            <w:rStyle w:val="Hipervnculo"/>
            <w:rFonts w:ascii="Verdana" w:hAnsi="Verdana"/>
            <w:sz w:val="20"/>
            <w:szCs w:val="20"/>
            <w:lang w:val="es-CO"/>
          </w:rPr>
          <w:t>www.colombiacompra.gov.co</w:t>
        </w:r>
      </w:hyperlink>
    </w:p>
    <w:p w14:paraId="16342356" w14:textId="77777777" w:rsidR="00691563" w:rsidRDefault="00691563" w:rsidP="00691563">
      <w:pPr>
        <w:spacing w:after="0" w:line="276" w:lineRule="auto"/>
        <w:jc w:val="both"/>
        <w:rPr>
          <w:rFonts w:ascii="Verdana" w:hAnsi="Verdana"/>
        </w:rPr>
      </w:pPr>
      <w:r w:rsidRPr="004A2375">
        <w:rPr>
          <w:rFonts w:ascii="Verdana" w:hAnsi="Verdana"/>
        </w:rPr>
        <w:t xml:space="preserve">Por último, lo invitamos a seguirnos en las redes sociales en las cuales se difunde información institucional: </w:t>
      </w:r>
    </w:p>
    <w:p w14:paraId="693C4F84" w14:textId="77777777" w:rsidR="00691563" w:rsidRPr="00AE2042" w:rsidRDefault="00691563" w:rsidP="00691563">
      <w:pPr>
        <w:spacing w:before="240" w:after="0" w:line="276" w:lineRule="auto"/>
        <w:jc w:val="both"/>
        <w:rPr>
          <w:rFonts w:ascii="Verdana" w:hAnsi="Verdana"/>
          <w:sz w:val="20"/>
          <w:szCs w:val="20"/>
        </w:rPr>
      </w:pPr>
      <w:r w:rsidRPr="00AE2042">
        <w:rPr>
          <w:rFonts w:ascii="Verdana" w:hAnsi="Verdana"/>
          <w:sz w:val="20"/>
          <w:szCs w:val="20"/>
        </w:rPr>
        <w:t xml:space="preserve">Twitter: </w:t>
      </w:r>
      <w:r w:rsidRPr="00AE2042">
        <w:rPr>
          <w:rStyle w:val="Hipervnculo"/>
          <w:rFonts w:ascii="Verdana" w:hAnsi="Verdana"/>
          <w:sz w:val="20"/>
          <w:szCs w:val="20"/>
        </w:rPr>
        <w:t>@colombiacompra</w:t>
      </w:r>
      <w:r w:rsidRPr="00AE2042">
        <w:rPr>
          <w:rFonts w:ascii="Verdana" w:hAnsi="Verdana"/>
          <w:sz w:val="20"/>
          <w:szCs w:val="20"/>
        </w:rPr>
        <w:t xml:space="preserve"> </w:t>
      </w:r>
    </w:p>
    <w:p w14:paraId="49C35A69" w14:textId="77777777" w:rsidR="00691563" w:rsidRPr="00AE2042" w:rsidRDefault="00691563" w:rsidP="00691563">
      <w:pPr>
        <w:spacing w:after="0" w:line="276" w:lineRule="auto"/>
        <w:jc w:val="both"/>
        <w:rPr>
          <w:rFonts w:ascii="Verdana" w:hAnsi="Verdana"/>
          <w:sz w:val="20"/>
          <w:szCs w:val="20"/>
        </w:rPr>
      </w:pPr>
      <w:r w:rsidRPr="00AE2042">
        <w:rPr>
          <w:rFonts w:ascii="Verdana" w:hAnsi="Verdana"/>
          <w:sz w:val="20"/>
          <w:szCs w:val="20"/>
        </w:rPr>
        <w:t xml:space="preserve">Facebook: </w:t>
      </w:r>
      <w:proofErr w:type="spellStart"/>
      <w:r w:rsidRPr="00AE2042">
        <w:rPr>
          <w:rStyle w:val="Hipervnculo"/>
          <w:rFonts w:ascii="Verdana" w:hAnsi="Verdana"/>
          <w:sz w:val="20"/>
          <w:szCs w:val="20"/>
        </w:rPr>
        <w:t>ColombiaCompraEficiente</w:t>
      </w:r>
      <w:proofErr w:type="spellEnd"/>
    </w:p>
    <w:p w14:paraId="667057B7" w14:textId="77777777" w:rsidR="00691563" w:rsidRPr="00AE2042" w:rsidRDefault="00691563" w:rsidP="00691563">
      <w:pPr>
        <w:spacing w:after="0" w:line="276" w:lineRule="auto"/>
        <w:jc w:val="both"/>
        <w:rPr>
          <w:rStyle w:val="Hipervnculo"/>
          <w:rFonts w:ascii="Verdana" w:hAnsi="Verdana"/>
          <w:sz w:val="20"/>
          <w:szCs w:val="20"/>
        </w:rPr>
      </w:pPr>
      <w:r w:rsidRPr="00AE2042">
        <w:rPr>
          <w:rFonts w:ascii="Verdana" w:hAnsi="Verdana"/>
          <w:sz w:val="20"/>
          <w:szCs w:val="20"/>
        </w:rPr>
        <w:t xml:space="preserve">LinkedIn: </w:t>
      </w:r>
      <w:r w:rsidRPr="00AE2042">
        <w:rPr>
          <w:rStyle w:val="Hipervnculo"/>
          <w:rFonts w:ascii="Verdana" w:hAnsi="Verdana"/>
          <w:sz w:val="20"/>
          <w:szCs w:val="20"/>
        </w:rPr>
        <w:t>Agencia Nacional de Contratación Pública - Colombia Compra Eficiente</w:t>
      </w:r>
    </w:p>
    <w:p w14:paraId="7EE2050F" w14:textId="77777777" w:rsidR="00691563" w:rsidRPr="00AE2042" w:rsidRDefault="00691563" w:rsidP="00691563">
      <w:pPr>
        <w:spacing w:line="276" w:lineRule="auto"/>
        <w:jc w:val="both"/>
        <w:rPr>
          <w:rFonts w:ascii="Verdana" w:hAnsi="Verdana"/>
          <w:color w:val="0000FF"/>
          <w:sz w:val="20"/>
          <w:szCs w:val="20"/>
          <w:u w:val="single"/>
        </w:rPr>
      </w:pPr>
      <w:r w:rsidRPr="00AE2042">
        <w:rPr>
          <w:rFonts w:ascii="Verdana" w:hAnsi="Verdana"/>
          <w:sz w:val="20"/>
          <w:szCs w:val="20"/>
        </w:rPr>
        <w:t xml:space="preserve">Instagram: </w:t>
      </w:r>
      <w:r w:rsidRPr="00AE2042">
        <w:rPr>
          <w:rStyle w:val="Hipervnculo"/>
          <w:rFonts w:ascii="Verdana" w:hAnsi="Verdana"/>
          <w:sz w:val="20"/>
          <w:szCs w:val="20"/>
        </w:rPr>
        <w:t>@colombiacompraeficiente_cce</w:t>
      </w:r>
    </w:p>
    <w:p w14:paraId="3FE8FAC6" w14:textId="77777777" w:rsidR="00691563" w:rsidRPr="004A2375" w:rsidRDefault="00691563" w:rsidP="00691563">
      <w:pPr>
        <w:spacing w:after="0" w:line="276" w:lineRule="auto"/>
        <w:jc w:val="both"/>
        <w:rPr>
          <w:rFonts w:ascii="Verdana" w:eastAsia="Calibri" w:hAnsi="Verdana" w:cs="Times New Roman"/>
          <w:bCs/>
        </w:rPr>
      </w:pPr>
      <w:r w:rsidRPr="004A2375">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C6902CA" w14:textId="77777777" w:rsidR="00691563" w:rsidRPr="00B77306" w:rsidRDefault="00691563" w:rsidP="00691563">
      <w:pPr>
        <w:widowControl w:val="0"/>
        <w:autoSpaceDE w:val="0"/>
        <w:autoSpaceDN w:val="0"/>
        <w:spacing w:after="0" w:line="276" w:lineRule="auto"/>
        <w:jc w:val="both"/>
        <w:rPr>
          <w:rFonts w:ascii="Verdana" w:hAnsi="Verdana" w:cs="Arial"/>
        </w:rPr>
      </w:pPr>
    </w:p>
    <w:p w14:paraId="639CF58B" w14:textId="77777777" w:rsidR="00691563" w:rsidRPr="00B77306" w:rsidRDefault="00691563" w:rsidP="00691563">
      <w:pPr>
        <w:spacing w:after="0" w:line="276" w:lineRule="auto"/>
        <w:rPr>
          <w:rFonts w:ascii="Verdana" w:hAnsi="Verdana" w:cs="Arial"/>
          <w:lang w:eastAsia="es-CO"/>
        </w:rPr>
      </w:pPr>
      <w:r w:rsidRPr="00B77306">
        <w:rPr>
          <w:rFonts w:ascii="Verdana" w:eastAsia="Times New Roman" w:hAnsi="Verdana" w:cs="Arial"/>
          <w:lang w:eastAsia="es-CO"/>
        </w:rPr>
        <w:t>Atentamente,</w:t>
      </w:r>
      <w:r w:rsidRPr="00B77306">
        <w:rPr>
          <w:rFonts w:ascii="Verdana" w:hAnsi="Verdana" w:cs="Arial"/>
          <w:lang w:eastAsia="es-CO"/>
        </w:rPr>
        <w:t xml:space="preserve"> </w:t>
      </w:r>
    </w:p>
    <w:p w14:paraId="1784C092" w14:textId="5A1E9EDD" w:rsidR="00691563" w:rsidRPr="00593A5F" w:rsidRDefault="00AE2503" w:rsidP="00691563">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63C1598D" wp14:editId="0B956B3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91563" w:rsidRPr="00593A5F" w14:paraId="50748CC7" w14:textId="77777777" w:rsidTr="00BB4C80">
        <w:trPr>
          <w:trHeight w:val="315"/>
        </w:trPr>
        <w:tc>
          <w:tcPr>
            <w:tcW w:w="893" w:type="dxa"/>
            <w:vAlign w:val="center"/>
            <w:hideMark/>
          </w:tcPr>
          <w:p w14:paraId="5ADC6A2B" w14:textId="77777777" w:rsidR="00691563" w:rsidRPr="003751C7" w:rsidRDefault="00691563" w:rsidP="00BB4C8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4E1D840" w14:textId="77777777" w:rsidR="00691563" w:rsidRPr="00254A7A" w:rsidRDefault="00691563" w:rsidP="00BB4C80">
            <w:pPr>
              <w:contextualSpacing/>
              <w:rPr>
                <w:rStyle w:val="normaltextrun"/>
                <w:rFonts w:ascii="Verdana" w:hAnsi="Verdana"/>
                <w:sz w:val="16"/>
                <w:szCs w:val="16"/>
              </w:rPr>
            </w:pPr>
            <w:r>
              <w:rPr>
                <w:rStyle w:val="normaltextrun"/>
                <w:rFonts w:ascii="Verdana" w:hAnsi="Verdana"/>
                <w:sz w:val="16"/>
                <w:szCs w:val="16"/>
              </w:rPr>
              <w:t>Richard Andrés Montenegro Siefken</w:t>
            </w:r>
          </w:p>
          <w:p w14:paraId="7731E6EA" w14:textId="77777777" w:rsidR="00691563" w:rsidRPr="00254A7A" w:rsidRDefault="00691563" w:rsidP="00BB4C80">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691563" w:rsidRPr="00593A5F" w14:paraId="72165F49" w14:textId="77777777" w:rsidTr="00BB4C80">
        <w:trPr>
          <w:trHeight w:val="330"/>
        </w:trPr>
        <w:tc>
          <w:tcPr>
            <w:tcW w:w="893" w:type="dxa"/>
            <w:vAlign w:val="center"/>
            <w:hideMark/>
          </w:tcPr>
          <w:p w14:paraId="22498C2E" w14:textId="77777777" w:rsidR="00691563" w:rsidRPr="003751C7" w:rsidRDefault="00691563" w:rsidP="00BB4C8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A938B09" w14:textId="77777777" w:rsidR="00691563" w:rsidRPr="004A73EC" w:rsidRDefault="00691563" w:rsidP="00BB4C80">
            <w:pPr>
              <w:pStyle w:val="paragraph"/>
              <w:spacing w:after="0"/>
              <w:contextualSpacing/>
              <w:textAlignment w:val="baseline"/>
              <w:rPr>
                <w:rStyle w:val="normaltextrun"/>
                <w:rFonts w:ascii="Verdana" w:hAnsi="Verdana" w:cs="Arial"/>
                <w:sz w:val="16"/>
                <w:szCs w:val="16"/>
                <w:lang w:val="es-ES_tradnl"/>
              </w:rPr>
            </w:pPr>
            <w:r>
              <w:rPr>
                <w:rStyle w:val="normaltextrun"/>
                <w:rFonts w:ascii="Verdana" w:hAnsi="Verdana" w:cs="Arial"/>
                <w:sz w:val="16"/>
                <w:szCs w:val="16"/>
                <w:lang w:val="es-ES_tradnl"/>
              </w:rPr>
              <w:t>Diana Lucia Saavedra Castañeda</w:t>
            </w:r>
          </w:p>
          <w:p w14:paraId="0949DFAB" w14:textId="77777777" w:rsidR="00691563" w:rsidRPr="00254A7A" w:rsidRDefault="00691563" w:rsidP="00BB4C80">
            <w:pPr>
              <w:pStyle w:val="paragraph"/>
              <w:spacing w:before="0" w:beforeAutospacing="0" w:after="0" w:afterAutospacing="0"/>
              <w:contextualSpacing/>
              <w:textAlignment w:val="baseline"/>
              <w:rPr>
                <w:rFonts w:ascii="Verdana" w:hAnsi="Verdana" w:cs="Segoe UI"/>
                <w:sz w:val="16"/>
                <w:szCs w:val="16"/>
              </w:rPr>
            </w:pPr>
            <w:r w:rsidRPr="002306E5">
              <w:rPr>
                <w:rStyle w:val="normaltextrun"/>
                <w:rFonts w:ascii="Verdana" w:hAnsi="Verdana" w:cs="Arial"/>
                <w:sz w:val="16"/>
                <w:szCs w:val="16"/>
                <w:lang w:val="es-ES_tradnl"/>
              </w:rPr>
              <w:t>Contratista de la Subdirección de Gestión Contractual</w:t>
            </w:r>
          </w:p>
        </w:tc>
      </w:tr>
      <w:tr w:rsidR="00691563" w:rsidRPr="00593A5F" w14:paraId="1676FB58" w14:textId="77777777" w:rsidTr="00BB4C80">
        <w:trPr>
          <w:trHeight w:val="300"/>
        </w:trPr>
        <w:tc>
          <w:tcPr>
            <w:tcW w:w="893" w:type="dxa"/>
            <w:vAlign w:val="center"/>
          </w:tcPr>
          <w:p w14:paraId="5F526E40" w14:textId="77777777" w:rsidR="00691563" w:rsidRPr="003751C7" w:rsidRDefault="00691563" w:rsidP="00BB4C8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85C7B77" w14:textId="77777777" w:rsidR="00691563" w:rsidRPr="003751C7" w:rsidRDefault="00691563" w:rsidP="00BB4C80">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0EF98BDB" w14:textId="77777777" w:rsidR="00691563" w:rsidRPr="003751C7" w:rsidRDefault="00691563" w:rsidP="00BB4C80">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F293BF4" w14:textId="328A7752" w:rsidR="00127233" w:rsidRPr="00F34441" w:rsidRDefault="00127233" w:rsidP="00AE2503"/>
    <w:sectPr w:rsidR="00127233" w:rsidRPr="00F34441"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1C27B" w14:textId="77777777" w:rsidR="000539BE" w:rsidRDefault="000539BE" w:rsidP="004A1847">
      <w:pPr>
        <w:spacing w:after="0" w:line="240" w:lineRule="auto"/>
      </w:pPr>
      <w:r>
        <w:separator/>
      </w:r>
    </w:p>
  </w:endnote>
  <w:endnote w:type="continuationSeparator" w:id="0">
    <w:p w14:paraId="6AC47E69" w14:textId="77777777" w:rsidR="000539BE" w:rsidRDefault="000539B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F34441"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F34441">
      <w:rPr>
        <w:rFonts w:ascii="Verdana" w:eastAsia="Verdana" w:hAnsi="Verdana" w:cs="Verdana"/>
        <w:b/>
        <w:bCs/>
        <w:color w:val="000000" w:themeColor="text1"/>
        <w:sz w:val="18"/>
        <w:szCs w:val="18"/>
        <w:lang w:val="pt-PT" w:eastAsia="es-CO"/>
      </w:rPr>
      <w:t xml:space="preserve">Código: </w:t>
    </w:r>
    <w:r w:rsidRPr="00F34441">
      <w:rPr>
        <w:rFonts w:ascii="Verdana" w:eastAsia="Verdana" w:hAnsi="Verdana" w:cs="Verdana"/>
        <w:color w:val="000000" w:themeColor="text1"/>
        <w:sz w:val="18"/>
        <w:szCs w:val="18"/>
        <w:lang w:val="pt-PT" w:eastAsia="es-CO"/>
      </w:rPr>
      <w:t xml:space="preserve">CCE-REC-FM-17 </w:t>
    </w:r>
    <w:r w:rsidRPr="00F34441">
      <w:rPr>
        <w:rFonts w:ascii="Verdana" w:eastAsia="Verdana" w:hAnsi="Verdana" w:cs="Verdana"/>
        <w:b/>
        <w:bCs/>
        <w:color w:val="000000" w:themeColor="text1"/>
        <w:sz w:val="18"/>
        <w:szCs w:val="18"/>
        <w:lang w:val="pt-PT" w:eastAsia="es-CO"/>
      </w:rPr>
      <w:t xml:space="preserve">V: </w:t>
    </w:r>
    <w:r w:rsidRPr="00F34441">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67B3A" w14:textId="77777777" w:rsidR="000539BE" w:rsidRDefault="000539BE" w:rsidP="004A1847">
      <w:pPr>
        <w:spacing w:after="0" w:line="240" w:lineRule="auto"/>
      </w:pPr>
      <w:r>
        <w:separator/>
      </w:r>
    </w:p>
  </w:footnote>
  <w:footnote w:type="continuationSeparator" w:id="0">
    <w:p w14:paraId="731F48E8" w14:textId="77777777" w:rsidR="000539BE" w:rsidRDefault="000539BE" w:rsidP="004A1847">
      <w:pPr>
        <w:spacing w:after="0" w:line="240" w:lineRule="auto"/>
      </w:pPr>
      <w:r>
        <w:continuationSeparator/>
      </w:r>
    </w:p>
  </w:footnote>
  <w:footnote w:id="1">
    <w:p w14:paraId="378F6615" w14:textId="77777777" w:rsidR="00691563" w:rsidRPr="00FB6631" w:rsidRDefault="00691563" w:rsidP="00691563">
      <w:pPr>
        <w:pStyle w:val="Textonotapie"/>
        <w:snapToGrid w:val="0"/>
        <w:ind w:firstLine="708"/>
        <w:contextualSpacing/>
        <w:jc w:val="both"/>
        <w:rPr>
          <w:rFonts w:ascii="Verdana" w:hAnsi="Verdana" w:cs="Arial"/>
          <w:sz w:val="14"/>
          <w:szCs w:val="14"/>
          <w:lang w:val="es-CO"/>
        </w:rPr>
      </w:pPr>
      <w:r w:rsidRPr="00FB6631">
        <w:rPr>
          <w:rStyle w:val="Refdenotaalpie"/>
          <w:rFonts w:ascii="Verdana" w:hAnsi="Verdana" w:cs="Arial"/>
          <w:sz w:val="14"/>
          <w:szCs w:val="14"/>
        </w:rPr>
        <w:footnoteRef/>
      </w:r>
      <w:r w:rsidRPr="00FB6631">
        <w:rPr>
          <w:rFonts w:ascii="Verdana" w:hAnsi="Verdana" w:cs="Arial"/>
          <w:sz w:val="14"/>
          <w:szCs w:val="14"/>
        </w:rPr>
        <w:t xml:space="preserve"> </w:t>
      </w:r>
      <w:r w:rsidRPr="00FB6631">
        <w:rPr>
          <w:rFonts w:ascii="Verdana" w:hAnsi="Verdana" w:cs="Arial"/>
          <w:sz w:val="14"/>
          <w:szCs w:val="14"/>
          <w:lang w:val="es-CO"/>
        </w:rPr>
        <w:t>El artículo 40 de la Ley 80 de 1993 dispone que los contratos no podrán adicionarse en más del 50% de su valor inicial, expresado en SMLMV.</w:t>
      </w:r>
    </w:p>
  </w:footnote>
  <w:footnote w:id="2">
    <w:p w14:paraId="134C126B" w14:textId="77777777" w:rsidR="00691563" w:rsidRPr="00FB6631" w:rsidRDefault="00691563" w:rsidP="00691563">
      <w:pPr>
        <w:pStyle w:val="Textonotapie"/>
        <w:snapToGrid w:val="0"/>
        <w:ind w:firstLine="708"/>
        <w:contextualSpacing/>
        <w:rPr>
          <w:rFonts w:ascii="Verdana" w:hAnsi="Verdana"/>
          <w:sz w:val="14"/>
          <w:szCs w:val="14"/>
          <w:lang w:val="pt-BR"/>
        </w:rPr>
      </w:pPr>
      <w:r w:rsidRPr="00FB6631">
        <w:rPr>
          <w:rStyle w:val="Refdenotaalpie"/>
          <w:rFonts w:ascii="Verdana" w:hAnsi="Verdana"/>
          <w:sz w:val="14"/>
          <w:szCs w:val="14"/>
        </w:rPr>
        <w:footnoteRef/>
      </w:r>
      <w:r w:rsidRPr="00FB6631">
        <w:rPr>
          <w:rFonts w:ascii="Verdana" w:hAnsi="Verdana"/>
          <w:sz w:val="14"/>
          <w:szCs w:val="14"/>
          <w:lang w:val="pt-BR"/>
        </w:rPr>
        <w:t xml:space="preserve"> Corte Constitucional. Sentencia C-300 de 2012. M.P: Jorge Ignacio Pretelt Chaljub. </w:t>
      </w:r>
    </w:p>
  </w:footnote>
  <w:footnote w:id="3">
    <w:p w14:paraId="686B3DBA" w14:textId="77777777" w:rsidR="00691563" w:rsidRPr="00FB6631" w:rsidRDefault="00691563" w:rsidP="00691563">
      <w:pPr>
        <w:pStyle w:val="Textonotapie"/>
        <w:snapToGrid w:val="0"/>
        <w:ind w:firstLine="708"/>
        <w:contextualSpacing/>
        <w:jc w:val="both"/>
        <w:rPr>
          <w:rFonts w:ascii="Verdana" w:hAnsi="Verdana"/>
          <w:sz w:val="14"/>
          <w:szCs w:val="14"/>
        </w:rPr>
      </w:pPr>
      <w:r w:rsidRPr="00FB6631">
        <w:rPr>
          <w:rStyle w:val="Refdenotaalpie"/>
          <w:rFonts w:ascii="Verdana" w:hAnsi="Verdana"/>
          <w:sz w:val="14"/>
          <w:szCs w:val="14"/>
        </w:rPr>
        <w:footnoteRef/>
      </w:r>
      <w:r w:rsidRPr="00FB6631">
        <w:rPr>
          <w:rFonts w:ascii="Verdana" w:hAnsi="Verdana"/>
          <w:sz w:val="14"/>
          <w:szCs w:val="14"/>
        </w:rPr>
        <w:t xml:space="preserve"> Sobre la naturaleza instrumental del contrato para alcanzar los fines propios del estado social de derecho, ver la sentencia C-932 de 2007, M.P: Marco Gerardo Monroy Cabra.</w:t>
      </w:r>
    </w:p>
  </w:footnote>
  <w:footnote w:id="4">
    <w:p w14:paraId="752C04E0" w14:textId="77777777" w:rsidR="00691563" w:rsidRPr="00FB6631" w:rsidRDefault="00691563" w:rsidP="00691563">
      <w:pPr>
        <w:pStyle w:val="Textonotapie"/>
        <w:snapToGrid w:val="0"/>
        <w:ind w:firstLine="708"/>
        <w:contextualSpacing/>
        <w:jc w:val="both"/>
        <w:rPr>
          <w:rFonts w:ascii="Verdana" w:hAnsi="Verdana"/>
          <w:sz w:val="14"/>
          <w:szCs w:val="14"/>
        </w:rPr>
      </w:pPr>
      <w:r w:rsidRPr="00FB6631">
        <w:rPr>
          <w:rStyle w:val="Refdenotaalpie"/>
          <w:rFonts w:ascii="Verdana" w:hAnsi="Verdana"/>
          <w:sz w:val="14"/>
          <w:szCs w:val="14"/>
        </w:rPr>
        <w:footnoteRef/>
      </w:r>
      <w:r w:rsidRPr="00FB6631">
        <w:rPr>
          <w:rFonts w:ascii="Verdana" w:hAnsi="Verdana"/>
          <w:sz w:val="14"/>
          <w:szCs w:val="14"/>
        </w:rPr>
        <w:t xml:space="preserve"> M.P: Clara Inés Vargas Hernández.</w:t>
      </w:r>
    </w:p>
  </w:footnote>
  <w:footnote w:id="5">
    <w:p w14:paraId="34C3EC54" w14:textId="77777777" w:rsidR="00691563" w:rsidRPr="00FB6631" w:rsidRDefault="00691563" w:rsidP="00691563">
      <w:pPr>
        <w:pStyle w:val="Textonotapie"/>
        <w:snapToGrid w:val="0"/>
        <w:ind w:firstLine="708"/>
        <w:contextualSpacing/>
        <w:jc w:val="both"/>
        <w:rPr>
          <w:rFonts w:ascii="Verdana" w:hAnsi="Verdana"/>
          <w:sz w:val="14"/>
          <w:szCs w:val="14"/>
          <w:lang w:val="es-CO"/>
        </w:rPr>
      </w:pPr>
      <w:r w:rsidRPr="00FB6631">
        <w:rPr>
          <w:rStyle w:val="Refdenotaalpie"/>
          <w:rFonts w:ascii="Verdana" w:hAnsi="Verdana"/>
          <w:sz w:val="14"/>
          <w:szCs w:val="14"/>
        </w:rPr>
        <w:footnoteRef/>
      </w:r>
      <w:r w:rsidRPr="00FB6631">
        <w:rPr>
          <w:rFonts w:ascii="Verdana" w:hAnsi="Verdana"/>
          <w:sz w:val="14"/>
          <w:szCs w:val="14"/>
        </w:rPr>
        <w:t xml:space="preserve"> Ver también la sentencia C-068 de 2009, M.P: Mauricio González Cuervo</w:t>
      </w:r>
      <w:r w:rsidRPr="00FB6631">
        <w:rPr>
          <w:rFonts w:ascii="Verdana" w:hAnsi="Verdana"/>
          <w:b/>
          <w:sz w:val="14"/>
          <w:szCs w:val="14"/>
        </w:rPr>
        <w:t xml:space="preserve">, </w:t>
      </w:r>
      <w:r w:rsidRPr="00FB6631">
        <w:rPr>
          <w:rFonts w:ascii="Verdana" w:hAnsi="Verdana"/>
          <w:sz w:val="14"/>
          <w:szCs w:val="14"/>
        </w:rPr>
        <w:t>sobre la constitucional</w:t>
      </w:r>
      <w:r w:rsidRPr="00FB6631">
        <w:rPr>
          <w:rFonts w:ascii="Verdana" w:hAnsi="Verdana"/>
          <w:b/>
          <w:sz w:val="14"/>
          <w:szCs w:val="14"/>
        </w:rPr>
        <w:t xml:space="preserve"> </w:t>
      </w:r>
      <w:r w:rsidRPr="00FB6631">
        <w:rPr>
          <w:rFonts w:ascii="Verdana" w:hAnsi="Verdana"/>
          <w:sz w:val="14"/>
          <w:szCs w:val="14"/>
          <w:lang w:val="es-CO"/>
        </w:rPr>
        <w:t>de la posibilidad de prorrogar los contratos de concesión portuaria (artículo 8º de la ley 1º de 1991).</w:t>
      </w:r>
    </w:p>
  </w:footnote>
  <w:footnote w:id="6">
    <w:p w14:paraId="5B4E1C2B" w14:textId="77777777" w:rsidR="00691563" w:rsidRPr="00FB6631" w:rsidRDefault="00691563" w:rsidP="00691563">
      <w:pPr>
        <w:pStyle w:val="Textonotapie"/>
        <w:snapToGrid w:val="0"/>
        <w:ind w:firstLine="708"/>
        <w:contextualSpacing/>
        <w:jc w:val="both"/>
        <w:rPr>
          <w:rFonts w:ascii="Verdana" w:hAnsi="Verdana"/>
          <w:sz w:val="14"/>
          <w:szCs w:val="14"/>
        </w:rPr>
      </w:pPr>
      <w:r w:rsidRPr="00FB6631">
        <w:rPr>
          <w:rStyle w:val="Refdenotaalpie"/>
          <w:rFonts w:ascii="Verdana" w:hAnsi="Verdana"/>
          <w:sz w:val="14"/>
          <w:szCs w:val="14"/>
        </w:rPr>
        <w:footnoteRef/>
      </w:r>
      <w:r w:rsidRPr="00FB6631">
        <w:rPr>
          <w:rFonts w:ascii="Verdana" w:hAnsi="Verdana"/>
          <w:sz w:val="14"/>
          <w:szCs w:val="14"/>
        </w:rPr>
        <w:t xml:space="preserve"> Esta clasificación es tomada de la literatura del análisis económico del derecho. </w:t>
      </w:r>
      <w:r w:rsidRPr="00FB6631">
        <w:rPr>
          <w:rFonts w:ascii="Verdana" w:hAnsi="Verdana"/>
          <w:sz w:val="14"/>
          <w:szCs w:val="14"/>
          <w:lang w:val="en-US"/>
        </w:rPr>
        <w:t xml:space="preserve">Ver WILLIAMSON, Oliver E. “Transaction-Cost Economics: The Governance of Contractual Relations”. En: Journal of Law and Economics, Vol. 22, No. 2 (Oct, 1979), pp. 233-261. SHAVELL, Steven. “Foundations of Economic Analysis of Law”. Harvard University Press, 2004. </w:t>
      </w:r>
      <w:r w:rsidRPr="00FB6631">
        <w:rPr>
          <w:rFonts w:ascii="Verdana" w:hAnsi="Verdana"/>
          <w:sz w:val="14"/>
          <w:szCs w:val="14"/>
        </w:rPr>
        <w:t>Dentro de esta literatura, también se señalan como causas de los contratos incompletos, (i) los altos costos de estructuración del contrato, esto es, las altas inversiones que deben realizar las partes para prever las contingencias y diseñar remedios; cuando tales costos exceden los beneficios esperados por las partes, estas últimas pueden optar por celebrar contratos incompletos y dejar por fuera, por ejemplo, previsiones o cláusulas relacionadas con contingencias de baja probabilidad. (ii) Los altos costos de hacer cumplir ciertas cláusulas, y (iii) la dificultad posterior de probar en sede judicial la ocurrencia de ciertas contingencias o variables, entre otras. Vale la pena mencionar que por estas razones la mayoría de los contratos tienden a ser incompletos.</w:t>
      </w:r>
    </w:p>
  </w:footnote>
  <w:footnote w:id="7">
    <w:p w14:paraId="5E9B8CAA" w14:textId="77777777" w:rsidR="00691563" w:rsidRPr="00FB6631" w:rsidRDefault="00691563" w:rsidP="00691563">
      <w:pPr>
        <w:pStyle w:val="Textonotapie"/>
        <w:snapToGrid w:val="0"/>
        <w:ind w:firstLine="708"/>
        <w:contextualSpacing/>
        <w:jc w:val="both"/>
        <w:rPr>
          <w:rFonts w:ascii="Verdana" w:hAnsi="Verdana" w:cs="Arial"/>
          <w:sz w:val="14"/>
          <w:szCs w:val="14"/>
        </w:rPr>
      </w:pPr>
      <w:r w:rsidRPr="00FB6631">
        <w:rPr>
          <w:rStyle w:val="Refdenotaalpie"/>
          <w:rFonts w:ascii="Verdana" w:hAnsi="Verdana" w:cs="Arial"/>
          <w:sz w:val="14"/>
          <w:szCs w:val="14"/>
        </w:rPr>
        <w:footnoteRef/>
      </w:r>
      <w:r w:rsidRPr="00FB6631">
        <w:rPr>
          <w:rFonts w:ascii="Verdana" w:hAnsi="Verdana" w:cs="Arial"/>
          <w:sz w:val="14"/>
          <w:szCs w:val="14"/>
        </w:rPr>
        <w:t xml:space="preserve"> </w:t>
      </w:r>
      <w:r w:rsidRPr="00FB6631">
        <w:rPr>
          <w:rFonts w:ascii="Verdana" w:hAnsi="Verdana" w:cs="Arial"/>
          <w:i/>
          <w:sz w:val="14"/>
          <w:szCs w:val="14"/>
        </w:rPr>
        <w:t xml:space="preserve">Cfr. </w:t>
      </w:r>
      <w:r w:rsidRPr="00FB6631">
        <w:rPr>
          <w:rFonts w:ascii="Verdana" w:hAnsi="Verdana" w:cs="Arial"/>
          <w:sz w:val="14"/>
          <w:szCs w:val="14"/>
        </w:rPr>
        <w:t>Consejo de Estado. Sala de Consulta y Servicio Civil. Concepto del 13 de agosto de 2009. Radicado: 11001-03-06-000-2009-00033-00 (</w:t>
      </w:r>
      <w:r w:rsidRPr="00FB6631">
        <w:rPr>
          <w:rFonts w:ascii="Verdana" w:hAnsi="Verdana" w:cs="Arial"/>
          <w:bCs/>
          <w:sz w:val="14"/>
          <w:szCs w:val="14"/>
        </w:rPr>
        <w:t>1952), C.P. Enrique José Arboleda Perdomo. En este concepto la Sala de Consulta se ocupó, entre otras preguntas, de la siguiente formulada por el Ministerio de Transporte: “</w:t>
      </w:r>
      <w:r w:rsidRPr="00FB6631">
        <w:rPr>
          <w:rFonts w:ascii="Verdana" w:hAnsi="Verdana" w:cs="Arial"/>
          <w:bCs/>
          <w:iCs/>
          <w:sz w:val="14"/>
          <w:szCs w:val="14"/>
          <w:lang w:val="es-ES_tradnl"/>
        </w:rPr>
        <w:t>1. ¿Bajo el supuesto lo que en un contrato de concesión existan razones de conveniencia que permitan una mejora del objeto contratado y una mejor prestación del servicio público encomendado a la entidad estatal contratante, es posible, por fuera de lo dispuesto en el artículo 16 de la Ley 80 de 1993 y en caso de que las partes hubieran pactado una modificación de común acuerdo desde la licitación, acudir a tal previsión y modificar el contrato, teniendo en cuenta, además, que con la modificación se busca un efectivo cumplimiento de los fines estatales y una eficiente prestación de los servicios públicos?”.</w:t>
      </w:r>
    </w:p>
  </w:footnote>
  <w:footnote w:id="8">
    <w:p w14:paraId="107036F1" w14:textId="77777777" w:rsidR="00691563" w:rsidRPr="00FB6631" w:rsidRDefault="00691563" w:rsidP="00691563">
      <w:pPr>
        <w:pStyle w:val="Textonotapie"/>
        <w:snapToGrid w:val="0"/>
        <w:ind w:firstLine="708"/>
        <w:contextualSpacing/>
        <w:jc w:val="both"/>
        <w:rPr>
          <w:rFonts w:ascii="Verdana" w:hAnsi="Verdana" w:cs="Arial"/>
          <w:bCs/>
          <w:iCs/>
          <w:sz w:val="14"/>
          <w:szCs w:val="14"/>
          <w:lang w:val="es-ES_tradnl"/>
        </w:rPr>
      </w:pPr>
      <w:r w:rsidRPr="00FB6631">
        <w:rPr>
          <w:rStyle w:val="Refdenotaalpie"/>
          <w:rFonts w:ascii="Verdana" w:hAnsi="Verdana" w:cs="Arial"/>
          <w:sz w:val="14"/>
          <w:szCs w:val="14"/>
        </w:rPr>
        <w:footnoteRef/>
      </w:r>
      <w:r w:rsidRPr="00FB6631">
        <w:rPr>
          <w:rFonts w:ascii="Verdana" w:hAnsi="Verdana" w:cs="Arial"/>
          <w:sz w:val="14"/>
          <w:szCs w:val="14"/>
        </w:rPr>
        <w:t xml:space="preserve"> Los acuerdos de voluntades que no cumplan con esta formalidad se consideran inexistentes, por lo tanto, tal como lo ha planteado el Consejo de Estado en el Concepto 2263 del 17 de marzo del 2017, “las eventuales reclamaciones contractuales que pueda presentar un particular sobre prestaciones realizadas, sin la previa modificación del mismo, están llamadas al fracaso, pues la Administración no puede reconocer situaciones de hecho u obligaciones dinerarias con cargo a un contrato que estipula obligaciones distintas</w:t>
      </w:r>
      <w:r w:rsidRPr="00FB6631">
        <w:rPr>
          <w:rFonts w:ascii="Verdana" w:hAnsi="Verdana" w:cs="Arial"/>
          <w:bCs/>
          <w:iCs/>
          <w:sz w:val="14"/>
          <w:szCs w:val="14"/>
          <w:lang w:val="es-ES_tradnl"/>
        </w:rPr>
        <w:t>”.</w:t>
      </w:r>
    </w:p>
  </w:footnote>
  <w:footnote w:id="9">
    <w:p w14:paraId="3BF88595" w14:textId="77777777" w:rsidR="00691563" w:rsidRPr="00FB6631" w:rsidRDefault="00691563" w:rsidP="00691563">
      <w:pPr>
        <w:pStyle w:val="Textonotapie"/>
        <w:snapToGrid w:val="0"/>
        <w:ind w:firstLine="708"/>
        <w:contextualSpacing/>
        <w:jc w:val="both"/>
        <w:rPr>
          <w:rFonts w:ascii="Verdana" w:hAnsi="Verdana" w:cs="Arial"/>
          <w:sz w:val="14"/>
          <w:szCs w:val="14"/>
          <w:lang w:val="es-CO"/>
        </w:rPr>
      </w:pPr>
      <w:r w:rsidRPr="00FB6631">
        <w:rPr>
          <w:rStyle w:val="Refdenotaalpie"/>
          <w:rFonts w:ascii="Verdana" w:hAnsi="Verdana" w:cs="Arial"/>
          <w:sz w:val="14"/>
          <w:szCs w:val="14"/>
        </w:rPr>
        <w:footnoteRef/>
      </w:r>
      <w:r w:rsidRPr="00FB6631">
        <w:rPr>
          <w:rFonts w:ascii="Verdana" w:hAnsi="Verdana" w:cs="Arial"/>
          <w:sz w:val="14"/>
          <w:szCs w:val="14"/>
        </w:rPr>
        <w:t xml:space="preserve"> Ibídem.</w:t>
      </w:r>
    </w:p>
  </w:footnote>
  <w:footnote w:id="10">
    <w:p w14:paraId="48296A4A" w14:textId="77777777" w:rsidR="00691563" w:rsidRPr="00FB6631" w:rsidRDefault="00691563" w:rsidP="00691563">
      <w:pPr>
        <w:snapToGrid w:val="0"/>
        <w:spacing w:after="0" w:line="240" w:lineRule="auto"/>
        <w:ind w:firstLine="708"/>
        <w:contextualSpacing/>
        <w:jc w:val="both"/>
        <w:rPr>
          <w:rFonts w:ascii="Verdana" w:hAnsi="Verdana"/>
          <w:sz w:val="14"/>
          <w:szCs w:val="14"/>
        </w:rPr>
      </w:pPr>
      <w:r w:rsidRPr="00FB6631">
        <w:rPr>
          <w:rStyle w:val="Refdenotaalpie"/>
          <w:rFonts w:ascii="Verdana" w:hAnsi="Verdana"/>
          <w:sz w:val="14"/>
          <w:szCs w:val="14"/>
        </w:rPr>
        <w:footnoteRef/>
      </w:r>
      <w:r w:rsidRPr="00FB6631">
        <w:rPr>
          <w:rFonts w:ascii="Verdana" w:hAnsi="Verdana"/>
          <w:sz w:val="14"/>
          <w:szCs w:val="14"/>
        </w:rPr>
        <w:t xml:space="preserve"> Consejo de Estado. Sala de Consulta y Servicio Civil.</w:t>
      </w:r>
      <w:r w:rsidRPr="00FB6631">
        <w:rPr>
          <w:rFonts w:ascii="Verdana" w:hAnsi="Verdana"/>
          <w:i/>
          <w:iCs/>
          <w:sz w:val="14"/>
          <w:szCs w:val="14"/>
        </w:rPr>
        <w:t xml:space="preserve"> </w:t>
      </w:r>
      <w:r w:rsidRPr="00FB6631">
        <w:rPr>
          <w:rFonts w:ascii="Verdana" w:hAnsi="Verdana"/>
          <w:sz w:val="14"/>
          <w:szCs w:val="14"/>
        </w:rPr>
        <w:t>Concepto del 06 de junio 2018. Radicado: 2369. C.P: Óscar Darío Amaya Navas.</w:t>
      </w:r>
    </w:p>
  </w:footnote>
  <w:footnote w:id="11">
    <w:p w14:paraId="77DF6575" w14:textId="77777777" w:rsidR="00691563" w:rsidRPr="00FB6631" w:rsidRDefault="00691563" w:rsidP="00691563">
      <w:pPr>
        <w:pStyle w:val="Textonotapie"/>
        <w:snapToGrid w:val="0"/>
        <w:ind w:firstLine="709"/>
        <w:contextualSpacing/>
        <w:jc w:val="both"/>
        <w:rPr>
          <w:rFonts w:ascii="Verdana" w:hAnsi="Verdana"/>
          <w:sz w:val="14"/>
          <w:szCs w:val="14"/>
          <w:lang w:val="es-CO"/>
        </w:rPr>
      </w:pPr>
      <w:r w:rsidRPr="00FB6631">
        <w:rPr>
          <w:rStyle w:val="Refdenotaalpie"/>
          <w:rFonts w:ascii="Verdana" w:hAnsi="Verdana"/>
          <w:sz w:val="14"/>
          <w:szCs w:val="14"/>
        </w:rPr>
        <w:footnoteRef/>
      </w:r>
      <w:r w:rsidRPr="00FB6631">
        <w:rPr>
          <w:rFonts w:ascii="Verdana" w:hAnsi="Verdana"/>
          <w:sz w:val="14"/>
          <w:szCs w:val="14"/>
        </w:rPr>
        <w:t xml:space="preserve"> </w:t>
      </w:r>
      <w:r w:rsidRPr="00FB6631">
        <w:rPr>
          <w:rFonts w:ascii="Verdana" w:hAnsi="Verdana"/>
          <w:bCs/>
          <w:sz w:val="14"/>
          <w:szCs w:val="14"/>
          <w:lang w:val="es-CO"/>
        </w:rPr>
        <w:t>ARTICULO 11. DE LA COMPETENCIA PARA DIRIGIR LICITACIONES O CONCURSOS Y PARA CELEBRAR CONTRATOS ESTATALES. </w:t>
      </w:r>
      <w:r w:rsidRPr="00FB6631">
        <w:rPr>
          <w:rFonts w:ascii="Verdana" w:hAnsi="Verdana"/>
          <w:sz w:val="14"/>
          <w:szCs w:val="14"/>
          <w:lang w:val="es-CO"/>
        </w:rPr>
        <w:t>En las entidades estatales a que se refiere el artículo 2o.: </w:t>
      </w:r>
    </w:p>
    <w:p w14:paraId="50442BC5" w14:textId="77777777" w:rsidR="00691563" w:rsidRPr="00FB6631" w:rsidRDefault="00691563" w:rsidP="00691563">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1o. La competencia para ordenar y dirigir la celebración de licitaciones o concursos y para escoger contratistas será del jefe o representante de la entidad, según el caso. </w:t>
      </w:r>
    </w:p>
    <w:p w14:paraId="624FFE8E" w14:textId="77777777" w:rsidR="00691563" w:rsidRPr="00FB6631" w:rsidRDefault="00691563" w:rsidP="00691563">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2o. Tiene competencia para celebrar contratos a nombre de la Nación, el Presidente de la República. </w:t>
      </w:r>
    </w:p>
    <w:p w14:paraId="31E56D32" w14:textId="77777777" w:rsidR="00691563" w:rsidRPr="00FB6631" w:rsidRDefault="00691563" w:rsidP="00691563">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3o. Tienen competencia para celebrar contratos a nombre de la entidad respectiva: </w:t>
      </w:r>
    </w:p>
    <w:p w14:paraId="499AE850" w14:textId="77777777" w:rsidR="00691563" w:rsidRPr="00FB6631" w:rsidRDefault="00691563" w:rsidP="00691563">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56CF1409" w14:textId="77777777" w:rsidR="00691563" w:rsidRPr="00FB6631" w:rsidRDefault="00691563" w:rsidP="00691563">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61408857" w14:textId="77777777" w:rsidR="00691563" w:rsidRPr="00FB6631" w:rsidRDefault="00691563" w:rsidP="00691563">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c) Los representantes legales de las entidades descentralizadas en todos los órdenes y niveles. </w:t>
      </w:r>
      <w:bookmarkStart w:id="2" w:name="ver_30161404"/>
      <w:bookmarkStart w:id="3" w:name="ver_1790120"/>
      <w:bookmarkEnd w:id="2"/>
      <w:bookmarkEnd w:id="3"/>
    </w:p>
  </w:footnote>
  <w:footnote w:id="12">
    <w:p w14:paraId="03BB611A" w14:textId="77777777" w:rsidR="00691563" w:rsidRPr="00FB6631" w:rsidRDefault="00691563" w:rsidP="00691563">
      <w:pPr>
        <w:pStyle w:val="Textonotapie"/>
        <w:snapToGrid w:val="0"/>
        <w:ind w:firstLine="709"/>
        <w:contextualSpacing/>
        <w:jc w:val="both"/>
        <w:rPr>
          <w:rFonts w:ascii="Verdana" w:hAnsi="Verdana"/>
          <w:sz w:val="14"/>
          <w:szCs w:val="14"/>
          <w:lang w:val="es-CO"/>
        </w:rPr>
      </w:pPr>
      <w:r w:rsidRPr="00FB6631">
        <w:rPr>
          <w:rStyle w:val="Refdenotaalpie"/>
          <w:rFonts w:ascii="Verdana" w:hAnsi="Verdana"/>
          <w:sz w:val="14"/>
          <w:szCs w:val="14"/>
        </w:rPr>
        <w:footnoteRef/>
      </w:r>
      <w:r w:rsidRPr="00FB6631">
        <w:rPr>
          <w:rFonts w:ascii="Verdana" w:hAnsi="Verdana"/>
          <w:sz w:val="14"/>
          <w:szCs w:val="14"/>
        </w:rPr>
        <w:t xml:space="preserve"> </w:t>
      </w:r>
      <w:r w:rsidRPr="00FB6631">
        <w:rPr>
          <w:rFonts w:ascii="Verdana" w:hAnsi="Verdana"/>
          <w:bCs/>
          <w:sz w:val="14"/>
          <w:szCs w:val="14"/>
          <w:lang w:val="es-CO"/>
        </w:rPr>
        <w:t>ARTICULO 12. DE LA DELEGACION PARA CONTRATAR.</w:t>
      </w:r>
      <w:r w:rsidRPr="00FB6631">
        <w:rPr>
          <w:rFonts w:ascii="Verdana" w:hAnsi="Verdana"/>
          <w:sz w:val="14"/>
          <w:szCs w:val="14"/>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4688E0B6" w14:textId="77777777" w:rsidR="00691563" w:rsidRPr="00FB6631" w:rsidRDefault="00691563" w:rsidP="00691563">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En ningún caso, los jefes y representantes legales de las entidades estatales quedarán exonerados por virtud de la delegación de sus deberes de control y vigilancia de la actividad precontractual y contractual.  </w:t>
      </w:r>
    </w:p>
    <w:p w14:paraId="0C217DC9" w14:textId="77777777" w:rsidR="00691563" w:rsidRPr="00FB6631" w:rsidRDefault="00691563" w:rsidP="00691563">
      <w:pPr>
        <w:pStyle w:val="Textonotapie"/>
        <w:snapToGrid w:val="0"/>
        <w:ind w:firstLine="708"/>
        <w:contextualSpacing/>
        <w:jc w:val="both"/>
        <w:rPr>
          <w:rFonts w:ascii="Verdana" w:hAnsi="Verdana"/>
          <w:sz w:val="14"/>
          <w:szCs w:val="14"/>
          <w:lang w:val="es-ES"/>
        </w:rPr>
      </w:pPr>
      <w:r w:rsidRPr="00FB6631">
        <w:rPr>
          <w:rFonts w:ascii="Verdana" w:hAnsi="Verdana"/>
          <w:bCs/>
          <w:sz w:val="14"/>
          <w:szCs w:val="14"/>
          <w:lang w:val="es-CO"/>
        </w:rPr>
        <w:t>Parágrafo. </w:t>
      </w:r>
      <w:r w:rsidRPr="00FB6631">
        <w:rPr>
          <w:rFonts w:ascii="Verdana" w:hAnsi="Verdana"/>
          <w:sz w:val="14"/>
          <w:szCs w:val="14"/>
          <w:lang w:val="es-CO"/>
        </w:rPr>
        <w:t>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13">
    <w:p w14:paraId="7BE34F6C" w14:textId="77777777" w:rsidR="00691563" w:rsidRPr="00FB6631" w:rsidRDefault="00691563" w:rsidP="00691563">
      <w:pPr>
        <w:snapToGrid w:val="0"/>
        <w:spacing w:after="0" w:line="240" w:lineRule="auto"/>
        <w:ind w:firstLine="708"/>
        <w:contextualSpacing/>
        <w:jc w:val="both"/>
        <w:rPr>
          <w:rFonts w:ascii="Verdana" w:hAnsi="Verdana"/>
          <w:sz w:val="14"/>
          <w:szCs w:val="14"/>
        </w:rPr>
      </w:pPr>
      <w:r w:rsidRPr="00FB6631">
        <w:rPr>
          <w:rStyle w:val="Refdenotaalpie"/>
          <w:rFonts w:ascii="Verdana" w:hAnsi="Verdana"/>
          <w:sz w:val="14"/>
          <w:szCs w:val="14"/>
        </w:rPr>
        <w:footnoteRef/>
      </w:r>
      <w:r w:rsidRPr="00FB6631">
        <w:rPr>
          <w:rFonts w:ascii="Verdana" w:hAnsi="Verdana"/>
          <w:sz w:val="14"/>
          <w:szCs w:val="14"/>
        </w:rPr>
        <w:t xml:space="preserve"> Consejo de Estado. Sala de Consulta y Servicio Civil. C.P.: Óscar Darío Amaya Navas. Concepto del 6 de junio de 2018. Radicación número: 2369.</w:t>
      </w:r>
    </w:p>
  </w:footnote>
  <w:footnote w:id="14">
    <w:p w14:paraId="5A6AE668" w14:textId="77777777" w:rsidR="00691563" w:rsidRPr="00FB6631" w:rsidRDefault="00691563" w:rsidP="00691563">
      <w:pPr>
        <w:pStyle w:val="Textonotapie"/>
        <w:snapToGrid w:val="0"/>
        <w:ind w:firstLine="708"/>
        <w:contextualSpacing/>
        <w:jc w:val="both"/>
        <w:rPr>
          <w:rFonts w:ascii="Verdana" w:hAnsi="Verdana"/>
          <w:sz w:val="14"/>
          <w:szCs w:val="14"/>
        </w:rPr>
      </w:pPr>
      <w:r w:rsidRPr="00FB6631">
        <w:rPr>
          <w:rStyle w:val="Refdenotaalpie"/>
          <w:rFonts w:ascii="Verdana" w:hAnsi="Verdana"/>
          <w:sz w:val="14"/>
          <w:szCs w:val="14"/>
        </w:rPr>
        <w:footnoteRef/>
      </w:r>
      <w:r w:rsidRPr="00FB6631">
        <w:rPr>
          <w:rFonts w:ascii="Verdana" w:hAnsi="Verdana"/>
          <w:sz w:val="14"/>
          <w:szCs w:val="14"/>
        </w:rPr>
        <w:t xml:space="preserve"> Ibidem. </w:t>
      </w:r>
    </w:p>
  </w:footnote>
  <w:footnote w:id="15">
    <w:p w14:paraId="52160D81" w14:textId="77777777" w:rsidR="00691563" w:rsidRPr="00FB6631" w:rsidRDefault="00691563" w:rsidP="00691563">
      <w:pPr>
        <w:pStyle w:val="Textonotapie"/>
        <w:snapToGrid w:val="0"/>
        <w:ind w:firstLine="708"/>
        <w:contextualSpacing/>
        <w:jc w:val="both"/>
        <w:rPr>
          <w:rFonts w:ascii="Verdana" w:hAnsi="Verdana" w:cs="Arial"/>
          <w:color w:val="000000" w:themeColor="text1"/>
          <w:sz w:val="14"/>
          <w:szCs w:val="14"/>
        </w:rPr>
      </w:pPr>
      <w:r w:rsidRPr="00FB6631">
        <w:rPr>
          <w:rStyle w:val="Refdenotaalpie"/>
          <w:rFonts w:ascii="Verdana" w:hAnsi="Verdana" w:cs="Arial"/>
          <w:color w:val="000000" w:themeColor="text1"/>
          <w:sz w:val="14"/>
          <w:szCs w:val="14"/>
        </w:rPr>
        <w:footnoteRef/>
      </w:r>
      <w:r w:rsidRPr="00FB6631">
        <w:rPr>
          <w:rFonts w:ascii="Verdana" w:hAnsi="Verdana" w:cs="Arial"/>
          <w:color w:val="000000" w:themeColor="text1"/>
          <w:sz w:val="14"/>
          <w:szCs w:val="14"/>
        </w:rPr>
        <w:t xml:space="preserve"> Lo anterior, sin perjuicio de lo prescrito por la Ley 1474 de 2011, que en su artículo 85, en relación con los contratos de interventoría, excepciona la aplicación de la restricción analizada, de manera que podrán adicionarse sin importar su monto: «Artículo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3310F305" w14:textId="77777777" w:rsidR="00691563" w:rsidRPr="00FB6631" w:rsidRDefault="00691563" w:rsidP="00691563">
      <w:pPr>
        <w:pStyle w:val="Textonotapie"/>
        <w:snapToGrid w:val="0"/>
        <w:ind w:firstLine="708"/>
        <w:contextualSpacing/>
        <w:jc w:val="both"/>
        <w:rPr>
          <w:rFonts w:ascii="Verdana" w:hAnsi="Verdana" w:cs="Arial"/>
          <w:color w:val="000000" w:themeColor="text1"/>
          <w:sz w:val="14"/>
          <w:szCs w:val="14"/>
          <w:lang w:val="es-CO"/>
        </w:rPr>
      </w:pPr>
    </w:p>
  </w:footnote>
  <w:footnote w:id="16">
    <w:p w14:paraId="2C47C289" w14:textId="77777777" w:rsidR="00691563" w:rsidRPr="00FB6631" w:rsidRDefault="00691563" w:rsidP="00691563">
      <w:pPr>
        <w:pStyle w:val="Textonotapie"/>
        <w:snapToGrid w:val="0"/>
        <w:ind w:firstLine="708"/>
        <w:contextualSpacing/>
        <w:jc w:val="both"/>
        <w:rPr>
          <w:rFonts w:ascii="Verdana" w:hAnsi="Verdana"/>
          <w:color w:val="000000" w:themeColor="text1"/>
          <w:sz w:val="14"/>
          <w:szCs w:val="14"/>
        </w:rPr>
      </w:pPr>
      <w:r w:rsidRPr="00FB6631">
        <w:rPr>
          <w:rStyle w:val="Refdenotaalpie"/>
          <w:rFonts w:ascii="Verdana" w:hAnsi="Verdana"/>
          <w:color w:val="000000" w:themeColor="text1"/>
          <w:sz w:val="14"/>
          <w:szCs w:val="14"/>
        </w:rPr>
        <w:footnoteRef/>
      </w:r>
      <w:r w:rsidRPr="00FB6631">
        <w:rPr>
          <w:rFonts w:ascii="Verdana" w:hAnsi="Verdana"/>
          <w:color w:val="000000" w:themeColor="text1"/>
          <w:sz w:val="14"/>
          <w:szCs w:val="14"/>
        </w:rPr>
        <w:t xml:space="preserve"> Agencia Nacional de Contratación Pública. Concepto C-466 de 23 de septiembre de 2024. Radicado de salida No. </w:t>
      </w:r>
      <w:r w:rsidRPr="00FB6631">
        <w:rPr>
          <w:rFonts w:ascii="Verdana" w:hAnsi="Verdana"/>
          <w:color w:val="000000" w:themeColor="text1"/>
          <w:sz w:val="14"/>
          <w:szCs w:val="14"/>
          <w:lang w:val="es-CO"/>
        </w:rPr>
        <w:t xml:space="preserve">RS20240923013372. Disponible en: </w:t>
      </w:r>
      <w:hyperlink r:id="rId1" w:history="1">
        <w:r w:rsidRPr="00FB6631">
          <w:rPr>
            <w:rStyle w:val="Hipervnculo"/>
            <w:rFonts w:ascii="Verdana" w:hAnsi="Verdana"/>
            <w:color w:val="000000" w:themeColor="text1"/>
            <w:sz w:val="14"/>
            <w:szCs w:val="14"/>
          </w:rPr>
          <w:t>https://relatoria.colombiacompra.gov.co/conceptos/c-466-de-2024/</w:t>
        </w:r>
      </w:hyperlink>
      <w:r w:rsidRPr="00FB6631">
        <w:rPr>
          <w:rFonts w:ascii="Verdana" w:hAnsi="Verdana"/>
          <w:color w:val="000000" w:themeColor="text1"/>
          <w:sz w:val="14"/>
          <w:szCs w:val="14"/>
        </w:rPr>
        <w:t xml:space="preserve"> </w:t>
      </w:r>
    </w:p>
  </w:footnote>
  <w:footnote w:id="17">
    <w:p w14:paraId="57FED2B1" w14:textId="77777777" w:rsidR="00691563" w:rsidRPr="00FB6631" w:rsidRDefault="00691563" w:rsidP="00691563">
      <w:pPr>
        <w:pStyle w:val="Textonotapie"/>
        <w:snapToGrid w:val="0"/>
        <w:ind w:firstLine="708"/>
        <w:contextualSpacing/>
        <w:jc w:val="both"/>
        <w:rPr>
          <w:rFonts w:ascii="Verdana" w:hAnsi="Verdana"/>
          <w:color w:val="000000" w:themeColor="text1"/>
          <w:sz w:val="14"/>
          <w:szCs w:val="14"/>
          <w:lang w:val="es-CO"/>
        </w:rPr>
      </w:pPr>
      <w:r w:rsidRPr="00FB6631">
        <w:rPr>
          <w:rStyle w:val="Refdenotaalpie"/>
          <w:rFonts w:ascii="Verdana" w:hAnsi="Verdana"/>
          <w:color w:val="000000" w:themeColor="text1"/>
          <w:sz w:val="14"/>
          <w:szCs w:val="14"/>
        </w:rPr>
        <w:footnoteRef/>
      </w:r>
      <w:r w:rsidRPr="00FB6631">
        <w:rPr>
          <w:rFonts w:ascii="Verdana" w:hAnsi="Verdana"/>
          <w:color w:val="000000" w:themeColor="text1"/>
          <w:sz w:val="14"/>
          <w:szCs w:val="14"/>
        </w:rPr>
        <w:t xml:space="preserve"> CONSEJO DE ESTADO, Sección Tercera, Subsección A, Sentencia del 22 de agosto de 2023. Exp. No. 58634. </w:t>
      </w:r>
      <w:r w:rsidRPr="00FB6631">
        <w:rPr>
          <w:rFonts w:ascii="Verdana" w:hAnsi="Verdana"/>
          <w:color w:val="000000" w:themeColor="text1"/>
          <w:sz w:val="14"/>
          <w:szCs w:val="14"/>
          <w:lang w:val="es-CO"/>
        </w:rPr>
        <w:t>Consejero ponente: María Adriana Marín; Subsección C. Sentencia del 19 de septiembre de 2022. Exp. No. 54714. Consejero ponente: Jaime Enrique Rodríguez Navas;</w:t>
      </w:r>
      <w:r w:rsidRPr="00FB6631">
        <w:rPr>
          <w:rFonts w:ascii="Verdana" w:hAnsi="Verdana"/>
          <w:color w:val="000000" w:themeColor="text1"/>
          <w:sz w:val="14"/>
          <w:szCs w:val="14"/>
        </w:rPr>
        <w:t xml:space="preserve"> Subsección C</w:t>
      </w:r>
      <w:bookmarkStart w:id="4" w:name="_Hlk176969946"/>
      <w:r w:rsidRPr="00FB6631">
        <w:rPr>
          <w:rFonts w:ascii="Verdana" w:hAnsi="Verdana"/>
          <w:color w:val="000000" w:themeColor="text1"/>
          <w:sz w:val="14"/>
          <w:szCs w:val="14"/>
        </w:rPr>
        <w:t>, Sentencia del 24 de abril de 2024</w:t>
      </w:r>
      <w:bookmarkEnd w:id="4"/>
      <w:r w:rsidRPr="00FB6631">
        <w:rPr>
          <w:rFonts w:ascii="Verdana" w:hAnsi="Verdana"/>
          <w:color w:val="000000" w:themeColor="text1"/>
          <w:sz w:val="14"/>
          <w:szCs w:val="14"/>
        </w:rPr>
        <w:t xml:space="preserve">. Exp. No. 67095. </w:t>
      </w:r>
      <w:r w:rsidRPr="00FB6631">
        <w:rPr>
          <w:rFonts w:ascii="Verdana" w:hAnsi="Verdana"/>
          <w:color w:val="000000" w:themeColor="text1"/>
          <w:sz w:val="14"/>
          <w:szCs w:val="14"/>
          <w:lang w:val="es-CO"/>
        </w:rPr>
        <w:t>Consejero ponente: Nicolás Yepes Corrales.</w:t>
      </w:r>
      <w:r w:rsidRPr="00FB6631">
        <w:rPr>
          <w:rFonts w:ascii="Verdana" w:hAnsi="Verdana"/>
          <w:color w:val="000000" w:themeColor="text1"/>
          <w:sz w:val="14"/>
          <w:szCs w:val="14"/>
        </w:rPr>
        <w:t xml:space="preserve"> </w:t>
      </w:r>
    </w:p>
  </w:footnote>
  <w:footnote w:id="18">
    <w:p w14:paraId="65E5B0BB" w14:textId="77777777" w:rsidR="00691563" w:rsidRPr="00B9148F" w:rsidRDefault="00691563" w:rsidP="00691563">
      <w:pPr>
        <w:pStyle w:val="Textonotapie"/>
        <w:ind w:firstLine="705"/>
        <w:jc w:val="both"/>
        <w:rPr>
          <w:rFonts w:ascii="Verdana" w:hAnsi="Verdana"/>
          <w:sz w:val="16"/>
          <w:szCs w:val="16"/>
        </w:rPr>
      </w:pPr>
      <w:r w:rsidRPr="00B9148F">
        <w:rPr>
          <w:rStyle w:val="Refdenotaalpie"/>
          <w:rFonts w:ascii="Verdana" w:hAnsi="Verdana"/>
          <w:sz w:val="16"/>
          <w:szCs w:val="16"/>
        </w:rPr>
        <w:footnoteRef/>
      </w:r>
      <w:r w:rsidRPr="00B9148F">
        <w:rPr>
          <w:rFonts w:ascii="Verdana" w:hAnsi="Verdana"/>
          <w:sz w:val="16"/>
          <w:szCs w:val="16"/>
        </w:rPr>
        <w:t xml:space="preserve"> La </w:t>
      </w:r>
      <w:r w:rsidRPr="00B9148F">
        <w:rPr>
          <w:rFonts w:ascii="Verdana" w:eastAsia="Calibri" w:hAnsi="Verdana" w:cs="Arial"/>
          <w:bCs/>
          <w:color w:val="000000" w:themeColor="text1"/>
          <w:sz w:val="16"/>
          <w:szCs w:val="16"/>
        </w:rPr>
        <w:t xml:space="preserve">Circular Externa de la Superintendencia de Vigilancia y Seguridad Privada No. 20241300000445 del 30 de diciembre de 2024 se </w:t>
      </w:r>
      <w:r w:rsidRPr="004C44A8">
        <w:rPr>
          <w:rFonts w:ascii="Verdana" w:eastAsia="Calibri" w:hAnsi="Verdana" w:cs="Arial"/>
          <w:bCs/>
          <w:color w:val="000000" w:themeColor="text1"/>
          <w:sz w:val="16"/>
          <w:szCs w:val="16"/>
        </w:rPr>
        <w:t>puede</w:t>
      </w:r>
      <w:r w:rsidRPr="00B9148F">
        <w:rPr>
          <w:rFonts w:ascii="Verdana" w:eastAsia="Calibri" w:hAnsi="Verdana" w:cs="Arial"/>
          <w:bCs/>
          <w:color w:val="000000" w:themeColor="text1"/>
          <w:sz w:val="16"/>
          <w:szCs w:val="16"/>
        </w:rPr>
        <w:t xml:space="preserve"> consultar en el siguiente enlace: </w:t>
      </w:r>
      <w:hyperlink r:id="rId2" w:history="1">
        <w:r w:rsidRPr="00B9148F">
          <w:rPr>
            <w:rStyle w:val="Hipervnculo"/>
            <w:rFonts w:ascii="Verdana" w:hAnsi="Verdana"/>
            <w:sz w:val="16"/>
            <w:szCs w:val="16"/>
          </w:rPr>
          <w:t>https://www.supervigilancia.gov.co/loader.php?lServicio=Tools2&amp;lTipo=descargas&amp;lFuncion=visorpdf&amp;file=https%3A%2F%2Fwww.supervigilancia.gov.co%2Floader.php%3FlServicio%3DTools2%26lTipo%3Ddescargas%26lFuncion%3DexposeDocument%26idFile%3D47992%26tmp%3Dce0452fc6a5b9a54bf2f98c3bf091c14%26urlDeleteFunction%3Dhttps%253A%252F%252Fwww.supervigilancia.gov.co%252Floader.php%253FlServicio%253DTools2%2526lTipo%253Ddescargas%2526lFuncion%253DdeleteTemporalFile%2526tmp%253Dce0452fc6a5b9a54bf2f98c3bf091c14&amp;pdf=1&amp;tmp=ce0452fc6a5b9a54bf2f98c3bf091c14&amp;fileItem=47992</w:t>
        </w:r>
      </w:hyperlink>
      <w:r w:rsidRPr="00B9148F">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1BCB"/>
    <w:rsid w:val="00046945"/>
    <w:rsid w:val="000539BE"/>
    <w:rsid w:val="00061B2A"/>
    <w:rsid w:val="00082362"/>
    <w:rsid w:val="000A683E"/>
    <w:rsid w:val="000B19B9"/>
    <w:rsid w:val="000D0334"/>
    <w:rsid w:val="000D5DA7"/>
    <w:rsid w:val="000F6486"/>
    <w:rsid w:val="00116940"/>
    <w:rsid w:val="00125105"/>
    <w:rsid w:val="00127233"/>
    <w:rsid w:val="0015699B"/>
    <w:rsid w:val="00167399"/>
    <w:rsid w:val="001A33BF"/>
    <w:rsid w:val="001D6F42"/>
    <w:rsid w:val="001E4177"/>
    <w:rsid w:val="001F0B24"/>
    <w:rsid w:val="001F7DC6"/>
    <w:rsid w:val="0022400B"/>
    <w:rsid w:val="002421BB"/>
    <w:rsid w:val="0025796E"/>
    <w:rsid w:val="002671DA"/>
    <w:rsid w:val="00267DB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7C34"/>
    <w:rsid w:val="003448F4"/>
    <w:rsid w:val="00374F5E"/>
    <w:rsid w:val="00377E3E"/>
    <w:rsid w:val="003A779E"/>
    <w:rsid w:val="003D0F4D"/>
    <w:rsid w:val="003D5B0D"/>
    <w:rsid w:val="003E0499"/>
    <w:rsid w:val="003E4F80"/>
    <w:rsid w:val="003E6439"/>
    <w:rsid w:val="003F3941"/>
    <w:rsid w:val="00406575"/>
    <w:rsid w:val="00414C74"/>
    <w:rsid w:val="0042722E"/>
    <w:rsid w:val="004305CA"/>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91563"/>
    <w:rsid w:val="006A6A58"/>
    <w:rsid w:val="00706C16"/>
    <w:rsid w:val="007340C3"/>
    <w:rsid w:val="0075235A"/>
    <w:rsid w:val="00756841"/>
    <w:rsid w:val="007649AB"/>
    <w:rsid w:val="007668D5"/>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177D"/>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43C4"/>
    <w:rsid w:val="00A97A28"/>
    <w:rsid w:val="00AA1953"/>
    <w:rsid w:val="00AB0ADB"/>
    <w:rsid w:val="00AE2503"/>
    <w:rsid w:val="00B00C0E"/>
    <w:rsid w:val="00B01B1A"/>
    <w:rsid w:val="00B0381D"/>
    <w:rsid w:val="00B32E78"/>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2E2"/>
    <w:rsid w:val="00CC1B26"/>
    <w:rsid w:val="00D070CD"/>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7884"/>
    <w:rsid w:val="00E50AFE"/>
    <w:rsid w:val="00E75C92"/>
    <w:rsid w:val="00E771DC"/>
    <w:rsid w:val="00E8772A"/>
    <w:rsid w:val="00E90F6B"/>
    <w:rsid w:val="00E92C27"/>
    <w:rsid w:val="00EA0E3D"/>
    <w:rsid w:val="00EC38A7"/>
    <w:rsid w:val="00EE1AA8"/>
    <w:rsid w:val="00EE6AF6"/>
    <w:rsid w:val="00F23FEA"/>
    <w:rsid w:val="00F31EDC"/>
    <w:rsid w:val="00F34441"/>
    <w:rsid w:val="00F462B3"/>
    <w:rsid w:val="00F5664F"/>
    <w:rsid w:val="00F666C4"/>
    <w:rsid w:val="00F76AFC"/>
    <w:rsid w:val="00FA0A9A"/>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9156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691563"/>
    <w:rPr>
      <w:rFonts w:ascii="Geomanist Light" w:hAnsi="Geomanist Light"/>
      <w:lang w:val="es-ES"/>
    </w:rPr>
  </w:style>
  <w:style w:type="character" w:customStyle="1" w:styleId="s15">
    <w:name w:val="s15"/>
    <w:basedOn w:val="Fuentedeprrafopredeter"/>
    <w:rsid w:val="00691563"/>
  </w:style>
  <w:style w:type="character" w:customStyle="1" w:styleId="apple-converted-space">
    <w:name w:val="apple-converted-space"/>
    <w:basedOn w:val="Fuentedeprrafopredeter"/>
    <w:rsid w:val="006915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pbustosj@dane.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supervigilancia.gov.co/loader.php?lServicio=Tools2&amp;lTipo=descargas&amp;lFuncion=visorpdf&amp;file=https%3A%2F%2Fwww.supervigilancia.gov.co%2Floader.php%3FlServicio%3DTools2%26lTipo%3Ddescargas%26lFuncion%3DexposeDocument%26idFile%3D47992%26tmp%3Dce0452fc6a5b9a54bf2f98c3bf091c14%26urlDeleteFunction%3Dhttps%253A%252F%252Fwww.supervigilancia.gov.co%252Floader.php%253FlServicio%253DTools2%2526lTipo%253Ddescargas%2526lFuncion%253DdeleteTemporalFile%2526tmp%253Dce0452fc6a5b9a54bf2f98c3bf091c14&amp;pdf=1&amp;tmp=ce0452fc6a5b9a54bf2f98c3bf091c14&amp;fileItem=47992" TargetMode="External"/><Relationship Id="rId1" Type="http://schemas.openxmlformats.org/officeDocument/2006/relationships/hyperlink" Target="https://relatoria.colombiacompra.gov.co/conceptos/c-466-de-202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2DDE9BE-FAEB-4ED5-A0E7-CB79E9BA0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TotalTime>
  <Pages>19</Pages>
  <Words>6436</Words>
  <Characters>35404</Characters>
  <Application>Microsoft Office Word</Application>
  <DocSecurity>0</DocSecurity>
  <Lines>295</Lines>
  <Paragraphs>83</Paragraphs>
  <ScaleCrop>false</ScaleCrop>
  <Company/>
  <LinksUpToDate>false</LinksUpToDate>
  <CharactersWithSpaces>41757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2026-05-06T21:57:00Z</dcterms:created>
  <dcterms:modified xsi:type="dcterms:W3CDTF">2026-05-07T00:12:00Z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