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C4922" w14:textId="77777777" w:rsidR="008D5774" w:rsidRPr="00782836" w:rsidRDefault="008D5774" w:rsidP="008D5774">
      <w:pPr>
        <w:contextualSpacing/>
        <w:jc w:val="both"/>
        <w:rPr>
          <w:rFonts w:ascii="Verdana" w:eastAsia="Calibri" w:hAnsi="Verdana" w:cs="Arial"/>
          <w:b/>
          <w:bCs/>
          <w:lang w:val="es-ES" w:eastAsia="es-ES"/>
        </w:rPr>
      </w:pPr>
      <w:r w:rsidRPr="00782836">
        <w:rPr>
          <w:rFonts w:ascii="Verdana" w:eastAsia="Calibri" w:hAnsi="Verdana" w:cs="Arial"/>
          <w:b/>
          <w:bCs/>
          <w:lang w:val="es-ES" w:eastAsia="es-ES"/>
        </w:rPr>
        <w:t>LEY DE GARANTÍAS ELECTORALES ‒ Restricciones ‒ Contratación ‒ Tipos de elección</w:t>
      </w:r>
    </w:p>
    <w:p w14:paraId="243E61C3" w14:textId="77777777" w:rsidR="008D5774" w:rsidRPr="00782836" w:rsidRDefault="008D5774" w:rsidP="008D5774">
      <w:pPr>
        <w:spacing w:after="0" w:line="240" w:lineRule="auto"/>
        <w:jc w:val="both"/>
        <w:rPr>
          <w:rFonts w:ascii="Verdana" w:eastAsia="Calibri" w:hAnsi="Verdana" w:cs="Arial"/>
          <w:b/>
          <w:bCs/>
          <w:lang w:val="es-ES" w:eastAsia="es-ES"/>
        </w:rPr>
      </w:pPr>
    </w:p>
    <w:p w14:paraId="08394977" w14:textId="77777777" w:rsidR="008D5774" w:rsidRPr="00782836" w:rsidRDefault="008D5774" w:rsidP="008D5774">
      <w:pPr>
        <w:spacing w:after="0" w:line="240" w:lineRule="auto"/>
        <w:jc w:val="both"/>
        <w:rPr>
          <w:rFonts w:ascii="Verdana" w:eastAsia="Arial" w:hAnsi="Verdana" w:cs="Arial"/>
          <w:sz w:val="20"/>
          <w:szCs w:val="20"/>
          <w:lang w:val="es-ES" w:eastAsia="es-ES" w:bidi="es-ES"/>
        </w:rPr>
      </w:pPr>
      <w:r w:rsidRPr="00782836">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782836">
        <w:rPr>
          <w:rFonts w:ascii="Verdana" w:eastAsia="Arial" w:hAnsi="Verdana" w:cs="Arial"/>
          <w:i/>
          <w:sz w:val="20"/>
          <w:szCs w:val="20"/>
          <w:lang w:val="es-ES" w:eastAsia="es-ES" w:bidi="es-ES"/>
        </w:rPr>
        <w:t>En primer lugar</w:t>
      </w:r>
      <w:r w:rsidRPr="00782836">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782836">
        <w:rPr>
          <w:rFonts w:ascii="Verdana" w:eastAsia="Arial" w:hAnsi="Verdana" w:cs="Arial"/>
          <w:i/>
          <w:sz w:val="20"/>
          <w:szCs w:val="20"/>
          <w:lang w:val="es-ES" w:eastAsia="es-ES" w:bidi="es-ES"/>
        </w:rPr>
        <w:t>En segundo lugar</w:t>
      </w:r>
      <w:r w:rsidRPr="00782836">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8C4029F" w14:textId="77777777" w:rsidR="008D5774" w:rsidRPr="009233BB" w:rsidRDefault="008D5774" w:rsidP="008D5774">
      <w:pPr>
        <w:spacing w:after="0" w:line="240" w:lineRule="auto"/>
        <w:jc w:val="both"/>
        <w:rPr>
          <w:rFonts w:ascii="Verdana" w:eastAsia="Geomanist Light" w:hAnsi="Verdana" w:cs="Arial"/>
          <w:b/>
          <w:bCs/>
          <w:color w:val="ED7D31" w:themeColor="accent2"/>
          <w:lang w:val="es-ES"/>
        </w:rPr>
      </w:pPr>
    </w:p>
    <w:p w14:paraId="32A53D91" w14:textId="77777777" w:rsidR="008D5774" w:rsidRPr="003D4410" w:rsidRDefault="008D5774" w:rsidP="008D5774">
      <w:pPr>
        <w:spacing w:after="0" w:line="240" w:lineRule="auto"/>
        <w:jc w:val="both"/>
        <w:rPr>
          <w:rFonts w:ascii="Verdana" w:eastAsia="Calibri" w:hAnsi="Verdana" w:cs="Arial"/>
          <w:b/>
          <w:bCs/>
          <w:lang w:val="es-ES" w:eastAsia="es-ES"/>
        </w:rPr>
      </w:pPr>
      <w:r w:rsidRPr="003D4410">
        <w:rPr>
          <w:rFonts w:ascii="Verdana" w:eastAsia="Calibri" w:hAnsi="Verdana" w:cs="Arial"/>
          <w:b/>
          <w:bCs/>
          <w:lang w:val="es-ES" w:eastAsia="es-ES"/>
        </w:rPr>
        <w:t xml:space="preserve">LEY DE GARANTÍAS ELECTORALES ‒ Artículo 33 </w:t>
      </w:r>
    </w:p>
    <w:p w14:paraId="0837B92C" w14:textId="77777777" w:rsidR="008D5774" w:rsidRPr="003D4410" w:rsidRDefault="008D5774" w:rsidP="008D5774">
      <w:pPr>
        <w:spacing w:after="0" w:line="240" w:lineRule="auto"/>
        <w:jc w:val="both"/>
        <w:rPr>
          <w:rFonts w:ascii="Verdana" w:eastAsia="Calibri" w:hAnsi="Verdana" w:cs="Arial"/>
          <w:b/>
          <w:bCs/>
          <w:lang w:val="es-ES" w:eastAsia="es-ES"/>
        </w:rPr>
      </w:pPr>
    </w:p>
    <w:p w14:paraId="5CC78A20" w14:textId="77777777" w:rsidR="008D5774" w:rsidRPr="003D4410" w:rsidRDefault="008D5774" w:rsidP="008D5774">
      <w:pPr>
        <w:spacing w:after="0" w:line="240" w:lineRule="auto"/>
        <w:jc w:val="both"/>
        <w:rPr>
          <w:rFonts w:ascii="Verdana" w:eastAsia="Calibri" w:hAnsi="Verdana" w:cs="Arial"/>
          <w:sz w:val="20"/>
          <w:szCs w:val="20"/>
          <w:lang w:val="es-ES"/>
        </w:rPr>
      </w:pPr>
      <w:r w:rsidRPr="003D4410">
        <w:rPr>
          <w:rFonts w:ascii="Verdana" w:eastAsia="Calibri" w:hAnsi="Verdana" w:cs="Arial"/>
          <w:sz w:val="20"/>
          <w:szCs w:val="20"/>
          <w:lang w:val="es-ES"/>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E0ACFDA" w14:textId="77777777" w:rsidR="008D5774" w:rsidRPr="003D4410" w:rsidRDefault="008D5774" w:rsidP="008D5774">
      <w:pPr>
        <w:spacing w:after="0" w:line="240" w:lineRule="auto"/>
        <w:jc w:val="both"/>
        <w:rPr>
          <w:rFonts w:ascii="Verdana" w:eastAsia="Calibri" w:hAnsi="Verdana" w:cs="Arial"/>
          <w:sz w:val="20"/>
          <w:szCs w:val="20"/>
          <w:lang w:val="es-ES"/>
        </w:rPr>
      </w:pPr>
    </w:p>
    <w:p w14:paraId="2FD4E36B" w14:textId="77777777" w:rsidR="008D5774" w:rsidRPr="003D4410" w:rsidRDefault="008D5774" w:rsidP="008D5774">
      <w:pPr>
        <w:contextualSpacing/>
        <w:jc w:val="both"/>
        <w:rPr>
          <w:rFonts w:ascii="Verdana" w:eastAsia="Calibri" w:hAnsi="Verdana" w:cs="Arial"/>
          <w:b/>
          <w:bCs/>
          <w:lang w:val="es-ES" w:eastAsia="es-ES"/>
        </w:rPr>
      </w:pPr>
      <w:r w:rsidRPr="003D4410">
        <w:rPr>
          <w:rFonts w:ascii="Verdana" w:eastAsia="Calibri" w:hAnsi="Verdana" w:cs="Arial"/>
          <w:b/>
          <w:bCs/>
          <w:lang w:val="es-ES" w:eastAsia="es-ES"/>
        </w:rPr>
        <w:t>LEY DE GARANTÍAS ELECTORALES ‒ Artículo 38 ‒ Parágrafo</w:t>
      </w:r>
    </w:p>
    <w:p w14:paraId="15255837" w14:textId="77777777" w:rsidR="008D5774" w:rsidRPr="003D4410" w:rsidRDefault="008D5774" w:rsidP="008D5774">
      <w:pPr>
        <w:spacing w:line="240" w:lineRule="auto"/>
        <w:contextualSpacing/>
        <w:jc w:val="both"/>
        <w:rPr>
          <w:rFonts w:ascii="Verdana" w:eastAsia="Calibri" w:hAnsi="Verdana" w:cs="Arial"/>
          <w:b/>
          <w:bCs/>
          <w:sz w:val="20"/>
          <w:szCs w:val="20"/>
          <w:lang w:val="es-ES" w:eastAsia="es-ES"/>
        </w:rPr>
      </w:pPr>
    </w:p>
    <w:p w14:paraId="54B5EF60" w14:textId="77777777" w:rsidR="008D5774" w:rsidRDefault="008D5774" w:rsidP="008D5774">
      <w:pPr>
        <w:spacing w:after="0" w:line="240" w:lineRule="auto"/>
        <w:contextualSpacing/>
        <w:jc w:val="both"/>
        <w:rPr>
          <w:rFonts w:ascii="Verdana" w:eastAsia="Times New Roman" w:hAnsi="Verdana" w:cs="Arial"/>
          <w:sz w:val="20"/>
          <w:szCs w:val="20"/>
          <w:lang w:val="es-ES"/>
        </w:rPr>
      </w:pPr>
      <w:r w:rsidRPr="003D4410">
        <w:rPr>
          <w:rFonts w:ascii="Verdana" w:eastAsia="Times New Roman" w:hAnsi="Verdana" w:cs="Arial"/>
          <w:sz w:val="20"/>
          <w:szCs w:val="20"/>
          <w:lang w:val="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4FDA3C7" w14:textId="77777777" w:rsidR="00B6113F" w:rsidRDefault="00B6113F" w:rsidP="008D5774">
      <w:pPr>
        <w:spacing w:after="0" w:line="240" w:lineRule="auto"/>
        <w:contextualSpacing/>
        <w:jc w:val="both"/>
        <w:rPr>
          <w:rFonts w:ascii="Verdana" w:eastAsia="Times New Roman" w:hAnsi="Verdana" w:cs="Arial"/>
          <w:sz w:val="20"/>
          <w:szCs w:val="20"/>
          <w:lang w:val="es-ES"/>
        </w:rPr>
      </w:pPr>
    </w:p>
    <w:p w14:paraId="375FEEFE" w14:textId="1D5F5AA5" w:rsidR="00B6113F" w:rsidRPr="00B6113F" w:rsidRDefault="00B6113F" w:rsidP="008D5774">
      <w:pPr>
        <w:spacing w:after="0" w:line="240" w:lineRule="auto"/>
        <w:contextualSpacing/>
        <w:jc w:val="both"/>
        <w:rPr>
          <w:rFonts w:ascii="Verdana" w:eastAsia="Calibri" w:hAnsi="Verdana" w:cs="Arial"/>
          <w:b/>
          <w:bCs/>
          <w:lang w:val="es-ES" w:eastAsia="es-ES"/>
        </w:rPr>
      </w:pPr>
      <w:r w:rsidRPr="00B6113F">
        <w:rPr>
          <w:rFonts w:ascii="Verdana" w:eastAsia="Calibri" w:hAnsi="Verdana" w:cs="Arial"/>
          <w:b/>
          <w:bCs/>
          <w:lang w:val="es-ES" w:eastAsia="es-ES"/>
        </w:rPr>
        <w:t>LEY DE GARANTÍAS ELECTORALES ─ Prohibición ‒ Contratación directa ‒ Alcance</w:t>
      </w:r>
    </w:p>
    <w:p w14:paraId="62AD14F5" w14:textId="77777777" w:rsidR="008D5774" w:rsidRPr="009233BB" w:rsidRDefault="008D5774" w:rsidP="008D5774">
      <w:pPr>
        <w:spacing w:after="0" w:line="240" w:lineRule="auto"/>
        <w:jc w:val="both"/>
        <w:rPr>
          <w:rFonts w:ascii="Verdana" w:eastAsia="Arial" w:hAnsi="Verdana" w:cs="Arial"/>
          <w:color w:val="ED7D31" w:themeColor="accent2"/>
          <w:sz w:val="18"/>
          <w:szCs w:val="18"/>
          <w:lang w:val="es-ES" w:eastAsia="es-ES" w:bidi="es-ES"/>
        </w:rPr>
      </w:pPr>
    </w:p>
    <w:p w14:paraId="61C16719" w14:textId="5A6D9C7B" w:rsidR="00F32723" w:rsidRDefault="005E492A" w:rsidP="005E492A">
      <w:pPr>
        <w:spacing w:line="240" w:lineRule="auto"/>
        <w:contextualSpacing/>
        <w:jc w:val="both"/>
        <w:rPr>
          <w:rFonts w:ascii="Verdana" w:eastAsia="Calibri" w:hAnsi="Verdana" w:cs="Arial"/>
          <w:sz w:val="20"/>
          <w:szCs w:val="20"/>
          <w:lang w:val="es-ES" w:eastAsia="es-ES"/>
        </w:rPr>
      </w:pPr>
      <w:r w:rsidRPr="005E492A">
        <w:rPr>
          <w:rFonts w:ascii="Verdana" w:eastAsia="Calibri" w:hAnsi="Verdana" w:cs="Arial"/>
          <w:sz w:val="20"/>
          <w:szCs w:val="20"/>
          <w:lang w:val="es-ES" w:eastAsia="es-ES"/>
        </w:rPr>
        <w:lastRenderedPageBreak/>
        <w:t xml:space="preserve">El ordenamiento jurídico dispone que la modalidad aplicable para la celebración de convenios interadministrativos es la contratación directa, conforme expresamente lo dispone el artículo 2.2.1.2.1.4.4. del Decreto 1082 de 2015. Esto resulta particularmente relevante para el particular, ya que, si bien los convenios interadministrativos a título gratuito no se encuentran cobijados por la restricción del parágrafo del artículo 38 de la Ley 996 de 2005, por el hecho de no contemplar la ejecución de recursos públicos, si pueden estar cobijados por la prohibición a la contratación directa establecida por el artículo 33 de la Ley 996 de 2005.  </w:t>
      </w:r>
    </w:p>
    <w:p w14:paraId="70BAB812" w14:textId="77777777" w:rsidR="005E492A" w:rsidRPr="005E492A" w:rsidRDefault="005E492A" w:rsidP="005E492A">
      <w:pPr>
        <w:spacing w:line="240" w:lineRule="auto"/>
        <w:contextualSpacing/>
        <w:jc w:val="both"/>
        <w:rPr>
          <w:rFonts w:ascii="Verdana" w:eastAsia="Calibri" w:hAnsi="Verdana" w:cs="Arial"/>
          <w:sz w:val="20"/>
          <w:szCs w:val="20"/>
          <w:lang w:val="es-ES" w:eastAsia="es-ES"/>
        </w:rPr>
      </w:pPr>
    </w:p>
    <w:p w14:paraId="56075549" w14:textId="78450724" w:rsidR="005E492A" w:rsidRDefault="00F32723" w:rsidP="005E492A">
      <w:pPr>
        <w:spacing w:after="0" w:line="240" w:lineRule="auto"/>
        <w:contextualSpacing/>
        <w:jc w:val="both"/>
        <w:rPr>
          <w:rFonts w:ascii="Verdana" w:eastAsia="Calibri" w:hAnsi="Verdana" w:cs="Arial"/>
          <w:b/>
          <w:bCs/>
          <w:lang w:val="es-ES" w:eastAsia="es-ES"/>
        </w:rPr>
      </w:pPr>
      <w:r w:rsidRPr="005E492A">
        <w:rPr>
          <w:rFonts w:ascii="Verdana" w:eastAsia="Calibri" w:hAnsi="Verdana" w:cs="Arial"/>
          <w:b/>
          <w:bCs/>
          <w:lang w:val="es-ES" w:eastAsia="es-ES"/>
        </w:rPr>
        <w:t xml:space="preserve">LEY DE GARANTÍAS ELECTORALES ─ Excepciones – Convenios a título gratuito  </w:t>
      </w:r>
    </w:p>
    <w:p w14:paraId="16836698" w14:textId="77777777" w:rsidR="005E492A" w:rsidRPr="005E492A" w:rsidRDefault="005E492A" w:rsidP="005E492A">
      <w:pPr>
        <w:spacing w:after="0" w:line="240" w:lineRule="auto"/>
        <w:contextualSpacing/>
        <w:jc w:val="both"/>
        <w:rPr>
          <w:rFonts w:ascii="Verdana" w:eastAsia="Calibri" w:hAnsi="Verdana" w:cs="Arial"/>
          <w:b/>
          <w:bCs/>
          <w:lang w:val="es-ES" w:eastAsia="es-ES"/>
        </w:rPr>
      </w:pPr>
    </w:p>
    <w:p w14:paraId="407630E0" w14:textId="01070F7C" w:rsidR="008D5774" w:rsidRPr="00F32723" w:rsidRDefault="00F32723" w:rsidP="00F32723">
      <w:pPr>
        <w:spacing w:after="0" w:line="240" w:lineRule="auto"/>
        <w:contextualSpacing/>
        <w:jc w:val="both"/>
        <w:rPr>
          <w:rFonts w:ascii="Verdana" w:eastAsia="Times New Roman" w:hAnsi="Verdana" w:cs="Arial"/>
          <w:sz w:val="20"/>
          <w:szCs w:val="20"/>
          <w:lang w:val="es-ES"/>
        </w:rPr>
      </w:pPr>
      <w:r w:rsidRPr="00F32723">
        <w:rPr>
          <w:rFonts w:ascii="Verdana" w:eastAsia="Times New Roman" w:hAnsi="Verdana" w:cs="Arial"/>
          <w:sz w:val="20"/>
          <w:szCs w:val="20"/>
          <w:lang w:val="es-ES"/>
        </w:rPr>
        <w:t xml:space="preserve">En atención a esto, si bien, en principio, resulta viable celebrar de manera directa un convenio interadministrativo a título gratuito en vigencia de la restricción del artículo 38, esto no resulta válido cuando esté en vigencia la prohibición del artículo 33, ya que esta aplica de manera de manera general a la contratación directa y no contempla excepciones para convenio a título gratuito. En ese orden, una vez entrada en vigor la restricción del artículo 33 de la Ley 996 de 2005, solo resulta jurídicamente viable celebrar convenios interadministrativos a título gratuito, si respecto de estos se configura alguna de las excepciones establecidas en dicha disposición.   </w:t>
      </w:r>
    </w:p>
    <w:p w14:paraId="113DCBEF" w14:textId="77777777" w:rsidR="008D5774" w:rsidRPr="003D4410" w:rsidRDefault="008D5774" w:rsidP="008D5774">
      <w:pPr>
        <w:spacing w:after="0" w:line="240" w:lineRule="auto"/>
        <w:contextualSpacing/>
        <w:jc w:val="both"/>
        <w:rPr>
          <w:rFonts w:ascii="Verdana" w:eastAsia="Calibri" w:hAnsi="Verdana" w:cs="Arial"/>
          <w:b/>
          <w:bCs/>
          <w:sz w:val="20"/>
          <w:szCs w:val="20"/>
          <w:lang w:eastAsia="es-ES"/>
        </w:rPr>
      </w:pPr>
    </w:p>
    <w:p w14:paraId="0AC5390A" w14:textId="77777777" w:rsidR="008D5774" w:rsidRPr="003D4410" w:rsidRDefault="008D5774" w:rsidP="008D5774">
      <w:pPr>
        <w:spacing w:after="0" w:line="240" w:lineRule="auto"/>
        <w:contextualSpacing/>
        <w:jc w:val="both"/>
        <w:rPr>
          <w:rFonts w:ascii="Verdana" w:eastAsia="Calibri" w:hAnsi="Verdana" w:cs="Arial"/>
          <w:b/>
          <w:bCs/>
          <w:sz w:val="20"/>
          <w:szCs w:val="20"/>
          <w:lang w:val="es-ES" w:eastAsia="es-ES"/>
        </w:rPr>
      </w:pPr>
    </w:p>
    <w:p w14:paraId="4B29E45D" w14:textId="77777777" w:rsidR="008D5774" w:rsidRPr="009233BB"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212A9250" w14:textId="77777777" w:rsidR="008D5774" w:rsidRPr="009233BB"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793BC852" w14:textId="77777777" w:rsidR="008D5774"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2A0CF29A"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6920DAE5"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6E722083"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27F2F163"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74B2EBF"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39202F09"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3653ADE9"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0FF57E26"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76B7B63A"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497BFD64"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319E8A7"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47D164D2"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26BAF8D5"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5D2692E"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2A872B98"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023CAE5A"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38586612"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59228E34" w14:textId="77777777" w:rsidR="006E4EC5"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7353E577" w14:textId="77777777" w:rsidR="006E4EC5" w:rsidRPr="009233BB" w:rsidRDefault="006E4EC5"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0F5981A1" w14:textId="77777777" w:rsidR="00737577" w:rsidRDefault="00737577" w:rsidP="008D5774">
      <w:pPr>
        <w:spacing w:after="0"/>
        <w:rPr>
          <w:rFonts w:ascii="Verdana" w:hAnsi="Verdana"/>
        </w:rPr>
      </w:pPr>
    </w:p>
    <w:p w14:paraId="62D221C9" w14:textId="7BBB9EB8" w:rsidR="001B064E" w:rsidRPr="001B064E" w:rsidRDefault="001B064E" w:rsidP="001B064E">
      <w:pPr>
        <w:spacing w:after="0"/>
        <w:rPr>
          <w:rFonts w:ascii="Verdana" w:hAnsi="Verdana"/>
          <w:lang w:val="es-ES_tradnl"/>
        </w:rPr>
      </w:pPr>
      <w:r w:rsidRPr="001B064E">
        <w:rPr>
          <w:rFonts w:ascii="Verdana" w:hAnsi="Verdana"/>
          <w:lang w:val="es-ES_tradnl"/>
        </w:rPr>
        <w:lastRenderedPageBreak/>
        <w:t xml:space="preserve">Bogotá D.C., </w:t>
      </w:r>
      <w:r w:rsidR="002253D2">
        <w:rPr>
          <w:rFonts w:ascii="Verdana" w:hAnsi="Verdana"/>
          <w:lang w:val="es-ES_tradnl"/>
        </w:rPr>
        <w:t>29 de abril de 2026</w:t>
      </w:r>
    </w:p>
    <w:p w14:paraId="5DF4E0A1" w14:textId="77777777" w:rsidR="008D5774" w:rsidRDefault="008D5774" w:rsidP="008D5774">
      <w:pPr>
        <w:spacing w:after="0"/>
        <w:rPr>
          <w:rFonts w:ascii="Verdana" w:hAnsi="Verdana"/>
          <w:lang w:val="es-ES_tradnl"/>
        </w:rPr>
      </w:pPr>
    </w:p>
    <w:p w14:paraId="1C5AC4B0" w14:textId="77777777" w:rsidR="002253D2" w:rsidRDefault="002253D2" w:rsidP="008D5774">
      <w:pPr>
        <w:spacing w:after="0"/>
        <w:rPr>
          <w:rFonts w:ascii="Verdana" w:hAnsi="Verdana"/>
          <w:lang w:val="es-ES_tradnl"/>
        </w:rPr>
      </w:pPr>
    </w:p>
    <w:p w14:paraId="05E4EBE9" w14:textId="22A80752" w:rsidR="002253D2" w:rsidRPr="001B064E" w:rsidRDefault="002253D2" w:rsidP="002253D2">
      <w:pPr>
        <w:spacing w:after="0"/>
        <w:jc w:val="right"/>
        <w:rPr>
          <w:rFonts w:ascii="Verdana" w:hAnsi="Verdana"/>
          <w:lang w:val="es-ES_tradnl"/>
        </w:rPr>
      </w:pPr>
      <w:r w:rsidRPr="002253D2">
        <w:rPr>
          <w:rFonts w:ascii="Verdana" w:hAnsi="Verdana"/>
          <w:lang w:val="es-ES_tradnl"/>
        </w:rPr>
        <w:drawing>
          <wp:inline distT="0" distB="0" distL="0" distR="0" wp14:anchorId="232D912F" wp14:editId="26277AFD">
            <wp:extent cx="3667637" cy="962159"/>
            <wp:effectExtent l="0" t="0" r="9525" b="9525"/>
            <wp:docPr id="10693258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325891" name=""/>
                    <pic:cNvPicPr/>
                  </pic:nvPicPr>
                  <pic:blipFill>
                    <a:blip r:embed="rId11"/>
                    <a:stretch>
                      <a:fillRect/>
                    </a:stretch>
                  </pic:blipFill>
                  <pic:spPr>
                    <a:xfrm>
                      <a:off x="0" y="0"/>
                      <a:ext cx="3667637" cy="962159"/>
                    </a:xfrm>
                    <a:prstGeom prst="rect">
                      <a:avLst/>
                    </a:prstGeom>
                  </pic:spPr>
                </pic:pic>
              </a:graphicData>
            </a:graphic>
          </wp:inline>
        </w:drawing>
      </w:r>
    </w:p>
    <w:p w14:paraId="165A5F33" w14:textId="43EF5298" w:rsidR="008D5774" w:rsidRPr="002047EB" w:rsidRDefault="008D5774" w:rsidP="008D5774">
      <w:pPr>
        <w:spacing w:after="0" w:line="240" w:lineRule="auto"/>
        <w:rPr>
          <w:rFonts w:ascii="Verdana" w:hAnsi="Verdana"/>
          <w:lang w:val="es-ES"/>
        </w:rPr>
      </w:pPr>
      <w:bookmarkStart w:id="0" w:name="_Hlk143780582"/>
      <w:r w:rsidRPr="002047EB">
        <w:rPr>
          <w:rFonts w:ascii="Verdana" w:eastAsia="Calibri" w:hAnsi="Verdana" w:cs="Arial"/>
          <w:lang w:val="es-ES" w:eastAsia="es-ES"/>
        </w:rPr>
        <w:t>Señor</w:t>
      </w:r>
    </w:p>
    <w:p w14:paraId="2402F1C9" w14:textId="198AB9D6" w:rsidR="008D5774" w:rsidRDefault="001B064E" w:rsidP="008D5774">
      <w:pPr>
        <w:spacing w:after="0"/>
        <w:rPr>
          <w:rFonts w:ascii="Verdana" w:eastAsia="Calibri" w:hAnsi="Verdana" w:cs="Arial"/>
          <w:b/>
          <w:bCs/>
          <w:lang w:val="es-ES" w:eastAsia="es-ES"/>
        </w:rPr>
      </w:pPr>
      <w:r>
        <w:rPr>
          <w:rFonts w:ascii="Verdana" w:eastAsia="Calibri" w:hAnsi="Verdana" w:cs="Arial"/>
          <w:b/>
          <w:bCs/>
          <w:lang w:val="es-ES" w:eastAsia="es-ES"/>
        </w:rPr>
        <w:t>Dumar Javier Moreno Acosta</w:t>
      </w:r>
    </w:p>
    <w:p w14:paraId="161EFC6C" w14:textId="27F5F6D7" w:rsidR="008D5774" w:rsidRPr="002253D2" w:rsidRDefault="00492EFE" w:rsidP="008D5774">
      <w:pPr>
        <w:spacing w:after="0"/>
        <w:rPr>
          <w:rStyle w:val="Hipervnculo"/>
          <w:rFonts w:ascii="Verdana" w:hAnsi="Verdana"/>
          <w:color w:val="ED7D31" w:themeColor="accent2"/>
        </w:rPr>
      </w:pPr>
      <w:hyperlink r:id="rId12" w:history="1">
        <w:r w:rsidRPr="002253D2">
          <w:rPr>
            <w:rStyle w:val="Hipervnculo"/>
            <w:rFonts w:ascii="Verdana" w:hAnsi="Verdana"/>
          </w:rPr>
          <w:t>gobierno@hatocorozal-casanare.gov.co</w:t>
        </w:r>
      </w:hyperlink>
      <w:r w:rsidRPr="002253D2">
        <w:rPr>
          <w:rFonts w:ascii="Verdana" w:hAnsi="Verdana"/>
        </w:rPr>
        <w:t xml:space="preserve"> </w:t>
      </w:r>
      <w:r w:rsidR="008D5774" w:rsidRPr="002253D2">
        <w:rPr>
          <w:rStyle w:val="Hipervnculo"/>
          <w:rFonts w:ascii="Verdana" w:hAnsi="Verdana"/>
          <w:color w:val="ED7D31" w:themeColor="accent2"/>
        </w:rPr>
        <w:t xml:space="preserve"> </w:t>
      </w:r>
    </w:p>
    <w:p w14:paraId="3DC68843" w14:textId="35BCE360" w:rsidR="008D5774" w:rsidRPr="00C622DE" w:rsidRDefault="00C622DE" w:rsidP="008D5774">
      <w:pPr>
        <w:spacing w:after="0"/>
        <w:rPr>
          <w:rFonts w:ascii="Verdana" w:eastAsia="Calibri" w:hAnsi="Verdana" w:cs="Arial"/>
          <w:lang w:val="en-US" w:eastAsia="es-ES"/>
        </w:rPr>
      </w:pPr>
      <w:r w:rsidRPr="00C622DE">
        <w:rPr>
          <w:rFonts w:ascii="Verdana" w:eastAsia="Calibri" w:hAnsi="Verdana" w:cs="Arial"/>
          <w:lang w:val="en-US" w:eastAsia="es-ES"/>
        </w:rPr>
        <w:t>H</w:t>
      </w:r>
      <w:r>
        <w:rPr>
          <w:rFonts w:ascii="Verdana" w:eastAsia="Calibri" w:hAnsi="Verdana" w:cs="Arial"/>
          <w:lang w:val="en-US" w:eastAsia="es-ES"/>
        </w:rPr>
        <w:t>ato Corozal, Casanare</w:t>
      </w:r>
    </w:p>
    <w:p w14:paraId="046641B1" w14:textId="77777777" w:rsidR="008D5774" w:rsidRPr="00C622DE" w:rsidRDefault="008D5774" w:rsidP="008D5774">
      <w:pPr>
        <w:spacing w:after="0"/>
        <w:rPr>
          <w:rFonts w:ascii="Verdana" w:eastAsia="Calibri" w:hAnsi="Verdana" w:cs="Arial"/>
          <w:color w:val="ED7D31" w:themeColor="accent2"/>
          <w:lang w:val="en-US" w:eastAsia="es-ES"/>
        </w:rPr>
      </w:pPr>
    </w:p>
    <w:p w14:paraId="61F2E47D" w14:textId="77777777" w:rsidR="008D5774" w:rsidRPr="00C622DE" w:rsidRDefault="008D5774" w:rsidP="008D5774">
      <w:pPr>
        <w:spacing w:after="0" w:line="240" w:lineRule="auto"/>
        <w:rPr>
          <w:rFonts w:ascii="Verdana" w:eastAsia="Calibri" w:hAnsi="Verdana" w:cs="Arial"/>
          <w:b/>
          <w:bCs/>
          <w:color w:val="ED7D31" w:themeColor="accent2"/>
          <w:lang w:val="en-U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D5774" w:rsidRPr="009233BB" w14:paraId="6D59ACC3" w14:textId="77777777" w:rsidTr="006F3F7E">
        <w:trPr>
          <w:trHeight w:val="300"/>
        </w:trPr>
        <w:tc>
          <w:tcPr>
            <w:tcW w:w="2410" w:type="dxa"/>
          </w:tcPr>
          <w:p w14:paraId="3E346A4C" w14:textId="77777777" w:rsidR="008D5774" w:rsidRPr="00C622DE" w:rsidRDefault="008D5774" w:rsidP="006F3F7E">
            <w:pPr>
              <w:ind w:left="-142"/>
              <w:jc w:val="both"/>
              <w:rPr>
                <w:rFonts w:ascii="Verdana" w:eastAsia="Calibri" w:hAnsi="Verdana" w:cs="Arial"/>
                <w:b/>
                <w:bCs/>
                <w:color w:val="ED7D31" w:themeColor="accent2"/>
                <w:lang w:val="en-US" w:eastAsia="es-ES_tradnl"/>
              </w:rPr>
            </w:pPr>
          </w:p>
        </w:tc>
        <w:tc>
          <w:tcPr>
            <w:tcW w:w="6100" w:type="dxa"/>
          </w:tcPr>
          <w:p w14:paraId="7BDECC1C" w14:textId="4B3EDEA8" w:rsidR="008D5774" w:rsidRPr="002734D6" w:rsidRDefault="008D5774" w:rsidP="006F3F7E">
            <w:pPr>
              <w:ind w:left="3"/>
              <w:jc w:val="both"/>
              <w:rPr>
                <w:rFonts w:ascii="Verdana" w:eastAsia="Calibri" w:hAnsi="Verdana" w:cs="Arial"/>
                <w:b/>
                <w:bCs/>
                <w:lang w:val="es-ES" w:eastAsia="es-ES"/>
              </w:rPr>
            </w:pPr>
            <w:r w:rsidRPr="002734D6">
              <w:rPr>
                <w:rFonts w:ascii="Verdana" w:eastAsia="Calibri" w:hAnsi="Verdana" w:cs="Arial"/>
                <w:b/>
                <w:bCs/>
                <w:lang w:val="es-ES" w:eastAsia="es-ES"/>
              </w:rPr>
              <w:t>Concepto C-</w:t>
            </w:r>
            <w:r w:rsidR="006E4EC5">
              <w:rPr>
                <w:rFonts w:ascii="Verdana" w:eastAsia="Calibri" w:hAnsi="Verdana" w:cs="Arial"/>
                <w:b/>
                <w:bCs/>
                <w:lang w:val="es-ES" w:eastAsia="es-ES"/>
              </w:rPr>
              <w:t>440</w:t>
            </w:r>
            <w:r w:rsidRPr="002734D6">
              <w:rPr>
                <w:rFonts w:ascii="Verdana" w:eastAsia="Calibri" w:hAnsi="Verdana" w:cs="Arial"/>
                <w:b/>
                <w:bCs/>
                <w:lang w:val="es-ES" w:eastAsia="es-ES"/>
              </w:rPr>
              <w:t xml:space="preserve"> de 202</w:t>
            </w:r>
            <w:r w:rsidR="006E4EC5">
              <w:rPr>
                <w:rFonts w:ascii="Verdana" w:eastAsia="Calibri" w:hAnsi="Verdana" w:cs="Arial"/>
                <w:b/>
                <w:bCs/>
                <w:lang w:val="es-ES" w:eastAsia="es-ES"/>
              </w:rPr>
              <w:t>6</w:t>
            </w:r>
          </w:p>
          <w:p w14:paraId="2D493A98" w14:textId="77777777" w:rsidR="008D5774" w:rsidRPr="002734D6" w:rsidRDefault="008D5774" w:rsidP="006F3F7E">
            <w:pPr>
              <w:ind w:left="3"/>
              <w:jc w:val="both"/>
              <w:rPr>
                <w:rFonts w:ascii="Verdana" w:eastAsia="Calibri" w:hAnsi="Verdana" w:cs="Arial"/>
                <w:b/>
                <w:bCs/>
                <w:lang w:val="es-ES" w:eastAsia="es-ES"/>
              </w:rPr>
            </w:pPr>
          </w:p>
        </w:tc>
      </w:tr>
      <w:tr w:rsidR="008D5774" w:rsidRPr="009233BB" w14:paraId="7EC0AFBA" w14:textId="77777777" w:rsidTr="006F3F7E">
        <w:trPr>
          <w:trHeight w:val="300"/>
        </w:trPr>
        <w:tc>
          <w:tcPr>
            <w:tcW w:w="2410" w:type="dxa"/>
          </w:tcPr>
          <w:p w14:paraId="2445A2FD" w14:textId="77777777" w:rsidR="008D5774" w:rsidRPr="009233BB" w:rsidRDefault="008D5774" w:rsidP="006F3F7E">
            <w:pPr>
              <w:ind w:left="424" w:firstLine="142"/>
              <w:jc w:val="both"/>
              <w:rPr>
                <w:rFonts w:ascii="Verdana" w:eastAsia="Calibri" w:hAnsi="Verdana" w:cs="Arial"/>
                <w:color w:val="ED7D31" w:themeColor="accent2"/>
                <w:lang w:val="es-ES" w:eastAsia="es-ES_tradnl"/>
              </w:rPr>
            </w:pPr>
            <w:r w:rsidRPr="004F60F5">
              <w:rPr>
                <w:rFonts w:ascii="Verdana" w:eastAsia="Calibri" w:hAnsi="Verdana" w:cs="Arial"/>
                <w:b/>
                <w:lang w:val="es-ES" w:eastAsia="es-ES_tradnl"/>
              </w:rPr>
              <w:t>Temas:</w:t>
            </w:r>
            <w:r w:rsidRPr="004F60F5">
              <w:rPr>
                <w:rFonts w:ascii="Verdana" w:eastAsia="Calibri" w:hAnsi="Verdana" w:cs="Arial"/>
                <w:lang w:val="es-ES" w:eastAsia="es-ES_tradnl"/>
              </w:rPr>
              <w:t xml:space="preserve">                  </w:t>
            </w:r>
          </w:p>
        </w:tc>
        <w:tc>
          <w:tcPr>
            <w:tcW w:w="6100" w:type="dxa"/>
          </w:tcPr>
          <w:p w14:paraId="1E8A77FD" w14:textId="7496F532" w:rsidR="008D5774" w:rsidRPr="003D4410" w:rsidRDefault="008D5774" w:rsidP="00BD4742">
            <w:pPr>
              <w:spacing w:line="276" w:lineRule="auto"/>
              <w:jc w:val="both"/>
              <w:rPr>
                <w:rFonts w:ascii="Verdana" w:eastAsia="Calibri" w:hAnsi="Verdana" w:cs="Arial"/>
                <w:lang w:val="es-ES" w:eastAsia="es-ES"/>
              </w:rPr>
            </w:pPr>
            <w:r w:rsidRPr="003D4410">
              <w:rPr>
                <w:rFonts w:ascii="Verdana" w:eastAsia="Calibri" w:hAnsi="Verdana" w:cs="Arial"/>
                <w:lang w:val="es-ES" w:eastAsia="es-ES"/>
              </w:rPr>
              <w:t xml:space="preserve">LEY DE GARANTÍAS ELECTORALES ‒ Restricciones ‒ Contratación ‒ Tipos de elección / LEY DE GARANTÍAS ELECTORALES ‒ Artículo 33 / LEY DE GARANTÍAS ELECTORALES ‒ Artículo 38 ‒ Parágrafo/ </w:t>
            </w:r>
            <w:r w:rsidRPr="003D4410">
              <w:rPr>
                <w:rFonts w:ascii="Verdana" w:eastAsia="Calibri" w:hAnsi="Verdana" w:cs="Arial"/>
                <w:lang w:val="es-MX"/>
              </w:rPr>
              <w:t xml:space="preserve">LEY DE GARANTÍAS ELECTORALES ─ Prohibición ‒ Contratación directa ‒ Alcance </w:t>
            </w:r>
            <w:r w:rsidR="0091370F">
              <w:rPr>
                <w:rFonts w:ascii="Verdana" w:eastAsia="Calibri" w:hAnsi="Verdana" w:cs="Arial"/>
                <w:lang w:val="es-MX"/>
              </w:rPr>
              <w:t xml:space="preserve">/ </w:t>
            </w:r>
            <w:r w:rsidR="0091370F" w:rsidRPr="003D4410">
              <w:rPr>
                <w:rFonts w:ascii="Verdana" w:eastAsia="Calibri" w:hAnsi="Verdana" w:cs="Arial"/>
                <w:lang w:val="es-MX"/>
              </w:rPr>
              <w:t xml:space="preserve">LEY DE GARANTÍAS ELECTORALES ─ </w:t>
            </w:r>
            <w:r w:rsidR="0091370F">
              <w:rPr>
                <w:rFonts w:ascii="Verdana" w:eastAsia="Calibri" w:hAnsi="Verdana" w:cs="Arial"/>
                <w:lang w:val="es-MX"/>
              </w:rPr>
              <w:t xml:space="preserve">Excepciones – Convenios a título gratuito </w:t>
            </w:r>
          </w:p>
          <w:p w14:paraId="4129E19A" w14:textId="77777777" w:rsidR="008D5774" w:rsidRPr="009233BB" w:rsidRDefault="008D5774" w:rsidP="004F5ED9">
            <w:pPr>
              <w:spacing w:line="276" w:lineRule="auto"/>
              <w:jc w:val="both"/>
              <w:rPr>
                <w:rFonts w:ascii="Verdana" w:hAnsi="Verdana"/>
                <w:color w:val="ED7D31" w:themeColor="accent2"/>
              </w:rPr>
            </w:pPr>
          </w:p>
        </w:tc>
      </w:tr>
      <w:tr w:rsidR="008D5774" w:rsidRPr="009233BB" w14:paraId="5EB546E8" w14:textId="77777777" w:rsidTr="006F3F7E">
        <w:tc>
          <w:tcPr>
            <w:tcW w:w="2410" w:type="dxa"/>
          </w:tcPr>
          <w:p w14:paraId="41226A28" w14:textId="77777777" w:rsidR="008D5774" w:rsidRPr="004F60F5" w:rsidRDefault="008D5774" w:rsidP="006F3F7E">
            <w:pPr>
              <w:ind w:left="561"/>
              <w:jc w:val="both"/>
              <w:rPr>
                <w:rFonts w:ascii="Verdana" w:eastAsia="Calibri" w:hAnsi="Verdana" w:cs="Arial"/>
                <w:b/>
                <w:lang w:val="es-ES" w:eastAsia="es-ES_tradnl"/>
              </w:rPr>
            </w:pPr>
            <w:r w:rsidRPr="004F60F5">
              <w:rPr>
                <w:rFonts w:ascii="Verdana" w:eastAsia="Calibri" w:hAnsi="Verdana" w:cs="Arial"/>
                <w:b/>
                <w:lang w:val="es-ES" w:eastAsia="es-ES_tradnl"/>
              </w:rPr>
              <w:t>Radicación:</w:t>
            </w:r>
            <w:r w:rsidRPr="004F60F5">
              <w:rPr>
                <w:rFonts w:ascii="Verdana" w:eastAsia="Calibri" w:hAnsi="Verdana" w:cs="Arial"/>
                <w:lang w:val="es-ES" w:eastAsia="es-ES_tradnl"/>
              </w:rPr>
              <w:t xml:space="preserve">              </w:t>
            </w:r>
          </w:p>
        </w:tc>
        <w:tc>
          <w:tcPr>
            <w:tcW w:w="6100" w:type="dxa"/>
          </w:tcPr>
          <w:p w14:paraId="604F5679" w14:textId="0B4B3770" w:rsidR="008D5774" w:rsidRPr="004F60F5" w:rsidRDefault="008D5774" w:rsidP="006F3F7E">
            <w:pPr>
              <w:ind w:left="3"/>
              <w:jc w:val="both"/>
              <w:rPr>
                <w:rFonts w:ascii="Verdana" w:hAnsi="Verdana"/>
                <w:lang w:val="es-ES"/>
              </w:rPr>
            </w:pPr>
            <w:r w:rsidRPr="004F60F5">
              <w:rPr>
                <w:rFonts w:ascii="Verdana" w:eastAsia="Calibri" w:hAnsi="Verdana" w:cs="Arial"/>
                <w:lang w:val="es-ES" w:eastAsia="es-ES"/>
              </w:rPr>
              <w:t xml:space="preserve">Respuesta a consulta con radicado No. </w:t>
            </w:r>
            <w:r w:rsidR="00C622DE" w:rsidRPr="00C622DE">
              <w:rPr>
                <w:rFonts w:ascii="Verdana" w:eastAsia="Calibri" w:hAnsi="Verdana" w:cs="Arial"/>
                <w:lang w:val="es-ES" w:eastAsia="es-ES"/>
              </w:rPr>
              <w:t>1_2026_03_17_003707</w:t>
            </w:r>
          </w:p>
        </w:tc>
      </w:tr>
    </w:tbl>
    <w:p w14:paraId="6B6E2226" w14:textId="77777777" w:rsidR="008D5774" w:rsidRPr="009233BB" w:rsidRDefault="008D5774" w:rsidP="008D5774">
      <w:pPr>
        <w:spacing w:after="0" w:line="276" w:lineRule="auto"/>
        <w:jc w:val="both"/>
        <w:rPr>
          <w:rFonts w:ascii="Verdana" w:eastAsia="Calibri" w:hAnsi="Verdana" w:cs="Arial"/>
          <w:color w:val="ED7D31" w:themeColor="accent2"/>
          <w:lang w:val="es-ES" w:eastAsia="es-ES"/>
        </w:rPr>
      </w:pPr>
    </w:p>
    <w:p w14:paraId="7B20ECE9" w14:textId="77777777" w:rsidR="008D5774" w:rsidRPr="009233BB" w:rsidRDefault="008D5774" w:rsidP="008D5774">
      <w:pPr>
        <w:spacing w:after="0" w:line="276" w:lineRule="auto"/>
        <w:jc w:val="both"/>
        <w:rPr>
          <w:rFonts w:ascii="Verdana" w:eastAsia="Calibri" w:hAnsi="Verdana" w:cs="Arial"/>
          <w:color w:val="ED7D31" w:themeColor="accent2"/>
          <w:lang w:val="es-ES" w:eastAsia="es-ES"/>
        </w:rPr>
      </w:pPr>
    </w:p>
    <w:p w14:paraId="392D9012" w14:textId="681B977D" w:rsidR="008D5774" w:rsidRPr="00320805" w:rsidRDefault="008D5774" w:rsidP="008D5774">
      <w:pPr>
        <w:spacing w:after="0" w:line="276" w:lineRule="auto"/>
        <w:jc w:val="both"/>
        <w:rPr>
          <w:rFonts w:ascii="Verdana" w:eastAsia="Calibri" w:hAnsi="Verdana" w:cs="Arial"/>
          <w:lang w:val="es-ES" w:eastAsia="es-ES"/>
        </w:rPr>
      </w:pPr>
      <w:r w:rsidRPr="00320805">
        <w:rPr>
          <w:rFonts w:ascii="Verdana" w:eastAsia="Calibri" w:hAnsi="Verdana" w:cs="Arial"/>
          <w:lang w:val="es-ES" w:eastAsia="es-ES"/>
        </w:rPr>
        <w:t>Estimad</w:t>
      </w:r>
      <w:r w:rsidR="00C622DE">
        <w:rPr>
          <w:rFonts w:ascii="Verdana" w:eastAsia="Calibri" w:hAnsi="Verdana" w:cs="Arial"/>
          <w:lang w:val="es-ES" w:eastAsia="es-ES"/>
        </w:rPr>
        <w:t>o</w:t>
      </w:r>
      <w:r w:rsidRPr="00320805">
        <w:rPr>
          <w:rFonts w:ascii="Verdana" w:eastAsia="Calibri" w:hAnsi="Verdana" w:cs="Arial"/>
          <w:lang w:val="es-ES" w:eastAsia="es-ES"/>
        </w:rPr>
        <w:t xml:space="preserve"> Señor </w:t>
      </w:r>
      <w:r w:rsidR="00C622DE">
        <w:rPr>
          <w:rFonts w:ascii="Verdana" w:eastAsia="Calibri" w:hAnsi="Verdana" w:cs="Arial"/>
          <w:lang w:val="es-ES" w:eastAsia="es-ES"/>
        </w:rPr>
        <w:t>Moreno</w:t>
      </w:r>
      <w:r w:rsidRPr="00320805">
        <w:rPr>
          <w:rFonts w:ascii="Verdana" w:eastAsia="Calibri" w:hAnsi="Verdana" w:cs="Arial"/>
          <w:lang w:val="es-ES" w:eastAsia="es-ES"/>
        </w:rPr>
        <w:t>,</w:t>
      </w:r>
    </w:p>
    <w:p w14:paraId="23FCCBE5" w14:textId="77777777" w:rsidR="008D5774" w:rsidRPr="00320805" w:rsidRDefault="008D5774" w:rsidP="008D5774">
      <w:pPr>
        <w:tabs>
          <w:tab w:val="left" w:pos="3768"/>
        </w:tabs>
        <w:spacing w:after="0" w:line="276" w:lineRule="auto"/>
        <w:jc w:val="both"/>
        <w:rPr>
          <w:rFonts w:ascii="Verdana" w:eastAsia="Calibri" w:hAnsi="Verdana" w:cs="Arial"/>
          <w:lang w:val="es-ES" w:eastAsia="es-ES"/>
        </w:rPr>
      </w:pPr>
      <w:r w:rsidRPr="00320805">
        <w:rPr>
          <w:rFonts w:ascii="Verdana" w:eastAsia="Calibri" w:hAnsi="Verdana" w:cs="Arial"/>
          <w:lang w:val="es-ES" w:eastAsia="es-ES"/>
        </w:rPr>
        <w:tab/>
      </w:r>
    </w:p>
    <w:p w14:paraId="3426E35D" w14:textId="37DACE1E" w:rsidR="008D5774" w:rsidRPr="00320805" w:rsidRDefault="008D5774" w:rsidP="008D5774">
      <w:pPr>
        <w:spacing w:after="0" w:line="276" w:lineRule="auto"/>
        <w:jc w:val="both"/>
        <w:rPr>
          <w:rFonts w:ascii="Verdana" w:eastAsia="Calibri" w:hAnsi="Verdana" w:cs="Arial"/>
          <w:lang w:val="es-ES" w:eastAsia="es-ES"/>
        </w:rPr>
      </w:pPr>
      <w:r w:rsidRPr="00320805">
        <w:rPr>
          <w:rFonts w:ascii="Verdana" w:eastAsia="Calibri" w:hAnsi="Verdana" w:cs="Arial"/>
          <w:lang w:val="es-ES" w:eastAsia="es-ES"/>
        </w:rPr>
        <w:t>En ejercicio de la competencia otorgada por los artículos 3, numeral 5º, y 11, numeral 8º, del Decreto Ley 4170 de 2011,</w:t>
      </w:r>
      <w:r w:rsidRPr="00320805">
        <w:rPr>
          <w:rFonts w:ascii="Verdana" w:eastAsia="Arial MT" w:hAnsi="Verdana" w:cs="Arial MT"/>
          <w:lang w:val="es-ES" w:eastAsia="es-ES"/>
        </w:rPr>
        <w:t xml:space="preserve"> </w:t>
      </w:r>
      <w:r w:rsidRPr="00320805">
        <w:rPr>
          <w:rFonts w:ascii="Verdana" w:hAnsi="Verdana" w:cs="Arial"/>
          <w:lang w:val="es-ES"/>
        </w:rPr>
        <w:t xml:space="preserve">así como lo establecido en </w:t>
      </w:r>
      <w:r w:rsidR="00995967">
        <w:rPr>
          <w:rFonts w:ascii="Verdana" w:hAnsi="Verdana" w:cs="Arial"/>
          <w:lang w:val="es-ES"/>
        </w:rPr>
        <w:t xml:space="preserve">la </w:t>
      </w:r>
      <w:r w:rsidR="00995967" w:rsidRPr="00995967">
        <w:rPr>
          <w:rFonts w:ascii="Verdana" w:hAnsi="Verdana" w:cs="Arial"/>
          <w:lang w:val="es-ES"/>
        </w:rPr>
        <w:t xml:space="preserve">Resolución 469 de 2025 </w:t>
      </w:r>
      <w:r w:rsidRPr="00320805">
        <w:rPr>
          <w:rFonts w:ascii="Verdana" w:hAnsi="Verdana" w:cs="Arial"/>
          <w:lang w:val="es-ES"/>
        </w:rPr>
        <w:t xml:space="preserve">expedida por esta Entidad, </w:t>
      </w:r>
      <w:r w:rsidRPr="00320805">
        <w:rPr>
          <w:rFonts w:ascii="Verdana" w:eastAsia="Calibri" w:hAnsi="Verdana" w:cs="Arial"/>
          <w:lang w:val="es-ES" w:eastAsia="es-ES"/>
        </w:rPr>
        <w:t>la Agencia Nacional de Contratación Pública – Colombia Compra Eficiente– responde su solicitud de consulta de fecha 1</w:t>
      </w:r>
      <w:r w:rsidR="0006693F">
        <w:rPr>
          <w:rFonts w:ascii="Verdana" w:eastAsia="Calibri" w:hAnsi="Verdana" w:cs="Arial"/>
          <w:lang w:val="es-ES" w:eastAsia="es-ES"/>
        </w:rPr>
        <w:t>7</w:t>
      </w:r>
      <w:r w:rsidRPr="00320805">
        <w:rPr>
          <w:rFonts w:ascii="Verdana" w:eastAsia="Calibri" w:hAnsi="Verdana" w:cs="Arial"/>
          <w:lang w:val="es-ES" w:eastAsia="es-ES"/>
        </w:rPr>
        <w:t xml:space="preserve"> de </w:t>
      </w:r>
      <w:r w:rsidR="0006693F">
        <w:rPr>
          <w:rFonts w:ascii="Verdana" w:eastAsia="Calibri" w:hAnsi="Verdana" w:cs="Arial"/>
          <w:lang w:val="es-ES" w:eastAsia="es-ES"/>
        </w:rPr>
        <w:t>marzo</w:t>
      </w:r>
      <w:r w:rsidRPr="00320805">
        <w:rPr>
          <w:rFonts w:ascii="Verdana" w:eastAsia="Calibri" w:hAnsi="Verdana" w:cs="Arial"/>
          <w:lang w:val="es-ES" w:eastAsia="es-ES"/>
        </w:rPr>
        <w:t xml:space="preserve"> de 202</w:t>
      </w:r>
      <w:r w:rsidR="0006693F">
        <w:rPr>
          <w:rFonts w:ascii="Verdana" w:eastAsia="Calibri" w:hAnsi="Verdana" w:cs="Arial"/>
          <w:lang w:val="es-ES" w:eastAsia="es-ES"/>
        </w:rPr>
        <w:t>6</w:t>
      </w:r>
      <w:r w:rsidRPr="00320805">
        <w:rPr>
          <w:rFonts w:ascii="Verdana" w:eastAsia="Calibri" w:hAnsi="Verdana" w:cs="Arial"/>
          <w:lang w:val="es-ES" w:eastAsia="es-ES"/>
        </w:rPr>
        <w:t xml:space="preserve">, en la cual manifiesta lo siguiente: </w:t>
      </w:r>
    </w:p>
    <w:p w14:paraId="52ED3216" w14:textId="77777777" w:rsidR="008D5774" w:rsidRPr="000654B4" w:rsidRDefault="008D5774" w:rsidP="008D5774">
      <w:pPr>
        <w:tabs>
          <w:tab w:val="left" w:pos="142"/>
          <w:tab w:val="left" w:pos="284"/>
        </w:tabs>
        <w:spacing w:after="0" w:line="276" w:lineRule="auto"/>
        <w:contextualSpacing/>
        <w:jc w:val="both"/>
        <w:rPr>
          <w:rFonts w:ascii="Verdana" w:eastAsia="Century Gothic" w:hAnsi="Verdana" w:cs="Century Gothic"/>
          <w:b/>
          <w:bCs/>
          <w:lang w:val="es-ES"/>
        </w:rPr>
      </w:pPr>
    </w:p>
    <w:p w14:paraId="5ADA66A6" w14:textId="099A1F77" w:rsidR="008D5774" w:rsidRPr="00341D29" w:rsidRDefault="008D5774" w:rsidP="00B02418">
      <w:pPr>
        <w:spacing w:before="120" w:after="120" w:line="240" w:lineRule="auto"/>
        <w:ind w:left="709" w:right="709"/>
        <w:contextualSpacing/>
        <w:jc w:val="both"/>
        <w:rPr>
          <w:rFonts w:ascii="Verdana" w:eastAsia="Century Gothic" w:hAnsi="Verdana" w:cs="Century Gothic"/>
          <w:i/>
          <w:iCs/>
          <w:color w:val="ED7D31" w:themeColor="accent2"/>
          <w:sz w:val="20"/>
          <w:szCs w:val="20"/>
          <w:lang w:val="es-ES"/>
        </w:rPr>
      </w:pPr>
      <w:r w:rsidRPr="000654B4">
        <w:rPr>
          <w:rFonts w:ascii="Verdana" w:eastAsia="Century Gothic" w:hAnsi="Verdana" w:cs="Century Gothic"/>
          <w:i/>
          <w:iCs/>
          <w:sz w:val="20"/>
          <w:szCs w:val="20"/>
          <w:lang w:val="es-ES"/>
        </w:rPr>
        <w:t>“</w:t>
      </w:r>
      <w:r w:rsidR="00B02418">
        <w:rPr>
          <w:rFonts w:ascii="Verdana" w:eastAsia="Century Gothic" w:hAnsi="Verdana" w:cs="Century Gothic"/>
          <w:i/>
          <w:iCs/>
          <w:sz w:val="20"/>
          <w:szCs w:val="20"/>
          <w:lang w:val="es-ES"/>
        </w:rPr>
        <w:t>(</w:t>
      </w:r>
      <w:r w:rsidR="00070BF4">
        <w:rPr>
          <w:rFonts w:ascii="Verdana" w:eastAsia="Century Gothic" w:hAnsi="Verdana" w:cs="Century Gothic"/>
          <w:i/>
          <w:iCs/>
          <w:sz w:val="20"/>
          <w:szCs w:val="20"/>
          <w:lang w:val="es-ES"/>
        </w:rPr>
        <w:t>…</w:t>
      </w:r>
      <w:r w:rsidR="00B02418">
        <w:rPr>
          <w:rFonts w:ascii="Verdana" w:eastAsia="Century Gothic" w:hAnsi="Verdana" w:cs="Century Gothic"/>
          <w:i/>
          <w:iCs/>
          <w:sz w:val="20"/>
          <w:szCs w:val="20"/>
          <w:lang w:val="es-ES"/>
        </w:rPr>
        <w:t xml:space="preserve">) </w:t>
      </w:r>
      <w:r w:rsidR="00B02418" w:rsidRPr="00B02418">
        <w:rPr>
          <w:rFonts w:ascii="Verdana" w:eastAsia="Century Gothic" w:hAnsi="Verdana" w:cs="Century Gothic"/>
          <w:i/>
          <w:iCs/>
          <w:sz w:val="20"/>
          <w:szCs w:val="20"/>
          <w:lang w:val="es-ES"/>
        </w:rPr>
        <w:t xml:space="preserve">Por lo anterior, se solicita que la Agencia Nacional de Contratación Pública – Colombia Compra Eficiente emita su concepto técnico para </w:t>
      </w:r>
      <w:r w:rsidR="00B02418" w:rsidRPr="00B02418">
        <w:rPr>
          <w:rFonts w:ascii="Verdana" w:eastAsia="Century Gothic" w:hAnsi="Verdana" w:cs="Century Gothic"/>
          <w:i/>
          <w:iCs/>
          <w:sz w:val="20"/>
          <w:szCs w:val="20"/>
          <w:lang w:val="es-ES"/>
        </w:rPr>
        <w:lastRenderedPageBreak/>
        <w:t>ratificar si la entidad puede proceder con la afiliación a la ARL y la suscripción de convenios interadministrativos a título gratuito con instituciones educativas y universidades, para estudiantes en etapa de prácticas que no generan vinculación laboral ni el pago de salarios u honorarios, sin incurrir en una falta a las normas de transparencia y garantías electorales vigentes en el año 2026.</w:t>
      </w:r>
      <w:r w:rsidRPr="000654B4">
        <w:rPr>
          <w:rFonts w:ascii="Verdana" w:eastAsia="Century Gothic" w:hAnsi="Verdana" w:cs="Century Gothic"/>
          <w:i/>
          <w:iCs/>
          <w:sz w:val="20"/>
          <w:szCs w:val="20"/>
          <w:lang w:val="es-ES"/>
        </w:rPr>
        <w:t>”</w:t>
      </w:r>
    </w:p>
    <w:p w14:paraId="07A0E538" w14:textId="77777777" w:rsidR="008D5774" w:rsidRPr="00B10CED" w:rsidRDefault="008D5774" w:rsidP="008D5774">
      <w:pPr>
        <w:spacing w:after="120" w:line="276" w:lineRule="auto"/>
        <w:ind w:firstLine="708"/>
        <w:jc w:val="both"/>
        <w:rPr>
          <w:rFonts w:ascii="Verdana" w:eastAsia="Calibri" w:hAnsi="Verdana" w:cs="Arial"/>
          <w:lang w:val="es-ES" w:eastAsia="es-ES"/>
        </w:rPr>
      </w:pPr>
      <w:r w:rsidRPr="00B10CED">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10CED">
        <w:rPr>
          <w:rFonts w:ascii="Verdana" w:hAnsi="Verdana"/>
          <w:lang w:val="es-ES"/>
        </w:rPr>
        <w:tab/>
      </w:r>
    </w:p>
    <w:p w14:paraId="428652EF" w14:textId="77777777" w:rsidR="008D5774" w:rsidRPr="00B10CED" w:rsidRDefault="008D5774" w:rsidP="008D5774">
      <w:pPr>
        <w:spacing w:after="0" w:line="276" w:lineRule="auto"/>
        <w:ind w:firstLine="709"/>
        <w:jc w:val="both"/>
        <w:rPr>
          <w:rFonts w:ascii="Verdana" w:eastAsia="Calibri" w:hAnsi="Verdana" w:cs="Arial"/>
          <w:lang w:val="es-ES" w:eastAsia="es-ES"/>
        </w:rPr>
      </w:pPr>
      <w:r w:rsidRPr="00B10CED">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Pr="00B10CED" w:rsidRDefault="008D5774" w:rsidP="008D5774">
      <w:pPr>
        <w:spacing w:after="0" w:line="276" w:lineRule="auto"/>
        <w:ind w:firstLine="709"/>
        <w:jc w:val="both"/>
        <w:rPr>
          <w:rFonts w:ascii="Verdana" w:eastAsia="Calibri" w:hAnsi="Verdana" w:cs="Arial"/>
          <w:lang w:val="es-ES" w:eastAsia="es-ES"/>
        </w:rPr>
      </w:pPr>
    </w:p>
    <w:p w14:paraId="4AD69AFF" w14:textId="77777777" w:rsidR="008D5774" w:rsidRPr="00B10CED"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B10CED">
        <w:rPr>
          <w:rFonts w:ascii="Verdana" w:eastAsia="Century Gothic" w:hAnsi="Verdana" w:cs="Century Gothic"/>
          <w:b/>
          <w:lang w:val="es-ES"/>
        </w:rPr>
        <w:t>1. Problema planteado:</w:t>
      </w:r>
    </w:p>
    <w:p w14:paraId="26050314" w14:textId="77777777" w:rsidR="008D5774" w:rsidRPr="009233BB"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2953D2F6" w14:textId="77777777" w:rsidR="008D5774" w:rsidRPr="005148BF" w:rsidRDefault="008D5774" w:rsidP="008D5774">
      <w:pPr>
        <w:spacing w:after="0" w:line="276" w:lineRule="auto"/>
        <w:jc w:val="both"/>
        <w:rPr>
          <w:rFonts w:ascii="Verdana" w:eastAsia="Century Gothic" w:hAnsi="Verdana" w:cs="Century Gothic"/>
          <w:color w:val="ED7D31" w:themeColor="accent2"/>
        </w:rPr>
      </w:pPr>
      <w:r w:rsidRPr="00B10CED">
        <w:rPr>
          <w:rFonts w:ascii="Verdana" w:eastAsia="Century Gothic" w:hAnsi="Verdana" w:cs="Century Gothic"/>
          <w:lang w:val="es-ES"/>
        </w:rPr>
        <w:t>De acuerdo con el contenido de su solicitud, esta Agencia resolverá el siguiente problema jurídico:</w:t>
      </w:r>
      <w:r>
        <w:rPr>
          <w:rFonts w:ascii="Verdana" w:eastAsia="Century Gothic" w:hAnsi="Verdana" w:cs="Century Gothic"/>
          <w:lang w:val="es-ES"/>
        </w:rPr>
        <w:t xml:space="preserve"> </w:t>
      </w:r>
      <w:r w:rsidRPr="005148BF">
        <w:rPr>
          <w:rFonts w:ascii="Verdana" w:eastAsia="Century Gothic" w:hAnsi="Verdana" w:cs="Century Gothic"/>
        </w:rPr>
        <w:t>¿Es jurídicamente viable la suscripción de convenios interadministrativos durante la vigencia de la Ley de Garantías Electorales cuando estos no implican ejecución de recursos públicos?</w:t>
      </w:r>
    </w:p>
    <w:p w14:paraId="0FD0DFCB" w14:textId="77777777" w:rsidR="008D5774" w:rsidRPr="009233BB" w:rsidRDefault="008D5774" w:rsidP="008D5774">
      <w:pPr>
        <w:spacing w:after="0" w:line="276" w:lineRule="auto"/>
        <w:jc w:val="both"/>
        <w:rPr>
          <w:rFonts w:ascii="Verdana" w:eastAsia="Century Gothic" w:hAnsi="Verdana" w:cs="Century Gothic"/>
          <w:color w:val="ED7D31" w:themeColor="accent2"/>
        </w:rPr>
      </w:pPr>
    </w:p>
    <w:p w14:paraId="5B26199B" w14:textId="77777777" w:rsidR="008D5774" w:rsidRPr="00B10CED" w:rsidRDefault="008D5774" w:rsidP="008D5774">
      <w:pPr>
        <w:tabs>
          <w:tab w:val="left" w:pos="142"/>
          <w:tab w:val="left" w:pos="284"/>
        </w:tabs>
        <w:spacing w:after="0" w:line="276" w:lineRule="auto"/>
        <w:jc w:val="both"/>
        <w:rPr>
          <w:rFonts w:ascii="Verdana" w:eastAsia="Century Gothic" w:hAnsi="Verdana" w:cs="Century Gothic"/>
          <w:b/>
          <w:lang w:val="es-ES"/>
        </w:rPr>
      </w:pPr>
      <w:r w:rsidRPr="00B10CED">
        <w:rPr>
          <w:rFonts w:ascii="Verdana" w:eastAsia="Century Gothic" w:hAnsi="Verdana" w:cs="Century Gothic"/>
          <w:b/>
          <w:lang w:val="es-ES"/>
        </w:rPr>
        <w:t>2. Respuesta:</w:t>
      </w:r>
    </w:p>
    <w:p w14:paraId="5FB12540" w14:textId="77777777" w:rsidR="008D5774" w:rsidRPr="009233BB" w:rsidRDefault="008D5774" w:rsidP="008D5774">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D5774" w:rsidRPr="009233BB" w14:paraId="4901E756" w14:textId="77777777" w:rsidTr="006F3F7E">
        <w:tc>
          <w:tcPr>
            <w:tcW w:w="8828" w:type="dxa"/>
          </w:tcPr>
          <w:p w14:paraId="239A6ECD" w14:textId="6977030F" w:rsidR="008D5774" w:rsidRDefault="00703453" w:rsidP="00BD4175">
            <w:pPr>
              <w:spacing w:before="120" w:after="120" w:line="276" w:lineRule="auto"/>
              <w:jc w:val="both"/>
              <w:rPr>
                <w:rFonts w:ascii="Verdana" w:eastAsia="Arial" w:hAnsi="Verdana" w:cs="Arial"/>
                <w:lang w:eastAsia="es-ES" w:bidi="es-ES"/>
              </w:rPr>
            </w:pPr>
            <w:r>
              <w:rPr>
                <w:rFonts w:ascii="Verdana" w:eastAsia="Calibri" w:hAnsi="Verdana" w:cs="Arial"/>
              </w:rPr>
              <w:t>L</w:t>
            </w:r>
            <w:r w:rsidR="008D5774" w:rsidRPr="00E7122C">
              <w:rPr>
                <w:rFonts w:ascii="Verdana" w:eastAsia="Calibri" w:hAnsi="Verdana" w:cs="Arial"/>
              </w:rPr>
              <w:t>a Ley 996 de 2005</w:t>
            </w:r>
            <w:r>
              <w:rPr>
                <w:rFonts w:ascii="Verdana" w:eastAsia="Calibri" w:hAnsi="Verdana" w:cs="Arial"/>
              </w:rPr>
              <w:t xml:space="preserve"> también conocida como </w:t>
            </w:r>
            <w:r w:rsidRPr="005148BF">
              <w:rPr>
                <w:rFonts w:ascii="Verdana" w:eastAsia="Century Gothic" w:hAnsi="Verdana" w:cs="Century Gothic"/>
              </w:rPr>
              <w:t>Ley de Garantías Electorales</w:t>
            </w:r>
            <w:r w:rsidR="008D5774" w:rsidRPr="00E7122C">
              <w:rPr>
                <w:rFonts w:ascii="Verdana" w:eastAsia="Calibri" w:hAnsi="Verdana" w:cs="Arial"/>
              </w:rPr>
              <w:t xml:space="preserve"> establece </w:t>
            </w:r>
            <w:r w:rsidR="00536F7E">
              <w:rPr>
                <w:rFonts w:ascii="Verdana" w:eastAsia="Calibri" w:hAnsi="Verdana" w:cs="Arial"/>
              </w:rPr>
              <w:t xml:space="preserve">dos </w:t>
            </w:r>
            <w:r w:rsidR="008D5774" w:rsidRPr="00E7122C">
              <w:rPr>
                <w:rFonts w:ascii="Verdana" w:eastAsia="Calibri" w:hAnsi="Verdana" w:cs="Arial"/>
              </w:rPr>
              <w:t xml:space="preserve">restricciones </w:t>
            </w:r>
            <w:r w:rsidR="00536F7E">
              <w:rPr>
                <w:rFonts w:ascii="Verdana" w:eastAsia="Calibri" w:hAnsi="Verdana" w:cs="Arial"/>
              </w:rPr>
              <w:t>en particular</w:t>
            </w:r>
            <w:r w:rsidR="008D5774" w:rsidRPr="00E7122C">
              <w:rPr>
                <w:rFonts w:ascii="Verdana" w:eastAsia="Calibri" w:hAnsi="Verdana" w:cs="Arial"/>
              </w:rPr>
              <w:t xml:space="preserve"> la </w:t>
            </w:r>
            <w:r w:rsidR="008D5774" w:rsidRPr="00215BCE">
              <w:rPr>
                <w:rFonts w:ascii="Verdana" w:eastAsia="Calibri" w:hAnsi="Verdana" w:cs="Arial"/>
              </w:rPr>
              <w:t>contratación estatal.</w:t>
            </w:r>
            <w:r w:rsidR="00536F7E">
              <w:rPr>
                <w:rFonts w:ascii="Verdana" w:eastAsia="Calibri" w:hAnsi="Verdana" w:cs="Arial"/>
              </w:rPr>
              <w:t xml:space="preserve"> </w:t>
            </w:r>
            <w:r w:rsidR="00536F7E">
              <w:rPr>
                <w:rFonts w:ascii="Verdana" w:eastAsia="Calibri" w:hAnsi="Verdana" w:cs="Arial"/>
                <w:lang w:val="es-ES"/>
              </w:rPr>
              <w:t>Por un lado</w:t>
            </w:r>
            <w:r w:rsidR="008D5774" w:rsidRPr="00215BCE">
              <w:rPr>
                <w:rFonts w:ascii="Verdana" w:eastAsia="Calibri" w:hAnsi="Verdana" w:cs="Arial"/>
                <w:lang w:val="es-ES"/>
              </w:rPr>
              <w:t xml:space="preserve">, </w:t>
            </w:r>
            <w:r w:rsidR="008D5774" w:rsidRPr="00215BCE">
              <w:rPr>
                <w:rFonts w:ascii="Verdana" w:eastAsia="Calibri" w:hAnsi="Verdana" w:cs="Arial"/>
              </w:rPr>
              <w:t xml:space="preserve">el artículo 33 de la Ley 996 de 2005 prohíbe la contratación directa por parte </w:t>
            </w:r>
            <w:r w:rsidR="008D5774" w:rsidRPr="00215BCE">
              <w:rPr>
                <w:rFonts w:ascii="Verdana" w:eastAsia="Calibri" w:hAnsi="Verdana" w:cs="Arial"/>
              </w:rPr>
              <w:lastRenderedPageBreak/>
              <w:t>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desastres naturales o eventos de fuerza mayor, y los que deban celebrar las entidades sanitarias y hospitalarias.</w:t>
            </w:r>
            <w:r w:rsidR="00536F7E">
              <w:rPr>
                <w:rFonts w:ascii="Verdana" w:eastAsia="Calibri" w:hAnsi="Verdana" w:cs="Arial"/>
                <w:lang w:val="es-ES"/>
              </w:rPr>
              <w:t xml:space="preserve"> De otra parte</w:t>
            </w:r>
            <w:r w:rsidR="008D5774" w:rsidRPr="00215BCE">
              <w:rPr>
                <w:rFonts w:ascii="Verdana" w:eastAsia="Arial" w:hAnsi="Verdana" w:cs="Arial"/>
                <w:lang w:eastAsia="es-ES" w:bidi="es-ES"/>
              </w:rPr>
              <w:t>, el parágrafo del artículo 38 de la Ley 996 de 2005 consagra una restricción aplicable a cualquier tipo de contienda electoral, en virtud de la cual se prohíbe a los gobernadores, alcaldes municipales o distritales, secretarios, gerentes y directores de entidades descentralizadas del orden municipal, departamental o distrital, celebrar convenios interadministrativos para la ejecución de recursos públicos, así como participar, promover o destinar recursos públicos de las entidades a su cargo o de aquellas en las que intervengan como miembros de juntas directivas a reuniones de carácter proselitista.</w:t>
            </w:r>
          </w:p>
          <w:p w14:paraId="26FA97F4" w14:textId="0E9B347C" w:rsidR="005C6779" w:rsidRDefault="005C6779" w:rsidP="00486F02">
            <w:pPr>
              <w:spacing w:before="120" w:after="12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De esta manera, </w:t>
            </w:r>
            <w:r w:rsidR="00454707">
              <w:rPr>
                <w:rFonts w:ascii="Verdana" w:eastAsia="Arial" w:hAnsi="Verdana" w:cs="Arial"/>
                <w:lang w:eastAsia="es-ES" w:bidi="es-ES"/>
              </w:rPr>
              <w:t xml:space="preserve">es importante tener en cuenta </w:t>
            </w:r>
            <w:r w:rsidR="00233946">
              <w:rPr>
                <w:rFonts w:ascii="Verdana" w:eastAsia="Arial" w:hAnsi="Verdana" w:cs="Arial"/>
                <w:lang w:eastAsia="es-ES" w:bidi="es-ES"/>
              </w:rPr>
              <w:t>que,</w:t>
            </w:r>
            <w:r w:rsidR="00124C21">
              <w:rPr>
                <w:rFonts w:ascii="Verdana" w:eastAsia="Arial" w:hAnsi="Verdana" w:cs="Arial"/>
                <w:lang w:eastAsia="es-ES" w:bidi="es-ES"/>
              </w:rPr>
              <w:t xml:space="preserve"> </w:t>
            </w:r>
            <w:r w:rsidR="00B5706D">
              <w:rPr>
                <w:rFonts w:ascii="Verdana" w:eastAsia="Arial" w:hAnsi="Verdana" w:cs="Arial"/>
                <w:lang w:eastAsia="es-ES" w:bidi="es-ES"/>
              </w:rPr>
              <w:t>el</w:t>
            </w:r>
            <w:r w:rsidR="00124C21">
              <w:rPr>
                <w:rFonts w:ascii="Verdana" w:eastAsia="Arial" w:hAnsi="Verdana" w:cs="Arial"/>
                <w:lang w:eastAsia="es-ES" w:bidi="es-ES"/>
              </w:rPr>
              <w:t xml:space="preserve"> ámbito temporal de</w:t>
            </w:r>
            <w:r w:rsidR="00454707">
              <w:rPr>
                <w:rFonts w:ascii="Verdana" w:eastAsia="Arial" w:hAnsi="Verdana" w:cs="Arial"/>
                <w:lang w:eastAsia="es-ES" w:bidi="es-ES"/>
              </w:rPr>
              <w:t xml:space="preserve"> </w:t>
            </w:r>
            <w:r w:rsidR="009D377E">
              <w:rPr>
                <w:rFonts w:ascii="Verdana" w:eastAsia="Arial" w:hAnsi="Verdana" w:cs="Arial"/>
                <w:lang w:eastAsia="es-ES" w:bidi="es-ES"/>
              </w:rPr>
              <w:t xml:space="preserve">las restricciones establecidas </w:t>
            </w:r>
            <w:r w:rsidR="00094252">
              <w:rPr>
                <w:rFonts w:ascii="Verdana" w:eastAsia="Arial" w:hAnsi="Verdana" w:cs="Arial"/>
                <w:lang w:eastAsia="es-ES" w:bidi="es-ES"/>
              </w:rPr>
              <w:t>en la</w:t>
            </w:r>
            <w:r w:rsidR="009D377E">
              <w:rPr>
                <w:rFonts w:ascii="Verdana" w:eastAsia="Arial" w:hAnsi="Verdana" w:cs="Arial"/>
                <w:lang w:eastAsia="es-ES" w:bidi="es-ES"/>
              </w:rPr>
              <w:t xml:space="preserve"> Ley de Garantías Electorales en materia de </w:t>
            </w:r>
            <w:r w:rsidR="00094252">
              <w:rPr>
                <w:rFonts w:ascii="Verdana" w:eastAsia="Arial" w:hAnsi="Verdana" w:cs="Arial"/>
                <w:lang w:eastAsia="es-ES" w:bidi="es-ES"/>
              </w:rPr>
              <w:t xml:space="preserve">contratación </w:t>
            </w:r>
            <w:r w:rsidR="000D2F32">
              <w:rPr>
                <w:rFonts w:ascii="Verdana" w:eastAsia="Arial" w:hAnsi="Verdana" w:cs="Arial"/>
                <w:lang w:eastAsia="es-ES" w:bidi="es-ES"/>
              </w:rPr>
              <w:t>estatal</w:t>
            </w:r>
            <w:r w:rsidR="009D377E">
              <w:rPr>
                <w:rFonts w:ascii="Verdana" w:eastAsia="Arial" w:hAnsi="Verdana" w:cs="Arial"/>
                <w:lang w:eastAsia="es-ES" w:bidi="es-ES"/>
              </w:rPr>
              <w:t xml:space="preserve"> </w:t>
            </w:r>
            <w:r w:rsidR="00094252">
              <w:rPr>
                <w:rFonts w:ascii="Verdana" w:eastAsia="Arial" w:hAnsi="Verdana" w:cs="Arial"/>
                <w:lang w:eastAsia="es-ES" w:bidi="es-ES"/>
              </w:rPr>
              <w:t xml:space="preserve">siempre </w:t>
            </w:r>
            <w:r w:rsidR="00B5706D">
              <w:rPr>
                <w:rFonts w:ascii="Verdana" w:eastAsia="Arial" w:hAnsi="Verdana" w:cs="Arial"/>
                <w:lang w:eastAsia="es-ES" w:bidi="es-ES"/>
              </w:rPr>
              <w:t xml:space="preserve">es el mismo en </w:t>
            </w:r>
            <w:r w:rsidR="00812D27">
              <w:rPr>
                <w:rFonts w:ascii="Verdana" w:eastAsia="Arial" w:hAnsi="Verdana" w:cs="Arial"/>
                <w:lang w:eastAsia="es-ES" w:bidi="es-ES"/>
              </w:rPr>
              <w:t>periodos preelectorales de las</w:t>
            </w:r>
            <w:r w:rsidR="00124C21">
              <w:rPr>
                <w:rFonts w:ascii="Verdana" w:eastAsia="Arial" w:hAnsi="Verdana" w:cs="Arial"/>
                <w:lang w:eastAsia="es-ES" w:bidi="es-ES"/>
              </w:rPr>
              <w:t xml:space="preserve"> </w:t>
            </w:r>
            <w:r w:rsidR="00BC7C68">
              <w:rPr>
                <w:rFonts w:ascii="Verdana" w:eastAsia="Arial" w:hAnsi="Verdana" w:cs="Arial"/>
                <w:lang w:eastAsia="es-ES" w:bidi="es-ES"/>
              </w:rPr>
              <w:t>elecciones presidenciales,</w:t>
            </w:r>
            <w:r w:rsidR="0015042F">
              <w:rPr>
                <w:rFonts w:ascii="Verdana" w:eastAsia="Arial" w:hAnsi="Verdana" w:cs="Arial"/>
                <w:lang w:eastAsia="es-ES" w:bidi="es-ES"/>
              </w:rPr>
              <w:t xml:space="preserve"> </w:t>
            </w:r>
            <w:r w:rsidR="00D9033C">
              <w:rPr>
                <w:rFonts w:ascii="Verdana" w:eastAsia="Arial" w:hAnsi="Verdana" w:cs="Arial"/>
                <w:lang w:eastAsia="es-ES" w:bidi="es-ES"/>
              </w:rPr>
              <w:t xml:space="preserve">ya que </w:t>
            </w:r>
            <w:r w:rsidR="0015042F">
              <w:rPr>
                <w:rFonts w:ascii="Verdana" w:eastAsia="Arial" w:hAnsi="Verdana" w:cs="Arial"/>
                <w:lang w:eastAsia="es-ES" w:bidi="es-ES"/>
              </w:rPr>
              <w:t>rigen ambas restricciones</w:t>
            </w:r>
            <w:r w:rsidR="00EF41C4">
              <w:rPr>
                <w:rFonts w:ascii="Verdana" w:eastAsia="Arial" w:hAnsi="Verdana" w:cs="Arial"/>
                <w:lang w:eastAsia="es-ES" w:bidi="es-ES"/>
              </w:rPr>
              <w:t xml:space="preserve"> </w:t>
            </w:r>
            <w:r w:rsidR="002667E1">
              <w:rPr>
                <w:rFonts w:ascii="Verdana" w:eastAsia="Arial" w:hAnsi="Verdana" w:cs="Arial"/>
                <w:lang w:eastAsia="es-ES" w:bidi="es-ES"/>
              </w:rPr>
              <w:t>durante los 4 meses previos a los comicios</w:t>
            </w:r>
            <w:r w:rsidR="00182010">
              <w:rPr>
                <w:rFonts w:ascii="Verdana" w:eastAsia="Arial" w:hAnsi="Verdana" w:cs="Arial"/>
                <w:lang w:eastAsia="es-ES" w:bidi="es-ES"/>
              </w:rPr>
              <w:t xml:space="preserve">. Sin embargo, </w:t>
            </w:r>
            <w:r w:rsidR="00B024CD">
              <w:rPr>
                <w:rFonts w:ascii="Verdana" w:eastAsia="Arial" w:hAnsi="Verdana" w:cs="Arial"/>
                <w:lang w:eastAsia="es-ES" w:bidi="es-ES"/>
              </w:rPr>
              <w:t xml:space="preserve">tratándose de </w:t>
            </w:r>
            <w:r w:rsidR="003116AA">
              <w:rPr>
                <w:rFonts w:ascii="Verdana" w:eastAsia="Arial" w:hAnsi="Verdana" w:cs="Arial"/>
                <w:lang w:eastAsia="es-ES" w:bidi="es-ES"/>
              </w:rPr>
              <w:t xml:space="preserve">como </w:t>
            </w:r>
            <w:r w:rsidR="00B024CD">
              <w:rPr>
                <w:rFonts w:ascii="Verdana" w:eastAsia="Arial" w:hAnsi="Verdana" w:cs="Arial"/>
                <w:lang w:eastAsia="es-ES" w:bidi="es-ES"/>
              </w:rPr>
              <w:t xml:space="preserve">elecciones </w:t>
            </w:r>
            <w:r w:rsidR="003116AA">
              <w:rPr>
                <w:rFonts w:ascii="Verdana" w:eastAsia="Arial" w:hAnsi="Verdana" w:cs="Arial"/>
                <w:lang w:eastAsia="es-ES" w:bidi="es-ES"/>
              </w:rPr>
              <w:t>parlamentarias</w:t>
            </w:r>
            <w:r w:rsidR="00B024CD">
              <w:rPr>
                <w:rFonts w:ascii="Verdana" w:eastAsia="Arial" w:hAnsi="Verdana" w:cs="Arial"/>
                <w:lang w:eastAsia="es-ES" w:bidi="es-ES"/>
              </w:rPr>
              <w:t xml:space="preserve"> o mandatarios locales</w:t>
            </w:r>
            <w:r w:rsidR="00B5706D">
              <w:rPr>
                <w:rFonts w:ascii="Verdana" w:eastAsia="Arial" w:hAnsi="Verdana" w:cs="Arial"/>
                <w:lang w:eastAsia="es-ES" w:bidi="es-ES"/>
              </w:rPr>
              <w:t>, rige la</w:t>
            </w:r>
            <w:r w:rsidR="00B024CD">
              <w:rPr>
                <w:rFonts w:ascii="Verdana" w:eastAsia="Arial" w:hAnsi="Verdana" w:cs="Arial"/>
                <w:lang w:eastAsia="es-ES" w:bidi="es-ES"/>
              </w:rPr>
              <w:t xml:space="preserve"> restricción </w:t>
            </w:r>
            <w:r w:rsidR="00B5706D">
              <w:rPr>
                <w:rFonts w:ascii="Verdana" w:eastAsia="Arial" w:hAnsi="Verdana" w:cs="Arial"/>
                <w:lang w:eastAsia="es-ES" w:bidi="es-ES"/>
              </w:rPr>
              <w:t>del parágrafo del artículo 38.</w:t>
            </w:r>
            <w:r w:rsidR="003116AA">
              <w:rPr>
                <w:rFonts w:ascii="Verdana" w:eastAsia="Arial" w:hAnsi="Verdana" w:cs="Arial"/>
                <w:lang w:eastAsia="es-ES" w:bidi="es-ES"/>
              </w:rPr>
              <w:t xml:space="preserve"> </w:t>
            </w:r>
            <w:r w:rsidR="000D2F32">
              <w:rPr>
                <w:rFonts w:ascii="Verdana" w:eastAsia="Arial" w:hAnsi="Verdana" w:cs="Arial"/>
                <w:lang w:eastAsia="es-ES" w:bidi="es-ES"/>
              </w:rPr>
              <w:t>En atención a esto</w:t>
            </w:r>
            <w:r w:rsidR="00373B36">
              <w:rPr>
                <w:rFonts w:ascii="Verdana" w:eastAsia="Arial" w:hAnsi="Verdana" w:cs="Arial"/>
                <w:lang w:eastAsia="es-ES" w:bidi="es-ES"/>
              </w:rPr>
              <w:t>,</w:t>
            </w:r>
            <w:r w:rsidR="002E043C">
              <w:rPr>
                <w:rFonts w:ascii="Verdana" w:eastAsia="Arial" w:hAnsi="Verdana" w:cs="Arial"/>
                <w:lang w:eastAsia="es-ES" w:bidi="es-ES"/>
              </w:rPr>
              <w:t xml:space="preserve"> </w:t>
            </w:r>
            <w:r w:rsidR="00486F02">
              <w:rPr>
                <w:rFonts w:ascii="Verdana" w:eastAsia="Arial" w:hAnsi="Verdana" w:cs="Arial"/>
                <w:lang w:eastAsia="es-ES" w:bidi="es-ES"/>
              </w:rPr>
              <w:t xml:space="preserve">cuando </w:t>
            </w:r>
            <w:r w:rsidR="002E043C">
              <w:rPr>
                <w:rFonts w:ascii="Verdana" w:eastAsia="Arial" w:hAnsi="Verdana" w:cs="Arial"/>
                <w:lang w:eastAsia="es-ES" w:bidi="es-ES"/>
              </w:rPr>
              <w:t xml:space="preserve">el calendario electoral </w:t>
            </w:r>
            <w:r w:rsidR="00486F02">
              <w:rPr>
                <w:rFonts w:ascii="Verdana" w:eastAsia="Arial" w:hAnsi="Verdana" w:cs="Arial"/>
                <w:lang w:eastAsia="es-ES" w:bidi="es-ES"/>
              </w:rPr>
              <w:t xml:space="preserve">contempla elecciones parlamentarias, seguidas de elecciones </w:t>
            </w:r>
            <w:r w:rsidR="00053563">
              <w:rPr>
                <w:rFonts w:ascii="Verdana" w:eastAsia="Arial" w:hAnsi="Verdana" w:cs="Arial"/>
                <w:lang w:eastAsia="es-ES" w:bidi="es-ES"/>
              </w:rPr>
              <w:t>presidenciales, como en el 2026, las restricciones entran a regir en momentos distintos.</w:t>
            </w:r>
            <w:r w:rsidR="00AF7544">
              <w:rPr>
                <w:rFonts w:ascii="Verdana" w:eastAsia="Arial" w:hAnsi="Verdana" w:cs="Arial"/>
                <w:lang w:eastAsia="es-ES" w:bidi="es-ES"/>
              </w:rPr>
              <w:t xml:space="preserve"> Es por esto </w:t>
            </w:r>
            <w:r w:rsidR="00816452">
              <w:rPr>
                <w:rFonts w:ascii="Verdana" w:eastAsia="Arial" w:hAnsi="Verdana" w:cs="Arial"/>
                <w:lang w:eastAsia="es-ES" w:bidi="es-ES"/>
              </w:rPr>
              <w:t>por lo que</w:t>
            </w:r>
            <w:r w:rsidR="00AF7544">
              <w:rPr>
                <w:rFonts w:ascii="Verdana" w:eastAsia="Arial" w:hAnsi="Verdana" w:cs="Arial"/>
                <w:lang w:eastAsia="es-ES" w:bidi="es-ES"/>
              </w:rPr>
              <w:t xml:space="preserve">, en </w:t>
            </w:r>
            <w:r w:rsidR="00053563">
              <w:rPr>
                <w:rFonts w:ascii="Verdana" w:eastAsia="Arial" w:hAnsi="Verdana" w:cs="Arial"/>
                <w:lang w:eastAsia="es-ES" w:bidi="es-ES"/>
              </w:rPr>
              <w:t xml:space="preserve">el escenario </w:t>
            </w:r>
            <w:r w:rsidR="00AF7544">
              <w:rPr>
                <w:rFonts w:ascii="Verdana" w:eastAsia="Arial" w:hAnsi="Verdana" w:cs="Arial"/>
                <w:lang w:eastAsia="es-ES" w:bidi="es-ES"/>
              </w:rPr>
              <w:t xml:space="preserve">actual y reciente, </w:t>
            </w:r>
            <w:r w:rsidR="00373B36">
              <w:rPr>
                <w:rFonts w:ascii="Verdana" w:eastAsia="Arial" w:hAnsi="Verdana" w:cs="Arial"/>
                <w:lang w:eastAsia="es-ES" w:bidi="es-ES"/>
              </w:rPr>
              <w:t xml:space="preserve">mientras </w:t>
            </w:r>
            <w:r w:rsidR="002E043C">
              <w:rPr>
                <w:rFonts w:ascii="Verdana" w:eastAsia="Arial" w:hAnsi="Verdana" w:cs="Arial"/>
                <w:lang w:eastAsia="es-ES" w:bidi="es-ES"/>
              </w:rPr>
              <w:t xml:space="preserve">que la </w:t>
            </w:r>
            <w:r w:rsidR="00373B36">
              <w:rPr>
                <w:rFonts w:ascii="Verdana" w:eastAsia="Arial" w:hAnsi="Verdana" w:cs="Arial"/>
                <w:lang w:eastAsia="es-ES" w:bidi="es-ES"/>
              </w:rPr>
              <w:t xml:space="preserve">restricción </w:t>
            </w:r>
            <w:r w:rsidR="002E043C">
              <w:rPr>
                <w:rFonts w:ascii="Verdana" w:eastAsia="Arial" w:hAnsi="Verdana" w:cs="Arial"/>
                <w:lang w:eastAsia="es-ES" w:bidi="es-ES"/>
              </w:rPr>
              <w:t>del artículo</w:t>
            </w:r>
            <w:r w:rsidR="00AA080B">
              <w:rPr>
                <w:rFonts w:ascii="Verdana" w:eastAsia="Arial" w:hAnsi="Verdana" w:cs="Arial"/>
                <w:lang w:eastAsia="es-ES" w:bidi="es-ES"/>
              </w:rPr>
              <w:t xml:space="preserve"> 38</w:t>
            </w:r>
            <w:r w:rsidR="002E043C">
              <w:rPr>
                <w:rFonts w:ascii="Verdana" w:eastAsia="Arial" w:hAnsi="Verdana" w:cs="Arial"/>
                <w:lang w:eastAsia="es-ES" w:bidi="es-ES"/>
              </w:rPr>
              <w:t xml:space="preserve"> </w:t>
            </w:r>
            <w:r w:rsidR="00AA080B">
              <w:rPr>
                <w:rFonts w:ascii="Verdana" w:eastAsia="Arial" w:hAnsi="Verdana" w:cs="Arial"/>
                <w:lang w:eastAsia="es-ES" w:bidi="es-ES"/>
              </w:rPr>
              <w:t xml:space="preserve">comenzó a regir desde el pasado 8 de noviembre de 2025, </w:t>
            </w:r>
            <w:r w:rsidR="00917748">
              <w:rPr>
                <w:rFonts w:ascii="Verdana" w:eastAsia="Arial" w:hAnsi="Verdana" w:cs="Arial"/>
                <w:lang w:eastAsia="es-ES" w:bidi="es-ES"/>
              </w:rPr>
              <w:t xml:space="preserve">la del artículo 33 solo entra regir a partir del </w:t>
            </w:r>
            <w:r w:rsidR="00925CA2">
              <w:rPr>
                <w:rFonts w:ascii="Verdana" w:eastAsia="Arial" w:hAnsi="Verdana" w:cs="Arial"/>
                <w:lang w:eastAsia="es-ES" w:bidi="es-ES"/>
              </w:rPr>
              <w:t xml:space="preserve">31 de enero de 2026, extendiéndose ambas hasta </w:t>
            </w:r>
            <w:r w:rsidR="00690862">
              <w:rPr>
                <w:rFonts w:ascii="Verdana" w:eastAsia="Arial" w:hAnsi="Verdana" w:cs="Arial"/>
                <w:lang w:eastAsia="es-ES" w:bidi="es-ES"/>
              </w:rPr>
              <w:t xml:space="preserve">el 31 de mayo de 2026 o hasta el </w:t>
            </w:r>
            <w:r w:rsidR="00D9033C">
              <w:rPr>
                <w:rFonts w:ascii="Verdana" w:eastAsia="Arial" w:hAnsi="Verdana" w:cs="Arial"/>
                <w:lang w:eastAsia="es-ES" w:bidi="es-ES"/>
              </w:rPr>
              <w:t xml:space="preserve">21 de junio de 2026, en caso de requerirse segunda vuelta en la contienda presidencial. </w:t>
            </w:r>
            <w:r w:rsidR="00917748">
              <w:rPr>
                <w:rFonts w:ascii="Verdana" w:eastAsia="Arial" w:hAnsi="Verdana" w:cs="Arial"/>
                <w:lang w:eastAsia="es-ES" w:bidi="es-ES"/>
              </w:rPr>
              <w:t xml:space="preserve"> </w:t>
            </w:r>
            <w:r w:rsidR="00AA080B">
              <w:rPr>
                <w:rFonts w:ascii="Verdana" w:eastAsia="Arial" w:hAnsi="Verdana" w:cs="Arial"/>
                <w:lang w:eastAsia="es-ES" w:bidi="es-ES"/>
              </w:rPr>
              <w:t xml:space="preserve"> </w:t>
            </w:r>
            <w:r w:rsidR="000D2F32">
              <w:rPr>
                <w:rFonts w:ascii="Verdana" w:eastAsia="Arial" w:hAnsi="Verdana" w:cs="Arial"/>
                <w:lang w:eastAsia="es-ES" w:bidi="es-ES"/>
              </w:rPr>
              <w:t xml:space="preserve"> </w:t>
            </w:r>
            <w:r w:rsidR="00373B36">
              <w:rPr>
                <w:rFonts w:ascii="Verdana" w:eastAsia="Arial" w:hAnsi="Verdana" w:cs="Arial"/>
                <w:lang w:eastAsia="es-ES" w:bidi="es-ES"/>
              </w:rPr>
              <w:t xml:space="preserve"> </w:t>
            </w:r>
          </w:p>
          <w:p w14:paraId="76997188" w14:textId="6A85561F" w:rsidR="008D5774" w:rsidRDefault="008D5774" w:rsidP="006F3F7E">
            <w:pPr>
              <w:spacing w:before="120" w:after="120" w:line="276" w:lineRule="auto"/>
              <w:ind w:firstLine="708"/>
              <w:jc w:val="both"/>
              <w:rPr>
                <w:rFonts w:ascii="Verdana" w:eastAsia="Times New Roman" w:hAnsi="Verdana" w:cs="Arial"/>
                <w:lang w:eastAsia="es-CO"/>
              </w:rPr>
            </w:pPr>
            <w:r w:rsidRPr="00215BCE">
              <w:rPr>
                <w:rFonts w:ascii="Verdana" w:eastAsia="Arial" w:hAnsi="Verdana" w:cs="Arial"/>
                <w:lang w:eastAsia="es-ES" w:bidi="es-ES"/>
              </w:rPr>
              <w:t xml:space="preserve">Precisado lo anterior, </w:t>
            </w:r>
            <w:r w:rsidRPr="00215BCE">
              <w:rPr>
                <w:rFonts w:ascii="Verdana" w:eastAsia="Times New Roman" w:hAnsi="Verdana" w:cs="Arial"/>
                <w:bCs/>
                <w:lang w:val="es-ES" w:eastAsia="es-CO"/>
              </w:rPr>
              <w:t>p</w:t>
            </w:r>
            <w:r w:rsidRPr="00215BCE">
              <w:rPr>
                <w:rFonts w:ascii="Verdana" w:eastAsia="Times New Roman" w:hAnsi="Verdana" w:cs="Arial"/>
                <w:bCs/>
                <w:lang w:eastAsia="es-CO"/>
              </w:rPr>
              <w:t>ara responder al problema jurídico planteado, es importante tener en cuenta</w:t>
            </w:r>
            <w:r w:rsidR="0053070B">
              <w:rPr>
                <w:rFonts w:ascii="Verdana" w:eastAsia="Times New Roman" w:hAnsi="Verdana" w:cs="Arial"/>
                <w:bCs/>
                <w:lang w:eastAsia="es-CO"/>
              </w:rPr>
              <w:t xml:space="preserve"> que, conforme explica </w:t>
            </w:r>
            <w:r w:rsidRPr="00215BCE">
              <w:rPr>
                <w:rFonts w:ascii="Verdana" w:eastAsia="Times New Roman" w:hAnsi="Verdana" w:cs="Arial"/>
                <w:bCs/>
                <w:lang w:eastAsia="es-CO"/>
              </w:rPr>
              <w:t>la</w:t>
            </w:r>
            <w:r w:rsidRPr="00215BCE">
              <w:rPr>
                <w:rFonts w:ascii="Verdana" w:hAnsi="Verdana" w:cs="Arial"/>
                <w:lang w:val="es-ES_tradnl"/>
              </w:rPr>
              <w:t xml:space="preserve"> Circular Externa No. 006 de 2025</w:t>
            </w:r>
            <w:r w:rsidR="0053070B">
              <w:rPr>
                <w:rFonts w:ascii="Verdana" w:hAnsi="Verdana" w:cs="Arial"/>
                <w:lang w:val="es-ES_tradnl"/>
              </w:rPr>
              <w:t>,</w:t>
            </w:r>
            <w:r w:rsidRPr="00215BCE">
              <w:rPr>
                <w:rFonts w:ascii="Verdana" w:hAnsi="Verdana" w:cs="Arial"/>
                <w:lang w:val="es-ES_tradnl"/>
              </w:rPr>
              <w:t xml:space="preserve"> expedida por la ANCP-CCE, en sus literales </w:t>
            </w:r>
            <w:proofErr w:type="spellStart"/>
            <w:r w:rsidRPr="00215BCE">
              <w:rPr>
                <w:rFonts w:ascii="Verdana" w:hAnsi="Verdana" w:cs="Arial"/>
                <w:lang w:val="es-ES_tradnl"/>
              </w:rPr>
              <w:t>ii</w:t>
            </w:r>
            <w:proofErr w:type="spellEnd"/>
            <w:r w:rsidRPr="00215BCE">
              <w:rPr>
                <w:rFonts w:ascii="Verdana" w:hAnsi="Verdana" w:cs="Arial"/>
                <w:lang w:val="es-ES_tradnl"/>
              </w:rPr>
              <w:t xml:space="preserve">) y </w:t>
            </w:r>
            <w:proofErr w:type="spellStart"/>
            <w:r w:rsidRPr="00215BCE">
              <w:rPr>
                <w:rFonts w:ascii="Verdana" w:hAnsi="Verdana" w:cs="Arial"/>
                <w:lang w:val="es-ES_tradnl"/>
              </w:rPr>
              <w:t>iv</w:t>
            </w:r>
            <w:proofErr w:type="spellEnd"/>
            <w:r w:rsidRPr="00215BCE">
              <w:rPr>
                <w:rFonts w:ascii="Verdana" w:hAnsi="Verdana" w:cs="Arial"/>
                <w:lang w:val="es-ES_tradnl"/>
              </w:rPr>
              <w:t xml:space="preserve">) del numeral 2, el parágrafo del artículo 38 de la Ley 996 de 2005 cobija expresamente a los </w:t>
            </w:r>
            <w:r w:rsidRPr="00215BCE">
              <w:rPr>
                <w:rFonts w:ascii="Verdana" w:hAnsi="Verdana" w:cs="Arial"/>
                <w:i/>
                <w:iCs/>
                <w:lang w:val="es-ES_tradnl"/>
              </w:rPr>
              <w:t xml:space="preserve">convenios interadministrativos </w:t>
            </w:r>
            <w:r w:rsidRPr="00215BCE">
              <w:rPr>
                <w:rFonts w:ascii="Verdana" w:hAnsi="Verdana" w:cs="Arial"/>
                <w:lang w:val="es-ES_tradnl"/>
              </w:rPr>
              <w:t xml:space="preserve">en los que se contemple la ejecución de </w:t>
            </w:r>
            <w:r w:rsidRPr="00215BCE">
              <w:rPr>
                <w:rFonts w:ascii="Verdana" w:hAnsi="Verdana" w:cs="Arial"/>
                <w:lang w:val="es-ES_tradnl"/>
              </w:rPr>
              <w:lastRenderedPageBreak/>
              <w:t xml:space="preserve">recursos públicos. </w:t>
            </w:r>
            <w:r w:rsidRPr="00215BCE">
              <w:rPr>
                <w:rFonts w:ascii="Verdana" w:eastAsia="Times New Roman" w:hAnsi="Verdana" w:cs="Arial"/>
                <w:lang w:eastAsia="es-CO"/>
              </w:rPr>
              <w:t xml:space="preserve">Esto significa que la prohibición no resulta aplicable a </w:t>
            </w:r>
            <w:r w:rsidRPr="00215BCE">
              <w:rPr>
                <w:rFonts w:ascii="Verdana" w:eastAsia="Times New Roman" w:hAnsi="Verdana" w:cs="Arial"/>
                <w:i/>
                <w:iCs/>
                <w:lang w:eastAsia="es-CO"/>
              </w:rPr>
              <w:t>convenios interadministrativos a título gratuito,</w:t>
            </w:r>
            <w:r w:rsidRPr="00215BCE">
              <w:rPr>
                <w:rFonts w:ascii="Verdana" w:eastAsia="Times New Roman" w:hAnsi="Verdana" w:cs="Arial"/>
                <w:lang w:eastAsia="es-CO"/>
              </w:rPr>
              <w:t xml:space="preserve"> los cuales pueden celebrarse válidamente durante la vigencia de la mencionada restricción. </w:t>
            </w:r>
          </w:p>
          <w:p w14:paraId="2550F585" w14:textId="4CE2FB27" w:rsidR="00451BBD" w:rsidRDefault="007C435B" w:rsidP="006F3F7E">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Sin perjuicio de lo anterior, es importante acotar que, la modalidad </w:t>
            </w:r>
            <w:r w:rsidR="00445E6C">
              <w:rPr>
                <w:rFonts w:ascii="Verdana" w:eastAsia="Times New Roman" w:hAnsi="Verdana" w:cs="Arial"/>
                <w:lang w:eastAsia="es-CO"/>
              </w:rPr>
              <w:t xml:space="preserve">aplicable para la celebración de convenios interadministrativos es la contratación directa. En ese sentido, si bien los convenios interadministrativos que no contemplen la ejecución de recursos públicos </w:t>
            </w:r>
            <w:r w:rsidR="008917C7">
              <w:rPr>
                <w:rFonts w:ascii="Verdana" w:eastAsia="Times New Roman" w:hAnsi="Verdana" w:cs="Arial"/>
                <w:lang w:eastAsia="es-CO"/>
              </w:rPr>
              <w:t>no se encuentra</w:t>
            </w:r>
            <w:r w:rsidR="00C93DAC">
              <w:rPr>
                <w:rFonts w:ascii="Verdana" w:eastAsia="Times New Roman" w:hAnsi="Verdana" w:cs="Arial"/>
                <w:lang w:eastAsia="es-CO"/>
              </w:rPr>
              <w:t>n</w:t>
            </w:r>
            <w:r w:rsidR="008917C7">
              <w:rPr>
                <w:rFonts w:ascii="Verdana" w:eastAsia="Times New Roman" w:hAnsi="Verdana" w:cs="Arial"/>
                <w:lang w:eastAsia="es-CO"/>
              </w:rPr>
              <w:t xml:space="preserve"> cobijados por la </w:t>
            </w:r>
            <w:r w:rsidR="006D6B3F">
              <w:rPr>
                <w:rFonts w:ascii="Verdana" w:eastAsia="Times New Roman" w:hAnsi="Verdana" w:cs="Arial"/>
                <w:lang w:eastAsia="es-CO"/>
              </w:rPr>
              <w:t xml:space="preserve">restricción del </w:t>
            </w:r>
            <w:r w:rsidR="004B1246">
              <w:rPr>
                <w:rFonts w:ascii="Verdana" w:eastAsia="Times New Roman" w:hAnsi="Verdana" w:cs="Arial"/>
                <w:lang w:eastAsia="es-CO"/>
              </w:rPr>
              <w:t>parágrafo del artículo 38 de la Ley 996 de 2005,</w:t>
            </w:r>
            <w:r w:rsidR="00C93DAC">
              <w:rPr>
                <w:rFonts w:ascii="Verdana" w:eastAsia="Times New Roman" w:hAnsi="Verdana" w:cs="Arial"/>
                <w:lang w:eastAsia="es-CO"/>
              </w:rPr>
              <w:t xml:space="preserve"> s</w:t>
            </w:r>
            <w:r w:rsidR="00451BB4">
              <w:rPr>
                <w:rFonts w:ascii="Verdana" w:eastAsia="Times New Roman" w:hAnsi="Verdana" w:cs="Arial"/>
                <w:lang w:eastAsia="es-CO"/>
              </w:rPr>
              <w:t xml:space="preserve">i </w:t>
            </w:r>
            <w:r w:rsidR="00F5119A">
              <w:rPr>
                <w:rFonts w:ascii="Verdana" w:eastAsia="Times New Roman" w:hAnsi="Verdana" w:cs="Arial"/>
                <w:lang w:eastAsia="es-CO"/>
              </w:rPr>
              <w:t xml:space="preserve">pueden estar cobijados por la prohibición a la contratación directa establecida </w:t>
            </w:r>
            <w:r w:rsidR="00BE228B">
              <w:rPr>
                <w:rFonts w:ascii="Verdana" w:eastAsia="Times New Roman" w:hAnsi="Verdana" w:cs="Arial"/>
                <w:lang w:eastAsia="es-CO"/>
              </w:rPr>
              <w:t>por el artículo 33 de la Ley 996 de 2005</w:t>
            </w:r>
            <w:r w:rsidR="00645740">
              <w:rPr>
                <w:rFonts w:ascii="Verdana" w:eastAsia="Times New Roman" w:hAnsi="Verdana" w:cs="Arial"/>
                <w:lang w:eastAsia="es-CO"/>
              </w:rPr>
              <w:t>.</w:t>
            </w:r>
            <w:r w:rsidR="00451BBD">
              <w:rPr>
                <w:rFonts w:ascii="Verdana" w:eastAsia="Times New Roman" w:hAnsi="Verdana" w:cs="Arial"/>
                <w:lang w:eastAsia="es-CO"/>
              </w:rPr>
              <w:t xml:space="preserve"> </w:t>
            </w:r>
            <w:r w:rsidR="00F41C3E">
              <w:rPr>
                <w:rFonts w:ascii="Verdana" w:eastAsia="Times New Roman" w:hAnsi="Verdana" w:cs="Arial"/>
                <w:lang w:eastAsia="es-CO"/>
              </w:rPr>
              <w:t>De esta manera</w:t>
            </w:r>
            <w:r w:rsidR="00451BBD">
              <w:rPr>
                <w:rFonts w:ascii="Verdana" w:eastAsia="Times New Roman" w:hAnsi="Verdana" w:cs="Arial"/>
                <w:lang w:eastAsia="es-CO"/>
              </w:rPr>
              <w:t xml:space="preserve">, </w:t>
            </w:r>
            <w:r w:rsidR="00FE26DE">
              <w:rPr>
                <w:rFonts w:ascii="Verdana" w:eastAsia="Times New Roman" w:hAnsi="Verdana" w:cs="Arial"/>
                <w:lang w:eastAsia="es-CO"/>
              </w:rPr>
              <w:t>es posible afirmar que, en principio,</w:t>
            </w:r>
            <w:r w:rsidR="00F41C3E">
              <w:rPr>
                <w:rFonts w:ascii="Verdana" w:eastAsia="Times New Roman" w:hAnsi="Verdana" w:cs="Arial"/>
                <w:lang w:eastAsia="es-CO"/>
              </w:rPr>
              <w:t xml:space="preserve"> resulta</w:t>
            </w:r>
            <w:r w:rsidR="00451BBD">
              <w:rPr>
                <w:rFonts w:ascii="Verdana" w:eastAsia="Times New Roman" w:hAnsi="Verdana" w:cs="Arial"/>
                <w:lang w:eastAsia="es-CO"/>
              </w:rPr>
              <w:t xml:space="preserve"> v</w:t>
            </w:r>
            <w:r w:rsidR="00F41C3E">
              <w:rPr>
                <w:rFonts w:ascii="Verdana" w:eastAsia="Times New Roman" w:hAnsi="Verdana" w:cs="Arial"/>
                <w:lang w:eastAsia="es-CO"/>
              </w:rPr>
              <w:t>iable</w:t>
            </w:r>
            <w:r w:rsidR="00451BBD">
              <w:rPr>
                <w:rFonts w:ascii="Verdana" w:eastAsia="Times New Roman" w:hAnsi="Verdana" w:cs="Arial"/>
                <w:lang w:eastAsia="es-CO"/>
              </w:rPr>
              <w:t xml:space="preserve"> celebrar de manera directa un </w:t>
            </w:r>
            <w:r w:rsidR="00451BBD" w:rsidRPr="00BD4175">
              <w:rPr>
                <w:rFonts w:ascii="Verdana" w:eastAsia="Times New Roman" w:hAnsi="Verdana" w:cs="Arial"/>
                <w:i/>
                <w:iCs/>
                <w:lang w:eastAsia="es-CO"/>
              </w:rPr>
              <w:t xml:space="preserve">convenio </w:t>
            </w:r>
            <w:r w:rsidR="00EA16FC" w:rsidRPr="00BD4175">
              <w:rPr>
                <w:rFonts w:ascii="Verdana" w:eastAsia="Times New Roman" w:hAnsi="Verdana" w:cs="Arial"/>
                <w:i/>
                <w:iCs/>
                <w:lang w:eastAsia="es-CO"/>
              </w:rPr>
              <w:t>interadministrativo</w:t>
            </w:r>
            <w:r w:rsidR="00451BBD" w:rsidRPr="00BD4175">
              <w:rPr>
                <w:rFonts w:ascii="Verdana" w:eastAsia="Times New Roman" w:hAnsi="Verdana" w:cs="Arial"/>
                <w:i/>
                <w:iCs/>
                <w:lang w:eastAsia="es-CO"/>
              </w:rPr>
              <w:t xml:space="preserve"> a </w:t>
            </w:r>
            <w:proofErr w:type="spellStart"/>
            <w:r w:rsidR="00451BBD" w:rsidRPr="00BD4175">
              <w:rPr>
                <w:rFonts w:ascii="Verdana" w:eastAsia="Times New Roman" w:hAnsi="Verdana" w:cs="Arial"/>
                <w:i/>
                <w:iCs/>
                <w:lang w:eastAsia="es-CO"/>
              </w:rPr>
              <w:t>titulo</w:t>
            </w:r>
            <w:proofErr w:type="spellEnd"/>
            <w:r w:rsidR="00451BBD" w:rsidRPr="00BD4175">
              <w:rPr>
                <w:rFonts w:ascii="Verdana" w:eastAsia="Times New Roman" w:hAnsi="Verdana" w:cs="Arial"/>
                <w:i/>
                <w:iCs/>
                <w:lang w:eastAsia="es-CO"/>
              </w:rPr>
              <w:t xml:space="preserve"> gratui</w:t>
            </w:r>
            <w:r w:rsidR="00EA16FC" w:rsidRPr="00BD4175">
              <w:rPr>
                <w:rFonts w:ascii="Verdana" w:eastAsia="Times New Roman" w:hAnsi="Verdana" w:cs="Arial"/>
                <w:i/>
                <w:iCs/>
                <w:lang w:eastAsia="es-CO"/>
              </w:rPr>
              <w:t>to</w:t>
            </w:r>
            <w:r w:rsidR="00F41C3E" w:rsidRPr="00BD4175">
              <w:rPr>
                <w:rFonts w:ascii="Verdana" w:eastAsia="Times New Roman" w:hAnsi="Verdana" w:cs="Arial"/>
                <w:i/>
                <w:iCs/>
                <w:lang w:eastAsia="es-CO"/>
              </w:rPr>
              <w:t xml:space="preserve"> </w:t>
            </w:r>
            <w:r w:rsidR="00F41C3E">
              <w:rPr>
                <w:rFonts w:ascii="Verdana" w:eastAsia="Times New Roman" w:hAnsi="Verdana" w:cs="Arial"/>
                <w:lang w:eastAsia="es-CO"/>
              </w:rPr>
              <w:t>en vigencia de la restricción del artículo 38,</w:t>
            </w:r>
            <w:r w:rsidR="00203EC3">
              <w:rPr>
                <w:rFonts w:ascii="Verdana" w:eastAsia="Times New Roman" w:hAnsi="Verdana" w:cs="Arial"/>
                <w:lang w:eastAsia="es-CO"/>
              </w:rPr>
              <w:t xml:space="preserve"> más no en vigencia de la restricción del artículo 33, salvo que</w:t>
            </w:r>
            <w:r w:rsidR="001068E1">
              <w:rPr>
                <w:rFonts w:ascii="Verdana" w:eastAsia="Times New Roman" w:hAnsi="Verdana" w:cs="Arial"/>
                <w:lang w:eastAsia="es-CO"/>
              </w:rPr>
              <w:t xml:space="preserve"> se configure alguna de las excepciones establecidas por este último artículo. </w:t>
            </w:r>
          </w:p>
          <w:p w14:paraId="77A55E0C" w14:textId="2A99DB2B" w:rsidR="008D5774" w:rsidRPr="00215BCE" w:rsidRDefault="00BE228B" w:rsidP="00BD4175">
            <w:pPr>
              <w:spacing w:before="120" w:after="120" w:line="276" w:lineRule="auto"/>
              <w:ind w:firstLine="708"/>
              <w:jc w:val="both"/>
              <w:rPr>
                <w:rFonts w:ascii="Verdana" w:eastAsia="Calibri" w:hAnsi="Verdana" w:cs="Times New Roman"/>
                <w:lang w:val="es-ES"/>
              </w:rPr>
            </w:pPr>
            <w:r>
              <w:rPr>
                <w:rFonts w:ascii="Verdana" w:eastAsia="Times New Roman" w:hAnsi="Verdana" w:cs="Arial"/>
                <w:lang w:eastAsia="es-CO"/>
              </w:rPr>
              <w:t xml:space="preserve"> </w:t>
            </w:r>
            <w:r w:rsidR="004B1246">
              <w:rPr>
                <w:rFonts w:ascii="Verdana" w:eastAsia="Times New Roman" w:hAnsi="Verdana" w:cs="Arial"/>
                <w:lang w:eastAsia="es-CO"/>
              </w:rPr>
              <w:t xml:space="preserve"> </w:t>
            </w:r>
            <w:r w:rsidR="008D5774" w:rsidRPr="00215BCE">
              <w:rPr>
                <w:rFonts w:ascii="Verdana" w:eastAsia="Calibri" w:hAnsi="Verdana" w:cs="Arial"/>
                <w:bCs/>
              </w:rPr>
              <w:t>Finalmente</w:t>
            </w:r>
            <w:r w:rsidR="008D5774" w:rsidRPr="00215BCE">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8D5774" w:rsidRPr="00215BCE">
              <w:rPr>
                <w:rFonts w:ascii="Verdana" w:hAnsi="Verdana"/>
              </w:rPr>
              <w:t xml:space="preserve"> </w:t>
            </w:r>
          </w:p>
          <w:p w14:paraId="1E15E514" w14:textId="77777777" w:rsidR="008D5774" w:rsidRPr="009233BB" w:rsidRDefault="008D5774" w:rsidP="009D40B6">
            <w:pPr>
              <w:spacing w:before="120" w:after="120" w:line="276" w:lineRule="auto"/>
              <w:ind w:firstLine="709"/>
              <w:jc w:val="both"/>
              <w:rPr>
                <w:rFonts w:ascii="Verdana" w:eastAsia="Calibri" w:hAnsi="Verdana" w:cs="Arial"/>
                <w:color w:val="ED7D31" w:themeColor="accent2"/>
              </w:rPr>
            </w:pPr>
            <w:r w:rsidRPr="005B26C9">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6914BB7C" w14:textId="77777777" w:rsidR="008D5774" w:rsidRPr="009233BB" w:rsidRDefault="008D5774" w:rsidP="008D5774">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5B697DCE" w14:textId="77777777" w:rsidR="008D5774" w:rsidRPr="00B10CED" w:rsidRDefault="008D5774" w:rsidP="008D5774">
      <w:pPr>
        <w:tabs>
          <w:tab w:val="left" w:pos="142"/>
          <w:tab w:val="left" w:pos="284"/>
        </w:tabs>
        <w:spacing w:after="0" w:line="276" w:lineRule="auto"/>
        <w:jc w:val="both"/>
        <w:rPr>
          <w:rFonts w:ascii="Verdana" w:eastAsia="Century Gothic" w:hAnsi="Verdana" w:cs="Century Gothic"/>
          <w:b/>
          <w:lang w:val="es-ES"/>
        </w:rPr>
      </w:pPr>
      <w:r w:rsidRPr="00B10CED">
        <w:rPr>
          <w:rFonts w:ascii="Verdana" w:eastAsia="Century Gothic" w:hAnsi="Verdana" w:cs="Century Gothic"/>
          <w:b/>
          <w:lang w:val="es-ES"/>
        </w:rPr>
        <w:t>3. Razones de la respuesta:</w:t>
      </w:r>
    </w:p>
    <w:p w14:paraId="790C280A" w14:textId="77777777" w:rsidR="008D5774" w:rsidRDefault="008D5774" w:rsidP="008D5774">
      <w:pPr>
        <w:tabs>
          <w:tab w:val="left" w:pos="142"/>
          <w:tab w:val="left" w:pos="284"/>
        </w:tabs>
        <w:spacing w:after="0" w:line="276" w:lineRule="auto"/>
        <w:jc w:val="both"/>
        <w:rPr>
          <w:rFonts w:ascii="Verdana" w:eastAsia="Century Gothic" w:hAnsi="Verdana" w:cs="Century Gothic"/>
          <w:b/>
          <w:color w:val="ED7D31" w:themeColor="accent2"/>
          <w:lang w:val="es-ES"/>
        </w:rPr>
      </w:pPr>
    </w:p>
    <w:p w14:paraId="62691086" w14:textId="77777777" w:rsidR="008D5774" w:rsidRDefault="008D5774" w:rsidP="008D5774">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26EE0FA2" w14:textId="77777777" w:rsidR="00C03F30" w:rsidRDefault="00C03F30" w:rsidP="008D5774">
      <w:pPr>
        <w:spacing w:after="0" w:line="276" w:lineRule="auto"/>
        <w:jc w:val="both"/>
        <w:rPr>
          <w:rFonts w:ascii="Verdana" w:eastAsia="Calibri" w:hAnsi="Verdana" w:cs="Arial"/>
          <w:lang w:val="es-ES"/>
        </w:rPr>
      </w:pPr>
    </w:p>
    <w:p w14:paraId="73ABDF7C" w14:textId="77777777" w:rsidR="008D5774" w:rsidRPr="005416E7" w:rsidRDefault="008D5774" w:rsidP="008D5774">
      <w:pPr>
        <w:tabs>
          <w:tab w:val="left" w:pos="426"/>
        </w:tabs>
        <w:spacing w:after="120" w:line="276" w:lineRule="auto"/>
        <w:jc w:val="both"/>
        <w:rPr>
          <w:rFonts w:ascii="Verdana" w:eastAsia="Verdana" w:hAnsi="Verdana" w:cs="Verdana"/>
          <w:color w:val="ED7D31" w:themeColor="accent2"/>
          <w:lang w:val="es-ES"/>
        </w:rPr>
      </w:pPr>
      <w:bookmarkStart w:id="1" w:name="_Hlk102983874"/>
      <w:bookmarkStart w:id="2" w:name="_Hlk102388095"/>
      <w:r w:rsidRPr="005416E7">
        <w:rPr>
          <w:rFonts w:ascii="Verdana" w:eastAsia="Calibri" w:hAnsi="Verdana" w:cs="Arial"/>
          <w:lang w:val="es-ES"/>
        </w:rPr>
        <w:lastRenderedPageBreak/>
        <w:t>i)</w:t>
      </w:r>
      <w:r w:rsidRPr="005416E7">
        <w:rPr>
          <w:rFonts w:ascii="Verdana" w:eastAsia="Verdana" w:hAnsi="Verdana" w:cs="Verdana"/>
          <w:lang w:val="es-ES"/>
        </w:rPr>
        <w:t xml:space="preserve"> </w:t>
      </w:r>
      <w:r w:rsidRPr="005416E7">
        <w:rPr>
          <w:rFonts w:ascii="Verdana" w:eastAsia="Calibri" w:hAnsi="Verdana" w:cs="Arial"/>
          <w:lang w:val="es-ES"/>
        </w:rPr>
        <w:t>El ordenamiento jurídico colombiano contempla medidas para evitar la obtención de beneficios personales en asuntos propios de la administración pública</w:t>
      </w:r>
      <w:r w:rsidRPr="005416E7">
        <w:rPr>
          <w:rFonts w:ascii="Verdana" w:eastAsia="Calibri" w:hAnsi="Verdana" w:cs="Arial"/>
          <w:i/>
          <w:lang w:val="es-ES"/>
        </w:rPr>
        <w:t xml:space="preserve">. </w:t>
      </w:r>
      <w:r w:rsidRPr="005416E7">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5416E7">
        <w:rPr>
          <w:rFonts w:ascii="Verdana" w:hAnsi="Verdana"/>
          <w:vertAlign w:val="superscript"/>
          <w:lang w:val="es-ES"/>
        </w:rPr>
        <w:footnoteReference w:id="1"/>
      </w:r>
      <w:r w:rsidRPr="005416E7">
        <w:rPr>
          <w:rFonts w:ascii="Verdana" w:eastAsia="Calibri" w:hAnsi="Verdana" w:cs="Arial"/>
          <w:lang w:val="es-ES"/>
        </w:rPr>
        <w:t>.</w:t>
      </w:r>
    </w:p>
    <w:p w14:paraId="23A98D16" w14:textId="77777777" w:rsidR="008D5774" w:rsidRPr="005416E7" w:rsidRDefault="008D5774" w:rsidP="008D5774">
      <w:pPr>
        <w:tabs>
          <w:tab w:val="left" w:pos="426"/>
        </w:tabs>
        <w:spacing w:after="120" w:line="276" w:lineRule="auto"/>
        <w:ind w:firstLine="709"/>
        <w:jc w:val="both"/>
        <w:rPr>
          <w:rFonts w:ascii="Verdana" w:eastAsia="Calibri" w:hAnsi="Verdana" w:cs="Arial"/>
          <w:lang w:val="es-ES"/>
        </w:rPr>
      </w:pPr>
      <w:r w:rsidRPr="005416E7">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416E7">
        <w:rPr>
          <w:rFonts w:ascii="Verdana" w:eastAsia="Times New Roman" w:hAnsi="Verdana" w:cs="Arial"/>
          <w:vertAlign w:val="superscript"/>
          <w:lang w:val="es-ES" w:eastAsia="es-CO"/>
        </w:rPr>
        <w:footnoteReference w:id="2"/>
      </w:r>
      <w:r w:rsidRPr="005416E7">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5416E7">
        <w:rPr>
          <w:rFonts w:ascii="Verdana" w:eastAsia="Calibri" w:hAnsi="Verdana" w:cs="Arial"/>
          <w:lang w:val="es-ES"/>
        </w:rPr>
        <w:t xml:space="preserve"> </w:t>
      </w:r>
    </w:p>
    <w:p w14:paraId="3A965458" w14:textId="77777777" w:rsidR="008D5774" w:rsidRPr="005416E7" w:rsidRDefault="008D5774" w:rsidP="008D5774">
      <w:pPr>
        <w:tabs>
          <w:tab w:val="left" w:pos="426"/>
        </w:tabs>
        <w:spacing w:after="0" w:line="276" w:lineRule="auto"/>
        <w:ind w:firstLine="709"/>
        <w:jc w:val="both"/>
        <w:rPr>
          <w:rFonts w:ascii="Verdana" w:eastAsia="Calibri" w:hAnsi="Verdana" w:cs="Arial"/>
          <w:lang w:val="es-ES"/>
        </w:rPr>
      </w:pPr>
      <w:r w:rsidRPr="005416E7">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342E7528" w14:textId="77777777" w:rsidR="008D5774" w:rsidRPr="005416E7" w:rsidRDefault="008D5774" w:rsidP="008D5774">
      <w:pPr>
        <w:spacing w:after="0" w:line="276" w:lineRule="auto"/>
        <w:ind w:right="709"/>
        <w:jc w:val="both"/>
        <w:rPr>
          <w:rFonts w:ascii="Verdana" w:eastAsia="Times New Roman" w:hAnsi="Verdana" w:cs="Arial"/>
          <w:lang w:val="es-ES" w:eastAsia="es-CO"/>
        </w:rPr>
      </w:pPr>
    </w:p>
    <w:p w14:paraId="75515A6B" w14:textId="77777777" w:rsidR="008D5774" w:rsidRPr="005416E7" w:rsidRDefault="008D5774" w:rsidP="008D5774">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 </w:t>
      </w:r>
    </w:p>
    <w:p w14:paraId="4D06A15F" w14:textId="77777777" w:rsidR="008D5774" w:rsidRPr="005416E7" w:rsidRDefault="008D5774" w:rsidP="008D5774">
      <w:pPr>
        <w:spacing w:after="0" w:line="240" w:lineRule="auto"/>
        <w:ind w:left="709" w:right="709"/>
        <w:contextualSpacing/>
        <w:jc w:val="both"/>
        <w:rPr>
          <w:rFonts w:ascii="Verdana" w:eastAsia="Times New Roman" w:hAnsi="Verdana" w:cs="Arial"/>
          <w:sz w:val="20"/>
          <w:szCs w:val="20"/>
          <w:lang w:val="es-ES" w:eastAsia="es-CO"/>
        </w:rPr>
      </w:pPr>
    </w:p>
    <w:p w14:paraId="1269A5F0" w14:textId="77777777" w:rsidR="008D5774" w:rsidRPr="005416E7" w:rsidRDefault="008D5774" w:rsidP="008D5774">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w:t>
      </w:r>
      <w:r w:rsidRPr="005416E7">
        <w:rPr>
          <w:rFonts w:ascii="Verdana" w:eastAsia="Times New Roman" w:hAnsi="Verdana" w:cs="Arial"/>
          <w:sz w:val="20"/>
          <w:szCs w:val="20"/>
          <w:lang w:val="es-ES" w:eastAsia="es-CO"/>
        </w:rPr>
        <w:lastRenderedPageBreak/>
        <w:t>igualitario a los canales de comunicación de los candidatos. Igualmente, una ley de garantías debe permitir que, en el debate democrático, sean las ideas y las propuestas las que definan el ascenso al poder, y no el músculo económico de los que se lo disputan”.</w:t>
      </w:r>
      <w:r w:rsidRPr="005416E7">
        <w:rPr>
          <w:rFonts w:ascii="Verdana" w:eastAsia="Calibri" w:hAnsi="Verdana" w:cs="Arial"/>
          <w:sz w:val="20"/>
          <w:szCs w:val="20"/>
          <w:vertAlign w:val="superscript"/>
          <w:lang w:val="es-ES"/>
        </w:rPr>
        <w:footnoteReference w:id="3"/>
      </w:r>
    </w:p>
    <w:p w14:paraId="7A0F954B" w14:textId="77777777" w:rsidR="008D5774" w:rsidRPr="005416E7" w:rsidRDefault="008D5774" w:rsidP="008D5774">
      <w:pPr>
        <w:spacing w:after="0" w:line="276" w:lineRule="auto"/>
        <w:ind w:firstLine="709"/>
        <w:jc w:val="both"/>
        <w:rPr>
          <w:rFonts w:ascii="Verdana" w:eastAsia="Times New Roman" w:hAnsi="Verdana" w:cs="Arial"/>
          <w:color w:val="4472C4" w:themeColor="accent1"/>
          <w:lang w:val="es-ES" w:eastAsia="es-CO"/>
        </w:rPr>
      </w:pPr>
    </w:p>
    <w:p w14:paraId="42DF456C" w14:textId="77777777" w:rsidR="008D5774" w:rsidRPr="005416E7" w:rsidRDefault="008D5774" w:rsidP="008D5774">
      <w:pPr>
        <w:spacing w:after="0" w:line="276" w:lineRule="auto"/>
        <w:ind w:firstLine="709"/>
        <w:jc w:val="both"/>
        <w:rPr>
          <w:rFonts w:ascii="Verdana" w:eastAsia="Times New Roman" w:hAnsi="Verdana" w:cs="Arial"/>
          <w:lang w:val="es-ES" w:eastAsia="es-CO"/>
        </w:rPr>
      </w:pPr>
      <w:r w:rsidRPr="005416E7">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0A771EB9" w14:textId="77777777" w:rsidR="008D5774" w:rsidRPr="005416E7" w:rsidRDefault="008D5774" w:rsidP="008D5774">
      <w:pPr>
        <w:spacing w:after="0" w:line="276" w:lineRule="auto"/>
        <w:ind w:firstLine="709"/>
        <w:jc w:val="both"/>
        <w:rPr>
          <w:rFonts w:ascii="Verdana" w:eastAsia="Times New Roman" w:hAnsi="Verdana" w:cs="Arial"/>
          <w:color w:val="4472C4" w:themeColor="accent1"/>
          <w:lang w:val="es-ES" w:eastAsia="es-CO"/>
        </w:rPr>
      </w:pPr>
    </w:p>
    <w:p w14:paraId="16E2548F" w14:textId="77777777" w:rsidR="008D5774" w:rsidRPr="005416E7" w:rsidRDefault="008D5774" w:rsidP="008D5774">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color w:val="4472C4" w:themeColor="accent1"/>
          <w:sz w:val="20"/>
          <w:szCs w:val="20"/>
          <w:lang w:val="es-ES" w:eastAsia="es-CO"/>
        </w:rPr>
        <w:t>“</w:t>
      </w:r>
      <w:r w:rsidRPr="005416E7">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5416E7">
        <w:rPr>
          <w:rFonts w:ascii="Verdana" w:eastAsia="Times New Roman" w:hAnsi="Verdana" w:cs="Arial"/>
          <w:sz w:val="20"/>
          <w:szCs w:val="20"/>
          <w:lang w:val="es-ES" w:eastAsia="es-CO"/>
        </w:rPr>
        <w:t>legis</w:t>
      </w:r>
      <w:proofErr w:type="spellEnd"/>
      <w:r w:rsidRPr="005416E7">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52326FF" w14:textId="77777777" w:rsidR="00341D29" w:rsidRDefault="00341D29" w:rsidP="008D5774">
      <w:pPr>
        <w:spacing w:after="0" w:line="240" w:lineRule="auto"/>
        <w:ind w:left="709" w:right="709"/>
        <w:jc w:val="both"/>
        <w:rPr>
          <w:rFonts w:ascii="Verdana" w:eastAsia="Times New Roman" w:hAnsi="Verdana" w:cs="Arial"/>
          <w:sz w:val="20"/>
          <w:szCs w:val="20"/>
          <w:lang w:val="es-ES" w:eastAsia="es-CO"/>
        </w:rPr>
      </w:pPr>
    </w:p>
    <w:p w14:paraId="4504028B" w14:textId="425DD78D" w:rsidR="008D5774" w:rsidRPr="005416E7" w:rsidRDefault="008D5774" w:rsidP="008D5774">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La jurisprudencia de la Corte Constitucional</w:t>
      </w:r>
      <w:r w:rsidRPr="005416E7">
        <w:rPr>
          <w:rFonts w:ascii="Verdana" w:eastAsia="Times New Roman" w:hAnsi="Verdana" w:cs="Arial"/>
          <w:sz w:val="20"/>
          <w:szCs w:val="20"/>
          <w:vertAlign w:val="superscript"/>
          <w:lang w:val="es-ES" w:eastAsia="es-CO"/>
        </w:rPr>
        <w:footnoteReference w:id="4"/>
      </w:r>
      <w:r w:rsidRPr="005416E7">
        <w:rPr>
          <w:rFonts w:ascii="Verdana" w:eastAsia="Times New Roman" w:hAnsi="Verdana" w:cs="Arial"/>
          <w:sz w:val="20"/>
          <w:szCs w:val="20"/>
          <w:lang w:val="es-ES" w:eastAsia="es-CO"/>
        </w:rPr>
        <w:t> y del Consejo de Estado</w:t>
      </w:r>
      <w:r w:rsidRPr="005416E7">
        <w:rPr>
          <w:rFonts w:ascii="Verdana" w:eastAsia="Times New Roman" w:hAnsi="Verdana" w:cs="Arial"/>
          <w:sz w:val="20"/>
          <w:szCs w:val="20"/>
          <w:vertAlign w:val="superscript"/>
          <w:lang w:val="es-ES" w:eastAsia="es-CO"/>
        </w:rPr>
        <w:footnoteReference w:id="5"/>
      </w:r>
      <w:r w:rsidRPr="005416E7">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w:t>
      </w:r>
      <w:r w:rsidRPr="005416E7">
        <w:rPr>
          <w:rFonts w:ascii="Verdana" w:eastAsia="Times New Roman" w:hAnsi="Verdana" w:cs="Arial"/>
          <w:sz w:val="20"/>
          <w:szCs w:val="20"/>
          <w:lang w:val="es-ES" w:eastAsia="es-CO"/>
        </w:rPr>
        <w:lastRenderedPageBreak/>
        <w:t>como entrañan una limitación -así fuere justificada- a la libertad de actuar o capacidad de obrar, sobrepasar sus precisos términos comporta el desconocimiento de la voluntad del legislador”</w:t>
      </w:r>
      <w:r w:rsidRPr="005416E7">
        <w:rPr>
          <w:rFonts w:ascii="Verdana" w:eastAsia="Times New Roman" w:hAnsi="Verdana" w:cs="Arial"/>
          <w:sz w:val="20"/>
          <w:szCs w:val="20"/>
          <w:vertAlign w:val="superscript"/>
          <w:lang w:val="es-ES" w:eastAsia="es-CO"/>
        </w:rPr>
        <w:footnoteReference w:id="6"/>
      </w:r>
      <w:r w:rsidRPr="005416E7">
        <w:rPr>
          <w:rFonts w:ascii="Verdana" w:eastAsia="Times New Roman" w:hAnsi="Verdana" w:cs="Arial"/>
          <w:sz w:val="20"/>
          <w:szCs w:val="20"/>
          <w:lang w:val="es-ES" w:eastAsia="es-CO"/>
        </w:rPr>
        <w:t>.</w:t>
      </w:r>
    </w:p>
    <w:p w14:paraId="45E26616" w14:textId="77777777" w:rsidR="008D5774" w:rsidRPr="005416E7" w:rsidRDefault="008D5774" w:rsidP="008D5774">
      <w:pPr>
        <w:spacing w:after="0" w:line="276" w:lineRule="auto"/>
        <w:jc w:val="both"/>
        <w:rPr>
          <w:rFonts w:ascii="Verdana" w:eastAsia="Calibri" w:hAnsi="Verdana" w:cs="Arial"/>
          <w:bCs/>
          <w:lang w:val="es-ES"/>
        </w:rPr>
      </w:pPr>
    </w:p>
    <w:p w14:paraId="197340CC" w14:textId="77777777" w:rsidR="008D5774" w:rsidRPr="005416E7" w:rsidRDefault="008D5774" w:rsidP="008D5774">
      <w:pPr>
        <w:spacing w:after="0" w:line="276" w:lineRule="auto"/>
        <w:ind w:firstLine="709"/>
        <w:jc w:val="both"/>
        <w:rPr>
          <w:rFonts w:ascii="Verdana" w:eastAsia="Arial" w:hAnsi="Verdana" w:cs="Arial"/>
          <w:lang w:val="es-ES" w:eastAsia="es-ES" w:bidi="es-ES"/>
        </w:rPr>
      </w:pPr>
      <w:r w:rsidRPr="005416E7">
        <w:rPr>
          <w:rFonts w:ascii="Verdana" w:eastAsia="Times New Roman" w:hAnsi="Verdana" w:cs="Arial"/>
          <w:lang w:val="es-ES" w:eastAsia="es-CO"/>
        </w:rPr>
        <w:t>De</w:t>
      </w:r>
      <w:r w:rsidRPr="005416E7">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5898DAD" w14:textId="77777777" w:rsidR="008D5774" w:rsidRPr="005416E7" w:rsidRDefault="008D5774" w:rsidP="008D5774">
      <w:pPr>
        <w:spacing w:after="0" w:line="276" w:lineRule="auto"/>
        <w:ind w:firstLine="709"/>
        <w:jc w:val="both"/>
        <w:rPr>
          <w:rFonts w:ascii="Verdana" w:eastAsia="Arial" w:hAnsi="Verdana" w:cs="Arial"/>
          <w:color w:val="4472C4" w:themeColor="accent1"/>
          <w:lang w:val="es-ES" w:eastAsia="es-ES" w:bidi="es-ES"/>
        </w:rPr>
      </w:pPr>
    </w:p>
    <w:p w14:paraId="390D0F33" w14:textId="77777777" w:rsidR="008D5774" w:rsidRPr="005416E7" w:rsidRDefault="008D5774" w:rsidP="008D5774">
      <w:pPr>
        <w:spacing w:after="120" w:line="276" w:lineRule="auto"/>
        <w:jc w:val="both"/>
        <w:rPr>
          <w:rFonts w:ascii="Verdana" w:eastAsia="Arial" w:hAnsi="Verdana" w:cs="Arial"/>
          <w:lang w:val="es-ES" w:eastAsia="es-ES" w:bidi="es-ES"/>
        </w:rPr>
      </w:pPr>
      <w:proofErr w:type="spellStart"/>
      <w:r w:rsidRPr="005416E7">
        <w:rPr>
          <w:rFonts w:ascii="Verdana" w:eastAsia="Arial" w:hAnsi="Verdana" w:cs="Arial"/>
          <w:lang w:val="es-ES" w:eastAsia="es-ES" w:bidi="es-ES"/>
        </w:rPr>
        <w:t>ii</w:t>
      </w:r>
      <w:proofErr w:type="spellEnd"/>
      <w:r w:rsidRPr="005416E7">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450CD9FD" w14:textId="77777777" w:rsidR="008D5774" w:rsidRPr="005416E7" w:rsidRDefault="008D5774" w:rsidP="008D5774">
      <w:pPr>
        <w:spacing w:after="120" w:line="276" w:lineRule="auto"/>
        <w:ind w:firstLine="708"/>
        <w:jc w:val="both"/>
        <w:rPr>
          <w:rFonts w:ascii="Verdana" w:eastAsia="Calibri" w:hAnsi="Verdana" w:cs="Arial"/>
          <w:lang w:val="es-ES"/>
        </w:rPr>
      </w:pPr>
      <w:r w:rsidRPr="005416E7">
        <w:rPr>
          <w:rFonts w:ascii="Verdana" w:eastAsia="Calibri" w:hAnsi="Verdana" w:cs="Arial"/>
          <w:lang w:val="es-ES"/>
        </w:rPr>
        <w:t xml:space="preserve">Por un lado, el </w:t>
      </w:r>
      <w:r w:rsidRPr="005416E7">
        <w:rPr>
          <w:rFonts w:ascii="Verdana" w:eastAsia="Calibri" w:hAnsi="Verdana" w:cs="Arial"/>
          <w:i/>
          <w:iCs/>
          <w:lang w:val="es-ES"/>
        </w:rPr>
        <w:t xml:space="preserve">artículo 33 </w:t>
      </w:r>
      <w:r w:rsidRPr="005416E7">
        <w:rPr>
          <w:rFonts w:ascii="Verdana" w:eastAsia="Calibri" w:hAnsi="Verdana" w:cs="Arial"/>
          <w:lang w:val="es-ES"/>
        </w:rPr>
        <w:t xml:space="preserve">de la Ley 996 de 2005 prohíbe “(…) la contratación directa por parte de </w:t>
      </w:r>
      <w:r w:rsidRPr="005416E7">
        <w:rPr>
          <w:rFonts w:ascii="Verdana" w:eastAsia="Calibri" w:hAnsi="Verdana" w:cs="Arial"/>
          <w:i/>
          <w:iCs/>
          <w:lang w:val="es-ES"/>
        </w:rPr>
        <w:t>todos los entes del Estado</w:t>
      </w:r>
      <w:r w:rsidRPr="005416E7">
        <w:rPr>
          <w:rFonts w:ascii="Verdana" w:eastAsia="Calibri" w:hAnsi="Verdana" w:cs="Arial"/>
          <w:lang w:val="es-ES"/>
        </w:rPr>
        <w:t xml:space="preserve">” durante los cuatro (4) meses anteriores a las </w:t>
      </w:r>
      <w:r w:rsidRPr="005416E7">
        <w:rPr>
          <w:rFonts w:ascii="Verdana" w:eastAsia="Calibri" w:hAnsi="Verdana" w:cs="Arial"/>
          <w:i/>
          <w:iCs/>
          <w:lang w:val="es-ES"/>
        </w:rPr>
        <w:t>elecciones presidenciales</w:t>
      </w:r>
      <w:r w:rsidRPr="005416E7">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416E7">
        <w:rPr>
          <w:rFonts w:ascii="Verdana" w:eastAsia="Calibri" w:hAnsi="Verdana" w:cs="Arial"/>
          <w:vertAlign w:val="superscript"/>
          <w:lang w:val="es-ES"/>
        </w:rPr>
        <w:footnoteReference w:id="7"/>
      </w:r>
      <w:r w:rsidRPr="005416E7">
        <w:rPr>
          <w:rFonts w:ascii="Verdana" w:eastAsia="Calibri" w:hAnsi="Verdana" w:cs="Arial"/>
          <w:lang w:val="es-ES"/>
        </w:rPr>
        <w:t>.</w:t>
      </w:r>
    </w:p>
    <w:p w14:paraId="19139D2C" w14:textId="77777777" w:rsidR="008D5774" w:rsidRPr="005416E7" w:rsidRDefault="008D5774" w:rsidP="008D5774">
      <w:pPr>
        <w:widowControl w:val="0"/>
        <w:autoSpaceDE w:val="0"/>
        <w:autoSpaceDN w:val="0"/>
        <w:spacing w:after="120" w:line="276" w:lineRule="auto"/>
        <w:ind w:right="113" w:firstLine="709"/>
        <w:jc w:val="both"/>
        <w:rPr>
          <w:rFonts w:ascii="Verdana" w:eastAsia="Arial" w:hAnsi="Verdana" w:cs="Arial"/>
          <w:lang w:val="es-ES" w:eastAsia="es-ES" w:bidi="es-ES"/>
        </w:rPr>
      </w:pPr>
      <w:r w:rsidRPr="005416E7">
        <w:rPr>
          <w:rFonts w:ascii="Verdana" w:eastAsia="Calibri" w:hAnsi="Verdana" w:cs="Arial"/>
          <w:lang w:val="es-ES"/>
        </w:rPr>
        <w:t xml:space="preserve">Por otro lado, </w:t>
      </w:r>
      <w:r w:rsidRPr="005416E7">
        <w:rPr>
          <w:rFonts w:ascii="Verdana" w:eastAsia="Calibri" w:hAnsi="Verdana" w:cs="Arial"/>
          <w:i/>
          <w:iCs/>
          <w:lang w:val="es-ES"/>
        </w:rPr>
        <w:t xml:space="preserve">el parágrafo del artículo 38 </w:t>
      </w:r>
      <w:r w:rsidRPr="005416E7">
        <w:rPr>
          <w:rFonts w:ascii="Verdana" w:eastAsia="Calibri" w:hAnsi="Verdana" w:cs="Arial"/>
          <w:lang w:val="es-ES"/>
        </w:rPr>
        <w:t xml:space="preserve">de la Ley 996 de 2005 prevé una restricción, aplicable respecto de </w:t>
      </w:r>
      <w:r w:rsidRPr="005416E7">
        <w:rPr>
          <w:rFonts w:ascii="Verdana" w:eastAsia="Calibri" w:hAnsi="Verdana" w:cs="Arial"/>
          <w:i/>
          <w:iCs/>
          <w:lang w:val="es-ES"/>
        </w:rPr>
        <w:t>cualquier tipo de contienda electoral</w:t>
      </w:r>
      <w:r w:rsidRPr="005416E7">
        <w:rPr>
          <w:rFonts w:ascii="Verdana" w:eastAsia="Calibri" w:hAnsi="Verdana" w:cs="Arial"/>
          <w:lang w:val="es-ES"/>
        </w:rPr>
        <w:t xml:space="preserve">, que prohíbe a los gobernadores, alcaldes municipales o distritales, secretarios, gerentes y directores de entidades descentralizadas del orden municipal, </w:t>
      </w:r>
      <w:r w:rsidRPr="005416E7">
        <w:rPr>
          <w:rFonts w:ascii="Verdana" w:eastAsia="Calibri" w:hAnsi="Verdana" w:cs="Arial"/>
          <w:lang w:val="es-ES"/>
        </w:rPr>
        <w:lastRenderedPageBreak/>
        <w:t>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416E7">
        <w:rPr>
          <w:rFonts w:ascii="Verdana" w:eastAsia="Calibri" w:hAnsi="Verdana" w:cs="Arial"/>
          <w:vertAlign w:val="superscript"/>
          <w:lang w:val="es-ES"/>
        </w:rPr>
        <w:footnoteReference w:id="8"/>
      </w:r>
      <w:r w:rsidRPr="005416E7">
        <w:rPr>
          <w:rFonts w:ascii="Verdana" w:eastAsia="Calibri" w:hAnsi="Verdana" w:cs="Arial"/>
          <w:lang w:val="es-ES"/>
        </w:rPr>
        <w:t>.</w:t>
      </w:r>
      <w:r w:rsidRPr="005416E7">
        <w:rPr>
          <w:rFonts w:ascii="Verdana" w:eastAsia="Arial" w:hAnsi="Verdana" w:cs="Arial"/>
          <w:lang w:val="es-ES" w:eastAsia="es-ES" w:bidi="es-ES"/>
        </w:rPr>
        <w:t xml:space="preserve"> </w:t>
      </w:r>
    </w:p>
    <w:p w14:paraId="208167CB" w14:textId="77777777" w:rsidR="008D5774" w:rsidRPr="005416E7" w:rsidRDefault="008D5774" w:rsidP="008D577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5416E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1F77A32D" w14:textId="77777777" w:rsidR="008D5774" w:rsidRPr="005416E7" w:rsidRDefault="008D5774" w:rsidP="008D5774">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BBBB350" w14:textId="77777777" w:rsidR="008D5774" w:rsidRPr="005416E7" w:rsidRDefault="008D5774" w:rsidP="008D577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5416E7">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5416E7">
        <w:rPr>
          <w:rFonts w:ascii="Verdana" w:eastAsia="Arial" w:hAnsi="Verdana" w:cs="Arial"/>
          <w:sz w:val="20"/>
          <w:szCs w:val="20"/>
          <w:vertAlign w:val="superscript"/>
          <w:lang w:val="es-ES" w:eastAsia="es-ES" w:bidi="es-ES"/>
        </w:rPr>
        <w:footnoteReference w:id="9"/>
      </w:r>
    </w:p>
    <w:p w14:paraId="7ADAE637" w14:textId="77777777" w:rsidR="008D5774" w:rsidRPr="005416E7" w:rsidRDefault="008D5774" w:rsidP="008D577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3ABECA3C" w14:textId="77777777" w:rsidR="008D5774" w:rsidRDefault="008D5774" w:rsidP="00BD4175">
      <w:pPr>
        <w:spacing w:after="120" w:line="276" w:lineRule="auto"/>
        <w:ind w:firstLine="709"/>
        <w:jc w:val="both"/>
        <w:rPr>
          <w:rFonts w:ascii="Verdana" w:eastAsia="Arial" w:hAnsi="Verdana" w:cs="Arial"/>
          <w:lang w:val="es-ES" w:eastAsia="es-ES" w:bidi="es-ES"/>
        </w:rPr>
      </w:pPr>
      <w:r w:rsidRPr="005416E7">
        <w:rPr>
          <w:rFonts w:ascii="Verdana" w:eastAsia="Arial" w:hAnsi="Verdana" w:cs="Arial"/>
          <w:lang w:val="es-ES" w:eastAsia="es-ES" w:bidi="es-ES"/>
        </w:rPr>
        <w:t xml:space="preserve">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w:t>
      </w:r>
      <w:r w:rsidRPr="005416E7">
        <w:rPr>
          <w:rFonts w:ascii="Verdana" w:eastAsia="Arial" w:hAnsi="Verdana" w:cs="Arial"/>
          <w:lang w:val="es-ES" w:eastAsia="es-ES" w:bidi="es-ES"/>
        </w:rPr>
        <w:lastRenderedPageBreak/>
        <w:t>autoridades allí mencionadas sólo deben aplicar las restricciones contenidas en el parágrafo del artículo 38.</w:t>
      </w:r>
    </w:p>
    <w:p w14:paraId="27E0E27B" w14:textId="6718309A" w:rsidR="0015488B" w:rsidRDefault="0015488B" w:rsidP="008D5774">
      <w:pPr>
        <w:spacing w:after="0" w:line="276" w:lineRule="auto"/>
        <w:ind w:firstLine="709"/>
        <w:jc w:val="both"/>
        <w:rPr>
          <w:rFonts w:ascii="Verdana" w:eastAsia="Arial" w:hAnsi="Verdana" w:cs="Arial"/>
          <w:lang w:val="es-ES" w:eastAsia="es-ES" w:bidi="es-ES"/>
        </w:rPr>
      </w:pPr>
      <w:r>
        <w:rPr>
          <w:rFonts w:ascii="Verdana" w:eastAsia="Arial" w:hAnsi="Verdana" w:cs="Arial"/>
          <w:lang w:eastAsia="es-ES" w:bidi="es-ES"/>
        </w:rPr>
        <w:t xml:space="preserve">De esta manera, el ámbito temporal de las restricciones establecidas en la Ley de Garantías Electorales en materia de contratación estatal siempre es el mismo en periodos preelectorales de las elecciones presidenciales, ya que rigen ambas restricciones durante los 4 meses previos a los comicios. Sin embargo, tratándose de como elecciones parlamentarias o mandatarios locales, rige la restricción del parágrafo del artículo 38. En atención a esto, cuando el calendario electoral contempla elecciones parlamentarias, seguidas de elecciones presidenciales, como en el 2026, las restricciones entran a regir en momentos distintos. Es por esto por lo que, en el escenario actual y reciente, mientras que la restricción del artículo 38 comenzó a regir desde el pasado 8 de noviembre de 2025, la del artículo 33 solo entra regir a partir del 31 de enero de 2026, extendiéndose ambas hasta el 31 de mayo de 2026 o hasta el 21 de junio de 2026, en caso de requerirse segunda vuelta en la contienda presidencial.    </w:t>
      </w:r>
    </w:p>
    <w:p w14:paraId="44613C2F" w14:textId="77777777" w:rsidR="008D5774" w:rsidRPr="005416E7" w:rsidRDefault="008D5774" w:rsidP="008D5774">
      <w:pPr>
        <w:spacing w:after="0" w:line="276" w:lineRule="auto"/>
        <w:ind w:firstLine="709"/>
        <w:jc w:val="both"/>
        <w:rPr>
          <w:rFonts w:ascii="Verdana" w:eastAsia="Arial" w:hAnsi="Verdana" w:cs="Arial"/>
          <w:lang w:val="es-ES" w:eastAsia="es-ES" w:bidi="es-ES"/>
        </w:rPr>
      </w:pPr>
    </w:p>
    <w:p w14:paraId="614EAF7D" w14:textId="77777777" w:rsidR="008D5774" w:rsidRPr="005416E7" w:rsidRDefault="008D5774" w:rsidP="008D5774">
      <w:pPr>
        <w:spacing w:after="0" w:line="276" w:lineRule="auto"/>
        <w:jc w:val="both"/>
        <w:rPr>
          <w:rFonts w:ascii="Verdana" w:eastAsia="Times New Roman" w:hAnsi="Verdana" w:cs="Arial"/>
          <w:lang w:val="es-MX" w:eastAsia="x-none"/>
        </w:rPr>
      </w:pPr>
      <w:proofErr w:type="spellStart"/>
      <w:r w:rsidRPr="005416E7">
        <w:rPr>
          <w:rFonts w:ascii="Verdana" w:eastAsia="Calibri" w:hAnsi="Verdana" w:cs="Arial"/>
          <w:lang w:val="es-ES"/>
        </w:rPr>
        <w:t>iii</w:t>
      </w:r>
      <w:proofErr w:type="spellEnd"/>
      <w:r w:rsidRPr="005416E7">
        <w:rPr>
          <w:rFonts w:ascii="Verdana" w:eastAsia="Calibri" w:hAnsi="Verdana" w:cs="Arial"/>
          <w:lang w:val="es-ES"/>
        </w:rPr>
        <w:t>) Para responder el problema jurídico planteado anteriormente,</w:t>
      </w:r>
      <w:r w:rsidRPr="005416E7">
        <w:rPr>
          <w:rFonts w:ascii="Verdana" w:eastAsia="Calibri" w:hAnsi="Verdana" w:cs="Arial"/>
          <w:lang w:val="es-ES" w:eastAsia="es-ES" w:bidi="es-ES"/>
        </w:rPr>
        <w:t xml:space="preserve"> es necesario hacer énfasis en el alcance que tiene la prohibición establecida en el parágrafo del artículo 38 de la Ley 996 de 2005. La mencionada norma dispone que “Los Gobernadores, Alcaldes, Municipales y/o Distritales, Secretarios, Gerentes y directores de Entidades Descentralizadas del Orden Municipal Departamental o Distrital, dentro de los (4) meses anteriores a las elecciones, no podrán celebrar </w:t>
      </w:r>
      <w:r w:rsidRPr="005416E7">
        <w:rPr>
          <w:rFonts w:ascii="Verdana" w:eastAsia="Calibri" w:hAnsi="Verdana" w:cs="Arial"/>
          <w:i/>
          <w:iCs/>
          <w:lang w:val="es-ES" w:eastAsia="es-ES" w:bidi="es-ES"/>
        </w:rPr>
        <w:t xml:space="preserve">convenios interadministrativos </w:t>
      </w:r>
      <w:r w:rsidRPr="005416E7">
        <w:rPr>
          <w:rFonts w:ascii="Verdana" w:eastAsia="Calibri" w:hAnsi="Verdana" w:cs="Arial"/>
          <w:lang w:val="es-ES" w:eastAsia="es-ES" w:bidi="es-ES"/>
        </w:rPr>
        <w:t xml:space="preserve">para la ejecución de recursos públicos”. </w:t>
      </w:r>
      <w:r w:rsidRPr="005416E7">
        <w:rPr>
          <w:rFonts w:ascii="Verdana" w:eastAsia="Times New Roman" w:hAnsi="Verdana" w:cs="Arial"/>
          <w:lang w:val="es-MX" w:eastAsia="x-none"/>
        </w:rPr>
        <w:t>(Énfasis fuera del texto original)</w:t>
      </w:r>
    </w:p>
    <w:p w14:paraId="22AF3524" w14:textId="77777777" w:rsidR="008D5774" w:rsidRDefault="008D5774" w:rsidP="008D5774">
      <w:pPr>
        <w:spacing w:after="0" w:line="276" w:lineRule="auto"/>
        <w:ind w:left="709" w:right="709"/>
        <w:jc w:val="both"/>
        <w:rPr>
          <w:rFonts w:ascii="Verdana" w:eastAsia="Times New Roman" w:hAnsi="Verdana" w:cs="Arial"/>
          <w:sz w:val="20"/>
          <w:szCs w:val="20"/>
          <w:lang w:val="es-ES" w:eastAsia="es-ES"/>
        </w:rPr>
      </w:pPr>
    </w:p>
    <w:p w14:paraId="36965AAE" w14:textId="77777777" w:rsidR="008D5774" w:rsidRPr="005416E7" w:rsidRDefault="008D5774" w:rsidP="008D5774">
      <w:pPr>
        <w:spacing w:after="0" w:line="240" w:lineRule="auto"/>
        <w:ind w:left="709" w:right="709"/>
        <w:jc w:val="both"/>
        <w:rPr>
          <w:rFonts w:ascii="Verdana" w:hAnsi="Verdana" w:cs="Arial"/>
          <w:sz w:val="20"/>
          <w:szCs w:val="20"/>
          <w:lang w:eastAsia="es-ES"/>
        </w:rPr>
      </w:pPr>
      <w:r w:rsidRPr="005416E7">
        <w:rPr>
          <w:rFonts w:ascii="Verdana" w:eastAsia="Times New Roman" w:hAnsi="Verdana" w:cs="Arial"/>
          <w:sz w:val="20"/>
          <w:szCs w:val="20"/>
          <w:lang w:val="es-ES" w:eastAsia="es-ES"/>
        </w:rPr>
        <w:t xml:space="preserve">Para tales efectos, debe precisarse que </w:t>
      </w:r>
      <w:r w:rsidRPr="005416E7">
        <w:rPr>
          <w:rFonts w:ascii="Verdana" w:eastAsia="Times New Roman" w:hAnsi="Verdana" w:cs="Arial"/>
          <w:color w:val="000000" w:themeColor="text1"/>
          <w:sz w:val="20"/>
          <w:szCs w:val="20"/>
          <w:lang w:val="es-ES" w:eastAsia="es-CO"/>
        </w:rPr>
        <w:t xml:space="preserve">los convenios interadministrativos están determinados por un criterio orgánico, pues es necesario que los extremos de la relación contractual sean entidades públicas, </w:t>
      </w:r>
      <w:r w:rsidRPr="005416E7">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5416E7">
        <w:rPr>
          <w:rFonts w:ascii="Verdana" w:hAnsi="Verdana" w:cs="Arial"/>
          <w:sz w:val="20"/>
          <w:szCs w:val="20"/>
          <w:vertAlign w:val="superscript"/>
          <w:lang w:eastAsia="es-ES"/>
        </w:rPr>
        <w:footnoteReference w:id="10"/>
      </w:r>
      <w:r w:rsidRPr="005416E7">
        <w:rPr>
          <w:rFonts w:ascii="Verdana" w:hAnsi="Verdana" w:cs="Arial"/>
          <w:sz w:val="20"/>
          <w:szCs w:val="20"/>
          <w:lang w:eastAsia="es-ES"/>
        </w:rPr>
        <w:t>.</w:t>
      </w:r>
    </w:p>
    <w:p w14:paraId="41218C51" w14:textId="77777777" w:rsidR="008D5774" w:rsidRDefault="008D5774" w:rsidP="008D5774">
      <w:pPr>
        <w:spacing w:after="0" w:line="276" w:lineRule="auto"/>
        <w:ind w:firstLine="709"/>
        <w:jc w:val="both"/>
        <w:rPr>
          <w:rFonts w:ascii="Verdana" w:hAnsi="Verdana" w:cs="Arial"/>
          <w:color w:val="000000" w:themeColor="text1"/>
          <w:lang w:val="es-ES_tradnl"/>
        </w:rPr>
      </w:pPr>
    </w:p>
    <w:p w14:paraId="3F10E7BA" w14:textId="77777777" w:rsidR="008D5774" w:rsidRPr="005416E7" w:rsidRDefault="008D5774" w:rsidP="008D5774">
      <w:pPr>
        <w:spacing w:after="120" w:line="276" w:lineRule="auto"/>
        <w:ind w:firstLine="709"/>
        <w:jc w:val="both"/>
        <w:rPr>
          <w:rFonts w:ascii="Verdana" w:hAnsi="Verdana" w:cs="Arial"/>
          <w:color w:val="000000" w:themeColor="text1"/>
          <w:lang w:val="es-ES_tradnl"/>
        </w:rPr>
      </w:pPr>
      <w:r w:rsidRPr="005416E7">
        <w:rPr>
          <w:rFonts w:ascii="Verdana" w:hAnsi="Verdana" w:cs="Arial"/>
          <w:color w:val="000000" w:themeColor="text1"/>
          <w:lang w:val="es-ES_tradnl"/>
        </w:rPr>
        <w:lastRenderedPageBreak/>
        <w:t>Si bien los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convenio interadministrativo.</w:t>
      </w:r>
    </w:p>
    <w:p w14:paraId="06969E6B" w14:textId="77777777" w:rsidR="008D5774" w:rsidRPr="005416E7" w:rsidRDefault="008D5774" w:rsidP="008D5774">
      <w:pPr>
        <w:spacing w:before="120" w:after="0" w:line="276" w:lineRule="auto"/>
        <w:ind w:firstLine="708"/>
        <w:jc w:val="both"/>
        <w:rPr>
          <w:rFonts w:ascii="Verdana" w:hAnsi="Verdana" w:cs="Arial"/>
          <w:lang w:val="es-ES_tradnl"/>
        </w:rPr>
      </w:pPr>
      <w:r w:rsidRPr="005416E7">
        <w:rPr>
          <w:rFonts w:ascii="Verdana" w:hAnsi="Verdana" w:cs="Arial"/>
          <w:lang w:val="es-ES"/>
        </w:rPr>
        <w:t>Un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5416E7">
        <w:rPr>
          <w:rFonts w:ascii="Verdana" w:hAnsi="Verdana" w:cs="Arial"/>
          <w:vertAlign w:val="superscript"/>
          <w:lang w:val="es-ES"/>
        </w:rPr>
        <w:footnoteReference w:id="11"/>
      </w:r>
      <w:r w:rsidRPr="005416E7">
        <w:rPr>
          <w:rFonts w:ascii="Verdana" w:hAnsi="Verdana" w:cs="Arial"/>
          <w:lang w:val="es-ES"/>
        </w:rPr>
        <w:t xml:space="preserve">. </w:t>
      </w:r>
    </w:p>
    <w:p w14:paraId="5B482C29" w14:textId="77777777" w:rsidR="008D5774" w:rsidRPr="005416E7" w:rsidRDefault="008D5774" w:rsidP="008D5774">
      <w:pPr>
        <w:spacing w:before="120" w:after="0" w:line="276" w:lineRule="auto"/>
        <w:ind w:firstLine="708"/>
        <w:jc w:val="both"/>
        <w:rPr>
          <w:rFonts w:ascii="Verdana" w:hAnsi="Verdana" w:cs="Arial"/>
          <w:lang w:val="es-ES"/>
        </w:rPr>
      </w:pPr>
      <w:r w:rsidRPr="005416E7">
        <w:rPr>
          <w:rFonts w:ascii="Verdana" w:hAnsi="Verdana" w:cs="Arial"/>
          <w:lang w:val="es-ES"/>
        </w:rPr>
        <w:t>De igual manera, es necesario tener en cuenta que para que un convenio interadministrativo exista debe cumplir con los siguientes elementos: acuerdo sobre el objeto y la contraprestación y que conste por escrito</w:t>
      </w:r>
      <w:r w:rsidRPr="005416E7">
        <w:rPr>
          <w:rFonts w:ascii="Verdana" w:hAnsi="Verdana" w:cs="Arial"/>
          <w:vertAlign w:val="superscript"/>
          <w:lang w:val="es-ES"/>
        </w:rPr>
        <w:footnoteReference w:id="12"/>
      </w:r>
      <w:r w:rsidRPr="005416E7">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7AD3110F" w14:textId="77777777" w:rsidR="008D5774" w:rsidRPr="005416E7" w:rsidRDefault="008D5774" w:rsidP="008D5774">
      <w:pPr>
        <w:spacing w:before="120" w:after="0" w:line="276" w:lineRule="auto"/>
        <w:ind w:firstLine="708"/>
        <w:jc w:val="both"/>
        <w:rPr>
          <w:rFonts w:ascii="Verdana" w:eastAsia="Times New Roman" w:hAnsi="Verdana" w:cs="Arial"/>
          <w:lang w:val="es-MX" w:eastAsia="es-CO"/>
        </w:rPr>
      </w:pPr>
      <w:r w:rsidRPr="005416E7">
        <w:rPr>
          <w:rFonts w:ascii="Verdana" w:eastAsia="Arial" w:hAnsi="Verdana" w:cs="Arial"/>
          <w:lang w:val="es-MX" w:eastAsia="es-ES" w:bidi="es-ES"/>
        </w:rPr>
        <w:t>De esta manera, se</w:t>
      </w:r>
      <w:r w:rsidRPr="005416E7">
        <w:rPr>
          <w:rFonts w:ascii="Verdana" w:eastAsia="Times New Roman" w:hAnsi="Verdana" w:cs="Arial"/>
          <w:lang w:eastAsia="es-CO"/>
        </w:rPr>
        <w:t xml:space="preserve"> observa entonces que </w:t>
      </w:r>
      <w:r w:rsidRPr="005416E7">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5416E7">
        <w:rPr>
          <w:rFonts w:ascii="Verdana" w:eastAsia="Times New Roman" w:hAnsi="Verdana" w:cs="Arial"/>
          <w:i/>
          <w:iCs/>
          <w:lang w:val="es-MX" w:eastAsia="es-CO"/>
        </w:rPr>
        <w:t>convenios interadministrativos</w:t>
      </w:r>
      <w:r w:rsidRPr="005416E7">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5416E7">
        <w:rPr>
          <w:rFonts w:ascii="Verdana" w:eastAsia="Times New Roman" w:hAnsi="Verdana" w:cs="Arial"/>
          <w:i/>
          <w:lang w:val="es-MX" w:eastAsia="es-CO"/>
        </w:rPr>
        <w:t>ibidem</w:t>
      </w:r>
      <w:r w:rsidRPr="005416E7">
        <w:rPr>
          <w:rFonts w:ascii="Verdana" w:eastAsia="Times New Roman" w:hAnsi="Verdana" w:cs="Arial"/>
          <w:lang w:val="es-MX" w:eastAsia="es-CO"/>
        </w:rPr>
        <w:t xml:space="preserve">, no podrá celebrar tales </w:t>
      </w:r>
      <w:r w:rsidRPr="005416E7">
        <w:rPr>
          <w:rFonts w:ascii="Verdana" w:eastAsia="Times New Roman" w:hAnsi="Verdana" w:cs="Arial"/>
          <w:i/>
          <w:iCs/>
          <w:lang w:val="es-MX" w:eastAsia="es-CO"/>
        </w:rPr>
        <w:t>convenios</w:t>
      </w:r>
      <w:r w:rsidRPr="005416E7">
        <w:rPr>
          <w:rFonts w:ascii="Verdana" w:eastAsia="Times New Roman" w:hAnsi="Verdana" w:cs="Arial"/>
          <w:lang w:val="es-MX" w:eastAsia="es-CO"/>
        </w:rPr>
        <w:t xml:space="preserve"> </w:t>
      </w:r>
      <w:r w:rsidRPr="005416E7">
        <w:rPr>
          <w:rFonts w:ascii="Verdana" w:eastAsia="Times New Roman" w:hAnsi="Verdana" w:cs="Arial"/>
          <w:lang w:val="es-MX" w:eastAsia="es-CO"/>
        </w:rPr>
        <w:lastRenderedPageBreak/>
        <w:t>durante la aplicación de la Ley de Garantías Electorales, toda vez que la citada disposición hace referencia a dicha tipología contractual sin que el legislador hubiere contemplado un efecto extensivo a otra tipología.</w:t>
      </w:r>
    </w:p>
    <w:p w14:paraId="0E42696F" w14:textId="77777777" w:rsidR="008D5774" w:rsidRPr="005416E7" w:rsidRDefault="008D5774" w:rsidP="008D5774">
      <w:pPr>
        <w:spacing w:before="120" w:after="0" w:line="276" w:lineRule="auto"/>
        <w:ind w:firstLine="708"/>
        <w:jc w:val="both"/>
        <w:rPr>
          <w:rFonts w:ascii="Verdana" w:eastAsia="Times New Roman" w:hAnsi="Verdana" w:cs="Arial"/>
          <w:i/>
          <w:iCs/>
          <w:lang w:eastAsia="es-CO"/>
        </w:rPr>
      </w:pPr>
      <w:r w:rsidRPr="005416E7">
        <w:rPr>
          <w:rFonts w:ascii="Verdana" w:hAnsi="Verdana" w:cs="Arial"/>
          <w:lang w:val="es-ES_tradnl"/>
        </w:rPr>
        <w:t xml:space="preserve">Ahora bien, con respecto al alcance de la prohibición en mención, la Circular Externa No. 006 de 2025 expedida por la ANCP-CCE, en sus literales </w:t>
      </w:r>
      <w:proofErr w:type="spellStart"/>
      <w:r w:rsidRPr="005416E7">
        <w:rPr>
          <w:rFonts w:ascii="Verdana" w:hAnsi="Verdana" w:cs="Arial"/>
          <w:lang w:val="es-ES_tradnl"/>
        </w:rPr>
        <w:t>ii</w:t>
      </w:r>
      <w:proofErr w:type="spellEnd"/>
      <w:r w:rsidRPr="005416E7">
        <w:rPr>
          <w:rFonts w:ascii="Verdana" w:hAnsi="Verdana" w:cs="Arial"/>
          <w:lang w:val="es-ES_tradnl"/>
        </w:rPr>
        <w:t xml:space="preserve">) y </w:t>
      </w:r>
      <w:proofErr w:type="spellStart"/>
      <w:r w:rsidRPr="005416E7">
        <w:rPr>
          <w:rFonts w:ascii="Verdana" w:hAnsi="Verdana" w:cs="Arial"/>
          <w:lang w:val="es-ES_tradnl"/>
        </w:rPr>
        <w:t>iv</w:t>
      </w:r>
      <w:proofErr w:type="spellEnd"/>
      <w:r w:rsidRPr="005416E7">
        <w:rPr>
          <w:rFonts w:ascii="Verdana" w:hAnsi="Verdana" w:cs="Arial"/>
          <w:lang w:val="es-ES_tradnl"/>
        </w:rPr>
        <w:t xml:space="preserve">) del numeral 2, indica que el parágrafo del artículo 38 de la Ley 996 de 2005 cobija expresamente a los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en los que se contemple la ejecución de recursos públicos. Además, precisa que el parágrafo referido no estableció ningún supuesto que exceptúe la aplicación de dicha prohibición, por lo que, la restricción referida a la celebración de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aplicará a los sujetos allí celebrados </w:t>
      </w:r>
      <w:r w:rsidRPr="005416E7">
        <w:rPr>
          <w:rFonts w:ascii="Verdana" w:eastAsia="Times New Roman" w:hAnsi="Verdana" w:cs="Arial"/>
          <w:i/>
          <w:iCs/>
          <w:lang w:eastAsia="es-CO"/>
        </w:rPr>
        <w:t>“aunque se configure alguno de los supuestos de excepción que señaló el inciso final del artículo 33”.</w:t>
      </w:r>
    </w:p>
    <w:p w14:paraId="24D379E7" w14:textId="77777777" w:rsidR="008D5774" w:rsidRPr="005416E7" w:rsidRDefault="008D5774" w:rsidP="008D5774">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5416E7">
        <w:rPr>
          <w:rFonts w:ascii="Verdana" w:eastAsia="Times New Roman" w:hAnsi="Verdana" w:cs="Arial"/>
          <w:i/>
          <w:iCs/>
          <w:lang w:eastAsia="es-CO"/>
        </w:rPr>
        <w:t>convenios interadministrativos</w:t>
      </w:r>
      <w:r w:rsidRPr="005416E7">
        <w:rPr>
          <w:rFonts w:ascii="Verdana" w:eastAsia="Times New Roman" w:hAnsi="Verdana" w:cs="Arial"/>
          <w:lang w:eastAsia="es-CO"/>
        </w:rPr>
        <w:t xml:space="preserve"> en los que se contemple la </w:t>
      </w:r>
      <w:r w:rsidRPr="005416E7">
        <w:rPr>
          <w:rFonts w:ascii="Verdana" w:eastAsia="Times New Roman" w:hAnsi="Verdana" w:cs="Arial"/>
          <w:i/>
          <w:iCs/>
          <w:lang w:eastAsia="es-CO"/>
        </w:rPr>
        <w:t>ejecución de recursos públicos</w:t>
      </w:r>
      <w:r w:rsidRPr="005416E7">
        <w:rPr>
          <w:rFonts w:ascii="Verdana" w:eastAsia="Times New Roman" w:hAnsi="Verdana" w:cs="Arial"/>
          <w:lang w:eastAsia="es-CO"/>
        </w:rPr>
        <w:t xml:space="preserve">. Esto significa que la prohibición no resulta aplicable a </w:t>
      </w:r>
      <w:r w:rsidRPr="005416E7">
        <w:rPr>
          <w:rFonts w:ascii="Verdana" w:eastAsia="Times New Roman" w:hAnsi="Verdana" w:cs="Arial"/>
          <w:i/>
          <w:iCs/>
          <w:lang w:eastAsia="es-CO"/>
        </w:rPr>
        <w:t>convenios interadministrativos a título gratuito,</w:t>
      </w:r>
      <w:r w:rsidRPr="005416E7">
        <w:rPr>
          <w:rFonts w:ascii="Verdana" w:eastAsia="Times New Roman" w:hAnsi="Verdana" w:cs="Arial"/>
          <w:lang w:eastAsia="es-CO"/>
        </w:rPr>
        <w:t xml:space="preserve"> los cuales pueden celebrarse válidamente durante la vigencia de la mencionada restricción. </w:t>
      </w:r>
    </w:p>
    <w:p w14:paraId="5FF85DB2" w14:textId="77777777" w:rsidR="008D5774" w:rsidRPr="005416E7" w:rsidRDefault="008D5774" w:rsidP="008D5774">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Por lo tanto, conforme a lo dispuesto en la Circular referida, si se suscriben </w:t>
      </w:r>
      <w:r w:rsidRPr="005416E7">
        <w:rPr>
          <w:rFonts w:ascii="Verdana" w:eastAsia="Times New Roman" w:hAnsi="Verdana" w:cs="Arial"/>
          <w:i/>
          <w:iCs/>
          <w:lang w:eastAsia="es-CO"/>
        </w:rPr>
        <w:t>convenios interadministrativos para la ejecución de recursos públicos</w:t>
      </w:r>
      <w:r w:rsidRPr="005416E7">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5416E7">
        <w:rPr>
          <w:rFonts w:ascii="Verdana" w:eastAsia="Times New Roman" w:hAnsi="Verdana" w:cs="Arial"/>
          <w:i/>
          <w:iCs/>
          <w:lang w:eastAsia="es-CO"/>
        </w:rPr>
        <w:t>ibidem</w:t>
      </w:r>
      <w:r w:rsidRPr="005416E7">
        <w:rPr>
          <w:rFonts w:ascii="Verdana" w:eastAsia="Times New Roman" w:hAnsi="Verdana" w:cs="Arial"/>
          <w:lang w:eastAsia="es-CO"/>
        </w:rPr>
        <w:t>, independientemente de que se configure alguno de los supuestos de excepción que señaló el inciso final del artículo 33, es decir, que se trate de:</w:t>
      </w:r>
      <w:r w:rsidRPr="005416E7">
        <w:rPr>
          <w:rFonts w:ascii="Verdana" w:hAnsi="Verdana" w:cs="Arial"/>
          <w:bCs/>
          <w:lang w:val="es-MX" w:eastAsia="x-none"/>
        </w:rPr>
        <w:t xml:space="preserve"> i) la defensa y seguridad del Estado; </w:t>
      </w:r>
      <w:proofErr w:type="spellStart"/>
      <w:r w:rsidRPr="005416E7">
        <w:rPr>
          <w:rFonts w:ascii="Verdana" w:hAnsi="Verdana" w:cs="Arial"/>
          <w:bCs/>
          <w:lang w:val="es-MX" w:eastAsia="x-none"/>
        </w:rPr>
        <w:t>ii</w:t>
      </w:r>
      <w:proofErr w:type="spellEnd"/>
      <w:r w:rsidRPr="005416E7">
        <w:rPr>
          <w:rFonts w:ascii="Verdana" w:hAnsi="Verdana" w:cs="Arial"/>
          <w:bCs/>
          <w:lang w:val="es-MX" w:eastAsia="x-none"/>
        </w:rPr>
        <w:t xml:space="preserve">) los contratos de crédito público; </w:t>
      </w:r>
      <w:proofErr w:type="spellStart"/>
      <w:r w:rsidRPr="005416E7">
        <w:rPr>
          <w:rFonts w:ascii="Verdana" w:hAnsi="Verdana" w:cs="Arial"/>
          <w:bCs/>
          <w:lang w:val="es-MX" w:eastAsia="x-none"/>
        </w:rPr>
        <w:t>iii</w:t>
      </w:r>
      <w:proofErr w:type="spellEnd"/>
      <w:r w:rsidRPr="005416E7">
        <w:rPr>
          <w:rFonts w:ascii="Verdana" w:hAnsi="Verdana" w:cs="Arial"/>
          <w:bCs/>
          <w:lang w:val="es-MX" w:eastAsia="x-none"/>
        </w:rPr>
        <w:t xml:space="preserve">) los requeridos para cubrir las emergencias educativas, sanitarias y desastres; </w:t>
      </w:r>
      <w:proofErr w:type="spellStart"/>
      <w:r w:rsidRPr="005416E7">
        <w:rPr>
          <w:rFonts w:ascii="Verdana" w:hAnsi="Verdana" w:cs="Arial"/>
          <w:bCs/>
          <w:lang w:val="es-MX" w:eastAsia="x-none"/>
        </w:rPr>
        <w:t>iv</w:t>
      </w:r>
      <w:proofErr w:type="spellEnd"/>
      <w:r w:rsidRPr="005416E7">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416E7">
        <w:rPr>
          <w:rFonts w:ascii="Verdana" w:hAnsi="Verdana" w:cs="Arial"/>
          <w:bCs/>
          <w:lang w:val="es-MX" w:eastAsia="es-CO"/>
        </w:rPr>
        <w:t xml:space="preserve"> </w:t>
      </w:r>
      <w:r w:rsidRPr="005416E7">
        <w:rPr>
          <w:rFonts w:ascii="Verdana" w:eastAsia="Times New Roman" w:hAnsi="Verdana" w:cs="Arial"/>
          <w:lang w:eastAsia="es-CO"/>
        </w:rPr>
        <w:t xml:space="preserve">  </w:t>
      </w:r>
    </w:p>
    <w:p w14:paraId="562F5A24" w14:textId="77777777" w:rsidR="008D5774" w:rsidRPr="005416E7" w:rsidRDefault="008D5774" w:rsidP="008D5774">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En este punto, teniendo en cuenta lo señalado en el contenido de su petición, vale la pena destacar que, </w:t>
      </w:r>
      <w:r w:rsidRPr="005416E7">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5416E7">
        <w:rPr>
          <w:rFonts w:ascii="Verdana" w:hAnsi="Verdana" w:cs="Arial"/>
        </w:rPr>
        <w:t xml:space="preserve">numeral 16.2 de la Circular Externa Única de 2022 expedida por la Agencia Nacional de Contratación Pública -Colombia </w:t>
      </w:r>
      <w:r w:rsidRPr="005416E7">
        <w:rPr>
          <w:rFonts w:ascii="Verdana" w:hAnsi="Verdana" w:cs="Arial"/>
        </w:rPr>
        <w:lastRenderedPageBreak/>
        <w:t>Compra Eficiente-, concretamente, respecto de los siguientes apartes normativos</w:t>
      </w:r>
      <w:r w:rsidRPr="005416E7">
        <w:rPr>
          <w:rFonts w:ascii="Verdana" w:hAnsi="Verdana" w:cs="Arial"/>
          <w:vertAlign w:val="superscript"/>
        </w:rPr>
        <w:footnoteReference w:id="13"/>
      </w:r>
      <w:r w:rsidRPr="005416E7">
        <w:rPr>
          <w:rFonts w:ascii="Verdana" w:hAnsi="Verdana" w:cs="Arial"/>
        </w:rPr>
        <w:t xml:space="preserve">: </w:t>
      </w:r>
    </w:p>
    <w:p w14:paraId="29F1AEF7" w14:textId="77777777" w:rsidR="0015488B" w:rsidRDefault="0015488B" w:rsidP="008D5774">
      <w:pPr>
        <w:spacing w:after="0" w:line="240" w:lineRule="auto"/>
        <w:ind w:left="709" w:right="709"/>
        <w:jc w:val="both"/>
        <w:rPr>
          <w:rFonts w:ascii="Verdana" w:hAnsi="Verdana" w:cs="Arial"/>
          <w:sz w:val="20"/>
          <w:szCs w:val="20"/>
          <w:lang w:val="es-MX"/>
        </w:rPr>
      </w:pPr>
    </w:p>
    <w:p w14:paraId="6FF9F2A1" w14:textId="3FE0B820" w:rsidR="008D5774" w:rsidRPr="005416E7" w:rsidRDefault="0015488B" w:rsidP="008D5774">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008D5774" w:rsidRPr="005416E7">
        <w:rPr>
          <w:rFonts w:ascii="Verdana" w:hAnsi="Verdana" w:cs="Arial"/>
          <w:sz w:val="20"/>
          <w:szCs w:val="20"/>
          <w:lang w:val="es-MX"/>
        </w:rPr>
        <w:t>i)</w:t>
      </w:r>
      <w:r w:rsidR="008D5774" w:rsidRPr="005416E7">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2DE0DFC" w14:textId="77777777" w:rsidR="008D5774" w:rsidRPr="005416E7" w:rsidRDefault="008D5774" w:rsidP="008D5774">
      <w:pPr>
        <w:spacing w:after="0" w:line="240" w:lineRule="auto"/>
        <w:ind w:left="709" w:right="709"/>
        <w:jc w:val="both"/>
        <w:rPr>
          <w:rFonts w:ascii="Verdana" w:hAnsi="Verdana" w:cs="Arial"/>
          <w:sz w:val="20"/>
          <w:szCs w:val="20"/>
        </w:rPr>
      </w:pPr>
    </w:p>
    <w:p w14:paraId="7BCB745B" w14:textId="77777777" w:rsidR="008D5774" w:rsidRPr="005416E7" w:rsidRDefault="008D5774" w:rsidP="008D5774">
      <w:pPr>
        <w:spacing w:after="0" w:line="240" w:lineRule="auto"/>
        <w:ind w:left="709" w:right="709"/>
        <w:jc w:val="both"/>
        <w:rPr>
          <w:rFonts w:ascii="Verdana" w:hAnsi="Verdana" w:cs="Arial"/>
          <w:sz w:val="20"/>
          <w:szCs w:val="20"/>
        </w:rPr>
      </w:pPr>
      <w:proofErr w:type="spellStart"/>
      <w:r w:rsidRPr="005416E7">
        <w:rPr>
          <w:rFonts w:ascii="Verdana" w:hAnsi="Verdana" w:cs="Arial"/>
          <w:sz w:val="20"/>
          <w:szCs w:val="20"/>
        </w:rPr>
        <w:t>ii</w:t>
      </w:r>
      <w:proofErr w:type="spellEnd"/>
      <w:r w:rsidRPr="005416E7">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73BB1E8" w14:textId="77777777" w:rsidR="008D5774" w:rsidRPr="005416E7" w:rsidRDefault="008D5774" w:rsidP="008D5774">
      <w:pPr>
        <w:spacing w:after="0" w:line="276" w:lineRule="auto"/>
        <w:ind w:left="709" w:right="709"/>
        <w:jc w:val="both"/>
        <w:rPr>
          <w:rFonts w:ascii="Verdana" w:hAnsi="Verdana" w:cs="Arial"/>
        </w:rPr>
      </w:pPr>
    </w:p>
    <w:p w14:paraId="5824EC05" w14:textId="77777777" w:rsidR="008D5774" w:rsidRPr="005416E7" w:rsidRDefault="008D5774" w:rsidP="008D5774">
      <w:pPr>
        <w:spacing w:after="120" w:line="276" w:lineRule="auto"/>
        <w:ind w:firstLine="709"/>
        <w:jc w:val="both"/>
        <w:rPr>
          <w:rFonts w:ascii="Verdana" w:eastAsia="Arial" w:hAnsi="Verdana" w:cs="Arial"/>
          <w:i/>
          <w:iCs/>
          <w:lang w:eastAsia="es-ES" w:bidi="es-ES"/>
        </w:rPr>
      </w:pPr>
      <w:r w:rsidRPr="005416E7">
        <w:rPr>
          <w:rFonts w:ascii="Verdana" w:eastAsia="Arial" w:hAnsi="Verdana" w:cs="Arial"/>
          <w:lang w:val="es-MX" w:eastAsia="es-ES" w:bidi="es-ES"/>
        </w:rPr>
        <w:t xml:space="preserve">De conformidad con los argumentos de dicha providencia, se parte de la distinción entre los conceptos </w:t>
      </w:r>
      <w:r w:rsidRPr="005416E7">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5416E7">
        <w:rPr>
          <w:rFonts w:ascii="Verdana" w:hAnsi="Verdana"/>
          <w:sz w:val="24"/>
          <w:szCs w:val="24"/>
          <w:lang w:eastAsia="es-CO"/>
        </w:rPr>
        <w:t xml:space="preserve"> </w:t>
      </w:r>
      <w:r w:rsidRPr="005416E7">
        <w:rPr>
          <w:rFonts w:ascii="Verdana" w:eastAsia="Arial" w:hAnsi="Verdana" w:cs="Arial"/>
          <w:lang w:eastAsia="es-ES" w:bidi="es-ES"/>
        </w:rPr>
        <w:t xml:space="preserve">En este sentido, en relación con el parágrafo del artículo 38 de la Ley 996 de 2005 concluyó que </w:t>
      </w:r>
      <w:r w:rsidRPr="005416E7">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5416E7">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5416E7">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B7F5462" w14:textId="77777777" w:rsidR="008D5774" w:rsidRPr="005416E7" w:rsidRDefault="008D5774" w:rsidP="008D5774">
      <w:pPr>
        <w:spacing w:after="120" w:line="276" w:lineRule="auto"/>
        <w:ind w:firstLine="709"/>
        <w:jc w:val="both"/>
        <w:rPr>
          <w:rFonts w:ascii="Verdana" w:eastAsia="Arial" w:hAnsi="Verdana" w:cs="Arial"/>
          <w:lang w:eastAsia="es-ES" w:bidi="es-ES"/>
        </w:rPr>
      </w:pPr>
      <w:r w:rsidRPr="005416E7">
        <w:rPr>
          <w:rFonts w:ascii="Verdana" w:eastAsia="Arial" w:hAnsi="Verdana" w:cs="Arial"/>
          <w:lang w:eastAsia="es-ES" w:bidi="es-ES"/>
        </w:rPr>
        <w:lastRenderedPageBreak/>
        <w:t>De igual manera, mediante auto del 6 de noviembre de 2025, el Consejo de Estado, Subsección A de la Sección Tercera, decretó</w:t>
      </w:r>
      <w:r w:rsidRPr="005416E7">
        <w:rPr>
          <w:rFonts w:ascii="Verdana" w:eastAsia="Arial" w:hAnsi="Verdana" w:cs="Arial"/>
          <w:b/>
          <w:bCs/>
          <w:lang w:eastAsia="es-ES" w:bidi="es-ES"/>
        </w:rPr>
        <w:t xml:space="preserve"> </w:t>
      </w:r>
      <w:r w:rsidRPr="005416E7">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5416E7">
        <w:rPr>
          <w:rFonts w:ascii="Verdana" w:eastAsia="Arial" w:hAnsi="Verdana" w:cs="Arial"/>
          <w:vertAlign w:val="superscript"/>
          <w:lang w:eastAsia="es-ES" w:bidi="es-ES"/>
        </w:rPr>
        <w:footnoteReference w:id="14"/>
      </w:r>
      <w:r w:rsidRPr="005416E7">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5416E7">
        <w:rPr>
          <w:rFonts w:ascii="Verdana" w:eastAsia="Arial" w:hAnsi="Verdana" w:cs="Arial"/>
          <w:lang w:eastAsia="es-ES" w:bidi="es-ES"/>
        </w:rPr>
        <w:t>legis</w:t>
      </w:r>
      <w:proofErr w:type="spellEnd"/>
      <w:r w:rsidRPr="005416E7">
        <w:rPr>
          <w:rFonts w:ascii="Verdana" w:eastAsia="Arial" w:hAnsi="Verdana" w:cs="Arial"/>
          <w:lang w:eastAsia="es-ES" w:bidi="es-ES"/>
        </w:rPr>
        <w:t xml:space="preserve"> o iuris y la interpretación extensiva y reiteró los argumentos sobre la diferencia entre contratos y convenios interadministrativos. </w:t>
      </w:r>
    </w:p>
    <w:p w14:paraId="7ED501E6" w14:textId="77777777" w:rsidR="008D5774" w:rsidRPr="005416E7" w:rsidRDefault="008D5774" w:rsidP="008D5774">
      <w:pPr>
        <w:spacing w:after="120" w:line="276" w:lineRule="auto"/>
        <w:ind w:firstLine="709"/>
        <w:jc w:val="both"/>
        <w:rPr>
          <w:rFonts w:ascii="Verdana" w:eastAsia="Times New Roman" w:hAnsi="Verdana" w:cs="Times New Roman"/>
          <w:lang w:eastAsia="es-ES"/>
        </w:rPr>
      </w:pPr>
      <w:r w:rsidRPr="005416E7">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5416E7">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BFBD470" w14:textId="60F906A5" w:rsidR="008D5774" w:rsidRPr="005416E7" w:rsidRDefault="008D5774" w:rsidP="008D5774">
      <w:pPr>
        <w:spacing w:after="120" w:line="276" w:lineRule="auto"/>
        <w:ind w:firstLine="709"/>
        <w:jc w:val="both"/>
        <w:rPr>
          <w:rFonts w:ascii="Verdana" w:eastAsia="Times New Roman" w:hAnsi="Verdana" w:cs="Times New Roman"/>
          <w:lang w:eastAsia="es-ES"/>
        </w:rPr>
      </w:pPr>
      <w:r w:rsidRPr="005416E7">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5416E7">
        <w:rPr>
          <w:rStyle w:val="Refdenotaalpie"/>
          <w:rFonts w:ascii="Verdana" w:eastAsia="Times New Roman" w:hAnsi="Verdana" w:cs="Times New Roman"/>
          <w:lang w:eastAsia="es-ES"/>
        </w:rPr>
        <w:footnoteReference w:id="15"/>
      </w:r>
      <w:r w:rsidRPr="005416E7">
        <w:rPr>
          <w:rFonts w:ascii="Verdana" w:eastAsia="Times New Roman" w:hAnsi="Verdana" w:cs="Times New Roman"/>
          <w:lang w:eastAsia="es-ES"/>
        </w:rPr>
        <w:t xml:space="preserve">. Sobre el </w:t>
      </w:r>
      <w:r w:rsidRPr="005416E7">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r w:rsidR="00395FD0">
        <w:rPr>
          <w:rFonts w:ascii="Verdana" w:eastAsia="Times New Roman" w:hAnsi="Verdana" w:cs="Times New Roman"/>
          <w:lang w:eastAsia="es-ES"/>
        </w:rPr>
        <w:t xml:space="preserve"> </w:t>
      </w:r>
      <w:r w:rsidRPr="005416E7">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27118795" w14:textId="04A4EFAA" w:rsidR="008D5774" w:rsidRDefault="00395FD0" w:rsidP="008D5774">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w:t>
      </w:r>
      <w:r w:rsidR="008D5774" w:rsidRPr="005416E7">
        <w:rPr>
          <w:rFonts w:ascii="Verdana" w:eastAsia="Times New Roman" w:hAnsi="Verdana" w:cs="Arial"/>
          <w:lang w:eastAsia="es-CO"/>
        </w:rPr>
        <w:t xml:space="preserve">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008D5774" w:rsidRPr="005416E7">
        <w:rPr>
          <w:rFonts w:ascii="Verdana" w:eastAsia="Times New Roman" w:hAnsi="Verdana" w:cs="Arial"/>
          <w:i/>
          <w:iCs/>
          <w:lang w:eastAsia="es-CO"/>
        </w:rPr>
        <w:t>contratos interadministrativos</w:t>
      </w:r>
      <w:r w:rsidR="008D5774" w:rsidRPr="005416E7">
        <w:rPr>
          <w:rFonts w:ascii="Verdana" w:eastAsia="Times New Roman" w:hAnsi="Verdana" w:cs="Arial"/>
          <w:lang w:eastAsia="es-CO"/>
        </w:rPr>
        <w:t>, esta prohibición solo aplicaría a los convenios interadministrativos que impliquen la ejecución de recursos públicos</w:t>
      </w:r>
      <w:r w:rsidR="008D5774" w:rsidRPr="005416E7">
        <w:rPr>
          <w:rStyle w:val="Refdenotaalpie"/>
          <w:rFonts w:ascii="Verdana" w:eastAsia="Times New Roman" w:hAnsi="Verdana" w:cs="Arial"/>
          <w:lang w:eastAsia="es-CO"/>
        </w:rPr>
        <w:footnoteReference w:id="16"/>
      </w:r>
      <w:r w:rsidR="008D5774" w:rsidRPr="005416E7">
        <w:rPr>
          <w:rFonts w:ascii="Verdana" w:eastAsia="Times New Roman" w:hAnsi="Verdana" w:cs="Arial"/>
          <w:lang w:eastAsia="es-CO"/>
        </w:rPr>
        <w:t>.</w:t>
      </w:r>
    </w:p>
    <w:p w14:paraId="04020BAE" w14:textId="77777777" w:rsidR="005259F2" w:rsidRDefault="009F05FF" w:rsidP="00C831EC">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Con todo,</w:t>
      </w:r>
      <w:r w:rsidR="00395FD0">
        <w:rPr>
          <w:rFonts w:ascii="Verdana" w:eastAsia="Times New Roman" w:hAnsi="Verdana" w:cs="Arial"/>
          <w:lang w:eastAsia="es-CO"/>
        </w:rPr>
        <w:t xml:space="preserve"> en aras de responder de </w:t>
      </w:r>
      <w:r w:rsidR="00C00F79">
        <w:rPr>
          <w:rFonts w:ascii="Verdana" w:eastAsia="Times New Roman" w:hAnsi="Verdana" w:cs="Arial"/>
          <w:lang w:eastAsia="es-CO"/>
        </w:rPr>
        <w:t>manera precisa al objeto de la consulta,</w:t>
      </w:r>
      <w:r>
        <w:rPr>
          <w:rFonts w:ascii="Verdana" w:eastAsia="Times New Roman" w:hAnsi="Verdana" w:cs="Arial"/>
          <w:lang w:eastAsia="es-CO"/>
        </w:rPr>
        <w:t xml:space="preserve"> </w:t>
      </w:r>
      <w:r w:rsidR="00A300AA">
        <w:rPr>
          <w:rFonts w:ascii="Verdana" w:eastAsia="Times New Roman" w:hAnsi="Verdana" w:cs="Arial"/>
          <w:lang w:eastAsia="es-CO"/>
        </w:rPr>
        <w:t>es necesario tener en cuenta</w:t>
      </w:r>
      <w:r>
        <w:rPr>
          <w:rFonts w:ascii="Verdana" w:eastAsia="Times New Roman" w:hAnsi="Verdana" w:cs="Arial"/>
          <w:lang w:eastAsia="es-CO"/>
        </w:rPr>
        <w:t xml:space="preserve"> que</w:t>
      </w:r>
      <w:r w:rsidR="00A300AA">
        <w:rPr>
          <w:rFonts w:ascii="Verdana" w:eastAsia="Times New Roman" w:hAnsi="Verdana" w:cs="Arial"/>
          <w:lang w:eastAsia="es-CO"/>
        </w:rPr>
        <w:t>,</w:t>
      </w:r>
      <w:r>
        <w:rPr>
          <w:rFonts w:ascii="Verdana" w:eastAsia="Times New Roman" w:hAnsi="Verdana" w:cs="Arial"/>
          <w:lang w:eastAsia="es-CO"/>
        </w:rPr>
        <w:t xml:space="preserve"> </w:t>
      </w:r>
      <w:r w:rsidR="0090530F">
        <w:rPr>
          <w:rFonts w:ascii="Verdana" w:eastAsia="Times New Roman" w:hAnsi="Verdana" w:cs="Arial"/>
          <w:lang w:eastAsia="es-CO"/>
        </w:rPr>
        <w:t xml:space="preserve">el ordenamiento jurídico dispone que la modalidad aplicable </w:t>
      </w:r>
      <w:r w:rsidR="00DF1C4B">
        <w:rPr>
          <w:rFonts w:ascii="Verdana" w:eastAsia="Times New Roman" w:hAnsi="Verdana" w:cs="Arial"/>
          <w:lang w:eastAsia="es-CO"/>
        </w:rPr>
        <w:t xml:space="preserve">para la celebración de </w:t>
      </w:r>
      <w:r w:rsidR="0015650E">
        <w:rPr>
          <w:rFonts w:ascii="Verdana" w:eastAsia="Times New Roman" w:hAnsi="Verdana" w:cs="Arial"/>
          <w:lang w:eastAsia="es-CO"/>
        </w:rPr>
        <w:t>convenios interadministrativos</w:t>
      </w:r>
      <w:r w:rsidR="00DF1C4B">
        <w:rPr>
          <w:rFonts w:ascii="Verdana" w:eastAsia="Times New Roman" w:hAnsi="Verdana" w:cs="Arial"/>
          <w:lang w:eastAsia="es-CO"/>
        </w:rPr>
        <w:t xml:space="preserve"> es la contratación directa, conforme expresamente lo dispone el artículo</w:t>
      </w:r>
      <w:r w:rsidR="00C53B15">
        <w:rPr>
          <w:rFonts w:ascii="Verdana" w:eastAsia="Times New Roman" w:hAnsi="Verdana" w:cs="Arial"/>
          <w:lang w:eastAsia="es-CO"/>
        </w:rPr>
        <w:t xml:space="preserve"> </w:t>
      </w:r>
      <w:r w:rsidR="00C53B15" w:rsidRPr="00C53B15">
        <w:rPr>
          <w:rFonts w:ascii="Verdana" w:eastAsia="Times New Roman" w:hAnsi="Verdana" w:cs="Arial"/>
          <w:lang w:eastAsia="es-CO"/>
        </w:rPr>
        <w:t>2.2.1.2.1.4.4.</w:t>
      </w:r>
      <w:r w:rsidR="00C53B15">
        <w:rPr>
          <w:rFonts w:ascii="Verdana" w:eastAsia="Times New Roman" w:hAnsi="Verdana" w:cs="Arial"/>
          <w:lang w:eastAsia="es-CO"/>
        </w:rPr>
        <w:t xml:space="preserve"> del Decreto 1082 de 2015</w:t>
      </w:r>
      <w:r w:rsidR="00C53B15">
        <w:rPr>
          <w:rStyle w:val="Refdenotaalpie"/>
          <w:rFonts w:ascii="Verdana" w:eastAsia="Times New Roman" w:hAnsi="Verdana" w:cs="Arial"/>
          <w:lang w:eastAsia="es-CO"/>
        </w:rPr>
        <w:footnoteReference w:id="17"/>
      </w:r>
      <w:r w:rsidR="00C00F79">
        <w:rPr>
          <w:rFonts w:ascii="Verdana" w:eastAsia="Times New Roman" w:hAnsi="Verdana" w:cs="Arial"/>
          <w:lang w:eastAsia="es-CO"/>
        </w:rPr>
        <w:t xml:space="preserve">. Esto resulta particularmente </w:t>
      </w:r>
      <w:r w:rsidR="00C00F79">
        <w:rPr>
          <w:rFonts w:ascii="Verdana" w:eastAsia="Times New Roman" w:hAnsi="Verdana" w:cs="Arial"/>
          <w:lang w:eastAsia="es-CO"/>
        </w:rPr>
        <w:lastRenderedPageBreak/>
        <w:t>relevante</w:t>
      </w:r>
      <w:r w:rsidR="00C831EC">
        <w:rPr>
          <w:rFonts w:ascii="Verdana" w:eastAsia="Times New Roman" w:hAnsi="Verdana" w:cs="Arial"/>
          <w:lang w:eastAsia="es-CO"/>
        </w:rPr>
        <w:t xml:space="preserve"> para el particular, ya que, </w:t>
      </w:r>
      <w:r>
        <w:rPr>
          <w:rFonts w:ascii="Verdana" w:eastAsia="Times New Roman" w:hAnsi="Verdana" w:cs="Arial"/>
          <w:lang w:eastAsia="es-CO"/>
        </w:rPr>
        <w:t>si bien</w:t>
      </w:r>
      <w:r w:rsidR="00C831EC">
        <w:rPr>
          <w:rFonts w:ascii="Verdana" w:eastAsia="Times New Roman" w:hAnsi="Verdana" w:cs="Arial"/>
          <w:lang w:eastAsia="es-CO"/>
        </w:rPr>
        <w:t xml:space="preserve"> </w:t>
      </w:r>
      <w:r>
        <w:rPr>
          <w:rFonts w:ascii="Verdana" w:eastAsia="Times New Roman" w:hAnsi="Verdana" w:cs="Arial"/>
          <w:lang w:eastAsia="es-CO"/>
        </w:rPr>
        <w:t xml:space="preserve">los </w:t>
      </w:r>
      <w:r w:rsidRPr="00BD4175">
        <w:rPr>
          <w:rFonts w:ascii="Verdana" w:eastAsia="Times New Roman" w:hAnsi="Verdana" w:cs="Arial"/>
          <w:i/>
          <w:iCs/>
          <w:lang w:eastAsia="es-CO"/>
        </w:rPr>
        <w:t>convenios interadministrativos</w:t>
      </w:r>
      <w:r w:rsidR="005259F2" w:rsidRPr="00BD4175">
        <w:rPr>
          <w:rFonts w:ascii="Verdana" w:eastAsia="Times New Roman" w:hAnsi="Verdana" w:cs="Arial"/>
          <w:i/>
          <w:iCs/>
          <w:lang w:eastAsia="es-CO"/>
        </w:rPr>
        <w:t xml:space="preserve"> a </w:t>
      </w:r>
      <w:r w:rsidR="005259F2" w:rsidRPr="005259F2">
        <w:rPr>
          <w:rFonts w:ascii="Verdana" w:eastAsia="Times New Roman" w:hAnsi="Verdana" w:cs="Arial"/>
          <w:i/>
          <w:iCs/>
          <w:lang w:eastAsia="es-CO"/>
        </w:rPr>
        <w:t>título</w:t>
      </w:r>
      <w:r w:rsidR="005259F2" w:rsidRPr="00BD4175">
        <w:rPr>
          <w:rFonts w:ascii="Verdana" w:eastAsia="Times New Roman" w:hAnsi="Verdana" w:cs="Arial"/>
          <w:i/>
          <w:iCs/>
          <w:lang w:eastAsia="es-CO"/>
        </w:rPr>
        <w:t xml:space="preserve"> gratuito</w:t>
      </w:r>
      <w:r>
        <w:rPr>
          <w:rFonts w:ascii="Verdana" w:eastAsia="Times New Roman" w:hAnsi="Verdana" w:cs="Arial"/>
          <w:lang w:eastAsia="es-CO"/>
        </w:rPr>
        <w:t xml:space="preserve"> no se encuentran cobijados por la restricción del parágrafo del artículo 38 de la Ley 996 de 2005,</w:t>
      </w:r>
      <w:r w:rsidR="005259F2">
        <w:rPr>
          <w:rFonts w:ascii="Verdana" w:eastAsia="Times New Roman" w:hAnsi="Verdana" w:cs="Arial"/>
          <w:lang w:eastAsia="es-CO"/>
        </w:rPr>
        <w:t xml:space="preserve"> por el hecho de no contemplar la ejecución de recursos públicos, </w:t>
      </w:r>
      <w:r>
        <w:rPr>
          <w:rFonts w:ascii="Verdana" w:eastAsia="Times New Roman" w:hAnsi="Verdana" w:cs="Arial"/>
          <w:lang w:eastAsia="es-CO"/>
        </w:rPr>
        <w:t xml:space="preserve">si pueden estar cobijados por la prohibición a la contratación directa establecida por el artículo 33 de la Ley 996 de 2005. </w:t>
      </w:r>
    </w:p>
    <w:p w14:paraId="770CE953" w14:textId="274E08F3" w:rsidR="009252BB" w:rsidRDefault="009252BB" w:rsidP="00C831EC">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En atención a esto</w:t>
      </w:r>
      <w:r w:rsidR="009F05FF">
        <w:rPr>
          <w:rFonts w:ascii="Verdana" w:eastAsia="Times New Roman" w:hAnsi="Verdana" w:cs="Arial"/>
          <w:lang w:eastAsia="es-CO"/>
        </w:rPr>
        <w:t xml:space="preserve">, </w:t>
      </w:r>
      <w:r>
        <w:rPr>
          <w:rFonts w:ascii="Verdana" w:eastAsia="Times New Roman" w:hAnsi="Verdana" w:cs="Arial"/>
          <w:lang w:eastAsia="es-CO"/>
        </w:rPr>
        <w:t>si bien,</w:t>
      </w:r>
      <w:r w:rsidR="009F05FF">
        <w:rPr>
          <w:rFonts w:ascii="Verdana" w:eastAsia="Times New Roman" w:hAnsi="Verdana" w:cs="Arial"/>
          <w:lang w:eastAsia="es-CO"/>
        </w:rPr>
        <w:t xml:space="preserve"> en principio, resulta viable celebrar de manera directa un </w:t>
      </w:r>
      <w:r w:rsidR="009F05FF" w:rsidRPr="00D76834">
        <w:rPr>
          <w:rFonts w:ascii="Verdana" w:eastAsia="Times New Roman" w:hAnsi="Verdana" w:cs="Arial"/>
          <w:i/>
          <w:iCs/>
          <w:lang w:eastAsia="es-CO"/>
        </w:rPr>
        <w:t xml:space="preserve">convenio interadministrativo a </w:t>
      </w:r>
      <w:r w:rsidRPr="00D76834">
        <w:rPr>
          <w:rFonts w:ascii="Verdana" w:eastAsia="Times New Roman" w:hAnsi="Verdana" w:cs="Arial"/>
          <w:i/>
          <w:iCs/>
          <w:lang w:eastAsia="es-CO"/>
        </w:rPr>
        <w:t>título</w:t>
      </w:r>
      <w:r w:rsidR="009F05FF" w:rsidRPr="00D76834">
        <w:rPr>
          <w:rFonts w:ascii="Verdana" w:eastAsia="Times New Roman" w:hAnsi="Verdana" w:cs="Arial"/>
          <w:i/>
          <w:iCs/>
          <w:lang w:eastAsia="es-CO"/>
        </w:rPr>
        <w:t xml:space="preserve"> gratuito </w:t>
      </w:r>
      <w:r w:rsidR="009F05FF">
        <w:rPr>
          <w:rFonts w:ascii="Verdana" w:eastAsia="Times New Roman" w:hAnsi="Verdana" w:cs="Arial"/>
          <w:lang w:eastAsia="es-CO"/>
        </w:rPr>
        <w:t xml:space="preserve">en vigencia de la restricción del artículo 38, </w:t>
      </w:r>
      <w:r w:rsidR="0064564D">
        <w:rPr>
          <w:rFonts w:ascii="Verdana" w:eastAsia="Times New Roman" w:hAnsi="Verdana" w:cs="Arial"/>
          <w:lang w:eastAsia="es-CO"/>
        </w:rPr>
        <w:t xml:space="preserve">esto no resulta válido </w:t>
      </w:r>
      <w:r w:rsidR="00E00882">
        <w:rPr>
          <w:rFonts w:ascii="Verdana" w:eastAsia="Times New Roman" w:hAnsi="Verdana" w:cs="Arial"/>
          <w:lang w:eastAsia="es-CO"/>
        </w:rPr>
        <w:t>cuando est</w:t>
      </w:r>
      <w:r w:rsidR="00A21CA3">
        <w:rPr>
          <w:rFonts w:ascii="Verdana" w:eastAsia="Times New Roman" w:hAnsi="Verdana" w:cs="Arial"/>
          <w:lang w:eastAsia="es-CO"/>
        </w:rPr>
        <w:t>é</w:t>
      </w:r>
      <w:r w:rsidR="00E00882">
        <w:rPr>
          <w:rFonts w:ascii="Verdana" w:eastAsia="Times New Roman" w:hAnsi="Verdana" w:cs="Arial"/>
          <w:lang w:eastAsia="es-CO"/>
        </w:rPr>
        <w:t xml:space="preserve"> en vigencia la </w:t>
      </w:r>
      <w:r w:rsidR="00A21CA3">
        <w:rPr>
          <w:rFonts w:ascii="Verdana" w:eastAsia="Times New Roman" w:hAnsi="Verdana" w:cs="Arial"/>
          <w:lang w:eastAsia="es-CO"/>
        </w:rPr>
        <w:t>prohibición</w:t>
      </w:r>
      <w:r w:rsidR="00E00882">
        <w:rPr>
          <w:rFonts w:ascii="Verdana" w:eastAsia="Times New Roman" w:hAnsi="Verdana" w:cs="Arial"/>
          <w:lang w:eastAsia="es-CO"/>
        </w:rPr>
        <w:t xml:space="preserve"> del artículo 33, ya que esta</w:t>
      </w:r>
      <w:r w:rsidR="00A21CA3">
        <w:rPr>
          <w:rFonts w:ascii="Verdana" w:eastAsia="Times New Roman" w:hAnsi="Verdana" w:cs="Arial"/>
          <w:lang w:eastAsia="es-CO"/>
        </w:rPr>
        <w:t xml:space="preserve"> aplica de manera </w:t>
      </w:r>
      <w:r w:rsidR="000B6F89">
        <w:rPr>
          <w:rFonts w:ascii="Verdana" w:eastAsia="Times New Roman" w:hAnsi="Verdana" w:cs="Arial"/>
          <w:lang w:eastAsia="es-CO"/>
        </w:rPr>
        <w:t xml:space="preserve">de manera general a la contratación directa y no </w:t>
      </w:r>
      <w:r w:rsidR="007F778E">
        <w:rPr>
          <w:rFonts w:ascii="Verdana" w:eastAsia="Times New Roman" w:hAnsi="Verdana" w:cs="Arial"/>
          <w:lang w:eastAsia="es-CO"/>
        </w:rPr>
        <w:t xml:space="preserve">contempla excepciones para convenio a </w:t>
      </w:r>
      <w:r w:rsidR="00D078C9">
        <w:rPr>
          <w:rFonts w:ascii="Verdana" w:eastAsia="Times New Roman" w:hAnsi="Verdana" w:cs="Arial"/>
          <w:lang w:eastAsia="es-CO"/>
        </w:rPr>
        <w:t>título</w:t>
      </w:r>
      <w:r w:rsidR="007F778E">
        <w:rPr>
          <w:rFonts w:ascii="Verdana" w:eastAsia="Times New Roman" w:hAnsi="Verdana" w:cs="Arial"/>
          <w:lang w:eastAsia="es-CO"/>
        </w:rPr>
        <w:t xml:space="preserve"> gratuito. </w:t>
      </w:r>
      <w:r w:rsidR="00AF5B25">
        <w:rPr>
          <w:rFonts w:ascii="Verdana" w:eastAsia="Times New Roman" w:hAnsi="Verdana" w:cs="Arial"/>
          <w:lang w:eastAsia="es-CO"/>
        </w:rPr>
        <w:t xml:space="preserve">En ese orden, una vez entrada en vigor la restricción del artículo 33 de la Ley 996 de 2005, solo resulta </w:t>
      </w:r>
      <w:r w:rsidR="00FB7920">
        <w:rPr>
          <w:rFonts w:ascii="Verdana" w:eastAsia="Times New Roman" w:hAnsi="Verdana" w:cs="Arial"/>
          <w:lang w:eastAsia="es-CO"/>
        </w:rPr>
        <w:t>jurídicamente</w:t>
      </w:r>
      <w:r w:rsidR="00AF5B25">
        <w:rPr>
          <w:rFonts w:ascii="Verdana" w:eastAsia="Times New Roman" w:hAnsi="Verdana" w:cs="Arial"/>
          <w:lang w:eastAsia="es-CO"/>
        </w:rPr>
        <w:t xml:space="preserve"> viable celebrar </w:t>
      </w:r>
      <w:r w:rsidR="00AF5B25" w:rsidRPr="00BD4175">
        <w:rPr>
          <w:rFonts w:ascii="Verdana" w:eastAsia="Times New Roman" w:hAnsi="Verdana" w:cs="Arial"/>
          <w:i/>
          <w:iCs/>
          <w:lang w:eastAsia="es-CO"/>
        </w:rPr>
        <w:t xml:space="preserve">convenios </w:t>
      </w:r>
      <w:r w:rsidR="00FB7920" w:rsidRPr="00BD4175">
        <w:rPr>
          <w:rFonts w:ascii="Verdana" w:eastAsia="Times New Roman" w:hAnsi="Verdana" w:cs="Arial"/>
          <w:i/>
          <w:iCs/>
          <w:lang w:eastAsia="es-CO"/>
        </w:rPr>
        <w:t>interadministrativos a título gratuito</w:t>
      </w:r>
      <w:r w:rsidR="00FB7920">
        <w:rPr>
          <w:rFonts w:ascii="Verdana" w:eastAsia="Times New Roman" w:hAnsi="Verdana" w:cs="Arial"/>
          <w:lang w:eastAsia="es-CO"/>
        </w:rPr>
        <w:t xml:space="preserve">, si respecto de estos se configura alguna de las excepciones establecidas en dicha disposición. </w:t>
      </w:r>
      <w:r w:rsidR="00A21CA3">
        <w:rPr>
          <w:rFonts w:ascii="Verdana" w:eastAsia="Times New Roman" w:hAnsi="Verdana" w:cs="Arial"/>
          <w:lang w:eastAsia="es-CO"/>
        </w:rPr>
        <w:t xml:space="preserve"> </w:t>
      </w:r>
    </w:p>
    <w:p w14:paraId="668B3020" w14:textId="77777777" w:rsidR="008D5774" w:rsidRDefault="008D5774" w:rsidP="008D5774">
      <w:pPr>
        <w:spacing w:after="0" w:line="276" w:lineRule="auto"/>
        <w:ind w:firstLine="709"/>
        <w:jc w:val="both"/>
        <w:rPr>
          <w:rFonts w:ascii="Verdana" w:eastAsia="Times New Roman" w:hAnsi="Verdana" w:cs="Times New Roman"/>
          <w:lang w:eastAsia="es-ES"/>
        </w:rPr>
      </w:pPr>
      <w:r w:rsidRPr="005416E7">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5416E7">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04C22308" w14:textId="77777777" w:rsidR="008D5774" w:rsidRPr="00F72EC9" w:rsidRDefault="008D5774" w:rsidP="008D5774">
      <w:pPr>
        <w:spacing w:after="0" w:line="276" w:lineRule="auto"/>
        <w:ind w:firstLine="709"/>
        <w:jc w:val="both"/>
        <w:rPr>
          <w:rFonts w:ascii="Verdana" w:eastAsia="Times New Roman" w:hAnsi="Verdana" w:cs="Times New Roman"/>
          <w:lang w:eastAsia="es-ES"/>
        </w:rPr>
      </w:pPr>
    </w:p>
    <w:p w14:paraId="05C42ABB" w14:textId="7C3232AB" w:rsidR="00341D29" w:rsidRPr="00B8716D" w:rsidRDefault="008D5774" w:rsidP="008D5774">
      <w:pPr>
        <w:spacing w:after="120" w:line="276" w:lineRule="auto"/>
        <w:jc w:val="both"/>
        <w:rPr>
          <w:rFonts w:ascii="Verdana" w:eastAsia="Century Gothic" w:hAnsi="Verdana" w:cs="Century Gothic"/>
          <w:b/>
          <w:lang w:val="es-ES"/>
        </w:rPr>
      </w:pPr>
      <w:r w:rsidRPr="00B8716D">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D5774" w:rsidRPr="009233BB" w14:paraId="1C6609D5" w14:textId="77777777" w:rsidTr="0002168A">
        <w:trPr>
          <w:trHeight w:val="297"/>
        </w:trPr>
        <w:tc>
          <w:tcPr>
            <w:tcW w:w="8647" w:type="dxa"/>
          </w:tcPr>
          <w:p w14:paraId="2AA22085"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Constitución Política de Colombia. Artículo 127.</w:t>
            </w:r>
          </w:p>
          <w:p w14:paraId="28C653A0"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bCs/>
                <w:lang w:val="es-ES" w:eastAsia="es-ES" w:bidi="es-ES"/>
              </w:rPr>
              <w:t>Ley 996 de 2005. Artículos 33 y 38.</w:t>
            </w:r>
          </w:p>
          <w:p w14:paraId="5B82FBA3"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val="es-ES" w:eastAsia="es-MX"/>
              </w:rPr>
              <w:t xml:space="preserve">Ley 1150 de 2007. </w:t>
            </w:r>
            <w:r w:rsidRPr="00F72EC9">
              <w:rPr>
                <w:rFonts w:ascii="Verdana" w:eastAsia="Arial MT" w:hAnsi="Verdana" w:cs="Arial"/>
                <w:lang w:val="es-ES" w:eastAsia="es-ES" w:bidi="es-ES"/>
              </w:rPr>
              <w:t xml:space="preserve">Artículo 2, numeral 4. </w:t>
            </w:r>
          </w:p>
          <w:p w14:paraId="4AFC863D"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eastAsia="es-ES"/>
              </w:rPr>
              <w:lastRenderedPageBreak/>
              <w:t>Ley 1437 de 2011. Artículo 28.</w:t>
            </w:r>
          </w:p>
          <w:p w14:paraId="54B6ACD3"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Corte Constitucional. Sentencia C- 1153 de 2005. M.P. Marco Gerardo Monroy Cabra.</w:t>
            </w:r>
          </w:p>
          <w:p w14:paraId="7F10EC3F" w14:textId="77777777" w:rsidR="008D5774"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 xml:space="preserve">Consejo de Estado. Sala de lo Contencioso Administrativo. Sección Primera. Sentencia del 3 de marzo de 2005, </w:t>
            </w:r>
            <w:proofErr w:type="spellStart"/>
            <w:r w:rsidRPr="00F72EC9">
              <w:rPr>
                <w:rFonts w:ascii="Verdana" w:eastAsia="Arial MT" w:hAnsi="Verdana" w:cs="Arial"/>
                <w:lang w:val="es-ES" w:eastAsia="es-ES" w:bidi="es-ES"/>
              </w:rPr>
              <w:t>Exp</w:t>
            </w:r>
            <w:proofErr w:type="spellEnd"/>
            <w:r w:rsidRPr="00F72EC9">
              <w:rPr>
                <w:rFonts w:ascii="Verdana" w:eastAsia="Arial MT" w:hAnsi="Verdana" w:cs="Arial"/>
                <w:lang w:val="es-ES" w:eastAsia="es-ES" w:bidi="es-ES"/>
              </w:rPr>
              <w:t>. 2004-00823-01(PI).</w:t>
            </w:r>
          </w:p>
          <w:p w14:paraId="474425AC" w14:textId="77777777" w:rsidR="008D5774" w:rsidRPr="009D57B7"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9D57B7">
              <w:rPr>
                <w:rFonts w:ascii="Verdana" w:eastAsia="Arial MT" w:hAnsi="Verdana" w:cs="Arial"/>
                <w:lang w:val="es-ES" w:eastAsia="es-ES" w:bidi="es-ES"/>
              </w:rPr>
              <w:t>Consejo de Estado, Sala de Consulta y Servicio Civil, Concepto de fecha 24 de julio de 2013, Rad. 2166, C. P. Álvaro Namén Vargas.</w:t>
            </w:r>
          </w:p>
        </w:tc>
      </w:tr>
    </w:tbl>
    <w:p w14:paraId="1193FBC3" w14:textId="77777777" w:rsidR="008D5774" w:rsidRPr="009233BB"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752E10F9" w14:textId="77777777" w:rsidR="008D5774" w:rsidRPr="00B8716D" w:rsidRDefault="008D5774" w:rsidP="008D5774">
      <w:pPr>
        <w:tabs>
          <w:tab w:val="left" w:pos="142"/>
          <w:tab w:val="left" w:pos="284"/>
        </w:tabs>
        <w:spacing w:after="0" w:line="276" w:lineRule="auto"/>
        <w:jc w:val="both"/>
        <w:rPr>
          <w:rFonts w:ascii="Verdana" w:eastAsia="Century Gothic" w:hAnsi="Verdana" w:cs="Century Gothic"/>
          <w:b/>
          <w:lang w:val="es-ES"/>
        </w:rPr>
      </w:pPr>
      <w:r w:rsidRPr="00B8716D">
        <w:rPr>
          <w:rFonts w:ascii="Verdana" w:eastAsia="Century Gothic" w:hAnsi="Verdana" w:cs="Century Gothic"/>
          <w:b/>
          <w:lang w:val="es-ES"/>
        </w:rPr>
        <w:t>5. Doctrina de la Agencia Nacional de Contratación Pública:</w:t>
      </w:r>
    </w:p>
    <w:p w14:paraId="034E15F3" w14:textId="77777777" w:rsidR="008D5774" w:rsidRPr="009233BB"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6FE230E8" w14:textId="46520166" w:rsidR="008D5774" w:rsidRPr="009233BB" w:rsidRDefault="008D5774" w:rsidP="008D5774">
      <w:pPr>
        <w:spacing w:after="0" w:line="276" w:lineRule="auto"/>
        <w:jc w:val="both"/>
        <w:rPr>
          <w:rFonts w:ascii="Verdana" w:hAnsi="Verdana"/>
          <w:color w:val="ED7D31" w:themeColor="accent2"/>
          <w:lang w:val="es-ES"/>
        </w:rPr>
      </w:pPr>
      <w:r w:rsidRPr="00351A60">
        <w:rPr>
          <w:rFonts w:ascii="Verdana" w:eastAsia="Calibri" w:hAnsi="Verdana" w:cs="Arial"/>
          <w:lang w:val="es-ES"/>
        </w:rPr>
        <w:t xml:space="preserve">La Agencia Nacional de Contratación Pública – Colombia Compra Eficiente se ha referido </w:t>
      </w:r>
      <w:r w:rsidRPr="00351A60">
        <w:rPr>
          <w:rFonts w:ascii="Verdana" w:hAnsi="Verdana" w:cs="Arial"/>
          <w:shd w:val="clear" w:color="auto" w:fill="FFFFFF"/>
          <w:lang w:val="es-ES"/>
        </w:rPr>
        <w:t xml:space="preserve">sobre la Ley de Garantías Electorales en los conceptos con radicado </w:t>
      </w:r>
      <w:r>
        <w:rPr>
          <w:rFonts w:ascii="Verdana" w:eastAsia="Calibri" w:hAnsi="Verdana" w:cs="Arial"/>
          <w:lang w:val="es-ES_tradnl" w:eastAsia="es-ES_tradnl"/>
        </w:rPr>
        <w:t xml:space="preserve">número </w:t>
      </w:r>
      <w:r w:rsidRPr="009375B1">
        <w:rPr>
          <w:rFonts w:ascii="Verdana" w:eastAsia="Calibri" w:hAnsi="Verdana" w:cs="Arial"/>
          <w:lang w:val="es-ES_tradnl" w:eastAsia="es-ES_tradnl"/>
        </w:rPr>
        <w:t>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C-068 del 9 de marzo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C-40 del 22 de marzo de 2023</w:t>
      </w:r>
      <w:r>
        <w:rPr>
          <w:rFonts w:ascii="Verdana" w:eastAsia="Calibri" w:hAnsi="Verdana" w:cs="Arial"/>
          <w:lang w:val="es-ES_tradnl" w:eastAsia="es-ES_tradnl"/>
        </w:rPr>
        <w:t>, C-317 del 25 de abril de 2025</w:t>
      </w:r>
      <w:r>
        <w:rPr>
          <w:rFonts w:ascii="Verdana" w:eastAsia="Calibri" w:hAnsi="Verdana" w:cs="Arial"/>
          <w:lang w:val="es-ES_tradnl" w:eastAsia="es-ES"/>
        </w:rPr>
        <w:t>, C-1675 del 23 de diciembre de 2025, C-1739 del 23 de diciembre de 2025</w:t>
      </w:r>
      <w:r w:rsidR="005179DF">
        <w:rPr>
          <w:rFonts w:ascii="Verdana" w:eastAsia="Calibri" w:hAnsi="Verdana" w:cs="Arial"/>
          <w:lang w:val="es-ES_tradnl" w:eastAsia="es-ES"/>
        </w:rPr>
        <w:t xml:space="preserve">, </w:t>
      </w:r>
      <w:r>
        <w:rPr>
          <w:rFonts w:ascii="Verdana" w:eastAsia="Calibri" w:hAnsi="Verdana" w:cs="Arial"/>
          <w:lang w:val="es-ES_tradnl" w:eastAsia="es-ES"/>
        </w:rPr>
        <w:t>C-1775 del 31 de diciembre de 2025,</w:t>
      </w:r>
      <w:r w:rsidR="00A754B1" w:rsidRPr="00A754B1">
        <w:t xml:space="preserve"> </w:t>
      </w:r>
      <w:r w:rsidR="00A754B1" w:rsidRPr="00A754B1">
        <w:rPr>
          <w:rFonts w:ascii="Verdana" w:eastAsia="Calibri" w:hAnsi="Verdana" w:cs="Arial"/>
          <w:lang w:val="es-ES_tradnl" w:eastAsia="es-ES"/>
        </w:rPr>
        <w:t>C-1810 de 2025</w:t>
      </w:r>
      <w:r w:rsidR="00A754B1">
        <w:rPr>
          <w:rFonts w:ascii="Verdana" w:eastAsia="Calibri" w:hAnsi="Verdana" w:cs="Arial"/>
          <w:lang w:val="es-ES_tradnl" w:eastAsia="es-ES"/>
        </w:rPr>
        <w:t>,</w:t>
      </w:r>
      <w:r>
        <w:rPr>
          <w:rFonts w:ascii="Verdana" w:eastAsia="Calibri" w:hAnsi="Verdana" w:cs="Arial"/>
          <w:lang w:val="es-ES_tradnl" w:eastAsia="es-ES"/>
        </w:rPr>
        <w:t xml:space="preserve"> entre otros.</w:t>
      </w:r>
      <w:r w:rsidR="0015488B">
        <w:rPr>
          <w:rFonts w:ascii="Verdana" w:hAnsi="Verdana" w:cs="Arial"/>
          <w:shd w:val="clear" w:color="auto" w:fill="FFFFFF"/>
          <w:lang w:val="es-ES"/>
        </w:rPr>
        <w:t xml:space="preserve"> </w:t>
      </w:r>
      <w:r w:rsidRPr="00B8716D">
        <w:rPr>
          <w:rFonts w:ascii="Verdana" w:hAnsi="Verdana" w:cs="Arial"/>
          <w:shd w:val="clear" w:color="auto" w:fill="FFFFFF"/>
          <w:lang w:val="es-ES"/>
        </w:rPr>
        <w:t>Estos</w:t>
      </w:r>
      <w:r w:rsidRPr="00B8716D">
        <w:rPr>
          <w:rFonts w:ascii="Verdana" w:hAnsi="Verdana"/>
          <w:lang w:val="es-ES"/>
        </w:rPr>
        <w:t xml:space="preserve"> y otros se encuentran disponibles para consulta en el Sistema de relatoría de la Agencia, al cual se puede acceder a través del siguiente enlace:</w:t>
      </w:r>
      <w:r w:rsidRPr="00B8716D">
        <w:rPr>
          <w:rFonts w:ascii="Verdana" w:hAnsi="Verdana" w:cs="Arial"/>
          <w:shd w:val="clear" w:color="auto" w:fill="FFFFFF"/>
          <w:lang w:val="es-ES"/>
        </w:rPr>
        <w:t xml:space="preserve"> </w:t>
      </w:r>
      <w:hyperlink r:id="rId13" w:history="1">
        <w:r w:rsidRPr="00B8716D">
          <w:rPr>
            <w:rStyle w:val="Hipervnculo"/>
            <w:rFonts w:ascii="Verdana" w:hAnsi="Verdana" w:cs="Arial"/>
            <w:shd w:val="clear" w:color="auto" w:fill="FFFFFF"/>
            <w:lang w:val="es-ES"/>
          </w:rPr>
          <w:t>https://relatoria.colombiacompra.gov.co/busqueda/conceptos</w:t>
        </w:r>
      </w:hyperlink>
    </w:p>
    <w:p w14:paraId="537B2233" w14:textId="77777777" w:rsidR="008D5774" w:rsidRPr="009233BB" w:rsidRDefault="008D5774" w:rsidP="008D5774">
      <w:pPr>
        <w:spacing w:after="0"/>
        <w:jc w:val="both"/>
        <w:rPr>
          <w:rFonts w:ascii="Verdana" w:hAnsi="Verdana" w:cs="Arial"/>
          <w:color w:val="ED7D31" w:themeColor="accent2"/>
          <w:shd w:val="clear" w:color="auto" w:fill="FFFFFF"/>
          <w:lang w:val="es-ES"/>
        </w:rPr>
      </w:pPr>
    </w:p>
    <w:p w14:paraId="53F8138D" w14:textId="775728F2" w:rsidR="005179DF" w:rsidRPr="005179DF" w:rsidRDefault="005179DF" w:rsidP="005179DF">
      <w:pPr>
        <w:spacing w:after="0"/>
        <w:jc w:val="both"/>
        <w:rPr>
          <w:rFonts w:ascii="Verdana" w:hAnsi="Verdana" w:cs="Arial"/>
          <w:shd w:val="clear" w:color="auto" w:fill="FFFFFF"/>
        </w:rPr>
      </w:pPr>
      <w:r w:rsidRPr="005179DF">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4" w:history="1">
        <w:r w:rsidR="00CF24C0" w:rsidRPr="005179DF">
          <w:rPr>
            <w:rStyle w:val="Hipervnculo"/>
            <w:rFonts w:ascii="Verdana" w:hAnsi="Verdana" w:cs="Arial"/>
            <w:shd w:val="clear" w:color="auto" w:fill="FFFFFF"/>
          </w:rPr>
          <w:t>https://formacionvirtual.colombiacompra.gov.co/mod/page/view.php?id=3718</w:t>
        </w:r>
      </w:hyperlink>
      <w:r w:rsidR="00CF24C0">
        <w:rPr>
          <w:rFonts w:ascii="Verdana" w:hAnsi="Verdana" w:cs="Arial"/>
          <w:shd w:val="clear" w:color="auto" w:fill="FFFFFF"/>
        </w:rPr>
        <w:t xml:space="preserve"> </w:t>
      </w:r>
    </w:p>
    <w:p w14:paraId="2D72AF6B" w14:textId="77777777" w:rsidR="005179DF" w:rsidRDefault="005179DF" w:rsidP="005179DF">
      <w:pPr>
        <w:spacing w:after="0"/>
        <w:jc w:val="both"/>
        <w:rPr>
          <w:rFonts w:ascii="Verdana" w:hAnsi="Verdana" w:cs="Arial"/>
          <w:shd w:val="clear" w:color="auto" w:fill="FFFFFF"/>
        </w:rPr>
      </w:pPr>
    </w:p>
    <w:p w14:paraId="6F12E20F" w14:textId="1D3FA391" w:rsidR="005179DF" w:rsidRDefault="005179DF" w:rsidP="005179DF">
      <w:pPr>
        <w:spacing w:after="0"/>
        <w:jc w:val="both"/>
        <w:rPr>
          <w:rFonts w:ascii="Verdana" w:hAnsi="Verdana" w:cs="Arial"/>
          <w:shd w:val="clear" w:color="auto" w:fill="FFFFFF"/>
        </w:rPr>
      </w:pPr>
      <w:r w:rsidRPr="005179DF">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w:t>
      </w:r>
      <w:r w:rsidRPr="005179DF">
        <w:rPr>
          <w:rFonts w:ascii="Verdana" w:hAnsi="Verdana" w:cs="Arial"/>
          <w:shd w:val="clear" w:color="auto" w:fill="FFFFFF"/>
        </w:rPr>
        <w:lastRenderedPageBreak/>
        <w:t xml:space="preserve">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5" w:history="1">
        <w:r w:rsidRPr="005179DF">
          <w:rPr>
            <w:rStyle w:val="Hipervnculo"/>
            <w:rFonts w:ascii="Verdana" w:hAnsi="Verdana" w:cs="Arial"/>
            <w:shd w:val="clear" w:color="auto" w:fill="FFFFFF"/>
          </w:rPr>
          <w:t>https://www.colombiacompra.gov.co/normativa-y-relatoria/documentos-tipo</w:t>
        </w:r>
      </w:hyperlink>
    </w:p>
    <w:p w14:paraId="16F44F44" w14:textId="77777777" w:rsidR="005179DF" w:rsidRPr="005179DF" w:rsidRDefault="005179DF" w:rsidP="005179DF">
      <w:pPr>
        <w:spacing w:after="0"/>
        <w:jc w:val="both"/>
        <w:rPr>
          <w:rFonts w:ascii="Verdana" w:hAnsi="Verdana" w:cs="Arial"/>
          <w:shd w:val="clear" w:color="auto" w:fill="FFFFFF"/>
        </w:rPr>
      </w:pPr>
    </w:p>
    <w:p w14:paraId="4277517C" w14:textId="77777777" w:rsidR="005179DF" w:rsidRPr="005179DF" w:rsidRDefault="005179DF" w:rsidP="005179DF">
      <w:pPr>
        <w:spacing w:after="0"/>
        <w:jc w:val="both"/>
        <w:rPr>
          <w:rFonts w:ascii="Verdana" w:hAnsi="Verdana" w:cs="Arial"/>
          <w:shd w:val="clear" w:color="auto" w:fill="FFFFFF"/>
        </w:rPr>
      </w:pPr>
      <w:r w:rsidRPr="005179DF">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50BA40C8" w14:textId="77777777" w:rsidR="008D5774" w:rsidRPr="009233BB" w:rsidRDefault="008D5774" w:rsidP="008D5774">
      <w:pPr>
        <w:spacing w:after="0"/>
        <w:jc w:val="both"/>
        <w:rPr>
          <w:rFonts w:ascii="Verdana" w:hAnsi="Verdana" w:cs="Arial"/>
          <w:color w:val="ED7D31" w:themeColor="accent2"/>
          <w:shd w:val="clear" w:color="auto" w:fill="FFFFFF"/>
        </w:rPr>
      </w:pPr>
    </w:p>
    <w:p w14:paraId="14541A71"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 xml:space="preserve">Por último, lo invitamos a seguirnos en las redes sociales en las cuales se difunde información institucional: </w:t>
      </w:r>
    </w:p>
    <w:p w14:paraId="79871619" w14:textId="77777777" w:rsidR="008D5774" w:rsidRPr="00C35C95" w:rsidRDefault="008D5774" w:rsidP="008D5774">
      <w:pPr>
        <w:spacing w:after="0"/>
        <w:jc w:val="both"/>
        <w:rPr>
          <w:rFonts w:ascii="Verdana" w:hAnsi="Verdana" w:cs="Arial"/>
          <w:shd w:val="clear" w:color="auto" w:fill="FFFFFF"/>
        </w:rPr>
      </w:pPr>
    </w:p>
    <w:p w14:paraId="4E67AE00"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 xml:space="preserve">Twitter: </w:t>
      </w:r>
      <w:r w:rsidRPr="00C35C95">
        <w:rPr>
          <w:rStyle w:val="Hipervnculo"/>
          <w:rFonts w:ascii="Verdana" w:hAnsi="Verdana"/>
          <w:lang w:val="es-ES"/>
        </w:rPr>
        <w:t>@colombiacompra</w:t>
      </w:r>
      <w:r w:rsidRPr="00C35C95">
        <w:rPr>
          <w:rStyle w:val="Hipervnculo"/>
          <w:rFonts w:ascii="Verdana" w:hAnsi="Verdana"/>
          <w:color w:val="auto"/>
          <w:lang w:val="es-ES"/>
        </w:rPr>
        <w:t xml:space="preserve"> </w:t>
      </w:r>
    </w:p>
    <w:p w14:paraId="7A8B05A5"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Facebook:</w:t>
      </w:r>
      <w:r w:rsidRPr="00C35C95">
        <w:rPr>
          <w:rStyle w:val="Hipervnculo"/>
          <w:rFonts w:ascii="Verdana" w:hAnsi="Verdana"/>
          <w:lang w:val="es-ES"/>
        </w:rPr>
        <w:t xml:space="preserve"> </w:t>
      </w:r>
      <w:proofErr w:type="spellStart"/>
      <w:r w:rsidRPr="00C35C95">
        <w:rPr>
          <w:rStyle w:val="Hipervnculo"/>
          <w:rFonts w:ascii="Verdana" w:hAnsi="Verdana"/>
          <w:lang w:val="es-ES"/>
        </w:rPr>
        <w:t>ColombiaCompraEficiente</w:t>
      </w:r>
      <w:proofErr w:type="spellEnd"/>
    </w:p>
    <w:p w14:paraId="42648E5E"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 xml:space="preserve">LinkedIn: </w:t>
      </w:r>
      <w:r w:rsidRPr="00B8716D">
        <w:rPr>
          <w:rStyle w:val="Hipervnculo"/>
          <w:rFonts w:ascii="Verdana" w:hAnsi="Verdana"/>
          <w:lang w:val="es-ES"/>
        </w:rPr>
        <w:t>Agencia Nacional de Contratación Pública - Colombia Compra Eficiente</w:t>
      </w:r>
      <w:r w:rsidRPr="00B8716D">
        <w:rPr>
          <w:rFonts w:ascii="Verdana" w:hAnsi="Verdana" w:cs="Arial"/>
          <w:color w:val="0000FF"/>
          <w:shd w:val="clear" w:color="auto" w:fill="FFFFFF"/>
        </w:rPr>
        <w:t xml:space="preserve"> </w:t>
      </w:r>
    </w:p>
    <w:p w14:paraId="26B676B4"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 xml:space="preserve">Instagram: </w:t>
      </w:r>
      <w:r w:rsidRPr="00B8716D">
        <w:rPr>
          <w:rStyle w:val="Hipervnculo"/>
          <w:rFonts w:ascii="Verdana" w:hAnsi="Verdana"/>
          <w:lang w:val="es-ES"/>
        </w:rPr>
        <w:t>@colombiacompraeficiente_cce</w:t>
      </w:r>
    </w:p>
    <w:p w14:paraId="40F4A6F7" w14:textId="77777777" w:rsidR="008D5774" w:rsidRPr="009233BB"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04B627D4" w14:textId="77777777" w:rsidR="008D5774" w:rsidRPr="00C35C95" w:rsidRDefault="008D5774" w:rsidP="008D5774">
      <w:pPr>
        <w:widowControl w:val="0"/>
        <w:autoSpaceDE w:val="0"/>
        <w:autoSpaceDN w:val="0"/>
        <w:spacing w:after="0" w:line="276" w:lineRule="auto"/>
        <w:jc w:val="both"/>
        <w:rPr>
          <w:rFonts w:ascii="Verdana" w:hAnsi="Verdana" w:cs="Arial"/>
          <w:lang w:val="es-ES"/>
        </w:rPr>
      </w:pPr>
      <w:r w:rsidRPr="00C35C95">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B22982D" w14:textId="77777777" w:rsidR="008D5774" w:rsidRPr="00C35C95" w:rsidRDefault="008D5774" w:rsidP="008D5774">
      <w:pPr>
        <w:widowControl w:val="0"/>
        <w:autoSpaceDE w:val="0"/>
        <w:autoSpaceDN w:val="0"/>
        <w:spacing w:after="0" w:line="276" w:lineRule="auto"/>
        <w:jc w:val="both"/>
        <w:rPr>
          <w:rFonts w:ascii="Verdana" w:hAnsi="Verdana" w:cs="Arial"/>
          <w:lang w:val="es-ES"/>
        </w:rPr>
      </w:pPr>
    </w:p>
    <w:p w14:paraId="5934DDF9" w14:textId="77777777" w:rsidR="008D5774" w:rsidRDefault="008D5774" w:rsidP="008D5774">
      <w:pPr>
        <w:spacing w:after="0" w:line="276" w:lineRule="auto"/>
        <w:rPr>
          <w:rFonts w:ascii="Verdana" w:hAnsi="Verdana" w:cs="Arial"/>
          <w:lang w:val="es-ES" w:eastAsia="es-CO"/>
        </w:rPr>
      </w:pPr>
      <w:r w:rsidRPr="00C35C95">
        <w:rPr>
          <w:rFonts w:ascii="Verdana" w:eastAsia="Times New Roman" w:hAnsi="Verdana" w:cs="Arial"/>
          <w:lang w:val="es-ES" w:eastAsia="es-CO"/>
        </w:rPr>
        <w:t>Atentamente,</w:t>
      </w:r>
      <w:r w:rsidRPr="00C35C95">
        <w:rPr>
          <w:rFonts w:ascii="Verdana" w:hAnsi="Verdana" w:cs="Arial"/>
          <w:lang w:val="es-ES" w:eastAsia="es-CO"/>
        </w:rPr>
        <w:t xml:space="preserve"> </w:t>
      </w:r>
    </w:p>
    <w:p w14:paraId="5C347B50" w14:textId="77777777" w:rsidR="008D5774" w:rsidRPr="009233BB" w:rsidRDefault="008D5774" w:rsidP="00336915">
      <w:pPr>
        <w:spacing w:after="0" w:line="276" w:lineRule="auto"/>
        <w:rPr>
          <w:rFonts w:ascii="Verdana" w:hAnsi="Verdana"/>
          <w:noProof/>
          <w:color w:val="ED7D31" w:themeColor="accent2"/>
        </w:rPr>
      </w:pPr>
    </w:p>
    <w:p w14:paraId="363AB2F1" w14:textId="77777777" w:rsidR="00A754B1" w:rsidRPr="00A754B1" w:rsidRDefault="00A754B1" w:rsidP="00A754B1">
      <w:pPr>
        <w:spacing w:after="0" w:line="276" w:lineRule="auto"/>
        <w:jc w:val="both"/>
        <w:rPr>
          <w:rFonts w:ascii="Verdana" w:eastAsia="Times New Roman" w:hAnsi="Verdana" w:cs="Segoe UI"/>
          <w:lang w:eastAsia="es-CO"/>
        </w:rPr>
      </w:pPr>
    </w:p>
    <w:p w14:paraId="04EF933B" w14:textId="77777777" w:rsidR="00A754B1" w:rsidRPr="00A754B1" w:rsidRDefault="00A754B1" w:rsidP="00A754B1">
      <w:pPr>
        <w:autoSpaceDE w:val="0"/>
        <w:autoSpaceDN w:val="0"/>
        <w:adjustRightInd w:val="0"/>
        <w:spacing w:after="0" w:line="276" w:lineRule="auto"/>
        <w:rPr>
          <w:rFonts w:ascii="Verdana" w:eastAsia="Calibri" w:hAnsi="Verdana" w:cs="Arial"/>
          <w:noProof/>
          <w:sz w:val="20"/>
          <w:szCs w:val="20"/>
        </w:rPr>
      </w:pPr>
    </w:p>
    <w:p w14:paraId="75F00371" w14:textId="77777777" w:rsidR="00A754B1" w:rsidRPr="00A754B1" w:rsidRDefault="00A754B1" w:rsidP="00A754B1">
      <w:pPr>
        <w:autoSpaceDE w:val="0"/>
        <w:autoSpaceDN w:val="0"/>
        <w:adjustRightInd w:val="0"/>
        <w:spacing w:after="0" w:line="276" w:lineRule="auto"/>
        <w:jc w:val="center"/>
        <w:rPr>
          <w:rFonts w:ascii="Verdana" w:eastAsia="Calibri" w:hAnsi="Verdana" w:cs="Arial"/>
          <w:noProof/>
          <w:sz w:val="20"/>
          <w:szCs w:val="20"/>
        </w:rPr>
      </w:pPr>
    </w:p>
    <w:p w14:paraId="13C0EB0F" w14:textId="01D942E6" w:rsidR="00A754B1" w:rsidRPr="00A754B1" w:rsidRDefault="003A6D0D" w:rsidP="00A754B1">
      <w:pPr>
        <w:spacing w:after="0" w:line="256" w:lineRule="auto"/>
        <w:jc w:val="center"/>
        <w:rPr>
          <w:rFonts w:ascii="Verdana" w:eastAsia="Times New Roman" w:hAnsi="Verdana" w:cs="Arial"/>
          <w:lang w:eastAsia="es-ES"/>
        </w:rPr>
      </w:pPr>
      <w:r>
        <w:rPr>
          <w:noProof/>
        </w:rPr>
        <w:drawing>
          <wp:inline distT="0" distB="0" distL="0" distR="0" wp14:anchorId="06E82ABB" wp14:editId="13BBEBC1">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p w14:paraId="6B064C3A" w14:textId="77777777" w:rsidR="00A754B1" w:rsidRPr="00A754B1"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A754B1" w14:paraId="5C634FCB" w14:textId="77777777">
        <w:trPr>
          <w:trHeight w:val="322"/>
        </w:trPr>
        <w:tc>
          <w:tcPr>
            <w:tcW w:w="733" w:type="dxa"/>
            <w:tcBorders>
              <w:top w:val="nil"/>
              <w:left w:val="nil"/>
              <w:bottom w:val="nil"/>
              <w:right w:val="nil"/>
            </w:tcBorders>
            <w:vAlign w:val="center"/>
            <w:hideMark/>
          </w:tcPr>
          <w:p w14:paraId="6BA74C99" w14:textId="77777777" w:rsidR="00A754B1" w:rsidRPr="00A754B1" w:rsidRDefault="00A754B1" w:rsidP="00A754B1">
            <w:pPr>
              <w:spacing w:after="0" w:line="240" w:lineRule="auto"/>
              <w:textAlignment w:val="baseline"/>
              <w:rPr>
                <w:rFonts w:ascii="Verdana" w:eastAsia="Times New Roman" w:hAnsi="Verdana" w:cs="Times New Roman"/>
                <w:sz w:val="16"/>
                <w:szCs w:val="16"/>
                <w:lang w:eastAsia="es-CO"/>
              </w:rPr>
            </w:pPr>
            <w:r w:rsidRPr="00A754B1">
              <w:rPr>
                <w:rFonts w:ascii="Verdana" w:eastAsia="Times New Roman" w:hAnsi="Verdana" w:cs="Times New Roman"/>
                <w:sz w:val="16"/>
                <w:szCs w:val="16"/>
                <w:lang w:val="es-MX" w:eastAsia="es-CO"/>
              </w:rPr>
              <w:t>Elaboró:         </w:t>
            </w:r>
            <w:r w:rsidRPr="00A754B1">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C32696B" w14:textId="77777777" w:rsidR="00A754B1" w:rsidRPr="00A754B1" w:rsidRDefault="00A754B1" w:rsidP="00A754B1">
            <w:pPr>
              <w:spacing w:after="0" w:line="256" w:lineRule="auto"/>
              <w:rPr>
                <w:rFonts w:ascii="Verdana" w:eastAsia="Times New Roman" w:hAnsi="Verdana" w:cs="Arial"/>
                <w:sz w:val="16"/>
                <w:szCs w:val="16"/>
                <w:lang w:val="es-ES_tradnl" w:eastAsia="es-ES"/>
              </w:rPr>
            </w:pPr>
            <w:r w:rsidRPr="00A754B1">
              <w:rPr>
                <w:rFonts w:ascii="Verdana" w:eastAsia="Times New Roman" w:hAnsi="Verdana" w:cs="Arial"/>
                <w:sz w:val="16"/>
                <w:szCs w:val="16"/>
                <w:lang w:val="es-ES_tradnl" w:eastAsia="es-ES"/>
              </w:rPr>
              <w:t>Ximena Ríos López</w:t>
            </w:r>
          </w:p>
          <w:p w14:paraId="0502EDA4" w14:textId="77777777" w:rsidR="00A754B1" w:rsidRPr="00A754B1" w:rsidRDefault="00A754B1" w:rsidP="00A754B1">
            <w:pPr>
              <w:spacing w:after="0" w:line="256" w:lineRule="auto"/>
              <w:rPr>
                <w:rFonts w:ascii="Verdana" w:eastAsia="Times New Roman" w:hAnsi="Verdana" w:cs="Arial"/>
                <w:sz w:val="16"/>
                <w:szCs w:val="16"/>
                <w:lang w:val="es-ES_tradnl" w:eastAsia="es-ES"/>
              </w:rPr>
            </w:pPr>
            <w:r w:rsidRPr="00A754B1">
              <w:rPr>
                <w:rFonts w:ascii="Verdana" w:eastAsia="Times New Roman" w:hAnsi="Verdana" w:cs="Arial"/>
                <w:sz w:val="16"/>
                <w:szCs w:val="16"/>
                <w:lang w:eastAsia="es-ES"/>
              </w:rPr>
              <w:t>Gestor T1-11 de la Subdirección de Gestión Contractual</w:t>
            </w:r>
          </w:p>
        </w:tc>
      </w:tr>
      <w:tr w:rsidR="00A754B1" w:rsidRPr="00A754B1" w14:paraId="4384CD0E" w14:textId="77777777">
        <w:trPr>
          <w:trHeight w:val="322"/>
        </w:trPr>
        <w:tc>
          <w:tcPr>
            <w:tcW w:w="733" w:type="dxa"/>
            <w:tcBorders>
              <w:top w:val="nil"/>
              <w:left w:val="nil"/>
              <w:bottom w:val="nil"/>
              <w:right w:val="nil"/>
            </w:tcBorders>
            <w:vAlign w:val="center"/>
            <w:hideMark/>
          </w:tcPr>
          <w:p w14:paraId="68F906D2" w14:textId="77777777" w:rsidR="00A754B1" w:rsidRPr="00A754B1" w:rsidRDefault="00A754B1" w:rsidP="00A754B1">
            <w:pPr>
              <w:spacing w:after="0" w:line="240" w:lineRule="auto"/>
              <w:textAlignment w:val="baseline"/>
              <w:rPr>
                <w:rFonts w:ascii="Verdana" w:eastAsia="Times New Roman" w:hAnsi="Verdana" w:cs="Times New Roman"/>
                <w:sz w:val="16"/>
                <w:szCs w:val="16"/>
                <w:lang w:eastAsia="es-CO"/>
              </w:rPr>
            </w:pPr>
            <w:r w:rsidRPr="00A754B1">
              <w:rPr>
                <w:rFonts w:ascii="Verdana" w:eastAsia="Times New Roman" w:hAnsi="Verdana" w:cs="Times New Roman"/>
                <w:sz w:val="16"/>
                <w:szCs w:val="16"/>
                <w:lang w:val="es-MX" w:eastAsia="es-CO"/>
              </w:rPr>
              <w:t>Revisó:</w:t>
            </w:r>
            <w:r w:rsidRPr="00A754B1">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34878B98" w14:textId="20FEFFF8" w:rsidR="00A754B1" w:rsidRPr="00A754B1" w:rsidRDefault="00A754B1" w:rsidP="00A754B1">
            <w:pPr>
              <w:spacing w:after="0" w:line="240" w:lineRule="auto"/>
              <w:textAlignment w:val="baseline"/>
              <w:rPr>
                <w:rFonts w:ascii="Verdana" w:eastAsia="Times New Roman" w:hAnsi="Verdana" w:cs="Times New Roman"/>
                <w:sz w:val="16"/>
                <w:szCs w:val="16"/>
                <w:lang w:eastAsia="es-CO"/>
              </w:rPr>
            </w:pPr>
            <w:r w:rsidRPr="006E4EC5">
              <w:rPr>
                <w:rFonts w:ascii="Verdana" w:eastAsia="Times New Roman" w:hAnsi="Verdana" w:cs="Times New Roman"/>
                <w:sz w:val="16"/>
                <w:szCs w:val="16"/>
                <w:lang w:eastAsia="es-CO"/>
              </w:rPr>
              <w:t>Adriana López</w:t>
            </w:r>
          </w:p>
          <w:p w14:paraId="4F030FDF" w14:textId="4C017F56" w:rsidR="00A754B1" w:rsidRPr="00A754B1" w:rsidRDefault="00A754B1" w:rsidP="00A754B1">
            <w:pPr>
              <w:spacing w:after="0" w:line="240" w:lineRule="auto"/>
              <w:textAlignment w:val="baseline"/>
              <w:rPr>
                <w:rFonts w:ascii="Verdana" w:eastAsia="Times New Roman" w:hAnsi="Verdana" w:cs="Times New Roman"/>
                <w:sz w:val="16"/>
                <w:szCs w:val="16"/>
                <w:lang w:eastAsia="es-CO"/>
              </w:rPr>
            </w:pPr>
            <w:r w:rsidRPr="006E4EC5">
              <w:rPr>
                <w:rFonts w:ascii="Verdana" w:eastAsia="Times New Roman" w:hAnsi="Verdana" w:cs="Arial"/>
                <w:sz w:val="16"/>
                <w:szCs w:val="16"/>
                <w:lang w:eastAsia="es-ES"/>
              </w:rPr>
              <w:t>Contratista</w:t>
            </w:r>
            <w:r w:rsidRPr="00A754B1">
              <w:rPr>
                <w:rFonts w:ascii="Verdana" w:eastAsia="Times New Roman" w:hAnsi="Verdana" w:cs="Arial"/>
                <w:sz w:val="16"/>
                <w:szCs w:val="16"/>
                <w:lang w:eastAsia="es-ES"/>
              </w:rPr>
              <w:t xml:space="preserve"> </w:t>
            </w:r>
            <w:r w:rsidRPr="00A754B1">
              <w:rPr>
                <w:rFonts w:ascii="Verdana" w:eastAsia="Times New Roman" w:hAnsi="Verdana" w:cs="Times New Roman"/>
                <w:sz w:val="16"/>
                <w:szCs w:val="16"/>
                <w:lang w:eastAsia="es-CO"/>
              </w:rPr>
              <w:t>de la Subdirección de Gestión Contractual</w:t>
            </w:r>
          </w:p>
        </w:tc>
      </w:tr>
      <w:tr w:rsidR="00A754B1" w:rsidRPr="00A754B1" w14:paraId="51B53319" w14:textId="77777777">
        <w:trPr>
          <w:trHeight w:val="307"/>
        </w:trPr>
        <w:tc>
          <w:tcPr>
            <w:tcW w:w="733" w:type="dxa"/>
            <w:tcBorders>
              <w:top w:val="nil"/>
              <w:left w:val="nil"/>
              <w:bottom w:val="nil"/>
              <w:right w:val="nil"/>
            </w:tcBorders>
            <w:vAlign w:val="center"/>
            <w:hideMark/>
          </w:tcPr>
          <w:p w14:paraId="58BB7344" w14:textId="77777777" w:rsidR="00A754B1" w:rsidRPr="00A754B1" w:rsidRDefault="00A754B1" w:rsidP="00A754B1">
            <w:pPr>
              <w:spacing w:after="0" w:line="240" w:lineRule="auto"/>
              <w:textAlignment w:val="baseline"/>
              <w:rPr>
                <w:rFonts w:ascii="Verdana" w:eastAsia="Times New Roman" w:hAnsi="Verdana" w:cs="Times New Roman"/>
                <w:sz w:val="16"/>
                <w:szCs w:val="16"/>
                <w:lang w:eastAsia="es-CO"/>
              </w:rPr>
            </w:pPr>
            <w:r w:rsidRPr="00A754B1">
              <w:rPr>
                <w:rFonts w:ascii="Verdana" w:eastAsia="Times New Roman" w:hAnsi="Verdana" w:cs="Times New Roman"/>
                <w:sz w:val="16"/>
                <w:szCs w:val="16"/>
                <w:lang w:val="es-MX" w:eastAsia="es-CO"/>
              </w:rPr>
              <w:t>Aprobó:</w:t>
            </w:r>
            <w:r w:rsidRPr="00A754B1">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A754B1" w:rsidRDefault="00A754B1" w:rsidP="00A754B1">
            <w:pPr>
              <w:spacing w:after="0" w:line="256" w:lineRule="auto"/>
              <w:rPr>
                <w:rFonts w:ascii="Verdana" w:eastAsia="Times New Roman" w:hAnsi="Verdana" w:cs="Arial"/>
                <w:sz w:val="16"/>
                <w:szCs w:val="16"/>
                <w:lang w:eastAsia="es-ES"/>
              </w:rPr>
            </w:pPr>
            <w:r w:rsidRPr="00A754B1">
              <w:rPr>
                <w:rFonts w:ascii="Verdana" w:eastAsia="Times New Roman" w:hAnsi="Verdana" w:cs="Arial"/>
                <w:sz w:val="16"/>
                <w:szCs w:val="16"/>
                <w:lang w:eastAsia="es-ES"/>
              </w:rPr>
              <w:t>Carolina Quintero Gacharná</w:t>
            </w:r>
          </w:p>
          <w:p w14:paraId="3D71CC3E" w14:textId="77777777" w:rsidR="00A754B1" w:rsidRPr="00A754B1" w:rsidRDefault="00A754B1" w:rsidP="00A754B1">
            <w:pPr>
              <w:spacing w:after="0" w:line="256" w:lineRule="auto"/>
              <w:rPr>
                <w:rFonts w:ascii="Verdana" w:eastAsia="Times New Roman" w:hAnsi="Verdana" w:cs="Arial"/>
                <w:sz w:val="16"/>
                <w:szCs w:val="16"/>
                <w:lang w:eastAsia="es-ES"/>
              </w:rPr>
            </w:pPr>
            <w:r w:rsidRPr="00A754B1">
              <w:rPr>
                <w:rFonts w:ascii="Verdana" w:eastAsia="Times New Roman" w:hAnsi="Verdana" w:cs="Arial"/>
                <w:sz w:val="16"/>
                <w:szCs w:val="16"/>
                <w:lang w:eastAsia="es-ES"/>
              </w:rPr>
              <w:t>Subdirectora de Gestión Contractual ANCP – CCE</w:t>
            </w:r>
          </w:p>
        </w:tc>
      </w:tr>
      <w:bookmarkEnd w:id="0"/>
    </w:tbl>
    <w:p w14:paraId="1F1E5D50" w14:textId="77777777" w:rsidR="00A754B1" w:rsidRPr="00A754B1" w:rsidRDefault="00A754B1" w:rsidP="00A754B1">
      <w:pPr>
        <w:autoSpaceDE w:val="0"/>
        <w:autoSpaceDN w:val="0"/>
        <w:adjustRightInd w:val="0"/>
        <w:spacing w:after="0" w:line="276" w:lineRule="auto"/>
        <w:jc w:val="center"/>
        <w:rPr>
          <w:rFonts w:ascii="Verdana" w:eastAsia="Calibri" w:hAnsi="Verdana" w:cs="Arial"/>
        </w:rPr>
      </w:pPr>
    </w:p>
    <w:sectPr w:rsidR="00A754B1" w:rsidRPr="00A754B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E862E" w14:textId="77777777" w:rsidR="0013546F" w:rsidRDefault="0013546F" w:rsidP="004A1847">
      <w:pPr>
        <w:spacing w:after="0" w:line="240" w:lineRule="auto"/>
      </w:pPr>
      <w:r>
        <w:separator/>
      </w:r>
    </w:p>
  </w:endnote>
  <w:endnote w:type="continuationSeparator" w:id="0">
    <w:p w14:paraId="0B4CCF6F" w14:textId="77777777" w:rsidR="0013546F" w:rsidRDefault="001354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480BF" w14:textId="77777777" w:rsidR="0013546F" w:rsidRDefault="0013546F" w:rsidP="004A1847">
      <w:pPr>
        <w:spacing w:after="0" w:line="240" w:lineRule="auto"/>
      </w:pPr>
      <w:r>
        <w:separator/>
      </w:r>
    </w:p>
  </w:footnote>
  <w:footnote w:type="continuationSeparator" w:id="0">
    <w:p w14:paraId="2B70A6FD" w14:textId="77777777" w:rsidR="0013546F" w:rsidRDefault="0013546F" w:rsidP="004A1847">
      <w:pPr>
        <w:spacing w:after="0" w:line="240" w:lineRule="auto"/>
      </w:pPr>
      <w:r>
        <w:continuationSeparator/>
      </w:r>
    </w:p>
  </w:footnote>
  <w:footnote w:id="1">
    <w:p w14:paraId="0C835FAE" w14:textId="77777777" w:rsidR="008D5774" w:rsidRPr="00C53B15" w:rsidRDefault="008D5774" w:rsidP="008D5774">
      <w:pPr>
        <w:pStyle w:val="Textonotapie"/>
        <w:ind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6FA4245" w14:textId="77777777" w:rsidR="008D5774" w:rsidRDefault="008D5774" w:rsidP="008D5774">
      <w:pPr>
        <w:pStyle w:val="Textonotapie"/>
        <w:ind w:firstLine="709"/>
        <w:contextualSpacing/>
        <w:jc w:val="both"/>
        <w:rPr>
          <w:rFonts w:ascii="Verdana" w:hAnsi="Verdana" w:cs="Arial"/>
          <w:sz w:val="16"/>
          <w:szCs w:val="16"/>
        </w:rPr>
      </w:pPr>
      <w:r w:rsidRPr="00C53B1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BF365D1" w14:textId="77777777" w:rsidR="00A709D2" w:rsidRPr="00C53B15" w:rsidRDefault="00A709D2" w:rsidP="008D5774">
      <w:pPr>
        <w:pStyle w:val="Textonotapie"/>
        <w:ind w:firstLine="709"/>
        <w:contextualSpacing/>
        <w:jc w:val="both"/>
        <w:rPr>
          <w:rFonts w:ascii="Verdana" w:hAnsi="Verdana" w:cs="Arial"/>
          <w:sz w:val="16"/>
          <w:szCs w:val="16"/>
        </w:rPr>
      </w:pPr>
    </w:p>
  </w:footnote>
  <w:footnote w:id="2">
    <w:p w14:paraId="69CD2369" w14:textId="77777777" w:rsidR="008D5774" w:rsidRDefault="008D5774" w:rsidP="008D5774">
      <w:pPr>
        <w:pStyle w:val="Textonotapie"/>
        <w:ind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Gaceta del Congreso de la República No. 71 del 2005.</w:t>
      </w:r>
    </w:p>
    <w:p w14:paraId="59654460" w14:textId="77777777" w:rsidR="00A709D2" w:rsidRPr="00C53B15" w:rsidRDefault="00A709D2" w:rsidP="008D5774">
      <w:pPr>
        <w:pStyle w:val="Textonotapie"/>
        <w:ind w:firstLine="709"/>
        <w:contextualSpacing/>
        <w:jc w:val="both"/>
        <w:rPr>
          <w:rFonts w:ascii="Verdana" w:hAnsi="Verdana" w:cs="Arial"/>
          <w:sz w:val="16"/>
          <w:szCs w:val="16"/>
        </w:rPr>
      </w:pPr>
    </w:p>
  </w:footnote>
  <w:footnote w:id="3">
    <w:p w14:paraId="7DD464E2" w14:textId="77777777" w:rsidR="008D5774" w:rsidRDefault="008D5774" w:rsidP="008D5774">
      <w:pPr>
        <w:pStyle w:val="Textonotapie"/>
        <w:ind w:firstLine="709"/>
        <w:contextualSpacing/>
        <w:jc w:val="both"/>
        <w:rPr>
          <w:rFonts w:ascii="Verdana" w:hAnsi="Verdana" w:cs="Arial"/>
          <w:sz w:val="16"/>
          <w:szCs w:val="16"/>
          <w:lang w:val="pt-BR"/>
        </w:rPr>
      </w:pPr>
      <w:r w:rsidRPr="00C53B15">
        <w:rPr>
          <w:rStyle w:val="Refdenotaalpie"/>
          <w:rFonts w:ascii="Verdana" w:hAnsi="Verdana" w:cs="Arial"/>
          <w:sz w:val="16"/>
          <w:szCs w:val="16"/>
        </w:rPr>
        <w:footnoteRef/>
      </w:r>
      <w:r w:rsidRPr="00C53B15">
        <w:rPr>
          <w:rFonts w:ascii="Verdana" w:hAnsi="Verdana" w:cs="Arial"/>
          <w:sz w:val="16"/>
          <w:szCs w:val="16"/>
          <w:lang w:val="pt-BR"/>
        </w:rPr>
        <w:t xml:space="preserve"> Corte Constitucional, Sentencia C- 1153 de 2005, M.P. Marco Gerardo </w:t>
      </w:r>
      <w:proofErr w:type="spellStart"/>
      <w:r w:rsidRPr="00C53B15">
        <w:rPr>
          <w:rFonts w:ascii="Verdana" w:hAnsi="Verdana" w:cs="Arial"/>
          <w:sz w:val="16"/>
          <w:szCs w:val="16"/>
          <w:lang w:val="pt-BR"/>
        </w:rPr>
        <w:t>Monroy</w:t>
      </w:r>
      <w:proofErr w:type="spellEnd"/>
      <w:r w:rsidRPr="00C53B15">
        <w:rPr>
          <w:rFonts w:ascii="Verdana" w:hAnsi="Verdana" w:cs="Arial"/>
          <w:sz w:val="16"/>
          <w:szCs w:val="16"/>
          <w:lang w:val="pt-BR"/>
        </w:rPr>
        <w:t xml:space="preserve"> Cabra.</w:t>
      </w:r>
    </w:p>
    <w:p w14:paraId="330C7BB7" w14:textId="77777777" w:rsidR="00A709D2" w:rsidRPr="00C53B15" w:rsidRDefault="00A709D2" w:rsidP="008D5774">
      <w:pPr>
        <w:pStyle w:val="Textonotapie"/>
        <w:ind w:firstLine="709"/>
        <w:contextualSpacing/>
        <w:jc w:val="both"/>
        <w:rPr>
          <w:rFonts w:ascii="Verdana" w:hAnsi="Verdana" w:cs="Arial"/>
          <w:sz w:val="16"/>
          <w:szCs w:val="16"/>
          <w:lang w:val="pt-BR"/>
        </w:rPr>
      </w:pPr>
    </w:p>
  </w:footnote>
  <w:footnote w:id="4">
    <w:p w14:paraId="582F27F6" w14:textId="77777777" w:rsidR="008D5774" w:rsidRDefault="008D5774" w:rsidP="008D5774">
      <w:pPr>
        <w:pStyle w:val="Textonotapie"/>
        <w:ind w:firstLine="709"/>
        <w:contextualSpacing/>
        <w:jc w:val="both"/>
        <w:rPr>
          <w:rFonts w:ascii="Verdana" w:hAnsi="Verdana" w:cs="Arial"/>
          <w:sz w:val="16"/>
          <w:szCs w:val="16"/>
          <w:lang w:val="pt-BR"/>
        </w:rPr>
      </w:pPr>
      <w:r w:rsidRPr="00C53B15">
        <w:rPr>
          <w:rStyle w:val="Refdenotaalpie"/>
          <w:rFonts w:ascii="Verdana" w:hAnsi="Verdana" w:cs="Arial"/>
          <w:sz w:val="16"/>
          <w:szCs w:val="16"/>
        </w:rPr>
        <w:footnoteRef/>
      </w:r>
      <w:r w:rsidRPr="00C53B15">
        <w:rPr>
          <w:rFonts w:ascii="Verdana" w:hAnsi="Verdana" w:cs="Arial"/>
          <w:sz w:val="16"/>
          <w:szCs w:val="16"/>
          <w:lang w:val="pt-BR"/>
        </w:rPr>
        <w:t xml:space="preserve"> Corte Constitucional. Sentencias: C-233 de 4 de abril de 2002, expediente: D-3704; C-551 de 9 de </w:t>
      </w:r>
      <w:proofErr w:type="spellStart"/>
      <w:r w:rsidRPr="00C53B15">
        <w:rPr>
          <w:rFonts w:ascii="Verdana" w:hAnsi="Verdana" w:cs="Arial"/>
          <w:sz w:val="16"/>
          <w:szCs w:val="16"/>
          <w:lang w:val="pt-BR"/>
        </w:rPr>
        <w:t>julio</w:t>
      </w:r>
      <w:proofErr w:type="spellEnd"/>
      <w:r w:rsidRPr="00C53B15">
        <w:rPr>
          <w:rFonts w:ascii="Verdana" w:hAnsi="Verdana" w:cs="Arial"/>
          <w:sz w:val="16"/>
          <w:szCs w:val="16"/>
          <w:lang w:val="pt-BR"/>
        </w:rPr>
        <w:t xml:space="preserve"> de 2003, expediente: CRF-001 de 9 de </w:t>
      </w:r>
      <w:proofErr w:type="spellStart"/>
      <w:r w:rsidRPr="00C53B15">
        <w:rPr>
          <w:rFonts w:ascii="Verdana" w:hAnsi="Verdana" w:cs="Arial"/>
          <w:sz w:val="16"/>
          <w:szCs w:val="16"/>
          <w:lang w:val="pt-BR"/>
        </w:rPr>
        <w:t>julio</w:t>
      </w:r>
      <w:proofErr w:type="spellEnd"/>
      <w:r w:rsidRPr="00C53B15">
        <w:rPr>
          <w:rFonts w:ascii="Verdana" w:hAnsi="Verdana" w:cs="Arial"/>
          <w:sz w:val="16"/>
          <w:szCs w:val="16"/>
          <w:lang w:val="pt-BR"/>
        </w:rPr>
        <w:t xml:space="preserve"> de 2003; C-652 de 5 de agosto de 2003, expediente: D-4330; C-353 de 20 de </w:t>
      </w:r>
      <w:proofErr w:type="spellStart"/>
      <w:r w:rsidRPr="00C53B15">
        <w:rPr>
          <w:rFonts w:ascii="Verdana" w:hAnsi="Verdana" w:cs="Arial"/>
          <w:sz w:val="16"/>
          <w:szCs w:val="16"/>
          <w:lang w:val="pt-BR"/>
        </w:rPr>
        <w:t>mayo</w:t>
      </w:r>
      <w:proofErr w:type="spellEnd"/>
      <w:r w:rsidRPr="00C53B15">
        <w:rPr>
          <w:rFonts w:ascii="Verdana" w:hAnsi="Verdana" w:cs="Arial"/>
          <w:sz w:val="16"/>
          <w:szCs w:val="16"/>
          <w:lang w:val="pt-BR"/>
        </w:rPr>
        <w:t xml:space="preserve"> de 2009, expediente: D-7518, C-541 de 30 de </w:t>
      </w:r>
      <w:proofErr w:type="spellStart"/>
      <w:r w:rsidRPr="00C53B15">
        <w:rPr>
          <w:rFonts w:ascii="Verdana" w:hAnsi="Verdana" w:cs="Arial"/>
          <w:sz w:val="16"/>
          <w:szCs w:val="16"/>
          <w:lang w:val="pt-BR"/>
        </w:rPr>
        <w:t>junio</w:t>
      </w:r>
      <w:proofErr w:type="spellEnd"/>
      <w:r w:rsidRPr="00C53B15">
        <w:rPr>
          <w:rFonts w:ascii="Verdana" w:hAnsi="Verdana" w:cs="Arial"/>
          <w:sz w:val="16"/>
          <w:szCs w:val="16"/>
          <w:lang w:val="pt-BR"/>
        </w:rPr>
        <w:t xml:space="preserve"> de 2010, expediente: DD7966; entre </w:t>
      </w:r>
      <w:proofErr w:type="spellStart"/>
      <w:r w:rsidRPr="00C53B15">
        <w:rPr>
          <w:rFonts w:ascii="Verdana" w:hAnsi="Verdana" w:cs="Arial"/>
          <w:sz w:val="16"/>
          <w:szCs w:val="16"/>
          <w:lang w:val="pt-BR"/>
        </w:rPr>
        <w:t>otras</w:t>
      </w:r>
      <w:proofErr w:type="spellEnd"/>
      <w:r w:rsidRPr="00C53B15">
        <w:rPr>
          <w:rFonts w:ascii="Verdana" w:hAnsi="Verdana" w:cs="Arial"/>
          <w:sz w:val="16"/>
          <w:szCs w:val="16"/>
          <w:lang w:val="pt-BR"/>
        </w:rPr>
        <w:t>.</w:t>
      </w:r>
    </w:p>
    <w:p w14:paraId="7C79002A" w14:textId="77777777" w:rsidR="00635683" w:rsidRPr="00C53B15" w:rsidRDefault="00635683" w:rsidP="008D5774">
      <w:pPr>
        <w:pStyle w:val="Textonotapie"/>
        <w:ind w:firstLine="709"/>
        <w:contextualSpacing/>
        <w:jc w:val="both"/>
        <w:rPr>
          <w:rFonts w:ascii="Verdana" w:hAnsi="Verdana" w:cs="Arial"/>
          <w:sz w:val="16"/>
          <w:szCs w:val="16"/>
          <w:lang w:val="pt-BR"/>
        </w:rPr>
      </w:pPr>
    </w:p>
  </w:footnote>
  <w:footnote w:id="5">
    <w:p w14:paraId="241CFDEF" w14:textId="77777777" w:rsidR="008D5774" w:rsidRDefault="008D5774" w:rsidP="008D5774">
      <w:pPr>
        <w:pStyle w:val="Textonotapie"/>
        <w:ind w:firstLine="709"/>
        <w:contextualSpacing/>
        <w:jc w:val="both"/>
        <w:rPr>
          <w:rFonts w:ascii="Verdana" w:hAnsi="Verdana" w:cs="Arial"/>
          <w:sz w:val="16"/>
          <w:szCs w:val="16"/>
          <w:lang w:val="es-CO"/>
        </w:rPr>
      </w:pPr>
      <w:r w:rsidRPr="00C53B15">
        <w:rPr>
          <w:rStyle w:val="Refdenotaalpie"/>
          <w:rFonts w:ascii="Verdana" w:hAnsi="Verdana" w:cs="Arial"/>
          <w:sz w:val="16"/>
          <w:szCs w:val="16"/>
        </w:rPr>
        <w:footnoteRef/>
      </w:r>
      <w:r w:rsidRPr="00C53B1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5F7751D9" w14:textId="77777777" w:rsidR="00635683" w:rsidRPr="00C53B15" w:rsidRDefault="00635683" w:rsidP="008D5774">
      <w:pPr>
        <w:pStyle w:val="Textonotapie"/>
        <w:ind w:firstLine="709"/>
        <w:contextualSpacing/>
        <w:jc w:val="both"/>
        <w:rPr>
          <w:rFonts w:ascii="Verdana" w:hAnsi="Verdana" w:cs="Arial"/>
          <w:sz w:val="16"/>
          <w:szCs w:val="16"/>
          <w:lang w:val="es-CO"/>
        </w:rPr>
      </w:pPr>
    </w:p>
  </w:footnote>
  <w:footnote w:id="6">
    <w:p w14:paraId="07466D14" w14:textId="77777777" w:rsidR="008D5774" w:rsidRDefault="008D5774" w:rsidP="008D5774">
      <w:pPr>
        <w:pStyle w:val="Textonotapie"/>
        <w:ind w:firstLine="708"/>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Consejo de Estado, Sala de Consulta y Servicio Civil de fecha 24 de julio de 2013, Rad. 2166, C. P. Álvaro Namén Vargas.  </w:t>
      </w:r>
    </w:p>
    <w:p w14:paraId="35FF3E62" w14:textId="77777777" w:rsidR="00635683" w:rsidRPr="00C53B15" w:rsidRDefault="00635683" w:rsidP="008D5774">
      <w:pPr>
        <w:pStyle w:val="Textonotapie"/>
        <w:ind w:firstLine="708"/>
        <w:contextualSpacing/>
        <w:jc w:val="both"/>
        <w:rPr>
          <w:rFonts w:ascii="Verdana" w:hAnsi="Verdana" w:cs="Arial"/>
          <w:sz w:val="16"/>
          <w:szCs w:val="16"/>
        </w:rPr>
      </w:pPr>
    </w:p>
  </w:footnote>
  <w:footnote w:id="7">
    <w:p w14:paraId="33D35509" w14:textId="77777777" w:rsidR="008D5774" w:rsidRPr="00C53B15" w:rsidRDefault="008D5774" w:rsidP="008D5774">
      <w:pPr>
        <w:spacing w:after="0" w:line="240" w:lineRule="auto"/>
        <w:ind w:firstLine="709"/>
        <w:contextualSpacing/>
        <w:jc w:val="both"/>
        <w:rPr>
          <w:rFonts w:ascii="Verdana" w:eastAsia="Times New Roman"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w:t>
      </w:r>
      <w:r w:rsidRPr="00C53B15">
        <w:rPr>
          <w:rFonts w:ascii="Verdana" w:eastAsia="Calibri" w:hAnsi="Verdana" w:cs="Arial"/>
          <w:color w:val="000000"/>
          <w:sz w:val="16"/>
          <w:szCs w:val="16"/>
        </w:rPr>
        <w:t>“</w:t>
      </w:r>
      <w:r w:rsidRPr="00C53B15">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D71F9A9" w14:textId="77777777" w:rsidR="008D5774" w:rsidRPr="00C53B15" w:rsidRDefault="008D5774" w:rsidP="008D5774">
      <w:pPr>
        <w:spacing w:after="0" w:line="240" w:lineRule="auto"/>
        <w:ind w:firstLine="709"/>
        <w:contextualSpacing/>
        <w:jc w:val="both"/>
        <w:rPr>
          <w:rFonts w:ascii="Verdana" w:eastAsia="Times New Roman" w:hAnsi="Verdana" w:cs="Arial"/>
          <w:sz w:val="16"/>
          <w:szCs w:val="16"/>
        </w:rPr>
      </w:pPr>
      <w:r w:rsidRPr="00C53B1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53B15">
        <w:rPr>
          <w:rFonts w:ascii="Verdana" w:eastAsia="Calibri" w:hAnsi="Verdana" w:cs="Arial"/>
          <w:color w:val="000000"/>
          <w:sz w:val="16"/>
          <w:szCs w:val="16"/>
        </w:rPr>
        <w:t>”</w:t>
      </w:r>
      <w:r w:rsidRPr="00C53B15">
        <w:rPr>
          <w:rFonts w:ascii="Verdana" w:eastAsia="Times New Roman" w:hAnsi="Verdana" w:cs="Arial"/>
          <w:sz w:val="16"/>
          <w:szCs w:val="16"/>
        </w:rPr>
        <w:t>.</w:t>
      </w:r>
    </w:p>
  </w:footnote>
  <w:footnote w:id="8">
    <w:p w14:paraId="2883957F" w14:textId="77777777" w:rsidR="008D5774" w:rsidRPr="00C53B15" w:rsidRDefault="008D5774" w:rsidP="008D5774">
      <w:pPr>
        <w:pStyle w:val="NormalWeb"/>
        <w:spacing w:before="0" w:beforeAutospacing="0" w:after="0" w:afterAutospacing="0"/>
        <w:ind w:firstLine="709"/>
        <w:contextualSpacing/>
        <w:jc w:val="both"/>
        <w:rPr>
          <w:rFonts w:ascii="Verdana" w:hAnsi="Verdana" w:cs="Arial"/>
          <w:sz w:val="16"/>
          <w:szCs w:val="16"/>
          <w:lang w:val="es-MX"/>
        </w:rPr>
      </w:pPr>
      <w:r w:rsidRPr="00C53B15">
        <w:rPr>
          <w:rStyle w:val="Refdenotaalpie"/>
          <w:rFonts w:ascii="Verdana" w:hAnsi="Verdana" w:cs="Arial"/>
          <w:sz w:val="16"/>
          <w:szCs w:val="16"/>
        </w:rPr>
        <w:footnoteRef/>
      </w:r>
      <w:r w:rsidRPr="00C53B15">
        <w:rPr>
          <w:rFonts w:ascii="Verdana" w:hAnsi="Verdana" w:cs="Arial"/>
          <w:sz w:val="16"/>
          <w:szCs w:val="16"/>
        </w:rPr>
        <w:t xml:space="preserve"> </w:t>
      </w:r>
      <w:r w:rsidRPr="00C53B15">
        <w:rPr>
          <w:rFonts w:ascii="Verdana" w:eastAsia="Calibri" w:hAnsi="Verdana" w:cs="Arial"/>
          <w:color w:val="000000"/>
          <w:sz w:val="16"/>
          <w:szCs w:val="16"/>
        </w:rPr>
        <w:t>“</w:t>
      </w:r>
      <w:r w:rsidRPr="00C53B15">
        <w:rPr>
          <w:rFonts w:ascii="Verdana" w:hAnsi="Verdana" w:cs="Arial"/>
          <w:sz w:val="16"/>
          <w:szCs w:val="16"/>
          <w:lang w:val="es-MX"/>
        </w:rPr>
        <w:t>Artículo 38. Prohibiciones para los servidores públicos. A los empleados del Estado les está prohibido: (…)</w:t>
      </w:r>
    </w:p>
    <w:p w14:paraId="5B0AFF74" w14:textId="77777777" w:rsidR="008D5774" w:rsidRPr="00C53B15" w:rsidRDefault="008D5774" w:rsidP="008D5774">
      <w:pPr>
        <w:pStyle w:val="NormalWeb"/>
        <w:spacing w:before="0" w:beforeAutospacing="0" w:after="0" w:afterAutospacing="0"/>
        <w:ind w:firstLine="709"/>
        <w:contextualSpacing/>
        <w:jc w:val="both"/>
        <w:rPr>
          <w:rFonts w:ascii="Verdana" w:hAnsi="Verdana" w:cs="Arial"/>
          <w:sz w:val="16"/>
          <w:szCs w:val="16"/>
          <w:lang w:val="es-MX"/>
        </w:rPr>
      </w:pPr>
      <w:r w:rsidRPr="00C53B15">
        <w:rPr>
          <w:rStyle w:val="baj"/>
          <w:rFonts w:ascii="Verdana" w:hAnsi="Verdana" w:cs="Arial"/>
          <w:sz w:val="16"/>
          <w:szCs w:val="16"/>
          <w:lang w:val="es-MX"/>
        </w:rPr>
        <w:t>Parágrafo.</w:t>
      </w:r>
      <w:r w:rsidRPr="00C53B1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3B15">
        <w:rPr>
          <w:rFonts w:ascii="Verdana" w:eastAsia="Calibri" w:hAnsi="Verdana" w:cs="Arial"/>
          <w:color w:val="000000"/>
          <w:sz w:val="16"/>
          <w:szCs w:val="16"/>
        </w:rPr>
        <w:t>”</w:t>
      </w:r>
      <w:r w:rsidRPr="00C53B15">
        <w:rPr>
          <w:rFonts w:ascii="Verdana" w:hAnsi="Verdana" w:cs="Arial"/>
          <w:sz w:val="16"/>
          <w:szCs w:val="16"/>
          <w:lang w:val="es-MX"/>
        </w:rPr>
        <w:t>.</w:t>
      </w:r>
    </w:p>
    <w:p w14:paraId="4FF6E892" w14:textId="77777777" w:rsidR="008D5774" w:rsidRPr="00C53B15" w:rsidRDefault="008D5774" w:rsidP="008D5774">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4E45044D" w14:textId="77777777" w:rsidR="008D5774" w:rsidRDefault="008D5774" w:rsidP="008D5774">
      <w:pPr>
        <w:spacing w:after="0" w:line="240" w:lineRule="auto"/>
        <w:ind w:left="100" w:right="244"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Consejo de Estado. Sala de Consulta y Servicio Civil. Concepto del 17 de febrero de 2015. C.P. William Zambrano Cetina. Radicación No. 11001-03-06-000-2015-00164-00(2269).</w:t>
      </w:r>
    </w:p>
    <w:p w14:paraId="1FCF76BB" w14:textId="77777777" w:rsidR="001C73B4" w:rsidRPr="00C53B15" w:rsidRDefault="001C73B4" w:rsidP="008D5774">
      <w:pPr>
        <w:spacing w:after="0" w:line="240" w:lineRule="auto"/>
        <w:ind w:left="100" w:right="244" w:firstLine="709"/>
        <w:contextualSpacing/>
        <w:jc w:val="both"/>
        <w:rPr>
          <w:rFonts w:ascii="Verdana" w:hAnsi="Verdana" w:cs="Arial"/>
          <w:sz w:val="16"/>
          <w:szCs w:val="16"/>
          <w:lang w:val="es-ES"/>
        </w:rPr>
      </w:pPr>
    </w:p>
  </w:footnote>
  <w:footnote w:id="10">
    <w:p w14:paraId="48C2E0F4" w14:textId="77777777" w:rsidR="008D5774" w:rsidRDefault="008D5774" w:rsidP="008D5774">
      <w:pPr>
        <w:pStyle w:val="Textonotapie"/>
        <w:ind w:firstLine="709"/>
        <w:contextualSpacing/>
        <w:jc w:val="both"/>
        <w:rPr>
          <w:rFonts w:ascii="Verdana" w:hAnsi="Verdana" w:cs="Arial"/>
          <w:sz w:val="16"/>
          <w:szCs w:val="16"/>
        </w:rPr>
      </w:pPr>
      <w:r w:rsidRPr="00C53B15">
        <w:rPr>
          <w:rStyle w:val="Refdenotaalpie"/>
          <w:rFonts w:ascii="Verdana" w:hAnsi="Verdana"/>
          <w:sz w:val="16"/>
          <w:szCs w:val="16"/>
        </w:rPr>
        <w:footnoteRef/>
      </w:r>
      <w:r w:rsidRPr="00C53B15">
        <w:rPr>
          <w:rFonts w:ascii="Verdana" w:hAnsi="Verdana"/>
          <w:sz w:val="16"/>
          <w:szCs w:val="16"/>
        </w:rPr>
        <w:t xml:space="preserve"> </w:t>
      </w:r>
      <w:r w:rsidRPr="00C53B15">
        <w:rPr>
          <w:rFonts w:ascii="Verdana" w:hAnsi="Verdana" w:cs="Arial"/>
          <w:sz w:val="16"/>
          <w:szCs w:val="16"/>
        </w:rPr>
        <w:t>Consejo de Estado -Sección Tercera-. Sentencia del 21 de febrero de 2025. Radicación Número: 68.280. CP: José Roberto Sáchica Méndez.</w:t>
      </w:r>
    </w:p>
    <w:p w14:paraId="10F5D215" w14:textId="77777777" w:rsidR="00CB0A50" w:rsidRPr="00C53B15" w:rsidRDefault="00CB0A50" w:rsidP="008D5774">
      <w:pPr>
        <w:pStyle w:val="Textonotapie"/>
        <w:ind w:firstLine="709"/>
        <w:contextualSpacing/>
        <w:jc w:val="both"/>
        <w:rPr>
          <w:rFonts w:ascii="Verdana" w:hAnsi="Verdana" w:cs="Arial"/>
          <w:sz w:val="16"/>
          <w:szCs w:val="16"/>
        </w:rPr>
      </w:pPr>
    </w:p>
  </w:footnote>
  <w:footnote w:id="11">
    <w:p w14:paraId="773CC874" w14:textId="77777777" w:rsidR="008D5774" w:rsidRDefault="008D5774" w:rsidP="008D5774">
      <w:pPr>
        <w:pStyle w:val="Textonotapie"/>
        <w:ind w:firstLine="709"/>
        <w:contextualSpacing/>
        <w:jc w:val="both"/>
        <w:rPr>
          <w:rFonts w:ascii="Verdana" w:hAnsi="Verdana" w:cs="Arial"/>
          <w:sz w:val="16"/>
          <w:szCs w:val="16"/>
        </w:rPr>
      </w:pPr>
      <w:r w:rsidRPr="00C53B15">
        <w:rPr>
          <w:rFonts w:ascii="Verdana" w:hAnsi="Verdana"/>
          <w:sz w:val="16"/>
          <w:szCs w:val="16"/>
          <w:vertAlign w:val="superscript"/>
        </w:rPr>
        <w:footnoteRef/>
      </w:r>
      <w:r w:rsidRPr="00C53B15">
        <w:rPr>
          <w:rFonts w:ascii="Verdana" w:hAnsi="Verdana"/>
          <w:sz w:val="16"/>
          <w:szCs w:val="16"/>
          <w:vertAlign w:val="superscript"/>
        </w:rPr>
        <w:t xml:space="preserve"> </w:t>
      </w:r>
      <w:r w:rsidRPr="00C53B1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4A2C673" w14:textId="77777777" w:rsidR="00CB0A50" w:rsidRPr="00C53B15" w:rsidRDefault="00CB0A50" w:rsidP="008D5774">
      <w:pPr>
        <w:pStyle w:val="Textonotapie"/>
        <w:ind w:firstLine="709"/>
        <w:contextualSpacing/>
        <w:jc w:val="both"/>
        <w:rPr>
          <w:rFonts w:ascii="Verdana" w:hAnsi="Verdana" w:cs="Arial"/>
          <w:sz w:val="16"/>
          <w:szCs w:val="16"/>
        </w:rPr>
      </w:pPr>
    </w:p>
  </w:footnote>
  <w:footnote w:id="12">
    <w:p w14:paraId="71E305D8" w14:textId="77777777" w:rsidR="008D5774" w:rsidRDefault="008D5774" w:rsidP="008D5774">
      <w:pPr>
        <w:pStyle w:val="Textonotapie"/>
        <w:ind w:firstLine="709"/>
        <w:contextualSpacing/>
        <w:jc w:val="both"/>
        <w:rPr>
          <w:rFonts w:ascii="Verdana" w:hAnsi="Verdana" w:cs="Arial"/>
          <w:sz w:val="16"/>
          <w:szCs w:val="16"/>
        </w:rPr>
      </w:pPr>
      <w:r w:rsidRPr="00C53B15">
        <w:rPr>
          <w:rFonts w:ascii="Verdana" w:hAnsi="Verdana"/>
          <w:sz w:val="16"/>
          <w:szCs w:val="16"/>
          <w:vertAlign w:val="superscript"/>
        </w:rPr>
        <w:footnoteRef/>
      </w:r>
      <w:r w:rsidRPr="00C53B15">
        <w:rPr>
          <w:rFonts w:ascii="Verdana" w:hAnsi="Verdana" w:cs="Arial"/>
          <w:sz w:val="16"/>
          <w:szCs w:val="16"/>
          <w:vertAlign w:val="superscript"/>
        </w:rPr>
        <w:t xml:space="preserve"> </w:t>
      </w:r>
      <w:r w:rsidRPr="00C53B15">
        <w:rPr>
          <w:rFonts w:ascii="Verdana" w:hAnsi="Verdana" w:cs="Arial"/>
          <w:sz w:val="16"/>
          <w:szCs w:val="16"/>
        </w:rPr>
        <w:t>Ley 80 de 1993: “Artículo 41. Del perfeccionamiento del contrato. Los contratos del Estado se perfeccionan cuando se logre acuerdo sobre el objeto y la contraprestación y éste se eleve a escrito (…)”.</w:t>
      </w:r>
    </w:p>
    <w:p w14:paraId="081DC89B" w14:textId="77777777" w:rsidR="006C3CE7" w:rsidRPr="00C53B15" w:rsidRDefault="006C3CE7" w:rsidP="008D5774">
      <w:pPr>
        <w:pStyle w:val="Textonotapie"/>
        <w:ind w:firstLine="709"/>
        <w:contextualSpacing/>
        <w:jc w:val="both"/>
        <w:rPr>
          <w:rFonts w:ascii="Verdana" w:hAnsi="Verdana" w:cs="Arial"/>
          <w:sz w:val="16"/>
          <w:szCs w:val="16"/>
        </w:rPr>
      </w:pPr>
    </w:p>
  </w:footnote>
  <w:footnote w:id="13">
    <w:p w14:paraId="2D642B7A" w14:textId="77777777" w:rsidR="008D5774" w:rsidRDefault="008D5774" w:rsidP="008D5774">
      <w:pPr>
        <w:pStyle w:val="Textonotapie"/>
        <w:ind w:left="851" w:hanging="142"/>
        <w:contextualSpacing/>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lang w:val="es-CO"/>
        </w:rPr>
        <w:t xml:space="preserve"> Consejo de Estado, Sección Tercera. Auto del 4 de octubre de 2024. </w:t>
      </w:r>
      <w:proofErr w:type="spellStart"/>
      <w:r w:rsidRPr="00C53B15">
        <w:rPr>
          <w:rFonts w:ascii="Verdana" w:hAnsi="Verdana"/>
          <w:sz w:val="16"/>
          <w:szCs w:val="16"/>
          <w:lang w:val="es-CO"/>
        </w:rPr>
        <w:t>Exp</w:t>
      </w:r>
      <w:proofErr w:type="spellEnd"/>
      <w:r w:rsidRPr="00C53B15">
        <w:rPr>
          <w:rFonts w:ascii="Verdana" w:hAnsi="Verdana"/>
          <w:sz w:val="16"/>
          <w:szCs w:val="16"/>
          <w:lang w:val="es-CO"/>
        </w:rPr>
        <w:t>. 70.313. C.P: Fredy Ibarra Martínez.</w:t>
      </w:r>
    </w:p>
    <w:p w14:paraId="39BA9BB0" w14:textId="77777777" w:rsidR="006C3CE7" w:rsidRPr="00C53B15" w:rsidRDefault="006C3CE7" w:rsidP="008D5774">
      <w:pPr>
        <w:pStyle w:val="Textonotapie"/>
        <w:ind w:left="851" w:hanging="142"/>
        <w:contextualSpacing/>
        <w:jc w:val="both"/>
        <w:rPr>
          <w:rFonts w:ascii="Verdana" w:hAnsi="Verdana"/>
          <w:sz w:val="16"/>
          <w:szCs w:val="16"/>
          <w:lang w:val="es-CO"/>
        </w:rPr>
      </w:pPr>
    </w:p>
  </w:footnote>
  <w:footnote w:id="14">
    <w:p w14:paraId="76E4B278" w14:textId="77777777" w:rsidR="008D5774" w:rsidRPr="00C53B15" w:rsidRDefault="008D5774" w:rsidP="008D5774">
      <w:pPr>
        <w:pStyle w:val="Textonotapie"/>
        <w:ind w:firstLine="709"/>
        <w:contextualSpacing/>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rPr>
        <w:t xml:space="preserve"> La parte resolutiva del auto dispone lo siguiente; “</w:t>
      </w:r>
      <w:r w:rsidRPr="00C53B15">
        <w:rPr>
          <w:rFonts w:ascii="Verdana" w:hAnsi="Verdana"/>
          <w:bCs/>
          <w:sz w:val="16"/>
          <w:szCs w:val="16"/>
          <w:lang w:val="es-CO"/>
        </w:rPr>
        <w:t>PRIMERO: DECRETAR la suspensión provisional de los apartes cuestionados del inciso segundo del numeral 16.2 de la Circular Externa</w:t>
      </w:r>
      <w:r w:rsidRPr="00C53B15">
        <w:rPr>
          <w:rFonts w:ascii="Verdana" w:hAnsi="Verdana"/>
          <w:sz w:val="16"/>
          <w:szCs w:val="16"/>
          <w:lang w:val="es-CO"/>
        </w:rPr>
        <w:t xml:space="preserve"> única, versión 3 del 27 de diciembre de 2023, expedida por la Agencia Nacional de Contratación Pública – Colombia Compra Eficiente, según el cual </w:t>
      </w:r>
      <w:r w:rsidRPr="00C53B15">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53B15">
        <w:rPr>
          <w:rFonts w:ascii="Verdana" w:hAnsi="Verdana"/>
          <w:sz w:val="16"/>
          <w:szCs w:val="16"/>
          <w:lang w:val="es-CO"/>
        </w:rPr>
        <w:t xml:space="preserve">, por las razones expuestas en precedencia. </w:t>
      </w:r>
    </w:p>
    <w:p w14:paraId="3E9FACEA" w14:textId="77777777" w:rsidR="008D5774" w:rsidRDefault="008D5774" w:rsidP="008D5774">
      <w:pPr>
        <w:pStyle w:val="Textonotapie"/>
        <w:ind w:firstLine="709"/>
        <w:contextualSpacing/>
        <w:jc w:val="both"/>
        <w:rPr>
          <w:rFonts w:ascii="Verdana" w:hAnsi="Verdana"/>
          <w:sz w:val="16"/>
          <w:szCs w:val="16"/>
          <w:lang w:val="es-CO"/>
        </w:rPr>
      </w:pPr>
      <w:r w:rsidRPr="00C53B15">
        <w:rPr>
          <w:rFonts w:ascii="Verdana" w:hAnsi="Verdana"/>
          <w:bCs/>
          <w:sz w:val="16"/>
          <w:szCs w:val="16"/>
          <w:lang w:val="es-CO"/>
        </w:rPr>
        <w:t>SEGUNDO: DECRETAR</w:t>
      </w:r>
      <w:r w:rsidRPr="00C53B15">
        <w:rPr>
          <w:rFonts w:ascii="Verdana" w:hAnsi="Verdana"/>
          <w:b/>
          <w:sz w:val="16"/>
          <w:szCs w:val="16"/>
          <w:lang w:val="es-CO"/>
        </w:rPr>
        <w:t xml:space="preserve"> </w:t>
      </w:r>
      <w:r w:rsidRPr="00C53B15">
        <w:rPr>
          <w:rFonts w:ascii="Verdana" w:hAnsi="Verdana"/>
          <w:sz w:val="16"/>
          <w:szCs w:val="16"/>
          <w:lang w:val="es-CO"/>
        </w:rPr>
        <w:t>la suspensión provisional de la expresión “</w:t>
      </w:r>
      <w:r w:rsidRPr="00C53B15">
        <w:rPr>
          <w:rFonts w:ascii="Verdana" w:hAnsi="Verdana"/>
          <w:i/>
          <w:sz w:val="16"/>
          <w:szCs w:val="16"/>
          <w:lang w:val="es-CO"/>
        </w:rPr>
        <w:t>contratos</w:t>
      </w:r>
      <w:r w:rsidRPr="00C53B15">
        <w:rPr>
          <w:rFonts w:ascii="Verdana" w:hAnsi="Verdana"/>
          <w:sz w:val="16"/>
          <w:szCs w:val="16"/>
          <w:lang w:val="es-CO"/>
        </w:rPr>
        <w:t xml:space="preserve">” y del párrafo </w:t>
      </w:r>
      <w:r w:rsidRPr="00C53B1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53B1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C53B15">
        <w:rPr>
          <w:rFonts w:ascii="Verdana" w:hAnsi="Verdana"/>
          <w:sz w:val="16"/>
          <w:szCs w:val="16"/>
          <w:lang w:val="es-CO"/>
        </w:rPr>
        <w:t>Exp</w:t>
      </w:r>
      <w:proofErr w:type="spellEnd"/>
      <w:r w:rsidRPr="00C53B15">
        <w:rPr>
          <w:rFonts w:ascii="Verdana" w:hAnsi="Verdana"/>
          <w:sz w:val="16"/>
          <w:szCs w:val="16"/>
          <w:lang w:val="es-CO"/>
        </w:rPr>
        <w:t xml:space="preserve">. 72.424. C.P: Fernando Alexei Pardo Flórez. </w:t>
      </w:r>
    </w:p>
    <w:p w14:paraId="30229717" w14:textId="77777777" w:rsidR="00D078C9" w:rsidRPr="00C53B15" w:rsidRDefault="00D078C9" w:rsidP="008D5774">
      <w:pPr>
        <w:pStyle w:val="Textonotapie"/>
        <w:ind w:firstLine="709"/>
        <w:contextualSpacing/>
        <w:jc w:val="both"/>
        <w:rPr>
          <w:rFonts w:ascii="Verdana" w:hAnsi="Verdana"/>
          <w:sz w:val="16"/>
          <w:szCs w:val="16"/>
          <w:lang w:val="es-CO"/>
        </w:rPr>
      </w:pPr>
    </w:p>
  </w:footnote>
  <w:footnote w:id="15">
    <w:p w14:paraId="0EB968A6" w14:textId="77777777" w:rsidR="008D5774" w:rsidRDefault="008D5774" w:rsidP="008D5774">
      <w:pPr>
        <w:spacing w:after="0" w:line="240" w:lineRule="auto"/>
        <w:ind w:firstLine="709"/>
        <w:contextualSpacing/>
        <w:jc w:val="both"/>
        <w:rPr>
          <w:rFonts w:ascii="Verdana" w:eastAsia="Times New Roman" w:hAnsi="Verdana" w:cs="Times New Roman"/>
          <w:sz w:val="16"/>
          <w:szCs w:val="16"/>
          <w:lang w:eastAsia="es-ES"/>
        </w:rPr>
      </w:pPr>
      <w:r w:rsidRPr="00C53B15">
        <w:rPr>
          <w:rStyle w:val="Refdenotaalpie"/>
          <w:rFonts w:ascii="Verdana" w:hAnsi="Verdana"/>
          <w:sz w:val="16"/>
          <w:szCs w:val="16"/>
        </w:rPr>
        <w:footnoteRef/>
      </w:r>
      <w:r w:rsidRPr="00C53B15">
        <w:rPr>
          <w:rFonts w:ascii="Verdana" w:hAnsi="Verdana"/>
          <w:sz w:val="16"/>
          <w:szCs w:val="16"/>
        </w:rPr>
        <w:t xml:space="preserve"> </w:t>
      </w:r>
      <w:r w:rsidRPr="00C53B1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53B15">
        <w:rPr>
          <w:rFonts w:ascii="Verdana" w:hAnsi="Verdana"/>
          <w:sz w:val="16"/>
          <w:szCs w:val="16"/>
        </w:rPr>
        <w:t xml:space="preserve">La parte de la providencia señala: </w:t>
      </w:r>
      <w:r w:rsidRPr="00C53B15">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C53B15">
        <w:rPr>
          <w:rFonts w:ascii="Verdana" w:eastAsia="Times New Roman" w:hAnsi="Verdana" w:cs="Times New Roman"/>
          <w:sz w:val="16"/>
          <w:szCs w:val="16"/>
          <w:lang w:eastAsia="es-ES"/>
        </w:rPr>
        <w:t>ii</w:t>
      </w:r>
      <w:proofErr w:type="spellEnd"/>
      <w:r w:rsidRPr="00C53B15">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39754C84" w14:textId="77777777" w:rsidR="00D078C9" w:rsidRPr="00C53B15" w:rsidRDefault="00D078C9" w:rsidP="008D5774">
      <w:pPr>
        <w:spacing w:after="0" w:line="240" w:lineRule="auto"/>
        <w:ind w:firstLine="709"/>
        <w:contextualSpacing/>
        <w:jc w:val="both"/>
        <w:rPr>
          <w:rFonts w:ascii="Verdana" w:eastAsia="Times New Roman" w:hAnsi="Verdana" w:cs="Times New Roman"/>
          <w:sz w:val="16"/>
          <w:szCs w:val="16"/>
          <w:lang w:eastAsia="es-ES"/>
        </w:rPr>
      </w:pPr>
    </w:p>
  </w:footnote>
  <w:footnote w:id="16">
    <w:p w14:paraId="79F06166" w14:textId="77777777" w:rsidR="008D5774" w:rsidRDefault="008D5774" w:rsidP="008D5774">
      <w:pPr>
        <w:pStyle w:val="Textonotapie"/>
        <w:ind w:firstLine="709"/>
        <w:jc w:val="both"/>
        <w:rPr>
          <w:rFonts w:ascii="Verdana" w:hAnsi="Verdana"/>
          <w:sz w:val="16"/>
          <w:szCs w:val="16"/>
        </w:rPr>
      </w:pPr>
      <w:r w:rsidRPr="00C53B15">
        <w:rPr>
          <w:rStyle w:val="Refdenotaalpie"/>
          <w:rFonts w:ascii="Verdana" w:hAnsi="Verdana"/>
          <w:sz w:val="16"/>
          <w:szCs w:val="16"/>
        </w:rPr>
        <w:footnoteRef/>
      </w:r>
      <w:r w:rsidRPr="00C53B15">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356305F9" w14:textId="77777777" w:rsidR="00D078C9" w:rsidRPr="00C53B15" w:rsidRDefault="00D078C9" w:rsidP="008D5774">
      <w:pPr>
        <w:pStyle w:val="Textonotapie"/>
        <w:ind w:firstLine="709"/>
        <w:jc w:val="both"/>
        <w:rPr>
          <w:rFonts w:ascii="Verdana" w:hAnsi="Verdana"/>
          <w:sz w:val="16"/>
          <w:szCs w:val="16"/>
          <w:lang w:val="es-CO"/>
        </w:rPr>
      </w:pPr>
    </w:p>
  </w:footnote>
  <w:footnote w:id="17">
    <w:p w14:paraId="20BBA9FE" w14:textId="494718BF" w:rsidR="00C53B15" w:rsidRPr="00BD4175" w:rsidRDefault="00C53B15" w:rsidP="00BD4175">
      <w:pPr>
        <w:pStyle w:val="Textonotapie"/>
        <w:ind w:firstLine="708"/>
        <w:jc w:val="both"/>
        <w:rPr>
          <w:rFonts w:ascii="Verdana" w:hAnsi="Verdana"/>
          <w:sz w:val="16"/>
          <w:szCs w:val="16"/>
        </w:rPr>
      </w:pPr>
      <w:r w:rsidRPr="00BD4175">
        <w:rPr>
          <w:rStyle w:val="Refdenotaalpie"/>
          <w:rFonts w:ascii="Verdana" w:hAnsi="Verdana"/>
          <w:sz w:val="16"/>
          <w:szCs w:val="16"/>
        </w:rPr>
        <w:footnoteRef/>
      </w:r>
      <w:r w:rsidRPr="00BD4175">
        <w:rPr>
          <w:rFonts w:ascii="Verdana" w:hAnsi="Verdana"/>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794DF3EF" w14:textId="6FA434F8" w:rsidR="00C53B15" w:rsidRPr="00BD4175" w:rsidRDefault="00C53B15" w:rsidP="00BD4175">
      <w:pPr>
        <w:pStyle w:val="Textonotapie"/>
        <w:ind w:firstLine="708"/>
        <w:jc w:val="both"/>
        <w:rPr>
          <w:rFonts w:ascii="Verdana" w:hAnsi="Verdana"/>
          <w:sz w:val="16"/>
          <w:szCs w:val="16"/>
        </w:rPr>
      </w:pPr>
      <w:r w:rsidRPr="00BD4175">
        <w:rPr>
          <w:rFonts w:ascii="Verdana" w:hAnsi="Verdana"/>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r>
        <w:rPr>
          <w:rFonts w:ascii="Verdana" w:hAnsi="Verdana"/>
          <w:sz w:val="16"/>
          <w:szCs w:val="16"/>
        </w:rPr>
        <w:t>”</w:t>
      </w:r>
      <w:r w:rsidRPr="00BD4175">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pt;height:1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68A"/>
    <w:rsid w:val="00046945"/>
    <w:rsid w:val="00053563"/>
    <w:rsid w:val="00061B2A"/>
    <w:rsid w:val="0006693F"/>
    <w:rsid w:val="00070BF4"/>
    <w:rsid w:val="00080209"/>
    <w:rsid w:val="00082362"/>
    <w:rsid w:val="00094252"/>
    <w:rsid w:val="000A683E"/>
    <w:rsid w:val="000A7D46"/>
    <w:rsid w:val="000B19B9"/>
    <w:rsid w:val="000B6F89"/>
    <w:rsid w:val="000D0334"/>
    <w:rsid w:val="000D2F32"/>
    <w:rsid w:val="000D5DA7"/>
    <w:rsid w:val="000E7C7B"/>
    <w:rsid w:val="000F6486"/>
    <w:rsid w:val="001068E1"/>
    <w:rsid w:val="00116940"/>
    <w:rsid w:val="001228DC"/>
    <w:rsid w:val="00124C21"/>
    <w:rsid w:val="00125105"/>
    <w:rsid w:val="00127233"/>
    <w:rsid w:val="0013546F"/>
    <w:rsid w:val="0015042F"/>
    <w:rsid w:val="00152F52"/>
    <w:rsid w:val="0015488B"/>
    <w:rsid w:val="0015650E"/>
    <w:rsid w:val="0015699B"/>
    <w:rsid w:val="0017343D"/>
    <w:rsid w:val="00182010"/>
    <w:rsid w:val="001930C3"/>
    <w:rsid w:val="001A33BF"/>
    <w:rsid w:val="001B064E"/>
    <w:rsid w:val="001C73B4"/>
    <w:rsid w:val="001E4177"/>
    <w:rsid w:val="001F0B24"/>
    <w:rsid w:val="001F7DC6"/>
    <w:rsid w:val="00203EC3"/>
    <w:rsid w:val="0022400B"/>
    <w:rsid w:val="00224979"/>
    <w:rsid w:val="002253D2"/>
    <w:rsid w:val="00233946"/>
    <w:rsid w:val="002421BB"/>
    <w:rsid w:val="002506B7"/>
    <w:rsid w:val="0025796E"/>
    <w:rsid w:val="002667E1"/>
    <w:rsid w:val="002707A2"/>
    <w:rsid w:val="002809EE"/>
    <w:rsid w:val="002951A0"/>
    <w:rsid w:val="002962BC"/>
    <w:rsid w:val="002A093D"/>
    <w:rsid w:val="002A0DD0"/>
    <w:rsid w:val="002A49AC"/>
    <w:rsid w:val="002A64FD"/>
    <w:rsid w:val="002B0A25"/>
    <w:rsid w:val="002C7A84"/>
    <w:rsid w:val="002E043C"/>
    <w:rsid w:val="002E2BF8"/>
    <w:rsid w:val="002E46C5"/>
    <w:rsid w:val="002E4FD9"/>
    <w:rsid w:val="002F04E0"/>
    <w:rsid w:val="0030657A"/>
    <w:rsid w:val="003116AA"/>
    <w:rsid w:val="00316B4B"/>
    <w:rsid w:val="00322A85"/>
    <w:rsid w:val="00324168"/>
    <w:rsid w:val="00330834"/>
    <w:rsid w:val="00336915"/>
    <w:rsid w:val="00341D29"/>
    <w:rsid w:val="003448F4"/>
    <w:rsid w:val="00373B36"/>
    <w:rsid w:val="00374F5E"/>
    <w:rsid w:val="00377E3E"/>
    <w:rsid w:val="00395FD0"/>
    <w:rsid w:val="003974B1"/>
    <w:rsid w:val="003A6D0D"/>
    <w:rsid w:val="003A779E"/>
    <w:rsid w:val="003B4D9D"/>
    <w:rsid w:val="003D0F4D"/>
    <w:rsid w:val="003D15AD"/>
    <w:rsid w:val="003D5B0D"/>
    <w:rsid w:val="003E0499"/>
    <w:rsid w:val="003E4F80"/>
    <w:rsid w:val="003E6439"/>
    <w:rsid w:val="003F3941"/>
    <w:rsid w:val="00406575"/>
    <w:rsid w:val="00414C74"/>
    <w:rsid w:val="0042722E"/>
    <w:rsid w:val="004317A8"/>
    <w:rsid w:val="0043275B"/>
    <w:rsid w:val="0044528D"/>
    <w:rsid w:val="00445E6C"/>
    <w:rsid w:val="00451BB4"/>
    <w:rsid w:val="00451BBD"/>
    <w:rsid w:val="00454707"/>
    <w:rsid w:val="004654BF"/>
    <w:rsid w:val="00466E39"/>
    <w:rsid w:val="00486F02"/>
    <w:rsid w:val="00492EFE"/>
    <w:rsid w:val="004A1847"/>
    <w:rsid w:val="004A305D"/>
    <w:rsid w:val="004B1246"/>
    <w:rsid w:val="004E7B1E"/>
    <w:rsid w:val="004F21C4"/>
    <w:rsid w:val="004F5ED9"/>
    <w:rsid w:val="004F685F"/>
    <w:rsid w:val="005179DF"/>
    <w:rsid w:val="005259F2"/>
    <w:rsid w:val="0053070B"/>
    <w:rsid w:val="00536F7E"/>
    <w:rsid w:val="005566E8"/>
    <w:rsid w:val="0055779B"/>
    <w:rsid w:val="00574867"/>
    <w:rsid w:val="00591460"/>
    <w:rsid w:val="005A65E0"/>
    <w:rsid w:val="005C3777"/>
    <w:rsid w:val="005C5CDC"/>
    <w:rsid w:val="005C6779"/>
    <w:rsid w:val="005D476C"/>
    <w:rsid w:val="005E492A"/>
    <w:rsid w:val="005E7FBC"/>
    <w:rsid w:val="006200BF"/>
    <w:rsid w:val="006219F8"/>
    <w:rsid w:val="00624038"/>
    <w:rsid w:val="006302F7"/>
    <w:rsid w:val="00635683"/>
    <w:rsid w:val="0064564D"/>
    <w:rsid w:val="00645740"/>
    <w:rsid w:val="00646B9F"/>
    <w:rsid w:val="006552C5"/>
    <w:rsid w:val="00665D70"/>
    <w:rsid w:val="006900D9"/>
    <w:rsid w:val="00690862"/>
    <w:rsid w:val="006C00A6"/>
    <w:rsid w:val="006C3CE7"/>
    <w:rsid w:val="006D6B3F"/>
    <w:rsid w:val="006E4EC5"/>
    <w:rsid w:val="0070142E"/>
    <w:rsid w:val="00703453"/>
    <w:rsid w:val="00706C16"/>
    <w:rsid w:val="00723433"/>
    <w:rsid w:val="007340C3"/>
    <w:rsid w:val="00737577"/>
    <w:rsid w:val="0075235A"/>
    <w:rsid w:val="00756841"/>
    <w:rsid w:val="007649AB"/>
    <w:rsid w:val="00771D0C"/>
    <w:rsid w:val="007833AC"/>
    <w:rsid w:val="007B268C"/>
    <w:rsid w:val="007B7171"/>
    <w:rsid w:val="007C0C0F"/>
    <w:rsid w:val="007C3DC2"/>
    <w:rsid w:val="007C435B"/>
    <w:rsid w:val="007D3DBF"/>
    <w:rsid w:val="007E5497"/>
    <w:rsid w:val="007F778E"/>
    <w:rsid w:val="00806F5F"/>
    <w:rsid w:val="00812D27"/>
    <w:rsid w:val="00816452"/>
    <w:rsid w:val="00816FE1"/>
    <w:rsid w:val="00820278"/>
    <w:rsid w:val="008258C9"/>
    <w:rsid w:val="00835946"/>
    <w:rsid w:val="008403BF"/>
    <w:rsid w:val="00844AE9"/>
    <w:rsid w:val="00867F95"/>
    <w:rsid w:val="008843B6"/>
    <w:rsid w:val="008917C7"/>
    <w:rsid w:val="00891928"/>
    <w:rsid w:val="008A446D"/>
    <w:rsid w:val="008B25F1"/>
    <w:rsid w:val="008D180B"/>
    <w:rsid w:val="008D55CB"/>
    <w:rsid w:val="008D5774"/>
    <w:rsid w:val="008F0EA7"/>
    <w:rsid w:val="008F1293"/>
    <w:rsid w:val="0090530F"/>
    <w:rsid w:val="0091370F"/>
    <w:rsid w:val="00917748"/>
    <w:rsid w:val="00923EEF"/>
    <w:rsid w:val="009252BB"/>
    <w:rsid w:val="00925CA2"/>
    <w:rsid w:val="009419F9"/>
    <w:rsid w:val="0095685E"/>
    <w:rsid w:val="00961B09"/>
    <w:rsid w:val="00965334"/>
    <w:rsid w:val="0097093E"/>
    <w:rsid w:val="00982ACA"/>
    <w:rsid w:val="00995967"/>
    <w:rsid w:val="009A0DFA"/>
    <w:rsid w:val="009A1C6F"/>
    <w:rsid w:val="009B2D26"/>
    <w:rsid w:val="009C44A9"/>
    <w:rsid w:val="009C71FA"/>
    <w:rsid w:val="009C72E7"/>
    <w:rsid w:val="009C7F7E"/>
    <w:rsid w:val="009D3058"/>
    <w:rsid w:val="009D377E"/>
    <w:rsid w:val="009D40B6"/>
    <w:rsid w:val="009F05FF"/>
    <w:rsid w:val="009F3A13"/>
    <w:rsid w:val="00A122D3"/>
    <w:rsid w:val="00A14468"/>
    <w:rsid w:val="00A17F13"/>
    <w:rsid w:val="00A20739"/>
    <w:rsid w:val="00A21CA3"/>
    <w:rsid w:val="00A23AF9"/>
    <w:rsid w:val="00A300AA"/>
    <w:rsid w:val="00A31841"/>
    <w:rsid w:val="00A33C78"/>
    <w:rsid w:val="00A709D2"/>
    <w:rsid w:val="00A754B1"/>
    <w:rsid w:val="00AA080B"/>
    <w:rsid w:val="00AB0ADB"/>
    <w:rsid w:val="00AF5B25"/>
    <w:rsid w:val="00AF7544"/>
    <w:rsid w:val="00B00C0E"/>
    <w:rsid w:val="00B01B1A"/>
    <w:rsid w:val="00B02418"/>
    <w:rsid w:val="00B024CD"/>
    <w:rsid w:val="00B0381D"/>
    <w:rsid w:val="00B162DD"/>
    <w:rsid w:val="00B44A47"/>
    <w:rsid w:val="00B5706D"/>
    <w:rsid w:val="00B6113F"/>
    <w:rsid w:val="00B72CD3"/>
    <w:rsid w:val="00B72FFF"/>
    <w:rsid w:val="00BC3D36"/>
    <w:rsid w:val="00BC7C68"/>
    <w:rsid w:val="00BD4175"/>
    <w:rsid w:val="00BD4742"/>
    <w:rsid w:val="00BD54A6"/>
    <w:rsid w:val="00BD7F72"/>
    <w:rsid w:val="00BE228B"/>
    <w:rsid w:val="00BF7425"/>
    <w:rsid w:val="00C00F79"/>
    <w:rsid w:val="00C01610"/>
    <w:rsid w:val="00C03F30"/>
    <w:rsid w:val="00C04FB3"/>
    <w:rsid w:val="00C11D8B"/>
    <w:rsid w:val="00C15139"/>
    <w:rsid w:val="00C17086"/>
    <w:rsid w:val="00C330EB"/>
    <w:rsid w:val="00C47291"/>
    <w:rsid w:val="00C50D69"/>
    <w:rsid w:val="00C5365C"/>
    <w:rsid w:val="00C53B15"/>
    <w:rsid w:val="00C622DE"/>
    <w:rsid w:val="00C754BE"/>
    <w:rsid w:val="00C76B1C"/>
    <w:rsid w:val="00C76B5F"/>
    <w:rsid w:val="00C831EC"/>
    <w:rsid w:val="00C925AC"/>
    <w:rsid w:val="00C93DAC"/>
    <w:rsid w:val="00CB0A50"/>
    <w:rsid w:val="00CB6357"/>
    <w:rsid w:val="00CC1B26"/>
    <w:rsid w:val="00CF24C0"/>
    <w:rsid w:val="00D078C9"/>
    <w:rsid w:val="00D31DC0"/>
    <w:rsid w:val="00D361FD"/>
    <w:rsid w:val="00D423A2"/>
    <w:rsid w:val="00D44E26"/>
    <w:rsid w:val="00D520D8"/>
    <w:rsid w:val="00D63AC2"/>
    <w:rsid w:val="00D7383B"/>
    <w:rsid w:val="00D7788A"/>
    <w:rsid w:val="00D9033C"/>
    <w:rsid w:val="00DA231B"/>
    <w:rsid w:val="00DA71B3"/>
    <w:rsid w:val="00DC051E"/>
    <w:rsid w:val="00DC39FC"/>
    <w:rsid w:val="00DD24B2"/>
    <w:rsid w:val="00DF1C4B"/>
    <w:rsid w:val="00DF5254"/>
    <w:rsid w:val="00E00882"/>
    <w:rsid w:val="00E02524"/>
    <w:rsid w:val="00E16408"/>
    <w:rsid w:val="00E20894"/>
    <w:rsid w:val="00E245AB"/>
    <w:rsid w:val="00E2764C"/>
    <w:rsid w:val="00E27F2E"/>
    <w:rsid w:val="00E50AFE"/>
    <w:rsid w:val="00E65677"/>
    <w:rsid w:val="00E75C92"/>
    <w:rsid w:val="00E771DC"/>
    <w:rsid w:val="00E8772A"/>
    <w:rsid w:val="00E90F6B"/>
    <w:rsid w:val="00E92C27"/>
    <w:rsid w:val="00EA02F5"/>
    <w:rsid w:val="00EA0E3D"/>
    <w:rsid w:val="00EA16FC"/>
    <w:rsid w:val="00EA5D59"/>
    <w:rsid w:val="00EC38A7"/>
    <w:rsid w:val="00EE1AA8"/>
    <w:rsid w:val="00EF41C4"/>
    <w:rsid w:val="00F23FEA"/>
    <w:rsid w:val="00F31EDC"/>
    <w:rsid w:val="00F32723"/>
    <w:rsid w:val="00F41C3E"/>
    <w:rsid w:val="00F462B3"/>
    <w:rsid w:val="00F5119A"/>
    <w:rsid w:val="00F5664F"/>
    <w:rsid w:val="00F666C4"/>
    <w:rsid w:val="00F76AFC"/>
    <w:rsid w:val="00F955C6"/>
    <w:rsid w:val="00FA47C0"/>
    <w:rsid w:val="00FB5DD1"/>
    <w:rsid w:val="00FB7920"/>
    <w:rsid w:val="00FC2B5D"/>
    <w:rsid w:val="00FD4A49"/>
    <w:rsid w:val="00FE26DE"/>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obierno@hatocorozal-casanare.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C03F0-51D4-4309-876F-F3BD77CF57C0}"/>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280</TotalTime>
  <Pages>20</Pages>
  <Words>6102</Words>
  <Characters>33561</Characters>
  <Application>Microsoft Office Word</Application>
  <DocSecurity>0</DocSecurity>
  <Lines>279</Lines>
  <Paragraphs>79</Paragraphs>
  <ScaleCrop>false</ScaleCrop>
  <Company/>
  <LinksUpToDate>false</LinksUpToDate>
  <CharactersWithSpaces>39584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28</cp:revision>
  <cp:lastPrinted>2023-01-10T21:18:00Z</cp:lastPrinted>
  <dcterms:created xsi:type="dcterms:W3CDTF">2026-03-31T16:25:00Z</dcterms:created>
  <dcterms:modified xsi:type="dcterms:W3CDTF">2026-05-04T20:31:00Z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