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57117" w14:textId="77777777" w:rsidR="00C723E8" w:rsidRPr="00502533" w:rsidRDefault="00C723E8" w:rsidP="00C723E8">
      <w:pPr>
        <w:spacing w:after="0" w:line="240" w:lineRule="auto"/>
        <w:jc w:val="both"/>
        <w:rPr>
          <w:rFonts w:ascii="Verdana" w:eastAsia="Calibri" w:hAnsi="Verdana" w:cs="Arial"/>
          <w:b/>
          <w:color w:val="000000" w:themeColor="text1"/>
          <w:lang w:val="es-ES"/>
        </w:rPr>
      </w:pPr>
      <w:bookmarkStart w:id="0" w:name="_Hlk143780582"/>
      <w:r w:rsidRPr="00502533">
        <w:rPr>
          <w:rFonts w:ascii="Verdana" w:eastAsia="Calibri" w:hAnsi="Verdana" w:cs="Arial"/>
          <w:b/>
          <w:color w:val="000000" w:themeColor="text1"/>
          <w:lang w:val="es-ES"/>
        </w:rPr>
        <w:t xml:space="preserve">PROCESOS DE SELECCIÓN – Licitación pública – Regla general </w:t>
      </w:r>
    </w:p>
    <w:p w14:paraId="0D706303" w14:textId="77777777" w:rsidR="00C723E8" w:rsidRPr="00502533" w:rsidRDefault="00C723E8" w:rsidP="00C723E8">
      <w:pPr>
        <w:spacing w:after="0" w:line="240" w:lineRule="auto"/>
        <w:jc w:val="both"/>
        <w:rPr>
          <w:rFonts w:ascii="Verdana" w:eastAsia="Calibri" w:hAnsi="Verdana" w:cs="Arial"/>
          <w:bCs/>
          <w:color w:val="000000" w:themeColor="text1"/>
          <w:sz w:val="20"/>
          <w:szCs w:val="20"/>
          <w:lang w:val="es-ES"/>
        </w:rPr>
      </w:pPr>
    </w:p>
    <w:p w14:paraId="2B9333E5" w14:textId="77777777" w:rsidR="00C723E8" w:rsidRPr="00502533" w:rsidRDefault="00C723E8" w:rsidP="00EF2148">
      <w:pPr>
        <w:spacing w:after="120" w:line="240" w:lineRule="auto"/>
        <w:jc w:val="both"/>
        <w:rPr>
          <w:rFonts w:ascii="Verdana" w:eastAsia="Calibri" w:hAnsi="Verdana" w:cs="Arial"/>
          <w:bCs/>
          <w:color w:val="000000" w:themeColor="text1"/>
          <w:sz w:val="20"/>
          <w:szCs w:val="20"/>
          <w:lang w:val="es-MX" w:eastAsia="es-ES_tradnl"/>
        </w:rPr>
      </w:pPr>
      <w:r w:rsidRPr="00502533">
        <w:rPr>
          <w:rFonts w:ascii="Verdana" w:eastAsia="Calibri" w:hAnsi="Verdana" w:cs="Arial"/>
          <w:bCs/>
          <w:color w:val="000000" w:themeColor="text1"/>
          <w:sz w:val="20"/>
          <w:szCs w:val="20"/>
          <w:lang w:val="es-MX" w:eastAsia="es-ES_tradnl"/>
        </w:rPr>
        <w:t xml:space="preserve">[…] el parágrafo 1 del artículo 30 de la Ley 80 de 1993 la define la licitación como “[…] el procedimiento mediante el cual la entidad estatal </w:t>
      </w:r>
      <w:r w:rsidRPr="00502533">
        <w:rPr>
          <w:rFonts w:ascii="Verdana" w:eastAsia="Calibri" w:hAnsi="Verdana" w:cs="Arial"/>
          <w:bCs/>
          <w:i/>
          <w:iCs/>
          <w:color w:val="000000" w:themeColor="text1"/>
          <w:sz w:val="20"/>
          <w:szCs w:val="20"/>
          <w:lang w:val="es-MX" w:eastAsia="es-ES_tradnl"/>
        </w:rPr>
        <w:t>formula públicamente una convocatoria</w:t>
      </w:r>
      <w:r w:rsidRPr="00502533">
        <w:rPr>
          <w:rFonts w:ascii="Verdana" w:eastAsia="Calibri" w:hAnsi="Verdana" w:cs="Arial"/>
          <w:bCs/>
          <w:color w:val="000000" w:themeColor="text1"/>
          <w:sz w:val="20"/>
          <w:szCs w:val="20"/>
          <w:lang w:val="es-MX" w:eastAsia="es-ES_tradnl"/>
        </w:rPr>
        <w:t xml:space="preserve"> para que, en igualdad de oportunidades, los interesados presenten sus ofertas y seleccione entre ellas la más favorable” (Énfasis fuera de texto). La convocatoria pública realizada a través de la licitación desarrolla al grado máximo los principios de transparencia, economía y responsabilidad de que tratan los artículos 24, 25 y 26 del Estatuto General de Contratación de la Administración Pública, así como los demás principios de la función administrativa previstos en el artículo 209 constitucional.</w:t>
      </w:r>
    </w:p>
    <w:p w14:paraId="6B511423" w14:textId="3D7774A2" w:rsidR="00C723E8" w:rsidRPr="00502533" w:rsidRDefault="00C723E8" w:rsidP="00EF2148">
      <w:pPr>
        <w:spacing w:after="0" w:line="240" w:lineRule="auto"/>
        <w:jc w:val="both"/>
        <w:rPr>
          <w:rFonts w:ascii="Verdana" w:eastAsia="Calibri" w:hAnsi="Verdana" w:cs="Arial"/>
          <w:bCs/>
          <w:color w:val="000000" w:themeColor="text1"/>
          <w:sz w:val="20"/>
          <w:szCs w:val="20"/>
          <w:lang w:val="es-MX" w:eastAsia="es-ES_tradnl"/>
        </w:rPr>
      </w:pPr>
      <w:r w:rsidRPr="00502533">
        <w:rPr>
          <w:rFonts w:ascii="Verdana" w:eastAsia="Calibri" w:hAnsi="Verdana" w:cs="Arial"/>
          <w:bCs/>
          <w:color w:val="000000" w:themeColor="text1"/>
          <w:sz w:val="20"/>
          <w:szCs w:val="20"/>
          <w:lang w:val="es-MX" w:eastAsia="es-ES_tradnl"/>
        </w:rPr>
        <w:t xml:space="preserve">Aunque el artículo 2 de la Ley 1150 de 2007 regula otros procedimientos con pluralidad de oferentes como el concurso de méritos, la selección abreviada y la mínima cuantía, es necesario tener en cuenta que la licitación constituye un procedimiento general mientras que lo demás tienen carácter especial. A ello se refiere numeral uno, inciso primero, del artículo 2 de la Ley 1150 de 2007 cuando dispone que “La escogencia del contratista se efectuará por </w:t>
      </w:r>
      <w:r w:rsidRPr="00502533">
        <w:rPr>
          <w:rFonts w:ascii="Verdana" w:eastAsia="Calibri" w:hAnsi="Verdana" w:cs="Arial"/>
          <w:bCs/>
          <w:i/>
          <w:iCs/>
          <w:color w:val="000000" w:themeColor="text1"/>
          <w:sz w:val="20"/>
          <w:szCs w:val="20"/>
          <w:lang w:val="es-MX" w:eastAsia="es-ES_tradnl"/>
        </w:rPr>
        <w:t>regla general</w:t>
      </w:r>
      <w:r w:rsidRPr="00502533">
        <w:rPr>
          <w:rFonts w:ascii="Verdana" w:eastAsia="Calibri" w:hAnsi="Verdana" w:cs="Arial"/>
          <w:bCs/>
          <w:color w:val="000000" w:themeColor="text1"/>
          <w:sz w:val="20"/>
          <w:szCs w:val="20"/>
          <w:lang w:val="es-MX" w:eastAsia="es-ES_tradnl"/>
        </w:rPr>
        <w:t xml:space="preserve"> a través de licitación pública, con las </w:t>
      </w:r>
      <w:r w:rsidRPr="00502533">
        <w:rPr>
          <w:rFonts w:ascii="Verdana" w:eastAsia="Calibri" w:hAnsi="Verdana" w:cs="Arial"/>
          <w:bCs/>
          <w:i/>
          <w:iCs/>
          <w:color w:val="000000" w:themeColor="text1"/>
          <w:sz w:val="20"/>
          <w:szCs w:val="20"/>
          <w:lang w:val="es-MX" w:eastAsia="es-ES_tradnl"/>
        </w:rPr>
        <w:t>excepciones</w:t>
      </w:r>
      <w:r w:rsidRPr="00502533">
        <w:rPr>
          <w:rFonts w:ascii="Verdana" w:eastAsia="Calibri" w:hAnsi="Verdana" w:cs="Arial"/>
          <w:bCs/>
          <w:color w:val="000000" w:themeColor="text1"/>
          <w:sz w:val="20"/>
          <w:szCs w:val="20"/>
          <w:lang w:val="es-MX" w:eastAsia="es-ES_tradnl"/>
        </w:rPr>
        <w:t xml:space="preserve"> que se señalan en los numerales 2, 3 y 4 del presente artículo” (Énfasis fuera de texto), norma que sustituye el derogado numeral 1 del artículo 24 de la Ley 80 de 1993 sobre el principio de transparencia. En este contexto, salvo norma especial que ordene la celebración del negocio jurídico por otra modalidad de selección, debe aplicarse la regla general de licitación pública.</w:t>
      </w:r>
    </w:p>
    <w:p w14:paraId="7962BC1F" w14:textId="77777777" w:rsidR="00E27C18" w:rsidRPr="00502533" w:rsidRDefault="00E27C18" w:rsidP="00C723E8">
      <w:pPr>
        <w:spacing w:after="0" w:line="240" w:lineRule="auto"/>
        <w:jc w:val="both"/>
        <w:rPr>
          <w:rFonts w:ascii="Verdana" w:eastAsia="Calibri" w:hAnsi="Verdana" w:cs="Arial"/>
          <w:bCs/>
          <w:color w:val="000000" w:themeColor="text1"/>
          <w:sz w:val="20"/>
          <w:szCs w:val="20"/>
          <w:lang w:val="es-ES" w:eastAsia="es-ES_tradnl"/>
        </w:rPr>
      </w:pPr>
    </w:p>
    <w:p w14:paraId="472EBB53" w14:textId="77777777" w:rsidR="00E27C18" w:rsidRPr="00502533" w:rsidRDefault="00E27C18" w:rsidP="00E27C18">
      <w:pPr>
        <w:spacing w:after="0" w:line="240" w:lineRule="auto"/>
        <w:jc w:val="both"/>
        <w:rPr>
          <w:rFonts w:ascii="Verdana" w:eastAsia="Calibri" w:hAnsi="Verdana" w:cs="Arial"/>
          <w:b/>
          <w:color w:val="000000" w:themeColor="text1"/>
          <w:lang w:val="es-ES"/>
        </w:rPr>
      </w:pPr>
      <w:r w:rsidRPr="00502533">
        <w:rPr>
          <w:rFonts w:ascii="Verdana" w:eastAsia="Calibri" w:hAnsi="Verdana" w:cs="Arial"/>
          <w:b/>
          <w:color w:val="000000" w:themeColor="text1"/>
          <w:lang w:val="es-ES"/>
        </w:rPr>
        <w:t xml:space="preserve">CONTRATO DE OBRA PÚBLICA – Concepto – Sentido restringido </w:t>
      </w:r>
    </w:p>
    <w:p w14:paraId="66D5462D" w14:textId="77777777" w:rsidR="00E27C18" w:rsidRPr="00502533" w:rsidRDefault="00E27C18" w:rsidP="00E27C18">
      <w:pPr>
        <w:spacing w:after="0" w:line="240" w:lineRule="auto"/>
        <w:jc w:val="both"/>
        <w:rPr>
          <w:rFonts w:ascii="Verdana" w:eastAsia="Calibri" w:hAnsi="Verdana" w:cs="Arial"/>
          <w:bCs/>
          <w:color w:val="000000" w:themeColor="text1"/>
          <w:sz w:val="20"/>
          <w:szCs w:val="20"/>
          <w:lang w:val="es-ES"/>
        </w:rPr>
      </w:pPr>
    </w:p>
    <w:p w14:paraId="02FA4DC5" w14:textId="77777777" w:rsidR="00905AFD" w:rsidRPr="00502533" w:rsidRDefault="00E27C18" w:rsidP="00905AFD">
      <w:pPr>
        <w:spacing w:after="120" w:line="240" w:lineRule="auto"/>
        <w:jc w:val="both"/>
        <w:rPr>
          <w:rFonts w:ascii="Verdana" w:eastAsia="Calibri" w:hAnsi="Verdana" w:cs="Arial"/>
          <w:color w:val="000000" w:themeColor="text1"/>
          <w:sz w:val="20"/>
          <w:szCs w:val="20"/>
          <w:lang w:val="es-ES_tradnl" w:eastAsia="es-ES_tradnl"/>
        </w:rPr>
      </w:pPr>
      <w:r w:rsidRPr="00502533">
        <w:rPr>
          <w:rFonts w:ascii="Verdana" w:eastAsia="Calibri" w:hAnsi="Verdana" w:cs="Arial"/>
          <w:color w:val="000000" w:themeColor="text1"/>
          <w:sz w:val="20"/>
          <w:szCs w:val="20"/>
          <w:lang w:val="es-ES_tradnl" w:eastAsia="es-ES_tradnl"/>
        </w:rPr>
        <w:t xml:space="preserve">En </w:t>
      </w:r>
      <w:r w:rsidRPr="00502533">
        <w:rPr>
          <w:rFonts w:ascii="Verdana" w:eastAsia="Calibri" w:hAnsi="Verdana" w:cs="Arial"/>
          <w:i/>
          <w:iCs/>
          <w:color w:val="000000" w:themeColor="text1"/>
          <w:sz w:val="20"/>
          <w:szCs w:val="20"/>
          <w:lang w:val="es-ES_tradnl" w:eastAsia="es-ES_tradnl"/>
        </w:rPr>
        <w:t>sentido amplio</w:t>
      </w:r>
      <w:r w:rsidRPr="00502533">
        <w:rPr>
          <w:rFonts w:ascii="Verdana" w:eastAsia="Calibri" w:hAnsi="Verdana" w:cs="Arial"/>
          <w:color w:val="000000" w:themeColor="text1"/>
          <w:sz w:val="20"/>
          <w:szCs w:val="20"/>
          <w:lang w:val="es-ES_tradnl" w:eastAsia="es-ES_tradnl"/>
        </w:rPr>
        <w:t xml:space="preserve">, dado que la “obra” es un bien que crea la actividad humana, el hecho de que sea “pública” significa que es todo trabajo material en cuya creación o realización interviene el Estado. No obstante, el numeral 1 del artículo 32 de la Ley 80 de 1993 opta por un </w:t>
      </w:r>
      <w:r w:rsidRPr="00502533">
        <w:rPr>
          <w:rFonts w:ascii="Verdana" w:eastAsia="Calibri" w:hAnsi="Verdana" w:cs="Arial"/>
          <w:i/>
          <w:iCs/>
          <w:color w:val="000000" w:themeColor="text1"/>
          <w:sz w:val="20"/>
          <w:szCs w:val="20"/>
          <w:lang w:val="es-ES_tradnl" w:eastAsia="es-ES_tradnl"/>
        </w:rPr>
        <w:t>sentido restringido</w:t>
      </w:r>
      <w:r w:rsidRPr="00502533">
        <w:rPr>
          <w:rFonts w:ascii="Verdana" w:eastAsia="Calibri" w:hAnsi="Verdana" w:cs="Arial"/>
          <w:color w:val="000000" w:themeColor="text1"/>
          <w:sz w:val="20"/>
          <w:szCs w:val="20"/>
          <w:lang w:val="es-ES_tradnl" w:eastAsia="es-ES_tradnl"/>
        </w:rPr>
        <w:t>, al disponer que “Son contratos de obra los que celebren las entidades estatales para la construcción, mantenimiento, instalación y, en general, para la realización de cualquier otro trabajo material sobre bienes inmuebles, cualquiera que sea la modalidad de ejecución y pago”, de manera que este tipo de contrato no aplica a los trabajos materiales realizados sobre bienes muebles.</w:t>
      </w:r>
    </w:p>
    <w:p w14:paraId="12AEEC40" w14:textId="523CD669" w:rsidR="00E27C18" w:rsidRPr="00502533" w:rsidRDefault="00E27C18" w:rsidP="00E27C18">
      <w:pPr>
        <w:spacing w:after="0" w:line="240" w:lineRule="auto"/>
        <w:jc w:val="both"/>
        <w:rPr>
          <w:rFonts w:ascii="Verdana" w:eastAsia="Calibri" w:hAnsi="Verdana" w:cs="Arial"/>
          <w:color w:val="000000" w:themeColor="text1"/>
          <w:sz w:val="20"/>
          <w:szCs w:val="20"/>
          <w:lang w:val="es-ES_tradnl" w:eastAsia="es-ES_tradnl"/>
        </w:rPr>
      </w:pPr>
      <w:r w:rsidRPr="00502533">
        <w:rPr>
          <w:rFonts w:ascii="Verdana" w:eastAsia="Calibri" w:hAnsi="Verdana" w:cs="Arial"/>
          <w:color w:val="000000" w:themeColor="text1"/>
          <w:sz w:val="20"/>
          <w:szCs w:val="20"/>
          <w:lang w:val="es-ES_tradnl" w:eastAsia="es-ES_tradnl"/>
        </w:rPr>
        <w:t>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r w:rsidRPr="00502533">
        <w:rPr>
          <w:rFonts w:ascii="Verdana" w:eastAsia="Calibri" w:hAnsi="Verdana" w:cs="Arial"/>
          <w:color w:val="000000" w:themeColor="text1"/>
          <w:sz w:val="20"/>
          <w:szCs w:val="20"/>
          <w:lang w:val="es-ES_tradnl"/>
        </w:rPr>
        <w:t>.</w:t>
      </w:r>
    </w:p>
    <w:p w14:paraId="03C211BA" w14:textId="77777777" w:rsidR="00E27C18" w:rsidRPr="00502533" w:rsidRDefault="00E27C18" w:rsidP="00C723E8">
      <w:pPr>
        <w:spacing w:after="0" w:line="240" w:lineRule="auto"/>
        <w:jc w:val="both"/>
        <w:rPr>
          <w:rFonts w:ascii="Verdana" w:eastAsia="Calibri" w:hAnsi="Verdana" w:cs="Arial"/>
          <w:bCs/>
          <w:color w:val="000000" w:themeColor="text1"/>
          <w:sz w:val="20"/>
          <w:szCs w:val="20"/>
          <w:lang w:val="es-ES_tradnl" w:eastAsia="es-ES_tradnl"/>
        </w:rPr>
      </w:pPr>
    </w:p>
    <w:p w14:paraId="41B822CA" w14:textId="5766579F" w:rsidR="00C72C8F" w:rsidRPr="00502533" w:rsidRDefault="00C72C8F" w:rsidP="00C72C8F">
      <w:pPr>
        <w:spacing w:after="0" w:line="240" w:lineRule="auto"/>
        <w:jc w:val="both"/>
        <w:rPr>
          <w:rFonts w:ascii="Verdana" w:eastAsia="Calibri" w:hAnsi="Verdana" w:cs="Arial"/>
          <w:b/>
          <w:lang w:val="es-ES_tradnl"/>
        </w:rPr>
      </w:pPr>
      <w:r w:rsidRPr="00502533">
        <w:rPr>
          <w:rFonts w:ascii="Verdana" w:hAnsi="Verdana" w:cs="Arial"/>
          <w:b/>
          <w:lang w:val="es-ES" w:eastAsia="es-ES"/>
        </w:rPr>
        <w:t xml:space="preserve">PLIEGOS DE CONDICIONES </w:t>
      </w:r>
      <w:r w:rsidR="00C80B24" w:rsidRPr="00502533">
        <w:rPr>
          <w:rFonts w:ascii="Verdana" w:eastAsia="Calibri" w:hAnsi="Verdana" w:cs="Arial"/>
          <w:b/>
          <w:lang w:val="es-ES_tradnl"/>
        </w:rPr>
        <w:t>– Concepto – Acto jurídico Mixto – Carácter Vinculante – Regla del proceso</w:t>
      </w:r>
    </w:p>
    <w:p w14:paraId="328C4E6A" w14:textId="77777777" w:rsidR="00C80B24" w:rsidRPr="00502533" w:rsidRDefault="00C80B24" w:rsidP="00C72C8F">
      <w:pPr>
        <w:spacing w:after="0" w:line="240" w:lineRule="auto"/>
        <w:jc w:val="both"/>
        <w:rPr>
          <w:rFonts w:ascii="Verdana" w:hAnsi="Verdana" w:cs="Arial"/>
          <w:sz w:val="20"/>
          <w:lang w:val="es-ES" w:eastAsia="es-ES"/>
        </w:rPr>
      </w:pPr>
    </w:p>
    <w:p w14:paraId="7C146711" w14:textId="77777777" w:rsidR="005A41C1" w:rsidRPr="00502533" w:rsidRDefault="00C72C8F" w:rsidP="00905AFD">
      <w:pPr>
        <w:spacing w:after="120" w:line="240" w:lineRule="auto"/>
        <w:jc w:val="both"/>
        <w:rPr>
          <w:rFonts w:ascii="Verdana" w:hAnsi="Verdana" w:cs="Arial"/>
          <w:sz w:val="20"/>
          <w:lang w:val="es-ES_tradnl" w:eastAsia="es-ES"/>
        </w:rPr>
      </w:pPr>
      <w:r w:rsidRPr="00502533">
        <w:rPr>
          <w:rFonts w:ascii="Verdana" w:hAnsi="Verdana" w:cs="Arial"/>
          <w:sz w:val="20"/>
          <w:lang w:val="es-ES" w:eastAsia="es-ES"/>
        </w:rPr>
        <w:t xml:space="preserve">El pliego de condiciones es la hoja de ruta o plan sobre el cual se diseña, estructura y concreta el procedimiento de selección de contratistas. El mismo ha sido definido como un “acto jurídico mixto, que nace como un acto administrativo de contenido general y que, con la adjudicación y suscripción del contrato estatal, algunos de sus contenidos se </w:t>
      </w:r>
      <w:r w:rsidRPr="00502533">
        <w:rPr>
          <w:rFonts w:ascii="Verdana" w:hAnsi="Verdana" w:cs="Arial"/>
          <w:sz w:val="20"/>
          <w:lang w:val="es-ES" w:eastAsia="es-ES"/>
        </w:rPr>
        <w:lastRenderedPageBreak/>
        <w:t>transforman para incorporarse al texto del negocio jurídico y, por consiguiente, se convierten en cláusulas vinculantes del mismo”.</w:t>
      </w:r>
      <w:r w:rsidRPr="00502533">
        <w:rPr>
          <w:rFonts w:ascii="Verdana" w:hAnsi="Verdana" w:cs="Arial"/>
          <w:sz w:val="20"/>
          <w:lang w:val="es-ES_tradnl" w:eastAsia="es-ES"/>
        </w:rPr>
        <w:t xml:space="preserve"> En este sentido, en el marco de su discrecionalidad, cada entidad debe establecer la forma cómo se estructura el pliego de condiciones, el cual está condicionado a la proporcionalidad de las decisiones que toma en aras de garantizar la pluralidad de oferentes y la selección objetiva</w:t>
      </w:r>
      <w:r w:rsidR="005A41C1" w:rsidRPr="00502533">
        <w:rPr>
          <w:rFonts w:ascii="Verdana" w:hAnsi="Verdana" w:cs="Arial"/>
          <w:sz w:val="20"/>
          <w:lang w:val="es-ES_tradnl" w:eastAsia="es-ES"/>
        </w:rPr>
        <w:t>.</w:t>
      </w:r>
    </w:p>
    <w:p w14:paraId="218A83F3" w14:textId="6A989EE3" w:rsidR="005A41C1" w:rsidRPr="00502533" w:rsidRDefault="005A41C1" w:rsidP="00905AFD">
      <w:pPr>
        <w:spacing w:after="120" w:line="240" w:lineRule="auto"/>
        <w:jc w:val="both"/>
        <w:rPr>
          <w:rFonts w:ascii="Verdana" w:hAnsi="Verdana" w:cs="Arial"/>
          <w:sz w:val="20"/>
          <w:lang w:val="es-ES_tradnl" w:eastAsia="es-ES"/>
        </w:rPr>
      </w:pPr>
      <w:r w:rsidRPr="00502533">
        <w:rPr>
          <w:rFonts w:ascii="Verdana" w:eastAsia="Calibri" w:hAnsi="Verdana" w:cs="Arial"/>
          <w:bCs/>
          <w:color w:val="000000" w:themeColor="text1"/>
          <w:sz w:val="20"/>
          <w:szCs w:val="20"/>
          <w:lang w:val="es-ES" w:eastAsia="es-ES_tradnl"/>
        </w:rPr>
        <w:t>[…]</w:t>
      </w:r>
    </w:p>
    <w:p w14:paraId="2888C937" w14:textId="77777777" w:rsidR="00680B2B" w:rsidRPr="00502533" w:rsidRDefault="005A41C1" w:rsidP="00905AFD">
      <w:pPr>
        <w:spacing w:after="240" w:line="240" w:lineRule="auto"/>
        <w:jc w:val="both"/>
        <w:rPr>
          <w:rFonts w:ascii="Verdana" w:eastAsia="Calibri" w:hAnsi="Verdana" w:cs="Arial"/>
          <w:bCs/>
          <w:color w:val="000000" w:themeColor="text1"/>
          <w:sz w:val="20"/>
          <w:szCs w:val="20"/>
          <w:lang w:val="es-ES" w:eastAsia="es-ES_tradnl"/>
        </w:rPr>
      </w:pPr>
      <w:r w:rsidRPr="00502533">
        <w:rPr>
          <w:rFonts w:ascii="Verdana" w:hAnsi="Verdana" w:cs="Arial"/>
          <w:sz w:val="20"/>
          <w:szCs w:val="20"/>
          <w:lang w:val="es-ES" w:eastAsia="es-ES"/>
        </w:rPr>
        <w:t xml:space="preserve">De este modo, el pliego de condiciones es un instrumento en el cual se materializa el principio de transparencia, pues en ese documento se fijan las reglas de escogencia del contratista del Estado, para la selección objetiva de la mejor oferta, la adjudicación y la posterior celebración y ejecución del contrato, lo cual lo convierte en una reglamentación de todo el </w:t>
      </w:r>
      <w:r w:rsidRPr="00502533">
        <w:rPr>
          <w:rFonts w:ascii="Verdana" w:hAnsi="Verdana" w:cs="Arial"/>
          <w:i/>
          <w:iCs/>
          <w:sz w:val="20"/>
          <w:szCs w:val="20"/>
          <w:lang w:val="es-ES" w:eastAsia="es-ES"/>
        </w:rPr>
        <w:t>iter</w:t>
      </w:r>
      <w:r w:rsidRPr="00502533">
        <w:rPr>
          <w:rFonts w:ascii="Verdana" w:hAnsi="Verdana" w:cs="Arial"/>
          <w:sz w:val="20"/>
          <w:szCs w:val="20"/>
          <w:lang w:val="es-ES" w:eastAsia="es-ES"/>
        </w:rPr>
        <w:t xml:space="preserve"> contractual. Su contenido está previsto en el numeral 5 del artículo 24 de la Ley 80 de 1993, que establece algunas directrices que se deben tenerse en cuenta en su elaboración.</w:t>
      </w:r>
      <w:r w:rsidRPr="00502533">
        <w:rPr>
          <w:rFonts w:ascii="Verdana" w:eastAsia="Calibri" w:hAnsi="Verdana" w:cs="Arial"/>
          <w:bCs/>
          <w:color w:val="000000" w:themeColor="text1"/>
          <w:sz w:val="20"/>
          <w:szCs w:val="20"/>
          <w:lang w:val="es-ES" w:eastAsia="es-ES_tradnl"/>
        </w:rPr>
        <w:t xml:space="preserve"> </w:t>
      </w:r>
    </w:p>
    <w:p w14:paraId="45AE10FA" w14:textId="1E3D162F" w:rsidR="00680B2B" w:rsidRPr="00502533" w:rsidRDefault="00680B2B" w:rsidP="00680B2B">
      <w:pPr>
        <w:spacing w:after="240" w:line="240" w:lineRule="auto"/>
        <w:jc w:val="both"/>
        <w:rPr>
          <w:rFonts w:ascii="Verdana" w:eastAsia="Calibri" w:hAnsi="Verdana" w:cs="Arial"/>
          <w:bCs/>
          <w:color w:val="000000" w:themeColor="text1"/>
          <w:sz w:val="20"/>
          <w:szCs w:val="20"/>
          <w:lang w:val="es-ES" w:eastAsia="es-ES_tradnl"/>
        </w:rPr>
      </w:pPr>
      <w:r w:rsidRPr="00502533">
        <w:rPr>
          <w:rFonts w:ascii="Verdana" w:hAnsi="Verdana" w:cs="Arial"/>
          <w:b/>
          <w:lang w:val="es-ES" w:eastAsia="es-ES"/>
        </w:rPr>
        <w:t>PLIEGOS DE CONDICIONES - Selección Objetiva</w:t>
      </w:r>
    </w:p>
    <w:p w14:paraId="0C83DCA0" w14:textId="2C80F47D" w:rsidR="003725D4" w:rsidRPr="00502533" w:rsidRDefault="003725D4" w:rsidP="00A86BA2">
      <w:pPr>
        <w:spacing w:after="120" w:line="240" w:lineRule="auto"/>
        <w:jc w:val="both"/>
        <w:rPr>
          <w:rFonts w:ascii="Verdana" w:hAnsi="Verdana" w:cs="Arial"/>
          <w:sz w:val="20"/>
          <w:lang w:val="es-ES" w:eastAsia="es-ES"/>
        </w:rPr>
      </w:pPr>
      <w:r w:rsidRPr="00502533">
        <w:rPr>
          <w:rFonts w:ascii="Verdana" w:hAnsi="Verdana" w:cs="Arial"/>
          <w:sz w:val="20"/>
          <w:szCs w:val="20"/>
          <w:lang w:val="es-ES" w:eastAsia="es-ES"/>
        </w:rPr>
        <w:t xml:space="preserve">De conformidad con lo anterior, resulta claro que las entidades estatales, en virtud de la autonomía de la voluntad y de la amplia discrecionalidad que se les reconoce, tienen la facultad de configurar las reglas y exigencias de los pliegos de condiciones de manera libre, dentro de los parámetros y límites </w:t>
      </w:r>
      <w:r w:rsidRPr="00502533">
        <w:rPr>
          <w:rFonts w:ascii="Verdana" w:hAnsi="Verdana" w:cs="Arial"/>
          <w:sz w:val="20"/>
          <w:szCs w:val="20"/>
          <w:lang w:val="es-ES" w:eastAsia="es-ES" w:bidi="es-ES"/>
        </w:rPr>
        <w:t>establecidos por el ordenamiento jurídico</w:t>
      </w:r>
      <w:r w:rsidRPr="00502533">
        <w:rPr>
          <w:rFonts w:ascii="Verdana" w:hAnsi="Verdana" w:cs="Arial"/>
          <w:sz w:val="20"/>
          <w:szCs w:val="20"/>
          <w:lang w:val="es-ES" w:eastAsia="es-ES"/>
        </w:rPr>
        <w:t>, con fundamento en los estudios realizados en la fase de planeación. Además, tienen la carga de elaborarlos de manera idónea, objetiva, clara, precisa y completa, tal como se deduce de la disposición citada.</w:t>
      </w:r>
    </w:p>
    <w:p w14:paraId="2E846541" w14:textId="77777777" w:rsidR="00A86BA2" w:rsidRPr="00502533" w:rsidRDefault="003725D4" w:rsidP="00A86BA2">
      <w:pPr>
        <w:spacing w:after="0" w:line="240" w:lineRule="auto"/>
        <w:jc w:val="both"/>
        <w:rPr>
          <w:rFonts w:ascii="Verdana" w:hAnsi="Verdana" w:cs="Arial"/>
          <w:sz w:val="20"/>
          <w:szCs w:val="20"/>
          <w:lang w:eastAsia="es-ES"/>
        </w:rPr>
      </w:pPr>
      <w:r w:rsidRPr="00502533">
        <w:rPr>
          <w:rFonts w:ascii="Verdana" w:hAnsi="Verdana" w:cs="Arial"/>
          <w:sz w:val="20"/>
          <w:szCs w:val="20"/>
          <w:lang w:eastAsia="es-ES"/>
        </w:rPr>
        <w:t>Sumado a lo anterior, la Corte Constitucional ha señalado, frente a la selección objetiva, que las entidades estatales no pueden establecer reglas subjetivas, sino que deben adoptar criterios razonables y objetivos, de acuerdo con las normas que rigen la actividad contractual. En otro pronunciamiento, el Consejo de Estado precisó que la autonomía que tienen las entidades frente a la configuración de los pliegos de condiciones y los criterios de selección de los procedimientos de contratación no es absoluta.</w:t>
      </w:r>
    </w:p>
    <w:p w14:paraId="64E39DCA" w14:textId="77777777" w:rsidR="003C4A9F" w:rsidRPr="00502533" w:rsidRDefault="003C4A9F" w:rsidP="00A86BA2">
      <w:pPr>
        <w:spacing w:after="0" w:line="240" w:lineRule="auto"/>
        <w:jc w:val="both"/>
        <w:rPr>
          <w:rFonts w:ascii="Verdana" w:hAnsi="Verdana" w:cs="Arial"/>
          <w:sz w:val="20"/>
          <w:szCs w:val="20"/>
          <w:lang w:eastAsia="es-ES"/>
        </w:rPr>
      </w:pPr>
    </w:p>
    <w:p w14:paraId="481AE04C" w14:textId="77777777" w:rsidR="003C4A9F" w:rsidRPr="00502533" w:rsidRDefault="003C4A9F" w:rsidP="00A86BA2">
      <w:pPr>
        <w:spacing w:after="0" w:line="240" w:lineRule="auto"/>
        <w:jc w:val="both"/>
        <w:rPr>
          <w:rFonts w:ascii="Verdana" w:hAnsi="Verdana" w:cs="Arial"/>
          <w:sz w:val="20"/>
          <w:szCs w:val="20"/>
          <w:lang w:eastAsia="es-ES"/>
        </w:rPr>
      </w:pPr>
    </w:p>
    <w:p w14:paraId="208DF54A" w14:textId="77777777" w:rsidR="003C4A9F" w:rsidRPr="00502533" w:rsidRDefault="003C4A9F" w:rsidP="00A86BA2">
      <w:pPr>
        <w:spacing w:after="0" w:line="240" w:lineRule="auto"/>
        <w:jc w:val="both"/>
        <w:rPr>
          <w:rFonts w:ascii="Verdana" w:hAnsi="Verdana" w:cs="Arial"/>
          <w:sz w:val="20"/>
          <w:szCs w:val="20"/>
          <w:lang w:eastAsia="es-ES"/>
        </w:rPr>
      </w:pPr>
    </w:p>
    <w:p w14:paraId="2330F8AC" w14:textId="77777777" w:rsidR="003C4A9F" w:rsidRPr="00502533" w:rsidRDefault="003C4A9F" w:rsidP="00A86BA2">
      <w:pPr>
        <w:spacing w:after="0" w:line="240" w:lineRule="auto"/>
        <w:jc w:val="both"/>
        <w:rPr>
          <w:rFonts w:ascii="Verdana" w:hAnsi="Verdana" w:cs="Arial"/>
          <w:sz w:val="20"/>
          <w:szCs w:val="20"/>
          <w:lang w:eastAsia="es-ES"/>
        </w:rPr>
      </w:pPr>
    </w:p>
    <w:p w14:paraId="034F9222" w14:textId="77777777" w:rsidR="003C4A9F" w:rsidRPr="00502533" w:rsidRDefault="003C4A9F" w:rsidP="00A86BA2">
      <w:pPr>
        <w:spacing w:after="0" w:line="240" w:lineRule="auto"/>
        <w:jc w:val="both"/>
        <w:rPr>
          <w:rFonts w:ascii="Verdana" w:hAnsi="Verdana" w:cs="Arial"/>
          <w:sz w:val="20"/>
          <w:szCs w:val="20"/>
          <w:lang w:eastAsia="es-ES"/>
        </w:rPr>
      </w:pPr>
    </w:p>
    <w:p w14:paraId="5B10275D" w14:textId="77777777" w:rsidR="003C4A9F" w:rsidRPr="00502533" w:rsidRDefault="003C4A9F" w:rsidP="00A86BA2">
      <w:pPr>
        <w:spacing w:after="0" w:line="240" w:lineRule="auto"/>
        <w:jc w:val="both"/>
        <w:rPr>
          <w:rFonts w:ascii="Verdana" w:hAnsi="Verdana" w:cs="Arial"/>
          <w:sz w:val="20"/>
          <w:szCs w:val="20"/>
          <w:lang w:eastAsia="es-ES"/>
        </w:rPr>
      </w:pPr>
    </w:p>
    <w:p w14:paraId="77E54994" w14:textId="77777777" w:rsidR="003C4A9F" w:rsidRPr="00502533" w:rsidRDefault="003C4A9F" w:rsidP="00A86BA2">
      <w:pPr>
        <w:spacing w:after="0" w:line="240" w:lineRule="auto"/>
        <w:jc w:val="both"/>
        <w:rPr>
          <w:rFonts w:ascii="Verdana" w:hAnsi="Verdana" w:cs="Arial"/>
          <w:sz w:val="20"/>
          <w:szCs w:val="20"/>
          <w:lang w:eastAsia="es-ES"/>
        </w:rPr>
      </w:pPr>
    </w:p>
    <w:p w14:paraId="10A9A4CF" w14:textId="77777777" w:rsidR="003C4A9F" w:rsidRPr="00502533" w:rsidRDefault="003C4A9F" w:rsidP="00A86BA2">
      <w:pPr>
        <w:spacing w:after="0" w:line="240" w:lineRule="auto"/>
        <w:jc w:val="both"/>
        <w:rPr>
          <w:rFonts w:ascii="Verdana" w:hAnsi="Verdana" w:cs="Arial"/>
          <w:sz w:val="20"/>
          <w:szCs w:val="20"/>
          <w:lang w:eastAsia="es-ES"/>
        </w:rPr>
      </w:pPr>
    </w:p>
    <w:p w14:paraId="286765F5" w14:textId="77777777" w:rsidR="003C4A9F" w:rsidRPr="00502533" w:rsidRDefault="003C4A9F" w:rsidP="00A86BA2">
      <w:pPr>
        <w:spacing w:after="0" w:line="240" w:lineRule="auto"/>
        <w:jc w:val="both"/>
        <w:rPr>
          <w:rFonts w:ascii="Verdana" w:hAnsi="Verdana" w:cs="Arial"/>
          <w:sz w:val="20"/>
          <w:szCs w:val="20"/>
          <w:lang w:eastAsia="es-ES"/>
        </w:rPr>
      </w:pPr>
    </w:p>
    <w:p w14:paraId="40C6B338" w14:textId="77777777" w:rsidR="003C4A9F" w:rsidRPr="00502533" w:rsidRDefault="003C4A9F" w:rsidP="00A86BA2">
      <w:pPr>
        <w:spacing w:after="0" w:line="240" w:lineRule="auto"/>
        <w:jc w:val="both"/>
        <w:rPr>
          <w:rFonts w:ascii="Verdana" w:hAnsi="Verdana" w:cs="Arial"/>
          <w:sz w:val="20"/>
          <w:szCs w:val="20"/>
          <w:lang w:eastAsia="es-ES"/>
        </w:rPr>
      </w:pPr>
    </w:p>
    <w:p w14:paraId="345F8B4A" w14:textId="77777777" w:rsidR="003C4A9F" w:rsidRPr="00502533" w:rsidRDefault="003C4A9F" w:rsidP="00A86BA2">
      <w:pPr>
        <w:spacing w:after="0" w:line="240" w:lineRule="auto"/>
        <w:jc w:val="both"/>
        <w:rPr>
          <w:rFonts w:ascii="Verdana" w:hAnsi="Verdana" w:cs="Arial"/>
          <w:sz w:val="20"/>
          <w:szCs w:val="20"/>
          <w:lang w:eastAsia="es-ES"/>
        </w:rPr>
      </w:pPr>
    </w:p>
    <w:p w14:paraId="5DD0415F" w14:textId="77777777" w:rsidR="003C4A9F" w:rsidRPr="00502533" w:rsidRDefault="003C4A9F" w:rsidP="00A86BA2">
      <w:pPr>
        <w:spacing w:after="0" w:line="240" w:lineRule="auto"/>
        <w:jc w:val="both"/>
        <w:rPr>
          <w:rFonts w:ascii="Verdana" w:hAnsi="Verdana" w:cs="Arial"/>
          <w:sz w:val="20"/>
          <w:szCs w:val="20"/>
          <w:lang w:eastAsia="es-ES"/>
        </w:rPr>
      </w:pPr>
    </w:p>
    <w:p w14:paraId="696731CE" w14:textId="77777777" w:rsidR="003C4A9F" w:rsidRPr="00502533" w:rsidRDefault="003C4A9F" w:rsidP="00A86BA2">
      <w:pPr>
        <w:spacing w:after="0" w:line="240" w:lineRule="auto"/>
        <w:jc w:val="both"/>
        <w:rPr>
          <w:rFonts w:ascii="Verdana" w:hAnsi="Verdana" w:cs="Arial"/>
          <w:sz w:val="20"/>
          <w:szCs w:val="20"/>
          <w:lang w:eastAsia="es-ES"/>
        </w:rPr>
      </w:pPr>
    </w:p>
    <w:p w14:paraId="3F1EF295" w14:textId="77777777" w:rsidR="003C4A9F" w:rsidRPr="00502533" w:rsidRDefault="003C4A9F" w:rsidP="00A86BA2">
      <w:pPr>
        <w:spacing w:after="0" w:line="240" w:lineRule="auto"/>
        <w:jc w:val="both"/>
        <w:rPr>
          <w:rFonts w:ascii="Verdana" w:hAnsi="Verdana" w:cs="Arial"/>
          <w:sz w:val="20"/>
          <w:lang w:val="es-ES_tradnl" w:eastAsia="es-ES"/>
        </w:rPr>
      </w:pPr>
    </w:p>
    <w:p w14:paraId="1468C46D" w14:textId="7A70D293" w:rsidR="00C15139" w:rsidRDefault="00C15139" w:rsidP="00A86BA2">
      <w:pPr>
        <w:spacing w:after="0" w:line="240" w:lineRule="auto"/>
        <w:jc w:val="both"/>
        <w:rPr>
          <w:rFonts w:ascii="Verdana" w:hAnsi="Verdana"/>
        </w:rPr>
      </w:pPr>
      <w:r w:rsidRPr="00502533">
        <w:rPr>
          <w:rFonts w:ascii="Verdana" w:eastAsia="Verdana" w:hAnsi="Verdana" w:cs="Verdana"/>
        </w:rPr>
        <w:lastRenderedPageBreak/>
        <w:t xml:space="preserve">Bogotá D.C., </w:t>
      </w:r>
      <w:r w:rsidR="001F0C9E">
        <w:rPr>
          <w:rFonts w:ascii="Verdana" w:eastAsia="Verdana" w:hAnsi="Verdana" w:cs="Verdana"/>
        </w:rPr>
        <w:t>30 de abril del 2026</w:t>
      </w:r>
      <w:r w:rsidRPr="00502533">
        <w:rPr>
          <w:rFonts w:ascii="Verdana" w:hAnsi="Verdana"/>
        </w:rPr>
        <w:tab/>
      </w:r>
      <w:r w:rsidRPr="00502533">
        <w:rPr>
          <w:rFonts w:ascii="Verdana" w:hAnsi="Verdana"/>
        </w:rPr>
        <w:br/>
      </w:r>
    </w:p>
    <w:p w14:paraId="429B1AAE" w14:textId="56D4658E" w:rsidR="00913FC7" w:rsidRPr="00502533" w:rsidRDefault="00615DE5" w:rsidP="00913FC7">
      <w:pPr>
        <w:spacing w:after="0" w:line="240" w:lineRule="auto"/>
        <w:jc w:val="right"/>
        <w:rPr>
          <w:rFonts w:ascii="Verdana" w:hAnsi="Verdana" w:cs="Arial"/>
          <w:sz w:val="20"/>
          <w:lang w:val="es-ES_tradnl" w:eastAsia="es-ES"/>
        </w:rPr>
      </w:pPr>
      <w:r w:rsidRPr="00615DE5">
        <w:rPr>
          <w:rFonts w:ascii="Verdana" w:hAnsi="Verdana" w:cs="Arial"/>
          <w:sz w:val="20"/>
          <w:lang w:val="es-ES_tradnl" w:eastAsia="es-ES"/>
        </w:rPr>
        <w:drawing>
          <wp:inline distT="0" distB="0" distL="0" distR="0" wp14:anchorId="2D48DDD1" wp14:editId="5345AD40">
            <wp:extent cx="2724150" cy="866775"/>
            <wp:effectExtent l="0" t="0" r="0" b="9525"/>
            <wp:docPr id="1012371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37119" name=""/>
                    <pic:cNvPicPr/>
                  </pic:nvPicPr>
                  <pic:blipFill>
                    <a:blip r:embed="rId11"/>
                    <a:stretch>
                      <a:fillRect/>
                    </a:stretch>
                  </pic:blipFill>
                  <pic:spPr>
                    <a:xfrm>
                      <a:off x="0" y="0"/>
                      <a:ext cx="2724533" cy="866897"/>
                    </a:xfrm>
                    <a:prstGeom prst="rect">
                      <a:avLst/>
                    </a:prstGeom>
                  </pic:spPr>
                </pic:pic>
              </a:graphicData>
            </a:graphic>
          </wp:inline>
        </w:drawing>
      </w:r>
    </w:p>
    <w:p w14:paraId="47118874" w14:textId="67AD2936" w:rsidR="00CE3ED7" w:rsidRPr="00502533" w:rsidRDefault="00CE3ED7" w:rsidP="00CE3ED7">
      <w:pPr>
        <w:spacing w:after="0" w:line="240" w:lineRule="auto"/>
        <w:rPr>
          <w:rFonts w:ascii="Verdana" w:hAnsi="Verdana"/>
        </w:rPr>
      </w:pPr>
      <w:r w:rsidRPr="00502533">
        <w:rPr>
          <w:rFonts w:ascii="Verdana" w:eastAsia="Calibri" w:hAnsi="Verdana" w:cs="Arial"/>
          <w:color w:val="000000" w:themeColor="text1"/>
          <w:lang w:val="es-ES" w:eastAsia="es-ES"/>
        </w:rPr>
        <w:t>Señor:</w:t>
      </w:r>
    </w:p>
    <w:p w14:paraId="06ACAEA0" w14:textId="6686E1DE" w:rsidR="00CE3ED7" w:rsidRPr="00502533" w:rsidRDefault="00584AB3" w:rsidP="00CE3ED7">
      <w:pPr>
        <w:spacing w:after="0" w:line="240" w:lineRule="auto"/>
        <w:jc w:val="both"/>
        <w:rPr>
          <w:rFonts w:ascii="Verdana" w:eastAsia="Calibri" w:hAnsi="Verdana" w:cs="Arial"/>
          <w:b/>
          <w:bCs/>
          <w:color w:val="000000" w:themeColor="text1"/>
          <w:lang w:eastAsia="es-ES"/>
        </w:rPr>
      </w:pPr>
      <w:r w:rsidRPr="00502533">
        <w:rPr>
          <w:rFonts w:ascii="Verdana" w:eastAsia="Calibri" w:hAnsi="Verdana" w:cs="Arial"/>
          <w:b/>
          <w:bCs/>
          <w:color w:val="000000" w:themeColor="text1"/>
          <w:lang w:eastAsia="es-ES"/>
        </w:rPr>
        <w:t>Pedro Manuel Ali Ali</w:t>
      </w:r>
    </w:p>
    <w:p w14:paraId="29B3D37E" w14:textId="65E2A5A0" w:rsidR="00CE3ED7" w:rsidRPr="00502533" w:rsidRDefault="00584AB3" w:rsidP="00CE3ED7">
      <w:pPr>
        <w:spacing w:after="0" w:line="240" w:lineRule="auto"/>
        <w:jc w:val="both"/>
        <w:rPr>
          <w:rFonts w:ascii="Verdana" w:eastAsia="Calibri" w:hAnsi="Verdana" w:cs="Arial"/>
          <w:color w:val="000000" w:themeColor="text1"/>
          <w:lang w:eastAsia="es-ES"/>
        </w:rPr>
      </w:pPr>
      <w:r w:rsidRPr="00502533">
        <w:rPr>
          <w:rFonts w:ascii="Verdana" w:eastAsia="Calibri" w:hAnsi="Verdana" w:cs="Arial"/>
          <w:color w:val="000000" w:themeColor="text1"/>
          <w:lang w:eastAsia="es-ES"/>
        </w:rPr>
        <w:t xml:space="preserve">Alcalde Municipal </w:t>
      </w:r>
      <w:r w:rsidR="000E586D" w:rsidRPr="00502533">
        <w:rPr>
          <w:rFonts w:ascii="Verdana" w:eastAsia="Calibri" w:hAnsi="Verdana" w:cs="Arial"/>
          <w:color w:val="000000" w:themeColor="text1"/>
          <w:lang w:eastAsia="es-ES"/>
        </w:rPr>
        <w:t>de Magangué</w:t>
      </w:r>
    </w:p>
    <w:p w14:paraId="0D607499" w14:textId="0C158E2B" w:rsidR="000E586D" w:rsidRPr="00502533" w:rsidRDefault="000E586D" w:rsidP="00CE3ED7">
      <w:pPr>
        <w:spacing w:after="0" w:line="240" w:lineRule="auto"/>
        <w:rPr>
          <w:rFonts w:ascii="Verdana" w:hAnsi="Verdana"/>
        </w:rPr>
      </w:pPr>
      <w:hyperlink r:id="rId12" w:history="1">
        <w:r w:rsidRPr="00502533">
          <w:rPr>
            <w:rStyle w:val="Hipervnculo"/>
            <w:rFonts w:ascii="Verdana" w:hAnsi="Verdana"/>
          </w:rPr>
          <w:t>notificacionjudicial@magangue-bolivar.gov.co</w:t>
        </w:r>
      </w:hyperlink>
    </w:p>
    <w:p w14:paraId="3B57A22A" w14:textId="7D53A7FC" w:rsidR="00CE3ED7" w:rsidRPr="00502533" w:rsidRDefault="000E586D" w:rsidP="00CE3ED7">
      <w:pPr>
        <w:spacing w:after="0" w:line="240" w:lineRule="auto"/>
        <w:rPr>
          <w:rFonts w:ascii="Verdana" w:eastAsia="Calibri" w:hAnsi="Verdana" w:cs="Arial"/>
          <w:b/>
          <w:bCs/>
          <w:color w:val="000000" w:themeColor="text1"/>
          <w:highlight w:val="cyan"/>
          <w:lang w:val="es-ES_tradnl" w:eastAsia="es-ES_tradnl"/>
        </w:rPr>
      </w:pPr>
      <w:r w:rsidRPr="00502533">
        <w:rPr>
          <w:rFonts w:ascii="Verdana" w:eastAsia="Calibri" w:hAnsi="Verdana" w:cs="Arial"/>
          <w:color w:val="000000" w:themeColor="text1"/>
          <w:lang w:val="es-ES_tradnl" w:eastAsia="es-ES"/>
        </w:rPr>
        <w:t>Magangué- Bolívar</w:t>
      </w:r>
    </w:p>
    <w:p w14:paraId="2BF4F4D5" w14:textId="77777777" w:rsidR="00CE3ED7" w:rsidRPr="00502533" w:rsidRDefault="00CE3ED7" w:rsidP="00CE3ED7">
      <w:pPr>
        <w:spacing w:after="0" w:line="240" w:lineRule="auto"/>
        <w:rPr>
          <w:rFonts w:ascii="Verdana" w:eastAsia="Calibri" w:hAnsi="Verdana" w:cs="Arial"/>
          <w:b/>
          <w:bCs/>
          <w:color w:val="000000" w:themeColor="text1"/>
          <w:highlight w:val="cyan"/>
          <w:lang w:val="es-ES_tradnl" w:eastAsia="es-ES_tradnl"/>
        </w:rPr>
      </w:pPr>
    </w:p>
    <w:p w14:paraId="6F616578" w14:textId="01F690F0" w:rsidR="00CE3ED7" w:rsidRPr="00502533" w:rsidRDefault="00CE3ED7" w:rsidP="00CE3ED7">
      <w:pPr>
        <w:spacing w:after="0" w:line="240" w:lineRule="auto"/>
        <w:rPr>
          <w:rFonts w:ascii="Verdana" w:eastAsia="Calibri" w:hAnsi="Verdana" w:cs="Arial"/>
          <w:b/>
          <w:bCs/>
          <w:color w:val="000000" w:themeColor="text1"/>
          <w:lang w:val="es-ES_tradnl" w:eastAsia="es-ES_tradnl"/>
        </w:rPr>
      </w:pPr>
      <w:r w:rsidRPr="00502533">
        <w:rPr>
          <w:rFonts w:ascii="Verdana" w:eastAsia="Calibri" w:hAnsi="Verdana" w:cs="Arial"/>
          <w:b/>
          <w:bCs/>
          <w:color w:val="000000" w:themeColor="text1"/>
          <w:lang w:val="es-ES_tradnl" w:eastAsia="es-ES_tradnl"/>
        </w:rPr>
        <w:t xml:space="preserve">                                   Concepto C-</w:t>
      </w:r>
      <w:r w:rsidR="00FA2D7A" w:rsidRPr="00502533">
        <w:rPr>
          <w:rFonts w:ascii="Verdana" w:eastAsia="Calibri" w:hAnsi="Verdana" w:cs="Arial"/>
          <w:b/>
          <w:bCs/>
          <w:color w:val="000000" w:themeColor="text1"/>
          <w:lang w:val="es-ES_tradnl" w:eastAsia="es-ES_tradnl"/>
        </w:rPr>
        <w:t>446</w:t>
      </w:r>
      <w:r w:rsidRPr="00502533">
        <w:rPr>
          <w:rFonts w:ascii="Verdana" w:eastAsia="Calibri" w:hAnsi="Verdana" w:cs="Arial"/>
          <w:b/>
          <w:bCs/>
          <w:color w:val="000000" w:themeColor="text1"/>
          <w:lang w:val="es-ES_tradnl" w:eastAsia="es-ES_tradnl"/>
        </w:rPr>
        <w:t xml:space="preserve"> del 2026</w:t>
      </w:r>
    </w:p>
    <w:p w14:paraId="3B303172" w14:textId="77777777" w:rsidR="00E46C98" w:rsidRPr="00502533" w:rsidRDefault="00E46C98" w:rsidP="00CE3ED7">
      <w:pPr>
        <w:spacing w:after="0" w:line="240" w:lineRule="auto"/>
        <w:rPr>
          <w:rFonts w:ascii="Verdana" w:eastAsia="Calibri" w:hAnsi="Verdana" w:cs="Arial"/>
          <w:b/>
          <w:bCs/>
          <w:color w:val="000000" w:themeColor="text1"/>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E3ED7" w:rsidRPr="00502533" w14:paraId="775650D7" w14:textId="77777777" w:rsidTr="001B5E26">
        <w:trPr>
          <w:trHeight w:val="884"/>
        </w:trPr>
        <w:tc>
          <w:tcPr>
            <w:tcW w:w="2689" w:type="dxa"/>
          </w:tcPr>
          <w:p w14:paraId="77C6ACF7" w14:textId="77777777" w:rsidR="00CE3ED7" w:rsidRPr="00502533" w:rsidRDefault="00CE3ED7" w:rsidP="001B5E26">
            <w:pPr>
              <w:jc w:val="both"/>
              <w:rPr>
                <w:rFonts w:ascii="Verdana" w:eastAsia="Calibri" w:hAnsi="Verdana" w:cs="Arial"/>
                <w:color w:val="000000" w:themeColor="text1"/>
                <w:highlight w:val="cyan"/>
                <w:lang w:val="es-ES_tradnl" w:eastAsia="es-ES_tradnl"/>
              </w:rPr>
            </w:pPr>
            <w:r w:rsidRPr="00502533">
              <w:rPr>
                <w:rFonts w:ascii="Verdana" w:eastAsia="Calibri" w:hAnsi="Verdana" w:cs="Arial"/>
                <w:b/>
                <w:color w:val="000000" w:themeColor="text1"/>
                <w:lang w:val="es-ES_tradnl" w:eastAsia="es-ES_tradnl"/>
              </w:rPr>
              <w:t>Temas:</w:t>
            </w:r>
            <w:r w:rsidRPr="00502533">
              <w:rPr>
                <w:rFonts w:ascii="Verdana" w:eastAsia="Calibri" w:hAnsi="Verdana" w:cs="Arial"/>
                <w:color w:val="000000" w:themeColor="text1"/>
                <w:lang w:val="es-ES_tradnl" w:eastAsia="es-ES_tradnl"/>
              </w:rPr>
              <w:t xml:space="preserve">                   </w:t>
            </w:r>
          </w:p>
        </w:tc>
        <w:tc>
          <w:tcPr>
            <w:tcW w:w="6100" w:type="dxa"/>
          </w:tcPr>
          <w:p w14:paraId="7FCD5C26" w14:textId="2CF02CBF" w:rsidR="00741D10" w:rsidRPr="00502533" w:rsidRDefault="000531CF" w:rsidP="001B5E26">
            <w:pPr>
              <w:jc w:val="both"/>
              <w:rPr>
                <w:rFonts w:ascii="Verdana" w:eastAsia="Calibri" w:hAnsi="Verdana" w:cs="Arial"/>
                <w:lang w:val="es-ES" w:eastAsia="es-ES"/>
              </w:rPr>
            </w:pPr>
            <w:r w:rsidRPr="00502533">
              <w:rPr>
                <w:rFonts w:ascii="Verdana" w:eastAsia="Calibri" w:hAnsi="Verdana" w:cs="Arial"/>
                <w:lang w:val="es-ES" w:eastAsia="es-ES"/>
              </w:rPr>
              <w:t xml:space="preserve">PROCESOS DE SELECCIÓN – Licitación pública – Regla general / CONTRATO DE OBRA PÚBLICA – Concepto – Sentido restringido / </w:t>
            </w:r>
            <w:r w:rsidR="008375D4" w:rsidRPr="00502533">
              <w:rPr>
                <w:rFonts w:ascii="Verdana" w:eastAsia="Calibri" w:hAnsi="Verdana" w:cs="Arial"/>
                <w:lang w:val="es-ES" w:eastAsia="es-ES"/>
              </w:rPr>
              <w:t>PLIEGOS DE CONDICIONES – Concepto – Acto jurídico Mixto – Carácter Vinculante – Regla del proceso / PLIEGOS DE CONDICIONES - Selección Objetiva</w:t>
            </w:r>
          </w:p>
          <w:p w14:paraId="71DE46FD" w14:textId="1FDADF71" w:rsidR="008375D4" w:rsidRPr="00502533" w:rsidRDefault="008375D4" w:rsidP="001B5E26">
            <w:pPr>
              <w:jc w:val="both"/>
              <w:rPr>
                <w:rFonts w:ascii="Verdana" w:hAnsi="Verdana"/>
                <w:highlight w:val="cyan"/>
                <w:lang w:val="es-ES"/>
              </w:rPr>
            </w:pPr>
          </w:p>
        </w:tc>
      </w:tr>
      <w:tr w:rsidR="00CE3ED7" w:rsidRPr="00502533" w14:paraId="238578DF" w14:textId="77777777" w:rsidTr="001B5E26">
        <w:tc>
          <w:tcPr>
            <w:tcW w:w="2689" w:type="dxa"/>
          </w:tcPr>
          <w:p w14:paraId="45684EE7" w14:textId="77777777" w:rsidR="00CE3ED7" w:rsidRPr="00502533" w:rsidRDefault="00CE3ED7" w:rsidP="001B5E26">
            <w:pPr>
              <w:jc w:val="both"/>
              <w:rPr>
                <w:rFonts w:ascii="Verdana" w:eastAsia="Calibri" w:hAnsi="Verdana" w:cs="Arial"/>
                <w:b/>
                <w:color w:val="000000" w:themeColor="text1"/>
                <w:lang w:val="es-ES_tradnl" w:eastAsia="es-ES_tradnl"/>
              </w:rPr>
            </w:pPr>
            <w:r w:rsidRPr="00502533">
              <w:rPr>
                <w:rFonts w:ascii="Verdana" w:eastAsia="Calibri" w:hAnsi="Verdana" w:cs="Arial"/>
                <w:b/>
                <w:color w:val="000000" w:themeColor="text1"/>
                <w:lang w:val="es-ES_tradnl" w:eastAsia="es-ES_tradnl"/>
              </w:rPr>
              <w:t>Radicación:</w:t>
            </w:r>
            <w:r w:rsidRPr="00502533">
              <w:rPr>
                <w:rFonts w:ascii="Verdana" w:eastAsia="Calibri" w:hAnsi="Verdana" w:cs="Arial"/>
                <w:color w:val="000000" w:themeColor="text1"/>
                <w:lang w:val="es-ES_tradnl" w:eastAsia="es-ES_tradnl"/>
              </w:rPr>
              <w:t xml:space="preserve">               </w:t>
            </w:r>
          </w:p>
        </w:tc>
        <w:tc>
          <w:tcPr>
            <w:tcW w:w="6100" w:type="dxa"/>
          </w:tcPr>
          <w:p w14:paraId="075358E2" w14:textId="738F3526" w:rsidR="00CE3ED7" w:rsidRPr="00502533" w:rsidRDefault="00CE3ED7" w:rsidP="001B5E26">
            <w:pPr>
              <w:jc w:val="both"/>
              <w:rPr>
                <w:rFonts w:ascii="Verdana" w:eastAsia="Calibri" w:hAnsi="Verdana" w:cs="Arial"/>
                <w:color w:val="000000" w:themeColor="text1"/>
                <w:lang w:eastAsia="es-ES_tradnl"/>
              </w:rPr>
            </w:pPr>
            <w:r w:rsidRPr="00502533">
              <w:rPr>
                <w:rFonts w:ascii="Verdana" w:eastAsia="Calibri" w:hAnsi="Verdana" w:cs="Arial"/>
                <w:color w:val="000000" w:themeColor="text1"/>
                <w:lang w:val="es-ES_tradnl" w:eastAsia="es-ES_tradnl"/>
              </w:rPr>
              <w:t>Respuesta a consulta con radicado No.</w:t>
            </w:r>
            <w:r w:rsidRPr="00502533">
              <w:rPr>
                <w:rFonts w:ascii="Verdana" w:hAnsi="Verdana"/>
              </w:rPr>
              <w:t xml:space="preserve"> </w:t>
            </w:r>
            <w:r w:rsidR="00646AF4" w:rsidRPr="00502533">
              <w:rPr>
                <w:rFonts w:ascii="Verdana" w:hAnsi="Verdana"/>
              </w:rPr>
              <w:t>1_2026_03_18_003759</w:t>
            </w:r>
          </w:p>
        </w:tc>
      </w:tr>
    </w:tbl>
    <w:p w14:paraId="33A535CA" w14:textId="77777777" w:rsidR="003F49E4" w:rsidRPr="00502533" w:rsidRDefault="003F49E4" w:rsidP="00CE3ED7">
      <w:pPr>
        <w:spacing w:after="0" w:line="276" w:lineRule="auto"/>
        <w:jc w:val="both"/>
        <w:rPr>
          <w:rFonts w:ascii="Verdana" w:eastAsia="Calibri" w:hAnsi="Verdana" w:cs="Arial"/>
          <w:color w:val="000000" w:themeColor="text1"/>
          <w:lang w:val="es-ES" w:eastAsia="es-ES"/>
        </w:rPr>
      </w:pPr>
    </w:p>
    <w:p w14:paraId="527AC147" w14:textId="57F6D70F" w:rsidR="00CE3ED7" w:rsidRPr="00502533" w:rsidRDefault="00CE3ED7" w:rsidP="00CE3ED7">
      <w:pPr>
        <w:spacing w:after="0" w:line="276" w:lineRule="auto"/>
        <w:jc w:val="both"/>
        <w:rPr>
          <w:rFonts w:ascii="Verdana" w:eastAsia="Calibri" w:hAnsi="Verdana" w:cs="Arial"/>
          <w:color w:val="000000" w:themeColor="text1"/>
          <w:lang w:val="es-ES" w:eastAsia="es-ES"/>
        </w:rPr>
      </w:pPr>
      <w:r w:rsidRPr="00502533">
        <w:rPr>
          <w:rFonts w:ascii="Verdana" w:eastAsia="Calibri" w:hAnsi="Verdana" w:cs="Arial"/>
          <w:color w:val="000000" w:themeColor="text1"/>
          <w:lang w:val="es-ES" w:eastAsia="es-ES"/>
        </w:rPr>
        <w:t>Estimad</w:t>
      </w:r>
      <w:r w:rsidR="000E586D" w:rsidRPr="00502533">
        <w:rPr>
          <w:rFonts w:ascii="Verdana" w:eastAsia="Calibri" w:hAnsi="Verdana" w:cs="Arial"/>
          <w:color w:val="000000" w:themeColor="text1"/>
          <w:lang w:val="es-ES" w:eastAsia="es-ES"/>
        </w:rPr>
        <w:t>o</w:t>
      </w:r>
      <w:r w:rsidRPr="00502533">
        <w:rPr>
          <w:rFonts w:ascii="Verdana" w:eastAsia="Calibri" w:hAnsi="Verdana" w:cs="Arial"/>
          <w:color w:val="000000" w:themeColor="text1"/>
          <w:lang w:val="es-ES" w:eastAsia="es-ES"/>
        </w:rPr>
        <w:t xml:space="preserve"> señor </w:t>
      </w:r>
      <w:r w:rsidR="000E586D" w:rsidRPr="00502533">
        <w:rPr>
          <w:rFonts w:ascii="Verdana" w:eastAsia="Calibri" w:hAnsi="Verdana" w:cs="Arial"/>
          <w:color w:val="000000" w:themeColor="text1"/>
          <w:lang w:val="es-ES" w:eastAsia="es-ES"/>
        </w:rPr>
        <w:t>Ali</w:t>
      </w:r>
      <w:r w:rsidRPr="00502533">
        <w:rPr>
          <w:rFonts w:ascii="Verdana" w:eastAsia="Calibri" w:hAnsi="Verdana" w:cs="Arial"/>
          <w:color w:val="000000" w:themeColor="text1"/>
          <w:lang w:val="es-ES" w:eastAsia="es-ES"/>
        </w:rPr>
        <w:t xml:space="preserve">: </w:t>
      </w:r>
    </w:p>
    <w:p w14:paraId="4A559875" w14:textId="77777777" w:rsidR="00CE3ED7" w:rsidRPr="00502533" w:rsidRDefault="00CE3ED7" w:rsidP="00CE3ED7">
      <w:pPr>
        <w:spacing w:after="0" w:line="276" w:lineRule="auto"/>
        <w:rPr>
          <w:rFonts w:ascii="Verdana" w:eastAsia="Times New Roman" w:hAnsi="Verdana" w:cs="Segoe UI"/>
          <w:highlight w:val="cyan"/>
          <w:lang w:eastAsia="es-CO"/>
        </w:rPr>
      </w:pPr>
    </w:p>
    <w:p w14:paraId="50C6AE46" w14:textId="3B8F2AA9" w:rsidR="00CE3ED7" w:rsidRPr="00502533" w:rsidRDefault="00CE3ED7" w:rsidP="00CE3ED7">
      <w:pPr>
        <w:spacing w:after="0" w:line="276" w:lineRule="auto"/>
        <w:jc w:val="both"/>
        <w:rPr>
          <w:rFonts w:ascii="Verdana" w:eastAsia="Calibri" w:hAnsi="Verdana" w:cs="Arial"/>
          <w:lang w:val="es-ES" w:eastAsia="es-ES"/>
        </w:rPr>
      </w:pPr>
      <w:r w:rsidRPr="00502533">
        <w:rPr>
          <w:rFonts w:ascii="Verdana" w:eastAsia="Calibri" w:hAnsi="Verdana" w:cs="Arial"/>
          <w:lang w:val="es-ES" w:eastAsia="es-ES"/>
        </w:rPr>
        <w:t>En ejercicio de la competencia otorgada por los artículos 3, numeral 5º, y 11, numeral 8º, del Decreto Ley 4170 de 2011,</w:t>
      </w:r>
      <w:r w:rsidRPr="00502533">
        <w:rPr>
          <w:rFonts w:ascii="Verdana" w:eastAsia="Arial MT" w:hAnsi="Verdana" w:cs="Arial"/>
          <w:lang w:val="es-ES" w:eastAsia="es-ES"/>
        </w:rPr>
        <w:t xml:space="preserve"> </w:t>
      </w:r>
      <w:r w:rsidRPr="00502533">
        <w:rPr>
          <w:rFonts w:ascii="Verdana" w:hAnsi="Verdana" w:cs="Arial"/>
        </w:rPr>
        <w:t xml:space="preserve">así como lo establecido en el artículo 4 de la Resolución 1707 de 2018 expedida por esta Entidad, </w:t>
      </w:r>
      <w:r w:rsidRPr="00502533">
        <w:rPr>
          <w:rFonts w:ascii="Verdana" w:eastAsia="Calibri" w:hAnsi="Verdana" w:cs="Arial"/>
          <w:lang w:val="es-ES" w:eastAsia="es-ES"/>
        </w:rPr>
        <w:t xml:space="preserve">la Agencia Nacional de Contratación Pública – Colombia Compra Eficiente– responde su solicitud radicada el </w:t>
      </w:r>
      <w:r w:rsidR="00A571FD" w:rsidRPr="00502533">
        <w:rPr>
          <w:rFonts w:ascii="Verdana" w:eastAsia="Calibri" w:hAnsi="Verdana" w:cs="Arial"/>
          <w:lang w:val="es-ES" w:eastAsia="es-ES"/>
        </w:rPr>
        <w:t>17 de marzo del 2026</w:t>
      </w:r>
      <w:r w:rsidRPr="00502533">
        <w:rPr>
          <w:rFonts w:ascii="Verdana" w:eastAsia="Calibri" w:hAnsi="Verdana" w:cs="Arial"/>
          <w:lang w:val="es-ES" w:eastAsia="es-ES"/>
        </w:rPr>
        <w:t xml:space="preserve">, en la cual manifiesta lo siguiente: </w:t>
      </w:r>
    </w:p>
    <w:p w14:paraId="7118913D" w14:textId="77777777" w:rsidR="00CE3ED7" w:rsidRPr="00502533" w:rsidRDefault="00CE3ED7" w:rsidP="00CE3ED7">
      <w:pPr>
        <w:spacing w:after="0" w:line="276" w:lineRule="auto"/>
        <w:jc w:val="both"/>
        <w:rPr>
          <w:rFonts w:ascii="Verdana" w:eastAsia="Calibri" w:hAnsi="Verdana" w:cs="Arial"/>
          <w:highlight w:val="cyan"/>
          <w:lang w:val="es-ES" w:eastAsia="es-ES"/>
        </w:rPr>
      </w:pPr>
    </w:p>
    <w:p w14:paraId="538EA691" w14:textId="3B6D8F5B" w:rsidR="0066279C" w:rsidRPr="00502533" w:rsidRDefault="00CE3ED7" w:rsidP="00CE3ED7">
      <w:pPr>
        <w:spacing w:after="0" w:line="240" w:lineRule="auto"/>
        <w:ind w:left="709" w:right="709"/>
        <w:jc w:val="both"/>
        <w:rPr>
          <w:rFonts w:ascii="Verdana" w:eastAsia="Century Gothic" w:hAnsi="Verdana" w:cs="Arial"/>
          <w:sz w:val="20"/>
          <w:szCs w:val="20"/>
        </w:rPr>
      </w:pPr>
      <w:r w:rsidRPr="00502533">
        <w:rPr>
          <w:rFonts w:ascii="Verdana" w:eastAsia="Century Gothic" w:hAnsi="Verdana" w:cs="Arial"/>
          <w:sz w:val="20"/>
          <w:szCs w:val="20"/>
          <w:lang w:val="es-ES"/>
        </w:rPr>
        <w:t>“[…]</w:t>
      </w:r>
      <w:r w:rsidR="0066279C" w:rsidRPr="00502533">
        <w:rPr>
          <w:rFonts w:ascii="Verdana" w:eastAsia="Century Gothic" w:hAnsi="Verdana" w:cs="Arial"/>
          <w:sz w:val="20"/>
          <w:szCs w:val="20"/>
          <w:lang w:val="es-ES"/>
        </w:rPr>
        <w:t xml:space="preserve"> 1. </w:t>
      </w:r>
      <w:r w:rsidR="0066279C" w:rsidRPr="00502533">
        <w:rPr>
          <w:rFonts w:ascii="Verdana" w:eastAsia="Century Gothic" w:hAnsi="Verdana" w:cs="Arial"/>
          <w:sz w:val="20"/>
          <w:szCs w:val="20"/>
        </w:rPr>
        <w:t xml:space="preserve">¿Cuál es la modalidad de selección procedente y la tipología contractual adecuada para la contratación del servicio de transporte de materiales de construcción explotados en virtud de una autorización temporal otorgada directamente a una entidad territorial? </w:t>
      </w:r>
    </w:p>
    <w:p w14:paraId="610DF2E7" w14:textId="77777777" w:rsidR="0066279C" w:rsidRPr="00502533" w:rsidRDefault="0066279C" w:rsidP="00CE3ED7">
      <w:pPr>
        <w:spacing w:after="0" w:line="240" w:lineRule="auto"/>
        <w:ind w:left="709" w:right="709"/>
        <w:jc w:val="both"/>
        <w:rPr>
          <w:rFonts w:ascii="Verdana" w:eastAsia="Century Gothic" w:hAnsi="Verdana" w:cs="Arial"/>
          <w:sz w:val="20"/>
          <w:szCs w:val="20"/>
        </w:rPr>
      </w:pPr>
    </w:p>
    <w:p w14:paraId="68C553C1" w14:textId="1CE4811C" w:rsidR="0066279C" w:rsidRPr="00502533" w:rsidRDefault="0066279C" w:rsidP="0066279C">
      <w:pPr>
        <w:spacing w:after="0" w:line="240" w:lineRule="auto"/>
        <w:ind w:left="709" w:right="709"/>
        <w:jc w:val="both"/>
        <w:rPr>
          <w:rFonts w:ascii="Verdana" w:eastAsia="Century Gothic" w:hAnsi="Verdana" w:cs="Arial"/>
          <w:sz w:val="20"/>
          <w:szCs w:val="20"/>
        </w:rPr>
      </w:pPr>
      <w:r w:rsidRPr="00502533">
        <w:rPr>
          <w:rFonts w:ascii="Verdana" w:eastAsia="Century Gothic" w:hAnsi="Verdana" w:cs="Arial"/>
          <w:sz w:val="20"/>
          <w:szCs w:val="20"/>
        </w:rPr>
        <w:t xml:space="preserve">2. ¿Resulta jurídicamente viable, conforme a los principios de planeación y responsabilidad, que el transporte de dichos materiales sea incorporado </w:t>
      </w:r>
      <w:r w:rsidRPr="00502533">
        <w:rPr>
          <w:rFonts w:ascii="Verdana" w:eastAsia="Century Gothic" w:hAnsi="Verdana" w:cs="Arial"/>
          <w:sz w:val="20"/>
          <w:szCs w:val="20"/>
        </w:rPr>
        <w:lastRenderedPageBreak/>
        <w:t xml:space="preserve">como una obligación a cargo del contratista dentro de un contrato de obra pública, bajo la modalidad de precios unitarios u otra que resulte aplicable? </w:t>
      </w:r>
    </w:p>
    <w:p w14:paraId="0FCBF4FF" w14:textId="77777777" w:rsidR="0066279C" w:rsidRPr="00502533" w:rsidRDefault="0066279C" w:rsidP="0066279C">
      <w:pPr>
        <w:spacing w:after="0" w:line="240" w:lineRule="auto"/>
        <w:ind w:left="709" w:right="709"/>
        <w:jc w:val="both"/>
        <w:rPr>
          <w:rFonts w:ascii="Verdana" w:eastAsia="Century Gothic" w:hAnsi="Verdana" w:cs="Arial"/>
          <w:sz w:val="20"/>
          <w:szCs w:val="20"/>
        </w:rPr>
      </w:pPr>
    </w:p>
    <w:p w14:paraId="1416A33E" w14:textId="3010FE53" w:rsidR="0066279C" w:rsidRPr="00502533" w:rsidRDefault="0066279C" w:rsidP="0066279C">
      <w:pPr>
        <w:spacing w:after="0" w:line="240" w:lineRule="auto"/>
        <w:ind w:left="709" w:right="709"/>
        <w:jc w:val="both"/>
        <w:rPr>
          <w:rFonts w:ascii="Verdana" w:eastAsia="Century Gothic" w:hAnsi="Verdana" w:cs="Arial"/>
          <w:sz w:val="20"/>
          <w:szCs w:val="20"/>
        </w:rPr>
      </w:pPr>
      <w:r w:rsidRPr="00502533">
        <w:rPr>
          <w:rFonts w:ascii="Verdana" w:eastAsia="Century Gothic" w:hAnsi="Verdana" w:cs="Arial"/>
          <w:sz w:val="20"/>
          <w:szCs w:val="20"/>
        </w:rPr>
        <w:t xml:space="preserve">3. En caso de ser viable la inclusión del transporte dentro del contrato de obra, ¿cuáles son las consideraciones jurídicas y técnicas que deben observarse para la correcta estructuración del proceso, particularmente en lo relacionado con la asignación de riesgos, la determinación del valor del contrato y la supervisión de la ejecución? </w:t>
      </w:r>
    </w:p>
    <w:p w14:paraId="4E6DD796" w14:textId="77777777" w:rsidR="0066279C" w:rsidRPr="00502533" w:rsidRDefault="0066279C" w:rsidP="0066279C">
      <w:pPr>
        <w:spacing w:after="0" w:line="240" w:lineRule="auto"/>
        <w:ind w:left="709" w:right="709"/>
        <w:jc w:val="both"/>
        <w:rPr>
          <w:rFonts w:ascii="Verdana" w:eastAsia="Century Gothic" w:hAnsi="Verdana" w:cs="Arial"/>
          <w:sz w:val="20"/>
          <w:szCs w:val="20"/>
        </w:rPr>
      </w:pPr>
    </w:p>
    <w:p w14:paraId="5688BAE2" w14:textId="62C587CA" w:rsidR="00CE3ED7" w:rsidRPr="00502533" w:rsidRDefault="0066279C" w:rsidP="0066279C">
      <w:pPr>
        <w:spacing w:after="0" w:line="240" w:lineRule="auto"/>
        <w:ind w:left="709" w:right="709"/>
        <w:jc w:val="both"/>
        <w:rPr>
          <w:rFonts w:ascii="Verdana" w:eastAsia="Century Gothic" w:hAnsi="Verdana" w:cs="Arial"/>
          <w:sz w:val="20"/>
          <w:szCs w:val="20"/>
        </w:rPr>
      </w:pPr>
      <w:r w:rsidRPr="00502533">
        <w:rPr>
          <w:rFonts w:ascii="Verdana" w:eastAsia="Century Gothic" w:hAnsi="Verdana" w:cs="Arial"/>
          <w:sz w:val="20"/>
          <w:szCs w:val="20"/>
        </w:rPr>
        <w:t xml:space="preserve">4. Alternativamente, ¿en qué eventos resultaría más adecuado que el Municipio adelante un proceso de contratación independiente para el servicio de transporte, y bajo qué criterios debería adoptarse dicha decisión? </w:t>
      </w:r>
      <w:r w:rsidR="00CE3ED7" w:rsidRPr="00502533">
        <w:rPr>
          <w:rFonts w:ascii="Verdana" w:eastAsia="Century Gothic" w:hAnsi="Verdana" w:cs="Arial"/>
          <w:sz w:val="20"/>
          <w:szCs w:val="20"/>
        </w:rPr>
        <w:t>[…]”</w:t>
      </w:r>
    </w:p>
    <w:p w14:paraId="56765554" w14:textId="77777777" w:rsidR="00CE3ED7" w:rsidRPr="00502533" w:rsidRDefault="00CE3ED7" w:rsidP="00CE3ED7">
      <w:pPr>
        <w:spacing w:after="0"/>
        <w:jc w:val="both"/>
        <w:rPr>
          <w:rFonts w:ascii="Verdana" w:hAnsi="Verdana" w:cs="Arial"/>
          <w:highlight w:val="cyan"/>
          <w:lang w:val="es-ES"/>
        </w:rPr>
      </w:pPr>
    </w:p>
    <w:p w14:paraId="14B46091" w14:textId="77777777" w:rsidR="00CE3ED7" w:rsidRPr="00502533" w:rsidRDefault="00CE3ED7" w:rsidP="00CE3ED7">
      <w:pPr>
        <w:spacing w:after="120" w:line="276" w:lineRule="auto"/>
        <w:ind w:firstLine="709"/>
        <w:jc w:val="both"/>
        <w:rPr>
          <w:rFonts w:ascii="Verdana" w:eastAsia="Calibri" w:hAnsi="Verdana" w:cs="Arial"/>
          <w:color w:val="000000"/>
          <w:lang w:val="es-ES_tradnl" w:eastAsia="es-ES_tradnl"/>
        </w:rPr>
      </w:pPr>
      <w:r w:rsidRPr="00502533">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66E9677A" w14:textId="6033716F" w:rsidR="00CE3ED7" w:rsidRPr="00502533" w:rsidRDefault="00CE3ED7" w:rsidP="00CE3ED7">
      <w:pPr>
        <w:spacing w:after="0" w:line="276" w:lineRule="auto"/>
        <w:ind w:firstLine="709"/>
        <w:jc w:val="both"/>
        <w:rPr>
          <w:rFonts w:ascii="Verdana" w:eastAsia="Calibri" w:hAnsi="Verdana" w:cs="Arial"/>
          <w:color w:val="000000"/>
          <w:lang w:val="es-ES" w:eastAsia="es-ES"/>
        </w:rPr>
      </w:pPr>
      <w:r w:rsidRPr="00502533">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sidR="00981EA2" w:rsidRPr="00502533">
        <w:rPr>
          <w:rFonts w:ascii="Verdana" w:eastAsia="Calibri" w:hAnsi="Verdana" w:cs="Arial"/>
          <w:color w:val="000000"/>
          <w:lang w:val="es-ES" w:eastAsia="es-ES"/>
        </w:rPr>
        <w:t>los</w:t>
      </w:r>
      <w:r w:rsidRPr="00502533">
        <w:rPr>
          <w:rFonts w:ascii="Verdana" w:eastAsia="Calibri" w:hAnsi="Verdana" w:cs="Arial"/>
          <w:color w:val="000000"/>
          <w:lang w:val="es-ES" w:eastAsia="es-ES"/>
        </w:rPr>
        <w:t xml:space="preserve"> problema</w:t>
      </w:r>
      <w:r w:rsidR="00981EA2" w:rsidRPr="00502533">
        <w:rPr>
          <w:rFonts w:ascii="Verdana" w:eastAsia="Calibri" w:hAnsi="Verdana" w:cs="Arial"/>
          <w:color w:val="000000"/>
          <w:lang w:val="es-ES" w:eastAsia="es-ES"/>
        </w:rPr>
        <w:t>s</w:t>
      </w:r>
      <w:r w:rsidRPr="00502533">
        <w:rPr>
          <w:rFonts w:ascii="Verdana" w:eastAsia="Calibri" w:hAnsi="Verdana" w:cs="Arial"/>
          <w:color w:val="000000"/>
          <w:lang w:val="es-ES" w:eastAsia="es-ES"/>
        </w:rPr>
        <w:t xml:space="preserve"> jurídico</w:t>
      </w:r>
      <w:r w:rsidR="00981EA2" w:rsidRPr="00502533">
        <w:rPr>
          <w:rFonts w:ascii="Verdana" w:eastAsia="Calibri" w:hAnsi="Verdana" w:cs="Arial"/>
          <w:color w:val="000000"/>
          <w:lang w:val="es-ES" w:eastAsia="es-ES"/>
        </w:rPr>
        <w:t>s</w:t>
      </w:r>
      <w:r w:rsidRPr="00502533">
        <w:rPr>
          <w:rFonts w:ascii="Verdana" w:eastAsia="Calibri" w:hAnsi="Verdana" w:cs="Arial"/>
          <w:color w:val="000000"/>
          <w:lang w:val="es-ES" w:eastAsia="es-ES"/>
        </w:rPr>
        <w:t xml:space="preserve"> de su consulta.  </w:t>
      </w:r>
    </w:p>
    <w:p w14:paraId="23339421" w14:textId="77777777" w:rsidR="00CE3ED7" w:rsidRPr="00502533" w:rsidRDefault="00CE3ED7" w:rsidP="00CE3ED7">
      <w:pPr>
        <w:spacing w:after="0" w:line="276" w:lineRule="auto"/>
        <w:jc w:val="both"/>
        <w:rPr>
          <w:rStyle w:val="Hipervnculo"/>
          <w:rFonts w:ascii="Verdana" w:hAnsi="Verdana"/>
          <w:highlight w:val="cyan"/>
          <w:lang w:val="es-ES"/>
        </w:rPr>
      </w:pPr>
    </w:p>
    <w:p w14:paraId="0CC6838B" w14:textId="05D61F26" w:rsidR="00CE3ED7" w:rsidRPr="00502533" w:rsidRDefault="00CE3ED7" w:rsidP="00CE3ED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Arial"/>
          <w:b/>
          <w:bCs/>
        </w:rPr>
      </w:pPr>
      <w:r w:rsidRPr="00502533">
        <w:rPr>
          <w:rFonts w:ascii="Verdana" w:eastAsia="Century Gothic" w:hAnsi="Verdana" w:cs="Arial"/>
          <w:b/>
          <w:bCs/>
        </w:rPr>
        <w:t>Problema</w:t>
      </w:r>
      <w:r w:rsidR="004A17FA" w:rsidRPr="00502533">
        <w:rPr>
          <w:rFonts w:ascii="Verdana" w:eastAsia="Century Gothic" w:hAnsi="Verdana" w:cs="Arial"/>
          <w:b/>
          <w:bCs/>
        </w:rPr>
        <w:t>s</w:t>
      </w:r>
      <w:r w:rsidRPr="00502533">
        <w:rPr>
          <w:rFonts w:ascii="Verdana" w:eastAsia="Century Gothic" w:hAnsi="Verdana" w:cs="Arial"/>
          <w:b/>
          <w:bCs/>
        </w:rPr>
        <w:t xml:space="preserve"> planteado</w:t>
      </w:r>
      <w:r w:rsidR="004A17FA" w:rsidRPr="00502533">
        <w:rPr>
          <w:rFonts w:ascii="Verdana" w:eastAsia="Century Gothic" w:hAnsi="Verdana" w:cs="Arial"/>
          <w:b/>
          <w:bCs/>
        </w:rPr>
        <w:t>s</w:t>
      </w:r>
      <w:r w:rsidRPr="00502533">
        <w:rPr>
          <w:rFonts w:ascii="Verdana" w:eastAsia="Century Gothic" w:hAnsi="Verdana" w:cs="Arial"/>
          <w:b/>
          <w:bCs/>
        </w:rPr>
        <w:t>:</w:t>
      </w:r>
    </w:p>
    <w:p w14:paraId="36B11EE6" w14:textId="77777777" w:rsidR="00CE3ED7" w:rsidRPr="00502533" w:rsidRDefault="00CE3ED7" w:rsidP="00CE3ED7">
      <w:pPr>
        <w:spacing w:after="0" w:line="276" w:lineRule="auto"/>
        <w:jc w:val="both"/>
        <w:rPr>
          <w:rStyle w:val="Hipervnculo"/>
          <w:rFonts w:ascii="Verdana" w:hAnsi="Verdana" w:cs="Arial"/>
          <w:highlight w:val="cyan"/>
        </w:rPr>
      </w:pPr>
    </w:p>
    <w:p w14:paraId="43FB2842" w14:textId="0D5E432D" w:rsidR="00CE3ED7" w:rsidRPr="00502533" w:rsidRDefault="00CE3ED7" w:rsidP="00CE3ED7">
      <w:pPr>
        <w:spacing w:after="0" w:line="276" w:lineRule="auto"/>
        <w:jc w:val="both"/>
        <w:rPr>
          <w:rFonts w:ascii="Verdana" w:eastAsia="Century Gothic" w:hAnsi="Verdana" w:cs="Century Gothic"/>
          <w:color w:val="000000" w:themeColor="text1"/>
        </w:rPr>
      </w:pPr>
      <w:r w:rsidRPr="00502533">
        <w:rPr>
          <w:rFonts w:ascii="Verdana" w:eastAsia="Century Gothic" w:hAnsi="Verdana" w:cs="Arial"/>
        </w:rPr>
        <w:t xml:space="preserve">De acuerdo con el contenido de su solicitud, esta Agencia resolverá los siguientes problemas jurídicos: </w:t>
      </w:r>
      <w:r w:rsidR="004B1BA8" w:rsidRPr="00502533">
        <w:rPr>
          <w:rFonts w:ascii="Verdana" w:eastAsia="Century Gothic" w:hAnsi="Verdana" w:cs="Arial"/>
        </w:rPr>
        <w:t>i)</w:t>
      </w:r>
      <w:r w:rsidR="0096566B" w:rsidRPr="00502533">
        <w:rPr>
          <w:rFonts w:ascii="Verdana" w:eastAsia="Century Gothic" w:hAnsi="Verdana" w:cs="Century Gothic"/>
          <w:color w:val="000000" w:themeColor="text1"/>
        </w:rPr>
        <w:t xml:space="preserve"> </w:t>
      </w:r>
      <w:r w:rsidR="00B47A6D" w:rsidRPr="00502533">
        <w:rPr>
          <w:rFonts w:ascii="Verdana" w:eastAsia="Century Gothic" w:hAnsi="Verdana" w:cs="Century Gothic"/>
          <w:color w:val="000000" w:themeColor="text1"/>
        </w:rPr>
        <w:t>¿Resulta jurídicamente viable incluir el transporte de materiales como obligación contractual en un contrato de obra pública?</w:t>
      </w:r>
      <w:r w:rsidR="00362878" w:rsidRPr="00502533">
        <w:rPr>
          <w:rFonts w:ascii="Verdana" w:eastAsia="Century Gothic" w:hAnsi="Verdana" w:cs="Century Gothic"/>
          <w:color w:val="000000" w:themeColor="text1"/>
        </w:rPr>
        <w:t xml:space="preserve">; </w:t>
      </w:r>
      <w:r w:rsidR="000E4537" w:rsidRPr="00502533">
        <w:rPr>
          <w:rFonts w:ascii="Verdana" w:eastAsia="Century Gothic" w:hAnsi="Verdana" w:cs="Century Gothic"/>
          <w:color w:val="000000" w:themeColor="text1"/>
        </w:rPr>
        <w:t xml:space="preserve">y </w:t>
      </w:r>
      <w:r w:rsidR="00AE6B42" w:rsidRPr="00502533">
        <w:rPr>
          <w:rFonts w:ascii="Verdana" w:eastAsia="Century Gothic" w:hAnsi="Verdana" w:cs="Century Gothic"/>
          <w:color w:val="000000" w:themeColor="text1"/>
        </w:rPr>
        <w:lastRenderedPageBreak/>
        <w:t>¿Cuáles son las consideraciones jurídicas y técnicas que deben observarse en el contrato de obra pública en lo relativo al transporte de materiales?</w:t>
      </w:r>
    </w:p>
    <w:p w14:paraId="1544497D" w14:textId="77777777" w:rsidR="00CE3ED7" w:rsidRPr="00502533" w:rsidRDefault="00CE3ED7" w:rsidP="00CE3ED7">
      <w:pPr>
        <w:spacing w:after="0" w:line="276" w:lineRule="auto"/>
        <w:jc w:val="both"/>
        <w:rPr>
          <w:rStyle w:val="Hipervnculo"/>
          <w:rFonts w:ascii="Verdana" w:hAnsi="Verdana" w:cs="Arial"/>
          <w:highlight w:val="cyan"/>
        </w:rPr>
      </w:pPr>
    </w:p>
    <w:p w14:paraId="77C40E42" w14:textId="77777777" w:rsidR="00CE3ED7" w:rsidRPr="00502533" w:rsidRDefault="00CE3ED7" w:rsidP="00CE3ED7">
      <w:pPr>
        <w:pStyle w:val="Prrafodelista"/>
        <w:widowControl w:val="0"/>
        <w:numPr>
          <w:ilvl w:val="0"/>
          <w:numId w:val="16"/>
        </w:numPr>
        <w:autoSpaceDE w:val="0"/>
        <w:autoSpaceDN w:val="0"/>
        <w:spacing w:after="0" w:line="276" w:lineRule="auto"/>
        <w:ind w:left="360"/>
        <w:contextualSpacing w:val="0"/>
        <w:jc w:val="both"/>
        <w:outlineLvl w:val="0"/>
        <w:rPr>
          <w:rFonts w:ascii="Verdana" w:eastAsia="Arial" w:hAnsi="Verdana" w:cs="Arial"/>
          <w:b/>
          <w:bCs/>
        </w:rPr>
      </w:pPr>
      <w:r w:rsidRPr="00502533">
        <w:rPr>
          <w:rFonts w:ascii="Verdana" w:eastAsia="Arial" w:hAnsi="Verdana" w:cs="Arial"/>
          <w:b/>
          <w:bCs/>
        </w:rPr>
        <w:t>Respuesta:</w:t>
      </w:r>
    </w:p>
    <w:p w14:paraId="3763EF9D" w14:textId="77777777" w:rsidR="00CE3ED7" w:rsidRPr="00502533" w:rsidRDefault="00CE3ED7" w:rsidP="00CE3ED7">
      <w:pPr>
        <w:spacing w:after="0" w:line="276" w:lineRule="auto"/>
        <w:rPr>
          <w:rFonts w:ascii="Verdana" w:eastAsia="Aptos" w:hAnsi="Verdana" w:cs="Arial"/>
          <w:highlight w:val="cy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E3ED7" w:rsidRPr="00502533" w14:paraId="635A9B5A" w14:textId="77777777" w:rsidTr="001B5E26">
        <w:tc>
          <w:tcPr>
            <w:tcW w:w="8828" w:type="dxa"/>
          </w:tcPr>
          <w:p w14:paraId="0FEC3AC5" w14:textId="77777777" w:rsidR="00CE3ED7" w:rsidRPr="00502533" w:rsidRDefault="00CE3ED7" w:rsidP="001B5E26">
            <w:pPr>
              <w:spacing w:after="120" w:line="276" w:lineRule="auto"/>
              <w:jc w:val="both"/>
              <w:rPr>
                <w:rFonts w:ascii="Verdana" w:hAnsi="Verdana" w:cs="Arial"/>
                <w:color w:val="000000" w:themeColor="text1"/>
              </w:rPr>
            </w:pPr>
            <w:bookmarkStart w:id="1" w:name="_Hlk171067516"/>
            <w:r w:rsidRPr="00502533">
              <w:rPr>
                <w:rFonts w:ascii="Verdana" w:hAnsi="Verdana" w:cs="Arial"/>
                <w:color w:val="000000" w:themeColor="text1"/>
              </w:rPr>
              <w:t>En respuesta a los problemas antes planteados esta Subdirección manifiesta lo siguiente:</w:t>
            </w:r>
          </w:p>
          <w:p w14:paraId="4359636E" w14:textId="328B9AFC" w:rsidR="002A17A5" w:rsidRPr="00502533" w:rsidRDefault="00CE3ED7" w:rsidP="002A17A5">
            <w:pPr>
              <w:pStyle w:val="Textoindependiente"/>
              <w:ind w:firstLine="709"/>
              <w:jc w:val="both"/>
              <w:rPr>
                <w:rFonts w:ascii="Verdana" w:eastAsia="Calibri" w:hAnsi="Verdana" w:cs="Arial"/>
                <w:color w:val="000000" w:themeColor="text1"/>
              </w:rPr>
            </w:pPr>
            <w:r w:rsidRPr="00502533">
              <w:rPr>
                <w:rFonts w:ascii="Verdana" w:eastAsia="Calibri" w:hAnsi="Verdana" w:cs="Arial"/>
                <w:i/>
                <w:color w:val="000000" w:themeColor="text1"/>
              </w:rPr>
              <w:t>En primer lugar</w:t>
            </w:r>
            <w:r w:rsidRPr="00502533">
              <w:rPr>
                <w:rFonts w:ascii="Verdana" w:hAnsi="Verdana" w:cs="Arial"/>
              </w:rPr>
              <w:t xml:space="preserve">, </w:t>
            </w:r>
            <w:r w:rsidR="002A17A5" w:rsidRPr="00502533">
              <w:rPr>
                <w:rFonts w:ascii="Verdana" w:hAnsi="Verdana" w:cs="Arial"/>
              </w:rPr>
              <w:t xml:space="preserve">debe señalarse </w:t>
            </w:r>
            <w:r w:rsidR="002A17A5" w:rsidRPr="00502533">
              <w:rPr>
                <w:rFonts w:ascii="Verdana" w:eastAsia="Calibri" w:hAnsi="Verdana" w:cs="Arial"/>
                <w:color w:val="000000" w:themeColor="text1"/>
              </w:rPr>
              <w:t xml:space="preserve">que la modalidad de selección más adecuada para la contratación del transporte de materiales dependerá del análisis que realice la Entidad Estatal, conforme a las características específicas del proceso. Respecto al contrato de obra, es preciso advertir que el servicio de transporte de materiales no encuadra dentro de esta tipología contractual, definida en el artículo 32 de la Ley 80 de 1993. </w:t>
            </w:r>
            <w:r w:rsidR="00426D84" w:rsidRPr="00502533">
              <w:rPr>
                <w:rFonts w:ascii="Verdana" w:eastAsia="Calibri" w:hAnsi="Verdana" w:cs="Arial"/>
                <w:color w:val="000000" w:themeColor="text1"/>
              </w:rPr>
              <w:t>Sobre el particular, debe tenerse en cuenta que e</w:t>
            </w:r>
            <w:r w:rsidR="002A17A5" w:rsidRPr="00502533">
              <w:rPr>
                <w:rFonts w:ascii="Verdana" w:eastAsia="Calibri" w:hAnsi="Verdana" w:cs="Arial"/>
                <w:color w:val="000000" w:themeColor="text1"/>
              </w:rPr>
              <w:t>l legislador limitó la naturaleza de estos contratos a la ejecución de trabajos materiales sobre bienes inmuebles, sin importar su modalidad de ejecución o pago.</w:t>
            </w:r>
          </w:p>
          <w:p w14:paraId="574842C2" w14:textId="77777777" w:rsidR="002A17A5" w:rsidRPr="00502533" w:rsidRDefault="002A17A5" w:rsidP="002A17A5">
            <w:pPr>
              <w:spacing w:before="120" w:line="276" w:lineRule="auto"/>
              <w:ind w:firstLine="708"/>
              <w:jc w:val="both"/>
              <w:rPr>
                <w:rFonts w:ascii="Verdana" w:eastAsia="Calibri" w:hAnsi="Verdana" w:cs="Arial"/>
                <w:color w:val="000000" w:themeColor="text1"/>
                <w:lang w:eastAsia="es-CO"/>
              </w:rPr>
            </w:pPr>
            <w:r w:rsidRPr="00502533">
              <w:rPr>
                <w:rFonts w:ascii="Verdana" w:eastAsia="Calibri" w:hAnsi="Verdana" w:cs="Arial"/>
                <w:color w:val="000000" w:themeColor="text1"/>
                <w:lang w:eastAsia="es-CO"/>
              </w:rPr>
              <w:t xml:space="preserve">No obstante, cuando el objeto contractual incluya obras, bienes o servicios adicionales, el transporte de materiales puede incorporarse como actividad accesoria o complementaria, siempre que sea funcional para la ejecución de la obra principal, no desvirtúe la naturaleza del contrato y no se convierta en su objeto principal. En todo caso, este aspecto debe abordarse técnicamente en los estudios previos y quedar expresamente previsto en los pliegos de condiciones o documento equivalente. </w:t>
            </w:r>
          </w:p>
          <w:p w14:paraId="051B7B33" w14:textId="55D07737" w:rsidR="002A17A5" w:rsidRDefault="002A17A5" w:rsidP="002A17A5">
            <w:pPr>
              <w:spacing w:before="120" w:after="160" w:line="276" w:lineRule="auto"/>
              <w:ind w:firstLine="708"/>
              <w:jc w:val="both"/>
              <w:rPr>
                <w:rFonts w:ascii="Verdana" w:eastAsia="Calibri" w:hAnsi="Verdana" w:cs="Arial"/>
                <w:color w:val="000000" w:themeColor="text1"/>
                <w:lang w:eastAsia="es-CO"/>
              </w:rPr>
            </w:pPr>
            <w:r w:rsidRPr="00502533">
              <w:rPr>
                <w:rFonts w:ascii="Verdana" w:eastAsia="Calibri" w:hAnsi="Verdana" w:cs="Arial"/>
                <w:color w:val="000000" w:themeColor="text1"/>
                <w:lang w:eastAsia="es-CO"/>
              </w:rPr>
              <w:t>En cuanto a las consideraciones jurídicas y técnicas, corresponde a las Entidades Estatales definirlas en ejercicio de la autonomía</w:t>
            </w:r>
            <w:r w:rsidR="00D408B6" w:rsidRPr="00502533">
              <w:rPr>
                <w:rFonts w:ascii="Verdana" w:eastAsia="Calibri" w:hAnsi="Verdana" w:cs="Arial"/>
                <w:color w:val="000000" w:themeColor="text1"/>
                <w:lang w:eastAsia="es-CO"/>
              </w:rPr>
              <w:t xml:space="preserve"> de la voluntad</w:t>
            </w:r>
            <w:r w:rsidRPr="00502533">
              <w:rPr>
                <w:rFonts w:ascii="Verdana" w:eastAsia="Calibri" w:hAnsi="Verdana" w:cs="Arial"/>
                <w:color w:val="000000" w:themeColor="text1"/>
                <w:lang w:eastAsia="es-CO"/>
              </w:rPr>
              <w:t>, observando siempre un análisis de planeación integral y suficiente que sirva de fundamento técnico, jurídico y financiero para la decisión de adelantar el proceso.</w:t>
            </w:r>
            <w:r w:rsidR="00817361" w:rsidRPr="00873F31">
              <w:rPr>
                <w:rFonts w:ascii="Verdana" w:eastAsia="Calibri" w:hAnsi="Verdana" w:cs="Arial"/>
                <w:color w:val="000000" w:themeColor="text1"/>
                <w:lang w:eastAsia="es-CO"/>
              </w:rPr>
              <w:t xml:space="preserve"> </w:t>
            </w:r>
            <w:r w:rsidR="00D42B8B" w:rsidRPr="00873F31">
              <w:rPr>
                <w:rFonts w:ascii="Verdana" w:eastAsia="Calibri" w:hAnsi="Verdana" w:cs="Arial"/>
                <w:color w:val="000000" w:themeColor="text1"/>
                <w:lang w:eastAsia="es-CO"/>
              </w:rPr>
              <w:t xml:space="preserve">El Decreto 1082 de 2015 reiteró, en los siguientes términos, la obligación que tienen las entidades estatales de tipificar, estimar y asignar los riesgos previsibles que surjan durante la ejecución contractual dentro del pliego de condiciones. desde la Ley 1150 de 2007 y conforme los decretos reglamentarios de la contratación estatal, se establecieron obligaciones de estimación de riesgos durante la etapa de planeación. Por un lado, por parte de las entidades estatales quienes deben tipificarlos, estimarlos y asignarlos en los pliegos de condiciones, y por otro, los participantes del proceso de </w:t>
            </w:r>
            <w:r w:rsidR="00D42B8B" w:rsidRPr="00873F31">
              <w:rPr>
                <w:rFonts w:ascii="Verdana" w:eastAsia="Calibri" w:hAnsi="Verdana" w:cs="Arial"/>
                <w:color w:val="000000" w:themeColor="text1"/>
                <w:lang w:eastAsia="es-CO"/>
              </w:rPr>
              <w:lastRenderedPageBreak/>
              <w:t>selección quienes deberán valorarlos y complementarlos en virtud del deber de colaboración con la administración pública en la construcción de los documentos definitivos, dada su experticia, especialidad y conocimientos. En tal sentido, ellos podrán pronunciarse frente a este contenido de los pliegos de condiciones mediante la presentación de observaciones a los proyectos de pliegos de condiciones y a los pliegos de condiciones definitivos, sin perjuicio de que en los procesos de licitación pública sea obligatoria realizar una audiencia de asignación de riesgos –art. 4 de la Ley 1150 de 2007, artículo 30, numeral 4, de la Ley 80 de 1993 y artículo 2.2.1.2.1.1.2. del Decreto 1082 de 2015</w:t>
            </w:r>
            <w:r w:rsidRPr="00502533">
              <w:rPr>
                <w:rFonts w:ascii="Verdana" w:eastAsia="Calibri" w:hAnsi="Verdana" w:cs="Arial"/>
                <w:color w:val="000000" w:themeColor="text1"/>
                <w:lang w:eastAsia="es-CO"/>
              </w:rPr>
              <w:t>Dicho análisis debe garantizar transparencia, eficiencia y adecuada gestión del riesgo. Finalmente, la inclusión del transporte de materiales —ya sea dentro del contrato de obra o mediante contratación independiente— constituye una decisión que debe adoptarse en los estudios previos, con base en un análisis técnico, jurídico y económico que lo justifique, y siempre en atención a los principios de economía, transparencia y planeación.</w:t>
            </w:r>
          </w:p>
          <w:p w14:paraId="71B6A4EC" w14:textId="19663C89" w:rsidR="006D7969" w:rsidRPr="00502533" w:rsidRDefault="006D7969" w:rsidP="002A17A5">
            <w:pPr>
              <w:spacing w:before="120" w:after="160" w:line="276" w:lineRule="auto"/>
              <w:ind w:firstLine="708"/>
              <w:jc w:val="both"/>
              <w:rPr>
                <w:rFonts w:ascii="Verdana" w:eastAsia="Calibri" w:hAnsi="Verdana" w:cs="Arial"/>
                <w:color w:val="000000" w:themeColor="text1"/>
                <w:lang w:eastAsia="es-CO"/>
              </w:rPr>
            </w:pPr>
            <w:r>
              <w:rPr>
                <w:rFonts w:ascii="Verdana" w:eastAsia="Calibri" w:hAnsi="Verdana" w:cs="Arial"/>
                <w:color w:val="000000" w:themeColor="text1"/>
                <w:lang w:eastAsia="es-CO"/>
              </w:rPr>
              <w:t>L</w:t>
            </w:r>
            <w:r w:rsidRPr="006D7969">
              <w:rPr>
                <w:rFonts w:ascii="Verdana" w:eastAsia="Calibri" w:hAnsi="Verdana" w:cs="Arial"/>
                <w:color w:val="000000" w:themeColor="text1"/>
                <w:lang w:eastAsia="es-CO"/>
              </w:rPr>
              <w:t>a Agencia de Contratación Pública – Colombia Compra Eficiente, recomendó a las entidades incluir una matriz de riesgos en los que se incluya todos los riesgos identificados en el proceso contractual y con ello reducir la exposición del Proceso de Contratación frente a los diferentes riesgos que se puedan presentar, por ejemplo, la identificación de aquellos eventos que: (a) los eventos que impidan la adjudicación y firma del contrato como resultado del Proceso de Contratación; (b) los eventos que alteren la ejecución del contrato; (c) el equilibrio económico del contrato; (d) la eficacia del Proceso de Contratación, es decir, que la Entidad Estatal pueda satisfacer la necesidad que motivó el Proceso de Contratación; y (e) la reputación y legitimidad de la Entidad Estatal encargada de prestar el bien o servicio.Finalmente, una adecuada administración de riesgos, permite: “(i) proporcionar un mayor nivel de certeza y conocimiento para la toma de decisiones relacionadas con el Proceso de Contratación; (ii) mejorar la planeación de contingencias del Proceso de Contratación; (iii) incrementar el grado de confianza entre la partes del Proceso de Contratación; y (iv) reducir la posibilidad de litigios; entre otro</w:t>
            </w:r>
          </w:p>
          <w:p w14:paraId="5C5927D9" w14:textId="517809C4" w:rsidR="00CE3ED7" w:rsidRPr="00502533" w:rsidRDefault="00CE3ED7" w:rsidP="002A17A5">
            <w:pPr>
              <w:spacing w:before="120" w:after="160" w:line="276" w:lineRule="auto"/>
              <w:ind w:firstLine="708"/>
              <w:jc w:val="both"/>
              <w:rPr>
                <w:rFonts w:ascii="Verdana" w:eastAsia="Calibri" w:hAnsi="Verdana" w:cs="Arial"/>
                <w:color w:val="000000" w:themeColor="text1"/>
                <w:lang w:eastAsia="es-CO"/>
              </w:rPr>
            </w:pPr>
            <w:r w:rsidRPr="00502533">
              <w:rPr>
                <w:rStyle w:val="s15"/>
                <w:rFonts w:ascii="Verdana" w:hAnsi="Verdana"/>
                <w:color w:val="000000"/>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w:t>
            </w:r>
            <w:r w:rsidRPr="00502533">
              <w:rPr>
                <w:rStyle w:val="s15"/>
                <w:rFonts w:ascii="Verdana" w:hAnsi="Verdana"/>
                <w:color w:val="000000"/>
              </w:rPr>
              <w:lastRenderedPageBreak/>
              <w:t>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bookmarkEnd w:id="1"/>
    </w:tbl>
    <w:p w14:paraId="2606BEA3" w14:textId="77777777" w:rsidR="00CE3ED7" w:rsidRPr="00502533" w:rsidRDefault="00CE3ED7" w:rsidP="00CE3ED7">
      <w:pPr>
        <w:widowControl w:val="0"/>
        <w:autoSpaceDE w:val="0"/>
        <w:autoSpaceDN w:val="0"/>
        <w:spacing w:after="0" w:line="276" w:lineRule="auto"/>
        <w:ind w:left="360" w:hanging="360"/>
        <w:outlineLvl w:val="0"/>
        <w:rPr>
          <w:rFonts w:ascii="Verdana" w:eastAsia="Arial" w:hAnsi="Verdana" w:cs="Arial"/>
          <w:b/>
          <w:bCs/>
          <w:highlight w:val="cyan"/>
        </w:rPr>
      </w:pPr>
    </w:p>
    <w:p w14:paraId="6BCC3F1D" w14:textId="77777777" w:rsidR="00CE3ED7" w:rsidRPr="00502533" w:rsidRDefault="00CE3ED7" w:rsidP="00CE3ED7">
      <w:pPr>
        <w:widowControl w:val="0"/>
        <w:autoSpaceDE w:val="0"/>
        <w:autoSpaceDN w:val="0"/>
        <w:spacing w:after="0" w:line="276" w:lineRule="auto"/>
        <w:ind w:left="360" w:hanging="360"/>
        <w:outlineLvl w:val="0"/>
        <w:rPr>
          <w:rFonts w:ascii="Verdana" w:eastAsia="Arial" w:hAnsi="Verdana" w:cs="Arial"/>
          <w:b/>
          <w:bCs/>
          <w:lang w:val="es-ES"/>
        </w:rPr>
      </w:pPr>
      <w:r w:rsidRPr="00502533">
        <w:rPr>
          <w:rFonts w:ascii="Verdana" w:eastAsia="Arial" w:hAnsi="Verdana" w:cs="Arial"/>
          <w:b/>
          <w:bCs/>
          <w:lang w:val="es-ES"/>
        </w:rPr>
        <w:t>3. Razones de la respuesta:</w:t>
      </w:r>
    </w:p>
    <w:p w14:paraId="159E3BD1" w14:textId="77777777" w:rsidR="00CE3ED7" w:rsidRPr="00502533" w:rsidRDefault="00CE3ED7" w:rsidP="00CE3ED7">
      <w:pPr>
        <w:spacing w:after="0" w:line="276" w:lineRule="auto"/>
        <w:jc w:val="both"/>
        <w:rPr>
          <w:rFonts w:ascii="Verdana" w:eastAsia="Calibri" w:hAnsi="Verdana" w:cs="Arial"/>
          <w:lang w:val="es-ES"/>
        </w:rPr>
      </w:pPr>
    </w:p>
    <w:p w14:paraId="72697333" w14:textId="77777777" w:rsidR="00CE3ED7" w:rsidRPr="00502533" w:rsidRDefault="00CE3ED7" w:rsidP="00CE3ED7">
      <w:pPr>
        <w:spacing w:after="0" w:line="276" w:lineRule="auto"/>
        <w:jc w:val="both"/>
        <w:rPr>
          <w:rFonts w:ascii="Verdana" w:eastAsia="Calibri" w:hAnsi="Verdana" w:cs="Arial"/>
          <w:lang w:val="es-ES"/>
        </w:rPr>
      </w:pPr>
      <w:r w:rsidRPr="00502533">
        <w:rPr>
          <w:rFonts w:ascii="Verdana" w:eastAsia="Calibri" w:hAnsi="Verdana" w:cs="Arial"/>
          <w:lang w:val="es-ES"/>
        </w:rPr>
        <w:t xml:space="preserve">La respuesta anterior se sustenta en las siguientes consideraciones: </w:t>
      </w:r>
    </w:p>
    <w:p w14:paraId="1AFBE90C" w14:textId="77777777" w:rsidR="00ED4CA2" w:rsidRPr="00502533" w:rsidRDefault="00ED4CA2" w:rsidP="00CE3ED7">
      <w:pPr>
        <w:spacing w:after="0" w:line="276" w:lineRule="auto"/>
        <w:jc w:val="both"/>
        <w:rPr>
          <w:rFonts w:ascii="Verdana" w:eastAsia="Calibri" w:hAnsi="Verdana" w:cs="Arial"/>
          <w:lang w:val="es-ES"/>
        </w:rPr>
      </w:pPr>
    </w:p>
    <w:p w14:paraId="68AC3FFC" w14:textId="2F0D1016" w:rsidR="005F22F4" w:rsidRPr="00502533" w:rsidRDefault="00DA447C" w:rsidP="005F22F4">
      <w:pPr>
        <w:widowControl w:val="0"/>
        <w:autoSpaceDE w:val="0"/>
        <w:autoSpaceDN w:val="0"/>
        <w:spacing w:line="276" w:lineRule="auto"/>
        <w:jc w:val="both"/>
        <w:rPr>
          <w:rFonts w:ascii="Verdana" w:eastAsia="Calibri" w:hAnsi="Verdana" w:cs="Arial"/>
          <w:color w:val="000000"/>
          <w:lang w:val="es-ES_tradnl" w:eastAsia="es-ES" w:bidi="es-ES"/>
        </w:rPr>
      </w:pPr>
      <w:r w:rsidRPr="00502533">
        <w:rPr>
          <w:rFonts w:ascii="Verdana" w:hAnsi="Verdana" w:cs="Arial"/>
          <w:bCs/>
          <w:lang w:val="es-ES_tradnl"/>
        </w:rPr>
        <w:t xml:space="preserve">i. </w:t>
      </w:r>
      <w:r w:rsidR="005F22F4" w:rsidRPr="00502533">
        <w:rPr>
          <w:rFonts w:ascii="Verdana" w:eastAsia="Calibri" w:hAnsi="Verdana" w:cs="Arial"/>
          <w:lang w:val="es-MX"/>
        </w:rPr>
        <w:t>La</w:t>
      </w:r>
      <w:r w:rsidR="005F22F4" w:rsidRPr="00502533">
        <w:rPr>
          <w:rFonts w:ascii="Verdana" w:eastAsia="Calibri" w:hAnsi="Verdana" w:cs="Arial"/>
          <w:color w:val="000000"/>
          <w:lang w:val="es-ES_tradnl" w:eastAsia="es-ES" w:bidi="es-ES"/>
        </w:rPr>
        <w:t xml:space="preserve"> obra pública es una tipología de los contratos estatales, entendidos estos últimos como los actos jurídicos generadores de obligaciones que han sido celebrados por alguna de las entidades estatales enlistadas en el artículo 2 de la Ley 80 de 1993.  Lo anterior resulta de especial relevancia, en la medida en que dicho tipo contractual se diferencia de la definición y regulación prevista en el derecho privado para el contrato de confección de obra material regulado en el Código Civil.   </w:t>
      </w:r>
    </w:p>
    <w:p w14:paraId="331F9EF5" w14:textId="77777777" w:rsidR="005F22F4" w:rsidRPr="00502533" w:rsidRDefault="005F22F4" w:rsidP="005F22F4">
      <w:pPr>
        <w:widowControl w:val="0"/>
        <w:autoSpaceDE w:val="0"/>
        <w:autoSpaceDN w:val="0"/>
        <w:spacing w:before="120" w:after="0" w:line="276" w:lineRule="auto"/>
        <w:ind w:firstLine="708"/>
        <w:jc w:val="both"/>
        <w:rPr>
          <w:rFonts w:ascii="Verdana" w:eastAsia="Calibri" w:hAnsi="Verdana" w:cs="Arial"/>
          <w:color w:val="000000"/>
          <w:lang w:val="es-ES" w:eastAsia="es-ES" w:bidi="es-ES"/>
        </w:rPr>
      </w:pPr>
      <w:r w:rsidRPr="00502533">
        <w:rPr>
          <w:rFonts w:ascii="Verdana" w:eastAsia="Calibri" w:hAnsi="Verdana" w:cs="Arial"/>
          <w:color w:val="000000" w:themeColor="text1"/>
          <w:lang w:val="es-ES" w:eastAsia="es-ES" w:bidi="es-ES"/>
        </w:rPr>
        <w:t xml:space="preserve">En efecto, </w:t>
      </w:r>
      <w:bookmarkStart w:id="2" w:name="_Hlk81432298"/>
      <w:r w:rsidRPr="00502533">
        <w:rPr>
          <w:rFonts w:ascii="Verdana" w:eastAsia="Calibri" w:hAnsi="Verdana" w:cs="Arial"/>
          <w:color w:val="000000" w:themeColor="text1"/>
          <w:lang w:val="es-ES" w:eastAsia="es-ES" w:bidi="es-ES"/>
        </w:rPr>
        <w:t xml:space="preserve">en el derecho privado brilla por la ausencia una definición del contrato de obra. El artículo 2053 del Código Civil lo tipifica como una de las clases de arrendamiento, y establece reglas para diferenciarlo de la compraventa, para lo cual dispone que “Si al artífice suministra la materia para la confección de una obra material, el contrato es de venta; pero no se perfecciona sino por la aprobación del que ordenó la obra”. Por el contrario, “Si la materia es suministrada por la persona que encargó la obra, el contrato es de arrendamiento”; pero “Si la materia principal es suministrada por el que ha ordenado la obra, poniendo el artífice lo demás, el contrato es de arrendamiento; en el caso contrario, de venta”. En todo caso, en la medida en que los artículos 2060 y 2061 del Código disponen reglas especiales para los contratos de construcción y de arquitectura, es claro que la realización de trabajos materiales recae tanto sobre bienes muebles como inmuebles. </w:t>
      </w:r>
      <w:bookmarkEnd w:id="2"/>
      <w:r w:rsidRPr="00502533">
        <w:rPr>
          <w:rFonts w:ascii="Verdana" w:eastAsia="Calibri" w:hAnsi="Verdana" w:cs="Arial"/>
          <w:color w:val="000000" w:themeColor="text1"/>
          <w:lang w:val="es-ES" w:eastAsia="es-ES" w:bidi="es-ES"/>
        </w:rPr>
        <w:t>Así, la doctrina considera que:</w:t>
      </w:r>
    </w:p>
    <w:p w14:paraId="5F21F2DF" w14:textId="77777777" w:rsidR="005F22F4" w:rsidRPr="00502533" w:rsidRDefault="005F22F4" w:rsidP="005F22F4">
      <w:pPr>
        <w:widowControl w:val="0"/>
        <w:autoSpaceDE w:val="0"/>
        <w:autoSpaceDN w:val="0"/>
        <w:spacing w:after="0" w:line="276" w:lineRule="auto"/>
        <w:ind w:firstLine="708"/>
        <w:jc w:val="both"/>
        <w:rPr>
          <w:rFonts w:ascii="Verdana" w:eastAsia="Calibri" w:hAnsi="Verdana" w:cs="Arial"/>
          <w:color w:val="000000"/>
          <w:lang w:val="es-ES_tradnl" w:eastAsia="es-ES" w:bidi="es-ES"/>
        </w:rPr>
      </w:pPr>
    </w:p>
    <w:p w14:paraId="346F34FF" w14:textId="77777777" w:rsidR="005F22F4" w:rsidRPr="00502533" w:rsidRDefault="005F22F4" w:rsidP="005F22F4">
      <w:pPr>
        <w:widowControl w:val="0"/>
        <w:autoSpaceDE w:val="0"/>
        <w:autoSpaceDN w:val="0"/>
        <w:spacing w:after="120" w:line="240" w:lineRule="auto"/>
        <w:ind w:left="709" w:right="709"/>
        <w:jc w:val="both"/>
        <w:rPr>
          <w:rFonts w:ascii="Verdana" w:eastAsia="Calibri" w:hAnsi="Verdana" w:cs="Arial"/>
          <w:color w:val="000000"/>
          <w:sz w:val="20"/>
          <w:szCs w:val="20"/>
          <w:lang w:val="es-ES_tradnl" w:eastAsia="es-ES" w:bidi="es-ES"/>
        </w:rPr>
      </w:pPr>
      <w:r w:rsidRPr="00502533">
        <w:rPr>
          <w:rFonts w:ascii="Verdana" w:eastAsia="Calibri" w:hAnsi="Verdana" w:cs="Arial"/>
          <w:color w:val="000000"/>
          <w:sz w:val="20"/>
          <w:szCs w:val="20"/>
          <w:lang w:val="es-ES_tradnl" w:eastAsia="es-ES" w:bidi="es-ES"/>
        </w:rPr>
        <w:t xml:space="preserve">“Puede definirse el arrendamiento de obra o contrato de confección de obra material como aquél por el cual una persona llamada artífice, se obliga, mediante cierto precio, a ejecutar una obra material. Los elementos de este contrato, fuera del consentimiento indispensable en </w:t>
      </w:r>
      <w:r w:rsidRPr="00502533">
        <w:rPr>
          <w:rFonts w:ascii="Verdana" w:eastAsia="Calibri" w:hAnsi="Verdana" w:cs="Arial"/>
          <w:color w:val="000000"/>
          <w:sz w:val="20"/>
          <w:szCs w:val="20"/>
          <w:lang w:val="es-ES_tradnl" w:eastAsia="es-ES" w:bidi="es-ES"/>
        </w:rPr>
        <w:lastRenderedPageBreak/>
        <w:t>todo contrato, son la ejecución de la obra y el precio.</w:t>
      </w:r>
    </w:p>
    <w:p w14:paraId="2950E844" w14:textId="77777777" w:rsidR="005F22F4" w:rsidRPr="00502533" w:rsidRDefault="005F22F4" w:rsidP="005F22F4">
      <w:pPr>
        <w:widowControl w:val="0"/>
        <w:autoSpaceDE w:val="0"/>
        <w:autoSpaceDN w:val="0"/>
        <w:spacing w:before="120" w:after="0" w:line="240" w:lineRule="auto"/>
        <w:ind w:left="709" w:right="709"/>
        <w:jc w:val="both"/>
        <w:rPr>
          <w:rFonts w:ascii="Verdana" w:eastAsia="Calibri" w:hAnsi="Verdana" w:cs="Arial"/>
          <w:color w:val="000000"/>
          <w:sz w:val="20"/>
          <w:szCs w:val="20"/>
          <w:lang w:val="es-ES_tradnl" w:eastAsia="es-ES" w:bidi="es-ES"/>
        </w:rPr>
      </w:pPr>
      <w:r w:rsidRPr="00502533">
        <w:rPr>
          <w:rFonts w:ascii="Verdana" w:eastAsia="Calibri" w:hAnsi="Verdana" w:cs="Arial"/>
          <w:color w:val="000000"/>
          <w:sz w:val="20"/>
          <w:szCs w:val="20"/>
          <w:lang w:val="es-ES_tradnl" w:eastAsia="es-ES" w:bidi="es-ES"/>
        </w:rPr>
        <w:t>Así como en el arrendamiento de cosas, el arrendador es obligado a suministrar el goce de la cosa, en el arrendamiento de obras es obligado a la ejecución de una obra material; mediante este contrato, el arrendador va a poner su trabajo al servicio de otro para transformar una sustancia en una obra nueva, que puede ser mueble o inmueble; cabe dentro de este contrato los más variados trabajos: el del sastre, del carpintero, del arquitecto, del ingeniero, etc. Lo que caracteriza entonces este contrato es que se haga una obra nueva con una sustancia mediante la transformación de ella por el trabajo del hombre”</w:t>
      </w:r>
      <w:r w:rsidRPr="00502533">
        <w:rPr>
          <w:rFonts w:ascii="Verdana" w:eastAsia="Calibri" w:hAnsi="Verdana" w:cs="Arial"/>
          <w:color w:val="000000"/>
          <w:sz w:val="20"/>
          <w:szCs w:val="20"/>
          <w:vertAlign w:val="superscript"/>
          <w:lang w:val="es-ES_tradnl" w:eastAsia="es-ES" w:bidi="es-ES"/>
        </w:rPr>
        <w:footnoteReference w:id="1"/>
      </w:r>
      <w:r w:rsidRPr="00502533">
        <w:rPr>
          <w:rFonts w:ascii="Verdana" w:eastAsia="Calibri" w:hAnsi="Verdana" w:cs="Arial"/>
          <w:color w:val="000000"/>
          <w:sz w:val="20"/>
          <w:szCs w:val="20"/>
          <w:lang w:val="es-ES_tradnl" w:eastAsia="es-ES" w:bidi="es-ES"/>
        </w:rPr>
        <w:t xml:space="preserve">.  </w:t>
      </w:r>
    </w:p>
    <w:p w14:paraId="1FEB3313" w14:textId="77777777" w:rsidR="005F22F4" w:rsidRPr="00502533" w:rsidRDefault="005F22F4" w:rsidP="005F22F4">
      <w:pPr>
        <w:widowControl w:val="0"/>
        <w:autoSpaceDE w:val="0"/>
        <w:autoSpaceDN w:val="0"/>
        <w:spacing w:after="0" w:line="276" w:lineRule="auto"/>
        <w:ind w:left="709" w:right="709"/>
        <w:jc w:val="both"/>
        <w:rPr>
          <w:rFonts w:ascii="Verdana" w:eastAsia="Calibri" w:hAnsi="Verdana" w:cs="Arial"/>
          <w:color w:val="000000"/>
          <w:sz w:val="20"/>
          <w:szCs w:val="20"/>
          <w:lang w:val="es-ES_tradnl" w:eastAsia="es-ES" w:bidi="es-ES"/>
        </w:rPr>
      </w:pPr>
      <w:r w:rsidRPr="00502533">
        <w:rPr>
          <w:rFonts w:ascii="Verdana" w:eastAsia="Calibri" w:hAnsi="Verdana" w:cs="Arial"/>
          <w:color w:val="000000"/>
          <w:sz w:val="20"/>
          <w:szCs w:val="20"/>
          <w:lang w:val="es-ES_tradnl" w:eastAsia="es-ES" w:bidi="es-ES"/>
        </w:rPr>
        <w:t xml:space="preserve">    </w:t>
      </w:r>
    </w:p>
    <w:p w14:paraId="1D13267D" w14:textId="77777777" w:rsidR="005F22F4" w:rsidRPr="00502533" w:rsidRDefault="005F22F4" w:rsidP="005F22F4">
      <w:pPr>
        <w:widowControl w:val="0"/>
        <w:autoSpaceDE w:val="0"/>
        <w:autoSpaceDN w:val="0"/>
        <w:spacing w:after="120" w:line="276" w:lineRule="auto"/>
        <w:ind w:firstLine="709"/>
        <w:jc w:val="both"/>
        <w:rPr>
          <w:rFonts w:ascii="Verdana" w:eastAsia="Calibri" w:hAnsi="Verdana" w:cs="Arial"/>
          <w:color w:val="000000"/>
          <w:lang w:val="es-ES_tradnl" w:eastAsia="es-ES" w:bidi="es-ES"/>
        </w:rPr>
      </w:pPr>
      <w:bookmarkStart w:id="3" w:name="_Hlk35420344"/>
      <w:r w:rsidRPr="00502533">
        <w:rPr>
          <w:rFonts w:ascii="Verdana" w:eastAsia="Calibri" w:hAnsi="Verdana" w:cs="Arial"/>
          <w:color w:val="000000"/>
          <w:lang w:val="es-ES_tradnl" w:eastAsia="es-ES" w:bidi="es-ES"/>
        </w:rPr>
        <w:t xml:space="preserve">En </w:t>
      </w:r>
      <w:r w:rsidRPr="00502533">
        <w:rPr>
          <w:rFonts w:ascii="Verdana" w:eastAsia="Calibri" w:hAnsi="Verdana" w:cs="Arial"/>
          <w:i/>
          <w:iCs/>
          <w:color w:val="000000"/>
          <w:lang w:val="es-ES_tradnl" w:eastAsia="es-ES" w:bidi="es-ES"/>
        </w:rPr>
        <w:t>sentido amplio</w:t>
      </w:r>
      <w:r w:rsidRPr="00502533">
        <w:rPr>
          <w:rFonts w:ascii="Verdana" w:eastAsia="Calibri" w:hAnsi="Verdana" w:cs="Arial"/>
          <w:color w:val="000000"/>
          <w:lang w:val="es-ES_tradnl" w:eastAsia="es-ES" w:bidi="es-ES"/>
        </w:rPr>
        <w:t xml:space="preserve">, dado que la “obra” es un bien que crea la actividad humana, el hecho de que sea “pública” significa que es todo trabajo material en cuya creación o realización interviene el Estado. No obstante, </w:t>
      </w:r>
      <w:bookmarkStart w:id="4" w:name="_Hlk81428563"/>
      <w:r w:rsidRPr="00502533">
        <w:rPr>
          <w:rFonts w:ascii="Verdana" w:eastAsia="Calibri" w:hAnsi="Verdana" w:cs="Arial"/>
          <w:color w:val="000000"/>
          <w:lang w:val="es-ES_tradnl" w:eastAsia="es-ES" w:bidi="es-ES"/>
        </w:rPr>
        <w:t xml:space="preserve">el numeral 1 del artículo 32 de la Ley 80 de 1993 opta por un </w:t>
      </w:r>
      <w:r w:rsidRPr="00502533">
        <w:rPr>
          <w:rFonts w:ascii="Verdana" w:eastAsia="Calibri" w:hAnsi="Verdana" w:cs="Arial"/>
          <w:i/>
          <w:iCs/>
          <w:color w:val="000000"/>
          <w:lang w:val="es-ES_tradnl" w:eastAsia="es-ES" w:bidi="es-ES"/>
        </w:rPr>
        <w:t>sentido restringido</w:t>
      </w:r>
      <w:r w:rsidRPr="00502533">
        <w:rPr>
          <w:rFonts w:ascii="Verdana" w:eastAsia="Calibri" w:hAnsi="Verdana" w:cs="Arial"/>
          <w:color w:val="000000"/>
          <w:lang w:val="es-ES_tradnl" w:eastAsia="es-ES" w:bidi="es-ES"/>
        </w:rPr>
        <w:t xml:space="preserve">, al disponer que “Son contratos de obra los que celebren las entidades estatales para la </w:t>
      </w:r>
      <w:bookmarkStart w:id="5" w:name="_Hlk171668266"/>
      <w:r w:rsidRPr="00502533">
        <w:rPr>
          <w:rFonts w:ascii="Verdana" w:eastAsia="Calibri" w:hAnsi="Verdana" w:cs="Arial"/>
          <w:color w:val="000000"/>
          <w:lang w:val="es-ES_tradnl" w:eastAsia="es-ES" w:bidi="es-ES"/>
        </w:rPr>
        <w:t>construcción, mantenimiento, instalación</w:t>
      </w:r>
      <w:bookmarkEnd w:id="5"/>
      <w:r w:rsidRPr="00502533">
        <w:rPr>
          <w:rFonts w:ascii="Verdana" w:eastAsia="Calibri" w:hAnsi="Verdana" w:cs="Arial"/>
          <w:color w:val="000000"/>
          <w:lang w:val="es-ES_tradnl" w:eastAsia="es-ES" w:bidi="es-ES"/>
        </w:rPr>
        <w:t xml:space="preserve"> y, en general, para la realización de cualquier otro trabajo material sobre bienes inmuebles, </w:t>
      </w:r>
      <w:bookmarkStart w:id="6" w:name="_Hlk171667437"/>
      <w:r w:rsidRPr="00502533">
        <w:rPr>
          <w:rFonts w:ascii="Verdana" w:eastAsia="Calibri" w:hAnsi="Verdana" w:cs="Arial"/>
          <w:color w:val="000000"/>
          <w:lang w:val="es-ES_tradnl" w:eastAsia="es-ES" w:bidi="es-ES"/>
        </w:rPr>
        <w:t>cualquiera que sea la modalidad de ejecución y pago</w:t>
      </w:r>
      <w:bookmarkEnd w:id="6"/>
      <w:r w:rsidRPr="00502533">
        <w:rPr>
          <w:rFonts w:ascii="Verdana" w:eastAsia="Calibri" w:hAnsi="Verdana" w:cs="Arial"/>
          <w:color w:val="000000"/>
          <w:lang w:val="es-ES_tradnl" w:eastAsia="es-ES" w:bidi="es-ES"/>
        </w:rPr>
        <w:t>”, de manera que este tipo de contrato no aplica a los trabajos materiales realizados sobre bienes muebles</w:t>
      </w:r>
      <w:r w:rsidRPr="00502533">
        <w:rPr>
          <w:rStyle w:val="Refdenotaalpie"/>
          <w:rFonts w:ascii="Verdana" w:eastAsia="Calibri" w:hAnsi="Verdana" w:cs="Arial"/>
          <w:color w:val="000000"/>
          <w:lang w:val="es-ES_tradnl" w:eastAsia="es-ES" w:bidi="es-ES"/>
        </w:rPr>
        <w:footnoteReference w:id="2"/>
      </w:r>
      <w:r w:rsidRPr="00502533">
        <w:rPr>
          <w:rFonts w:ascii="Verdana" w:eastAsia="Calibri" w:hAnsi="Verdana" w:cs="Arial"/>
          <w:color w:val="000000"/>
          <w:lang w:val="es-ES_tradnl" w:eastAsia="es-ES" w:bidi="es-ES"/>
        </w:rPr>
        <w:t xml:space="preserve">. </w:t>
      </w:r>
    </w:p>
    <w:p w14:paraId="02B840F0" w14:textId="77777777" w:rsidR="005F22F4" w:rsidRPr="00502533" w:rsidRDefault="005F22F4" w:rsidP="005F22F4">
      <w:pPr>
        <w:widowControl w:val="0"/>
        <w:autoSpaceDE w:val="0"/>
        <w:autoSpaceDN w:val="0"/>
        <w:spacing w:after="0" w:line="276" w:lineRule="auto"/>
        <w:ind w:firstLine="708"/>
        <w:jc w:val="both"/>
        <w:rPr>
          <w:rFonts w:ascii="Verdana" w:eastAsia="Calibri" w:hAnsi="Verdana" w:cs="Arial"/>
          <w:color w:val="000000"/>
          <w:lang w:val="es-ES_tradnl" w:eastAsia="es-ES" w:bidi="es-ES"/>
        </w:rPr>
      </w:pPr>
      <w:r w:rsidRPr="00502533">
        <w:rPr>
          <w:rFonts w:ascii="Verdana" w:eastAsia="Calibri" w:hAnsi="Verdana" w:cs="Arial"/>
          <w:color w:val="000000"/>
          <w:lang w:val="es-ES_tradnl" w:eastAsia="es-ES" w:bidi="es-ES"/>
        </w:rPr>
        <w:t>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bookmarkEnd w:id="3"/>
      <w:bookmarkEnd w:id="4"/>
      <w:r w:rsidRPr="00502533">
        <w:rPr>
          <w:rFonts w:ascii="Verdana" w:eastAsia="Calibri" w:hAnsi="Verdana" w:cs="Arial"/>
          <w:color w:val="000000"/>
          <w:vertAlign w:val="superscript"/>
          <w:lang w:val="es-ES_tradnl" w:eastAsia="es-ES" w:bidi="es-ES"/>
        </w:rPr>
        <w:footnoteReference w:id="3"/>
      </w:r>
      <w:r w:rsidRPr="00502533">
        <w:rPr>
          <w:rFonts w:ascii="Verdana" w:eastAsia="Calibri" w:hAnsi="Verdana" w:cs="Arial"/>
          <w:color w:val="000000"/>
          <w:lang w:val="es-ES_tradnl" w:eastAsia="es-ES" w:bidi="es-ES"/>
        </w:rPr>
        <w:t>. De esta manera:</w:t>
      </w:r>
    </w:p>
    <w:p w14:paraId="719FDB26" w14:textId="77777777" w:rsidR="005F22F4" w:rsidRPr="00502533" w:rsidRDefault="005F22F4" w:rsidP="005F22F4">
      <w:pPr>
        <w:widowControl w:val="0"/>
        <w:autoSpaceDE w:val="0"/>
        <w:autoSpaceDN w:val="0"/>
        <w:spacing w:after="0" w:line="276" w:lineRule="auto"/>
        <w:ind w:firstLine="709"/>
        <w:jc w:val="both"/>
        <w:rPr>
          <w:rFonts w:ascii="Verdana" w:eastAsia="Calibri" w:hAnsi="Verdana" w:cs="Arial"/>
          <w:color w:val="000000"/>
          <w:lang w:val="es-ES_tradnl" w:eastAsia="es-ES" w:bidi="es-ES"/>
        </w:rPr>
      </w:pPr>
    </w:p>
    <w:p w14:paraId="1CA74834" w14:textId="77777777" w:rsidR="005F22F4" w:rsidRPr="00502533" w:rsidRDefault="005F22F4" w:rsidP="005F22F4">
      <w:pPr>
        <w:widowControl w:val="0"/>
        <w:autoSpaceDE w:val="0"/>
        <w:autoSpaceDN w:val="0"/>
        <w:spacing w:line="240" w:lineRule="auto"/>
        <w:ind w:left="709" w:right="709"/>
        <w:jc w:val="both"/>
        <w:rPr>
          <w:rFonts w:ascii="Verdana" w:eastAsia="Calibri" w:hAnsi="Verdana" w:cs="Arial"/>
          <w:color w:val="000000"/>
          <w:sz w:val="20"/>
          <w:szCs w:val="20"/>
          <w:lang w:val="es-ES_tradnl" w:eastAsia="es-ES" w:bidi="es-ES"/>
        </w:rPr>
      </w:pPr>
      <w:r w:rsidRPr="00502533">
        <w:rPr>
          <w:rFonts w:ascii="Verdana" w:eastAsia="Calibri" w:hAnsi="Verdana" w:cs="Arial"/>
          <w:color w:val="000000"/>
          <w:sz w:val="20"/>
          <w:szCs w:val="20"/>
          <w:lang w:val="es-ES_tradnl" w:eastAsia="es-ES" w:bidi="es-ES"/>
        </w:rPr>
        <w:t xml:space="preserve">“[…] el legislador limitó la naturaleza de los contratos de obra a las actividades de trabajos materiales exclusivamente sobre bienes inmuebles, independientemente de su modalidad de ejecución y pago. De esta forma, acogió la posición de una parte de la doctrina y del derecho comparado, que vinculan la tipificación del contrato de obra a aquellas </w:t>
      </w:r>
      <w:r w:rsidRPr="00502533">
        <w:rPr>
          <w:rFonts w:ascii="Verdana" w:eastAsia="Calibri" w:hAnsi="Verdana" w:cs="Arial"/>
          <w:color w:val="000000"/>
          <w:sz w:val="20"/>
          <w:szCs w:val="20"/>
          <w:lang w:val="es-ES_tradnl" w:eastAsia="es-ES" w:bidi="es-ES"/>
        </w:rPr>
        <w:lastRenderedPageBreak/>
        <w:t xml:space="preserve">actividades realizadas sobre bienes inmuebles. </w:t>
      </w:r>
    </w:p>
    <w:p w14:paraId="5889C5FC" w14:textId="77777777" w:rsidR="005F22F4" w:rsidRPr="00502533" w:rsidRDefault="005F22F4" w:rsidP="005F22F4">
      <w:pPr>
        <w:widowControl w:val="0"/>
        <w:autoSpaceDE w:val="0"/>
        <w:autoSpaceDN w:val="0"/>
        <w:spacing w:before="120" w:after="0" w:line="240" w:lineRule="auto"/>
        <w:ind w:left="709" w:right="709"/>
        <w:jc w:val="both"/>
        <w:rPr>
          <w:rFonts w:ascii="Verdana" w:eastAsia="Calibri" w:hAnsi="Verdana" w:cs="Arial"/>
          <w:color w:val="000000"/>
          <w:sz w:val="20"/>
          <w:szCs w:val="20"/>
          <w:lang w:val="es-ES_tradnl" w:eastAsia="es-ES" w:bidi="es-ES"/>
        </w:rPr>
      </w:pPr>
      <w:r w:rsidRPr="00502533">
        <w:rPr>
          <w:rFonts w:ascii="Verdana" w:eastAsia="Calibri" w:hAnsi="Verdana" w:cs="Arial"/>
          <w:color w:val="000000"/>
          <w:sz w:val="20"/>
          <w:szCs w:val="20"/>
          <w:lang w:val="es-ES_tradnl" w:eastAsia="es-ES" w:bidi="es-ES"/>
        </w:rPr>
        <w:t>La ejecución de obras sobre otro tipo de bienes, no estarán regulados por el contrato estatal de obra y podrán corresponder a una prestación de servicios general, o a cualquier otra modalidad típica o atípica, nominada o innominada que pueda celebrarse entre la entidad estatal y un contratista, en los términos de la autonomía de la voluntad de las partes, de acuerdo con lo previsto en los artículos 32 y 40 de la ley 80 de 1993”</w:t>
      </w:r>
      <w:r w:rsidRPr="00502533">
        <w:rPr>
          <w:rFonts w:ascii="Verdana" w:eastAsia="Calibri" w:hAnsi="Verdana" w:cs="Arial"/>
          <w:color w:val="000000"/>
          <w:sz w:val="20"/>
          <w:szCs w:val="20"/>
          <w:vertAlign w:val="superscript"/>
          <w:lang w:val="es-ES_tradnl" w:eastAsia="es-ES" w:bidi="es-ES"/>
        </w:rPr>
        <w:footnoteReference w:id="4"/>
      </w:r>
      <w:r w:rsidRPr="00502533">
        <w:rPr>
          <w:rFonts w:ascii="Verdana" w:eastAsia="Calibri" w:hAnsi="Verdana" w:cs="Arial"/>
          <w:color w:val="000000"/>
          <w:sz w:val="20"/>
          <w:szCs w:val="20"/>
          <w:lang w:val="es-ES_tradnl" w:eastAsia="es-ES" w:bidi="es-ES"/>
        </w:rPr>
        <w:t>.</w:t>
      </w:r>
    </w:p>
    <w:p w14:paraId="387D3F3F" w14:textId="77777777" w:rsidR="005F22F4" w:rsidRPr="00502533" w:rsidRDefault="005F22F4" w:rsidP="005F22F4">
      <w:pPr>
        <w:widowControl w:val="0"/>
        <w:autoSpaceDE w:val="0"/>
        <w:autoSpaceDN w:val="0"/>
        <w:spacing w:after="0" w:line="276" w:lineRule="auto"/>
        <w:ind w:left="709" w:right="709"/>
        <w:jc w:val="both"/>
        <w:rPr>
          <w:rFonts w:ascii="Verdana" w:eastAsia="Calibri" w:hAnsi="Verdana" w:cs="Arial"/>
          <w:color w:val="000000"/>
          <w:lang w:val="es-ES_tradnl" w:eastAsia="es-ES" w:bidi="es-ES"/>
        </w:rPr>
      </w:pPr>
    </w:p>
    <w:p w14:paraId="37F0208A" w14:textId="77777777" w:rsidR="005F22F4" w:rsidRPr="00502533" w:rsidRDefault="005F22F4" w:rsidP="005F22F4">
      <w:pPr>
        <w:widowControl w:val="0"/>
        <w:autoSpaceDE w:val="0"/>
        <w:autoSpaceDN w:val="0"/>
        <w:spacing w:after="120" w:line="276" w:lineRule="auto"/>
        <w:ind w:firstLine="709"/>
        <w:jc w:val="both"/>
        <w:rPr>
          <w:rFonts w:ascii="Verdana" w:eastAsia="Calibri" w:hAnsi="Verdana" w:cs="Arial"/>
          <w:color w:val="000000"/>
          <w:lang w:val="es-ES_tradnl" w:eastAsia="es-ES" w:bidi="es-ES"/>
        </w:rPr>
      </w:pPr>
      <w:r w:rsidRPr="00502533">
        <w:rPr>
          <w:rFonts w:ascii="Verdana" w:eastAsia="Calibri" w:hAnsi="Verdana" w:cs="Arial"/>
          <w:color w:val="000000"/>
          <w:lang w:val="es-ES_tradnl" w:eastAsia="es-ES" w:bidi="es-ES"/>
        </w:rPr>
        <w:t>En la disposición citada, el contrato de obra pública no se limita a la construcción de inmuebles, pues la definición se extiende a las actividades de mantenimiento e instalación, lo cual supone un bien preexistente. Para la Real Academia Española “construir” significa fabricar, erigir, edificar y hacer de nueva planta una cosa; en tanto que “mantener” significa conservar una cosa en su ser, darle vigor y permanencia; y, finalmente, “instalar” es poner o colocar algo en su lugar debido. Igualmente, el concepto se extiende a cualquier trabajo material realizado sobre bienes inmuebles, tales como la reforma y la demolición.</w:t>
      </w:r>
    </w:p>
    <w:p w14:paraId="5E3B190C" w14:textId="00213A00" w:rsidR="005F22F4" w:rsidRPr="00502533" w:rsidRDefault="005F22F4" w:rsidP="008E43E4">
      <w:pPr>
        <w:widowControl w:val="0"/>
        <w:autoSpaceDE w:val="0"/>
        <w:autoSpaceDN w:val="0"/>
        <w:spacing w:after="120" w:line="276" w:lineRule="auto"/>
        <w:ind w:firstLine="708"/>
        <w:jc w:val="both"/>
        <w:rPr>
          <w:rFonts w:ascii="Verdana" w:eastAsia="Calibri" w:hAnsi="Verdana" w:cs="Arial"/>
          <w:color w:val="000000"/>
          <w:lang w:val="es-ES" w:eastAsia="es-ES" w:bidi="es-ES"/>
        </w:rPr>
      </w:pPr>
      <w:r w:rsidRPr="00502533">
        <w:rPr>
          <w:rFonts w:ascii="Verdana" w:eastAsia="Calibri" w:hAnsi="Verdana" w:cs="Arial"/>
          <w:color w:val="000000" w:themeColor="text1"/>
          <w:lang w:val="es-ES" w:eastAsia="es-ES" w:bidi="es-ES"/>
        </w:rPr>
        <w:t xml:space="preserve">En consecuencia, como la obra pública existe con independencia de la modalidad de ejecución o de pago, sea que el objeto se ejecute a través de administración delegada o por administración de recursos, ambas categorías pertenecen a la tipología contractual del numeral 1 del artículo 32 de la Ley 80 de 1993. Es decir, al margen de la nominación asignada por las partes, cualquier negocio jurídico que implique un trabajo material sobre bienes inmuebles a favor de una entidad pública, tiene la naturaleza jurídica de una obra pública. Como este contrato tiene carácter bilateral y oneroso, en los términos del inciso primero del artículo 41 del EGCAP, las obligaciones básicas dependen del acuerdo sobre el inmueble objeto de construcción, mantenimiento, instalación, reforma o demolición, por un lado, y la remuneración del contratista de acuerdo con la forma de ejecución, por el otro. </w:t>
      </w:r>
    </w:p>
    <w:p w14:paraId="2A5EED29" w14:textId="2DF34509" w:rsidR="00DA447C" w:rsidRPr="00502533" w:rsidRDefault="005F22F4" w:rsidP="3ED76B79">
      <w:pPr>
        <w:spacing w:after="120" w:line="276" w:lineRule="auto"/>
        <w:jc w:val="both"/>
        <w:rPr>
          <w:rFonts w:ascii="Verdana" w:hAnsi="Verdana" w:cs="Arial"/>
          <w:sz w:val="21"/>
          <w:szCs w:val="21"/>
          <w:lang w:val="es-ES"/>
        </w:rPr>
      </w:pPr>
      <w:r w:rsidRPr="3ED76B79">
        <w:rPr>
          <w:rFonts w:ascii="Verdana" w:hAnsi="Verdana" w:cs="Arial"/>
          <w:lang w:val="es-ES"/>
        </w:rPr>
        <w:t xml:space="preserve">ii. </w:t>
      </w:r>
      <w:r w:rsidR="00DA447C" w:rsidRPr="3ED76B79">
        <w:rPr>
          <w:rFonts w:ascii="Verdana" w:hAnsi="Verdana" w:cs="Arial"/>
          <w:lang w:val="es-ES"/>
        </w:rPr>
        <w:t xml:space="preserve">La contratación pública comprende, entre otros aspectos, la toma de decisiones del gasto que las entidades realizan como ejecución de los recursos públicos asignados para adquirir bienes, obras o servicios que satisfacen sus necesidades, y en esa medida cumplen el interés general, que es la finalidad que la ley les confía a través de las funciones que se les encomiendan. Para las </w:t>
      </w:r>
      <w:r w:rsidR="00DA447C" w:rsidRPr="3ED76B79">
        <w:rPr>
          <w:rFonts w:ascii="Verdana" w:hAnsi="Verdana" w:cs="Arial"/>
          <w:lang w:val="es-ES"/>
        </w:rPr>
        <w:lastRenderedPageBreak/>
        <w:t>adquisiciones, las entidades estructuran procedimientos de contratación previamente definidos por la ley, consultando las normas que los rigen para determinar la forma que el ordenamiento prevé para adelantarlos. En esta medida, conforme el artículo 29 de la Constitución Política, los procesos de selección son una manifestación de la legalidad de las formas de cada proceso en sede administrativa</w:t>
      </w:r>
      <w:r w:rsidR="00DA447C" w:rsidRPr="3ED76B79">
        <w:rPr>
          <w:rStyle w:val="Refdenotaalpie"/>
          <w:rFonts w:ascii="Verdana" w:hAnsi="Verdana" w:cs="Arial"/>
          <w:sz w:val="21"/>
          <w:szCs w:val="21"/>
          <w:lang w:val="es-ES"/>
        </w:rPr>
        <w:footnoteReference w:id="5"/>
      </w:r>
      <w:r w:rsidR="00DA447C" w:rsidRPr="3ED76B79">
        <w:rPr>
          <w:rFonts w:ascii="Verdana" w:hAnsi="Verdana" w:cs="Arial"/>
          <w:sz w:val="21"/>
          <w:szCs w:val="21"/>
          <w:lang w:val="es-ES"/>
        </w:rPr>
        <w:t>.</w:t>
      </w:r>
    </w:p>
    <w:p w14:paraId="16BD1929" w14:textId="77777777" w:rsidR="00DA447C" w:rsidRPr="00502533" w:rsidRDefault="00DA447C" w:rsidP="3ED76B79">
      <w:pPr>
        <w:spacing w:after="120" w:line="276" w:lineRule="auto"/>
        <w:jc w:val="both"/>
        <w:rPr>
          <w:rFonts w:ascii="Verdana" w:hAnsi="Verdana" w:cs="Arial"/>
          <w:lang w:val="es-ES"/>
        </w:rPr>
      </w:pPr>
      <w:r w:rsidRPr="00502533">
        <w:rPr>
          <w:rFonts w:ascii="Verdana" w:hAnsi="Verdana" w:cs="Arial"/>
          <w:bCs/>
          <w:lang w:val="es-ES_tradnl"/>
        </w:rPr>
        <w:tab/>
      </w:r>
      <w:r w:rsidRPr="3ED76B79">
        <w:rPr>
          <w:rFonts w:ascii="Verdana" w:hAnsi="Verdana" w:cs="Arial"/>
          <w:lang w:val="es-ES"/>
        </w:rPr>
        <w:t>Inicialmente, la Ley 80 de 1993 estableció tres (3) procedimientos de selección: i) licitación o concurso público, ii) contratación sin formalidades plenas y iii) contratación directa. Dentro de este esquema, el primero era y continúa siendo la regla general, pues sólo es posible acudir a los demás frente a la configuración de las causales previamente establecidas por el ordenamiento, razón por la cual la Administración carece de discrecionalidad para establecer procedimientos</w:t>
      </w:r>
      <w:r w:rsidRPr="3ED76B79">
        <w:rPr>
          <w:rStyle w:val="Refdenotaalpie"/>
          <w:rFonts w:ascii="Verdana" w:hAnsi="Verdana" w:cs="Arial"/>
          <w:lang w:val="es-ES"/>
        </w:rPr>
        <w:footnoteReference w:id="6"/>
      </w:r>
      <w:r w:rsidRPr="3ED76B79">
        <w:rPr>
          <w:rFonts w:ascii="Verdana" w:hAnsi="Verdana" w:cs="Arial"/>
          <w:lang w:val="es-ES"/>
        </w:rPr>
        <w:t xml:space="preserve">. </w:t>
      </w:r>
    </w:p>
    <w:p w14:paraId="6F7AF682" w14:textId="77777777" w:rsidR="00DA447C" w:rsidRPr="00502533" w:rsidRDefault="00DA447C" w:rsidP="00DA447C">
      <w:pPr>
        <w:spacing w:after="120" w:line="276" w:lineRule="auto"/>
        <w:jc w:val="both"/>
        <w:rPr>
          <w:rFonts w:ascii="Verdana" w:hAnsi="Verdana" w:cs="Arial"/>
          <w:bCs/>
          <w:lang w:val="es-ES_tradnl"/>
        </w:rPr>
      </w:pPr>
      <w:r w:rsidRPr="00502533">
        <w:rPr>
          <w:rFonts w:ascii="Verdana" w:hAnsi="Verdana" w:cs="Arial"/>
          <w:bCs/>
          <w:lang w:val="es-ES_tradnl"/>
        </w:rPr>
        <w:tab/>
        <w:t xml:space="preserve">No obstante, después del 2007, el ordenamiento reguló nuevos procesos de selección. En efecto, con el artículo 2 de la Ley 1150 la licitación pública no solo es un procedimiento independiente del concurso de méritos, sino que también se creó el procedimiento de selección de selección abreviada. Finalmente, teniendo en cuenta la reforma introducida con la Ley 1474 de 2011, los procedimientos actualmente regulados son los siguientes: i) licitación pública, ii) selección abreviada, iii) concurso de méritos, iv) mínima cuantía y v) contratación directa. En dichos procedimientos constan </w:t>
      </w:r>
      <w:r w:rsidRPr="00502533">
        <w:rPr>
          <w:rFonts w:ascii="Verdana" w:eastAsia="Calibri" w:hAnsi="Verdana" w:cs="Arial"/>
        </w:rPr>
        <w:t>las etapas para la adquisición de obras, bienes y servicios, por lo que cada entidad es responsable de estructurar los procedimientos de contratación, siempre que respete el principio de legalidad.</w:t>
      </w:r>
      <w:bookmarkStart w:id="8" w:name="_Hlk39596760"/>
    </w:p>
    <w:p w14:paraId="5B4FD768" w14:textId="77777777" w:rsidR="00DA447C" w:rsidRPr="00502533" w:rsidRDefault="00DA447C" w:rsidP="00DA447C">
      <w:pPr>
        <w:spacing w:after="120" w:line="276" w:lineRule="auto"/>
        <w:ind w:firstLine="709"/>
        <w:jc w:val="both"/>
        <w:rPr>
          <w:rFonts w:ascii="Verdana" w:hAnsi="Verdana" w:cs="Arial"/>
          <w:bCs/>
          <w:lang w:val="es-MX"/>
        </w:rPr>
      </w:pPr>
      <w:r w:rsidRPr="00502533">
        <w:rPr>
          <w:rFonts w:ascii="Verdana" w:hAnsi="Verdana" w:cs="Arial"/>
          <w:lang w:val="es-ES"/>
        </w:rPr>
        <w:lastRenderedPageBreak/>
        <w:t xml:space="preserve">En este contexto, para las entidades sometidas a la Ley 80 de 1993, los procesos de selección se rigen por el artículo 2 de la Ley 1150 de 2007. El </w:t>
      </w:r>
      <w:r w:rsidRPr="00502533">
        <w:rPr>
          <w:rFonts w:ascii="Verdana" w:hAnsi="Verdana" w:cs="Arial"/>
          <w:bCs/>
          <w:lang w:val="es-MX"/>
        </w:rPr>
        <w:t xml:space="preserve">numeral uno, inciso primero, dispone que “La escogencia del contratista se efectuará por </w:t>
      </w:r>
      <w:r w:rsidRPr="00502533">
        <w:rPr>
          <w:rFonts w:ascii="Verdana" w:hAnsi="Verdana" w:cs="Arial"/>
          <w:bCs/>
          <w:i/>
          <w:iCs/>
          <w:lang w:val="es-MX"/>
        </w:rPr>
        <w:t>regla general</w:t>
      </w:r>
      <w:r w:rsidRPr="00502533">
        <w:rPr>
          <w:rFonts w:ascii="Verdana" w:hAnsi="Verdana" w:cs="Arial"/>
          <w:bCs/>
          <w:lang w:val="es-MX"/>
        </w:rPr>
        <w:t xml:space="preserve"> a través de licitación pública, con las </w:t>
      </w:r>
      <w:r w:rsidRPr="00502533">
        <w:rPr>
          <w:rFonts w:ascii="Verdana" w:hAnsi="Verdana" w:cs="Arial"/>
          <w:bCs/>
          <w:i/>
          <w:iCs/>
          <w:lang w:val="es-MX"/>
        </w:rPr>
        <w:t>excepciones</w:t>
      </w:r>
      <w:r w:rsidRPr="00502533">
        <w:rPr>
          <w:rFonts w:ascii="Verdana" w:hAnsi="Verdana" w:cs="Arial"/>
          <w:bCs/>
          <w:lang w:val="es-MX"/>
        </w:rPr>
        <w:t xml:space="preserve"> que se señalan en los numerales 2, 3 y 4 del presente artículo” (Énfasis fuera de texto), norma que sustituye el derogado numeral 1 del artículo 24 de la Ley 80 de 1993 sobre el principio de transparencia</w:t>
      </w:r>
      <w:r w:rsidRPr="00502533">
        <w:rPr>
          <w:rFonts w:ascii="Verdana" w:hAnsi="Verdana" w:cs="Arial"/>
          <w:bCs/>
          <w:vertAlign w:val="superscript"/>
          <w:lang w:val="es-MX"/>
        </w:rPr>
        <w:footnoteReference w:id="7"/>
      </w:r>
      <w:r w:rsidRPr="00502533">
        <w:rPr>
          <w:rFonts w:ascii="Verdana" w:hAnsi="Verdana" w:cs="Arial"/>
          <w:bCs/>
          <w:lang w:val="es-MX"/>
        </w:rPr>
        <w:t>. Así, salvo norma especial que ordene la celebración del negocio jurídico por selección abreviada, concurso de méritos, mínima cuantía o contratación directa, debe aplicarse la regla general de licitación pública</w:t>
      </w:r>
      <w:r w:rsidRPr="00502533">
        <w:rPr>
          <w:rFonts w:ascii="Verdana" w:hAnsi="Verdana" w:cs="Arial"/>
          <w:bCs/>
          <w:vertAlign w:val="superscript"/>
          <w:lang w:val="es-MX"/>
        </w:rPr>
        <w:footnoteReference w:id="8"/>
      </w:r>
      <w:r w:rsidRPr="00502533">
        <w:rPr>
          <w:rFonts w:ascii="Verdana" w:hAnsi="Verdana" w:cs="Arial"/>
          <w:bCs/>
          <w:lang w:val="es-MX"/>
        </w:rPr>
        <w:t>.</w:t>
      </w:r>
    </w:p>
    <w:bookmarkEnd w:id="8"/>
    <w:p w14:paraId="6FB2036F" w14:textId="77777777" w:rsidR="008E43E4" w:rsidRPr="00502533" w:rsidRDefault="00BA0FEE" w:rsidP="008E43E4">
      <w:pPr>
        <w:pStyle w:val="Textoindependiente"/>
        <w:jc w:val="both"/>
        <w:rPr>
          <w:rFonts w:ascii="Verdana" w:hAnsi="Verdana"/>
          <w:lang w:val="es-ES_tradnl"/>
        </w:rPr>
      </w:pPr>
      <w:r w:rsidRPr="00502533">
        <w:rPr>
          <w:rFonts w:ascii="Verdana" w:hAnsi="Verdana"/>
        </w:rPr>
        <w:t xml:space="preserve">iii. </w:t>
      </w:r>
      <w:r w:rsidR="008E43E4" w:rsidRPr="00502533">
        <w:rPr>
          <w:rFonts w:ascii="Verdana" w:hAnsi="Verdana"/>
          <w:lang w:val="es-ES_tradnl"/>
        </w:rPr>
        <w:t>Con excepción de los procedimientos regidos por documentos tipo, existe un margen de discrecionalidad para definir el contenido del pliego de condiciones o documento equivalente</w:t>
      </w:r>
      <w:r w:rsidR="008E43E4" w:rsidRPr="00502533">
        <w:rPr>
          <w:rStyle w:val="Refdenotaalpie"/>
          <w:rFonts w:ascii="Verdana" w:eastAsia="Times New Roman" w:hAnsi="Verdana" w:cs="Arial"/>
          <w:color w:val="000000" w:themeColor="text1"/>
        </w:rPr>
        <w:footnoteReference w:id="9"/>
      </w:r>
      <w:r w:rsidR="008E43E4" w:rsidRPr="00502533">
        <w:rPr>
          <w:rFonts w:ascii="Verdana" w:hAnsi="Verdana"/>
          <w:lang w:val="es-ES_tradnl"/>
        </w:rPr>
        <w:t xml:space="preserve">. Salvo los detalles que se encuentren reglados en la </w:t>
      </w:r>
      <w:r w:rsidR="008E43E4" w:rsidRPr="00502533">
        <w:rPr>
          <w:rFonts w:ascii="Verdana" w:hAnsi="Verdana"/>
          <w:lang w:val="es-ES_tradnl"/>
        </w:rPr>
        <w:lastRenderedPageBreak/>
        <w:t>actuación administrativa, esto implica libertad de las entidades para determinar varios aspectos del proceso de selección. Lo anterior en la medida que no existen potestades completamente discrecionales, por lo que dichos elementos reglados son una limitación efectiva a la libertad de configuración.</w:t>
      </w:r>
    </w:p>
    <w:p w14:paraId="4A9C72E1" w14:textId="77777777" w:rsidR="00E80DAB" w:rsidRPr="00502533" w:rsidRDefault="008E43E4" w:rsidP="00E80DAB">
      <w:pPr>
        <w:pStyle w:val="Textoindependiente"/>
        <w:ind w:firstLine="709"/>
        <w:jc w:val="both"/>
        <w:rPr>
          <w:rFonts w:ascii="Verdana" w:eastAsia="Calibri" w:hAnsi="Verdana" w:cs="Arial"/>
          <w:color w:val="000000" w:themeColor="text1"/>
        </w:rPr>
      </w:pPr>
      <w:r w:rsidRPr="00502533">
        <w:rPr>
          <w:rFonts w:ascii="Verdana" w:hAnsi="Verdana"/>
          <w:lang w:val="es-ES_tradnl"/>
        </w:rPr>
        <w:t xml:space="preserve">Conforme </w:t>
      </w:r>
      <w:r w:rsidRPr="00502533">
        <w:rPr>
          <w:rFonts w:ascii="Verdana" w:eastAsia="Calibri" w:hAnsi="Verdana" w:cs="Arial"/>
          <w:color w:val="000000" w:themeColor="text1"/>
        </w:rPr>
        <w:t>al inciso final del artículo 2 de la Ley 1437 de 2011 y la remisión del inciso primero del artículo 77 de la Ley 80 de 1993 a las normas que rigen los procedimientos y actuaciones en la función administrativa, es necesario tener cuenta que el artículo 44 del Código de Procedimiento Administrativo y de lo Contencioso Administrativo dispone lo siguiente: “En la medida en que el contenido de una decisión de carácter general o particular sea discrecional, debe ser adecuada a los fines de la norma que la autoriza, y proporcional a los hechos que le sirven de causa”. Asimismo, dado que el pliego de condiciones establece las bases del proceso de selección, tiene fuerza vinculante respecto a la entidad que lo expide por su naturaleza jurídica como acto administrativo</w:t>
      </w:r>
      <w:r w:rsidRPr="00502533">
        <w:rPr>
          <w:rStyle w:val="Refdenotaalpie"/>
          <w:rFonts w:ascii="Verdana" w:eastAsia="Calibri" w:hAnsi="Verdana" w:cs="Arial"/>
          <w:color w:val="000000" w:themeColor="text1"/>
        </w:rPr>
        <w:footnoteReference w:id="10"/>
      </w:r>
      <w:r w:rsidRPr="00502533">
        <w:rPr>
          <w:rFonts w:ascii="Verdana" w:eastAsia="Calibri" w:hAnsi="Verdana" w:cs="Arial"/>
          <w:color w:val="000000" w:themeColor="text1"/>
        </w:rPr>
        <w:t xml:space="preserve">. </w:t>
      </w:r>
    </w:p>
    <w:p w14:paraId="037ACEF7" w14:textId="5A109E79" w:rsidR="00E80DAB" w:rsidRPr="00502533" w:rsidRDefault="00E80DAB" w:rsidP="00E80DAB">
      <w:pPr>
        <w:pStyle w:val="Textoindependiente"/>
        <w:ind w:firstLine="709"/>
        <w:jc w:val="both"/>
        <w:rPr>
          <w:rFonts w:ascii="Verdana" w:eastAsia="Calibri" w:hAnsi="Verdana" w:cs="Arial"/>
          <w:color w:val="000000" w:themeColor="text1"/>
        </w:rPr>
      </w:pPr>
      <w:r w:rsidRPr="00502533">
        <w:rPr>
          <w:rFonts w:ascii="Verdana" w:eastAsia="Calibri" w:hAnsi="Verdana" w:cs="Arial"/>
          <w:color w:val="000000" w:themeColor="text1"/>
        </w:rPr>
        <w:t xml:space="preserve">En virtud de lo expuesto, para responder a la consulta planteada debe señalarse, en </w:t>
      </w:r>
      <w:r w:rsidRPr="00502533">
        <w:rPr>
          <w:rFonts w:ascii="Verdana" w:eastAsia="Calibri" w:hAnsi="Verdana" w:cs="Arial"/>
          <w:i/>
          <w:iCs/>
          <w:color w:val="000000" w:themeColor="text1"/>
        </w:rPr>
        <w:t>primer lugar</w:t>
      </w:r>
      <w:r w:rsidRPr="00502533">
        <w:rPr>
          <w:rFonts w:ascii="Verdana" w:eastAsia="Calibri" w:hAnsi="Verdana" w:cs="Arial"/>
          <w:color w:val="000000" w:themeColor="text1"/>
        </w:rPr>
        <w:t>, que la modalidad de selección más adecuada para la contratación del transporte de materiales dependerá del análisis que realice la Entidad Estatal, conforme a las características específicas del proceso. Respecto al contrato de obra, es preciso advertir que el servicio de transporte de materiales no encuadra dentro de esta tipología contractual, definida en el artículo 32 de la Ley 80 de 1993. El legislador limitó la naturaleza de estos contratos a la ejecución de trabajos materiales sobre bienes inmuebles, sin importar su modalidad de ejecución o pago.</w:t>
      </w:r>
    </w:p>
    <w:p w14:paraId="19628B69" w14:textId="77777777" w:rsidR="00E80DAB" w:rsidRPr="00502533" w:rsidRDefault="00E80DAB" w:rsidP="00D33CF1">
      <w:pPr>
        <w:spacing w:before="120" w:line="276" w:lineRule="auto"/>
        <w:ind w:firstLine="708"/>
        <w:jc w:val="both"/>
        <w:rPr>
          <w:rFonts w:ascii="Verdana" w:eastAsia="Calibri" w:hAnsi="Verdana" w:cs="Arial"/>
          <w:color w:val="000000" w:themeColor="text1"/>
          <w:lang w:eastAsia="es-CO"/>
        </w:rPr>
      </w:pPr>
      <w:r w:rsidRPr="00502533">
        <w:rPr>
          <w:rFonts w:ascii="Verdana" w:eastAsia="Calibri" w:hAnsi="Verdana" w:cs="Arial"/>
          <w:color w:val="000000" w:themeColor="text1"/>
          <w:lang w:eastAsia="es-CO"/>
        </w:rPr>
        <w:t xml:space="preserve">No obstante, cuando el objeto contractual incluya obras, bienes o servicios adicionales, el transporte de materiales puede incorporarse como actividad accesoria o complementaria, siempre que sea funcional para la ejecución de la obra principal, no desvirtúe la naturaleza del contrato y no se convierta en su objeto principal. En todo caso, este aspecto debe abordarse técnicamente en los </w:t>
      </w:r>
      <w:r w:rsidRPr="00502533">
        <w:rPr>
          <w:rFonts w:ascii="Verdana" w:eastAsia="Calibri" w:hAnsi="Verdana" w:cs="Arial"/>
          <w:color w:val="000000" w:themeColor="text1"/>
          <w:lang w:eastAsia="es-CO"/>
        </w:rPr>
        <w:lastRenderedPageBreak/>
        <w:t xml:space="preserve">estudios previos y quedar expresamente previsto en los pliegos de condiciones o documento equivalente. </w:t>
      </w:r>
    </w:p>
    <w:p w14:paraId="13669F1D" w14:textId="52B9CD95" w:rsidR="00E80DAB" w:rsidRPr="00502533" w:rsidRDefault="00E80DAB" w:rsidP="00821933">
      <w:pPr>
        <w:spacing w:before="120" w:line="276" w:lineRule="auto"/>
        <w:ind w:firstLine="708"/>
        <w:jc w:val="both"/>
        <w:rPr>
          <w:rFonts w:ascii="Verdana" w:eastAsia="Calibri" w:hAnsi="Verdana" w:cs="Arial"/>
          <w:color w:val="000000" w:themeColor="text1"/>
          <w:lang w:eastAsia="es-CO"/>
        </w:rPr>
      </w:pPr>
      <w:r w:rsidRPr="00502533">
        <w:rPr>
          <w:rFonts w:ascii="Verdana" w:eastAsia="Calibri" w:hAnsi="Verdana" w:cs="Arial"/>
          <w:color w:val="000000" w:themeColor="text1"/>
          <w:lang w:eastAsia="es-CO"/>
        </w:rPr>
        <w:t>En cuanto a las consideraciones jurídicas y técnicas, corresponde a las Entidades Estatales definirlas en ejercicio de la autonomía de la contratación, observando siempre un análisis de planeación integral y suficiente que sirva de fundamento técnico, jurídico y financiero para la decisión de adelantar el proceso. Dicho análisis debe garantizar transparencia, eficiencia y adecuada gestión del riesgo.</w:t>
      </w:r>
      <w:r w:rsidR="00821933" w:rsidRPr="00502533">
        <w:rPr>
          <w:rFonts w:ascii="Verdana" w:eastAsia="Calibri" w:hAnsi="Verdana" w:cs="Arial"/>
          <w:color w:val="000000" w:themeColor="text1"/>
          <w:lang w:eastAsia="es-CO"/>
        </w:rPr>
        <w:t xml:space="preserve"> </w:t>
      </w:r>
      <w:r w:rsidRPr="00502533">
        <w:rPr>
          <w:rFonts w:ascii="Verdana" w:eastAsia="Calibri" w:hAnsi="Verdana" w:cs="Arial"/>
          <w:color w:val="000000" w:themeColor="text1"/>
          <w:lang w:eastAsia="es-CO"/>
        </w:rPr>
        <w:t>Finalmente, la inclusión del transporte de materiales —ya sea dentro del contrato de obra o mediante contratación independiente— constituye una decisión que debe adoptarse en los estudios previos, con base en un análisis técnico, jurídico y económico que lo justifique, y siempre en atención a los principios de economía, transparencia y planeación.</w:t>
      </w:r>
    </w:p>
    <w:p w14:paraId="325496C3" w14:textId="77777777" w:rsidR="008E43E4" w:rsidRPr="00502533" w:rsidRDefault="008E43E4" w:rsidP="008E43E4">
      <w:pPr>
        <w:widowControl w:val="0"/>
        <w:autoSpaceDE w:val="0"/>
        <w:autoSpaceDN w:val="0"/>
        <w:spacing w:after="120" w:line="276" w:lineRule="auto"/>
        <w:ind w:firstLine="708"/>
        <w:jc w:val="both"/>
        <w:rPr>
          <w:rFonts w:ascii="Verdana" w:hAnsi="Verdana" w:cs="Arial"/>
          <w:lang w:eastAsia="es-ES"/>
        </w:rPr>
      </w:pPr>
      <w:r w:rsidRPr="00502533">
        <w:rPr>
          <w:rFonts w:ascii="Verdana" w:hAnsi="Verdana" w:cs="Arial"/>
          <w:lang w:eastAsia="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1C090DB" w14:textId="2F99304B" w:rsidR="00600026" w:rsidRPr="00502533" w:rsidRDefault="008E43E4" w:rsidP="002A69DE">
      <w:pPr>
        <w:widowControl w:val="0"/>
        <w:autoSpaceDE w:val="0"/>
        <w:autoSpaceDN w:val="0"/>
        <w:spacing w:after="0" w:line="276" w:lineRule="auto"/>
        <w:ind w:firstLine="708"/>
        <w:jc w:val="both"/>
        <w:rPr>
          <w:rFonts w:ascii="Verdana" w:hAnsi="Verdana" w:cs="Arial"/>
          <w:lang w:eastAsia="es-ES"/>
        </w:rPr>
      </w:pPr>
      <w:r w:rsidRPr="00502533">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002A69DE" w:rsidRPr="00502533">
        <w:rPr>
          <w:rFonts w:ascii="Verdana" w:hAnsi="Verdana" w:cs="Arial"/>
          <w:lang w:eastAsia="es-ES"/>
        </w:rPr>
        <w:t>.</w:t>
      </w:r>
    </w:p>
    <w:p w14:paraId="2FBC67E7" w14:textId="77777777" w:rsidR="002A69DE" w:rsidRPr="00502533" w:rsidRDefault="002A69DE" w:rsidP="002A69DE">
      <w:pPr>
        <w:widowControl w:val="0"/>
        <w:autoSpaceDE w:val="0"/>
        <w:autoSpaceDN w:val="0"/>
        <w:spacing w:after="0" w:line="276" w:lineRule="auto"/>
        <w:ind w:firstLine="708"/>
        <w:jc w:val="both"/>
        <w:rPr>
          <w:rFonts w:ascii="Verdana" w:hAnsi="Verdana" w:cs="Arial"/>
          <w:lang w:eastAsia="es-ES"/>
        </w:rPr>
      </w:pPr>
    </w:p>
    <w:p w14:paraId="4381EB5D" w14:textId="77777777" w:rsidR="00600026" w:rsidRPr="00502533" w:rsidRDefault="00600026" w:rsidP="00600026">
      <w:pPr>
        <w:pStyle w:val="Prrafodelista"/>
        <w:numPr>
          <w:ilvl w:val="0"/>
          <w:numId w:val="18"/>
        </w:numPr>
        <w:tabs>
          <w:tab w:val="left" w:pos="142"/>
          <w:tab w:val="left" w:pos="284"/>
        </w:tabs>
        <w:spacing w:after="0" w:line="276" w:lineRule="auto"/>
        <w:ind w:left="360"/>
        <w:contextualSpacing w:val="0"/>
        <w:jc w:val="both"/>
        <w:rPr>
          <w:rFonts w:ascii="Verdana" w:eastAsia="Century Gothic" w:hAnsi="Verdana" w:cs="Century Gothic"/>
          <w:b/>
          <w:bCs/>
        </w:rPr>
      </w:pPr>
      <w:r w:rsidRPr="00502533">
        <w:rPr>
          <w:rFonts w:ascii="Verdana" w:eastAsia="Century Gothic" w:hAnsi="Verdana" w:cs="Century Gothic"/>
          <w:b/>
          <w:bCs/>
        </w:rPr>
        <w:t>Referencias normativas, jurisprudenciales y otras fuentes:</w:t>
      </w:r>
    </w:p>
    <w:p w14:paraId="6A2F2566" w14:textId="77777777" w:rsidR="00600026" w:rsidRPr="00502533" w:rsidRDefault="00600026" w:rsidP="00600026">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00026" w:rsidRPr="00502533" w14:paraId="3BC76C8F" w14:textId="77777777" w:rsidTr="00581ED2">
        <w:trPr>
          <w:trHeight w:val="870"/>
        </w:trPr>
        <w:tc>
          <w:tcPr>
            <w:tcW w:w="8647" w:type="dxa"/>
          </w:tcPr>
          <w:p w14:paraId="2DBAB95C" w14:textId="3ACFA769" w:rsidR="00600026" w:rsidRPr="00502533" w:rsidRDefault="00600026" w:rsidP="00581ED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502533">
              <w:rPr>
                <w:rFonts w:ascii="Verdana" w:eastAsia="Arial MT" w:hAnsi="Verdana" w:cs="Arial"/>
                <w:lang w:val="es-ES" w:eastAsia="es-ES" w:bidi="es-ES"/>
              </w:rPr>
              <w:lastRenderedPageBreak/>
              <w:t xml:space="preserve">Constitución Política, </w:t>
            </w:r>
            <w:r w:rsidR="00C45F92" w:rsidRPr="00502533">
              <w:rPr>
                <w:rFonts w:ascii="Verdana" w:eastAsia="Arial MT" w:hAnsi="Verdana" w:cs="Arial"/>
                <w:lang w:val="es-ES" w:eastAsia="es-ES" w:bidi="es-ES"/>
              </w:rPr>
              <w:t>artículo 29</w:t>
            </w:r>
          </w:p>
          <w:p w14:paraId="5BD4C2DB" w14:textId="5987B1CC" w:rsidR="000037F0" w:rsidRPr="00502533" w:rsidRDefault="000037F0" w:rsidP="00581ED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502533">
              <w:rPr>
                <w:rFonts w:ascii="Verdana" w:eastAsia="Arial MT" w:hAnsi="Verdana" w:cs="Arial"/>
                <w:lang w:val="es-ES" w:eastAsia="es-ES" w:bidi="es-ES"/>
              </w:rPr>
              <w:t>Ley 80 de 1993, artículo</w:t>
            </w:r>
            <w:r w:rsidR="00456B98" w:rsidRPr="00502533">
              <w:rPr>
                <w:rFonts w:ascii="Verdana" w:eastAsia="Arial MT" w:hAnsi="Verdana" w:cs="Arial"/>
                <w:lang w:val="es-ES" w:eastAsia="es-ES" w:bidi="es-ES"/>
              </w:rPr>
              <w:t>s</w:t>
            </w:r>
            <w:r w:rsidRPr="00502533">
              <w:rPr>
                <w:rFonts w:ascii="Verdana" w:eastAsia="Arial MT" w:hAnsi="Verdana" w:cs="Arial"/>
                <w:lang w:val="es-ES" w:eastAsia="es-ES" w:bidi="es-ES"/>
              </w:rPr>
              <w:t xml:space="preserve"> 2, 32, </w:t>
            </w:r>
            <w:r w:rsidR="00456B98" w:rsidRPr="00502533">
              <w:rPr>
                <w:rFonts w:ascii="Verdana" w:eastAsia="Arial MT" w:hAnsi="Verdana" w:cs="Arial"/>
                <w:lang w:val="es-ES" w:eastAsia="es-ES" w:bidi="es-ES"/>
              </w:rPr>
              <w:t>77</w:t>
            </w:r>
          </w:p>
          <w:p w14:paraId="2EE48E02" w14:textId="3969B4AB" w:rsidR="00600026" w:rsidRPr="00502533" w:rsidRDefault="007C10E8" w:rsidP="00581ED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502533">
              <w:rPr>
                <w:rFonts w:ascii="Verdana" w:eastAsia="Arial MT" w:hAnsi="Verdana" w:cs="Arial"/>
                <w:lang w:val="es-ES" w:eastAsia="es-ES" w:bidi="es-ES"/>
              </w:rPr>
              <w:t>Ley 1150 de 2007, artículo 2</w:t>
            </w:r>
          </w:p>
          <w:p w14:paraId="1128AC89" w14:textId="77777777" w:rsidR="00600026" w:rsidRPr="00502533" w:rsidRDefault="00600026" w:rsidP="00581ED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502533">
              <w:rPr>
                <w:rFonts w:ascii="Verdana" w:eastAsia="Arial MT" w:hAnsi="Verdana" w:cs="Arial"/>
                <w:lang w:val="es-ES" w:eastAsia="es-ES" w:bidi="es-ES"/>
              </w:rPr>
              <w:t>Ley 80 de 1993, artículo 2.</w:t>
            </w:r>
          </w:p>
          <w:p w14:paraId="3928ACD1" w14:textId="673E0619" w:rsidR="00505661" w:rsidRPr="00502533" w:rsidRDefault="00505661" w:rsidP="00581ED2">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502533">
              <w:rPr>
                <w:rFonts w:ascii="Verdana" w:eastAsia="Arial MT" w:hAnsi="Verdana" w:cs="Arial"/>
                <w:lang w:val="es-ES" w:eastAsia="es-ES" w:bidi="es-ES"/>
              </w:rPr>
              <w:t>Ley 1474 de 2011</w:t>
            </w:r>
            <w:r w:rsidR="00706A89" w:rsidRPr="00502533">
              <w:rPr>
                <w:rFonts w:ascii="Verdana" w:eastAsia="Arial MT" w:hAnsi="Verdana" w:cs="Arial"/>
                <w:lang w:val="es-ES" w:eastAsia="es-ES" w:bidi="es-ES"/>
              </w:rPr>
              <w:t>.</w:t>
            </w:r>
          </w:p>
          <w:p w14:paraId="6A83CCBB" w14:textId="4C52D1A5" w:rsidR="00F71C12" w:rsidRPr="00502533" w:rsidRDefault="00F71C12" w:rsidP="00581ED2">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502533">
              <w:rPr>
                <w:rFonts w:ascii="Verdana" w:eastAsia="Calibri" w:hAnsi="Verdana" w:cs="Arial"/>
                <w:color w:val="000000" w:themeColor="text1"/>
              </w:rPr>
              <w:t>Ley 1437 de 2011, artículo 2.</w:t>
            </w:r>
          </w:p>
          <w:p w14:paraId="456031EB" w14:textId="199AB386" w:rsidR="00505661" w:rsidRPr="00502533" w:rsidRDefault="00505661" w:rsidP="00581ED2">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502533">
              <w:rPr>
                <w:rFonts w:ascii="Verdana" w:eastAsia="Arial MT" w:hAnsi="Verdana" w:cs="Arial"/>
                <w:lang w:val="es-ES" w:eastAsia="es-ES" w:bidi="es-ES"/>
              </w:rPr>
              <w:t>Código Civil</w:t>
            </w:r>
            <w:r w:rsidR="001276D5" w:rsidRPr="00502533">
              <w:rPr>
                <w:rFonts w:ascii="Verdana" w:eastAsia="Arial MT" w:hAnsi="Verdana" w:cs="Arial"/>
                <w:lang w:val="es-ES" w:eastAsia="es-ES" w:bidi="es-ES"/>
              </w:rPr>
              <w:t xml:space="preserve">, artículos </w:t>
            </w:r>
            <w:r w:rsidR="001276D5" w:rsidRPr="00502533">
              <w:rPr>
                <w:rFonts w:ascii="Verdana" w:eastAsia="Calibri" w:hAnsi="Verdana" w:cs="Arial"/>
                <w:color w:val="000000" w:themeColor="text1"/>
                <w:lang w:val="es-ES" w:eastAsia="es-ES" w:bidi="es-ES"/>
              </w:rPr>
              <w:t xml:space="preserve">2053, </w:t>
            </w:r>
            <w:r w:rsidR="003A28C5" w:rsidRPr="00502533">
              <w:rPr>
                <w:rFonts w:ascii="Verdana" w:eastAsia="Arial MT" w:hAnsi="Verdana" w:cs="Arial"/>
                <w:lang w:val="es-ES" w:eastAsia="es-ES" w:bidi="es-ES"/>
              </w:rPr>
              <w:t>2060 y 2061.</w:t>
            </w:r>
          </w:p>
          <w:p w14:paraId="3787DF33" w14:textId="1F827B2F" w:rsidR="00456B98" w:rsidRPr="00502533" w:rsidRDefault="00456B98" w:rsidP="00581ED2">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502533">
              <w:rPr>
                <w:rFonts w:ascii="Verdana" w:eastAsia="Calibri" w:hAnsi="Verdana" w:cs="Arial"/>
                <w:color w:val="000000" w:themeColor="text1"/>
              </w:rPr>
              <w:t>Código de Procedimiento Administrativo y de lo Contencioso Administrativo, artículo 44.</w:t>
            </w:r>
          </w:p>
          <w:p w14:paraId="2A5D809C" w14:textId="77777777" w:rsidR="00600026" w:rsidRPr="00502533" w:rsidRDefault="007A17E2" w:rsidP="00581ED2">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502533">
              <w:rPr>
                <w:rFonts w:ascii="Verdana" w:hAnsi="Verdana" w:cs="Arial"/>
              </w:rPr>
              <w:t>CONSEJO DE ESTADO. Sala de Consulta y Servicio Civil. Concepto del 5 de septiembre de 2018. Rad. 2.386. C.P. Edgar González López.</w:t>
            </w:r>
          </w:p>
          <w:p w14:paraId="7C25821F" w14:textId="7104E128" w:rsidR="00196804" w:rsidRPr="00502533" w:rsidRDefault="00196804" w:rsidP="00581ED2">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502533">
              <w:rPr>
                <w:rFonts w:ascii="Verdana" w:hAnsi="Verdana" w:cs="Arial"/>
              </w:rPr>
              <w:t>CONSEJO DE ESTADO. Sección Tercera. Subsección A. Sentencia del 23 de julio de 2015. Exp. 36.805. C. P. Hernán Andrade Rincón.</w:t>
            </w:r>
          </w:p>
          <w:p w14:paraId="065B5299" w14:textId="77777777" w:rsidR="00DE1643" w:rsidRPr="00502533" w:rsidRDefault="00DE1643" w:rsidP="00581ED2">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502533">
              <w:rPr>
                <w:rFonts w:ascii="Verdana" w:hAnsi="Verdana" w:cs="Arial"/>
              </w:rPr>
              <w:t>CONSEJO DE ESTADO. Sección Tercera. Sentencia del 23 de junio de 2010. Rad. 16.367. C.P. Enrique Gil Botero</w:t>
            </w:r>
          </w:p>
          <w:p w14:paraId="39931B1C" w14:textId="1554EB23" w:rsidR="005A4F79" w:rsidRPr="00502533" w:rsidRDefault="005A4F79" w:rsidP="00581ED2">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502533">
              <w:rPr>
                <w:rFonts w:ascii="Verdana" w:hAnsi="Verdana" w:cs="Arial"/>
              </w:rPr>
              <w:t>CORTE CONSTITUCIONAL. Sentencia C-400 de 1999, con ponencia del Magistrado Vladimir Naranjo Mesa</w:t>
            </w:r>
            <w:r w:rsidR="00C605DE" w:rsidRPr="00502533">
              <w:rPr>
                <w:rFonts w:ascii="Verdana" w:hAnsi="Verdana" w:cs="Arial"/>
              </w:rPr>
              <w:t>.</w:t>
            </w:r>
          </w:p>
          <w:p w14:paraId="4571DA10" w14:textId="75CD686A" w:rsidR="00C605DE" w:rsidRPr="00502533" w:rsidRDefault="00C605DE" w:rsidP="00581ED2">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502533">
              <w:rPr>
                <w:rFonts w:ascii="Verdana" w:hAnsi="Verdana" w:cs="Arial"/>
              </w:rPr>
              <w:t xml:space="preserve">CONGRESO DE LA REPÚBLICA. Exposición de motivos de la Ley 1150 de 2007. Gaceta del Congreso No. 458 del 1º de agosto de 2005. </w:t>
            </w:r>
          </w:p>
        </w:tc>
      </w:tr>
    </w:tbl>
    <w:p w14:paraId="6C9C6E22" w14:textId="77777777" w:rsidR="00600026" w:rsidRPr="00502533" w:rsidRDefault="00600026" w:rsidP="00600026">
      <w:pPr>
        <w:widowControl w:val="0"/>
        <w:autoSpaceDE w:val="0"/>
        <w:autoSpaceDN w:val="0"/>
        <w:spacing w:after="0" w:line="276" w:lineRule="auto"/>
        <w:jc w:val="both"/>
        <w:rPr>
          <w:rFonts w:ascii="Verdana" w:hAnsi="Verdana" w:cs="Arial"/>
          <w:highlight w:val="cyan"/>
        </w:rPr>
      </w:pPr>
    </w:p>
    <w:p w14:paraId="4839F36E" w14:textId="77777777" w:rsidR="00600026" w:rsidRPr="00502533" w:rsidRDefault="00600026" w:rsidP="00600026">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Arial"/>
          <w:b/>
          <w:bCs/>
        </w:rPr>
      </w:pPr>
      <w:r w:rsidRPr="00502533">
        <w:rPr>
          <w:rFonts w:ascii="Verdana" w:eastAsia="Century Gothic" w:hAnsi="Verdana" w:cs="Arial"/>
          <w:b/>
          <w:bCs/>
        </w:rPr>
        <w:t>Doctrina de la Agencia Nacional de Contratación Pública:</w:t>
      </w:r>
    </w:p>
    <w:p w14:paraId="723C9E25" w14:textId="77777777" w:rsidR="00600026" w:rsidRPr="00502533" w:rsidRDefault="00600026" w:rsidP="00600026">
      <w:pPr>
        <w:widowControl w:val="0"/>
        <w:autoSpaceDE w:val="0"/>
        <w:autoSpaceDN w:val="0"/>
        <w:spacing w:after="0" w:line="276" w:lineRule="auto"/>
        <w:jc w:val="both"/>
        <w:rPr>
          <w:rFonts w:ascii="Verdana" w:hAnsi="Verdana" w:cs="Arial"/>
          <w:highlight w:val="cyan"/>
        </w:rPr>
      </w:pPr>
    </w:p>
    <w:p w14:paraId="061574DE" w14:textId="4A5C7C16" w:rsidR="00600026" w:rsidRPr="00502533" w:rsidRDefault="007F6F9F" w:rsidP="00600026">
      <w:pPr>
        <w:widowControl w:val="0"/>
        <w:autoSpaceDE w:val="0"/>
        <w:autoSpaceDN w:val="0"/>
        <w:spacing w:after="120" w:line="276" w:lineRule="auto"/>
        <w:jc w:val="both"/>
        <w:rPr>
          <w:rFonts w:ascii="Verdana" w:hAnsi="Verdana" w:cs="Arial"/>
          <w:color w:val="000000"/>
        </w:rPr>
      </w:pPr>
      <w:r w:rsidRPr="00502533">
        <w:rPr>
          <w:rStyle w:val="normaltextrun"/>
          <w:rFonts w:ascii="Verdana" w:hAnsi="Verdana" w:cs="Arial"/>
          <w:shd w:val="clear" w:color="auto" w:fill="FFFFFF"/>
          <w:lang w:val="es-ES"/>
        </w:rPr>
        <w:t>Esta Subdirección se ha pronunciado sobre el objeto y las características del contrato de obra pública en los Conceptos 4201913000008014 del 24 de diciembre del año 2019, C-530 del 13 de agosto de 2020</w:t>
      </w:r>
      <w:r w:rsidR="009F4D6B" w:rsidRPr="00502533">
        <w:rPr>
          <w:rStyle w:val="normaltextrun"/>
          <w:rFonts w:ascii="Verdana" w:hAnsi="Verdana" w:cs="Arial"/>
          <w:shd w:val="clear" w:color="auto" w:fill="FFFFFF"/>
          <w:lang w:val="es-ES"/>
        </w:rPr>
        <w:t xml:space="preserve">, </w:t>
      </w:r>
      <w:r w:rsidRPr="00502533">
        <w:rPr>
          <w:rStyle w:val="normaltextrun"/>
          <w:rFonts w:ascii="Verdana" w:hAnsi="Verdana" w:cs="Arial"/>
          <w:shd w:val="clear" w:color="auto" w:fill="FFFFFF"/>
          <w:lang w:val="es-ES"/>
        </w:rPr>
        <w:t>C-038 del 5 de abril de 2021</w:t>
      </w:r>
      <w:r w:rsidR="006C61AE" w:rsidRPr="00502533">
        <w:rPr>
          <w:rStyle w:val="normaltextrun"/>
          <w:rFonts w:ascii="Verdana" w:hAnsi="Verdana" w:cs="Arial"/>
          <w:shd w:val="clear" w:color="auto" w:fill="FFFFFF"/>
          <w:lang w:val="es-ES"/>
        </w:rPr>
        <w:t xml:space="preserve">, C-119 del 19 julio del 2024 </w:t>
      </w:r>
      <w:r w:rsidR="00857297" w:rsidRPr="00502533">
        <w:rPr>
          <w:rStyle w:val="normaltextrun"/>
          <w:rFonts w:ascii="Verdana" w:hAnsi="Verdana" w:cs="Arial"/>
          <w:shd w:val="clear" w:color="auto" w:fill="FFFFFF"/>
          <w:lang w:val="es-ES"/>
        </w:rPr>
        <w:t>y C-302 del 08 de agosto del 2024</w:t>
      </w:r>
      <w:r w:rsidRPr="00502533">
        <w:rPr>
          <w:rStyle w:val="normaltextrun"/>
          <w:rFonts w:ascii="Verdana" w:hAnsi="Verdana" w:cs="Arial"/>
          <w:shd w:val="clear" w:color="auto" w:fill="FFFFFF"/>
          <w:lang w:val="es-ES"/>
        </w:rPr>
        <w:t xml:space="preserve">. </w:t>
      </w:r>
      <w:r w:rsidR="004A3F6C" w:rsidRPr="00502533">
        <w:rPr>
          <w:rStyle w:val="normaltextrun"/>
          <w:rFonts w:ascii="Verdana" w:hAnsi="Verdana" w:cs="Arial"/>
          <w:shd w:val="clear" w:color="auto" w:fill="FFFFFF"/>
          <w:lang w:val="es-ES"/>
        </w:rPr>
        <w:t xml:space="preserve">Igualmente, </w:t>
      </w:r>
      <w:r w:rsidR="00733E81" w:rsidRPr="00502533">
        <w:rPr>
          <w:rStyle w:val="normaltextrun"/>
          <w:rFonts w:ascii="Verdana" w:hAnsi="Verdana" w:cs="Arial"/>
          <w:shd w:val="clear" w:color="auto" w:fill="FFFFFF"/>
          <w:lang w:val="es-ES"/>
        </w:rPr>
        <w:t xml:space="preserve">ha realizado análisis sobre el objeto y las características de los procesos de selección en el Concepto C-106 del 28 de mayo de 2024. </w:t>
      </w:r>
      <w:r w:rsidR="000A14DD" w:rsidRPr="00502533">
        <w:rPr>
          <w:rStyle w:val="normaltextrun"/>
          <w:rFonts w:ascii="Verdana" w:hAnsi="Verdana" w:cs="Arial"/>
          <w:shd w:val="clear" w:color="auto" w:fill="FFFFFF"/>
          <w:lang w:val="es-ES"/>
        </w:rPr>
        <w:t>Igualmente ha analizado el objeto y las características de los procesos de selección en los conceptos Nro. C-106 del 28 de mayo de 2024 y C-</w:t>
      </w:r>
      <w:r w:rsidR="00BC258B" w:rsidRPr="00502533">
        <w:rPr>
          <w:rStyle w:val="normaltextrun"/>
          <w:rFonts w:ascii="Verdana" w:hAnsi="Verdana" w:cs="Arial"/>
          <w:shd w:val="clear" w:color="auto" w:fill="FFFFFF"/>
          <w:lang w:val="es-ES"/>
        </w:rPr>
        <w:t>135 del 30 de julio del 2024.</w:t>
      </w:r>
      <w:r w:rsidR="00600026" w:rsidRPr="00502533">
        <w:rPr>
          <w:rFonts w:ascii="Verdana" w:hAnsi="Verdana" w:cs="Arial"/>
          <w:shd w:val="clear" w:color="auto" w:fill="FFFFFF"/>
          <w:lang w:val="es-ES_tradnl"/>
        </w:rPr>
        <w:t xml:space="preserve">Estos conceptos se encuentran disponibles para consulta en el Sistema de </w:t>
      </w:r>
      <w:r w:rsidR="00600026" w:rsidRPr="00502533">
        <w:rPr>
          <w:rFonts w:ascii="Verdana" w:hAnsi="Verdana" w:cs="Arial"/>
          <w:shd w:val="clear" w:color="auto" w:fill="FFFFFF"/>
          <w:lang w:val="es-ES_tradnl"/>
        </w:rPr>
        <w:lastRenderedPageBreak/>
        <w:t xml:space="preserve">relatoría de la Agencia, al cual puede accederse a través del siguiente enlace: </w:t>
      </w:r>
      <w:hyperlink r:id="rId13" w:history="1">
        <w:r w:rsidR="00600026" w:rsidRPr="00502533">
          <w:rPr>
            <w:rFonts w:ascii="Verdana" w:hAnsi="Verdana" w:cs="Arial"/>
            <w:color w:val="0000FF"/>
            <w:u w:val="single"/>
            <w:shd w:val="clear" w:color="auto" w:fill="FFFFFF"/>
            <w:lang w:val="es-ES_tradnl"/>
          </w:rPr>
          <w:t>https://relatoria.colombiacompra.gov.co/busqueda/conceptos</w:t>
        </w:r>
      </w:hyperlink>
      <w:r w:rsidR="00600026" w:rsidRPr="00502533">
        <w:rPr>
          <w:rFonts w:ascii="Verdana" w:hAnsi="Verdana" w:cs="Arial"/>
          <w:shd w:val="clear" w:color="auto" w:fill="FFFFFF"/>
          <w:lang w:val="es-ES_tradnl"/>
        </w:rPr>
        <w:t xml:space="preserve">. </w:t>
      </w:r>
      <w:r w:rsidR="00600026" w:rsidRPr="00502533">
        <w:rPr>
          <w:rFonts w:ascii="Verdana" w:hAnsi="Verdana" w:cs="Arial"/>
          <w:color w:val="FF0000"/>
          <w:shd w:val="clear" w:color="auto" w:fill="FFFFFF"/>
          <w:lang w:val="es-ES_tradnl"/>
        </w:rPr>
        <w:t xml:space="preserve"> </w:t>
      </w:r>
    </w:p>
    <w:p w14:paraId="6C1060FA" w14:textId="77777777" w:rsidR="005D2FE3" w:rsidRPr="00502533" w:rsidRDefault="00600026" w:rsidP="005D2FE3">
      <w:pPr>
        <w:spacing w:after="120" w:line="276" w:lineRule="auto"/>
        <w:jc w:val="both"/>
        <w:rPr>
          <w:rFonts w:ascii="Verdana" w:hAnsi="Verdana"/>
        </w:rPr>
      </w:pPr>
      <w:r w:rsidRPr="00502533">
        <w:rPr>
          <w:rFonts w:ascii="Verdana" w:hAnsi="Verdana" w:cs="Arial"/>
        </w:rPr>
        <w:t xml:space="preserve">La sostenibilidad no es una opción, es una obligación. Por ello, la Agencia Nacional de Contratación Pública –Colombia Compra Eficiente– te invita a realizar el </w:t>
      </w:r>
      <w:r w:rsidRPr="00502533">
        <w:rPr>
          <w:rFonts w:ascii="Verdana" w:hAnsi="Verdana" w:cs="Arial"/>
          <w:b/>
          <w:bCs/>
        </w:rPr>
        <w:t>Curso de Contratación Pública Sostenible y Socialmente Responsable</w:t>
      </w:r>
      <w:r w:rsidRPr="00502533">
        <w:rPr>
          <w:rFonts w:ascii="Verdana"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502533">
        <w:rPr>
          <w:rFonts w:ascii="Verdana" w:hAnsi="Verdana" w:cs="Arial"/>
        </w:rPr>
        <w:br/>
      </w:r>
      <w:hyperlink r:id="rId14" w:tgtFrame="_new" w:history="1">
        <w:r w:rsidRPr="00502533">
          <w:rPr>
            <w:rStyle w:val="Hipervnculo"/>
            <w:rFonts w:ascii="Verdana" w:hAnsi="Verdana" w:cs="Arial"/>
          </w:rPr>
          <w:t>https://formacionvirtual.colombiacompra.gov.co/mod/page/view.php?id=3718</w:t>
        </w:r>
      </w:hyperlink>
    </w:p>
    <w:p w14:paraId="6C2019BA" w14:textId="77777777" w:rsidR="005D2FE3" w:rsidRPr="00502533" w:rsidRDefault="00600026" w:rsidP="005D2FE3">
      <w:pPr>
        <w:spacing w:after="120" w:line="276" w:lineRule="auto"/>
        <w:jc w:val="both"/>
        <w:rPr>
          <w:rFonts w:ascii="Verdana" w:hAnsi="Verdana" w:cs="Arial"/>
        </w:rPr>
      </w:pPr>
      <w:r w:rsidRPr="00502533">
        <w:rPr>
          <w:rFonts w:ascii="Verdana" w:hAnsi="Verdana" w:cs="Arial"/>
        </w:rPr>
        <w:t xml:space="preserve">De otro lado, te contamos que esta Agencia ha da un paso decisivo en la estandarización y modernización del </w:t>
      </w:r>
      <w:r w:rsidRPr="00502533">
        <w:rPr>
          <w:rFonts w:ascii="Verdana" w:hAnsi="Verdana" w:cs="Arial"/>
          <w:b/>
          <w:bCs/>
        </w:rPr>
        <w:t>sector  social</w:t>
      </w:r>
      <w:r w:rsidRPr="00502533">
        <w:rPr>
          <w:rFonts w:ascii="Verdana" w:hAnsi="Verdana" w:cs="Arial"/>
        </w:rPr>
        <w:t xml:space="preserve"> con la expedición de las </w:t>
      </w:r>
      <w:r w:rsidRPr="00502533">
        <w:rPr>
          <w:rFonts w:ascii="Verdana" w:hAnsi="Verdana" w:cs="Arial"/>
          <w:b/>
          <w:bCs/>
        </w:rPr>
        <w:t>Resoluciones 539, 540, 541, 952 y 953 de 2025</w:t>
      </w:r>
      <w:r w:rsidRPr="00502533">
        <w:rPr>
          <w:rFonts w:ascii="Verdana" w:hAnsi="Verdana" w:cs="Arial"/>
        </w:rPr>
        <w:t xml:space="preserve">, </w:t>
      </w:r>
      <w:r w:rsidRPr="00502533">
        <w:rPr>
          <w:rFonts w:ascii="Verdana" w:hAnsi="Verdana" w:cs="Arial"/>
          <w:b/>
          <w:bCs/>
        </w:rPr>
        <w:t>mediante las cuales adoptó Documentos Tipo</w:t>
      </w:r>
      <w:r w:rsidRPr="00502533">
        <w:rPr>
          <w:rFonts w:ascii="Verdana" w:hAnsi="Verdana" w:cs="Arial"/>
        </w:rPr>
        <w:t xml:space="preserve"> para las modalidades de selección de</w:t>
      </w:r>
      <w:r w:rsidRPr="00502533">
        <w:rPr>
          <w:rFonts w:ascii="Verdana" w:hAnsi="Verdana" w:cs="Arial"/>
          <w:b/>
          <w:bCs/>
        </w:rPr>
        <w:t xml:space="preserve"> licitación pública (versión 2), selección abreviada de menor cuantía, mínima cuantía, consultoría e interventoría</w:t>
      </w:r>
      <w:r w:rsidRPr="00502533">
        <w:rPr>
          <w:rFonts w:ascii="Verdana"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502533">
          <w:rPr>
            <w:rStyle w:val="Hipervnculo"/>
            <w:rFonts w:ascii="Verdana" w:hAnsi="Verdana" w:cs="Arial"/>
          </w:rPr>
          <w:t>https://www.colombiacompra.gov.co/normativa-y-relatoria/documentos-tipo</w:t>
        </w:r>
      </w:hyperlink>
    </w:p>
    <w:p w14:paraId="2C12ECB8" w14:textId="7BDD194A" w:rsidR="00600026" w:rsidRPr="00502533" w:rsidRDefault="00600026" w:rsidP="005D2FE3">
      <w:pPr>
        <w:spacing w:after="120" w:line="276" w:lineRule="auto"/>
        <w:jc w:val="both"/>
        <w:rPr>
          <w:rFonts w:ascii="Verdana" w:hAnsi="Verdana" w:cs="Arial"/>
        </w:rPr>
      </w:pPr>
      <w:r w:rsidRPr="00502533">
        <w:rPr>
          <w:rFonts w:ascii="Verdana" w:hAnsi="Verdana" w:cs="Arial"/>
        </w:rPr>
        <w:t xml:space="preserve">Si quieres conocer más sobre la aplicación de Documentos Tipo puedes consultar la última versión de la </w:t>
      </w:r>
      <w:r w:rsidRPr="00502533">
        <w:rPr>
          <w:rFonts w:ascii="Verdana" w:hAnsi="Verdana" w:cs="Arial"/>
          <w:b/>
          <w:bCs/>
        </w:rPr>
        <w:t>Guía para la comprensión e implementación de los Documentos Tipo de obra pública de infraestructura de transporte</w:t>
      </w:r>
      <w:r w:rsidRPr="00502533">
        <w:rPr>
          <w:rFonts w:ascii="Verdana"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502533">
        <w:rPr>
          <w:rFonts w:ascii="Verdana" w:hAnsi="Verdana" w:cs="Arial"/>
        </w:rPr>
        <w:br/>
      </w:r>
      <w:hyperlink r:id="rId16" w:tgtFrame="_new" w:history="1">
        <w:r w:rsidRPr="00502533">
          <w:rPr>
            <w:rStyle w:val="Hipervnculo"/>
            <w:rFonts w:ascii="Verdana" w:hAnsi="Verdana" w:cs="Arial"/>
          </w:rPr>
          <w:t>https://www.colombiacompra.gov.co/archivos/manual/guia-para-la-comprension-e-implementacion-de-los-documentos-tipo-de-obra-publica-de-infraestructura-de-transporte-bajo-las-diferentes-modalidades-de-contratacion-vigentes</w:t>
        </w:r>
      </w:hyperlink>
    </w:p>
    <w:p w14:paraId="1306138E" w14:textId="77777777" w:rsidR="005D2FE3" w:rsidRPr="00502533" w:rsidRDefault="005D2FE3" w:rsidP="00600026">
      <w:pPr>
        <w:spacing w:after="0" w:line="276" w:lineRule="auto"/>
        <w:jc w:val="both"/>
        <w:rPr>
          <w:rFonts w:ascii="Verdana" w:hAnsi="Verdana" w:cs="Arial"/>
        </w:rPr>
      </w:pPr>
    </w:p>
    <w:p w14:paraId="1F4EDAC0" w14:textId="27E83A01" w:rsidR="00600026" w:rsidRPr="00502533" w:rsidRDefault="00600026" w:rsidP="00600026">
      <w:pPr>
        <w:spacing w:after="0" w:line="276" w:lineRule="auto"/>
        <w:jc w:val="both"/>
        <w:rPr>
          <w:rFonts w:ascii="Verdana" w:hAnsi="Verdana" w:cs="Arial"/>
        </w:rPr>
      </w:pPr>
      <w:r w:rsidRPr="00502533">
        <w:rPr>
          <w:rFonts w:ascii="Verdana" w:hAnsi="Verdana" w:cs="Arial"/>
        </w:rPr>
        <w:lastRenderedPageBreak/>
        <w:t xml:space="preserve">Por último, lo invitamos a seguirnos en las redes sociales en las cuales se difunde información institucional: </w:t>
      </w:r>
    </w:p>
    <w:p w14:paraId="2F2AB39E" w14:textId="77777777" w:rsidR="00600026" w:rsidRPr="00502533" w:rsidRDefault="00600026" w:rsidP="00600026">
      <w:pPr>
        <w:spacing w:after="0" w:line="276" w:lineRule="auto"/>
        <w:jc w:val="both"/>
        <w:rPr>
          <w:rFonts w:ascii="Verdana" w:hAnsi="Verdana" w:cs="Arial"/>
        </w:rPr>
      </w:pPr>
    </w:p>
    <w:p w14:paraId="14399343" w14:textId="77777777" w:rsidR="00600026" w:rsidRPr="00502533" w:rsidRDefault="00600026" w:rsidP="00600026">
      <w:pPr>
        <w:spacing w:after="0" w:line="276" w:lineRule="auto"/>
        <w:jc w:val="both"/>
        <w:rPr>
          <w:rFonts w:ascii="Verdana" w:hAnsi="Verdana" w:cs="Arial"/>
        </w:rPr>
      </w:pPr>
      <w:r w:rsidRPr="00502533">
        <w:rPr>
          <w:rFonts w:ascii="Verdana" w:hAnsi="Verdana" w:cs="Arial"/>
        </w:rPr>
        <w:t xml:space="preserve">Twitter: </w:t>
      </w:r>
      <w:r w:rsidRPr="00502533">
        <w:rPr>
          <w:rStyle w:val="Hipervnculo"/>
          <w:rFonts w:ascii="Verdana" w:hAnsi="Verdana" w:cs="Arial"/>
          <w:color w:val="4472C4" w:themeColor="accent1"/>
        </w:rPr>
        <w:t>@colombiacompra</w:t>
      </w:r>
      <w:r w:rsidRPr="00502533">
        <w:rPr>
          <w:rFonts w:ascii="Verdana" w:hAnsi="Verdana" w:cs="Arial"/>
          <w:color w:val="4472C4" w:themeColor="accent1"/>
        </w:rPr>
        <w:t xml:space="preserve"> </w:t>
      </w:r>
    </w:p>
    <w:p w14:paraId="7FD3232A" w14:textId="77777777" w:rsidR="00600026" w:rsidRPr="00502533" w:rsidRDefault="00600026" w:rsidP="00600026">
      <w:pPr>
        <w:spacing w:after="0" w:line="276" w:lineRule="auto"/>
        <w:jc w:val="both"/>
        <w:rPr>
          <w:rFonts w:ascii="Verdana" w:hAnsi="Verdana" w:cs="Arial"/>
        </w:rPr>
      </w:pPr>
      <w:r w:rsidRPr="00502533">
        <w:rPr>
          <w:rFonts w:ascii="Verdana" w:hAnsi="Verdana" w:cs="Arial"/>
        </w:rPr>
        <w:t xml:space="preserve">Facebook: </w:t>
      </w:r>
      <w:r w:rsidRPr="00502533">
        <w:rPr>
          <w:rStyle w:val="Hipervnculo"/>
          <w:rFonts w:ascii="Verdana" w:hAnsi="Verdana" w:cs="Arial"/>
          <w:color w:val="4472C4" w:themeColor="accent1"/>
        </w:rPr>
        <w:t>ColombiaCompraEficiente</w:t>
      </w:r>
    </w:p>
    <w:p w14:paraId="61F8FA71" w14:textId="77777777" w:rsidR="00600026" w:rsidRPr="00502533" w:rsidRDefault="00600026" w:rsidP="00600026">
      <w:pPr>
        <w:spacing w:after="0" w:line="276" w:lineRule="auto"/>
        <w:jc w:val="both"/>
        <w:rPr>
          <w:rStyle w:val="Hipervnculo"/>
          <w:rFonts w:ascii="Verdana" w:hAnsi="Verdana" w:cs="Arial"/>
          <w:color w:val="4472C4" w:themeColor="accent1"/>
        </w:rPr>
      </w:pPr>
      <w:r w:rsidRPr="00502533">
        <w:rPr>
          <w:rFonts w:ascii="Verdana" w:hAnsi="Verdana" w:cs="Arial"/>
        </w:rPr>
        <w:t xml:space="preserve">LinkedIn: </w:t>
      </w:r>
      <w:r w:rsidRPr="00502533">
        <w:rPr>
          <w:rStyle w:val="Hipervnculo"/>
          <w:rFonts w:ascii="Verdana" w:hAnsi="Verdana" w:cs="Arial"/>
          <w:color w:val="4472C4" w:themeColor="accent1"/>
        </w:rPr>
        <w:t>Agencia Nacional de Contratación Pública - Colombia Compra Eficiente</w:t>
      </w:r>
      <w:r w:rsidRPr="00502533">
        <w:rPr>
          <w:rFonts w:ascii="Verdana" w:hAnsi="Verdana" w:cs="Arial"/>
          <w:color w:val="4472C4" w:themeColor="accent1"/>
        </w:rPr>
        <w:t xml:space="preserve"> </w:t>
      </w:r>
      <w:r w:rsidRPr="00502533">
        <w:rPr>
          <w:rFonts w:ascii="Verdana" w:hAnsi="Verdana" w:cs="Arial"/>
        </w:rPr>
        <w:t xml:space="preserve">Instagram: </w:t>
      </w:r>
      <w:r w:rsidRPr="00502533">
        <w:rPr>
          <w:rStyle w:val="Hipervnculo"/>
          <w:rFonts w:ascii="Verdana" w:hAnsi="Verdana" w:cs="Arial"/>
          <w:color w:val="4472C4" w:themeColor="accent1"/>
        </w:rPr>
        <w:t>@colombiacompraeficiente_cce</w:t>
      </w:r>
    </w:p>
    <w:p w14:paraId="27ACA861" w14:textId="77777777" w:rsidR="00600026" w:rsidRPr="00502533" w:rsidRDefault="00600026" w:rsidP="00600026">
      <w:pPr>
        <w:spacing w:after="0" w:line="276" w:lineRule="auto"/>
        <w:jc w:val="both"/>
        <w:rPr>
          <w:rStyle w:val="Hipervnculo"/>
          <w:rFonts w:ascii="Verdana" w:hAnsi="Verdana" w:cs="Arial"/>
          <w:color w:val="4472C4" w:themeColor="accent1"/>
        </w:rPr>
      </w:pPr>
    </w:p>
    <w:p w14:paraId="25C45739" w14:textId="77777777" w:rsidR="00600026" w:rsidRPr="00502533" w:rsidRDefault="00600026" w:rsidP="00600026">
      <w:pPr>
        <w:widowControl w:val="0"/>
        <w:autoSpaceDE w:val="0"/>
        <w:autoSpaceDN w:val="0"/>
        <w:spacing w:after="0" w:line="276" w:lineRule="auto"/>
        <w:jc w:val="both"/>
        <w:rPr>
          <w:rFonts w:ascii="Verdana" w:hAnsi="Verdana" w:cs="Arial"/>
          <w:lang w:val="es-ES_tradnl"/>
        </w:rPr>
      </w:pPr>
      <w:r w:rsidRPr="00502533">
        <w:rPr>
          <w:rFonts w:ascii="Verdana" w:hAnsi="Verdana" w:cs="Arial"/>
        </w:rPr>
        <w:t xml:space="preserve">Este concepto tiene el alcance previsto en el artículo 28 del Código de Procedimiento Administrativo y de lo Contencioso Administrativo </w:t>
      </w:r>
      <w:r w:rsidRPr="00502533">
        <w:rPr>
          <w:rFonts w:ascii="Verdana" w:hAnsi="Verdana" w:cs="Arial"/>
          <w:lang w:val="es-ES_tradnl"/>
        </w:rPr>
        <w:t>y las expresiones aquí utilizadas con mayúscula inicial deben ser entendidas con el significado que les otorga el artículo 2.2.1.1.1.3.1. del Decreto 1082 de 2015.</w:t>
      </w:r>
    </w:p>
    <w:p w14:paraId="7852F235" w14:textId="77777777" w:rsidR="00600026" w:rsidRPr="00502533" w:rsidRDefault="00600026" w:rsidP="00600026">
      <w:pPr>
        <w:widowControl w:val="0"/>
        <w:autoSpaceDE w:val="0"/>
        <w:autoSpaceDN w:val="0"/>
        <w:spacing w:after="0" w:line="276" w:lineRule="auto"/>
        <w:jc w:val="both"/>
        <w:rPr>
          <w:rFonts w:ascii="Verdana" w:hAnsi="Verdana" w:cs="Arial"/>
        </w:rPr>
      </w:pPr>
    </w:p>
    <w:p w14:paraId="2122C68E" w14:textId="77777777" w:rsidR="00600026" w:rsidRPr="00502533" w:rsidRDefault="00600026" w:rsidP="00600026">
      <w:pPr>
        <w:spacing w:after="0" w:line="276" w:lineRule="auto"/>
        <w:jc w:val="both"/>
        <w:rPr>
          <w:rFonts w:ascii="Verdana" w:hAnsi="Verdana" w:cs="Arial"/>
          <w:lang w:eastAsia="es-CO"/>
        </w:rPr>
      </w:pPr>
      <w:r w:rsidRPr="00502533">
        <w:rPr>
          <w:rFonts w:ascii="Verdana" w:eastAsia="Times New Roman" w:hAnsi="Verdana" w:cs="Arial"/>
          <w:lang w:eastAsia="es-CO"/>
        </w:rPr>
        <w:t>Atentamente,</w:t>
      </w:r>
      <w:r w:rsidRPr="00502533">
        <w:rPr>
          <w:rFonts w:ascii="Verdana" w:hAnsi="Verdana" w:cs="Arial"/>
          <w:lang w:eastAsia="es-CO"/>
        </w:rPr>
        <w:t xml:space="preserve"> </w:t>
      </w:r>
    </w:p>
    <w:p w14:paraId="4E27ED42" w14:textId="7407B648" w:rsidR="00600026" w:rsidRPr="00502533" w:rsidRDefault="006E119E" w:rsidP="00600026">
      <w:pPr>
        <w:spacing w:line="276" w:lineRule="auto"/>
        <w:jc w:val="center"/>
        <w:rPr>
          <w:rFonts w:ascii="Verdana" w:hAnsi="Verdana" w:cs="Arial"/>
          <w:color w:val="000000"/>
          <w:sz w:val="16"/>
          <w:szCs w:val="16"/>
          <w:lang w:val="es-ES_tradnl" w:eastAsia="es-CO"/>
        </w:rPr>
      </w:pPr>
      <w:r w:rsidRPr="004D5C25">
        <w:rPr>
          <w:rFonts w:ascii="Century Gothic" w:hAnsi="Century Gothic"/>
          <w:noProof/>
        </w:rPr>
        <w:drawing>
          <wp:inline distT="0" distB="0" distL="0" distR="0" wp14:anchorId="66E8DFD1" wp14:editId="0EDF31EA">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00026" w:rsidRPr="00502533" w14:paraId="1AE1015F" w14:textId="77777777" w:rsidTr="00581ED2">
        <w:trPr>
          <w:trHeight w:val="315"/>
        </w:trPr>
        <w:tc>
          <w:tcPr>
            <w:tcW w:w="893" w:type="dxa"/>
            <w:vAlign w:val="center"/>
            <w:hideMark/>
          </w:tcPr>
          <w:p w14:paraId="6CC5D53D" w14:textId="77777777" w:rsidR="00600026" w:rsidRPr="00502533" w:rsidRDefault="00600026" w:rsidP="00581ED2">
            <w:pPr>
              <w:contextualSpacing/>
              <w:rPr>
                <w:rFonts w:ascii="Verdana" w:hAnsi="Verdana" w:cs="Arial"/>
                <w:sz w:val="16"/>
                <w:szCs w:val="16"/>
                <w:lang w:val="es-ES" w:eastAsia="es-ES"/>
              </w:rPr>
            </w:pPr>
            <w:r w:rsidRPr="0050253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C92844F" w14:textId="77777777" w:rsidR="00600026" w:rsidRPr="00502533" w:rsidRDefault="00600026" w:rsidP="00581ED2">
            <w:pPr>
              <w:contextualSpacing/>
              <w:rPr>
                <w:rFonts w:ascii="Verdana" w:eastAsia="Arial" w:hAnsi="Verdana" w:cs="Arial"/>
                <w:sz w:val="16"/>
                <w:szCs w:val="16"/>
              </w:rPr>
            </w:pPr>
            <w:r w:rsidRPr="00502533">
              <w:rPr>
                <w:rFonts w:ascii="Verdana" w:eastAsia="Arial" w:hAnsi="Verdana" w:cs="Arial"/>
                <w:sz w:val="16"/>
                <w:szCs w:val="16"/>
              </w:rPr>
              <w:t>Ana María Ortiz Ballesteros</w:t>
            </w:r>
          </w:p>
          <w:p w14:paraId="1BEAD458" w14:textId="77777777" w:rsidR="00600026" w:rsidRPr="00502533" w:rsidRDefault="00600026" w:rsidP="00581ED2">
            <w:pPr>
              <w:contextualSpacing/>
              <w:rPr>
                <w:rFonts w:ascii="Verdana" w:eastAsia="Arial" w:hAnsi="Verdana" w:cs="Arial"/>
                <w:sz w:val="16"/>
                <w:szCs w:val="16"/>
              </w:rPr>
            </w:pPr>
            <w:r w:rsidRPr="00502533">
              <w:rPr>
                <w:rStyle w:val="normaltextrun"/>
                <w:rFonts w:ascii="Verdana" w:eastAsia="Arial" w:hAnsi="Verdana" w:cs="Arial"/>
                <w:sz w:val="16"/>
                <w:szCs w:val="16"/>
              </w:rPr>
              <w:t>C</w:t>
            </w:r>
            <w:r w:rsidRPr="00502533">
              <w:rPr>
                <w:rStyle w:val="normaltextrun"/>
                <w:rFonts w:ascii="Verdana" w:hAnsi="Verdana"/>
                <w:sz w:val="16"/>
                <w:szCs w:val="16"/>
              </w:rPr>
              <w:t>ontratista</w:t>
            </w:r>
            <w:r w:rsidRPr="00502533">
              <w:rPr>
                <w:rStyle w:val="normaltextrun"/>
                <w:rFonts w:ascii="Verdana" w:eastAsia="Arial" w:hAnsi="Verdana" w:cs="Arial"/>
                <w:sz w:val="16"/>
                <w:szCs w:val="16"/>
              </w:rPr>
              <w:t xml:space="preserve"> de la Subdirección de Gestión Contractual</w:t>
            </w:r>
          </w:p>
        </w:tc>
      </w:tr>
      <w:tr w:rsidR="00600026" w:rsidRPr="00502533" w14:paraId="5BB33697" w14:textId="77777777" w:rsidTr="00581ED2">
        <w:trPr>
          <w:trHeight w:val="330"/>
        </w:trPr>
        <w:tc>
          <w:tcPr>
            <w:tcW w:w="893" w:type="dxa"/>
            <w:vAlign w:val="center"/>
            <w:hideMark/>
          </w:tcPr>
          <w:p w14:paraId="44FE6557" w14:textId="77777777" w:rsidR="00600026" w:rsidRPr="00502533" w:rsidRDefault="00600026" w:rsidP="00581ED2">
            <w:pPr>
              <w:contextualSpacing/>
              <w:rPr>
                <w:rFonts w:ascii="Verdana" w:hAnsi="Verdana" w:cs="Arial"/>
                <w:sz w:val="16"/>
                <w:szCs w:val="16"/>
                <w:lang w:val="es-ES" w:eastAsia="es-ES"/>
              </w:rPr>
            </w:pPr>
            <w:r w:rsidRPr="0050253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D7B5381" w14:textId="2D65A625" w:rsidR="00912F90" w:rsidRPr="00502533" w:rsidRDefault="00912F90" w:rsidP="00581ED2">
            <w:pPr>
              <w:pStyle w:val="paragraph"/>
              <w:spacing w:before="0" w:beforeAutospacing="0" w:after="0" w:afterAutospacing="0"/>
              <w:contextualSpacing/>
              <w:textAlignment w:val="baseline"/>
              <w:rPr>
                <w:rFonts w:ascii="Verdana" w:hAnsi="Verdana" w:cs="Arial"/>
                <w:sz w:val="16"/>
                <w:szCs w:val="16"/>
              </w:rPr>
            </w:pPr>
            <w:r w:rsidRPr="00502533">
              <w:rPr>
                <w:rFonts w:ascii="Verdana" w:hAnsi="Verdana" w:cs="Arial"/>
                <w:sz w:val="16"/>
                <w:szCs w:val="16"/>
              </w:rPr>
              <w:t>Adriana Katerine López Rodríguez</w:t>
            </w:r>
          </w:p>
          <w:p w14:paraId="217D36FC" w14:textId="26386B5B" w:rsidR="00600026" w:rsidRPr="00502533" w:rsidRDefault="00600026" w:rsidP="00581ED2">
            <w:pPr>
              <w:pStyle w:val="paragraph"/>
              <w:spacing w:before="0" w:beforeAutospacing="0" w:after="0" w:afterAutospacing="0"/>
              <w:contextualSpacing/>
              <w:textAlignment w:val="baseline"/>
              <w:rPr>
                <w:rFonts w:ascii="Verdana" w:hAnsi="Verdana" w:cs="Arial"/>
                <w:sz w:val="16"/>
                <w:szCs w:val="16"/>
              </w:rPr>
            </w:pPr>
            <w:r w:rsidRPr="00502533">
              <w:rPr>
                <w:rStyle w:val="normaltextrun"/>
                <w:rFonts w:ascii="Verdana" w:eastAsia="Arial" w:hAnsi="Verdana" w:cs="Arial"/>
                <w:sz w:val="16"/>
                <w:szCs w:val="16"/>
              </w:rPr>
              <w:t>C</w:t>
            </w:r>
            <w:r w:rsidRPr="00502533">
              <w:rPr>
                <w:rStyle w:val="normaltextrun"/>
                <w:rFonts w:ascii="Verdana" w:hAnsi="Verdana"/>
                <w:sz w:val="16"/>
                <w:szCs w:val="16"/>
              </w:rPr>
              <w:t>ontratista</w:t>
            </w:r>
            <w:r w:rsidRPr="00502533">
              <w:rPr>
                <w:rStyle w:val="normaltextrun"/>
                <w:rFonts w:ascii="Verdana" w:eastAsia="Arial" w:hAnsi="Verdana" w:cs="Arial"/>
                <w:sz w:val="16"/>
                <w:szCs w:val="16"/>
              </w:rPr>
              <w:t xml:space="preserve"> de la Subdirección de Gestión Contractual</w:t>
            </w:r>
          </w:p>
        </w:tc>
      </w:tr>
      <w:tr w:rsidR="00600026" w:rsidRPr="00502533" w14:paraId="5836C7E8" w14:textId="77777777" w:rsidTr="00581ED2">
        <w:trPr>
          <w:trHeight w:val="300"/>
        </w:trPr>
        <w:tc>
          <w:tcPr>
            <w:tcW w:w="893" w:type="dxa"/>
            <w:vAlign w:val="center"/>
          </w:tcPr>
          <w:p w14:paraId="05421EEB" w14:textId="77777777" w:rsidR="00600026" w:rsidRPr="00502533" w:rsidRDefault="00600026" w:rsidP="00581ED2">
            <w:pPr>
              <w:contextualSpacing/>
              <w:rPr>
                <w:rFonts w:ascii="Verdana" w:hAnsi="Verdana" w:cs="Arial"/>
                <w:sz w:val="16"/>
                <w:szCs w:val="16"/>
                <w:lang w:val="es-ES" w:eastAsia="es-ES"/>
              </w:rPr>
            </w:pPr>
            <w:r w:rsidRPr="0050253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4A8CB9A" w14:textId="77777777" w:rsidR="00600026" w:rsidRPr="00502533" w:rsidRDefault="00600026" w:rsidP="00581ED2">
            <w:pPr>
              <w:contextualSpacing/>
              <w:rPr>
                <w:rFonts w:ascii="Verdana" w:eastAsia="Calibri" w:hAnsi="Verdana" w:cs="Arial"/>
                <w:sz w:val="16"/>
                <w:szCs w:val="16"/>
                <w:lang w:val="pt-BR" w:eastAsia="es-ES"/>
              </w:rPr>
            </w:pPr>
            <w:r w:rsidRPr="00502533">
              <w:rPr>
                <w:rFonts w:ascii="Verdana" w:eastAsia="Calibri" w:hAnsi="Verdana" w:cs="Arial"/>
                <w:sz w:val="16"/>
                <w:szCs w:val="16"/>
                <w:lang w:val="pt-BR" w:eastAsia="es-ES"/>
              </w:rPr>
              <w:t>Carolina Quintero Gacharná</w:t>
            </w:r>
          </w:p>
          <w:p w14:paraId="6A97AF8E" w14:textId="77777777" w:rsidR="00600026" w:rsidRPr="00502533" w:rsidRDefault="00600026" w:rsidP="00581ED2">
            <w:pPr>
              <w:contextualSpacing/>
              <w:rPr>
                <w:rFonts w:ascii="Verdana" w:eastAsia="Calibri" w:hAnsi="Verdana" w:cs="Arial"/>
                <w:sz w:val="16"/>
                <w:szCs w:val="16"/>
                <w:lang w:val="pt-BR" w:eastAsia="es-ES"/>
              </w:rPr>
            </w:pPr>
            <w:r w:rsidRPr="00502533">
              <w:rPr>
                <w:rFonts w:ascii="Verdana" w:eastAsia="Calibri" w:hAnsi="Verdana" w:cs="Arial"/>
                <w:sz w:val="16"/>
                <w:szCs w:val="16"/>
                <w:lang w:eastAsia="es-ES"/>
              </w:rPr>
              <w:t>Subdirectora</w:t>
            </w:r>
            <w:r w:rsidRPr="00502533">
              <w:rPr>
                <w:rFonts w:ascii="Verdana" w:eastAsia="Calibri" w:hAnsi="Verdana" w:cs="Arial"/>
                <w:sz w:val="16"/>
                <w:szCs w:val="16"/>
                <w:lang w:val="pt-BR" w:eastAsia="es-ES"/>
              </w:rPr>
              <w:t xml:space="preserve"> de Gestión Contractual ANCP – CCE</w:t>
            </w:r>
          </w:p>
        </w:tc>
      </w:tr>
    </w:tbl>
    <w:p w14:paraId="6DE95CEF" w14:textId="77777777" w:rsidR="00600026" w:rsidRPr="00502533" w:rsidRDefault="00600026" w:rsidP="30821638">
      <w:pPr>
        <w:spacing w:after="0" w:line="240" w:lineRule="auto"/>
        <w:textAlignment w:val="baseline"/>
        <w:rPr>
          <w:rFonts w:ascii="Verdana" w:eastAsia="Verdana" w:hAnsi="Verdana" w:cs="Verdana"/>
          <w:lang w:eastAsia="es-CO"/>
        </w:rPr>
      </w:pPr>
    </w:p>
    <w:p w14:paraId="69BC4D14" w14:textId="615540CC" w:rsidR="00C15139" w:rsidRPr="00502533" w:rsidRDefault="00C15139" w:rsidP="30821638">
      <w:pPr>
        <w:spacing w:after="0" w:line="240" w:lineRule="auto"/>
        <w:textAlignment w:val="baseline"/>
        <w:rPr>
          <w:rFonts w:ascii="Verdana" w:eastAsia="Verdana" w:hAnsi="Verdana" w:cs="Verdana"/>
          <w:lang w:eastAsia="es-CO"/>
        </w:rPr>
      </w:pPr>
      <w:r w:rsidRPr="00502533">
        <w:rPr>
          <w:rFonts w:ascii="Verdana" w:eastAsia="Verdana" w:hAnsi="Verdana" w:cs="Verdana"/>
          <w:lang w:eastAsia="es-CO"/>
        </w:rPr>
        <w:t> </w:t>
      </w:r>
      <w:bookmarkEnd w:id="0"/>
    </w:p>
    <w:sectPr w:rsidR="00C15139" w:rsidRPr="0050253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EF199A" w14:textId="77777777" w:rsidR="006C5F45" w:rsidRDefault="006C5F45" w:rsidP="004A1847">
      <w:pPr>
        <w:spacing w:after="0" w:line="240" w:lineRule="auto"/>
      </w:pPr>
      <w:r>
        <w:separator/>
      </w:r>
    </w:p>
  </w:endnote>
  <w:endnote w:type="continuationSeparator" w:id="0">
    <w:p w14:paraId="058290A9" w14:textId="77777777" w:rsidR="006C5F45" w:rsidRDefault="006C5F4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82F06A" w14:textId="77777777" w:rsidR="006C5F45" w:rsidRDefault="006C5F45" w:rsidP="004A1847">
      <w:pPr>
        <w:spacing w:after="0" w:line="240" w:lineRule="auto"/>
      </w:pPr>
      <w:r>
        <w:separator/>
      </w:r>
    </w:p>
  </w:footnote>
  <w:footnote w:type="continuationSeparator" w:id="0">
    <w:p w14:paraId="77E6BEB3" w14:textId="77777777" w:rsidR="006C5F45" w:rsidRDefault="006C5F45" w:rsidP="004A1847">
      <w:pPr>
        <w:spacing w:after="0" w:line="240" w:lineRule="auto"/>
      </w:pPr>
      <w:r>
        <w:continuationSeparator/>
      </w:r>
    </w:p>
  </w:footnote>
  <w:footnote w:id="1">
    <w:p w14:paraId="356E4C8C" w14:textId="77777777" w:rsidR="005F22F4" w:rsidRPr="00B324A4" w:rsidRDefault="005F22F4" w:rsidP="005F22F4">
      <w:pPr>
        <w:pStyle w:val="Textonotapie"/>
        <w:ind w:firstLine="709"/>
        <w:jc w:val="both"/>
        <w:rPr>
          <w:rFonts w:ascii="Verdana" w:hAnsi="Verdana" w:cs="Arial"/>
          <w:color w:val="000000"/>
          <w:sz w:val="16"/>
          <w:szCs w:val="16"/>
        </w:rPr>
      </w:pPr>
      <w:r w:rsidRPr="00B324A4">
        <w:rPr>
          <w:rStyle w:val="Refdenotaalpie"/>
          <w:rFonts w:ascii="Verdana" w:hAnsi="Verdana" w:cs="Arial"/>
          <w:color w:val="000000"/>
          <w:sz w:val="16"/>
          <w:szCs w:val="16"/>
        </w:rPr>
        <w:footnoteRef/>
      </w:r>
      <w:r w:rsidRPr="00B324A4">
        <w:rPr>
          <w:rFonts w:ascii="Verdana" w:hAnsi="Verdana" w:cs="Arial"/>
          <w:color w:val="000000"/>
          <w:sz w:val="16"/>
          <w:szCs w:val="16"/>
        </w:rPr>
        <w:t xml:space="preserve"> ALESSANDRI RODRÍGUEZ, Arturo. De los contratos. Santiago de Chile: Editorial Jurídica EDIAR-CONOCSUR LTDA, 1988. p. 182. </w:t>
      </w:r>
    </w:p>
  </w:footnote>
  <w:footnote w:id="2">
    <w:p w14:paraId="637B689B" w14:textId="77777777" w:rsidR="005F22F4" w:rsidRPr="00B324A4" w:rsidRDefault="005F22F4" w:rsidP="005F22F4">
      <w:pPr>
        <w:pStyle w:val="Textonotapie"/>
        <w:ind w:firstLine="708"/>
        <w:jc w:val="both"/>
        <w:rPr>
          <w:rFonts w:ascii="Verdana" w:hAnsi="Verdana" w:cs="Arial"/>
          <w:sz w:val="16"/>
          <w:szCs w:val="16"/>
          <w:lang w:val="es-ES_tradnl"/>
        </w:rPr>
      </w:pPr>
      <w:r w:rsidRPr="00B324A4">
        <w:rPr>
          <w:rStyle w:val="Refdenotaalpie"/>
          <w:rFonts w:ascii="Verdana" w:hAnsi="Verdana" w:cs="Arial"/>
          <w:sz w:val="16"/>
          <w:szCs w:val="16"/>
        </w:rPr>
        <w:footnoteRef/>
      </w:r>
      <w:r w:rsidRPr="00B324A4">
        <w:rPr>
          <w:rFonts w:ascii="Verdana" w:hAnsi="Verdana" w:cs="Arial"/>
          <w:sz w:val="16"/>
          <w:szCs w:val="16"/>
        </w:rPr>
        <w:t xml:space="preserve"> </w:t>
      </w:r>
      <w:r w:rsidRPr="00B324A4">
        <w:rPr>
          <w:rFonts w:ascii="Verdana" w:hAnsi="Verdana" w:cs="Arial"/>
          <w:sz w:val="16"/>
          <w:szCs w:val="16"/>
          <w:lang w:val="es-ES_tradnl"/>
        </w:rPr>
        <w:t xml:space="preserve">Respecto a la referencia a los bienes inmuebles, debe considerarse la definición de los artículos 656 y 658 del Código Civil, que incluye en esa categoría tanto a los inmuebles por adhesión como por destinación. De esta manera, la referencia contenida en el numeral 1 del artículo 32 la Ley 80 de 1993 a inmuebles debe entenderse que se extiende a los inmuebles anteriormente mencionados, razón por la cual la tipicidad del contrato de obra incluye cualquier clase de trabajo sobre inmuebles por adhesión o por destinación. </w:t>
      </w:r>
    </w:p>
  </w:footnote>
  <w:footnote w:id="3">
    <w:p w14:paraId="1068F9AC" w14:textId="77777777" w:rsidR="005F22F4" w:rsidRPr="00B324A4" w:rsidRDefault="005F22F4" w:rsidP="005F22F4">
      <w:pPr>
        <w:pStyle w:val="Textonotapie"/>
        <w:ind w:firstLine="709"/>
        <w:jc w:val="both"/>
        <w:rPr>
          <w:rFonts w:ascii="Verdana" w:hAnsi="Verdana" w:cs="Arial"/>
          <w:color w:val="000000"/>
          <w:sz w:val="16"/>
          <w:szCs w:val="16"/>
        </w:rPr>
      </w:pPr>
      <w:r w:rsidRPr="00B324A4">
        <w:rPr>
          <w:rStyle w:val="Refdenotaalpie"/>
          <w:rFonts w:ascii="Verdana" w:hAnsi="Verdana" w:cs="Arial"/>
          <w:color w:val="000000"/>
          <w:sz w:val="16"/>
          <w:szCs w:val="16"/>
        </w:rPr>
        <w:footnoteRef/>
      </w:r>
      <w:r w:rsidRPr="00B324A4">
        <w:rPr>
          <w:rFonts w:ascii="Verdana" w:hAnsi="Verdana" w:cs="Arial"/>
          <w:color w:val="000000"/>
          <w:sz w:val="16"/>
          <w:szCs w:val="16"/>
        </w:rPr>
        <w:t xml:space="preserve"> OSPINA MENA, Jesús Marino. Régimen de la Contratación Estatal. Un salto a la contratación liquida. Bogotá: Dike, 2020. p. 168.</w:t>
      </w:r>
    </w:p>
  </w:footnote>
  <w:footnote w:id="4">
    <w:p w14:paraId="263EFC86" w14:textId="77777777" w:rsidR="005F22F4" w:rsidRPr="00B324A4" w:rsidRDefault="005F22F4" w:rsidP="005F22F4">
      <w:pPr>
        <w:pStyle w:val="Textonotapie"/>
        <w:ind w:firstLine="709"/>
        <w:jc w:val="both"/>
        <w:rPr>
          <w:rFonts w:ascii="Verdana" w:hAnsi="Verdana" w:cs="Arial"/>
          <w:color w:val="000000"/>
          <w:sz w:val="16"/>
          <w:szCs w:val="16"/>
        </w:rPr>
      </w:pPr>
      <w:r w:rsidRPr="00B324A4">
        <w:rPr>
          <w:rStyle w:val="Refdenotaalpie"/>
          <w:rFonts w:ascii="Verdana" w:hAnsi="Verdana" w:cs="Arial"/>
          <w:color w:val="000000"/>
          <w:sz w:val="16"/>
          <w:szCs w:val="16"/>
        </w:rPr>
        <w:footnoteRef/>
      </w:r>
      <w:r w:rsidRPr="00B324A4">
        <w:rPr>
          <w:rFonts w:ascii="Verdana" w:hAnsi="Verdana" w:cs="Arial"/>
          <w:color w:val="000000"/>
          <w:sz w:val="16"/>
          <w:szCs w:val="16"/>
        </w:rPr>
        <w:t xml:space="preserve"> CONSEJO DE ESTADO. Sala de Consulta y Servicio Civil. Concepto del 5 de septiembre de 2018. Rad. 2.386. C.P. Edgar González López.</w:t>
      </w:r>
    </w:p>
  </w:footnote>
  <w:footnote w:id="5">
    <w:p w14:paraId="5858C888" w14:textId="77777777" w:rsidR="00DA447C" w:rsidRPr="00E12E59" w:rsidRDefault="00DA447C" w:rsidP="00DA447C">
      <w:pPr>
        <w:pStyle w:val="Textonotapie"/>
        <w:ind w:firstLine="708"/>
        <w:jc w:val="both"/>
        <w:rPr>
          <w:rFonts w:ascii="Verdana" w:hAnsi="Verdana" w:cs="Arial"/>
          <w:sz w:val="16"/>
          <w:szCs w:val="16"/>
        </w:rPr>
      </w:pPr>
      <w:r w:rsidRPr="00E12E59">
        <w:rPr>
          <w:rStyle w:val="Refdenotaalpie"/>
          <w:rFonts w:ascii="Verdana" w:hAnsi="Verdana" w:cs="Arial"/>
          <w:sz w:val="16"/>
          <w:szCs w:val="16"/>
        </w:rPr>
        <w:footnoteRef/>
      </w:r>
      <w:r w:rsidRPr="00E12E59">
        <w:rPr>
          <w:rFonts w:ascii="Verdana" w:hAnsi="Verdana" w:cs="Arial"/>
          <w:sz w:val="16"/>
          <w:szCs w:val="16"/>
        </w:rPr>
        <w:t xml:space="preserve"> Al respecto, la jurisprudencia explica que la garantía del debido proceso “[…] tampoco es exclusiva de los procedimientos sancionatorios contractuales, sino de los demás trámites administrativos que se surten al interior de la actividad contractual, que también deben garantizar un procedimiento previo que racionalice las decisiones que se adoptan a través suyo. Los más representativos son los procesos de selección de contratistas, cuyas etapas y requisitos son de estricta observancia, tanto para la administración como para los participantes, en señal de respeto al principio de legalidad como a este derecho que integra el debido proceso” (CONSEJO DE ESTADO. Sección Tercera. Sentencia del 23 de junio de 2010. Rad. 16.367. C.P. Enrique Gil Botero). </w:t>
      </w:r>
    </w:p>
  </w:footnote>
  <w:footnote w:id="6">
    <w:p w14:paraId="6111DBD3" w14:textId="77777777" w:rsidR="00DA447C" w:rsidRPr="00E12E59" w:rsidRDefault="00DA447C" w:rsidP="00DA447C">
      <w:pPr>
        <w:pStyle w:val="Textonotapie"/>
        <w:ind w:firstLine="708"/>
        <w:jc w:val="both"/>
        <w:rPr>
          <w:rFonts w:ascii="Verdana" w:hAnsi="Verdana" w:cs="Arial"/>
          <w:sz w:val="16"/>
          <w:szCs w:val="16"/>
        </w:rPr>
      </w:pPr>
      <w:r w:rsidRPr="00E12E59">
        <w:rPr>
          <w:rStyle w:val="Refdenotaalpie"/>
          <w:rFonts w:ascii="Verdana" w:hAnsi="Verdana" w:cs="Arial"/>
          <w:sz w:val="16"/>
          <w:szCs w:val="16"/>
        </w:rPr>
        <w:footnoteRef/>
      </w:r>
      <w:r w:rsidRPr="00E12E59">
        <w:rPr>
          <w:rFonts w:ascii="Verdana" w:hAnsi="Verdana" w:cs="Arial"/>
          <w:sz w:val="16"/>
          <w:szCs w:val="16"/>
        </w:rPr>
        <w:t xml:space="preserve"> De hecho, en la exposición de motivos se explicó lo siguiente: “El proyecto mantiene como regla general la utilización de procedimientos reglados de selección objetiva del contratista [...], lo que afirma la ordenación que sobre la materia ha mantenido nuestra legislación desde el Código Fiscal de 1873 en cuanto que su justificación estriba, esencialmente, en los conceptos de seguridad, corrección y moralidad administrativas, así como en el principio de igualdad de oportunidades para que cualquier persona que esté en posibilidad de contratar con la administración tenga acceso a ella” (</w:t>
      </w:r>
      <w:bookmarkStart w:id="7" w:name="_Hlk39067926"/>
      <w:r w:rsidRPr="00E12E59">
        <w:rPr>
          <w:rFonts w:ascii="Verdana" w:hAnsi="Verdana" w:cs="Arial"/>
          <w:sz w:val="16"/>
          <w:szCs w:val="16"/>
        </w:rPr>
        <w:t>CONGRESO DE LA REPÚBLICA. Exposición de motivos de la Ley 80 de 1993. Gaceta del Congreso No. 75 del 23 de septiembre de 1992</w:t>
      </w:r>
      <w:bookmarkEnd w:id="7"/>
      <w:r w:rsidRPr="00E12E59">
        <w:rPr>
          <w:rFonts w:ascii="Verdana" w:hAnsi="Verdana" w:cs="Arial"/>
          <w:sz w:val="16"/>
          <w:szCs w:val="16"/>
        </w:rPr>
        <w:t>).</w:t>
      </w:r>
    </w:p>
  </w:footnote>
  <w:footnote w:id="7">
    <w:p w14:paraId="052B265E" w14:textId="77777777" w:rsidR="00DA447C" w:rsidRPr="00E12E59" w:rsidRDefault="00DA447C" w:rsidP="00DA447C">
      <w:pPr>
        <w:pStyle w:val="Textonotapie"/>
        <w:ind w:firstLine="708"/>
        <w:jc w:val="both"/>
        <w:rPr>
          <w:rFonts w:ascii="Verdana" w:hAnsi="Verdana" w:cs="Arial"/>
          <w:sz w:val="16"/>
          <w:szCs w:val="16"/>
        </w:rPr>
      </w:pPr>
      <w:r w:rsidRPr="00E12E59">
        <w:rPr>
          <w:rStyle w:val="Refdenotaalpie"/>
          <w:rFonts w:ascii="Verdana" w:hAnsi="Verdana" w:cs="Arial"/>
          <w:sz w:val="16"/>
          <w:szCs w:val="16"/>
        </w:rPr>
        <w:footnoteRef/>
      </w:r>
      <w:r w:rsidRPr="00E12E59">
        <w:rPr>
          <w:rFonts w:ascii="Verdana" w:hAnsi="Verdana" w:cs="Arial"/>
          <w:sz w:val="16"/>
          <w:szCs w:val="16"/>
        </w:rPr>
        <w:t xml:space="preserve"> El inciso primero de norma disponía que, conforme al principio de transparencia, “</w:t>
      </w:r>
      <w:r w:rsidRPr="00E12E59">
        <w:rPr>
          <w:rFonts w:ascii="Verdana" w:hAnsi="Verdana" w:cs="Arial"/>
          <w:i/>
          <w:iCs/>
          <w:sz w:val="16"/>
          <w:szCs w:val="16"/>
        </w:rPr>
        <w:t>La escogencia del contratista se efectuará siempre a través de licitación o concurso públicos</w:t>
      </w:r>
      <w:r w:rsidRPr="00E12E59">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8">
    <w:p w14:paraId="636B8929" w14:textId="77777777" w:rsidR="00DA447C" w:rsidRPr="00E12E59" w:rsidRDefault="00DA447C" w:rsidP="00DA447C">
      <w:pPr>
        <w:pStyle w:val="Textonotapie"/>
        <w:ind w:firstLine="708"/>
        <w:jc w:val="both"/>
        <w:rPr>
          <w:rFonts w:ascii="Verdana" w:hAnsi="Verdana" w:cs="Arial"/>
          <w:sz w:val="16"/>
          <w:szCs w:val="16"/>
        </w:rPr>
      </w:pPr>
      <w:r w:rsidRPr="00E12E59">
        <w:rPr>
          <w:rStyle w:val="Refdenotaalpie"/>
          <w:rFonts w:ascii="Verdana" w:hAnsi="Verdana" w:cs="Arial"/>
          <w:sz w:val="16"/>
          <w:szCs w:val="16"/>
        </w:rPr>
        <w:footnoteRef/>
      </w:r>
      <w:r w:rsidRPr="00E12E59">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E12E59">
        <w:rPr>
          <w:rFonts w:ascii="Verdana" w:hAnsi="Verdana" w:cs="Arial"/>
          <w:i/>
          <w:iCs/>
          <w:sz w:val="16"/>
          <w:szCs w:val="16"/>
        </w:rPr>
        <w:t>Presentación de la oferta de manera dinámica</w:t>
      </w:r>
      <w:r w:rsidRPr="00E12E59">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9">
    <w:p w14:paraId="07EBA17A" w14:textId="77777777" w:rsidR="008E43E4" w:rsidRPr="004F6999" w:rsidRDefault="008E43E4" w:rsidP="008E43E4">
      <w:pPr>
        <w:pStyle w:val="Textonotapie"/>
        <w:ind w:firstLine="708"/>
        <w:jc w:val="both"/>
        <w:rPr>
          <w:rFonts w:ascii="Verdana" w:hAnsi="Verdana" w:cs="Arial"/>
          <w:sz w:val="16"/>
          <w:szCs w:val="16"/>
        </w:rPr>
      </w:pPr>
      <w:r w:rsidRPr="00E12E59">
        <w:rPr>
          <w:rStyle w:val="Refdenotaalpie"/>
          <w:rFonts w:ascii="Verdana" w:hAnsi="Verdana" w:cs="Arial"/>
          <w:sz w:val="16"/>
          <w:szCs w:val="16"/>
        </w:rPr>
        <w:footnoteRef/>
      </w:r>
      <w:r w:rsidRPr="00E12E59">
        <w:rPr>
          <w:rFonts w:ascii="Verdana" w:hAnsi="Verdana" w:cs="Arial"/>
          <w:sz w:val="16"/>
          <w:szCs w:val="16"/>
        </w:rPr>
        <w:t xml:space="preserve"> </w:t>
      </w:r>
      <w:r>
        <w:rPr>
          <w:rFonts w:ascii="Verdana" w:hAnsi="Verdana" w:cs="Arial"/>
          <w:sz w:val="16"/>
          <w:szCs w:val="16"/>
        </w:rPr>
        <w:t>Para la doctrina, “</w:t>
      </w:r>
      <w:r w:rsidRPr="004F6999">
        <w:rPr>
          <w:rFonts w:ascii="Verdana" w:hAnsi="Verdana" w:cs="Arial"/>
          <w:sz w:val="16"/>
          <w:szCs w:val="16"/>
        </w:rPr>
        <w:t xml:space="preserve">La administración dispone de libertad de valoración para la configuración del pliego de condiciones, dentro de los parámetros generales señalados en la ley y en el reglamento, y conforme a los requerimientos específicos de cada proceso de selección. </w:t>
      </w:r>
    </w:p>
    <w:p w14:paraId="759E84DB" w14:textId="77777777" w:rsidR="008E43E4" w:rsidRPr="004F6999" w:rsidRDefault="008E43E4" w:rsidP="008E43E4">
      <w:pPr>
        <w:pStyle w:val="Textonotapie"/>
        <w:ind w:firstLine="708"/>
        <w:jc w:val="both"/>
        <w:rPr>
          <w:rFonts w:ascii="Verdana" w:hAnsi="Verdana" w:cs="Arial"/>
          <w:sz w:val="16"/>
          <w:szCs w:val="16"/>
        </w:rPr>
      </w:pPr>
      <w:r w:rsidRPr="004F6999">
        <w:rPr>
          <w:rFonts w:ascii="Verdana" w:hAnsi="Verdana" w:cs="Arial"/>
          <w:sz w:val="16"/>
          <w:szCs w:val="16"/>
        </w:rPr>
        <w:t xml:space="preserve">Por tal razón, se ha señalado que la administración ejerce y mantiene una facultad discrecional para su configuración, para ponderar los hechos, intereses, derechos y principios jurídicos comprometidos en un caso concreto y para una determinada solución. La administración tiene un espacio libre para elegir como posible cualquiera de las alternativas que resuelvan el caso, con un margen de libertad de valoración para que, en cada caso concreto, establezca el contenido del pliego de condiciones y los criterios y reglas que orientarán el proceso de selección. </w:t>
      </w:r>
    </w:p>
    <w:p w14:paraId="5D5BC6F5" w14:textId="77777777" w:rsidR="008E43E4" w:rsidRPr="00E12E59" w:rsidRDefault="008E43E4" w:rsidP="008E43E4">
      <w:pPr>
        <w:pStyle w:val="Textonotapie"/>
        <w:ind w:firstLine="708"/>
        <w:jc w:val="both"/>
        <w:rPr>
          <w:rFonts w:ascii="Verdana" w:hAnsi="Verdana" w:cs="Arial"/>
          <w:sz w:val="16"/>
          <w:szCs w:val="16"/>
        </w:rPr>
      </w:pPr>
      <w:r w:rsidRPr="004F6999">
        <w:rPr>
          <w:rFonts w:ascii="Verdana" w:hAnsi="Verdana" w:cs="Arial"/>
          <w:sz w:val="16"/>
          <w:szCs w:val="16"/>
        </w:rPr>
        <w:t>La ley no determina ni puede determinar el contenido preciso y detallado de los pliegos de condiciones, por razones de eficacia y por la imposibilidad de prever con exactitud los derechos, reglas y obligaciones propios de las particularidades del objeto por contratar. Por ello, se otorga una facultad discrecional para incluir en el proceso y en los contratos las condiciones lícitas que considere convenientes y necesarias, con guarda del principio de legalidad, es decir, que no estén prohibidas por reglamento o por ley</w:t>
      </w:r>
      <w:r>
        <w:rPr>
          <w:rFonts w:ascii="Verdana" w:hAnsi="Verdana" w:cs="Arial"/>
          <w:sz w:val="16"/>
          <w:szCs w:val="16"/>
        </w:rPr>
        <w:t>” (</w:t>
      </w:r>
      <w:r w:rsidRPr="00E12E59">
        <w:rPr>
          <w:rFonts w:ascii="Verdana" w:hAnsi="Verdana" w:cs="Arial"/>
          <w:sz w:val="16"/>
          <w:szCs w:val="16"/>
        </w:rPr>
        <w:t>Cfr. GONZÁLEZ LÓPEZ, Edgar. El pliego de condiciones en la contratación estatal: la reforma consagrada en la Ley 1150 de 2007 y sus decretos reglamentarios. Bogotá: Universidad Externando de Colombia, 2012. p. 87</w:t>
      </w:r>
      <w:r>
        <w:rPr>
          <w:rFonts w:ascii="Verdana" w:hAnsi="Verdana" w:cs="Arial"/>
          <w:sz w:val="16"/>
          <w:szCs w:val="16"/>
        </w:rPr>
        <w:t>)</w:t>
      </w:r>
      <w:r w:rsidRPr="00E12E59">
        <w:rPr>
          <w:rFonts w:ascii="Verdana" w:hAnsi="Verdana" w:cs="Arial"/>
          <w:sz w:val="16"/>
          <w:szCs w:val="16"/>
        </w:rPr>
        <w:t>.</w:t>
      </w:r>
    </w:p>
  </w:footnote>
  <w:footnote w:id="10">
    <w:p w14:paraId="24EC9985" w14:textId="77777777" w:rsidR="008E43E4" w:rsidRPr="000E397A" w:rsidRDefault="008E43E4" w:rsidP="008E43E4">
      <w:pPr>
        <w:pStyle w:val="Textonotapie"/>
        <w:ind w:firstLine="708"/>
        <w:jc w:val="both"/>
        <w:rPr>
          <w:rFonts w:ascii="Verdana" w:hAnsi="Verdana"/>
          <w:sz w:val="16"/>
          <w:szCs w:val="16"/>
          <w:lang w:val="es-CO"/>
        </w:rPr>
      </w:pPr>
      <w:r w:rsidRPr="000E397A">
        <w:rPr>
          <w:rStyle w:val="Refdenotaalpie"/>
          <w:rFonts w:ascii="Verdana" w:hAnsi="Verdana"/>
          <w:sz w:val="16"/>
          <w:szCs w:val="16"/>
        </w:rPr>
        <w:footnoteRef/>
      </w:r>
      <w:r w:rsidRPr="000E397A">
        <w:rPr>
          <w:rFonts w:ascii="Verdana" w:hAnsi="Verdana"/>
          <w:sz w:val="16"/>
          <w:szCs w:val="16"/>
        </w:rPr>
        <w:t xml:space="preserve"> En este contexto, “Los pliegos de condiciones por su carácter de acto administrativo gozan de la presunción de legalidad y son de obligatorio cumplimiento para la Administración Pública y los licitantes y contratistas, que deberán respetarlos durante la formación de la voluntad contractual y la ejecución del vínculo jurídico”</w:t>
      </w:r>
      <w:r>
        <w:rPr>
          <w:rFonts w:ascii="Verdana" w:hAnsi="Verdana"/>
          <w:sz w:val="16"/>
          <w:szCs w:val="16"/>
        </w:rPr>
        <w:t xml:space="preserve"> (Cfr. </w:t>
      </w:r>
      <w:r w:rsidRPr="005C303C">
        <w:rPr>
          <w:rFonts w:ascii="Verdana" w:hAnsi="Verdana" w:cs="Arial"/>
          <w:color w:val="000000" w:themeColor="text1"/>
          <w:sz w:val="16"/>
          <w:szCs w:val="16"/>
        </w:rPr>
        <w:t xml:space="preserve">ESCOBAR GIL, Rodrigo. Teoría general de los contratos de la Administración pública. Bogotá: Legis, 2000. </w:t>
      </w:r>
      <w:r>
        <w:rPr>
          <w:rFonts w:ascii="Verdana" w:hAnsi="Verdana"/>
          <w:sz w:val="16"/>
          <w:szCs w:val="16"/>
        </w:rPr>
        <w:t>p. 86)</w:t>
      </w:r>
      <w:r w:rsidRPr="000E397A">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4.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489201040">
    <w:abstractNumId w:val="0"/>
  </w:num>
  <w:num w:numId="17" w16cid:durableId="1542086715">
    <w:abstractNumId w:val="9"/>
  </w:num>
  <w:num w:numId="18" w16cid:durableId="17234823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7F0"/>
    <w:rsid w:val="00013014"/>
    <w:rsid w:val="00016F78"/>
    <w:rsid w:val="00026D50"/>
    <w:rsid w:val="00046945"/>
    <w:rsid w:val="000531CF"/>
    <w:rsid w:val="00061B2A"/>
    <w:rsid w:val="00082362"/>
    <w:rsid w:val="000A14DD"/>
    <w:rsid w:val="000A683E"/>
    <w:rsid w:val="000B04E7"/>
    <w:rsid w:val="000B19B9"/>
    <w:rsid w:val="000C1E67"/>
    <w:rsid w:val="000D0334"/>
    <w:rsid w:val="000D5DA7"/>
    <w:rsid w:val="000E4537"/>
    <w:rsid w:val="000E586D"/>
    <w:rsid w:val="000F6486"/>
    <w:rsid w:val="000F6F5C"/>
    <w:rsid w:val="00116940"/>
    <w:rsid w:val="00125105"/>
    <w:rsid w:val="00127233"/>
    <w:rsid w:val="001276D5"/>
    <w:rsid w:val="0015699B"/>
    <w:rsid w:val="001715AB"/>
    <w:rsid w:val="001747F8"/>
    <w:rsid w:val="0018024C"/>
    <w:rsid w:val="00196804"/>
    <w:rsid w:val="001A33BF"/>
    <w:rsid w:val="001E2261"/>
    <w:rsid w:val="001E4177"/>
    <w:rsid w:val="001F0B24"/>
    <w:rsid w:val="001F0C9E"/>
    <w:rsid w:val="001F7DC6"/>
    <w:rsid w:val="00206CE2"/>
    <w:rsid w:val="002112DB"/>
    <w:rsid w:val="0022400B"/>
    <w:rsid w:val="002303B8"/>
    <w:rsid w:val="00235662"/>
    <w:rsid w:val="002421BB"/>
    <w:rsid w:val="002429BD"/>
    <w:rsid w:val="00246D36"/>
    <w:rsid w:val="00251D85"/>
    <w:rsid w:val="0025796E"/>
    <w:rsid w:val="002707A2"/>
    <w:rsid w:val="00280428"/>
    <w:rsid w:val="002951A0"/>
    <w:rsid w:val="002962BC"/>
    <w:rsid w:val="002A093D"/>
    <w:rsid w:val="002A0DD0"/>
    <w:rsid w:val="002A17A5"/>
    <w:rsid w:val="002A49AC"/>
    <w:rsid w:val="002A64FD"/>
    <w:rsid w:val="002A69DE"/>
    <w:rsid w:val="002C7A84"/>
    <w:rsid w:val="002D00AA"/>
    <w:rsid w:val="002E2BF8"/>
    <w:rsid w:val="002E4FD9"/>
    <w:rsid w:val="0030657A"/>
    <w:rsid w:val="00307730"/>
    <w:rsid w:val="003150E9"/>
    <w:rsid w:val="00322A85"/>
    <w:rsid w:val="00322EFF"/>
    <w:rsid w:val="00324168"/>
    <w:rsid w:val="00330834"/>
    <w:rsid w:val="003448F4"/>
    <w:rsid w:val="00353313"/>
    <w:rsid w:val="00362878"/>
    <w:rsid w:val="003725D4"/>
    <w:rsid w:val="00374F5E"/>
    <w:rsid w:val="00375F02"/>
    <w:rsid w:val="00377E3E"/>
    <w:rsid w:val="003A28C5"/>
    <w:rsid w:val="003A737A"/>
    <w:rsid w:val="003A779E"/>
    <w:rsid w:val="003C4A9F"/>
    <w:rsid w:val="003D0F4D"/>
    <w:rsid w:val="003D3D36"/>
    <w:rsid w:val="003D5B0D"/>
    <w:rsid w:val="003E0499"/>
    <w:rsid w:val="003E4EB7"/>
    <w:rsid w:val="003E4F80"/>
    <w:rsid w:val="003E577B"/>
    <w:rsid w:val="003E6439"/>
    <w:rsid w:val="003F3941"/>
    <w:rsid w:val="003F49E4"/>
    <w:rsid w:val="00406575"/>
    <w:rsid w:val="00414C74"/>
    <w:rsid w:val="00426D84"/>
    <w:rsid w:val="0042722E"/>
    <w:rsid w:val="0043145B"/>
    <w:rsid w:val="00441EB9"/>
    <w:rsid w:val="0044528D"/>
    <w:rsid w:val="00456B98"/>
    <w:rsid w:val="00466E39"/>
    <w:rsid w:val="0047011C"/>
    <w:rsid w:val="00474021"/>
    <w:rsid w:val="004925A7"/>
    <w:rsid w:val="004A17FA"/>
    <w:rsid w:val="004A1847"/>
    <w:rsid w:val="004A305D"/>
    <w:rsid w:val="004A3F6C"/>
    <w:rsid w:val="004B1BA8"/>
    <w:rsid w:val="004C5A16"/>
    <w:rsid w:val="004D7A31"/>
    <w:rsid w:val="004F21C4"/>
    <w:rsid w:val="004F685F"/>
    <w:rsid w:val="00502533"/>
    <w:rsid w:val="00505661"/>
    <w:rsid w:val="00525CE8"/>
    <w:rsid w:val="0053301A"/>
    <w:rsid w:val="005566E8"/>
    <w:rsid w:val="00574867"/>
    <w:rsid w:val="00584AB3"/>
    <w:rsid w:val="00591460"/>
    <w:rsid w:val="005A41C1"/>
    <w:rsid w:val="005A4F79"/>
    <w:rsid w:val="005A65E0"/>
    <w:rsid w:val="005C3777"/>
    <w:rsid w:val="005C5CDC"/>
    <w:rsid w:val="005D2FE3"/>
    <w:rsid w:val="005D476C"/>
    <w:rsid w:val="005E37C1"/>
    <w:rsid w:val="005E7ABE"/>
    <w:rsid w:val="005F0B25"/>
    <w:rsid w:val="005F22F4"/>
    <w:rsid w:val="005F570D"/>
    <w:rsid w:val="00600026"/>
    <w:rsid w:val="00613616"/>
    <w:rsid w:val="00615DE5"/>
    <w:rsid w:val="006200BF"/>
    <w:rsid w:val="006219F8"/>
    <w:rsid w:val="00622247"/>
    <w:rsid w:val="006302F7"/>
    <w:rsid w:val="006305FB"/>
    <w:rsid w:val="00646AF4"/>
    <w:rsid w:val="00646B9F"/>
    <w:rsid w:val="0066279C"/>
    <w:rsid w:val="00665D70"/>
    <w:rsid w:val="00671264"/>
    <w:rsid w:val="00680B2B"/>
    <w:rsid w:val="006900D9"/>
    <w:rsid w:val="006A58A9"/>
    <w:rsid w:val="006B6A76"/>
    <w:rsid w:val="006C5F45"/>
    <w:rsid w:val="006C61AE"/>
    <w:rsid w:val="006D7969"/>
    <w:rsid w:val="006D7A98"/>
    <w:rsid w:val="006E119E"/>
    <w:rsid w:val="006F0894"/>
    <w:rsid w:val="00702595"/>
    <w:rsid w:val="00705ED2"/>
    <w:rsid w:val="00706A89"/>
    <w:rsid w:val="00706C16"/>
    <w:rsid w:val="00733E81"/>
    <w:rsid w:val="007340C3"/>
    <w:rsid w:val="00741D10"/>
    <w:rsid w:val="0075235A"/>
    <w:rsid w:val="00756841"/>
    <w:rsid w:val="007649AB"/>
    <w:rsid w:val="00771D0C"/>
    <w:rsid w:val="007833AC"/>
    <w:rsid w:val="007864EA"/>
    <w:rsid w:val="007A17E2"/>
    <w:rsid w:val="007A396E"/>
    <w:rsid w:val="007A5CAE"/>
    <w:rsid w:val="007B041E"/>
    <w:rsid w:val="007B268C"/>
    <w:rsid w:val="007B4E59"/>
    <w:rsid w:val="007B7171"/>
    <w:rsid w:val="007C0C0F"/>
    <w:rsid w:val="007C10E8"/>
    <w:rsid w:val="007C2057"/>
    <w:rsid w:val="007C3DC2"/>
    <w:rsid w:val="007E5497"/>
    <w:rsid w:val="007F530F"/>
    <w:rsid w:val="007F6F9F"/>
    <w:rsid w:val="00803B4B"/>
    <w:rsid w:val="00806F5F"/>
    <w:rsid w:val="00817361"/>
    <w:rsid w:val="00820278"/>
    <w:rsid w:val="00821933"/>
    <w:rsid w:val="008258C9"/>
    <w:rsid w:val="008375D4"/>
    <w:rsid w:val="0084236B"/>
    <w:rsid w:val="00844AE9"/>
    <w:rsid w:val="008464FF"/>
    <w:rsid w:val="008507EE"/>
    <w:rsid w:val="00857297"/>
    <w:rsid w:val="0086383A"/>
    <w:rsid w:val="00867F95"/>
    <w:rsid w:val="00872E5C"/>
    <w:rsid w:val="00873F31"/>
    <w:rsid w:val="00881DC6"/>
    <w:rsid w:val="008843B6"/>
    <w:rsid w:val="00891928"/>
    <w:rsid w:val="00894A29"/>
    <w:rsid w:val="008A1355"/>
    <w:rsid w:val="008A411D"/>
    <w:rsid w:val="008A446D"/>
    <w:rsid w:val="008B25F1"/>
    <w:rsid w:val="008B4C61"/>
    <w:rsid w:val="008B63E6"/>
    <w:rsid w:val="008D180B"/>
    <w:rsid w:val="008E43E4"/>
    <w:rsid w:val="008F0EA7"/>
    <w:rsid w:val="00903CF7"/>
    <w:rsid w:val="00905AFD"/>
    <w:rsid w:val="00912F90"/>
    <w:rsid w:val="00913FC7"/>
    <w:rsid w:val="00923EEF"/>
    <w:rsid w:val="009419F9"/>
    <w:rsid w:val="0095685E"/>
    <w:rsid w:val="00961B09"/>
    <w:rsid w:val="0096448F"/>
    <w:rsid w:val="00965334"/>
    <w:rsid w:val="0096566B"/>
    <w:rsid w:val="0097093E"/>
    <w:rsid w:val="00977D88"/>
    <w:rsid w:val="00981EA2"/>
    <w:rsid w:val="009A0DFA"/>
    <w:rsid w:val="009A1C6F"/>
    <w:rsid w:val="009B2D26"/>
    <w:rsid w:val="009C71FA"/>
    <w:rsid w:val="009C72E7"/>
    <w:rsid w:val="009C7F7E"/>
    <w:rsid w:val="009D3058"/>
    <w:rsid w:val="009D3E29"/>
    <w:rsid w:val="009D793E"/>
    <w:rsid w:val="009E585A"/>
    <w:rsid w:val="009F3192"/>
    <w:rsid w:val="009F3A13"/>
    <w:rsid w:val="009F4D6B"/>
    <w:rsid w:val="009F73E2"/>
    <w:rsid w:val="00A04ECC"/>
    <w:rsid w:val="00A051AC"/>
    <w:rsid w:val="00A122D3"/>
    <w:rsid w:val="00A14468"/>
    <w:rsid w:val="00A17F13"/>
    <w:rsid w:val="00A20739"/>
    <w:rsid w:val="00A23AF9"/>
    <w:rsid w:val="00A33C78"/>
    <w:rsid w:val="00A34A2F"/>
    <w:rsid w:val="00A34C1E"/>
    <w:rsid w:val="00A34D05"/>
    <w:rsid w:val="00A571FD"/>
    <w:rsid w:val="00A72599"/>
    <w:rsid w:val="00A86BA2"/>
    <w:rsid w:val="00A87069"/>
    <w:rsid w:val="00A96CD1"/>
    <w:rsid w:val="00AA709C"/>
    <w:rsid w:val="00AB0ADB"/>
    <w:rsid w:val="00AB39C2"/>
    <w:rsid w:val="00AE6B42"/>
    <w:rsid w:val="00AF3285"/>
    <w:rsid w:val="00B00C0E"/>
    <w:rsid w:val="00B01B1A"/>
    <w:rsid w:val="00B0381D"/>
    <w:rsid w:val="00B061B0"/>
    <w:rsid w:val="00B15499"/>
    <w:rsid w:val="00B315E7"/>
    <w:rsid w:val="00B331D0"/>
    <w:rsid w:val="00B44A47"/>
    <w:rsid w:val="00B47A6D"/>
    <w:rsid w:val="00B54ED0"/>
    <w:rsid w:val="00B62209"/>
    <w:rsid w:val="00B71328"/>
    <w:rsid w:val="00B72CD3"/>
    <w:rsid w:val="00B72FFF"/>
    <w:rsid w:val="00BA0FEE"/>
    <w:rsid w:val="00BB152D"/>
    <w:rsid w:val="00BB4080"/>
    <w:rsid w:val="00BB5EDA"/>
    <w:rsid w:val="00BC0489"/>
    <w:rsid w:val="00BC258B"/>
    <w:rsid w:val="00BC3D36"/>
    <w:rsid w:val="00BD375C"/>
    <w:rsid w:val="00BD54A6"/>
    <w:rsid w:val="00BD7F72"/>
    <w:rsid w:val="00BF36B5"/>
    <w:rsid w:val="00BF7425"/>
    <w:rsid w:val="00C04FB3"/>
    <w:rsid w:val="00C11D8B"/>
    <w:rsid w:val="00C15139"/>
    <w:rsid w:val="00C31677"/>
    <w:rsid w:val="00C330EB"/>
    <w:rsid w:val="00C4121E"/>
    <w:rsid w:val="00C45F92"/>
    <w:rsid w:val="00C50D69"/>
    <w:rsid w:val="00C5365C"/>
    <w:rsid w:val="00C605DE"/>
    <w:rsid w:val="00C723E8"/>
    <w:rsid w:val="00C72C8F"/>
    <w:rsid w:val="00C754BE"/>
    <w:rsid w:val="00C76B1C"/>
    <w:rsid w:val="00C77E21"/>
    <w:rsid w:val="00C80B24"/>
    <w:rsid w:val="00C90D4A"/>
    <w:rsid w:val="00C925AC"/>
    <w:rsid w:val="00CB6357"/>
    <w:rsid w:val="00CC1B26"/>
    <w:rsid w:val="00CD318F"/>
    <w:rsid w:val="00CE03A6"/>
    <w:rsid w:val="00CE33EC"/>
    <w:rsid w:val="00CE3ED7"/>
    <w:rsid w:val="00CF1828"/>
    <w:rsid w:val="00D33CF1"/>
    <w:rsid w:val="00D361FD"/>
    <w:rsid w:val="00D408B6"/>
    <w:rsid w:val="00D423A2"/>
    <w:rsid w:val="00D42B8B"/>
    <w:rsid w:val="00D44E26"/>
    <w:rsid w:val="00D520D8"/>
    <w:rsid w:val="00D63AC2"/>
    <w:rsid w:val="00D6593E"/>
    <w:rsid w:val="00D7383B"/>
    <w:rsid w:val="00D7788A"/>
    <w:rsid w:val="00D84FA5"/>
    <w:rsid w:val="00DA231B"/>
    <w:rsid w:val="00DA447C"/>
    <w:rsid w:val="00DC39FC"/>
    <w:rsid w:val="00DE1643"/>
    <w:rsid w:val="00DF1B9C"/>
    <w:rsid w:val="00DF5254"/>
    <w:rsid w:val="00E02524"/>
    <w:rsid w:val="00E16408"/>
    <w:rsid w:val="00E20894"/>
    <w:rsid w:val="00E245AB"/>
    <w:rsid w:val="00E2764C"/>
    <w:rsid w:val="00E27780"/>
    <w:rsid w:val="00E27C18"/>
    <w:rsid w:val="00E27F2E"/>
    <w:rsid w:val="00E42D32"/>
    <w:rsid w:val="00E46C98"/>
    <w:rsid w:val="00E50AFE"/>
    <w:rsid w:val="00E5281A"/>
    <w:rsid w:val="00E72DC8"/>
    <w:rsid w:val="00E75C92"/>
    <w:rsid w:val="00E771DC"/>
    <w:rsid w:val="00E80DAB"/>
    <w:rsid w:val="00E83A4A"/>
    <w:rsid w:val="00E8772A"/>
    <w:rsid w:val="00E90F6B"/>
    <w:rsid w:val="00E92497"/>
    <w:rsid w:val="00E92C27"/>
    <w:rsid w:val="00EA0E3D"/>
    <w:rsid w:val="00EC38A7"/>
    <w:rsid w:val="00EC6695"/>
    <w:rsid w:val="00EC6F55"/>
    <w:rsid w:val="00ED4CA2"/>
    <w:rsid w:val="00EE1AA8"/>
    <w:rsid w:val="00EF2148"/>
    <w:rsid w:val="00F067E7"/>
    <w:rsid w:val="00F1496C"/>
    <w:rsid w:val="00F23FEA"/>
    <w:rsid w:val="00F31BE6"/>
    <w:rsid w:val="00F31EDC"/>
    <w:rsid w:val="00F462B3"/>
    <w:rsid w:val="00F515FC"/>
    <w:rsid w:val="00F5664F"/>
    <w:rsid w:val="00F666C4"/>
    <w:rsid w:val="00F71C12"/>
    <w:rsid w:val="00F748A7"/>
    <w:rsid w:val="00F765C5"/>
    <w:rsid w:val="00F76AFC"/>
    <w:rsid w:val="00F9734D"/>
    <w:rsid w:val="00FA2D7A"/>
    <w:rsid w:val="00FA47C0"/>
    <w:rsid w:val="00FB5DD1"/>
    <w:rsid w:val="00FC2B5D"/>
    <w:rsid w:val="00FC638F"/>
    <w:rsid w:val="00FE0967"/>
    <w:rsid w:val="00FE23C9"/>
    <w:rsid w:val="00FF1449"/>
    <w:rsid w:val="00FF7963"/>
    <w:rsid w:val="071B8F93"/>
    <w:rsid w:val="07C73DD1"/>
    <w:rsid w:val="0849482A"/>
    <w:rsid w:val="09908A09"/>
    <w:rsid w:val="0EFE6349"/>
    <w:rsid w:val="0FF4CCA8"/>
    <w:rsid w:val="13CFC91B"/>
    <w:rsid w:val="19A2EC2C"/>
    <w:rsid w:val="21779BE6"/>
    <w:rsid w:val="2859CA1B"/>
    <w:rsid w:val="2C4D2425"/>
    <w:rsid w:val="2EE1E026"/>
    <w:rsid w:val="30821638"/>
    <w:rsid w:val="32A4F9CF"/>
    <w:rsid w:val="33A1FF93"/>
    <w:rsid w:val="356CEDFD"/>
    <w:rsid w:val="3C591AFD"/>
    <w:rsid w:val="3ED76B79"/>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E3ED7"/>
    <w:rPr>
      <w:rFonts w:ascii="Geomanist Light" w:hAnsi="Geomanist Light"/>
      <w:lang w:val="es-ES"/>
    </w:rPr>
  </w:style>
  <w:style w:type="character" w:customStyle="1" w:styleId="s15">
    <w:name w:val="s15"/>
    <w:basedOn w:val="Fuentedeprrafopredeter"/>
    <w:rsid w:val="00CE3ED7"/>
  </w:style>
  <w:style w:type="paragraph" w:customStyle="1" w:styleId="Appelnotedebasde">
    <w:name w:val="Appel note de bas de..."/>
    <w:basedOn w:val="Normal"/>
    <w:link w:val="Refdenotaalpie"/>
    <w:uiPriority w:val="99"/>
    <w:rsid w:val="00ED4CA2"/>
    <w:pPr>
      <w:spacing w:line="240" w:lineRule="exact"/>
    </w:pPr>
    <w:rPr>
      <w:vertAlign w:val="superscript"/>
    </w:rPr>
  </w:style>
  <w:style w:type="paragraph" w:styleId="Textoindependiente">
    <w:name w:val="Body Text"/>
    <w:basedOn w:val="Normal"/>
    <w:link w:val="TextoindependienteCar"/>
    <w:uiPriority w:val="99"/>
    <w:unhideWhenUsed/>
    <w:rsid w:val="00DA447C"/>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DA447C"/>
    <w:rPr>
      <w:rFonts w:eastAsiaTheme="minorEastAsia"/>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notificacionjudicial@magangue-bolivar.gov.c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55E968B5-E190-45ED-AEFD-47DB8450CBBA}">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4DD7045-E48F-403F-99CF-A226D8E29C29}"/>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16</Pages>
  <Words>5128</Words>
  <Characters>28209</Characters>
  <Application>Microsoft Office Word</Application>
  <DocSecurity>0</DocSecurity>
  <Lines>235</Lines>
  <Paragraphs>66</Paragraphs>
  <ScaleCrop>false</ScaleCrop>
  <Company/>
  <LinksUpToDate>false</LinksUpToDate>
  <CharactersWithSpaces>33271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10</cp:revision>
  <cp:lastPrinted>2023-01-10T21:18:00Z</cp:lastPrinted>
  <dcterms:created xsi:type="dcterms:W3CDTF">2026-05-01T00:35:00Z</dcterms:created>
  <dcterms:modified xsi:type="dcterms:W3CDTF">2026-05-01T00:36:00Z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y fmtid="{D5CDD505-2E9C-101B-9397-08002B2CF9AE}" pid="4" name="MSIP_Label_79c9bbd4-2155-4c05-a8cb-143fc41f09a9_Enabled">
    <vt:lpwstr>true</vt:lpwstr>
  </property>
  <property fmtid="{D5CDD505-2E9C-101B-9397-08002B2CF9AE}" pid="5" name="MSIP_Label_79c9bbd4-2155-4c05-a8cb-143fc41f09a9_SetDate">
    <vt:lpwstr>2026-05-01T00:34:59Z</vt:lpwstr>
  </property>
  <property fmtid="{D5CDD505-2E9C-101B-9397-08002B2CF9AE}" pid="6" name="MSIP_Label_79c9bbd4-2155-4c05-a8cb-143fc41f09a9_Method">
    <vt:lpwstr>Standard</vt:lpwstr>
  </property>
  <property fmtid="{D5CDD505-2E9C-101B-9397-08002B2CF9AE}" pid="7" name="MSIP_Label_79c9bbd4-2155-4c05-a8cb-143fc41f09a9_Name">
    <vt:lpwstr>defa4170-0d19-0005-0004-bc88714345d2</vt:lpwstr>
  </property>
  <property fmtid="{D5CDD505-2E9C-101B-9397-08002B2CF9AE}" pid="8" name="MSIP_Label_79c9bbd4-2155-4c05-a8cb-143fc41f09a9_SiteId">
    <vt:lpwstr>33fa6907-21c6-4126-aa66-bcbed95361bb</vt:lpwstr>
  </property>
  <property fmtid="{D5CDD505-2E9C-101B-9397-08002B2CF9AE}" pid="9" name="MSIP_Label_79c9bbd4-2155-4c05-a8cb-143fc41f09a9_ActionId">
    <vt:lpwstr>14a1685f-605a-4fef-8143-63c648b8d529</vt:lpwstr>
  </property>
  <property fmtid="{D5CDD505-2E9C-101B-9397-08002B2CF9AE}" pid="10" name="MSIP_Label_79c9bbd4-2155-4c05-a8cb-143fc41f09a9_ContentBits">
    <vt:lpwstr>0</vt:lpwstr>
  </property>
  <property fmtid="{D5CDD505-2E9C-101B-9397-08002B2CF9AE}" pid="11" name="MSIP_Label_79c9bbd4-2155-4c05-a8cb-143fc41f09a9_Tag">
    <vt:lpwstr>10, 3, 0, 1</vt:lpwstr>
  </property>
</Properties>
</file>