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F191B" w14:textId="77777777" w:rsidR="00F25881" w:rsidRDefault="00F25881" w:rsidP="00F25881">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Propósito </w:t>
      </w:r>
    </w:p>
    <w:p w14:paraId="3852DB41" w14:textId="77777777" w:rsidR="00F25881" w:rsidRDefault="00F25881" w:rsidP="00F25881">
      <w:pPr>
        <w:tabs>
          <w:tab w:val="left" w:pos="426"/>
        </w:tabs>
        <w:spacing w:after="0" w:line="240" w:lineRule="auto"/>
        <w:jc w:val="both"/>
        <w:rPr>
          <w:rFonts w:ascii="Verdana" w:eastAsia="Calibri" w:hAnsi="Verdana" w:cs="Arial"/>
          <w:noProof/>
          <w:sz w:val="20"/>
          <w:szCs w:val="20"/>
          <w:lang w:val="es-ES_tradnl"/>
        </w:rPr>
      </w:pPr>
      <w:r w:rsidRPr="001A5F15">
        <w:rPr>
          <w:rFonts w:ascii="Verdana" w:eastAsia="Times New Roman" w:hAnsi="Verdana" w:cs="Arial"/>
          <w:bCs/>
          <w:sz w:val="20"/>
          <w:szCs w:val="20"/>
          <w:lang w:eastAsia="es-CO"/>
        </w:rPr>
        <w:t>Ley 996 de 2005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A5F15">
        <w:rPr>
          <w:rFonts w:ascii="Verdana" w:eastAsia="Calibri" w:hAnsi="Verdana" w:cs="Arial"/>
          <w:noProof/>
          <w:sz w:val="20"/>
          <w:szCs w:val="20"/>
          <w:lang w:val="es-ES_tradnl"/>
        </w:rPr>
        <w:t xml:space="preserve"> </w:t>
      </w:r>
    </w:p>
    <w:p w14:paraId="5DB21A2A" w14:textId="77777777" w:rsidR="00F25881" w:rsidRDefault="00F25881" w:rsidP="00F25881">
      <w:pPr>
        <w:tabs>
          <w:tab w:val="left" w:pos="426"/>
        </w:tabs>
        <w:spacing w:after="0" w:line="240" w:lineRule="auto"/>
        <w:jc w:val="both"/>
        <w:rPr>
          <w:rFonts w:ascii="Verdana" w:eastAsia="Calibri" w:hAnsi="Verdana" w:cs="Arial"/>
          <w:noProof/>
          <w:sz w:val="20"/>
          <w:szCs w:val="20"/>
          <w:lang w:val="es-ES_tradnl"/>
        </w:rPr>
      </w:pPr>
    </w:p>
    <w:p w14:paraId="14A2A27D" w14:textId="77777777" w:rsidR="00F25881" w:rsidRDefault="00F25881" w:rsidP="00F25881">
      <w:pPr>
        <w:tabs>
          <w:tab w:val="left" w:pos="426"/>
        </w:tabs>
        <w:spacing w:after="0" w:line="240" w:lineRule="auto"/>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Prohibiciones – Restricciones </w:t>
      </w:r>
    </w:p>
    <w:p w14:paraId="3E405819" w14:textId="77777777" w:rsidR="00F25881" w:rsidRDefault="00F25881" w:rsidP="00F25881">
      <w:pPr>
        <w:tabs>
          <w:tab w:val="left" w:pos="426"/>
        </w:tabs>
        <w:spacing w:after="0" w:line="240" w:lineRule="auto"/>
        <w:jc w:val="both"/>
        <w:rPr>
          <w:rFonts w:ascii="Verdana" w:hAnsi="Verdana" w:cs="Arial"/>
          <w:b/>
          <w:bCs/>
          <w:color w:val="000000" w:themeColor="text1"/>
        </w:rPr>
      </w:pPr>
    </w:p>
    <w:p w14:paraId="458083E2" w14:textId="77777777" w:rsidR="00F25881" w:rsidRDefault="00F25881" w:rsidP="00F25881">
      <w:pPr>
        <w:tabs>
          <w:tab w:val="left" w:pos="426"/>
        </w:tabs>
        <w:spacing w:after="0" w:line="240" w:lineRule="auto"/>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BD7D83">
        <w:rPr>
          <w:rFonts w:ascii="Verdana" w:eastAsia="Times New Roman" w:hAnsi="Verdana" w:cs="Arial"/>
          <w:bCs/>
          <w:sz w:val="20"/>
          <w:szCs w:val="20"/>
          <w:lang w:eastAsia="es-CO"/>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p>
    <w:p w14:paraId="6E5055E8" w14:textId="77777777" w:rsidR="00F25881" w:rsidRDefault="00F25881" w:rsidP="00F25881">
      <w:pPr>
        <w:tabs>
          <w:tab w:val="left" w:pos="426"/>
        </w:tabs>
        <w:spacing w:after="0" w:line="240" w:lineRule="auto"/>
        <w:jc w:val="both"/>
        <w:rPr>
          <w:rFonts w:ascii="Verdana" w:eastAsia="Times New Roman" w:hAnsi="Verdana" w:cs="Arial"/>
          <w:bCs/>
          <w:sz w:val="20"/>
          <w:szCs w:val="20"/>
          <w:lang w:eastAsia="es-CO"/>
        </w:rPr>
      </w:pPr>
    </w:p>
    <w:p w14:paraId="1AFC9933" w14:textId="77777777" w:rsidR="00F25881" w:rsidRDefault="00F25881" w:rsidP="00F25881">
      <w:pPr>
        <w:tabs>
          <w:tab w:val="left" w:pos="426"/>
        </w:tabs>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p>
    <w:p w14:paraId="678DED00" w14:textId="77777777" w:rsidR="00F25881" w:rsidRDefault="00F25881" w:rsidP="00F25881">
      <w:pPr>
        <w:tabs>
          <w:tab w:val="left" w:pos="426"/>
        </w:tabs>
        <w:spacing w:after="0" w:line="240" w:lineRule="auto"/>
        <w:jc w:val="both"/>
        <w:rPr>
          <w:rFonts w:ascii="Verdana" w:eastAsia="Arial" w:hAnsi="Verdana" w:cs="Arial"/>
          <w:sz w:val="20"/>
          <w:szCs w:val="20"/>
          <w:lang w:val="es-ES" w:eastAsia="es-ES" w:bidi="es-ES"/>
        </w:rPr>
      </w:pPr>
    </w:p>
    <w:p w14:paraId="4ACA1109" w14:textId="77777777" w:rsidR="00F25881" w:rsidRDefault="00F25881" w:rsidP="00F25881">
      <w:pPr>
        <w:tabs>
          <w:tab w:val="left" w:pos="426"/>
        </w:tabs>
        <w:spacing w:after="0" w:line="240" w:lineRule="auto"/>
        <w:jc w:val="both"/>
        <w:rPr>
          <w:rFonts w:ascii="Verdana" w:eastAsia="Arial" w:hAnsi="Verdana" w:cs="Arial"/>
          <w:sz w:val="20"/>
          <w:szCs w:val="20"/>
          <w:lang w:val="es-ES" w:eastAsia="es-ES" w:bidi="es-ES"/>
        </w:rPr>
      </w:pPr>
      <w:r w:rsidRPr="00BD7D83">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r>
        <w:rPr>
          <w:rFonts w:ascii="Verdana" w:eastAsia="Arial" w:hAnsi="Verdana" w:cs="Arial"/>
          <w:sz w:val="20"/>
          <w:szCs w:val="20"/>
          <w:lang w:val="es-ES" w:eastAsia="es-ES" w:bidi="es-ES"/>
        </w:rPr>
        <w:t>.</w:t>
      </w:r>
    </w:p>
    <w:p w14:paraId="44FC5FA9" w14:textId="77777777" w:rsidR="00F25881" w:rsidRDefault="00F25881" w:rsidP="00F25881">
      <w:pPr>
        <w:tabs>
          <w:tab w:val="left" w:pos="426"/>
        </w:tabs>
        <w:spacing w:after="0" w:line="240" w:lineRule="auto"/>
        <w:jc w:val="both"/>
        <w:rPr>
          <w:rFonts w:ascii="Verdana" w:eastAsia="Arial" w:hAnsi="Verdana" w:cs="Arial"/>
          <w:sz w:val="20"/>
          <w:szCs w:val="20"/>
          <w:lang w:val="es-ES" w:eastAsia="es-ES" w:bidi="es-ES"/>
        </w:rPr>
      </w:pPr>
    </w:p>
    <w:p w14:paraId="20EEA49F" w14:textId="77777777" w:rsidR="00F25881" w:rsidRPr="00BD7D83" w:rsidRDefault="00F25881" w:rsidP="00F25881">
      <w:pPr>
        <w:tabs>
          <w:tab w:val="left" w:pos="426"/>
        </w:tabs>
        <w:spacing w:after="0" w:line="240" w:lineRule="auto"/>
        <w:jc w:val="both"/>
        <w:rPr>
          <w:rFonts w:ascii="Verdana" w:eastAsia="Times New Roman" w:hAnsi="Verdana" w:cs="Arial"/>
          <w:bCs/>
          <w:sz w:val="20"/>
          <w:szCs w:val="20"/>
          <w:lang w:eastAsia="es-CO"/>
        </w:rPr>
      </w:pPr>
      <w:r w:rsidRPr="00BD7D83">
        <w:rPr>
          <w:rFonts w:ascii="Verdana" w:eastAsia="Calibri" w:hAnsi="Verdana" w:cs="Arial"/>
          <w:sz w:val="20"/>
          <w:szCs w:val="20"/>
        </w:rPr>
        <w:t xml:space="preserve">Por un lado, </w:t>
      </w:r>
      <w:r w:rsidRPr="00BD7D83">
        <w:rPr>
          <w:rFonts w:ascii="Verdana" w:eastAsia="Calibri" w:hAnsi="Verdana" w:cs="Arial"/>
          <w:i/>
          <w:sz w:val="20"/>
          <w:szCs w:val="20"/>
        </w:rPr>
        <w:t>el artículo 33</w:t>
      </w:r>
      <w:r w:rsidRPr="00BD7D83">
        <w:rPr>
          <w:rFonts w:ascii="Verdana" w:eastAsia="Calibri" w:hAnsi="Verdana" w:cs="Arial"/>
          <w:sz w:val="20"/>
          <w:szCs w:val="20"/>
        </w:rPr>
        <w:t xml:space="preserve"> de la Ley 996 de 2005 prohíbe “</w:t>
      </w:r>
      <w:r w:rsidRPr="00BD7D83">
        <w:rPr>
          <w:rFonts w:ascii="Verdana" w:eastAsia="Calibri" w:hAnsi="Verdana" w:cs="Arial"/>
          <w:bCs/>
          <w:sz w:val="20"/>
          <w:szCs w:val="20"/>
        </w:rPr>
        <w:t xml:space="preserve">(…) </w:t>
      </w:r>
      <w:r w:rsidRPr="00BD7D83">
        <w:rPr>
          <w:rFonts w:ascii="Verdana" w:eastAsia="Calibri" w:hAnsi="Verdana" w:cs="Arial"/>
          <w:sz w:val="20"/>
          <w:szCs w:val="20"/>
        </w:rPr>
        <w:t>la contratación directa por parte de todos los entes del Estado</w:t>
      </w:r>
      <w:r w:rsidRPr="00BD7D83">
        <w:rPr>
          <w:rFonts w:ascii="Verdana" w:eastAsia="Calibri" w:hAnsi="Verdana" w:cs="Arial"/>
          <w:bCs/>
          <w:sz w:val="20"/>
          <w:szCs w:val="20"/>
        </w:rPr>
        <w:t>”</w:t>
      </w:r>
      <w:r w:rsidRPr="00BD7D83">
        <w:rPr>
          <w:rFonts w:ascii="Verdana" w:eastAsia="Calibri" w:hAnsi="Verdana" w:cs="Arial"/>
          <w:sz w:val="20"/>
          <w:szCs w:val="20"/>
        </w:rPr>
        <w:t xml:space="preserve"> durante los cuatro (4) meses anteriores a las elecciones presidenciales, salvo </w:t>
      </w:r>
      <w:r w:rsidRPr="00BD7D83">
        <w:rPr>
          <w:rFonts w:ascii="Verdana" w:eastAsia="Calibri" w:hAnsi="Verdana" w:cs="Arial"/>
          <w:bCs/>
          <w:sz w:val="20"/>
          <w:szCs w:val="20"/>
        </w:rPr>
        <w:t xml:space="preserve">“(…) </w:t>
      </w:r>
      <w:r w:rsidRPr="00BD7D83">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D7D83">
        <w:rPr>
          <w:rFonts w:ascii="Verdana" w:eastAsia="Calibri" w:hAnsi="Verdana" w:cs="Arial"/>
          <w:bCs/>
          <w:sz w:val="20"/>
          <w:szCs w:val="20"/>
        </w:rPr>
        <w:t>”</w:t>
      </w:r>
      <w:r w:rsidRPr="00BD7D83">
        <w:rPr>
          <w:rFonts w:ascii="Verdana" w:eastAsia="Calibri" w:hAnsi="Verdana" w:cs="Arial"/>
          <w:sz w:val="20"/>
          <w:szCs w:val="20"/>
        </w:rPr>
        <w:t>.</w:t>
      </w:r>
    </w:p>
    <w:p w14:paraId="7E2E3383" w14:textId="77777777" w:rsidR="00F25881" w:rsidRDefault="00F25881" w:rsidP="00F25881">
      <w:pPr>
        <w:tabs>
          <w:tab w:val="left" w:pos="426"/>
        </w:tabs>
        <w:spacing w:after="0" w:line="240" w:lineRule="auto"/>
        <w:jc w:val="both"/>
        <w:rPr>
          <w:rFonts w:ascii="Verdana" w:eastAsia="Calibri" w:hAnsi="Verdana" w:cs="Arial"/>
          <w:sz w:val="20"/>
          <w:szCs w:val="20"/>
        </w:rPr>
      </w:pPr>
    </w:p>
    <w:p w14:paraId="4D7B1AEE" w14:textId="77777777" w:rsidR="00F25881" w:rsidRPr="00BD7D83" w:rsidRDefault="00F25881" w:rsidP="00F25881">
      <w:pPr>
        <w:tabs>
          <w:tab w:val="left" w:pos="426"/>
        </w:tabs>
        <w:spacing w:after="0" w:line="240" w:lineRule="auto"/>
        <w:jc w:val="both"/>
        <w:rPr>
          <w:rFonts w:ascii="Verdana" w:eastAsia="Calibri" w:hAnsi="Verdana" w:cs="Arial"/>
          <w:noProof/>
          <w:sz w:val="20"/>
          <w:szCs w:val="20"/>
        </w:rPr>
      </w:pPr>
      <w:r w:rsidRPr="00BD7D83">
        <w:rPr>
          <w:rFonts w:ascii="Verdana" w:eastAsia="Calibri" w:hAnsi="Verdana" w:cs="Arial"/>
          <w:sz w:val="20"/>
          <w:szCs w:val="20"/>
        </w:rPr>
        <w:t xml:space="preserve">Por otro lado, </w:t>
      </w:r>
      <w:r w:rsidRPr="00BD7D83">
        <w:rPr>
          <w:rFonts w:ascii="Verdana" w:eastAsia="Calibri" w:hAnsi="Verdana" w:cs="Arial"/>
          <w:i/>
          <w:sz w:val="20"/>
          <w:szCs w:val="20"/>
        </w:rPr>
        <w:t xml:space="preserve">el parágrafo del artículo 38 </w:t>
      </w:r>
      <w:r w:rsidRPr="00BD7D83">
        <w:rPr>
          <w:rFonts w:ascii="Verdana" w:eastAsia="Calibri" w:hAnsi="Verdana" w:cs="Arial"/>
          <w:sz w:val="20"/>
          <w:szCs w:val="20"/>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BD7D83">
        <w:rPr>
          <w:rFonts w:ascii="Verdana" w:eastAsia="Calibri" w:hAnsi="Verdana" w:cs="Arial"/>
          <w:bCs/>
          <w:sz w:val="20"/>
          <w:szCs w:val="20"/>
        </w:rPr>
        <w:t xml:space="preserve">“(…) </w:t>
      </w:r>
      <w:r w:rsidRPr="00BD7D83">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D7D83">
        <w:rPr>
          <w:rFonts w:ascii="Verdana" w:eastAsia="Calibri" w:hAnsi="Verdana" w:cs="Arial"/>
          <w:bCs/>
          <w:sz w:val="20"/>
          <w:szCs w:val="20"/>
        </w:rPr>
        <w:t>”</w:t>
      </w:r>
      <w:r w:rsidRPr="00BD7D83">
        <w:rPr>
          <w:rFonts w:ascii="Verdana" w:eastAsia="Calibri" w:hAnsi="Verdana" w:cs="Arial"/>
          <w:sz w:val="20"/>
          <w:szCs w:val="20"/>
        </w:rPr>
        <w:t>.</w:t>
      </w:r>
    </w:p>
    <w:p w14:paraId="06C4FD7F" w14:textId="77777777" w:rsidR="00F25881" w:rsidRPr="009A58D8" w:rsidRDefault="00F25881" w:rsidP="00F25881">
      <w:pPr>
        <w:spacing w:after="0" w:line="240" w:lineRule="auto"/>
        <w:jc w:val="both"/>
        <w:rPr>
          <w:rFonts w:ascii="Verdana" w:hAnsi="Verdana" w:cs="Arial"/>
          <w:b/>
          <w:bCs/>
          <w:color w:val="000000" w:themeColor="text1"/>
        </w:rPr>
      </w:pPr>
    </w:p>
    <w:p w14:paraId="4E3DAD3B" w14:textId="77777777" w:rsidR="00F25881" w:rsidRDefault="00F25881" w:rsidP="00F25881">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Artículo 33 – Ámbito material </w:t>
      </w:r>
    </w:p>
    <w:p w14:paraId="2F2B7DD6" w14:textId="77777777" w:rsidR="00F25881" w:rsidRDefault="00F25881" w:rsidP="00F25881">
      <w:pPr>
        <w:jc w:val="both"/>
        <w:rPr>
          <w:rFonts w:ascii="Verdana" w:hAnsi="Verdana" w:cs="Arial"/>
          <w:bCs/>
          <w:sz w:val="20"/>
          <w:szCs w:val="20"/>
          <w:lang w:eastAsia="x-none"/>
        </w:rPr>
      </w:pPr>
      <w:r w:rsidRPr="00C8766A">
        <w:rPr>
          <w:rFonts w:ascii="Verdana" w:hAnsi="Verdana" w:cs="Arial"/>
          <w:bCs/>
          <w:sz w:val="20"/>
          <w:szCs w:val="20"/>
          <w:lang w:eastAsia="x-none"/>
        </w:rPr>
        <w:t xml:space="preserve">En primer lugar, el ámbito material de la prohibición contenida en el artículo 33 de la Ley 996 de 2005 está delimitado por la expresión </w:t>
      </w:r>
      <w:r w:rsidRPr="00C8766A">
        <w:rPr>
          <w:rFonts w:ascii="Verdana" w:eastAsia="Calibri" w:hAnsi="Verdana" w:cs="Arial"/>
          <w:bCs/>
          <w:i/>
          <w:iCs/>
          <w:sz w:val="20"/>
          <w:szCs w:val="20"/>
        </w:rPr>
        <w:t>“</w:t>
      </w:r>
      <w:r w:rsidRPr="00C8766A">
        <w:rPr>
          <w:rFonts w:ascii="Verdana" w:hAnsi="Verdana" w:cs="Arial"/>
          <w:bCs/>
          <w:i/>
          <w:iCs/>
          <w:sz w:val="20"/>
          <w:szCs w:val="20"/>
          <w:lang w:eastAsia="x-none"/>
        </w:rPr>
        <w:t xml:space="preserve">queda prohibida la contratación </w:t>
      </w:r>
      <w:r w:rsidRPr="00C8766A">
        <w:rPr>
          <w:rFonts w:ascii="Verdana" w:hAnsi="Verdana" w:cs="Arial"/>
          <w:bCs/>
          <w:i/>
          <w:iCs/>
          <w:sz w:val="20"/>
          <w:szCs w:val="20"/>
          <w:lang w:eastAsia="x-none"/>
        </w:rPr>
        <w:lastRenderedPageBreak/>
        <w:t>directa</w:t>
      </w:r>
      <w:r w:rsidRPr="00C8766A">
        <w:rPr>
          <w:rFonts w:ascii="Verdana" w:hAnsi="Verdana" w:cs="Arial"/>
          <w:sz w:val="20"/>
          <w:szCs w:val="20"/>
        </w:rPr>
        <w:t>”</w:t>
      </w:r>
      <w:r w:rsidRPr="00C8766A">
        <w:rPr>
          <w:rFonts w:ascii="Verdana" w:hAnsi="Verdana" w:cs="Arial"/>
          <w:bCs/>
          <w:sz w:val="20"/>
          <w:szCs w:val="20"/>
          <w:lang w:eastAsia="x-none"/>
        </w:rPr>
        <w:t>.</w:t>
      </w:r>
      <w:r>
        <w:rPr>
          <w:rFonts w:ascii="Verdana" w:hAnsi="Verdana" w:cs="Arial"/>
          <w:bCs/>
          <w:sz w:val="20"/>
          <w:szCs w:val="20"/>
          <w:lang w:eastAsia="x-none"/>
        </w:rPr>
        <w:t xml:space="preserve"> […] </w:t>
      </w:r>
      <w:r w:rsidRPr="00C8766A">
        <w:rPr>
          <w:rFonts w:ascii="Verdana" w:hAnsi="Verdana" w:cs="Arial"/>
          <w:bCs/>
          <w:sz w:val="20"/>
          <w:szCs w:val="20"/>
          <w:lang w:eastAsia="x-none"/>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w:t>
      </w:r>
    </w:p>
    <w:p w14:paraId="32874692" w14:textId="77777777" w:rsidR="00F25881" w:rsidRPr="00C8766A" w:rsidRDefault="00F25881" w:rsidP="00F25881">
      <w:pPr>
        <w:spacing w:after="0" w:line="240" w:lineRule="auto"/>
        <w:jc w:val="both"/>
        <w:rPr>
          <w:rFonts w:ascii="Verdana" w:hAnsi="Verdana" w:cs="Arial"/>
          <w:sz w:val="20"/>
          <w:szCs w:val="20"/>
          <w:lang w:eastAsia="x-none"/>
        </w:rPr>
      </w:pPr>
      <w:r w:rsidRPr="00C8766A">
        <w:rPr>
          <w:rFonts w:ascii="Verdana" w:hAnsi="Verdana" w:cs="Arial"/>
          <w:color w:val="000000" w:themeColor="text1"/>
          <w:sz w:val="20"/>
          <w:szCs w:val="20"/>
        </w:rPr>
        <w:t xml:space="preserve">[…] </w:t>
      </w:r>
    </w:p>
    <w:p w14:paraId="0AAB21FD" w14:textId="77777777" w:rsidR="00F25881" w:rsidRPr="00C8766A" w:rsidRDefault="00F25881" w:rsidP="00F25881">
      <w:pPr>
        <w:spacing w:after="0" w:line="240" w:lineRule="auto"/>
        <w:jc w:val="both"/>
        <w:rPr>
          <w:rFonts w:ascii="Verdana" w:hAnsi="Verdana" w:cs="Arial"/>
          <w:sz w:val="20"/>
          <w:szCs w:val="20"/>
          <w:lang w:eastAsia="x-none"/>
        </w:rPr>
      </w:pPr>
    </w:p>
    <w:p w14:paraId="62439D4E" w14:textId="77777777" w:rsidR="00F25881" w:rsidRDefault="00F25881" w:rsidP="00F25881">
      <w:pPr>
        <w:jc w:val="both"/>
        <w:rPr>
          <w:rFonts w:ascii="Verdana" w:hAnsi="Verdana" w:cs="Arial"/>
          <w:sz w:val="20"/>
          <w:szCs w:val="20"/>
          <w:lang w:eastAsia="x-none"/>
        </w:rPr>
      </w:pPr>
      <w:r w:rsidRPr="00C8766A">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Fonts w:ascii="Verdana" w:hAnsi="Verdana" w:cs="Arial"/>
          <w:sz w:val="20"/>
          <w:szCs w:val="20"/>
          <w:lang w:eastAsia="x-none"/>
        </w:rPr>
        <w:t>.</w:t>
      </w:r>
    </w:p>
    <w:p w14:paraId="56F6B498" w14:textId="77777777" w:rsidR="00F25881" w:rsidRDefault="00F25881" w:rsidP="00F25881">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Destinatarios </w:t>
      </w:r>
    </w:p>
    <w:p w14:paraId="517AFD57" w14:textId="77777777" w:rsidR="00F25881" w:rsidRDefault="00F25881" w:rsidP="00F25881">
      <w:pPr>
        <w:spacing w:after="0" w:line="240" w:lineRule="auto"/>
        <w:jc w:val="both"/>
        <w:rPr>
          <w:rFonts w:ascii="Verdana" w:hAnsi="Verdana" w:cs="Arial"/>
          <w:color w:val="000000" w:themeColor="text1"/>
          <w:sz w:val="20"/>
          <w:szCs w:val="20"/>
          <w:lang w:val="es-MX"/>
        </w:rPr>
      </w:pPr>
      <w:r w:rsidRPr="00C8766A">
        <w:rPr>
          <w:rFonts w:ascii="Verdana" w:hAnsi="Verdana" w:cs="Arial"/>
          <w:color w:val="000000" w:themeColor="text1"/>
          <w:sz w:val="20"/>
          <w:szCs w:val="20"/>
          <w:lang w:val="es-MX"/>
        </w:rPr>
        <w:t>[…] en relación con los destinatarios de las restricciones, el artículo 33 de la Ley 996 de 2005 los señala expresamente, en el sentido de que son “</w:t>
      </w:r>
      <w:r w:rsidRPr="00C8766A">
        <w:rPr>
          <w:rFonts w:ascii="Verdana" w:hAnsi="Verdana" w:cs="Arial"/>
          <w:i/>
          <w:color w:val="000000" w:themeColor="text1"/>
          <w:sz w:val="20"/>
          <w:szCs w:val="20"/>
          <w:lang w:val="es-MX"/>
        </w:rPr>
        <w:t>todos los entes del Estado</w:t>
      </w:r>
      <w:r w:rsidRPr="00C8766A">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655CF70" w14:textId="77777777" w:rsidR="00F25881" w:rsidRDefault="00F25881" w:rsidP="00F25881">
      <w:pPr>
        <w:spacing w:after="0" w:line="240" w:lineRule="auto"/>
        <w:jc w:val="both"/>
        <w:rPr>
          <w:rFonts w:ascii="Verdana" w:hAnsi="Verdana" w:cs="Arial"/>
          <w:color w:val="000000" w:themeColor="text1"/>
          <w:sz w:val="20"/>
          <w:szCs w:val="20"/>
          <w:lang w:val="es-MX"/>
        </w:rPr>
      </w:pPr>
    </w:p>
    <w:p w14:paraId="5503FDE9" w14:textId="77777777" w:rsidR="00F25881" w:rsidRDefault="00F25881" w:rsidP="00F25881">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Excepciones </w:t>
      </w:r>
    </w:p>
    <w:p w14:paraId="1530C829" w14:textId="77777777" w:rsidR="00F25881" w:rsidRDefault="00F25881" w:rsidP="00F25881">
      <w:pPr>
        <w:spacing w:after="0" w:line="240" w:lineRule="auto"/>
        <w:jc w:val="both"/>
        <w:rPr>
          <w:rFonts w:ascii="Verdana" w:eastAsia="Times New Roman" w:hAnsi="Verdana" w:cs="Arial"/>
          <w:bCs/>
          <w:sz w:val="20"/>
          <w:szCs w:val="20"/>
          <w:lang w:val="es-ES" w:eastAsia="es-CO" w:bidi="es-ES"/>
        </w:rPr>
      </w:pPr>
      <w:r w:rsidRPr="00C8766A">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C8766A">
        <w:rPr>
          <w:rFonts w:ascii="Verdana" w:eastAsia="Times New Roman" w:hAnsi="Verdana" w:cs="Arial"/>
          <w:bCs/>
          <w:sz w:val="20"/>
          <w:szCs w:val="20"/>
          <w:lang w:val="es-ES" w:eastAsia="es-CO" w:bidi="es-ES"/>
        </w:rPr>
        <w:t>ii</w:t>
      </w:r>
      <w:proofErr w:type="spellEnd"/>
      <w:r w:rsidRPr="00C8766A">
        <w:rPr>
          <w:rFonts w:ascii="Verdana" w:eastAsia="Times New Roman" w:hAnsi="Verdana" w:cs="Arial"/>
          <w:bCs/>
          <w:sz w:val="20"/>
          <w:szCs w:val="20"/>
          <w:lang w:val="es-ES" w:eastAsia="es-CO" w:bidi="es-ES"/>
        </w:rPr>
        <w:t xml:space="preserve">) los contratos de crédito público; </w:t>
      </w:r>
      <w:proofErr w:type="spellStart"/>
      <w:r w:rsidRPr="00C8766A">
        <w:rPr>
          <w:rFonts w:ascii="Verdana" w:eastAsia="Times New Roman" w:hAnsi="Verdana" w:cs="Arial"/>
          <w:bCs/>
          <w:sz w:val="20"/>
          <w:szCs w:val="20"/>
          <w:lang w:val="es-ES" w:eastAsia="es-CO" w:bidi="es-ES"/>
        </w:rPr>
        <w:t>iii</w:t>
      </w:r>
      <w:proofErr w:type="spellEnd"/>
      <w:r w:rsidRPr="00C8766A">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C8766A">
        <w:rPr>
          <w:rFonts w:ascii="Verdana" w:eastAsia="Times New Roman" w:hAnsi="Verdana" w:cs="Arial"/>
          <w:bCs/>
          <w:sz w:val="20"/>
          <w:szCs w:val="20"/>
          <w:lang w:val="es-ES" w:eastAsia="es-CO" w:bidi="es-ES"/>
        </w:rPr>
        <w:t>iv</w:t>
      </w:r>
      <w:proofErr w:type="spellEnd"/>
      <w:r w:rsidRPr="00C8766A">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0B7B91AF" w14:textId="77777777" w:rsidR="00F25881" w:rsidRDefault="00F25881" w:rsidP="00F25881">
      <w:pPr>
        <w:spacing w:after="0" w:line="240" w:lineRule="auto"/>
        <w:jc w:val="both"/>
        <w:rPr>
          <w:rFonts w:ascii="Verdana" w:eastAsia="Times New Roman" w:hAnsi="Verdana" w:cs="Arial"/>
          <w:bCs/>
          <w:sz w:val="20"/>
          <w:szCs w:val="20"/>
          <w:lang w:val="es-ES" w:eastAsia="es-CO" w:bidi="es-ES"/>
        </w:rPr>
      </w:pPr>
    </w:p>
    <w:p w14:paraId="1E909050" w14:textId="77777777" w:rsidR="00F25881" w:rsidRPr="00C8766A" w:rsidRDefault="00F25881" w:rsidP="00F25881">
      <w:pPr>
        <w:spacing w:after="0" w:line="240" w:lineRule="auto"/>
        <w:jc w:val="both"/>
        <w:rPr>
          <w:rFonts w:ascii="Verdana" w:hAnsi="Verdana" w:cs="Arial"/>
          <w:bCs/>
          <w:sz w:val="20"/>
          <w:szCs w:val="20"/>
          <w:lang w:eastAsia="x-none"/>
        </w:rPr>
      </w:pPr>
      <w:r w:rsidRPr="00C8766A">
        <w:rPr>
          <w:rFonts w:ascii="Verdana" w:eastAsia="Times New Roman" w:hAnsi="Verdana" w:cs="Arial"/>
          <w:bCs/>
          <w:sz w:val="20"/>
          <w:szCs w:val="20"/>
          <w:lang w:val="es-ES" w:eastAsia="es-CO" w:bidi="es-ES"/>
        </w:rPr>
        <w:t xml:space="preserve">En todo caso, </w:t>
      </w:r>
      <w:r w:rsidRPr="00C8766A">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w:t>
      </w:r>
      <w:r w:rsidRPr="00C8766A">
        <w:rPr>
          <w:rFonts w:ascii="Verdana" w:hAnsi="Verdana" w:cs="Arial"/>
          <w:bCs/>
          <w:sz w:val="20"/>
          <w:szCs w:val="20"/>
          <w:lang w:eastAsia="x-none"/>
        </w:rPr>
        <w:lastRenderedPageBreak/>
        <w:t xml:space="preserve">los procesos de contratación respectivos, con el apoyo de sus funcionarios y órganos asesores.   </w:t>
      </w:r>
    </w:p>
    <w:p w14:paraId="2AFD0735" w14:textId="77777777" w:rsidR="00F25881" w:rsidRPr="00C8766A" w:rsidRDefault="00F25881" w:rsidP="00F25881">
      <w:pPr>
        <w:spacing w:after="0" w:line="240" w:lineRule="auto"/>
        <w:jc w:val="both"/>
        <w:rPr>
          <w:rFonts w:ascii="Verdana" w:eastAsia="Times New Roman" w:hAnsi="Verdana" w:cs="Arial"/>
          <w:bCs/>
          <w:sz w:val="20"/>
          <w:szCs w:val="20"/>
          <w:lang w:eastAsia="es-CO" w:bidi="es-ES"/>
        </w:rPr>
      </w:pPr>
    </w:p>
    <w:p w14:paraId="480A544B" w14:textId="77777777" w:rsidR="00F25881" w:rsidRDefault="00F25881" w:rsidP="00F25881">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Parágrafo del artículo 38 - Alcance </w:t>
      </w:r>
    </w:p>
    <w:p w14:paraId="4F50AB7E" w14:textId="77777777" w:rsidR="00F25881" w:rsidRDefault="00F25881" w:rsidP="00F25881">
      <w:pPr>
        <w:spacing w:after="0" w:line="240" w:lineRule="auto"/>
        <w:jc w:val="both"/>
        <w:rPr>
          <w:rFonts w:ascii="Verdana" w:hAnsi="Verdana" w:cs="Arial"/>
          <w:color w:val="000000" w:themeColor="text1"/>
          <w:sz w:val="20"/>
          <w:szCs w:val="20"/>
        </w:rPr>
      </w:pPr>
      <w:r w:rsidRPr="00C8766A">
        <w:rPr>
          <w:rFonts w:ascii="Verdana" w:hAnsi="Verdana" w:cs="Arial"/>
          <w:color w:val="000000" w:themeColor="text1"/>
          <w:sz w:val="20"/>
          <w:szCs w:val="20"/>
        </w:rPr>
        <w:t xml:space="preserve">En segundo lugar, respecto del alcance del parágrafo del artículo 38 de la Ley 996 de 2005, esta prohibición dispone en primera medida que: “[l]os Gobernadores, </w:t>
      </w:r>
      <w:proofErr w:type="gramStart"/>
      <w:r w:rsidRPr="00C8766A">
        <w:rPr>
          <w:rFonts w:ascii="Verdana" w:hAnsi="Verdana" w:cs="Arial"/>
          <w:color w:val="000000" w:themeColor="text1"/>
          <w:sz w:val="20"/>
          <w:szCs w:val="20"/>
        </w:rPr>
        <w:t>Alcaldes</w:t>
      </w:r>
      <w:proofErr w:type="gramEnd"/>
      <w:r w:rsidRPr="00C8766A">
        <w:rPr>
          <w:rFonts w:ascii="Verdana" w:hAnsi="Verdana" w:cs="Arial"/>
          <w:color w:val="000000" w:themeColor="text1"/>
          <w:sz w:val="20"/>
          <w:szCs w:val="20"/>
        </w:rPr>
        <w:t xml:space="preserve"> Municipales y/o Distritales, </w:t>
      </w:r>
      <w:proofErr w:type="gramStart"/>
      <w:r w:rsidRPr="00C8766A">
        <w:rPr>
          <w:rFonts w:ascii="Verdana" w:hAnsi="Verdana" w:cs="Arial"/>
          <w:color w:val="000000" w:themeColor="text1"/>
          <w:sz w:val="20"/>
          <w:szCs w:val="20"/>
        </w:rPr>
        <w:t>Secretarios</w:t>
      </w:r>
      <w:proofErr w:type="gramEnd"/>
      <w:r w:rsidRPr="00C8766A">
        <w:rPr>
          <w:rFonts w:ascii="Verdana" w:hAnsi="Verdana" w:cs="Arial"/>
          <w:color w:val="000000" w:themeColor="text1"/>
          <w:sz w:val="20"/>
          <w:szCs w:val="20"/>
        </w:rPr>
        <w:t>, Gerentes y directores de Entidades Descentralizadas del orden Municipal, Departamental o Distrital, dentro de los cuatro (4) meses anteriores a las elecciones, no podrán celebrar convenios interadministrativos para la ejecución de recursos públicos”.</w:t>
      </w:r>
    </w:p>
    <w:p w14:paraId="64CFF057" w14:textId="77777777" w:rsidR="00F25881" w:rsidRDefault="00F25881" w:rsidP="00F25881">
      <w:pPr>
        <w:spacing w:after="0" w:line="240" w:lineRule="auto"/>
        <w:jc w:val="both"/>
        <w:rPr>
          <w:rFonts w:ascii="Verdana" w:hAnsi="Verdana" w:cs="Arial"/>
          <w:b/>
          <w:bCs/>
          <w:color w:val="000000" w:themeColor="text1"/>
        </w:rPr>
      </w:pPr>
    </w:p>
    <w:p w14:paraId="18442535" w14:textId="77777777" w:rsidR="00F25881" w:rsidRDefault="00F25881" w:rsidP="00F25881">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Convenios interadministrativos – Contratos interadministrativos </w:t>
      </w:r>
    </w:p>
    <w:p w14:paraId="09540F70" w14:textId="77777777" w:rsidR="00F25881" w:rsidRPr="00DC0BD9" w:rsidRDefault="00F25881" w:rsidP="00F25881">
      <w:pPr>
        <w:spacing w:after="0" w:line="240" w:lineRule="auto"/>
        <w:jc w:val="both"/>
        <w:rPr>
          <w:rFonts w:ascii="Verdana" w:hAnsi="Verdana" w:cs="Arial"/>
          <w:b/>
          <w:bCs/>
          <w:color w:val="000000" w:themeColor="text1"/>
        </w:rPr>
      </w:pPr>
      <w:r>
        <w:rPr>
          <w:rFonts w:ascii="Verdana" w:eastAsia="Times New Roman" w:hAnsi="Verdana" w:cs="Arial"/>
          <w:color w:val="000000" w:themeColor="text1"/>
          <w:sz w:val="20"/>
          <w:szCs w:val="20"/>
          <w:lang w:val="es-ES" w:eastAsia="es-CO"/>
        </w:rPr>
        <w:t xml:space="preserve">[…] </w:t>
      </w:r>
      <w:r w:rsidRPr="007D50EF">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7D50EF">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Pr>
          <w:rFonts w:ascii="Verdana" w:hAnsi="Verdana" w:cs="Arial"/>
          <w:sz w:val="20"/>
          <w:szCs w:val="20"/>
          <w:vertAlign w:val="superscript"/>
          <w:lang w:eastAsia="es-ES"/>
        </w:rPr>
        <w:t>.</w:t>
      </w:r>
    </w:p>
    <w:p w14:paraId="78E10377" w14:textId="77777777" w:rsidR="00F25881" w:rsidRDefault="00F25881" w:rsidP="00F25881">
      <w:pPr>
        <w:spacing w:after="0" w:line="240" w:lineRule="auto"/>
        <w:jc w:val="both"/>
        <w:rPr>
          <w:rFonts w:ascii="Verdana" w:hAnsi="Verdana" w:cs="Arial"/>
          <w:sz w:val="20"/>
          <w:szCs w:val="20"/>
          <w:vertAlign w:val="superscript"/>
          <w:lang w:eastAsia="es-ES"/>
        </w:rPr>
      </w:pPr>
    </w:p>
    <w:p w14:paraId="6B4EECE1" w14:textId="77777777" w:rsidR="00F25881" w:rsidRDefault="00F25881" w:rsidP="00F25881">
      <w:pPr>
        <w:spacing w:after="0" w:line="240" w:lineRule="auto"/>
        <w:jc w:val="both"/>
        <w:rPr>
          <w:rFonts w:ascii="Verdana" w:eastAsia="Calibri" w:hAnsi="Verdana" w:cs="Arial"/>
          <w:sz w:val="20"/>
          <w:szCs w:val="20"/>
          <w:lang w:val="es-ES"/>
        </w:rPr>
      </w:pPr>
      <w:r w:rsidRPr="007D50EF">
        <w:rPr>
          <w:rFonts w:ascii="Verdana" w:hAnsi="Verdana" w:cs="Arial"/>
          <w:color w:val="000000" w:themeColor="text1"/>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DE26F4B" w14:textId="77777777" w:rsidR="00F25881" w:rsidRDefault="00F25881" w:rsidP="00F25881">
      <w:pPr>
        <w:spacing w:after="0" w:line="240" w:lineRule="auto"/>
        <w:jc w:val="both"/>
        <w:rPr>
          <w:rFonts w:ascii="Verdana" w:eastAsia="Calibri" w:hAnsi="Verdana" w:cs="Arial"/>
          <w:sz w:val="20"/>
          <w:szCs w:val="20"/>
          <w:lang w:val="es-ES"/>
        </w:rPr>
      </w:pPr>
    </w:p>
    <w:p w14:paraId="02D47E52" w14:textId="77777777" w:rsidR="00F25881" w:rsidRPr="007D50EF" w:rsidRDefault="00F25881" w:rsidP="00F25881">
      <w:pPr>
        <w:spacing w:after="0" w:line="240" w:lineRule="auto"/>
        <w:jc w:val="both"/>
        <w:rPr>
          <w:rFonts w:ascii="Verdana" w:eastAsia="Calibri" w:hAnsi="Verdana" w:cs="Arial"/>
          <w:sz w:val="20"/>
          <w:szCs w:val="20"/>
          <w:lang w:val="es-ES"/>
        </w:rPr>
      </w:pPr>
      <w:r w:rsidRPr="007D50EF">
        <w:rPr>
          <w:rFonts w:ascii="Verdana" w:hAnsi="Verdana" w:cs="Arial"/>
          <w:sz w:val="20"/>
          <w:szCs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2CFEBCBF" w14:textId="77777777" w:rsidR="00F25881" w:rsidRPr="007D50EF" w:rsidRDefault="00F25881" w:rsidP="00F25881">
      <w:pPr>
        <w:spacing w:after="0" w:line="240" w:lineRule="auto"/>
        <w:jc w:val="both"/>
        <w:rPr>
          <w:rFonts w:ascii="Verdana" w:hAnsi="Verdana" w:cs="Arial"/>
          <w:b/>
          <w:bCs/>
          <w:color w:val="000000" w:themeColor="text1"/>
          <w:lang w:val="es-ES_tradnl"/>
        </w:rPr>
      </w:pPr>
    </w:p>
    <w:p w14:paraId="439BC4A1" w14:textId="77777777" w:rsidR="00F25881" w:rsidRPr="006D6CAB" w:rsidRDefault="00F25881" w:rsidP="00F25881">
      <w:pPr>
        <w:spacing w:after="0" w:line="240" w:lineRule="auto"/>
        <w:jc w:val="both"/>
        <w:rPr>
          <w:rFonts w:ascii="Verdana" w:hAnsi="Verdana" w:cs="Arial"/>
          <w:color w:val="000000" w:themeColor="text1"/>
          <w:sz w:val="20"/>
          <w:szCs w:val="20"/>
        </w:rPr>
      </w:pPr>
      <w:r w:rsidRPr="006D6CAB">
        <w:rPr>
          <w:rFonts w:ascii="Verdana" w:hAnsi="Verdana" w:cs="Arial"/>
          <w:color w:val="000000" w:themeColor="text1"/>
          <w:sz w:val="20"/>
          <w:szCs w:val="20"/>
        </w:rPr>
        <w:t xml:space="preserve">[…] </w:t>
      </w:r>
    </w:p>
    <w:p w14:paraId="49D32BC8" w14:textId="77777777" w:rsidR="00F25881" w:rsidRDefault="00F25881" w:rsidP="00F25881">
      <w:pPr>
        <w:spacing w:after="0" w:line="240" w:lineRule="auto"/>
        <w:jc w:val="both"/>
        <w:rPr>
          <w:rFonts w:ascii="Verdana" w:eastAsia="Arial" w:hAnsi="Verdana" w:cs="Arial"/>
          <w:sz w:val="20"/>
          <w:szCs w:val="20"/>
          <w:lang w:val="es-MX" w:eastAsia="es-ES" w:bidi="es-ES"/>
        </w:rPr>
      </w:pPr>
    </w:p>
    <w:p w14:paraId="45436296" w14:textId="77777777" w:rsidR="00F25881" w:rsidRDefault="00F25881" w:rsidP="00F25881">
      <w:pPr>
        <w:spacing w:after="0" w:line="240" w:lineRule="auto"/>
        <w:jc w:val="both"/>
        <w:rPr>
          <w:rFonts w:ascii="Verdana" w:eastAsia="Times New Roman" w:hAnsi="Verdana" w:cs="Arial"/>
          <w:sz w:val="20"/>
          <w:szCs w:val="20"/>
          <w:lang w:val="es-MX" w:eastAsia="es-CO"/>
        </w:rPr>
      </w:pPr>
      <w:r w:rsidRPr="006D6CAB">
        <w:rPr>
          <w:rFonts w:ascii="Verdana" w:eastAsia="Arial" w:hAnsi="Verdana" w:cs="Arial"/>
          <w:sz w:val="20"/>
          <w:szCs w:val="20"/>
          <w:lang w:val="es-MX" w:eastAsia="es-ES" w:bidi="es-ES"/>
        </w:rPr>
        <w:t>De esta manera, se</w:t>
      </w:r>
      <w:r w:rsidRPr="006D6CAB">
        <w:rPr>
          <w:rFonts w:ascii="Verdana" w:eastAsia="Times New Roman" w:hAnsi="Verdana" w:cs="Arial"/>
          <w:sz w:val="20"/>
          <w:szCs w:val="20"/>
          <w:lang w:eastAsia="es-CO"/>
        </w:rPr>
        <w:t xml:space="preserve"> observa entonces que </w:t>
      </w:r>
      <w:r w:rsidRPr="006D6CAB">
        <w:rPr>
          <w:rFonts w:ascii="Verdana" w:eastAsia="Times New Roman" w:hAnsi="Verdana" w:cs="Arial"/>
          <w:sz w:val="20"/>
          <w:szCs w:val="20"/>
          <w:lang w:val="es-MX" w:eastAsia="es-CO"/>
        </w:rPr>
        <w:t xml:space="preserve">el parágrafo del artículo 38 de la Ley 996 de 2005 prohíbe a los </w:t>
      </w:r>
      <w:proofErr w:type="gramStart"/>
      <w:r w:rsidRPr="006D6CAB">
        <w:rPr>
          <w:rFonts w:ascii="Verdana" w:eastAsia="Times New Roman" w:hAnsi="Verdana" w:cs="Arial"/>
          <w:sz w:val="20"/>
          <w:szCs w:val="20"/>
          <w:lang w:val="es-MX" w:eastAsia="es-CO"/>
        </w:rPr>
        <w:t>Alcaldes</w:t>
      </w:r>
      <w:proofErr w:type="gramEnd"/>
      <w:r w:rsidRPr="006D6CAB">
        <w:rPr>
          <w:rFonts w:ascii="Verdana" w:eastAsia="Times New Roman" w:hAnsi="Verdana" w:cs="Arial"/>
          <w:sz w:val="20"/>
          <w:szCs w:val="20"/>
          <w:lang w:val="es-MX" w:eastAsia="es-CO"/>
        </w:rPr>
        <w:t xml:space="preserve">, Gobernadores, </w:t>
      </w:r>
      <w:proofErr w:type="gramStart"/>
      <w:r w:rsidRPr="006D6CAB">
        <w:rPr>
          <w:rFonts w:ascii="Verdana" w:eastAsia="Times New Roman" w:hAnsi="Verdana" w:cs="Arial"/>
          <w:sz w:val="20"/>
          <w:szCs w:val="20"/>
          <w:lang w:val="es-MX" w:eastAsia="es-CO"/>
        </w:rPr>
        <w:t>Secretarios</w:t>
      </w:r>
      <w:proofErr w:type="gramEnd"/>
      <w:r w:rsidRPr="006D6CAB">
        <w:rPr>
          <w:rFonts w:ascii="Verdana" w:eastAsia="Times New Roman" w:hAnsi="Verdana" w:cs="Arial"/>
          <w:sz w:val="20"/>
          <w:szCs w:val="20"/>
          <w:lang w:val="es-MX" w:eastAsia="es-CO"/>
        </w:rPr>
        <w:t xml:space="preserve">, Gerentes y </w:t>
      </w:r>
      <w:proofErr w:type="gramStart"/>
      <w:r w:rsidRPr="006D6CAB">
        <w:rPr>
          <w:rFonts w:ascii="Verdana" w:eastAsia="Times New Roman" w:hAnsi="Verdana" w:cs="Arial"/>
          <w:sz w:val="20"/>
          <w:szCs w:val="20"/>
          <w:lang w:val="es-MX" w:eastAsia="es-CO"/>
        </w:rPr>
        <w:t>Directores</w:t>
      </w:r>
      <w:proofErr w:type="gramEnd"/>
      <w:r w:rsidRPr="006D6CAB">
        <w:rPr>
          <w:rFonts w:ascii="Verdana" w:eastAsia="Times New Roman" w:hAnsi="Verdana" w:cs="Arial"/>
          <w:sz w:val="20"/>
          <w:szCs w:val="20"/>
          <w:lang w:val="es-MX" w:eastAsia="es-CO"/>
        </w:rPr>
        <w:t xml:space="preserve"> de las entidades del orden municipal, departamental o distrital celebrar </w:t>
      </w:r>
      <w:r w:rsidRPr="006D6CAB">
        <w:rPr>
          <w:rFonts w:ascii="Verdana" w:eastAsia="Times New Roman" w:hAnsi="Verdana" w:cs="Arial"/>
          <w:i/>
          <w:iCs/>
          <w:sz w:val="20"/>
          <w:szCs w:val="20"/>
          <w:lang w:val="es-MX" w:eastAsia="es-CO"/>
        </w:rPr>
        <w:t>convenios interadministrativos</w:t>
      </w:r>
      <w:r w:rsidRPr="006D6CAB">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parágrafo </w:t>
      </w:r>
      <w:r w:rsidRPr="006D6CAB">
        <w:rPr>
          <w:rFonts w:ascii="Verdana" w:eastAsia="Times New Roman" w:hAnsi="Verdana" w:cs="Arial"/>
          <w:i/>
          <w:sz w:val="20"/>
          <w:szCs w:val="20"/>
          <w:lang w:val="es-MX" w:eastAsia="es-CO"/>
        </w:rPr>
        <w:t>ibidem</w:t>
      </w:r>
      <w:r w:rsidRPr="006D6CAB">
        <w:rPr>
          <w:rFonts w:ascii="Verdana" w:eastAsia="Times New Roman" w:hAnsi="Verdana" w:cs="Arial"/>
          <w:sz w:val="20"/>
          <w:szCs w:val="20"/>
          <w:lang w:val="es-MX" w:eastAsia="es-CO"/>
        </w:rPr>
        <w:t xml:space="preserve">, es decir, </w:t>
      </w:r>
      <w:r w:rsidRPr="006D6CAB">
        <w:rPr>
          <w:rFonts w:ascii="Verdana" w:eastAsia="Times New Roman" w:hAnsi="Verdana" w:cs="Arial"/>
          <w:sz w:val="20"/>
          <w:szCs w:val="20"/>
          <w:lang w:eastAsia="es-CO"/>
        </w:rPr>
        <w:t xml:space="preserve">alcaldías, gobernaciones, secretarías de despacho, así como entidades descentralizadas por servicios del orden municipal, departamental o distrital </w:t>
      </w:r>
      <w:r w:rsidRPr="006D6CAB">
        <w:rPr>
          <w:rFonts w:ascii="Verdana" w:eastAsia="Times New Roman" w:hAnsi="Verdana" w:cs="Arial"/>
          <w:sz w:val="20"/>
          <w:szCs w:val="20"/>
          <w:lang w:val="es-MX" w:eastAsia="es-CO"/>
        </w:rPr>
        <w:lastRenderedPageBreak/>
        <w:t xml:space="preserve">no podrá celebrar tales </w:t>
      </w:r>
      <w:r w:rsidRPr="006D6CAB">
        <w:rPr>
          <w:rFonts w:ascii="Verdana" w:eastAsia="Times New Roman" w:hAnsi="Verdana" w:cs="Arial"/>
          <w:i/>
          <w:iCs/>
          <w:sz w:val="20"/>
          <w:szCs w:val="20"/>
          <w:lang w:val="es-MX" w:eastAsia="es-CO"/>
        </w:rPr>
        <w:t>convenios</w:t>
      </w:r>
      <w:r w:rsidRPr="006D6CAB">
        <w:rPr>
          <w:rFonts w:ascii="Verdana" w:eastAsia="Times New Roman" w:hAnsi="Verdana" w:cs="Arial"/>
          <w:sz w:val="20"/>
          <w:szCs w:val="20"/>
          <w:lang w:val="es-MX" w:eastAsia="es-CO"/>
        </w:rPr>
        <w:t xml:space="preserve"> durante la aplicación de la Ley de Garantías Electorales, toda vez que la citada disposición se refiere a dicha tipología contractual sin que el legislador hubiere contemplado un efecto extensivo a otra tipología. </w:t>
      </w:r>
    </w:p>
    <w:p w14:paraId="4529E08B"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72981C58" w14:textId="77777777" w:rsidR="00F25881" w:rsidRDefault="00F25881" w:rsidP="00F25881">
      <w:pPr>
        <w:jc w:val="both"/>
        <w:rPr>
          <w:rFonts w:ascii="Verdana" w:hAnsi="Verdana" w:cs="Arial"/>
          <w:b/>
          <w:bCs/>
          <w:color w:val="000000" w:themeColor="text1"/>
        </w:rPr>
      </w:pPr>
      <w:r w:rsidRPr="009A58D8">
        <w:rPr>
          <w:rFonts w:ascii="Verdana" w:hAnsi="Verdana" w:cs="Arial"/>
          <w:b/>
          <w:bCs/>
          <w:color w:val="000000" w:themeColor="text1"/>
        </w:rPr>
        <w:t xml:space="preserve">CONTRATOS CON ESAL- Artículo 355 Constitución Política </w:t>
      </w:r>
    </w:p>
    <w:p w14:paraId="508452BB" w14:textId="77777777" w:rsidR="00F25881" w:rsidRPr="002D6DF5" w:rsidRDefault="00F25881" w:rsidP="00F25881">
      <w:pPr>
        <w:spacing w:after="0" w:line="240" w:lineRule="auto"/>
        <w:jc w:val="both"/>
        <w:rPr>
          <w:rFonts w:ascii="Verdana" w:hAnsi="Verdana" w:cs="Arial"/>
          <w:b/>
          <w:bCs/>
          <w:color w:val="000000" w:themeColor="text1"/>
        </w:rPr>
      </w:pPr>
      <w:r w:rsidRPr="002D6DF5">
        <w:rPr>
          <w:rFonts w:ascii="Verdana" w:eastAsia="Calibri" w:hAnsi="Verdana" w:cs="Arial"/>
          <w:sz w:val="20"/>
          <w:szCs w:val="20"/>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2D6DF5">
        <w:rPr>
          <w:rFonts w:ascii="Verdana" w:eastAsia="Calibri" w:hAnsi="Verdana" w:cs="Arial"/>
          <w:sz w:val="20"/>
          <w:szCs w:val="20"/>
          <w:lang w:val="es-ES"/>
        </w:rPr>
        <w:t>ii</w:t>
      </w:r>
      <w:proofErr w:type="spellEnd"/>
      <w:r w:rsidRPr="002D6DF5">
        <w:rPr>
          <w:rFonts w:ascii="Verdana" w:eastAsia="Calibri" w:hAnsi="Verdana" w:cs="Arial"/>
          <w:sz w:val="20"/>
          <w:szCs w:val="20"/>
          <w:lang w:val="es-ES"/>
        </w:rPr>
        <w:t xml:space="preserve">) los convenios de asociación, para el desarrollo conjunto de actividades relacionadas con las funciones de las entidades estatales, en desarrollo del artículo 96 de la Ley 489 de 1998. </w:t>
      </w:r>
    </w:p>
    <w:p w14:paraId="7F66A606" w14:textId="77777777" w:rsidR="00F25881" w:rsidRDefault="00F25881" w:rsidP="00F25881">
      <w:pPr>
        <w:spacing w:after="0" w:line="240" w:lineRule="auto"/>
        <w:jc w:val="both"/>
        <w:rPr>
          <w:rFonts w:ascii="Verdana" w:eastAsia="Calibri" w:hAnsi="Verdana" w:cs="Arial"/>
          <w:sz w:val="20"/>
          <w:szCs w:val="20"/>
          <w:lang w:val="es-ES"/>
        </w:rPr>
      </w:pPr>
    </w:p>
    <w:p w14:paraId="1FFC2912" w14:textId="77777777" w:rsidR="00F25881" w:rsidRDefault="00F25881" w:rsidP="00F25881">
      <w:pPr>
        <w:spacing w:after="0" w:line="240" w:lineRule="auto"/>
        <w:jc w:val="both"/>
        <w:rPr>
          <w:rFonts w:ascii="Verdana" w:hAnsi="Verdana" w:cs="Arial"/>
          <w:b/>
          <w:bCs/>
          <w:color w:val="000000" w:themeColor="text1"/>
        </w:rPr>
      </w:pPr>
      <w:r w:rsidRPr="009A58D8">
        <w:rPr>
          <w:rFonts w:ascii="Verdana" w:hAnsi="Verdana" w:cs="Arial"/>
          <w:b/>
          <w:bCs/>
          <w:color w:val="000000" w:themeColor="text1"/>
        </w:rPr>
        <w:t xml:space="preserve">DECRETO 092 DE 2017 – Contratos de Colaboración – Convenios de Asociación </w:t>
      </w:r>
    </w:p>
    <w:p w14:paraId="27C058CE" w14:textId="77777777" w:rsidR="00F25881" w:rsidRDefault="00F25881" w:rsidP="00F25881">
      <w:pPr>
        <w:spacing w:after="0" w:line="240" w:lineRule="auto"/>
        <w:jc w:val="both"/>
        <w:rPr>
          <w:rFonts w:ascii="Verdana" w:hAnsi="Verdana" w:cs="Arial"/>
          <w:b/>
          <w:bCs/>
          <w:color w:val="000000" w:themeColor="text1"/>
        </w:rPr>
      </w:pPr>
    </w:p>
    <w:p w14:paraId="191B9255" w14:textId="77777777" w:rsidR="00F25881" w:rsidRPr="008E37D0" w:rsidRDefault="00F25881" w:rsidP="00F25881">
      <w:pPr>
        <w:spacing w:after="0" w:line="240" w:lineRule="auto"/>
        <w:jc w:val="both"/>
        <w:rPr>
          <w:rFonts w:ascii="Verdana" w:eastAsia="Calibri" w:hAnsi="Verdana" w:cs="Arial"/>
          <w:sz w:val="20"/>
          <w:szCs w:val="20"/>
          <w:lang w:val="es-ES"/>
        </w:rPr>
      </w:pPr>
      <w:r w:rsidRPr="008E37D0">
        <w:rPr>
          <w:rFonts w:ascii="Verdana" w:eastAsia="Calibri" w:hAnsi="Verdana" w:cs="Arial"/>
          <w:sz w:val="20"/>
          <w:szCs w:val="20"/>
          <w:lang w:val="es-ES"/>
        </w:rPr>
        <w:t xml:space="preserve">Los </w:t>
      </w:r>
      <w:r w:rsidRPr="008E37D0">
        <w:rPr>
          <w:rFonts w:ascii="Verdana" w:eastAsia="Calibri" w:hAnsi="Verdana" w:cs="Arial"/>
          <w:i/>
          <w:iCs/>
          <w:sz w:val="20"/>
          <w:szCs w:val="20"/>
          <w:lang w:val="es-ES"/>
        </w:rPr>
        <w:t>contratos del artículo 355 de la Constitución Política</w:t>
      </w:r>
      <w:r w:rsidRPr="008E37D0">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51C982E5" w14:textId="77777777" w:rsidR="00F25881" w:rsidRDefault="00F25881" w:rsidP="00F25881">
      <w:pPr>
        <w:spacing w:after="0" w:line="240" w:lineRule="auto"/>
        <w:jc w:val="both"/>
        <w:rPr>
          <w:rFonts w:ascii="Verdana" w:hAnsi="Verdana" w:cs="Arial"/>
          <w:color w:val="000000" w:themeColor="text1"/>
          <w:sz w:val="20"/>
          <w:szCs w:val="20"/>
          <w:lang w:val="es-ES"/>
        </w:rPr>
      </w:pPr>
    </w:p>
    <w:p w14:paraId="3AAF77FD" w14:textId="77777777" w:rsidR="00F25881" w:rsidRPr="008E37D0" w:rsidRDefault="00F25881" w:rsidP="00F25881">
      <w:pPr>
        <w:spacing w:after="0" w:line="240" w:lineRule="auto"/>
        <w:jc w:val="both"/>
        <w:rPr>
          <w:rFonts w:ascii="Verdana" w:hAnsi="Verdana" w:cs="Arial"/>
          <w:color w:val="000000" w:themeColor="text1"/>
          <w:sz w:val="20"/>
          <w:szCs w:val="20"/>
          <w:lang w:val="es-ES"/>
        </w:rPr>
      </w:pPr>
      <w:r w:rsidRPr="008E37D0">
        <w:rPr>
          <w:rFonts w:ascii="Verdana" w:hAnsi="Verdana" w:cs="Arial"/>
          <w:color w:val="000000" w:themeColor="text1"/>
          <w:sz w:val="20"/>
          <w:szCs w:val="20"/>
          <w:lang w:val="es-ES"/>
        </w:rPr>
        <w:t xml:space="preserve">[…] </w:t>
      </w:r>
    </w:p>
    <w:p w14:paraId="789AF4DB" w14:textId="77777777" w:rsidR="00F25881" w:rsidRPr="008E37D0" w:rsidRDefault="00F25881" w:rsidP="00F25881">
      <w:pPr>
        <w:spacing w:after="0" w:line="240" w:lineRule="auto"/>
        <w:jc w:val="both"/>
        <w:rPr>
          <w:rFonts w:ascii="Verdana" w:hAnsi="Verdana" w:cs="Arial"/>
          <w:b/>
          <w:bCs/>
          <w:color w:val="000000" w:themeColor="text1"/>
          <w:sz w:val="20"/>
          <w:szCs w:val="20"/>
          <w:lang w:val="es-ES"/>
        </w:rPr>
      </w:pPr>
    </w:p>
    <w:p w14:paraId="6BB06E7E" w14:textId="77777777" w:rsidR="00F25881" w:rsidRPr="008E37D0" w:rsidRDefault="00F25881" w:rsidP="73B13109">
      <w:pPr>
        <w:spacing w:after="0" w:line="240" w:lineRule="auto"/>
        <w:jc w:val="both"/>
        <w:rPr>
          <w:rFonts w:ascii="Verdana" w:eastAsia="Calibri" w:hAnsi="Verdana" w:cs="Arial"/>
          <w:sz w:val="20"/>
          <w:szCs w:val="20"/>
          <w:lang w:val="es-ES"/>
        </w:rPr>
      </w:pPr>
      <w:r w:rsidRPr="73B13109">
        <w:rPr>
          <w:rFonts w:ascii="Verdana" w:eastAsia="Calibri" w:hAnsi="Verdana" w:cs="Arial"/>
          <w:sz w:val="20"/>
          <w:szCs w:val="20"/>
          <w:lang w:val="es-ES"/>
        </w:rPr>
        <w:t xml:space="preserve">De otro lado, la celebración de los </w:t>
      </w:r>
      <w:r w:rsidRPr="73B13109">
        <w:rPr>
          <w:rFonts w:ascii="Verdana" w:eastAsia="Calibri" w:hAnsi="Verdana" w:cs="Arial"/>
          <w:i/>
          <w:iCs/>
          <w:sz w:val="20"/>
          <w:szCs w:val="20"/>
          <w:lang w:val="es-ES"/>
        </w:rPr>
        <w:t>convenios de asociación</w:t>
      </w:r>
      <w:r w:rsidRPr="73B13109">
        <w:rPr>
          <w:rFonts w:ascii="Verdana" w:eastAsia="Calibri" w:hAnsi="Verdana" w:cs="Arial"/>
          <w:sz w:val="20"/>
          <w:szCs w:val="20"/>
          <w:lang w:val="es-ES"/>
        </w:rPr>
        <w:t xml:space="preserve"> “[t]</w:t>
      </w:r>
      <w:proofErr w:type="spellStart"/>
      <w:r w:rsidRPr="73B13109">
        <w:rPr>
          <w:rFonts w:ascii="Verdana" w:eastAsia="Calibri" w:hAnsi="Verdana" w:cs="Arial"/>
          <w:sz w:val="20"/>
          <w:szCs w:val="20"/>
          <w:lang w:val="es-ES"/>
        </w:rPr>
        <w:t>ienen</w:t>
      </w:r>
      <w:proofErr w:type="spellEnd"/>
      <w:r w:rsidRPr="73B13109">
        <w:rPr>
          <w:rFonts w:ascii="Verdana" w:eastAsia="Calibri" w:hAnsi="Verdana" w:cs="Arial"/>
          <w:sz w:val="20"/>
          <w:szCs w:val="20"/>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p>
    <w:p w14:paraId="6A8BB834" w14:textId="77777777" w:rsidR="00F25881" w:rsidRPr="008E37D0" w:rsidRDefault="00F25881" w:rsidP="00F25881">
      <w:pPr>
        <w:spacing w:after="0" w:line="240" w:lineRule="auto"/>
        <w:jc w:val="both"/>
        <w:rPr>
          <w:rFonts w:ascii="Verdana" w:hAnsi="Verdana" w:cs="Arial"/>
          <w:b/>
          <w:bCs/>
          <w:color w:val="000000" w:themeColor="text1"/>
          <w:lang w:val="es-ES"/>
        </w:rPr>
      </w:pPr>
    </w:p>
    <w:p w14:paraId="0D269A68" w14:textId="77777777" w:rsidR="00F25881" w:rsidRDefault="00F25881" w:rsidP="00F25881">
      <w:pPr>
        <w:jc w:val="both"/>
        <w:rPr>
          <w:rFonts w:ascii="Verdana" w:hAnsi="Verdana" w:cs="Arial"/>
          <w:b/>
          <w:bCs/>
          <w:color w:val="000000" w:themeColor="text1"/>
        </w:rPr>
      </w:pPr>
      <w:r w:rsidRPr="009A58D8">
        <w:rPr>
          <w:rFonts w:ascii="Verdana" w:hAnsi="Verdana" w:cs="Arial"/>
          <w:b/>
          <w:bCs/>
          <w:color w:val="000000" w:themeColor="text1"/>
        </w:rPr>
        <w:t xml:space="preserve">CONTRATOS CON ESAL – Alcance – Requisitos </w:t>
      </w:r>
    </w:p>
    <w:p w14:paraId="1CFE3065" w14:textId="77777777" w:rsidR="00F25881" w:rsidRDefault="00F25881" w:rsidP="00F25881">
      <w:pPr>
        <w:spacing w:after="0" w:line="240" w:lineRule="auto"/>
        <w:jc w:val="both"/>
        <w:rPr>
          <w:rFonts w:ascii="Verdana" w:hAnsi="Verdana" w:cs="Arial"/>
          <w:color w:val="000000" w:themeColor="text1"/>
          <w:sz w:val="20"/>
          <w:szCs w:val="20"/>
        </w:rPr>
      </w:pPr>
      <w:r w:rsidRPr="008E37D0">
        <w:rPr>
          <w:rFonts w:ascii="Verdana" w:hAnsi="Verdana" w:cs="Arial"/>
          <w:color w:val="000000" w:themeColor="text1"/>
          <w:sz w:val="20"/>
          <w:szCs w:val="20"/>
        </w:rPr>
        <w:t xml:space="preserve">[…] las entidades públicas que desean celebrar </w:t>
      </w:r>
      <w:r w:rsidRPr="008E37D0">
        <w:rPr>
          <w:rFonts w:ascii="Verdana" w:hAnsi="Verdana" w:cs="Arial"/>
          <w:i/>
          <w:iCs/>
          <w:color w:val="000000" w:themeColor="text1"/>
          <w:sz w:val="20"/>
          <w:szCs w:val="20"/>
        </w:rPr>
        <w:t>contratos del artículo 355 de la Constitución Política</w:t>
      </w:r>
      <w:r w:rsidRPr="008E37D0">
        <w:rPr>
          <w:rFonts w:ascii="Verdana" w:hAnsi="Verdana" w:cs="Arial"/>
          <w:color w:val="000000" w:themeColor="text1"/>
          <w:sz w:val="20"/>
          <w:szCs w:val="20"/>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8E37D0">
        <w:rPr>
          <w:rFonts w:ascii="Verdana" w:hAnsi="Verdana" w:cs="Arial"/>
          <w:color w:val="000000" w:themeColor="text1"/>
          <w:sz w:val="20"/>
          <w:szCs w:val="20"/>
        </w:rPr>
        <w:t>ii</w:t>
      </w:r>
      <w:proofErr w:type="spellEnd"/>
      <w:r w:rsidRPr="008E37D0">
        <w:rPr>
          <w:rFonts w:ascii="Verdana" w:hAnsi="Verdana" w:cs="Arial"/>
          <w:color w:val="000000" w:themeColor="text1"/>
          <w:sz w:val="20"/>
          <w:szCs w:val="20"/>
        </w:rPr>
        <w:t xml:space="preserve">) tampoco debe condicionarse a que la contratación con las ESAL garantice la optimización de los recursos públicos en términos de eficiencia, eficacia, economía y manejo del riesgo; </w:t>
      </w:r>
      <w:proofErr w:type="spellStart"/>
      <w:r w:rsidRPr="008E37D0">
        <w:rPr>
          <w:rFonts w:ascii="Verdana" w:hAnsi="Verdana" w:cs="Arial"/>
          <w:color w:val="000000" w:themeColor="text1"/>
          <w:sz w:val="20"/>
          <w:szCs w:val="20"/>
        </w:rPr>
        <w:t>iii</w:t>
      </w:r>
      <w:proofErr w:type="spellEnd"/>
      <w:r w:rsidRPr="008E37D0">
        <w:rPr>
          <w:rFonts w:ascii="Verdana" w:hAnsi="Verdana" w:cs="Arial"/>
          <w:color w:val="000000" w:themeColor="text1"/>
          <w:sz w:val="20"/>
          <w:szCs w:val="20"/>
        </w:rPr>
        <w:t xml:space="preserve">) el objeto del contrato debe estar acorde con el plan nacional o seccional de desarrollo; </w:t>
      </w:r>
      <w:proofErr w:type="spellStart"/>
      <w:r w:rsidRPr="008E37D0">
        <w:rPr>
          <w:rFonts w:ascii="Verdana" w:hAnsi="Verdana" w:cs="Arial"/>
          <w:color w:val="000000" w:themeColor="text1"/>
          <w:sz w:val="20"/>
          <w:szCs w:val="20"/>
        </w:rPr>
        <w:t>iv</w:t>
      </w:r>
      <w:proofErr w:type="spellEnd"/>
      <w:r w:rsidRPr="008E37D0">
        <w:rPr>
          <w:rFonts w:ascii="Verdana" w:hAnsi="Verdana" w:cs="Arial"/>
          <w:color w:val="000000" w:themeColor="text1"/>
          <w:sz w:val="20"/>
          <w:szCs w:val="20"/>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8E37D0">
        <w:rPr>
          <w:rFonts w:ascii="Verdana" w:hAnsi="Verdana" w:cs="Arial"/>
          <w:color w:val="000000" w:themeColor="text1"/>
          <w:sz w:val="20"/>
          <w:szCs w:val="20"/>
        </w:rPr>
        <w:t>iii</w:t>
      </w:r>
      <w:proofErr w:type="spellEnd"/>
      <w:r w:rsidRPr="008E37D0">
        <w:rPr>
          <w:rFonts w:ascii="Verdana" w:hAnsi="Verdana" w:cs="Arial"/>
          <w:color w:val="000000" w:themeColor="text1"/>
          <w:sz w:val="20"/>
          <w:szCs w:val="20"/>
        </w:rPr>
        <w:t xml:space="preserve">); y v) el contrato no debe establecer una relación conmutativa en el </w:t>
      </w:r>
      <w:r w:rsidRPr="008E37D0">
        <w:rPr>
          <w:rFonts w:ascii="Verdana" w:hAnsi="Verdana" w:cs="Arial"/>
          <w:color w:val="000000" w:themeColor="text1"/>
          <w:sz w:val="20"/>
          <w:szCs w:val="20"/>
        </w:rPr>
        <w:lastRenderedPageBreak/>
        <w:t>cual haya una contraprestación directa a favor de la entidad, ni instrucciones precisas dadas por esta al contratista para cumplir con el objeto del contrato.</w:t>
      </w:r>
    </w:p>
    <w:p w14:paraId="5E935766"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558CD38C"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169C867E"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0DE04114"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6F2D63AB"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3B559B4C"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5E3375F8"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7741903E"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2947A2F8"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3C43D517"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1152BAC2"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2DD3716E"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23B35158"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31446247"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277B184F"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3860525C"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62446E15"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76401396"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133C5A48"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0D602824"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3CF0B875"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79E13000"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4EFB657D"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1D713F0F"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1C8CE357"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63FA3F9E"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12678763"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28C1A587"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27F7E73D"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6C6ED5AA"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7307D809"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0EF7C616"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5276F45C"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38895A5E"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085CA60A"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655A7199"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59C4DB9D"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7029F87D"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152EC72D"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3E9BD540"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7B50D229"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669B6DE5"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73D3E5E5" w14:textId="77777777" w:rsidR="00F25881" w:rsidRPr="00665260" w:rsidRDefault="00F25881" w:rsidP="00F25881">
      <w:pPr>
        <w:spacing w:after="0" w:line="240" w:lineRule="auto"/>
        <w:jc w:val="both"/>
        <w:rPr>
          <w:rFonts w:ascii="Verdana" w:eastAsia="Geomanist Light" w:hAnsi="Verdana" w:cs="Arial"/>
          <w:color w:val="000000" w:themeColor="text1"/>
          <w:sz w:val="20"/>
          <w:szCs w:val="20"/>
          <w:lang w:val="es-MX"/>
        </w:rPr>
      </w:pPr>
    </w:p>
    <w:p w14:paraId="23277E20" w14:textId="77777777" w:rsidR="00F25881" w:rsidRDefault="00F25881" w:rsidP="00F25881">
      <w:pPr>
        <w:spacing w:after="0" w:line="240" w:lineRule="auto"/>
        <w:jc w:val="both"/>
        <w:rPr>
          <w:rFonts w:ascii="Verdana" w:eastAsia="Geomanist Light" w:hAnsi="Verdana" w:cs="Arial"/>
          <w:color w:val="000000" w:themeColor="text1"/>
          <w:sz w:val="20"/>
          <w:szCs w:val="20"/>
          <w:lang w:val="es-MX"/>
        </w:rPr>
      </w:pPr>
    </w:p>
    <w:p w14:paraId="3D1E55E3" w14:textId="2D9F20A1" w:rsidR="00F25881" w:rsidRPr="004667F5" w:rsidRDefault="00F25881" w:rsidP="00F25881">
      <w:pPr>
        <w:spacing w:after="0" w:line="240" w:lineRule="auto"/>
        <w:rPr>
          <w:rFonts w:ascii="Verdana" w:hAnsi="Verdana"/>
        </w:rPr>
      </w:pPr>
      <w:r w:rsidRPr="00593A5F">
        <w:rPr>
          <w:rFonts w:ascii="Verdana" w:eastAsia="Geomanist Light" w:hAnsi="Verdana" w:cs="Arial"/>
          <w:color w:val="000000" w:themeColor="text1"/>
          <w:lang w:val="es-MX"/>
        </w:rPr>
        <w:lastRenderedPageBreak/>
        <w:t>Bogotá D.C., </w:t>
      </w:r>
      <w:r w:rsidR="00EC3E49">
        <w:rPr>
          <w:rFonts w:ascii="Verdana" w:hAnsi="Verdana"/>
        </w:rPr>
        <w:t>04 mayo 2026</w:t>
      </w:r>
    </w:p>
    <w:p w14:paraId="4FD1AB26" w14:textId="77777777" w:rsidR="00F25881" w:rsidRDefault="00F25881" w:rsidP="00F25881">
      <w:pPr>
        <w:spacing w:after="0" w:line="240" w:lineRule="auto"/>
        <w:jc w:val="both"/>
        <w:rPr>
          <w:rFonts w:ascii="Verdana" w:eastAsia="Calibri" w:hAnsi="Verdana" w:cs="Arial"/>
          <w:color w:val="000000"/>
          <w:lang w:val="es-ES"/>
        </w:rPr>
      </w:pPr>
    </w:p>
    <w:p w14:paraId="399FA7CC" w14:textId="1894448E" w:rsidR="00F25881" w:rsidRDefault="00F25881" w:rsidP="00F25881">
      <w:pPr>
        <w:spacing w:after="0" w:line="240" w:lineRule="auto"/>
        <w:jc w:val="right"/>
        <w:rPr>
          <w:rFonts w:ascii="Verdana" w:eastAsia="Calibri" w:hAnsi="Verdana" w:cs="Arial"/>
          <w:color w:val="000000"/>
          <w:lang w:val="es-ES"/>
        </w:rPr>
      </w:pPr>
    </w:p>
    <w:p w14:paraId="3CF51287" w14:textId="474FAC96" w:rsidR="00F25881" w:rsidRPr="00B96799" w:rsidRDefault="00EC3E49" w:rsidP="00F25881">
      <w:pPr>
        <w:spacing w:after="0" w:line="240" w:lineRule="auto"/>
        <w:jc w:val="both"/>
        <w:rPr>
          <w:rFonts w:ascii="Verdana" w:eastAsia="Calibri" w:hAnsi="Verdana" w:cs="Arial"/>
          <w:lang w:val="es-ES" w:eastAsia="es-ES"/>
        </w:rPr>
      </w:pPr>
      <w:r w:rsidRPr="00EC3E49">
        <w:rPr>
          <w:rFonts w:ascii="Verdana" w:eastAsia="Calibri" w:hAnsi="Verdana" w:cs="Arial"/>
          <w:noProof/>
          <w:lang w:val="es-ES" w:eastAsia="es-ES"/>
        </w:rPr>
        <w:drawing>
          <wp:anchor distT="0" distB="0" distL="114300" distR="114300" simplePos="0" relativeHeight="251658240" behindDoc="1" locked="0" layoutInCell="1" allowOverlap="1" wp14:anchorId="1D665659" wp14:editId="69931461">
            <wp:simplePos x="0" y="0"/>
            <wp:positionH relativeFrom="margin">
              <wp:align>right</wp:align>
            </wp:positionH>
            <wp:positionV relativeFrom="paragraph">
              <wp:posOffset>11991</wp:posOffset>
            </wp:positionV>
            <wp:extent cx="2741295" cy="759460"/>
            <wp:effectExtent l="0" t="0" r="1905" b="2540"/>
            <wp:wrapTight wrapText="bothSides">
              <wp:wrapPolygon edited="0">
                <wp:start x="0" y="0"/>
                <wp:lineTo x="0" y="21130"/>
                <wp:lineTo x="21465" y="21130"/>
                <wp:lineTo x="21465" y="0"/>
                <wp:lineTo x="0" y="0"/>
              </wp:wrapPolygon>
            </wp:wrapTight>
            <wp:docPr id="18249899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1295" cy="759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5881">
        <w:rPr>
          <w:rFonts w:ascii="Verdana" w:eastAsia="Calibri" w:hAnsi="Verdana" w:cs="Arial"/>
          <w:lang w:val="es-ES" w:eastAsia="es-ES"/>
        </w:rPr>
        <w:t>Señor</w:t>
      </w:r>
    </w:p>
    <w:p w14:paraId="20D4A195" w14:textId="6C1045B9" w:rsidR="00F25881" w:rsidRPr="0085423D" w:rsidRDefault="00F25881" w:rsidP="73B13109">
      <w:pPr>
        <w:spacing w:after="0" w:line="240" w:lineRule="auto"/>
        <w:rPr>
          <w:rFonts w:ascii="Verdana" w:eastAsia="Calibri" w:hAnsi="Verdana" w:cs="Arial"/>
          <w:b/>
          <w:bCs/>
          <w:lang w:val="es-ES" w:eastAsia="es-ES"/>
        </w:rPr>
      </w:pPr>
      <w:bookmarkStart w:id="0" w:name="OLE_LINK1"/>
      <w:r w:rsidRPr="73B13109">
        <w:rPr>
          <w:rFonts w:ascii="Verdana" w:eastAsia="Calibri" w:hAnsi="Verdana" w:cs="Arial"/>
          <w:b/>
          <w:bCs/>
          <w:lang w:val="es-ES" w:eastAsia="es-ES"/>
        </w:rPr>
        <w:t>Cesar Augusto Velez Gómez</w:t>
      </w:r>
    </w:p>
    <w:bookmarkEnd w:id="0"/>
    <w:p w14:paraId="1847911F" w14:textId="77777777" w:rsidR="00F25881" w:rsidRDefault="00F25881" w:rsidP="00F25881">
      <w:pPr>
        <w:spacing w:after="0" w:line="240" w:lineRule="auto"/>
        <w:rPr>
          <w:rFonts w:ascii="Verdana" w:hAnsi="Verdana"/>
        </w:rPr>
      </w:pPr>
      <w:r w:rsidRPr="0052190C">
        <w:rPr>
          <w:rFonts w:ascii="Verdana" w:hAnsi="Verdana"/>
        </w:rPr>
        <w:fldChar w:fldCharType="begin"/>
      </w:r>
      <w:r w:rsidRPr="0052190C">
        <w:rPr>
          <w:rFonts w:ascii="Verdana" w:hAnsi="Verdana"/>
        </w:rPr>
        <w:instrText>HYPERLINK "mailto:vecesareo@gmail.com"</w:instrText>
      </w:r>
      <w:r w:rsidRPr="0052190C">
        <w:rPr>
          <w:rFonts w:ascii="Verdana" w:hAnsi="Verdana"/>
        </w:rPr>
      </w:r>
      <w:r w:rsidRPr="0052190C">
        <w:rPr>
          <w:rFonts w:ascii="Verdana" w:hAnsi="Verdana"/>
        </w:rPr>
        <w:fldChar w:fldCharType="separate"/>
      </w:r>
      <w:r w:rsidRPr="0052190C">
        <w:rPr>
          <w:rStyle w:val="Hipervnculo"/>
          <w:rFonts w:ascii="Verdana" w:hAnsi="Verdana"/>
        </w:rPr>
        <w:t>vecesareo@gmail.com</w:t>
      </w:r>
      <w:r w:rsidRPr="0052190C">
        <w:rPr>
          <w:rFonts w:ascii="Verdana" w:hAnsi="Verdana"/>
        </w:rPr>
        <w:fldChar w:fldCharType="end"/>
      </w:r>
      <w:r w:rsidRPr="0052190C">
        <w:rPr>
          <w:rFonts w:ascii="Verdana" w:hAnsi="Verdana"/>
        </w:rPr>
        <w:t> </w:t>
      </w:r>
    </w:p>
    <w:p w14:paraId="0C970A63" w14:textId="77777777" w:rsidR="00F25881" w:rsidRPr="007A6B04" w:rsidRDefault="00F25881" w:rsidP="00F25881">
      <w:pPr>
        <w:spacing w:after="0" w:line="240" w:lineRule="auto"/>
        <w:rPr>
          <w:rFonts w:ascii="Verdana" w:hAnsi="Verdana"/>
        </w:rPr>
      </w:pPr>
      <w:r>
        <w:rPr>
          <w:rFonts w:ascii="Verdana" w:eastAsia="Calibri" w:hAnsi="Verdana" w:cs="Arial"/>
          <w:lang w:val="es-ES" w:eastAsia="es-ES"/>
        </w:rPr>
        <w:t xml:space="preserve">Medellín, Antioquia </w:t>
      </w:r>
    </w:p>
    <w:p w14:paraId="19762D51" w14:textId="77777777" w:rsidR="00F25881" w:rsidRPr="00593A5F" w:rsidRDefault="00F25881" w:rsidP="00F25881">
      <w:pPr>
        <w:spacing w:after="0" w:line="240" w:lineRule="auto"/>
        <w:rPr>
          <w:rFonts w:ascii="Verdana" w:eastAsia="Calibri" w:hAnsi="Verdana" w:cs="Arial"/>
          <w:b/>
          <w:bCs/>
          <w:color w:val="000000"/>
          <w:lang w:val="es-ES_tradnl" w:eastAsia="es-ES_tradnl"/>
        </w:rPr>
      </w:pPr>
    </w:p>
    <w:p w14:paraId="65B53C7D" w14:textId="77777777" w:rsidR="00F25881" w:rsidRPr="00593A5F" w:rsidRDefault="00F25881" w:rsidP="00F2588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25881" w:rsidRPr="00593A5F" w14:paraId="01769127" w14:textId="77777777" w:rsidTr="003C21C1">
        <w:trPr>
          <w:trHeight w:val="170"/>
        </w:trPr>
        <w:tc>
          <w:tcPr>
            <w:tcW w:w="2689" w:type="dxa"/>
          </w:tcPr>
          <w:p w14:paraId="74DE6CDC" w14:textId="77777777" w:rsidR="00F25881" w:rsidRPr="00C00976" w:rsidRDefault="00F25881" w:rsidP="003C21C1">
            <w:pPr>
              <w:jc w:val="both"/>
              <w:rPr>
                <w:rFonts w:ascii="Verdana" w:eastAsia="Calibri" w:hAnsi="Verdana" w:cs="Arial"/>
                <w:b/>
                <w:bCs/>
                <w:color w:val="7030A0"/>
                <w:lang w:val="es-ES_tradnl" w:eastAsia="es-ES_tradnl"/>
              </w:rPr>
            </w:pPr>
          </w:p>
        </w:tc>
        <w:tc>
          <w:tcPr>
            <w:tcW w:w="6100" w:type="dxa"/>
          </w:tcPr>
          <w:p w14:paraId="140331E1" w14:textId="77777777" w:rsidR="00F25881" w:rsidRDefault="00F25881" w:rsidP="003C21C1">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447 </w:t>
            </w:r>
            <w:r w:rsidRPr="008E6AD9">
              <w:rPr>
                <w:rFonts w:ascii="Verdana" w:eastAsia="Calibri" w:hAnsi="Verdana" w:cs="Arial"/>
                <w:b/>
                <w:bCs/>
                <w:lang w:val="es-ES" w:eastAsia="es-ES"/>
              </w:rPr>
              <w:t>de 202</w:t>
            </w:r>
            <w:r>
              <w:rPr>
                <w:rFonts w:ascii="Verdana" w:eastAsia="Calibri" w:hAnsi="Verdana" w:cs="Arial"/>
                <w:b/>
                <w:bCs/>
                <w:lang w:val="es-ES" w:eastAsia="es-ES"/>
              </w:rPr>
              <w:t>6</w:t>
            </w:r>
          </w:p>
          <w:p w14:paraId="599D4540" w14:textId="77777777" w:rsidR="00F25881" w:rsidRPr="00C00976" w:rsidRDefault="00F25881" w:rsidP="003C21C1">
            <w:pPr>
              <w:jc w:val="both"/>
              <w:rPr>
                <w:rFonts w:ascii="Verdana" w:eastAsia="Calibri" w:hAnsi="Verdana" w:cs="Arial"/>
                <w:b/>
                <w:bCs/>
                <w:color w:val="7030A0"/>
                <w:lang w:val="es-ES" w:eastAsia="es-ES"/>
              </w:rPr>
            </w:pPr>
          </w:p>
        </w:tc>
      </w:tr>
      <w:tr w:rsidR="00F25881" w:rsidRPr="00593A5F" w14:paraId="2CCCA9DC" w14:textId="77777777" w:rsidTr="003C21C1">
        <w:trPr>
          <w:trHeight w:val="884"/>
        </w:trPr>
        <w:tc>
          <w:tcPr>
            <w:tcW w:w="2689" w:type="dxa"/>
          </w:tcPr>
          <w:p w14:paraId="3CAB4409" w14:textId="77777777" w:rsidR="00F25881" w:rsidRPr="00593A5F" w:rsidRDefault="00F25881" w:rsidP="003C21C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15DCFF6" w14:textId="77777777" w:rsidR="00F25881" w:rsidRDefault="00F25881" w:rsidP="003C21C1">
            <w:pPr>
              <w:jc w:val="both"/>
              <w:rPr>
                <w:rFonts w:ascii="Verdana" w:hAnsi="Verdana" w:cs="Arial"/>
                <w:color w:val="000000" w:themeColor="text1"/>
              </w:rPr>
            </w:pPr>
            <w:r>
              <w:rPr>
                <w:rFonts w:ascii="Verdana" w:hAnsi="Verdana" w:cs="Arial"/>
                <w:color w:val="000000" w:themeColor="text1"/>
              </w:rPr>
              <w:t xml:space="preserve">LEY DE GARANTÍAS ELECTORALES – Propósito / LEY DE GARANTÍAS ELECTORALES – Prohibiciones – Restricciones / LEY DE GARANTÍAS ELECTORALES – Artículo 33 – Ámbito material / LEY DE GARANTÍAS ELECTORALES – Destinatarios / LEY DE GARANTÍAS ELECTORALES – Excepciones / </w:t>
            </w:r>
            <w:r w:rsidRPr="00F337DA">
              <w:rPr>
                <w:rFonts w:ascii="Verdana" w:hAnsi="Verdana" w:cs="Arial"/>
                <w:color w:val="000000" w:themeColor="text1"/>
              </w:rPr>
              <w:t>LEY DE GARANTÍAS ELECTORALES</w:t>
            </w:r>
            <w:r>
              <w:rPr>
                <w:rFonts w:ascii="Verdana" w:hAnsi="Verdana" w:cs="Arial"/>
                <w:color w:val="000000" w:themeColor="text1"/>
              </w:rPr>
              <w:t xml:space="preserve"> – Parágrafo del artículo 38 - Alcance / LEY DE GARANTÍAS ELECTORALES – Convenios interadministrativos – Contratos interadministrativos / </w:t>
            </w:r>
            <w:r w:rsidRPr="005E6302">
              <w:rPr>
                <w:rFonts w:ascii="Verdana" w:hAnsi="Verdana" w:cs="Arial"/>
                <w:color w:val="000000" w:themeColor="text1"/>
              </w:rPr>
              <w:t xml:space="preserve">CONTRATOS CON ESAL- Artículo 355 Constitución Política / DECRETO 092 DE 2017 – Contratos de Colaboración – Convenios de Asociación / CONTRATOS CON ESAL – Alcance – Requisitos </w:t>
            </w:r>
          </w:p>
          <w:p w14:paraId="56FFC245" w14:textId="77777777" w:rsidR="00F25881" w:rsidRPr="00593A5F" w:rsidRDefault="00F25881" w:rsidP="003C21C1">
            <w:pPr>
              <w:jc w:val="both"/>
              <w:rPr>
                <w:rFonts w:ascii="Verdana" w:eastAsia="Calibri" w:hAnsi="Verdana" w:cs="Arial"/>
                <w:lang w:val="es-ES" w:eastAsia="es-ES"/>
              </w:rPr>
            </w:pPr>
          </w:p>
        </w:tc>
      </w:tr>
      <w:tr w:rsidR="00F25881" w:rsidRPr="008E6AD9" w14:paraId="2ABD6F4B" w14:textId="77777777" w:rsidTr="003C21C1">
        <w:tc>
          <w:tcPr>
            <w:tcW w:w="2689" w:type="dxa"/>
          </w:tcPr>
          <w:p w14:paraId="429D19C4" w14:textId="77777777" w:rsidR="00F25881" w:rsidRPr="008E6AD9" w:rsidRDefault="00F25881" w:rsidP="003C21C1">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FF23A90" w14:textId="77777777" w:rsidR="00F25881" w:rsidRPr="00B92340" w:rsidRDefault="00F25881" w:rsidP="003C21C1">
            <w:pPr>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18326D">
              <w:rPr>
                <w:rFonts w:ascii="Verdana" w:eastAsia="Calibri" w:hAnsi="Verdana" w:cs="Arial"/>
                <w:lang w:val="es-ES_tradnl" w:eastAsia="es-ES_tradnl"/>
              </w:rPr>
              <w:t>1_2026_03_18_003780</w:t>
            </w:r>
          </w:p>
        </w:tc>
      </w:tr>
    </w:tbl>
    <w:p w14:paraId="406366F0" w14:textId="77777777" w:rsidR="00F25881" w:rsidRPr="00593A5F" w:rsidRDefault="00F25881" w:rsidP="00F25881">
      <w:pPr>
        <w:spacing w:after="0" w:line="240" w:lineRule="auto"/>
        <w:jc w:val="both"/>
        <w:rPr>
          <w:rFonts w:ascii="Verdana" w:eastAsia="Calibri" w:hAnsi="Verdana" w:cs="Arial"/>
          <w:color w:val="000000"/>
          <w:lang w:val="es-ES_tradnl" w:eastAsia="es-ES_tradnl"/>
        </w:rPr>
      </w:pPr>
    </w:p>
    <w:p w14:paraId="4070E519" w14:textId="77777777" w:rsidR="00F25881" w:rsidRPr="00593A5F" w:rsidRDefault="00F25881" w:rsidP="00F25881">
      <w:pPr>
        <w:spacing w:after="0" w:line="240" w:lineRule="auto"/>
        <w:jc w:val="both"/>
        <w:rPr>
          <w:rFonts w:ascii="Verdana" w:eastAsia="Calibri" w:hAnsi="Verdana" w:cs="Arial"/>
          <w:color w:val="000000"/>
          <w:lang w:val="es-ES_tradnl" w:eastAsia="es-ES_tradnl"/>
        </w:rPr>
      </w:pPr>
    </w:p>
    <w:p w14:paraId="4611B6BD" w14:textId="77777777" w:rsidR="00F25881" w:rsidRPr="008E6AD9" w:rsidRDefault="00F25881" w:rsidP="00F2588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 Velez, cordial saludo,</w:t>
      </w:r>
      <w:r w:rsidRPr="008E6AD9">
        <w:rPr>
          <w:rFonts w:ascii="Verdana" w:eastAsia="Calibri" w:hAnsi="Verdana" w:cs="Arial"/>
          <w:lang w:val="es-ES" w:eastAsia="es-ES"/>
        </w:rPr>
        <w:t xml:space="preserve"> </w:t>
      </w:r>
    </w:p>
    <w:p w14:paraId="309C5584" w14:textId="77777777" w:rsidR="00F25881" w:rsidRDefault="00F25881" w:rsidP="00F2588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8896F28" w14:textId="77777777" w:rsidR="00F25881" w:rsidRPr="00593A5F" w:rsidRDefault="00F25881" w:rsidP="00F2588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17 de marzo de 2026, en la cual solicita:</w:t>
      </w:r>
      <w:r w:rsidRPr="008E6AD9">
        <w:rPr>
          <w:rFonts w:ascii="Verdana" w:eastAsia="Calibri" w:hAnsi="Verdana" w:cs="Arial"/>
          <w:lang w:val="es-ES" w:eastAsia="es-ES"/>
        </w:rPr>
        <w:t xml:space="preserve"> </w:t>
      </w:r>
    </w:p>
    <w:p w14:paraId="4B7A594D" w14:textId="77777777" w:rsidR="00F25881" w:rsidRPr="00272A7B" w:rsidRDefault="00F25881" w:rsidP="00F2588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FC0BDE8" w14:textId="77777777" w:rsidR="00F25881" w:rsidRPr="0020085E" w:rsidRDefault="00F25881" w:rsidP="00F25881">
      <w:pPr>
        <w:spacing w:after="0" w:line="240" w:lineRule="auto"/>
        <w:ind w:left="709" w:right="709"/>
        <w:jc w:val="both"/>
        <w:rPr>
          <w:rFonts w:ascii="Verdana" w:eastAsia="Calibri" w:hAnsi="Verdana" w:cs="Arial"/>
          <w:color w:val="000000" w:themeColor="text1"/>
          <w:sz w:val="20"/>
          <w:szCs w:val="20"/>
          <w:lang w:eastAsia="es-ES"/>
        </w:rPr>
      </w:pPr>
      <w:r w:rsidRPr="008641A0">
        <w:rPr>
          <w:rFonts w:ascii="Verdana" w:eastAsia="Calibri" w:hAnsi="Verdana" w:cs="Arial"/>
          <w:color w:val="000000" w:themeColor="text1"/>
          <w:sz w:val="20"/>
          <w:szCs w:val="20"/>
          <w:lang w:val="es-ES" w:eastAsia="es-ES"/>
        </w:rPr>
        <w:t xml:space="preserve">“[…] </w:t>
      </w:r>
      <w:r w:rsidRPr="0020085E">
        <w:rPr>
          <w:rFonts w:ascii="Verdana" w:eastAsia="Calibri" w:hAnsi="Verdana" w:cs="Arial"/>
          <w:color w:val="000000" w:themeColor="text1"/>
          <w:sz w:val="20"/>
          <w:szCs w:val="20"/>
          <w:lang w:eastAsia="es-ES"/>
        </w:rPr>
        <w:t>Respetuosamente se solicita a la </w:t>
      </w:r>
      <w:r w:rsidRPr="0020085E">
        <w:rPr>
          <w:rFonts w:ascii="Verdana" w:eastAsia="Calibri" w:hAnsi="Verdana" w:cs="Arial"/>
          <w:b/>
          <w:bCs/>
          <w:color w:val="000000" w:themeColor="text1"/>
          <w:sz w:val="20"/>
          <w:szCs w:val="20"/>
          <w:lang w:eastAsia="es-ES"/>
        </w:rPr>
        <w:t>Agencia Nacional de Contratación Pública – Colombia Compra Eficiente</w:t>
      </w:r>
      <w:r w:rsidRPr="0020085E">
        <w:rPr>
          <w:rFonts w:ascii="Verdana" w:eastAsia="Calibri" w:hAnsi="Verdana" w:cs="Arial"/>
          <w:color w:val="000000" w:themeColor="text1"/>
          <w:sz w:val="20"/>
          <w:szCs w:val="20"/>
          <w:lang w:eastAsia="es-ES"/>
        </w:rPr>
        <w:t>:</w:t>
      </w:r>
    </w:p>
    <w:p w14:paraId="10424C72" w14:textId="77777777" w:rsidR="00F25881" w:rsidRPr="0020085E" w:rsidRDefault="00F25881" w:rsidP="00F25881">
      <w:pPr>
        <w:numPr>
          <w:ilvl w:val="0"/>
          <w:numId w:val="18"/>
        </w:numPr>
        <w:spacing w:after="0" w:line="240" w:lineRule="auto"/>
        <w:ind w:right="709"/>
        <w:jc w:val="both"/>
        <w:rPr>
          <w:rFonts w:ascii="Verdana" w:eastAsia="Calibri" w:hAnsi="Verdana" w:cs="Arial"/>
          <w:color w:val="000000" w:themeColor="text1"/>
          <w:sz w:val="20"/>
          <w:szCs w:val="20"/>
          <w:lang w:eastAsia="es-ES"/>
        </w:rPr>
      </w:pPr>
      <w:r w:rsidRPr="0020085E">
        <w:rPr>
          <w:rFonts w:ascii="Verdana" w:eastAsia="Calibri" w:hAnsi="Verdana" w:cs="Arial"/>
          <w:color w:val="000000" w:themeColor="text1"/>
          <w:sz w:val="20"/>
          <w:szCs w:val="20"/>
          <w:lang w:eastAsia="es-ES"/>
        </w:rPr>
        <w:t>Emitir concepto sobre si las restricciones previstas en el </w:t>
      </w:r>
      <w:r w:rsidRPr="0020085E">
        <w:rPr>
          <w:rFonts w:ascii="Verdana" w:eastAsia="Calibri" w:hAnsi="Verdana" w:cs="Arial"/>
          <w:b/>
          <w:bCs/>
          <w:color w:val="000000" w:themeColor="text1"/>
          <w:sz w:val="20"/>
          <w:szCs w:val="20"/>
          <w:lang w:eastAsia="es-ES"/>
        </w:rPr>
        <w:t>artículo 33 de la Ley 996 de 2005</w:t>
      </w:r>
      <w:r w:rsidRPr="0020085E">
        <w:rPr>
          <w:rFonts w:ascii="Verdana" w:eastAsia="Calibri" w:hAnsi="Verdana" w:cs="Arial"/>
          <w:color w:val="000000" w:themeColor="text1"/>
          <w:sz w:val="20"/>
          <w:szCs w:val="20"/>
          <w:lang w:eastAsia="es-ES"/>
        </w:rPr>
        <w:t xml:space="preserve"> resultan aplicables a una entidad estatal </w:t>
      </w:r>
      <w:r w:rsidRPr="0020085E">
        <w:rPr>
          <w:rFonts w:ascii="Verdana" w:eastAsia="Calibri" w:hAnsi="Verdana" w:cs="Arial"/>
          <w:color w:val="000000" w:themeColor="text1"/>
          <w:sz w:val="20"/>
          <w:szCs w:val="20"/>
          <w:lang w:eastAsia="es-ES"/>
        </w:rPr>
        <w:lastRenderedPageBreak/>
        <w:t>con </w:t>
      </w:r>
      <w:r w:rsidRPr="0020085E">
        <w:rPr>
          <w:rFonts w:ascii="Verdana" w:eastAsia="Calibri" w:hAnsi="Verdana" w:cs="Arial"/>
          <w:b/>
          <w:bCs/>
          <w:color w:val="000000" w:themeColor="text1"/>
          <w:sz w:val="20"/>
          <w:szCs w:val="20"/>
          <w:lang w:eastAsia="es-ES"/>
        </w:rPr>
        <w:t>régimen contractual de derecho privado</w:t>
      </w:r>
      <w:r w:rsidRPr="0020085E">
        <w:rPr>
          <w:rFonts w:ascii="Verdana" w:eastAsia="Calibri" w:hAnsi="Verdana" w:cs="Arial"/>
          <w:color w:val="000000" w:themeColor="text1"/>
          <w:sz w:val="20"/>
          <w:szCs w:val="20"/>
          <w:lang w:eastAsia="es-ES"/>
        </w:rPr>
        <w:t> que actúa como </w:t>
      </w:r>
      <w:r w:rsidRPr="0020085E">
        <w:rPr>
          <w:rFonts w:ascii="Verdana" w:eastAsia="Calibri" w:hAnsi="Verdana" w:cs="Arial"/>
          <w:b/>
          <w:bCs/>
          <w:color w:val="000000" w:themeColor="text1"/>
          <w:sz w:val="20"/>
          <w:szCs w:val="20"/>
          <w:lang w:eastAsia="es-ES"/>
        </w:rPr>
        <w:t>contratista de empresas privadas</w:t>
      </w:r>
      <w:r w:rsidRPr="0020085E">
        <w:rPr>
          <w:rFonts w:ascii="Verdana" w:eastAsia="Calibri" w:hAnsi="Verdana" w:cs="Arial"/>
          <w:color w:val="000000" w:themeColor="text1"/>
          <w:sz w:val="20"/>
          <w:szCs w:val="20"/>
          <w:lang w:eastAsia="es-ES"/>
        </w:rPr>
        <w:t>.</w:t>
      </w:r>
    </w:p>
    <w:p w14:paraId="5A7B58C0" w14:textId="77777777" w:rsidR="00F25881" w:rsidRPr="0020085E" w:rsidRDefault="00F25881" w:rsidP="00F25881">
      <w:pPr>
        <w:numPr>
          <w:ilvl w:val="0"/>
          <w:numId w:val="18"/>
        </w:numPr>
        <w:spacing w:after="0" w:line="240" w:lineRule="auto"/>
        <w:ind w:right="709"/>
        <w:jc w:val="both"/>
        <w:rPr>
          <w:rFonts w:ascii="Verdana" w:eastAsia="Calibri" w:hAnsi="Verdana" w:cs="Arial"/>
          <w:color w:val="000000" w:themeColor="text1"/>
          <w:sz w:val="20"/>
          <w:szCs w:val="20"/>
          <w:lang w:eastAsia="es-ES"/>
        </w:rPr>
      </w:pPr>
      <w:r w:rsidRPr="0020085E">
        <w:rPr>
          <w:rFonts w:ascii="Verdana" w:eastAsia="Calibri" w:hAnsi="Verdana" w:cs="Arial"/>
          <w:color w:val="000000" w:themeColor="text1"/>
          <w:sz w:val="20"/>
          <w:szCs w:val="20"/>
          <w:lang w:eastAsia="es-ES"/>
        </w:rPr>
        <w:t>Precisar si, durante el período de aplicación de la Ley de Garantías Electorales, dicha entidad puede </w:t>
      </w:r>
      <w:r w:rsidRPr="0020085E">
        <w:rPr>
          <w:rFonts w:ascii="Verdana" w:eastAsia="Calibri" w:hAnsi="Verdana" w:cs="Arial"/>
          <w:b/>
          <w:bCs/>
          <w:color w:val="000000" w:themeColor="text1"/>
          <w:sz w:val="20"/>
          <w:szCs w:val="20"/>
          <w:lang w:eastAsia="es-ES"/>
        </w:rPr>
        <w:t>celebrar nuevos contratos de naturaleza comercial</w:t>
      </w:r>
      <w:r w:rsidRPr="0020085E">
        <w:rPr>
          <w:rFonts w:ascii="Verdana" w:eastAsia="Calibri" w:hAnsi="Verdana" w:cs="Arial"/>
          <w:color w:val="000000" w:themeColor="text1"/>
          <w:sz w:val="20"/>
          <w:szCs w:val="20"/>
          <w:lang w:eastAsia="es-ES"/>
        </w:rPr>
        <w:t> en desarrollo de su objeto social.</w:t>
      </w:r>
    </w:p>
    <w:p w14:paraId="4908A573" w14:textId="77777777" w:rsidR="00F25881" w:rsidRPr="0020085E" w:rsidRDefault="00F25881" w:rsidP="00F25881">
      <w:pPr>
        <w:numPr>
          <w:ilvl w:val="0"/>
          <w:numId w:val="18"/>
        </w:numPr>
        <w:spacing w:after="0" w:line="240" w:lineRule="auto"/>
        <w:ind w:right="709"/>
        <w:jc w:val="both"/>
        <w:rPr>
          <w:rFonts w:ascii="Verdana" w:eastAsia="Calibri" w:hAnsi="Verdana" w:cs="Arial"/>
          <w:color w:val="000000" w:themeColor="text1"/>
          <w:sz w:val="20"/>
          <w:szCs w:val="20"/>
          <w:lang w:eastAsia="es-ES"/>
        </w:rPr>
      </w:pPr>
      <w:r w:rsidRPr="0020085E">
        <w:rPr>
          <w:rFonts w:ascii="Verdana" w:eastAsia="Calibri" w:hAnsi="Verdana" w:cs="Arial"/>
          <w:color w:val="000000" w:themeColor="text1"/>
          <w:sz w:val="20"/>
          <w:szCs w:val="20"/>
          <w:lang w:eastAsia="es-ES"/>
        </w:rPr>
        <w:t>Señalar si la aplicación del artículo 33 de la Ley 996 de 2005 debe analizarse considerando la </w:t>
      </w:r>
      <w:r w:rsidRPr="0020085E">
        <w:rPr>
          <w:rFonts w:ascii="Verdana" w:eastAsia="Calibri" w:hAnsi="Verdana" w:cs="Arial"/>
          <w:b/>
          <w:bCs/>
          <w:color w:val="000000" w:themeColor="text1"/>
          <w:sz w:val="20"/>
          <w:szCs w:val="20"/>
          <w:lang w:eastAsia="es-ES"/>
        </w:rPr>
        <w:t>calidad en que interviene la entidad (contratista), la naturaleza del contrato, la fuente de los recursos y la incidencia en la sostenibilidad institucional</w:t>
      </w:r>
      <w:r w:rsidRPr="0020085E">
        <w:rPr>
          <w:rFonts w:ascii="Verdana" w:eastAsia="Calibri" w:hAnsi="Verdana" w:cs="Arial"/>
          <w:color w:val="000000" w:themeColor="text1"/>
          <w:sz w:val="20"/>
          <w:szCs w:val="20"/>
          <w:lang w:eastAsia="es-ES"/>
        </w:rPr>
        <w:t>.</w:t>
      </w:r>
    </w:p>
    <w:p w14:paraId="6BC0159A" w14:textId="77777777" w:rsidR="00F25881" w:rsidRPr="00CA2026" w:rsidRDefault="00F25881" w:rsidP="00F25881">
      <w:pPr>
        <w:numPr>
          <w:ilvl w:val="0"/>
          <w:numId w:val="18"/>
        </w:numPr>
        <w:spacing w:after="0" w:line="240" w:lineRule="auto"/>
        <w:ind w:left="709" w:right="709"/>
        <w:jc w:val="both"/>
        <w:rPr>
          <w:rFonts w:ascii="Verdana" w:eastAsia="Calibri" w:hAnsi="Verdana" w:cs="Arial"/>
          <w:color w:val="000000" w:themeColor="text1"/>
          <w:sz w:val="20"/>
          <w:szCs w:val="20"/>
          <w:lang w:val="es-ES" w:eastAsia="es-ES"/>
        </w:rPr>
      </w:pPr>
      <w:r w:rsidRPr="00CA2026">
        <w:rPr>
          <w:rFonts w:ascii="Verdana" w:eastAsia="Calibri" w:hAnsi="Verdana" w:cs="Arial"/>
          <w:color w:val="000000" w:themeColor="text1"/>
          <w:sz w:val="20"/>
          <w:szCs w:val="20"/>
          <w:lang w:eastAsia="es-ES"/>
        </w:rPr>
        <w:t>Informar si esa Agencia ha expedido </w:t>
      </w:r>
      <w:r w:rsidRPr="00CA2026">
        <w:rPr>
          <w:rFonts w:ascii="Verdana" w:eastAsia="Calibri" w:hAnsi="Verdana" w:cs="Arial"/>
          <w:b/>
          <w:bCs/>
          <w:color w:val="000000" w:themeColor="text1"/>
          <w:sz w:val="20"/>
          <w:szCs w:val="20"/>
          <w:lang w:eastAsia="es-ES"/>
        </w:rPr>
        <w:t>conceptos, circulares, guías o lineamientos oficiales</w:t>
      </w:r>
      <w:r w:rsidRPr="00CA2026">
        <w:rPr>
          <w:rFonts w:ascii="Verdana" w:eastAsia="Calibri" w:hAnsi="Verdana" w:cs="Arial"/>
          <w:color w:val="000000" w:themeColor="text1"/>
          <w:sz w:val="20"/>
          <w:szCs w:val="20"/>
          <w:lang w:eastAsia="es-ES"/>
        </w:rPr>
        <w:t> sobre la aplicación de la Ley de Garantías Electorales frente a entidades sometidas al </w:t>
      </w:r>
      <w:r w:rsidRPr="00CA2026">
        <w:rPr>
          <w:rFonts w:ascii="Verdana" w:eastAsia="Calibri" w:hAnsi="Verdana" w:cs="Arial"/>
          <w:b/>
          <w:bCs/>
          <w:color w:val="000000" w:themeColor="text1"/>
          <w:sz w:val="20"/>
          <w:szCs w:val="20"/>
          <w:lang w:eastAsia="es-ES"/>
        </w:rPr>
        <w:t>derecho privado o con régimen exceptuado de contratación</w:t>
      </w:r>
      <w:r w:rsidRPr="00CA2026">
        <w:rPr>
          <w:rFonts w:ascii="Verdana" w:eastAsia="Calibri" w:hAnsi="Verdana" w:cs="Arial"/>
          <w:color w:val="000000" w:themeColor="text1"/>
          <w:sz w:val="20"/>
          <w:szCs w:val="20"/>
          <w:lang w:eastAsia="es-ES"/>
        </w:rPr>
        <w:t>, y en caso afirmativo, indicar la fuente oficial de consulta o remitir copia.</w:t>
      </w:r>
      <w:r w:rsidRPr="00CA2026">
        <w:rPr>
          <w:rFonts w:ascii="Verdana" w:eastAsia="Calibri" w:hAnsi="Verdana" w:cs="Arial"/>
          <w:color w:val="000000" w:themeColor="text1"/>
          <w:sz w:val="20"/>
          <w:szCs w:val="20"/>
          <w:lang w:val="es-ES" w:eastAsia="es-ES"/>
        </w:rPr>
        <w:t>”</w:t>
      </w:r>
    </w:p>
    <w:p w14:paraId="43099335" w14:textId="77777777" w:rsidR="00F25881" w:rsidRPr="008E6AD9" w:rsidRDefault="00F25881" w:rsidP="00F25881">
      <w:pPr>
        <w:pStyle w:val="Prrafodelista"/>
        <w:tabs>
          <w:tab w:val="left" w:pos="142"/>
          <w:tab w:val="left" w:pos="284"/>
        </w:tabs>
        <w:spacing w:after="0" w:line="276" w:lineRule="auto"/>
        <w:ind w:left="0"/>
        <w:jc w:val="both"/>
        <w:rPr>
          <w:rFonts w:ascii="Verdana" w:eastAsia="Century Gothic" w:hAnsi="Verdana" w:cs="Century Gothic"/>
          <w:b/>
          <w:bCs/>
        </w:rPr>
      </w:pPr>
    </w:p>
    <w:p w14:paraId="61611F36" w14:textId="77777777" w:rsidR="00F25881" w:rsidRPr="00A652FF" w:rsidRDefault="00F25881" w:rsidP="00F2588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5F734FB" w14:textId="77777777" w:rsidR="00F25881" w:rsidRDefault="00F25881" w:rsidP="00F25881">
      <w:pPr>
        <w:spacing w:after="0" w:line="276" w:lineRule="auto"/>
        <w:ind w:firstLine="708"/>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7B85D45" w14:textId="77777777" w:rsidR="00F25881" w:rsidRDefault="00F25881" w:rsidP="00F25881">
      <w:pPr>
        <w:spacing w:after="0" w:line="276" w:lineRule="auto"/>
        <w:ind w:firstLine="708"/>
        <w:jc w:val="both"/>
        <w:rPr>
          <w:rFonts w:ascii="Verdana" w:eastAsia="Calibri" w:hAnsi="Verdana" w:cs="Arial"/>
          <w:color w:val="000000"/>
          <w:lang w:val="es-ES" w:eastAsia="es-ES"/>
        </w:rPr>
      </w:pPr>
    </w:p>
    <w:p w14:paraId="56DF02F8" w14:textId="77777777" w:rsidR="00F25881" w:rsidRDefault="00F25881" w:rsidP="00F25881">
      <w:pPr>
        <w:spacing w:after="0" w:line="276" w:lineRule="auto"/>
        <w:ind w:firstLine="708"/>
        <w:jc w:val="both"/>
        <w:rPr>
          <w:rFonts w:ascii="Verdana" w:eastAsia="Calibri" w:hAnsi="Verdana" w:cs="Arial"/>
          <w:color w:val="000000"/>
          <w:lang w:val="es-ES" w:eastAsia="es-ES"/>
        </w:rPr>
      </w:pPr>
    </w:p>
    <w:p w14:paraId="4481DB4E" w14:textId="77777777" w:rsidR="00F25881" w:rsidRPr="00423BE7" w:rsidRDefault="00F25881" w:rsidP="00F25881">
      <w:pPr>
        <w:spacing w:after="0" w:line="276" w:lineRule="auto"/>
        <w:ind w:firstLine="708"/>
        <w:jc w:val="both"/>
        <w:rPr>
          <w:rFonts w:ascii="Verdana" w:eastAsia="Calibri" w:hAnsi="Verdana" w:cs="Arial"/>
          <w:lang w:val="es-ES" w:eastAsia="es-ES"/>
        </w:rPr>
      </w:pPr>
    </w:p>
    <w:p w14:paraId="44C718CD" w14:textId="77777777" w:rsidR="00F25881" w:rsidRPr="00593A5F" w:rsidRDefault="00F25881" w:rsidP="00F25881">
      <w:pPr>
        <w:spacing w:after="0" w:line="276" w:lineRule="auto"/>
        <w:ind w:firstLine="709"/>
        <w:jc w:val="both"/>
        <w:rPr>
          <w:rFonts w:ascii="Verdana" w:eastAsia="Calibri" w:hAnsi="Verdana" w:cs="Arial"/>
          <w:color w:val="000000"/>
          <w:lang w:val="es-ES" w:eastAsia="es-ES"/>
        </w:rPr>
      </w:pPr>
    </w:p>
    <w:p w14:paraId="250F45AB" w14:textId="77777777" w:rsidR="00F25881" w:rsidRPr="00593A5F" w:rsidRDefault="00F25881" w:rsidP="00F2588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55F078C0" w14:textId="77777777" w:rsidR="00F25881" w:rsidRPr="00593A5F" w:rsidRDefault="00F25881" w:rsidP="00F25881">
      <w:pPr>
        <w:tabs>
          <w:tab w:val="left" w:pos="426"/>
        </w:tabs>
        <w:spacing w:after="0" w:line="276" w:lineRule="auto"/>
        <w:jc w:val="both"/>
        <w:rPr>
          <w:rFonts w:ascii="Verdana" w:eastAsia="Century Gothic" w:hAnsi="Verdana" w:cs="Century Gothic"/>
          <w:lang w:val="es-ES"/>
        </w:rPr>
      </w:pPr>
    </w:p>
    <w:p w14:paraId="05555078" w14:textId="77777777" w:rsidR="00F25881" w:rsidRPr="00593A5F" w:rsidRDefault="00F25881" w:rsidP="00F25881">
      <w:pPr>
        <w:spacing w:after="0" w:line="276" w:lineRule="auto"/>
        <w:jc w:val="both"/>
        <w:rPr>
          <w:rFonts w:ascii="Verdana" w:eastAsia="Century Gothic" w:hAnsi="Verdana" w:cs="Century Gothic"/>
        </w:rPr>
      </w:pPr>
      <w:r w:rsidRPr="00EF1386">
        <w:rPr>
          <w:rFonts w:ascii="Verdana" w:eastAsia="Century Gothic" w:hAnsi="Verdana" w:cs="Century Gothic"/>
        </w:rPr>
        <w:lastRenderedPageBreak/>
        <w:t>De acuerdo con el contenido de su solicitud, esta Agencia resolverá el siguiente problema jurídico:</w:t>
      </w:r>
      <w:r>
        <w:rPr>
          <w:rFonts w:ascii="Verdana" w:eastAsia="Century Gothic" w:hAnsi="Verdana" w:cs="Century Gothic"/>
        </w:rPr>
        <w:t xml:space="preserve"> ¿Cómo opera la restricción y las excepciones contempladas en el artículo 33 de la Ley de Garantías Electorales (Ley 996 de 2005) para las Entidades Sin Ánimo de Lucro; específicamente las clasificadas como entidad indirecta descentralizada por servicios</w:t>
      </w:r>
      <w:r>
        <w:rPr>
          <w:rFonts w:ascii="Verdana" w:eastAsia="Times New Roman" w:hAnsi="Verdana" w:cs="Arial"/>
          <w:lang w:eastAsia="es-MX"/>
        </w:rPr>
        <w:t>?</w:t>
      </w:r>
    </w:p>
    <w:p w14:paraId="34FCC298" w14:textId="77777777" w:rsidR="00F25881" w:rsidRPr="004B140F" w:rsidRDefault="00F25881" w:rsidP="00F25881">
      <w:pPr>
        <w:spacing w:after="0" w:line="276" w:lineRule="auto"/>
        <w:jc w:val="both"/>
        <w:rPr>
          <w:rFonts w:ascii="Verdana" w:eastAsia="Calibri" w:hAnsi="Verdana" w:cs="Arial"/>
          <w:color w:val="7030A0"/>
        </w:rPr>
      </w:pPr>
    </w:p>
    <w:p w14:paraId="5FC20122" w14:textId="77777777" w:rsidR="00F25881" w:rsidRPr="00593A5F" w:rsidRDefault="00F25881" w:rsidP="00F2588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0B24CDE" w14:textId="77777777" w:rsidR="00F25881" w:rsidRPr="00593A5F" w:rsidRDefault="00F25881" w:rsidP="00F2588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25881" w:rsidRPr="00593A5F" w14:paraId="04C91683" w14:textId="77777777" w:rsidTr="003C21C1">
        <w:trPr>
          <w:jc w:val="center"/>
        </w:trPr>
        <w:tc>
          <w:tcPr>
            <w:tcW w:w="8828" w:type="dxa"/>
          </w:tcPr>
          <w:p w14:paraId="433BC07B" w14:textId="77777777" w:rsidR="00F25881" w:rsidRDefault="00F25881" w:rsidP="003C21C1">
            <w:pPr>
              <w:spacing w:after="120" w:line="276" w:lineRule="auto"/>
              <w:jc w:val="both"/>
              <w:rPr>
                <w:rFonts w:ascii="Verdana" w:hAnsi="Verdana" w:cs="Arial"/>
                <w:lang w:eastAsia="x-none"/>
              </w:rPr>
            </w:pPr>
            <w:bookmarkStart w:id="1" w:name="_Hlk171694685"/>
            <w:r>
              <w:rPr>
                <w:rFonts w:ascii="Verdana" w:eastAsia="Calibri" w:hAnsi="Verdana" w:cs="Arial"/>
                <w:lang w:eastAsia="es-ES"/>
              </w:rPr>
              <w:t>i) En relación con su consulta, debe señalarse que la Ley de Garantías Electorales establece dos restricciones en materia de contratación estatal. Por un lado, l</w:t>
            </w:r>
            <w:r w:rsidRPr="00E80F85">
              <w:rPr>
                <w:rFonts w:ascii="Verdana" w:eastAsia="Calibri" w:hAnsi="Verdana" w:cs="Arial"/>
                <w:lang w:eastAsia="es-ES"/>
              </w:rPr>
              <w:t xml:space="preserve">a </w:t>
            </w:r>
            <w:r>
              <w:rPr>
                <w:rFonts w:ascii="Verdana" w:eastAsia="Calibri" w:hAnsi="Verdana" w:cs="Arial"/>
                <w:lang w:eastAsia="es-ES"/>
              </w:rPr>
              <w:t>restricción</w:t>
            </w:r>
            <w:r w:rsidRPr="00E80F85">
              <w:rPr>
                <w:rFonts w:ascii="Verdana" w:eastAsia="Calibri" w:hAnsi="Verdana" w:cs="Arial"/>
                <w:lang w:eastAsia="es-ES"/>
              </w:rPr>
              <w:t xml:space="preserve"> contenida en el artículo 33 de la Ley 996 de 2005 aplica para “la contratación directa” de todos los entes del Estado, </w:t>
            </w:r>
            <w:r w:rsidRPr="00E80F8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E80F85">
              <w:rPr>
                <w:rFonts w:ascii="Verdana" w:eastAsia="Calibri" w:hAnsi="Verdana" w:cs="Arial"/>
                <w:lang w:eastAsia="es-ES"/>
              </w:rPr>
              <w:t xml:space="preserve">Se trata de la prohibición de </w:t>
            </w:r>
            <w:r w:rsidRPr="00E80F85">
              <w:rPr>
                <w:rFonts w:ascii="Verdana" w:hAnsi="Verdana" w:cs="Arial"/>
                <w:bCs/>
                <w:lang w:eastAsia="x-none"/>
              </w:rPr>
              <w:t>aquellos contratos en los que no exista un proceso abierto y competitivo.</w:t>
            </w:r>
            <w:r w:rsidRPr="00E80F8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w:t>
            </w:r>
          </w:p>
          <w:p w14:paraId="665414BC" w14:textId="77777777" w:rsidR="00F25881" w:rsidRDefault="00F25881" w:rsidP="003C21C1">
            <w:pPr>
              <w:spacing w:after="120" w:line="276" w:lineRule="auto"/>
              <w:ind w:firstLine="709"/>
              <w:jc w:val="both"/>
              <w:rPr>
                <w:rFonts w:ascii="Verdana" w:eastAsia="Calibri" w:hAnsi="Verdana" w:cs="Arial"/>
                <w:lang w:eastAsia="es-ES"/>
              </w:rPr>
            </w:pPr>
            <w:r w:rsidRPr="00E80F85">
              <w:rPr>
                <w:rFonts w:ascii="Verdana" w:hAnsi="Verdana" w:cs="Arial"/>
                <w:lang w:eastAsia="x-none"/>
              </w:rPr>
              <w:t xml:space="preserve">Adicionalmente, </w:t>
            </w:r>
            <w:r>
              <w:rPr>
                <w:rFonts w:ascii="Verdana" w:hAnsi="Verdana" w:cs="Arial"/>
                <w:lang w:eastAsia="x-none"/>
              </w:rPr>
              <w:t>debe tenerse en cuenta que</w:t>
            </w:r>
            <w:r w:rsidRPr="00E80F85">
              <w:rPr>
                <w:rFonts w:ascii="Verdana" w:hAnsi="Verdana" w:cs="Arial"/>
                <w:lang w:eastAsia="x-none"/>
              </w:rPr>
              <w:t xml:space="preserve"> la celebración de la contratación directa </w:t>
            </w:r>
            <w:r w:rsidRPr="00E80F85">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r>
              <w:rPr>
                <w:rFonts w:ascii="Verdana" w:eastAsia="Calibri" w:hAnsi="Verdana" w:cs="Arial"/>
                <w:lang w:eastAsia="es-ES"/>
              </w:rPr>
              <w:t xml:space="preserve">En ese sentido, aun cuando el convenio no implique la ejecución de recursos públicos, estará proscrito si su modalidad de selección es la contratación directa. </w:t>
            </w:r>
          </w:p>
          <w:p w14:paraId="42AC5946" w14:textId="77777777" w:rsidR="00F25881" w:rsidRDefault="00F25881" w:rsidP="003C21C1">
            <w:pPr>
              <w:spacing w:after="120" w:line="276" w:lineRule="auto"/>
              <w:ind w:firstLine="709"/>
              <w:jc w:val="both"/>
              <w:rPr>
                <w:rFonts w:ascii="Verdana" w:eastAsia="Calibri" w:hAnsi="Verdana" w:cs="Arial"/>
                <w:lang w:eastAsia="es-ES"/>
              </w:rPr>
            </w:pPr>
            <w:r>
              <w:rPr>
                <w:rFonts w:ascii="Verdana" w:eastAsia="Calibri" w:hAnsi="Verdana" w:cs="Arial"/>
                <w:lang w:eastAsia="es-ES"/>
              </w:rPr>
              <w:t>De otro lado, l</w:t>
            </w:r>
            <w:r w:rsidRPr="00E80F85">
              <w:rPr>
                <w:rFonts w:ascii="Verdana" w:eastAsia="Calibri" w:hAnsi="Verdana" w:cs="Arial"/>
                <w:lang w:eastAsia="es-ES"/>
              </w:rPr>
              <w:t xml:space="preserve">a restricción definida en </w:t>
            </w:r>
            <w:r>
              <w:rPr>
                <w:rFonts w:ascii="Verdana" w:eastAsia="Calibri" w:hAnsi="Verdana" w:cs="Arial"/>
                <w:lang w:eastAsia="es-ES"/>
              </w:rPr>
              <w:t>parágrafo d</w:t>
            </w:r>
            <w:r w:rsidRPr="00E80F85">
              <w:rPr>
                <w:rFonts w:ascii="Verdana" w:eastAsia="Calibri" w:hAnsi="Verdana" w:cs="Arial"/>
                <w:lang w:eastAsia="es-ES"/>
              </w:rPr>
              <w:t>el artículo 38 de la Ley 996 de 2005 se refiere a la celebración de convenios interadministrativos para la ejecución de recursos públicos, independientemente de que se configuren los supuestos de excepción que señala en artículo 33 de la misma ley</w:t>
            </w:r>
            <w:r>
              <w:rPr>
                <w:rFonts w:ascii="Verdana" w:eastAsia="Calibri" w:hAnsi="Verdana" w:cs="Arial"/>
                <w:lang w:eastAsia="es-ES"/>
              </w:rPr>
              <w:t>.</w:t>
            </w:r>
          </w:p>
          <w:p w14:paraId="68E99843" w14:textId="77777777" w:rsidR="00F25881" w:rsidRDefault="00F25881" w:rsidP="003C21C1">
            <w:pPr>
              <w:spacing w:after="120" w:line="276" w:lineRule="auto"/>
              <w:ind w:firstLine="709"/>
              <w:jc w:val="both"/>
              <w:rPr>
                <w:rFonts w:ascii="Verdana" w:eastAsia="Calibri" w:hAnsi="Verdana" w:cs="Arial"/>
                <w:lang w:val="es-ES"/>
              </w:rPr>
            </w:pPr>
            <w:r>
              <w:rPr>
                <w:rFonts w:ascii="Verdana" w:eastAsia="Times New Roman" w:hAnsi="Verdana" w:cs="Arial"/>
                <w:lang w:val="es-MX" w:eastAsia="es-CO"/>
              </w:rPr>
              <w:lastRenderedPageBreak/>
              <w:t>Ahora bien, para dar respuesta al problema jurídico planteado, debe advertirse que e</w:t>
            </w:r>
            <w:r w:rsidRPr="00377ED6">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p>
          <w:p w14:paraId="64832744" w14:textId="77777777" w:rsidR="00F25881" w:rsidRDefault="00F25881" w:rsidP="003C21C1">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entidad sin ánimo de lucro </w:t>
            </w:r>
            <w:r>
              <w:rPr>
                <w:rFonts w:ascii="Verdana" w:eastAsia="Calibri" w:hAnsi="Verdana" w:cs="Arial"/>
                <w:lang w:val="es-ES"/>
              </w:rPr>
              <w:t xml:space="preserve">que ejecutará el contrato. 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16864F3F" w14:textId="77777777" w:rsidR="00F25881" w:rsidRDefault="00F25881" w:rsidP="003C21C1">
            <w:pPr>
              <w:spacing w:after="120" w:line="276" w:lineRule="auto"/>
              <w:ind w:firstLine="709"/>
              <w:jc w:val="both"/>
              <w:rPr>
                <w:rFonts w:ascii="Verdana" w:eastAsia="Calibri" w:hAnsi="Verdana" w:cs="Arial"/>
                <w:lang w:eastAsia="es-ES"/>
              </w:rPr>
            </w:pPr>
            <w:r w:rsidRPr="697BF333">
              <w:rPr>
                <w:rFonts w:ascii="Verdana" w:eastAsia="Calibri" w:hAnsi="Verdana" w:cs="Arial"/>
                <w:lang w:val="es-ES"/>
              </w:rPr>
              <w:t xml:space="preserve">De otro lado, la celebración de los </w:t>
            </w:r>
            <w:r w:rsidRPr="697BF333">
              <w:rPr>
                <w:rFonts w:ascii="Verdana" w:eastAsia="Calibri" w:hAnsi="Verdana" w:cs="Arial"/>
                <w:i/>
                <w:lang w:val="es-ES"/>
              </w:rPr>
              <w:t xml:space="preserve">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399ADACF" w14:textId="77777777" w:rsidR="00F25881" w:rsidRPr="001941FD" w:rsidRDefault="00F25881" w:rsidP="003C21C1">
            <w:pPr>
              <w:spacing w:line="276" w:lineRule="auto"/>
              <w:ind w:right="51" w:firstLine="737"/>
              <w:jc w:val="both"/>
              <w:rPr>
                <w:rFonts w:ascii="Verdana" w:eastAsia="Calibri" w:hAnsi="Verdana" w:cs="Arial"/>
                <w:bCs/>
                <w:color w:val="000000" w:themeColor="text1"/>
              </w:rPr>
            </w:pPr>
            <w:r w:rsidRPr="003C6656">
              <w:rPr>
                <w:rStyle w:val="s15"/>
                <w:rFonts w:ascii="Verdana" w:hAnsi="Verdana"/>
                <w:color w:val="000000"/>
              </w:rPr>
              <w:t>Al margen de la explicación</w:t>
            </w:r>
            <w:r w:rsidRPr="00D10E3B">
              <w:rPr>
                <w:rStyle w:val="s15"/>
                <w:rFonts w:ascii="Verdana" w:hAnsi="Verdana"/>
                <w:color w:val="000000"/>
              </w:rPr>
              <w:t xml:space="preserve">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w:t>
            </w:r>
            <w:r w:rsidRPr="00D10E3B">
              <w:rPr>
                <w:rStyle w:val="s15"/>
                <w:rFonts w:ascii="Verdana" w:hAnsi="Verdana"/>
                <w:color w:val="000000"/>
              </w:rPr>
              <w:lastRenderedPageBreak/>
              <w:t>contractual, sin que sea atribución de Colombia Compra Eficiente validar sus actuaciones.</w:t>
            </w:r>
          </w:p>
        </w:tc>
      </w:tr>
    </w:tbl>
    <w:p w14:paraId="317154DD" w14:textId="77777777" w:rsidR="00F25881" w:rsidRPr="00593A5F" w:rsidRDefault="00F25881" w:rsidP="00F25881">
      <w:pPr>
        <w:tabs>
          <w:tab w:val="left" w:pos="142"/>
          <w:tab w:val="left" w:pos="284"/>
        </w:tabs>
        <w:spacing w:after="0" w:line="276" w:lineRule="auto"/>
        <w:jc w:val="both"/>
        <w:rPr>
          <w:rFonts w:ascii="Verdana" w:eastAsia="Century Gothic" w:hAnsi="Verdana" w:cs="Century Gothic"/>
          <w:b/>
          <w:bCs/>
          <w:lang w:val="es-ES"/>
        </w:rPr>
      </w:pPr>
    </w:p>
    <w:bookmarkEnd w:id="1"/>
    <w:p w14:paraId="63D181BE" w14:textId="77777777" w:rsidR="00F25881" w:rsidRPr="00593A5F" w:rsidRDefault="00F25881" w:rsidP="00F2588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76B3F98" w14:textId="77777777" w:rsidR="00F25881" w:rsidRPr="00593A5F" w:rsidRDefault="00F25881" w:rsidP="00F25881">
      <w:pPr>
        <w:spacing w:after="0" w:line="276" w:lineRule="auto"/>
        <w:jc w:val="both"/>
        <w:rPr>
          <w:rFonts w:ascii="Verdana" w:eastAsia="Calibri" w:hAnsi="Verdana" w:cs="Arial"/>
          <w:color w:val="7030A0"/>
          <w:lang w:val="es-ES"/>
        </w:rPr>
      </w:pPr>
    </w:p>
    <w:p w14:paraId="6873A7CC" w14:textId="77777777" w:rsidR="00F25881" w:rsidRDefault="00F25881" w:rsidP="00F25881">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37F9276F" w14:textId="77777777" w:rsidR="00F25881" w:rsidRDefault="00F25881" w:rsidP="00F25881">
      <w:pPr>
        <w:tabs>
          <w:tab w:val="left" w:pos="142"/>
          <w:tab w:val="left" w:pos="284"/>
          <w:tab w:val="left" w:pos="6912"/>
        </w:tabs>
        <w:spacing w:after="0" w:line="240" w:lineRule="auto"/>
        <w:jc w:val="both"/>
        <w:rPr>
          <w:rFonts w:ascii="Verdana" w:eastAsia="Times New Roman" w:hAnsi="Verdana" w:cs="Arial"/>
          <w:bCs/>
          <w:lang w:eastAsia="es-CO"/>
        </w:rPr>
      </w:pPr>
    </w:p>
    <w:p w14:paraId="6C6A9D7F" w14:textId="77777777" w:rsidR="00F25881" w:rsidRPr="009D221F" w:rsidRDefault="00F25881" w:rsidP="00F25881">
      <w:pPr>
        <w:tabs>
          <w:tab w:val="left" w:pos="142"/>
          <w:tab w:val="left" w:pos="284"/>
          <w:tab w:val="left" w:pos="6912"/>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i)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5128F89D" w14:textId="77777777" w:rsidR="00F25881" w:rsidRDefault="00F25881" w:rsidP="00F25881">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BD67308" w14:textId="77777777" w:rsidR="00F25881" w:rsidRPr="00F10E52" w:rsidRDefault="00F25881" w:rsidP="00F25881">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5D07C522" w14:textId="77777777" w:rsidR="00F25881" w:rsidRPr="00F10E52" w:rsidRDefault="00F25881" w:rsidP="00F25881">
      <w:pPr>
        <w:tabs>
          <w:tab w:val="left" w:pos="426"/>
        </w:tabs>
        <w:spacing w:after="0" w:line="276" w:lineRule="auto"/>
        <w:ind w:firstLine="709"/>
        <w:jc w:val="both"/>
        <w:rPr>
          <w:rFonts w:ascii="Verdana" w:eastAsia="Times New Roman" w:hAnsi="Verdana" w:cs="Arial"/>
          <w:bCs/>
          <w:lang w:eastAsia="es-CO"/>
        </w:rPr>
      </w:pPr>
    </w:p>
    <w:p w14:paraId="0E229148" w14:textId="77777777" w:rsidR="00F25881" w:rsidRPr="007777F3" w:rsidRDefault="00F25881" w:rsidP="00F25881">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lastRenderedPageBreak/>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5F2C2828" w14:textId="77777777" w:rsidR="00F25881" w:rsidRPr="009E6EDF" w:rsidRDefault="00F25881" w:rsidP="00F25881">
      <w:pPr>
        <w:spacing w:after="0" w:line="240" w:lineRule="auto"/>
        <w:ind w:left="709" w:right="709"/>
        <w:jc w:val="both"/>
        <w:rPr>
          <w:rFonts w:ascii="Verdana" w:eastAsia="Times New Roman" w:hAnsi="Verdana" w:cs="Arial"/>
          <w:bCs/>
          <w:sz w:val="20"/>
          <w:szCs w:val="20"/>
          <w:lang w:eastAsia="es-CO"/>
        </w:rPr>
      </w:pPr>
    </w:p>
    <w:p w14:paraId="3C0D7ECB" w14:textId="77777777" w:rsidR="00F25881" w:rsidRDefault="00F25881" w:rsidP="00F25881">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6CC5F9AD" w14:textId="77777777" w:rsidR="00F25881" w:rsidRPr="00642D0F" w:rsidRDefault="00F25881" w:rsidP="00F25881">
      <w:pPr>
        <w:spacing w:after="0" w:line="276" w:lineRule="auto"/>
        <w:ind w:left="709" w:right="709"/>
        <w:jc w:val="both"/>
        <w:rPr>
          <w:rFonts w:ascii="Verdana" w:eastAsia="Times New Roman" w:hAnsi="Verdana" w:cs="Arial"/>
          <w:lang w:eastAsia="es-CO"/>
        </w:rPr>
      </w:pPr>
    </w:p>
    <w:p w14:paraId="02084A14" w14:textId="77777777" w:rsidR="00F25881" w:rsidRDefault="00F25881" w:rsidP="00F25881">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este contexto, la Ley de Garantías Electorales establece el marco jurídico para el desarrollo de las elecciones, procurando condiciones de igualdad y transparencia para los aspirantes</w:t>
      </w:r>
      <w:r>
        <w:rPr>
          <w:rFonts w:ascii="Verdana" w:eastAsia="Times New Roman" w:hAnsi="Verdana" w:cs="Arial"/>
          <w:bCs/>
          <w:lang w:eastAsia="es-CO"/>
        </w:rPr>
        <w:t>. P</w:t>
      </w:r>
      <w:r w:rsidRPr="00F10E52">
        <w:rPr>
          <w:rFonts w:ascii="Verdana" w:eastAsia="Times New Roman" w:hAnsi="Verdana" w:cs="Arial"/>
          <w:bCs/>
          <w:lang w:eastAsia="es-CO"/>
        </w:rPr>
        <w:t>aralelamente</w:t>
      </w:r>
      <w:r>
        <w:rPr>
          <w:rFonts w:ascii="Verdana" w:eastAsia="Times New Roman" w:hAnsi="Verdana" w:cs="Arial"/>
          <w:bCs/>
          <w:lang w:eastAsia="es-CO"/>
        </w:rPr>
        <w:t>,</w:t>
      </w:r>
      <w:r w:rsidRPr="00F10E52">
        <w:rPr>
          <w:rFonts w:ascii="Verdana" w:eastAsia="Times New Roman" w:hAnsi="Verdana" w:cs="Arial"/>
          <w:bCs/>
          <w:lang w:eastAsia="es-CO"/>
        </w:rPr>
        <w:t xml:space="preserve"> incluye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130E87DB" w14:textId="77777777" w:rsidR="00F25881" w:rsidRPr="002D6B92" w:rsidRDefault="00F25881" w:rsidP="00F25881">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efecto, la Sala de Consulta y Servicio Civil del Consejo de Estado al analizar la referida </w:t>
      </w:r>
      <w:r>
        <w:rPr>
          <w:rFonts w:ascii="Verdana" w:eastAsia="Times New Roman" w:hAnsi="Verdana" w:cs="Arial"/>
          <w:bCs/>
          <w:lang w:eastAsia="es-CO"/>
        </w:rPr>
        <w:t>L</w:t>
      </w:r>
      <w:r w:rsidRPr="00F10E52">
        <w:rPr>
          <w:rFonts w:ascii="Verdana" w:eastAsia="Times New Roman" w:hAnsi="Verdana" w:cs="Arial"/>
          <w:bCs/>
          <w:lang w:eastAsia="es-CO"/>
        </w:rPr>
        <w:t>ey, precisó lo siguiente:</w:t>
      </w:r>
    </w:p>
    <w:p w14:paraId="2F7EA4F1" w14:textId="77777777" w:rsidR="00F25881" w:rsidRPr="002D6B92" w:rsidRDefault="00F25881" w:rsidP="00F25881">
      <w:pPr>
        <w:spacing w:after="0" w:line="276" w:lineRule="auto"/>
        <w:ind w:firstLine="709"/>
        <w:jc w:val="both"/>
        <w:rPr>
          <w:rFonts w:ascii="Verdana" w:eastAsia="Times New Roman" w:hAnsi="Verdana" w:cs="Arial"/>
          <w:bCs/>
          <w:lang w:eastAsia="es-CO"/>
        </w:rPr>
      </w:pPr>
    </w:p>
    <w:p w14:paraId="288A8DDD" w14:textId="77777777" w:rsidR="00F25881" w:rsidRPr="009B20C5" w:rsidRDefault="00F25881" w:rsidP="00F25881">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67128BB" w14:textId="77777777" w:rsidR="00F25881" w:rsidRDefault="00F25881" w:rsidP="00F25881">
      <w:pPr>
        <w:spacing w:after="0" w:line="240" w:lineRule="auto"/>
        <w:ind w:left="709" w:right="709"/>
        <w:jc w:val="both"/>
        <w:rPr>
          <w:rFonts w:ascii="Verdana" w:eastAsia="Times New Roman" w:hAnsi="Verdana" w:cs="Arial"/>
          <w:bCs/>
          <w:sz w:val="20"/>
          <w:szCs w:val="20"/>
          <w:lang w:eastAsia="es-CO"/>
        </w:rPr>
      </w:pPr>
    </w:p>
    <w:p w14:paraId="1E3478C9" w14:textId="77777777" w:rsidR="00F25881" w:rsidRPr="00583462" w:rsidRDefault="00F25881" w:rsidP="00F25881">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5E0A6B3E" w14:textId="77777777" w:rsidR="00F25881" w:rsidRDefault="00F25881" w:rsidP="00F25881">
      <w:pPr>
        <w:spacing w:after="0" w:line="240" w:lineRule="auto"/>
        <w:ind w:firstLine="709"/>
        <w:jc w:val="both"/>
        <w:rPr>
          <w:rFonts w:ascii="Verdana" w:eastAsia="Times New Roman" w:hAnsi="Verdana" w:cs="Arial"/>
          <w:bCs/>
          <w:lang w:eastAsia="es-CO"/>
        </w:rPr>
      </w:pPr>
    </w:p>
    <w:p w14:paraId="50C11A84" w14:textId="77777777" w:rsidR="00F25881" w:rsidRDefault="00F25881" w:rsidP="00F25881">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B23107F" w14:textId="77777777" w:rsidR="00F25881" w:rsidRPr="00F10E52" w:rsidRDefault="00F25881" w:rsidP="00F2588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Específicamente, las restricciones consagradas en la citada </w:t>
      </w:r>
      <w:r>
        <w:rPr>
          <w:rFonts w:ascii="Verdana" w:eastAsia="Arial" w:hAnsi="Verdana" w:cs="Arial"/>
          <w:lang w:val="es-ES" w:eastAsia="es-ES" w:bidi="es-ES"/>
        </w:rPr>
        <w:t>L</w:t>
      </w:r>
      <w:r w:rsidRPr="00F10E52">
        <w:rPr>
          <w:rFonts w:ascii="Verdana" w:eastAsia="Arial" w:hAnsi="Verdana" w:cs="Arial"/>
          <w:lang w:val="es-ES" w:eastAsia="es-ES" w:bidi="es-ES"/>
        </w:rPr>
        <w:t>ey se dirigen a dos (2) tipos de campañas electorales claramente diferenciadas: las presidenciales y las demás que se adelanten para la elección de los demás cargos de elección popular, tanto a nivel nacional como a nivel territorial.</w:t>
      </w:r>
      <w:bookmarkEnd w:id="3"/>
    </w:p>
    <w:p w14:paraId="2B3CAA1C" w14:textId="77777777" w:rsidR="00F25881" w:rsidRPr="00F10E52" w:rsidRDefault="00F25881" w:rsidP="00F25881">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w:t>
      </w:r>
      <w:r w:rsidRPr="00642D0F">
        <w:rPr>
          <w:rFonts w:ascii="Verdana" w:eastAsia="Calibri" w:hAnsi="Verdana" w:cs="Arial"/>
          <w:i/>
        </w:rPr>
        <w:t>el artículo 33</w:t>
      </w:r>
      <w:r w:rsidRPr="00F10E52">
        <w:rPr>
          <w:rFonts w:ascii="Verdana" w:eastAsia="Calibri" w:hAnsi="Verdana" w:cs="Arial"/>
        </w:rPr>
        <w:t xml:space="preserve">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10E52">
        <w:rPr>
          <w:rFonts w:ascii="Verdana" w:eastAsia="Calibri" w:hAnsi="Verdana" w:cs="Arial"/>
        </w:rPr>
        <w:lastRenderedPageBreak/>
        <w:t>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5156C312" w14:textId="77777777" w:rsidR="00F25881" w:rsidRDefault="00F25881" w:rsidP="00F25881">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w:t>
      </w:r>
      <w:r w:rsidRPr="00B625A1">
        <w:rPr>
          <w:rFonts w:ascii="Verdana" w:eastAsia="Calibri" w:hAnsi="Verdana" w:cs="Arial"/>
          <w:i/>
        </w:rPr>
        <w:t xml:space="preserve">el parágrafo del artículo 38 </w:t>
      </w:r>
      <w:r w:rsidRPr="00F10E52">
        <w:rPr>
          <w:rFonts w:ascii="Verdana" w:eastAsia="Calibri" w:hAnsi="Verdana" w:cs="Arial"/>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08866DA6" w14:textId="77777777" w:rsidR="00F25881" w:rsidRPr="006A51F6" w:rsidRDefault="00F25881" w:rsidP="00F25881">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28292032" w14:textId="77777777" w:rsidR="00F25881" w:rsidRPr="006A51F6" w:rsidRDefault="00F25881" w:rsidP="00F25881">
      <w:pPr>
        <w:widowControl w:val="0"/>
        <w:autoSpaceDE w:val="0"/>
        <w:autoSpaceDN w:val="0"/>
        <w:spacing w:after="0" w:line="240" w:lineRule="auto"/>
        <w:ind w:firstLine="709"/>
        <w:jc w:val="both"/>
        <w:rPr>
          <w:rFonts w:ascii="Verdana" w:eastAsia="Arial" w:hAnsi="Verdana" w:cs="Arial"/>
          <w:lang w:val="es-ES" w:eastAsia="es-ES" w:bidi="es-ES"/>
        </w:rPr>
      </w:pPr>
    </w:p>
    <w:p w14:paraId="4CC4DC0E" w14:textId="77777777" w:rsidR="00F25881" w:rsidRPr="009B20C5" w:rsidRDefault="00F25881" w:rsidP="00F2588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w:t>
      </w:r>
      <w:r w:rsidRPr="009B20C5">
        <w:rPr>
          <w:rFonts w:ascii="Verdana" w:eastAsia="Arial" w:hAnsi="Verdana" w:cs="Arial"/>
          <w:sz w:val="20"/>
          <w:szCs w:val="20"/>
          <w:lang w:val="es-ES" w:eastAsia="es-ES" w:bidi="es-ES"/>
        </w:rPr>
        <w:lastRenderedPageBreak/>
        <w:t xml:space="preserve">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373AE046" w14:textId="77777777" w:rsidR="00F25881" w:rsidRDefault="00F25881" w:rsidP="00F25881">
      <w:pPr>
        <w:spacing w:after="0" w:line="276" w:lineRule="auto"/>
        <w:ind w:firstLine="709"/>
        <w:jc w:val="both"/>
        <w:rPr>
          <w:rFonts w:ascii="Verdana" w:eastAsia="Arial" w:hAnsi="Verdana" w:cs="Arial"/>
          <w:lang w:val="es-ES" w:eastAsia="es-ES" w:bidi="es-ES"/>
        </w:rPr>
      </w:pPr>
    </w:p>
    <w:p w14:paraId="68BAB971" w14:textId="77777777" w:rsidR="00F25881" w:rsidRDefault="00F25881" w:rsidP="00F2588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la Ley 996 de 2005 establece dos (2) tipos de restricciones en materia de contratación, las cuales coinciden parcialmente.</w:t>
      </w:r>
    </w:p>
    <w:p w14:paraId="5E68FFFC" w14:textId="77777777" w:rsidR="00F25881" w:rsidRPr="00F10E52" w:rsidRDefault="00F25881" w:rsidP="00F2588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7D3161E0" w14:textId="77777777" w:rsidR="00F25881" w:rsidRPr="00F10E52" w:rsidRDefault="00F25881" w:rsidP="00F2588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6A84CDD3" w14:textId="77777777" w:rsidR="00F25881" w:rsidRDefault="00F25881" w:rsidP="00F25881">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los dos tipos de restricciones, con el fin de determinar si </w:t>
      </w:r>
      <w:proofErr w:type="gramStart"/>
      <w:r>
        <w:rPr>
          <w:rFonts w:ascii="Verdana" w:eastAsia="Times New Roman" w:hAnsi="Verdana" w:cs="Arial"/>
          <w:bCs/>
          <w:lang w:val="es-ES" w:eastAsia="es-CO"/>
        </w:rPr>
        <w:t>la contratación con entidades sin ánimo de lucro se enmarcan</w:t>
      </w:r>
      <w:proofErr w:type="gramEnd"/>
      <w:r>
        <w:rPr>
          <w:rFonts w:ascii="Verdana" w:eastAsia="Times New Roman" w:hAnsi="Verdana" w:cs="Arial"/>
          <w:bCs/>
          <w:lang w:val="es-ES" w:eastAsia="es-CO"/>
        </w:rPr>
        <w:t xml:space="preserve"> en alguno de los supuestos que señalan las normas. </w:t>
      </w:r>
    </w:p>
    <w:p w14:paraId="03D916CF" w14:textId="77777777" w:rsidR="00F25881" w:rsidRDefault="00F25881" w:rsidP="00F25881">
      <w:pPr>
        <w:spacing w:after="0" w:line="276" w:lineRule="auto"/>
        <w:ind w:firstLine="709"/>
        <w:jc w:val="both"/>
        <w:rPr>
          <w:rFonts w:ascii="Verdana" w:hAnsi="Verdana" w:cs="Arial"/>
          <w:lang w:eastAsia="es-CO"/>
        </w:rPr>
      </w:pPr>
      <w:r>
        <w:rPr>
          <w:rFonts w:ascii="Verdana" w:hAnsi="Verdana" w:cs="Arial"/>
          <w:bCs/>
          <w:lang w:eastAsia="x-none"/>
        </w:rPr>
        <w:lastRenderedPageBreak/>
        <w:t>En primer lugar, e</w:t>
      </w:r>
      <w:r w:rsidRPr="00195E24">
        <w:rPr>
          <w:rFonts w:ascii="Verdana" w:hAnsi="Verdana" w:cs="Arial"/>
          <w:bCs/>
          <w:lang w:eastAsia="x-none"/>
        </w:rPr>
        <w:t xml:space="preserve">l ámbito material de la prohibición contenida </w:t>
      </w:r>
      <w:bookmarkStart w:id="11" w:name="_Hlk75628761"/>
      <w:r w:rsidRPr="00195E24">
        <w:rPr>
          <w:rFonts w:ascii="Verdana" w:hAnsi="Verdana" w:cs="Arial"/>
          <w:bCs/>
          <w:lang w:eastAsia="x-none"/>
        </w:rPr>
        <w:t xml:space="preserve">en el artículo 33 de la </w:t>
      </w:r>
      <w:r>
        <w:rPr>
          <w:rFonts w:ascii="Verdana" w:hAnsi="Verdana" w:cs="Arial"/>
          <w:bCs/>
          <w:lang w:eastAsia="x-none"/>
        </w:rPr>
        <w:t>L</w:t>
      </w:r>
      <w:r w:rsidRPr="00195E24">
        <w:rPr>
          <w:rFonts w:ascii="Verdana" w:hAnsi="Verdana" w:cs="Arial"/>
          <w:bCs/>
          <w:lang w:eastAsia="x-none"/>
        </w:rPr>
        <w:t xml:space="preserve">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3A4CC00B" w14:textId="77777777" w:rsidR="00F25881" w:rsidRPr="00435A6A" w:rsidRDefault="00F25881" w:rsidP="00F25881">
      <w:pPr>
        <w:spacing w:after="0" w:line="276" w:lineRule="auto"/>
        <w:ind w:firstLine="709"/>
        <w:jc w:val="both"/>
        <w:rPr>
          <w:rFonts w:ascii="Verdana" w:eastAsia="Arial" w:hAnsi="Verdana" w:cs="Arial"/>
          <w:lang w:val="es-ES" w:eastAsia="es-ES" w:bidi="es-ES"/>
        </w:rPr>
      </w:pPr>
    </w:p>
    <w:p w14:paraId="2D702C5B" w14:textId="77777777" w:rsidR="00F25881" w:rsidRPr="005800D0" w:rsidRDefault="00F25881" w:rsidP="00F25881">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4362680A" w14:textId="77777777" w:rsidR="00F25881" w:rsidRPr="005800D0" w:rsidRDefault="00F25881" w:rsidP="00F25881">
      <w:pPr>
        <w:spacing w:after="0" w:line="240" w:lineRule="auto"/>
        <w:ind w:left="709" w:right="709"/>
        <w:jc w:val="both"/>
        <w:rPr>
          <w:rFonts w:ascii="Verdana" w:hAnsi="Verdana" w:cs="Arial"/>
          <w:sz w:val="20"/>
          <w:szCs w:val="20"/>
        </w:rPr>
      </w:pPr>
    </w:p>
    <w:p w14:paraId="313E1E53" w14:textId="77777777" w:rsidR="00F25881" w:rsidRDefault="00F25881" w:rsidP="00F25881">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371E3610" w14:textId="77777777" w:rsidR="00F25881" w:rsidRPr="005800D0" w:rsidRDefault="00F25881" w:rsidP="00F25881">
      <w:pPr>
        <w:spacing w:after="0" w:line="240" w:lineRule="auto"/>
        <w:ind w:left="709" w:right="709"/>
        <w:jc w:val="both"/>
        <w:rPr>
          <w:rFonts w:ascii="Verdana" w:hAnsi="Verdana" w:cs="Arial"/>
        </w:rPr>
      </w:pPr>
    </w:p>
    <w:p w14:paraId="1D0CCA79" w14:textId="77777777" w:rsidR="00F25881" w:rsidRPr="00195E24" w:rsidRDefault="00F25881" w:rsidP="00F25881">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w:t>
      </w:r>
      <w:r>
        <w:rPr>
          <w:rFonts w:ascii="Verdana" w:hAnsi="Verdana" w:cs="Arial"/>
          <w:lang w:eastAsia="x-none"/>
        </w:rPr>
        <w:t xml:space="preserve">procedimientos abiertos y competitivos </w:t>
      </w:r>
      <w:r w:rsidRPr="00195E24">
        <w:rPr>
          <w:rFonts w:ascii="Verdana" w:hAnsi="Verdana" w:cs="Arial"/>
          <w:lang w:eastAsia="x-none"/>
        </w:rPr>
        <w:t xml:space="preserve">previstos en normas especiales. Esta posición es congruente con la expedición de la Ley 1150 de 2007 que, entre otras reformas, introdujo la selección abreviada, rediseñó el </w:t>
      </w:r>
      <w:r w:rsidRPr="00195E24">
        <w:rPr>
          <w:rFonts w:ascii="Verdana" w:hAnsi="Verdana" w:cs="Arial"/>
          <w:lang w:eastAsia="x-none"/>
        </w:rPr>
        <w:lastRenderedPageBreak/>
        <w:t>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0EC04273" w14:textId="77777777" w:rsidR="00F25881" w:rsidRPr="00195E24" w:rsidRDefault="00F25881" w:rsidP="00F25881">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00C1FBFD" w14:textId="77777777" w:rsidR="00F25881" w:rsidRPr="00195E24" w:rsidRDefault="00F25881" w:rsidP="00F25881">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2CECD3F5" w14:textId="77777777" w:rsidR="00F25881" w:rsidRPr="00CE0712" w:rsidRDefault="00F25881" w:rsidP="00F25881">
      <w:pPr>
        <w:spacing w:after="120" w:line="276" w:lineRule="auto"/>
        <w:ind w:firstLine="709"/>
        <w:jc w:val="both"/>
        <w:rPr>
          <w:rFonts w:ascii="Verdana" w:hAnsi="Verdana" w:cs="Arial"/>
          <w:bCs/>
          <w:lang w:eastAsia="es-CO"/>
        </w:rPr>
      </w:pPr>
      <w:r w:rsidRPr="00195E24">
        <w:rPr>
          <w:rFonts w:ascii="Verdana" w:hAnsi="Verdana" w:cs="Arial"/>
          <w:bCs/>
          <w:lang w:eastAsia="es-CO"/>
        </w:rPr>
        <w:t>Como se advierte de lo anterior, el Consejo de Estado realiza una interpretación amplia de la contratación directa, para efectos de aplicar las restricciones establecidas en la Ley de Garantías</w:t>
      </w:r>
      <w:r>
        <w:rPr>
          <w:rFonts w:ascii="Verdana" w:hAnsi="Verdana" w:cs="Arial"/>
          <w:bCs/>
          <w:lang w:eastAsia="es-CO"/>
        </w:rPr>
        <w:t xml:space="preserve"> Electorales</w:t>
      </w:r>
      <w:r w:rsidRPr="00195E24">
        <w:rPr>
          <w:rFonts w:ascii="Verdana" w:hAnsi="Verdana" w:cs="Arial"/>
          <w:bCs/>
          <w:lang w:eastAsia="es-CO"/>
        </w:rPr>
        <w:t xml:space="preserve">, al señalar que no solo aplica frente a las entidades sometidas al Estatuto general de Contratación </w:t>
      </w:r>
      <w:r w:rsidRPr="00195E24">
        <w:rPr>
          <w:rFonts w:ascii="Verdana" w:hAnsi="Verdana" w:cs="Arial"/>
          <w:bCs/>
          <w:lang w:eastAsia="es-CO"/>
        </w:rPr>
        <w:lastRenderedPageBreak/>
        <w:t xml:space="preserve">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148C1694" w14:textId="77777777" w:rsidR="00F25881" w:rsidRDefault="00F25881" w:rsidP="00F25881">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7"/>
      </w:r>
      <w:r w:rsidRPr="007E27D9">
        <w:rPr>
          <w:rFonts w:ascii="Verdana" w:hAnsi="Verdana" w:cs="Arial"/>
          <w:lang w:eastAsia="x-none"/>
        </w:rPr>
        <w:t>.</w:t>
      </w:r>
      <w:r w:rsidRPr="007E27D9">
        <w:rPr>
          <w:rFonts w:ascii="Verdana" w:hAnsi="Verdana" w:cs="Arial"/>
          <w:vertAlign w:val="superscript"/>
          <w:lang w:eastAsia="x-none"/>
        </w:rPr>
        <w:t xml:space="preserve"> </w:t>
      </w:r>
    </w:p>
    <w:p w14:paraId="5D4AF010" w14:textId="77777777" w:rsidR="00F25881" w:rsidRPr="007E27D9" w:rsidRDefault="00F25881" w:rsidP="00F25881">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8"/>
      </w:r>
      <w:r w:rsidRPr="00AD17FF">
        <w:rPr>
          <w:rFonts w:ascii="Verdana" w:hAnsi="Verdana" w:cs="Arial"/>
          <w:lang w:eastAsia="x-none"/>
        </w:rPr>
        <w:t>.</w:t>
      </w:r>
    </w:p>
    <w:bookmarkEnd w:id="16"/>
    <w:p w14:paraId="1EE8722A" w14:textId="77777777" w:rsidR="00F25881" w:rsidRPr="007E27D9" w:rsidRDefault="00F25881" w:rsidP="00F25881">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5670770B" w14:textId="77777777" w:rsidR="00F25881" w:rsidRPr="00CE0712" w:rsidRDefault="00F25881" w:rsidP="00F25881">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Ahora bien, en relación con los destinatarios de las restricciones, el artículo 33 de la Ley 996 de 2005 los señala expresamente, en el sentido de que </w:t>
      </w:r>
      <w:r w:rsidRPr="73D21086">
        <w:rPr>
          <w:rFonts w:ascii="Verdana" w:hAnsi="Verdana" w:cs="Arial"/>
          <w:color w:val="000000" w:themeColor="text1"/>
          <w:lang w:val="es-MX"/>
        </w:rPr>
        <w:lastRenderedPageBreak/>
        <w:t>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393CD45" w14:textId="77777777" w:rsidR="00F25881" w:rsidRDefault="00F25881" w:rsidP="00F25881">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 xml:space="preserve">La Sala de Consulta y Servicio Civil del Consejo de Estado, en Concepto 1727 del 20 de febrero de 2006, consideró que el artículo 33 de la </w:t>
      </w:r>
      <w:r>
        <w:rPr>
          <w:rFonts w:ascii="Verdana" w:hAnsi="Verdana" w:cs="Arial"/>
          <w:color w:val="000000" w:themeColor="text1"/>
          <w:lang w:val="es-MX"/>
        </w:rPr>
        <w:t>L</w:t>
      </w:r>
      <w:r w:rsidRPr="73D21086">
        <w:rPr>
          <w:rFonts w:ascii="Verdana" w:hAnsi="Verdana" w:cs="Arial"/>
          <w:color w:val="000000" w:themeColor="text1"/>
          <w:lang w:val="es-MX"/>
        </w:rPr>
        <w:t xml:space="preserve">ey 996 de 2005, efectivamente se aplica incluso a las </w:t>
      </w:r>
      <w:r>
        <w:rPr>
          <w:rFonts w:ascii="Verdana" w:hAnsi="Verdana" w:cs="Arial"/>
          <w:color w:val="000000" w:themeColor="text1"/>
          <w:lang w:val="es-MX"/>
        </w:rPr>
        <w:t>e</w:t>
      </w:r>
      <w:r w:rsidRPr="73D21086">
        <w:rPr>
          <w:rFonts w:ascii="Verdana" w:hAnsi="Verdana" w:cs="Arial"/>
          <w:color w:val="000000" w:themeColor="text1"/>
          <w:lang w:val="es-MX"/>
        </w:rPr>
        <w:t xml:space="preserve">ntidades </w:t>
      </w:r>
      <w:r>
        <w:rPr>
          <w:rFonts w:ascii="Verdana" w:hAnsi="Verdana" w:cs="Arial"/>
          <w:color w:val="000000" w:themeColor="text1"/>
          <w:lang w:val="es-MX"/>
        </w:rPr>
        <w:t>e</w:t>
      </w:r>
      <w:r w:rsidRPr="73D21086">
        <w:rPr>
          <w:rFonts w:ascii="Verdana" w:hAnsi="Verdana" w:cs="Arial"/>
          <w:color w:val="000000" w:themeColor="text1"/>
          <w:lang w:val="es-MX"/>
        </w:rPr>
        <w:t>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19"/>
      </w:r>
      <w:r w:rsidRPr="73D21086">
        <w:rPr>
          <w:rFonts w:ascii="Verdana" w:hAnsi="Verdana" w:cs="Arial"/>
          <w:color w:val="000000" w:themeColor="text1"/>
          <w:lang w:val="es-MX"/>
        </w:rPr>
        <w:t xml:space="preserve">. </w:t>
      </w:r>
    </w:p>
    <w:p w14:paraId="4836959A" w14:textId="77777777" w:rsidR="00F25881" w:rsidRPr="002D6B92" w:rsidRDefault="00F25881" w:rsidP="00F25881">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w:t>
      </w:r>
      <w:r w:rsidRPr="00CE0D82">
        <w:rPr>
          <w:rFonts w:ascii="Verdana" w:hAnsi="Verdana" w:cs="Arial"/>
          <w:color w:val="000000" w:themeColor="text1"/>
          <w:lang w:val="es-MX"/>
        </w:rPr>
        <w:lastRenderedPageBreak/>
        <w:t>realizó la siguiente distinción, retomando el pronunciamiento de la misma sala del 20 de febrero de 2006, citado anteriormente:</w:t>
      </w:r>
    </w:p>
    <w:p w14:paraId="7115FDFF" w14:textId="77777777" w:rsidR="00F25881" w:rsidRPr="002D6B92" w:rsidRDefault="00F25881" w:rsidP="00F25881">
      <w:pPr>
        <w:spacing w:after="0" w:line="240" w:lineRule="auto"/>
        <w:ind w:firstLine="709"/>
        <w:jc w:val="both"/>
        <w:rPr>
          <w:rFonts w:ascii="Verdana" w:hAnsi="Verdana" w:cs="Arial"/>
          <w:color w:val="000000" w:themeColor="text1"/>
          <w:lang w:val="es-MX"/>
        </w:rPr>
      </w:pPr>
    </w:p>
    <w:p w14:paraId="73BE23A8" w14:textId="77777777" w:rsidR="00F25881" w:rsidRPr="005800D0" w:rsidRDefault="00F25881" w:rsidP="00F25881">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06AE654" w14:textId="77777777" w:rsidR="00F25881" w:rsidRDefault="00F25881" w:rsidP="00F25881">
      <w:pPr>
        <w:spacing w:after="0" w:line="240" w:lineRule="auto"/>
        <w:ind w:left="709" w:right="709"/>
        <w:jc w:val="both"/>
        <w:rPr>
          <w:rFonts w:ascii="Verdana" w:hAnsi="Verdana" w:cs="Arial"/>
          <w:color w:val="000000" w:themeColor="text1"/>
          <w:sz w:val="20"/>
          <w:szCs w:val="20"/>
          <w:lang w:val="es-MX"/>
        </w:rPr>
      </w:pPr>
    </w:p>
    <w:p w14:paraId="00131FED" w14:textId="77777777" w:rsidR="00F25881" w:rsidRPr="00435A6A" w:rsidRDefault="00F25881" w:rsidP="00F25881">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1"/>
      </w:r>
      <w:r w:rsidRPr="005800D0">
        <w:rPr>
          <w:rFonts w:ascii="Verdana" w:hAnsi="Verdana" w:cs="Arial"/>
          <w:color w:val="000000" w:themeColor="text1"/>
          <w:sz w:val="20"/>
          <w:szCs w:val="20"/>
          <w:lang w:val="es-MX" w:eastAsia="x-none"/>
        </w:rPr>
        <w:t>.</w:t>
      </w:r>
    </w:p>
    <w:p w14:paraId="78BC80CA" w14:textId="77777777" w:rsidR="00F25881" w:rsidRDefault="00F25881" w:rsidP="00F25881">
      <w:pPr>
        <w:spacing w:after="0" w:line="240" w:lineRule="auto"/>
        <w:ind w:firstLine="709"/>
        <w:jc w:val="both"/>
        <w:rPr>
          <w:rFonts w:ascii="Verdana" w:hAnsi="Verdana" w:cs="Arial"/>
          <w:color w:val="000000" w:themeColor="text1"/>
          <w:lang w:val="es-MX"/>
        </w:rPr>
      </w:pPr>
    </w:p>
    <w:p w14:paraId="72A5C057" w14:textId="77777777" w:rsidR="00F25881" w:rsidRDefault="00F25881" w:rsidP="00F25881">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w:t>
      </w:r>
      <w:r w:rsidRPr="00195E24">
        <w:rPr>
          <w:rFonts w:ascii="Verdana" w:hAnsi="Verdana" w:cs="Arial"/>
          <w:color w:val="000000" w:themeColor="text1"/>
          <w:lang w:val="es-MX"/>
        </w:rPr>
        <w:lastRenderedPageBreak/>
        <w:t>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2"/>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5BD0B3ED" w14:textId="77777777" w:rsidR="00F25881" w:rsidRPr="00195E24" w:rsidRDefault="00F25881" w:rsidP="00F25881">
      <w:pPr>
        <w:spacing w:after="120" w:line="276" w:lineRule="auto"/>
        <w:ind w:firstLine="709"/>
        <w:jc w:val="both"/>
        <w:rPr>
          <w:rFonts w:ascii="Verdana" w:hAnsi="Verdana" w:cs="Arial"/>
          <w:color w:val="000000" w:themeColor="text1"/>
          <w:lang w:eastAsia="es-CO"/>
        </w:rPr>
      </w:pPr>
      <w:r>
        <w:rPr>
          <w:rFonts w:ascii="Verdana" w:hAnsi="Verdana" w:cs="Arial"/>
          <w:color w:val="000000" w:themeColor="text1"/>
          <w:lang w:eastAsia="es-CO"/>
        </w:rPr>
        <w:t>Conforme l</w:t>
      </w:r>
      <w:r w:rsidRPr="00CE0D82">
        <w:rPr>
          <w:rFonts w:ascii="Verdana" w:hAnsi="Verdana" w:cs="Arial"/>
          <w:color w:val="000000" w:themeColor="text1"/>
          <w:lang w:eastAsia="es-CO"/>
        </w:rPr>
        <w:t>os pronunciamientos de la Sala de Consulta y Servicio Civil</w:t>
      </w:r>
      <w:r w:rsidRPr="00CE0D82">
        <w:rPr>
          <w:rFonts w:ascii="Verdana" w:hAnsi="Verdana" w:cs="Arial"/>
          <w:color w:val="000000" w:themeColor="text1"/>
          <w:lang w:val="es-MX"/>
        </w:rPr>
        <w:t xml:space="preserve">,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709381B5" w14:textId="77777777" w:rsidR="00F25881" w:rsidRPr="00CE0712" w:rsidRDefault="00F25881" w:rsidP="00F25881">
      <w:pPr>
        <w:spacing w:after="120" w:line="276" w:lineRule="auto"/>
        <w:ind w:firstLine="709"/>
        <w:jc w:val="both"/>
        <w:rPr>
          <w:rFonts w:ascii="Verdana" w:hAnsi="Verdana" w:cs="Arial"/>
          <w:bCs/>
          <w:color w:val="000000" w:themeColor="text1"/>
          <w:lang w:val="es-MX" w:eastAsia="x-none"/>
        </w:rPr>
      </w:pPr>
      <w:r>
        <w:rPr>
          <w:rFonts w:ascii="Verdana" w:hAnsi="Verdana" w:cs="Arial"/>
          <w:color w:val="000000" w:themeColor="text1"/>
          <w:lang w:val="es-MX"/>
        </w:rPr>
        <w:t>No</w:t>
      </w:r>
      <w:r w:rsidRPr="73D21086">
        <w:rPr>
          <w:rFonts w:ascii="Verdana" w:hAnsi="Verdana" w:cs="Arial"/>
          <w:color w:val="000000" w:themeColor="text1"/>
          <w:lang w:val="es-MX"/>
        </w:rPr>
        <w:t xml:space="preserve">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65E3EB32" w14:textId="77777777" w:rsidR="00F25881" w:rsidRDefault="00F25881" w:rsidP="00F25881">
      <w:pPr>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73C2D379" w14:textId="77777777" w:rsidR="00F25881" w:rsidRDefault="00F25881" w:rsidP="00F25881">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437C1E5" w14:textId="77777777" w:rsidR="00F25881" w:rsidRDefault="00F25881" w:rsidP="00F25881">
      <w:pPr>
        <w:spacing w:before="120" w:after="0" w:line="276" w:lineRule="auto"/>
        <w:ind w:firstLine="709"/>
        <w:jc w:val="both"/>
        <w:rPr>
          <w:rFonts w:ascii="Verdana" w:eastAsia="Calibri" w:hAnsi="Verdana" w:cs="Arial"/>
          <w:lang w:val="es-ES"/>
        </w:rPr>
      </w:pPr>
      <w:r>
        <w:rPr>
          <w:rFonts w:ascii="Verdana" w:hAnsi="Verdana" w:cs="Arial"/>
          <w:lang w:val="es-ES"/>
        </w:rPr>
        <w:lastRenderedPageBreak/>
        <w:t>En segundo lugar</w:t>
      </w:r>
      <w:r w:rsidRPr="00B91291">
        <w:rPr>
          <w:rFonts w:ascii="Verdana" w:hAnsi="Verdana" w:cs="Arial"/>
          <w:lang w:val="es-ES"/>
        </w:rPr>
        <w:t xml:space="preserve">, respecto del alcance del parágrafo </w:t>
      </w:r>
      <w:r w:rsidRPr="00B91291">
        <w:rPr>
          <w:rFonts w:ascii="Verdana" w:hAnsi="Verdana" w:cs="Arial"/>
        </w:rPr>
        <w:t xml:space="preserve">del artículo 38 de la Ley 996 de 2005, esta prohibición dispone en primera medida que: “[l]os Gobernadores, </w:t>
      </w:r>
      <w:proofErr w:type="gramStart"/>
      <w:r w:rsidRPr="00B91291">
        <w:rPr>
          <w:rFonts w:ascii="Verdana" w:hAnsi="Verdana" w:cs="Arial"/>
        </w:rPr>
        <w:t>Alcaldes</w:t>
      </w:r>
      <w:proofErr w:type="gramEnd"/>
      <w:r w:rsidRPr="00B91291">
        <w:rPr>
          <w:rFonts w:ascii="Verdana" w:hAnsi="Verdana" w:cs="Arial"/>
        </w:rPr>
        <w:t xml:space="preserve"> Municipales y/o Distritales, </w:t>
      </w:r>
      <w:proofErr w:type="gramStart"/>
      <w:r w:rsidRPr="00B91291">
        <w:rPr>
          <w:rFonts w:ascii="Verdana" w:hAnsi="Verdana" w:cs="Arial"/>
        </w:rPr>
        <w:t>Secretarios</w:t>
      </w:r>
      <w:proofErr w:type="gramEnd"/>
      <w:r w:rsidRPr="00B91291">
        <w:rPr>
          <w:rFonts w:ascii="Verdana" w:hAnsi="Verdana" w:cs="Arial"/>
        </w:rPr>
        <w:t xml:space="preserve">, Gerentes y directores de Entidades Descentralizadas del orden Municipal, Departamental o Distrital, dentro de los cuatro (4) meses anteriores a las elecciones, no podrán celebrar </w:t>
      </w:r>
      <w:r w:rsidRPr="00F41A9B">
        <w:rPr>
          <w:rFonts w:ascii="Verdana" w:hAnsi="Verdana" w:cs="Arial"/>
        </w:rPr>
        <w:t>convenios interadministrativos 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p>
    <w:p w14:paraId="3A162843" w14:textId="77777777" w:rsidR="00F25881" w:rsidRDefault="00F25881" w:rsidP="00F25881">
      <w:pPr>
        <w:spacing w:before="120"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3"/>
      </w:r>
      <w:r w:rsidRPr="00667CD6">
        <w:rPr>
          <w:rFonts w:ascii="Verdana" w:hAnsi="Verdana" w:cs="Arial"/>
          <w:lang w:eastAsia="es-ES"/>
        </w:rPr>
        <w:t>.</w:t>
      </w:r>
    </w:p>
    <w:p w14:paraId="7F136369" w14:textId="77777777" w:rsidR="00F25881" w:rsidRPr="00AD17FF" w:rsidRDefault="00F25881" w:rsidP="00F25881">
      <w:pPr>
        <w:spacing w:before="120"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5D9A184" w14:textId="77777777" w:rsidR="00F25881" w:rsidRDefault="00F25881" w:rsidP="00F25881">
      <w:pPr>
        <w:spacing w:before="120" w:after="0" w:line="276" w:lineRule="auto"/>
        <w:ind w:firstLine="708"/>
        <w:jc w:val="both"/>
        <w:rPr>
          <w:rFonts w:ascii="Verdana" w:hAnsi="Verdana" w:cs="Arial"/>
          <w:lang w:val="es-ES"/>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4"/>
      </w:r>
      <w:r w:rsidRPr="2035D652">
        <w:rPr>
          <w:rFonts w:ascii="Verdana" w:hAnsi="Verdana" w:cs="Arial"/>
          <w:lang w:val="es-ES"/>
        </w:rPr>
        <w:t>. Nótese que, en este caso, lo que cambia es la modalidad de selección y no la naturaleza de contrato interadministrativo.</w:t>
      </w:r>
    </w:p>
    <w:p w14:paraId="29160DDC" w14:textId="77777777" w:rsidR="00F25881" w:rsidRDefault="00F25881" w:rsidP="00F25881">
      <w:pPr>
        <w:spacing w:before="120" w:after="0" w:line="276" w:lineRule="auto"/>
        <w:ind w:firstLine="708"/>
        <w:jc w:val="both"/>
        <w:rPr>
          <w:rFonts w:ascii="Verdana" w:eastAsia="Times New Roman" w:hAnsi="Verdana" w:cs="Arial"/>
          <w:lang w:val="es-MX" w:eastAsia="es-CO"/>
        </w:rPr>
      </w:pPr>
      <w:r w:rsidRPr="00667CD6">
        <w:rPr>
          <w:rFonts w:ascii="Verdana" w:eastAsia="Times New Roman" w:hAnsi="Verdana" w:cs="Arial"/>
          <w:lang w:val="es-MX" w:eastAsia="es-CO"/>
        </w:rPr>
        <w:lastRenderedPageBreak/>
        <w:t xml:space="preserve">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4E1E80A5" w14:textId="77777777" w:rsidR="00F25881" w:rsidRDefault="00F25881" w:rsidP="00F25881">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033A1DFA" w14:textId="77777777" w:rsidR="00F25881" w:rsidRPr="00667CD6" w:rsidRDefault="00F25881" w:rsidP="00F25881">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25"/>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w:t>
      </w:r>
      <w:r>
        <w:rPr>
          <w:rFonts w:ascii="Verdana" w:eastAsia="Times New Roman" w:hAnsi="Verdana" w:cs="Arial"/>
          <w:lang w:eastAsia="es-CO"/>
        </w:rPr>
        <w:lastRenderedPageBreak/>
        <w:t xml:space="preserve">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679C9FBD" w14:textId="77777777" w:rsidR="00F25881" w:rsidRPr="0012093A" w:rsidRDefault="00F25881" w:rsidP="00F25881">
      <w:pPr>
        <w:spacing w:after="120" w:line="276" w:lineRule="auto"/>
        <w:ind w:firstLine="709"/>
        <w:jc w:val="both"/>
        <w:rPr>
          <w:rFonts w:ascii="Verdana" w:eastAsia="Times New Roman" w:hAnsi="Verdana" w:cs="Arial"/>
          <w:lang w:val="es-MX" w:eastAsia="x-none"/>
        </w:rPr>
      </w:pPr>
      <w:r>
        <w:rPr>
          <w:rFonts w:ascii="Verdana" w:eastAsia="Times New Roman" w:hAnsi="Verdana" w:cs="Arial"/>
          <w:bCs/>
          <w:lang w:eastAsia="es-CO"/>
        </w:rPr>
        <w:t xml:space="preserve">Ahora bien, para dar respuesta al problema jurídico planteado, </w:t>
      </w:r>
      <w:r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con el fin de determinar si a este tipo de negocios jurídicos le es aplicable el artículo 33 de la Ley 996 de 2005.</w:t>
      </w:r>
      <w:r w:rsidRPr="00377ED6">
        <w:rPr>
          <w:rFonts w:ascii="Verdana" w:eastAsia="Calibri" w:hAnsi="Verdana" w:cs="Arial"/>
          <w:lang w:val="es-ES"/>
        </w:rPr>
        <w:t xml:space="preserve"> </w:t>
      </w:r>
    </w:p>
    <w:p w14:paraId="7EA8FE09" w14:textId="77777777" w:rsidR="00F25881" w:rsidRPr="00377ED6" w:rsidRDefault="00F25881" w:rsidP="00F25881">
      <w:pPr>
        <w:spacing w:before="120" w:after="120" w:line="276" w:lineRule="auto"/>
        <w:ind w:firstLine="709"/>
        <w:jc w:val="both"/>
        <w:rPr>
          <w:rFonts w:ascii="Verdana" w:eastAsia="Calibri" w:hAnsi="Verdana" w:cs="Arial"/>
          <w:lang w:val="es-ES"/>
        </w:rPr>
      </w:pPr>
      <w:bookmarkStart w:id="18"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18"/>
    </w:p>
    <w:p w14:paraId="34269116" w14:textId="77777777" w:rsidR="00F25881" w:rsidRDefault="00F25881" w:rsidP="00F25881">
      <w:pPr>
        <w:spacing w:before="120" w:after="120" w:line="276" w:lineRule="auto"/>
        <w:ind w:firstLine="709"/>
        <w:jc w:val="both"/>
        <w:rPr>
          <w:rFonts w:ascii="Verdana" w:eastAsia="Calibri" w:hAnsi="Verdana" w:cs="Arial"/>
          <w:lang w:val="es-ES"/>
        </w:rPr>
      </w:pPr>
      <w:bookmarkStart w:id="19"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4698CF89" w14:textId="77777777" w:rsidR="00F25881" w:rsidRDefault="00F25881" w:rsidP="00F25881">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que no haya una contraprestación directa a favor de la entidad estatal, es decir, que el programa o actividad a desarrollar este dirigida al beneficio de la población en general, ya que cuando se adquieren bienes o servicios o se ejecutan obras en una relación </w:t>
      </w:r>
      <w:r w:rsidRPr="00377ED6">
        <w:rPr>
          <w:rFonts w:ascii="Verdana" w:eastAsia="Calibri" w:hAnsi="Verdana" w:cs="Arial"/>
          <w:lang w:val="es-ES"/>
        </w:rPr>
        <w:lastRenderedPageBreak/>
        <w:t>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p w14:paraId="6F5E8CBD" w14:textId="77777777" w:rsidR="00F25881" w:rsidRDefault="00F25881" w:rsidP="00F25881">
      <w:pPr>
        <w:spacing w:before="120" w:line="276" w:lineRule="auto"/>
        <w:ind w:firstLine="708"/>
        <w:jc w:val="both"/>
        <w:rPr>
          <w:rFonts w:ascii="Verdana" w:eastAsia="Calibri" w:hAnsi="Verdana" w:cs="Arial"/>
          <w:lang w:val="es-ES"/>
        </w:rPr>
      </w:pPr>
      <w:r>
        <w:rPr>
          <w:rFonts w:ascii="Verdana" w:eastAsia="Calibri" w:hAnsi="Verdana" w:cs="Arial"/>
          <w:lang w:val="es-ES"/>
        </w:rPr>
        <w:t>Corolario a lo anterior</w:t>
      </w:r>
      <w:r w:rsidRPr="5F8BC1B5">
        <w:rPr>
          <w:rFonts w:ascii="Verdana" w:eastAsia="Calibri" w:hAnsi="Verdana" w:cs="Arial"/>
          <w:lang w:val="es-ES"/>
        </w:rPr>
        <w:t xml:space="preserve">, por disposición del artículo 4 del Decreto </w:t>
      </w:r>
      <w:r>
        <w:rPr>
          <w:rFonts w:ascii="Verdana" w:eastAsia="Calibri" w:hAnsi="Verdana" w:cs="Arial"/>
          <w:lang w:val="es-ES"/>
        </w:rPr>
        <w:t>0</w:t>
      </w:r>
      <w:r w:rsidRPr="5F8BC1B5">
        <w:rPr>
          <w:rFonts w:ascii="Verdana" w:eastAsia="Calibri" w:hAnsi="Verdana" w:cs="Arial"/>
          <w:lang w:val="es-ES"/>
        </w:rPr>
        <w:t>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5F8BC1B5">
        <w:rPr>
          <w:rFonts w:ascii="Verdana" w:eastAsia="Calibri" w:hAnsi="Verdana" w:cs="Arial"/>
          <w:lang w:val="es-ES"/>
        </w:rPr>
        <w:t>ii</w:t>
      </w:r>
      <w:proofErr w:type="spellEnd"/>
      <w:r w:rsidRPr="5F8BC1B5">
        <w:rPr>
          <w:rFonts w:ascii="Verdana" w:eastAsia="Calibri" w:hAnsi="Verdana" w:cs="Arial"/>
          <w:lang w:val="es-ES"/>
        </w:rPr>
        <w:t>) definición de un plazo razonable para que las entidades privadas sin ánimo de lucro de reconocida idoneidad presenten a la Entidad Estatal sus ofertas y los documentos que acrediten su idoneidad, y (</w:t>
      </w:r>
      <w:proofErr w:type="spellStart"/>
      <w:r w:rsidRPr="5F8BC1B5">
        <w:rPr>
          <w:rFonts w:ascii="Verdana" w:eastAsia="Calibri" w:hAnsi="Verdana" w:cs="Arial"/>
          <w:lang w:val="es-ES"/>
        </w:rPr>
        <w:t>iii</w:t>
      </w:r>
      <w:proofErr w:type="spellEnd"/>
      <w:r w:rsidRPr="5F8BC1B5">
        <w:rPr>
          <w:rFonts w:ascii="Verdana" w:eastAsia="Calibri" w:hAnsi="Verdana" w:cs="Arial"/>
          <w:lang w:val="es-ES"/>
        </w:rPr>
        <w:t xml:space="preserve">) evaluación de las ofertas por parte de la Entidad Estatal teniendo en cuenta los criterios definidos para el efecto. </w:t>
      </w:r>
    </w:p>
    <w:p w14:paraId="194A23ED" w14:textId="77777777" w:rsidR="00F25881" w:rsidRDefault="00F25881" w:rsidP="00F25881">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lo manifestado, la celebración de los contratos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19"/>
    <w:p w14:paraId="4C50F8EA" w14:textId="77777777" w:rsidR="00F25881" w:rsidRPr="00377ED6" w:rsidRDefault="00F25881" w:rsidP="00F25881">
      <w:pPr>
        <w:spacing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w:t>
      </w:r>
      <w:proofErr w:type="spellStart"/>
      <w:r w:rsidRPr="00377ED6">
        <w:rPr>
          <w:rFonts w:ascii="Verdana" w:eastAsia="Calibri" w:hAnsi="Verdana" w:cs="Arial"/>
          <w:bCs/>
          <w:lang w:val="es-ES_tradnl"/>
        </w:rPr>
        <w:t>ienen</w:t>
      </w:r>
      <w:proofErr w:type="spellEnd"/>
      <w:r w:rsidRPr="00377ED6">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26"/>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 xml:space="preserve">El convenio de asociación no es conmutativo, </w:t>
      </w:r>
      <w:proofErr w:type="gramStart"/>
      <w:r w:rsidRPr="00377ED6">
        <w:rPr>
          <w:rFonts w:ascii="Verdana" w:eastAsia="Calibri" w:hAnsi="Verdana" w:cs="Arial"/>
          <w:bCs/>
          <w:lang w:val="es-ES_tradnl"/>
        </w:rPr>
        <w:t>y</w:t>
      </w:r>
      <w:proofErr w:type="gramEnd"/>
      <w:r w:rsidRPr="00377ED6">
        <w:rPr>
          <w:rFonts w:ascii="Verdana" w:eastAsia="Calibri" w:hAnsi="Verdana" w:cs="Arial"/>
          <w:bCs/>
          <w:lang w:val="es-ES_tradnl"/>
        </w:rPr>
        <w:t xml:space="preserve"> por </w:t>
      </w:r>
      <w:r>
        <w:rPr>
          <w:rFonts w:ascii="Verdana" w:eastAsia="Calibri" w:hAnsi="Verdana" w:cs="Arial"/>
          <w:bCs/>
          <w:lang w:val="es-ES_tradnl"/>
        </w:rPr>
        <w:t xml:space="preserve">lo </w:t>
      </w:r>
      <w:r w:rsidRPr="00377ED6">
        <w:rPr>
          <w:rFonts w:ascii="Verdana" w:eastAsia="Calibri" w:hAnsi="Verdana" w:cs="Arial"/>
          <w:bCs/>
          <w:lang w:val="es-ES_tradnl"/>
        </w:rPr>
        <w:t xml:space="preserve">tanto, la entidad no instruye al contratista </w:t>
      </w:r>
      <w:r w:rsidRPr="00377ED6">
        <w:rPr>
          <w:rFonts w:ascii="Verdana" w:eastAsia="Calibri" w:hAnsi="Verdana" w:cs="Arial"/>
          <w:bCs/>
          <w:lang w:val="es-ES_tradnl"/>
        </w:rPr>
        <w:lastRenderedPageBreak/>
        <w:t>para desarrollar los programas o actividades previstas, sino que se asocia con él para el cumplimiento de objetivos comunes</w:t>
      </w:r>
      <w:r w:rsidRPr="00377ED6">
        <w:rPr>
          <w:rFonts w:ascii="Verdana" w:hAnsi="Verdana" w:cs="Arial"/>
          <w:vertAlign w:val="superscript"/>
        </w:rPr>
        <w:footnoteReference w:id="27"/>
      </w:r>
      <w:r w:rsidRPr="00377ED6">
        <w:rPr>
          <w:rFonts w:ascii="Verdana" w:eastAsia="Calibri" w:hAnsi="Verdana" w:cs="Arial"/>
          <w:bCs/>
          <w:lang w:val="es-ES_tradnl"/>
        </w:rPr>
        <w:t>.</w:t>
      </w:r>
    </w:p>
    <w:p w14:paraId="5969FD3A" w14:textId="77777777" w:rsidR="00F25881" w:rsidRPr="00377ED6" w:rsidRDefault="00F25881" w:rsidP="00F25881">
      <w:pPr>
        <w:spacing w:after="120" w:line="276" w:lineRule="auto"/>
        <w:ind w:firstLine="709"/>
        <w:jc w:val="both"/>
        <w:rPr>
          <w:rFonts w:ascii="Verdana" w:eastAsia="Calibri" w:hAnsi="Verdana" w:cs="Arial"/>
          <w:bCs/>
        </w:rPr>
      </w:pPr>
      <w:r w:rsidRPr="00377ED6">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52247A34" w14:textId="77777777" w:rsidR="00F25881" w:rsidRPr="00377ED6" w:rsidRDefault="00F25881" w:rsidP="00F25881">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5C70F874" w14:textId="77777777" w:rsidR="00F25881" w:rsidRPr="00377ED6" w:rsidRDefault="00F25881" w:rsidP="00F25881">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son esencialmente distintos a los contratos para la adquisición y </w:t>
      </w:r>
      <w:r w:rsidRPr="00377ED6">
        <w:rPr>
          <w:rFonts w:ascii="Verdana" w:hAnsi="Verdana" w:cs="Arial"/>
          <w:color w:val="000000" w:themeColor="text1"/>
          <w:lang w:val="es-MX"/>
        </w:rPr>
        <w:lastRenderedPageBreak/>
        <w:t>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28"/>
      </w:r>
      <w:r w:rsidRPr="00377ED6">
        <w:rPr>
          <w:rFonts w:ascii="Verdana" w:hAnsi="Verdana" w:cs="Arial"/>
          <w:color w:val="000000" w:themeColor="text1"/>
          <w:lang w:val="es-MX"/>
        </w:rPr>
        <w:t>. Así lo consideró la Sala de Consulta y Servicio Civil del Consejo de Estado:</w:t>
      </w:r>
    </w:p>
    <w:p w14:paraId="74F852A1" w14:textId="77777777" w:rsidR="00F25881" w:rsidRPr="00377ED6" w:rsidRDefault="00F25881" w:rsidP="00F25881">
      <w:pPr>
        <w:spacing w:after="0" w:line="276" w:lineRule="auto"/>
        <w:jc w:val="both"/>
        <w:rPr>
          <w:rFonts w:ascii="Verdana" w:hAnsi="Verdana" w:cs="Arial"/>
          <w:color w:val="000000" w:themeColor="text1"/>
          <w:lang w:val="es-MX"/>
        </w:rPr>
      </w:pPr>
    </w:p>
    <w:p w14:paraId="7586D82E" w14:textId="77777777" w:rsidR="00F25881" w:rsidRPr="003E7CD1" w:rsidRDefault="00F25881" w:rsidP="00F25881">
      <w:pPr>
        <w:tabs>
          <w:tab w:val="left" w:pos="8080"/>
        </w:tabs>
        <w:spacing w:line="240" w:lineRule="auto"/>
        <w:ind w:left="709" w:right="616"/>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w:t>
      </w:r>
      <w:proofErr w:type="gramStart"/>
      <w:r w:rsidRPr="003E7CD1">
        <w:rPr>
          <w:rFonts w:ascii="Verdana" w:eastAsia="Calibri" w:hAnsi="Verdana" w:cs="Arial"/>
          <w:color w:val="000000" w:themeColor="text1"/>
          <w:sz w:val="20"/>
          <w:szCs w:val="20"/>
        </w:rPr>
        <w:t>y</w:t>
      </w:r>
      <w:proofErr w:type="gramEnd"/>
      <w:r w:rsidRPr="003E7CD1">
        <w:rPr>
          <w:rFonts w:ascii="Verdana" w:eastAsia="Calibri" w:hAnsi="Verdana" w:cs="Arial"/>
          <w:color w:val="000000" w:themeColor="text1"/>
          <w:sz w:val="20"/>
          <w:szCs w:val="20"/>
        </w:rPr>
        <w:t xml:space="preserve"> por lo tanto, se tipifican dentro de cualquiera de las modalidades de contratación de la ley 80 de 1.993, debiendo sujetarse a los procedimientos allí previstos, en especial los de escogencia del contratista.</w:t>
      </w:r>
    </w:p>
    <w:p w14:paraId="512059EA" w14:textId="77777777" w:rsidR="00F25881" w:rsidRPr="003E7CD1" w:rsidRDefault="00F25881" w:rsidP="00F25881">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29"/>
      </w:r>
      <w:r w:rsidRPr="003E7CD1">
        <w:rPr>
          <w:rFonts w:ascii="Verdana" w:eastAsia="Calibri" w:hAnsi="Verdana" w:cs="Arial"/>
          <w:color w:val="000000" w:themeColor="text1"/>
          <w:sz w:val="20"/>
          <w:szCs w:val="20"/>
        </w:rPr>
        <w:t>.</w:t>
      </w:r>
    </w:p>
    <w:p w14:paraId="612653ED" w14:textId="77777777" w:rsidR="00F25881" w:rsidRPr="00377ED6" w:rsidRDefault="00F25881" w:rsidP="00F25881">
      <w:pPr>
        <w:spacing w:after="0" w:line="276" w:lineRule="auto"/>
        <w:ind w:firstLine="708"/>
        <w:jc w:val="both"/>
        <w:rPr>
          <w:rFonts w:ascii="Verdana" w:eastAsia="Calibri" w:hAnsi="Verdana" w:cs="Arial"/>
          <w:color w:val="000000" w:themeColor="text1"/>
        </w:rPr>
      </w:pPr>
      <w:bookmarkStart w:id="20" w:name="_Hlk95756200"/>
    </w:p>
    <w:p w14:paraId="166E96D9" w14:textId="77777777" w:rsidR="00F25881" w:rsidRPr="00377ED6" w:rsidRDefault="00F25881" w:rsidP="00F25881">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20"/>
      <w:r w:rsidRPr="00377ED6">
        <w:rPr>
          <w:rFonts w:ascii="Verdana" w:eastAsia="Calibri" w:hAnsi="Verdana" w:cs="Arial"/>
          <w:color w:val="000000" w:themeColor="text1"/>
        </w:rPr>
        <w:t>Así lo reconoció la Corte Constitucional en la sentencia C-287 del 18 de abril de 2012, en la que sostuvo lo siguiente:</w:t>
      </w:r>
    </w:p>
    <w:p w14:paraId="2B9DBDF4" w14:textId="77777777" w:rsidR="00F25881" w:rsidRPr="00377ED6" w:rsidRDefault="00F25881" w:rsidP="00F25881">
      <w:pPr>
        <w:spacing w:after="0" w:line="240" w:lineRule="auto"/>
        <w:ind w:firstLine="709"/>
        <w:jc w:val="both"/>
        <w:rPr>
          <w:rFonts w:ascii="Verdana" w:eastAsia="Calibri" w:hAnsi="Verdana" w:cs="Arial"/>
          <w:color w:val="000000" w:themeColor="text1"/>
        </w:rPr>
      </w:pPr>
    </w:p>
    <w:p w14:paraId="5D8CF92E" w14:textId="77777777" w:rsidR="00F25881" w:rsidRPr="003E7CD1" w:rsidRDefault="00F25881" w:rsidP="00F25881">
      <w:pPr>
        <w:spacing w:line="240" w:lineRule="auto"/>
        <w:ind w:left="709" w:right="616"/>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lastRenderedPageBreak/>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044034C1" w14:textId="77777777" w:rsidR="00F25881" w:rsidRPr="003E7CD1" w:rsidRDefault="00F25881" w:rsidP="00F25881">
      <w:pPr>
        <w:spacing w:after="0" w:line="240" w:lineRule="auto"/>
        <w:ind w:left="709" w:right="616"/>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t xml:space="preserve">Sin embargo, el hecho que no persigan una finalidad </w:t>
      </w:r>
      <w:proofErr w:type="gramStart"/>
      <w:r w:rsidRPr="003E7CD1">
        <w:rPr>
          <w:rFonts w:ascii="Verdana" w:eastAsia="Calibri" w:hAnsi="Verdana" w:cs="Arial"/>
          <w:i/>
          <w:iCs/>
          <w:color w:val="000000" w:themeColor="text1"/>
          <w:sz w:val="20"/>
          <w:szCs w:val="20"/>
        </w:rPr>
        <w:t>lucrativa,</w:t>
      </w:r>
      <w:proofErr w:type="gramEnd"/>
      <w:r w:rsidRPr="003E7CD1">
        <w:rPr>
          <w:rFonts w:ascii="Verdana" w:eastAsia="Calibri" w:hAnsi="Verdana" w:cs="Arial"/>
          <w:i/>
          <w:iCs/>
          <w:color w:val="000000" w:themeColor="text1"/>
          <w:sz w:val="20"/>
          <w:szCs w:val="20"/>
        </w:rPr>
        <w:t xml:space="preserve"> no significa que no desarrollen actividades que generen utilidades, lo que pasa es </w:t>
      </w:r>
      <w:proofErr w:type="gramStart"/>
      <w:r w:rsidRPr="003E7CD1">
        <w:rPr>
          <w:rFonts w:ascii="Verdana" w:eastAsia="Calibri" w:hAnsi="Verdana" w:cs="Arial"/>
          <w:i/>
          <w:iCs/>
          <w:color w:val="000000" w:themeColor="text1"/>
          <w:sz w:val="20"/>
          <w:szCs w:val="20"/>
        </w:rPr>
        <w:t>que</w:t>
      </w:r>
      <w:proofErr w:type="gramEnd"/>
      <w:r w:rsidRPr="003E7CD1">
        <w:rPr>
          <w:rFonts w:ascii="Verdana" w:eastAsia="Calibri" w:hAnsi="Verdana" w:cs="Arial"/>
          <w:i/>
          <w:iCs/>
          <w:color w:val="000000" w:themeColor="text1"/>
          <w:sz w:val="20"/>
          <w:szCs w:val="20"/>
        </w:rPr>
        <w:t xml:space="preserve"> a diferencia de las sociedades, el lucro o ganancia obtenida no se reparte entre sus </w:t>
      </w:r>
      <w:proofErr w:type="gramStart"/>
      <w:r w:rsidRPr="003E7CD1">
        <w:rPr>
          <w:rFonts w:ascii="Verdana" w:eastAsia="Calibri" w:hAnsi="Verdana" w:cs="Arial"/>
          <w:i/>
          <w:iCs/>
          <w:color w:val="000000" w:themeColor="text1"/>
          <w:sz w:val="20"/>
          <w:szCs w:val="20"/>
        </w:rPr>
        <w:t>miembros</w:t>
      </w:r>
      <w:proofErr w:type="gramEnd"/>
      <w:r w:rsidRPr="003E7CD1">
        <w:rPr>
          <w:rFonts w:ascii="Verdana" w:eastAsia="Calibri" w:hAnsi="Verdana" w:cs="Arial"/>
          <w:i/>
          <w:iCs/>
          <w:color w:val="000000" w:themeColor="text1"/>
          <w:sz w:val="20"/>
          <w:szCs w:val="20"/>
        </w:rPr>
        <w:t xml:space="preserve"> sino que se integra al patrimonio de la asociación para la obtención del fin deseado</w:t>
      </w:r>
      <w:r w:rsidRPr="003E7CD1">
        <w:rPr>
          <w:rFonts w:ascii="Verdana" w:eastAsia="Calibri" w:hAnsi="Verdana" w:cs="Arial"/>
          <w:color w:val="000000" w:themeColor="text1"/>
          <w:sz w:val="20"/>
          <w:szCs w:val="20"/>
        </w:rPr>
        <w:t xml:space="preserve">.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3E7CD1">
        <w:rPr>
          <w:rFonts w:ascii="Verdana" w:eastAsia="Calibri" w:hAnsi="Verdana" w:cs="Arial"/>
          <w:color w:val="000000" w:themeColor="text1"/>
          <w:sz w:val="20"/>
          <w:szCs w:val="20"/>
        </w:rPr>
        <w:t>del mismo</w:t>
      </w:r>
      <w:proofErr w:type="gramEnd"/>
      <w:r w:rsidRPr="003E7CD1">
        <w:rPr>
          <w:rFonts w:ascii="Verdana" w:eastAsia="Calibri" w:hAnsi="Verdana" w:cs="Arial"/>
          <w:color w:val="000000" w:themeColor="text1"/>
          <w:sz w:val="20"/>
          <w:szCs w:val="20"/>
        </w:rPr>
        <w:t xml:space="preserve"> en el momento de su disolución o liquidación”. (Cursivas propias)</w:t>
      </w:r>
    </w:p>
    <w:p w14:paraId="2E3477D4" w14:textId="77777777" w:rsidR="00F25881" w:rsidRPr="00377ED6" w:rsidRDefault="00F25881" w:rsidP="00F25881">
      <w:pPr>
        <w:spacing w:after="0" w:line="276" w:lineRule="auto"/>
        <w:ind w:firstLine="709"/>
        <w:jc w:val="both"/>
        <w:rPr>
          <w:rFonts w:ascii="Verdana" w:eastAsia="Calibri" w:hAnsi="Verdana" w:cs="Arial"/>
          <w:color w:val="000000" w:themeColor="text1"/>
        </w:rPr>
      </w:pPr>
    </w:p>
    <w:p w14:paraId="2DE5BDD5" w14:textId="77777777" w:rsidR="00F25881" w:rsidRPr="00377ED6" w:rsidRDefault="00F25881" w:rsidP="00F25881">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61B06899" w14:textId="77777777" w:rsidR="00F25881" w:rsidRPr="00377ED6" w:rsidRDefault="00F25881" w:rsidP="00F25881">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377ED6">
        <w:rPr>
          <w:rFonts w:ascii="Verdana" w:hAnsi="Verdana" w:cs="Arial"/>
          <w:color w:val="000000" w:themeColor="text1"/>
        </w:rPr>
        <w:t>ii</w:t>
      </w:r>
      <w:proofErr w:type="spellEnd"/>
      <w:r w:rsidRPr="00377ED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xml:space="preserve">) el objeto del contrato debe estar acorde con el plan nacional o seccional de desarrollo; </w:t>
      </w:r>
      <w:proofErr w:type="spellStart"/>
      <w:r w:rsidRPr="00377ED6">
        <w:rPr>
          <w:rFonts w:ascii="Verdana" w:hAnsi="Verdana" w:cs="Arial"/>
          <w:color w:val="000000" w:themeColor="text1"/>
        </w:rPr>
        <w:t>iv</w:t>
      </w:r>
      <w:proofErr w:type="spellEnd"/>
      <w:r w:rsidRPr="00377ED6">
        <w:rPr>
          <w:rFonts w:ascii="Verdana" w:hAnsi="Verdana" w:cs="Arial"/>
          <w:color w:val="000000" w:themeColor="text1"/>
        </w:rPr>
        <w:t xml:space="preserve">) no </w:t>
      </w:r>
      <w:r w:rsidRPr="00377ED6">
        <w:rPr>
          <w:rFonts w:ascii="Verdana" w:hAnsi="Verdana" w:cs="Arial"/>
          <w:color w:val="000000" w:themeColor="text1"/>
        </w:rPr>
        <w:lastRenderedPageBreak/>
        <w:t xml:space="preserve">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47A995B7" w14:textId="77777777" w:rsidR="00F25881" w:rsidRDefault="00F25881" w:rsidP="00F25881">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rPr>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deben estar sujetos a competencia, salvo en aquellos casos en que una entidad sin ánimo de lucro comprometa recursos en dinero por un valor igual o superior al 30% del valor total del convenio</w:t>
      </w:r>
      <w:r w:rsidRPr="00377ED6">
        <w:rPr>
          <w:rFonts w:ascii="Verdana" w:hAnsi="Verdana" w:cs="Arial"/>
          <w:color w:val="000000" w:themeColor="text1"/>
          <w:vertAlign w:val="superscript"/>
        </w:rPr>
        <w:footnoteReference w:id="30"/>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4FE1690B" w14:textId="77777777" w:rsidR="00F25881" w:rsidRDefault="00F25881" w:rsidP="00F25881">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w:t>
      </w:r>
      <w:r>
        <w:rPr>
          <w:rFonts w:ascii="Verdana" w:eastAsia="Calibri" w:hAnsi="Verdana" w:cs="Arial"/>
          <w:lang w:val="es-ES"/>
        </w:rPr>
        <w:t>í</w:t>
      </w:r>
      <w:r w:rsidRPr="697BF333">
        <w:rPr>
          <w:rFonts w:ascii="Verdana" w:eastAsia="Calibri" w:hAnsi="Verdana" w:cs="Arial"/>
          <w:lang w:val="es-ES"/>
        </w:rPr>
        <w:t xml:space="preserve"> entra dentro del ámbito de aplicación de la mencionada prohibición, de manera que no es posible su aplicación en vigencia de la restricción a la contratación directa.</w:t>
      </w:r>
    </w:p>
    <w:p w14:paraId="1587A37D" w14:textId="77777777" w:rsidR="00F25881" w:rsidRDefault="00F25881" w:rsidP="00F25881">
      <w:pPr>
        <w:spacing w:before="120" w:after="0" w:line="276" w:lineRule="auto"/>
        <w:ind w:firstLine="709"/>
        <w:jc w:val="both"/>
        <w:rPr>
          <w:rFonts w:ascii="Verdana" w:eastAsia="Calibri" w:hAnsi="Verdana" w:cs="Arial"/>
          <w:lang w:val="es-ES"/>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w:t>
      </w:r>
      <w:r w:rsidRPr="00F02C5A">
        <w:rPr>
          <w:rFonts w:ascii="Verdana" w:eastAsia="Times New Roman" w:hAnsi="Verdana" w:cs="Arial"/>
          <w:lang w:val="es-MX" w:eastAsia="x-none"/>
        </w:rPr>
        <w:lastRenderedPageBreak/>
        <w:t xml:space="preserve">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r w:rsidRPr="697BF333">
        <w:rPr>
          <w:rFonts w:ascii="Verdana" w:eastAsia="Calibri" w:hAnsi="Verdana" w:cs="Arial"/>
          <w:lang w:val="es-ES"/>
        </w:rPr>
        <w:t xml:space="preserve"> </w:t>
      </w:r>
    </w:p>
    <w:p w14:paraId="0F97B9BF" w14:textId="77777777" w:rsidR="00F25881" w:rsidRDefault="00F25881" w:rsidP="00F25881">
      <w:pPr>
        <w:tabs>
          <w:tab w:val="left" w:pos="426"/>
        </w:tabs>
        <w:spacing w:after="0" w:line="276" w:lineRule="auto"/>
        <w:jc w:val="both"/>
        <w:rPr>
          <w:rFonts w:ascii="Verdana" w:eastAsia="Times New Roman" w:hAnsi="Verdana" w:cs="Arial"/>
          <w:lang w:val="es-ES" w:eastAsia="es-MX"/>
        </w:rPr>
      </w:pPr>
    </w:p>
    <w:p w14:paraId="4ABD84DD" w14:textId="77777777" w:rsidR="00F25881" w:rsidRPr="00F4158D" w:rsidRDefault="00F25881" w:rsidP="00F25881">
      <w:pPr>
        <w:tabs>
          <w:tab w:val="left" w:pos="426"/>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39F0021" w14:textId="77777777" w:rsidR="00F25881" w:rsidRPr="00F4158D" w:rsidRDefault="00F25881" w:rsidP="00F25881">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5D4D6C4" w14:textId="77777777" w:rsidR="00F25881" w:rsidRPr="00F4158D" w:rsidRDefault="00F25881" w:rsidP="00F25881">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314002CF" w14:textId="77777777" w:rsidR="00F25881" w:rsidRPr="00593A5F" w:rsidRDefault="00F25881" w:rsidP="00F2588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FB87E5C" w14:textId="77777777" w:rsidR="00F25881" w:rsidRPr="00593A5F" w:rsidRDefault="00F25881" w:rsidP="00F2588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25881" w:rsidRPr="002407CE" w14:paraId="72FC1DA0" w14:textId="77777777" w:rsidTr="003C21C1">
        <w:trPr>
          <w:trHeight w:val="870"/>
          <w:jc w:val="center"/>
        </w:trPr>
        <w:tc>
          <w:tcPr>
            <w:tcW w:w="8647" w:type="dxa"/>
          </w:tcPr>
          <w:p w14:paraId="63D49458" w14:textId="77777777" w:rsidR="00F25881" w:rsidRDefault="00F25881" w:rsidP="00F25881">
            <w:pPr>
              <w:pStyle w:val="Prrafodelista"/>
              <w:widowControl w:val="0"/>
              <w:numPr>
                <w:ilvl w:val="0"/>
                <w:numId w:val="17"/>
              </w:numPr>
              <w:autoSpaceDE w:val="0"/>
              <w:autoSpaceDN w:val="0"/>
              <w:ind w:left="714" w:hanging="357"/>
              <w:contextualSpacing w:val="0"/>
              <w:jc w:val="both"/>
              <w:rPr>
                <w:rFonts w:ascii="Verdana" w:hAnsi="Verdana" w:cs="Arial"/>
              </w:rPr>
            </w:pPr>
            <w:r>
              <w:rPr>
                <w:rFonts w:ascii="Verdana" w:hAnsi="Verdana" w:cs="Arial"/>
              </w:rPr>
              <w:t>Constitución Política de 1991, artículos 127 y 197.</w:t>
            </w:r>
          </w:p>
          <w:p w14:paraId="6D4BD6CC" w14:textId="77777777" w:rsidR="00F25881" w:rsidRDefault="00F25881" w:rsidP="00F25881">
            <w:pPr>
              <w:pStyle w:val="Prrafodelista"/>
              <w:widowControl w:val="0"/>
              <w:numPr>
                <w:ilvl w:val="0"/>
                <w:numId w:val="17"/>
              </w:numPr>
              <w:autoSpaceDE w:val="0"/>
              <w:autoSpaceDN w:val="0"/>
              <w:ind w:left="714" w:hanging="357"/>
              <w:contextualSpacing w:val="0"/>
              <w:jc w:val="both"/>
              <w:rPr>
                <w:rFonts w:ascii="Verdana" w:hAnsi="Verdana" w:cs="Arial"/>
              </w:rPr>
            </w:pPr>
            <w:r>
              <w:rPr>
                <w:rFonts w:ascii="Verdana" w:hAnsi="Verdana" w:cs="Arial"/>
              </w:rPr>
              <w:t xml:space="preserve">Código Civil, artículo 674 y 1973. </w:t>
            </w:r>
          </w:p>
          <w:p w14:paraId="117C405B" w14:textId="77777777" w:rsidR="00F25881" w:rsidRDefault="00F25881" w:rsidP="00F25881">
            <w:pPr>
              <w:pStyle w:val="Prrafodelista"/>
              <w:widowControl w:val="0"/>
              <w:numPr>
                <w:ilvl w:val="0"/>
                <w:numId w:val="17"/>
              </w:numPr>
              <w:autoSpaceDE w:val="0"/>
              <w:autoSpaceDN w:val="0"/>
              <w:ind w:left="714" w:hanging="357"/>
              <w:contextualSpacing w:val="0"/>
              <w:jc w:val="both"/>
              <w:rPr>
                <w:rFonts w:ascii="Verdana" w:hAnsi="Verdana" w:cs="Arial"/>
              </w:rPr>
            </w:pPr>
            <w:r>
              <w:rPr>
                <w:rFonts w:ascii="Verdana" w:hAnsi="Verdana" w:cs="Arial"/>
              </w:rPr>
              <w:t>Ley 996 de 2005, artículos 33 y 38.</w:t>
            </w:r>
          </w:p>
          <w:p w14:paraId="66BD9A6E" w14:textId="77777777" w:rsidR="00F25881" w:rsidRDefault="00F25881" w:rsidP="00F25881">
            <w:pPr>
              <w:pStyle w:val="Prrafodelista"/>
              <w:widowControl w:val="0"/>
              <w:numPr>
                <w:ilvl w:val="0"/>
                <w:numId w:val="17"/>
              </w:numPr>
              <w:autoSpaceDE w:val="0"/>
              <w:autoSpaceDN w:val="0"/>
              <w:ind w:left="714" w:hanging="357"/>
              <w:contextualSpacing w:val="0"/>
              <w:jc w:val="both"/>
              <w:rPr>
                <w:rFonts w:ascii="Verdana" w:hAnsi="Verdana" w:cs="Arial"/>
              </w:rPr>
            </w:pPr>
            <w:r>
              <w:rPr>
                <w:rFonts w:ascii="Verdana" w:hAnsi="Verdana" w:cs="Arial"/>
              </w:rPr>
              <w:t>Ley 1150 de 2007, artículo 2.</w:t>
            </w:r>
          </w:p>
          <w:p w14:paraId="12DA50B8" w14:textId="77777777" w:rsidR="00F25881" w:rsidRDefault="00F25881" w:rsidP="00F25881">
            <w:pPr>
              <w:pStyle w:val="Prrafodelista"/>
              <w:widowControl w:val="0"/>
              <w:numPr>
                <w:ilvl w:val="0"/>
                <w:numId w:val="17"/>
              </w:numPr>
              <w:autoSpaceDE w:val="0"/>
              <w:autoSpaceDN w:val="0"/>
              <w:ind w:left="714" w:hanging="357"/>
              <w:contextualSpacing w:val="0"/>
              <w:jc w:val="both"/>
              <w:rPr>
                <w:rFonts w:ascii="Verdana" w:hAnsi="Verdana" w:cs="Arial"/>
              </w:rPr>
            </w:pPr>
            <w:r w:rsidRPr="00036236">
              <w:rPr>
                <w:rFonts w:ascii="Verdana" w:hAnsi="Verdana" w:cs="Arial"/>
              </w:rPr>
              <w:t>Decreto 1082 de 2015, artículo</w:t>
            </w:r>
            <w:r>
              <w:rPr>
                <w:rFonts w:ascii="Verdana" w:hAnsi="Verdana" w:cs="Arial"/>
              </w:rPr>
              <w:t xml:space="preserve"> </w:t>
            </w:r>
            <w:r w:rsidRPr="009F112C">
              <w:rPr>
                <w:rStyle w:val="s15"/>
                <w:rFonts w:ascii="Verdana" w:hAnsi="Verdana"/>
              </w:rPr>
              <w:t>2.2.1.2.1.4.1</w:t>
            </w:r>
            <w:r>
              <w:rPr>
                <w:rStyle w:val="s15"/>
                <w:rFonts w:ascii="Verdana" w:hAnsi="Verdana"/>
              </w:rPr>
              <w:t>,</w:t>
            </w:r>
            <w:r w:rsidRPr="00036236">
              <w:rPr>
                <w:rFonts w:ascii="Verdana" w:hAnsi="Verdana" w:cs="Arial"/>
              </w:rPr>
              <w:t xml:space="preserve"> 2.2.1.2.1.4.6.</w:t>
            </w:r>
          </w:p>
          <w:p w14:paraId="5C5765C1"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lastRenderedPageBreak/>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1FE77ED2"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22 de enero de 2002, expediente número 2001-0148-0</w:t>
            </w:r>
            <w:r>
              <w:rPr>
                <w:rFonts w:ascii="Verdana" w:hAnsi="Verdana" w:cs="Arial"/>
                <w:lang w:eastAsia="es-ES"/>
              </w:rPr>
              <w:t>.</w:t>
            </w:r>
          </w:p>
          <w:p w14:paraId="0EF912BD"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045084FA"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F2446F">
              <w:rPr>
                <w:rFonts w:ascii="Verdana" w:hAnsi="Verdana" w:cs="Arial"/>
                <w:lang w:eastAsia="es-ES"/>
              </w:rPr>
              <w:t>Consejo de Estado. Sala de Consulta y Servicio Civil. Concepto de 20 de febrero de 2006. Radicación Número: 11001-03-06-000-2006-00026-00 (1727). C.P: Enrique José Arboleda Perdomo.</w:t>
            </w:r>
          </w:p>
          <w:p w14:paraId="200A13A9"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F2446F">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3DA0EDA5"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61C9B612" w14:textId="77777777" w:rsidR="00F25881" w:rsidRPr="00C076BE" w:rsidRDefault="00F25881" w:rsidP="00F25881">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125AB64B"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3D102859"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2FE8B4A7"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FB5770">
              <w:rPr>
                <w:rFonts w:ascii="Verdana" w:hAnsi="Verdana" w:cs="Arial"/>
                <w:lang w:eastAsia="es-ES"/>
              </w:rPr>
              <w:t xml:space="preserve">Consejo de Estado. Sala de lo Contencioso Administrativo. Sección Tercera. Sentencia del 21 de febrero de 2025. </w:t>
            </w:r>
            <w:proofErr w:type="spellStart"/>
            <w:r w:rsidRPr="00FB5770">
              <w:rPr>
                <w:rFonts w:ascii="Verdana" w:hAnsi="Verdana" w:cs="Arial"/>
                <w:lang w:eastAsia="es-ES"/>
              </w:rPr>
              <w:t>Exp</w:t>
            </w:r>
            <w:proofErr w:type="spellEnd"/>
            <w:r w:rsidRPr="00FB5770">
              <w:rPr>
                <w:rFonts w:ascii="Verdana" w:hAnsi="Verdana" w:cs="Arial"/>
                <w:lang w:eastAsia="es-ES"/>
              </w:rPr>
              <w:t>. 68.280. CP: José Roberto Sáchica Méndez.</w:t>
            </w:r>
          </w:p>
          <w:p w14:paraId="0D6727BD" w14:textId="77777777" w:rsidR="00F25881" w:rsidRPr="00F24F9D" w:rsidRDefault="00F25881" w:rsidP="00F25881">
            <w:pPr>
              <w:pStyle w:val="Prrafodelista"/>
              <w:numPr>
                <w:ilvl w:val="0"/>
                <w:numId w:val="17"/>
              </w:numPr>
              <w:spacing w:line="276" w:lineRule="auto"/>
              <w:jc w:val="both"/>
              <w:rPr>
                <w:rFonts w:ascii="Verdana" w:eastAsia="Arial MT" w:hAnsi="Verdana" w:cs="Arial"/>
                <w:lang w:eastAsia="es-ES" w:bidi="es-ES"/>
              </w:rPr>
            </w:pPr>
            <w:r w:rsidRPr="00F24A62">
              <w:rPr>
                <w:rFonts w:ascii="Verdana" w:eastAsia="Arial MT" w:hAnsi="Verdana" w:cs="Arial"/>
                <w:lang w:eastAsia="es-ES" w:bidi="es-ES"/>
              </w:rPr>
              <w:t>Consejo de Estado. Sala de Consulta y Servicio Civil. Concepto del 24 de febrero de 2005. Radicado: No. 1626, C.P: Gloria Duque Hernández</w:t>
            </w:r>
            <w:r>
              <w:rPr>
                <w:rFonts w:ascii="Verdana" w:eastAsia="Arial MT" w:hAnsi="Verdana" w:cs="Arial"/>
                <w:lang w:eastAsia="es-ES" w:bidi="es-ES"/>
              </w:rPr>
              <w:t>.</w:t>
            </w:r>
          </w:p>
          <w:p w14:paraId="496C328F"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56DC7AEE"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lastRenderedPageBreak/>
              <w:t>Corte Constitucional. Sentencia C-551 de 9 de julio de 2003. M.P: Eduardo Montealegre Lynnet</w:t>
            </w:r>
            <w:r>
              <w:rPr>
                <w:rFonts w:ascii="Verdana" w:hAnsi="Verdana" w:cs="Arial"/>
                <w:lang w:eastAsia="es-ES"/>
              </w:rPr>
              <w:t>.</w:t>
            </w:r>
          </w:p>
          <w:p w14:paraId="6364D446"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Corte Constitucional. Sentencia C- 1153 de 2005, M.P: Marco Gerardo Monroy Cabra.</w:t>
            </w:r>
          </w:p>
          <w:p w14:paraId="2E307D23" w14:textId="77777777" w:rsidR="00F25881" w:rsidRDefault="00F25881" w:rsidP="00F25881">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 xml:space="preserve">Corte Constitucional. Sentencia C-353 de 20 de mayo de 2009. M.P: Jorge Iván Palacio </w:t>
            </w:r>
            <w:proofErr w:type="spellStart"/>
            <w:r w:rsidRPr="00C076BE">
              <w:rPr>
                <w:rFonts w:ascii="Verdana" w:hAnsi="Verdana" w:cs="Arial"/>
                <w:lang w:eastAsia="es-ES"/>
              </w:rPr>
              <w:t>Palacio</w:t>
            </w:r>
            <w:proofErr w:type="spellEnd"/>
            <w:r>
              <w:rPr>
                <w:rFonts w:ascii="Verdana" w:hAnsi="Verdana" w:cs="Arial"/>
                <w:lang w:eastAsia="es-ES"/>
              </w:rPr>
              <w:t>.</w:t>
            </w:r>
          </w:p>
          <w:p w14:paraId="153D7D49" w14:textId="77777777" w:rsidR="00F25881" w:rsidRPr="00936BE1" w:rsidRDefault="00F25881" w:rsidP="003C21C1">
            <w:pPr>
              <w:pStyle w:val="Prrafodelista"/>
              <w:spacing w:line="276" w:lineRule="auto"/>
              <w:jc w:val="both"/>
              <w:rPr>
                <w:rFonts w:ascii="Verdana" w:hAnsi="Verdana" w:cs="Arial"/>
              </w:rPr>
            </w:pPr>
          </w:p>
        </w:tc>
      </w:tr>
    </w:tbl>
    <w:p w14:paraId="4D098799" w14:textId="77777777" w:rsidR="00F25881" w:rsidRPr="002407CE" w:rsidRDefault="00F25881" w:rsidP="00F25881">
      <w:pPr>
        <w:widowControl w:val="0"/>
        <w:autoSpaceDE w:val="0"/>
        <w:autoSpaceDN w:val="0"/>
        <w:spacing w:after="0" w:line="276" w:lineRule="auto"/>
        <w:jc w:val="both"/>
        <w:rPr>
          <w:rFonts w:ascii="Verdana" w:hAnsi="Verdana" w:cs="Arial"/>
        </w:rPr>
      </w:pPr>
    </w:p>
    <w:p w14:paraId="01A3D7D2" w14:textId="77777777" w:rsidR="00F25881" w:rsidRPr="00593A5F" w:rsidRDefault="00F25881" w:rsidP="00F2588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59B4199" w14:textId="77777777" w:rsidR="00F25881" w:rsidRPr="00593A5F" w:rsidRDefault="00F25881" w:rsidP="00F25881">
      <w:pPr>
        <w:widowControl w:val="0"/>
        <w:autoSpaceDE w:val="0"/>
        <w:autoSpaceDN w:val="0"/>
        <w:spacing w:after="0" w:line="276" w:lineRule="auto"/>
        <w:jc w:val="both"/>
        <w:rPr>
          <w:rFonts w:ascii="Verdana" w:hAnsi="Verdana" w:cs="Arial"/>
        </w:rPr>
      </w:pPr>
    </w:p>
    <w:p w14:paraId="303047CD" w14:textId="77777777" w:rsidR="00F25881" w:rsidRPr="00ED0098" w:rsidRDefault="00F25881" w:rsidP="00F25881">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y C-276 del 5 de abril de 2026, </w:t>
      </w:r>
      <w:r w:rsidRPr="00177E85">
        <w:rPr>
          <w:rFonts w:ascii="Verdana" w:hAnsi="Verdana" w:cs="Arial"/>
          <w:shd w:val="clear" w:color="auto" w:fill="FFFFFF"/>
        </w:rPr>
        <w:t>entre otros</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73F51CE" w14:textId="77777777" w:rsidR="00F25881" w:rsidRPr="00096788" w:rsidRDefault="00F25881" w:rsidP="00F25881">
      <w:pPr>
        <w:widowControl w:val="0"/>
        <w:autoSpaceDE w:val="0"/>
        <w:autoSpaceDN w:val="0"/>
        <w:spacing w:after="0" w:line="276" w:lineRule="auto"/>
        <w:jc w:val="both"/>
        <w:rPr>
          <w:rFonts w:ascii="Verdana" w:hAnsi="Verdana" w:cs="Arial"/>
          <w:color w:val="000000" w:themeColor="text1"/>
          <w:shd w:val="clear" w:color="auto" w:fill="FFFFFF"/>
        </w:rPr>
      </w:pPr>
    </w:p>
    <w:p w14:paraId="63322D94" w14:textId="77777777" w:rsidR="00F25881" w:rsidRPr="00AE4CB7" w:rsidRDefault="00F25881" w:rsidP="00F25881">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w:t>
      </w:r>
      <w:r w:rsidRPr="009A385A">
        <w:rPr>
          <w:rFonts w:ascii="Verdana" w:hAnsi="Verdana"/>
        </w:rPr>
        <w:lastRenderedPageBreak/>
        <w:t xml:space="preserve">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170B71EA" w14:textId="77777777" w:rsidR="00F25881" w:rsidRPr="009A385A" w:rsidRDefault="00F25881" w:rsidP="00F25881">
      <w:pPr>
        <w:spacing w:after="0" w:line="276" w:lineRule="auto"/>
        <w:jc w:val="both"/>
        <w:rPr>
          <w:rFonts w:ascii="Verdana" w:hAnsi="Verdana"/>
        </w:rPr>
      </w:pPr>
    </w:p>
    <w:p w14:paraId="2D1DEE1C" w14:textId="77777777" w:rsidR="00F25881" w:rsidRPr="00AE4CB7" w:rsidRDefault="00F25881" w:rsidP="00F25881">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70446250" w14:textId="77777777" w:rsidR="00F25881" w:rsidRDefault="00F25881" w:rsidP="00F25881">
      <w:pPr>
        <w:spacing w:after="0" w:line="276" w:lineRule="auto"/>
        <w:jc w:val="both"/>
        <w:rPr>
          <w:rFonts w:ascii="Verdana" w:hAnsi="Verdana"/>
        </w:rPr>
      </w:pPr>
    </w:p>
    <w:p w14:paraId="0A7C9578" w14:textId="77777777" w:rsidR="00F25881" w:rsidRPr="008E1CD7" w:rsidRDefault="00F25881" w:rsidP="00F25881">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87EE08D" w14:textId="77777777" w:rsidR="00F25881" w:rsidRDefault="00F25881" w:rsidP="00F25881">
      <w:pPr>
        <w:shd w:val="clear" w:color="auto" w:fill="FFFFFF"/>
        <w:spacing w:after="0" w:line="276" w:lineRule="auto"/>
        <w:jc w:val="both"/>
        <w:rPr>
          <w:rFonts w:ascii="Verdana" w:hAnsi="Verdana"/>
          <w:color w:val="000000"/>
          <w:u w:val="single"/>
        </w:rPr>
      </w:pPr>
    </w:p>
    <w:p w14:paraId="667977C2" w14:textId="77777777" w:rsidR="00F25881" w:rsidRPr="0038088D" w:rsidRDefault="00F25881" w:rsidP="00F25881">
      <w:pPr>
        <w:spacing w:after="0" w:line="276" w:lineRule="auto"/>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w:t>
      </w:r>
      <w:r w:rsidRPr="00116940">
        <w:rPr>
          <w:rFonts w:ascii="Verdana" w:hAnsi="Verdana"/>
        </w:rPr>
        <w:lastRenderedPageBreak/>
        <w:t xml:space="preserve">marco de nuestras funciones a través de nuestros diferentes canales de </w:t>
      </w:r>
      <w:r w:rsidRPr="0038088D">
        <w:rPr>
          <w:rFonts w:ascii="Verdana" w:hAnsi="Verdana"/>
        </w:rPr>
        <w:t xml:space="preserve">atención: </w:t>
      </w:r>
    </w:p>
    <w:p w14:paraId="5CF434F3" w14:textId="77777777" w:rsidR="00F25881" w:rsidRPr="0038088D" w:rsidRDefault="00F25881" w:rsidP="00F25881">
      <w:pPr>
        <w:spacing w:after="0" w:line="276" w:lineRule="auto"/>
        <w:jc w:val="both"/>
        <w:rPr>
          <w:rFonts w:ascii="Verdana" w:hAnsi="Verdana"/>
        </w:rPr>
      </w:pPr>
    </w:p>
    <w:p w14:paraId="1FA04890" w14:textId="77777777" w:rsidR="00F25881" w:rsidRPr="0038088D" w:rsidRDefault="00F25881" w:rsidP="00F25881">
      <w:pPr>
        <w:pStyle w:val="Prrafodelista"/>
        <w:numPr>
          <w:ilvl w:val="0"/>
          <w:numId w:val="15"/>
        </w:numPr>
        <w:spacing w:after="0" w:line="276"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630C8092" w14:textId="77777777" w:rsidR="00F25881" w:rsidRPr="0038088D" w:rsidRDefault="00F25881" w:rsidP="00F25881">
      <w:pPr>
        <w:pStyle w:val="Prrafodelista"/>
        <w:numPr>
          <w:ilvl w:val="0"/>
          <w:numId w:val="15"/>
        </w:numPr>
        <w:spacing w:after="0" w:line="276" w:lineRule="auto"/>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71AD4D15" w14:textId="77777777" w:rsidR="00F25881" w:rsidRPr="0038088D" w:rsidRDefault="00F25881" w:rsidP="00F25881">
      <w:pPr>
        <w:pStyle w:val="Prrafodelista"/>
        <w:numPr>
          <w:ilvl w:val="0"/>
          <w:numId w:val="15"/>
        </w:numPr>
        <w:spacing w:after="0" w:line="276" w:lineRule="auto"/>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20731BFC" w14:textId="77777777" w:rsidR="00F25881" w:rsidRPr="0038088D" w:rsidRDefault="00F25881" w:rsidP="00F25881">
      <w:pPr>
        <w:pStyle w:val="Prrafodelista"/>
        <w:numPr>
          <w:ilvl w:val="0"/>
          <w:numId w:val="15"/>
        </w:numPr>
        <w:spacing w:after="0" w:line="276" w:lineRule="auto"/>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7B056809" w14:textId="77777777" w:rsidR="00F25881" w:rsidRPr="0038088D" w:rsidRDefault="00F25881" w:rsidP="00F25881">
      <w:pPr>
        <w:spacing w:after="0" w:line="276" w:lineRule="auto"/>
        <w:ind w:left="720"/>
        <w:jc w:val="both"/>
        <w:rPr>
          <w:rFonts w:ascii="Verdana" w:hAnsi="Verdana"/>
        </w:rPr>
      </w:pPr>
    </w:p>
    <w:p w14:paraId="19752B24" w14:textId="77777777" w:rsidR="00F25881" w:rsidRPr="0038088D" w:rsidRDefault="00F25881" w:rsidP="00F25881">
      <w:pPr>
        <w:spacing w:after="0" w:line="276" w:lineRule="auto"/>
        <w:rPr>
          <w:rFonts w:ascii="Verdana" w:hAnsi="Verdana"/>
        </w:rPr>
      </w:pPr>
      <w:r w:rsidRPr="0038088D">
        <w:rPr>
          <w:rFonts w:ascii="Verdana" w:hAnsi="Verdana"/>
        </w:rPr>
        <w:t xml:space="preserve">Evalúa el servicio que ofrece la Agencia por el canal de atención de PQRSD en el siguiente </w:t>
      </w:r>
      <w:proofErr w:type="gramStart"/>
      <w:r w:rsidRPr="0038088D">
        <w:rPr>
          <w:rFonts w:ascii="Verdana" w:hAnsi="Verdana"/>
        </w:rPr>
        <w:t>enlace :</w:t>
      </w:r>
      <w:proofErr w:type="gramEnd"/>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3F04BFF2" w14:textId="77777777" w:rsidR="00F25881" w:rsidRPr="0038088D" w:rsidRDefault="00F25881" w:rsidP="00F25881">
      <w:pPr>
        <w:spacing w:after="0" w:line="276" w:lineRule="auto"/>
        <w:rPr>
          <w:rFonts w:ascii="Verdana" w:hAnsi="Verdana"/>
        </w:rPr>
      </w:pPr>
    </w:p>
    <w:p w14:paraId="344485C6" w14:textId="77777777" w:rsidR="00F25881" w:rsidRPr="0038088D" w:rsidRDefault="00F25881" w:rsidP="00F25881">
      <w:pPr>
        <w:spacing w:after="0" w:line="276"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43CCD51F" w14:textId="77777777" w:rsidR="00F25881" w:rsidRPr="00116940" w:rsidRDefault="00F25881" w:rsidP="00F25881">
      <w:pPr>
        <w:spacing w:after="0" w:line="276" w:lineRule="auto"/>
        <w:jc w:val="both"/>
        <w:rPr>
          <w:rFonts w:ascii="Verdana" w:hAnsi="Verdana"/>
        </w:rPr>
      </w:pPr>
    </w:p>
    <w:p w14:paraId="2418D816" w14:textId="77777777" w:rsidR="00F25881" w:rsidRPr="00116940" w:rsidRDefault="00F25881" w:rsidP="00F25881">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82684F4" w14:textId="77777777" w:rsidR="00F25881" w:rsidRPr="00116940" w:rsidRDefault="00F25881" w:rsidP="00F25881">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8C770FD" w14:textId="77777777" w:rsidR="00F25881" w:rsidRPr="00E22E6E" w:rsidRDefault="00F25881" w:rsidP="00F25881">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646666A" w14:textId="77777777" w:rsidR="00F25881" w:rsidRPr="009C4035" w:rsidRDefault="00F25881" w:rsidP="00F25881">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55D3B571" w14:textId="77777777" w:rsidR="00F25881" w:rsidRPr="00593A5F" w:rsidRDefault="00F25881" w:rsidP="00F2588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35E48E16" w14:textId="77777777" w:rsidR="00F25881" w:rsidRPr="00593A5F" w:rsidRDefault="00F25881" w:rsidP="00F25881">
      <w:pPr>
        <w:widowControl w:val="0"/>
        <w:autoSpaceDE w:val="0"/>
        <w:autoSpaceDN w:val="0"/>
        <w:spacing w:after="0" w:line="276" w:lineRule="auto"/>
        <w:jc w:val="both"/>
        <w:rPr>
          <w:rFonts w:ascii="Verdana" w:hAnsi="Verdana" w:cs="Arial"/>
        </w:rPr>
      </w:pPr>
    </w:p>
    <w:p w14:paraId="1C2BBA43" w14:textId="77777777" w:rsidR="00F25881" w:rsidRPr="00593A5F" w:rsidRDefault="00F25881" w:rsidP="00F25881">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1023AF3" w14:textId="1935A0E5" w:rsidR="00C34C45" w:rsidRPr="00C34C45" w:rsidRDefault="00C34C45" w:rsidP="00C34C45">
      <w:pPr>
        <w:spacing w:line="276" w:lineRule="auto"/>
        <w:jc w:val="center"/>
        <w:rPr>
          <w:rFonts w:ascii="Verdana" w:hAnsi="Verdana" w:cs="Arial"/>
          <w:color w:val="000000"/>
          <w:lang w:eastAsia="es-CO"/>
        </w:rPr>
      </w:pPr>
      <w:r w:rsidRPr="00C34C45">
        <w:rPr>
          <w:rFonts w:ascii="Verdana" w:hAnsi="Verdana" w:cs="Arial"/>
          <w:color w:val="000000"/>
          <w:lang w:eastAsia="es-CO"/>
        </w:rPr>
        <w:drawing>
          <wp:inline distT="0" distB="0" distL="0" distR="0" wp14:anchorId="62EE09FE" wp14:editId="3E863D6B">
            <wp:extent cx="2881251" cy="1069555"/>
            <wp:effectExtent l="0" t="0" r="0" b="0"/>
            <wp:docPr id="212891364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85753" cy="1071226"/>
                    </a:xfrm>
                    <a:prstGeom prst="rect">
                      <a:avLst/>
                    </a:prstGeom>
                    <a:noFill/>
                    <a:ln>
                      <a:noFill/>
                    </a:ln>
                  </pic:spPr>
                </pic:pic>
              </a:graphicData>
            </a:graphic>
          </wp:inline>
        </w:drawing>
      </w:r>
    </w:p>
    <w:p w14:paraId="54954EC4" w14:textId="6B6396E4" w:rsidR="00F25881" w:rsidRPr="000C3379" w:rsidRDefault="00F25881" w:rsidP="00F25881">
      <w:pPr>
        <w:spacing w:line="276" w:lineRule="auto"/>
        <w:jc w:val="center"/>
        <w:rPr>
          <w:rFonts w:ascii="Verdana" w:hAnsi="Verdana" w:cs="Arial"/>
          <w:color w:val="000000"/>
          <w:lang w:eastAsia="es-CO"/>
        </w:rPr>
      </w:pPr>
    </w:p>
    <w:p w14:paraId="7EFB9868" w14:textId="77777777" w:rsidR="00F25881" w:rsidRPr="00593A5F" w:rsidRDefault="00F25881" w:rsidP="00F25881">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25881" w:rsidRPr="00593A5F" w14:paraId="1BF116B2" w14:textId="77777777" w:rsidTr="003C21C1">
        <w:trPr>
          <w:trHeight w:val="315"/>
        </w:trPr>
        <w:tc>
          <w:tcPr>
            <w:tcW w:w="893" w:type="dxa"/>
            <w:vAlign w:val="center"/>
            <w:hideMark/>
          </w:tcPr>
          <w:p w14:paraId="1512BA81" w14:textId="77777777" w:rsidR="00F25881" w:rsidRPr="003751C7" w:rsidRDefault="00F25881" w:rsidP="003C21C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A89AFEC" w14:textId="77777777" w:rsidR="00F25881" w:rsidRPr="00254A7A" w:rsidRDefault="00F25881" w:rsidP="003C21C1">
            <w:pPr>
              <w:contextualSpacing/>
              <w:rPr>
                <w:rStyle w:val="normaltextrun"/>
                <w:rFonts w:ascii="Verdana" w:hAnsi="Verdana"/>
                <w:sz w:val="16"/>
                <w:szCs w:val="16"/>
              </w:rPr>
            </w:pPr>
            <w:r>
              <w:rPr>
                <w:rStyle w:val="normaltextrun"/>
                <w:rFonts w:ascii="Verdana" w:hAnsi="Verdana"/>
                <w:sz w:val="16"/>
                <w:szCs w:val="16"/>
              </w:rPr>
              <w:t>Natalia</w:t>
            </w:r>
            <w:r w:rsidRPr="00254A7A">
              <w:rPr>
                <w:rStyle w:val="normaltextrun"/>
                <w:rFonts w:ascii="Verdana" w:hAnsi="Verdana"/>
                <w:sz w:val="16"/>
                <w:szCs w:val="16"/>
              </w:rPr>
              <w:t xml:space="preserve"> Montoya </w:t>
            </w:r>
            <w:r>
              <w:rPr>
                <w:rStyle w:val="normaltextrun"/>
                <w:rFonts w:ascii="Verdana" w:hAnsi="Verdana"/>
                <w:sz w:val="16"/>
                <w:szCs w:val="16"/>
              </w:rPr>
              <w:t>Jiménez</w:t>
            </w:r>
          </w:p>
          <w:p w14:paraId="5F2EA808" w14:textId="77777777" w:rsidR="00F25881" w:rsidRPr="00254A7A" w:rsidRDefault="00F25881" w:rsidP="003C21C1">
            <w:pPr>
              <w:contextualSpacing/>
              <w:rPr>
                <w:rFonts w:ascii="Verdana" w:eastAsia="Arial" w:hAnsi="Verdana" w:cs="Arial"/>
                <w:sz w:val="16"/>
                <w:szCs w:val="16"/>
              </w:rPr>
            </w:pPr>
            <w:r w:rsidRPr="001B6B73">
              <w:rPr>
                <w:rStyle w:val="normaltextrun"/>
                <w:rFonts w:ascii="Verdana" w:hAnsi="Verdana" w:cs="Arial"/>
                <w:sz w:val="16"/>
                <w:szCs w:val="16"/>
                <w:lang w:val="es-ES_tradnl"/>
              </w:rPr>
              <w:t xml:space="preserve">Gestor T1 ‒ 15 </w:t>
            </w:r>
            <w:r w:rsidRPr="00254A7A">
              <w:rPr>
                <w:rStyle w:val="normaltextrun"/>
                <w:rFonts w:ascii="Verdana" w:hAnsi="Verdana"/>
                <w:sz w:val="16"/>
                <w:szCs w:val="16"/>
              </w:rPr>
              <w:t>de la Subdirección de Gestión Contractual</w:t>
            </w:r>
          </w:p>
        </w:tc>
      </w:tr>
      <w:tr w:rsidR="00F25881" w:rsidRPr="00593A5F" w14:paraId="7B34F739" w14:textId="77777777" w:rsidTr="003C21C1">
        <w:trPr>
          <w:trHeight w:val="330"/>
        </w:trPr>
        <w:tc>
          <w:tcPr>
            <w:tcW w:w="893" w:type="dxa"/>
            <w:vAlign w:val="center"/>
            <w:hideMark/>
          </w:tcPr>
          <w:p w14:paraId="0B0071B3" w14:textId="77777777" w:rsidR="00F25881" w:rsidRPr="003751C7" w:rsidRDefault="00F25881" w:rsidP="003C21C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B169AFF" w14:textId="77777777" w:rsidR="00F25881" w:rsidRPr="000C3379" w:rsidRDefault="00F25881" w:rsidP="003C21C1">
            <w:pPr>
              <w:pStyle w:val="paragraph"/>
              <w:spacing w:after="0"/>
              <w:contextualSpacing/>
              <w:textAlignment w:val="baseline"/>
              <w:rPr>
                <w:rStyle w:val="normaltextrun"/>
                <w:rFonts w:ascii="Verdana" w:hAnsi="Verdana" w:cs="Arial"/>
                <w:sz w:val="16"/>
                <w:szCs w:val="16"/>
                <w:lang w:val="es-ES_tradnl"/>
              </w:rPr>
            </w:pPr>
            <w:r w:rsidRPr="000C3379">
              <w:rPr>
                <w:rStyle w:val="normaltextrun"/>
                <w:rFonts w:ascii="Verdana" w:hAnsi="Verdana" w:cs="Arial"/>
                <w:sz w:val="16"/>
                <w:szCs w:val="16"/>
                <w:lang w:val="es-ES_tradnl"/>
              </w:rPr>
              <w:t>A</w:t>
            </w:r>
            <w:r w:rsidRPr="000C3379">
              <w:rPr>
                <w:rStyle w:val="normaltextrun"/>
                <w:rFonts w:ascii="Verdana" w:hAnsi="Verdana"/>
                <w:sz w:val="16"/>
                <w:szCs w:val="16"/>
                <w:lang w:val="es-ES_tradnl"/>
              </w:rPr>
              <w:t>driana</w:t>
            </w:r>
            <w:r>
              <w:rPr>
                <w:rStyle w:val="normaltextrun"/>
                <w:rFonts w:ascii="Verdana" w:hAnsi="Verdana"/>
                <w:sz w:val="16"/>
                <w:szCs w:val="16"/>
                <w:lang w:val="es-ES_tradnl"/>
              </w:rPr>
              <w:t xml:space="preserve"> Katherine</w:t>
            </w:r>
            <w:r w:rsidRPr="000C3379">
              <w:rPr>
                <w:rStyle w:val="normaltextrun"/>
                <w:rFonts w:ascii="Verdana" w:hAnsi="Verdana"/>
                <w:sz w:val="16"/>
                <w:szCs w:val="16"/>
                <w:lang w:val="es-ES_tradnl"/>
              </w:rPr>
              <w:t xml:space="preserve"> López</w:t>
            </w:r>
            <w:r>
              <w:rPr>
                <w:rStyle w:val="normaltextrun"/>
                <w:rFonts w:ascii="Verdana" w:hAnsi="Verdana"/>
                <w:sz w:val="16"/>
                <w:szCs w:val="16"/>
                <w:lang w:val="es-ES_tradnl"/>
              </w:rPr>
              <w:t xml:space="preserve"> Rodriguez</w:t>
            </w:r>
          </w:p>
          <w:p w14:paraId="1D45009B" w14:textId="77777777" w:rsidR="00F25881" w:rsidRPr="00254A7A" w:rsidRDefault="00F25881" w:rsidP="003C21C1">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sz w:val="16"/>
                <w:szCs w:val="16"/>
              </w:rPr>
              <w:t>Contratista</w:t>
            </w:r>
            <w:r w:rsidRPr="001B6B73">
              <w:rPr>
                <w:rStyle w:val="normaltextrun"/>
                <w:rFonts w:ascii="Verdana" w:hAnsi="Verdana" w:cs="Arial"/>
                <w:sz w:val="16"/>
                <w:szCs w:val="16"/>
                <w:lang w:val="es-ES_tradnl"/>
              </w:rPr>
              <w:t xml:space="preserve"> de la Subdirección de Gestión Contractual</w:t>
            </w:r>
          </w:p>
        </w:tc>
      </w:tr>
      <w:tr w:rsidR="00F25881" w:rsidRPr="00593A5F" w14:paraId="3B004F4A" w14:textId="77777777" w:rsidTr="003C21C1">
        <w:trPr>
          <w:trHeight w:val="300"/>
        </w:trPr>
        <w:tc>
          <w:tcPr>
            <w:tcW w:w="893" w:type="dxa"/>
            <w:vAlign w:val="center"/>
          </w:tcPr>
          <w:p w14:paraId="39FD3966" w14:textId="77777777" w:rsidR="00F25881" w:rsidRPr="003751C7" w:rsidRDefault="00F25881" w:rsidP="003C21C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28FC2EA" w14:textId="77777777" w:rsidR="00F25881" w:rsidRPr="003751C7" w:rsidRDefault="00F25881" w:rsidP="003C21C1">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20356214" w14:textId="77777777" w:rsidR="00F25881" w:rsidRPr="003751C7" w:rsidRDefault="00F25881" w:rsidP="003C21C1">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15EEA24D" w14:textId="77777777" w:rsidR="00F25881" w:rsidRPr="00543BFE" w:rsidRDefault="00F25881" w:rsidP="00F25881"/>
    <w:p w14:paraId="7ED52455" w14:textId="77777777" w:rsidR="00F25881" w:rsidRPr="00B36323" w:rsidRDefault="00F25881" w:rsidP="00F25881"/>
    <w:p w14:paraId="51DFD234" w14:textId="4A81AA00" w:rsidR="00F25881" w:rsidRPr="00350544" w:rsidRDefault="00F25881" w:rsidP="00F25881"/>
    <w:p w14:paraId="12900284" w14:textId="77777777" w:rsidR="00F25881" w:rsidRDefault="00F25881" w:rsidP="00F25881"/>
    <w:p w14:paraId="39BD2B77" w14:textId="77777777" w:rsidR="00F25881" w:rsidRPr="00430D1E" w:rsidRDefault="00F25881" w:rsidP="00F25881"/>
    <w:p w14:paraId="29393FD6" w14:textId="77777777" w:rsidR="00F25881" w:rsidRDefault="00F25881" w:rsidP="00F25881"/>
    <w:p w14:paraId="0F293BF4" w14:textId="2FDAB65A" w:rsidR="00127233" w:rsidRPr="00C15AE8" w:rsidRDefault="00127233" w:rsidP="00C15AE8"/>
    <w:sectPr w:rsidR="00127233" w:rsidRPr="00C15AE8"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FCCFF" w14:textId="77777777" w:rsidR="00C50040" w:rsidRDefault="00C50040" w:rsidP="004A1847">
      <w:pPr>
        <w:spacing w:after="0" w:line="240" w:lineRule="auto"/>
      </w:pPr>
      <w:r>
        <w:separator/>
      </w:r>
    </w:p>
  </w:endnote>
  <w:endnote w:type="continuationSeparator" w:id="0">
    <w:p w14:paraId="2896FF10" w14:textId="77777777" w:rsidR="00C50040" w:rsidRDefault="00C5004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80F0D" w14:textId="77777777" w:rsidR="00C50040" w:rsidRDefault="00C50040" w:rsidP="004A1847">
      <w:pPr>
        <w:spacing w:after="0" w:line="240" w:lineRule="auto"/>
      </w:pPr>
      <w:r>
        <w:separator/>
      </w:r>
    </w:p>
  </w:footnote>
  <w:footnote w:type="continuationSeparator" w:id="0">
    <w:p w14:paraId="6FB35349" w14:textId="77777777" w:rsidR="00C50040" w:rsidRDefault="00C50040" w:rsidP="004A1847">
      <w:pPr>
        <w:spacing w:after="0" w:line="240" w:lineRule="auto"/>
      </w:pPr>
      <w:r>
        <w:continuationSeparator/>
      </w:r>
    </w:p>
  </w:footnote>
  <w:footnote w:id="1">
    <w:p w14:paraId="0314CB73" w14:textId="77777777" w:rsidR="00F25881" w:rsidRPr="00D71B7F" w:rsidRDefault="00F25881" w:rsidP="00F25881">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FCDAAA8" w14:textId="77777777" w:rsidR="00F25881" w:rsidRPr="00D71B7F" w:rsidRDefault="00F25881" w:rsidP="00F25881">
      <w:pPr>
        <w:pStyle w:val="Textonotapie"/>
        <w:ind w:firstLine="709"/>
        <w:jc w:val="both"/>
        <w:rPr>
          <w:rFonts w:ascii="Verdana" w:hAnsi="Verdana" w:cs="Arial"/>
          <w:sz w:val="16"/>
          <w:szCs w:val="16"/>
        </w:rPr>
      </w:pPr>
      <w:r w:rsidRPr="00D71B7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018CB7F" w14:textId="77777777" w:rsidR="00F25881" w:rsidRPr="00D71B7F" w:rsidRDefault="00F25881" w:rsidP="00F25881">
      <w:pPr>
        <w:pStyle w:val="Textonotapie"/>
        <w:ind w:firstLine="709"/>
        <w:jc w:val="both"/>
        <w:rPr>
          <w:rFonts w:ascii="Verdana" w:hAnsi="Verdana" w:cs="Arial"/>
          <w:sz w:val="16"/>
          <w:szCs w:val="16"/>
        </w:rPr>
      </w:pPr>
    </w:p>
  </w:footnote>
  <w:footnote w:id="2">
    <w:p w14:paraId="72439728" w14:textId="77777777" w:rsidR="00F25881" w:rsidRPr="00D71B7F" w:rsidRDefault="00F25881" w:rsidP="00F25881">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Gaceta del Congreso de la República No. 71 del 2005.</w:t>
      </w:r>
    </w:p>
    <w:p w14:paraId="260AD970" w14:textId="77777777" w:rsidR="00F25881" w:rsidRPr="00D71B7F" w:rsidRDefault="00F25881" w:rsidP="00F25881">
      <w:pPr>
        <w:pStyle w:val="Textonotapie"/>
        <w:ind w:firstLine="709"/>
        <w:jc w:val="both"/>
        <w:rPr>
          <w:rFonts w:ascii="Verdana" w:hAnsi="Verdana" w:cs="Arial"/>
          <w:sz w:val="16"/>
          <w:szCs w:val="16"/>
        </w:rPr>
      </w:pPr>
    </w:p>
  </w:footnote>
  <w:footnote w:id="3">
    <w:p w14:paraId="09445391" w14:textId="77777777" w:rsidR="00F25881" w:rsidRPr="00D71B7F" w:rsidRDefault="00F25881" w:rsidP="00F25881">
      <w:pPr>
        <w:pStyle w:val="Textonotapie"/>
        <w:tabs>
          <w:tab w:val="left" w:pos="8145"/>
        </w:tabs>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Corte Constitucional. Sentencia C- 1153 de 2005, M.P: Marco Gerardo Monroy Cabra.</w:t>
      </w:r>
      <w:r w:rsidRPr="00D71B7F">
        <w:rPr>
          <w:rFonts w:ascii="Verdana" w:hAnsi="Verdana" w:cs="Arial"/>
          <w:sz w:val="16"/>
          <w:szCs w:val="16"/>
          <w:lang w:val="pt-PT"/>
        </w:rPr>
        <w:tab/>
      </w:r>
    </w:p>
    <w:p w14:paraId="1D4685CB" w14:textId="77777777" w:rsidR="00F25881" w:rsidRPr="00D71B7F" w:rsidRDefault="00F25881" w:rsidP="00F25881">
      <w:pPr>
        <w:pStyle w:val="Textonotapie"/>
        <w:tabs>
          <w:tab w:val="left" w:pos="8145"/>
        </w:tabs>
        <w:ind w:firstLine="709"/>
        <w:jc w:val="both"/>
        <w:rPr>
          <w:rFonts w:ascii="Verdana" w:hAnsi="Verdana" w:cs="Arial"/>
          <w:sz w:val="16"/>
          <w:szCs w:val="16"/>
          <w:lang w:val="pt-PT"/>
        </w:rPr>
      </w:pPr>
    </w:p>
  </w:footnote>
  <w:footnote w:id="4">
    <w:p w14:paraId="3587855A" w14:textId="77777777" w:rsidR="00F25881" w:rsidRPr="00D71B7F" w:rsidRDefault="00F25881" w:rsidP="00F25881">
      <w:pPr>
        <w:pStyle w:val="Textonotapie"/>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w:t>
      </w:r>
      <w:r w:rsidRPr="00D71B7F">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B13A7E9" w14:textId="77777777" w:rsidR="00F25881" w:rsidRPr="00D71B7F" w:rsidRDefault="00F25881" w:rsidP="00F25881">
      <w:pPr>
        <w:pStyle w:val="Textonotapie"/>
        <w:ind w:firstLine="709"/>
        <w:jc w:val="both"/>
        <w:rPr>
          <w:rFonts w:ascii="Verdana" w:hAnsi="Verdana" w:cs="Arial"/>
          <w:sz w:val="16"/>
          <w:szCs w:val="16"/>
          <w:lang w:val="pt-PT"/>
        </w:rPr>
      </w:pPr>
    </w:p>
  </w:footnote>
  <w:footnote w:id="5">
    <w:p w14:paraId="2C1D63CC" w14:textId="77777777" w:rsidR="00F25881" w:rsidRPr="00D71B7F" w:rsidRDefault="00F25881" w:rsidP="00F25881">
      <w:pPr>
        <w:pStyle w:val="Textonotapie"/>
        <w:ind w:firstLine="709"/>
        <w:jc w:val="both"/>
        <w:rPr>
          <w:rFonts w:ascii="Verdana" w:hAnsi="Verdana" w:cs="Arial"/>
          <w:sz w:val="16"/>
          <w:szCs w:val="16"/>
          <w:lang w:val="es-CO"/>
        </w:rPr>
      </w:pPr>
      <w:r w:rsidRPr="00D71B7F">
        <w:rPr>
          <w:rStyle w:val="Refdenotaalpie"/>
          <w:rFonts w:ascii="Verdana" w:hAnsi="Verdana" w:cs="Arial"/>
          <w:sz w:val="16"/>
          <w:szCs w:val="16"/>
        </w:rPr>
        <w:footnoteRef/>
      </w:r>
      <w:r w:rsidRPr="00D71B7F">
        <w:rPr>
          <w:rFonts w:ascii="Verdana" w:hAnsi="Verdana" w:cs="Arial"/>
          <w:sz w:val="16"/>
          <w:szCs w:val="16"/>
          <w:lang w:val="es-CO"/>
        </w:rPr>
        <w:t xml:space="preserve"> Consejo de Estado. Sala de lo Contencioso Administrativo. Sección Primera. Sentencia de 3 de marzo de 2005. Radicado: </w:t>
      </w:r>
      <w:r w:rsidRPr="00D71B7F">
        <w:rPr>
          <w:rFonts w:ascii="Verdana" w:hAnsi="Verdana" w:cs="Arial"/>
          <w:sz w:val="16"/>
          <w:szCs w:val="16"/>
          <w:lang w:val="es-ES"/>
        </w:rPr>
        <w:t xml:space="preserve">25001-23-15-000-2004-00823-01 (PI). </w:t>
      </w:r>
      <w:r w:rsidRPr="00D71B7F">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7E8A4DE4" w14:textId="77777777" w:rsidR="00F25881" w:rsidRPr="00D71B7F" w:rsidRDefault="00F25881" w:rsidP="00F25881">
      <w:pPr>
        <w:pStyle w:val="Textonotapie"/>
        <w:ind w:firstLine="709"/>
        <w:jc w:val="both"/>
        <w:rPr>
          <w:rFonts w:ascii="Verdana" w:hAnsi="Verdana" w:cs="Arial"/>
          <w:sz w:val="16"/>
          <w:szCs w:val="16"/>
          <w:lang w:val="es-CO"/>
        </w:rPr>
      </w:pPr>
    </w:p>
  </w:footnote>
  <w:footnote w:id="6">
    <w:p w14:paraId="1ADB1A4B" w14:textId="77777777" w:rsidR="00F25881" w:rsidRPr="00D71B7F" w:rsidRDefault="00F25881" w:rsidP="00F25881">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24 de julio de 2013. Radicado: </w:t>
      </w:r>
      <w:r w:rsidRPr="00D71B7F">
        <w:rPr>
          <w:rFonts w:ascii="Verdana" w:hAnsi="Verdana" w:cs="Arial"/>
          <w:sz w:val="16"/>
          <w:szCs w:val="16"/>
          <w:lang w:val="es-CO"/>
        </w:rPr>
        <w:t xml:space="preserve">11001-03-06-000-2013-00407-00 </w:t>
      </w:r>
      <w:r w:rsidRPr="00D71B7F">
        <w:rPr>
          <w:rFonts w:ascii="Verdana" w:hAnsi="Verdana" w:cs="Arial"/>
          <w:sz w:val="16"/>
          <w:szCs w:val="16"/>
        </w:rPr>
        <w:t xml:space="preserve">(2166). C.P. Álvaro Namén Vargas.  </w:t>
      </w:r>
    </w:p>
    <w:p w14:paraId="628C6977" w14:textId="77777777" w:rsidR="00F25881" w:rsidRPr="00D71B7F" w:rsidRDefault="00F25881" w:rsidP="00F25881">
      <w:pPr>
        <w:pStyle w:val="Textonotapie"/>
        <w:ind w:firstLine="709"/>
        <w:jc w:val="both"/>
        <w:rPr>
          <w:rFonts w:ascii="Verdana" w:hAnsi="Verdana" w:cs="Arial"/>
          <w:sz w:val="16"/>
          <w:szCs w:val="16"/>
        </w:rPr>
      </w:pPr>
    </w:p>
  </w:footnote>
  <w:footnote w:id="7">
    <w:p w14:paraId="3FB6D93D" w14:textId="77777777" w:rsidR="00F25881" w:rsidRPr="00D71B7F" w:rsidRDefault="00F25881" w:rsidP="00F25881">
      <w:pPr>
        <w:spacing w:after="0" w:line="240" w:lineRule="auto"/>
        <w:ind w:firstLine="709"/>
        <w:jc w:val="both"/>
        <w:rPr>
          <w:rFonts w:ascii="Verdana" w:eastAsia="Times New Roman"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4" w:name="33"/>
      <w:r w:rsidRPr="00D71B7F">
        <w:rPr>
          <w:rFonts w:ascii="Verdana" w:eastAsia="Calibri" w:hAnsi="Verdana" w:cs="Arial"/>
          <w:color w:val="000000"/>
          <w:sz w:val="16"/>
          <w:szCs w:val="16"/>
        </w:rPr>
        <w:t>“</w:t>
      </w:r>
      <w:r w:rsidRPr="00D71B7F">
        <w:rPr>
          <w:rFonts w:ascii="Verdana" w:eastAsia="Times New Roman" w:hAnsi="Verdana" w:cs="Arial"/>
          <w:sz w:val="16"/>
          <w:szCs w:val="16"/>
        </w:rPr>
        <w:t>Artículo 33. Restricciones a la contratación pública.</w:t>
      </w:r>
      <w:bookmarkEnd w:id="4"/>
      <w:r w:rsidRPr="00D71B7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4B8DF49" w14:textId="77777777" w:rsidR="00F25881" w:rsidRPr="00D71B7F" w:rsidRDefault="00F25881" w:rsidP="00F25881">
      <w:pPr>
        <w:spacing w:after="0" w:line="240" w:lineRule="auto"/>
        <w:ind w:firstLine="709"/>
        <w:jc w:val="both"/>
        <w:rPr>
          <w:rFonts w:ascii="Verdana" w:eastAsia="Times New Roman" w:hAnsi="Verdana" w:cs="Arial"/>
          <w:sz w:val="16"/>
          <w:szCs w:val="16"/>
        </w:rPr>
      </w:pPr>
      <w:r w:rsidRPr="00D71B7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35AE377" w14:textId="77777777" w:rsidR="00F25881" w:rsidRPr="00D71B7F" w:rsidRDefault="00F25881" w:rsidP="00F25881">
      <w:pPr>
        <w:spacing w:after="0" w:line="240" w:lineRule="auto"/>
        <w:ind w:firstLine="709"/>
        <w:jc w:val="both"/>
        <w:rPr>
          <w:rFonts w:ascii="Verdana" w:eastAsia="Times New Roman" w:hAnsi="Verdana" w:cs="Arial"/>
          <w:sz w:val="16"/>
          <w:szCs w:val="16"/>
        </w:rPr>
      </w:pPr>
    </w:p>
  </w:footnote>
  <w:footnote w:id="8">
    <w:p w14:paraId="70D50DF1" w14:textId="77777777" w:rsidR="00F25881" w:rsidRPr="00D71B7F" w:rsidRDefault="00F25881" w:rsidP="00F25881">
      <w:pPr>
        <w:pStyle w:val="NormalWeb"/>
        <w:spacing w:before="0" w:beforeAutospacing="0" w:after="0" w:afterAutospacing="0"/>
        <w:ind w:firstLine="709"/>
        <w:jc w:val="both"/>
        <w:rPr>
          <w:rFonts w:ascii="Verdana" w:hAnsi="Verdana" w:cs="Arial"/>
          <w:sz w:val="16"/>
          <w:szCs w:val="16"/>
          <w:lang w:val="es-MX"/>
        </w:rPr>
      </w:pPr>
      <w:r w:rsidRPr="00D71B7F">
        <w:rPr>
          <w:rStyle w:val="Refdenotaalpie"/>
          <w:rFonts w:ascii="Verdana" w:eastAsiaTheme="majorEastAsia" w:hAnsi="Verdana" w:cs="Arial"/>
          <w:sz w:val="16"/>
          <w:szCs w:val="16"/>
        </w:rPr>
        <w:footnoteRef/>
      </w:r>
      <w:r w:rsidRPr="00D71B7F">
        <w:rPr>
          <w:rFonts w:ascii="Verdana" w:hAnsi="Verdana" w:cs="Arial"/>
          <w:sz w:val="16"/>
          <w:szCs w:val="16"/>
        </w:rPr>
        <w:t xml:space="preserve"> </w:t>
      </w:r>
      <w:bookmarkStart w:id="5" w:name="38"/>
      <w:r w:rsidRPr="00D71B7F">
        <w:rPr>
          <w:rFonts w:ascii="Verdana" w:eastAsia="Calibri" w:hAnsi="Verdana" w:cs="Arial"/>
          <w:color w:val="000000"/>
          <w:sz w:val="16"/>
          <w:szCs w:val="16"/>
        </w:rPr>
        <w:t>“</w:t>
      </w:r>
      <w:r w:rsidRPr="00D71B7F">
        <w:rPr>
          <w:rFonts w:ascii="Verdana" w:hAnsi="Verdana" w:cs="Arial"/>
          <w:sz w:val="16"/>
          <w:szCs w:val="16"/>
          <w:lang w:val="es-MX"/>
        </w:rPr>
        <w:t>Artículo 38. Prohibiciones para los servidores públicos. A los empleados del Estado les está prohibido:</w:t>
      </w:r>
      <w:bookmarkEnd w:id="5"/>
    </w:p>
    <w:p w14:paraId="3884BBDB" w14:textId="77777777" w:rsidR="00F25881" w:rsidRPr="00D71B7F" w:rsidRDefault="00F25881" w:rsidP="00F25881">
      <w:pPr>
        <w:pStyle w:val="NormalWeb"/>
        <w:spacing w:before="0" w:beforeAutospacing="0" w:after="0" w:afterAutospacing="0"/>
        <w:ind w:firstLine="709"/>
        <w:jc w:val="both"/>
        <w:rPr>
          <w:rFonts w:ascii="Verdana" w:hAnsi="Verdana" w:cs="Arial"/>
          <w:sz w:val="16"/>
          <w:szCs w:val="16"/>
          <w:lang w:val="es-MX"/>
        </w:rPr>
      </w:pPr>
      <w:r w:rsidRPr="00D71B7F">
        <w:rPr>
          <w:rFonts w:ascii="Verdana" w:hAnsi="Verdana" w:cs="Arial"/>
          <w:sz w:val="16"/>
          <w:szCs w:val="16"/>
          <w:lang w:val="es-MX"/>
        </w:rPr>
        <w:t>(…)</w:t>
      </w:r>
    </w:p>
    <w:p w14:paraId="57278A36" w14:textId="77777777" w:rsidR="00F25881" w:rsidRPr="00D71B7F" w:rsidRDefault="00F25881" w:rsidP="00F25881">
      <w:pPr>
        <w:pStyle w:val="NormalWeb"/>
        <w:spacing w:before="0" w:beforeAutospacing="0" w:after="0" w:afterAutospacing="0"/>
        <w:ind w:firstLine="709"/>
        <w:jc w:val="both"/>
        <w:rPr>
          <w:rFonts w:ascii="Verdana" w:eastAsia="Calibri" w:hAnsi="Verdana" w:cs="Arial"/>
          <w:color w:val="000000"/>
          <w:sz w:val="16"/>
          <w:szCs w:val="16"/>
        </w:rPr>
      </w:pPr>
      <w:r w:rsidRPr="00D71B7F">
        <w:rPr>
          <w:rStyle w:val="baj"/>
          <w:rFonts w:ascii="Verdana" w:hAnsi="Verdana" w:cs="Arial"/>
          <w:sz w:val="16"/>
          <w:szCs w:val="16"/>
          <w:lang w:val="es-MX"/>
        </w:rPr>
        <w:t>Parágrafo.</w:t>
      </w:r>
      <w:r w:rsidRPr="00D71B7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71B7F">
        <w:rPr>
          <w:rFonts w:ascii="Verdana" w:eastAsia="Calibri" w:hAnsi="Verdana" w:cs="Arial"/>
          <w:color w:val="000000"/>
          <w:sz w:val="16"/>
          <w:szCs w:val="16"/>
        </w:rPr>
        <w:t>”.</w:t>
      </w:r>
    </w:p>
    <w:p w14:paraId="22EE28AA" w14:textId="77777777" w:rsidR="00F25881" w:rsidRPr="00D71B7F" w:rsidRDefault="00F25881" w:rsidP="00F25881">
      <w:pPr>
        <w:pStyle w:val="NormalWeb"/>
        <w:spacing w:before="0" w:beforeAutospacing="0" w:after="0" w:afterAutospacing="0"/>
        <w:ind w:firstLine="709"/>
        <w:jc w:val="both"/>
        <w:rPr>
          <w:rFonts w:ascii="Verdana" w:hAnsi="Verdana" w:cs="Arial"/>
          <w:sz w:val="16"/>
          <w:szCs w:val="16"/>
          <w:lang w:val="es-MX"/>
        </w:rPr>
      </w:pPr>
    </w:p>
  </w:footnote>
  <w:footnote w:id="9">
    <w:p w14:paraId="259ABC94" w14:textId="77777777" w:rsidR="00F25881" w:rsidRPr="00D71B7F" w:rsidRDefault="00F25881" w:rsidP="00F25881">
      <w:pPr>
        <w:tabs>
          <w:tab w:val="left" w:pos="2127"/>
        </w:tabs>
        <w:spacing w:after="0" w:line="240" w:lineRule="auto"/>
        <w:ind w:left="100" w:right="244"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17 de febrero de 2015. Radicado: 11001-03-06-000-2015-00164-00 (2269). C.P. William Zambrano Cetina.</w:t>
      </w:r>
    </w:p>
    <w:p w14:paraId="3C4143CC" w14:textId="77777777" w:rsidR="00F25881" w:rsidRPr="00D71B7F" w:rsidRDefault="00F25881" w:rsidP="00F25881">
      <w:pPr>
        <w:spacing w:after="0" w:line="240" w:lineRule="auto"/>
        <w:ind w:left="100" w:right="244" w:firstLine="709"/>
        <w:jc w:val="both"/>
        <w:rPr>
          <w:rFonts w:ascii="Verdana" w:hAnsi="Verdana" w:cs="Arial"/>
          <w:sz w:val="16"/>
          <w:szCs w:val="16"/>
          <w:lang w:val="es-ES"/>
        </w:rPr>
      </w:pPr>
    </w:p>
  </w:footnote>
  <w:footnote w:id="10">
    <w:p w14:paraId="2ED2AE45" w14:textId="77777777" w:rsidR="00F25881" w:rsidRPr="00D71B7F" w:rsidRDefault="00F25881" w:rsidP="00F25881">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[25] </w:t>
      </w:r>
      <w:r w:rsidRPr="00D71B7F">
        <w:rPr>
          <w:rFonts w:ascii="Verdana" w:hAnsi="Verdana" w:cs="Arial"/>
          <w:sz w:val="16"/>
          <w:szCs w:val="16"/>
        </w:rPr>
        <w:t>Cfr. Consejo de Estado. Sección Tercera. Sentencia de 3 de diciembre de 2007. Radicados: 24.715, 25.206, 25.409, 24.524, 27.834, 25.410, 26.105, 28.244, 31.447 -acumulados-“.</w:t>
      </w:r>
    </w:p>
    <w:p w14:paraId="637459A4" w14:textId="77777777" w:rsidR="00F25881" w:rsidRPr="00D71B7F" w:rsidRDefault="00F25881" w:rsidP="00F25881">
      <w:pPr>
        <w:pStyle w:val="Textonotapie"/>
        <w:ind w:firstLine="709"/>
        <w:jc w:val="both"/>
        <w:rPr>
          <w:rFonts w:ascii="Verdana" w:hAnsi="Verdana" w:cs="Arial"/>
          <w:sz w:val="16"/>
          <w:szCs w:val="16"/>
        </w:rPr>
      </w:pPr>
    </w:p>
  </w:footnote>
  <w:footnote w:id="11">
    <w:p w14:paraId="019FDAD9" w14:textId="77777777" w:rsidR="00F25881" w:rsidRPr="00D71B7F" w:rsidRDefault="00F25881" w:rsidP="00F25881">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13" w:name="_Hlk74294506"/>
      <w:r w:rsidRPr="00D71B7F">
        <w:rPr>
          <w:rFonts w:ascii="Verdana" w:hAnsi="Verdana" w:cs="Arial"/>
          <w:sz w:val="16"/>
          <w:szCs w:val="16"/>
        </w:rPr>
        <w:t>“</w:t>
      </w:r>
      <w:r w:rsidRPr="00D71B7F">
        <w:rPr>
          <w:rFonts w:ascii="Verdana" w:hAnsi="Verdana" w:cs="Arial"/>
          <w:sz w:val="16"/>
          <w:szCs w:val="16"/>
          <w:lang w:val="es-ES"/>
        </w:rPr>
        <w:t xml:space="preserve">[26] </w:t>
      </w:r>
      <w:bookmarkEnd w:id="13"/>
      <w:r w:rsidRPr="00D71B7F">
        <w:rPr>
          <w:rFonts w:ascii="Verdana" w:hAnsi="Verdana" w:cs="Arial"/>
          <w:sz w:val="16"/>
          <w:szCs w:val="16"/>
        </w:rPr>
        <w:t>Al respecto ver el concepto 1712 de 2 de febrero de 2006. Consejo de Estado Sala de Consulta y Servicio Civil”.</w:t>
      </w:r>
    </w:p>
    <w:p w14:paraId="6C9B6A61" w14:textId="77777777" w:rsidR="00F25881" w:rsidRPr="00D71B7F" w:rsidRDefault="00F25881" w:rsidP="00F25881">
      <w:pPr>
        <w:pStyle w:val="Textonotapie"/>
        <w:ind w:firstLine="709"/>
        <w:jc w:val="both"/>
        <w:rPr>
          <w:rFonts w:ascii="Verdana" w:hAnsi="Verdana" w:cs="Arial"/>
          <w:sz w:val="16"/>
          <w:szCs w:val="16"/>
        </w:rPr>
      </w:pPr>
    </w:p>
  </w:footnote>
  <w:footnote w:id="12">
    <w:p w14:paraId="214D0A3F" w14:textId="77777777" w:rsidR="00F25881" w:rsidRPr="00D71B7F" w:rsidRDefault="00F25881" w:rsidP="00F25881">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238ECD68" w14:textId="77777777" w:rsidR="00F25881" w:rsidRPr="00D71B7F" w:rsidRDefault="00F25881" w:rsidP="00F25881">
      <w:pPr>
        <w:pStyle w:val="Textonotapie"/>
        <w:ind w:firstLine="709"/>
        <w:jc w:val="both"/>
        <w:rPr>
          <w:rFonts w:ascii="Verdana" w:hAnsi="Verdana" w:cs="Arial"/>
          <w:sz w:val="16"/>
          <w:szCs w:val="16"/>
        </w:rPr>
      </w:pPr>
    </w:p>
  </w:footnote>
  <w:footnote w:id="13">
    <w:p w14:paraId="386AE34D" w14:textId="77777777" w:rsidR="00F25881" w:rsidRPr="00D71B7F" w:rsidRDefault="00F25881" w:rsidP="00F25881">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2. </w:t>
      </w:r>
    </w:p>
    <w:p w14:paraId="779ED69D" w14:textId="77777777" w:rsidR="00F25881" w:rsidRPr="00D71B7F" w:rsidRDefault="00F25881" w:rsidP="00F25881">
      <w:pPr>
        <w:pStyle w:val="Textonotapie"/>
        <w:ind w:firstLine="709"/>
        <w:rPr>
          <w:rFonts w:ascii="Verdana" w:hAnsi="Verdana" w:cs="Arial"/>
          <w:sz w:val="16"/>
          <w:szCs w:val="16"/>
          <w:lang w:val="es-ES"/>
        </w:rPr>
      </w:pPr>
    </w:p>
  </w:footnote>
  <w:footnote w:id="14">
    <w:p w14:paraId="239C367B" w14:textId="77777777" w:rsidR="00F25881" w:rsidRPr="00D71B7F" w:rsidRDefault="00F25881" w:rsidP="00F25881">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i/>
          <w:sz w:val="16"/>
          <w:szCs w:val="16"/>
          <w:lang w:val="es-ES"/>
        </w:rPr>
        <w:t>Ídem</w:t>
      </w:r>
      <w:r w:rsidRPr="00D71B7F">
        <w:rPr>
          <w:rFonts w:ascii="Verdana" w:hAnsi="Verdana" w:cs="Arial"/>
          <w:sz w:val="16"/>
          <w:szCs w:val="16"/>
          <w:lang w:val="es-ES"/>
        </w:rPr>
        <w:t>.</w:t>
      </w:r>
    </w:p>
    <w:p w14:paraId="3AE2C076" w14:textId="77777777" w:rsidR="00F25881" w:rsidRPr="00D71B7F" w:rsidRDefault="00F25881" w:rsidP="00F25881">
      <w:pPr>
        <w:pStyle w:val="Textonotapie"/>
        <w:ind w:firstLine="709"/>
        <w:rPr>
          <w:rFonts w:ascii="Verdana" w:hAnsi="Verdana" w:cs="Arial"/>
          <w:sz w:val="16"/>
          <w:szCs w:val="16"/>
          <w:lang w:val="es-ES"/>
        </w:rPr>
      </w:pPr>
    </w:p>
  </w:footnote>
  <w:footnote w:id="15">
    <w:p w14:paraId="27FE360D" w14:textId="77777777" w:rsidR="00F25881" w:rsidRPr="00D71B7F" w:rsidRDefault="00F25881" w:rsidP="00F25881">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 xml:space="preserve">[…] A este respecto, cabe recordar que el artículo 860 del Código de Comercio regula la licitación en el derecho privado. </w:t>
      </w:r>
    </w:p>
    <w:p w14:paraId="5E6C59A0" w14:textId="77777777" w:rsidR="00F25881" w:rsidRPr="00D71B7F" w:rsidRDefault="00F25881" w:rsidP="00F25881">
      <w:pPr>
        <w:pStyle w:val="Textonotapie"/>
        <w:ind w:firstLine="709"/>
        <w:rPr>
          <w:rFonts w:ascii="Verdana" w:hAnsi="Verdana" w:cs="Arial"/>
          <w:sz w:val="16"/>
          <w:szCs w:val="16"/>
          <w:lang w:val="es-ES"/>
        </w:rPr>
      </w:pPr>
    </w:p>
  </w:footnote>
  <w:footnote w:id="16">
    <w:p w14:paraId="7DB74535" w14:textId="77777777" w:rsidR="00F25881" w:rsidRPr="00D71B7F" w:rsidRDefault="00F25881" w:rsidP="00F25881">
      <w:pPr>
        <w:shd w:val="clear" w:color="auto" w:fill="FFFFFF"/>
        <w:spacing w:after="0" w:line="240" w:lineRule="auto"/>
        <w:ind w:firstLine="709"/>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Consejo de Estado. Sala de Consulta y Servicio Civil, Concepto de 8 de mayo de 2018. Radicación Número: 11001-03-06-000-2018-00095-00 (2382). C.P: Álvaro Namén Vargas.</w:t>
      </w:r>
    </w:p>
    <w:p w14:paraId="7AE70CA5" w14:textId="77777777" w:rsidR="00F25881" w:rsidRPr="00D71B7F" w:rsidRDefault="00F25881" w:rsidP="00F25881">
      <w:pPr>
        <w:shd w:val="clear" w:color="auto" w:fill="FFFFFF"/>
        <w:spacing w:after="0" w:line="240" w:lineRule="auto"/>
        <w:ind w:firstLine="709"/>
        <w:jc w:val="both"/>
        <w:rPr>
          <w:rFonts w:ascii="Verdana" w:hAnsi="Verdana" w:cs="Arial"/>
          <w:sz w:val="16"/>
          <w:szCs w:val="16"/>
          <w:lang w:val="es-ES"/>
        </w:rPr>
      </w:pPr>
    </w:p>
  </w:footnote>
  <w:footnote w:id="17">
    <w:p w14:paraId="0CDD02AA" w14:textId="77777777" w:rsidR="00F25881" w:rsidRPr="00D71B7F" w:rsidRDefault="00F25881" w:rsidP="00F25881">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08 de mayo de 2018. Exp. 2.382. C.P. Álvaro Namén Vargas.</w:t>
      </w:r>
    </w:p>
    <w:p w14:paraId="15BBFCD1" w14:textId="77777777" w:rsidR="00F25881" w:rsidRPr="00D71B7F" w:rsidRDefault="00F25881" w:rsidP="00F25881">
      <w:pPr>
        <w:pStyle w:val="Textonotapie"/>
        <w:ind w:firstLine="709"/>
        <w:jc w:val="both"/>
        <w:rPr>
          <w:rFonts w:ascii="Verdana" w:hAnsi="Verdana" w:cs="Arial"/>
          <w:sz w:val="16"/>
          <w:szCs w:val="16"/>
        </w:rPr>
      </w:pPr>
    </w:p>
  </w:footnote>
  <w:footnote w:id="18">
    <w:p w14:paraId="67DE9539" w14:textId="77777777" w:rsidR="00F25881" w:rsidRPr="00D71B7F" w:rsidRDefault="00F25881" w:rsidP="00F25881">
      <w:pPr>
        <w:pStyle w:val="Textonotapie"/>
        <w:ind w:firstLine="709"/>
        <w:jc w:val="both"/>
        <w:rPr>
          <w:rFonts w:ascii="Verdana" w:hAnsi="Verdana"/>
          <w:sz w:val="16"/>
          <w:szCs w:val="16"/>
          <w:lang w:val="es-ES"/>
        </w:rPr>
      </w:pPr>
      <w:r w:rsidRPr="00D71B7F">
        <w:rPr>
          <w:rStyle w:val="Refdenotaalpie"/>
          <w:rFonts w:ascii="Verdana" w:hAnsi="Verdana"/>
          <w:sz w:val="16"/>
          <w:szCs w:val="16"/>
        </w:rPr>
        <w:footnoteRef/>
      </w:r>
      <w:r w:rsidRPr="00D71B7F">
        <w:rPr>
          <w:rFonts w:ascii="Verdana" w:hAnsi="Verdana"/>
          <w:sz w:val="16"/>
          <w:szCs w:val="16"/>
        </w:rPr>
        <w:t xml:space="preserve"> </w:t>
      </w:r>
      <w:r w:rsidRPr="00D71B7F">
        <w:rPr>
          <w:rFonts w:ascii="Verdana" w:hAnsi="Verdana"/>
          <w:sz w:val="16"/>
          <w:szCs w:val="16"/>
          <w:lang w:val="es-ES"/>
        </w:rPr>
        <w:t xml:space="preserve">Agencia Nacional de Contratación Pública. Circular Externa 006 del 25 de septiembre de 2025. Disponible en </w:t>
      </w:r>
      <w:hyperlink r:id="rId1" w:history="1">
        <w:r w:rsidRPr="00D71B7F">
          <w:rPr>
            <w:rStyle w:val="Hipervnculo"/>
            <w:rFonts w:ascii="Verdana" w:hAnsi="Verdana"/>
            <w:sz w:val="16"/>
            <w:szCs w:val="16"/>
            <w:lang w:val="es-CO"/>
          </w:rPr>
          <w:t>006-de-2025-Circular-Externa-L996-ajustado-comentarios-BM-BID-Rev-ARSC-V3.d-1.pdf</w:t>
        </w:r>
      </w:hyperlink>
    </w:p>
    <w:p w14:paraId="610F877E" w14:textId="77777777" w:rsidR="00F25881" w:rsidRPr="00D71B7F" w:rsidRDefault="00F25881" w:rsidP="00F25881">
      <w:pPr>
        <w:pStyle w:val="Textonotapie"/>
        <w:rPr>
          <w:rFonts w:ascii="Verdana" w:hAnsi="Verdana"/>
          <w:sz w:val="16"/>
          <w:szCs w:val="16"/>
          <w:lang w:val="es-ES"/>
        </w:rPr>
      </w:pPr>
    </w:p>
  </w:footnote>
  <w:footnote w:id="19">
    <w:p w14:paraId="2BCDDA2C" w14:textId="77777777" w:rsidR="00F25881" w:rsidRPr="00D71B7F" w:rsidRDefault="00F25881" w:rsidP="00F25881">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33784F5" w14:textId="77777777" w:rsidR="00F25881" w:rsidRPr="00D71B7F" w:rsidRDefault="00F25881" w:rsidP="00F25881">
      <w:pPr>
        <w:spacing w:after="0" w:line="240" w:lineRule="auto"/>
        <w:ind w:firstLine="709"/>
        <w:jc w:val="both"/>
        <w:rPr>
          <w:rFonts w:ascii="Verdana" w:hAnsi="Verdana" w:cs="Arial"/>
          <w:color w:val="000000" w:themeColor="text1"/>
          <w:sz w:val="16"/>
          <w:szCs w:val="16"/>
        </w:rPr>
      </w:pPr>
    </w:p>
  </w:footnote>
  <w:footnote w:id="20">
    <w:p w14:paraId="53F45C9B" w14:textId="77777777" w:rsidR="00F25881" w:rsidRPr="00D71B7F" w:rsidRDefault="00F25881" w:rsidP="00F25881">
      <w:pPr>
        <w:pStyle w:val="Textonotapie"/>
        <w:ind w:firstLine="709"/>
        <w:jc w:val="both"/>
        <w:rPr>
          <w:rFonts w:ascii="Verdana" w:eastAsia="Times New Roman" w:hAnsi="Verdana" w:cs="Arial"/>
          <w:color w:val="000000" w:themeColor="text1"/>
          <w:sz w:val="16"/>
          <w:szCs w:val="16"/>
          <w:lang w:eastAsia="x-none"/>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D71B7F">
        <w:rPr>
          <w:rFonts w:ascii="Verdana" w:eastAsia="Times New Roman" w:hAnsi="Verdana" w:cs="Arial"/>
          <w:color w:val="000000" w:themeColor="text1"/>
          <w:sz w:val="16"/>
          <w:szCs w:val="16"/>
          <w:lang w:eastAsia="x-none"/>
        </w:rPr>
        <w:t xml:space="preserve"> </w:t>
      </w:r>
      <w:bookmarkStart w:id="17" w:name="_Hlk97890572"/>
      <w:r w:rsidRPr="00D71B7F">
        <w:rPr>
          <w:rFonts w:ascii="Verdana" w:eastAsia="Times New Roman" w:hAnsi="Verdana" w:cs="Arial"/>
          <w:color w:val="000000" w:themeColor="text1"/>
          <w:sz w:val="16"/>
          <w:szCs w:val="16"/>
          <w:lang w:eastAsia="x-none"/>
        </w:rPr>
        <w:t>“</w:t>
      </w:r>
      <w:r w:rsidRPr="00D71B7F">
        <w:rPr>
          <w:rFonts w:ascii="Verdana" w:hAnsi="Verdana" w:cs="Arial"/>
          <w:color w:val="000000" w:themeColor="text1"/>
          <w:sz w:val="16"/>
          <w:szCs w:val="16"/>
        </w:rPr>
        <w:t xml:space="preserve">Si bien en el tema del concepto del que se extractaron </w:t>
      </w:r>
      <w:bookmarkEnd w:id="17"/>
      <w:r w:rsidRPr="00D71B7F">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71B7F">
        <w:rPr>
          <w:rFonts w:ascii="Verdana" w:eastAsia="Times New Roman" w:hAnsi="Verdana" w:cs="Arial"/>
          <w:color w:val="000000" w:themeColor="text1"/>
          <w:sz w:val="16"/>
          <w:szCs w:val="16"/>
          <w:lang w:eastAsia="x-none"/>
        </w:rPr>
        <w:t>”.</w:t>
      </w:r>
    </w:p>
    <w:p w14:paraId="60918996" w14:textId="77777777" w:rsidR="00F25881" w:rsidRPr="00D71B7F" w:rsidRDefault="00F25881" w:rsidP="00F25881">
      <w:pPr>
        <w:pStyle w:val="Textonotapie"/>
        <w:ind w:firstLine="709"/>
        <w:jc w:val="both"/>
        <w:rPr>
          <w:rFonts w:ascii="Verdana" w:hAnsi="Verdana" w:cs="Arial"/>
          <w:color w:val="000000" w:themeColor="text1"/>
          <w:sz w:val="16"/>
          <w:szCs w:val="16"/>
        </w:rPr>
      </w:pPr>
    </w:p>
  </w:footnote>
  <w:footnote w:id="21">
    <w:p w14:paraId="4A58332E" w14:textId="77777777" w:rsidR="00F25881" w:rsidRPr="00D71B7F" w:rsidRDefault="00F25881" w:rsidP="00F25881">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34B056EF" w14:textId="77777777" w:rsidR="00F25881" w:rsidRPr="00D71B7F" w:rsidRDefault="00F25881" w:rsidP="00F25881">
      <w:pPr>
        <w:spacing w:after="0" w:line="240" w:lineRule="auto"/>
        <w:ind w:firstLine="709"/>
        <w:jc w:val="both"/>
        <w:rPr>
          <w:rFonts w:ascii="Verdana" w:hAnsi="Verdana" w:cs="Arial"/>
          <w:color w:val="000000" w:themeColor="text1"/>
          <w:sz w:val="16"/>
          <w:szCs w:val="16"/>
        </w:rPr>
      </w:pPr>
    </w:p>
  </w:footnote>
  <w:footnote w:id="22">
    <w:p w14:paraId="6C03E5E3" w14:textId="77777777" w:rsidR="00F25881" w:rsidRPr="00D71B7F" w:rsidRDefault="00F25881" w:rsidP="00F25881">
      <w:pPr>
        <w:pStyle w:val="Textonotapie"/>
        <w:ind w:firstLine="709"/>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ídem.</w:t>
      </w:r>
    </w:p>
    <w:p w14:paraId="6C973836" w14:textId="77777777" w:rsidR="00F25881" w:rsidRPr="00D71B7F" w:rsidRDefault="00F25881" w:rsidP="00F25881">
      <w:pPr>
        <w:pStyle w:val="Textonotapie"/>
        <w:ind w:firstLine="709"/>
        <w:rPr>
          <w:rFonts w:ascii="Verdana" w:hAnsi="Verdana" w:cs="Arial"/>
          <w:color w:val="000000" w:themeColor="text1"/>
          <w:sz w:val="16"/>
          <w:szCs w:val="16"/>
        </w:rPr>
      </w:pPr>
    </w:p>
  </w:footnote>
  <w:footnote w:id="23">
    <w:p w14:paraId="00546E7A" w14:textId="77777777" w:rsidR="00F25881" w:rsidRPr="009D0D83" w:rsidRDefault="00F25881" w:rsidP="00F25881">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Consejo de Estado. Sala de lo Contencioso Administrativo. Sección Tercera. Sentencia del 21 de febrero de 2025. Exp. 68.280. CP: José Roberto Sáchica Méndez.</w:t>
      </w:r>
    </w:p>
  </w:footnote>
  <w:footnote w:id="24">
    <w:p w14:paraId="421EDF5D" w14:textId="77777777" w:rsidR="00F25881" w:rsidRDefault="00F25881" w:rsidP="00F25881">
      <w:pPr>
        <w:pStyle w:val="Textonotapie"/>
        <w:ind w:firstLine="709"/>
        <w:contextualSpacing/>
        <w:jc w:val="both"/>
        <w:rPr>
          <w:rFonts w:ascii="Verdana" w:hAnsi="Verdana"/>
          <w:sz w:val="16"/>
          <w:szCs w:val="16"/>
          <w:vertAlign w:val="superscript"/>
        </w:rPr>
      </w:pPr>
    </w:p>
    <w:p w14:paraId="356BD099" w14:textId="77777777" w:rsidR="00F25881" w:rsidRPr="00B8078E" w:rsidRDefault="00F25881" w:rsidP="00F25881">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042E4F55" w14:textId="77777777" w:rsidR="00F25881" w:rsidRPr="00B8078E" w:rsidRDefault="00F25881" w:rsidP="00F25881">
      <w:pPr>
        <w:pStyle w:val="Textonotapie"/>
        <w:ind w:firstLine="709"/>
        <w:contextualSpacing/>
        <w:jc w:val="both"/>
        <w:rPr>
          <w:rFonts w:ascii="Verdana" w:hAnsi="Verdana" w:cs="Arial"/>
          <w:sz w:val="16"/>
          <w:szCs w:val="16"/>
        </w:rPr>
      </w:pPr>
    </w:p>
  </w:footnote>
  <w:footnote w:id="25">
    <w:p w14:paraId="7FA629DF" w14:textId="77777777" w:rsidR="00F25881" w:rsidRPr="00B8078E" w:rsidRDefault="00F25881" w:rsidP="00F25881">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B8078E">
        <w:rPr>
          <w:rFonts w:ascii="Verdana" w:hAnsi="Verdana"/>
          <w:i/>
          <w:sz w:val="16"/>
          <w:szCs w:val="16"/>
          <w:lang w:val="es-ES"/>
        </w:rPr>
        <w:t>Ubi lex non distinguit nec nos distinguere debemus</w:t>
      </w:r>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24A1407B" w14:textId="77777777" w:rsidR="00F25881" w:rsidRPr="00B8078E" w:rsidRDefault="00F25881" w:rsidP="00F25881">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Odia restringí et favores convenit ampliari</w:t>
      </w:r>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59337AE2" w14:textId="77777777" w:rsidR="00F25881" w:rsidRPr="00B8078E" w:rsidRDefault="00F25881" w:rsidP="00F25881">
      <w:pPr>
        <w:pStyle w:val="Textonotapie"/>
        <w:ind w:firstLine="708"/>
        <w:jc w:val="both"/>
        <w:rPr>
          <w:rFonts w:ascii="Verdana" w:hAnsi="Verdana"/>
          <w:sz w:val="16"/>
          <w:szCs w:val="16"/>
          <w:lang w:val="es-CO"/>
        </w:rPr>
      </w:pPr>
    </w:p>
  </w:footnote>
  <w:footnote w:id="26">
    <w:p w14:paraId="26FE25E4" w14:textId="77777777" w:rsidR="00F25881" w:rsidRPr="004626E3" w:rsidRDefault="00F25881" w:rsidP="00F25881">
      <w:pPr>
        <w:pStyle w:val="Textonotapie"/>
        <w:ind w:firstLine="708"/>
        <w:jc w:val="both"/>
        <w:rPr>
          <w:rFonts w:ascii="Verdana" w:hAnsi="Verdana" w:cs="Arial"/>
          <w:sz w:val="14"/>
          <w:szCs w:val="14"/>
        </w:rPr>
      </w:pPr>
      <w:r w:rsidRPr="004626E3">
        <w:rPr>
          <w:rStyle w:val="Refdenotaalpie"/>
          <w:rFonts w:ascii="Verdana" w:hAnsi="Verdana" w:cs="Arial"/>
          <w:sz w:val="14"/>
          <w:szCs w:val="14"/>
        </w:rPr>
        <w:footnoteRef/>
      </w:r>
      <w:r w:rsidRPr="004626E3">
        <w:rPr>
          <w:rFonts w:ascii="Verdana" w:hAnsi="Verdana" w:cs="Arial"/>
          <w:sz w:val="14"/>
          <w:szCs w:val="14"/>
        </w:rPr>
        <w:t xml:space="preserve"> Concepto del 3 de septiembre de 2019, con radicado No. 2201913000006512.</w:t>
      </w:r>
    </w:p>
    <w:p w14:paraId="7F0063FB" w14:textId="77777777" w:rsidR="00F25881" w:rsidRPr="004626E3" w:rsidRDefault="00F25881" w:rsidP="00F25881">
      <w:pPr>
        <w:pStyle w:val="Textonotapie"/>
        <w:ind w:firstLine="708"/>
        <w:jc w:val="both"/>
        <w:rPr>
          <w:rFonts w:ascii="Verdana" w:hAnsi="Verdana" w:cs="Arial"/>
          <w:sz w:val="14"/>
          <w:szCs w:val="14"/>
        </w:rPr>
      </w:pPr>
    </w:p>
  </w:footnote>
  <w:footnote w:id="27">
    <w:p w14:paraId="4D089150" w14:textId="77777777" w:rsidR="00F25881" w:rsidRPr="004626E3" w:rsidRDefault="00F25881" w:rsidP="00F25881">
      <w:pPr>
        <w:pStyle w:val="Textonotapie"/>
        <w:ind w:firstLine="708"/>
        <w:jc w:val="both"/>
        <w:rPr>
          <w:rFonts w:ascii="Verdana" w:hAnsi="Verdana" w:cs="Arial"/>
          <w:sz w:val="14"/>
          <w:szCs w:val="14"/>
        </w:rPr>
      </w:pPr>
      <w:r w:rsidRPr="004626E3">
        <w:rPr>
          <w:rStyle w:val="Refdenotaalpie"/>
          <w:rFonts w:ascii="Verdana" w:hAnsi="Verdana" w:cs="Arial"/>
          <w:sz w:val="14"/>
          <w:szCs w:val="14"/>
        </w:rPr>
        <w:footnoteRef/>
      </w:r>
      <w:r w:rsidRPr="004626E3">
        <w:rPr>
          <w:rFonts w:ascii="Verdana" w:hAnsi="Verdana" w:cs="Arial"/>
          <w:sz w:val="14"/>
          <w:szCs w:val="14"/>
        </w:rPr>
        <w:t xml:space="preserve"> Sobre la naturaleza de los convenios de asociación, se reitera lo expuesto en el concepto del 19 de noviembre de 2019, con radicado No. 2201913000008611.</w:t>
      </w:r>
    </w:p>
  </w:footnote>
  <w:footnote w:id="28">
    <w:p w14:paraId="5CBB9116" w14:textId="77777777" w:rsidR="00F25881" w:rsidRPr="004626E3" w:rsidRDefault="00F25881" w:rsidP="00F25881">
      <w:pPr>
        <w:pStyle w:val="Textonotapie"/>
        <w:ind w:firstLine="708"/>
        <w:jc w:val="both"/>
        <w:rPr>
          <w:rFonts w:ascii="Verdana" w:hAnsi="Verdana" w:cs="Arial"/>
          <w:color w:val="000000" w:themeColor="text1"/>
          <w:sz w:val="14"/>
          <w:szCs w:val="14"/>
        </w:rPr>
      </w:pPr>
      <w:r w:rsidRPr="004626E3">
        <w:rPr>
          <w:rStyle w:val="Refdenotaalpie"/>
          <w:rFonts w:ascii="Verdana" w:hAnsi="Verdana" w:cs="Arial"/>
          <w:color w:val="000000" w:themeColor="text1"/>
          <w:sz w:val="14"/>
          <w:szCs w:val="14"/>
        </w:rPr>
        <w:footnoteRef/>
      </w:r>
      <w:r w:rsidRPr="004626E3">
        <w:rPr>
          <w:rFonts w:ascii="Verdana" w:hAnsi="Verdana" w:cs="Arial"/>
          <w:color w:val="000000" w:themeColor="text1"/>
          <w:sz w:val="14"/>
          <w:szCs w:val="14"/>
        </w:rPr>
        <w:t xml:space="preserve"> Cfr. Concepto del 21 de agosto de 2019, dictado dentro del radicado No. 2201913000006047.</w:t>
      </w:r>
    </w:p>
    <w:p w14:paraId="22B9EFD5" w14:textId="77777777" w:rsidR="00F25881" w:rsidRPr="00B47839" w:rsidRDefault="00F25881" w:rsidP="00F25881">
      <w:pPr>
        <w:pStyle w:val="Textonotapie"/>
        <w:ind w:firstLine="708"/>
        <w:jc w:val="both"/>
        <w:rPr>
          <w:rFonts w:ascii="Verdana" w:hAnsi="Verdana" w:cs="Arial"/>
          <w:color w:val="000000" w:themeColor="text1"/>
          <w:sz w:val="16"/>
          <w:szCs w:val="16"/>
        </w:rPr>
      </w:pPr>
    </w:p>
  </w:footnote>
  <w:footnote w:id="29">
    <w:p w14:paraId="52327500" w14:textId="77777777" w:rsidR="00F25881" w:rsidRPr="004626E3" w:rsidRDefault="00F25881" w:rsidP="00F25881">
      <w:pPr>
        <w:pStyle w:val="Textonotapie"/>
        <w:ind w:firstLine="708"/>
        <w:jc w:val="both"/>
        <w:rPr>
          <w:rFonts w:ascii="Verdana" w:hAnsi="Verdana" w:cs="Arial"/>
          <w:color w:val="000000" w:themeColor="text1"/>
          <w:sz w:val="14"/>
          <w:szCs w:val="14"/>
          <w:lang w:val="es-ES"/>
        </w:rPr>
      </w:pPr>
      <w:r w:rsidRPr="004626E3">
        <w:rPr>
          <w:rStyle w:val="Refdenotaalpie"/>
          <w:rFonts w:ascii="Verdana" w:hAnsi="Verdana" w:cs="Arial"/>
          <w:color w:val="000000" w:themeColor="text1"/>
          <w:sz w:val="14"/>
          <w:szCs w:val="14"/>
        </w:rPr>
        <w:footnoteRef/>
      </w:r>
      <w:r w:rsidRPr="004626E3">
        <w:rPr>
          <w:rFonts w:ascii="Verdana" w:hAnsi="Verdana" w:cs="Arial"/>
          <w:color w:val="000000" w:themeColor="text1"/>
          <w:sz w:val="14"/>
          <w:szCs w:val="14"/>
        </w:rPr>
        <w:t xml:space="preserve"> Concepto del 24 de febrero de 2005. Radicado:1626, C.P. Gloria Duque Hernández.</w:t>
      </w:r>
    </w:p>
  </w:footnote>
  <w:footnote w:id="30">
    <w:p w14:paraId="74BF6ACC" w14:textId="77777777" w:rsidR="00F25881" w:rsidRPr="004626E3" w:rsidRDefault="00F25881" w:rsidP="00F25881">
      <w:pPr>
        <w:pStyle w:val="Textonotapie"/>
        <w:ind w:firstLine="708"/>
        <w:jc w:val="both"/>
        <w:rPr>
          <w:rFonts w:ascii="Verdana" w:hAnsi="Verdana" w:cs="Arial"/>
          <w:color w:val="000000" w:themeColor="text1"/>
          <w:sz w:val="14"/>
          <w:szCs w:val="14"/>
        </w:rPr>
      </w:pPr>
      <w:r w:rsidRPr="004626E3">
        <w:rPr>
          <w:rStyle w:val="Refdenotaalpie"/>
          <w:rFonts w:ascii="Verdana" w:hAnsi="Verdana" w:cs="Arial"/>
          <w:color w:val="000000" w:themeColor="text1"/>
          <w:sz w:val="14"/>
          <w:szCs w:val="14"/>
        </w:rPr>
        <w:footnoteRef/>
      </w:r>
      <w:r w:rsidRPr="004626E3">
        <w:rPr>
          <w:rFonts w:ascii="Verdana" w:hAnsi="Verdana" w:cs="Arial"/>
          <w:color w:val="000000" w:themeColor="text1"/>
          <w:sz w:val="14"/>
          <w:szCs w:val="14"/>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2.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057160"/>
    <w:multiLevelType w:val="multilevel"/>
    <w:tmpl w:val="7158A6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330140246">
    <w:abstractNumId w:val="0"/>
  </w:num>
  <w:num w:numId="17" w16cid:durableId="679089576">
    <w:abstractNumId w:val="10"/>
  </w:num>
  <w:num w:numId="18" w16cid:durableId="17534293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C7F73"/>
    <w:rsid w:val="001E4177"/>
    <w:rsid w:val="001F0B24"/>
    <w:rsid w:val="001F7DC6"/>
    <w:rsid w:val="0022400B"/>
    <w:rsid w:val="00224DAD"/>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1FF2"/>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67A17"/>
    <w:rsid w:val="00B72CD3"/>
    <w:rsid w:val="00B72FFF"/>
    <w:rsid w:val="00BC3D36"/>
    <w:rsid w:val="00BD54A6"/>
    <w:rsid w:val="00BD7F72"/>
    <w:rsid w:val="00BF7425"/>
    <w:rsid w:val="00C04FB3"/>
    <w:rsid w:val="00C11D8B"/>
    <w:rsid w:val="00C15139"/>
    <w:rsid w:val="00C15AE8"/>
    <w:rsid w:val="00C330EB"/>
    <w:rsid w:val="00C34C45"/>
    <w:rsid w:val="00C50040"/>
    <w:rsid w:val="00C50D69"/>
    <w:rsid w:val="00C5365C"/>
    <w:rsid w:val="00C754BE"/>
    <w:rsid w:val="00C76B1C"/>
    <w:rsid w:val="00C925AC"/>
    <w:rsid w:val="00CB6357"/>
    <w:rsid w:val="00CC1B26"/>
    <w:rsid w:val="00CF0215"/>
    <w:rsid w:val="00D361FD"/>
    <w:rsid w:val="00D423A2"/>
    <w:rsid w:val="00D44E26"/>
    <w:rsid w:val="00D520D8"/>
    <w:rsid w:val="00D63AC2"/>
    <w:rsid w:val="00D7383B"/>
    <w:rsid w:val="00D7788A"/>
    <w:rsid w:val="00DA231B"/>
    <w:rsid w:val="00DC39FC"/>
    <w:rsid w:val="00DF5254"/>
    <w:rsid w:val="00E01B1D"/>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3E49"/>
    <w:rsid w:val="00EE1AA8"/>
    <w:rsid w:val="00F23FEA"/>
    <w:rsid w:val="00F25881"/>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3B13109"/>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2588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25881"/>
    <w:rPr>
      <w:rFonts w:ascii="Geomanist Light" w:hAnsi="Geomanist Light"/>
      <w:lang w:val="es-ES"/>
    </w:rPr>
  </w:style>
  <w:style w:type="character" w:customStyle="1" w:styleId="s15">
    <w:name w:val="s15"/>
    <w:basedOn w:val="Fuentedeprrafopredeter"/>
    <w:rsid w:val="00F25881"/>
  </w:style>
  <w:style w:type="character" w:customStyle="1" w:styleId="NormalWebCar">
    <w:name w:val="Normal (Web) Car"/>
    <w:link w:val="NormalWeb"/>
    <w:uiPriority w:val="99"/>
    <w:locked/>
    <w:rsid w:val="00F25881"/>
    <w:rPr>
      <w:rFonts w:ascii="Times New Roman" w:eastAsia="Times New Roman" w:hAnsi="Times New Roman" w:cs="Times New Roman"/>
      <w:sz w:val="24"/>
      <w:szCs w:val="24"/>
      <w:lang w:eastAsia="es-CO"/>
    </w:rPr>
  </w:style>
  <w:style w:type="character" w:customStyle="1" w:styleId="baj">
    <w:name w:val="b_aj"/>
    <w:basedOn w:val="Fuentedeprrafopredeter"/>
    <w:rsid w:val="00F258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7483B81-0950-4CDB-96D2-D6BBE508BCF0}"/>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34</Pages>
  <Words>11220</Words>
  <Characters>61713</Characters>
  <Application>Microsoft Office Word</Application>
  <DocSecurity>0</DocSecurity>
  <Lines>514</Lines>
  <Paragraphs>145</Paragraphs>
  <ScaleCrop>false</ScaleCrop>
  <Company/>
  <LinksUpToDate>false</LinksUpToDate>
  <CharactersWithSpaces>72788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Natalia Montoya Jiménez</cp:lastModifiedBy>
  <cp:revision>4</cp:revision>
  <cp:lastPrinted>2023-01-10T21:18:00Z</cp:lastPrinted>
  <dcterms:created xsi:type="dcterms:W3CDTF">2026-05-04T15:08:00Z</dcterms:created>
  <dcterms:modified xsi:type="dcterms:W3CDTF">2026-05-04T16:21:00Z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