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B17A7" w:rsidR="008A380F" w:rsidP="008A380F" w:rsidRDefault="008A380F" w14:paraId="4838A077" w14:textId="77777777">
      <w:pPr>
        <w:spacing w:after="0" w:line="240" w:lineRule="auto"/>
        <w:jc w:val="both"/>
        <w:rPr>
          <w:rFonts w:ascii="Verdana" w:hAnsi="Verdana" w:eastAsia="Calibri" w:cs="Arial"/>
          <w:b/>
          <w:bCs/>
          <w:lang w:val="es-ES_tradnl" w:eastAsia="es-ES_tradnl"/>
        </w:rPr>
      </w:pPr>
      <w:bookmarkStart w:name="_Hlk143780582" w:id="0"/>
      <w:r w:rsidRPr="006B17A7">
        <w:rPr>
          <w:rFonts w:ascii="Verdana" w:hAnsi="Verdana" w:eastAsia="Calibri" w:cs="Arial"/>
          <w:b/>
          <w:bCs/>
          <w:lang w:val="es-ES_tradnl" w:eastAsia="es-ES_tradnl"/>
        </w:rPr>
        <w:t>LIQUIDACIÓN DE LOS CONTRATOS ESTATALES – Noción – Objetivo – Acta de liquidación</w:t>
      </w:r>
    </w:p>
    <w:p w:rsidRPr="006B17A7" w:rsidR="008A380F" w:rsidP="008A380F" w:rsidRDefault="008A380F" w14:paraId="3F70E33A" w14:textId="77777777">
      <w:pPr>
        <w:spacing w:after="0" w:line="240" w:lineRule="auto"/>
        <w:jc w:val="both"/>
        <w:rPr>
          <w:rFonts w:ascii="Verdana" w:hAnsi="Verdana" w:eastAsia="Calibri" w:cs="Arial"/>
          <w:b/>
          <w:bCs/>
          <w:sz w:val="20"/>
          <w:szCs w:val="20"/>
          <w:lang w:val="es-ES_tradnl" w:eastAsia="es-ES_tradnl"/>
        </w:rPr>
      </w:pPr>
    </w:p>
    <w:p w:rsidRPr="006B17A7" w:rsidR="008A380F" w:rsidP="008A380F" w:rsidRDefault="008A380F" w14:paraId="68C9F46C" w14:textId="77777777">
      <w:pPr>
        <w:spacing w:after="0" w:line="240" w:lineRule="auto"/>
        <w:jc w:val="both"/>
        <w:rPr>
          <w:rFonts w:ascii="Verdana" w:hAnsi="Verdana" w:eastAsia="Aptos" w:cs="Times New Roman"/>
          <w:sz w:val="20"/>
          <w:szCs w:val="20"/>
        </w:rPr>
      </w:pPr>
      <w:r w:rsidRPr="006B17A7">
        <w:rPr>
          <w:rFonts w:ascii="Verdana" w:hAnsi="Verdana" w:eastAsia="Aptos" w:cs="Times New Roman"/>
          <w:sz w:val="20"/>
          <w:szCs w:val="20"/>
        </w:rPr>
        <w:t xml:space="preserve">[…] la liquidación es el momento en el cual, una vez concluido el contrato estatal, las partes cruzan cuentas respecto de sus obligaciones. Por tanto, su objetiva, es determinar si pueden declararse a paz y salvo mutuo o si, por el contrario, existen aún obligaciones por cumplir, para acordar la forma en que deben ser finalizadas. […] </w:t>
      </w:r>
    </w:p>
    <w:p w:rsidRPr="006B17A7" w:rsidR="008A380F" w:rsidP="008A380F" w:rsidRDefault="008A380F" w14:paraId="26B2B099" w14:textId="77777777">
      <w:pPr>
        <w:spacing w:after="0" w:line="240" w:lineRule="auto"/>
        <w:jc w:val="both"/>
        <w:rPr>
          <w:rFonts w:ascii="Verdana" w:hAnsi="Verdana" w:eastAsia="Aptos" w:cs="Times New Roman"/>
          <w:sz w:val="20"/>
          <w:szCs w:val="20"/>
        </w:rPr>
      </w:pPr>
      <w:r w:rsidRPr="006B17A7">
        <w:rPr>
          <w:rFonts w:ascii="Verdana" w:hAnsi="Verdana" w:eastAsia="Aptos" w:cs="Times New Roman"/>
          <w:sz w:val="20"/>
          <w:szCs w:val="20"/>
        </w:rPr>
        <w:t>[…]</w:t>
      </w:r>
    </w:p>
    <w:p w:rsidRPr="006B17A7" w:rsidR="008A380F" w:rsidP="008A380F" w:rsidRDefault="008A380F" w14:paraId="302D9D7F" w14:textId="77777777">
      <w:pPr>
        <w:spacing w:after="0" w:line="240" w:lineRule="auto"/>
        <w:jc w:val="both"/>
        <w:rPr>
          <w:rFonts w:ascii="Verdana" w:hAnsi="Verdana" w:eastAsia="Aptos" w:cs="Times New Roman"/>
          <w:sz w:val="20"/>
          <w:szCs w:val="20"/>
        </w:rPr>
      </w:pPr>
      <w:r w:rsidRPr="006B17A7">
        <w:rPr>
          <w:rFonts w:ascii="Verdana" w:hAnsi="Verdana" w:eastAsia="Aptos" w:cs="Times New Roman"/>
          <w:sz w:val="20"/>
          <w:szCs w:val="20"/>
        </w:rPr>
        <w:t>[…]Según la jurisprudencia, la liquidación es el ajuste de cuentas donde las partes hacen un balance económico, técnico y jurídico del cumplimiento de las obligaciones que tienen a su cargo. […]</w:t>
      </w:r>
    </w:p>
    <w:p w:rsidRPr="006B17A7" w:rsidR="008A380F" w:rsidP="008A380F" w:rsidRDefault="008A380F" w14:paraId="60FFE8A7" w14:textId="77777777">
      <w:pPr>
        <w:spacing w:after="0" w:line="240" w:lineRule="auto"/>
        <w:jc w:val="both"/>
        <w:rPr>
          <w:rFonts w:ascii="Verdana" w:hAnsi="Verdana" w:eastAsia="Aptos" w:cs="Times New Roman"/>
          <w:sz w:val="20"/>
          <w:szCs w:val="20"/>
        </w:rPr>
      </w:pPr>
      <w:r w:rsidRPr="006B17A7">
        <w:rPr>
          <w:rFonts w:ascii="Verdana" w:hAnsi="Verdana" w:eastAsia="Aptos" w:cs="Times New Roman"/>
          <w:sz w:val="20"/>
          <w:szCs w:val="20"/>
        </w:rPr>
        <w:t>[…]</w:t>
      </w:r>
    </w:p>
    <w:p w:rsidRPr="006B17A7" w:rsidR="008A380F" w:rsidP="008A380F" w:rsidRDefault="008A380F" w14:paraId="548D2E80" w14:textId="77777777">
      <w:pPr>
        <w:spacing w:after="0" w:line="240" w:lineRule="auto"/>
        <w:jc w:val="both"/>
        <w:rPr>
          <w:rFonts w:ascii="Verdana" w:hAnsi="Verdana" w:eastAsia="Aptos" w:cs="Times New Roman"/>
          <w:sz w:val="20"/>
          <w:szCs w:val="20"/>
        </w:rPr>
      </w:pPr>
      <w:r w:rsidRPr="006B17A7">
        <w:rPr>
          <w:rFonts w:ascii="Verdana" w:hAnsi="Verdana" w:eastAsia="Aptos" w:cs="Times New Roman"/>
          <w:sz w:val="20"/>
          <w:szCs w:val="20"/>
        </w:rPr>
        <w:t>[…]el artículo 60 de la Ley 80 de 1993 dispone que en la etapa de liquidación del contrato estatal las partes acordarán los ajustes, revisiones y reconocimientos a que haya lugar. Por lo que, la misma norma, señala que será en el acta de liquidación el documento donde “constarán los acuerdos, conciliaciones y transacciones a que llegaren las partes para poner fin a las divergencias presentadas y poder declarase a paz y salvo”.</w:t>
      </w:r>
    </w:p>
    <w:p w:rsidRPr="006B17A7" w:rsidR="008A380F" w:rsidP="008A380F" w:rsidRDefault="008A380F" w14:paraId="473DCA8D" w14:textId="77777777">
      <w:pPr>
        <w:spacing w:after="0" w:line="240" w:lineRule="auto"/>
        <w:jc w:val="both"/>
        <w:rPr>
          <w:rFonts w:ascii="Verdana" w:hAnsi="Verdana" w:eastAsia="Calibri" w:cs="Arial"/>
          <w:b/>
          <w:color w:val="000000"/>
          <w:lang w:val="es-ES"/>
        </w:rPr>
      </w:pPr>
    </w:p>
    <w:p w:rsidRPr="006B17A7" w:rsidR="008A380F" w:rsidP="008A380F" w:rsidRDefault="008A380F" w14:paraId="28906C33" w14:textId="77777777">
      <w:pPr>
        <w:spacing w:after="0" w:line="240" w:lineRule="auto"/>
        <w:jc w:val="both"/>
        <w:rPr>
          <w:rFonts w:ascii="Verdana" w:hAnsi="Verdana" w:eastAsia="Calibri" w:cs="Arial"/>
          <w:b/>
          <w:color w:val="000000"/>
          <w:lang w:val="es-ES"/>
        </w:rPr>
      </w:pPr>
      <w:r w:rsidRPr="006B17A7">
        <w:rPr>
          <w:rFonts w:ascii="Verdana" w:hAnsi="Verdana" w:eastAsia="Calibri" w:cs="Arial"/>
          <w:b/>
          <w:color w:val="000000"/>
          <w:lang w:val="es-ES"/>
        </w:rPr>
        <w:t>LIQUIDACIÓN DEL CONTRATO – Tipos – Términos para adelantarlo – Consecuencias pérdida de oportunidad</w:t>
      </w:r>
    </w:p>
    <w:p w:rsidRPr="006B17A7" w:rsidR="008A380F" w:rsidP="008A380F" w:rsidRDefault="008A380F" w14:paraId="4793A65C" w14:textId="77777777">
      <w:pPr>
        <w:spacing w:after="0" w:line="240" w:lineRule="auto"/>
        <w:jc w:val="both"/>
        <w:rPr>
          <w:rFonts w:ascii="Verdana" w:hAnsi="Verdana" w:eastAsia="Calibri" w:cs="Arial"/>
          <w:b/>
          <w:color w:val="000000"/>
          <w:highlight w:val="yellow"/>
          <w:lang w:val="es-ES"/>
        </w:rPr>
      </w:pPr>
    </w:p>
    <w:p w:rsidRPr="007716C6" w:rsidR="008A380F" w:rsidP="008A380F" w:rsidRDefault="008A380F" w14:paraId="0661FC5B" w14:textId="77777777">
      <w:pPr>
        <w:spacing w:after="0"/>
        <w:jc w:val="both"/>
        <w:rPr>
          <w:rFonts w:ascii="Verdana" w:hAnsi="Verdana" w:eastAsia="Calibri" w:cs="Arial"/>
          <w:bCs/>
          <w:color w:val="000000"/>
          <w:sz w:val="20"/>
          <w:szCs w:val="20"/>
          <w:lang w:val="es-ES"/>
        </w:rPr>
      </w:pPr>
      <w:r w:rsidRPr="007716C6">
        <w:rPr>
          <w:rFonts w:ascii="Verdana" w:hAnsi="Verdana" w:eastAsia="Calibri" w:cs="Arial"/>
          <w:bCs/>
          <w:color w:val="000000"/>
          <w:sz w:val="20"/>
          <w:szCs w:val="20"/>
          <w:lang w:val="es-ES"/>
        </w:rPr>
        <w:t>[…]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rsidRPr="007716C6" w:rsidR="008A380F" w:rsidP="008A380F" w:rsidRDefault="008A380F" w14:paraId="781AD5DE" w14:textId="77777777">
      <w:pPr>
        <w:spacing w:after="0"/>
        <w:jc w:val="both"/>
        <w:rPr>
          <w:rFonts w:ascii="Verdana" w:hAnsi="Verdana" w:eastAsia="Calibri" w:cs="Arial"/>
          <w:bCs/>
          <w:color w:val="000000"/>
          <w:sz w:val="20"/>
          <w:szCs w:val="20"/>
          <w:lang w:val="es-ES"/>
        </w:rPr>
      </w:pPr>
    </w:p>
    <w:p w:rsidRPr="007716C6" w:rsidR="008A380F" w:rsidP="008A380F" w:rsidRDefault="008A380F" w14:paraId="388BA94C" w14:textId="77777777">
      <w:pPr>
        <w:spacing w:after="0"/>
        <w:jc w:val="both"/>
        <w:rPr>
          <w:rFonts w:ascii="Verdana" w:hAnsi="Verdana" w:eastAsia="Aptos" w:cs="Times New Roman"/>
          <w:sz w:val="20"/>
          <w:szCs w:val="20"/>
        </w:rPr>
      </w:pPr>
      <w:r w:rsidRPr="007716C6">
        <w:rPr>
          <w:rFonts w:ascii="Verdana" w:hAnsi="Verdana" w:eastAsia="Calibri" w:cs="Arial"/>
          <w:bCs/>
          <w:color w:val="000000"/>
          <w:sz w:val="20"/>
          <w:szCs w:val="20"/>
          <w:lang w:val="es-ES"/>
        </w:rPr>
        <w:t xml:space="preserve">[…] </w:t>
      </w:r>
      <w:r w:rsidRPr="007716C6">
        <w:rPr>
          <w:rFonts w:ascii="Verdana" w:hAnsi="Verdana" w:eastAsia="Aptos" w:cs="Times New Roman"/>
          <w:sz w:val="20"/>
          <w:szCs w:val="20"/>
        </w:rPr>
        <w:t>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w:t>
      </w:r>
    </w:p>
    <w:p w:rsidR="008A380F" w:rsidP="008A380F" w:rsidRDefault="008A380F" w14:paraId="60EAA7FE" w14:textId="77777777">
      <w:pPr>
        <w:spacing w:after="0" w:line="240" w:lineRule="auto"/>
        <w:rPr>
          <w:rFonts w:ascii="Verdana" w:hAnsi="Verdana" w:eastAsia="Aptos" w:cs="Times New Roman"/>
          <w:sz w:val="20"/>
          <w:szCs w:val="20"/>
        </w:rPr>
      </w:pPr>
    </w:p>
    <w:p w:rsidR="008A380F" w:rsidP="008A380F" w:rsidRDefault="008A380F" w14:paraId="253B9DE2" w14:textId="77777777">
      <w:pPr>
        <w:spacing w:after="0" w:line="240" w:lineRule="auto"/>
        <w:jc w:val="both"/>
        <w:rPr>
          <w:rFonts w:ascii="Verdana" w:hAnsi="Verdana" w:eastAsia="Geomanist Light" w:cs="Arial"/>
          <w:color w:val="000000" w:themeColor="text1"/>
          <w:lang w:val="es-MX"/>
        </w:rPr>
      </w:pPr>
    </w:p>
    <w:p w:rsidR="1DA11D4D" w:rsidP="1DA11D4D" w:rsidRDefault="1DA11D4D" w14:paraId="0778E319" w14:textId="4395638B">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730C0DEE" w14:textId="10D4D311">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637F8F71" w14:textId="1D97B27E">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34337AB3" w14:textId="3277A126">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02754B59" w14:textId="371C16A7">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08ADC2E6" w14:textId="1BCA6460">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12A79BD9" w14:textId="40201456">
      <w:pPr>
        <w:spacing w:after="0" w:line="240" w:lineRule="auto"/>
        <w:jc w:val="both"/>
        <w:rPr>
          <w:rFonts w:ascii="Verdana" w:hAnsi="Verdana" w:eastAsia="Geomanist Light" w:cs="Arial"/>
          <w:color w:val="000000" w:themeColor="text1" w:themeTint="FF" w:themeShade="FF"/>
          <w:lang w:val="es-MX"/>
        </w:rPr>
      </w:pPr>
    </w:p>
    <w:p w:rsidR="1DA11D4D" w:rsidP="1DA11D4D" w:rsidRDefault="1DA11D4D" w14:paraId="75B28277" w14:textId="4F1712CF">
      <w:pPr>
        <w:spacing w:after="0" w:line="240" w:lineRule="auto"/>
        <w:jc w:val="both"/>
        <w:rPr>
          <w:rFonts w:ascii="Verdana" w:hAnsi="Verdana" w:eastAsia="Geomanist Light" w:cs="Arial"/>
          <w:color w:val="000000" w:themeColor="text1" w:themeTint="FF" w:themeShade="FF"/>
          <w:lang w:val="es-MX"/>
        </w:rPr>
      </w:pPr>
    </w:p>
    <w:p w:rsidRPr="00E31648" w:rsidR="008A380F" w:rsidP="008A380F" w:rsidRDefault="008A380F" w14:paraId="7B249C13" w14:textId="3C40753F">
      <w:pPr>
        <w:spacing w:after="0" w:line="240" w:lineRule="auto"/>
      </w:pPr>
      <w:r w:rsidRPr="1DA11D4D" w:rsidR="008A380F">
        <w:rPr>
          <w:rFonts w:ascii="Verdana" w:hAnsi="Verdana" w:eastAsia="Calibri" w:cs="Arial"/>
          <w:color w:val="000000" w:themeColor="text1" w:themeTint="FF" w:themeShade="FF"/>
        </w:rPr>
        <w:t xml:space="preserve">Bogotá D.C., </w:t>
      </w:r>
      <w:r w:rsidRPr="1DA11D4D" w:rsidR="008A380F">
        <w:rPr>
          <w:rFonts w:ascii="Verdana" w:hAnsi="Verdana" w:eastAsia="Calibri" w:cs="Arial"/>
          <w:color w:val="000000" w:themeColor="text1" w:themeTint="FF" w:themeShade="FF"/>
        </w:rPr>
        <w:t>0</w:t>
      </w:r>
      <w:r w:rsidRPr="1DA11D4D" w:rsidR="0E95BCC9">
        <w:rPr>
          <w:rFonts w:ascii="Verdana" w:hAnsi="Verdana" w:eastAsia="Calibri" w:cs="Arial"/>
          <w:color w:val="000000" w:themeColor="text1" w:themeTint="FF" w:themeShade="FF"/>
        </w:rPr>
        <w:t>6</w:t>
      </w:r>
      <w:r w:rsidRPr="1DA11D4D" w:rsidR="008A380F">
        <w:rPr>
          <w:rFonts w:ascii="Verdana" w:hAnsi="Verdana" w:eastAsia="Calibri" w:cs="Arial"/>
          <w:color w:val="000000" w:themeColor="text1" w:themeTint="FF" w:themeShade="FF"/>
        </w:rPr>
        <w:t xml:space="preserve"> </w:t>
      </w:r>
      <w:r w:rsidRPr="1DA11D4D" w:rsidR="008A380F">
        <w:rPr>
          <w:rFonts w:ascii="Verdana" w:hAnsi="Verdana" w:eastAsia="Calibri" w:cs="Arial"/>
          <w:color w:val="000000" w:themeColor="text1" w:themeTint="FF" w:themeShade="FF"/>
        </w:rPr>
        <w:t xml:space="preserve">de </w:t>
      </w:r>
      <w:r w:rsidRPr="1DA11D4D" w:rsidR="008A380F">
        <w:rPr>
          <w:rFonts w:ascii="Verdana" w:hAnsi="Verdana" w:eastAsia="Calibri" w:cs="Arial"/>
          <w:color w:val="000000" w:themeColor="text1" w:themeTint="FF" w:themeShade="FF"/>
        </w:rPr>
        <w:t xml:space="preserve">mayo </w:t>
      </w:r>
      <w:r w:rsidRPr="1DA11D4D" w:rsidR="008A380F">
        <w:rPr>
          <w:rFonts w:ascii="Verdana" w:hAnsi="Verdana" w:eastAsia="Calibri" w:cs="Arial"/>
          <w:color w:val="000000" w:themeColor="text1" w:themeTint="FF" w:themeShade="FF"/>
        </w:rPr>
        <w:t>de 20</w:t>
      </w:r>
      <w:r w:rsidRPr="1DA11D4D" w:rsidR="008A380F">
        <w:rPr>
          <w:rFonts w:ascii="Verdana" w:hAnsi="Verdana" w:eastAsia="Calibri" w:cs="Arial"/>
          <w:color w:val="000000" w:themeColor="text1" w:themeTint="FF" w:themeShade="FF"/>
        </w:rPr>
        <w:t>26</w:t>
      </w:r>
    </w:p>
    <w:p w:rsidR="008A380F" w:rsidP="008A380F" w:rsidRDefault="008A380F" w14:paraId="46846EDA" w14:textId="77777777">
      <w:pPr>
        <w:spacing w:after="0" w:line="240" w:lineRule="auto"/>
        <w:jc w:val="both"/>
        <w:rPr>
          <w:rFonts w:ascii="Verdana" w:hAnsi="Verdana" w:eastAsia="Calibri" w:cs="Arial"/>
          <w:color w:val="000000" w:themeColor="text1"/>
          <w:lang w:val="es-ES"/>
        </w:rPr>
      </w:pPr>
    </w:p>
    <w:p w:rsidR="008A380F" w:rsidP="1DA11D4D" w:rsidRDefault="008A380F" w14:paraId="619D750A" w14:textId="2666B28A">
      <w:pPr>
        <w:pStyle w:val="Normal"/>
        <w:spacing w:after="0" w:line="240" w:lineRule="auto"/>
        <w:jc w:val="right"/>
      </w:pPr>
      <w:r w:rsidR="36199200">
        <w:drawing>
          <wp:inline wp14:editId="0C3603C4" wp14:anchorId="1552B9D7">
            <wp:extent cx="2341067" cy="676715"/>
            <wp:effectExtent l="0" t="0" r="0" b="0"/>
            <wp:docPr id="156609305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66093053" name="Picture 1566093053"/>
                    <pic:cNvPicPr/>
                  </pic:nvPicPr>
                  <pic:blipFill>
                    <a:blip xmlns:r="http://schemas.openxmlformats.org/officeDocument/2006/relationships" r:embed="rId737660680">
                      <a:extLst>
                        <a:ext uri="{28A0092B-C50C-407E-A947-70E740481C1C}">
                          <a14:useLocalDpi xmlns:a14="http://schemas.microsoft.com/office/drawing/2010/main"/>
                        </a:ext>
                      </a:extLst>
                    </a:blip>
                    <a:stretch>
                      <a:fillRect/>
                    </a:stretch>
                  </pic:blipFill>
                  <pic:spPr>
                    <a:xfrm>
                      <a:off x="0" y="0"/>
                      <a:ext cx="2341067" cy="676715"/>
                    </a:xfrm>
                    <a:prstGeom prst="rect">
                      <a:avLst/>
                    </a:prstGeom>
                  </pic:spPr>
                </pic:pic>
              </a:graphicData>
            </a:graphic>
          </wp:inline>
        </w:drawing>
      </w:r>
    </w:p>
    <w:p w:rsidR="1DA11D4D" w:rsidP="1DA11D4D" w:rsidRDefault="1DA11D4D" w14:paraId="713E00B3" w14:textId="47DDC3A0">
      <w:pPr>
        <w:pStyle w:val="Normal"/>
        <w:spacing w:after="0" w:line="240" w:lineRule="auto"/>
        <w:jc w:val="both"/>
        <w:rPr>
          <w:rFonts w:ascii="Verdana" w:hAnsi="Verdana" w:eastAsia="Calibri" w:cs="Arial"/>
          <w:color w:val="000000" w:themeColor="text1" w:themeTint="FF" w:themeShade="FF"/>
          <w:lang w:val="es-ES" w:eastAsia="es-ES"/>
        </w:rPr>
      </w:pPr>
    </w:p>
    <w:p w:rsidR="1DA11D4D" w:rsidP="1DA11D4D" w:rsidRDefault="1DA11D4D" w14:paraId="0F1F7CF7" w14:textId="7883E6C7">
      <w:pPr>
        <w:pStyle w:val="Normal"/>
        <w:spacing w:after="0" w:line="240" w:lineRule="auto"/>
        <w:jc w:val="both"/>
        <w:rPr>
          <w:rFonts w:ascii="Verdana" w:hAnsi="Verdana" w:eastAsia="Calibri" w:cs="Arial"/>
          <w:color w:val="000000" w:themeColor="text1" w:themeTint="FF" w:themeShade="FF"/>
          <w:lang w:val="es-ES" w:eastAsia="es-ES"/>
        </w:rPr>
      </w:pPr>
    </w:p>
    <w:p w:rsidR="1DA11D4D" w:rsidP="1DA11D4D" w:rsidRDefault="1DA11D4D" w14:paraId="05289059" w14:textId="42BF64C3">
      <w:pPr>
        <w:pStyle w:val="Normal"/>
        <w:spacing w:after="0" w:line="240" w:lineRule="auto"/>
        <w:jc w:val="both"/>
        <w:rPr>
          <w:rFonts w:ascii="Verdana" w:hAnsi="Verdana" w:eastAsia="Calibri" w:cs="Arial"/>
          <w:color w:val="000000" w:themeColor="text1" w:themeTint="FF" w:themeShade="FF"/>
          <w:lang w:val="es-ES" w:eastAsia="es-ES"/>
        </w:rPr>
      </w:pPr>
    </w:p>
    <w:p w:rsidRPr="0046108F" w:rsidR="008A380F" w:rsidP="1DA11D4D" w:rsidRDefault="008A380F" w14:paraId="709FE449" w14:textId="003AF115">
      <w:pPr>
        <w:pStyle w:val="Normal"/>
        <w:spacing w:after="0" w:line="240" w:lineRule="auto"/>
        <w:jc w:val="both"/>
        <w:rPr>
          <w:rFonts w:ascii="Verdana" w:hAnsi="Verdana" w:eastAsia="Calibri" w:cs="Arial"/>
          <w:color w:val="000000" w:themeColor="text1"/>
          <w:lang w:val="es-ES" w:eastAsia="es-ES"/>
        </w:rPr>
      </w:pPr>
      <w:r w:rsidRPr="1DA11D4D" w:rsidR="008A380F">
        <w:rPr>
          <w:rFonts w:ascii="Verdana" w:hAnsi="Verdana" w:eastAsia="Calibri" w:cs="Arial"/>
          <w:color w:val="000000" w:themeColor="text1" w:themeTint="FF" w:themeShade="FF"/>
          <w:lang w:val="es-ES" w:eastAsia="es-ES"/>
        </w:rPr>
        <w:t>Señor</w:t>
      </w:r>
    </w:p>
    <w:p w:rsidR="008A380F" w:rsidP="008A380F" w:rsidRDefault="00734AB2" w14:paraId="4105B4B0" w14:textId="4540F0C9">
      <w:pPr>
        <w:spacing w:after="0" w:line="240" w:lineRule="auto"/>
        <w:jc w:val="both"/>
        <w:rPr>
          <w:rFonts w:ascii="Verdana" w:hAnsi="Verdana" w:eastAsia="Calibri" w:cs="Arial"/>
          <w:b/>
          <w:bCs/>
          <w:color w:val="000000" w:themeColor="text1"/>
          <w:lang w:val="es-ES" w:eastAsia="es-ES"/>
        </w:rPr>
      </w:pPr>
      <w:r>
        <w:rPr>
          <w:rFonts w:ascii="Verdana" w:hAnsi="Verdana" w:eastAsia="Calibri" w:cs="Arial"/>
          <w:b/>
          <w:bCs/>
          <w:color w:val="000000" w:themeColor="text1"/>
          <w:lang w:val="es-ES" w:eastAsia="es-ES"/>
        </w:rPr>
        <w:t>CESAR ANDRÉS BARROS DE LA ROSA</w:t>
      </w:r>
    </w:p>
    <w:p w:rsidRPr="00E561B8" w:rsidR="008A380F" w:rsidP="008A380F" w:rsidRDefault="008A380F" w14:paraId="12F19AA2" w14:textId="77777777">
      <w:pPr>
        <w:spacing w:after="0" w:line="240" w:lineRule="auto"/>
        <w:jc w:val="both"/>
        <w:rPr>
          <w:rFonts w:ascii="Verdana" w:hAnsi="Verdana" w:eastAsia="Calibri" w:cs="Arial"/>
          <w:color w:val="000000" w:themeColor="text1"/>
          <w:lang w:val="es-ES" w:eastAsia="es-ES"/>
        </w:rPr>
      </w:pPr>
      <w:r w:rsidRPr="00E561B8">
        <w:rPr>
          <w:rFonts w:ascii="Verdana" w:hAnsi="Verdana" w:eastAsia="Calibri" w:cs="Arial"/>
          <w:color w:val="000000" w:themeColor="text1"/>
          <w:lang w:val="es-ES" w:eastAsia="es-ES"/>
        </w:rPr>
        <w:t>contratacion@iddecurv.gov.co</w:t>
      </w:r>
    </w:p>
    <w:p w:rsidRPr="006B17A7" w:rsidR="008A380F" w:rsidP="008A380F" w:rsidRDefault="008A380F" w14:paraId="59C5F265" w14:textId="77777777">
      <w:pPr>
        <w:spacing w:after="0" w:line="240" w:lineRule="auto"/>
        <w:rPr>
          <w:rFonts w:ascii="Verdana" w:hAnsi="Verdana" w:eastAsia="Calibri" w:cs="Arial"/>
          <w:b/>
          <w:bCs/>
          <w:lang w:val="es-ES" w:eastAsia="es-ES"/>
        </w:rPr>
      </w:pPr>
      <w:r>
        <w:rPr>
          <w:rFonts w:ascii="Verdana" w:hAnsi="Verdana" w:eastAsia="Calibri" w:cs="Arial"/>
          <w:lang w:val="es-ES" w:eastAsia="es-ES"/>
        </w:rPr>
        <w:t>Ciudad</w:t>
      </w:r>
    </w:p>
    <w:p w:rsidRPr="00CB7ABE" w:rsidR="008A380F" w:rsidP="008A380F" w:rsidRDefault="008A380F" w14:paraId="19F0F9B7" w14:textId="77777777">
      <w:pPr>
        <w:spacing w:after="0" w:line="240" w:lineRule="auto"/>
        <w:rPr>
          <w:rFonts w:ascii="Verdana" w:hAnsi="Verdana" w:eastAsia="Calibri" w:cs="Arial"/>
          <w:b/>
          <w:bCs/>
          <w:color w:val="000000" w:themeColor="text1"/>
          <w:lang w:eastAsia="es-ES_tradnl"/>
        </w:rPr>
      </w:pPr>
    </w:p>
    <w:tbl>
      <w:tblPr>
        <w:tblStyle w:val="Tablaconcuadrcula"/>
        <w:tblW w:w="8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70"/>
        <w:gridCol w:w="6547"/>
      </w:tblGrid>
      <w:tr w:rsidRPr="00115E3D" w:rsidR="008A380F" w:rsidTr="00554E29" w14:paraId="3A64302A" w14:textId="77777777">
        <w:trPr>
          <w:trHeight w:val="615"/>
        </w:trPr>
        <w:tc>
          <w:tcPr>
            <w:tcW w:w="2270" w:type="dxa"/>
          </w:tcPr>
          <w:p w:rsidRPr="00CB7ABE" w:rsidR="008A380F" w:rsidP="00554E29" w:rsidRDefault="008A380F" w14:paraId="4CA89FF8" w14:textId="77777777">
            <w:pPr>
              <w:jc w:val="both"/>
              <w:rPr>
                <w:rFonts w:ascii="Verdana" w:hAnsi="Verdana" w:eastAsia="Calibri" w:cs="Arial"/>
                <w:b/>
                <w:bCs/>
                <w:color w:val="000000" w:themeColor="text1"/>
                <w:lang w:eastAsia="es-ES_tradnl"/>
              </w:rPr>
            </w:pPr>
          </w:p>
        </w:tc>
        <w:tc>
          <w:tcPr>
            <w:tcW w:w="6547" w:type="dxa"/>
          </w:tcPr>
          <w:p w:rsidRPr="008A209A" w:rsidR="008A380F" w:rsidP="00554E29" w:rsidRDefault="008A380F" w14:paraId="7C0DD9A9" w14:textId="77777777">
            <w:pPr>
              <w:jc w:val="both"/>
              <w:rPr>
                <w:rFonts w:ascii="Verdana" w:hAnsi="Verdana" w:eastAsia="Calibri" w:cs="Arial"/>
                <w:b/>
                <w:bCs/>
                <w:color w:val="000000" w:themeColor="text1"/>
                <w:lang w:val="es-ES" w:eastAsia="es-ES"/>
              </w:rPr>
            </w:pPr>
            <w:r w:rsidRPr="008A209A">
              <w:rPr>
                <w:rFonts w:ascii="Verdana" w:hAnsi="Verdana" w:eastAsia="Calibri" w:cs="Arial"/>
                <w:b/>
                <w:bCs/>
                <w:color w:val="000000" w:themeColor="text1"/>
                <w:lang w:val="es-ES" w:eastAsia="es-ES"/>
              </w:rPr>
              <w:t xml:space="preserve">Concepto C- </w:t>
            </w:r>
            <w:r>
              <w:rPr>
                <w:rFonts w:ascii="Verdana" w:hAnsi="Verdana" w:eastAsia="Calibri" w:cs="Arial"/>
                <w:b/>
                <w:bCs/>
                <w:color w:val="000000" w:themeColor="text1"/>
                <w:lang w:val="es-ES" w:eastAsia="es-ES"/>
              </w:rPr>
              <w:t>448</w:t>
            </w:r>
            <w:r w:rsidRPr="008A209A">
              <w:rPr>
                <w:rFonts w:ascii="Verdana" w:hAnsi="Verdana" w:eastAsia="Calibri" w:cs="Arial"/>
                <w:b/>
                <w:bCs/>
                <w:color w:val="000000" w:themeColor="text1"/>
                <w:lang w:val="es-ES" w:eastAsia="es-ES"/>
              </w:rPr>
              <w:t xml:space="preserve"> de 2026</w:t>
            </w:r>
          </w:p>
        </w:tc>
      </w:tr>
      <w:tr w:rsidRPr="007E403E" w:rsidR="008A380F" w:rsidTr="00554E29" w14:paraId="6D83FAE0" w14:textId="77777777">
        <w:trPr>
          <w:trHeight w:val="1071"/>
        </w:trPr>
        <w:tc>
          <w:tcPr>
            <w:tcW w:w="2270" w:type="dxa"/>
          </w:tcPr>
          <w:p w:rsidRPr="001B36DA" w:rsidR="008A380F" w:rsidP="00554E29" w:rsidRDefault="008A380F" w14:paraId="30989A31" w14:textId="77777777">
            <w:pPr>
              <w:jc w:val="both"/>
              <w:rPr>
                <w:rFonts w:ascii="Verdana" w:hAnsi="Verdana" w:eastAsia="Calibri" w:cs="Arial"/>
                <w:color w:val="000000" w:themeColor="text1"/>
                <w:lang w:val="es-ES_tradnl" w:eastAsia="es-ES_tradnl"/>
              </w:rPr>
            </w:pPr>
            <w:r w:rsidRPr="001B36DA">
              <w:rPr>
                <w:rFonts w:ascii="Verdana" w:hAnsi="Verdana" w:eastAsia="Calibri" w:cs="Arial"/>
                <w:b/>
                <w:color w:val="000000" w:themeColor="text1"/>
                <w:lang w:val="es-ES_tradnl" w:eastAsia="es-ES_tradnl"/>
              </w:rPr>
              <w:t>Temas:</w:t>
            </w:r>
            <w:r w:rsidRPr="001B36DA">
              <w:rPr>
                <w:rFonts w:ascii="Verdana" w:hAnsi="Verdana" w:eastAsia="Calibri" w:cs="Arial"/>
                <w:color w:val="000000" w:themeColor="text1"/>
                <w:lang w:val="es-ES_tradnl" w:eastAsia="es-ES_tradnl"/>
              </w:rPr>
              <w:t xml:space="preserve">                   </w:t>
            </w:r>
          </w:p>
        </w:tc>
        <w:tc>
          <w:tcPr>
            <w:tcW w:w="6547" w:type="dxa"/>
          </w:tcPr>
          <w:p w:rsidRPr="006B17A7" w:rsidR="008A380F" w:rsidP="00554E29" w:rsidRDefault="008A380F" w14:paraId="696028F5" w14:textId="77777777">
            <w:pPr>
              <w:spacing w:line="276" w:lineRule="auto"/>
              <w:jc w:val="both"/>
              <w:rPr>
                <w:rFonts w:ascii="Verdana" w:hAnsi="Verdana" w:eastAsia="Calibri" w:cs="Arial"/>
                <w:lang w:val="es-ES" w:eastAsia="es-ES"/>
              </w:rPr>
            </w:pPr>
            <w:r w:rsidRPr="006B17A7">
              <w:rPr>
                <w:rFonts w:ascii="Verdana" w:hAnsi="Verdana" w:eastAsia="Calibri" w:cs="Arial"/>
                <w:lang w:val="es-ES" w:eastAsia="es-ES"/>
              </w:rPr>
              <w:t>LIQUIDACIÓN DE LOS CONTRATOS ESTATALES – Noción – Objetivo – Acta de liquidación / LIQUIDACIÓN DEL CONTRATO – Tipos – Términos para adelantarlo – Consecuencias pérdida de oportunidad</w:t>
            </w:r>
          </w:p>
          <w:p w:rsidRPr="005E256F" w:rsidR="008A380F" w:rsidP="00554E29" w:rsidRDefault="008A380F" w14:paraId="29103312" w14:textId="77777777">
            <w:pPr>
              <w:spacing w:line="276" w:lineRule="auto"/>
              <w:jc w:val="both"/>
              <w:rPr>
                <w:rFonts w:ascii="Verdana" w:hAnsi="Verdana" w:eastAsia="Calibri" w:cs="Arial"/>
                <w:color w:val="000000" w:themeColor="text1"/>
                <w:highlight w:val="yellow"/>
                <w:lang w:val="es-ES" w:eastAsia="es-ES"/>
              </w:rPr>
            </w:pPr>
          </w:p>
        </w:tc>
      </w:tr>
      <w:tr w:rsidRPr="00115E3D" w:rsidR="008A380F" w:rsidTr="00554E29" w14:paraId="7760D222" w14:textId="77777777">
        <w:trPr>
          <w:trHeight w:val="653"/>
        </w:trPr>
        <w:tc>
          <w:tcPr>
            <w:tcW w:w="2270" w:type="dxa"/>
          </w:tcPr>
          <w:p w:rsidRPr="00CB7ABE" w:rsidR="008A380F" w:rsidP="00554E29" w:rsidRDefault="008A380F" w14:paraId="7B3C4C32" w14:textId="77777777">
            <w:pPr>
              <w:jc w:val="both"/>
              <w:rPr>
                <w:rFonts w:ascii="Verdana" w:hAnsi="Verdana" w:eastAsia="Calibri" w:cs="Arial"/>
                <w:b/>
                <w:color w:val="000000" w:themeColor="text1"/>
                <w:lang w:val="es-ES_tradnl" w:eastAsia="es-ES_tradnl"/>
              </w:rPr>
            </w:pPr>
            <w:r w:rsidRPr="00CB7ABE">
              <w:rPr>
                <w:rFonts w:ascii="Verdana" w:hAnsi="Verdana" w:eastAsia="Calibri" w:cs="Arial"/>
                <w:b/>
                <w:color w:val="000000" w:themeColor="text1"/>
                <w:lang w:val="es-ES_tradnl" w:eastAsia="es-ES_tradnl"/>
              </w:rPr>
              <w:t>Radicación:</w:t>
            </w:r>
            <w:r w:rsidRPr="00CB7ABE">
              <w:rPr>
                <w:rFonts w:ascii="Verdana" w:hAnsi="Verdana" w:eastAsia="Calibri" w:cs="Arial"/>
                <w:color w:val="000000" w:themeColor="text1"/>
                <w:lang w:val="es-ES_tradnl" w:eastAsia="es-ES_tradnl"/>
              </w:rPr>
              <w:t xml:space="preserve">           </w:t>
            </w:r>
          </w:p>
        </w:tc>
        <w:tc>
          <w:tcPr>
            <w:tcW w:w="6547" w:type="dxa"/>
          </w:tcPr>
          <w:p w:rsidRPr="00CB7ABE" w:rsidR="008A380F" w:rsidP="00554E29" w:rsidRDefault="008A380F" w14:paraId="53441EDC" w14:textId="77777777">
            <w:pPr>
              <w:ind w:right="1"/>
              <w:jc w:val="both"/>
              <w:rPr>
                <w:rFonts w:ascii="Verdana" w:hAnsi="Verdana"/>
                <w:color w:val="000000"/>
              </w:rPr>
            </w:pPr>
            <w:r w:rsidRPr="00CB7ABE">
              <w:rPr>
                <w:rFonts w:ascii="Verdana" w:hAnsi="Verdana" w:eastAsia="Calibri" w:cs="Arial"/>
                <w:color w:val="000000" w:themeColor="text1"/>
                <w:lang w:val="es-ES_tradnl" w:eastAsia="es-ES_tradnl"/>
              </w:rPr>
              <w:t>Respuesta a consulta con radicado</w:t>
            </w:r>
            <w:r>
              <w:rPr>
                <w:rFonts w:ascii="Verdana" w:hAnsi="Verdana" w:eastAsia="Calibri" w:cs="Arial"/>
                <w:color w:val="000000" w:themeColor="text1"/>
                <w:lang w:val="es-ES_tradnl" w:eastAsia="es-ES_tradnl"/>
              </w:rPr>
              <w:t xml:space="preserve"> N.º </w:t>
            </w:r>
            <w:r w:rsidRPr="0046108F">
              <w:rPr>
                <w:rFonts w:ascii="Verdana" w:hAnsi="Verdana"/>
                <w:color w:val="2B2B2B"/>
              </w:rPr>
              <w:t>1_2026_03_24_003983</w:t>
            </w:r>
          </w:p>
        </w:tc>
      </w:tr>
    </w:tbl>
    <w:p w:rsidR="00D93F1F" w:rsidP="008A380F" w:rsidRDefault="00D93F1F" w14:paraId="219A7D61" w14:textId="77777777">
      <w:pPr>
        <w:spacing w:after="0" w:line="276" w:lineRule="auto"/>
        <w:jc w:val="both"/>
        <w:rPr>
          <w:rFonts w:ascii="Verdana" w:hAnsi="Verdana" w:eastAsia="Calibri" w:cs="Arial"/>
          <w:color w:val="000000" w:themeColor="text1"/>
          <w:lang w:val="es-ES" w:eastAsia="es-ES"/>
        </w:rPr>
      </w:pPr>
    </w:p>
    <w:p w:rsidRPr="00115E3D" w:rsidR="008A380F" w:rsidP="008A380F" w:rsidRDefault="008A380F" w14:paraId="586A57FD" w14:textId="57BDA61D">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Estimad</w:t>
      </w:r>
      <w:r>
        <w:rPr>
          <w:rFonts w:ascii="Verdana" w:hAnsi="Verdana" w:eastAsia="Calibri" w:cs="Arial"/>
          <w:color w:val="000000" w:themeColor="text1"/>
          <w:lang w:val="es-ES" w:eastAsia="es-ES"/>
        </w:rPr>
        <w:t xml:space="preserve">o </w:t>
      </w:r>
      <w:r w:rsidRPr="00115E3D">
        <w:rPr>
          <w:rFonts w:ascii="Verdana" w:hAnsi="Verdana" w:eastAsia="Calibri" w:cs="Arial"/>
          <w:color w:val="000000" w:themeColor="text1"/>
          <w:lang w:val="es-ES" w:eastAsia="es-ES"/>
        </w:rPr>
        <w:t>señor</w:t>
      </w:r>
      <w:r>
        <w:rPr>
          <w:rFonts w:ascii="Verdana" w:hAnsi="Verdana" w:eastAsia="Calibri" w:cs="Arial"/>
          <w:color w:val="000000" w:themeColor="text1"/>
          <w:lang w:val="es-ES" w:eastAsia="es-ES"/>
        </w:rPr>
        <w:t xml:space="preserve"> Lozano;</w:t>
      </w:r>
    </w:p>
    <w:p w:rsidRPr="00115E3D" w:rsidR="008A380F" w:rsidP="008A380F" w:rsidRDefault="008A380F" w14:paraId="02BE65A6" w14:textId="77777777">
      <w:pPr>
        <w:tabs>
          <w:tab w:val="left" w:pos="3768"/>
        </w:tabs>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ab/>
      </w:r>
    </w:p>
    <w:p w:rsidRPr="00115E3D" w:rsidR="008A380F" w:rsidP="008A380F" w:rsidRDefault="008A380F" w14:paraId="5D4E3186" w14:textId="77777777">
      <w:pPr>
        <w:spacing w:after="0" w:line="276" w:lineRule="auto"/>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En ejercicio de la competencia otorgada por los artículos 3, numeral 5º, y 11, numeral 8º, del Decreto Ley 4170 de 2011,</w:t>
      </w:r>
      <w:r w:rsidRPr="00115E3D">
        <w:rPr>
          <w:rFonts w:ascii="Verdana" w:hAnsi="Verdana" w:eastAsia="Arial MT"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hAnsi="Verdana" w:eastAsia="Calibri" w:cs="Arial"/>
          <w:color w:val="000000" w:themeColor="text1"/>
          <w:lang w:val="es-ES" w:eastAsia="es-ES"/>
        </w:rPr>
        <w:t>la Agencia Nacional de Contratación Pública – Colombia Compra Eficiente– responde su solicitud</w:t>
      </w:r>
      <w:r>
        <w:rPr>
          <w:rFonts w:ascii="Verdana" w:hAnsi="Verdana" w:eastAsia="Calibri" w:cs="Arial"/>
          <w:color w:val="000000" w:themeColor="text1"/>
          <w:lang w:val="es-ES" w:eastAsia="es-ES"/>
        </w:rPr>
        <w:t xml:space="preserve"> radicada ante esta entidad el 24 de marzo de 2026 </w:t>
      </w:r>
      <w:r w:rsidRPr="00115E3D">
        <w:rPr>
          <w:rFonts w:ascii="Verdana" w:hAnsi="Verdana" w:eastAsia="Calibri" w:cs="Arial"/>
          <w:color w:val="000000" w:themeColor="text1"/>
          <w:lang w:val="es-ES" w:eastAsia="es-ES"/>
        </w:rPr>
        <w:t xml:space="preserve">en la cual manifiesta lo siguiente: </w:t>
      </w:r>
    </w:p>
    <w:p w:rsidR="008A380F" w:rsidP="008A380F" w:rsidRDefault="008A380F" w14:paraId="1BCEBF92" w14:textId="77777777">
      <w:pPr>
        <w:spacing w:after="0" w:line="240" w:lineRule="auto"/>
        <w:ind w:left="709" w:right="709"/>
        <w:jc w:val="both"/>
        <w:rPr>
          <w:rFonts w:ascii="Verdana" w:hAnsi="Verdana" w:eastAsia="Century Gothic" w:cs="Century Gothic"/>
          <w:i/>
          <w:iCs/>
          <w:color w:val="000000" w:themeColor="text1"/>
          <w:sz w:val="20"/>
          <w:szCs w:val="20"/>
          <w:lang w:val="es-ES"/>
        </w:rPr>
      </w:pPr>
      <w:bookmarkStart w:name="_Hlk95313578" w:id="1"/>
    </w:p>
    <w:bookmarkEnd w:id="1"/>
    <w:p w:rsidRPr="00D93F1F" w:rsidR="008A380F" w:rsidP="00D93F1F" w:rsidRDefault="008A380F" w14:paraId="131EC7B2" w14:textId="7DB0355C">
      <w:pPr>
        <w:spacing w:after="0" w:line="240" w:lineRule="auto"/>
        <w:ind w:left="709" w:right="709"/>
        <w:jc w:val="both"/>
        <w:rPr>
          <w:rFonts w:ascii="Verdana" w:hAnsi="Verdana" w:eastAsia="Century Gothic" w:cs="Century Gothic"/>
          <w:i/>
          <w:iCs/>
          <w:color w:val="000000" w:themeColor="text1"/>
          <w:sz w:val="20"/>
          <w:szCs w:val="20"/>
          <w:lang w:val="es-ES"/>
        </w:rPr>
      </w:pPr>
      <w:r w:rsidRPr="00104557">
        <w:rPr>
          <w:rFonts w:ascii="Verdana" w:hAnsi="Verdana" w:eastAsia="Century Gothic" w:cs="Century Gothic"/>
          <w:i/>
          <w:iCs/>
          <w:color w:val="000000" w:themeColor="text1"/>
          <w:sz w:val="20"/>
          <w:szCs w:val="20"/>
          <w:lang w:val="es-ES"/>
        </w:rPr>
        <w:t>“</w:t>
      </w:r>
      <w:r>
        <w:rPr>
          <w:rFonts w:ascii="Verdana" w:hAnsi="Verdana" w:eastAsia="Century Gothic" w:cs="Century Gothic"/>
          <w:i/>
          <w:iCs/>
          <w:color w:val="000000" w:themeColor="text1"/>
          <w:sz w:val="20"/>
          <w:szCs w:val="20"/>
          <w:lang w:val="es-MX"/>
        </w:rPr>
        <w:t>E</w:t>
      </w:r>
      <w:r w:rsidRPr="005E256F">
        <w:rPr>
          <w:rFonts w:ascii="Verdana" w:hAnsi="Verdana" w:eastAsia="Century Gothic" w:cs="Century Gothic"/>
          <w:i/>
          <w:iCs/>
          <w:color w:val="000000" w:themeColor="text1"/>
          <w:sz w:val="20"/>
          <w:szCs w:val="20"/>
          <w:lang w:val="es-MX"/>
        </w:rPr>
        <w:t xml:space="preserve">s viable jurídica e institucionalmente la conformación de un </w:t>
      </w:r>
      <w:r>
        <w:rPr>
          <w:rFonts w:ascii="Verdana" w:hAnsi="Verdana" w:eastAsia="Century Gothic" w:cs="Century Gothic"/>
          <w:i/>
          <w:iCs/>
          <w:color w:val="000000" w:themeColor="text1"/>
          <w:sz w:val="20"/>
          <w:szCs w:val="20"/>
          <w:lang w:val="es-MX"/>
        </w:rPr>
        <w:t>C</w:t>
      </w:r>
      <w:r w:rsidRPr="005E256F">
        <w:rPr>
          <w:rFonts w:ascii="Verdana" w:hAnsi="Verdana" w:eastAsia="Century Gothic" w:cs="Century Gothic"/>
          <w:i/>
          <w:iCs/>
          <w:color w:val="000000" w:themeColor="text1"/>
          <w:sz w:val="20"/>
          <w:szCs w:val="20"/>
          <w:lang w:val="es-MX"/>
        </w:rPr>
        <w:t xml:space="preserve">omité </w:t>
      </w:r>
      <w:r>
        <w:rPr>
          <w:rFonts w:ascii="Verdana" w:hAnsi="Verdana" w:eastAsia="Century Gothic" w:cs="Century Gothic"/>
          <w:i/>
          <w:iCs/>
          <w:color w:val="000000" w:themeColor="text1"/>
          <w:sz w:val="20"/>
          <w:szCs w:val="20"/>
          <w:lang w:val="es-MX"/>
        </w:rPr>
        <w:t>I</w:t>
      </w:r>
      <w:r w:rsidRPr="005E256F">
        <w:rPr>
          <w:rFonts w:ascii="Verdana" w:hAnsi="Verdana" w:eastAsia="Century Gothic" w:cs="Century Gothic"/>
          <w:i/>
          <w:iCs/>
          <w:color w:val="000000" w:themeColor="text1"/>
          <w:sz w:val="20"/>
          <w:szCs w:val="20"/>
          <w:lang w:val="es-MX"/>
        </w:rPr>
        <w:t xml:space="preserve">nstitucional de </w:t>
      </w:r>
      <w:r>
        <w:rPr>
          <w:rFonts w:ascii="Verdana" w:hAnsi="Verdana" w:eastAsia="Century Gothic" w:cs="Century Gothic"/>
          <w:i/>
          <w:iCs/>
          <w:color w:val="000000" w:themeColor="text1"/>
          <w:sz w:val="20"/>
          <w:szCs w:val="20"/>
          <w:lang w:val="es-MX"/>
        </w:rPr>
        <w:t>L</w:t>
      </w:r>
      <w:r w:rsidRPr="005E256F">
        <w:rPr>
          <w:rFonts w:ascii="Verdana" w:hAnsi="Verdana" w:eastAsia="Century Gothic" w:cs="Century Gothic"/>
          <w:i/>
          <w:iCs/>
          <w:color w:val="000000" w:themeColor="text1"/>
          <w:sz w:val="20"/>
          <w:szCs w:val="20"/>
          <w:lang w:val="es-MX"/>
        </w:rPr>
        <w:t>iquidación como mecanismo interno para atender los casos en que la entidad pierde competencia para liquidar contratos</w:t>
      </w:r>
      <w:r>
        <w:rPr>
          <w:rFonts w:ascii="Verdana" w:hAnsi="Verdana" w:eastAsia="Century Gothic" w:cs="Century Gothic"/>
          <w:i/>
          <w:iCs/>
          <w:color w:val="000000" w:themeColor="text1"/>
          <w:sz w:val="20"/>
          <w:szCs w:val="20"/>
          <w:lang w:val="es-MX"/>
        </w:rPr>
        <w:t>.</w:t>
      </w:r>
    </w:p>
    <w:p w:rsidR="008A380F" w:rsidP="008A380F" w:rsidRDefault="008A380F" w14:paraId="1EDFB495"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008A380F" w:rsidP="008A380F" w:rsidRDefault="008A380F" w14:paraId="071F8575" w14:textId="77777777">
      <w:pPr>
        <w:spacing w:after="0" w:line="240" w:lineRule="auto"/>
        <w:ind w:left="709" w:right="709"/>
        <w:jc w:val="both"/>
        <w:rPr>
          <w:rFonts w:ascii="Verdana" w:hAnsi="Verdana" w:eastAsia="Century Gothic" w:cs="Century Gothic"/>
          <w:i/>
          <w:iCs/>
          <w:color w:val="000000" w:themeColor="text1"/>
          <w:sz w:val="20"/>
          <w:szCs w:val="20"/>
          <w:lang w:val="es-MX"/>
        </w:rPr>
      </w:pPr>
      <w:r>
        <w:rPr>
          <w:rFonts w:ascii="Verdana" w:hAnsi="Verdana" w:eastAsia="Century Gothic" w:cs="Century Gothic"/>
          <w:i/>
          <w:iCs/>
          <w:color w:val="000000" w:themeColor="text1"/>
          <w:sz w:val="20"/>
          <w:szCs w:val="20"/>
          <w:lang w:val="es-MX"/>
        </w:rPr>
        <w:t>¿C</w:t>
      </w:r>
      <w:r w:rsidRPr="005E256F">
        <w:rPr>
          <w:rFonts w:ascii="Verdana" w:hAnsi="Verdana" w:eastAsia="Century Gothic" w:cs="Century Gothic"/>
          <w:i/>
          <w:iCs/>
          <w:color w:val="000000" w:themeColor="text1"/>
          <w:sz w:val="20"/>
          <w:szCs w:val="20"/>
          <w:lang w:val="es-MX"/>
        </w:rPr>
        <w:t>uáles serían los requisitos mínimos hola la composición recomendada y el alcance de dicho comité de conformarse</w:t>
      </w:r>
      <w:r w:rsidRPr="008E4B93">
        <w:rPr>
          <w:rFonts w:ascii="Verdana" w:hAnsi="Verdana" w:eastAsia="Century Gothic" w:cs="Century Gothic"/>
          <w:i/>
          <w:iCs/>
          <w:color w:val="000000" w:themeColor="text1"/>
          <w:sz w:val="20"/>
          <w:szCs w:val="20"/>
          <w:lang w:val="es-MX"/>
        </w:rPr>
        <w:t>?</w:t>
      </w:r>
    </w:p>
    <w:p w:rsidR="008A380F" w:rsidP="008A380F" w:rsidRDefault="008A380F" w14:paraId="5F4F9E5D"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008A380F" w:rsidP="008A380F" w:rsidRDefault="008A380F" w14:paraId="0C7B2CDB" w14:textId="77777777">
      <w:pPr>
        <w:spacing w:after="0" w:line="240" w:lineRule="auto"/>
        <w:ind w:left="709" w:right="709"/>
        <w:jc w:val="both"/>
        <w:rPr>
          <w:rFonts w:ascii="Verdana" w:hAnsi="Verdana" w:eastAsia="Century Gothic" w:cs="Century Gothic"/>
          <w:i/>
          <w:iCs/>
          <w:color w:val="000000" w:themeColor="text1"/>
          <w:sz w:val="20"/>
          <w:szCs w:val="20"/>
          <w:lang w:val="es-MX"/>
        </w:rPr>
      </w:pPr>
      <w:r>
        <w:rPr>
          <w:rFonts w:ascii="Verdana" w:hAnsi="Verdana" w:eastAsia="Century Gothic" w:cs="Century Gothic"/>
          <w:i/>
          <w:iCs/>
          <w:color w:val="000000" w:themeColor="text1"/>
          <w:sz w:val="20"/>
          <w:szCs w:val="20"/>
          <w:lang w:val="es-MX"/>
        </w:rPr>
        <w:lastRenderedPageBreak/>
        <w:t>¿E</w:t>
      </w:r>
      <w:r w:rsidRPr="005E256F">
        <w:rPr>
          <w:rFonts w:ascii="Verdana" w:hAnsi="Verdana" w:eastAsia="Century Gothic" w:cs="Century Gothic"/>
          <w:i/>
          <w:iCs/>
          <w:color w:val="000000" w:themeColor="text1"/>
          <w:sz w:val="20"/>
          <w:szCs w:val="20"/>
          <w:lang w:val="es-MX"/>
        </w:rPr>
        <w:t>xisten lineamientos</w:t>
      </w:r>
      <w:r>
        <w:rPr>
          <w:rFonts w:ascii="Verdana" w:hAnsi="Verdana" w:eastAsia="Century Gothic" w:cs="Century Gothic"/>
          <w:i/>
          <w:iCs/>
          <w:color w:val="000000" w:themeColor="text1"/>
          <w:sz w:val="20"/>
          <w:szCs w:val="20"/>
          <w:lang w:val="es-MX"/>
        </w:rPr>
        <w:t>,</w:t>
      </w:r>
      <w:r w:rsidRPr="005E256F">
        <w:rPr>
          <w:rFonts w:ascii="Verdana" w:hAnsi="Verdana" w:eastAsia="Century Gothic" w:cs="Century Gothic"/>
          <w:i/>
          <w:iCs/>
          <w:color w:val="000000" w:themeColor="text1"/>
          <w:sz w:val="20"/>
          <w:szCs w:val="20"/>
          <w:lang w:val="es-MX"/>
        </w:rPr>
        <w:t xml:space="preserve"> circulares</w:t>
      </w:r>
      <w:r>
        <w:rPr>
          <w:rFonts w:ascii="Verdana" w:hAnsi="Verdana" w:eastAsia="Century Gothic" w:cs="Century Gothic"/>
          <w:i/>
          <w:iCs/>
          <w:color w:val="000000" w:themeColor="text1"/>
          <w:sz w:val="20"/>
          <w:szCs w:val="20"/>
          <w:lang w:val="es-MX"/>
        </w:rPr>
        <w:t xml:space="preserve">, </w:t>
      </w:r>
      <w:r w:rsidRPr="005E256F">
        <w:rPr>
          <w:rFonts w:ascii="Verdana" w:hAnsi="Verdana" w:eastAsia="Century Gothic" w:cs="Century Gothic"/>
          <w:i/>
          <w:iCs/>
          <w:color w:val="000000" w:themeColor="text1"/>
          <w:sz w:val="20"/>
          <w:szCs w:val="20"/>
          <w:lang w:val="es-MX"/>
        </w:rPr>
        <w:t xml:space="preserve">guías o instrumentos emitidos por Colombia </w:t>
      </w:r>
      <w:r>
        <w:rPr>
          <w:rFonts w:ascii="Verdana" w:hAnsi="Verdana" w:eastAsia="Century Gothic" w:cs="Century Gothic"/>
          <w:i/>
          <w:iCs/>
          <w:color w:val="000000" w:themeColor="text1"/>
          <w:sz w:val="20"/>
          <w:szCs w:val="20"/>
          <w:lang w:val="es-MX"/>
        </w:rPr>
        <w:t>C</w:t>
      </w:r>
      <w:r w:rsidRPr="005E256F">
        <w:rPr>
          <w:rFonts w:ascii="Verdana" w:hAnsi="Verdana" w:eastAsia="Century Gothic" w:cs="Century Gothic"/>
          <w:i/>
          <w:iCs/>
          <w:color w:val="000000" w:themeColor="text1"/>
          <w:sz w:val="20"/>
          <w:szCs w:val="20"/>
          <w:lang w:val="es-MX"/>
        </w:rPr>
        <w:t xml:space="preserve">ompra </w:t>
      </w:r>
      <w:r>
        <w:rPr>
          <w:rFonts w:ascii="Verdana" w:hAnsi="Verdana" w:eastAsia="Century Gothic" w:cs="Century Gothic"/>
          <w:i/>
          <w:iCs/>
          <w:color w:val="000000" w:themeColor="text1"/>
          <w:sz w:val="20"/>
          <w:szCs w:val="20"/>
          <w:lang w:val="es-MX"/>
        </w:rPr>
        <w:t>E</w:t>
      </w:r>
      <w:r w:rsidRPr="005E256F">
        <w:rPr>
          <w:rFonts w:ascii="Verdana" w:hAnsi="Verdana" w:eastAsia="Century Gothic" w:cs="Century Gothic"/>
          <w:i/>
          <w:iCs/>
          <w:color w:val="000000" w:themeColor="text1"/>
          <w:sz w:val="20"/>
          <w:szCs w:val="20"/>
          <w:lang w:val="es-MX"/>
        </w:rPr>
        <w:t>ficiente</w:t>
      </w:r>
      <w:r>
        <w:rPr>
          <w:rFonts w:ascii="Verdana" w:hAnsi="Verdana" w:eastAsia="Century Gothic" w:cs="Century Gothic"/>
          <w:i/>
          <w:iCs/>
          <w:color w:val="000000" w:themeColor="text1"/>
          <w:sz w:val="20"/>
          <w:szCs w:val="20"/>
          <w:lang w:val="es-MX"/>
        </w:rPr>
        <w:t xml:space="preserve"> </w:t>
      </w:r>
      <w:r w:rsidRPr="005E256F">
        <w:rPr>
          <w:rFonts w:ascii="Verdana" w:hAnsi="Verdana" w:eastAsia="Century Gothic" w:cs="Century Gothic"/>
          <w:i/>
          <w:iCs/>
          <w:color w:val="000000" w:themeColor="text1"/>
          <w:sz w:val="20"/>
          <w:szCs w:val="20"/>
          <w:lang w:val="es-MX"/>
        </w:rPr>
        <w:t>que regulen o sugieran procedimientos aplicables a esta situación</w:t>
      </w:r>
      <w:r w:rsidRPr="008E4B93">
        <w:rPr>
          <w:rFonts w:ascii="Verdana" w:hAnsi="Verdana" w:eastAsia="Century Gothic" w:cs="Century Gothic"/>
          <w:i/>
          <w:iCs/>
          <w:color w:val="000000" w:themeColor="text1"/>
          <w:sz w:val="20"/>
          <w:szCs w:val="20"/>
          <w:lang w:val="es-MX"/>
        </w:rPr>
        <w:t>?</w:t>
      </w:r>
    </w:p>
    <w:p w:rsidR="008A380F" w:rsidP="008A380F" w:rsidRDefault="008A380F" w14:paraId="6C748394"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008A380F" w:rsidP="008A380F" w:rsidRDefault="008A380F" w14:paraId="4CE8C38B" w14:textId="77777777">
      <w:pPr>
        <w:spacing w:after="0" w:line="240" w:lineRule="auto"/>
        <w:ind w:left="709" w:right="709"/>
        <w:jc w:val="both"/>
        <w:rPr>
          <w:rFonts w:ascii="Verdana" w:hAnsi="Verdana" w:eastAsia="Century Gothic" w:cs="Century Gothic"/>
          <w:i/>
          <w:iCs/>
          <w:color w:val="000000" w:themeColor="text1"/>
          <w:sz w:val="20"/>
          <w:szCs w:val="20"/>
          <w:lang w:val="es-MX"/>
        </w:rPr>
      </w:pPr>
      <w:r>
        <w:rPr>
          <w:rFonts w:ascii="Verdana" w:hAnsi="Verdana" w:eastAsia="Century Gothic" w:cs="Century Gothic"/>
          <w:i/>
          <w:iCs/>
          <w:color w:val="000000" w:themeColor="text1"/>
          <w:sz w:val="20"/>
          <w:szCs w:val="20"/>
          <w:lang w:val="es-MX"/>
        </w:rPr>
        <w:t xml:space="preserve">¿Qué </w:t>
      </w:r>
      <w:r w:rsidRPr="005E256F">
        <w:rPr>
          <w:rFonts w:ascii="Verdana" w:hAnsi="Verdana" w:eastAsia="Century Gothic" w:cs="Century Gothic"/>
          <w:i/>
          <w:iCs/>
          <w:color w:val="000000" w:themeColor="text1"/>
          <w:sz w:val="20"/>
          <w:szCs w:val="20"/>
          <w:lang w:val="es-MX"/>
        </w:rPr>
        <w:t xml:space="preserve">alternativas procedimentales recomienda Colombia </w:t>
      </w:r>
      <w:r>
        <w:rPr>
          <w:rFonts w:ascii="Verdana" w:hAnsi="Verdana" w:eastAsia="Century Gothic" w:cs="Century Gothic"/>
          <w:i/>
          <w:iCs/>
          <w:color w:val="000000" w:themeColor="text1"/>
          <w:sz w:val="20"/>
          <w:szCs w:val="20"/>
          <w:lang w:val="es-MX"/>
        </w:rPr>
        <w:t>C</w:t>
      </w:r>
      <w:r w:rsidRPr="005E256F">
        <w:rPr>
          <w:rFonts w:ascii="Verdana" w:hAnsi="Verdana" w:eastAsia="Century Gothic" w:cs="Century Gothic"/>
          <w:i/>
          <w:iCs/>
          <w:color w:val="000000" w:themeColor="text1"/>
          <w:sz w:val="20"/>
          <w:szCs w:val="20"/>
          <w:lang w:val="es-MX"/>
        </w:rPr>
        <w:t>ompra eficiente hola para subsanar este vacío en el manual de contratación</w:t>
      </w:r>
      <w:r>
        <w:rPr>
          <w:rFonts w:ascii="Verdana" w:hAnsi="Verdana" w:eastAsia="Century Gothic" w:cs="Century Gothic"/>
          <w:i/>
          <w:iCs/>
          <w:color w:val="000000" w:themeColor="text1"/>
          <w:sz w:val="20"/>
          <w:szCs w:val="20"/>
          <w:lang w:val="es-MX"/>
        </w:rPr>
        <w:t xml:space="preserve">, </w:t>
      </w:r>
      <w:r w:rsidRPr="005E256F">
        <w:rPr>
          <w:rFonts w:ascii="Verdana" w:hAnsi="Verdana" w:eastAsia="Century Gothic" w:cs="Century Gothic"/>
          <w:i/>
          <w:iCs/>
          <w:color w:val="000000" w:themeColor="text1"/>
          <w:sz w:val="20"/>
          <w:szCs w:val="20"/>
          <w:lang w:val="es-MX"/>
        </w:rPr>
        <w:t>hoy en caso es que el comité no sea la figura más adecuada</w:t>
      </w:r>
      <w:r w:rsidRPr="008E4B93">
        <w:rPr>
          <w:rFonts w:ascii="Verdana" w:hAnsi="Verdana" w:eastAsia="Century Gothic" w:cs="Century Gothic"/>
          <w:i/>
          <w:iCs/>
          <w:color w:val="000000" w:themeColor="text1"/>
          <w:sz w:val="20"/>
          <w:szCs w:val="20"/>
          <w:lang w:val="es-MX"/>
        </w:rPr>
        <w:t>?</w:t>
      </w:r>
    </w:p>
    <w:p w:rsidR="008A380F" w:rsidP="008A380F" w:rsidRDefault="008A380F" w14:paraId="18A2923A"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008A380F" w:rsidP="008A380F" w:rsidRDefault="008A380F" w14:paraId="2FD06FAC" w14:textId="77777777">
      <w:pPr>
        <w:spacing w:after="0" w:line="240" w:lineRule="auto"/>
        <w:ind w:left="709" w:right="709"/>
        <w:jc w:val="both"/>
        <w:rPr>
          <w:rFonts w:ascii="Verdana" w:hAnsi="Verdana" w:eastAsia="Century Gothic" w:cs="Century Gothic"/>
          <w:i/>
          <w:iCs/>
          <w:color w:val="000000" w:themeColor="text1"/>
          <w:sz w:val="20"/>
          <w:szCs w:val="20"/>
          <w:lang w:val="es-MX"/>
        </w:rPr>
      </w:pPr>
      <w:r>
        <w:rPr>
          <w:rFonts w:ascii="Verdana" w:hAnsi="Verdana" w:eastAsia="Century Gothic" w:cs="Century Gothic"/>
          <w:i/>
          <w:iCs/>
          <w:color w:val="000000" w:themeColor="text1"/>
          <w:sz w:val="20"/>
          <w:szCs w:val="20"/>
          <w:lang w:val="es-MX"/>
        </w:rPr>
        <w:t>Petición:</w:t>
      </w:r>
    </w:p>
    <w:p w:rsidR="008A380F" w:rsidP="008A380F" w:rsidRDefault="008A380F" w14:paraId="6A58E097" w14:textId="77777777">
      <w:pPr>
        <w:spacing w:after="0" w:line="240" w:lineRule="auto"/>
        <w:ind w:left="709" w:right="709"/>
        <w:jc w:val="both"/>
        <w:rPr>
          <w:rFonts w:ascii="Verdana" w:hAnsi="Verdana" w:eastAsia="Century Gothic" w:cs="Century Gothic"/>
          <w:i/>
          <w:iCs/>
          <w:color w:val="000000" w:themeColor="text1"/>
          <w:sz w:val="20"/>
          <w:szCs w:val="20"/>
          <w:lang w:val="es-MX"/>
        </w:rPr>
      </w:pPr>
    </w:p>
    <w:p w:rsidRPr="00104557" w:rsidR="008A380F" w:rsidP="008A380F" w:rsidRDefault="008A380F" w14:paraId="6EACE927" w14:textId="77777777">
      <w:pPr>
        <w:spacing w:after="0" w:line="240" w:lineRule="auto"/>
        <w:ind w:left="709" w:right="709"/>
        <w:jc w:val="both"/>
        <w:rPr>
          <w:rFonts w:ascii="Verdana" w:hAnsi="Verdana" w:eastAsia="Century Gothic" w:cs="Century Gothic"/>
          <w:i/>
          <w:iCs/>
          <w:color w:val="000000" w:themeColor="text1"/>
          <w:sz w:val="20"/>
          <w:szCs w:val="20"/>
        </w:rPr>
      </w:pPr>
      <w:r w:rsidRPr="00354921">
        <w:rPr>
          <w:rFonts w:ascii="Verdana" w:hAnsi="Verdana" w:eastAsia="Century Gothic" w:cs="Century Gothic"/>
          <w:i/>
          <w:iCs/>
          <w:color w:val="000000" w:themeColor="text1"/>
          <w:sz w:val="20"/>
          <w:szCs w:val="20"/>
          <w:lang w:val="es-MX"/>
        </w:rPr>
        <w:t>En atención a lo expuesto como dignamente solicitamos a usted emitir concepto técnico y jurídico sobre la viabilidad de conformar el</w:t>
      </w:r>
      <w:r>
        <w:rPr>
          <w:rFonts w:ascii="Verdana" w:hAnsi="Verdana" w:eastAsia="Century Gothic" w:cs="Century Gothic"/>
          <w:i/>
          <w:iCs/>
          <w:color w:val="000000" w:themeColor="text1"/>
          <w:sz w:val="20"/>
          <w:szCs w:val="20"/>
          <w:lang w:val="es-MX"/>
        </w:rPr>
        <w:t xml:space="preserve"> C</w:t>
      </w:r>
      <w:r w:rsidRPr="00354921">
        <w:rPr>
          <w:rFonts w:ascii="Verdana" w:hAnsi="Verdana" w:eastAsia="Century Gothic" w:cs="Century Gothic"/>
          <w:i/>
          <w:iCs/>
          <w:color w:val="000000" w:themeColor="text1"/>
          <w:sz w:val="20"/>
          <w:szCs w:val="20"/>
          <w:lang w:val="es-MX"/>
        </w:rPr>
        <w:t xml:space="preserve">omité </w:t>
      </w:r>
      <w:r>
        <w:rPr>
          <w:rFonts w:ascii="Verdana" w:hAnsi="Verdana" w:eastAsia="Century Gothic" w:cs="Century Gothic"/>
          <w:i/>
          <w:iCs/>
          <w:color w:val="000000" w:themeColor="text1"/>
          <w:sz w:val="20"/>
          <w:szCs w:val="20"/>
          <w:lang w:val="es-MX"/>
        </w:rPr>
        <w:t>I</w:t>
      </w:r>
      <w:r w:rsidRPr="00354921">
        <w:rPr>
          <w:rFonts w:ascii="Verdana" w:hAnsi="Verdana" w:eastAsia="Century Gothic" w:cs="Century Gothic"/>
          <w:i/>
          <w:iCs/>
          <w:color w:val="000000" w:themeColor="text1"/>
          <w:sz w:val="20"/>
          <w:szCs w:val="20"/>
          <w:lang w:val="es-MX"/>
        </w:rPr>
        <w:t xml:space="preserve">nstitucional de liquidación y sobre la pertinencia del </w:t>
      </w:r>
      <w:r w:rsidRPr="00354921">
        <w:rPr>
          <w:rFonts w:ascii="Verdana" w:hAnsi="Verdana" w:eastAsia="Century Gothic" w:cs="Century Gothic"/>
          <w:color w:val="000000" w:themeColor="text1"/>
          <w:sz w:val="20"/>
          <w:szCs w:val="20"/>
          <w:lang w:val="es-MX"/>
        </w:rPr>
        <w:t>(sic)</w:t>
      </w:r>
      <w:r>
        <w:rPr>
          <w:rFonts w:ascii="Verdana" w:hAnsi="Verdana" w:eastAsia="Century Gothic" w:cs="Century Gothic"/>
          <w:i/>
          <w:iCs/>
          <w:color w:val="000000" w:themeColor="text1"/>
          <w:sz w:val="20"/>
          <w:szCs w:val="20"/>
          <w:lang w:val="es-MX"/>
        </w:rPr>
        <w:t xml:space="preserve"> </w:t>
      </w:r>
      <w:r w:rsidRPr="00354921">
        <w:rPr>
          <w:rFonts w:ascii="Verdana" w:hAnsi="Verdana" w:eastAsia="Century Gothic" w:cs="Century Gothic"/>
          <w:i/>
          <w:iCs/>
          <w:color w:val="000000" w:themeColor="text1"/>
          <w:sz w:val="20"/>
          <w:szCs w:val="20"/>
          <w:lang w:val="es-MX"/>
        </w:rPr>
        <w:t xml:space="preserve">tabla de guía adjunto de manera que y </w:t>
      </w:r>
      <w:r>
        <w:rPr>
          <w:rFonts w:ascii="Verdana" w:hAnsi="Verdana" w:eastAsia="Century Gothic" w:cs="Century Gothic"/>
          <w:i/>
          <w:iCs/>
          <w:color w:val="000000" w:themeColor="text1"/>
          <w:sz w:val="20"/>
          <w:szCs w:val="20"/>
          <w:lang w:val="es-MX"/>
        </w:rPr>
        <w:t xml:space="preserve">IDDERVAUPES pueda </w:t>
      </w:r>
      <w:r w:rsidRPr="00354921">
        <w:rPr>
          <w:rFonts w:ascii="Verdana" w:hAnsi="Verdana" w:eastAsia="Century Gothic" w:cs="Century Gothic"/>
          <w:i/>
          <w:iCs/>
          <w:color w:val="000000" w:themeColor="text1"/>
          <w:sz w:val="20"/>
          <w:szCs w:val="20"/>
          <w:lang w:val="es-MX"/>
        </w:rPr>
        <w:t>actualizar su manual de contratación con criterios sólidos ajustados a la normativa y a las buenas prácticas en materia de contratación pública</w:t>
      </w:r>
      <w:r w:rsidRPr="00104557">
        <w:rPr>
          <w:rFonts w:ascii="Verdana" w:hAnsi="Verdana" w:eastAsia="Century Gothic" w:cs="Century Gothic"/>
          <w:i/>
          <w:iCs/>
          <w:color w:val="000000" w:themeColor="text1"/>
          <w:sz w:val="20"/>
          <w:szCs w:val="20"/>
        </w:rPr>
        <w:t>”</w:t>
      </w:r>
    </w:p>
    <w:p w:rsidR="008A380F" w:rsidP="008A380F" w:rsidRDefault="008A380F" w14:paraId="7A79775F" w14:textId="77777777">
      <w:pPr>
        <w:spacing w:after="0" w:line="240" w:lineRule="auto"/>
        <w:ind w:left="709" w:right="709"/>
        <w:jc w:val="both"/>
        <w:rPr>
          <w:rFonts w:ascii="Verdana" w:hAnsi="Verdana" w:eastAsia="Century Gothic" w:cs="Century Gothic"/>
          <w:i/>
          <w:iCs/>
          <w:color w:val="000000" w:themeColor="text1"/>
          <w:sz w:val="20"/>
          <w:szCs w:val="20"/>
          <w:lang w:val="es-ES"/>
        </w:rPr>
      </w:pPr>
    </w:p>
    <w:p w:rsidR="008A380F" w:rsidP="008A380F" w:rsidRDefault="008A380F" w14:paraId="20E5819B" w14:textId="77777777">
      <w:pPr>
        <w:spacing w:after="0" w:line="276" w:lineRule="auto"/>
        <w:ind w:right="51" w:firstLine="709"/>
        <w:jc w:val="both"/>
        <w:rPr>
          <w:rFonts w:ascii="Verdana" w:hAnsi="Verdana" w:eastAsia="Calibri" w:cs="Arial"/>
          <w:color w:val="000000" w:themeColor="text1"/>
          <w:szCs w:val="24"/>
          <w:lang w:val="es-ES_tradnl" w:eastAsia="es-ES_tradnl"/>
        </w:rPr>
      </w:pPr>
      <w:r w:rsidRPr="00115E3D">
        <w:rPr>
          <w:rFonts w:ascii="Verdana" w:hAnsi="Verdana" w:eastAsia="Calibri" w:cs="Arial"/>
          <w:color w:val="000000" w:themeColor="text1"/>
          <w:lang w:val="es-ES" w:eastAsia="es-ES"/>
        </w:rPr>
        <w:t>De manera preliminar, resulta necesario acotar que esta entidad solo tiene competencia para responder consultas sobre la aplicación de normas de carác</w:t>
      </w:r>
      <w:r>
        <w:rPr>
          <w:rFonts w:ascii="Verdana" w:hAnsi="Verdana" w:eastAsia="Calibri" w:cs="Arial"/>
          <w:color w:val="000000" w:themeColor="text1"/>
          <w:lang w:val="es-ES" w:eastAsia="es-ES"/>
        </w:rPr>
        <w:t>t</w:t>
      </w:r>
      <w:r w:rsidRPr="00115E3D">
        <w:rPr>
          <w:rFonts w:ascii="Verdana" w:hAnsi="Verdana" w:eastAsia="Calibri"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hAnsi="Verdana" w:eastAsia="Calibri" w:cs="Arial"/>
          <w:color w:val="000000" w:themeColor="text1"/>
          <w:szCs w:val="24"/>
          <w:lang w:val="es-ES_tradnl" w:eastAsia="es-ES_tradnl"/>
        </w:rPr>
        <w:tab/>
      </w:r>
    </w:p>
    <w:p w:rsidRPr="00115E3D" w:rsidR="008A380F" w:rsidP="008A380F" w:rsidRDefault="008A380F" w14:paraId="1FA9E829" w14:textId="77777777">
      <w:pPr>
        <w:spacing w:after="0" w:line="240" w:lineRule="auto"/>
        <w:ind w:right="49"/>
        <w:jc w:val="both"/>
        <w:rPr>
          <w:rFonts w:ascii="Verdana" w:hAnsi="Verdana" w:eastAsia="Calibri" w:cs="Arial"/>
          <w:color w:val="000000" w:themeColor="text1"/>
          <w:szCs w:val="24"/>
          <w:lang w:val="es-ES_tradnl" w:eastAsia="es-ES_tradnl"/>
        </w:rPr>
      </w:pPr>
    </w:p>
    <w:p w:rsidRPr="00115E3D" w:rsidR="008A380F" w:rsidP="008A380F" w:rsidRDefault="008A380F" w14:paraId="543C1FFF" w14:textId="77777777">
      <w:pPr>
        <w:spacing w:after="0" w:line="276" w:lineRule="auto"/>
        <w:ind w:firstLine="709"/>
        <w:jc w:val="both"/>
        <w:rPr>
          <w:rFonts w:ascii="Verdana" w:hAnsi="Verdana" w:eastAsia="Calibri" w:cs="Arial"/>
          <w:color w:val="000000" w:themeColor="text1"/>
          <w:lang w:val="es-ES" w:eastAsia="es-ES"/>
        </w:rPr>
      </w:pPr>
      <w:r w:rsidRPr="00115E3D">
        <w:rPr>
          <w:rFonts w:ascii="Verdana" w:hAnsi="Verdana" w:eastAsia="Calibri"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hAnsi="Verdana" w:eastAsia="Calibri" w:cs="Arial"/>
          <w:color w:val="000000" w:themeColor="text1"/>
          <w:lang w:val="es-ES" w:eastAsia="es-ES"/>
        </w:rPr>
        <w:t xml:space="preserve"> </w:t>
      </w:r>
      <w:r w:rsidRPr="00115E3D">
        <w:rPr>
          <w:rFonts w:ascii="Verdana" w:hAnsi="Verdana" w:eastAsia="Calibri" w:cs="Arial"/>
          <w:color w:val="000000" w:themeColor="text1"/>
          <w:lang w:val="es-ES" w:eastAsia="es-ES"/>
        </w:rPr>
        <w:t xml:space="preserve">jurídico de su consulta. </w:t>
      </w:r>
    </w:p>
    <w:p w:rsidRPr="00115E3D" w:rsidR="008A380F" w:rsidP="008A380F" w:rsidRDefault="008A380F" w14:paraId="21A44ED5" w14:textId="77777777">
      <w:pPr>
        <w:spacing w:after="0" w:line="276" w:lineRule="auto"/>
        <w:ind w:firstLine="709"/>
        <w:jc w:val="both"/>
        <w:rPr>
          <w:rFonts w:ascii="Verdana" w:hAnsi="Verdana" w:eastAsia="Calibri" w:cs="Arial"/>
          <w:color w:val="000000" w:themeColor="text1"/>
          <w:lang w:val="es-ES" w:eastAsia="es-ES"/>
        </w:rPr>
      </w:pPr>
    </w:p>
    <w:p w:rsidRPr="00115E3D" w:rsidR="008A380F" w:rsidP="008A380F" w:rsidRDefault="008A380F" w14:paraId="37710903"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Problema planteado:</w:t>
      </w:r>
    </w:p>
    <w:p w:rsidRPr="00115E3D" w:rsidR="008A380F" w:rsidP="008A380F" w:rsidRDefault="008A380F" w14:paraId="06738472" w14:textId="77777777">
      <w:pPr>
        <w:tabs>
          <w:tab w:val="left" w:pos="426"/>
        </w:tabs>
        <w:spacing w:after="0" w:line="276" w:lineRule="auto"/>
        <w:jc w:val="both"/>
        <w:rPr>
          <w:rFonts w:ascii="Verdana" w:hAnsi="Verdana" w:eastAsia="Century Gothic" w:cs="Century Gothic"/>
          <w:color w:val="000000" w:themeColor="text1"/>
          <w:lang w:val="es-ES"/>
        </w:rPr>
      </w:pPr>
    </w:p>
    <w:p w:rsidR="008A380F" w:rsidP="008A380F" w:rsidRDefault="008A380F" w14:paraId="18ACC06A" w14:textId="77777777">
      <w:pPr>
        <w:spacing w:after="0" w:line="276" w:lineRule="auto"/>
        <w:jc w:val="both"/>
      </w:pPr>
      <w:r w:rsidRPr="00115E3D">
        <w:rPr>
          <w:rFonts w:ascii="Verdana" w:hAnsi="Verdana" w:eastAsia="Century Gothic" w:cs="Century Gothic"/>
          <w:color w:val="000000" w:themeColor="text1"/>
        </w:rPr>
        <w:lastRenderedPageBreak/>
        <w:t xml:space="preserve">De acuerdo con el contenido de su solicitud, esta Agencia resolverá </w:t>
      </w:r>
      <w:r>
        <w:rPr>
          <w:rFonts w:ascii="Verdana" w:hAnsi="Verdana" w:eastAsia="Century Gothic" w:cs="Century Gothic"/>
          <w:color w:val="000000" w:themeColor="text1"/>
        </w:rPr>
        <w:t>los</w:t>
      </w:r>
      <w:r w:rsidRPr="00115E3D">
        <w:rPr>
          <w:rFonts w:ascii="Verdana" w:hAnsi="Verdana" w:eastAsia="Century Gothic" w:cs="Century Gothic"/>
          <w:color w:val="000000" w:themeColor="text1"/>
        </w:rPr>
        <w:t xml:space="preserve"> siguiente</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 xml:space="preserve"> problema</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 xml:space="preserve"> jurídico</w:t>
      </w:r>
      <w:r>
        <w:rPr>
          <w:rFonts w:ascii="Verdana" w:hAnsi="Verdana" w:eastAsia="Century Gothic" w:cs="Century Gothic"/>
          <w:color w:val="000000" w:themeColor="text1"/>
        </w:rPr>
        <w:t>s</w:t>
      </w:r>
      <w:r w:rsidRPr="00115E3D">
        <w:rPr>
          <w:rFonts w:ascii="Verdana" w:hAnsi="Verdana" w:eastAsia="Century Gothic" w:cs="Century Gothic"/>
          <w:color w:val="000000" w:themeColor="text1"/>
        </w:rPr>
        <w:t>:</w:t>
      </w:r>
      <w:r w:rsidRPr="00946693">
        <w:t xml:space="preserve"> </w:t>
      </w:r>
    </w:p>
    <w:p w:rsidR="008A380F" w:rsidP="008A380F" w:rsidRDefault="008A380F" w14:paraId="365E626C" w14:textId="77777777">
      <w:pPr>
        <w:spacing w:after="0" w:line="276" w:lineRule="auto"/>
        <w:jc w:val="both"/>
      </w:pPr>
    </w:p>
    <w:p w:rsidRPr="001550A9" w:rsidR="008A380F" w:rsidP="008A380F" w:rsidRDefault="008A380F" w14:paraId="5DF2A0C0" w14:textId="77777777">
      <w:pPr>
        <w:pStyle w:val="Prrafodelista"/>
        <w:numPr>
          <w:ilvl w:val="0"/>
          <w:numId w:val="18"/>
        </w:numPr>
        <w:spacing w:after="0" w:line="276" w:lineRule="auto"/>
        <w:ind w:left="426" w:hanging="283"/>
        <w:jc w:val="both"/>
        <w:rPr>
          <w:rFonts w:ascii="Verdana" w:hAnsi="Verdana"/>
        </w:rPr>
      </w:pPr>
      <w:r w:rsidRPr="001550A9">
        <w:rPr>
          <w:rFonts w:ascii="Verdana" w:hAnsi="Verdana"/>
        </w:rPr>
        <w:t xml:space="preserve">¿Es jurídicamente viable la conformación de un Comité Institucional de Liquidación para apoyar la gestión de contratos respecto de los cuales exista riesgo de pérdida o pérdida efectiva de competencia para su liquidación, y cuál sería su alcance funcional mínimo?   </w:t>
      </w:r>
    </w:p>
    <w:p w:rsidR="008A380F" w:rsidP="008A380F" w:rsidRDefault="008A380F" w14:paraId="400DC595" w14:textId="77777777">
      <w:pPr>
        <w:spacing w:after="0" w:line="276" w:lineRule="auto"/>
        <w:ind w:left="426" w:hanging="283"/>
        <w:jc w:val="both"/>
        <w:rPr>
          <w:rFonts w:ascii="Verdana" w:hAnsi="Verdana"/>
        </w:rPr>
      </w:pPr>
    </w:p>
    <w:p w:rsidRPr="001550A9" w:rsidR="008A380F" w:rsidP="008A380F" w:rsidRDefault="008A380F" w14:paraId="6B61CB2E" w14:textId="77777777">
      <w:pPr>
        <w:pStyle w:val="Prrafodelista"/>
        <w:numPr>
          <w:ilvl w:val="0"/>
          <w:numId w:val="18"/>
        </w:numPr>
        <w:spacing w:after="0" w:line="276" w:lineRule="auto"/>
        <w:ind w:left="426" w:hanging="283"/>
        <w:jc w:val="both"/>
        <w:rPr>
          <w:rFonts w:ascii="Verdana" w:hAnsi="Verdana"/>
        </w:rPr>
      </w:pPr>
      <w:r w:rsidRPr="001550A9">
        <w:rPr>
          <w:rFonts w:ascii="Verdana" w:hAnsi="Verdana"/>
        </w:rPr>
        <w:t xml:space="preserve">¿Qué lineamientos ha emitido Colombia Compra Eficiente </w:t>
      </w:r>
      <w:r>
        <w:rPr>
          <w:rFonts w:ascii="Verdana" w:hAnsi="Verdana"/>
        </w:rPr>
        <w:t>en</w:t>
      </w:r>
      <w:r w:rsidRPr="001550A9">
        <w:rPr>
          <w:rFonts w:ascii="Verdana" w:hAnsi="Verdana"/>
        </w:rPr>
        <w:t xml:space="preserve"> materia </w:t>
      </w:r>
      <w:r>
        <w:rPr>
          <w:rFonts w:ascii="Verdana" w:hAnsi="Verdana"/>
        </w:rPr>
        <w:t>de liquidación de contratos</w:t>
      </w:r>
      <w:r w:rsidRPr="001550A9">
        <w:rPr>
          <w:rFonts w:ascii="Verdana" w:hAnsi="Verdana"/>
        </w:rPr>
        <w:t>?</w:t>
      </w:r>
    </w:p>
    <w:p w:rsidR="008A380F" w:rsidP="008A380F" w:rsidRDefault="008A380F" w14:paraId="21BC8CB0" w14:textId="77777777">
      <w:pPr>
        <w:spacing w:after="0" w:line="276" w:lineRule="auto"/>
        <w:jc w:val="both"/>
        <w:rPr>
          <w:rFonts w:ascii="Verdana" w:hAnsi="Verdana" w:eastAsia="Verdana" w:cs="Verdana"/>
          <w:lang w:val="es-ES"/>
        </w:rPr>
      </w:pPr>
    </w:p>
    <w:p w:rsidRPr="00115E3D" w:rsidR="008A380F" w:rsidP="008A380F" w:rsidRDefault="008A380F" w14:paraId="596E01D8"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Respuesta:</w:t>
      </w:r>
    </w:p>
    <w:p w:rsidRPr="00115E3D" w:rsidR="008A380F" w:rsidP="008A380F" w:rsidRDefault="008A380F" w14:paraId="6C49A75D" w14:textId="77777777">
      <w:pPr>
        <w:tabs>
          <w:tab w:val="left" w:pos="142"/>
          <w:tab w:val="left" w:pos="284"/>
        </w:tabs>
        <w:spacing w:after="0" w:line="276" w:lineRule="auto"/>
        <w:jc w:val="both"/>
        <w:rPr>
          <w:rFonts w:ascii="Verdana" w:hAnsi="Verdana" w:eastAsia="Century Gothic" w:cs="Century Gothic"/>
          <w:b/>
          <w:bCs/>
          <w:color w:val="000000" w:themeColor="text1"/>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115E3D" w:rsidR="008A380F" w:rsidTr="00554E29" w14:paraId="745C488D" w14:textId="77777777">
        <w:trPr>
          <w:trHeight w:val="774"/>
        </w:trPr>
        <w:tc>
          <w:tcPr>
            <w:tcW w:w="8828" w:type="dxa"/>
          </w:tcPr>
          <w:p w:rsidRPr="00C61C77" w:rsidR="008A380F" w:rsidP="00554E29" w:rsidRDefault="008A380F" w14:paraId="60A68A34" w14:textId="77777777">
            <w:pPr>
              <w:spacing w:before="120" w:after="120" w:line="276" w:lineRule="auto"/>
              <w:jc w:val="both"/>
              <w:rPr>
                <w:rFonts w:ascii="Verdana" w:hAnsi="Verdana" w:eastAsia="Calibri"/>
              </w:rPr>
            </w:pPr>
            <w:r>
              <w:rPr>
                <w:rFonts w:ascii="Verdana" w:hAnsi="Verdana" w:eastAsia="Calibri" w:cs="Times New Roman"/>
              </w:rPr>
              <w:t xml:space="preserve">      i. </w:t>
            </w:r>
            <w:r w:rsidRPr="00202133">
              <w:rPr>
                <w:rFonts w:ascii="Verdana" w:hAnsi="Verdana" w:eastAsia="Calibri"/>
              </w:rPr>
              <w:t xml:space="preserve">De acuerdo con el artículo 83 de la Ley 1474 de 2011, la supervisión consiste </w:t>
            </w:r>
            <w:r>
              <w:rPr>
                <w:rFonts w:ascii="Verdana" w:hAnsi="Verdana" w:eastAsia="Calibri"/>
              </w:rPr>
              <w:t>l</w:t>
            </w:r>
            <w:r w:rsidRPr="00C61C77">
              <w:rPr>
                <w:rFonts w:ascii="Verdana" w:hAnsi="Verdana" w:eastAsia="Calibri"/>
              </w:rPr>
              <w:t>a liquidación del contrato estatal constituye la etapa posterior a su terminación en la cual las partes realizan el balance final de la ejecución contractual, con el propósito de determinar el estado definitivo de las obligaciones derivadas del negocio jurídico, establecer los ajustes, revisiones, reconocimientos o salvedades a que haya lugar y definir si las partes pueden declararse a paz y salvo por todo concepto.</w:t>
            </w:r>
          </w:p>
          <w:p w:rsidRPr="00C61C77" w:rsidR="008A380F" w:rsidP="00554E29" w:rsidRDefault="008A380F" w14:paraId="7010CAA0" w14:textId="77777777">
            <w:pPr>
              <w:spacing w:before="120" w:after="120" w:line="276" w:lineRule="auto"/>
              <w:jc w:val="both"/>
              <w:rPr>
                <w:rFonts w:ascii="Verdana" w:hAnsi="Verdana" w:eastAsia="Calibri"/>
              </w:rPr>
            </w:pPr>
            <w:r>
              <w:rPr>
                <w:rFonts w:ascii="Verdana" w:hAnsi="Verdana" w:eastAsia="Calibri"/>
              </w:rPr>
              <w:t xml:space="preserve">        </w:t>
            </w:r>
            <w:r w:rsidRPr="00C61C77">
              <w:rPr>
                <w:rFonts w:ascii="Verdana" w:hAnsi="Verdana" w:eastAsia="Calibri"/>
              </w:rPr>
              <w:t>En este sentido, el artículo 60 de la Ley 80 de 1993 dispone que en la etapa de liquidación las partes acordarán los ajustes, revisiones y reconocimientos a que haya lugar, debiendo constar en el acta respectiva los acuerdos, conciliaciones o transacciones que permitan poner fin a las divergencias surgidas con ocasión de la ejecución contractual.</w:t>
            </w:r>
          </w:p>
          <w:p w:rsidRPr="00C61C77" w:rsidR="008A380F" w:rsidP="00554E29" w:rsidRDefault="008A380F" w14:paraId="4F3A3EE1" w14:textId="77777777">
            <w:pPr>
              <w:spacing w:before="120" w:after="120" w:line="276" w:lineRule="auto"/>
              <w:jc w:val="both"/>
              <w:rPr>
                <w:rFonts w:ascii="Verdana" w:hAnsi="Verdana" w:eastAsia="Calibri"/>
              </w:rPr>
            </w:pPr>
            <w:r>
              <w:rPr>
                <w:rFonts w:ascii="Verdana" w:hAnsi="Verdana" w:eastAsia="Calibri"/>
              </w:rPr>
              <w:t xml:space="preserve">       </w:t>
            </w:r>
            <w:r w:rsidRPr="00C61C77">
              <w:rPr>
                <w:rFonts w:ascii="Verdana" w:hAnsi="Verdana" w:eastAsia="Calibri"/>
              </w:rPr>
              <w:t>Por su parte, el artículo 11 de la Ley 1150 de 2007 establece que la liquidación de los contratos estatales puede adelantarse de manera bilateral, unilateral o judicial, y fija para cada modalidad oportunidades temporales específicas dentro de las cuales debe surtirse dicha actuación. Así, la liquidación bilateral debe efectuarse dentro del plazo pactado o, en su defecto, dentro de los cuatro (4) meses siguientes a la terminación del contrato; la liquidación unilateral dentro de los dos (2) meses siguientes al vencimiento del término previsto para la liquidación bilateral; y la liquidación judicial dentro del término de caducidad del medio de control de controversias contractuales.</w:t>
            </w:r>
          </w:p>
          <w:p w:rsidRPr="00C61C77" w:rsidR="008A380F" w:rsidP="00554E29" w:rsidRDefault="008A380F" w14:paraId="088B272B" w14:textId="77777777">
            <w:pPr>
              <w:spacing w:before="120" w:after="120" w:line="276" w:lineRule="auto"/>
              <w:jc w:val="both"/>
              <w:rPr>
                <w:rFonts w:ascii="Verdana" w:hAnsi="Verdana" w:eastAsia="Calibri"/>
              </w:rPr>
            </w:pPr>
            <w:r>
              <w:rPr>
                <w:rFonts w:ascii="Verdana" w:hAnsi="Verdana" w:eastAsia="Calibri"/>
              </w:rPr>
              <w:lastRenderedPageBreak/>
              <w:t xml:space="preserve">      S</w:t>
            </w:r>
            <w:r w:rsidRPr="00C61C77">
              <w:rPr>
                <w:rFonts w:ascii="Verdana" w:hAnsi="Verdana" w:eastAsia="Calibri"/>
              </w:rPr>
              <w:t>obre el particular, la jurisprudencia del Consejo de Estado y la doctrina de Colombia Compra Eficiente han señalado que los términos establecidos para la liquidación contractual tienen carácter perentorio, de manera que una vez vencidos sin que se hubiere efectuado la liquidación correspondiente, la entidad pierde competencia para adelantarla administrativamente, en tanto precluye la oportunidad legal para efectuar el balance final del contrato.</w:t>
            </w:r>
          </w:p>
          <w:p w:rsidRPr="00202133" w:rsidR="008A380F" w:rsidP="00554E29" w:rsidRDefault="008A380F" w14:paraId="5D6A3F89" w14:textId="77777777">
            <w:pPr>
              <w:spacing w:before="120" w:after="120" w:line="276" w:lineRule="auto"/>
              <w:jc w:val="both"/>
              <w:rPr>
                <w:rFonts w:ascii="Verdana" w:hAnsi="Verdana" w:eastAsia="Calibri" w:cs="Times New Roman"/>
              </w:rPr>
            </w:pPr>
            <w:r>
              <w:rPr>
                <w:rFonts w:ascii="Verdana" w:hAnsi="Verdana" w:eastAsia="Calibri"/>
              </w:rPr>
              <w:t xml:space="preserve">      </w:t>
            </w:r>
            <w:r w:rsidRPr="00C61C77">
              <w:rPr>
                <w:rFonts w:ascii="Verdana" w:hAnsi="Verdana" w:eastAsia="Calibri"/>
              </w:rPr>
              <w:t>Bajo este marco normativo, se observa que la competencia para liquidar contratos estatales se encuentra íntegramente regulada por la ley y sometida a términos de ejercicio expresamente definidos por el legislador, razón por la cual las entidades estatales no cuentan con habilitación normativa para crear instancias internas que tengan por objeto atender o decidir situaciones en las cuales dicha competencia ya se hubiere extinguido por vencimiento de los términos legales.</w:t>
            </w:r>
          </w:p>
          <w:p w:rsidRPr="00490984" w:rsidR="008A380F" w:rsidP="00554E29" w:rsidRDefault="008A380F" w14:paraId="50145D56" w14:textId="77777777">
            <w:pPr>
              <w:spacing w:after="120" w:line="276" w:lineRule="auto"/>
              <w:jc w:val="both"/>
              <w:rPr>
                <w:rFonts w:ascii="Verdana" w:hAnsi="Verdana" w:eastAsia="Calibri" w:cs="Arial"/>
              </w:rPr>
            </w:pPr>
            <w:r>
              <w:rPr>
                <w:rFonts w:ascii="Verdana" w:hAnsi="Verdana" w:eastAsia="Calibri" w:cs="Arial"/>
              </w:rPr>
              <w:t xml:space="preserve">       ii. </w:t>
            </w:r>
            <w:r w:rsidRPr="00490984">
              <w:rPr>
                <w:rFonts w:ascii="Verdana" w:hAnsi="Verdana" w:eastAsia="Calibri" w:cs="Arial"/>
              </w:rPr>
              <w:t>En relación con los lineamientos emitidos por la Agencia Nacional de Contratación Pública – Colombia Compra Eficiente sobre la materia objeto de consulta, se observa que dicha entidad ha desarrollado orientaciones generales aplicables a la etapa de liquidación contractual a través de la Guía para la Liquidación de los Contratos Estatales</w:t>
            </w:r>
            <w:r>
              <w:rPr>
                <w:rStyle w:val="Refdenotaalpie"/>
                <w:rFonts w:ascii="Verdana" w:hAnsi="Verdana" w:eastAsia="Calibri" w:cs="Arial"/>
              </w:rPr>
              <w:footnoteReference w:id="1"/>
            </w:r>
            <w:r w:rsidRPr="00490984">
              <w:rPr>
                <w:rFonts w:ascii="Verdana" w:hAnsi="Verdana" w:eastAsia="Calibri" w:cs="Arial"/>
              </w:rPr>
              <w:t>, instrumento en el cual se precisan las reglas, modalidades, términos y efectos jurídicos asociados al trámite de liquidación de los contratos estatales.</w:t>
            </w:r>
          </w:p>
          <w:p w:rsidRPr="00490984" w:rsidR="008A380F" w:rsidP="00554E29" w:rsidRDefault="008A380F" w14:paraId="384D7BAB" w14:textId="77777777">
            <w:pPr>
              <w:spacing w:after="120" w:line="276" w:lineRule="auto"/>
              <w:jc w:val="both"/>
              <w:rPr>
                <w:rFonts w:ascii="Verdana" w:hAnsi="Verdana" w:eastAsia="Calibri" w:cs="Arial"/>
              </w:rPr>
            </w:pPr>
            <w:r>
              <w:rPr>
                <w:rFonts w:ascii="Verdana" w:hAnsi="Verdana" w:eastAsia="Calibri" w:cs="Arial"/>
              </w:rPr>
              <w:t xml:space="preserve">        </w:t>
            </w:r>
            <w:r w:rsidRPr="00490984">
              <w:rPr>
                <w:rFonts w:ascii="Verdana" w:hAnsi="Verdana" w:eastAsia="Calibri" w:cs="Arial"/>
              </w:rPr>
              <w:t>En dicha guía, Colombia Compra Eficiente reitera que la liquidación contractual constituye el balance final de la ejecución del contrato y desarrolla el régimen legal previsto en el artículo 11 de la Ley 1150 de 2007 respecto de las modalidades de liquidación bilateral, unilateral y judicial, así como los términos perentorios dentro de los cuales cada una debe adelantarse.</w:t>
            </w:r>
          </w:p>
          <w:p w:rsidRPr="00490984" w:rsidR="008A380F" w:rsidP="00554E29" w:rsidRDefault="008A380F" w14:paraId="0F8E1748" w14:textId="77777777">
            <w:pPr>
              <w:spacing w:after="120" w:line="276" w:lineRule="auto"/>
              <w:jc w:val="both"/>
              <w:rPr>
                <w:rFonts w:ascii="Verdana" w:hAnsi="Verdana" w:eastAsia="Calibri" w:cs="Arial"/>
              </w:rPr>
            </w:pPr>
            <w:r>
              <w:rPr>
                <w:rFonts w:ascii="Verdana" w:hAnsi="Verdana" w:eastAsia="Calibri" w:cs="Arial"/>
              </w:rPr>
              <w:t xml:space="preserve">        </w:t>
            </w:r>
            <w:r w:rsidRPr="00490984">
              <w:rPr>
                <w:rFonts w:ascii="Verdana" w:hAnsi="Verdana" w:eastAsia="Calibri" w:cs="Arial"/>
              </w:rPr>
              <w:t>En consecuencia, el principal lineamiento emitido por Colombia Compra Eficiente sobre la materia se encuentra contenido en la referida guía, la cual debe ser observada por las entidades estatales como instrumento orientador para estructurar sus procedimientos internos de liquidación contractual y para fortalecer sus mecanismos de seguimiento y control frente al cumplimiento oportuno de esta etapa contractual.</w:t>
            </w:r>
          </w:p>
          <w:p w:rsidRPr="009326F6" w:rsidR="008A380F" w:rsidP="00554E29" w:rsidRDefault="008A380F" w14:paraId="591FD58F" w14:textId="77777777">
            <w:pPr>
              <w:spacing w:after="120" w:line="276" w:lineRule="auto"/>
              <w:jc w:val="both"/>
              <w:rPr>
                <w:rFonts w:ascii="Verdana" w:hAnsi="Verdana" w:eastAsia="Calibri" w:cs="Arial"/>
              </w:rPr>
            </w:pPr>
            <w:r>
              <w:rPr>
                <w:rFonts w:ascii="Verdana" w:hAnsi="Verdana" w:eastAsia="Calibri" w:cs="Arial"/>
              </w:rPr>
              <w:lastRenderedPageBreak/>
              <w:t xml:space="preserve">        </w:t>
            </w:r>
            <w:r w:rsidRPr="00DD53C0">
              <w:rPr>
                <w:rFonts w:ascii="Verdana" w:hAnsi="Verdana" w:eastAsia="Calibri" w:cs="Arial"/>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Pr>
                <w:rFonts w:ascii="Verdana" w:hAnsi="Verdana" w:eastAsia="Calibri" w:cs="Arial"/>
              </w:rPr>
              <w:t xml:space="preserve">    </w:t>
            </w:r>
          </w:p>
          <w:p w:rsidRPr="0029110A" w:rsidR="008A380F" w:rsidP="00554E29" w:rsidRDefault="008A380F" w14:paraId="3550B5D4" w14:textId="77777777">
            <w:pPr>
              <w:spacing w:before="120" w:after="120" w:line="276" w:lineRule="auto"/>
              <w:jc w:val="both"/>
              <w:rPr>
                <w:rFonts w:ascii="Verdana" w:hAnsi="Verdana" w:eastAsia="Calibri" w:cs="Times New Roman"/>
                <w:lang w:val="es-ES"/>
              </w:rPr>
            </w:pPr>
            <w:r>
              <w:rPr>
                <w:rFonts w:ascii="Verdana" w:hAnsi="Verdana" w:eastAsia="Calibri" w:cs="Times New Roman"/>
                <w:lang w:val="es-ES"/>
              </w:rPr>
              <w:t xml:space="preserve">         </w:t>
            </w: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eastAsia="Calibri" w:cs="Times New Roman"/>
                <w:lang w:val="es-ES"/>
              </w:rPr>
              <w:t>.</w:t>
            </w:r>
          </w:p>
        </w:tc>
      </w:tr>
      <w:tr w:rsidRPr="00115E3D" w:rsidR="008A380F" w:rsidTr="00554E29" w14:paraId="38FADAE7" w14:textId="77777777">
        <w:trPr>
          <w:trHeight w:val="162"/>
        </w:trPr>
        <w:tc>
          <w:tcPr>
            <w:tcW w:w="8828" w:type="dxa"/>
          </w:tcPr>
          <w:p w:rsidR="008A380F" w:rsidP="00554E29" w:rsidRDefault="008A380F" w14:paraId="13582E74" w14:textId="77777777">
            <w:pPr>
              <w:spacing w:line="276" w:lineRule="auto"/>
              <w:jc w:val="both"/>
              <w:rPr>
                <w:rFonts w:ascii="Verdana" w:hAnsi="Verdana" w:eastAsia="Calibri" w:cs="Arial"/>
              </w:rPr>
            </w:pPr>
          </w:p>
        </w:tc>
      </w:tr>
    </w:tbl>
    <w:p w:rsidR="008A380F" w:rsidP="008A380F" w:rsidRDefault="008A380F" w14:paraId="0AACA3B1"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008A380F" w:rsidP="008A380F" w:rsidRDefault="008A380F" w14:paraId="1C1073A0"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color w:val="000000" w:themeColor="text1"/>
        </w:rPr>
      </w:pPr>
      <w:r w:rsidRPr="00115E3D">
        <w:rPr>
          <w:rFonts w:ascii="Verdana" w:hAnsi="Verdana" w:eastAsia="Century Gothic" w:cs="Century Gothic"/>
          <w:b/>
          <w:bCs/>
          <w:color w:val="000000" w:themeColor="text1"/>
        </w:rPr>
        <w:t>Razones de la respuesta:</w:t>
      </w:r>
    </w:p>
    <w:p w:rsidRPr="00115E3D" w:rsidR="008A380F" w:rsidP="008A380F" w:rsidRDefault="008A380F" w14:paraId="3E308F0D"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color w:val="000000" w:themeColor="text1"/>
        </w:rPr>
      </w:pPr>
    </w:p>
    <w:p w:rsidRPr="00DC4B8E" w:rsidR="008A380F" w:rsidP="008A380F" w:rsidRDefault="008A380F" w14:paraId="67ECBBF7" w14:textId="77777777">
      <w:pPr>
        <w:tabs>
          <w:tab w:val="left" w:pos="426"/>
        </w:tabs>
        <w:spacing w:after="120" w:line="276" w:lineRule="auto"/>
        <w:jc w:val="both"/>
        <w:rPr>
          <w:rFonts w:ascii="Verdana" w:hAnsi="Verdana" w:eastAsia="Calibri" w:cs="Arial"/>
          <w:lang w:val="es-ES"/>
        </w:rPr>
      </w:pPr>
      <w:bookmarkStart w:name="_Hlk204856061" w:id="2"/>
      <w:bookmarkStart w:name="_Hlk78820161" w:id="3"/>
      <w:r w:rsidRPr="00DC4B8E">
        <w:rPr>
          <w:rFonts w:ascii="Verdana" w:hAnsi="Verdana" w:eastAsia="Calibri" w:cs="Arial"/>
          <w:lang w:val="es-ES"/>
        </w:rPr>
        <w:t xml:space="preserve">La respuesta anterior se sustenta en las siguientes consideraciones: </w:t>
      </w:r>
    </w:p>
    <w:bookmarkEnd w:id="2"/>
    <w:bookmarkEnd w:id="3"/>
    <w:p w:rsidRPr="00B93DCB" w:rsidR="008A380F" w:rsidP="008A380F" w:rsidRDefault="008A380F" w14:paraId="7FF3CF30" w14:textId="77777777">
      <w:pPr>
        <w:pStyle w:val="Prrafodelista"/>
        <w:numPr>
          <w:ilvl w:val="0"/>
          <w:numId w:val="19"/>
        </w:numPr>
        <w:spacing w:after="0" w:line="276" w:lineRule="auto"/>
        <w:ind w:left="284" w:hanging="283"/>
        <w:jc w:val="both"/>
        <w:rPr>
          <w:rFonts w:ascii="Verdana" w:hAnsi="Verdana" w:eastAsia="Calibri" w:cs="Arial"/>
          <w:lang w:val="es-MX"/>
        </w:rPr>
      </w:pPr>
      <w:r w:rsidRPr="00B93DCB">
        <w:rPr>
          <w:rFonts w:ascii="Verdana" w:hAnsi="Verdana" w:eastAsia="Calibri" w:cs="Arial"/>
          <w:lang w:val="es-MX"/>
        </w:rPr>
        <w:t>Desde el punto de vista jurídico, se tiene que,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6B17A7">
        <w:rPr>
          <w:rFonts w:ascii="Aptos" w:hAnsi="Aptos" w:eastAsia="Aptos" w:cs="Times New Roman"/>
          <w:color w:val="000000"/>
          <w:vertAlign w:val="superscript"/>
          <w:lang w:val="es-ES_tradnl"/>
        </w:rPr>
        <w:footnoteReference w:id="2"/>
      </w:r>
      <w:r w:rsidRPr="00B93DCB">
        <w:rPr>
          <w:rFonts w:ascii="Verdana" w:hAnsi="Verdana" w:eastAsia="Calibri" w:cs="Arial"/>
          <w:color w:val="000000"/>
          <w:lang w:val="es-ES_tradnl"/>
        </w:rPr>
        <w:t xml:space="preserve">. En armonía con lo anterior, la doctrina ha definido la liquidación de la siguiente manera: </w:t>
      </w:r>
    </w:p>
    <w:p w:rsidRPr="006B17A7" w:rsidR="008A380F" w:rsidP="008A380F" w:rsidRDefault="008A380F" w14:paraId="47606A2F" w14:textId="77777777">
      <w:pPr>
        <w:spacing w:after="0" w:line="276" w:lineRule="auto"/>
        <w:ind w:left="720"/>
        <w:contextualSpacing/>
        <w:jc w:val="both"/>
        <w:rPr>
          <w:rFonts w:ascii="Verdana" w:hAnsi="Verdana" w:eastAsia="Calibri" w:cs="Arial"/>
          <w:lang w:val="es-MX"/>
        </w:rPr>
      </w:pPr>
    </w:p>
    <w:p w:rsidRPr="006B17A7" w:rsidR="008A380F" w:rsidP="008A380F" w:rsidRDefault="008A380F" w14:paraId="58D66FC1" w14:textId="77777777">
      <w:pPr>
        <w:spacing w:after="0" w:line="240" w:lineRule="auto"/>
        <w:ind w:left="709" w:right="709"/>
        <w:contextualSpacing/>
        <w:jc w:val="both"/>
        <w:rPr>
          <w:rFonts w:ascii="Verdana" w:hAnsi="Verdana" w:eastAsia="Calibri" w:cs="Arial"/>
          <w:sz w:val="20"/>
          <w:szCs w:val="20"/>
          <w:lang w:val="es-MX"/>
        </w:rPr>
      </w:pPr>
      <w:r w:rsidRPr="006B17A7">
        <w:rPr>
          <w:rFonts w:ascii="Verdana" w:hAnsi="Verdana" w:eastAsia="Calibri" w:cs="Arial"/>
          <w:i/>
          <w:iCs/>
          <w:color w:val="000000"/>
          <w:sz w:val="20"/>
          <w:szCs w:val="20"/>
          <w:lang w:val="es-ES_tradnl"/>
        </w:rPr>
        <w:t>“</w:t>
      </w:r>
      <w:r w:rsidRPr="006B17A7">
        <w:rPr>
          <w:rFonts w:ascii="Verdana" w:hAnsi="Verdana" w:eastAsia="Calibri" w:cs="Arial"/>
          <w:sz w:val="20"/>
          <w:szCs w:val="20"/>
          <w:lang w:val="es-MX"/>
        </w:rPr>
        <w:t xml:space="preserve">[…] la liquidación del contrato estatal corresponde al arreglo o ajuste económico, técnico y jurídico al que se llega de forma bilateral (por las </w:t>
      </w:r>
      <w:r w:rsidRPr="006B17A7">
        <w:rPr>
          <w:rFonts w:ascii="Verdana" w:hAnsi="Verdana" w:eastAsia="Calibri" w:cs="Arial"/>
          <w:sz w:val="20"/>
          <w:szCs w:val="20"/>
          <w:lang w:val="es-MX"/>
        </w:rPr>
        <w:lastRenderedPageBreak/>
        <w:t>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6B17A7">
        <w:rPr>
          <w:rFonts w:ascii="Verdana" w:hAnsi="Verdana" w:eastAsia="Aptos" w:cs="Times New Roman"/>
          <w:sz w:val="20"/>
          <w:szCs w:val="20"/>
          <w:vertAlign w:val="superscript"/>
          <w:lang w:val="es-MX"/>
        </w:rPr>
        <w:footnoteReference w:id="3"/>
      </w:r>
      <w:r w:rsidRPr="006B17A7">
        <w:rPr>
          <w:rFonts w:ascii="Verdana" w:hAnsi="Verdana" w:eastAsia="Calibri" w:cs="Arial"/>
          <w:sz w:val="20"/>
          <w:szCs w:val="20"/>
          <w:lang w:val="es-MX"/>
        </w:rPr>
        <w:t>.</w:t>
      </w:r>
    </w:p>
    <w:p w:rsidRPr="006B17A7" w:rsidR="008A380F" w:rsidP="008A380F" w:rsidRDefault="008A380F" w14:paraId="358A216C" w14:textId="77777777">
      <w:pPr>
        <w:spacing w:after="0" w:line="276" w:lineRule="auto"/>
        <w:ind w:left="720"/>
        <w:contextualSpacing/>
        <w:jc w:val="both"/>
        <w:rPr>
          <w:rFonts w:ascii="Verdana" w:hAnsi="Verdana" w:eastAsia="Calibri" w:cs="Arial"/>
          <w:lang w:val="es-MX"/>
        </w:rPr>
      </w:pPr>
    </w:p>
    <w:p w:rsidRPr="006B17A7" w:rsidR="008A380F" w:rsidP="008A380F" w:rsidRDefault="008A380F" w14:paraId="0F30EBB4" w14:textId="77777777">
      <w:pPr>
        <w:spacing w:after="120" w:line="276" w:lineRule="auto"/>
        <w:jc w:val="both"/>
        <w:rPr>
          <w:rFonts w:ascii="Verdana" w:hAnsi="Verdana" w:eastAsia="Calibri" w:cs="Arial"/>
          <w:lang w:val="es-MX"/>
        </w:rPr>
      </w:pPr>
      <w:r w:rsidRPr="006B17A7">
        <w:rPr>
          <w:rFonts w:ascii="Verdana" w:hAnsi="Verdana" w:eastAsia="Calibri" w:cs="Arial"/>
          <w:lang w:val="es-MX"/>
        </w:rPr>
        <w:t>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6B17A7">
        <w:rPr>
          <w:rFonts w:ascii="Aptos" w:hAnsi="Aptos" w:eastAsia="Times New Roman" w:cs="Times New Roman"/>
          <w:color w:val="000000"/>
          <w:vertAlign w:val="superscript"/>
          <w:lang w:val="es-ES_tradnl" w:eastAsia="es-ES_tradnl"/>
        </w:rPr>
        <w:footnoteReference w:id="4"/>
      </w:r>
      <w:r w:rsidRPr="006B17A7">
        <w:rPr>
          <w:rFonts w:ascii="Verdana" w:hAnsi="Verdana" w:eastAsia="Times New Roman" w:cs="Arial"/>
          <w:color w:val="000000"/>
          <w:lang w:val="es-ES_tradnl" w:eastAsia="es-ES_tradnl"/>
        </w:rPr>
        <w:t>.</w:t>
      </w:r>
      <w:r w:rsidRPr="006B17A7">
        <w:rPr>
          <w:rFonts w:ascii="Verdana" w:hAnsi="Verdana" w:eastAsia="Calibri" w:cs="Arial"/>
          <w:lang w:val="es-MX"/>
        </w:rPr>
        <w:t xml:space="preserve"> En ese sentido, el artículo 60 de la Ley 80 de 1993 dispone que en la etapa de liquidación del contrato estatal las partes acordarán los ajustes, revisiones y reconocimientos a que haya lugar. Por lo que, la misma </w:t>
      </w:r>
      <w:r w:rsidRPr="006B17A7">
        <w:rPr>
          <w:rFonts w:ascii="Verdana" w:hAnsi="Verdana" w:eastAsia="Calibri" w:cs="Arial"/>
          <w:lang w:val="es-MX"/>
        </w:rPr>
        <w:lastRenderedPageBreak/>
        <w:t>norma, señala que será en el acta de liquidación el documento donde “constarán los acuerdos, conciliaciones y transacciones a que llegaren las partes para poner fin a las divergencias presentadas y poder declarase a paz y salvo”.</w:t>
      </w:r>
    </w:p>
    <w:p w:rsidRPr="006B17A7" w:rsidR="008A380F" w:rsidP="008A380F" w:rsidRDefault="008A380F" w14:paraId="62CF0618" w14:textId="77777777">
      <w:pPr>
        <w:spacing w:after="120" w:line="276" w:lineRule="auto"/>
        <w:ind w:firstLine="708"/>
        <w:jc w:val="both"/>
        <w:rPr>
          <w:rFonts w:ascii="Verdana" w:hAnsi="Verdana" w:eastAsia="Calibri" w:cs="Arial"/>
          <w:lang w:val="es-MX"/>
        </w:rPr>
      </w:pPr>
      <w:r w:rsidRPr="006B17A7">
        <w:rPr>
          <w:rFonts w:ascii="Verdana" w:hAnsi="Verdana" w:eastAsia="Calibri" w:cs="Arial"/>
          <w:lang w:val="es-MX"/>
        </w:rPr>
        <w:t xml:space="preserve">El Estatuto General de Contratación de la Administración Pública –Ley 80 de 1993, Ley 1150 de 2007, Decreto 1082 de 2015 y demás normas que lo modifiquen o complementen–, aplicable para las Entidades Estatales sujetas a este, establece las disposiciones legales que regulan la etapa de liquidación de los contratos estatales, particularmente en el artículo 60 de la Ley 80 de 1993, modificado por el artículo 217 del Decreto 019 de 2012, y el artículo 11 de la Ley 1150 de 2007. El primero de estos artículos regula el alcance sustantivo de la liquidación y los contratos en que procede, mientras que el segundo señala las reglas procedimentales para su realización. </w:t>
      </w:r>
    </w:p>
    <w:p w:rsidRPr="006B17A7" w:rsidR="008A380F" w:rsidP="008A380F" w:rsidRDefault="008A380F" w14:paraId="3B29BF47" w14:textId="77777777">
      <w:pPr>
        <w:spacing w:after="120" w:line="276" w:lineRule="auto"/>
        <w:ind w:firstLine="708"/>
        <w:jc w:val="both"/>
        <w:rPr>
          <w:rFonts w:ascii="Verdana" w:hAnsi="Verdana" w:eastAsia="Calibri" w:cs="Arial"/>
          <w:lang w:val="es-MX"/>
        </w:rPr>
      </w:pPr>
      <w:r w:rsidRPr="006B17A7">
        <w:rPr>
          <w:rFonts w:ascii="Verdana" w:hAnsi="Verdana" w:eastAsia="Calibri" w:cs="Arial"/>
          <w:lang w:val="es-MX"/>
        </w:rPr>
        <w:t xml:space="preserve">De esta forma, se tiene que, las Entidades Estatales sujetas al Estatuto General de Contratación de la Administración Pública, deben liquidar, conforme al artículo 60 de la Ley 80 de 1993: a) los contratos de tracto sucesivo, esto es aquellos cuyas obligaciones se ejecuten de manera periódica o difieren en el tiempo o sucesivamente a medida que se van causando; b) aquellos contratos cuya ejecución o cumplimiento se prolonguen en el tiempo, ya sea por la naturaleza periódica de las prestaciones o por las vicisitudes que se presenten en su ejecución que lo dilaten o prorroguen y; c) los demás que lo requieran, con fundamento en su naturaleza, objeto y plazo, así como su importancia o relevancia o por la eventualidad de discrepancias y controversias en torno a su ejecución; salvo, en los contratos de prestación de servicios profesionales y de apoyo a la gestión, pues en estos no es obligatoria la liquidación. </w:t>
      </w:r>
    </w:p>
    <w:p w:rsidRPr="006B17A7" w:rsidR="008A380F" w:rsidP="008A380F" w:rsidRDefault="008A380F" w14:paraId="4B9BEA99" w14:textId="77777777">
      <w:pPr>
        <w:spacing w:after="120" w:line="276" w:lineRule="auto"/>
        <w:ind w:firstLine="703"/>
        <w:jc w:val="both"/>
        <w:rPr>
          <w:rFonts w:ascii="Verdana" w:hAnsi="Verdana" w:eastAsia="Calibri" w:cs="Arial"/>
          <w:lang w:val="es-MX"/>
        </w:rPr>
      </w:pPr>
      <w:r w:rsidRPr="006B17A7">
        <w:rPr>
          <w:rFonts w:ascii="Verdana" w:hAnsi="Verdana" w:eastAsia="Calibri" w:cs="Arial"/>
          <w:lang w:val="es-MX"/>
        </w:rPr>
        <w:t xml:space="preserve">De esta forma, se aclara que, si se cumplen con las condiciones antes señaladas, la entidad contratante deberá determinar sobre cada caso particular y concreto, si procede la liquidación y la forma en la que la adelantará, obedeciendo claramente, a las reglas procedimentales señaladas en el artículo 11 de la Ley 1150 de 2007. Con fundamento en lo estableciendo en el artículo 11 </w:t>
      </w:r>
      <w:r w:rsidRPr="006B17A7">
        <w:rPr>
          <w:rFonts w:ascii="Verdana" w:hAnsi="Verdana" w:eastAsia="Calibri" w:cs="Arial"/>
          <w:i/>
          <w:iCs/>
          <w:lang w:val="es-MX"/>
        </w:rPr>
        <w:t>ibidem</w:t>
      </w:r>
      <w:r w:rsidRPr="006B17A7">
        <w:rPr>
          <w:rFonts w:ascii="Verdana" w:hAnsi="Verdana" w:eastAsia="Calibri" w:cs="Arial"/>
          <w:lang w:val="es-MX"/>
        </w:rPr>
        <w:t xml:space="preserve">, las Entidades Estatales en el ejercicio de la autonomía de la voluntad y de conformidad con los criterios de la naturaleza, objeto y plazo del contrato, podrán definir en el pliego de condiciones o en el contrato el plazo para efectuar la liquidación de mutuo acuerdo. Sin embargo, en ausencia de pacto contractual, la referida norma prevé un término supletivo de cuatro (4) meses contados desde: i) el vencimiento del plazo previsto para la ejecución del contrato; ii) la </w:t>
      </w:r>
      <w:r w:rsidRPr="006B17A7">
        <w:rPr>
          <w:rFonts w:ascii="Verdana" w:hAnsi="Verdana" w:eastAsia="Calibri" w:cs="Arial"/>
          <w:lang w:val="es-MX"/>
        </w:rPr>
        <w:lastRenderedPageBreak/>
        <w:t>expedición del acto administrativo que ordene la terminación del contrato; o iii) la fecha del acuerdo que disponga la terminación del contrato.</w:t>
      </w:r>
    </w:p>
    <w:p w:rsidRPr="006B17A7" w:rsidR="008A380F" w:rsidP="008A380F" w:rsidRDefault="008A380F" w14:paraId="3783C753" w14:textId="77777777">
      <w:pPr>
        <w:spacing w:after="0" w:line="276" w:lineRule="auto"/>
        <w:ind w:firstLine="703"/>
        <w:jc w:val="both"/>
        <w:rPr>
          <w:rFonts w:ascii="Verdana" w:hAnsi="Verdana" w:eastAsia="Calibri" w:cs="Arial"/>
          <w:lang w:val="es-MX"/>
        </w:rPr>
      </w:pPr>
      <w:r w:rsidRPr="006B17A7">
        <w:rPr>
          <w:rFonts w:ascii="Verdana" w:hAnsi="Verdana" w:eastAsia="Calibri" w:cs="Arial"/>
          <w:lang w:val="es-MX"/>
        </w:rPr>
        <w:t>Durante dichos términos, el contratista puede solicitar que se adelante el trámite de liquidación. Sin embargo, es responsabilidad de la Entidad Estatal convocarlo para adelantar la liquidación de común acuerdo o notificarlo para que se presente a realizarla</w:t>
      </w:r>
      <w:r w:rsidRPr="006B17A7">
        <w:rPr>
          <w:rFonts w:ascii="Aptos" w:hAnsi="Aptos" w:eastAsia="Aptos" w:cs="Times New Roman"/>
          <w:color w:val="000000"/>
          <w:vertAlign w:val="superscript"/>
          <w:lang w:val="es-ES_tradnl"/>
        </w:rPr>
        <w:footnoteReference w:id="5"/>
      </w:r>
      <w:r w:rsidRPr="006B17A7">
        <w:rPr>
          <w:rFonts w:ascii="Verdana" w:hAnsi="Verdana" w:eastAsia="Calibri" w:cs="Arial"/>
          <w:color w:val="000000"/>
          <w:lang w:val="es-ES_tradnl"/>
        </w:rPr>
        <w:t>, de manera que el contrato pueda ser liquidado bilateralmente, bien sea en el plazo previsto en el pliego de condiciones, el acordado por las partes, o el supletivo de cuatro (4) meses señalados en la ley, según corresponda. Esta liquidación bilateral puede ser total o parcial</w:t>
      </w:r>
      <w:r w:rsidRPr="006B17A7">
        <w:rPr>
          <w:rFonts w:ascii="Aptos" w:hAnsi="Aptos" w:eastAsia="Aptos" w:cs="Times New Roman"/>
          <w:iCs/>
          <w:color w:val="000000"/>
          <w:vertAlign w:val="superscript"/>
          <w:lang w:val="es-ES_tradnl"/>
        </w:rPr>
        <w:footnoteReference w:id="6"/>
      </w:r>
      <w:r w:rsidRPr="006B17A7">
        <w:rPr>
          <w:rFonts w:ascii="Verdana" w:hAnsi="Verdana" w:eastAsia="Calibri" w:cs="Arial"/>
          <w:color w:val="000000"/>
          <w:lang w:val="es-ES_tradnl"/>
        </w:rPr>
        <w:t>, y el documento que la contiene presta mérito ejecutivo, siempre que se satisfagan los elementos para considerarlo como tal. Si no es posible efectuar la liquidación de manera bilateral, el ordenamiento jurídico prevé de facultad, de manera subsidiaria, a la Entidad Estatal para que realice la liquidación unilateralmente.</w:t>
      </w:r>
    </w:p>
    <w:p w:rsidRPr="006B17A7" w:rsidR="008A380F" w:rsidP="008A380F" w:rsidRDefault="008A380F" w14:paraId="55828987" w14:textId="77777777">
      <w:pPr>
        <w:spacing w:before="120" w:after="0" w:line="276" w:lineRule="auto"/>
        <w:ind w:firstLine="703"/>
        <w:jc w:val="both"/>
        <w:rPr>
          <w:rFonts w:ascii="Verdana" w:hAnsi="Verdana" w:eastAsia="Times New Roman" w:cs="Arial"/>
          <w:color w:val="000000"/>
          <w:lang w:eastAsia="es-ES_tradnl"/>
        </w:rPr>
      </w:pPr>
      <w:r w:rsidRPr="006B17A7">
        <w:rPr>
          <w:rFonts w:ascii="Verdana" w:hAnsi="Verdana" w:eastAsia="Calibri" w:cs="Arial"/>
          <w:lang w:val="es-MX"/>
        </w:rPr>
        <w:t xml:space="preserve">Si no es posible efectuar la liquidación </w:t>
      </w:r>
      <w:r w:rsidRPr="006B17A7">
        <w:rPr>
          <w:rFonts w:ascii="Verdana" w:hAnsi="Verdana" w:eastAsia="Times New Roman" w:cs="Arial"/>
          <w:color w:val="000000"/>
          <w:bdr w:val="none" w:color="auto" w:sz="0" w:space="0" w:frame="1"/>
          <w:shd w:val="clear" w:color="auto" w:fill="FFFFFF"/>
          <w:lang w:val="es-ES" w:eastAsia="es-ES_tradnl"/>
        </w:rPr>
        <w:t xml:space="preserve">de manera bilateral, el ordenamiento jurídico prevé una facultad, de carácter subsidiario, para que la Entidad Estatal realice la liquidación unilateralmente. En relación con este aspecto, la </w:t>
      </w:r>
      <w:r w:rsidRPr="006B17A7">
        <w:rPr>
          <w:rFonts w:ascii="Verdana" w:hAnsi="Verdana" w:eastAsia="Times New Roman" w:cs="Arial"/>
          <w:color w:val="000000"/>
          <w:bdr w:val="none" w:color="auto" w:sz="0" w:space="0" w:frame="1"/>
          <w:shd w:val="clear" w:color="auto" w:fill="FFFFFF"/>
          <w:lang w:val="es-MX" w:eastAsia="es-ES_tradnl"/>
        </w:rPr>
        <w:t xml:space="preserve">Sala de Consulta y Servicio Civil del </w:t>
      </w:r>
      <w:r w:rsidRPr="006B17A7">
        <w:rPr>
          <w:rFonts w:ascii="Verdana" w:hAnsi="Verdana" w:eastAsia="Times New Roman" w:cs="Arial"/>
          <w:color w:val="000000"/>
          <w:bdr w:val="none" w:color="auto" w:sz="0" w:space="0" w:frame="1"/>
          <w:shd w:val="clear" w:color="auto" w:fill="FFFFFF"/>
          <w:lang w:val="es-ES" w:eastAsia="es-ES_tradnl"/>
        </w:rPr>
        <w:t>Consejo de Estado</w:t>
      </w:r>
      <w:r w:rsidRPr="006B17A7">
        <w:rPr>
          <w:rFonts w:ascii="Verdana" w:hAnsi="Verdana" w:eastAsia="Times New Roman" w:cs="Arial"/>
          <w:color w:val="000000"/>
          <w:bdr w:val="none" w:color="auto" w:sz="0" w:space="0" w:frame="1"/>
          <w:shd w:val="clear" w:color="auto" w:fill="FFFFFF"/>
          <w:lang w:val="es-MX" w:eastAsia="es-ES_tradnl"/>
        </w:rPr>
        <w:t>, en concepto del 28 de junio de 2016, manifestó que:  </w:t>
      </w:r>
    </w:p>
    <w:p w:rsidRPr="006B17A7" w:rsidR="008A380F" w:rsidP="008A380F" w:rsidRDefault="008A380F" w14:paraId="0BE2D9BC" w14:textId="77777777">
      <w:pPr>
        <w:spacing w:after="0" w:line="276" w:lineRule="auto"/>
        <w:ind w:left="705" w:right="750"/>
        <w:jc w:val="both"/>
        <w:rPr>
          <w:rFonts w:ascii="Verdana" w:hAnsi="Verdana" w:eastAsia="Times New Roman" w:cs="Arial"/>
          <w:color w:val="000000"/>
          <w:lang w:eastAsia="es-ES_tradnl"/>
        </w:rPr>
      </w:pPr>
    </w:p>
    <w:p w:rsidRPr="006B17A7" w:rsidR="008A380F" w:rsidP="008A380F" w:rsidRDefault="008A380F" w14:paraId="18C7C509" w14:textId="77777777">
      <w:pPr>
        <w:spacing w:after="0" w:line="240" w:lineRule="auto"/>
        <w:ind w:left="705" w:right="750"/>
        <w:jc w:val="both"/>
        <w:rPr>
          <w:rFonts w:ascii="Verdana" w:hAnsi="Verdana" w:eastAsia="Times New Roman" w:cs="Arial"/>
          <w:color w:val="000000"/>
          <w:sz w:val="20"/>
          <w:szCs w:val="20"/>
          <w:lang w:eastAsia="es-ES_tradnl"/>
        </w:rPr>
      </w:pPr>
      <w:r w:rsidRPr="006B17A7">
        <w:rPr>
          <w:rFonts w:ascii="Verdana" w:hAnsi="Verdana" w:eastAsia="Times New Roman" w:cs="Arial"/>
          <w:i/>
          <w:iCs/>
          <w:sz w:val="20"/>
          <w:szCs w:val="20"/>
          <w:lang w:val="es-ES_tradnl" w:eastAsia="es-ES_tradnl"/>
        </w:rPr>
        <w:t>“</w:t>
      </w:r>
      <w:r w:rsidRPr="006B17A7">
        <w:rPr>
          <w:rFonts w:ascii="Verdana" w:hAnsi="Verdana" w:eastAsia="Calibri" w:cs="Arial"/>
          <w:color w:val="000000"/>
          <w:sz w:val="20"/>
          <w:szCs w:val="20"/>
          <w:lang w:val="es-ES" w:eastAsia="es-ES_tradnl"/>
        </w:rPr>
        <w:t>[</w:t>
      </w:r>
      <w:r w:rsidRPr="006B17A7">
        <w:rPr>
          <w:rFonts w:ascii="Verdana" w:hAnsi="Verdana" w:eastAsia="Times New Roman" w:cs="Arial"/>
          <w:color w:val="000000"/>
          <w:sz w:val="20"/>
          <w:szCs w:val="20"/>
          <w:bdr w:val="none" w:color="auto" w:sz="0" w:space="0" w:frame="1"/>
          <w:shd w:val="clear" w:color="auto" w:fill="FFFFFF"/>
          <w:lang w:eastAsia="es-ES_tradnl"/>
        </w:rPr>
        <w:t xml:space="preserve">…] </w:t>
      </w:r>
      <w:r w:rsidRPr="006B17A7">
        <w:rPr>
          <w:rFonts w:ascii="Verdana" w:hAnsi="Verdana" w:eastAsia="Times New Roman" w:cs="Arial"/>
          <w:color w:val="000000"/>
          <w:sz w:val="20"/>
          <w:szCs w:val="20"/>
          <w:bdr w:val="none" w:color="auto" w:sz="0" w:space="0"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6B17A7">
        <w:rPr>
          <w:rFonts w:ascii="Verdana" w:hAnsi="Verdana" w:eastAsia="Times New Roman" w:cs="Arial"/>
          <w:color w:val="000000"/>
          <w:sz w:val="20"/>
          <w:szCs w:val="20"/>
          <w:bdr w:val="none" w:color="auto" w:sz="0" w:space="0" w:frame="1"/>
          <w:shd w:val="clear" w:color="auto" w:fill="FFFFFF"/>
          <w:vertAlign w:val="superscript"/>
          <w:lang w:val="es-MX" w:eastAsia="es-ES_tradnl"/>
        </w:rPr>
        <w:footnoteReference w:id="7"/>
      </w:r>
      <w:r w:rsidRPr="006B17A7">
        <w:rPr>
          <w:rFonts w:ascii="Verdana" w:hAnsi="Verdana" w:eastAsia="Times New Roman" w:cs="Arial"/>
          <w:color w:val="000000"/>
          <w:sz w:val="20"/>
          <w:szCs w:val="20"/>
          <w:bdr w:val="none" w:color="auto" w:sz="0" w:space="0" w:frame="1"/>
          <w:shd w:val="clear" w:color="auto" w:fill="FFFFFF"/>
          <w:lang w:val="es-ES" w:eastAsia="es-ES_tradnl"/>
        </w:rPr>
        <w:t>. </w:t>
      </w:r>
      <w:r w:rsidRPr="006B17A7">
        <w:rPr>
          <w:rFonts w:ascii="Verdana" w:hAnsi="Verdana" w:eastAsia="Times New Roman" w:cs="Arial"/>
          <w:color w:val="000000"/>
          <w:sz w:val="20"/>
          <w:szCs w:val="20"/>
          <w:bdr w:val="none" w:color="auto" w:sz="0" w:space="0" w:frame="1"/>
          <w:shd w:val="clear" w:color="auto" w:fill="FFFFFF"/>
          <w:lang w:eastAsia="es-ES_tradnl"/>
        </w:rPr>
        <w:t>  </w:t>
      </w:r>
    </w:p>
    <w:p w:rsidRPr="006B17A7" w:rsidR="008A380F" w:rsidP="008A380F" w:rsidRDefault="008A380F" w14:paraId="42DEA58A" w14:textId="77777777">
      <w:pPr>
        <w:spacing w:after="0" w:line="276" w:lineRule="auto"/>
        <w:ind w:left="705" w:right="750"/>
        <w:jc w:val="both"/>
        <w:rPr>
          <w:rFonts w:ascii="Verdana" w:hAnsi="Verdana" w:eastAsia="Times New Roman" w:cs="Arial"/>
          <w:color w:val="000000"/>
          <w:lang w:eastAsia="es-ES_tradnl"/>
        </w:rPr>
      </w:pPr>
    </w:p>
    <w:p w:rsidRPr="006B17A7" w:rsidR="008A380F" w:rsidP="008A380F" w:rsidRDefault="008A380F" w14:paraId="72816C9B" w14:textId="77777777">
      <w:pPr>
        <w:spacing w:after="0" w:line="276" w:lineRule="auto"/>
        <w:jc w:val="both"/>
        <w:rPr>
          <w:rFonts w:ascii="Verdana" w:hAnsi="Verdana" w:eastAsia="Times New Roman" w:cs="Arial"/>
          <w:color w:val="000000"/>
          <w:lang w:eastAsia="es-ES_tradnl"/>
        </w:rPr>
      </w:pPr>
      <w:bookmarkStart w:name="_Hlk141851266" w:id="4"/>
      <w:r w:rsidRPr="006B17A7">
        <w:rPr>
          <w:rFonts w:ascii="Verdana" w:hAnsi="Verdana" w:eastAsia="Times New Roman" w:cs="Arial"/>
          <w:color w:val="000000"/>
          <w:bdr w:val="none" w:color="auto" w:sz="0" w:space="0"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r w:rsidRPr="006B17A7">
        <w:rPr>
          <w:rFonts w:ascii="Verdana" w:hAnsi="Verdana" w:eastAsia="Times New Roman" w:cs="Arial"/>
          <w:color w:val="000000"/>
          <w:lang w:eastAsia="es-ES_tradnl"/>
        </w:rPr>
        <w:t xml:space="preserve"> </w:t>
      </w:r>
      <w:r w:rsidRPr="006B17A7">
        <w:rPr>
          <w:rFonts w:ascii="Verdana" w:hAnsi="Verdana" w:eastAsia="Times New Roman" w:cs="Arial"/>
          <w:color w:val="000000"/>
          <w:bdr w:val="none" w:color="auto" w:sz="0" w:space="0"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4"/>
      <w:r w:rsidRPr="006B17A7">
        <w:rPr>
          <w:rFonts w:ascii="Verdana" w:hAnsi="Verdana" w:eastAsia="Times New Roman" w:cs="Arial"/>
          <w:color w:val="000000"/>
          <w:bdr w:val="none" w:color="auto" w:sz="0" w:space="0" w:frame="1"/>
          <w:shd w:val="clear" w:color="auto" w:fill="FFFFFF"/>
          <w:lang w:val="es-ES" w:eastAsia="es-ES_tradnl"/>
        </w:rPr>
        <w:t xml:space="preserve">En este sentido, en decisión de unificación de la </w:t>
      </w:r>
      <w:r w:rsidRPr="006B17A7">
        <w:rPr>
          <w:rFonts w:ascii="Verdana" w:hAnsi="Verdana" w:eastAsia="Times New Roman" w:cs="Arial"/>
          <w:color w:val="000000"/>
          <w:bdr w:val="none" w:color="auto" w:sz="0" w:space="0" w:frame="1"/>
          <w:shd w:val="clear" w:color="auto" w:fill="FFFFFF"/>
          <w:lang w:val="es-MX" w:eastAsia="es-ES_tradnl"/>
        </w:rPr>
        <w:t>Sección Tercera</w:t>
      </w:r>
      <w:r w:rsidRPr="006B17A7">
        <w:rPr>
          <w:rFonts w:ascii="Verdana" w:hAnsi="Verdana" w:eastAsia="Times New Roman" w:cs="Arial"/>
          <w:color w:val="000000"/>
          <w:bdr w:val="none" w:color="auto" w:sz="0" w:space="0" w:frame="1"/>
          <w:shd w:val="clear" w:color="auto" w:fill="FFFFFF"/>
          <w:lang w:val="es-ES" w:eastAsia="es-ES_tradnl"/>
        </w:rPr>
        <w:t xml:space="preserve"> del Consejo de Estado del</w:t>
      </w:r>
      <w:r w:rsidRPr="006B17A7">
        <w:rPr>
          <w:rFonts w:ascii="Verdana" w:hAnsi="Verdana" w:eastAsia="Times New Roman" w:cs="Arial"/>
          <w:color w:val="000000"/>
          <w:bdr w:val="none" w:color="auto" w:sz="0" w:space="0" w:frame="1"/>
          <w:shd w:val="clear" w:color="auto" w:fill="FFFFFF"/>
          <w:lang w:val="es-MX" w:eastAsia="es-ES_tradnl"/>
        </w:rPr>
        <w:t> </w:t>
      </w:r>
      <w:r w:rsidRPr="006B17A7">
        <w:rPr>
          <w:rFonts w:ascii="Verdana" w:hAnsi="Verdana" w:eastAsia="Times New Roman" w:cs="Arial"/>
          <w:color w:val="000000"/>
          <w:bdr w:val="none" w:color="auto" w:sz="0" w:space="0" w:frame="1"/>
          <w:shd w:val="clear" w:color="auto" w:fill="FFFFFF"/>
          <w:lang w:eastAsia="es-ES_tradnl"/>
        </w:rPr>
        <w:t>1 de agosto de 2019, se expresó: </w:t>
      </w:r>
    </w:p>
    <w:p w:rsidRPr="006B17A7" w:rsidR="008A380F" w:rsidP="008A380F" w:rsidRDefault="008A380F" w14:paraId="6A306F77" w14:textId="77777777">
      <w:pPr>
        <w:spacing w:after="0" w:line="276" w:lineRule="auto"/>
        <w:ind w:firstLine="705"/>
        <w:jc w:val="both"/>
        <w:rPr>
          <w:rFonts w:ascii="Verdana" w:hAnsi="Verdana" w:eastAsia="Times New Roman" w:cs="Arial"/>
          <w:color w:val="000000"/>
          <w:lang w:eastAsia="es-ES_tradnl"/>
        </w:rPr>
      </w:pPr>
    </w:p>
    <w:p w:rsidRPr="006B17A7" w:rsidR="008A380F" w:rsidP="008A380F" w:rsidRDefault="008A380F" w14:paraId="5F311D7E" w14:textId="77777777">
      <w:pPr>
        <w:spacing w:after="0" w:line="240" w:lineRule="auto"/>
        <w:ind w:left="705" w:right="750"/>
        <w:jc w:val="both"/>
        <w:rPr>
          <w:rFonts w:ascii="Verdana" w:hAnsi="Verdana" w:eastAsia="Times New Roman" w:cs="Arial"/>
          <w:color w:val="000000"/>
          <w:sz w:val="20"/>
          <w:szCs w:val="20"/>
          <w:lang w:eastAsia="es-ES_tradnl"/>
        </w:rPr>
      </w:pPr>
      <w:r w:rsidRPr="006B17A7">
        <w:rPr>
          <w:rFonts w:ascii="Verdana" w:hAnsi="Verdana" w:eastAsia="Times New Roman" w:cs="Arial"/>
          <w:sz w:val="20"/>
          <w:szCs w:val="20"/>
          <w:lang w:val="es-ES_tradnl" w:eastAsia="es-ES_tradnl"/>
        </w:rPr>
        <w:t>“</w:t>
      </w:r>
      <w:r w:rsidRPr="006B17A7">
        <w:rPr>
          <w:rFonts w:ascii="Verdana" w:hAnsi="Verdana" w:eastAsia="Times New Roman" w:cs="Arial"/>
          <w:color w:val="000000"/>
          <w:sz w:val="20"/>
          <w:szCs w:val="20"/>
          <w:bdr w:val="none" w:color="auto" w:sz="0" w:space="0"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liquidatorio se logre dentro del lapso de dos años contados a partir del vencimiento del término legalmente conocido para la liquidación unilateral, pues ese es el lapso que el ordenamiento ha fijado para el ejercicio oportuno de la acción</w:t>
      </w:r>
      <w:r w:rsidRPr="006B17A7">
        <w:rPr>
          <w:rFonts w:ascii="Verdana" w:hAnsi="Verdana" w:eastAsia="Times New Roman" w:cs="Arial"/>
          <w:sz w:val="20"/>
          <w:szCs w:val="20"/>
          <w:lang w:val="es-ES_tradnl" w:eastAsia="es-ES_tradnl"/>
        </w:rPr>
        <w:t>”</w:t>
      </w:r>
      <w:r w:rsidRPr="006B17A7">
        <w:rPr>
          <w:rFonts w:ascii="Verdana" w:hAnsi="Verdana" w:eastAsia="Times New Roman" w:cs="Arial"/>
          <w:color w:val="000000"/>
          <w:sz w:val="20"/>
          <w:szCs w:val="20"/>
          <w:bdr w:val="none" w:color="auto" w:sz="0" w:space="0" w:frame="1"/>
          <w:shd w:val="clear" w:color="auto" w:fill="FFFFFF"/>
          <w:vertAlign w:val="superscript"/>
          <w:lang w:eastAsia="es-ES_tradnl"/>
        </w:rPr>
        <w:t xml:space="preserve"> </w:t>
      </w:r>
      <w:r w:rsidRPr="006B17A7">
        <w:rPr>
          <w:rFonts w:ascii="Verdana" w:hAnsi="Verdana" w:eastAsia="Times New Roman" w:cs="Arial"/>
          <w:color w:val="000000"/>
          <w:sz w:val="20"/>
          <w:szCs w:val="20"/>
          <w:bdr w:val="none" w:color="auto" w:sz="0" w:space="0" w:frame="1"/>
          <w:shd w:val="clear" w:color="auto" w:fill="FFFFFF"/>
          <w:vertAlign w:val="superscript"/>
          <w:lang w:eastAsia="es-ES_tradnl"/>
        </w:rPr>
        <w:footnoteReference w:id="8"/>
      </w:r>
      <w:r w:rsidRPr="006B17A7">
        <w:rPr>
          <w:rFonts w:ascii="Verdana" w:hAnsi="Verdana" w:eastAsia="Times New Roman" w:cs="Arial"/>
          <w:sz w:val="20"/>
          <w:szCs w:val="20"/>
          <w:lang w:val="es-ES_tradnl" w:eastAsia="es-ES_tradnl"/>
        </w:rPr>
        <w:t>.</w:t>
      </w:r>
      <w:r w:rsidRPr="006B17A7">
        <w:rPr>
          <w:rFonts w:ascii="Verdana" w:hAnsi="Verdana" w:eastAsia="Times New Roman" w:cs="Arial"/>
          <w:color w:val="000000"/>
          <w:sz w:val="20"/>
          <w:szCs w:val="20"/>
          <w:bdr w:val="none" w:color="auto" w:sz="0" w:space="0" w:frame="1"/>
          <w:shd w:val="clear" w:color="auto" w:fill="FFFFFF"/>
          <w:lang w:val="es-ES" w:eastAsia="es-ES_tradnl"/>
        </w:rPr>
        <w:t> </w:t>
      </w:r>
    </w:p>
    <w:p w:rsidRPr="006B17A7" w:rsidR="008A380F" w:rsidP="008A380F" w:rsidRDefault="008A380F" w14:paraId="7A454EE0" w14:textId="77777777">
      <w:pPr>
        <w:spacing w:after="0" w:line="276" w:lineRule="auto"/>
        <w:ind w:firstLine="708"/>
        <w:jc w:val="both"/>
        <w:rPr>
          <w:rFonts w:ascii="Verdana" w:hAnsi="Verdana" w:eastAsia="Times New Roman" w:cs="Arial"/>
          <w:color w:val="000000"/>
          <w:lang w:eastAsia="es-ES_tradnl"/>
        </w:rPr>
      </w:pPr>
    </w:p>
    <w:p w:rsidRPr="006B17A7" w:rsidR="008A380F" w:rsidP="008A380F" w:rsidRDefault="008A380F" w14:paraId="4FEFDAFD" w14:textId="77777777">
      <w:pPr>
        <w:tabs>
          <w:tab w:val="left" w:pos="709"/>
        </w:tabs>
        <w:spacing w:after="120" w:line="276" w:lineRule="auto"/>
        <w:jc w:val="both"/>
        <w:rPr>
          <w:rFonts w:ascii="Verdana" w:hAnsi="Verdana" w:eastAsia="Times New Roman" w:cs="Arial"/>
          <w:color w:val="000000"/>
          <w:bdr w:val="none" w:color="auto" w:sz="0" w:space="0" w:frame="1"/>
          <w:shd w:val="clear" w:color="auto" w:fill="FFFFFF"/>
          <w:lang w:eastAsia="es-ES_tradnl"/>
        </w:rPr>
      </w:pPr>
      <w:r>
        <w:rPr>
          <w:rFonts w:ascii="Verdana" w:hAnsi="Verdana" w:eastAsia="Times New Roman" w:cs="Arial"/>
          <w:color w:val="000000"/>
          <w:bdr w:val="none" w:color="auto" w:sz="0" w:space="0" w:frame="1"/>
          <w:shd w:val="clear" w:color="auto" w:fill="FFFFFF"/>
          <w:lang w:eastAsia="es-ES_tradnl"/>
        </w:rPr>
        <w:t xml:space="preserve">        </w:t>
      </w:r>
      <w:r w:rsidRPr="006B17A7">
        <w:rPr>
          <w:rFonts w:ascii="Verdana" w:hAnsi="Verdana" w:eastAsia="Times New Roman" w:cs="Arial"/>
          <w:color w:val="000000"/>
          <w:bdr w:val="none" w:color="auto" w:sz="0" w:space="0" w:frame="1"/>
          <w:shd w:val="clear" w:color="auto" w:fill="FFFFFF"/>
          <w:lang w:eastAsia="es-ES_tradnl"/>
        </w:rPr>
        <w:t xml:space="preserve">A su turno, la liquidación judicial hace parte de una de las pretensiones que admite el medio de control de controversias contractuales. Al respecto, el artículo 141 de la Ley 1437 de 2011 dispone que “[…] el interesado podrá </w:t>
      </w:r>
      <w:bookmarkStart w:name="_Hlk172560769" w:id="5"/>
      <w:r w:rsidRPr="006B17A7">
        <w:rPr>
          <w:rFonts w:ascii="Verdana" w:hAnsi="Verdana" w:eastAsia="Times New Roman" w:cs="Arial"/>
          <w:color w:val="000000"/>
          <w:bdr w:val="none" w:color="auto" w:sz="0" w:space="0" w:frame="1"/>
          <w:shd w:val="clear" w:color="auto" w:fill="FFFFFF"/>
          <w:lang w:eastAsia="es-ES_tradnl"/>
        </w:rPr>
        <w:t>solicitar la liquidación judicial</w:t>
      </w:r>
      <w:bookmarkEnd w:id="5"/>
      <w:r w:rsidRPr="006B17A7">
        <w:rPr>
          <w:rFonts w:ascii="Verdana" w:hAnsi="Verdana" w:eastAsia="Times New Roman" w:cs="Arial"/>
          <w:color w:val="000000"/>
          <w:bdr w:val="none" w:color="auto" w:sz="0" w:space="0"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rsidRPr="006B17A7" w:rsidR="008A380F" w:rsidP="008A380F" w:rsidRDefault="008A380F" w14:paraId="3FB1003D" w14:textId="77777777">
      <w:pPr>
        <w:tabs>
          <w:tab w:val="left" w:pos="709"/>
        </w:tabs>
        <w:spacing w:after="120" w:line="276" w:lineRule="auto"/>
        <w:jc w:val="both"/>
        <w:rPr>
          <w:rFonts w:ascii="Verdana" w:hAnsi="Verdana" w:eastAsia="Times New Roman" w:cs="Arial"/>
          <w:color w:val="000000"/>
          <w:bdr w:val="none" w:color="auto" w:sz="0" w:space="0" w:frame="1"/>
          <w:shd w:val="clear" w:color="auto" w:fill="FFFFFF"/>
          <w:lang w:val="es-ES" w:eastAsia="es-ES"/>
        </w:rPr>
      </w:pPr>
      <w:r w:rsidRPr="006B17A7">
        <w:rPr>
          <w:rFonts w:ascii="Verdana" w:hAnsi="Verdana" w:eastAsia="Times New Roman" w:cs="Arial"/>
          <w:color w:val="000000"/>
          <w:bdr w:val="none" w:color="auto" w:sz="0" w:space="0" w:frame="1"/>
          <w:shd w:val="clear" w:color="auto" w:fill="FFFFFF"/>
          <w:lang w:eastAsia="es-ES_tradnl"/>
        </w:rPr>
        <w:lastRenderedPageBreak/>
        <w:tab/>
      </w:r>
      <w:r w:rsidRPr="006B17A7">
        <w:rPr>
          <w:rFonts w:ascii="Verdana" w:hAnsi="Verdana" w:eastAsia="Times New Roman" w:cs="Arial"/>
          <w:color w:val="000000"/>
          <w:bdr w:val="none" w:color="auto" w:sz="0" w:space="0" w:frame="1"/>
          <w:shd w:val="clear" w:color="auto" w:fill="FFFFFF"/>
          <w:lang w:val="es-ES" w:eastAsia="es-ES"/>
        </w:rPr>
        <w:t>En suma,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rsidRPr="006B17A7" w:rsidR="008A380F" w:rsidP="008A380F" w:rsidRDefault="008A380F" w14:paraId="04630652" w14:textId="77777777">
      <w:pPr>
        <w:spacing w:after="0" w:line="276" w:lineRule="auto"/>
        <w:ind w:firstLine="708"/>
        <w:jc w:val="both"/>
        <w:rPr>
          <w:rFonts w:ascii="Verdana" w:hAnsi="Verdana" w:eastAsia="Times New Roman" w:cs="Arial"/>
          <w:color w:val="000000"/>
          <w:lang w:eastAsia="es-CO"/>
        </w:rPr>
      </w:pPr>
      <w:r w:rsidRPr="006B17A7">
        <w:rPr>
          <w:rFonts w:ascii="Verdana" w:hAnsi="Verdana" w:eastAsia="Times New Roman" w:cs="Arial"/>
          <w:color w:val="000000"/>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rsidRPr="006B17A7" w:rsidR="008A380F" w:rsidP="008A380F" w:rsidRDefault="008A380F" w14:paraId="65F62951" w14:textId="77777777">
      <w:pPr>
        <w:spacing w:after="0" w:line="276" w:lineRule="auto"/>
        <w:jc w:val="both"/>
        <w:rPr>
          <w:rFonts w:ascii="Verdana" w:hAnsi="Verdana" w:eastAsia="Times New Roman" w:cs="Arial"/>
          <w:color w:val="000000"/>
          <w:lang w:eastAsia="es-CO"/>
        </w:rPr>
      </w:pPr>
    </w:p>
    <w:p w:rsidRPr="006B17A7" w:rsidR="008A380F" w:rsidP="008A380F" w:rsidRDefault="008A380F" w14:paraId="2F9BE4BD" w14:textId="77777777">
      <w:pPr>
        <w:spacing w:after="0" w:line="240" w:lineRule="auto"/>
        <w:ind w:left="709" w:right="709"/>
        <w:jc w:val="both"/>
        <w:rPr>
          <w:rFonts w:ascii="Verdana" w:hAnsi="Verdana" w:eastAsia="Times New Roman" w:cs="Arial"/>
          <w:color w:val="000000"/>
          <w:sz w:val="20"/>
          <w:szCs w:val="20"/>
          <w:lang w:eastAsia="es-CO"/>
        </w:rPr>
      </w:pPr>
      <w:r w:rsidRPr="006B17A7">
        <w:rPr>
          <w:rFonts w:ascii="Verdana" w:hAnsi="Verdana" w:eastAsia="Times New Roman" w:cs="Arial"/>
          <w:color w:val="000000"/>
          <w:sz w:val="20"/>
          <w:szCs w:val="20"/>
          <w:lang w:eastAsia="es-CO"/>
        </w:rPr>
        <w:t xml:space="preserve">“Suele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w:t>
      </w:r>
      <w:r w:rsidRPr="006B17A7">
        <w:rPr>
          <w:rFonts w:ascii="Verdana" w:hAnsi="Verdana" w:eastAsia="Times New Roman" w:cs="Arial"/>
          <w:color w:val="000000"/>
          <w:sz w:val="20"/>
          <w:szCs w:val="20"/>
          <w:lang w:eastAsia="es-CO"/>
        </w:rPr>
        <w:lastRenderedPageBreak/>
        <w:t>liquidar el contrato estatal, luego de expirado el término de caducidad del medio de control de controversias contractuales”</w:t>
      </w:r>
      <w:r w:rsidRPr="006B17A7">
        <w:rPr>
          <w:rFonts w:ascii="Verdana" w:hAnsi="Verdana" w:eastAsia="Times New Roman" w:cs="Arial"/>
          <w:color w:val="000000"/>
          <w:sz w:val="20"/>
          <w:szCs w:val="20"/>
          <w:vertAlign w:val="superscript"/>
          <w:lang w:eastAsia="es-CO"/>
        </w:rPr>
        <w:footnoteReference w:id="9"/>
      </w:r>
      <w:r w:rsidRPr="006B17A7">
        <w:rPr>
          <w:rFonts w:ascii="Verdana" w:hAnsi="Verdana" w:eastAsia="Times New Roman" w:cs="Arial"/>
          <w:color w:val="000000"/>
          <w:sz w:val="20"/>
          <w:szCs w:val="20"/>
          <w:lang w:eastAsia="es-CO"/>
        </w:rPr>
        <w:t xml:space="preserve">.   </w:t>
      </w:r>
    </w:p>
    <w:p w:rsidRPr="006B17A7" w:rsidR="008A380F" w:rsidP="008A380F" w:rsidRDefault="008A380F" w14:paraId="0AA2F81C" w14:textId="77777777">
      <w:pPr>
        <w:tabs>
          <w:tab w:val="left" w:pos="709"/>
        </w:tabs>
        <w:spacing w:after="0" w:line="276" w:lineRule="auto"/>
        <w:jc w:val="both"/>
        <w:rPr>
          <w:rFonts w:ascii="Verdana" w:hAnsi="Verdana" w:eastAsia="Times New Roman" w:cs="Arial"/>
          <w:color w:val="000000"/>
          <w:bdr w:val="none" w:color="auto" w:sz="0" w:space="0" w:frame="1"/>
          <w:shd w:val="clear" w:color="auto" w:fill="FFFFFF"/>
          <w:lang w:eastAsia="es-ES_tradnl"/>
        </w:rPr>
      </w:pPr>
    </w:p>
    <w:p w:rsidR="008A380F" w:rsidP="008A380F" w:rsidRDefault="008A380F" w14:paraId="29150EA8" w14:textId="77777777">
      <w:pPr>
        <w:tabs>
          <w:tab w:val="left" w:pos="709"/>
        </w:tabs>
        <w:spacing w:after="0" w:line="276" w:lineRule="auto"/>
        <w:jc w:val="both"/>
        <w:rPr>
          <w:rFonts w:ascii="Verdana" w:hAnsi="Verdana" w:eastAsia="Calibri" w:cs="Arial"/>
          <w:color w:val="000000"/>
          <w:lang w:val="es-ES" w:eastAsia="es-ES"/>
        </w:rPr>
      </w:pPr>
      <w:r>
        <w:rPr>
          <w:rFonts w:ascii="Verdana" w:hAnsi="Verdana" w:eastAsia="Calibri" w:cs="Arial"/>
          <w:color w:val="000000"/>
          <w:lang w:val="es-ES" w:eastAsia="es-ES"/>
        </w:rPr>
        <w:t xml:space="preserve">       </w:t>
      </w:r>
      <w:r w:rsidRPr="006B17A7">
        <w:rPr>
          <w:rFonts w:ascii="Verdana" w:hAnsi="Verdana" w:eastAsia="Calibri" w:cs="Arial"/>
          <w:color w:val="000000"/>
          <w:lang w:val="es-ES" w:eastAsia="es-ES"/>
        </w:rPr>
        <w:t xml:space="preserve">En consecuencia, 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rsidR="008A380F" w:rsidP="008A380F" w:rsidRDefault="008A380F" w14:paraId="27E01D9F" w14:textId="77777777">
      <w:pPr>
        <w:tabs>
          <w:tab w:val="left" w:pos="709"/>
        </w:tabs>
        <w:spacing w:after="0" w:line="276" w:lineRule="auto"/>
        <w:jc w:val="both"/>
        <w:rPr>
          <w:rFonts w:ascii="Verdana" w:hAnsi="Verdana" w:eastAsia="Calibri" w:cs="Arial"/>
          <w:color w:val="000000"/>
          <w:lang w:val="es-ES" w:eastAsia="es-ES"/>
        </w:rPr>
      </w:pPr>
    </w:p>
    <w:p w:rsidRPr="00202133" w:rsidR="008A380F" w:rsidP="008A380F" w:rsidRDefault="008A380F" w14:paraId="5BDD2764" w14:textId="77777777">
      <w:pPr>
        <w:spacing w:before="120" w:after="120" w:line="276" w:lineRule="auto"/>
        <w:jc w:val="both"/>
        <w:rPr>
          <w:rFonts w:ascii="Verdana" w:hAnsi="Verdana" w:eastAsia="Calibri" w:cs="Times New Roman"/>
        </w:rPr>
      </w:pPr>
      <w:r>
        <w:rPr>
          <w:rFonts w:ascii="Verdana" w:hAnsi="Verdana" w:eastAsia="Calibri"/>
        </w:rPr>
        <w:t xml:space="preserve">      </w:t>
      </w:r>
      <w:r w:rsidRPr="00C61C77">
        <w:rPr>
          <w:rFonts w:ascii="Verdana" w:hAnsi="Verdana" w:eastAsia="Calibri"/>
        </w:rPr>
        <w:t>Bajo este marco normativo, se observa que la competencia para liquidar contratos estatales se encuentra íntegramente regulada por la ley y sometida a términos de ejercicio expresamente definidos por el legislador, razón por la cual las entidades estatales no cuentan con habilitación normativa para crear instancias internas que tengan por objeto atender o decidir situaciones en las cuales dicha competencia ya se hubiere extinguido por vencimiento de los términos legales.</w:t>
      </w:r>
    </w:p>
    <w:p w:rsidRPr="00490984" w:rsidR="008A380F" w:rsidP="008A380F" w:rsidRDefault="008A380F" w14:paraId="4E3CFDDF" w14:textId="77777777">
      <w:pPr>
        <w:spacing w:after="120" w:line="276" w:lineRule="auto"/>
        <w:jc w:val="both"/>
        <w:rPr>
          <w:rFonts w:ascii="Verdana" w:hAnsi="Verdana" w:eastAsia="Calibri" w:cs="Arial"/>
        </w:rPr>
      </w:pPr>
      <w:r>
        <w:rPr>
          <w:rFonts w:ascii="Verdana" w:hAnsi="Verdana" w:eastAsia="Calibri" w:cs="Arial"/>
        </w:rPr>
        <w:t xml:space="preserve">       ii. </w:t>
      </w:r>
      <w:r w:rsidRPr="00490984">
        <w:rPr>
          <w:rFonts w:ascii="Verdana" w:hAnsi="Verdana" w:eastAsia="Calibri" w:cs="Arial"/>
        </w:rPr>
        <w:t>En relación con los lineamientos emitidos por la Agencia Nacional de Contratación Pública – Colombia Compra Eficiente sobre la materia objeto de consulta, se observa que dicha entidad ha desarrollado orientaciones generales aplicables a la etapa de liquidación contractual a través de la Guía para la Liquidación de los Contratos Estatales</w:t>
      </w:r>
      <w:r>
        <w:rPr>
          <w:rStyle w:val="Refdenotaalpie"/>
          <w:rFonts w:ascii="Verdana" w:hAnsi="Verdana" w:eastAsia="Calibri" w:cs="Arial"/>
        </w:rPr>
        <w:footnoteReference w:id="10"/>
      </w:r>
      <w:r w:rsidRPr="00490984">
        <w:rPr>
          <w:rFonts w:ascii="Verdana" w:hAnsi="Verdana" w:eastAsia="Calibri" w:cs="Arial"/>
        </w:rPr>
        <w:t>, instrumento en el cual se precisan las reglas, modalidades, términos y efectos jurídicos asociados al trámite de liquidación de los contratos estatales.</w:t>
      </w:r>
    </w:p>
    <w:p w:rsidRPr="00490984" w:rsidR="008A380F" w:rsidP="008A380F" w:rsidRDefault="008A380F" w14:paraId="14E425FC" w14:textId="77777777">
      <w:pPr>
        <w:spacing w:after="120" w:line="276" w:lineRule="auto"/>
        <w:jc w:val="both"/>
        <w:rPr>
          <w:rFonts w:ascii="Verdana" w:hAnsi="Verdana" w:eastAsia="Calibri" w:cs="Arial"/>
        </w:rPr>
      </w:pPr>
      <w:r>
        <w:rPr>
          <w:rFonts w:ascii="Verdana" w:hAnsi="Verdana" w:eastAsia="Calibri" w:cs="Arial"/>
        </w:rPr>
        <w:t xml:space="preserve">        </w:t>
      </w:r>
      <w:r w:rsidRPr="00490984">
        <w:rPr>
          <w:rFonts w:ascii="Verdana" w:hAnsi="Verdana" w:eastAsia="Calibri" w:cs="Arial"/>
        </w:rPr>
        <w:t>En dicha guía, Colombia Compra Eficiente reitera que la liquidación contractual constituye el balance final de la ejecución del contrato y desarrolla el régimen legal previsto en el artículo 11 de la Ley 1150 de 2007 respecto de las modalidades de liquidación bilateral, unilateral y judicial, así como los términos perentorios dentro de los cuales cada una debe adelantarse.</w:t>
      </w:r>
    </w:p>
    <w:p w:rsidRPr="00490984" w:rsidR="008A380F" w:rsidP="008A380F" w:rsidRDefault="008A380F" w14:paraId="0F920373" w14:textId="77777777">
      <w:pPr>
        <w:spacing w:after="120" w:line="276" w:lineRule="auto"/>
        <w:jc w:val="both"/>
        <w:rPr>
          <w:rFonts w:ascii="Verdana" w:hAnsi="Verdana" w:eastAsia="Calibri" w:cs="Arial"/>
        </w:rPr>
      </w:pPr>
      <w:r>
        <w:rPr>
          <w:rFonts w:ascii="Verdana" w:hAnsi="Verdana" w:eastAsia="Calibri" w:cs="Arial"/>
        </w:rPr>
        <w:lastRenderedPageBreak/>
        <w:t xml:space="preserve">        </w:t>
      </w:r>
      <w:r w:rsidRPr="00490984">
        <w:rPr>
          <w:rFonts w:ascii="Verdana" w:hAnsi="Verdana" w:eastAsia="Calibri" w:cs="Arial"/>
        </w:rPr>
        <w:t>En consecuencia, el principal lineamiento emitido por Colombia Compra Eficiente sobre la materia se encuentra contenido en la referida guía, la cual debe ser observada por las entidades estatales como instrumento orientador para estructurar sus procedimientos internos de liquidación contractual y para fortalecer sus mecanismos de seguimiento y control frente al cumplimiento oportuno de esta etapa contractual.</w:t>
      </w:r>
    </w:p>
    <w:p w:rsidRPr="006B17A7" w:rsidR="008A380F" w:rsidP="008A380F" w:rsidRDefault="008A380F" w14:paraId="6F9B1084" w14:textId="77777777">
      <w:pPr>
        <w:spacing w:before="120" w:after="0" w:line="276" w:lineRule="auto"/>
        <w:ind w:firstLine="708"/>
        <w:jc w:val="both"/>
        <w:rPr>
          <w:rFonts w:ascii="Verdana" w:hAnsi="Verdana" w:eastAsia="Calibri" w:cs="Arial"/>
        </w:rPr>
      </w:pPr>
      <w:r w:rsidRPr="006B17A7">
        <w:rPr>
          <w:rFonts w:ascii="Verdana" w:hAnsi="Verdana" w:eastAsia="Calibri" w:cs="Arial"/>
        </w:rPr>
        <w:t xml:space="preserve">Finalmente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rsidRPr="006B17A7" w:rsidR="008A380F" w:rsidP="008A380F" w:rsidRDefault="008A380F" w14:paraId="2AD58B92" w14:textId="77777777">
      <w:pPr>
        <w:spacing w:before="120" w:after="0" w:line="276" w:lineRule="auto"/>
        <w:ind w:firstLine="708"/>
        <w:jc w:val="both"/>
        <w:rPr>
          <w:rFonts w:ascii="Verdana" w:hAnsi="Verdana" w:eastAsia="Calibri" w:cs="Arial"/>
        </w:rPr>
      </w:pPr>
      <w:r w:rsidRPr="006B17A7">
        <w:rPr>
          <w:rFonts w:ascii="Verdana" w:hAnsi="Verdana" w:eastAsia="Calibri"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rsidRPr="006B17A7" w:rsidR="008A380F" w:rsidP="008A380F" w:rsidRDefault="008A380F" w14:paraId="5D581E01" w14:textId="77777777">
      <w:pPr>
        <w:spacing w:after="0" w:line="276" w:lineRule="auto"/>
        <w:ind w:firstLine="708"/>
        <w:jc w:val="both"/>
        <w:rPr>
          <w:rFonts w:ascii="Verdana" w:hAnsi="Verdana" w:eastAsia="Calibri" w:cs="Arial"/>
        </w:rPr>
      </w:pPr>
    </w:p>
    <w:p w:rsidRPr="006B17A7" w:rsidR="008A380F" w:rsidP="008A380F" w:rsidRDefault="008A380F" w14:paraId="1883EE86" w14:textId="77777777">
      <w:pPr>
        <w:widowControl w:val="0"/>
        <w:autoSpaceDE w:val="0"/>
        <w:autoSpaceDN w:val="0"/>
        <w:spacing w:before="1" w:after="0" w:line="240" w:lineRule="auto"/>
        <w:outlineLvl w:val="0"/>
        <w:rPr>
          <w:rFonts w:ascii="Arial" w:hAnsi="Arial" w:eastAsia="Arial" w:cs="Arial"/>
          <w:b/>
          <w:bCs/>
          <w:lang w:val="es-ES"/>
        </w:rPr>
      </w:pPr>
      <w:r w:rsidRPr="006B17A7">
        <w:rPr>
          <w:rFonts w:ascii="Arial" w:hAnsi="Arial" w:eastAsia="Arial" w:cs="Arial"/>
          <w:b/>
          <w:bCs/>
          <w:lang w:val="es-ES"/>
        </w:rPr>
        <w:t xml:space="preserve">4. </w:t>
      </w:r>
      <w:r w:rsidRPr="006B17A7">
        <w:rPr>
          <w:rFonts w:ascii="Verdana" w:hAnsi="Verdana" w:eastAsia="Arial" w:cs="Arial"/>
          <w:b/>
          <w:bCs/>
          <w:lang w:val="es-ES"/>
        </w:rPr>
        <w:t>Referencias normativas, jurisprudenciales y otras fuentes:</w:t>
      </w:r>
    </w:p>
    <w:p w:rsidRPr="006B17A7" w:rsidR="008A380F" w:rsidP="008A380F" w:rsidRDefault="008A380F" w14:paraId="18623C36" w14:textId="77777777">
      <w:pPr>
        <w:widowControl w:val="0"/>
        <w:autoSpaceDE w:val="0"/>
        <w:autoSpaceDN w:val="0"/>
        <w:spacing w:after="0" w:line="276" w:lineRule="auto"/>
        <w:jc w:val="both"/>
        <w:rPr>
          <w:rFonts w:ascii="Verdana" w:hAnsi="Verdana" w:eastAsia="Aptos"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6B17A7" w:rsidR="008A380F" w:rsidTr="00554E29" w14:paraId="0E346ED6" w14:textId="77777777">
        <w:trPr>
          <w:trHeight w:val="870"/>
        </w:trPr>
        <w:tc>
          <w:tcPr>
            <w:tcW w:w="8647" w:type="dxa"/>
          </w:tcPr>
          <w:p w:rsidRPr="006B17A7" w:rsidR="008A380F" w:rsidP="008A380F" w:rsidRDefault="008A380F" w14:paraId="0BAC9992" w14:textId="77777777">
            <w:pPr>
              <w:widowControl w:val="0"/>
              <w:numPr>
                <w:ilvl w:val="0"/>
                <w:numId w:val="17"/>
              </w:numPr>
              <w:autoSpaceDE w:val="0"/>
              <w:autoSpaceDN w:val="0"/>
              <w:spacing w:after="120" w:line="276" w:lineRule="auto"/>
              <w:contextualSpacing/>
              <w:jc w:val="both"/>
              <w:rPr>
                <w:rFonts w:ascii="Verdana" w:hAnsi="Verdana" w:eastAsia="Aptos" w:cs="Arial"/>
              </w:rPr>
            </w:pPr>
            <w:r w:rsidRPr="006B17A7">
              <w:rPr>
                <w:rFonts w:ascii="Verdana" w:hAnsi="Verdana" w:eastAsia="Calibri" w:cs="Arial"/>
                <w:lang w:val="es-ES"/>
              </w:rPr>
              <w:t>Ley 80 de 1993. Artículo 60.</w:t>
            </w:r>
          </w:p>
          <w:p w:rsidRPr="006B17A7" w:rsidR="008A380F" w:rsidP="008A380F" w:rsidRDefault="008A380F" w14:paraId="778C211F" w14:textId="77777777">
            <w:pPr>
              <w:widowControl w:val="0"/>
              <w:numPr>
                <w:ilvl w:val="0"/>
                <w:numId w:val="17"/>
              </w:numPr>
              <w:autoSpaceDE w:val="0"/>
              <w:autoSpaceDN w:val="0"/>
              <w:spacing w:line="276" w:lineRule="auto"/>
              <w:contextualSpacing/>
              <w:jc w:val="both"/>
              <w:rPr>
                <w:rFonts w:ascii="Verdana" w:hAnsi="Verdana" w:eastAsia="Aptos" w:cs="Arial"/>
              </w:rPr>
            </w:pPr>
            <w:r w:rsidRPr="006B17A7">
              <w:rPr>
                <w:rFonts w:ascii="Verdana" w:hAnsi="Verdana" w:eastAsia="Calibri" w:cs="Arial"/>
                <w:lang w:val="es-ES"/>
              </w:rPr>
              <w:t>Ley 1150 de 2007. Artículo 11</w:t>
            </w:r>
          </w:p>
          <w:p w:rsidRPr="006B17A7" w:rsidR="008A380F" w:rsidP="008A380F" w:rsidRDefault="008A380F" w14:paraId="55DF8D1C" w14:textId="77777777">
            <w:pPr>
              <w:widowControl w:val="0"/>
              <w:numPr>
                <w:ilvl w:val="0"/>
                <w:numId w:val="17"/>
              </w:numPr>
              <w:autoSpaceDE w:val="0"/>
              <w:autoSpaceDN w:val="0"/>
              <w:spacing w:line="276" w:lineRule="auto"/>
              <w:contextualSpacing/>
              <w:jc w:val="both"/>
              <w:rPr>
                <w:rFonts w:ascii="Verdana" w:hAnsi="Verdana" w:eastAsia="Aptos" w:cs="Arial"/>
              </w:rPr>
            </w:pPr>
            <w:r w:rsidRPr="006B17A7">
              <w:rPr>
                <w:rFonts w:ascii="Verdana" w:hAnsi="Verdana" w:eastAsia="Aptos" w:cs="Arial"/>
              </w:rPr>
              <w:t>Decreto 19 de 2012. Artículo 217</w:t>
            </w:r>
          </w:p>
          <w:p w:rsidRPr="006B17A7" w:rsidR="008A380F" w:rsidP="008A380F" w:rsidRDefault="008A380F" w14:paraId="7C3545E8" w14:textId="77777777">
            <w:pPr>
              <w:widowControl w:val="0"/>
              <w:numPr>
                <w:ilvl w:val="0"/>
                <w:numId w:val="17"/>
              </w:numPr>
              <w:autoSpaceDE w:val="0"/>
              <w:autoSpaceDN w:val="0"/>
              <w:spacing w:line="276" w:lineRule="auto"/>
              <w:contextualSpacing/>
              <w:jc w:val="both"/>
              <w:rPr>
                <w:rFonts w:ascii="Verdana" w:hAnsi="Verdana" w:eastAsia="Aptos" w:cs="Arial"/>
              </w:rPr>
            </w:pPr>
            <w:r w:rsidRPr="006B17A7">
              <w:rPr>
                <w:rFonts w:ascii="Verdana" w:hAnsi="Verdana" w:eastAsia="Aptos" w:cs="Arial"/>
              </w:rPr>
              <w:t xml:space="preserve">Guía para la Liquidación de los Procesos de Contratación. Disponible </w:t>
            </w:r>
            <w:hyperlink w:history="1" r:id="rId10">
              <w:r w:rsidRPr="006B17A7">
                <w:rPr>
                  <w:rFonts w:ascii="Verdana" w:hAnsi="Verdana" w:eastAsia="Aptos" w:cs="Arial"/>
                  <w:color w:val="467886"/>
                  <w:u w:val="single"/>
                </w:rPr>
                <w:t>aquí</w:t>
              </w:r>
            </w:hyperlink>
          </w:p>
          <w:p w:rsidRPr="006B17A7" w:rsidR="008A380F" w:rsidP="008A380F" w:rsidRDefault="008A380F" w14:paraId="22C7D436" w14:textId="77777777">
            <w:pPr>
              <w:widowControl w:val="0"/>
              <w:numPr>
                <w:ilvl w:val="0"/>
                <w:numId w:val="17"/>
              </w:numPr>
              <w:autoSpaceDE w:val="0"/>
              <w:autoSpaceDN w:val="0"/>
              <w:spacing w:line="276" w:lineRule="auto"/>
              <w:contextualSpacing/>
              <w:jc w:val="both"/>
              <w:rPr>
                <w:rFonts w:ascii="Verdana" w:hAnsi="Verdana" w:eastAsia="Aptos" w:cs="Arial"/>
              </w:rPr>
            </w:pPr>
            <w:r w:rsidRPr="006B17A7">
              <w:rPr>
                <w:rFonts w:ascii="Verdana" w:hAnsi="Verdana" w:eastAsia="Aptos" w:cs="Arial"/>
              </w:rPr>
              <w:t>DÍAZ DÍEZ, Cristian Andrés. La liquidación. Serie: Las Cláusulas del Contrato Estatal. Medellín: Librería Jurídica Sánchez y Centro de Estudios de Derecho Administrativo –CEDA–, 2013. pp. 53-54.</w:t>
            </w:r>
          </w:p>
          <w:p w:rsidRPr="006B17A7" w:rsidR="008A380F" w:rsidP="008A380F" w:rsidRDefault="008A380F" w14:paraId="6724EA11" w14:textId="77777777">
            <w:pPr>
              <w:widowControl w:val="0"/>
              <w:numPr>
                <w:ilvl w:val="0"/>
                <w:numId w:val="17"/>
              </w:numPr>
              <w:autoSpaceDE w:val="0"/>
              <w:autoSpaceDN w:val="0"/>
              <w:spacing w:line="276" w:lineRule="auto"/>
              <w:contextualSpacing/>
              <w:jc w:val="both"/>
              <w:rPr>
                <w:rFonts w:ascii="Verdana" w:hAnsi="Verdana" w:eastAsia="Aptos" w:cs="Arial"/>
              </w:rPr>
            </w:pPr>
            <w:r w:rsidRPr="006B17A7">
              <w:rPr>
                <w:rFonts w:ascii="Verdana" w:hAnsi="Verdana" w:eastAsia="Aptos" w:cs="Arial"/>
              </w:rPr>
              <w:t xml:space="preserve">Consejo de Estado. Sección Tercera. Subsección C. 20 de octubre de </w:t>
            </w:r>
            <w:r w:rsidRPr="006B17A7">
              <w:rPr>
                <w:rFonts w:ascii="Verdana" w:hAnsi="Verdana" w:eastAsia="Aptos" w:cs="Arial"/>
              </w:rPr>
              <w:lastRenderedPageBreak/>
              <w:t>2014, M.P: Enrique Gil Botero. Exp. 27.777.</w:t>
            </w:r>
          </w:p>
        </w:tc>
      </w:tr>
    </w:tbl>
    <w:p w:rsidRPr="006B17A7" w:rsidR="008A380F" w:rsidP="008A380F" w:rsidRDefault="008A380F" w14:paraId="0C8CC75C" w14:textId="77777777">
      <w:pPr>
        <w:widowControl w:val="0"/>
        <w:autoSpaceDE w:val="0"/>
        <w:autoSpaceDN w:val="0"/>
        <w:spacing w:after="0" w:line="276" w:lineRule="auto"/>
        <w:jc w:val="both"/>
        <w:rPr>
          <w:rFonts w:ascii="Verdana" w:hAnsi="Verdana" w:eastAsia="Aptos" w:cs="Arial"/>
        </w:rPr>
      </w:pPr>
    </w:p>
    <w:p w:rsidRPr="006B17A7" w:rsidR="008A380F" w:rsidP="008A380F" w:rsidRDefault="008A380F" w14:paraId="0FC8D011" w14:textId="77777777">
      <w:pPr>
        <w:widowControl w:val="0"/>
        <w:autoSpaceDE w:val="0"/>
        <w:autoSpaceDN w:val="0"/>
        <w:spacing w:before="1" w:after="0" w:line="240" w:lineRule="auto"/>
        <w:outlineLvl w:val="0"/>
        <w:rPr>
          <w:rFonts w:ascii="Verdana" w:hAnsi="Verdana" w:eastAsia="Arial" w:cs="Arial"/>
          <w:b/>
          <w:bCs/>
          <w:lang w:val="es-ES"/>
        </w:rPr>
      </w:pPr>
      <w:r w:rsidRPr="006B17A7">
        <w:rPr>
          <w:rFonts w:ascii="Verdana" w:hAnsi="Verdana" w:eastAsia="Arial" w:cs="Arial"/>
          <w:b/>
          <w:bCs/>
          <w:lang w:val="es-ES"/>
        </w:rPr>
        <w:t>5. Doctrina de la Agencia Nacional de Contratación Pública:</w:t>
      </w:r>
    </w:p>
    <w:p w:rsidRPr="006B17A7" w:rsidR="008A380F" w:rsidP="008A380F" w:rsidRDefault="008A380F" w14:paraId="25E2E622" w14:textId="77777777">
      <w:pPr>
        <w:widowControl w:val="0"/>
        <w:autoSpaceDE w:val="0"/>
        <w:autoSpaceDN w:val="0"/>
        <w:spacing w:after="0" w:line="276" w:lineRule="auto"/>
        <w:jc w:val="both"/>
        <w:rPr>
          <w:rFonts w:ascii="Verdana" w:hAnsi="Verdana" w:eastAsia="Aptos" w:cs="Arial"/>
        </w:rPr>
      </w:pPr>
    </w:p>
    <w:p w:rsidRPr="006B17A7" w:rsidR="008A380F" w:rsidP="008A380F" w:rsidRDefault="008A380F" w14:paraId="0CA3648C" w14:textId="77777777">
      <w:pPr>
        <w:widowControl w:val="0"/>
        <w:autoSpaceDE w:val="0"/>
        <w:autoSpaceDN w:val="0"/>
        <w:spacing w:after="0" w:line="276" w:lineRule="auto"/>
        <w:jc w:val="both"/>
        <w:rPr>
          <w:rFonts w:ascii="Verdana" w:hAnsi="Verdana" w:eastAsia="Aptos" w:cs="Arial"/>
          <w:shd w:val="clear" w:color="auto" w:fill="FFFFFF"/>
          <w:lang w:val="es-ES"/>
        </w:rPr>
      </w:pPr>
      <w:r w:rsidRPr="006B17A7">
        <w:rPr>
          <w:rFonts w:ascii="Verdana" w:hAnsi="Verdana" w:eastAsia="Aptos" w:cs="Arial"/>
          <w:shd w:val="clear" w:color="auto" w:fill="FFFFFF"/>
          <w:lang w:val="es-ES"/>
        </w:rPr>
        <w:t xml:space="preserve">Sobre la liquidación de los contratos estatales, esta Subdirección se ha referido en los Conceptos C-416 de 06 de septiembre de 2024, C-442 del 10 de septiembre de 2024, C- 407 del 11 de septiembre de 2024, C-414 del 11 de septiembre de 2024, C-559 del 11 de septiembre de 2024, C-425 del 13 de septiembre de 2024, C-446 del 18 de septiembre de 2024, C-458 del 20 de septiembre de 2024, C-968 del 16 de diciembre de 2024, C-1865 del 01 de diciembre de 2025, C-1818 del 13 de enero de 2026,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w:history="1" r:id="rId11">
        <w:r w:rsidRPr="006B17A7">
          <w:rPr>
            <w:rFonts w:ascii="Verdana" w:hAnsi="Verdana" w:eastAsia="Aptos" w:cs="Arial"/>
            <w:color w:val="467886"/>
            <w:u w:val="single"/>
            <w:shd w:val="clear" w:color="auto" w:fill="FFFFFF"/>
            <w:lang w:val="es-ES"/>
          </w:rPr>
          <w:t>https://relatoria.colombiacompra.gov.co/</w:t>
        </w:r>
      </w:hyperlink>
      <w:r w:rsidRPr="006B17A7">
        <w:rPr>
          <w:rFonts w:ascii="Verdana" w:hAnsi="Verdana" w:eastAsia="Aptos" w:cs="Arial"/>
          <w:shd w:val="clear" w:color="auto" w:fill="FFFFFF"/>
          <w:lang w:val="es-ES"/>
        </w:rPr>
        <w:t xml:space="preserve">. </w:t>
      </w:r>
    </w:p>
    <w:p w:rsidRPr="00115E3D" w:rsidR="008A380F" w:rsidP="008A380F" w:rsidRDefault="008A380F" w14:paraId="7354F931" w14:textId="7777777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rsidRPr="009A385A" w:rsidR="008A380F" w:rsidP="008A380F" w:rsidRDefault="008A380F" w14:paraId="1DE8BEB2" w14:textId="77777777">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w:tgtFrame="_new" w:history="1" r:id="rId12">
        <w:r w:rsidRPr="009A385A">
          <w:rPr>
            <w:rStyle w:val="Hipervnculo"/>
            <w:rFonts w:ascii="Verdana" w:hAnsi="Verdana"/>
          </w:rPr>
          <w:t>https://formacionvirtual.colombiacompra.gov.co/mod/page/view.php?id=3718</w:t>
        </w:r>
      </w:hyperlink>
    </w:p>
    <w:p w:rsidR="008A380F" w:rsidP="008A380F" w:rsidRDefault="008A380F" w14:paraId="04E869BE" w14:textId="77777777">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w:tgtFrame="_new" w:history="1" r:id="rId13">
        <w:r w:rsidRPr="00635F16">
          <w:rPr>
            <w:rStyle w:val="Hipervnculo"/>
            <w:rFonts w:ascii="Verdana" w:hAnsi="Verdana"/>
          </w:rPr>
          <w:t>https://www.colombiacompra.gov.co/normativa-y-relatoria/documentos-tipo</w:t>
        </w:r>
      </w:hyperlink>
    </w:p>
    <w:p w:rsidRPr="009A385A" w:rsidR="008A380F" w:rsidP="008A380F" w:rsidRDefault="008A380F" w14:paraId="632D3E8A" w14:textId="77777777">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w:tgtFrame="_new" w:history="1" r:id="rId14">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rsidRPr="00115E3D" w:rsidR="008A380F" w:rsidP="008A380F" w:rsidRDefault="008A380F" w14:paraId="59C52DE4" w14:textId="77777777">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rsidRPr="00115E3D" w:rsidR="008A380F" w:rsidP="008A380F" w:rsidRDefault="008A380F" w14:paraId="7C7E6408" w14:textId="77777777">
      <w:pPr>
        <w:spacing w:after="0" w:line="240" w:lineRule="auto"/>
        <w:jc w:val="both"/>
        <w:rPr>
          <w:rFonts w:ascii="Verdana" w:hAnsi="Verdana"/>
          <w:color w:val="000000" w:themeColor="text1"/>
        </w:rPr>
      </w:pPr>
    </w:p>
    <w:p w:rsidRPr="00115E3D" w:rsidR="008A380F" w:rsidP="008A380F" w:rsidRDefault="008A380F" w14:paraId="17D08FCE"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rsidRPr="00115E3D" w:rsidR="008A380F" w:rsidP="008A380F" w:rsidRDefault="008A380F" w14:paraId="37297FEB"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rsidRPr="00115E3D" w:rsidR="008A380F" w:rsidP="008A380F" w:rsidRDefault="008A380F" w14:paraId="4E1D290C" w14:textId="77777777">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rsidRPr="00115E3D" w:rsidR="008A380F" w:rsidP="008A380F" w:rsidRDefault="008A380F" w14:paraId="4FBC808F" w14:textId="77777777">
      <w:pPr>
        <w:widowControl w:val="0"/>
        <w:autoSpaceDE w:val="0"/>
        <w:autoSpaceDN w:val="0"/>
        <w:spacing w:after="0" w:line="276" w:lineRule="auto"/>
        <w:jc w:val="both"/>
        <w:rPr>
          <w:rFonts w:ascii="Verdana" w:hAnsi="Verdana" w:cs="Arial"/>
          <w:color w:val="000000" w:themeColor="text1"/>
        </w:rPr>
      </w:pPr>
    </w:p>
    <w:p w:rsidRPr="00115E3D" w:rsidR="008A380F" w:rsidP="008A380F" w:rsidRDefault="008A380F" w14:paraId="0D9CC791" w14:textId="77777777">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rsidR="008A380F" w:rsidP="008A380F" w:rsidRDefault="008A380F" w14:paraId="52A0C271" w14:textId="77777777">
      <w:pPr>
        <w:spacing w:after="0" w:line="240" w:lineRule="auto"/>
        <w:rPr>
          <w:rFonts w:ascii="Verdana" w:hAnsi="Verdana" w:eastAsia="Times New Roman" w:cs="Arial"/>
          <w:color w:val="000000" w:themeColor="text1"/>
          <w:lang w:eastAsia="es-CO"/>
        </w:rPr>
      </w:pPr>
    </w:p>
    <w:p w:rsidR="008A380F" w:rsidP="008A380F" w:rsidRDefault="008A380F" w14:paraId="7C504ECD" w14:textId="77777777">
      <w:pPr>
        <w:spacing w:after="0" w:line="240" w:lineRule="auto"/>
        <w:rPr>
          <w:rFonts w:ascii="Verdana" w:hAnsi="Verdana" w:eastAsia="Times New Roman" w:cs="Arial"/>
          <w:color w:val="000000" w:themeColor="text1"/>
          <w:lang w:eastAsia="es-CO"/>
        </w:rPr>
      </w:pPr>
    </w:p>
    <w:p w:rsidRPr="00115E3D" w:rsidR="008A380F" w:rsidP="008A380F" w:rsidRDefault="008A380F" w14:paraId="2FEC01F0" w14:textId="77777777">
      <w:pPr>
        <w:spacing w:after="0" w:line="240" w:lineRule="auto"/>
        <w:rPr>
          <w:rFonts w:ascii="Verdana" w:hAnsi="Verdana" w:cs="Arial"/>
          <w:color w:val="000000" w:themeColor="text1"/>
          <w:lang w:eastAsia="es-CO"/>
        </w:rPr>
      </w:pPr>
      <w:r w:rsidRPr="00115E3D">
        <w:rPr>
          <w:rFonts w:ascii="Verdana" w:hAnsi="Verdana" w:eastAsia="Times New Roman" w:cs="Arial"/>
          <w:color w:val="000000" w:themeColor="text1"/>
          <w:lang w:eastAsia="es-CO"/>
        </w:rPr>
        <w:t>Atentamente,</w:t>
      </w:r>
      <w:r w:rsidRPr="00115E3D">
        <w:rPr>
          <w:rFonts w:ascii="Verdana" w:hAnsi="Verdana" w:cs="Arial"/>
          <w:color w:val="000000" w:themeColor="text1"/>
          <w:lang w:eastAsia="es-CO"/>
        </w:rPr>
        <w:t xml:space="preserve"> </w:t>
      </w:r>
    </w:p>
    <w:p w:rsidR="00B3648E" w:rsidP="008A380F" w:rsidRDefault="00B3648E" w14:paraId="20DC6B80" w14:textId="77777777">
      <w:pPr>
        <w:spacing w:line="276" w:lineRule="auto"/>
        <w:jc w:val="center"/>
        <w:rPr>
          <w:noProof/>
        </w:rPr>
      </w:pPr>
    </w:p>
    <w:p w:rsidR="00B3648E" w:rsidP="008A380F" w:rsidRDefault="00B3648E" w14:paraId="0E4D47B8" w14:textId="06761E70">
      <w:pPr>
        <w:spacing w:line="276" w:lineRule="auto"/>
        <w:jc w:val="center"/>
        <w:rPr>
          <w:noProof/>
        </w:rPr>
      </w:pPr>
      <w:r>
        <w:rPr>
          <w:noProof/>
        </w:rPr>
        <w:drawing>
          <wp:inline distT="0" distB="0" distL="0" distR="0" wp14:anchorId="10027497" wp14:editId="7C8E3E6D">
            <wp:extent cx="3497580" cy="1501450"/>
            <wp:effectExtent l="0" t="0" r="7620" b="3810"/>
            <wp:docPr id="5145397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01238" cy="1503020"/>
                    </a:xfrm>
                    <a:prstGeom prst="rect">
                      <a:avLst/>
                    </a:prstGeom>
                    <a:noFill/>
                    <a:ln>
                      <a:noFill/>
                    </a:ln>
                  </pic:spPr>
                </pic:pic>
              </a:graphicData>
            </a:graphic>
          </wp:inline>
        </w:drawing>
      </w:r>
    </w:p>
    <w:p w:rsidR="00B3648E" w:rsidP="008A380F" w:rsidRDefault="00B3648E" w14:paraId="363031B3" w14:textId="77777777">
      <w:pPr>
        <w:spacing w:line="276" w:lineRule="auto"/>
        <w:jc w:val="center"/>
        <w:rPr>
          <w:noProof/>
        </w:rPr>
      </w:pPr>
    </w:p>
    <w:p w:rsidR="00B3648E" w:rsidP="008A380F" w:rsidRDefault="00B3648E" w14:paraId="0B9BC5E4" w14:textId="77777777">
      <w:pPr>
        <w:spacing w:line="276" w:lineRule="auto"/>
        <w:jc w:val="center"/>
        <w:rPr>
          <w:noProof/>
        </w:rPr>
      </w:pPr>
    </w:p>
    <w:p w:rsidR="008A380F" w:rsidP="008A380F" w:rsidRDefault="008A380F" w14:paraId="0C132A95" w14:textId="71EF7D03">
      <w:pPr>
        <w:spacing w:line="276" w:lineRule="auto"/>
        <w:jc w:val="center"/>
        <w:rPr>
          <w:noProof/>
          <w:color w:val="000000" w:themeColor="text1"/>
          <w:lang w:val="es-ES_tradnl" w:eastAsia="es-CO"/>
        </w:rPr>
      </w:pPr>
      <w:r>
        <w:rPr>
          <w:noProof/>
          <w:color w:val="000000" w:themeColor="text1"/>
          <w:lang w:val="es-ES_tradnl" w:eastAsia="es-CO"/>
        </w:rPr>
        <w:t xml:space="preserve"> </w:t>
      </w:r>
    </w:p>
    <w:p w:rsidR="008A380F" w:rsidP="008A380F" w:rsidRDefault="008A380F" w14:paraId="56555A2A" w14:textId="77777777">
      <w:pPr>
        <w:spacing w:line="276" w:lineRule="auto"/>
        <w:jc w:val="center"/>
        <w:rPr>
          <w:noProof/>
          <w:color w:val="000000" w:themeColor="text1"/>
          <w:lang w:val="es-ES_tradnl" w:eastAsia="es-CO"/>
        </w:rPr>
      </w:pP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115E3D" w:rsidR="008A380F" w:rsidTr="00554E29" w14:paraId="2E4CAFCA" w14:textId="77777777">
        <w:trPr>
          <w:trHeight w:val="315"/>
        </w:trPr>
        <w:tc>
          <w:tcPr>
            <w:tcW w:w="893" w:type="dxa"/>
            <w:vAlign w:val="center"/>
            <w:hideMark/>
          </w:tcPr>
          <w:p w:rsidRPr="00115E3D" w:rsidR="008A380F" w:rsidP="00554E29" w:rsidRDefault="008A380F" w14:paraId="2370D467"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115E3D" w:rsidR="008A380F" w:rsidP="00554E29" w:rsidRDefault="008A380F" w14:paraId="3A913069" w14:textId="77777777">
            <w:pPr>
              <w:contextualSpacing/>
              <w:rPr>
                <w:rFonts w:ascii="Verdana" w:hAnsi="Verdana" w:eastAsia="Arial" w:cs="Arial"/>
                <w:color w:val="000000" w:themeColor="text1"/>
                <w:sz w:val="16"/>
                <w:szCs w:val="16"/>
              </w:rPr>
            </w:pPr>
            <w:r>
              <w:rPr>
                <w:rFonts w:ascii="Verdana" w:hAnsi="Verdana" w:eastAsia="Arial" w:cs="Arial"/>
                <w:color w:val="000000" w:themeColor="text1"/>
                <w:sz w:val="16"/>
                <w:szCs w:val="16"/>
              </w:rPr>
              <w:t>Daniel Eduardo Rojas Poveda</w:t>
            </w:r>
          </w:p>
          <w:p w:rsidRPr="00115E3D" w:rsidR="008A380F" w:rsidP="00554E29" w:rsidRDefault="008A380F" w14:paraId="6EFB0070" w14:textId="77777777">
            <w:pPr>
              <w:contextualSpacing/>
              <w:rPr>
                <w:rFonts w:ascii="Verdana" w:hAnsi="Verdana" w:eastAsia="Arial" w:cs="Arial"/>
                <w:color w:val="000000" w:themeColor="text1"/>
                <w:sz w:val="16"/>
                <w:szCs w:val="16"/>
              </w:rPr>
            </w:pPr>
            <w:r w:rsidRPr="00AB5151">
              <w:rPr>
                <w:rStyle w:val="normaltextrun"/>
                <w:rFonts w:ascii="Verdana" w:hAnsi="Verdana" w:eastAsia="Arial" w:cs="Times New Roman"/>
                <w:color w:val="000000" w:themeColor="text1"/>
                <w:sz w:val="16"/>
                <w:szCs w:val="16"/>
              </w:rPr>
              <w:t>C</w:t>
            </w:r>
            <w:r w:rsidRPr="00AB5151">
              <w:rPr>
                <w:rStyle w:val="normaltextrun"/>
                <w:rFonts w:ascii="Verdana" w:hAnsi="Verdana" w:eastAsia="Arial" w:cs="Times New Roman"/>
                <w:sz w:val="16"/>
                <w:szCs w:val="16"/>
              </w:rPr>
              <w:t xml:space="preserve">ontratista </w:t>
            </w:r>
            <w:r w:rsidRPr="00115E3D">
              <w:rPr>
                <w:rStyle w:val="normaltextrun"/>
                <w:rFonts w:ascii="Verdana" w:hAnsi="Verdana" w:eastAsia="Arial" w:cs="Arial"/>
                <w:color w:val="000000" w:themeColor="text1"/>
                <w:sz w:val="16"/>
                <w:szCs w:val="16"/>
              </w:rPr>
              <w:t>de la Subdirección de Gestión Contractual</w:t>
            </w:r>
          </w:p>
        </w:tc>
      </w:tr>
      <w:tr w:rsidRPr="00115E3D" w:rsidR="008A380F" w:rsidTr="00554E29" w14:paraId="13DE383A" w14:textId="77777777">
        <w:trPr>
          <w:trHeight w:val="330"/>
        </w:trPr>
        <w:tc>
          <w:tcPr>
            <w:tcW w:w="893" w:type="dxa"/>
            <w:vAlign w:val="center"/>
            <w:hideMark/>
          </w:tcPr>
          <w:p w:rsidRPr="00115E3D" w:rsidR="008A380F" w:rsidP="00554E29" w:rsidRDefault="008A380F" w14:paraId="4F00AFD3"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8A380F" w:rsidP="00554E29" w:rsidRDefault="008A380F" w14:paraId="68660A84"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rsidRPr="00115E3D" w:rsidR="008A380F" w:rsidP="00554E29" w:rsidRDefault="008A380F" w14:paraId="2DAE5421" w14:textId="77777777">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Pr="00115E3D" w:rsidR="008A380F" w:rsidTr="00554E29" w14:paraId="6788C58A" w14:textId="77777777">
        <w:trPr>
          <w:trHeight w:val="300"/>
        </w:trPr>
        <w:tc>
          <w:tcPr>
            <w:tcW w:w="893" w:type="dxa"/>
            <w:vAlign w:val="center"/>
          </w:tcPr>
          <w:p w:rsidRPr="00115E3D" w:rsidR="008A380F" w:rsidP="00554E29" w:rsidRDefault="008A380F" w14:paraId="4F1FD26D" w14:textId="77777777">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115E3D" w:rsidR="008A380F" w:rsidP="00554E29" w:rsidRDefault="008A380F" w14:paraId="12D872C5"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val="pt-BR" w:eastAsia="es-ES"/>
              </w:rPr>
              <w:t>Carolina Quintero Gacharná</w:t>
            </w:r>
          </w:p>
          <w:p w:rsidRPr="00115E3D" w:rsidR="008A380F" w:rsidP="00554E29" w:rsidRDefault="008A380F" w14:paraId="14B7BADF" w14:textId="77777777">
            <w:pPr>
              <w:contextualSpacing/>
              <w:rPr>
                <w:rFonts w:ascii="Verdana" w:hAnsi="Verdana" w:eastAsia="Calibri" w:cs="Arial"/>
                <w:color w:val="000000" w:themeColor="text1"/>
                <w:sz w:val="16"/>
                <w:szCs w:val="16"/>
                <w:lang w:val="pt-BR" w:eastAsia="es-ES"/>
              </w:rPr>
            </w:pPr>
            <w:r w:rsidRPr="00115E3D">
              <w:rPr>
                <w:rFonts w:ascii="Verdana" w:hAnsi="Verdana" w:eastAsia="Calibri" w:cs="Arial"/>
                <w:color w:val="000000" w:themeColor="text1"/>
                <w:sz w:val="16"/>
                <w:szCs w:val="16"/>
                <w:lang w:eastAsia="es-ES"/>
              </w:rPr>
              <w:t>Subdirectora</w:t>
            </w:r>
            <w:r w:rsidRPr="00115E3D">
              <w:rPr>
                <w:rFonts w:ascii="Verdana" w:hAnsi="Verdana" w:eastAsia="Calibri" w:cs="Arial"/>
                <w:color w:val="000000" w:themeColor="text1"/>
                <w:sz w:val="16"/>
                <w:szCs w:val="16"/>
                <w:lang w:val="pt-BR" w:eastAsia="es-ES"/>
              </w:rPr>
              <w:t xml:space="preserve"> de Gestión Contractual ANCP – CCE</w:t>
            </w:r>
          </w:p>
        </w:tc>
      </w:tr>
    </w:tbl>
    <w:p w:rsidRPr="008A380F" w:rsidR="002A0DD0" w:rsidP="30821638" w:rsidRDefault="002A0DD0" w14:paraId="3B27AFCD" w14:textId="77777777">
      <w:pPr>
        <w:spacing w:after="0" w:line="240" w:lineRule="auto"/>
        <w:jc w:val="both"/>
        <w:rPr>
          <w:rFonts w:ascii="Verdana" w:hAnsi="Verdana" w:eastAsia="Verdana" w:cs="Verdana"/>
          <w:b/>
          <w:bCs/>
        </w:rPr>
      </w:pPr>
    </w:p>
    <w:p w:rsidRPr="00E02524" w:rsidR="002A0DD0" w:rsidP="30821638" w:rsidRDefault="002A0DD0" w14:paraId="7C9026E2" w14:textId="77777777">
      <w:pPr>
        <w:spacing w:after="0" w:line="240" w:lineRule="auto"/>
        <w:jc w:val="both"/>
        <w:rPr>
          <w:rFonts w:ascii="Verdana" w:hAnsi="Verdana" w:eastAsia="Verdana" w:cs="Verdana"/>
          <w:b/>
          <w:bCs/>
          <w:lang w:val="es-MX"/>
        </w:rPr>
      </w:pPr>
    </w:p>
    <w:p w:rsidRPr="000E2B93" w:rsidR="00C15139" w:rsidP="30821638" w:rsidRDefault="00C15139" w14:paraId="1006A388" w14:textId="77777777">
      <w:pPr>
        <w:spacing w:after="0" w:line="240" w:lineRule="auto"/>
        <w:jc w:val="both"/>
        <w:textAlignment w:val="baseline"/>
        <w:rPr>
          <w:rFonts w:ascii="Verdana" w:hAnsi="Verdana" w:eastAsia="Verdana" w:cs="Verdana"/>
          <w:lang w:eastAsia="es-CO"/>
        </w:rPr>
      </w:pPr>
    </w:p>
    <w:p w:rsidRPr="000E2B93" w:rsidR="00C15139" w:rsidP="30821638" w:rsidRDefault="00C15139" w14:paraId="69BC4D14" w14:textId="1333E45B">
      <w:pPr>
        <w:spacing w:after="0" w:line="240" w:lineRule="auto"/>
        <w:textAlignment w:val="baseline"/>
        <w:rPr>
          <w:rFonts w:ascii="Verdana" w:hAnsi="Verdana" w:eastAsia="Verdana" w:cs="Verdana"/>
          <w:lang w:eastAsia="es-CO"/>
        </w:rPr>
      </w:pPr>
      <w:r w:rsidRPr="30821638">
        <w:rPr>
          <w:rFonts w:ascii="Verdana" w:hAnsi="Verdana" w:eastAsia="Verdana" w:cs="Verdana"/>
          <w:lang w:eastAsia="es-CO"/>
        </w:rPr>
        <w:t> </w:t>
      </w:r>
      <w:bookmarkEnd w:id="0"/>
    </w:p>
    <w:sectPr w:rsidRPr="000E2B93" w:rsidR="00C15139" w:rsidSect="007C0C0F">
      <w:headerReference w:type="default" r:id="rId16"/>
      <w:footerReference w:type="default" r:id="rId17"/>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F6DCF" w:rsidP="004A1847" w:rsidRDefault="00AF6DCF" w14:paraId="7536C624" w14:textId="77777777">
      <w:pPr>
        <w:spacing w:after="0" w:line="240" w:lineRule="auto"/>
      </w:pPr>
      <w:r>
        <w:separator/>
      </w:r>
    </w:p>
  </w:endnote>
  <w:endnote w:type="continuationSeparator" w:id="0">
    <w:p w:rsidR="00AF6DCF" w:rsidP="004A1847" w:rsidRDefault="00AF6DCF" w14:paraId="5A3F2D9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F6DCF" w:rsidP="004A1847" w:rsidRDefault="00AF6DCF" w14:paraId="6041DBC8" w14:textId="77777777">
      <w:pPr>
        <w:spacing w:after="0" w:line="240" w:lineRule="auto"/>
      </w:pPr>
      <w:r>
        <w:separator/>
      </w:r>
    </w:p>
  </w:footnote>
  <w:footnote w:type="continuationSeparator" w:id="0">
    <w:p w:rsidR="00AF6DCF" w:rsidP="004A1847" w:rsidRDefault="00AF6DCF" w14:paraId="6E9F7B64" w14:textId="77777777">
      <w:pPr>
        <w:spacing w:after="0" w:line="240" w:lineRule="auto"/>
      </w:pPr>
      <w:r>
        <w:continuationSeparator/>
      </w:r>
    </w:p>
  </w:footnote>
  <w:footnote w:id="1">
    <w:p w:rsidRPr="007716C6" w:rsidR="008A380F" w:rsidP="008A380F" w:rsidRDefault="008A380F" w14:paraId="729B166F" w14:textId="77777777">
      <w:pPr>
        <w:pStyle w:val="Textonotapie"/>
        <w:jc w:val="both"/>
        <w:rPr>
          <w:rFonts w:ascii="Verdana" w:hAnsi="Verdana"/>
          <w:sz w:val="18"/>
          <w:szCs w:val="18"/>
          <w:lang w:val="es-ES"/>
        </w:rPr>
      </w:pPr>
      <w:r w:rsidRPr="007716C6">
        <w:rPr>
          <w:rStyle w:val="Refdenotaalpie"/>
          <w:rFonts w:ascii="Verdana" w:hAnsi="Verdana"/>
          <w:sz w:val="18"/>
          <w:szCs w:val="18"/>
        </w:rPr>
        <w:footnoteRef/>
      </w:r>
      <w:r w:rsidRPr="007716C6">
        <w:rPr>
          <w:rFonts w:ascii="Verdana" w:hAnsi="Verdana"/>
          <w:sz w:val="18"/>
          <w:szCs w:val="18"/>
        </w:rPr>
        <w:t>https://www.colombiacompra.gov.co/wp-content/uploads/2024/08/2016-Guia-para-la-liquidacion-contratos-estatales-G-LPC-01.pdf</w:t>
      </w:r>
    </w:p>
  </w:footnote>
  <w:footnote w:id="2">
    <w:p w:rsidRPr="0027107E" w:rsidR="008A380F" w:rsidP="008A380F" w:rsidRDefault="008A380F" w14:paraId="42B89570" w14:textId="77777777">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7107E">
        <w:rPr>
          <w:rFonts w:ascii="Verdana" w:hAnsi="Verdana" w:cs="Arial"/>
          <w:color w:val="000000"/>
          <w:sz w:val="16"/>
          <w:szCs w:val="16"/>
          <w:shd w:val="clear" w:color="auto" w:fill="FFFFFF"/>
        </w:rPr>
        <w:t>” (</w:t>
      </w:r>
      <w:r w:rsidRPr="0027107E">
        <w:rPr>
          <w:rFonts w:ascii="Verdana" w:hAnsi="Verdana" w:cs="Arial"/>
          <w:color w:val="000000"/>
          <w:sz w:val="16"/>
          <w:szCs w:val="16"/>
        </w:rPr>
        <w:t>EXPOSITO, Juan Carlos. Forma y contenido del contrato estatal. Bogotá: Universidad Externado de Colombia, p. 89 y 90).</w:t>
      </w:r>
    </w:p>
  </w:footnote>
  <w:footnote w:id="3">
    <w:p w:rsidRPr="0027107E" w:rsidR="008A380F" w:rsidP="008A380F" w:rsidRDefault="008A380F" w14:paraId="3E49BFEE" w14:textId="77777777">
      <w:pPr>
        <w:pStyle w:val="Textonotapie"/>
        <w:ind w:firstLine="708"/>
        <w:jc w:val="both"/>
        <w:rPr>
          <w:rFonts w:ascii="Verdana" w:hAnsi="Verdana" w:cs="Arial"/>
          <w:color w:val="000000"/>
          <w:sz w:val="16"/>
          <w:szCs w:val="16"/>
          <w:lang w:val="es-CO"/>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4">
    <w:p w:rsidR="008A380F" w:rsidP="008A380F" w:rsidRDefault="008A380F" w14:paraId="2E54E9ED" w14:textId="77777777">
      <w:pPr>
        <w:spacing w:after="0"/>
        <w:ind w:firstLine="708"/>
        <w:jc w:val="both"/>
        <w:rPr>
          <w:rFonts w:ascii="Verdana" w:hAnsi="Verdana" w:cs="Arial"/>
          <w:color w:val="000000"/>
          <w:sz w:val="16"/>
          <w:szCs w:val="16"/>
        </w:rPr>
      </w:pPr>
    </w:p>
    <w:p w:rsidRPr="0027107E" w:rsidR="008A380F" w:rsidP="008A380F" w:rsidRDefault="008A380F" w14:paraId="0A9EE21F" w14:textId="77777777">
      <w:pPr>
        <w:spacing w:after="0"/>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rsidRPr="0027107E" w:rsidR="008A380F" w:rsidP="008A380F" w:rsidRDefault="008A380F" w14:paraId="0C557B82" w14:textId="77777777">
      <w:pPr>
        <w:pStyle w:val="Textonotapie"/>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COLOMBIA COMPRA EFICIENTE. Guía para la Liquidación de los Procesos de Contratación. página 5, disponible en: </w:t>
      </w:r>
      <w:hyperlink w:history="1" r:id="rId1">
        <w:r w:rsidRPr="0027107E">
          <w:rPr>
            <w:rStyle w:val="Hipervnculo"/>
            <w:rFonts w:ascii="Verdana" w:hAnsi="Verdana" w:cs="Arial"/>
            <w:sz w:val="16"/>
            <w:szCs w:val="16"/>
          </w:rPr>
          <w:t xml:space="preserve">https://www.colombiacompra.gov.co/sites/cce_public/files/cce_documents/cce_guia_liquidacion_procesos.pdf  </w:t>
        </w:r>
      </w:hyperlink>
    </w:p>
  </w:footnote>
  <w:footnote w:id="6">
    <w:p w:rsidRPr="0027107E" w:rsidR="008A380F" w:rsidP="008A380F" w:rsidRDefault="008A380F" w14:paraId="466FDF33" w14:textId="77777777">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7">
    <w:p w:rsidRPr="00224A89" w:rsidR="008A380F" w:rsidP="008A380F" w:rsidRDefault="008A380F" w14:paraId="4CD2917A" w14:textId="77777777">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8">
    <w:p w:rsidRPr="00224A89" w:rsidR="008A380F" w:rsidP="008A380F" w:rsidRDefault="008A380F" w14:paraId="4523C904" w14:textId="77777777">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9">
    <w:p w:rsidRPr="00E561B8" w:rsidR="008A380F" w:rsidP="008A380F" w:rsidRDefault="008A380F" w14:paraId="08E3742D" w14:textId="77777777">
      <w:pPr>
        <w:pStyle w:val="Textonotapie"/>
        <w:ind w:firstLine="708"/>
        <w:jc w:val="both"/>
        <w:rPr>
          <w:rFonts w:ascii="Verdana" w:hAnsi="Verdana" w:cs="Arial"/>
          <w:sz w:val="16"/>
          <w:szCs w:val="16"/>
          <w:lang w:val="en-US"/>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w:t>
      </w:r>
      <w:r w:rsidRPr="00E561B8">
        <w:rPr>
          <w:rFonts w:ascii="Verdana" w:hAnsi="Verdana" w:cs="Arial"/>
          <w:sz w:val="16"/>
          <w:szCs w:val="16"/>
          <w:lang w:val="en-US"/>
        </w:rPr>
        <w:t>Op. cit., pp. 255-256.</w:t>
      </w:r>
    </w:p>
  </w:footnote>
  <w:footnote w:id="10">
    <w:p w:rsidRPr="00E561B8" w:rsidR="008A380F" w:rsidP="008A380F" w:rsidRDefault="008A380F" w14:paraId="18EC8E09" w14:textId="77777777">
      <w:pPr>
        <w:pStyle w:val="Textonotapie"/>
        <w:jc w:val="both"/>
        <w:rPr>
          <w:rFonts w:ascii="Verdana" w:hAnsi="Verdana"/>
          <w:sz w:val="18"/>
          <w:szCs w:val="18"/>
          <w:lang w:val="en-US"/>
        </w:rPr>
      </w:pPr>
      <w:r w:rsidRPr="007716C6">
        <w:rPr>
          <w:rStyle w:val="Refdenotaalpie"/>
          <w:rFonts w:ascii="Verdana" w:hAnsi="Verdana"/>
          <w:sz w:val="18"/>
          <w:szCs w:val="18"/>
        </w:rPr>
        <w:footnoteRef/>
      </w:r>
      <w:r w:rsidRPr="00E561B8">
        <w:rPr>
          <w:rFonts w:ascii="Verdana" w:hAnsi="Verdana"/>
          <w:sz w:val="18"/>
          <w:szCs w:val="18"/>
          <w:lang w:val="en-US"/>
        </w:rPr>
        <w:t>https://www.colombiacompra.gov.co/wp-content/uploads/2024/08/2016-Guia-para-la-liquidacion-contratos-estatales-G-LPC-01.pdf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pt;height:12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3E9F0D97"/>
    <w:multiLevelType w:val="hybridMultilevel"/>
    <w:tmpl w:val="6BB46A96"/>
    <w:lvl w:ilvl="0" w:tplc="91AE5E12">
      <w:start w:val="1"/>
      <w:numFmt w:val="lowerRoman"/>
      <w:lvlText w:val="%1."/>
      <w:lvlJc w:val="left"/>
      <w:pPr>
        <w:ind w:left="72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3A40A52"/>
    <w:multiLevelType w:val="hybridMultilevel"/>
    <w:tmpl w:val="FA680F22"/>
    <w:lvl w:ilvl="0" w:tplc="4072C6C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367487452">
    <w:abstractNumId w:val="0"/>
  </w:num>
  <w:num w:numId="17" w16cid:durableId="1021398358">
    <w:abstractNumId w:val="9"/>
  </w:num>
  <w:num w:numId="18" w16cid:durableId="834958142">
    <w:abstractNumId w:val="10"/>
  </w:num>
  <w:num w:numId="19" w16cid:durableId="16872500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4216"/>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3FB1"/>
    <w:rsid w:val="003A779E"/>
    <w:rsid w:val="003D0F4D"/>
    <w:rsid w:val="003D5B0D"/>
    <w:rsid w:val="003E0499"/>
    <w:rsid w:val="003E4F80"/>
    <w:rsid w:val="003E6439"/>
    <w:rsid w:val="003F3941"/>
    <w:rsid w:val="00406575"/>
    <w:rsid w:val="00410342"/>
    <w:rsid w:val="00414C74"/>
    <w:rsid w:val="0042722E"/>
    <w:rsid w:val="0044528D"/>
    <w:rsid w:val="00466E39"/>
    <w:rsid w:val="00484B64"/>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4AB2"/>
    <w:rsid w:val="0075235A"/>
    <w:rsid w:val="00756841"/>
    <w:rsid w:val="007649AB"/>
    <w:rsid w:val="00771D0C"/>
    <w:rsid w:val="007833AC"/>
    <w:rsid w:val="007A75ED"/>
    <w:rsid w:val="007B268C"/>
    <w:rsid w:val="007B7171"/>
    <w:rsid w:val="007C0C0F"/>
    <w:rsid w:val="007C3DC2"/>
    <w:rsid w:val="007E5497"/>
    <w:rsid w:val="00806F5F"/>
    <w:rsid w:val="00820278"/>
    <w:rsid w:val="008258C9"/>
    <w:rsid w:val="00844AE9"/>
    <w:rsid w:val="00867F95"/>
    <w:rsid w:val="008843B6"/>
    <w:rsid w:val="00891928"/>
    <w:rsid w:val="008A380F"/>
    <w:rsid w:val="008A446D"/>
    <w:rsid w:val="008B25F1"/>
    <w:rsid w:val="008D180B"/>
    <w:rsid w:val="008F0EA7"/>
    <w:rsid w:val="00923EEF"/>
    <w:rsid w:val="009419F9"/>
    <w:rsid w:val="0095685E"/>
    <w:rsid w:val="00961B09"/>
    <w:rsid w:val="00965334"/>
    <w:rsid w:val="0097093E"/>
    <w:rsid w:val="009A0DFA"/>
    <w:rsid w:val="009A1C6F"/>
    <w:rsid w:val="009A2482"/>
    <w:rsid w:val="009B2D26"/>
    <w:rsid w:val="009C71FA"/>
    <w:rsid w:val="009C72E7"/>
    <w:rsid w:val="009C7F7E"/>
    <w:rsid w:val="009D3058"/>
    <w:rsid w:val="009F3A13"/>
    <w:rsid w:val="00A122D3"/>
    <w:rsid w:val="00A14468"/>
    <w:rsid w:val="00A17F13"/>
    <w:rsid w:val="00A20739"/>
    <w:rsid w:val="00A23AF9"/>
    <w:rsid w:val="00A33C78"/>
    <w:rsid w:val="00AB0ADB"/>
    <w:rsid w:val="00AF6DCF"/>
    <w:rsid w:val="00B00C0E"/>
    <w:rsid w:val="00B01B1A"/>
    <w:rsid w:val="00B0381D"/>
    <w:rsid w:val="00B3648E"/>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93F1F"/>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95BCC9"/>
    <w:rsid w:val="0EFE6349"/>
    <w:rsid w:val="0FF4CCA8"/>
    <w:rsid w:val="13CFC91B"/>
    <w:rsid w:val="19A2EC2C"/>
    <w:rsid w:val="1DA11D4D"/>
    <w:rsid w:val="21779BE6"/>
    <w:rsid w:val="2859CA1B"/>
    <w:rsid w:val="2C4D2425"/>
    <w:rsid w:val="2EE1E026"/>
    <w:rsid w:val="2F44F38F"/>
    <w:rsid w:val="30821638"/>
    <w:rsid w:val="32A4F9CF"/>
    <w:rsid w:val="33A1FF93"/>
    <w:rsid w:val="356CEDFD"/>
    <w:rsid w:val="36199200"/>
    <w:rsid w:val="3945241E"/>
    <w:rsid w:val="3C591AFD"/>
    <w:rsid w:val="3F733880"/>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8A380F"/>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A380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colombiacompra.gov.co/normativa-y-relatoria/documentos-tipo"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formacionvirtual.colombiacompra.gov.co/mod/page/view.php?id=3718"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relatoria.colombiacompra.gov.co/" TargetMode="External" Id="rId11" /><Relationship Type="http://schemas.openxmlformats.org/officeDocument/2006/relationships/styles" Target="styles.xml" Id="rId5" /><Relationship Type="http://schemas.openxmlformats.org/officeDocument/2006/relationships/image" Target="media/image2.jpeg" Id="rId15" /><Relationship Type="http://schemas.openxmlformats.org/officeDocument/2006/relationships/hyperlink" Target="https://www.colombiacompra.gov.co/sites/cce_public/files/cce_documents/cce_guia_liquidacion_procesos.pdf" TargetMode="External"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4" /><Relationship Type="http://schemas.openxmlformats.org/officeDocument/2006/relationships/image" Target="/media/image3.png" Id="rId737660680" /></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1A3922-306D-4F1C-B2C8-315AC4CB7C9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2026-05-06T12:21:00Z</dcterms:created>
  <dcterms:modified xsi:type="dcterms:W3CDTF">2026-05-09T12:07:10Z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