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14063" w14:textId="77777777" w:rsidR="00026F63" w:rsidRPr="008979D2" w:rsidRDefault="00026F63" w:rsidP="00026F63">
      <w:pPr>
        <w:spacing w:after="0"/>
        <w:jc w:val="both"/>
        <w:rPr>
          <w:rFonts w:ascii="Verdana" w:eastAsia="Verdana" w:hAnsi="Verdana" w:cs="Verdana"/>
        </w:rPr>
      </w:pPr>
      <w:bookmarkStart w:id="0" w:name="_Hlk143780582"/>
      <w:r w:rsidRPr="008979D2">
        <w:rPr>
          <w:rFonts w:ascii="Verdana" w:eastAsia="Calibri" w:hAnsi="Verdana" w:cs="Arial"/>
          <w:b/>
          <w:bCs/>
          <w:lang w:val="es-ES" w:eastAsia="es-ES"/>
        </w:rPr>
        <w:t>DOCUMENTOS TIPO DE INFRAESTRUCTURA SOCIAL – Generalidades – Versión 2</w:t>
      </w:r>
    </w:p>
    <w:p w14:paraId="0B7FF341" w14:textId="77777777" w:rsidR="00026F63" w:rsidRPr="007A59F0" w:rsidRDefault="00026F63" w:rsidP="00026F63">
      <w:pPr>
        <w:spacing w:after="0" w:line="240" w:lineRule="auto"/>
        <w:jc w:val="both"/>
        <w:rPr>
          <w:rFonts w:ascii="Verdana" w:eastAsia="Calibri" w:hAnsi="Verdana" w:cs="Arial"/>
          <w:b/>
          <w:bCs/>
          <w:color w:val="99CCFF"/>
          <w:lang w:eastAsia="es-ES_tradnl"/>
        </w:rPr>
      </w:pPr>
    </w:p>
    <w:p w14:paraId="46A3BD8F" w14:textId="77777777" w:rsidR="00026F63" w:rsidRPr="008E50B7" w:rsidRDefault="00026F63" w:rsidP="00026F63">
      <w:pPr>
        <w:spacing w:after="0" w:line="240" w:lineRule="auto"/>
        <w:jc w:val="both"/>
        <w:rPr>
          <w:rFonts w:ascii="Verdana" w:eastAsia="Calibri" w:hAnsi="Verdana" w:cs="Arial"/>
          <w:sz w:val="20"/>
          <w:szCs w:val="20"/>
          <w:lang w:val="es-ES" w:eastAsia="es-ES"/>
        </w:rPr>
      </w:pPr>
      <w:r w:rsidRPr="008E50B7">
        <w:rPr>
          <w:rFonts w:ascii="Verdana" w:eastAsia="Calibri" w:hAnsi="Verdana" w:cs="Arial"/>
          <w:sz w:val="20"/>
          <w:szCs w:val="20"/>
          <w:lang w:val="es-ES" w:eastAsia="es-ES"/>
        </w:rPr>
        <w:t xml:space="preserve">En desarrollo de la Ley 2022 de 2020, la Agencia Nacional de Contratación Pública – Colombia Compra Eficiente expidió la Resolución 219 del 6 de agosto de 2021, “Por la cual se adoptan los documentos tipo para los procesos de licitación de obra pública de infraestructura social”. Dentro de esta categoría fue incluida la infraestructura asociada a los sectores de salud, educación, y cultura, recreación y deporte, tal como lo establece el parágrafo 2 del artículo 2 de la resolución indicada, de la siguiente manera: “Estos documentos tipo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 </w:t>
      </w:r>
      <w:r w:rsidRPr="008E50B7">
        <w:rPr>
          <w:rFonts w:ascii="Verdana" w:eastAsia="Calibri" w:hAnsi="Verdana" w:cs="Arial"/>
          <w:sz w:val="20"/>
          <w:szCs w:val="20"/>
          <w:lang w:val="es-ES" w:eastAsia="es-ES"/>
        </w:rPr>
        <w:tab/>
      </w:r>
    </w:p>
    <w:p w14:paraId="12ABF297" w14:textId="77777777" w:rsidR="00026F63" w:rsidRPr="00174DE9" w:rsidRDefault="00026F63" w:rsidP="00026F63">
      <w:pPr>
        <w:spacing w:after="0" w:line="240" w:lineRule="auto"/>
        <w:jc w:val="both"/>
        <w:rPr>
          <w:rFonts w:ascii="Verdana" w:eastAsia="Calibri" w:hAnsi="Verdana" w:cs="Arial"/>
          <w:sz w:val="20"/>
          <w:szCs w:val="20"/>
          <w:lang w:val="es-ES" w:eastAsia="es-ES"/>
        </w:rPr>
      </w:pPr>
      <w:r w:rsidRPr="008E50B7">
        <w:rPr>
          <w:rFonts w:ascii="Verdana" w:eastAsia="Calibri" w:hAnsi="Verdana" w:cs="Arial"/>
          <w:sz w:val="20"/>
          <w:szCs w:val="20"/>
          <w:lang w:val="es-ES" w:eastAsia="es-ES"/>
        </w:rPr>
        <w:t xml:space="preserve">Como puede observarse, la Resolución 219 de 2021 contiene un listado enunciativo de los sectores relacionados con los proyectos de infraestructura social a los cuales aplican los documentos tipo –educativo; salud; cultura, recreación y deporte–. 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14:paraId="698643F3" w14:textId="77777777" w:rsidR="00026F63" w:rsidRPr="00174DE9" w:rsidRDefault="00026F63" w:rsidP="00026F63">
      <w:pPr>
        <w:spacing w:after="0" w:line="240" w:lineRule="auto"/>
        <w:jc w:val="both"/>
        <w:rPr>
          <w:rFonts w:ascii="Verdana" w:eastAsia="Calibri" w:hAnsi="Verdana" w:cs="Arial"/>
          <w:b/>
          <w:lang w:val="es-ES" w:eastAsia="es-ES_tradnl"/>
        </w:rPr>
      </w:pPr>
    </w:p>
    <w:p w14:paraId="5EE9AADA" w14:textId="77777777" w:rsidR="00026F63" w:rsidRPr="00174DE9" w:rsidRDefault="00026F63" w:rsidP="00026F63">
      <w:pPr>
        <w:spacing w:after="0" w:line="240" w:lineRule="auto"/>
        <w:jc w:val="both"/>
        <w:rPr>
          <w:rFonts w:ascii="Verdana" w:eastAsia="Calibri" w:hAnsi="Verdana" w:cs="Arial"/>
          <w:b/>
          <w:lang w:val="es-ES" w:eastAsia="es-ES_tradnl"/>
        </w:rPr>
      </w:pPr>
      <w:r w:rsidRPr="00174DE9">
        <w:rPr>
          <w:rFonts w:ascii="Verdana" w:eastAsia="Calibri" w:hAnsi="Verdana" w:cs="Arial"/>
          <w:b/>
          <w:lang w:val="es-ES" w:eastAsia="es-ES_tradnl"/>
        </w:rPr>
        <w:t>DOCUMENTOS TIPO DE INFRAESTRUCTURA SOCIAL – Sector Institucional – Grupo de Ocupación Institucional</w:t>
      </w:r>
    </w:p>
    <w:p w14:paraId="454C4469" w14:textId="77777777" w:rsidR="00026F63" w:rsidRPr="00D75030" w:rsidRDefault="00026F63" w:rsidP="00026F63">
      <w:pPr>
        <w:snapToGrid w:val="0"/>
        <w:spacing w:after="120" w:line="240" w:lineRule="auto"/>
        <w:jc w:val="both"/>
        <w:rPr>
          <w:rFonts w:ascii="Verdana" w:eastAsia="Aptos" w:hAnsi="Verdana" w:cs="Aptos"/>
          <w:kern w:val="2"/>
          <w:sz w:val="20"/>
          <w:szCs w:val="20"/>
          <w14:ligatures w14:val="standardContextual"/>
        </w:rPr>
      </w:pPr>
    </w:p>
    <w:p w14:paraId="19E95A78" w14:textId="77777777" w:rsidR="00026F63" w:rsidRPr="009B665F" w:rsidRDefault="00026F63" w:rsidP="00026F63">
      <w:pPr>
        <w:snapToGrid w:val="0"/>
        <w:spacing w:after="120" w:line="240" w:lineRule="auto"/>
        <w:jc w:val="both"/>
        <w:rPr>
          <w:rFonts w:ascii="Verdana" w:eastAsia="Aptos" w:hAnsi="Verdana" w:cs="Aptos"/>
          <w:kern w:val="2"/>
          <w:sz w:val="20"/>
          <w:szCs w:val="20"/>
          <w:lang w:val="es-ES"/>
          <w14:ligatures w14:val="standardContextual"/>
        </w:rPr>
      </w:pPr>
      <w:r w:rsidRPr="45D7B536">
        <w:rPr>
          <w:rFonts w:ascii="Verdana" w:eastAsia="Aptos" w:hAnsi="Verdana" w:cs="Aptos"/>
          <w:kern w:val="2"/>
          <w:sz w:val="20"/>
          <w:szCs w:val="20"/>
          <w:lang w:val="es-ES"/>
          <w14:ligatures w14:val="standardContextual"/>
        </w:rPr>
        <w:t>Para determinar qué infraestructura abarca este sector, debe indicarse que, de conformidad con la norma NSR-10 en el Subgrupo de Ocupación Institucional de Servicio Público (I-5) “se clasifican las edificaciones o espacios destinados a funciones administrativas y prestación de servicios públicos necesarios para el buen funcionamiento de las ciudades”. Entre las edificaciones o espacios que pertenecen a este subgrupo se encuentran las siguientes: “Centros de comunicación o administrativos o administrativos de servicios municipales, distritales o gubernamentales, juzgados y otros similares”.</w:t>
      </w:r>
    </w:p>
    <w:p w14:paraId="28407DC5" w14:textId="77777777" w:rsidR="00026F63" w:rsidRPr="009B665F" w:rsidRDefault="00026F63" w:rsidP="00026F63">
      <w:pPr>
        <w:snapToGrid w:val="0"/>
        <w:spacing w:after="120" w:line="240" w:lineRule="auto"/>
        <w:jc w:val="both"/>
        <w:rPr>
          <w:rFonts w:ascii="Verdana" w:eastAsia="Aptos" w:hAnsi="Verdana" w:cs="Aptos"/>
          <w:kern w:val="2"/>
          <w:sz w:val="20"/>
          <w:szCs w:val="20"/>
          <w:lang w:val="es-ES_tradnl"/>
          <w14:ligatures w14:val="standardContextual"/>
        </w:rPr>
      </w:pPr>
      <w:r w:rsidRPr="009B665F">
        <w:rPr>
          <w:rFonts w:ascii="Verdana" w:eastAsia="Aptos" w:hAnsi="Verdana" w:cs="Aptos"/>
          <w:kern w:val="2"/>
          <w:sz w:val="20"/>
          <w:szCs w:val="20"/>
          <w:lang w:val="es-ES_tradnl"/>
          <w14:ligatures w14:val="standardContextual"/>
        </w:rPr>
        <w:t>En este sentido, el Subgrupo de Ocupación Institucional de Servicio Público corresponde a una categoría de clasificación establecida por la NSR-10, que agrupa aquellas edificaciones o espacios destinados al ejercicio de funciones administrativas y a la prestación de servicios públicos esenciales para el adecuado funcionamiento de las ciudades. Este subgrupo comprende centros de comunicación, administrativos y sedes de servicios en distintos niveles, juzgados y otros similares. La expresión “otros similares” pone en evidencia que la enumeración no es taxativa, sino enunciativa, por lo incluye todas aquellas edificaciones que por su naturaleza y finalidad están orientadas a la prestación de servicios públicos y al desarrollo de funciones institucionales del Estado.</w:t>
      </w:r>
    </w:p>
    <w:p w14:paraId="4D25AFAE" w14:textId="77777777" w:rsidR="00026F63" w:rsidRPr="009B665F" w:rsidRDefault="00026F63" w:rsidP="00026F63">
      <w:pPr>
        <w:spacing w:after="0" w:line="240" w:lineRule="auto"/>
        <w:rPr>
          <w:rFonts w:ascii="Verdana" w:hAnsi="Verdana"/>
          <w:b/>
          <w:bCs/>
          <w:color w:val="99CCFF"/>
          <w:sz w:val="20"/>
          <w:szCs w:val="20"/>
          <w:lang w:val="es-ES_tradnl"/>
        </w:rPr>
      </w:pPr>
    </w:p>
    <w:p w14:paraId="39D17A22" w14:textId="77777777" w:rsidR="00026F63" w:rsidRDefault="00026F63" w:rsidP="00026F63">
      <w:pPr>
        <w:snapToGrid w:val="0"/>
        <w:spacing w:after="0" w:line="276" w:lineRule="auto"/>
        <w:jc w:val="both"/>
        <w:rPr>
          <w:rFonts w:ascii="Verdana" w:eastAsia="Aptos" w:hAnsi="Verdana" w:cs="Times New Roman"/>
          <w:b/>
          <w:bCs/>
          <w:lang w:eastAsia="es-MX"/>
        </w:rPr>
      </w:pPr>
      <w:r w:rsidRPr="008979D2">
        <w:rPr>
          <w:rFonts w:ascii="Verdana" w:eastAsia="Aptos" w:hAnsi="Verdana" w:cs="Times New Roman"/>
          <w:b/>
          <w:bCs/>
          <w:lang w:eastAsia="es-MX"/>
        </w:rPr>
        <w:lastRenderedPageBreak/>
        <w:t xml:space="preserve">DOCUMENTOS TIPO DE INFRAESTRUCTURA SOCIAL – Sector Institucional – Matriz – Experiencia </w:t>
      </w:r>
    </w:p>
    <w:p w14:paraId="34472E9D" w14:textId="77777777" w:rsidR="00026F63" w:rsidRPr="008979D2" w:rsidRDefault="00026F63" w:rsidP="00026F63">
      <w:pPr>
        <w:snapToGrid w:val="0"/>
        <w:spacing w:after="0" w:line="276" w:lineRule="auto"/>
        <w:jc w:val="both"/>
        <w:rPr>
          <w:rFonts w:ascii="Verdana" w:eastAsia="Calibri" w:hAnsi="Verdana" w:cs="Arial"/>
          <w:color w:val="000000"/>
          <w:lang w:val="es-ES" w:eastAsia="es-MX"/>
        </w:rPr>
      </w:pPr>
    </w:p>
    <w:p w14:paraId="29D402B8" w14:textId="77777777" w:rsidR="00026F63" w:rsidRPr="00DF0C33" w:rsidRDefault="00026F63" w:rsidP="00026F63">
      <w:pPr>
        <w:spacing w:after="0" w:line="240" w:lineRule="auto"/>
        <w:jc w:val="both"/>
        <w:rPr>
          <w:rFonts w:ascii="Verdana" w:hAnsi="Verdana"/>
          <w:sz w:val="20"/>
          <w:szCs w:val="20"/>
          <w:lang w:val="es-ES_tradnl"/>
        </w:rPr>
      </w:pPr>
      <w:r w:rsidRPr="00D01D29">
        <w:rPr>
          <w:rFonts w:ascii="Verdana" w:hAnsi="Verdana"/>
          <w:sz w:val="20"/>
          <w:szCs w:val="20"/>
          <w:lang w:val="es-ES_tradnl"/>
        </w:rPr>
        <w:t>La “Matriz 1 – Experiencia” del Sector Institucional, en las modalidades de licitación pública, selección abreviada de menor cuantía y mínima cuantía, dispone de unos tipos de obras y actividades que recaen sobre infraestructura institucional. Esto es importante para precisar el ámbito de aplicación de los documentos tipo de este sector adoptados en el capítulo V de las Resoluciones No. 539, 540 y 541 de 2025.</w:t>
      </w:r>
    </w:p>
    <w:p w14:paraId="457923D6" w14:textId="77777777" w:rsidR="00026F63" w:rsidRPr="00DF0C33" w:rsidRDefault="00026F63" w:rsidP="00026F63">
      <w:pPr>
        <w:spacing w:after="0" w:line="240" w:lineRule="auto"/>
        <w:jc w:val="both"/>
        <w:rPr>
          <w:rFonts w:ascii="Verdana" w:hAnsi="Verdana"/>
          <w:sz w:val="20"/>
          <w:szCs w:val="20"/>
          <w:lang w:val="es-ES_tradnl"/>
        </w:rPr>
      </w:pPr>
    </w:p>
    <w:p w14:paraId="53609E29" w14:textId="77777777" w:rsidR="00026F63" w:rsidRPr="00DF0C33" w:rsidRDefault="00026F63" w:rsidP="00026F63">
      <w:pPr>
        <w:spacing w:after="0" w:line="240" w:lineRule="auto"/>
        <w:jc w:val="both"/>
        <w:rPr>
          <w:rFonts w:ascii="Verdana" w:hAnsi="Verdana"/>
          <w:sz w:val="20"/>
          <w:szCs w:val="20"/>
          <w:lang w:val="es-ES_tradnl"/>
        </w:rPr>
      </w:pPr>
      <w:r w:rsidRPr="00DF0C33">
        <w:rPr>
          <w:rFonts w:ascii="Verdana" w:hAnsi="Verdana"/>
          <w:sz w:val="20"/>
          <w:szCs w:val="20"/>
          <w:lang w:val="es-ES_tradnl"/>
        </w:rPr>
        <w:t>(…)</w:t>
      </w:r>
    </w:p>
    <w:p w14:paraId="3CA0676E" w14:textId="77777777" w:rsidR="00026F63" w:rsidRPr="00DF0C33" w:rsidRDefault="00026F63" w:rsidP="00026F63">
      <w:pPr>
        <w:spacing w:after="0" w:line="240" w:lineRule="auto"/>
        <w:jc w:val="both"/>
        <w:rPr>
          <w:rFonts w:ascii="Verdana" w:hAnsi="Verdana"/>
          <w:sz w:val="20"/>
          <w:szCs w:val="20"/>
          <w:lang w:val="es-ES_tradnl"/>
        </w:rPr>
      </w:pPr>
    </w:p>
    <w:p w14:paraId="70ACCD4F" w14:textId="77777777" w:rsidR="00026F63" w:rsidRPr="00D01D29" w:rsidRDefault="00026F63" w:rsidP="00026F63">
      <w:pPr>
        <w:spacing w:after="0" w:line="240" w:lineRule="auto"/>
        <w:jc w:val="both"/>
        <w:rPr>
          <w:rFonts w:ascii="Verdana" w:hAnsi="Verdana"/>
          <w:i/>
          <w:iCs/>
          <w:sz w:val="20"/>
          <w:szCs w:val="20"/>
          <w:lang w:val="es-ES_tradnl"/>
        </w:rPr>
      </w:pPr>
      <w:r w:rsidRPr="00D01D29">
        <w:rPr>
          <w:rFonts w:ascii="Verdana" w:hAnsi="Verdana"/>
          <w:sz w:val="20"/>
          <w:szCs w:val="20"/>
          <w:lang w:val="es-ES_tradnl"/>
        </w:rPr>
        <w:t xml:space="preserve">En los documentos tipo complementarios del sector institucional, en las modalidades de licitación de obra pública, selección abreviada de menor cuantía y mínima cuantía, en la Matriz 1 para el tipo de obras de ese sector, se encuentran los siguientes tipos de infraestructura institucional: </w:t>
      </w:r>
      <w:r w:rsidRPr="00D01D29">
        <w:rPr>
          <w:rFonts w:ascii="Verdana" w:hAnsi="Verdana"/>
          <w:i/>
          <w:iCs/>
          <w:sz w:val="20"/>
          <w:szCs w:val="20"/>
          <w:lang w:val="es-ES_tradnl"/>
        </w:rPr>
        <w:t xml:space="preserve">1. Obras en proyectos de infraestructura institucional de seguridad pública, 2. Obras en proyectos de infraestructura institucional de servicio público, 3. Obras en proyectos de infraestructura institucional - sitios de reclusión,  4. Obras en vías de acceso o parqueaderos o zonas de circulación (vehicular o peatonal) o plazuelas o plazas o plazuelas en edificaciones institucionales,  5. Obras para atención, prevención o mitigación de emergencias diferentes a contratación directa para el sector institucional. </w:t>
      </w:r>
    </w:p>
    <w:p w14:paraId="304D548C" w14:textId="77777777" w:rsidR="00026F63" w:rsidRPr="00DF0C33" w:rsidRDefault="00026F63" w:rsidP="00026F63">
      <w:pPr>
        <w:spacing w:after="0" w:line="240" w:lineRule="auto"/>
        <w:rPr>
          <w:rFonts w:ascii="Verdana" w:hAnsi="Verdana"/>
          <w:lang w:val="es-ES_tradnl"/>
        </w:rPr>
      </w:pPr>
    </w:p>
    <w:p w14:paraId="21B15AA6" w14:textId="77777777" w:rsidR="00026F63" w:rsidRPr="00DF0C33" w:rsidRDefault="00026F63" w:rsidP="00026F63">
      <w:pPr>
        <w:spacing w:after="0" w:line="240" w:lineRule="auto"/>
        <w:rPr>
          <w:rFonts w:ascii="Verdana" w:hAnsi="Verdana"/>
        </w:rPr>
      </w:pPr>
    </w:p>
    <w:p w14:paraId="2BEF5957" w14:textId="77777777" w:rsidR="00026F63" w:rsidRPr="007A59F0" w:rsidRDefault="00026F63" w:rsidP="00026F63">
      <w:pPr>
        <w:spacing w:after="0" w:line="240" w:lineRule="auto"/>
        <w:rPr>
          <w:rFonts w:ascii="Verdana" w:hAnsi="Verdana"/>
          <w:color w:val="99CCFF"/>
        </w:rPr>
      </w:pPr>
    </w:p>
    <w:p w14:paraId="18431994" w14:textId="77777777" w:rsidR="00026F63" w:rsidRPr="007A59F0" w:rsidRDefault="00026F63" w:rsidP="00026F63">
      <w:pPr>
        <w:spacing w:after="0" w:line="240" w:lineRule="auto"/>
        <w:rPr>
          <w:rFonts w:ascii="Verdana" w:hAnsi="Verdana"/>
          <w:color w:val="99CCFF"/>
        </w:rPr>
      </w:pPr>
    </w:p>
    <w:p w14:paraId="6138F45E" w14:textId="77777777" w:rsidR="00026F63" w:rsidRPr="007A59F0" w:rsidRDefault="00026F63" w:rsidP="00026F63">
      <w:pPr>
        <w:spacing w:after="0" w:line="240" w:lineRule="auto"/>
        <w:rPr>
          <w:rFonts w:ascii="Verdana" w:hAnsi="Verdana"/>
          <w:color w:val="99CCFF"/>
        </w:rPr>
      </w:pPr>
    </w:p>
    <w:p w14:paraId="61039D6D" w14:textId="77777777" w:rsidR="00026F63" w:rsidRPr="007A59F0" w:rsidRDefault="00026F63" w:rsidP="00026F63">
      <w:pPr>
        <w:spacing w:after="0" w:line="240" w:lineRule="auto"/>
        <w:rPr>
          <w:rFonts w:ascii="Verdana" w:hAnsi="Verdana"/>
          <w:color w:val="99CCFF"/>
        </w:rPr>
      </w:pPr>
    </w:p>
    <w:p w14:paraId="62BB5249" w14:textId="77777777" w:rsidR="00026F63" w:rsidRPr="007A59F0" w:rsidRDefault="00026F63" w:rsidP="00026F63">
      <w:pPr>
        <w:spacing w:after="0" w:line="240" w:lineRule="auto"/>
        <w:rPr>
          <w:rFonts w:ascii="Verdana" w:hAnsi="Verdana"/>
          <w:color w:val="99CCFF"/>
        </w:rPr>
      </w:pPr>
    </w:p>
    <w:p w14:paraId="4750A5BE" w14:textId="77777777" w:rsidR="00026F63" w:rsidRPr="007A59F0" w:rsidRDefault="00026F63" w:rsidP="00026F63">
      <w:pPr>
        <w:spacing w:after="0" w:line="240" w:lineRule="auto"/>
        <w:rPr>
          <w:rFonts w:ascii="Verdana" w:hAnsi="Verdana"/>
          <w:color w:val="99CCFF"/>
        </w:rPr>
      </w:pPr>
    </w:p>
    <w:p w14:paraId="7BF34116" w14:textId="77777777" w:rsidR="00026F63" w:rsidRPr="007A59F0" w:rsidRDefault="00026F63" w:rsidP="00026F63">
      <w:pPr>
        <w:spacing w:after="0" w:line="240" w:lineRule="auto"/>
        <w:rPr>
          <w:rFonts w:ascii="Verdana" w:hAnsi="Verdana"/>
          <w:color w:val="99CCFF"/>
        </w:rPr>
      </w:pPr>
    </w:p>
    <w:p w14:paraId="3E14EBBE" w14:textId="77777777" w:rsidR="00026F63" w:rsidRPr="007A59F0" w:rsidRDefault="00026F63" w:rsidP="00026F63">
      <w:pPr>
        <w:spacing w:after="0" w:line="240" w:lineRule="auto"/>
        <w:rPr>
          <w:rFonts w:ascii="Verdana" w:hAnsi="Verdana"/>
          <w:color w:val="99CCFF"/>
        </w:rPr>
      </w:pPr>
    </w:p>
    <w:p w14:paraId="43A4B084" w14:textId="77777777" w:rsidR="00026F63" w:rsidRPr="007A59F0" w:rsidRDefault="00026F63" w:rsidP="00026F63">
      <w:pPr>
        <w:spacing w:after="0" w:line="240" w:lineRule="auto"/>
        <w:rPr>
          <w:rFonts w:ascii="Verdana" w:hAnsi="Verdana"/>
          <w:color w:val="99CCFF"/>
        </w:rPr>
      </w:pPr>
    </w:p>
    <w:p w14:paraId="20147F4A" w14:textId="77777777" w:rsidR="00026F63" w:rsidRPr="007A59F0" w:rsidRDefault="00026F63" w:rsidP="00026F63">
      <w:pPr>
        <w:spacing w:after="0" w:line="240" w:lineRule="auto"/>
        <w:rPr>
          <w:rFonts w:ascii="Verdana" w:hAnsi="Verdana"/>
          <w:color w:val="99CCFF"/>
        </w:rPr>
      </w:pPr>
    </w:p>
    <w:p w14:paraId="4D63EA5C" w14:textId="77777777" w:rsidR="00026F63" w:rsidRPr="007A59F0" w:rsidRDefault="00026F63" w:rsidP="00026F63">
      <w:pPr>
        <w:spacing w:after="0" w:line="240" w:lineRule="auto"/>
        <w:rPr>
          <w:rFonts w:ascii="Verdana" w:hAnsi="Verdana"/>
          <w:color w:val="99CCFF"/>
        </w:rPr>
      </w:pPr>
    </w:p>
    <w:p w14:paraId="0D22B945" w14:textId="77777777" w:rsidR="00026F63" w:rsidRPr="007A59F0" w:rsidRDefault="00026F63" w:rsidP="00026F63">
      <w:pPr>
        <w:spacing w:after="0" w:line="240" w:lineRule="auto"/>
        <w:rPr>
          <w:rFonts w:ascii="Verdana" w:hAnsi="Verdana"/>
          <w:color w:val="99CCFF"/>
        </w:rPr>
      </w:pPr>
    </w:p>
    <w:p w14:paraId="082A4A7C" w14:textId="77777777" w:rsidR="00026F63" w:rsidRPr="007A59F0" w:rsidRDefault="00026F63" w:rsidP="00026F63">
      <w:pPr>
        <w:spacing w:after="0" w:line="240" w:lineRule="auto"/>
        <w:rPr>
          <w:rFonts w:ascii="Verdana" w:hAnsi="Verdana"/>
          <w:color w:val="99CCFF"/>
        </w:rPr>
      </w:pPr>
    </w:p>
    <w:p w14:paraId="59783649" w14:textId="77777777" w:rsidR="00026F63" w:rsidRPr="007A59F0" w:rsidRDefault="00026F63" w:rsidP="00026F63">
      <w:pPr>
        <w:spacing w:after="0" w:line="240" w:lineRule="auto"/>
        <w:rPr>
          <w:rFonts w:ascii="Verdana" w:hAnsi="Verdana"/>
          <w:color w:val="99CCFF"/>
        </w:rPr>
      </w:pPr>
    </w:p>
    <w:p w14:paraId="73C7740B" w14:textId="77777777" w:rsidR="00026F63" w:rsidRDefault="00026F63" w:rsidP="00026F63">
      <w:pPr>
        <w:spacing w:after="0" w:line="240" w:lineRule="auto"/>
        <w:rPr>
          <w:rFonts w:ascii="Verdana" w:hAnsi="Verdana"/>
        </w:rPr>
      </w:pPr>
    </w:p>
    <w:p w14:paraId="45BBCEEB" w14:textId="77777777" w:rsidR="00026F63" w:rsidRDefault="00026F63" w:rsidP="00026F63">
      <w:pPr>
        <w:spacing w:after="0" w:line="240" w:lineRule="auto"/>
        <w:rPr>
          <w:rFonts w:ascii="Verdana" w:hAnsi="Verdana"/>
        </w:rPr>
      </w:pPr>
    </w:p>
    <w:p w14:paraId="50FDF033" w14:textId="77777777" w:rsidR="00026F63" w:rsidRDefault="00026F63" w:rsidP="00026F63">
      <w:pPr>
        <w:spacing w:after="0" w:line="240" w:lineRule="auto"/>
        <w:rPr>
          <w:rFonts w:ascii="Verdana" w:hAnsi="Verdana"/>
        </w:rPr>
      </w:pPr>
    </w:p>
    <w:p w14:paraId="38F4C4C5" w14:textId="77777777" w:rsidR="00026F63" w:rsidRDefault="00026F63" w:rsidP="00026F63">
      <w:pPr>
        <w:spacing w:after="0" w:line="240" w:lineRule="auto"/>
        <w:rPr>
          <w:rFonts w:ascii="Verdana" w:hAnsi="Verdana"/>
        </w:rPr>
      </w:pPr>
    </w:p>
    <w:p w14:paraId="212D9727" w14:textId="77777777" w:rsidR="00026F63" w:rsidRDefault="00026F63" w:rsidP="00026F63">
      <w:pPr>
        <w:spacing w:after="0" w:line="240" w:lineRule="auto"/>
        <w:rPr>
          <w:rFonts w:ascii="Verdana" w:hAnsi="Verdana"/>
        </w:rPr>
      </w:pPr>
    </w:p>
    <w:p w14:paraId="6D0C87FC" w14:textId="77777777" w:rsidR="00026F63" w:rsidRDefault="00026F63" w:rsidP="00026F63">
      <w:pPr>
        <w:spacing w:after="0" w:line="240" w:lineRule="auto"/>
        <w:rPr>
          <w:rFonts w:ascii="Verdana" w:hAnsi="Verdana"/>
        </w:rPr>
      </w:pPr>
    </w:p>
    <w:p w14:paraId="4268392C" w14:textId="35A26F71" w:rsidR="000363D9" w:rsidRDefault="000363D9" w:rsidP="00026F63">
      <w:pPr>
        <w:spacing w:after="0" w:line="240" w:lineRule="auto"/>
        <w:rPr>
          <w:rFonts w:ascii="Verdana" w:hAnsi="Verdana"/>
        </w:rPr>
      </w:pPr>
      <w:r>
        <w:rPr>
          <w:noProof/>
        </w:rPr>
        <w:lastRenderedPageBreak/>
        <w:drawing>
          <wp:anchor distT="0" distB="0" distL="114300" distR="114300" simplePos="0" relativeHeight="251658240" behindDoc="0" locked="0" layoutInCell="1" allowOverlap="1" wp14:anchorId="52D04033" wp14:editId="2C2A6B5F">
            <wp:simplePos x="0" y="0"/>
            <wp:positionH relativeFrom="margin">
              <wp:posOffset>3013536</wp:posOffset>
            </wp:positionH>
            <wp:positionV relativeFrom="margin">
              <wp:posOffset>7562</wp:posOffset>
            </wp:positionV>
            <wp:extent cx="2953385" cy="1016635"/>
            <wp:effectExtent l="0" t="0" r="0" b="0"/>
            <wp:wrapSquare wrapText="bothSides"/>
            <wp:docPr id="15900301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03018" name=""/>
                    <pic:cNvPicPr/>
                  </pic:nvPicPr>
                  <pic:blipFill>
                    <a:blip r:embed="rId10">
                      <a:extLst>
                        <a:ext uri="{28A0092B-C50C-407E-A947-70E740481C1C}">
                          <a14:useLocalDpi xmlns:a14="http://schemas.microsoft.com/office/drawing/2010/main" val="0"/>
                        </a:ext>
                      </a:extLst>
                    </a:blip>
                    <a:stretch>
                      <a:fillRect/>
                    </a:stretch>
                  </pic:blipFill>
                  <pic:spPr>
                    <a:xfrm>
                      <a:off x="0" y="0"/>
                      <a:ext cx="2953385" cy="1016635"/>
                    </a:xfrm>
                    <a:prstGeom prst="rect">
                      <a:avLst/>
                    </a:prstGeom>
                  </pic:spPr>
                </pic:pic>
              </a:graphicData>
            </a:graphic>
            <wp14:sizeRelH relativeFrom="margin">
              <wp14:pctWidth>0</wp14:pctWidth>
            </wp14:sizeRelH>
            <wp14:sizeRelV relativeFrom="margin">
              <wp14:pctHeight>0</wp14:pctHeight>
            </wp14:sizeRelV>
          </wp:anchor>
        </w:drawing>
      </w:r>
      <w:r w:rsidRPr="000363D9">
        <w:rPr>
          <w:rFonts w:ascii="Verdana" w:hAnsi="Verdana"/>
        </w:rPr>
        <w:t>Bogotá D.C., 07 Mayo 2026</w:t>
      </w:r>
    </w:p>
    <w:p w14:paraId="39456EED" w14:textId="30472D52" w:rsidR="00026F63" w:rsidRPr="00DF38A1" w:rsidRDefault="00026F63" w:rsidP="00026F63">
      <w:pPr>
        <w:spacing w:after="0" w:line="240" w:lineRule="auto"/>
        <w:rPr>
          <w:rFonts w:ascii="Verdana" w:hAnsi="Verdana"/>
        </w:rPr>
      </w:pPr>
      <w:r w:rsidRPr="00DF38A1">
        <w:rPr>
          <w:rFonts w:ascii="Verdana" w:hAnsi="Verdana"/>
        </w:rPr>
        <w:tab/>
      </w:r>
    </w:p>
    <w:p w14:paraId="37BD4780" w14:textId="77777777" w:rsidR="00026F63" w:rsidRPr="00DF38A1" w:rsidRDefault="00026F63" w:rsidP="00026F63">
      <w:pPr>
        <w:spacing w:after="0" w:line="240" w:lineRule="auto"/>
        <w:jc w:val="both"/>
        <w:rPr>
          <w:rFonts w:ascii="Verdana" w:eastAsia="Calibri" w:hAnsi="Verdana" w:cs="Arial"/>
          <w:lang w:eastAsia="es-ES"/>
        </w:rPr>
      </w:pPr>
      <w:r w:rsidRPr="00DF38A1">
        <w:rPr>
          <w:rFonts w:ascii="Verdana" w:eastAsia="Calibri" w:hAnsi="Verdana" w:cs="Arial"/>
          <w:lang w:eastAsia="es-ES"/>
        </w:rPr>
        <w:t>Señora</w:t>
      </w:r>
    </w:p>
    <w:p w14:paraId="736CC553" w14:textId="6D130FA1" w:rsidR="00026F63" w:rsidRPr="00DF38A1" w:rsidRDefault="00026F63" w:rsidP="00026F63">
      <w:pPr>
        <w:spacing w:after="0" w:line="240" w:lineRule="auto"/>
        <w:jc w:val="both"/>
        <w:rPr>
          <w:rFonts w:ascii="Verdana" w:eastAsia="Calibri" w:hAnsi="Verdana" w:cs="Arial"/>
          <w:b/>
          <w:bCs/>
          <w:lang w:val="es-ES" w:eastAsia="es-ES"/>
        </w:rPr>
      </w:pPr>
      <w:r w:rsidRPr="00DF38A1">
        <w:rPr>
          <w:rFonts w:ascii="Verdana" w:eastAsia="Calibri" w:hAnsi="Verdana" w:cs="Arial"/>
          <w:b/>
          <w:bCs/>
          <w:lang w:val="es-ES" w:eastAsia="es-ES"/>
        </w:rPr>
        <w:t>Luisa Fernanda Vargas Figueredo</w:t>
      </w:r>
      <w:r w:rsidR="00E027E6">
        <w:rPr>
          <w:rFonts w:ascii="Verdana" w:eastAsia="Calibri" w:hAnsi="Verdana" w:cs="Arial"/>
          <w:b/>
          <w:bCs/>
          <w:lang w:val="es-ES" w:eastAsia="es-ES"/>
        </w:rPr>
        <w:t xml:space="preserve"> </w:t>
      </w:r>
    </w:p>
    <w:p w14:paraId="2EDAFA76" w14:textId="71B0F4C3" w:rsidR="00026F63" w:rsidRDefault="00026F63" w:rsidP="00026F63">
      <w:pPr>
        <w:spacing w:after="0" w:line="240" w:lineRule="auto"/>
        <w:jc w:val="both"/>
        <w:rPr>
          <w:rFonts w:ascii="Verdana" w:hAnsi="Verdana"/>
          <w:color w:val="99CCFF"/>
        </w:rPr>
      </w:pPr>
      <w:hyperlink r:id="rId11" w:history="1">
        <w:r w:rsidRPr="007B511E">
          <w:rPr>
            <w:rStyle w:val="Hipervnculo"/>
            <w:rFonts w:ascii="Verdana" w:hAnsi="Verdana"/>
          </w:rPr>
          <w:t>lfvargas89@gmail.com</w:t>
        </w:r>
      </w:hyperlink>
    </w:p>
    <w:p w14:paraId="21C75DB5" w14:textId="77777777" w:rsidR="00026F63" w:rsidRPr="00DE5B34" w:rsidRDefault="00026F63" w:rsidP="00026F63">
      <w:pPr>
        <w:spacing w:after="0" w:line="240" w:lineRule="auto"/>
        <w:jc w:val="both"/>
        <w:rPr>
          <w:rFonts w:ascii="Verdana" w:eastAsia="Calibri" w:hAnsi="Verdana" w:cs="Arial"/>
          <w:b/>
          <w:bCs/>
          <w:color w:val="99CCFF"/>
          <w:lang w:eastAsia="es-ES"/>
        </w:rPr>
      </w:pPr>
      <w:r>
        <w:rPr>
          <w:rFonts w:ascii="Verdana" w:hAnsi="Verdana"/>
        </w:rPr>
        <w:t>Bogotá D.C.</w:t>
      </w:r>
    </w:p>
    <w:p w14:paraId="78629E40" w14:textId="77777777" w:rsidR="00026F63" w:rsidRPr="00DE5B34" w:rsidRDefault="00026F63" w:rsidP="00026F63">
      <w:pPr>
        <w:spacing w:after="0" w:line="240" w:lineRule="auto"/>
        <w:jc w:val="both"/>
        <w:rPr>
          <w:rFonts w:ascii="Verdana" w:eastAsia="Calibri" w:hAnsi="Verdana" w:cs="Arial"/>
          <w:b/>
          <w:bCs/>
          <w:color w:val="99CCFF"/>
          <w:lang w:eastAsia="es-ES"/>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026F63" w:rsidRPr="00DE5B34" w14:paraId="63D19897" w14:textId="77777777" w:rsidTr="00FA06DD">
        <w:trPr>
          <w:trHeight w:val="162"/>
        </w:trPr>
        <w:tc>
          <w:tcPr>
            <w:tcW w:w="3119" w:type="dxa"/>
          </w:tcPr>
          <w:p w14:paraId="7A5DF19C" w14:textId="77777777" w:rsidR="00026F63" w:rsidRPr="00DE5B34" w:rsidRDefault="00026F63" w:rsidP="00FA06DD">
            <w:pPr>
              <w:spacing w:before="100" w:beforeAutospacing="1" w:after="100" w:afterAutospacing="1"/>
              <w:jc w:val="both"/>
              <w:rPr>
                <w:rFonts w:ascii="Verdana" w:eastAsia="Calibri" w:hAnsi="Verdana" w:cs="Arial"/>
                <w:b/>
                <w:bCs/>
                <w:color w:val="99CCFF"/>
                <w:sz w:val="24"/>
                <w:szCs w:val="24"/>
                <w:lang w:val="it-CH" w:eastAsia="es-ES_tradnl"/>
              </w:rPr>
            </w:pPr>
          </w:p>
        </w:tc>
        <w:tc>
          <w:tcPr>
            <w:tcW w:w="5670" w:type="dxa"/>
          </w:tcPr>
          <w:p w14:paraId="010AF153" w14:textId="58127C0D" w:rsidR="00026F63" w:rsidRPr="00581DA9" w:rsidRDefault="00026F63" w:rsidP="00FA06DD">
            <w:pPr>
              <w:spacing w:before="100" w:beforeAutospacing="1" w:after="100" w:afterAutospacing="1"/>
              <w:jc w:val="both"/>
              <w:rPr>
                <w:rFonts w:ascii="Verdana" w:eastAsia="Calibri" w:hAnsi="Verdana" w:cs="Arial"/>
                <w:b/>
                <w:bCs/>
                <w:sz w:val="24"/>
                <w:szCs w:val="24"/>
                <w:lang w:eastAsia="es-ES"/>
              </w:rPr>
            </w:pPr>
            <w:r w:rsidRPr="00581DA9">
              <w:rPr>
                <w:rFonts w:ascii="Verdana" w:eastAsia="Calibri" w:hAnsi="Verdana" w:cs="Arial"/>
                <w:b/>
                <w:bCs/>
                <w:sz w:val="24"/>
                <w:szCs w:val="24"/>
                <w:lang w:eastAsia="es-ES"/>
              </w:rPr>
              <w:t>Concepto C- 44</w:t>
            </w:r>
            <w:r w:rsidR="003B5204">
              <w:rPr>
                <w:rFonts w:ascii="Verdana" w:eastAsia="Calibri" w:hAnsi="Verdana" w:cs="Arial"/>
                <w:b/>
                <w:bCs/>
                <w:sz w:val="24"/>
                <w:szCs w:val="24"/>
                <w:lang w:eastAsia="es-ES"/>
              </w:rPr>
              <w:t>8A</w:t>
            </w:r>
            <w:r w:rsidRPr="00581DA9">
              <w:rPr>
                <w:rFonts w:ascii="Verdana" w:eastAsia="Calibri" w:hAnsi="Verdana" w:cs="Arial"/>
                <w:b/>
                <w:bCs/>
                <w:sz w:val="24"/>
                <w:szCs w:val="24"/>
                <w:lang w:eastAsia="es-ES"/>
              </w:rPr>
              <w:t xml:space="preserve"> de 2026</w:t>
            </w:r>
          </w:p>
          <w:p w14:paraId="1BD8B62D" w14:textId="77777777" w:rsidR="00026F63" w:rsidRPr="00DE5B34" w:rsidRDefault="00026F63" w:rsidP="00FA06DD">
            <w:pPr>
              <w:spacing w:before="100" w:beforeAutospacing="1" w:after="100" w:afterAutospacing="1"/>
              <w:jc w:val="both"/>
              <w:rPr>
                <w:rFonts w:ascii="Verdana" w:eastAsia="Calibri" w:hAnsi="Verdana" w:cs="Arial"/>
                <w:b/>
                <w:bCs/>
                <w:color w:val="99CCFF"/>
                <w:sz w:val="24"/>
                <w:szCs w:val="24"/>
                <w:lang w:eastAsia="es-ES"/>
              </w:rPr>
            </w:pPr>
          </w:p>
        </w:tc>
      </w:tr>
      <w:tr w:rsidR="00026F63" w:rsidRPr="00DE5B34" w14:paraId="11A578C0" w14:textId="77777777" w:rsidTr="00FA06DD">
        <w:trPr>
          <w:trHeight w:val="873"/>
        </w:trPr>
        <w:tc>
          <w:tcPr>
            <w:tcW w:w="3119" w:type="dxa"/>
          </w:tcPr>
          <w:p w14:paraId="7AD7BFB1" w14:textId="77777777" w:rsidR="00026F63" w:rsidRPr="00DE5B34" w:rsidRDefault="00026F63" w:rsidP="00FA06DD">
            <w:pPr>
              <w:spacing w:before="100" w:beforeAutospacing="1" w:after="100" w:afterAutospacing="1"/>
              <w:jc w:val="both"/>
              <w:rPr>
                <w:rFonts w:ascii="Verdana" w:eastAsia="Calibri" w:hAnsi="Verdana" w:cs="Arial"/>
                <w:color w:val="99CCFF"/>
                <w:sz w:val="24"/>
                <w:szCs w:val="24"/>
                <w:lang w:eastAsia="es-ES_tradnl"/>
              </w:rPr>
            </w:pPr>
            <w:r w:rsidRPr="009448E2">
              <w:rPr>
                <w:rFonts w:ascii="Verdana" w:eastAsia="Calibri" w:hAnsi="Verdana" w:cs="Arial"/>
                <w:b/>
                <w:sz w:val="24"/>
                <w:szCs w:val="24"/>
                <w:lang w:eastAsia="es-ES_tradnl"/>
              </w:rPr>
              <w:t>Temas:</w:t>
            </w:r>
            <w:r w:rsidRPr="009448E2">
              <w:rPr>
                <w:rFonts w:ascii="Verdana" w:eastAsia="Calibri" w:hAnsi="Verdana" w:cs="Arial"/>
                <w:sz w:val="24"/>
                <w:szCs w:val="24"/>
                <w:lang w:eastAsia="es-ES_tradnl"/>
              </w:rPr>
              <w:t xml:space="preserve">                   </w:t>
            </w:r>
          </w:p>
        </w:tc>
        <w:tc>
          <w:tcPr>
            <w:tcW w:w="5670" w:type="dxa"/>
          </w:tcPr>
          <w:p w14:paraId="41E1E1F0" w14:textId="77777777" w:rsidR="00026F63" w:rsidRPr="00D75030" w:rsidRDefault="00026F63" w:rsidP="00FA06DD">
            <w:pPr>
              <w:snapToGrid w:val="0"/>
              <w:spacing w:line="276" w:lineRule="auto"/>
              <w:jc w:val="both"/>
              <w:rPr>
                <w:rFonts w:ascii="Verdana" w:eastAsia="Aptos" w:hAnsi="Verdana" w:cs="Times New Roman"/>
                <w:lang w:eastAsia="es-MX"/>
              </w:rPr>
            </w:pPr>
            <w:r w:rsidRPr="00D75030">
              <w:rPr>
                <w:rFonts w:ascii="Verdana" w:eastAsia="Calibri" w:hAnsi="Verdana" w:cs="Arial"/>
                <w:lang w:val="es-ES" w:eastAsia="es-ES"/>
              </w:rPr>
              <w:t xml:space="preserve">DOCUMENTOS TIPO DE INFRAESTRUCTURA SOCIAL – Generalidades – Versión 2 / </w:t>
            </w:r>
            <w:r w:rsidRPr="00D75030">
              <w:rPr>
                <w:rFonts w:ascii="Verdana" w:eastAsia="Calibri" w:hAnsi="Verdana" w:cs="Arial"/>
                <w:lang w:val="es-ES" w:eastAsia="es-ES_tradnl"/>
              </w:rPr>
              <w:t xml:space="preserve">DOCUMENTOS TIPO DE INFRAESTRUCTURA SOCIAL – Sector Institucional – Grupo de Ocupación Institucional / </w:t>
            </w:r>
            <w:r w:rsidRPr="00D75030">
              <w:rPr>
                <w:rFonts w:ascii="Verdana" w:eastAsia="Aptos" w:hAnsi="Verdana" w:cs="Times New Roman"/>
                <w:lang w:eastAsia="es-MX"/>
              </w:rPr>
              <w:t xml:space="preserve">DOCUMENTOS TIPO DE INFRAESTRUCTURA SOCIAL – Sector Institucional – Matriz – Experiencia </w:t>
            </w:r>
          </w:p>
        </w:tc>
      </w:tr>
      <w:tr w:rsidR="00026F63" w:rsidRPr="00DE5B34" w14:paraId="3693269E" w14:textId="77777777" w:rsidTr="00FA06DD">
        <w:tc>
          <w:tcPr>
            <w:tcW w:w="3119" w:type="dxa"/>
          </w:tcPr>
          <w:p w14:paraId="141618F2" w14:textId="77777777" w:rsidR="00026F63" w:rsidRPr="009448E2" w:rsidRDefault="00026F63" w:rsidP="00FA06DD">
            <w:pPr>
              <w:spacing w:before="100" w:beforeAutospacing="1" w:after="100" w:afterAutospacing="1"/>
              <w:jc w:val="both"/>
              <w:rPr>
                <w:rFonts w:ascii="Verdana" w:eastAsia="Calibri" w:hAnsi="Verdana" w:cs="Arial"/>
                <w:b/>
                <w:sz w:val="24"/>
                <w:szCs w:val="24"/>
                <w:lang w:eastAsia="es-ES_tradnl"/>
              </w:rPr>
            </w:pPr>
            <w:r w:rsidRPr="009448E2">
              <w:rPr>
                <w:rFonts w:ascii="Verdana" w:eastAsia="Calibri" w:hAnsi="Verdana" w:cs="Arial"/>
                <w:b/>
                <w:sz w:val="24"/>
                <w:szCs w:val="24"/>
                <w:lang w:eastAsia="es-ES_tradnl"/>
              </w:rPr>
              <w:t>Radicación:</w:t>
            </w:r>
            <w:r w:rsidRPr="009448E2">
              <w:rPr>
                <w:rFonts w:ascii="Verdana" w:eastAsia="Calibri" w:hAnsi="Verdana" w:cs="Arial"/>
                <w:sz w:val="24"/>
                <w:szCs w:val="24"/>
                <w:lang w:eastAsia="es-ES_tradnl"/>
              </w:rPr>
              <w:t xml:space="preserve">               </w:t>
            </w:r>
          </w:p>
        </w:tc>
        <w:tc>
          <w:tcPr>
            <w:tcW w:w="5670" w:type="dxa"/>
          </w:tcPr>
          <w:p w14:paraId="2EC7C26C" w14:textId="77777777" w:rsidR="00026F63" w:rsidRPr="009448E2" w:rsidRDefault="00026F63" w:rsidP="00FA06DD">
            <w:pPr>
              <w:spacing w:before="100" w:beforeAutospacing="1" w:after="100" w:afterAutospacing="1"/>
              <w:jc w:val="both"/>
              <w:rPr>
                <w:rFonts w:ascii="Verdana" w:eastAsia="Calibri" w:hAnsi="Verdana" w:cs="Arial"/>
                <w:sz w:val="24"/>
                <w:szCs w:val="24"/>
                <w:lang w:val="es-ES" w:eastAsia="es-ES_tradnl"/>
              </w:rPr>
            </w:pPr>
            <w:r w:rsidRPr="009448E2">
              <w:rPr>
                <w:rFonts w:ascii="Verdana" w:eastAsia="Calibri" w:hAnsi="Verdana" w:cs="Arial"/>
                <w:sz w:val="24"/>
                <w:szCs w:val="24"/>
                <w:lang w:eastAsia="es-ES_tradnl"/>
              </w:rPr>
              <w:t xml:space="preserve">Respuesta a consulta con radicado No. </w:t>
            </w:r>
            <w:r w:rsidRPr="009675B8">
              <w:rPr>
                <w:rFonts w:ascii="Verdana" w:eastAsia="Calibri" w:hAnsi="Verdana" w:cs="Arial"/>
                <w:sz w:val="24"/>
                <w:szCs w:val="24"/>
                <w:lang w:eastAsia="es-ES_tradnl"/>
              </w:rPr>
              <w:t>1_2026_03_25_004138</w:t>
            </w:r>
            <w:r w:rsidRPr="009448E2">
              <w:rPr>
                <w:rFonts w:ascii="Verdana" w:eastAsia="Calibri" w:hAnsi="Verdana" w:cs="Arial"/>
                <w:sz w:val="24"/>
                <w:szCs w:val="24"/>
                <w:lang w:val="es-ES" w:eastAsia="es-ES_tradnl"/>
              </w:rPr>
              <w:t xml:space="preserve"> </w:t>
            </w:r>
          </w:p>
          <w:p w14:paraId="407A8027" w14:textId="77777777" w:rsidR="00026F63" w:rsidRPr="009448E2" w:rsidRDefault="00026F63" w:rsidP="00FA06DD">
            <w:pPr>
              <w:spacing w:before="100" w:beforeAutospacing="1" w:after="100" w:afterAutospacing="1"/>
              <w:jc w:val="both"/>
              <w:rPr>
                <w:rFonts w:ascii="Verdana" w:eastAsia="Calibri" w:hAnsi="Verdana" w:cs="Arial"/>
                <w:sz w:val="24"/>
                <w:szCs w:val="24"/>
                <w:lang w:val="es-ES" w:eastAsia="es-ES_tradnl"/>
              </w:rPr>
            </w:pPr>
          </w:p>
        </w:tc>
      </w:tr>
    </w:tbl>
    <w:p w14:paraId="463D5C0E" w14:textId="77777777" w:rsidR="00026F63" w:rsidRPr="00B40DFF" w:rsidRDefault="00026F63" w:rsidP="00026F63">
      <w:pPr>
        <w:spacing w:after="0" w:line="276" w:lineRule="auto"/>
        <w:jc w:val="both"/>
        <w:rPr>
          <w:rFonts w:ascii="Verdana" w:eastAsia="Calibri" w:hAnsi="Verdana" w:cs="Arial"/>
          <w:lang w:eastAsia="es-ES"/>
        </w:rPr>
      </w:pPr>
      <w:r w:rsidRPr="00B40DFF">
        <w:rPr>
          <w:rFonts w:ascii="Verdana" w:eastAsia="Calibri" w:hAnsi="Verdana" w:cs="Arial"/>
          <w:lang w:eastAsia="es-ES"/>
        </w:rPr>
        <w:t xml:space="preserve">Estimada señora </w:t>
      </w:r>
      <w:r w:rsidRPr="00B40DFF">
        <w:rPr>
          <w:rFonts w:ascii="Verdana" w:eastAsia="Calibri" w:hAnsi="Verdana" w:cs="Arial"/>
          <w:lang w:val="es-ES" w:eastAsia="es-ES"/>
        </w:rPr>
        <w:t>Luisa Fernanda</w:t>
      </w:r>
      <w:r w:rsidRPr="00B40DFF">
        <w:rPr>
          <w:rFonts w:ascii="Verdana" w:eastAsia="Calibri" w:hAnsi="Verdana" w:cs="Arial"/>
          <w:lang w:eastAsia="es-ES"/>
        </w:rPr>
        <w:t xml:space="preserve">: </w:t>
      </w:r>
    </w:p>
    <w:p w14:paraId="3B016B10" w14:textId="77777777" w:rsidR="00026F63" w:rsidRPr="00B40DFF" w:rsidRDefault="00026F63" w:rsidP="00026F63">
      <w:pPr>
        <w:tabs>
          <w:tab w:val="left" w:pos="3768"/>
        </w:tabs>
        <w:spacing w:after="0" w:line="276" w:lineRule="auto"/>
        <w:jc w:val="both"/>
        <w:rPr>
          <w:rFonts w:ascii="Verdana" w:eastAsia="Calibri" w:hAnsi="Verdana" w:cs="Arial"/>
          <w:lang w:eastAsia="es-ES"/>
        </w:rPr>
      </w:pPr>
    </w:p>
    <w:p w14:paraId="407526D2" w14:textId="77777777" w:rsidR="00026F63" w:rsidRPr="00B40DFF" w:rsidRDefault="00026F63" w:rsidP="00026F63">
      <w:pPr>
        <w:tabs>
          <w:tab w:val="left" w:pos="3768"/>
        </w:tabs>
        <w:spacing w:after="0" w:line="276" w:lineRule="auto"/>
        <w:jc w:val="both"/>
        <w:rPr>
          <w:rFonts w:ascii="Verdana" w:eastAsia="Calibri" w:hAnsi="Verdana" w:cs="Arial"/>
          <w:lang w:eastAsia="es-ES"/>
        </w:rPr>
      </w:pPr>
      <w:r w:rsidRPr="00B40DFF">
        <w:rPr>
          <w:rFonts w:ascii="Verdana" w:eastAsia="Calibri" w:hAnsi="Verdana" w:cs="Arial"/>
          <w:lang w:eastAsia="es-ES"/>
        </w:rPr>
        <w:t>En ejercicio de la competencia otorgada por los artículos 3, numeral 5º, y 11, numeral 8º, del Decreto Ley 4170 de 2011,</w:t>
      </w:r>
      <w:r w:rsidRPr="00B40DFF">
        <w:rPr>
          <w:rFonts w:ascii="Verdana" w:eastAsia="Arial MT" w:hAnsi="Verdana" w:cs="Arial MT"/>
          <w:lang w:eastAsia="es-ES"/>
        </w:rPr>
        <w:t xml:space="preserve"> </w:t>
      </w:r>
      <w:r w:rsidRPr="00B40DFF">
        <w:rPr>
          <w:rFonts w:ascii="Verdana" w:hAnsi="Verdana" w:cs="Arial"/>
        </w:rPr>
        <w:t xml:space="preserve">así como lo establecido en la Resolución 469 de 2025 expedida por esta Entidad, </w:t>
      </w:r>
      <w:r w:rsidRPr="00B40DFF">
        <w:rPr>
          <w:rFonts w:ascii="Verdana" w:eastAsia="Calibri" w:hAnsi="Verdana" w:cs="Arial"/>
          <w:lang w:eastAsia="es-ES"/>
        </w:rPr>
        <w:t xml:space="preserve">la Agencia Nacional de Contratación Pública – Colombia Compra Eficiente– responde su solicitud de consulta de fecha 25 de marzo de 2026, en la cual manifiesta lo siguiente: </w:t>
      </w:r>
    </w:p>
    <w:p w14:paraId="695F103E" w14:textId="77777777" w:rsidR="00026F63" w:rsidRPr="00DE5B34" w:rsidRDefault="00026F63" w:rsidP="00026F63">
      <w:pPr>
        <w:tabs>
          <w:tab w:val="left" w:pos="142"/>
          <w:tab w:val="left" w:pos="284"/>
        </w:tabs>
        <w:spacing w:after="0" w:line="276" w:lineRule="auto"/>
        <w:ind w:left="142"/>
        <w:jc w:val="both"/>
        <w:rPr>
          <w:rFonts w:ascii="Verdana" w:eastAsia="Century Gothic" w:hAnsi="Verdana" w:cs="Century Gothic"/>
          <w:b/>
          <w:bCs/>
          <w:i/>
          <w:iCs/>
          <w:color w:val="99CCFF"/>
          <w:sz w:val="20"/>
          <w:szCs w:val="20"/>
          <w:lang w:val="es-ES"/>
        </w:rPr>
      </w:pPr>
    </w:p>
    <w:p w14:paraId="7EFEFF13" w14:textId="77777777" w:rsidR="00026F63" w:rsidRPr="00CA0E87" w:rsidRDefault="00026F63" w:rsidP="00026F63">
      <w:pPr>
        <w:spacing w:after="0" w:line="240" w:lineRule="auto"/>
        <w:ind w:left="709" w:right="709"/>
        <w:jc w:val="both"/>
        <w:rPr>
          <w:rFonts w:ascii="Verdana" w:eastAsia="Century Gothic" w:hAnsi="Verdana" w:cs="Century Gothic"/>
          <w:i/>
          <w:iCs/>
          <w:sz w:val="20"/>
          <w:szCs w:val="20"/>
        </w:rPr>
      </w:pPr>
      <w:bookmarkStart w:id="1" w:name="_Hlk192699624"/>
      <w:bookmarkStart w:id="2" w:name="_Hlk199394899"/>
      <w:r w:rsidRPr="00CA0E87">
        <w:rPr>
          <w:rFonts w:ascii="Verdana" w:eastAsia="Century Gothic" w:hAnsi="Verdana" w:cs="Century Gothic"/>
          <w:i/>
          <w:iCs/>
          <w:sz w:val="20"/>
          <w:szCs w:val="20"/>
        </w:rPr>
        <w:t>“</w:t>
      </w:r>
      <w:bookmarkEnd w:id="1"/>
      <w:bookmarkEnd w:id="2"/>
      <w:r w:rsidRPr="00CA0E87">
        <w:rPr>
          <w:rFonts w:ascii="Verdana" w:eastAsia="Century Gothic" w:hAnsi="Verdana" w:cs="Century Gothic"/>
          <w:i/>
          <w:iCs/>
          <w:sz w:val="20"/>
          <w:szCs w:val="20"/>
        </w:rPr>
        <w:t xml:space="preserve">(…) </w:t>
      </w:r>
    </w:p>
    <w:p w14:paraId="178C72F7" w14:textId="77777777" w:rsidR="00026F63" w:rsidRPr="00CA0E87" w:rsidRDefault="00026F63" w:rsidP="00026F63">
      <w:pPr>
        <w:spacing w:after="0" w:line="240" w:lineRule="auto"/>
        <w:ind w:left="709" w:right="709"/>
        <w:jc w:val="both"/>
        <w:rPr>
          <w:rFonts w:ascii="Verdana" w:eastAsia="Century Gothic" w:hAnsi="Verdana" w:cs="Century Gothic"/>
          <w:i/>
          <w:iCs/>
          <w:sz w:val="20"/>
          <w:szCs w:val="20"/>
        </w:rPr>
      </w:pPr>
    </w:p>
    <w:p w14:paraId="02233956" w14:textId="77777777" w:rsidR="00026F63" w:rsidRPr="00CA0E87" w:rsidRDefault="00026F63" w:rsidP="00026F63">
      <w:pPr>
        <w:spacing w:after="0" w:line="240" w:lineRule="auto"/>
        <w:ind w:left="709" w:right="709"/>
        <w:jc w:val="both"/>
        <w:rPr>
          <w:rFonts w:ascii="Verdana" w:eastAsia="Century Gothic" w:hAnsi="Verdana" w:cs="Century Gothic"/>
          <w:i/>
          <w:iCs/>
          <w:sz w:val="20"/>
          <w:szCs w:val="20"/>
        </w:rPr>
      </w:pPr>
      <w:r w:rsidRPr="00CA0E87">
        <w:rPr>
          <w:rFonts w:ascii="Verdana" w:eastAsia="Century Gothic" w:hAnsi="Verdana" w:cs="Century Gothic"/>
          <w:i/>
          <w:iCs/>
          <w:sz w:val="20"/>
          <w:szCs w:val="20"/>
        </w:rPr>
        <w:t xml:space="preserve">Los documentos tipo para obra pública de infraestructura social al hacer referencia al termino "infraestructura institucional" a que tipo de infraestructuras </w:t>
      </w:r>
      <w:proofErr w:type="spellStart"/>
      <w:r w:rsidRPr="00CA0E87">
        <w:rPr>
          <w:rFonts w:ascii="Verdana" w:eastAsia="Century Gothic" w:hAnsi="Verdana" w:cs="Century Gothic"/>
          <w:i/>
          <w:iCs/>
          <w:sz w:val="20"/>
          <w:szCs w:val="20"/>
        </w:rPr>
        <w:t>esta</w:t>
      </w:r>
      <w:proofErr w:type="spellEnd"/>
      <w:r w:rsidRPr="00CA0E87">
        <w:rPr>
          <w:rFonts w:ascii="Verdana" w:eastAsia="Century Gothic" w:hAnsi="Verdana" w:cs="Century Gothic"/>
          <w:i/>
          <w:iCs/>
          <w:sz w:val="20"/>
          <w:szCs w:val="20"/>
        </w:rPr>
        <w:t xml:space="preserve"> haciendo referencia, a que entidades públicas aplica, aplica únicamente para la tipología contractual de obra.: (…)”.</w:t>
      </w:r>
    </w:p>
    <w:p w14:paraId="1C5B5649" w14:textId="77777777" w:rsidR="00026F63" w:rsidRPr="00DE5B34" w:rsidRDefault="00026F63" w:rsidP="00026F63">
      <w:pPr>
        <w:spacing w:after="0" w:line="276" w:lineRule="auto"/>
        <w:ind w:left="709" w:right="709"/>
        <w:jc w:val="both"/>
        <w:rPr>
          <w:rFonts w:ascii="Verdana" w:hAnsi="Verdana"/>
          <w:color w:val="99CCFF"/>
        </w:rPr>
      </w:pPr>
    </w:p>
    <w:p w14:paraId="7709F148" w14:textId="77777777" w:rsidR="00026F63" w:rsidRPr="009F340A" w:rsidRDefault="00026F63" w:rsidP="00026F63">
      <w:pPr>
        <w:spacing w:after="0" w:line="276" w:lineRule="auto"/>
        <w:ind w:firstLine="709"/>
        <w:jc w:val="both"/>
        <w:rPr>
          <w:rFonts w:ascii="Verdana" w:eastAsia="Calibri" w:hAnsi="Verdana" w:cs="Arial"/>
          <w:lang w:eastAsia="es-ES_tradnl"/>
        </w:rPr>
      </w:pPr>
      <w:r w:rsidRPr="009F340A">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9F340A">
        <w:rPr>
          <w:rFonts w:ascii="Verdana" w:eastAsia="Calibri" w:hAnsi="Verdana" w:cs="Arial"/>
          <w:lang w:eastAsia="es-ES"/>
        </w:rPr>
        <w:lastRenderedPageBreak/>
        <w:t xml:space="preserve">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Compras y Contratación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37A41EE" w14:textId="77777777" w:rsidR="00026F63" w:rsidRPr="009F340A" w:rsidRDefault="00026F63" w:rsidP="00026F63">
      <w:pPr>
        <w:spacing w:before="120" w:after="0" w:line="276" w:lineRule="auto"/>
        <w:ind w:firstLine="709"/>
        <w:jc w:val="both"/>
        <w:rPr>
          <w:rFonts w:ascii="Verdana" w:eastAsia="Calibri" w:hAnsi="Verdana" w:cs="Arial"/>
          <w:lang w:eastAsia="es-ES_tradnl"/>
        </w:rPr>
      </w:pPr>
      <w:r w:rsidRPr="009F340A">
        <w:rPr>
          <w:rFonts w:ascii="Verdana" w:eastAsia="Calibri" w:hAnsi="Verdana" w:cs="Arial"/>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el problema jurídico de su consulta.  </w:t>
      </w:r>
    </w:p>
    <w:p w14:paraId="14401B29" w14:textId="77777777" w:rsidR="00026F63" w:rsidRPr="009F340A" w:rsidRDefault="00026F63" w:rsidP="00026F63">
      <w:pPr>
        <w:spacing w:after="0" w:line="276" w:lineRule="auto"/>
        <w:ind w:firstLine="709"/>
        <w:jc w:val="both"/>
        <w:rPr>
          <w:rFonts w:ascii="Verdana" w:eastAsia="Calibri" w:hAnsi="Verdana" w:cs="Arial"/>
          <w:lang w:eastAsia="es-ES"/>
        </w:rPr>
      </w:pPr>
    </w:p>
    <w:p w14:paraId="7A5EA33F" w14:textId="77777777" w:rsidR="00026F63" w:rsidRPr="009F340A" w:rsidRDefault="00026F63" w:rsidP="00026F63">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9F340A">
        <w:rPr>
          <w:rFonts w:ascii="Verdana" w:eastAsia="Century Gothic" w:hAnsi="Verdana" w:cs="Century Gothic"/>
          <w:b/>
          <w:bCs/>
          <w:lang w:val="es-ES"/>
        </w:rPr>
        <w:t>Problema planteado:</w:t>
      </w:r>
    </w:p>
    <w:p w14:paraId="1BA9A04D" w14:textId="77777777" w:rsidR="00026F63" w:rsidRPr="009F340A" w:rsidRDefault="00026F63" w:rsidP="00026F63">
      <w:pPr>
        <w:spacing w:after="0" w:line="276" w:lineRule="auto"/>
        <w:jc w:val="both"/>
        <w:rPr>
          <w:rFonts w:ascii="Verdana" w:eastAsia="Calibri" w:hAnsi="Verdana" w:cs="Arial"/>
          <w:highlight w:val="yellow"/>
          <w:lang w:eastAsia="es-ES"/>
        </w:rPr>
      </w:pPr>
    </w:p>
    <w:p w14:paraId="5577598D" w14:textId="77777777" w:rsidR="00026F63" w:rsidRDefault="00026F63" w:rsidP="00026F63">
      <w:pPr>
        <w:spacing w:after="0" w:line="276" w:lineRule="auto"/>
        <w:jc w:val="both"/>
        <w:rPr>
          <w:rFonts w:ascii="Verdana" w:eastAsia="Century Gothic" w:hAnsi="Verdana" w:cs="Century Gothic"/>
          <w:lang w:eastAsia="es-MX"/>
        </w:rPr>
      </w:pPr>
      <w:r w:rsidRPr="009D4BF3">
        <w:rPr>
          <w:rFonts w:ascii="Verdana" w:eastAsia="Calibri" w:hAnsi="Verdana" w:cs="Arial"/>
          <w:lang w:eastAsia="es-ES"/>
        </w:rPr>
        <w:t xml:space="preserve">De acuerdo con el contenido de su solicitud, esta Agencia resolverá el siguiente problema jurídico: I). </w:t>
      </w:r>
      <w:r w:rsidRPr="009D4BF3">
        <w:rPr>
          <w:rFonts w:ascii="Verdana" w:eastAsia="Century Gothic" w:hAnsi="Verdana" w:cs="Century Gothic"/>
          <w:lang w:eastAsia="es-MX"/>
        </w:rPr>
        <w:t>¿cuál es el alcance de los documentos tipo de infraestructura social para el caso de las actividades relacionadas con el</w:t>
      </w:r>
      <w:r>
        <w:rPr>
          <w:rFonts w:ascii="Verdana" w:eastAsia="Century Gothic" w:hAnsi="Verdana" w:cs="Century Gothic"/>
          <w:lang w:eastAsia="es-MX"/>
        </w:rPr>
        <w:t xml:space="preserve"> sector institucional</w:t>
      </w:r>
      <w:r w:rsidRPr="009D4BF3">
        <w:rPr>
          <w:rFonts w:ascii="Verdana" w:eastAsia="Century Gothic" w:hAnsi="Verdana" w:cs="Century Gothic"/>
          <w:lang w:eastAsia="es-MX"/>
        </w:rPr>
        <w:t>?</w:t>
      </w:r>
    </w:p>
    <w:p w14:paraId="5EB35D2C" w14:textId="77777777" w:rsidR="00026F63" w:rsidRPr="009D4BF3" w:rsidRDefault="00026F63" w:rsidP="00026F63">
      <w:pPr>
        <w:spacing w:after="0" w:line="276" w:lineRule="auto"/>
        <w:jc w:val="both"/>
        <w:rPr>
          <w:rFonts w:ascii="Verdana" w:eastAsia="Calibri" w:hAnsi="Verdana" w:cs="Arial"/>
          <w:lang w:eastAsia="es-ES"/>
        </w:rPr>
      </w:pPr>
    </w:p>
    <w:p w14:paraId="220A50DB" w14:textId="77777777" w:rsidR="00026F63" w:rsidRPr="008E0693" w:rsidRDefault="00026F63" w:rsidP="00026F63">
      <w:pPr>
        <w:spacing w:after="0" w:line="276" w:lineRule="auto"/>
        <w:jc w:val="both"/>
        <w:rPr>
          <w:rFonts w:ascii="Verdana" w:eastAsia="Century Gothic" w:hAnsi="Verdana" w:cs="Century Gothic"/>
          <w:b/>
          <w:bCs/>
        </w:rPr>
      </w:pPr>
      <w:r w:rsidRPr="008E0693">
        <w:rPr>
          <w:rFonts w:ascii="Verdana" w:eastAsia="Century Gothic" w:hAnsi="Verdana" w:cs="Century Gothic"/>
          <w:b/>
          <w:bCs/>
        </w:rPr>
        <w:t>2. Respuesta:</w:t>
      </w:r>
    </w:p>
    <w:p w14:paraId="00CC9C4E" w14:textId="77777777" w:rsidR="00026F63" w:rsidRPr="008E0693" w:rsidRDefault="00026F63" w:rsidP="00026F63">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Ind w:w="-11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26F63" w:rsidRPr="00DE5B34" w14:paraId="69476B24" w14:textId="77777777" w:rsidTr="5383E647">
        <w:tc>
          <w:tcPr>
            <w:tcW w:w="8828" w:type="dxa"/>
          </w:tcPr>
          <w:p w14:paraId="44951F66" w14:textId="77777777" w:rsidR="00026F63" w:rsidRDefault="00026F63" w:rsidP="00FA06DD">
            <w:pPr>
              <w:snapToGrid w:val="0"/>
              <w:spacing w:after="120" w:line="276" w:lineRule="auto"/>
              <w:jc w:val="both"/>
              <w:rPr>
                <w:rFonts w:ascii="Verdana" w:eastAsia="Aptos" w:hAnsi="Verdana" w:cs="Aptos"/>
                <w:lang w:val="es-ES_tradnl"/>
              </w:rPr>
            </w:pPr>
            <w:r>
              <w:rPr>
                <w:rFonts w:ascii="Verdana" w:eastAsia="Aptos" w:hAnsi="Verdana" w:cs="Aptos"/>
                <w:lang w:val="es-ES_tradnl"/>
              </w:rPr>
              <w:t>La</w:t>
            </w:r>
            <w:r w:rsidRPr="002A5DFC">
              <w:rPr>
                <w:rFonts w:ascii="Verdana" w:eastAsia="Aptos" w:hAnsi="Verdana" w:cs="Aptos"/>
                <w:lang w:val="es-ES_tradnl"/>
              </w:rPr>
              <w:t xml:space="preserve"> Agencia Nacional de Contratación Pública – Colombia Compra Eficient</w:t>
            </w:r>
            <w:r>
              <w:rPr>
                <w:rFonts w:ascii="Verdana" w:eastAsia="Aptos" w:hAnsi="Verdana" w:cs="Aptos"/>
                <w:lang w:val="es-ES_tradnl"/>
              </w:rPr>
              <w:t xml:space="preserve">e, expidió las </w:t>
            </w:r>
            <w:r w:rsidRPr="002A5DFC">
              <w:rPr>
                <w:rFonts w:ascii="Verdana" w:eastAsia="Aptos" w:hAnsi="Verdana" w:cs="Aptos"/>
                <w:lang w:val="es-ES_tradnl"/>
              </w:rPr>
              <w:t xml:space="preserve">Resoluciones No. 539, 540 y 541 del 21 de agosto de 2025, </w:t>
            </w:r>
            <w:r>
              <w:rPr>
                <w:rFonts w:ascii="Verdana" w:eastAsia="Aptos" w:hAnsi="Verdana" w:cs="Aptos"/>
                <w:lang w:val="es-ES_tradnl"/>
              </w:rPr>
              <w:t xml:space="preserve">para el </w:t>
            </w:r>
            <w:r w:rsidRPr="002A5DFC">
              <w:rPr>
                <w:rFonts w:ascii="Verdana" w:eastAsia="Aptos" w:hAnsi="Verdana" w:cs="Aptos"/>
                <w:lang w:val="es-ES_tradnl"/>
              </w:rPr>
              <w:t xml:space="preserve">sector de obra pública de infraestructura social, </w:t>
            </w:r>
            <w:r>
              <w:rPr>
                <w:rFonts w:ascii="Verdana" w:eastAsia="Aptos" w:hAnsi="Verdana" w:cs="Aptos"/>
                <w:lang w:val="es-ES_tradnl"/>
              </w:rPr>
              <w:t xml:space="preserve">las mismas </w:t>
            </w:r>
            <w:r w:rsidRPr="002A5DFC">
              <w:rPr>
                <w:rFonts w:ascii="Verdana" w:eastAsia="Aptos" w:hAnsi="Verdana" w:cs="Aptos"/>
                <w:lang w:val="es-ES_tradnl"/>
              </w:rPr>
              <w:t>aplican de forma transversal en las modalidades de selección indicadas y a los proyectos de infraestructura social enmarcados dentro del sector educativo, salud, cultura, recreación y deporte, institucional y vivienda, en los procesos de selección cuyo aviso de convocatoria se publique a partir del 16 de febrero de 2026</w:t>
            </w:r>
          </w:p>
          <w:p w14:paraId="27E25556" w14:textId="77777777" w:rsidR="00026F63" w:rsidRPr="008979D2" w:rsidRDefault="00026F63" w:rsidP="00FA06DD">
            <w:pPr>
              <w:snapToGrid w:val="0"/>
              <w:spacing w:after="120" w:line="276" w:lineRule="auto"/>
              <w:ind w:firstLine="709"/>
              <w:jc w:val="both"/>
              <w:rPr>
                <w:rFonts w:ascii="Verdana" w:eastAsia="Aptos" w:hAnsi="Verdana" w:cs="Aptos"/>
                <w:lang w:val="es-ES_tradnl"/>
              </w:rPr>
            </w:pPr>
            <w:r w:rsidRPr="008979D2">
              <w:rPr>
                <w:rFonts w:ascii="Verdana" w:eastAsia="Aptos" w:hAnsi="Verdana" w:cs="Aptos"/>
                <w:lang w:val="es-ES_tradnl"/>
              </w:rPr>
              <w:t xml:space="preserve">Sobre el ámbito de aplicación de los documentos tipo de infraestructura social, el parágrafo segundo del artículo 9 de la Resolución No. 539 del 21 de agosto de 2025, indica que estos documentos aplican a los procesos </w:t>
            </w:r>
            <w:r w:rsidRPr="008979D2">
              <w:rPr>
                <w:rFonts w:ascii="Verdana" w:eastAsia="Aptos" w:hAnsi="Verdana" w:cs="Aptos"/>
                <w:lang w:val="es-ES_tradnl"/>
              </w:rPr>
              <w:lastRenderedPageBreak/>
              <w:t xml:space="preserve">contractuales que correspondan a las actividades definidas en la “Matriz 1 – Experiencia”, en este caso del Sector Institucional. </w:t>
            </w:r>
          </w:p>
          <w:p w14:paraId="30F09BE9" w14:textId="77777777" w:rsidR="00026F63" w:rsidRPr="008979D2" w:rsidRDefault="00026F63" w:rsidP="00FA06DD">
            <w:pPr>
              <w:snapToGrid w:val="0"/>
              <w:spacing w:after="120" w:line="276" w:lineRule="auto"/>
              <w:ind w:firstLine="709"/>
              <w:jc w:val="both"/>
              <w:rPr>
                <w:rFonts w:ascii="Verdana" w:eastAsia="Aptos" w:hAnsi="Verdana" w:cs="Aptos"/>
                <w:lang w:val="es-ES_tradnl"/>
              </w:rPr>
            </w:pPr>
            <w:r w:rsidRPr="008979D2">
              <w:rPr>
                <w:rFonts w:ascii="Verdana" w:eastAsia="Aptos" w:hAnsi="Verdana" w:cs="Aptos"/>
                <w:lang w:val="es-ES_tradnl"/>
              </w:rPr>
              <w:t>La “Matriz 1 – Experiencia” del Sector Institucional, en las modalidades de licitación pública, selección abreviada de menor cuantía y mínima cuantía, dispone de unos tipos de obras y actividades que recaen sobre infraestructura institucional. Esto es importante para precisar el ámbito de aplicación de los documentos tipo de este sector adoptados en el capítulo V de las Resoluciones No. 539, 540 y 541 de 2025.</w:t>
            </w:r>
          </w:p>
          <w:p w14:paraId="199A010E" w14:textId="77777777" w:rsidR="00026F63" w:rsidRPr="008979D2" w:rsidRDefault="00026F63" w:rsidP="00FA06DD">
            <w:pPr>
              <w:snapToGrid w:val="0"/>
              <w:spacing w:after="120" w:line="276" w:lineRule="auto"/>
              <w:ind w:firstLine="709"/>
              <w:jc w:val="both"/>
              <w:rPr>
                <w:rFonts w:ascii="Verdana" w:eastAsia="Aptos" w:hAnsi="Verdana" w:cs="Aptos"/>
                <w:lang w:val="es-ES"/>
              </w:rPr>
            </w:pPr>
            <w:r w:rsidRPr="5383E647">
              <w:rPr>
                <w:rFonts w:ascii="Verdana" w:eastAsia="Aptos" w:hAnsi="Verdana" w:cs="Aptos"/>
                <w:lang w:val="es-ES"/>
              </w:rPr>
              <w:t>Para determinar qué infraestructura abarca este sector, debe indicarse que, de conformidad con la norma NSR-10 en el Subgrupo de Ocupación Institucional de Servicio Público (I-5) “se clasifican las edificaciones o espacios destinados a funciones administrativas y prestación de servicios públicos necesarios para el buen funcionamiento de las ciudades”. Entre las edificaciones o espacios que pertenecen a este subgrupo se encuentran las siguientes: “Centros de comunicación o administrativos o administrativos de servicios municipales, distritales o gubernamentales, juzgados y otros similares”.</w:t>
            </w:r>
          </w:p>
          <w:p w14:paraId="44272D88" w14:textId="77777777" w:rsidR="00026F63" w:rsidRDefault="00026F63" w:rsidP="00FA06DD">
            <w:pPr>
              <w:snapToGrid w:val="0"/>
              <w:spacing w:after="120" w:line="276" w:lineRule="auto"/>
              <w:ind w:firstLine="709"/>
              <w:jc w:val="both"/>
              <w:rPr>
                <w:rFonts w:ascii="Verdana" w:eastAsia="Aptos" w:hAnsi="Verdana" w:cs="Aptos"/>
                <w:i/>
                <w:iCs/>
                <w:lang w:val="es-ES_tradnl"/>
              </w:rPr>
            </w:pPr>
            <w:r w:rsidRPr="008979D2">
              <w:rPr>
                <w:rFonts w:ascii="Verdana" w:eastAsia="Aptos" w:hAnsi="Verdana" w:cs="Aptos"/>
                <w:lang w:val="es-ES_tradnl"/>
              </w:rPr>
              <w:t xml:space="preserve">En los documentos tipo complementarios del sector institucional, en las modalidades de licitación de obra pública, selección abreviada de menor cuantía y mínima cuantía, en la Matriz 1 para el tipo de obras de ese sector, se encuentran los siguientes tipos de infraestructura institucional: </w:t>
            </w:r>
            <w:r w:rsidRPr="008979D2">
              <w:rPr>
                <w:rFonts w:ascii="Verdana" w:eastAsia="Aptos" w:hAnsi="Verdana" w:cs="Aptos"/>
                <w:i/>
                <w:iCs/>
                <w:lang w:val="es-ES_tradnl"/>
              </w:rPr>
              <w:t xml:space="preserve">1. Obras en proyectos de infraestructura institucional de seguridad pública, 2. Obras en proyectos de infraestructura institucional de servicio público, 3. Obras en proyectos de infraestructura institucional - sitios de reclusión,  4. Obras en vías de acceso o parqueaderos o zonas de circulación (vehicular o peatonal) o plazuelas o plazas o plazuelas en edificaciones institucionales,  5. Obras para atención, prevención o mitigación de emergencias diferentes a contratación directa para el sector institucional. </w:t>
            </w:r>
          </w:p>
          <w:p w14:paraId="2E0AA422" w14:textId="77777777" w:rsidR="00026F63" w:rsidRPr="00A61334" w:rsidRDefault="00026F63" w:rsidP="00FA06DD">
            <w:pPr>
              <w:snapToGrid w:val="0"/>
              <w:spacing w:after="120" w:line="276" w:lineRule="auto"/>
              <w:ind w:firstLine="709"/>
              <w:jc w:val="both"/>
              <w:rPr>
                <w:rFonts w:ascii="Verdana" w:eastAsia="Aptos" w:hAnsi="Verdana" w:cs="Aptos"/>
                <w:i/>
                <w:iCs/>
                <w:lang w:val="es-ES_tradnl"/>
              </w:rPr>
            </w:pPr>
            <w:r w:rsidRPr="00A61334">
              <w:rPr>
                <w:rFonts w:ascii="Verdana" w:eastAsia="Aptos" w:hAnsi="Verdana" w:cs="Aptos"/>
                <w:lang w:val="es-ES_tradnl"/>
              </w:rPr>
              <w:t>En conclusión, cuando una entidad obligada a la aplicación de los documentos tipo adelante procesos de contratación cuyo objeto se enmarque en cualquiera de las actividades antes descritas, deberá implementar los documentos tipo del sector social, en particular, los correspondientes al subgrupo institucional.</w:t>
            </w:r>
          </w:p>
        </w:tc>
      </w:tr>
    </w:tbl>
    <w:p w14:paraId="73E62628" w14:textId="77777777" w:rsidR="00026F63" w:rsidRPr="00AA3CC6" w:rsidRDefault="00026F63" w:rsidP="00026F63">
      <w:pPr>
        <w:tabs>
          <w:tab w:val="left" w:pos="142"/>
          <w:tab w:val="left" w:pos="284"/>
        </w:tabs>
        <w:spacing w:after="0" w:line="276" w:lineRule="auto"/>
        <w:jc w:val="both"/>
        <w:rPr>
          <w:rFonts w:ascii="Verdana" w:eastAsia="Century Gothic" w:hAnsi="Verdana" w:cs="Century Gothic"/>
          <w:b/>
          <w:bCs/>
        </w:rPr>
      </w:pPr>
      <w:r w:rsidRPr="00AA3CC6">
        <w:rPr>
          <w:rFonts w:ascii="Verdana" w:eastAsia="Century Gothic" w:hAnsi="Verdana" w:cs="Century Gothic"/>
          <w:b/>
          <w:bCs/>
        </w:rPr>
        <w:lastRenderedPageBreak/>
        <w:t>3. Razones de la respuesta:</w:t>
      </w:r>
    </w:p>
    <w:p w14:paraId="5F52C3D1" w14:textId="77777777" w:rsidR="00026F63" w:rsidRPr="00AA3CC6" w:rsidRDefault="00026F63" w:rsidP="00026F63">
      <w:pPr>
        <w:tabs>
          <w:tab w:val="left" w:pos="142"/>
          <w:tab w:val="left" w:pos="284"/>
        </w:tabs>
        <w:spacing w:after="0" w:line="276" w:lineRule="auto"/>
        <w:jc w:val="both"/>
        <w:rPr>
          <w:rFonts w:ascii="Verdana" w:eastAsia="Calibri" w:hAnsi="Verdana" w:cs="Arial"/>
          <w:lang w:val="es-ES"/>
        </w:rPr>
      </w:pPr>
    </w:p>
    <w:p w14:paraId="052F095D" w14:textId="77777777" w:rsidR="00026F63" w:rsidRPr="00AA3CC6" w:rsidRDefault="00026F63" w:rsidP="00026F63">
      <w:pPr>
        <w:tabs>
          <w:tab w:val="left" w:pos="142"/>
          <w:tab w:val="left" w:pos="284"/>
        </w:tabs>
        <w:spacing w:after="0" w:line="276" w:lineRule="auto"/>
        <w:jc w:val="both"/>
        <w:rPr>
          <w:rFonts w:ascii="Verdana" w:eastAsia="Calibri" w:hAnsi="Verdana" w:cs="Arial"/>
          <w:lang w:val="es-ES"/>
        </w:rPr>
      </w:pPr>
      <w:r w:rsidRPr="00AA3CC6">
        <w:rPr>
          <w:rFonts w:ascii="Verdana" w:eastAsia="Calibri" w:hAnsi="Verdana" w:cs="Arial"/>
          <w:lang w:val="es-ES"/>
        </w:rPr>
        <w:t xml:space="preserve">Lo anterior se sustenta en las siguientes consideraciones: </w:t>
      </w:r>
    </w:p>
    <w:p w14:paraId="7886DF7E" w14:textId="77777777" w:rsidR="00026F63" w:rsidRPr="00AA3CC6" w:rsidRDefault="00026F63" w:rsidP="00026F63">
      <w:pPr>
        <w:tabs>
          <w:tab w:val="left" w:pos="142"/>
          <w:tab w:val="left" w:pos="284"/>
        </w:tabs>
        <w:spacing w:after="0" w:line="276" w:lineRule="auto"/>
        <w:jc w:val="both"/>
        <w:rPr>
          <w:rFonts w:ascii="Verdana" w:eastAsia="Calibri" w:hAnsi="Verdana" w:cs="Arial"/>
          <w:lang w:val="es-ES"/>
        </w:rPr>
      </w:pPr>
    </w:p>
    <w:p w14:paraId="6938D324" w14:textId="77777777" w:rsidR="00026F63" w:rsidRPr="008979D2" w:rsidRDefault="00026F63" w:rsidP="00026F63">
      <w:pPr>
        <w:snapToGrid w:val="0"/>
        <w:spacing w:after="120" w:line="276" w:lineRule="auto"/>
        <w:jc w:val="both"/>
        <w:rPr>
          <w:rFonts w:ascii="Verdana" w:eastAsia="Calibri" w:hAnsi="Verdana" w:cs="Times New Roman"/>
          <w:lang w:val="es-ES" w:eastAsia="es-MX"/>
        </w:rPr>
      </w:pPr>
      <w:r w:rsidRPr="00AA3CC6">
        <w:rPr>
          <w:rFonts w:ascii="Verdana" w:eastAsia="Calibri" w:hAnsi="Verdana" w:cs="Arial"/>
        </w:rPr>
        <w:t xml:space="preserve">i). </w:t>
      </w:r>
      <w:r w:rsidRPr="00AA3CC6">
        <w:rPr>
          <w:rFonts w:ascii="Verdana" w:eastAsia="Calibri" w:hAnsi="Verdana" w:cs="Times New Roman"/>
          <w:lang w:val="es-ES" w:eastAsia="es-MX"/>
        </w:rPr>
        <w:t xml:space="preserve">En </w:t>
      </w:r>
      <w:r w:rsidRPr="008979D2">
        <w:rPr>
          <w:rFonts w:ascii="Verdana" w:eastAsia="Calibri" w:hAnsi="Verdana" w:cs="Times New Roman"/>
          <w:lang w:val="es-ES" w:eastAsia="es-MX"/>
        </w:rPr>
        <w:t xml:space="preserve">desarrollo de la Ley 2022 de 2020, la Agencia Nacional de Contratación Pública – Colombia Compra Eficiente expidió la Resolución 219 del 6 de agosto de 2021, “Por la cual se adoptan los documentos tipo para los procesos de licitación de obra pública de infraestructura social”. Dentro de esta categoría fue incluida la infraestructura asociada a los sectores de salud, educación, y cultura, recreación y deporte, tal como lo establece el parágrafo 2 del artículo 2 de la resolución indicada, de la siguiente manera: “Estos documentos tipo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 </w:t>
      </w:r>
      <w:r w:rsidRPr="008979D2">
        <w:rPr>
          <w:rFonts w:ascii="Verdana" w:eastAsia="Calibri" w:hAnsi="Verdana" w:cs="Times New Roman"/>
          <w:lang w:val="es-ES" w:eastAsia="es-MX"/>
        </w:rPr>
        <w:tab/>
      </w:r>
    </w:p>
    <w:p w14:paraId="4408FB59" w14:textId="77777777" w:rsidR="00026F63" w:rsidRPr="008979D2" w:rsidRDefault="00026F63" w:rsidP="00026F63">
      <w:pPr>
        <w:snapToGrid w:val="0"/>
        <w:spacing w:after="120" w:line="276" w:lineRule="auto"/>
        <w:ind w:firstLine="709"/>
        <w:jc w:val="both"/>
        <w:rPr>
          <w:rFonts w:ascii="Verdana" w:eastAsia="Calibri" w:hAnsi="Verdana" w:cs="Times New Roman"/>
          <w:lang w:val="es-ES" w:eastAsia="es-MX"/>
        </w:rPr>
      </w:pPr>
      <w:r w:rsidRPr="008979D2">
        <w:rPr>
          <w:rFonts w:ascii="Verdana" w:eastAsia="Calibri" w:hAnsi="Verdana" w:cs="Times New Roman"/>
          <w:lang w:val="es-ES" w:eastAsia="es-MX"/>
        </w:rPr>
        <w:t xml:space="preserve">Como puede observarse, la Resolución 219 de 2021 contiene un listado enunciativo de los sectores relacionados con los proyectos de infraestructura social a los cuales aplican los documentos tipo –educativo; salud; cultura, recreación y deporte–. 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14:paraId="279F550F" w14:textId="77777777" w:rsidR="00026F63" w:rsidRPr="008979D2" w:rsidRDefault="00026F63" w:rsidP="00026F63">
      <w:pPr>
        <w:snapToGrid w:val="0"/>
        <w:spacing w:after="120" w:line="276" w:lineRule="auto"/>
        <w:ind w:firstLine="709"/>
        <w:jc w:val="both"/>
        <w:rPr>
          <w:rFonts w:ascii="Verdana" w:eastAsia="Calibri" w:hAnsi="Verdana" w:cs="Times New Roman"/>
          <w:lang w:val="es-ES" w:eastAsia="es-MX"/>
        </w:rPr>
      </w:pPr>
      <w:r w:rsidRPr="008979D2">
        <w:rPr>
          <w:rFonts w:ascii="Verdana" w:eastAsia="Calibri" w:hAnsi="Verdana" w:cs="Times New Roman"/>
          <w:bCs/>
          <w:lang w:val="es-ES" w:eastAsia="es-MX"/>
        </w:rPr>
        <w:t xml:space="preserve">El 6 de agosto, 18 de noviembre y 16 de diciembre de 2021, se adoptaron los documentos tipo complementarios para los procesos de licitación de obra pública de infraestructura social relacionados con el </w:t>
      </w:r>
      <w:r w:rsidRPr="008979D2">
        <w:rPr>
          <w:rFonts w:ascii="Verdana" w:eastAsia="Calibri" w:hAnsi="Verdana" w:cs="Times New Roman"/>
          <w:bCs/>
          <w:i/>
          <w:iCs/>
          <w:lang w:val="es-ES" w:eastAsia="es-MX"/>
        </w:rPr>
        <w:t>sector educ</w:t>
      </w:r>
      <w:r w:rsidRPr="008979D2">
        <w:rPr>
          <w:rFonts w:ascii="Verdana" w:eastAsia="Calibri" w:hAnsi="Verdana" w:cs="Times New Roman"/>
          <w:bCs/>
          <w:i/>
          <w:lang w:val="es-ES" w:eastAsia="es-MX"/>
        </w:rPr>
        <w:t xml:space="preserve">ativo, salud, y cultura, recreación y deporte, </w:t>
      </w:r>
      <w:r w:rsidRPr="008979D2">
        <w:rPr>
          <w:rFonts w:ascii="Verdana" w:eastAsia="Calibri" w:hAnsi="Verdana" w:cs="Times New Roman"/>
          <w:bCs/>
          <w:iCs/>
          <w:lang w:val="es-ES" w:eastAsia="es-MX"/>
        </w:rPr>
        <w:t>respectivamente</w:t>
      </w:r>
      <w:r w:rsidRPr="008979D2">
        <w:rPr>
          <w:rFonts w:ascii="Verdana" w:eastAsia="Calibri" w:hAnsi="Verdana" w:cs="Times New Roman"/>
          <w:bCs/>
          <w:i/>
          <w:lang w:val="es-ES" w:eastAsia="es-MX"/>
        </w:rPr>
        <w:t xml:space="preserve">, </w:t>
      </w:r>
      <w:r w:rsidRPr="008979D2">
        <w:rPr>
          <w:rFonts w:ascii="Verdana" w:eastAsia="Calibri" w:hAnsi="Verdana" w:cs="Times New Roman"/>
          <w:bCs/>
          <w:lang w:val="es-ES" w:eastAsia="es-MX"/>
        </w:rPr>
        <w:t xml:space="preserve">mediante las </w:t>
      </w:r>
      <w:r w:rsidRPr="008979D2">
        <w:rPr>
          <w:rFonts w:ascii="Verdana" w:eastAsia="Calibri" w:hAnsi="Verdana" w:cs="Times New Roman"/>
          <w:lang w:val="es-ES" w:eastAsia="es-MX"/>
        </w:rPr>
        <w:t xml:space="preserve">Resoluciones 220, 392 y 454 de 2021. Estas Resoluciones, en el artículo 2, desarrollan el “Anexo – Glosario” y la </w:t>
      </w:r>
      <w:r w:rsidRPr="008979D2">
        <w:rPr>
          <w:rFonts w:ascii="Verdana" w:eastAsia="Calibri" w:hAnsi="Verdana" w:cs="Times New Roman"/>
          <w:lang w:eastAsia="es-MX"/>
        </w:rPr>
        <w:t>“Matriz – Experiencia”</w:t>
      </w:r>
      <w:r w:rsidRPr="008979D2">
        <w:rPr>
          <w:rFonts w:ascii="Verdana" w:eastAsia="Calibri" w:hAnsi="Verdana" w:cs="Times New Roman"/>
          <w:lang w:val="es-ES" w:eastAsia="es-MX"/>
        </w:rPr>
        <w:t xml:space="preserve"> para proyectos de infraestructura social para cada sector, lo que significa que estos documentos definen el alcance para cada sector de manera específica. Del mismo modo, la Matriz de Experiencia de cada sector, además de estandarizar el requisito habilitante de experiencia, señala los proyectos o contratos concretos a los cuales aplican los documentos tipo, bajo el entendido de que aplicarán a los procesos de contratación cuyo </w:t>
      </w:r>
      <w:r w:rsidRPr="008979D2">
        <w:rPr>
          <w:rFonts w:ascii="Verdana" w:eastAsia="Calibri" w:hAnsi="Verdana" w:cs="Times New Roman"/>
          <w:lang w:val="es-ES" w:eastAsia="es-MX"/>
        </w:rPr>
        <w:lastRenderedPageBreak/>
        <w:t>objeto se relacione con alguna de las actividades establecidas de forma detallada en la Matriz de Experiencia respectiva.</w:t>
      </w:r>
    </w:p>
    <w:p w14:paraId="268EDE1E" w14:textId="77777777" w:rsidR="00026F63" w:rsidRPr="008979D2" w:rsidRDefault="00026F63" w:rsidP="00026F63">
      <w:pPr>
        <w:snapToGrid w:val="0"/>
        <w:spacing w:after="120" w:line="276" w:lineRule="auto"/>
        <w:ind w:firstLine="709"/>
        <w:jc w:val="both"/>
        <w:rPr>
          <w:rFonts w:ascii="Verdana" w:eastAsia="Calibri" w:hAnsi="Verdana" w:cs="Times New Roman"/>
          <w:lang w:val="es-ES" w:eastAsia="es-MX"/>
        </w:rPr>
      </w:pPr>
      <w:r w:rsidRPr="008979D2">
        <w:rPr>
          <w:rFonts w:ascii="Verdana" w:eastAsia="Calibri" w:hAnsi="Verdana" w:cs="Times New Roman"/>
          <w:lang w:val="es-ES" w:eastAsia="es-MX"/>
        </w:rPr>
        <w:t>Recientemente, los precitados documentos tipo fueron modificados mediante la Resolución No. 539 del 21 de agosto de 2025, “Por la cual se adopta la versión -2- de los documentos tipo para los procesos de selección de licitación de obra pública del sector de infraestructura social y se deroga la Resolución 219 de 2021; se adoptan los documento tipo complementarios para los procesos de licitación de obra pública de infraestructura social relacionados con los sectores de educación, salud, cultura, recreación y deporte – versión 2 y se derogan las Resoluciones 220, 392 y 454 de 2021; y se adoptan los documentos tipo complementarios para los procesos de licitación de obra pública de infraestructura social relacionados con los sectores institucional y vivienda”. Estos nuevos documentos tipo aplican a los procedimientos de selección de licitación de obra pública de infraestructura social en los sectores de educación, salud, cultura, recreación y deporte, institucional y vivienda, cuyo aviso de convocatoria sea publicado a partir del 16 de febrero de 2026.</w:t>
      </w:r>
    </w:p>
    <w:p w14:paraId="51EBEB2E" w14:textId="77777777" w:rsidR="00026F63" w:rsidRPr="008979D2" w:rsidRDefault="00026F63" w:rsidP="00026F63">
      <w:pPr>
        <w:snapToGrid w:val="0"/>
        <w:spacing w:after="120" w:line="276" w:lineRule="auto"/>
        <w:ind w:firstLine="709"/>
        <w:jc w:val="both"/>
        <w:rPr>
          <w:rFonts w:ascii="Verdana" w:eastAsia="Calibri" w:hAnsi="Verdana" w:cs="Times New Roman"/>
          <w:lang w:val="es-ES" w:eastAsia="es-MX"/>
        </w:rPr>
      </w:pPr>
      <w:r w:rsidRPr="008979D2">
        <w:rPr>
          <w:rFonts w:ascii="Verdana" w:eastAsia="Calibri" w:hAnsi="Verdana" w:cs="Times New Roman"/>
          <w:lang w:val="es-ES" w:eastAsia="es-MX"/>
        </w:rPr>
        <w:t>A su vez, se adoptaron los documentos tipo para contratar obras públicas de infraestructura social adelantados bajo las modalidades de selección abreviada de menor cuantía –mediante la Resolución No. 540 del 21 de agosto de 2025– y mínima cuantía –en virtud de la Resolución No. 541 del 21 de agosto de 2025–. Ambos aplicables, también, a los procedimientos de selección con aviso de convocatoria o invitación publicada a partir del 16 de febrero de 2026.</w:t>
      </w:r>
    </w:p>
    <w:p w14:paraId="62AA2C16" w14:textId="77777777" w:rsidR="00026F63" w:rsidRPr="008979D2" w:rsidRDefault="00026F63" w:rsidP="00026F63">
      <w:pPr>
        <w:snapToGrid w:val="0"/>
        <w:spacing w:after="120" w:line="276" w:lineRule="auto"/>
        <w:ind w:firstLine="709"/>
        <w:jc w:val="both"/>
        <w:rPr>
          <w:rFonts w:ascii="Verdana" w:eastAsia="Calibri" w:hAnsi="Verdana" w:cs="Times New Roman"/>
          <w:lang w:eastAsia="es-MX"/>
        </w:rPr>
      </w:pPr>
      <w:r w:rsidRPr="008979D2">
        <w:rPr>
          <w:rFonts w:ascii="Verdana" w:eastAsia="Calibri" w:hAnsi="Verdana" w:cs="Times New Roman"/>
          <w:lang w:eastAsia="es-MX"/>
        </w:rPr>
        <w:t xml:space="preserve">Para la determinación de los requisitos mínimos de experiencia según la “Matriz – Experiencia”, el numeral 3.5.1 del documento base de los documentos tipo de licitación de obra pública de infraestructura social, prescribe que la entidad debe indicar la forma de análisis y establecimiento de las condiciones de experiencia, tanto general como específica. Además, deberá indicar el número de la actividad a contratar, y transcribir textualmente lo señalado en la “Matriz – Experiencia”. </w:t>
      </w:r>
    </w:p>
    <w:p w14:paraId="356A22CE" w14:textId="77777777" w:rsidR="00026F63" w:rsidRPr="008979D2" w:rsidRDefault="00026F63" w:rsidP="00026F63">
      <w:pPr>
        <w:snapToGrid w:val="0"/>
        <w:spacing w:after="120" w:line="276" w:lineRule="auto"/>
        <w:ind w:firstLine="709"/>
        <w:jc w:val="both"/>
        <w:rPr>
          <w:rFonts w:ascii="Verdana" w:eastAsia="Calibri" w:hAnsi="Verdana" w:cs="Times New Roman"/>
          <w:lang w:val="es-ES" w:eastAsia="es-MX"/>
        </w:rPr>
      </w:pPr>
      <w:r w:rsidRPr="008979D2">
        <w:rPr>
          <w:rFonts w:ascii="Verdana" w:eastAsia="Calibri" w:hAnsi="Verdana" w:cs="Times New Roman"/>
          <w:lang w:val="es-ES" w:eastAsia="es-MX"/>
        </w:rPr>
        <w:t xml:space="preserve">La Matrices de Experiencia de los documentos tipo de infraestructura social se componen de varios capítulos que contemplan diferentes actividades y obras a contratar por parte de la entidad estatal. A su vez, en estas matrices se establecen las actividades a contratar que hacen parte de un tipo o grupo de infraestructura, las cuales señalan las condiciones y requerimientos de experiencia general y específica. </w:t>
      </w:r>
    </w:p>
    <w:p w14:paraId="43C6185F" w14:textId="77777777" w:rsidR="00026F63" w:rsidRPr="008979D2" w:rsidRDefault="00026F63" w:rsidP="00026F63">
      <w:pPr>
        <w:snapToGrid w:val="0"/>
        <w:spacing w:after="120" w:line="276" w:lineRule="auto"/>
        <w:ind w:firstLine="709"/>
        <w:jc w:val="both"/>
        <w:rPr>
          <w:rFonts w:ascii="Verdana" w:eastAsia="Calibri" w:hAnsi="Verdana" w:cs="Times New Roman"/>
          <w:lang w:val="es-ES" w:eastAsia="es-MX"/>
        </w:rPr>
      </w:pPr>
      <w:r w:rsidRPr="008979D2">
        <w:rPr>
          <w:rFonts w:ascii="Verdana" w:eastAsia="Calibri" w:hAnsi="Verdana" w:cs="Times New Roman"/>
          <w:lang w:val="es-ES" w:eastAsia="es-MX"/>
        </w:rPr>
        <w:lastRenderedPageBreak/>
        <w:t>La experiencia específica, dependiendo del tipo de “actividad a contratar”, puede contener un “% de dimensionamiento” con la implementación de un factor (F%), el cual es definido por el rango de SMMLV en el cual se encuentre el presupuesto oficial del proceso de contratación. Así mismo, en la parte inferior de la matriz se establecen los lineamientos para su aplicación, incluyendo aspectos asociados con la forma en la cual se establecen las reglas de combinaciones entre las diferentes “actividades a contratar” y aspectos generales de la Matriz de Experiencia.</w:t>
      </w:r>
    </w:p>
    <w:p w14:paraId="21A1BEB1" w14:textId="77777777" w:rsidR="00026F63" w:rsidRPr="008979D2" w:rsidRDefault="00026F63" w:rsidP="00026F63">
      <w:pPr>
        <w:snapToGrid w:val="0"/>
        <w:spacing w:after="120" w:line="276" w:lineRule="auto"/>
        <w:ind w:firstLine="709"/>
        <w:jc w:val="both"/>
        <w:rPr>
          <w:rFonts w:ascii="Verdana" w:eastAsia="Calibri" w:hAnsi="Verdana" w:cs="Times New Roman"/>
          <w:lang w:eastAsia="es-MX"/>
        </w:rPr>
      </w:pPr>
      <w:r w:rsidRPr="008979D2">
        <w:rPr>
          <w:rFonts w:ascii="Verdana" w:eastAsia="Calibri" w:hAnsi="Verdana" w:cs="Times New Roman"/>
          <w:lang w:eastAsia="es-MX"/>
        </w:rPr>
        <w:t xml:space="preserve">Para fijar las condiciones que deben cumplir los contratos aportados en términos de actividades ejecutadas, las entidades deben emplear la “Matriz – Experiencia”. Este documento estandariza las condiciones de experiencia general y/o experiencia específica que deben requerir las entidades estatales a los proponentes para acreditar el requisito habilitante de experiencia, de acuerdo con: i) el tipo de obra de infraestructura social, </w:t>
      </w:r>
      <w:proofErr w:type="spellStart"/>
      <w:r w:rsidRPr="008979D2">
        <w:rPr>
          <w:rFonts w:ascii="Verdana" w:eastAsia="Calibri" w:hAnsi="Verdana" w:cs="Times New Roman"/>
          <w:lang w:eastAsia="es-MX"/>
        </w:rPr>
        <w:t>ii</w:t>
      </w:r>
      <w:proofErr w:type="spellEnd"/>
      <w:r w:rsidRPr="008979D2">
        <w:rPr>
          <w:rFonts w:ascii="Verdana" w:eastAsia="Calibri" w:hAnsi="Verdana" w:cs="Times New Roman"/>
          <w:lang w:eastAsia="es-MX"/>
        </w:rPr>
        <w:t xml:space="preserve">) la actividad a contratar y </w:t>
      </w:r>
      <w:proofErr w:type="spellStart"/>
      <w:r w:rsidRPr="008979D2">
        <w:rPr>
          <w:rFonts w:ascii="Verdana" w:eastAsia="Calibri" w:hAnsi="Verdana" w:cs="Times New Roman"/>
          <w:lang w:eastAsia="es-MX"/>
        </w:rPr>
        <w:t>iii</w:t>
      </w:r>
      <w:proofErr w:type="spellEnd"/>
      <w:r w:rsidRPr="008979D2">
        <w:rPr>
          <w:rFonts w:ascii="Verdana" w:eastAsia="Calibri" w:hAnsi="Verdana" w:cs="Times New Roman"/>
          <w:lang w:eastAsia="es-MX"/>
        </w:rPr>
        <w:t>) la cuantía del proceso de contratación.</w:t>
      </w:r>
    </w:p>
    <w:p w14:paraId="551D5F65" w14:textId="77777777" w:rsidR="00026F63" w:rsidRPr="008979D2" w:rsidRDefault="00026F63" w:rsidP="00026F63">
      <w:pPr>
        <w:snapToGrid w:val="0"/>
        <w:spacing w:after="0" w:line="276" w:lineRule="auto"/>
        <w:ind w:firstLine="709"/>
        <w:jc w:val="both"/>
        <w:rPr>
          <w:rFonts w:ascii="Verdana" w:eastAsia="Calibri" w:hAnsi="Verdana" w:cs="Times New Roman"/>
          <w:lang w:eastAsia="es-MX"/>
        </w:rPr>
      </w:pPr>
      <w:r w:rsidRPr="008979D2">
        <w:rPr>
          <w:rFonts w:ascii="Verdana" w:eastAsia="Calibri" w:hAnsi="Verdana" w:cs="Calibri"/>
          <w:kern w:val="2"/>
          <w14:ligatures w14:val="standardContextual"/>
        </w:rPr>
        <w:t>Con el propósito de responder su solicitud, resulta relevante señalar que la implementación de los documentos tipo por parte de las entidades estatales sometidas al Estatuto General de Contratación de la Administración Pública –EGCAP–, está determinada por las actividades sobre las cuales se puede enmarcar el proceso de selección que adelanten. Al respecto, la parte introductoria de los documentos tipo de licitación de obra pública de infraestructura social, dispone:</w:t>
      </w:r>
    </w:p>
    <w:p w14:paraId="62E19063" w14:textId="77777777" w:rsidR="00026F63" w:rsidRDefault="00026F63" w:rsidP="00026F63">
      <w:pPr>
        <w:spacing w:after="120" w:line="276" w:lineRule="auto"/>
        <w:jc w:val="both"/>
        <w:rPr>
          <w:rFonts w:ascii="Verdana" w:hAnsi="Verdana"/>
          <w:color w:val="99CCFF"/>
        </w:rPr>
      </w:pPr>
    </w:p>
    <w:p w14:paraId="026D18FC" w14:textId="77777777" w:rsidR="00026F63" w:rsidRPr="008979D2" w:rsidRDefault="00026F63" w:rsidP="00026F63">
      <w:pPr>
        <w:spacing w:after="0" w:line="240" w:lineRule="auto"/>
        <w:ind w:left="709" w:right="709"/>
        <w:jc w:val="both"/>
        <w:rPr>
          <w:rFonts w:ascii="Verdana" w:eastAsia="Calibri" w:hAnsi="Verdana" w:cs="Calibri"/>
          <w:kern w:val="2"/>
          <w:sz w:val="21"/>
          <w:szCs w:val="21"/>
          <w14:ligatures w14:val="standardContextual"/>
        </w:rPr>
      </w:pPr>
      <w:r w:rsidRPr="008979D2">
        <w:rPr>
          <w:rFonts w:ascii="Verdana" w:eastAsia="Calibri" w:hAnsi="Verdana" w:cs="Calibri"/>
          <w:kern w:val="2"/>
          <w:sz w:val="21"/>
          <w:szCs w:val="21"/>
          <w14:ligatures w14:val="standardContextual"/>
        </w:rPr>
        <w:t>Este Documento Tipo aplica a los procesos de licitación de obra pública de “Infraestructura Social” (Versión 2) que correspondan a las actividades definidas en la Matriz  1 - Experiencia, En consecuencia, para las actividades de infraestructura de social no contempladas en la Matriz 1 – Experiencia aplicable en el proyecto de infraestructura social bien sea de salud, educación, institucional, vivienda y cultura, recreación y deporte, no tienen que aplicar los documentos tipo; sin perjuicio de lo previsto en el artículo 2.2.1.2.6.1.5. del Decreto 1082 de 2015.</w:t>
      </w:r>
    </w:p>
    <w:p w14:paraId="2E64280E" w14:textId="77777777" w:rsidR="00026F63" w:rsidRPr="008979D2" w:rsidRDefault="00026F63" w:rsidP="00026F63">
      <w:pPr>
        <w:spacing w:after="0" w:line="240" w:lineRule="auto"/>
        <w:ind w:left="709" w:right="709"/>
        <w:jc w:val="both"/>
        <w:rPr>
          <w:rFonts w:ascii="Verdana" w:eastAsia="Calibri" w:hAnsi="Verdana" w:cs="Calibri"/>
          <w:kern w:val="2"/>
          <w:sz w:val="21"/>
          <w:szCs w:val="21"/>
          <w14:ligatures w14:val="standardContextual"/>
        </w:rPr>
      </w:pPr>
    </w:p>
    <w:p w14:paraId="536176E1" w14:textId="77777777" w:rsidR="00026F63" w:rsidRPr="008979D2" w:rsidRDefault="00026F63" w:rsidP="00026F63">
      <w:pPr>
        <w:spacing w:after="0" w:line="240" w:lineRule="auto"/>
        <w:ind w:left="709" w:right="709"/>
        <w:jc w:val="both"/>
        <w:rPr>
          <w:rFonts w:ascii="Verdana" w:eastAsia="Calibri" w:hAnsi="Verdana" w:cs="Calibri"/>
          <w:kern w:val="2"/>
          <w:sz w:val="21"/>
          <w:szCs w:val="21"/>
          <w14:ligatures w14:val="standardContextual"/>
        </w:rPr>
      </w:pPr>
      <w:r w:rsidRPr="008979D2">
        <w:rPr>
          <w:rFonts w:ascii="Verdana" w:eastAsia="Calibri" w:hAnsi="Verdana" w:cs="Calibri"/>
          <w:b/>
          <w:bCs/>
          <w:kern w:val="2"/>
          <w:sz w:val="21"/>
          <w:szCs w:val="21"/>
          <w14:ligatures w14:val="standardContextual"/>
        </w:rPr>
        <w:t>Nota 1:</w:t>
      </w:r>
      <w:r w:rsidRPr="008979D2">
        <w:rPr>
          <w:rFonts w:ascii="Verdana" w:eastAsia="Calibri" w:hAnsi="Verdana" w:cs="Calibri"/>
          <w:kern w:val="2"/>
          <w:sz w:val="21"/>
          <w:szCs w:val="21"/>
          <w14:ligatures w14:val="standardContextual"/>
        </w:rPr>
        <w:t xml:space="preserve"> En todo caso, lo que refiere a las actividades relacionadas en la Matriz 1 - Experiencia para el Sector institucional que involucren actividades de Defensa, la Entidad podrá apartarse del uso de documentos tipo, previa justificación donde se especifique que las obras, bienes o servicios a adquirir son objeto de reserva de acuerdo </w:t>
      </w:r>
      <w:r w:rsidRPr="008979D2">
        <w:rPr>
          <w:rFonts w:ascii="Verdana" w:eastAsia="Calibri" w:hAnsi="Verdana" w:cs="Calibri"/>
          <w:kern w:val="2"/>
          <w:sz w:val="21"/>
          <w:szCs w:val="21"/>
          <w14:ligatures w14:val="standardContextual"/>
        </w:rPr>
        <w:lastRenderedPageBreak/>
        <w:t>con lo descrito en el artículo 2, numeral 4, literal d) de la Ley 1150 de 2007.</w:t>
      </w:r>
    </w:p>
    <w:p w14:paraId="5D1A85C1" w14:textId="77777777" w:rsidR="00026F63" w:rsidRPr="008979D2" w:rsidRDefault="00026F63" w:rsidP="00026F63">
      <w:pPr>
        <w:spacing w:after="0" w:line="240" w:lineRule="auto"/>
        <w:ind w:left="709" w:right="709"/>
        <w:jc w:val="both"/>
        <w:rPr>
          <w:rFonts w:ascii="Verdana" w:eastAsia="Calibri" w:hAnsi="Verdana" w:cs="Calibri"/>
          <w:kern w:val="2"/>
          <w:sz w:val="21"/>
          <w:szCs w:val="21"/>
          <w14:ligatures w14:val="standardContextual"/>
        </w:rPr>
      </w:pPr>
    </w:p>
    <w:p w14:paraId="5D8A2C28" w14:textId="77777777" w:rsidR="00026F63" w:rsidRPr="008979D2" w:rsidRDefault="00026F63" w:rsidP="00026F63">
      <w:pPr>
        <w:spacing w:after="0" w:line="240" w:lineRule="auto"/>
        <w:ind w:left="709" w:right="709"/>
        <w:jc w:val="both"/>
        <w:rPr>
          <w:rFonts w:ascii="Verdana" w:eastAsia="Calibri" w:hAnsi="Verdana" w:cs="Calibri"/>
          <w:kern w:val="2"/>
          <w:sz w:val="21"/>
          <w:szCs w:val="21"/>
          <w14:ligatures w14:val="standardContextual"/>
        </w:rPr>
      </w:pPr>
      <w:r w:rsidRPr="008979D2">
        <w:rPr>
          <w:rFonts w:ascii="Verdana" w:eastAsia="Calibri" w:hAnsi="Verdana" w:cs="Calibri"/>
          <w:b/>
          <w:bCs/>
          <w:kern w:val="2"/>
          <w:sz w:val="21"/>
          <w:szCs w:val="21"/>
          <w14:ligatures w14:val="standardContextual"/>
        </w:rPr>
        <w:t>Nota 2:</w:t>
      </w:r>
      <w:r w:rsidRPr="008979D2">
        <w:rPr>
          <w:rFonts w:ascii="Verdana" w:eastAsia="Calibri" w:hAnsi="Verdana" w:cs="Calibri"/>
          <w:kern w:val="2"/>
          <w:sz w:val="21"/>
          <w:szCs w:val="21"/>
          <w14:ligatures w14:val="standardContextual"/>
        </w:rPr>
        <w:t xml:space="preserve"> El Subsector Institucional de conformidad con la NSR-10 incluye los capítulos de seguridad Pública, servicio público, sitios de reclusión y edificaciones institucionales.”</w:t>
      </w:r>
    </w:p>
    <w:p w14:paraId="18CCDBB7" w14:textId="77777777" w:rsidR="00026F63" w:rsidRPr="008979D2" w:rsidRDefault="00026F63" w:rsidP="00026F63">
      <w:pPr>
        <w:spacing w:after="0" w:line="276" w:lineRule="auto"/>
        <w:jc w:val="both"/>
        <w:rPr>
          <w:rFonts w:ascii="Verdana" w:eastAsia="Arial" w:hAnsi="Verdana" w:cs="Calibri"/>
          <w:lang w:eastAsia="es-ES"/>
        </w:rPr>
      </w:pPr>
    </w:p>
    <w:p w14:paraId="0615C583" w14:textId="77777777" w:rsidR="00026F63" w:rsidRPr="008979D2" w:rsidRDefault="00026F63" w:rsidP="00026F63">
      <w:pPr>
        <w:snapToGrid w:val="0"/>
        <w:spacing w:after="120" w:line="276" w:lineRule="auto"/>
        <w:ind w:firstLine="709"/>
        <w:jc w:val="both"/>
        <w:rPr>
          <w:rFonts w:ascii="Verdana" w:eastAsia="Aptos" w:hAnsi="Verdana" w:cs="Aptos"/>
          <w:kern w:val="2"/>
          <w:lang w:val="es-ES_tradnl"/>
          <w14:ligatures w14:val="standardContextual"/>
        </w:rPr>
      </w:pPr>
      <w:r w:rsidRPr="008979D2">
        <w:rPr>
          <w:rFonts w:ascii="Verdana" w:eastAsia="Aptos" w:hAnsi="Verdana" w:cs="Aptos"/>
          <w:kern w:val="2"/>
          <w:lang w:val="es-ES_tradnl"/>
          <w14:ligatures w14:val="standardContextual"/>
        </w:rPr>
        <w:t xml:space="preserve">De conformidad con lo previsto en el artículo tercero (3) de las Resoluciones No. 539, 540 y 541 del 21 de agosto de 2025, los documentos tipo adoptados son de carácter obligatorio en la actividad contractual de las Entidades Estatales sometidas al Estatuto General de Contratación de la Administración Pública. </w:t>
      </w:r>
    </w:p>
    <w:p w14:paraId="0C46F7C1" w14:textId="77777777" w:rsidR="00026F63" w:rsidRPr="008979D2" w:rsidRDefault="00026F63" w:rsidP="00026F63">
      <w:pPr>
        <w:snapToGrid w:val="0"/>
        <w:spacing w:after="120" w:line="276" w:lineRule="auto"/>
        <w:ind w:firstLine="709"/>
        <w:jc w:val="both"/>
        <w:rPr>
          <w:rFonts w:ascii="Verdana" w:eastAsia="Aptos" w:hAnsi="Verdana" w:cs="Aptos"/>
          <w:kern w:val="2"/>
          <w:lang w:val="es-ES_tradnl"/>
          <w14:ligatures w14:val="standardContextual"/>
        </w:rPr>
      </w:pPr>
      <w:r w:rsidRPr="008979D2">
        <w:rPr>
          <w:rFonts w:ascii="Verdana" w:eastAsia="Aptos" w:hAnsi="Verdana" w:cs="Aptos"/>
          <w:kern w:val="2"/>
          <w:lang w:val="es-ES_tradnl"/>
          <w14:ligatures w14:val="standardContextual"/>
        </w:rPr>
        <w:t xml:space="preserve">Sobre el ámbito de aplicación de los documentos tipo señalados, el parágrafo segundo del artículo 9 de la Resolución No. 539 del 21 de agosto de 2025, indica que estos documentos aplican a los procesos contractuales que correspondan a las actividades definidas en la “Matriz 1 – Experiencia”, en este caso del Sector Institucional. </w:t>
      </w:r>
    </w:p>
    <w:p w14:paraId="199B4D54" w14:textId="77777777" w:rsidR="00026F63" w:rsidRPr="008979D2" w:rsidRDefault="00026F63" w:rsidP="00026F63">
      <w:pPr>
        <w:snapToGrid w:val="0"/>
        <w:spacing w:after="120" w:line="276" w:lineRule="auto"/>
        <w:ind w:firstLine="709"/>
        <w:jc w:val="both"/>
        <w:rPr>
          <w:rFonts w:ascii="Verdana" w:eastAsia="Aptos" w:hAnsi="Verdana" w:cs="Aptos"/>
          <w:kern w:val="2"/>
          <w:lang w:val="es-ES_tradnl"/>
          <w14:ligatures w14:val="standardContextual"/>
        </w:rPr>
      </w:pPr>
      <w:r w:rsidRPr="008979D2">
        <w:rPr>
          <w:rFonts w:ascii="Verdana" w:eastAsia="Aptos" w:hAnsi="Verdana" w:cs="Aptos"/>
          <w:kern w:val="2"/>
          <w:lang w:val="es-ES_tradnl"/>
          <w14:ligatures w14:val="standardContextual"/>
        </w:rPr>
        <w:t>La “Matriz 1 – Experiencia” del Sector Institucional, en las modalidades de licitación pública, selección abreviada de menor cuantía y mínima cuantía, dispone de unos tipos de obras y actividades que recaen sobre infraestructura institucional. Esto es importante para precisar el ámbito de aplicación de los documentos tipo de este sector adoptados en el capítulo V de las Resoluciones No. 539, 540 y 541 de 2025.</w:t>
      </w:r>
    </w:p>
    <w:p w14:paraId="75F25B6A" w14:textId="77777777" w:rsidR="00026F63" w:rsidRPr="008979D2" w:rsidRDefault="00026F63" w:rsidP="00026F63">
      <w:pPr>
        <w:snapToGrid w:val="0"/>
        <w:spacing w:after="120" w:line="276" w:lineRule="auto"/>
        <w:ind w:firstLine="709"/>
        <w:jc w:val="both"/>
        <w:rPr>
          <w:rFonts w:ascii="Verdana" w:eastAsia="Aptos" w:hAnsi="Verdana" w:cs="Aptos"/>
          <w:kern w:val="2"/>
          <w:lang w:val="es-ES"/>
          <w14:ligatures w14:val="standardContextual"/>
        </w:rPr>
      </w:pPr>
      <w:r w:rsidRPr="5383E647">
        <w:rPr>
          <w:rFonts w:ascii="Verdana" w:eastAsia="Aptos" w:hAnsi="Verdana" w:cs="Aptos"/>
          <w:kern w:val="2"/>
          <w:lang w:val="es-ES"/>
          <w14:ligatures w14:val="standardContextual"/>
        </w:rPr>
        <w:t>Para determinar qué infraestructura abarca este sector, debe indicarse que, de conformidad con la norma NSR-10 en el Subgrupo de Ocupación Institucional de Servicio Público (I-5) “se clasifican las edificaciones o espacios destinados a funciones administrativas y prestación de servicios públicos necesarios para el buen funcionamiento de las ciudades”. Entre las edificaciones o espacios que pertenecen a este subgrupo se encuentran las siguientes: “Centros de comunicación o administrativos o administrativos de servicios municipales, distritales o gubernamentales, juzgados y otros similares”.</w:t>
      </w:r>
    </w:p>
    <w:p w14:paraId="6DA9F1C8" w14:textId="77777777" w:rsidR="00026F63" w:rsidRPr="008979D2" w:rsidRDefault="00026F63" w:rsidP="00026F63">
      <w:pPr>
        <w:snapToGrid w:val="0"/>
        <w:spacing w:after="120" w:line="276" w:lineRule="auto"/>
        <w:ind w:firstLine="709"/>
        <w:jc w:val="both"/>
        <w:rPr>
          <w:rFonts w:ascii="Verdana" w:eastAsia="Aptos" w:hAnsi="Verdana" w:cs="Aptos"/>
          <w:kern w:val="2"/>
          <w:lang w:val="es-ES_tradnl"/>
          <w14:ligatures w14:val="standardContextual"/>
        </w:rPr>
      </w:pPr>
      <w:r w:rsidRPr="008979D2">
        <w:rPr>
          <w:rFonts w:ascii="Verdana" w:eastAsia="Aptos" w:hAnsi="Verdana" w:cs="Aptos"/>
          <w:kern w:val="2"/>
          <w:lang w:val="es-ES_tradnl"/>
          <w14:ligatures w14:val="standardContextual"/>
        </w:rPr>
        <w:t xml:space="preserve">En este sentido, el Subgrupo de Ocupación Institucional de Servicio Público corresponde a una categoría de clasificación establecida por la NSR-10, que agrupa aquellas edificaciones o espacios destinados al ejercicio de funciones administrativas y a la prestación de servicios públicos esenciales para el adecuado funcionamiento de las ciudades. Este subgrupo comprende centros de </w:t>
      </w:r>
      <w:r w:rsidRPr="008979D2">
        <w:rPr>
          <w:rFonts w:ascii="Verdana" w:eastAsia="Aptos" w:hAnsi="Verdana" w:cs="Aptos"/>
          <w:kern w:val="2"/>
          <w:lang w:val="es-ES_tradnl"/>
          <w14:ligatures w14:val="standardContextual"/>
        </w:rPr>
        <w:lastRenderedPageBreak/>
        <w:t>comunicación, administrativos y sedes de servicios en distintos niveles, juzgados y otros similares. La expresión “otros similares” pone en evidencia que la enumeración no es taxativa, sino enunciativa, por lo incluye todas aquellas edificaciones que por su naturaleza y finalidad están orientadas a la prestación de servicios públicos y al desarrollo de funciones institucionales del Estado.</w:t>
      </w:r>
    </w:p>
    <w:p w14:paraId="2BAD84A9" w14:textId="77777777" w:rsidR="00026F63" w:rsidRPr="008979D2" w:rsidRDefault="00026F63" w:rsidP="00026F63">
      <w:pPr>
        <w:snapToGrid w:val="0"/>
        <w:spacing w:after="0" w:line="276" w:lineRule="auto"/>
        <w:ind w:firstLine="709"/>
        <w:jc w:val="both"/>
        <w:rPr>
          <w:rFonts w:ascii="Verdana" w:eastAsia="Aptos" w:hAnsi="Verdana" w:cs="Aptos"/>
          <w:kern w:val="2"/>
          <w:lang w:val="es-ES_tradnl"/>
          <w14:ligatures w14:val="standardContextual"/>
        </w:rPr>
      </w:pPr>
      <w:r w:rsidRPr="008979D2">
        <w:rPr>
          <w:rFonts w:ascii="Verdana" w:eastAsia="Aptos" w:hAnsi="Verdana" w:cs="Aptos"/>
          <w:kern w:val="2"/>
          <w:lang w:val="es-ES_tradnl"/>
          <w14:ligatures w14:val="standardContextual"/>
        </w:rPr>
        <w:t>En el contexto anterior, el “Anexo 5 – Glosario” del sector social incluye la definición de “Grupo de Ocupación Institucional”:</w:t>
      </w:r>
    </w:p>
    <w:p w14:paraId="3AC71CBD" w14:textId="77777777" w:rsidR="00026F63" w:rsidRPr="008979D2" w:rsidRDefault="00026F63" w:rsidP="00026F63">
      <w:pPr>
        <w:spacing w:after="0" w:line="240" w:lineRule="auto"/>
        <w:jc w:val="both"/>
        <w:rPr>
          <w:rFonts w:ascii="Verdana" w:eastAsia="Aptos" w:hAnsi="Verdana" w:cs="Aptos"/>
          <w:kern w:val="2"/>
          <w:lang w:val="es-ES_tradnl"/>
          <w14:ligatures w14:val="standardContextual"/>
        </w:rPr>
      </w:pPr>
    </w:p>
    <w:p w14:paraId="03A6543B" w14:textId="77777777" w:rsidR="00026F63" w:rsidRPr="008979D2" w:rsidRDefault="00026F63" w:rsidP="00026F63">
      <w:pPr>
        <w:spacing w:after="0" w:line="240" w:lineRule="auto"/>
        <w:ind w:left="709" w:right="709"/>
        <w:jc w:val="both"/>
        <w:rPr>
          <w:rFonts w:ascii="Verdana" w:eastAsia="Aptos" w:hAnsi="Verdana" w:cs="Aptos"/>
          <w:kern w:val="2"/>
          <w:sz w:val="21"/>
          <w:szCs w:val="21"/>
          <w:lang w:val="es-ES"/>
          <w14:ligatures w14:val="standardContextual"/>
        </w:rPr>
      </w:pPr>
      <w:r w:rsidRPr="008979D2">
        <w:rPr>
          <w:rFonts w:ascii="Verdana" w:eastAsia="Aptos" w:hAnsi="Verdana" w:cs="Aptos"/>
          <w:i/>
          <w:iCs/>
          <w:kern w:val="2"/>
          <w:sz w:val="21"/>
          <w:szCs w:val="21"/>
          <w:lang w:val="es-ES"/>
          <w14:ligatures w14:val="standardContextual"/>
        </w:rPr>
        <w:t>“En el grupo de ocupación institucional se clasifican las edificaciones o espacios utilizados para la reclusión de personas que adolecen de limitaciones mentales o están sujetas a castigos penales o correccionales; en el tratamiento o cuidado de personas o en su reunión con propósitos educativos o de instrucción. De igual manera se clasifican dentro de este grupo las edificaciones y espacios indispensables en la atención de emergencias, preservación de la seguridad de personas y la prestación de servicios públicos y administrativos necesarios para el buen funcionamiento de las ciudades. Entre otras se contemplan para edificaciones de servicio público, centros de comunicación, centros administrativos, municipales, distritales, oficinas de correo, gubernamentales y nacionales, centros administrativos de servicios públicos, juzgados, ministerios, reguladores de servicios y de control, centros de investigación, entidades financieras estatales, otros similares”.</w:t>
      </w:r>
    </w:p>
    <w:p w14:paraId="1EFA1F8C" w14:textId="77777777" w:rsidR="00026F63" w:rsidRPr="008979D2" w:rsidRDefault="00026F63" w:rsidP="00026F63">
      <w:pPr>
        <w:spacing w:after="0" w:line="276" w:lineRule="auto"/>
        <w:jc w:val="both"/>
        <w:rPr>
          <w:rFonts w:ascii="Verdana" w:eastAsia="Aptos" w:hAnsi="Verdana" w:cs="Aptos"/>
          <w:kern w:val="2"/>
          <w:lang w:val="es-ES_tradnl"/>
          <w14:ligatures w14:val="standardContextual"/>
        </w:rPr>
      </w:pPr>
    </w:p>
    <w:p w14:paraId="7C98F59A" w14:textId="77777777" w:rsidR="00026F63" w:rsidRPr="008979D2" w:rsidRDefault="00026F63" w:rsidP="00026F63">
      <w:pPr>
        <w:snapToGrid w:val="0"/>
        <w:spacing w:after="120" w:line="276" w:lineRule="auto"/>
        <w:ind w:firstLine="709"/>
        <w:jc w:val="both"/>
        <w:rPr>
          <w:rFonts w:ascii="Verdana" w:eastAsia="Aptos" w:hAnsi="Verdana" w:cs="Aptos"/>
          <w:kern w:val="2"/>
          <w:lang w:val="es-ES_tradnl"/>
          <w14:ligatures w14:val="standardContextual"/>
        </w:rPr>
      </w:pPr>
      <w:r w:rsidRPr="008979D2">
        <w:rPr>
          <w:rFonts w:ascii="Verdana" w:eastAsia="Aptos" w:hAnsi="Verdana" w:cs="Aptos"/>
          <w:kern w:val="2"/>
          <w:lang w:val="es-ES_tradnl"/>
          <w14:ligatures w14:val="standardContextual"/>
        </w:rPr>
        <w:t xml:space="preserve">Por otra parte, hay que mencionar que las Resoluciones No. 539, 540 y 541 del 21 de agosto de 2025, acogidas en el sector de obra pública de infraestructura social, aplican de forma transversal en las modalidades de selección indicadas y a los proyectos de infraestructura social enmarcados dentro del sector </w:t>
      </w:r>
      <w:r w:rsidRPr="008979D2">
        <w:rPr>
          <w:rFonts w:ascii="Verdana" w:eastAsia="Aptos" w:hAnsi="Verdana" w:cs="Aptos"/>
          <w:b/>
          <w:bCs/>
          <w:kern w:val="2"/>
          <w:lang w:val="es-ES_tradnl"/>
          <w14:ligatures w14:val="standardContextual"/>
        </w:rPr>
        <w:t>educativo, salud, cultura, recreación y deporte, institucional y vivienda</w:t>
      </w:r>
      <w:r w:rsidRPr="008979D2">
        <w:rPr>
          <w:rFonts w:ascii="Verdana" w:eastAsia="Aptos" w:hAnsi="Verdana" w:cs="Aptos"/>
          <w:kern w:val="2"/>
          <w:lang w:val="es-ES_tradnl"/>
          <w14:ligatures w14:val="standardContextual"/>
        </w:rPr>
        <w:t xml:space="preserve">, </w:t>
      </w:r>
      <w:r w:rsidRPr="008979D2">
        <w:rPr>
          <w:rFonts w:ascii="Verdana" w:eastAsia="Aptos" w:hAnsi="Verdana" w:cs="Aptos"/>
          <w:i/>
          <w:iCs/>
          <w:kern w:val="2"/>
          <w:lang w:val="es-ES_tradnl"/>
          <w14:ligatures w14:val="standardContextual"/>
        </w:rPr>
        <w:t>en los procesos de selección cuyo aviso de convocatoria se publique a partir del 16 de febrero de 2026</w:t>
      </w:r>
      <w:r w:rsidRPr="008979D2">
        <w:rPr>
          <w:rFonts w:ascii="Verdana" w:eastAsia="Aptos" w:hAnsi="Verdana" w:cs="Aptos"/>
          <w:kern w:val="2"/>
          <w:vertAlign w:val="superscript"/>
          <w:lang w:val="es-ES_tradnl"/>
          <w14:ligatures w14:val="standardContextual"/>
        </w:rPr>
        <w:footnoteReference w:id="1"/>
      </w:r>
      <w:r w:rsidRPr="008979D2">
        <w:rPr>
          <w:rFonts w:ascii="Verdana" w:eastAsia="Aptos" w:hAnsi="Verdana" w:cs="Aptos"/>
          <w:kern w:val="2"/>
          <w:lang w:val="es-ES_tradnl"/>
          <w14:ligatures w14:val="standardContextual"/>
        </w:rPr>
        <w:t>.</w:t>
      </w:r>
    </w:p>
    <w:p w14:paraId="13131A8C" w14:textId="77777777" w:rsidR="00026F63" w:rsidRPr="008979D2" w:rsidRDefault="00026F63" w:rsidP="00026F63">
      <w:pPr>
        <w:snapToGrid w:val="0"/>
        <w:spacing w:after="120" w:line="276" w:lineRule="auto"/>
        <w:ind w:firstLine="709"/>
        <w:jc w:val="both"/>
        <w:rPr>
          <w:rFonts w:ascii="Verdana" w:eastAsia="Aptos" w:hAnsi="Verdana" w:cs="Aptos"/>
          <w:i/>
          <w:iCs/>
          <w:kern w:val="2"/>
          <w:lang w:val="es-ES_tradnl"/>
          <w14:ligatures w14:val="standardContextual"/>
        </w:rPr>
      </w:pPr>
      <w:r w:rsidRPr="008979D2">
        <w:rPr>
          <w:rFonts w:ascii="Verdana" w:eastAsia="Aptos" w:hAnsi="Verdana" w:cs="Aptos"/>
          <w:kern w:val="2"/>
          <w:lang w:val="es-ES_tradnl"/>
          <w14:ligatures w14:val="standardContextual"/>
        </w:rPr>
        <w:lastRenderedPageBreak/>
        <w:t xml:space="preserve">En los documentos tipo complementarios del sector institucional, en las modalidades de licitación de obra pública, selección abreviada de menor cuantía y mínima cuantía, en la Matriz 1 para el tipo de obras de ese sector, se encuentran los siguientes tipos de infraestructura institucional: </w:t>
      </w:r>
      <w:r w:rsidRPr="008979D2">
        <w:rPr>
          <w:rFonts w:ascii="Verdana" w:eastAsia="Aptos" w:hAnsi="Verdana" w:cs="Aptos"/>
          <w:i/>
          <w:iCs/>
          <w:kern w:val="2"/>
          <w:lang w:val="es-ES_tradnl"/>
          <w14:ligatures w14:val="standardContextual"/>
        </w:rPr>
        <w:t xml:space="preserve">1. Obras en proyectos de infraestructura institucional de seguridad pública, 2. Obras en proyectos de infraestructura institucional de servicio público, 3. Obras en proyectos de infraestructura institucional - sitios de reclusión,  4. Obras en vías de acceso o parqueaderos o zonas de circulación (vehicular o peatonal) o plazuelas o plazas o plazuelas en edificaciones institucionales,  5. Obras para atención, prevención o mitigación de emergencias diferentes a contratación directa para el sector institucional. </w:t>
      </w:r>
    </w:p>
    <w:p w14:paraId="5EEE1B3D" w14:textId="77777777" w:rsidR="00026F63" w:rsidRPr="008979D2" w:rsidRDefault="00026F63" w:rsidP="00026F63">
      <w:pPr>
        <w:snapToGrid w:val="0"/>
        <w:spacing w:after="120" w:line="276" w:lineRule="auto"/>
        <w:ind w:firstLine="709"/>
        <w:jc w:val="both"/>
        <w:rPr>
          <w:rFonts w:ascii="Verdana" w:eastAsia="Aptos" w:hAnsi="Verdana" w:cs="Aptos"/>
          <w:kern w:val="2"/>
          <w:lang w:val="es-ES"/>
          <w14:ligatures w14:val="standardContextual"/>
        </w:rPr>
      </w:pPr>
      <w:r w:rsidRPr="008979D2">
        <w:rPr>
          <w:rFonts w:ascii="Verdana" w:eastAsia="Aptos" w:hAnsi="Verdana" w:cs="Aptos"/>
          <w:kern w:val="2"/>
          <w:lang w:val="es-ES"/>
          <w14:ligatures w14:val="standardContextual"/>
        </w:rPr>
        <w:t>En ese orden de ideas, la Agencia Nacional de Contratación Pública – Colombia Compra Eficiente le informa que, a partir del 16 de febrero de 2026, si una entidad de aquellas obligadas a utilizar los documentos tipo expedidos por esta entidad adelanta un proceso de contratación cuyo objeto se enmarque en alguna de las actividades descritas previamente, deberá implementar los documentos tipo del sector social, particularmente, el subgrupo Institucional.</w:t>
      </w:r>
    </w:p>
    <w:p w14:paraId="6F97DDB5" w14:textId="77777777" w:rsidR="00026F63" w:rsidRPr="008979D2" w:rsidRDefault="00026F63" w:rsidP="00026F63">
      <w:pPr>
        <w:snapToGrid w:val="0"/>
        <w:spacing w:after="0" w:line="276" w:lineRule="auto"/>
        <w:ind w:firstLine="709"/>
        <w:jc w:val="both"/>
        <w:rPr>
          <w:rFonts w:ascii="Verdana" w:eastAsia="Aptos" w:hAnsi="Verdana" w:cs="Aptos"/>
          <w:kern w:val="2"/>
          <w:lang w:val="es-ES"/>
          <w14:ligatures w14:val="standardContextual"/>
        </w:rPr>
      </w:pPr>
      <w:r w:rsidRPr="008979D2">
        <w:rPr>
          <w:rFonts w:ascii="Verdana" w:eastAsia="Aptos" w:hAnsi="Verdana" w:cs="Aptos"/>
          <w:kern w:val="2"/>
          <w:lang w:val="es-ES"/>
          <w14:ligatures w14:val="standardContextual"/>
        </w:rPr>
        <w:t xml:space="preserve">Finalmente, conviene referir que </w:t>
      </w:r>
      <w:r w:rsidRPr="008979D2">
        <w:rPr>
          <w:rFonts w:ascii="Verdana" w:eastAsia="Aptos" w:hAnsi="Verdana" w:cs="Aptos"/>
          <w:kern w:val="2"/>
          <w:lang w:val="es-ES_tradnl"/>
          <w14:ligatures w14:val="standardContextual"/>
        </w:rPr>
        <w:t>el “Anexo 5 – Glosario” del sector social incluye esta definición de “Infraestructura Social” en el numeral 2.115:</w:t>
      </w:r>
    </w:p>
    <w:p w14:paraId="30214DD5" w14:textId="77777777" w:rsidR="00026F63" w:rsidRPr="008979D2" w:rsidRDefault="00026F63" w:rsidP="00026F63">
      <w:pPr>
        <w:spacing w:after="0" w:line="240" w:lineRule="auto"/>
        <w:jc w:val="both"/>
        <w:rPr>
          <w:rFonts w:ascii="Verdana" w:eastAsia="Aptos" w:hAnsi="Verdana" w:cs="Aptos"/>
          <w:kern w:val="2"/>
          <w:lang w:val="es-ES_tradnl"/>
          <w14:ligatures w14:val="standardContextual"/>
        </w:rPr>
      </w:pPr>
    </w:p>
    <w:p w14:paraId="08B3BF92" w14:textId="77777777" w:rsidR="00026F63" w:rsidRDefault="00026F63" w:rsidP="00026F63">
      <w:pPr>
        <w:spacing w:after="0" w:line="240" w:lineRule="auto"/>
        <w:ind w:left="709" w:right="709"/>
        <w:jc w:val="both"/>
        <w:rPr>
          <w:rFonts w:ascii="Verdana" w:eastAsia="Aptos" w:hAnsi="Verdana" w:cs="Aptos"/>
          <w:i/>
          <w:iCs/>
          <w:kern w:val="2"/>
          <w:sz w:val="21"/>
          <w:szCs w:val="21"/>
          <w:lang w:val="es-ES"/>
          <w14:ligatures w14:val="standardContextual"/>
        </w:rPr>
      </w:pPr>
      <w:r w:rsidRPr="008979D2">
        <w:rPr>
          <w:rFonts w:ascii="Verdana" w:eastAsia="Aptos" w:hAnsi="Verdana" w:cs="Aptos"/>
          <w:i/>
          <w:iCs/>
          <w:kern w:val="2"/>
          <w:sz w:val="21"/>
          <w:szCs w:val="21"/>
          <w:lang w:val="es-ES"/>
          <w14:ligatures w14:val="standardContextual"/>
        </w:rPr>
        <w:t xml:space="preserve">“Es el conjunto de equipamientos, elementos, instalaciones, edificaciones, dotaciones y espacios básicos, públicos y privados, destinados a la promoción de servicios y a la oferta social que demanda una comunidad para su desarrollo, funcionamiento y goce efectivo de los derechos fundamentales de sus integrantes, en áreas como educación, salud, esparcimiento, deporte y cultura, inclusión productiva, bienestar familiar, participación comunitaria, servicios públicos domiciliarios, etc., que se desarrollarán en el marco normativo previsto en cada uno de los sectores, y que contribuyen a brindar apoyo funcional a la administración pública. La responsabilidad de la ejecución de actividades, planes y programas en materia de infraestructura social y de servicios públicos domiciliarios estará exclusivamente en cabeza de cada una de las entidades públicas </w:t>
      </w:r>
      <w:r w:rsidRPr="008979D2">
        <w:rPr>
          <w:rFonts w:ascii="Verdana" w:eastAsia="Aptos" w:hAnsi="Verdana" w:cs="Aptos"/>
          <w:i/>
          <w:iCs/>
          <w:kern w:val="2"/>
          <w:sz w:val="21"/>
          <w:szCs w:val="21"/>
          <w:lang w:val="es-ES"/>
          <w14:ligatures w14:val="standardContextual"/>
        </w:rPr>
        <w:lastRenderedPageBreak/>
        <w:t>competentes. Lo anterior, sin perjuicio de la "financiación o cofinanciación que puedan brindar las entidades públicas o privadas, del orden internacional, nacional, departamental, distrital, distrito especial y municipal”.</w:t>
      </w:r>
    </w:p>
    <w:p w14:paraId="72C8F9AF" w14:textId="77777777" w:rsidR="00026F63" w:rsidRPr="00AC7E2C" w:rsidRDefault="00026F63" w:rsidP="00026F63">
      <w:pPr>
        <w:spacing w:after="0" w:line="240" w:lineRule="auto"/>
        <w:ind w:right="49"/>
        <w:jc w:val="both"/>
        <w:rPr>
          <w:rFonts w:ascii="Verdana" w:eastAsia="Aptos" w:hAnsi="Verdana" w:cs="Aptos"/>
          <w:i/>
          <w:iCs/>
          <w:kern w:val="2"/>
          <w:lang w:val="es-ES"/>
          <w14:ligatures w14:val="standardContextual"/>
        </w:rPr>
      </w:pPr>
    </w:p>
    <w:p w14:paraId="231FB0E0" w14:textId="77777777" w:rsidR="00026F63" w:rsidRPr="00363DB3" w:rsidRDefault="00026F63" w:rsidP="00026F63">
      <w:pPr>
        <w:spacing w:after="0" w:line="240" w:lineRule="auto"/>
        <w:ind w:right="49"/>
        <w:jc w:val="both"/>
        <w:rPr>
          <w:rFonts w:ascii="Verdana" w:eastAsia="Aptos" w:hAnsi="Verdana" w:cs="Aptos"/>
          <w:kern w:val="2"/>
          <w14:ligatures w14:val="standardContextual"/>
        </w:rPr>
      </w:pPr>
      <w:r w:rsidRPr="00363DB3">
        <w:rPr>
          <w:rFonts w:ascii="Verdana" w:eastAsia="Aptos" w:hAnsi="Verdana" w:cs="Aptos"/>
          <w:kern w:val="2"/>
          <w14:ligatures w14:val="standardContextual"/>
        </w:rPr>
        <w:t xml:space="preserve">En ese marco, </w:t>
      </w:r>
      <w:r w:rsidRPr="00AC7E2C">
        <w:rPr>
          <w:rFonts w:ascii="Verdana" w:eastAsia="Aptos" w:hAnsi="Verdana" w:cs="Aptos"/>
          <w:kern w:val="2"/>
          <w14:ligatures w14:val="standardContextual"/>
        </w:rPr>
        <w:t xml:space="preserve">y tal como se desarrolló en la consulta </w:t>
      </w:r>
      <w:r w:rsidRPr="00363DB3">
        <w:rPr>
          <w:rFonts w:ascii="Verdana" w:eastAsia="Aptos" w:hAnsi="Verdana" w:cs="Aptos"/>
          <w:kern w:val="2"/>
          <w14:ligatures w14:val="standardContextual"/>
        </w:rPr>
        <w:t xml:space="preserve">el “Edificio Institucional” </w:t>
      </w:r>
      <w:r w:rsidRPr="00AC7E2C">
        <w:rPr>
          <w:rFonts w:ascii="Verdana" w:eastAsia="Aptos" w:hAnsi="Verdana" w:cs="Aptos"/>
          <w:kern w:val="2"/>
          <w14:ligatures w14:val="standardContextual"/>
        </w:rPr>
        <w:t xml:space="preserve">definido en el numeral 2.80. ibidem </w:t>
      </w:r>
      <w:r w:rsidRPr="00363DB3">
        <w:rPr>
          <w:rFonts w:ascii="Verdana" w:eastAsia="Aptos" w:hAnsi="Verdana" w:cs="Aptos"/>
          <w:kern w:val="2"/>
          <w14:ligatures w14:val="standardContextual"/>
        </w:rPr>
        <w:t xml:space="preserve">corresponde a una categoría específica dentro de dicha infraestructura, en tanto se refiere a edificaciones diseñadas para el desarrollo de funciones administrativas o la prestación de servicios como educación, salud o cultura, orientadas al interés general. </w:t>
      </w:r>
    </w:p>
    <w:p w14:paraId="11D1566C" w14:textId="77777777" w:rsidR="00026F63" w:rsidRPr="00DE5B34" w:rsidRDefault="00026F63" w:rsidP="00026F63">
      <w:pPr>
        <w:spacing w:after="120" w:line="276" w:lineRule="auto"/>
        <w:jc w:val="both"/>
        <w:rPr>
          <w:rFonts w:ascii="Verdana" w:eastAsia="Calibri" w:hAnsi="Verdana" w:cs="Arial"/>
          <w:color w:val="99CCFF"/>
        </w:rPr>
      </w:pPr>
    </w:p>
    <w:p w14:paraId="26ED26EE" w14:textId="77777777" w:rsidR="00026F63" w:rsidRPr="00842B0E" w:rsidRDefault="00026F63" w:rsidP="00026F63">
      <w:pPr>
        <w:tabs>
          <w:tab w:val="left" w:pos="142"/>
          <w:tab w:val="left" w:pos="284"/>
        </w:tabs>
        <w:spacing w:after="0" w:line="276" w:lineRule="auto"/>
        <w:rPr>
          <w:rFonts w:ascii="Verdana" w:eastAsia="Century Gothic" w:hAnsi="Verdana" w:cs="Century Gothic"/>
          <w:b/>
          <w:bCs/>
        </w:rPr>
      </w:pPr>
      <w:bookmarkStart w:id="3" w:name="_Hlk204854194"/>
      <w:r w:rsidRPr="00842B0E">
        <w:rPr>
          <w:rFonts w:ascii="Verdana" w:eastAsia="Century Gothic" w:hAnsi="Verdana" w:cs="Century Gothic"/>
          <w:b/>
          <w:bCs/>
        </w:rPr>
        <w:t>4. Referencias normativas:</w:t>
      </w:r>
    </w:p>
    <w:bookmarkEnd w:id="3"/>
    <w:p w14:paraId="72FB4D0D" w14:textId="77777777" w:rsidR="00026F63" w:rsidRPr="00842B0E" w:rsidRDefault="00026F63" w:rsidP="00026F63">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26F63" w:rsidRPr="00842B0E" w14:paraId="77FB10E8" w14:textId="77777777" w:rsidTr="00FA06DD">
        <w:trPr>
          <w:trHeight w:val="870"/>
          <w:jc w:val="center"/>
        </w:trPr>
        <w:tc>
          <w:tcPr>
            <w:tcW w:w="8647" w:type="dxa"/>
          </w:tcPr>
          <w:p w14:paraId="2DC7EEB3" w14:textId="77777777" w:rsidR="00026F63" w:rsidRDefault="00026F63" w:rsidP="00026F63">
            <w:pPr>
              <w:widowControl w:val="0"/>
              <w:numPr>
                <w:ilvl w:val="0"/>
                <w:numId w:val="17"/>
              </w:numPr>
              <w:autoSpaceDE w:val="0"/>
              <w:autoSpaceDN w:val="0"/>
              <w:spacing w:after="120" w:line="276" w:lineRule="auto"/>
              <w:jc w:val="both"/>
              <w:rPr>
                <w:rFonts w:ascii="Verdana" w:eastAsia="Calibri" w:hAnsi="Verdana" w:cs="Arial"/>
                <w:lang w:eastAsia="es-MX"/>
              </w:rPr>
            </w:pPr>
            <w:r w:rsidRPr="008979D2">
              <w:rPr>
                <w:rFonts w:ascii="Verdana" w:eastAsia="Calibri" w:hAnsi="Verdana" w:cs="Arial"/>
                <w:lang w:eastAsia="es-MX"/>
              </w:rPr>
              <w:t>Ley 2022 de 2020, artículo 1.</w:t>
            </w:r>
          </w:p>
          <w:p w14:paraId="6A1D0FFB" w14:textId="77777777" w:rsidR="00026F63" w:rsidRPr="00946AB8" w:rsidRDefault="00026F63" w:rsidP="00026F63">
            <w:pPr>
              <w:widowControl w:val="0"/>
              <w:numPr>
                <w:ilvl w:val="0"/>
                <w:numId w:val="17"/>
              </w:numPr>
              <w:autoSpaceDE w:val="0"/>
              <w:autoSpaceDN w:val="0"/>
              <w:spacing w:after="120" w:line="276" w:lineRule="auto"/>
              <w:jc w:val="both"/>
              <w:rPr>
                <w:rFonts w:ascii="Verdana" w:eastAsia="Calibri" w:hAnsi="Verdana" w:cs="Arial"/>
                <w:lang w:eastAsia="es-MX"/>
              </w:rPr>
            </w:pPr>
            <w:r w:rsidRPr="00946AB8">
              <w:rPr>
                <w:rFonts w:ascii="Verdana" w:eastAsia="Calibri" w:hAnsi="Verdana" w:cs="Arial"/>
                <w:lang w:eastAsia="es-MX"/>
              </w:rPr>
              <w:t xml:space="preserve">Documentos tipo de obra pública de infraestructura social, y adicionales del sector </w:t>
            </w:r>
            <w:r w:rsidRPr="00946AB8">
              <w:rPr>
                <w:rFonts w:ascii="Verdana" w:eastAsia="Calibri" w:hAnsi="Verdana" w:cs="Arial"/>
                <w:i/>
                <w:iCs/>
                <w:lang w:eastAsia="es-MX"/>
              </w:rPr>
              <w:t>institucional.</w:t>
            </w:r>
            <w:r w:rsidRPr="00946AB8">
              <w:rPr>
                <w:rFonts w:ascii="Verdana" w:eastAsia="Calibri" w:hAnsi="Verdana" w:cs="Arial"/>
                <w:lang w:eastAsia="es-MX"/>
              </w:rPr>
              <w:t xml:space="preserve"> Disponibles en: </w:t>
            </w:r>
            <w:hyperlink r:id="rId12" w:history="1">
              <w:r w:rsidRPr="00946AB8">
                <w:rPr>
                  <w:rFonts w:ascii="Verdana" w:eastAsia="Calibri" w:hAnsi="Verdana" w:cs="Arial"/>
                  <w:color w:val="467886"/>
                  <w:u w:val="single"/>
                  <w:lang w:eastAsia="es-MX"/>
                </w:rPr>
                <w:t>https://www.colombiacompra.gov.co/normativa-y-relatoria/documentos-tipo</w:t>
              </w:r>
            </w:hyperlink>
            <w:r w:rsidRPr="00946AB8">
              <w:rPr>
                <w:rFonts w:ascii="Verdana" w:eastAsia="Calibri" w:hAnsi="Verdana" w:cs="Arial"/>
                <w:lang w:eastAsia="es-MX"/>
              </w:rPr>
              <w:t xml:space="preserve">. </w:t>
            </w:r>
          </w:p>
        </w:tc>
      </w:tr>
    </w:tbl>
    <w:p w14:paraId="75C496BA" w14:textId="77777777" w:rsidR="00026F63" w:rsidRPr="00842B0E" w:rsidRDefault="00026F63" w:rsidP="00026F63">
      <w:pPr>
        <w:widowControl w:val="0"/>
        <w:autoSpaceDE w:val="0"/>
        <w:autoSpaceDN w:val="0"/>
        <w:spacing w:after="0" w:line="276" w:lineRule="auto"/>
        <w:jc w:val="both"/>
        <w:rPr>
          <w:rFonts w:ascii="Verdana" w:hAnsi="Verdana" w:cs="Arial"/>
        </w:rPr>
      </w:pPr>
    </w:p>
    <w:p w14:paraId="11D766EB" w14:textId="77777777" w:rsidR="00026F63" w:rsidRPr="00842B0E" w:rsidRDefault="00026F63" w:rsidP="00026F63">
      <w:pPr>
        <w:tabs>
          <w:tab w:val="left" w:pos="142"/>
          <w:tab w:val="left" w:pos="284"/>
        </w:tabs>
        <w:spacing w:after="0" w:line="276" w:lineRule="auto"/>
        <w:jc w:val="both"/>
        <w:rPr>
          <w:rFonts w:ascii="Verdana" w:eastAsia="Century Gothic" w:hAnsi="Verdana" w:cs="Century Gothic"/>
          <w:b/>
          <w:bCs/>
        </w:rPr>
      </w:pPr>
      <w:r w:rsidRPr="00842B0E">
        <w:rPr>
          <w:rFonts w:ascii="Verdana" w:eastAsia="Century Gothic" w:hAnsi="Verdana" w:cs="Century Gothic"/>
          <w:b/>
          <w:bCs/>
        </w:rPr>
        <w:t>5. Doctrina de la Agencia Nacional de Contratación Pública:</w:t>
      </w:r>
    </w:p>
    <w:p w14:paraId="0F93F6E7" w14:textId="77777777" w:rsidR="00026F63" w:rsidRPr="00882D80" w:rsidRDefault="00026F63" w:rsidP="00026F63">
      <w:pPr>
        <w:spacing w:after="0" w:line="276" w:lineRule="auto"/>
        <w:jc w:val="both"/>
        <w:rPr>
          <w:rFonts w:ascii="Verdana" w:hAnsi="Verdana" w:cs="Arial"/>
          <w:color w:val="000000" w:themeColor="text1"/>
          <w:shd w:val="clear" w:color="auto" w:fill="FFFFFF"/>
          <w:lang w:val="es-MX"/>
        </w:rPr>
      </w:pPr>
    </w:p>
    <w:p w14:paraId="3A73B1DE" w14:textId="77777777" w:rsidR="00026F63" w:rsidRPr="00882D80" w:rsidRDefault="00026F63" w:rsidP="00026F63">
      <w:pPr>
        <w:spacing w:after="0" w:line="276" w:lineRule="auto"/>
        <w:jc w:val="both"/>
      </w:pPr>
      <w:r w:rsidRPr="00882D80">
        <w:rPr>
          <w:rFonts w:ascii="Verdana" w:eastAsia="Calibri" w:hAnsi="Verdana" w:cs="Arial"/>
          <w:shd w:val="clear" w:color="auto" w:fill="FFFFFF"/>
          <w:lang w:val="es-ES" w:eastAsia="es-MX"/>
        </w:rPr>
        <w:t>La Agencia Nacional de Contratación Pública – Colombia Compra Eficiente se pronunció</w:t>
      </w:r>
      <w:r w:rsidRPr="00882D80">
        <w:rPr>
          <w:rFonts w:ascii="Aptos" w:eastAsia="Aptos" w:hAnsi="Aptos" w:cs="Times New Roman"/>
          <w:sz w:val="24"/>
          <w:szCs w:val="24"/>
          <w:lang w:eastAsia="es-MX"/>
        </w:rPr>
        <w:t xml:space="preserve"> </w:t>
      </w:r>
      <w:r w:rsidRPr="00882D80">
        <w:rPr>
          <w:rFonts w:ascii="Verdana" w:eastAsia="Calibri" w:hAnsi="Verdana" w:cs="Arial"/>
          <w:shd w:val="clear" w:color="auto" w:fill="FFFFFF"/>
          <w:lang w:val="es-ES" w:eastAsia="es-MX"/>
        </w:rPr>
        <w:t xml:space="preserve">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 C-472 del 24 de septiembre de 2024, C-469 del 23 de mayo de 2025, C-1772 del 22 de diciembre de 2025, C-232 del 11 de marzo de 2026, </w:t>
      </w:r>
      <w:r w:rsidRPr="00882D80">
        <w:rPr>
          <w:rFonts w:ascii="Verdana" w:eastAsia="Calibri" w:hAnsi="Verdana" w:cs="Arial"/>
          <w:lang w:val="es-ES" w:eastAsia="es-ES"/>
        </w:rPr>
        <w:t xml:space="preserve">C – 369 del </w:t>
      </w:r>
      <w:r w:rsidRPr="00882D80">
        <w:rPr>
          <w:rFonts w:ascii="Verdana" w:hAnsi="Verdana"/>
        </w:rPr>
        <w:t>15 de  Abril de 2026</w:t>
      </w:r>
      <w:r w:rsidRPr="00882D80">
        <w:t xml:space="preserve">, </w:t>
      </w:r>
      <w:r w:rsidRPr="00882D80">
        <w:rPr>
          <w:rFonts w:ascii="Verdana" w:eastAsia="Calibri" w:hAnsi="Verdana" w:cs="Arial"/>
          <w:shd w:val="clear" w:color="auto" w:fill="FFFFFF"/>
          <w:lang w:val="es-ES" w:eastAsia="es-MX"/>
        </w:rPr>
        <w:t>entre otros.</w:t>
      </w:r>
    </w:p>
    <w:p w14:paraId="037B6319" w14:textId="77777777" w:rsidR="00026F63" w:rsidRPr="00842B0E" w:rsidRDefault="00026F63" w:rsidP="00026F63">
      <w:pPr>
        <w:spacing w:after="0" w:line="276" w:lineRule="auto"/>
        <w:jc w:val="both"/>
        <w:rPr>
          <w:rFonts w:ascii="Verdana" w:hAnsi="Verdana" w:cs="Arial"/>
          <w:color w:val="000000" w:themeColor="text1"/>
          <w:shd w:val="clear" w:color="auto" w:fill="FFFFFF"/>
          <w:lang w:val="es-MX"/>
        </w:rPr>
      </w:pPr>
    </w:p>
    <w:p w14:paraId="2F957A91" w14:textId="77777777" w:rsidR="00026F63" w:rsidRPr="00842B0E" w:rsidRDefault="00026F63" w:rsidP="00026F63">
      <w:pPr>
        <w:spacing w:after="0" w:line="276" w:lineRule="auto"/>
        <w:jc w:val="both"/>
        <w:rPr>
          <w:rFonts w:ascii="Verdana" w:hAnsi="Verdana" w:cs="Arial"/>
          <w:color w:val="000000" w:themeColor="text1"/>
          <w:shd w:val="clear" w:color="auto" w:fill="FFFFFF"/>
          <w:lang w:val="es-MX"/>
        </w:rPr>
      </w:pPr>
      <w:r w:rsidRPr="00842B0E">
        <w:rPr>
          <w:rFonts w:ascii="Verdana" w:hAnsi="Verdana" w:cs="Arial"/>
          <w:color w:val="000000" w:themeColor="text1"/>
          <w:shd w:val="clear" w:color="auto" w:fill="FFFFFF"/>
          <w:lang w:val="es-MX"/>
        </w:rPr>
        <w:t xml:space="preserve">Estos y otros conceptos se encuentran disponibles para consulta en el Sistema de relatoría de la Agencia, al cual se puede acceder a través del siguiente enlace: </w:t>
      </w:r>
      <w:hyperlink r:id="rId13" w:history="1">
        <w:r w:rsidRPr="00842B0E">
          <w:rPr>
            <w:rFonts w:ascii="Verdana" w:hAnsi="Verdana" w:cs="Arial"/>
            <w:color w:val="0000FF"/>
            <w:u w:val="single"/>
            <w:shd w:val="clear" w:color="auto" w:fill="FFFFFF"/>
            <w:lang w:val="es-MX"/>
          </w:rPr>
          <w:t>https://relatoria.colombiacompra.gov.co/busqueda/conceptos</w:t>
        </w:r>
      </w:hyperlink>
      <w:r w:rsidRPr="00842B0E">
        <w:rPr>
          <w:rFonts w:ascii="Verdana" w:hAnsi="Verdana" w:cs="Arial"/>
          <w:color w:val="000000" w:themeColor="text1"/>
          <w:shd w:val="clear" w:color="auto" w:fill="FFFFFF"/>
          <w:lang w:val="es-MX"/>
        </w:rPr>
        <w:t>.</w:t>
      </w:r>
    </w:p>
    <w:p w14:paraId="148BE744" w14:textId="77777777" w:rsidR="00026F63" w:rsidRDefault="00026F63" w:rsidP="00026F63">
      <w:pPr>
        <w:spacing w:after="0" w:line="276" w:lineRule="auto"/>
        <w:jc w:val="both"/>
        <w:rPr>
          <w:rFonts w:ascii="Verdana" w:hAnsi="Verdana" w:cs="Arial"/>
          <w:color w:val="000000" w:themeColor="text1"/>
          <w:shd w:val="clear" w:color="auto" w:fill="FFFFFF"/>
          <w:lang w:val="es-MX"/>
        </w:rPr>
      </w:pPr>
    </w:p>
    <w:p w14:paraId="5633E655" w14:textId="77777777" w:rsidR="00026F63" w:rsidRDefault="00026F63" w:rsidP="00026F63">
      <w:pPr>
        <w:spacing w:after="0" w:line="276" w:lineRule="auto"/>
        <w:jc w:val="both"/>
        <w:rPr>
          <w:rFonts w:ascii="Verdana" w:hAnsi="Verdana"/>
        </w:rPr>
      </w:pPr>
      <w:r w:rsidRPr="00601BF6">
        <w:rPr>
          <w:rFonts w:ascii="Verdana" w:hAnsi="Verdana"/>
        </w:rPr>
        <w:lastRenderedPageBreak/>
        <w:t xml:space="preserve">La sostenibilidad no es una opción, es una obligación. Por ello, la Agencia Nacional de Contratación Pública –Colombia Compra Eficiente– te invita a realizar el </w:t>
      </w:r>
      <w:r w:rsidRPr="00601BF6">
        <w:rPr>
          <w:rFonts w:ascii="Verdana" w:hAnsi="Verdana"/>
          <w:b/>
          <w:bCs/>
        </w:rPr>
        <w:t>Curso de Contratación Pública Sostenible y Socialmente Responsable</w:t>
      </w:r>
      <w:r w:rsidRPr="00601BF6">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601BF6">
        <w:rPr>
          <w:rFonts w:ascii="Verdana" w:hAnsi="Verdana"/>
        </w:rPr>
        <w:br/>
      </w:r>
      <w:hyperlink r:id="rId14" w:tgtFrame="_new" w:history="1">
        <w:r w:rsidRPr="00601BF6">
          <w:rPr>
            <w:rStyle w:val="Hipervnculo"/>
            <w:rFonts w:ascii="Verdana" w:hAnsi="Verdana"/>
          </w:rPr>
          <w:t>https://formacionvirtual.colombiacompra.gov.co/mod/page/view.php?id=3718</w:t>
        </w:r>
      </w:hyperlink>
    </w:p>
    <w:p w14:paraId="2018216C" w14:textId="77777777" w:rsidR="00026F63" w:rsidRPr="00601BF6" w:rsidRDefault="00026F63" w:rsidP="00026F63">
      <w:pPr>
        <w:spacing w:after="0" w:line="276" w:lineRule="auto"/>
        <w:jc w:val="both"/>
        <w:rPr>
          <w:rFonts w:ascii="Verdana" w:hAnsi="Verdana"/>
        </w:rPr>
      </w:pPr>
    </w:p>
    <w:p w14:paraId="58C6FE34" w14:textId="77777777" w:rsidR="00026F63" w:rsidRDefault="00026F63" w:rsidP="00026F63">
      <w:pPr>
        <w:spacing w:after="0" w:line="276" w:lineRule="auto"/>
        <w:jc w:val="both"/>
        <w:rPr>
          <w:rFonts w:ascii="Verdana" w:hAnsi="Verdana"/>
        </w:rPr>
      </w:pPr>
      <w:r w:rsidRPr="00601BF6">
        <w:rPr>
          <w:rFonts w:ascii="Verdana" w:hAnsi="Verdana"/>
        </w:rPr>
        <w:t xml:space="preserve">De otro lado, te contamos que esta Agencia ha da un paso decisivo en la estandarización y modernización del </w:t>
      </w:r>
      <w:r w:rsidRPr="00601BF6">
        <w:rPr>
          <w:rFonts w:ascii="Verdana" w:hAnsi="Verdana"/>
          <w:b/>
          <w:bCs/>
        </w:rPr>
        <w:t>sector  social</w:t>
      </w:r>
      <w:r w:rsidRPr="00601BF6">
        <w:rPr>
          <w:rFonts w:ascii="Verdana" w:hAnsi="Verdana"/>
        </w:rPr>
        <w:t xml:space="preserve"> con la expedición de las </w:t>
      </w:r>
      <w:r w:rsidRPr="00601BF6">
        <w:rPr>
          <w:rFonts w:ascii="Verdana" w:hAnsi="Verdana"/>
          <w:b/>
          <w:bCs/>
        </w:rPr>
        <w:t>Resoluciones 539, 540, 541, 952 y 953 de 2025</w:t>
      </w:r>
      <w:r w:rsidRPr="00601BF6">
        <w:rPr>
          <w:rFonts w:ascii="Verdana" w:hAnsi="Verdana"/>
        </w:rPr>
        <w:t xml:space="preserve">, </w:t>
      </w:r>
      <w:r w:rsidRPr="00601BF6">
        <w:rPr>
          <w:rFonts w:ascii="Verdana" w:hAnsi="Verdana"/>
          <w:b/>
          <w:bCs/>
        </w:rPr>
        <w:t>mediante las cuales adoptó Documentos Tipo</w:t>
      </w:r>
      <w:r w:rsidRPr="00601BF6">
        <w:rPr>
          <w:rFonts w:ascii="Verdana" w:hAnsi="Verdana"/>
        </w:rPr>
        <w:t xml:space="preserve"> para las modalidades de selección de</w:t>
      </w:r>
      <w:r w:rsidRPr="00601BF6">
        <w:rPr>
          <w:rFonts w:ascii="Verdana" w:hAnsi="Verdana"/>
          <w:b/>
          <w:bCs/>
        </w:rPr>
        <w:t xml:space="preserve"> licitación pública (versión 2), selección abreviada de menor cuantía, mínima cuantía, consultoría e interventoría</w:t>
      </w:r>
      <w:r w:rsidRPr="00601BF6">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601BF6">
          <w:rPr>
            <w:rStyle w:val="Hipervnculo"/>
            <w:rFonts w:ascii="Verdana" w:hAnsi="Verdana"/>
          </w:rPr>
          <w:t>https://www.colombiacompra.gov.co/normativa-y-relatoria/documentos-tipo</w:t>
        </w:r>
      </w:hyperlink>
    </w:p>
    <w:p w14:paraId="65130627" w14:textId="77777777" w:rsidR="00026F63" w:rsidRPr="00601BF6" w:rsidRDefault="00026F63" w:rsidP="00026F63">
      <w:pPr>
        <w:spacing w:after="0" w:line="276" w:lineRule="auto"/>
        <w:jc w:val="both"/>
        <w:rPr>
          <w:rFonts w:ascii="Verdana" w:hAnsi="Verdana"/>
        </w:rPr>
      </w:pPr>
    </w:p>
    <w:p w14:paraId="25DFEA46" w14:textId="77777777" w:rsidR="00026F63" w:rsidRPr="00601BF6" w:rsidRDefault="00026F63" w:rsidP="00026F63">
      <w:pPr>
        <w:spacing w:after="0" w:line="276" w:lineRule="auto"/>
        <w:jc w:val="both"/>
        <w:rPr>
          <w:rFonts w:ascii="Verdana" w:hAnsi="Verdana"/>
        </w:rPr>
      </w:pPr>
      <w:r w:rsidRPr="00601BF6">
        <w:rPr>
          <w:rFonts w:ascii="Verdana" w:hAnsi="Verdana"/>
        </w:rPr>
        <w:t xml:space="preserve">Si quieres conocer más sobre la aplicación de Documentos Tipo puedes consultar la última versión de la </w:t>
      </w:r>
      <w:r w:rsidRPr="00601BF6">
        <w:rPr>
          <w:rFonts w:ascii="Verdana" w:hAnsi="Verdana"/>
          <w:b/>
          <w:bCs/>
        </w:rPr>
        <w:t>Guía para la comprensión e implementación de los Documentos Tipo de obra pública de infraestructura de transporte</w:t>
      </w:r>
      <w:r w:rsidRPr="00601BF6">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601BF6">
        <w:rPr>
          <w:rFonts w:ascii="Verdana" w:hAnsi="Verdana"/>
        </w:rPr>
        <w:br/>
      </w:r>
      <w:hyperlink r:id="rId16" w:tgtFrame="_new" w:history="1">
        <w:r w:rsidRPr="00601BF6">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A2B4CAF" w14:textId="77777777" w:rsidR="00026F63" w:rsidRPr="00842B0E" w:rsidRDefault="00026F63" w:rsidP="00026F63">
      <w:pPr>
        <w:spacing w:after="0" w:line="276" w:lineRule="auto"/>
        <w:jc w:val="both"/>
        <w:rPr>
          <w:rFonts w:ascii="Verdana" w:hAnsi="Verdana" w:cs="Arial"/>
          <w:color w:val="000000" w:themeColor="text1"/>
          <w:shd w:val="clear" w:color="auto" w:fill="FFFFFF"/>
          <w:lang w:val="es-MX"/>
        </w:rPr>
      </w:pPr>
    </w:p>
    <w:p w14:paraId="0A299378" w14:textId="77777777" w:rsidR="00026F63" w:rsidRPr="00842B0E" w:rsidRDefault="00026F63" w:rsidP="00026F63">
      <w:pPr>
        <w:spacing w:after="0" w:line="276" w:lineRule="auto"/>
        <w:jc w:val="both"/>
        <w:textAlignment w:val="baseline"/>
        <w:rPr>
          <w:rFonts w:ascii="Verdana" w:hAnsi="Verdana" w:cs="Segoe UI"/>
          <w:lang w:val="es-MX"/>
        </w:rPr>
      </w:pPr>
      <w:r w:rsidRPr="00842B0E">
        <w:rPr>
          <w:rFonts w:ascii="Verdana" w:eastAsia="Times New Roman" w:hAnsi="Verdana" w:cs="Segoe UI"/>
          <w:lang w:eastAsia="es-CO"/>
        </w:rPr>
        <w:t>Por último, lo invitamos a seguirnos en las redes sociales en las cuales se difunde información institucional:  </w:t>
      </w:r>
    </w:p>
    <w:p w14:paraId="780B176A" w14:textId="77777777" w:rsidR="00026F63" w:rsidRPr="00842B0E" w:rsidRDefault="00026F63" w:rsidP="00026F63">
      <w:pPr>
        <w:spacing w:after="0" w:line="276" w:lineRule="auto"/>
        <w:jc w:val="both"/>
        <w:textAlignment w:val="baseline"/>
        <w:rPr>
          <w:rFonts w:ascii="Verdana" w:eastAsia="Times New Roman" w:hAnsi="Verdana" w:cs="Segoe UI"/>
          <w:lang w:eastAsia="es-CO"/>
        </w:rPr>
      </w:pPr>
    </w:p>
    <w:p w14:paraId="5C8E3FE2" w14:textId="77777777" w:rsidR="00026F63" w:rsidRPr="00842B0E" w:rsidRDefault="00026F63" w:rsidP="00026F63">
      <w:pPr>
        <w:spacing w:after="0" w:line="276" w:lineRule="auto"/>
        <w:jc w:val="both"/>
        <w:textAlignment w:val="baseline"/>
        <w:rPr>
          <w:rFonts w:ascii="Verdana" w:eastAsia="Times New Roman" w:hAnsi="Verdana" w:cs="Segoe UI"/>
          <w:color w:val="EE0000"/>
          <w:lang w:eastAsia="es-CO"/>
        </w:rPr>
      </w:pPr>
      <w:r w:rsidRPr="00842B0E">
        <w:rPr>
          <w:rFonts w:ascii="Verdana" w:eastAsia="Times New Roman" w:hAnsi="Verdana" w:cs="Segoe UI"/>
          <w:lang w:eastAsia="es-CO"/>
        </w:rPr>
        <w:t>Twitter: </w:t>
      </w:r>
      <w:r w:rsidRPr="00842B0E">
        <w:rPr>
          <w:rFonts w:ascii="Verdana" w:hAnsi="Verdana" w:cs="Arial"/>
          <w:color w:val="0000FF"/>
          <w:u w:val="single"/>
          <w:shd w:val="clear" w:color="auto" w:fill="FFFFFF"/>
          <w:lang w:val="es-MX"/>
        </w:rPr>
        <w:t>@colombiacompra</w:t>
      </w:r>
      <w:r w:rsidRPr="00842B0E">
        <w:rPr>
          <w:rFonts w:ascii="Verdana" w:eastAsia="Times New Roman" w:hAnsi="Verdana" w:cs="Segoe UI"/>
          <w:color w:val="0000FF"/>
          <w:lang w:eastAsia="es-CO"/>
        </w:rPr>
        <w:t> </w:t>
      </w:r>
      <w:r w:rsidRPr="00842B0E">
        <w:rPr>
          <w:rFonts w:ascii="Verdana" w:eastAsia="Times New Roman" w:hAnsi="Verdana" w:cs="Segoe UI"/>
          <w:color w:val="EE0000"/>
          <w:lang w:eastAsia="es-CO"/>
        </w:rPr>
        <w:t> </w:t>
      </w:r>
    </w:p>
    <w:p w14:paraId="58359D0A" w14:textId="77777777" w:rsidR="00026F63" w:rsidRPr="00842B0E" w:rsidRDefault="00026F63" w:rsidP="00026F63">
      <w:pPr>
        <w:spacing w:after="0" w:line="276" w:lineRule="auto"/>
        <w:jc w:val="both"/>
        <w:textAlignment w:val="baseline"/>
        <w:rPr>
          <w:rFonts w:ascii="Verdana" w:eastAsia="Times New Roman" w:hAnsi="Verdana" w:cs="Segoe UI"/>
          <w:lang w:eastAsia="es-CO"/>
        </w:rPr>
      </w:pPr>
      <w:r w:rsidRPr="00842B0E">
        <w:rPr>
          <w:rFonts w:ascii="Verdana" w:eastAsia="Times New Roman" w:hAnsi="Verdana" w:cs="Segoe UI"/>
          <w:lang w:eastAsia="es-CO"/>
        </w:rPr>
        <w:t>Facebook: </w:t>
      </w:r>
      <w:proofErr w:type="spellStart"/>
      <w:r w:rsidRPr="00842B0E">
        <w:rPr>
          <w:rFonts w:ascii="Verdana" w:eastAsia="Times New Roman" w:hAnsi="Verdana" w:cs="Segoe UI"/>
          <w:color w:val="0000FF"/>
          <w:lang w:eastAsia="es-CO"/>
        </w:rPr>
        <w:t>ColombiaCompraEficiente</w:t>
      </w:r>
      <w:proofErr w:type="spellEnd"/>
      <w:r w:rsidRPr="00842B0E">
        <w:rPr>
          <w:rFonts w:ascii="Verdana" w:eastAsia="Times New Roman" w:hAnsi="Verdana" w:cs="Segoe UI"/>
          <w:color w:val="0000FF"/>
          <w:lang w:eastAsia="es-CO"/>
        </w:rPr>
        <w:t> </w:t>
      </w:r>
    </w:p>
    <w:p w14:paraId="1BD65D9B" w14:textId="77777777" w:rsidR="00026F63" w:rsidRPr="00842B0E" w:rsidRDefault="00026F63" w:rsidP="00026F63">
      <w:pPr>
        <w:spacing w:after="0" w:line="276" w:lineRule="auto"/>
        <w:jc w:val="both"/>
        <w:textAlignment w:val="baseline"/>
        <w:rPr>
          <w:rFonts w:ascii="Verdana" w:eastAsia="Times New Roman" w:hAnsi="Verdana" w:cs="Segoe UI"/>
          <w:lang w:eastAsia="es-CO"/>
        </w:rPr>
      </w:pPr>
      <w:r w:rsidRPr="00842B0E">
        <w:rPr>
          <w:rFonts w:ascii="Verdana" w:eastAsia="Times New Roman" w:hAnsi="Verdana" w:cs="Segoe UI"/>
          <w:lang w:eastAsia="es-CO"/>
        </w:rPr>
        <w:t>LinkedIn:</w:t>
      </w:r>
      <w:r w:rsidRPr="00842B0E">
        <w:rPr>
          <w:rFonts w:ascii="Verdana" w:eastAsia="Times New Roman" w:hAnsi="Verdana" w:cs="Segoe UI"/>
          <w:color w:val="0000FF"/>
          <w:lang w:eastAsia="es-CO"/>
        </w:rPr>
        <w:t xml:space="preserve"> Agencia Nacional de Contratación Pública - Colombia Compra </w:t>
      </w:r>
      <w:r w:rsidRPr="00842B0E">
        <w:rPr>
          <w:rFonts w:ascii="Verdana" w:eastAsia="Times New Roman" w:hAnsi="Verdana" w:cs="Segoe UI"/>
          <w:color w:val="156082"/>
          <w:lang w:eastAsia="es-CO"/>
        </w:rPr>
        <w:t>Eficiente </w:t>
      </w:r>
      <w:r w:rsidRPr="00842B0E">
        <w:rPr>
          <w:rFonts w:ascii="Verdana" w:eastAsia="Times New Roman" w:hAnsi="Verdana" w:cs="Segoe UI"/>
          <w:lang w:eastAsia="es-CO"/>
        </w:rPr>
        <w:t>Instagram: </w:t>
      </w:r>
      <w:r w:rsidRPr="00842B0E">
        <w:rPr>
          <w:rFonts w:ascii="Verdana" w:eastAsia="Times New Roman" w:hAnsi="Verdana" w:cs="Segoe UI"/>
          <w:color w:val="0000FF"/>
          <w:lang w:eastAsia="es-CO"/>
        </w:rPr>
        <w:t>@colombiacompraeficiente_cce </w:t>
      </w:r>
    </w:p>
    <w:p w14:paraId="09D1B60A" w14:textId="77777777" w:rsidR="00026F63" w:rsidRPr="001220F4" w:rsidRDefault="00026F63" w:rsidP="00026F63">
      <w:pPr>
        <w:spacing w:after="0" w:line="276" w:lineRule="auto"/>
        <w:jc w:val="both"/>
        <w:textAlignment w:val="baseline"/>
        <w:rPr>
          <w:rFonts w:ascii="Verdana" w:eastAsia="Times New Roman" w:hAnsi="Verdana" w:cs="Times New Roman"/>
          <w:shd w:val="clear" w:color="auto" w:fill="FFFFFF"/>
          <w:lang w:eastAsia="es-CO"/>
        </w:rPr>
      </w:pPr>
      <w:r w:rsidRPr="00842B0E">
        <w:rPr>
          <w:rFonts w:ascii="Verdana" w:eastAsia="Times New Roman" w:hAnsi="Verdana" w:cs="Segoe UI"/>
          <w:color w:val="000000"/>
          <w:lang w:eastAsia="es-CO"/>
        </w:rPr>
        <w:t> </w:t>
      </w:r>
    </w:p>
    <w:p w14:paraId="4D414FFC" w14:textId="77777777" w:rsidR="00026F63" w:rsidRPr="00842B0E" w:rsidRDefault="00026F63" w:rsidP="00026F63">
      <w:pPr>
        <w:spacing w:after="0" w:line="276" w:lineRule="auto"/>
        <w:jc w:val="both"/>
        <w:rPr>
          <w:rFonts w:ascii="Verdana" w:hAnsi="Verdana" w:cs="Arial"/>
          <w:color w:val="000000" w:themeColor="text1"/>
          <w:shd w:val="clear" w:color="auto" w:fill="FFFFFF"/>
          <w:lang w:val="es-MX"/>
        </w:rPr>
      </w:pPr>
      <w:r w:rsidRPr="00842B0E">
        <w:rPr>
          <w:rFonts w:ascii="Verdana" w:hAnsi="Verdana"/>
          <w:lang w:val="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DA652C8" w14:textId="77777777" w:rsidR="00026F63" w:rsidRPr="00842B0E" w:rsidRDefault="00026F63" w:rsidP="00026F63">
      <w:pPr>
        <w:spacing w:after="0" w:line="276" w:lineRule="auto"/>
        <w:jc w:val="both"/>
        <w:rPr>
          <w:rFonts w:ascii="Verdana" w:eastAsia="Calibri" w:hAnsi="Verdana" w:cs="Times New Roman"/>
        </w:rPr>
      </w:pPr>
    </w:p>
    <w:p w14:paraId="50C2B37F" w14:textId="17F9EAF1" w:rsidR="00026F63" w:rsidRDefault="00026F63" w:rsidP="00026F63">
      <w:pPr>
        <w:spacing w:after="0" w:line="276" w:lineRule="auto"/>
        <w:jc w:val="both"/>
        <w:rPr>
          <w:rFonts w:ascii="Verdana" w:eastAsia="Calibri" w:hAnsi="Verdana" w:cs="Times New Roman"/>
        </w:rPr>
      </w:pPr>
      <w:r w:rsidRPr="00842B0E">
        <w:rPr>
          <w:rFonts w:ascii="Verdana" w:eastAsia="Calibri" w:hAnsi="Verdana" w:cs="Times New Roman"/>
        </w:rPr>
        <w:t>Atentamente,</w:t>
      </w:r>
      <w:r w:rsidR="009C0E47" w:rsidRPr="009C0E47">
        <w:rPr>
          <w:noProof/>
        </w:rPr>
        <w:t xml:space="preserve"> </w:t>
      </w:r>
    </w:p>
    <w:p w14:paraId="596EB054" w14:textId="703BBD84" w:rsidR="00026F63" w:rsidRDefault="00026F63" w:rsidP="009C0E47">
      <w:pPr>
        <w:spacing w:after="0" w:line="276" w:lineRule="auto"/>
        <w:jc w:val="center"/>
        <w:rPr>
          <w:rFonts w:ascii="Verdana" w:eastAsia="Calibri" w:hAnsi="Verdana" w:cs="Times New Roman"/>
          <w:noProof/>
        </w:rPr>
      </w:pPr>
    </w:p>
    <w:p w14:paraId="1FAB2E24" w14:textId="0D1982C6" w:rsidR="009C0E47" w:rsidRPr="00DB6807" w:rsidRDefault="009C0E47" w:rsidP="009C0E47">
      <w:pPr>
        <w:spacing w:after="0" w:line="276" w:lineRule="auto"/>
        <w:jc w:val="center"/>
        <w:rPr>
          <w:rFonts w:ascii="Verdana" w:eastAsia="Calibri" w:hAnsi="Verdana" w:cs="Times New Roman"/>
          <w:noProof/>
        </w:rPr>
      </w:pPr>
      <w:r>
        <w:rPr>
          <w:noProof/>
        </w:rPr>
        <w:drawing>
          <wp:inline distT="0" distB="0" distL="0" distR="0" wp14:anchorId="26BAAB51" wp14:editId="624AFD8B">
            <wp:extent cx="3493311" cy="1298561"/>
            <wp:effectExtent l="0" t="0" r="0" b="0"/>
            <wp:docPr id="3198329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832930" name="Imagen 319832930"/>
                    <pic:cNvPicPr/>
                  </pic:nvPicPr>
                  <pic:blipFill>
                    <a:blip r:embed="rId17">
                      <a:extLst>
                        <a:ext uri="{28A0092B-C50C-407E-A947-70E740481C1C}">
                          <a14:useLocalDpi xmlns:a14="http://schemas.microsoft.com/office/drawing/2010/main" val="0"/>
                        </a:ext>
                      </a:extLst>
                    </a:blip>
                    <a:stretch>
                      <a:fillRect/>
                    </a:stretch>
                  </pic:blipFill>
                  <pic:spPr>
                    <a:xfrm>
                      <a:off x="0" y="0"/>
                      <a:ext cx="3493311" cy="1298561"/>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26F63" w:rsidRPr="00713B63" w14:paraId="227E9438" w14:textId="77777777" w:rsidTr="00FA06DD">
        <w:trPr>
          <w:trHeight w:val="315"/>
        </w:trPr>
        <w:tc>
          <w:tcPr>
            <w:tcW w:w="893" w:type="dxa"/>
            <w:vAlign w:val="center"/>
            <w:hideMark/>
          </w:tcPr>
          <w:p w14:paraId="066F71AB" w14:textId="77777777" w:rsidR="00026F63" w:rsidRPr="00713B63" w:rsidRDefault="00026F63" w:rsidP="00FA06DD">
            <w:pPr>
              <w:contextualSpacing/>
              <w:rPr>
                <w:rFonts w:ascii="Verdana" w:hAnsi="Verdana" w:cs="Arial"/>
                <w:sz w:val="16"/>
                <w:szCs w:val="16"/>
                <w:lang w:eastAsia="es-ES"/>
              </w:rPr>
            </w:pPr>
            <w:r w:rsidRPr="00713B63">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7C6856DA" w14:textId="77777777" w:rsidR="00026F63" w:rsidRPr="00713B63" w:rsidRDefault="00026F63" w:rsidP="00FA06DD">
            <w:pPr>
              <w:contextualSpacing/>
              <w:rPr>
                <w:rFonts w:ascii="Verdana" w:hAnsi="Verdana"/>
                <w:sz w:val="16"/>
                <w:szCs w:val="16"/>
              </w:rPr>
            </w:pPr>
            <w:r>
              <w:rPr>
                <w:rFonts w:ascii="Verdana" w:hAnsi="Verdana"/>
                <w:sz w:val="16"/>
                <w:szCs w:val="16"/>
              </w:rPr>
              <w:t>Denis Andrea Cárdenas Hernández</w:t>
            </w:r>
          </w:p>
          <w:p w14:paraId="49D8F011" w14:textId="77777777" w:rsidR="00026F63" w:rsidRPr="00713B63" w:rsidRDefault="00026F63" w:rsidP="00FA06DD">
            <w:pPr>
              <w:contextualSpacing/>
              <w:rPr>
                <w:rFonts w:ascii="Verdana" w:eastAsia="Arial" w:hAnsi="Verdana" w:cs="Arial"/>
                <w:sz w:val="16"/>
                <w:szCs w:val="16"/>
              </w:rPr>
            </w:pPr>
            <w:r>
              <w:rPr>
                <w:rFonts w:ascii="Verdana" w:hAnsi="Verdana"/>
                <w:sz w:val="16"/>
                <w:szCs w:val="16"/>
              </w:rPr>
              <w:t xml:space="preserve">Analista </w:t>
            </w:r>
            <w:r w:rsidRPr="00713B63">
              <w:rPr>
                <w:rFonts w:ascii="Verdana" w:hAnsi="Verdana" w:cs="Arial"/>
                <w:sz w:val="16"/>
                <w:szCs w:val="16"/>
                <w:lang w:val="es-ES_tradnl"/>
              </w:rPr>
              <w:t>T</w:t>
            </w:r>
            <w:r>
              <w:rPr>
                <w:rFonts w:ascii="Verdana" w:hAnsi="Verdana" w:cs="Arial"/>
                <w:sz w:val="16"/>
                <w:szCs w:val="16"/>
                <w:lang w:val="es-ES_tradnl"/>
              </w:rPr>
              <w:t>2</w:t>
            </w:r>
            <w:r w:rsidRPr="00713B63">
              <w:rPr>
                <w:rFonts w:ascii="Verdana" w:hAnsi="Verdana" w:cs="Arial"/>
                <w:sz w:val="16"/>
                <w:szCs w:val="16"/>
                <w:lang w:val="es-ES_tradnl"/>
              </w:rPr>
              <w:t xml:space="preserve"> ‒ 1</w:t>
            </w:r>
            <w:r>
              <w:rPr>
                <w:rFonts w:ascii="Verdana" w:hAnsi="Verdana" w:cs="Arial"/>
                <w:sz w:val="16"/>
                <w:szCs w:val="16"/>
                <w:lang w:val="es-ES_tradnl"/>
              </w:rPr>
              <w:t xml:space="preserve"> </w:t>
            </w:r>
            <w:r w:rsidRPr="00713B63">
              <w:rPr>
                <w:rFonts w:ascii="Verdana" w:hAnsi="Verdana" w:cs="Arial"/>
                <w:sz w:val="16"/>
                <w:szCs w:val="16"/>
                <w:lang w:val="es-ES_tradnl"/>
              </w:rPr>
              <w:t>de la Subdirección de Gestión Contractual</w:t>
            </w:r>
          </w:p>
        </w:tc>
      </w:tr>
      <w:tr w:rsidR="00026F63" w:rsidRPr="00713B63" w14:paraId="3B7712FB" w14:textId="77777777" w:rsidTr="00FA06DD">
        <w:trPr>
          <w:trHeight w:val="330"/>
        </w:trPr>
        <w:tc>
          <w:tcPr>
            <w:tcW w:w="893" w:type="dxa"/>
            <w:vAlign w:val="center"/>
            <w:hideMark/>
          </w:tcPr>
          <w:p w14:paraId="6D08EC3A" w14:textId="77777777" w:rsidR="00026F63" w:rsidRPr="00713B63" w:rsidRDefault="00026F63" w:rsidP="00FA06DD">
            <w:pPr>
              <w:contextualSpacing/>
              <w:rPr>
                <w:rFonts w:ascii="Verdana" w:hAnsi="Verdana" w:cs="Arial"/>
                <w:sz w:val="16"/>
                <w:szCs w:val="16"/>
                <w:lang w:eastAsia="es-ES"/>
              </w:rPr>
            </w:pPr>
            <w:r w:rsidRPr="00713B63">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A5B5CA4" w14:textId="77777777" w:rsidR="00026F63" w:rsidRPr="00713B63" w:rsidRDefault="00026F63" w:rsidP="00FA06DD">
            <w:pPr>
              <w:textAlignment w:val="baseline"/>
              <w:rPr>
                <w:rFonts w:ascii="Verdana" w:eastAsia="Times New Roman" w:hAnsi="Verdana" w:cs="Arial"/>
                <w:sz w:val="16"/>
                <w:szCs w:val="16"/>
                <w:lang w:val="es-ES_tradnl"/>
              </w:rPr>
            </w:pPr>
            <w:r>
              <w:rPr>
                <w:rFonts w:ascii="Verdana" w:eastAsia="Times New Roman" w:hAnsi="Verdana" w:cs="Arial"/>
                <w:sz w:val="16"/>
                <w:szCs w:val="16"/>
                <w:lang w:val="es-ES_tradnl"/>
              </w:rPr>
              <w:t>Adriana Katherine López Rodríguez</w:t>
            </w:r>
          </w:p>
          <w:p w14:paraId="6DFDC4E2" w14:textId="77777777" w:rsidR="00026F63" w:rsidRPr="00713B63" w:rsidRDefault="00026F63" w:rsidP="00FA06DD">
            <w:pPr>
              <w:contextualSpacing/>
              <w:textAlignment w:val="baseline"/>
              <w:rPr>
                <w:rFonts w:ascii="Verdana" w:eastAsia="Times New Roman" w:hAnsi="Verdana" w:cs="Segoe UI"/>
                <w:sz w:val="16"/>
                <w:szCs w:val="16"/>
                <w:lang w:eastAsia="es-ES"/>
              </w:rPr>
            </w:pPr>
            <w:r w:rsidRPr="7FEAC2C5">
              <w:rPr>
                <w:rFonts w:ascii="Verdana" w:hAnsi="Verdana" w:cs="Arial"/>
                <w:sz w:val="16"/>
                <w:szCs w:val="16"/>
                <w:lang w:val="es-ES"/>
              </w:rPr>
              <w:t>Contratista de la Subdirección de Gestión Contractual</w:t>
            </w:r>
          </w:p>
        </w:tc>
      </w:tr>
      <w:tr w:rsidR="00026F63" w:rsidRPr="00713B63" w14:paraId="114F34C7" w14:textId="77777777" w:rsidTr="00FA06DD">
        <w:trPr>
          <w:trHeight w:val="300"/>
        </w:trPr>
        <w:tc>
          <w:tcPr>
            <w:tcW w:w="893" w:type="dxa"/>
            <w:vAlign w:val="center"/>
          </w:tcPr>
          <w:p w14:paraId="621FEAD8" w14:textId="77777777" w:rsidR="00026F63" w:rsidRPr="00713B63" w:rsidRDefault="00026F63" w:rsidP="00FA06DD">
            <w:pPr>
              <w:contextualSpacing/>
              <w:rPr>
                <w:rFonts w:ascii="Verdana" w:hAnsi="Verdana" w:cs="Arial"/>
                <w:sz w:val="16"/>
                <w:szCs w:val="16"/>
                <w:lang w:eastAsia="es-ES"/>
              </w:rPr>
            </w:pPr>
            <w:r w:rsidRPr="00713B63">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D813B21" w14:textId="77777777" w:rsidR="00026F63" w:rsidRPr="00713B63" w:rsidRDefault="00026F63" w:rsidP="00FA06DD">
            <w:pPr>
              <w:contextualSpacing/>
              <w:rPr>
                <w:rFonts w:ascii="Verdana" w:eastAsia="Calibri" w:hAnsi="Verdana" w:cs="Arial"/>
                <w:sz w:val="16"/>
                <w:szCs w:val="16"/>
                <w:lang w:eastAsia="es-ES"/>
              </w:rPr>
            </w:pPr>
            <w:r w:rsidRPr="00713B63">
              <w:rPr>
                <w:rFonts w:ascii="Verdana" w:eastAsia="Calibri" w:hAnsi="Verdana" w:cs="Arial"/>
                <w:sz w:val="16"/>
                <w:szCs w:val="16"/>
                <w:lang w:eastAsia="es-ES"/>
              </w:rPr>
              <w:t>Carolina Quintero Gacharná</w:t>
            </w:r>
          </w:p>
          <w:p w14:paraId="61C658F2" w14:textId="77777777" w:rsidR="00026F63" w:rsidRPr="00713B63" w:rsidRDefault="00026F63" w:rsidP="00FA06DD">
            <w:pPr>
              <w:contextualSpacing/>
              <w:rPr>
                <w:rFonts w:ascii="Verdana" w:eastAsia="Calibri" w:hAnsi="Verdana" w:cs="Arial"/>
                <w:sz w:val="16"/>
                <w:szCs w:val="16"/>
                <w:lang w:eastAsia="es-ES"/>
              </w:rPr>
            </w:pPr>
            <w:r w:rsidRPr="00713B63">
              <w:rPr>
                <w:rFonts w:ascii="Verdana" w:eastAsia="Calibri" w:hAnsi="Verdana" w:cs="Arial"/>
                <w:sz w:val="16"/>
                <w:szCs w:val="16"/>
                <w:lang w:eastAsia="es-ES"/>
              </w:rPr>
              <w:t>Subdirectora de Gestión Contractual ANCP – CCE</w:t>
            </w:r>
          </w:p>
        </w:tc>
      </w:tr>
    </w:tbl>
    <w:p w14:paraId="26A8693F" w14:textId="77777777" w:rsidR="00026F63" w:rsidRDefault="00026F63" w:rsidP="00026F63">
      <w:pPr>
        <w:spacing w:after="0" w:line="240" w:lineRule="auto"/>
        <w:textAlignment w:val="baseline"/>
        <w:rPr>
          <w:rFonts w:ascii="Verdana" w:eastAsia="Verdana" w:hAnsi="Verdana" w:cs="Verdana"/>
          <w:lang w:eastAsia="es-CO"/>
        </w:rPr>
      </w:pPr>
    </w:p>
    <w:p w14:paraId="25DA5D25" w14:textId="642F461D" w:rsidR="00026F63" w:rsidRPr="000E2B93" w:rsidRDefault="00026F63" w:rsidP="00026F63">
      <w:pPr>
        <w:spacing w:after="0" w:line="240" w:lineRule="auto"/>
        <w:jc w:val="both"/>
        <w:textAlignment w:val="baseline"/>
        <w:rPr>
          <w:rFonts w:ascii="Verdana" w:eastAsia="Verdana" w:hAnsi="Verdana" w:cs="Verdana"/>
          <w:lang w:eastAsia="es-CO"/>
        </w:rPr>
      </w:pPr>
    </w:p>
    <w:p w14:paraId="45342451" w14:textId="2E23A991" w:rsidR="00026F63" w:rsidRPr="009C0E47" w:rsidRDefault="00026F63" w:rsidP="00026F63">
      <w:pPr>
        <w:spacing w:after="0" w:line="240" w:lineRule="auto"/>
        <w:textAlignment w:val="baseline"/>
        <w:rPr>
          <w:noProof/>
        </w:rPr>
      </w:pPr>
      <w:r w:rsidRPr="30821638">
        <w:rPr>
          <w:rFonts w:ascii="Verdana" w:eastAsia="Verdana" w:hAnsi="Verdana" w:cs="Verdana"/>
          <w:lang w:eastAsia="es-CO"/>
        </w:rPr>
        <w:t> </w:t>
      </w:r>
    </w:p>
    <w:p w14:paraId="3B27AFCD" w14:textId="77777777" w:rsidR="002A0DD0" w:rsidRPr="00E02524" w:rsidRDefault="002A0DD0" w:rsidP="30821638">
      <w:pPr>
        <w:spacing w:after="0" w:line="240" w:lineRule="auto"/>
        <w:jc w:val="both"/>
        <w:rPr>
          <w:rFonts w:ascii="Verdana" w:eastAsia="Verdana" w:hAnsi="Verdana" w:cs="Verdana"/>
          <w:b/>
          <w:bCs/>
          <w:lang w:val="es-MX"/>
        </w:rPr>
      </w:pPr>
    </w:p>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0F293BF4" w14:textId="1BFB915E" w:rsidR="00127233" w:rsidRPr="0015699B" w:rsidRDefault="00C15139" w:rsidP="00026F63">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127233" w:rsidRPr="0015699B"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137D62" w14:textId="77777777" w:rsidR="003A27D0" w:rsidRDefault="003A27D0" w:rsidP="004A1847">
      <w:pPr>
        <w:spacing w:after="0" w:line="240" w:lineRule="auto"/>
      </w:pPr>
      <w:r>
        <w:separator/>
      </w:r>
    </w:p>
  </w:endnote>
  <w:endnote w:type="continuationSeparator" w:id="0">
    <w:p w14:paraId="30EA89B1" w14:textId="77777777" w:rsidR="003A27D0" w:rsidRDefault="003A27D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C9A9EE" w14:textId="77777777" w:rsidR="003A27D0" w:rsidRDefault="003A27D0" w:rsidP="004A1847">
      <w:pPr>
        <w:spacing w:after="0" w:line="240" w:lineRule="auto"/>
      </w:pPr>
      <w:r>
        <w:separator/>
      </w:r>
    </w:p>
  </w:footnote>
  <w:footnote w:type="continuationSeparator" w:id="0">
    <w:p w14:paraId="2E7FA245" w14:textId="77777777" w:rsidR="003A27D0" w:rsidRDefault="003A27D0" w:rsidP="004A1847">
      <w:pPr>
        <w:spacing w:after="0" w:line="240" w:lineRule="auto"/>
      </w:pPr>
      <w:r>
        <w:continuationSeparator/>
      </w:r>
    </w:p>
  </w:footnote>
  <w:footnote w:id="1">
    <w:p w14:paraId="6076EB1A" w14:textId="77777777" w:rsidR="00026F63" w:rsidRPr="004138F1" w:rsidRDefault="00026F63" w:rsidP="00026F63">
      <w:pPr>
        <w:pStyle w:val="Textonotapie"/>
        <w:ind w:firstLine="708"/>
        <w:jc w:val="both"/>
        <w:rPr>
          <w:rFonts w:ascii="Verdana" w:hAnsi="Verdana"/>
          <w:sz w:val="18"/>
          <w:szCs w:val="18"/>
        </w:rPr>
      </w:pPr>
      <w:r w:rsidRPr="004138F1">
        <w:rPr>
          <w:rStyle w:val="Refdenotaalpie"/>
          <w:rFonts w:ascii="Verdana" w:hAnsi="Verdana"/>
          <w:sz w:val="18"/>
          <w:szCs w:val="18"/>
        </w:rPr>
        <w:footnoteRef/>
      </w:r>
      <w:r w:rsidRPr="004138F1">
        <w:rPr>
          <w:rFonts w:ascii="Verdana" w:hAnsi="Verdana"/>
          <w:sz w:val="18"/>
          <w:szCs w:val="18"/>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4D2638BC" w14:textId="77777777" w:rsidR="00026F63" w:rsidRPr="004138F1" w:rsidRDefault="00026F63" w:rsidP="00026F63">
      <w:pPr>
        <w:pStyle w:val="Textonotapie"/>
        <w:ind w:firstLine="708"/>
        <w:jc w:val="both"/>
        <w:rPr>
          <w:rFonts w:ascii="Verdana" w:hAnsi="Verdana"/>
          <w:sz w:val="18"/>
          <w:szCs w:val="18"/>
        </w:rPr>
      </w:pPr>
      <w:r w:rsidRPr="004138F1">
        <w:rPr>
          <w:rFonts w:ascii="Verdana" w:hAnsi="Verdana"/>
          <w:sz w:val="18"/>
          <w:szCs w:val="18"/>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4E5B5A8A" w14:textId="77777777" w:rsidR="00026F63" w:rsidRPr="004138F1" w:rsidRDefault="00026F63" w:rsidP="00026F63">
      <w:pPr>
        <w:pStyle w:val="Textonotapie"/>
        <w:ind w:firstLine="708"/>
        <w:jc w:val="both"/>
        <w:rPr>
          <w:rFonts w:ascii="Verdana" w:hAnsi="Verdana"/>
          <w:sz w:val="18"/>
          <w:szCs w:val="18"/>
        </w:rPr>
      </w:pPr>
      <w:r w:rsidRPr="004138F1">
        <w:rPr>
          <w:rFonts w:ascii="Verdana" w:hAnsi="Verdana"/>
          <w:sz w:val="18"/>
          <w:szCs w:val="18"/>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135220847">
    <w:abstractNumId w:val="0"/>
  </w:num>
  <w:num w:numId="17" w16cid:durableId="50066153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6F63"/>
    <w:rsid w:val="000363D9"/>
    <w:rsid w:val="00046945"/>
    <w:rsid w:val="00061B2A"/>
    <w:rsid w:val="00082362"/>
    <w:rsid w:val="000A683E"/>
    <w:rsid w:val="000B19B9"/>
    <w:rsid w:val="000D0334"/>
    <w:rsid w:val="000D5DA7"/>
    <w:rsid w:val="000F6486"/>
    <w:rsid w:val="0010704B"/>
    <w:rsid w:val="00116940"/>
    <w:rsid w:val="00121DA3"/>
    <w:rsid w:val="00125105"/>
    <w:rsid w:val="00127233"/>
    <w:rsid w:val="0015699B"/>
    <w:rsid w:val="00181F92"/>
    <w:rsid w:val="001A33BF"/>
    <w:rsid w:val="001E4177"/>
    <w:rsid w:val="001F0B24"/>
    <w:rsid w:val="001F0E99"/>
    <w:rsid w:val="001F7DC6"/>
    <w:rsid w:val="0022400B"/>
    <w:rsid w:val="002421BB"/>
    <w:rsid w:val="0025796E"/>
    <w:rsid w:val="002707A2"/>
    <w:rsid w:val="002951A0"/>
    <w:rsid w:val="002962BC"/>
    <w:rsid w:val="002A093D"/>
    <w:rsid w:val="002A0DD0"/>
    <w:rsid w:val="002A49AC"/>
    <w:rsid w:val="002A64FD"/>
    <w:rsid w:val="002B6D6A"/>
    <w:rsid w:val="002C7A84"/>
    <w:rsid w:val="002E2BF8"/>
    <w:rsid w:val="002E4FD9"/>
    <w:rsid w:val="002F7218"/>
    <w:rsid w:val="0030657A"/>
    <w:rsid w:val="00322A85"/>
    <w:rsid w:val="00324168"/>
    <w:rsid w:val="00330834"/>
    <w:rsid w:val="0034219B"/>
    <w:rsid w:val="003448F4"/>
    <w:rsid w:val="00374F5E"/>
    <w:rsid w:val="00377E3E"/>
    <w:rsid w:val="003A27D0"/>
    <w:rsid w:val="003A779E"/>
    <w:rsid w:val="003B5204"/>
    <w:rsid w:val="003D0F4D"/>
    <w:rsid w:val="003D5B0D"/>
    <w:rsid w:val="003E0499"/>
    <w:rsid w:val="003E4F80"/>
    <w:rsid w:val="003E6439"/>
    <w:rsid w:val="003F3941"/>
    <w:rsid w:val="00406575"/>
    <w:rsid w:val="00414C74"/>
    <w:rsid w:val="0042722E"/>
    <w:rsid w:val="004401F2"/>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3670"/>
    <w:rsid w:val="00844AE9"/>
    <w:rsid w:val="00867F95"/>
    <w:rsid w:val="008843B6"/>
    <w:rsid w:val="00891928"/>
    <w:rsid w:val="008A446D"/>
    <w:rsid w:val="008B25F1"/>
    <w:rsid w:val="008D180B"/>
    <w:rsid w:val="008F0EA7"/>
    <w:rsid w:val="00923EEF"/>
    <w:rsid w:val="009419F9"/>
    <w:rsid w:val="0095685E"/>
    <w:rsid w:val="00961B09"/>
    <w:rsid w:val="00963375"/>
    <w:rsid w:val="00965334"/>
    <w:rsid w:val="0097093E"/>
    <w:rsid w:val="009A0DFA"/>
    <w:rsid w:val="009A1C6F"/>
    <w:rsid w:val="009B2D26"/>
    <w:rsid w:val="009C0E47"/>
    <w:rsid w:val="009C71FA"/>
    <w:rsid w:val="009C72E7"/>
    <w:rsid w:val="009C7F7E"/>
    <w:rsid w:val="009D3058"/>
    <w:rsid w:val="009E3622"/>
    <w:rsid w:val="009F3A13"/>
    <w:rsid w:val="00A122D3"/>
    <w:rsid w:val="00A14468"/>
    <w:rsid w:val="00A17F13"/>
    <w:rsid w:val="00A20739"/>
    <w:rsid w:val="00A23AF9"/>
    <w:rsid w:val="00A33C78"/>
    <w:rsid w:val="00AB0ADB"/>
    <w:rsid w:val="00AC51EF"/>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87C2F"/>
    <w:rsid w:val="00C925AC"/>
    <w:rsid w:val="00CB32A1"/>
    <w:rsid w:val="00CB6357"/>
    <w:rsid w:val="00CC1B26"/>
    <w:rsid w:val="00CD2174"/>
    <w:rsid w:val="00D15406"/>
    <w:rsid w:val="00D361FD"/>
    <w:rsid w:val="00D423A2"/>
    <w:rsid w:val="00D44E26"/>
    <w:rsid w:val="00D520D8"/>
    <w:rsid w:val="00D63AC2"/>
    <w:rsid w:val="00D7383B"/>
    <w:rsid w:val="00D7788A"/>
    <w:rsid w:val="00DA231B"/>
    <w:rsid w:val="00DC39FC"/>
    <w:rsid w:val="00DE6368"/>
    <w:rsid w:val="00DF5254"/>
    <w:rsid w:val="00E02524"/>
    <w:rsid w:val="00E027E6"/>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45D7B536"/>
    <w:rsid w:val="5383E647"/>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26F63"/>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normativa-y-relatoria/documentos-tip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fvargas89@gmail.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B3E1598D-3F82-4002-B74C-A43524E513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4</TotalTime>
  <Pages>14</Pages>
  <Words>4584</Words>
  <Characters>25213</Characters>
  <Application>Microsoft Office Word</Application>
  <DocSecurity>0</DocSecurity>
  <Lines>210</Lines>
  <Paragraphs>59</Paragraphs>
  <ScaleCrop>false</ScaleCrop>
  <Company/>
  <LinksUpToDate>false</LinksUpToDate>
  <CharactersWithSpaces>29738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6</cp:revision>
  <cp:lastPrinted>2023-01-10T21:18:00Z</cp:lastPrinted>
  <dcterms:created xsi:type="dcterms:W3CDTF">2026-05-08T19:34:00Z</dcterms:created>
  <dcterms:modified xsi:type="dcterms:W3CDTF">2026-05-11T19:44:00Z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