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AEF07C" w14:textId="3A4C718E" w:rsidR="00A3798F" w:rsidRDefault="00A3798F" w:rsidP="007E4A13">
      <w:pPr>
        <w:spacing w:after="0" w:line="240" w:lineRule="auto"/>
        <w:jc w:val="both"/>
        <w:rPr>
          <w:rFonts w:ascii="Verdana" w:eastAsia="Calibri" w:hAnsi="Verdana" w:cs="Arial"/>
          <w:b/>
          <w:bCs/>
          <w:lang w:val="es-ES" w:eastAsia="es-ES"/>
        </w:rPr>
      </w:pPr>
      <w:r w:rsidRPr="00A3798F">
        <w:rPr>
          <w:rFonts w:ascii="Verdana" w:eastAsia="Calibri" w:hAnsi="Verdana" w:cs="Arial"/>
          <w:b/>
          <w:bCs/>
          <w:lang w:val="es-ES" w:eastAsia="es-ES"/>
        </w:rPr>
        <w:t>SUBSANABILIDAD – Aplicación – R</w:t>
      </w:r>
      <w:r w:rsidRPr="00A3798F">
        <w:rPr>
          <w:rFonts w:ascii="Verdana" w:eastAsia="Calibri" w:hAnsi="Verdana"/>
          <w:b/>
          <w:bCs/>
          <w:lang w:val="es-ES" w:eastAsia="es-ES"/>
        </w:rPr>
        <w:t>egla general</w:t>
      </w:r>
      <w:r w:rsidRPr="00A3798F">
        <w:rPr>
          <w:rFonts w:ascii="Verdana" w:eastAsia="Calibri" w:hAnsi="Verdana" w:cs="Arial"/>
          <w:b/>
          <w:bCs/>
          <w:lang w:val="es-ES" w:eastAsia="es-ES"/>
        </w:rPr>
        <w:t xml:space="preserve"> – Excepciones</w:t>
      </w:r>
    </w:p>
    <w:p w14:paraId="0B3FA442" w14:textId="77777777" w:rsidR="00A3798F" w:rsidRDefault="00A3798F" w:rsidP="007E4A13">
      <w:pPr>
        <w:spacing w:after="0" w:line="240" w:lineRule="auto"/>
        <w:jc w:val="both"/>
        <w:rPr>
          <w:rFonts w:ascii="Verdana" w:eastAsia="Calibri" w:hAnsi="Verdana" w:cs="Arial"/>
          <w:b/>
          <w:bCs/>
          <w:lang w:val="es-ES" w:eastAsia="es-ES"/>
        </w:rPr>
      </w:pPr>
    </w:p>
    <w:p w14:paraId="789260C7" w14:textId="2FB8786C" w:rsidR="00A3798F" w:rsidRDefault="00A3798F" w:rsidP="007E4A13">
      <w:pPr>
        <w:spacing w:after="0" w:line="240" w:lineRule="auto"/>
        <w:jc w:val="both"/>
        <w:rPr>
          <w:rFonts w:ascii="Verdana" w:hAnsi="Verdana" w:cs="Arial"/>
          <w:noProof/>
          <w:sz w:val="20"/>
          <w:szCs w:val="20"/>
          <w:lang w:val="es-ES_tradnl"/>
        </w:rPr>
      </w:pPr>
      <w:r w:rsidRPr="00A3798F">
        <w:rPr>
          <w:rFonts w:ascii="Verdana" w:eastAsia="Calibri" w:hAnsi="Verdana" w:cs="Arial"/>
          <w:sz w:val="20"/>
          <w:szCs w:val="20"/>
        </w:rPr>
        <w:t>La regla de subsanabilidad prevista en el artículo 5 de la Ley 1150 de 2007 es un mecanismo para los procesos de contratación estatal que se regulan por el EGCAP, según la cual los proponentes pueden enmendar, corregir o modificar los errores en los que se incurre en los documentos contentivos de la oferta</w:t>
      </w:r>
      <w:r w:rsidRPr="00A3798F">
        <w:rPr>
          <w:rFonts w:ascii="Verdana" w:hAnsi="Verdana" w:cs="Arial"/>
          <w:noProof/>
          <w:sz w:val="20"/>
          <w:szCs w:val="20"/>
          <w:lang w:val="es-ES_tradnl"/>
        </w:rPr>
        <w:t xml:space="preserve"> que no sean necesarios para la comparación de las ofertas, y todo lo que no sea necesario para la comparación de propuestas no es título suficiente para su rechazo.</w:t>
      </w:r>
    </w:p>
    <w:p w14:paraId="0F064932" w14:textId="77777777" w:rsidR="00A3798F" w:rsidRDefault="00A3798F" w:rsidP="007E4A13">
      <w:pPr>
        <w:spacing w:after="0" w:line="240" w:lineRule="auto"/>
        <w:jc w:val="both"/>
        <w:rPr>
          <w:rFonts w:ascii="Verdana" w:hAnsi="Verdana" w:cs="Arial"/>
          <w:noProof/>
          <w:sz w:val="20"/>
          <w:szCs w:val="20"/>
          <w:lang w:val="es-ES_tradnl"/>
        </w:rPr>
      </w:pPr>
    </w:p>
    <w:p w14:paraId="5A58A36F" w14:textId="33955FB5" w:rsidR="00A3798F" w:rsidRDefault="00A3798F" w:rsidP="007E4A13">
      <w:pPr>
        <w:spacing w:after="0" w:line="240" w:lineRule="auto"/>
        <w:jc w:val="both"/>
        <w:rPr>
          <w:rFonts w:ascii="Verdana" w:hAnsi="Verdana" w:cs="Arial"/>
          <w:noProof/>
          <w:sz w:val="20"/>
          <w:szCs w:val="20"/>
          <w:lang w:val="es-ES_tradnl"/>
        </w:rPr>
      </w:pPr>
      <w:r>
        <w:rPr>
          <w:rFonts w:ascii="Verdana" w:hAnsi="Verdana" w:cs="Arial"/>
          <w:noProof/>
          <w:sz w:val="20"/>
          <w:szCs w:val="20"/>
          <w:lang w:val="es-ES_tradnl"/>
        </w:rPr>
        <w:t xml:space="preserve">[…] </w:t>
      </w:r>
    </w:p>
    <w:p w14:paraId="0CE4C91B" w14:textId="77777777" w:rsidR="00A3798F" w:rsidRDefault="00A3798F" w:rsidP="007E4A13">
      <w:pPr>
        <w:spacing w:after="0" w:line="240" w:lineRule="auto"/>
        <w:jc w:val="both"/>
        <w:rPr>
          <w:rFonts w:ascii="Verdana" w:hAnsi="Verdana" w:cs="Arial"/>
          <w:noProof/>
          <w:sz w:val="20"/>
          <w:szCs w:val="20"/>
          <w:lang w:val="es-ES_tradnl"/>
        </w:rPr>
      </w:pPr>
    </w:p>
    <w:p w14:paraId="6BEFB1CB" w14:textId="4E6067B6" w:rsidR="00A3798F" w:rsidRDefault="00A3798F" w:rsidP="007E4A13">
      <w:pPr>
        <w:spacing w:after="0" w:line="240" w:lineRule="auto"/>
        <w:jc w:val="both"/>
        <w:rPr>
          <w:rFonts w:ascii="Verdana" w:eastAsia="Calibri" w:hAnsi="Verdana" w:cs="Arial"/>
          <w:b/>
          <w:bCs/>
          <w:lang w:val="es-ES" w:eastAsia="es-ES"/>
        </w:rPr>
      </w:pPr>
      <w:r w:rsidRPr="00A3798F">
        <w:rPr>
          <w:rFonts w:ascii="Verdana" w:eastAsia="Calibri" w:hAnsi="Verdana" w:cs="Arial"/>
          <w:b/>
          <w:bCs/>
          <w:lang w:val="es-ES" w:eastAsia="es-ES"/>
        </w:rPr>
        <w:t>SUBSANABILIDAD – Circunstancias posteriores – Cierre del proceso - Ley 1882 de 2018</w:t>
      </w:r>
    </w:p>
    <w:p w14:paraId="5A0000F3" w14:textId="77777777" w:rsidR="00A3798F" w:rsidRDefault="00A3798F" w:rsidP="007E4A13">
      <w:pPr>
        <w:spacing w:after="0" w:line="240" w:lineRule="auto"/>
        <w:jc w:val="both"/>
        <w:rPr>
          <w:rFonts w:ascii="Verdana" w:eastAsia="Calibri" w:hAnsi="Verdana" w:cs="Arial"/>
          <w:b/>
          <w:bCs/>
          <w:lang w:val="es-ES" w:eastAsia="es-ES"/>
        </w:rPr>
      </w:pPr>
    </w:p>
    <w:p w14:paraId="44B7A3EB" w14:textId="77777777" w:rsidR="00A3798F" w:rsidRPr="00A3798F" w:rsidRDefault="00A3798F" w:rsidP="00A3798F">
      <w:pPr>
        <w:spacing w:after="120" w:line="240" w:lineRule="auto"/>
        <w:jc w:val="both"/>
        <w:rPr>
          <w:rFonts w:ascii="Verdana" w:eastAsia="Times New Roman" w:hAnsi="Verdana" w:cs="Arial"/>
          <w:sz w:val="20"/>
          <w:szCs w:val="20"/>
          <w:lang w:val="es-ES_tradnl" w:eastAsia="es-ES_tradnl"/>
        </w:rPr>
      </w:pPr>
      <w:r w:rsidRPr="00A3798F">
        <w:rPr>
          <w:rFonts w:ascii="Verdana" w:eastAsia="Times New Roman" w:hAnsi="Verdana" w:cs="Arial"/>
          <w:sz w:val="20"/>
          <w:szCs w:val="20"/>
          <w:lang w:val="es-ES_tradnl" w:eastAsia="es-ES_tradnl"/>
        </w:rPr>
        <w:t xml:space="preserve">De conformidad con el artículo 5 de la Ley 1882 de 2018, lo subsanable es la prueba de todas las circunstancias ocurridas antes del vencimiento del término para presentar las ofertas, ello es lo que implica la prohibición de acreditar circunstancias ocurridas con posterioridad al “cierre del proceso”. Lo anterior evita, por ejemplo, que se presenten oferentes que no cumplían con los requisitos para participar al momento de presentar las ofertas, y pretendan cumplirlos durante el proceso de selección o, inclusive, que se puedan variar condiciones de la oferta una vez presentada. </w:t>
      </w:r>
    </w:p>
    <w:p w14:paraId="54184ECE" w14:textId="4C4B3A8B" w:rsidR="00A3798F" w:rsidRPr="00A3798F" w:rsidRDefault="00A3798F" w:rsidP="00A3798F">
      <w:pPr>
        <w:spacing w:after="120" w:line="240" w:lineRule="auto"/>
        <w:jc w:val="both"/>
        <w:rPr>
          <w:rFonts w:ascii="Verdana" w:eastAsia="Times New Roman" w:hAnsi="Verdana" w:cs="Arial"/>
          <w:sz w:val="20"/>
          <w:szCs w:val="20"/>
          <w:lang w:val="es-ES" w:eastAsia="es-ES"/>
        </w:rPr>
      </w:pPr>
      <w:r>
        <w:rPr>
          <w:rFonts w:ascii="Verdana" w:eastAsia="Times New Roman" w:hAnsi="Verdana" w:cs="Arial"/>
          <w:sz w:val="20"/>
          <w:szCs w:val="20"/>
          <w:lang w:val="es-ES" w:eastAsia="es-ES"/>
        </w:rPr>
        <w:t>[…]</w:t>
      </w:r>
      <w:r w:rsidRPr="00A3798F">
        <w:rPr>
          <w:rFonts w:ascii="Verdana" w:eastAsia="Times New Roman" w:hAnsi="Verdana" w:cs="Arial"/>
          <w:sz w:val="20"/>
          <w:szCs w:val="20"/>
          <w:lang w:val="es-ES" w:eastAsia="es-ES"/>
        </w:rPr>
        <w:t xml:space="preserve"> una vez verificada la ausencia de requisitos y/o documentos de la oferta, para efectos de saber si se pueden subsanar, la Administración se debe preguntar: en primer lugar, si lo que hace falta es un documento que afecte la asignación de puntaje o no y; en segundo lugar, si el cumplimiento del requisito constituye una circunstancia ocurrida con anterioridad o con posterioridad al cierre del proceso. Para arribar a la conclusión de que lo omitido puede subsanarse, la respuesta al primer interrogante debe ser negativa, es decir, que lo omitido no sea un factor que afecte la asignación de puntaje y la respuesta al segundo interrogante debe dar cuenta de que lo omitido sea la prueba de una circunstancia o hecho que ocurrió con anterioridad al cierre del proceso.</w:t>
      </w:r>
    </w:p>
    <w:p w14:paraId="439405E9" w14:textId="77777777" w:rsidR="00A3798F" w:rsidRPr="00A3798F" w:rsidRDefault="00A3798F" w:rsidP="00A3798F">
      <w:pPr>
        <w:spacing w:after="120" w:line="240" w:lineRule="auto"/>
        <w:jc w:val="both"/>
        <w:rPr>
          <w:rFonts w:ascii="Verdana" w:hAnsi="Verdana" w:cs="Arial"/>
          <w:noProof/>
          <w:sz w:val="20"/>
          <w:szCs w:val="20"/>
          <w:lang w:val="es-ES_tradnl"/>
        </w:rPr>
      </w:pPr>
      <w:r w:rsidRPr="00A3798F">
        <w:rPr>
          <w:rFonts w:ascii="Verdana" w:hAnsi="Verdana" w:cs="Arial"/>
          <w:noProof/>
          <w:sz w:val="20"/>
          <w:szCs w:val="20"/>
          <w:lang w:val="es-ES_tradnl"/>
        </w:rPr>
        <w:t>No obstante, a la luz del artículo 5 de la Ley 1882 de 2018, lo subsanable es la prueba de todas las circunstancias ocurridas antes del vencimiento del término para presentar las ofertas, pues una cosa es el requisito habilitante o el elemento de la propuesta y otra su prueba. De tal modo que lo que prohíbe la norma es que se subsanen requisitos que no estaban materialmente cumplidos al momento de presentación de la oferta, o en palabras de la ley, que se acrediten hechos que ocurrieron después del cierre del proceso, por lo que dicha limitación a la regla de subsanabilidad también deberá ser tenida en cuenta.</w:t>
      </w:r>
    </w:p>
    <w:p w14:paraId="77C1110A" w14:textId="77777777" w:rsidR="00A3798F" w:rsidRPr="00A3798F" w:rsidRDefault="00A3798F" w:rsidP="007E4A13">
      <w:pPr>
        <w:spacing w:after="0" w:line="240" w:lineRule="auto"/>
        <w:jc w:val="both"/>
        <w:rPr>
          <w:rFonts w:ascii="Verdana" w:hAnsi="Verdana" w:cs="Arial"/>
          <w:b/>
          <w:bCs/>
          <w:noProof/>
          <w:sz w:val="20"/>
          <w:szCs w:val="20"/>
          <w:lang w:val="es-ES_tradnl"/>
        </w:rPr>
      </w:pPr>
    </w:p>
    <w:p w14:paraId="71B9C618" w14:textId="77777777" w:rsidR="00A3798F" w:rsidRPr="00A3798F" w:rsidRDefault="00A3798F" w:rsidP="007E4A13">
      <w:pPr>
        <w:spacing w:after="0" w:line="240" w:lineRule="auto"/>
        <w:jc w:val="both"/>
        <w:rPr>
          <w:rFonts w:ascii="Verdana" w:eastAsia="Geomanist Light" w:hAnsi="Verdana" w:cs="Arial"/>
          <w:b/>
          <w:bCs/>
          <w:color w:val="000000" w:themeColor="text1"/>
          <w:lang w:val="es-MX"/>
        </w:rPr>
      </w:pPr>
    </w:p>
    <w:p w14:paraId="2F203CFD" w14:textId="77777777" w:rsidR="00A3798F" w:rsidRDefault="00A3798F" w:rsidP="007E4A13">
      <w:pPr>
        <w:spacing w:after="0" w:line="240" w:lineRule="auto"/>
        <w:jc w:val="both"/>
        <w:rPr>
          <w:rFonts w:ascii="Verdana" w:eastAsia="Geomanist Light" w:hAnsi="Verdana" w:cs="Arial"/>
          <w:color w:val="000000" w:themeColor="text1"/>
          <w:lang w:val="es-MX"/>
        </w:rPr>
      </w:pPr>
    </w:p>
    <w:p w14:paraId="16D402AA" w14:textId="77777777" w:rsidR="00A3798F" w:rsidRDefault="00A3798F" w:rsidP="007E4A13">
      <w:pPr>
        <w:spacing w:after="0" w:line="240" w:lineRule="auto"/>
        <w:jc w:val="both"/>
        <w:rPr>
          <w:rFonts w:ascii="Verdana" w:eastAsia="Geomanist Light" w:hAnsi="Verdana" w:cs="Arial"/>
          <w:color w:val="000000" w:themeColor="text1"/>
          <w:lang w:val="es-MX"/>
        </w:rPr>
      </w:pPr>
    </w:p>
    <w:p w14:paraId="15B0ED86" w14:textId="77777777" w:rsidR="00A3798F" w:rsidRDefault="00A3798F" w:rsidP="007E4A13">
      <w:pPr>
        <w:spacing w:after="0" w:line="240" w:lineRule="auto"/>
        <w:jc w:val="both"/>
        <w:rPr>
          <w:rFonts w:ascii="Verdana" w:eastAsia="Geomanist Light" w:hAnsi="Verdana" w:cs="Arial"/>
          <w:color w:val="000000" w:themeColor="text1"/>
          <w:lang w:val="es-MX"/>
        </w:rPr>
      </w:pPr>
    </w:p>
    <w:p w14:paraId="64CD030C" w14:textId="7B83D184" w:rsidR="007E4A13" w:rsidRDefault="007E4A13" w:rsidP="007E4A13">
      <w:pPr>
        <w:spacing w:after="0" w:line="240" w:lineRule="auto"/>
        <w:jc w:val="both"/>
        <w:rPr>
          <w:rFonts w:ascii="Verdana" w:eastAsia="Geomanist Light" w:hAnsi="Verdana" w:cs="Arial"/>
          <w:color w:val="201F1E"/>
          <w:lang w:val="es-MX"/>
        </w:rPr>
      </w:pPr>
      <w:r w:rsidRPr="00CF64C0">
        <w:rPr>
          <w:rFonts w:ascii="Verdana" w:eastAsia="Geomanist Light" w:hAnsi="Verdana" w:cs="Arial"/>
          <w:color w:val="000000" w:themeColor="text1"/>
          <w:lang w:val="es-MX"/>
        </w:rPr>
        <w:lastRenderedPageBreak/>
        <w:t>Bogotá D.C., </w:t>
      </w:r>
      <w:r w:rsidR="00E756F1">
        <w:rPr>
          <w:rFonts w:ascii="Verdana" w:eastAsia="Geomanist Light" w:hAnsi="Verdana" w:cs="Arial"/>
          <w:color w:val="201F1E"/>
          <w:lang w:val="es-MX"/>
        </w:rPr>
        <w:t>01</w:t>
      </w:r>
      <w:r w:rsidRPr="00CF64C0">
        <w:rPr>
          <w:rFonts w:ascii="Verdana" w:eastAsia="Geomanist Light" w:hAnsi="Verdana" w:cs="Arial"/>
          <w:color w:val="201F1E"/>
          <w:lang w:val="es-MX"/>
        </w:rPr>
        <w:t xml:space="preserve"> de </w:t>
      </w:r>
      <w:r w:rsidR="00F1345B">
        <w:rPr>
          <w:rFonts w:ascii="Verdana" w:eastAsia="Geomanist Light" w:hAnsi="Verdana" w:cs="Arial"/>
          <w:color w:val="201F1E"/>
          <w:lang w:val="es-MX"/>
        </w:rPr>
        <w:t>mayo</w:t>
      </w:r>
      <w:r w:rsidRPr="00CF64C0">
        <w:rPr>
          <w:rFonts w:ascii="Verdana" w:eastAsia="Geomanist Light" w:hAnsi="Verdana" w:cs="Arial"/>
          <w:color w:val="201F1E"/>
          <w:lang w:val="es-MX"/>
        </w:rPr>
        <w:t xml:space="preserve"> de </w:t>
      </w:r>
      <w:r w:rsidR="00175909">
        <w:rPr>
          <w:rFonts w:ascii="Verdana" w:eastAsia="Geomanist Light" w:hAnsi="Verdana" w:cs="Arial"/>
          <w:color w:val="201F1E"/>
          <w:lang w:val="es-MX"/>
        </w:rPr>
        <w:t>2026</w:t>
      </w:r>
    </w:p>
    <w:p w14:paraId="27FADE05" w14:textId="5BE7270A" w:rsidR="007E4A13" w:rsidRPr="007C02F9" w:rsidRDefault="007E4A13" w:rsidP="007E4A13">
      <w:pPr>
        <w:spacing w:after="0" w:line="240" w:lineRule="auto"/>
        <w:jc w:val="both"/>
        <w:rPr>
          <w:rFonts w:ascii="Verdana" w:eastAsia="Calibri" w:hAnsi="Verdana" w:cs="Arial"/>
          <w:color w:val="000000"/>
          <w:lang w:val="es-ES"/>
        </w:rPr>
      </w:pPr>
    </w:p>
    <w:p w14:paraId="6FC10B73" w14:textId="74872D56" w:rsidR="00175909" w:rsidRDefault="00175909" w:rsidP="00175909">
      <w:pPr>
        <w:spacing w:after="0" w:line="240" w:lineRule="auto"/>
        <w:ind w:left="4956"/>
        <w:jc w:val="both"/>
        <w:rPr>
          <w:rFonts w:ascii="Verdana" w:eastAsia="Calibri" w:hAnsi="Verdana" w:cs="Arial"/>
          <w:lang w:val="es-ES" w:eastAsia="es-ES"/>
        </w:rPr>
      </w:pPr>
    </w:p>
    <w:p w14:paraId="5E243D8E" w14:textId="4DD195C8" w:rsidR="007E4A13" w:rsidRPr="007C02F9" w:rsidRDefault="00F1345B" w:rsidP="007E4A13">
      <w:pPr>
        <w:spacing w:after="0" w:line="240" w:lineRule="auto"/>
        <w:jc w:val="both"/>
        <w:rPr>
          <w:rFonts w:ascii="Verdana" w:eastAsia="Calibri" w:hAnsi="Verdana" w:cs="Arial"/>
          <w:lang w:val="es-ES" w:eastAsia="es-ES"/>
        </w:rPr>
      </w:pPr>
      <w:r w:rsidRPr="00175909">
        <w:rPr>
          <w:rFonts w:ascii="Verdana" w:eastAsia="Calibri" w:hAnsi="Verdana" w:cs="Arial"/>
          <w:noProof/>
          <w:lang w:val="es-ES" w:eastAsia="es-ES"/>
        </w:rPr>
        <w:drawing>
          <wp:anchor distT="0" distB="0" distL="114300" distR="114300" simplePos="0" relativeHeight="251658240" behindDoc="0" locked="0" layoutInCell="1" allowOverlap="1" wp14:anchorId="09FD82FE" wp14:editId="7C6BE9C0">
            <wp:simplePos x="0" y="0"/>
            <wp:positionH relativeFrom="margin">
              <wp:align>right</wp:align>
            </wp:positionH>
            <wp:positionV relativeFrom="paragraph">
              <wp:posOffset>8559</wp:posOffset>
            </wp:positionV>
            <wp:extent cx="2494915" cy="890270"/>
            <wp:effectExtent l="0" t="0" r="635" b="5080"/>
            <wp:wrapSquare wrapText="bothSides"/>
            <wp:docPr id="19066767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667678" name=""/>
                    <pic:cNvPicPr/>
                  </pic:nvPicPr>
                  <pic:blipFill>
                    <a:blip r:embed="rId11">
                      <a:extLst>
                        <a:ext uri="{28A0092B-C50C-407E-A947-70E740481C1C}">
                          <a14:useLocalDpi xmlns:a14="http://schemas.microsoft.com/office/drawing/2010/main" val="0"/>
                        </a:ext>
                      </a:extLst>
                    </a:blip>
                    <a:stretch>
                      <a:fillRect/>
                    </a:stretch>
                  </pic:blipFill>
                  <pic:spPr>
                    <a:xfrm>
                      <a:off x="0" y="0"/>
                      <a:ext cx="2494915" cy="890270"/>
                    </a:xfrm>
                    <a:prstGeom prst="rect">
                      <a:avLst/>
                    </a:prstGeom>
                  </pic:spPr>
                </pic:pic>
              </a:graphicData>
            </a:graphic>
            <wp14:sizeRelV relativeFrom="margin">
              <wp14:pctHeight>0</wp14:pctHeight>
            </wp14:sizeRelV>
          </wp:anchor>
        </w:drawing>
      </w:r>
      <w:r w:rsidR="007E4A13" w:rsidRPr="007C02F9">
        <w:rPr>
          <w:rFonts w:ascii="Verdana" w:eastAsia="Calibri" w:hAnsi="Verdana" w:cs="Arial"/>
          <w:lang w:val="es-ES" w:eastAsia="es-ES"/>
        </w:rPr>
        <w:t>Señor</w:t>
      </w:r>
    </w:p>
    <w:p w14:paraId="2F5A6553" w14:textId="738AC01D" w:rsidR="007E4A13" w:rsidRPr="006321F5" w:rsidRDefault="007E4A13" w:rsidP="007E4A13">
      <w:pPr>
        <w:spacing w:after="0" w:line="240" w:lineRule="auto"/>
        <w:rPr>
          <w:rFonts w:ascii="Verdana" w:eastAsia="Calibri" w:hAnsi="Verdana" w:cs="Arial"/>
          <w:b/>
          <w:lang w:eastAsia="es-ES_tradnl"/>
        </w:rPr>
      </w:pPr>
      <w:r w:rsidRPr="006321F5">
        <w:rPr>
          <w:rFonts w:ascii="Verdana" w:eastAsia="Calibri" w:hAnsi="Verdana" w:cs="Arial"/>
          <w:b/>
          <w:lang w:eastAsia="es-ES_tradnl"/>
        </w:rPr>
        <w:t>Javier A</w:t>
      </w:r>
      <w:r>
        <w:rPr>
          <w:rFonts w:ascii="Verdana" w:eastAsia="Calibri" w:hAnsi="Verdana" w:cs="Arial"/>
          <w:b/>
          <w:lang w:eastAsia="es-ES_tradnl"/>
        </w:rPr>
        <w:t xml:space="preserve">rmando </w:t>
      </w:r>
      <w:r w:rsidR="00BB45A6">
        <w:rPr>
          <w:rFonts w:ascii="Verdana" w:eastAsia="Calibri" w:hAnsi="Verdana" w:cs="Arial"/>
          <w:b/>
          <w:lang w:eastAsia="es-ES_tradnl"/>
        </w:rPr>
        <w:t>Rodríguez</w:t>
      </w:r>
      <w:r>
        <w:rPr>
          <w:rFonts w:ascii="Verdana" w:eastAsia="Calibri" w:hAnsi="Verdana" w:cs="Arial"/>
          <w:b/>
          <w:lang w:eastAsia="es-ES_tradnl"/>
        </w:rPr>
        <w:t xml:space="preserve"> Coral</w:t>
      </w:r>
    </w:p>
    <w:p w14:paraId="39EDFAD8" w14:textId="77777777" w:rsidR="007E4A13" w:rsidRPr="006321F5" w:rsidRDefault="007E4A13" w:rsidP="007E4A13">
      <w:pPr>
        <w:spacing w:after="0" w:line="240" w:lineRule="auto"/>
        <w:rPr>
          <w:rFonts w:ascii="Verdana" w:eastAsia="Calibri" w:hAnsi="Verdana" w:cs="Arial"/>
          <w:color w:val="4472C4" w:themeColor="accent1"/>
          <w:u w:val="single"/>
          <w:lang w:eastAsia="es-ES"/>
        </w:rPr>
      </w:pPr>
      <w:hyperlink r:id="rId12" w:history="1">
        <w:r w:rsidRPr="00B10B44">
          <w:rPr>
            <w:rStyle w:val="Hipervnculo"/>
            <w:rFonts w:ascii="Verdana" w:eastAsia="Calibri" w:hAnsi="Verdana" w:cs="Arial"/>
            <w:lang w:eastAsia="es-ES"/>
          </w:rPr>
          <w:t>jarocic@gmail.com</w:t>
        </w:r>
      </w:hyperlink>
      <w:r>
        <w:rPr>
          <w:rFonts w:ascii="Verdana" w:eastAsia="Calibri" w:hAnsi="Verdana" w:cs="Arial"/>
          <w:lang w:eastAsia="es-ES"/>
        </w:rPr>
        <w:t xml:space="preserve">; </w:t>
      </w:r>
    </w:p>
    <w:p w14:paraId="79BCF433" w14:textId="77777777" w:rsidR="007E4A13" w:rsidRPr="006321F5" w:rsidRDefault="007E4A13" w:rsidP="007E4A13">
      <w:pPr>
        <w:spacing w:after="0" w:line="240" w:lineRule="auto"/>
        <w:rPr>
          <w:rFonts w:ascii="Verdana" w:eastAsia="Calibri" w:hAnsi="Verdana" w:cs="Arial"/>
          <w:b/>
          <w:bCs/>
          <w:lang w:val="it-IT" w:eastAsia="es-ES"/>
        </w:rPr>
      </w:pPr>
      <w:r>
        <w:rPr>
          <w:rFonts w:ascii="Verdana" w:eastAsia="Calibri" w:hAnsi="Verdana" w:cs="Arial"/>
          <w:lang w:val="it-IT" w:eastAsia="es-ES"/>
        </w:rPr>
        <w:t>Ciudad</w:t>
      </w:r>
    </w:p>
    <w:p w14:paraId="60F15085" w14:textId="77777777" w:rsidR="007E4A13" w:rsidRPr="006321F5" w:rsidRDefault="007E4A13" w:rsidP="007E4A13">
      <w:pPr>
        <w:spacing w:after="0" w:line="240" w:lineRule="auto"/>
        <w:rPr>
          <w:rFonts w:ascii="Verdana" w:eastAsia="Calibri" w:hAnsi="Verdana" w:cs="Arial"/>
          <w:b/>
          <w:bCs/>
          <w:color w:val="000000"/>
          <w:lang w:val="it-IT" w:eastAsia="es-ES_tradnl"/>
        </w:rPr>
      </w:pPr>
    </w:p>
    <w:p w14:paraId="24AAF23C" w14:textId="77777777" w:rsidR="007E4A13" w:rsidRPr="006321F5" w:rsidRDefault="007E4A13" w:rsidP="007E4A13">
      <w:pPr>
        <w:spacing w:after="0" w:line="240" w:lineRule="auto"/>
        <w:rPr>
          <w:rFonts w:ascii="Verdana" w:eastAsia="Calibri" w:hAnsi="Verdana" w:cs="Arial"/>
          <w:b/>
          <w:bCs/>
          <w:color w:val="000000"/>
          <w:lang w:val="it-IT"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7E4A13" w:rsidRPr="00593A5F" w14:paraId="0B17BAF3" w14:textId="77777777" w:rsidTr="00B427E1">
        <w:trPr>
          <w:trHeight w:val="884"/>
        </w:trPr>
        <w:tc>
          <w:tcPr>
            <w:tcW w:w="2689" w:type="dxa"/>
          </w:tcPr>
          <w:p w14:paraId="4D1B9B32" w14:textId="77777777" w:rsidR="007E4A13" w:rsidRPr="006321F5" w:rsidRDefault="007E4A13" w:rsidP="00B427E1">
            <w:pPr>
              <w:jc w:val="both"/>
              <w:rPr>
                <w:rFonts w:ascii="Verdana" w:eastAsia="Calibri" w:hAnsi="Verdana" w:cs="Arial"/>
                <w:b/>
                <w:bCs/>
                <w:color w:val="7030A0"/>
                <w:lang w:val="it-IT" w:eastAsia="es-ES_tradnl"/>
              </w:rPr>
            </w:pPr>
          </w:p>
        </w:tc>
        <w:tc>
          <w:tcPr>
            <w:tcW w:w="6100" w:type="dxa"/>
          </w:tcPr>
          <w:p w14:paraId="371DBE3B" w14:textId="77777777" w:rsidR="007E4A13" w:rsidRPr="0090418D" w:rsidRDefault="007E4A13" w:rsidP="00B427E1">
            <w:pPr>
              <w:jc w:val="both"/>
              <w:rPr>
                <w:rFonts w:ascii="Verdana" w:eastAsia="Calibri" w:hAnsi="Verdana" w:cs="Arial"/>
                <w:b/>
                <w:bCs/>
                <w:lang w:val="es-ES" w:eastAsia="es-ES"/>
              </w:rPr>
            </w:pPr>
            <w:r w:rsidRPr="0090418D">
              <w:rPr>
                <w:rFonts w:ascii="Verdana" w:eastAsia="Calibri" w:hAnsi="Verdana" w:cs="Arial"/>
                <w:b/>
                <w:bCs/>
                <w:lang w:val="es-ES" w:eastAsia="es-ES"/>
              </w:rPr>
              <w:t>Concepto C-</w:t>
            </w:r>
            <w:r>
              <w:rPr>
                <w:rFonts w:ascii="Verdana" w:eastAsia="Calibri" w:hAnsi="Verdana" w:cs="Arial"/>
                <w:b/>
                <w:bCs/>
                <w:lang w:val="es-ES" w:eastAsia="es-ES"/>
              </w:rPr>
              <w:t>449</w:t>
            </w:r>
            <w:r w:rsidRPr="0090418D">
              <w:rPr>
                <w:rFonts w:ascii="Verdana" w:eastAsia="Calibri" w:hAnsi="Verdana" w:cs="Arial"/>
                <w:b/>
                <w:bCs/>
                <w:lang w:val="es-ES" w:eastAsia="es-ES"/>
              </w:rPr>
              <w:t xml:space="preserve"> de 202</w:t>
            </w:r>
            <w:r>
              <w:rPr>
                <w:rFonts w:ascii="Verdana" w:eastAsia="Calibri" w:hAnsi="Verdana" w:cs="Arial"/>
                <w:b/>
                <w:bCs/>
                <w:lang w:val="es-ES" w:eastAsia="es-ES"/>
              </w:rPr>
              <w:t>6</w:t>
            </w:r>
          </w:p>
        </w:tc>
      </w:tr>
      <w:tr w:rsidR="007E4A13" w:rsidRPr="00593A5F" w14:paraId="400ED73A" w14:textId="77777777" w:rsidTr="00B427E1">
        <w:trPr>
          <w:trHeight w:val="884"/>
        </w:trPr>
        <w:tc>
          <w:tcPr>
            <w:tcW w:w="2689" w:type="dxa"/>
          </w:tcPr>
          <w:p w14:paraId="286BA3C4" w14:textId="77777777" w:rsidR="007E4A13" w:rsidRPr="00593A5F" w:rsidRDefault="007E4A13" w:rsidP="00B427E1">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4476657A" w14:textId="77777777" w:rsidR="007E4A13" w:rsidRPr="008F511A" w:rsidRDefault="007E4A13" w:rsidP="00B427E1">
            <w:pPr>
              <w:jc w:val="both"/>
              <w:rPr>
                <w:rFonts w:ascii="Verdana" w:eastAsia="Calibri" w:hAnsi="Verdana" w:cs="Arial"/>
                <w:lang w:val="es-ES" w:eastAsia="es-ES"/>
              </w:rPr>
            </w:pPr>
            <w:r w:rsidRPr="008F511A">
              <w:rPr>
                <w:rFonts w:ascii="Verdana" w:eastAsia="Calibri" w:hAnsi="Verdana" w:cs="Arial"/>
                <w:lang w:val="es-ES" w:eastAsia="es-ES"/>
              </w:rPr>
              <w:t>SUBSANABILIDAD – Aplicación – R</w:t>
            </w:r>
            <w:r w:rsidRPr="008F511A">
              <w:rPr>
                <w:rFonts w:ascii="Verdana" w:eastAsia="Calibri" w:hAnsi="Verdana"/>
                <w:lang w:val="es-ES" w:eastAsia="es-ES"/>
              </w:rPr>
              <w:t>egla general</w:t>
            </w:r>
            <w:r w:rsidRPr="008F511A">
              <w:rPr>
                <w:rFonts w:ascii="Verdana" w:eastAsia="Calibri" w:hAnsi="Verdana" w:cs="Arial"/>
                <w:lang w:val="es-ES" w:eastAsia="es-ES"/>
              </w:rPr>
              <w:t xml:space="preserve"> – Excepciones / SUBSANABILIDAD – Circunstancias posteriores – Cierre del proceso</w:t>
            </w:r>
            <w:r>
              <w:rPr>
                <w:rFonts w:ascii="Verdana" w:eastAsia="Calibri" w:hAnsi="Verdana" w:cs="Arial"/>
                <w:lang w:val="es-ES" w:eastAsia="es-ES"/>
              </w:rPr>
              <w:t xml:space="preserve"> </w:t>
            </w:r>
            <w:r w:rsidRPr="008F511A">
              <w:rPr>
                <w:rFonts w:ascii="Verdana" w:eastAsia="Calibri" w:hAnsi="Verdana" w:cs="Arial"/>
                <w:lang w:val="es-ES" w:eastAsia="es-ES"/>
              </w:rPr>
              <w:t>- Ley 1882 de 2018</w:t>
            </w:r>
          </w:p>
          <w:p w14:paraId="0D1FD9E8" w14:textId="77777777" w:rsidR="007E4A13" w:rsidRPr="00B96799" w:rsidRDefault="007E4A13" w:rsidP="00B427E1">
            <w:pPr>
              <w:spacing w:line="276" w:lineRule="auto"/>
              <w:jc w:val="both"/>
              <w:rPr>
                <w:rFonts w:ascii="Verdana" w:eastAsia="Calibri" w:hAnsi="Verdana" w:cs="Arial"/>
                <w:color w:val="7030A0"/>
                <w:lang w:val="es-ES" w:eastAsia="es-ES"/>
              </w:rPr>
            </w:pPr>
          </w:p>
          <w:p w14:paraId="19F751EE" w14:textId="77777777" w:rsidR="007E4A13" w:rsidRPr="00593A5F" w:rsidRDefault="007E4A13" w:rsidP="00B427E1">
            <w:pPr>
              <w:spacing w:line="276" w:lineRule="auto"/>
              <w:jc w:val="both"/>
              <w:rPr>
                <w:rFonts w:ascii="Verdana" w:eastAsia="Calibri" w:hAnsi="Verdana" w:cs="Arial"/>
                <w:lang w:val="es-ES" w:eastAsia="es-ES"/>
              </w:rPr>
            </w:pPr>
          </w:p>
        </w:tc>
      </w:tr>
      <w:tr w:rsidR="007E4A13" w:rsidRPr="0090418D" w14:paraId="45B6138B" w14:textId="77777777" w:rsidTr="00B427E1">
        <w:tc>
          <w:tcPr>
            <w:tcW w:w="2689" w:type="dxa"/>
          </w:tcPr>
          <w:p w14:paraId="146395A7" w14:textId="77777777" w:rsidR="007E4A13" w:rsidRPr="0090418D" w:rsidRDefault="007E4A13" w:rsidP="00B427E1">
            <w:pPr>
              <w:jc w:val="both"/>
              <w:rPr>
                <w:rFonts w:ascii="Verdana" w:eastAsia="Calibri" w:hAnsi="Verdana" w:cs="Arial"/>
                <w:b/>
                <w:lang w:val="es-ES_tradnl" w:eastAsia="es-ES_tradnl"/>
              </w:rPr>
            </w:pPr>
            <w:r w:rsidRPr="0090418D">
              <w:rPr>
                <w:rFonts w:ascii="Verdana" w:eastAsia="Calibri" w:hAnsi="Verdana" w:cs="Arial"/>
                <w:b/>
                <w:lang w:val="es-ES_tradnl" w:eastAsia="es-ES_tradnl"/>
              </w:rPr>
              <w:t>Radicación:</w:t>
            </w:r>
            <w:r w:rsidRPr="0090418D">
              <w:rPr>
                <w:rFonts w:ascii="Verdana" w:eastAsia="Calibri" w:hAnsi="Verdana" w:cs="Arial"/>
                <w:lang w:val="es-ES_tradnl" w:eastAsia="es-ES_tradnl"/>
              </w:rPr>
              <w:t xml:space="preserve">               </w:t>
            </w:r>
          </w:p>
        </w:tc>
        <w:tc>
          <w:tcPr>
            <w:tcW w:w="6100" w:type="dxa"/>
          </w:tcPr>
          <w:p w14:paraId="4B70E961" w14:textId="77777777" w:rsidR="007E4A13" w:rsidRPr="0090418D" w:rsidRDefault="007E4A13" w:rsidP="00B427E1">
            <w:pPr>
              <w:jc w:val="both"/>
              <w:rPr>
                <w:rFonts w:ascii="Verdana" w:eastAsia="Calibri" w:hAnsi="Verdana" w:cs="Arial"/>
                <w:lang w:val="es-ES_tradnl" w:eastAsia="es-ES_tradnl"/>
              </w:rPr>
            </w:pPr>
            <w:r w:rsidRPr="0090418D">
              <w:rPr>
                <w:rFonts w:ascii="Verdana" w:eastAsia="Calibri" w:hAnsi="Verdana" w:cs="Arial"/>
                <w:lang w:val="es-ES_tradnl" w:eastAsia="es-ES_tradnl"/>
              </w:rPr>
              <w:t xml:space="preserve">Respuesta a consulta con radicado No. </w:t>
            </w:r>
            <w:r w:rsidRPr="006321F5">
              <w:rPr>
                <w:rFonts w:ascii="Verdana" w:eastAsia="Calibri" w:hAnsi="Verdana" w:cs="Arial"/>
                <w:lang w:val="es-ES_tradnl" w:eastAsia="es-ES_tradnl"/>
              </w:rPr>
              <w:t>1_2026_03_18_003792</w:t>
            </w:r>
          </w:p>
        </w:tc>
      </w:tr>
    </w:tbl>
    <w:p w14:paraId="75188526" w14:textId="77777777" w:rsidR="007E4A13" w:rsidRPr="0090418D" w:rsidRDefault="007E4A13" w:rsidP="007E4A13">
      <w:pPr>
        <w:spacing w:after="0" w:line="240" w:lineRule="auto"/>
        <w:jc w:val="both"/>
        <w:rPr>
          <w:rFonts w:ascii="Verdana" w:eastAsia="Calibri" w:hAnsi="Verdana" w:cs="Arial"/>
          <w:lang w:val="es-ES_tradnl" w:eastAsia="es-ES_tradnl"/>
        </w:rPr>
      </w:pPr>
    </w:p>
    <w:p w14:paraId="48B8F1D9" w14:textId="77777777" w:rsidR="007E4A13" w:rsidRPr="0090418D" w:rsidRDefault="007E4A13" w:rsidP="007E4A13">
      <w:pPr>
        <w:spacing w:after="0" w:line="240" w:lineRule="auto"/>
        <w:jc w:val="both"/>
        <w:rPr>
          <w:rFonts w:ascii="Verdana" w:eastAsia="Calibri" w:hAnsi="Verdana" w:cs="Arial"/>
          <w:lang w:val="es-ES_tradnl" w:eastAsia="es-ES_tradnl"/>
        </w:rPr>
      </w:pPr>
    </w:p>
    <w:p w14:paraId="7A22F329" w14:textId="77777777" w:rsidR="007E4A13" w:rsidRPr="0090418D" w:rsidRDefault="007E4A13" w:rsidP="007E4A13">
      <w:pPr>
        <w:spacing w:after="0" w:line="276" w:lineRule="auto"/>
        <w:jc w:val="both"/>
        <w:rPr>
          <w:rFonts w:ascii="Verdana" w:eastAsia="Calibri" w:hAnsi="Verdana" w:cs="Arial"/>
          <w:lang w:val="es-ES" w:eastAsia="es-ES"/>
        </w:rPr>
      </w:pPr>
      <w:r w:rsidRPr="0090418D">
        <w:rPr>
          <w:rFonts w:ascii="Verdana" w:eastAsia="Calibri" w:hAnsi="Verdana" w:cs="Arial"/>
          <w:lang w:val="es-ES" w:eastAsia="es-ES"/>
        </w:rPr>
        <w:t>Estimad</w:t>
      </w:r>
      <w:r>
        <w:rPr>
          <w:rFonts w:ascii="Verdana" w:eastAsia="Calibri" w:hAnsi="Verdana" w:cs="Arial"/>
          <w:lang w:val="es-ES" w:eastAsia="es-ES"/>
        </w:rPr>
        <w:t>o</w:t>
      </w:r>
      <w:r w:rsidRPr="0090418D">
        <w:rPr>
          <w:rFonts w:ascii="Verdana" w:eastAsia="Calibri" w:hAnsi="Verdana" w:cs="Arial"/>
          <w:lang w:val="es-ES" w:eastAsia="es-ES"/>
        </w:rPr>
        <w:t xml:space="preserve"> señor </w:t>
      </w:r>
      <w:r>
        <w:rPr>
          <w:rFonts w:ascii="Verdana" w:eastAsia="Calibri" w:hAnsi="Verdana" w:cs="Arial"/>
          <w:lang w:val="es-ES" w:eastAsia="es-ES"/>
        </w:rPr>
        <w:t>Rodríguez Coral</w:t>
      </w:r>
      <w:r w:rsidRPr="0090418D">
        <w:rPr>
          <w:rFonts w:ascii="Verdana" w:eastAsia="Calibri" w:hAnsi="Verdana" w:cs="Arial"/>
          <w:lang w:val="es-ES" w:eastAsia="es-ES"/>
        </w:rPr>
        <w:t xml:space="preserve">: </w:t>
      </w:r>
    </w:p>
    <w:p w14:paraId="29D76A3A" w14:textId="77777777" w:rsidR="007E4A13" w:rsidRDefault="007E4A13" w:rsidP="007E4A13">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4812F023" w14:textId="77777777" w:rsidR="007E4A13" w:rsidRPr="00D22CA8" w:rsidRDefault="007E4A13" w:rsidP="007E4A13">
      <w:pPr>
        <w:spacing w:after="0" w:line="276" w:lineRule="auto"/>
        <w:jc w:val="both"/>
        <w:rPr>
          <w:rFonts w:ascii="Verdana" w:eastAsia="Calibri" w:hAnsi="Verdana" w:cs="Arial"/>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la </w:t>
      </w:r>
      <w:r w:rsidRPr="000F2158">
        <w:rPr>
          <w:rFonts w:ascii="Verdana" w:eastAsia="Calibri" w:hAnsi="Verdana" w:cs="Arial"/>
          <w:lang w:eastAsia="es-ES"/>
        </w:rPr>
        <w:t xml:space="preserve">Resolución </w:t>
      </w:r>
      <w:r>
        <w:rPr>
          <w:rFonts w:ascii="Verdana" w:eastAsia="Calibri" w:hAnsi="Verdana" w:cs="Arial"/>
          <w:lang w:eastAsia="es-ES"/>
        </w:rPr>
        <w:t>469 de 2025</w:t>
      </w:r>
      <w:r w:rsidRPr="000F2158">
        <w:rPr>
          <w:rFonts w:ascii="Verdana" w:eastAsia="Calibri" w:hAnsi="Verdana" w:cs="Arial"/>
          <w:lang w:eastAsia="es-ES"/>
        </w:rPr>
        <w:t xml:space="preserve"> </w:t>
      </w:r>
      <w:r w:rsidRPr="00D22CA8">
        <w:rPr>
          <w:rFonts w:ascii="Verdana" w:hAnsi="Verdana" w:cs="Arial"/>
        </w:rPr>
        <w:t xml:space="preserve">expedida por esta Entidad, </w:t>
      </w:r>
      <w:r w:rsidRPr="00D22CA8">
        <w:rPr>
          <w:rFonts w:ascii="Verdana" w:eastAsia="Calibri" w:hAnsi="Verdana" w:cs="Arial"/>
          <w:lang w:val="es-ES" w:eastAsia="es-ES"/>
        </w:rPr>
        <w:t xml:space="preserve">la Agencia Nacional de Contratación Pública – Colombia Compra Eficiente– responde su solicitud de consulta de fecha </w:t>
      </w:r>
      <w:r>
        <w:rPr>
          <w:rFonts w:ascii="Verdana" w:eastAsia="Calibri" w:hAnsi="Verdana" w:cs="Arial"/>
          <w:lang w:val="es-ES" w:eastAsia="es-ES"/>
        </w:rPr>
        <w:t>18</w:t>
      </w:r>
      <w:r w:rsidRPr="00D22CA8">
        <w:rPr>
          <w:rFonts w:ascii="Verdana" w:eastAsia="Calibri" w:hAnsi="Verdana" w:cs="Arial"/>
          <w:lang w:val="es-ES" w:eastAsia="es-ES"/>
        </w:rPr>
        <w:t xml:space="preserve"> de </w:t>
      </w:r>
      <w:r>
        <w:rPr>
          <w:rFonts w:ascii="Verdana" w:eastAsia="Calibri" w:hAnsi="Verdana" w:cs="Arial"/>
          <w:lang w:val="es-ES" w:eastAsia="es-ES"/>
        </w:rPr>
        <w:t>marzo</w:t>
      </w:r>
      <w:r w:rsidRPr="00D22CA8">
        <w:rPr>
          <w:rFonts w:ascii="Verdana" w:eastAsia="Calibri" w:hAnsi="Verdana" w:cs="Arial"/>
          <w:lang w:val="es-ES" w:eastAsia="es-ES"/>
        </w:rPr>
        <w:t xml:space="preserve"> de 202</w:t>
      </w:r>
      <w:r>
        <w:rPr>
          <w:rFonts w:ascii="Verdana" w:eastAsia="Calibri" w:hAnsi="Verdana" w:cs="Arial"/>
          <w:lang w:val="es-ES" w:eastAsia="es-ES"/>
        </w:rPr>
        <w:t>6</w:t>
      </w:r>
      <w:r w:rsidRPr="00D22CA8">
        <w:rPr>
          <w:rFonts w:ascii="Verdana" w:eastAsia="Calibri" w:hAnsi="Verdana" w:cs="Arial"/>
          <w:lang w:val="es-ES" w:eastAsia="es-ES"/>
        </w:rPr>
        <w:t xml:space="preserve">, en la cual manifiesta lo siguiente: </w:t>
      </w:r>
    </w:p>
    <w:p w14:paraId="199349FB" w14:textId="77777777" w:rsidR="007E4A13" w:rsidRPr="00D30FBC" w:rsidRDefault="007E4A13" w:rsidP="007E4A13">
      <w:pPr>
        <w:pStyle w:val="Prrafodelista"/>
        <w:tabs>
          <w:tab w:val="left" w:pos="142"/>
          <w:tab w:val="left" w:pos="284"/>
        </w:tabs>
        <w:spacing w:line="276" w:lineRule="auto"/>
        <w:ind w:left="0"/>
        <w:jc w:val="both"/>
        <w:rPr>
          <w:rFonts w:ascii="Verdana" w:eastAsia="Century Gothic" w:hAnsi="Verdana" w:cs="Century Gothic"/>
          <w:b/>
          <w:bCs/>
        </w:rPr>
      </w:pPr>
    </w:p>
    <w:p w14:paraId="4289DECD" w14:textId="77777777" w:rsidR="007E4A13" w:rsidRPr="006321F5" w:rsidRDefault="007E4A13" w:rsidP="007E4A13">
      <w:pPr>
        <w:spacing w:after="0" w:line="240" w:lineRule="auto"/>
        <w:ind w:left="709" w:right="709"/>
        <w:jc w:val="both"/>
        <w:rPr>
          <w:rFonts w:ascii="Verdana" w:hAnsi="Verdana" w:cs="Arial"/>
          <w:i/>
          <w:iCs/>
          <w:sz w:val="20"/>
          <w:szCs w:val="20"/>
          <w:shd w:val="clear" w:color="auto" w:fill="FFFFFF"/>
        </w:rPr>
      </w:pPr>
      <w:bookmarkStart w:id="0" w:name="_Hlk95313578"/>
      <w:r w:rsidRPr="006321F5">
        <w:rPr>
          <w:rFonts w:ascii="Verdana" w:eastAsia="Century Gothic" w:hAnsi="Verdana" w:cs="Century Gothic"/>
          <w:i/>
          <w:iCs/>
          <w:sz w:val="20"/>
          <w:szCs w:val="20"/>
          <w:lang w:val="es-ES"/>
        </w:rPr>
        <w:t>“</w:t>
      </w:r>
      <w:r w:rsidRPr="006321F5">
        <w:rPr>
          <w:rFonts w:ascii="Verdana" w:hAnsi="Verdana" w:cs="Arial"/>
          <w:i/>
          <w:iCs/>
          <w:sz w:val="20"/>
          <w:szCs w:val="20"/>
          <w:shd w:val="clear" w:color="auto" w:fill="FFFFFF"/>
        </w:rPr>
        <w:t>1.- Para el caso de la documentación que es subsanable en los procesos de selección pública, me quiero referir específicamente al certificado REDAM (Registro de deudores alimentarios morosos), y certificado de antecedentes y vigencia de contador público, si no se presentan con la oferta, y durante la etapa de traslado y observaciones se allegan a la entidad, la fecha de expedición de los mismo debe ser hasta o anterior a la fecha de cierre del proceso?, o es válido que los mismos se presenten con fecha de expedición posterior a la publicación del informe preliminar de información?.</w:t>
      </w:r>
    </w:p>
    <w:p w14:paraId="3E35364A" w14:textId="77777777" w:rsidR="007E4A13" w:rsidRPr="006321F5" w:rsidRDefault="007E4A13" w:rsidP="007E4A13">
      <w:pPr>
        <w:spacing w:after="0" w:line="240" w:lineRule="auto"/>
        <w:ind w:left="709" w:right="709"/>
        <w:jc w:val="both"/>
        <w:rPr>
          <w:rFonts w:ascii="Verdana" w:hAnsi="Verdana" w:cs="Arial"/>
          <w:i/>
          <w:iCs/>
          <w:sz w:val="20"/>
          <w:szCs w:val="20"/>
          <w:shd w:val="clear" w:color="auto" w:fill="FFFFFF"/>
        </w:rPr>
      </w:pPr>
    </w:p>
    <w:p w14:paraId="1A708A3B" w14:textId="77777777" w:rsidR="007E4A13" w:rsidRPr="006321F5" w:rsidRDefault="007E4A13" w:rsidP="007E4A13">
      <w:pPr>
        <w:spacing w:after="0" w:line="240" w:lineRule="auto"/>
        <w:ind w:left="709" w:right="709"/>
        <w:jc w:val="both"/>
        <w:rPr>
          <w:rFonts w:ascii="Verdana" w:hAnsi="Verdana" w:cs="Arial"/>
          <w:i/>
          <w:iCs/>
          <w:sz w:val="20"/>
          <w:szCs w:val="20"/>
          <w:shd w:val="clear" w:color="auto" w:fill="FFFFFF"/>
        </w:rPr>
      </w:pPr>
      <w:r w:rsidRPr="006321F5">
        <w:rPr>
          <w:rFonts w:ascii="Verdana" w:hAnsi="Verdana" w:cs="Arial"/>
          <w:i/>
          <w:iCs/>
          <w:sz w:val="20"/>
          <w:szCs w:val="20"/>
          <w:shd w:val="clear" w:color="auto" w:fill="FFFFFF"/>
        </w:rPr>
        <w:lastRenderedPageBreak/>
        <w:t xml:space="preserve">2.- Si la carta de presentación de la oferta NO se diligencia en forma completa conforme al anexo del formato modelo de los documentos tipo, concretamente, sin diligenciar si cotiza en la bolsa, y si pertenece a grupo empresarial, este requisito es subsanable?” </w:t>
      </w:r>
      <w:r w:rsidRPr="006321F5">
        <w:rPr>
          <w:rStyle w:val="normaltextrun"/>
          <w:rFonts w:ascii="Verdana" w:hAnsi="Verdana" w:cs="Arial"/>
          <w:i/>
          <w:iCs/>
          <w:sz w:val="20"/>
          <w:szCs w:val="20"/>
          <w:shd w:val="clear" w:color="auto" w:fill="FFFFFF"/>
          <w:lang w:val="es-ES"/>
        </w:rPr>
        <w:t>[…]</w:t>
      </w:r>
      <w:r w:rsidRPr="006321F5">
        <w:rPr>
          <w:rFonts w:ascii="Verdana" w:eastAsia="Century Gothic" w:hAnsi="Verdana" w:cs="Century Gothic"/>
          <w:i/>
          <w:iCs/>
          <w:sz w:val="20"/>
          <w:szCs w:val="20"/>
          <w:lang w:val="es-ES"/>
        </w:rPr>
        <w:t>”</w:t>
      </w:r>
      <w:bookmarkEnd w:id="0"/>
      <w:r w:rsidRPr="006321F5">
        <w:rPr>
          <w:rFonts w:ascii="Verdana" w:eastAsia="Century Gothic" w:hAnsi="Verdana" w:cs="Century Gothic"/>
          <w:i/>
          <w:iCs/>
          <w:sz w:val="20"/>
          <w:szCs w:val="20"/>
          <w:lang w:val="es-ES"/>
        </w:rPr>
        <w:t>.</w:t>
      </w:r>
    </w:p>
    <w:p w14:paraId="6A73A8A3" w14:textId="77777777" w:rsidR="007E4A13" w:rsidRPr="00593A5F" w:rsidRDefault="007E4A13" w:rsidP="007E4A13">
      <w:pPr>
        <w:pStyle w:val="Prrafodelista"/>
        <w:tabs>
          <w:tab w:val="left" w:pos="142"/>
          <w:tab w:val="left" w:pos="284"/>
        </w:tabs>
        <w:spacing w:line="276" w:lineRule="auto"/>
        <w:ind w:left="0"/>
        <w:jc w:val="both"/>
        <w:rPr>
          <w:rFonts w:ascii="Verdana" w:eastAsia="Century Gothic" w:hAnsi="Verdana" w:cs="Century Gothic"/>
          <w:b/>
          <w:bCs/>
        </w:rPr>
      </w:pPr>
    </w:p>
    <w:p w14:paraId="72195FAF" w14:textId="77777777" w:rsidR="007E4A13" w:rsidRDefault="007E4A13" w:rsidP="007E4A13">
      <w:pPr>
        <w:spacing w:after="120" w:line="276" w:lineRule="auto"/>
        <w:ind w:firstLine="709"/>
        <w:jc w:val="both"/>
        <w:rPr>
          <w:rFonts w:ascii="Verdana" w:eastAsia="Calibri" w:hAnsi="Verdana" w:cs="Arial"/>
          <w:color w:val="000000"/>
          <w:szCs w:val="24"/>
          <w:lang w:val="es-ES_tradnl" w:eastAsia="es-ES_tradnl"/>
        </w:rPr>
      </w:pPr>
      <w:r w:rsidRPr="00593A5F">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5278C10C" w14:textId="77777777" w:rsidR="007E4A13" w:rsidRDefault="007E4A13" w:rsidP="007E4A13">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en su petición, pero haciendo unas consideraciones sobre las normas generales relacionadas con </w:t>
      </w:r>
      <w:r>
        <w:rPr>
          <w:rFonts w:ascii="Verdana" w:eastAsia="Calibri" w:hAnsi="Verdana" w:cs="Arial"/>
          <w:color w:val="000000"/>
          <w:lang w:val="es-ES" w:eastAsia="es-ES"/>
        </w:rPr>
        <w:t>el 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 </w:t>
      </w:r>
    </w:p>
    <w:p w14:paraId="7D92C897" w14:textId="77777777" w:rsidR="007E4A13" w:rsidRPr="00593A5F" w:rsidRDefault="007E4A13" w:rsidP="007E4A13">
      <w:pPr>
        <w:spacing w:after="0" w:line="276" w:lineRule="auto"/>
        <w:ind w:firstLine="709"/>
        <w:jc w:val="both"/>
        <w:rPr>
          <w:rFonts w:ascii="Verdana" w:eastAsia="Calibri" w:hAnsi="Verdana" w:cs="Arial"/>
          <w:color w:val="000000"/>
          <w:lang w:val="es-ES" w:eastAsia="es-ES"/>
        </w:rPr>
      </w:pPr>
    </w:p>
    <w:p w14:paraId="032643E4" w14:textId="77777777" w:rsidR="007E4A13" w:rsidRPr="00593A5F" w:rsidRDefault="007E4A13" w:rsidP="007E4A13">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6E073F31" w14:textId="77777777" w:rsidR="007E4A13" w:rsidRPr="00593A5F" w:rsidRDefault="007E4A13" w:rsidP="007E4A13">
      <w:pPr>
        <w:tabs>
          <w:tab w:val="left" w:pos="426"/>
        </w:tabs>
        <w:spacing w:after="0" w:line="276" w:lineRule="auto"/>
        <w:jc w:val="both"/>
        <w:rPr>
          <w:rFonts w:ascii="Verdana" w:eastAsia="Century Gothic" w:hAnsi="Verdana" w:cs="Century Gothic"/>
          <w:lang w:val="es-ES"/>
        </w:rPr>
      </w:pPr>
    </w:p>
    <w:p w14:paraId="271031F1" w14:textId="77777777" w:rsidR="007E4A13" w:rsidRPr="00593A5F" w:rsidRDefault="007E4A13" w:rsidP="007E4A13">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w:t>
      </w:r>
      <w:r w:rsidRPr="008E2B01">
        <w:rPr>
          <w:rFonts w:ascii="Verdana" w:eastAsia="Century Gothic" w:hAnsi="Verdana" w:cs="Century Gothic"/>
        </w:rPr>
        <w:t>contenido de su solicitud, esta Agencia resolverá el siguiente problema jurídico: ¿Es posible subsanar en un proceso de selección, el certificado de Registro de Deudores Alimentarios Morosos –REDAM</w:t>
      </w:r>
      <w:r>
        <w:rPr>
          <w:rFonts w:ascii="Verdana" w:eastAsia="Century Gothic" w:hAnsi="Verdana" w:cs="Century Gothic"/>
        </w:rPr>
        <w:t>- y cualquier otro documento habilitante,</w:t>
      </w:r>
      <w:r w:rsidRPr="008E2B01">
        <w:rPr>
          <w:rFonts w:ascii="Verdana" w:eastAsia="Century Gothic" w:hAnsi="Verdana" w:cs="Century Gothic"/>
        </w:rPr>
        <w:t xml:space="preserve"> expedido con fecha posterior al cierre del proceso</w:t>
      </w:r>
      <w:r>
        <w:rPr>
          <w:rFonts w:ascii="Verdana" w:eastAsia="Century Gothic" w:hAnsi="Verdana" w:cs="Century Gothic"/>
        </w:rPr>
        <w:t xml:space="preserve"> o si hubo errores formales en su diligenciamiento</w:t>
      </w:r>
      <w:r w:rsidRPr="008E2B01">
        <w:rPr>
          <w:rFonts w:ascii="Verdana" w:eastAsia="Century Gothic" w:hAnsi="Verdana" w:cs="Century Gothic"/>
        </w:rPr>
        <w:t xml:space="preserve">? </w:t>
      </w:r>
    </w:p>
    <w:p w14:paraId="3358ADC3" w14:textId="77777777" w:rsidR="007E4A13" w:rsidRPr="00207715" w:rsidRDefault="007E4A13" w:rsidP="007E4A13">
      <w:pPr>
        <w:spacing w:after="0" w:line="276" w:lineRule="auto"/>
        <w:jc w:val="both"/>
        <w:rPr>
          <w:rFonts w:ascii="Verdana" w:eastAsia="Calibri" w:hAnsi="Verdana" w:cs="Arial"/>
          <w:color w:val="7030A0"/>
        </w:rPr>
      </w:pPr>
    </w:p>
    <w:p w14:paraId="6C0EE90E" w14:textId="77777777" w:rsidR="007E4A13" w:rsidRPr="00593A5F" w:rsidRDefault="007E4A13" w:rsidP="007E4A1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130FA86A" w14:textId="77777777" w:rsidR="007E4A13" w:rsidRPr="00593A5F" w:rsidRDefault="007E4A13" w:rsidP="007E4A13">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E4A13" w:rsidRPr="00593A5F" w14:paraId="0C25D348" w14:textId="77777777" w:rsidTr="00B427E1">
        <w:tc>
          <w:tcPr>
            <w:tcW w:w="8828" w:type="dxa"/>
          </w:tcPr>
          <w:p w14:paraId="5ABC9464" w14:textId="77777777" w:rsidR="007E4A13" w:rsidRPr="001A10D9" w:rsidRDefault="007E4A13" w:rsidP="00B427E1">
            <w:pPr>
              <w:spacing w:after="120" w:line="276" w:lineRule="auto"/>
              <w:jc w:val="both"/>
              <w:rPr>
                <w:rFonts w:ascii="Verdana" w:eastAsia="Times New Roman" w:hAnsi="Verdana" w:cs="Arial"/>
                <w:i/>
                <w:lang w:val="es-ES" w:eastAsia="es-ES"/>
              </w:rPr>
            </w:pPr>
            <w:r w:rsidRPr="001A10D9">
              <w:rPr>
                <w:rFonts w:ascii="Verdana" w:eastAsia="Calibri" w:hAnsi="Verdana" w:cs="Arial"/>
              </w:rPr>
              <w:t xml:space="preserve">La regla de subsanabilidad prevista en el artículo 5 de la Ley 1150 de 2007 es un mecanismo </w:t>
            </w:r>
            <w:r>
              <w:rPr>
                <w:rFonts w:ascii="Verdana" w:eastAsia="Calibri" w:hAnsi="Verdana" w:cs="Arial"/>
              </w:rPr>
              <w:t>para</w:t>
            </w:r>
            <w:r w:rsidRPr="001A10D9">
              <w:rPr>
                <w:rFonts w:ascii="Verdana" w:eastAsia="Calibri" w:hAnsi="Verdana" w:cs="Arial"/>
              </w:rPr>
              <w:t xml:space="preserve"> los procesos de contratación estatal que se regulan por el EGCAP, según la cual los proponentes</w:t>
            </w:r>
            <w:r>
              <w:rPr>
                <w:rFonts w:ascii="Verdana" w:eastAsia="Calibri" w:hAnsi="Verdana" w:cs="Arial"/>
              </w:rPr>
              <w:t xml:space="preserve"> </w:t>
            </w:r>
            <w:r w:rsidRPr="001A10D9">
              <w:rPr>
                <w:rFonts w:ascii="Verdana" w:eastAsia="Calibri" w:hAnsi="Verdana" w:cs="Arial"/>
              </w:rPr>
              <w:t xml:space="preserve">pueden enmendar, corregir o modificar </w:t>
            </w:r>
            <w:r w:rsidRPr="001A10D9">
              <w:rPr>
                <w:rFonts w:ascii="Verdana" w:eastAsia="Calibri" w:hAnsi="Verdana" w:cs="Arial"/>
              </w:rPr>
              <w:lastRenderedPageBreak/>
              <w:t>los errores en los que se incurre en los documentos contentivos de la oferta</w:t>
            </w:r>
            <w:r>
              <w:rPr>
                <w:rFonts w:ascii="Verdana" w:hAnsi="Verdana" w:cs="Arial"/>
                <w:noProof/>
                <w:lang w:val="es-ES_tradnl"/>
              </w:rPr>
              <w:t xml:space="preserve"> </w:t>
            </w:r>
            <w:r w:rsidRPr="001A10D9">
              <w:rPr>
                <w:rFonts w:ascii="Verdana" w:hAnsi="Verdana" w:cs="Arial"/>
                <w:noProof/>
                <w:lang w:val="es-ES_tradnl"/>
              </w:rPr>
              <w:t>que no sean necesarios para la comparación de las ofertas</w:t>
            </w:r>
            <w:r>
              <w:rPr>
                <w:rFonts w:ascii="Verdana" w:hAnsi="Verdana" w:cs="Arial"/>
                <w:noProof/>
                <w:lang w:val="es-ES_tradnl"/>
              </w:rPr>
              <w:t>,</w:t>
            </w:r>
            <w:r w:rsidRPr="001A10D9">
              <w:rPr>
                <w:rFonts w:ascii="Verdana" w:hAnsi="Verdana" w:cs="Arial"/>
                <w:noProof/>
                <w:lang w:val="es-ES_tradnl"/>
              </w:rPr>
              <w:t xml:space="preserve"> y todo lo que no sea necesario para la comparación de propuestas no es título suficiente para su rechazo. </w:t>
            </w:r>
          </w:p>
          <w:p w14:paraId="0F95AEC7" w14:textId="77777777" w:rsidR="007E4A13" w:rsidRPr="001A10D9" w:rsidRDefault="007E4A13" w:rsidP="00B427E1">
            <w:pPr>
              <w:spacing w:after="120" w:line="276" w:lineRule="auto"/>
              <w:ind w:firstLine="709"/>
              <w:jc w:val="both"/>
              <w:rPr>
                <w:rFonts w:ascii="Verdana" w:eastAsia="Times New Roman" w:hAnsi="Verdana" w:cs="Arial"/>
                <w:lang w:val="es-ES_tradnl" w:eastAsia="es-ES_tradnl"/>
              </w:rPr>
            </w:pPr>
            <w:r w:rsidRPr="001A10D9">
              <w:rPr>
                <w:rFonts w:ascii="Verdana" w:eastAsia="Times New Roman" w:hAnsi="Verdana" w:cs="Arial"/>
                <w:lang w:val="es-ES_tradnl" w:eastAsia="es-ES_tradnl"/>
              </w:rPr>
              <w:t xml:space="preserve">De conformidad con el artículo 5 de la Ley 1882 de 2018, lo subsanable es la prueba de todas las circunstancias ocurridas antes del vencimiento del término para presentar las ofertas, ello es lo que implica la prohibición de acreditar circunstancias ocurridas con posterioridad al “cierre del proceso”. Lo anterior evita, por ejemplo, que se presenten oferentes que no cumplían con los requisitos para participar al momento de presentar las ofertas, y pretendan cumplirlos durante el proceso de selección o, inclusive, que se puedan variar condiciones de la oferta una vez presentada. </w:t>
            </w:r>
          </w:p>
          <w:p w14:paraId="7C5EB1BA" w14:textId="77777777" w:rsidR="007E4A13" w:rsidRPr="001A10D9" w:rsidRDefault="007E4A13" w:rsidP="00B427E1">
            <w:pPr>
              <w:spacing w:after="120" w:line="276" w:lineRule="auto"/>
              <w:ind w:firstLine="709"/>
              <w:jc w:val="both"/>
              <w:rPr>
                <w:rFonts w:ascii="Verdana" w:eastAsia="Times New Roman" w:hAnsi="Verdana" w:cs="Arial"/>
                <w:lang w:val="es-ES" w:eastAsia="es-ES"/>
              </w:rPr>
            </w:pPr>
            <w:r w:rsidRPr="001A10D9">
              <w:rPr>
                <w:rFonts w:ascii="Verdana" w:eastAsia="Times New Roman" w:hAnsi="Verdana" w:cs="Arial"/>
                <w:lang w:val="es-ES" w:eastAsia="es-ES"/>
              </w:rPr>
              <w:t>Visto lo anterior, con miras a dar respuesta al problema jurídico planteado, debe decirse que, una vez verificada la ausencia de requisitos y/o documentos de la oferta, para efectos de saber si se pueden subsanar, la Administración se debe preguntar: en primer lugar, si lo que hace falta es un documento que afecte la asignación de puntaje o no y; en segundo lugar, si el cumplimiento del requisito constituye una circunstancia ocurrida con anterioridad o con posterioridad al cierre del proceso. Para arribar a la conclusión de que lo omitido puede subsanarse, la respuesta al primer interrogante debe ser negativa, es decir, que lo omitido no sea un factor que afecte la asignación de puntaje y la respuesta al segundo interrogante debe dar cuenta de que lo omitido sea la prueba de una circunstancia o hecho que ocurrió con anterioridad al cierre del proceso.</w:t>
            </w:r>
          </w:p>
          <w:p w14:paraId="57D51791" w14:textId="77777777" w:rsidR="007E4A13" w:rsidRPr="00BD77FD" w:rsidRDefault="007E4A13" w:rsidP="00B427E1">
            <w:pPr>
              <w:spacing w:after="120" w:line="276" w:lineRule="auto"/>
              <w:ind w:firstLine="709"/>
              <w:jc w:val="both"/>
              <w:rPr>
                <w:rFonts w:ascii="Verdana" w:hAnsi="Verdana" w:cs="Arial"/>
                <w:noProof/>
                <w:lang w:val="es-ES_tradnl"/>
              </w:rPr>
            </w:pPr>
            <w:r w:rsidRPr="001A10D9">
              <w:rPr>
                <w:rFonts w:ascii="Verdana" w:hAnsi="Verdana" w:cs="Arial"/>
                <w:noProof/>
                <w:lang w:val="es-ES_tradnl"/>
              </w:rPr>
              <w:t xml:space="preserve">No obstante, a la luz del artículo 5 de la Ley 1882 de 2018, lo subsanable es la prueba de todas las circunstancias ocurridas antes del vencimiento del término para presentar las ofertas, pues una cosa es el requisito habilitante o el elemento de la propuesta y otra su prueba. De tal modo que lo que prohíbe la norma es que se subsanen requisitos que no estaban materialmente cumplidos al momento de presentación de la oferta, o en palabras de la ley, que se acrediten hechos que ocurrieron después del cierre del proceso, por lo </w:t>
            </w:r>
            <w:r w:rsidRPr="00BD77FD">
              <w:rPr>
                <w:rFonts w:ascii="Verdana" w:hAnsi="Verdana" w:cs="Arial"/>
                <w:noProof/>
                <w:lang w:val="es-ES_tradnl"/>
              </w:rPr>
              <w:t>que dicha limitación a la regla de subsanabilidad también deberá ser tenida en cuenta.</w:t>
            </w:r>
          </w:p>
          <w:p w14:paraId="24F5FE34" w14:textId="77777777" w:rsidR="007E4A13" w:rsidRPr="00593A5F" w:rsidRDefault="007E4A13" w:rsidP="00B427E1">
            <w:pPr>
              <w:spacing w:after="120" w:line="276" w:lineRule="auto"/>
              <w:ind w:firstLine="709"/>
              <w:jc w:val="both"/>
              <w:rPr>
                <w:rFonts w:ascii="Verdana" w:eastAsia="Calibri" w:hAnsi="Verdana" w:cs="Arial"/>
                <w:color w:val="7030A0"/>
                <w:lang w:val="es-ES"/>
              </w:rPr>
            </w:pPr>
            <w:r>
              <w:rPr>
                <w:rFonts w:ascii="Verdana" w:hAnsi="Verdana" w:cs="Arial"/>
                <w:lang w:val="es-ES_tradnl"/>
              </w:rPr>
              <w:t>Indicado lo anterior</w:t>
            </w:r>
            <w:r w:rsidRPr="00BD77FD">
              <w:rPr>
                <w:rFonts w:ascii="Verdana" w:eastAsia="Calibri" w:hAnsi="Verdana" w:cs="Arial"/>
                <w:lang w:val="es-ES"/>
              </w:rPr>
              <w:t>,</w:t>
            </w:r>
            <w:r>
              <w:rPr>
                <w:rFonts w:ascii="Verdana" w:eastAsia="Calibri" w:hAnsi="Verdana" w:cs="Arial"/>
                <w:lang w:val="es-ES"/>
              </w:rPr>
              <w:t xml:space="preserve"> a juicio de esta Agencia, </w:t>
            </w:r>
            <w:r w:rsidRPr="00BD77FD">
              <w:rPr>
                <w:rFonts w:ascii="Verdana" w:eastAsia="Calibri" w:hAnsi="Verdana" w:cs="Arial"/>
                <w:lang w:val="es-ES"/>
              </w:rPr>
              <w:t xml:space="preserve"> es posible subsanar el </w:t>
            </w:r>
            <w:r w:rsidRPr="00BD77FD">
              <w:rPr>
                <w:rFonts w:ascii="Verdana" w:eastAsia="Calibri" w:hAnsi="Verdana" w:cs="Arial"/>
              </w:rPr>
              <w:t xml:space="preserve">certificado de Registro de Deudores Alimentarios Morosos – REDAM– en </w:t>
            </w:r>
            <w:r w:rsidRPr="00BD77FD">
              <w:rPr>
                <w:rFonts w:ascii="Verdana" w:eastAsia="Calibri" w:hAnsi="Verdana" w:cs="Arial"/>
              </w:rPr>
              <w:lastRenderedPageBreak/>
              <w:t xml:space="preserve">cualquier proceso de selección, ya que según lo establecido en la norma y explicado en el presente concepto, los requisitos y/o documentos de la oferta que no sean necesarios para la comparación de las ofertas y </w:t>
            </w:r>
            <w:r>
              <w:rPr>
                <w:rFonts w:ascii="Verdana" w:eastAsia="Calibri" w:hAnsi="Verdana" w:cs="Arial"/>
              </w:rPr>
              <w:t>a los cuales</w:t>
            </w:r>
            <w:r w:rsidRPr="00BD77FD">
              <w:rPr>
                <w:rFonts w:ascii="Verdana" w:eastAsia="Calibri" w:hAnsi="Verdana" w:cs="Arial"/>
              </w:rPr>
              <w:t xml:space="preserve"> no</w:t>
            </w:r>
            <w:r>
              <w:rPr>
                <w:rFonts w:ascii="Verdana" w:eastAsia="Calibri" w:hAnsi="Verdana" w:cs="Arial"/>
              </w:rPr>
              <w:t xml:space="preserve"> se le</w:t>
            </w:r>
            <w:r w:rsidRPr="00BD77FD">
              <w:rPr>
                <w:rFonts w:ascii="Verdana" w:eastAsia="Calibri" w:hAnsi="Verdana" w:cs="Arial"/>
              </w:rPr>
              <w:t xml:space="preserve"> asignen puntaje serán subsanables, esto, sin perjuicio de que la circunstancia a subsanar se acredite con ocurrencia previa al cierre del proceso, así su certificación o documento correspondiente tenga fecha posterior al cierre. Es decir, no es </w:t>
            </w:r>
            <w:r>
              <w:rPr>
                <w:rFonts w:ascii="Verdana" w:eastAsia="Calibri" w:hAnsi="Verdana" w:cs="Arial"/>
              </w:rPr>
              <w:t>el</w:t>
            </w:r>
            <w:r w:rsidRPr="00BD77FD">
              <w:rPr>
                <w:rFonts w:ascii="Verdana" w:eastAsia="Calibri" w:hAnsi="Verdana" w:cs="Arial"/>
              </w:rPr>
              <w:t xml:space="preserve"> documento o certificación </w:t>
            </w:r>
            <w:r w:rsidRPr="00BD77FD">
              <w:rPr>
                <w:rFonts w:ascii="Verdana" w:eastAsia="Calibri" w:hAnsi="Verdana" w:cs="Arial"/>
                <w:lang w:val="es-ES"/>
              </w:rPr>
              <w:t xml:space="preserve">lo que debe ser anterior al cierre del proceso, sino el hecho que </w:t>
            </w:r>
            <w:r>
              <w:rPr>
                <w:rFonts w:ascii="Verdana" w:eastAsia="Calibri" w:hAnsi="Verdana" w:cs="Arial"/>
                <w:lang w:val="es-ES"/>
              </w:rPr>
              <w:t>se</w:t>
            </w:r>
            <w:r w:rsidRPr="00BD77FD">
              <w:rPr>
                <w:rFonts w:ascii="Verdana" w:eastAsia="Calibri" w:hAnsi="Verdana" w:cs="Arial"/>
                <w:lang w:val="es-ES"/>
              </w:rPr>
              <w:t xml:space="preserve"> acredita.</w:t>
            </w:r>
          </w:p>
        </w:tc>
      </w:tr>
    </w:tbl>
    <w:p w14:paraId="22272216" w14:textId="77777777" w:rsidR="007E4A13" w:rsidRPr="00593A5F" w:rsidRDefault="007E4A13" w:rsidP="007E4A13">
      <w:pPr>
        <w:tabs>
          <w:tab w:val="left" w:pos="142"/>
          <w:tab w:val="left" w:pos="284"/>
        </w:tabs>
        <w:spacing w:after="0" w:line="276" w:lineRule="auto"/>
        <w:jc w:val="both"/>
        <w:rPr>
          <w:rFonts w:ascii="Verdana" w:eastAsia="Century Gothic" w:hAnsi="Verdana" w:cs="Century Gothic"/>
          <w:b/>
          <w:bCs/>
          <w:lang w:val="es-ES"/>
        </w:rPr>
      </w:pPr>
    </w:p>
    <w:p w14:paraId="525370EB" w14:textId="77777777" w:rsidR="007E4A13" w:rsidRPr="00593A5F" w:rsidRDefault="007E4A13" w:rsidP="007E4A1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661FD9C9" w14:textId="77777777" w:rsidR="007E4A13" w:rsidRPr="00593A5F" w:rsidRDefault="007E4A13" w:rsidP="007E4A13">
      <w:pPr>
        <w:spacing w:after="0" w:line="276" w:lineRule="auto"/>
        <w:jc w:val="both"/>
        <w:rPr>
          <w:rFonts w:ascii="Verdana" w:eastAsia="Calibri" w:hAnsi="Verdana" w:cs="Arial"/>
          <w:color w:val="7030A0"/>
          <w:lang w:val="es-ES"/>
        </w:rPr>
      </w:pPr>
    </w:p>
    <w:p w14:paraId="6EF2DBDE" w14:textId="77777777" w:rsidR="007E4A13" w:rsidRPr="00B96799" w:rsidRDefault="007E4A13" w:rsidP="007E4A13">
      <w:pPr>
        <w:spacing w:after="0" w:line="276" w:lineRule="auto"/>
        <w:jc w:val="both"/>
        <w:rPr>
          <w:rFonts w:ascii="Verdana" w:eastAsia="Calibri" w:hAnsi="Verdana" w:cs="Arial"/>
          <w:lang w:val="es-ES"/>
        </w:rPr>
      </w:pPr>
      <w:r w:rsidRPr="00B96799">
        <w:rPr>
          <w:rFonts w:ascii="Verdana" w:eastAsia="Calibri" w:hAnsi="Verdana" w:cs="Arial"/>
          <w:lang w:val="es-ES"/>
        </w:rPr>
        <w:t xml:space="preserve">Lo anterior se sustenta en las siguientes consideraciones: </w:t>
      </w:r>
    </w:p>
    <w:p w14:paraId="75E9CA68" w14:textId="77777777" w:rsidR="007E4A13" w:rsidRPr="00D46D1D" w:rsidRDefault="007E4A13" w:rsidP="007E4A13">
      <w:pPr>
        <w:spacing w:after="0" w:line="276" w:lineRule="auto"/>
        <w:jc w:val="both"/>
        <w:rPr>
          <w:rFonts w:ascii="Verdana" w:eastAsia="Calibri" w:hAnsi="Verdana" w:cs="Arial"/>
          <w:color w:val="7030A0"/>
          <w:lang w:val="es-ES"/>
        </w:rPr>
      </w:pPr>
    </w:p>
    <w:p w14:paraId="2506F43D" w14:textId="77777777" w:rsidR="007E4A13" w:rsidRDefault="007E4A13" w:rsidP="007E4A13">
      <w:pPr>
        <w:spacing w:after="120" w:line="276" w:lineRule="auto"/>
        <w:jc w:val="both"/>
        <w:rPr>
          <w:rFonts w:ascii="Verdana" w:eastAsia="Times New Roman" w:hAnsi="Verdana" w:cs="Arial"/>
          <w:lang w:val="es-ES_tradnl" w:eastAsia="es-ES_tradnl"/>
        </w:rPr>
      </w:pPr>
      <w:r w:rsidRPr="00D16A5E">
        <w:rPr>
          <w:rFonts w:ascii="Verdana" w:hAnsi="Verdana" w:cs="Arial"/>
          <w:noProof/>
          <w:lang w:val="es-ES_tradnl"/>
        </w:rPr>
        <w:t>L</w:t>
      </w:r>
      <w:r w:rsidRPr="00D16A5E">
        <w:rPr>
          <w:rFonts w:ascii="Verdana" w:eastAsia="Times New Roman" w:hAnsi="Verdana" w:cs="Arial"/>
        </w:rPr>
        <w:t>a regla de la subsanabilidad de las ofertas en los procedimientos de selección</w:t>
      </w:r>
      <w:r w:rsidRPr="00D16A5E">
        <w:rPr>
          <w:rFonts w:ascii="Verdana" w:eastAsia="Times New Roman" w:hAnsi="Verdana" w:cs="Arial"/>
          <w:b/>
          <w:bCs/>
        </w:rPr>
        <w:t xml:space="preserve"> </w:t>
      </w:r>
      <w:r w:rsidRPr="00D16A5E">
        <w:rPr>
          <w:rFonts w:ascii="Verdana" w:eastAsia="Times New Roman" w:hAnsi="Verdana" w:cs="Arial"/>
          <w:lang w:val="es-ES_tradnl" w:eastAsia="es-ES_tradnl"/>
        </w:rPr>
        <w:t>indica que, por regla general, la falta de entrega y los defectos en la acreditación de los requisitos habilitantes son aspectos subsanables. La excepción</w:t>
      </w:r>
      <w:r>
        <w:rPr>
          <w:rFonts w:ascii="Verdana" w:eastAsia="Times New Roman" w:hAnsi="Verdana" w:cs="Arial"/>
          <w:lang w:val="es-ES_tradnl" w:eastAsia="es-ES_tradnl"/>
        </w:rPr>
        <w:t xml:space="preserve"> a esta regla </w:t>
      </w:r>
      <w:r w:rsidRPr="00D16A5E">
        <w:rPr>
          <w:rFonts w:ascii="Verdana" w:eastAsia="Times New Roman" w:hAnsi="Verdana" w:cs="Arial"/>
          <w:lang w:val="es-ES_tradnl" w:eastAsia="es-ES_tradnl"/>
        </w:rPr>
        <w:t>se encuentra en la prohibición de permitir la entrega de la garantía de seriedad de la oferta que no fue aportada con la propuesta y de valer la acreditación de circunstancias ocurridas con posterioridad al cierre del proceso.</w:t>
      </w:r>
    </w:p>
    <w:p w14:paraId="16D496C3" w14:textId="77777777" w:rsidR="007E4A13" w:rsidRPr="00447C67" w:rsidRDefault="007E4A13" w:rsidP="007E4A13">
      <w:pPr>
        <w:spacing w:after="120" w:line="276" w:lineRule="auto"/>
        <w:ind w:firstLine="708"/>
        <w:jc w:val="both"/>
        <w:rPr>
          <w:rFonts w:ascii="Verdana" w:eastAsia="Times New Roman" w:hAnsi="Verdana" w:cs="Arial"/>
          <w:lang w:val="es-ES_tradnl" w:eastAsia="es-ES_tradnl"/>
        </w:rPr>
      </w:pPr>
      <w:r>
        <w:rPr>
          <w:rFonts w:ascii="Verdana" w:eastAsia="Times New Roman" w:hAnsi="Verdana" w:cs="Arial"/>
          <w:lang w:val="es-ES_tradnl" w:eastAsia="es-ES_tradnl"/>
        </w:rPr>
        <w:t>L</w:t>
      </w:r>
      <w:r w:rsidRPr="00D16A5E">
        <w:rPr>
          <w:rFonts w:ascii="Verdana" w:eastAsia="Times New Roman" w:hAnsi="Verdana" w:cs="Arial"/>
          <w:lang w:val="es-ES_tradnl" w:eastAsia="es-ES_tradnl"/>
        </w:rPr>
        <w:t>a posibilidad de enmendar, corregir o subsanar los errores en los que se incurre en los documentos contentivos de la oferta es un tema que ha tenido diferentes momentos o etapas en el ordenamiento jurídico colombiano.</w:t>
      </w:r>
      <w:r>
        <w:rPr>
          <w:rFonts w:ascii="Verdana" w:eastAsia="Times New Roman" w:hAnsi="Verdana" w:cs="Arial"/>
          <w:lang w:val="es-ES_tradnl" w:eastAsia="es-ES_tradnl"/>
        </w:rPr>
        <w:t xml:space="preserve"> En atención a </w:t>
      </w:r>
      <w:r w:rsidRPr="00D16A5E">
        <w:rPr>
          <w:rFonts w:ascii="Verdana" w:eastAsia="Times New Roman" w:hAnsi="Verdana" w:cs="Arial"/>
          <w:lang w:val="es-ES" w:eastAsia="es-ES"/>
        </w:rPr>
        <w:t xml:space="preserve">lo anterior, a continuación, se hará referencia en forma general a los antecedentes de las diferentes posturas en torno a la subsanabilidad. </w:t>
      </w:r>
    </w:p>
    <w:p w14:paraId="74A87F11" w14:textId="77777777" w:rsidR="007E4A13" w:rsidRPr="00D16A5E" w:rsidRDefault="007E4A13" w:rsidP="007E4A13">
      <w:pPr>
        <w:spacing w:after="120" w:line="276" w:lineRule="auto"/>
        <w:ind w:firstLine="708"/>
        <w:jc w:val="both"/>
        <w:rPr>
          <w:rFonts w:ascii="Verdana" w:eastAsia="Calibri" w:hAnsi="Verdana" w:cs="Arial"/>
          <w:lang w:val="es-ES" w:eastAsia="es-ES"/>
        </w:rPr>
      </w:pPr>
      <w:r w:rsidRPr="00D16A5E">
        <w:rPr>
          <w:rFonts w:ascii="Verdana" w:eastAsia="Times New Roman" w:hAnsi="Verdana" w:cs="Arial"/>
          <w:lang w:val="es-ES" w:eastAsia="es-ES"/>
        </w:rPr>
        <w:t xml:space="preserve">En un </w:t>
      </w:r>
      <w:r w:rsidRPr="00D16A5E">
        <w:rPr>
          <w:rFonts w:ascii="Verdana" w:eastAsia="Times New Roman" w:hAnsi="Verdana" w:cs="Arial"/>
          <w:i/>
          <w:lang w:val="es-ES" w:eastAsia="es-ES"/>
        </w:rPr>
        <w:t>primer momento</w:t>
      </w:r>
      <w:r w:rsidRPr="00D16A5E">
        <w:rPr>
          <w:rFonts w:ascii="Verdana" w:eastAsia="Times New Roman" w:hAnsi="Verdana" w:cs="Arial"/>
          <w:lang w:val="es-ES" w:eastAsia="es-ES"/>
        </w:rPr>
        <w:t xml:space="preserve">, antes de la entrada en vigor de la Constitución Política de 1991, el régimen jurídico de la subsanabilidad de las ofertas estaba compuesto por el Decreto-Ley 150 de 1976 y el Decreto-Ley 222 de 1983. Bajo el imperio de estas normas, la posibilidad de subsanar errores era prácticamente inexistente, debido al excesivo formalismo procedimental que irradiaba la actuación administrativa. En este contexto, por ejemplo, no era extraordinario que una oferta fuera rechazada por no aportar una copia de esta. </w:t>
      </w:r>
    </w:p>
    <w:p w14:paraId="7F1FB345" w14:textId="77777777" w:rsidR="007E4A13" w:rsidRPr="00D16A5E" w:rsidRDefault="007E4A13" w:rsidP="007E4A13">
      <w:pPr>
        <w:spacing w:after="0" w:line="276" w:lineRule="auto"/>
        <w:ind w:firstLine="709"/>
        <w:jc w:val="both"/>
        <w:rPr>
          <w:rFonts w:ascii="Verdana" w:eastAsia="Times New Roman" w:hAnsi="Verdana" w:cs="Arial"/>
          <w:lang w:val="es-ES" w:eastAsia="es-ES"/>
        </w:rPr>
      </w:pPr>
      <w:r w:rsidRPr="23327E23">
        <w:rPr>
          <w:rFonts w:ascii="Verdana" w:eastAsia="Times New Roman" w:hAnsi="Verdana" w:cs="Arial"/>
          <w:lang w:val="es-ES" w:eastAsia="es-ES"/>
        </w:rPr>
        <w:t xml:space="preserve">En un </w:t>
      </w:r>
      <w:r w:rsidRPr="23327E23">
        <w:rPr>
          <w:rFonts w:ascii="Verdana" w:eastAsia="Times New Roman" w:hAnsi="Verdana" w:cs="Arial"/>
          <w:i/>
          <w:lang w:val="es-ES" w:eastAsia="es-ES"/>
        </w:rPr>
        <w:t>segundo momento</w:t>
      </w:r>
      <w:r w:rsidRPr="23327E23">
        <w:rPr>
          <w:rFonts w:ascii="Verdana" w:eastAsia="Times New Roman" w:hAnsi="Verdana" w:cs="Arial"/>
          <w:lang w:val="es-ES" w:eastAsia="es-ES"/>
        </w:rPr>
        <w:t xml:space="preserve"> se expidió la Ley 80 de 1993, bajo el nuevo paradigma que supuso la Constitución de 1991, particularmente en la forma como se relaciona lo formal y lo sustancial en las actuaciones judiciales y administrativas. Este cambio quedó consignado en el artículo 228, que introdujo </w:t>
      </w:r>
      <w:r w:rsidRPr="23327E23">
        <w:rPr>
          <w:rFonts w:ascii="Verdana" w:eastAsia="Times New Roman" w:hAnsi="Verdana" w:cs="Arial"/>
          <w:lang w:val="es-ES" w:eastAsia="es-ES"/>
        </w:rPr>
        <w:lastRenderedPageBreak/>
        <w:t xml:space="preserve">un principio de supremacía o prevalencia del derecho sustancial sobre lo procedimental. En este nuevo escenario constitucional, el numeral 15 del artículo 25 de la Ley 80 de 1993 dispuso lo siguiente: </w:t>
      </w:r>
    </w:p>
    <w:p w14:paraId="7E2D6742" w14:textId="77777777" w:rsidR="007E4A13" w:rsidRPr="00D16A5E" w:rsidRDefault="007E4A13" w:rsidP="007E4A13">
      <w:pPr>
        <w:spacing w:after="0" w:line="276" w:lineRule="auto"/>
        <w:ind w:firstLine="709"/>
        <w:jc w:val="both"/>
        <w:rPr>
          <w:rFonts w:ascii="Verdana" w:eastAsia="Times New Roman" w:hAnsi="Verdana" w:cs="Arial"/>
          <w:lang w:val="es-ES_tradnl" w:eastAsia="es-ES_tradnl"/>
        </w:rPr>
      </w:pPr>
    </w:p>
    <w:p w14:paraId="2EDF3F4C" w14:textId="77777777" w:rsidR="007E4A13" w:rsidRPr="00DA349C" w:rsidRDefault="007E4A13" w:rsidP="007E4A13">
      <w:pPr>
        <w:spacing w:after="0" w:line="240" w:lineRule="auto"/>
        <w:ind w:left="709" w:right="709"/>
        <w:jc w:val="both"/>
        <w:rPr>
          <w:rFonts w:ascii="Verdana" w:eastAsia="Times New Roman" w:hAnsi="Verdana" w:cs="Arial"/>
          <w:sz w:val="20"/>
          <w:szCs w:val="20"/>
          <w:lang w:val="es-ES_tradnl" w:eastAsia="es-ES_tradnl"/>
        </w:rPr>
      </w:pPr>
      <w:r w:rsidRPr="00DA349C">
        <w:rPr>
          <w:rFonts w:ascii="Verdana" w:eastAsia="Times New Roman" w:hAnsi="Verdana" w:cs="Arial"/>
          <w:sz w:val="20"/>
          <w:szCs w:val="20"/>
          <w:lang w:val="es-ES_tradnl" w:eastAsia="es-ES_tradnl"/>
        </w:rPr>
        <w:t xml:space="preserve">15. Las autoridades no exigirán sellos, autenticaciones, documentos originales o autenticados, reconocimientos de firmas, traducciones oficiales, ni cualquier otra clase de formalidades o exigencias rituales, salvo cuando en forma perentoria y expresa lo exijan leyes especiales. </w:t>
      </w:r>
    </w:p>
    <w:p w14:paraId="458C04E0" w14:textId="77777777" w:rsidR="007E4A13" w:rsidRPr="00DA349C" w:rsidRDefault="007E4A13" w:rsidP="007E4A13">
      <w:pPr>
        <w:spacing w:after="0" w:line="240" w:lineRule="auto"/>
        <w:ind w:left="709" w:right="709"/>
        <w:jc w:val="both"/>
        <w:rPr>
          <w:rFonts w:ascii="Verdana" w:eastAsia="Times New Roman" w:hAnsi="Verdana" w:cs="Arial"/>
          <w:sz w:val="20"/>
          <w:szCs w:val="20"/>
          <w:lang w:val="es-ES_tradnl" w:eastAsia="es-ES_tradnl"/>
        </w:rPr>
      </w:pPr>
    </w:p>
    <w:p w14:paraId="27A3DD0B" w14:textId="77777777" w:rsidR="007E4A13" w:rsidRPr="00DA349C" w:rsidRDefault="007E4A13" w:rsidP="007E4A13">
      <w:pPr>
        <w:spacing w:after="0" w:line="240" w:lineRule="auto"/>
        <w:ind w:left="709" w:right="709"/>
        <w:jc w:val="both"/>
        <w:rPr>
          <w:rFonts w:ascii="Verdana" w:eastAsia="Times New Roman" w:hAnsi="Verdana" w:cs="Arial"/>
          <w:sz w:val="20"/>
          <w:szCs w:val="20"/>
          <w:lang w:val="es-ES_tradnl" w:eastAsia="es-ES_tradnl"/>
        </w:rPr>
      </w:pPr>
      <w:r w:rsidRPr="00DA349C">
        <w:rPr>
          <w:rFonts w:ascii="Verdana" w:eastAsia="Times New Roman" w:hAnsi="Verdana" w:cs="Arial"/>
          <w:sz w:val="20"/>
          <w:szCs w:val="20"/>
          <w:lang w:val="es-ES_tradnl" w:eastAsia="es-ES_tradnl"/>
        </w:rPr>
        <w:t xml:space="preserve">La ausencia de requisitos o la falta de documentos referentes a la futura contratación o al proponente, no necesarios para la comparación de propuestas, no servirá de título suficiente para el rechazo de los ofrecimientos hechos. </w:t>
      </w:r>
    </w:p>
    <w:p w14:paraId="5463B667" w14:textId="77777777" w:rsidR="007E4A13" w:rsidRPr="00D16A5E" w:rsidRDefault="007E4A13" w:rsidP="007E4A13">
      <w:pPr>
        <w:spacing w:after="0" w:line="276" w:lineRule="auto"/>
        <w:ind w:left="709" w:right="709"/>
        <w:jc w:val="both"/>
        <w:rPr>
          <w:rFonts w:ascii="Verdana" w:eastAsia="Times New Roman" w:hAnsi="Verdana" w:cs="Arial"/>
          <w:lang w:val="es-ES_tradnl" w:eastAsia="es-ES_tradnl"/>
        </w:rPr>
      </w:pPr>
    </w:p>
    <w:p w14:paraId="10596B3B" w14:textId="77777777" w:rsidR="007E4A13" w:rsidRPr="00D16A5E" w:rsidRDefault="007E4A13" w:rsidP="007E4A13">
      <w:pPr>
        <w:spacing w:after="120" w:line="276" w:lineRule="auto"/>
        <w:ind w:firstLine="709"/>
        <w:jc w:val="both"/>
        <w:rPr>
          <w:rFonts w:ascii="Verdana" w:eastAsia="Times New Roman" w:hAnsi="Verdana" w:cs="Arial"/>
          <w:lang w:val="es-ES" w:eastAsia="es-ES"/>
        </w:rPr>
      </w:pPr>
      <w:r w:rsidRPr="00D16A5E">
        <w:rPr>
          <w:rFonts w:ascii="Verdana" w:eastAsia="Times New Roman" w:hAnsi="Verdana" w:cs="Arial"/>
          <w:lang w:val="es-ES" w:eastAsia="es-ES"/>
        </w:rPr>
        <w:t>Bajo el amparo de esta norma, el régimen jurídico de subsanabilidad de las ofertas sufre un cambio fundamental, pues ya no era posible rechazar las ofertas por falta de requisitos o documentos que no fueran “</w:t>
      </w:r>
      <w:r w:rsidRPr="00D16A5E">
        <w:rPr>
          <w:rFonts w:ascii="Verdana" w:eastAsia="Times New Roman" w:hAnsi="Verdana" w:cs="Arial"/>
          <w:i/>
          <w:lang w:val="es-ES" w:eastAsia="es-ES"/>
        </w:rPr>
        <w:t>necesarios para la comparación de propuestas”.</w:t>
      </w:r>
      <w:r w:rsidRPr="00D16A5E">
        <w:rPr>
          <w:rFonts w:ascii="Verdana" w:eastAsia="Times New Roman" w:hAnsi="Verdana" w:cs="Arial"/>
          <w:lang w:val="es-ES" w:eastAsia="es-ES"/>
        </w:rPr>
        <w:t xml:space="preserve"> De esta manera, la ley introdujo un primer criterio jurídico, aunque indeterminado, que servía como punto de partida en la posibilidad de subsanar las ofertas, pues, verificada la ausencia de un requisito o documento, previo al rechazo de la oferta, la Administración debía constatar si este era o no necesario para la comparación de las propuestas y de ese análisis surgiría la decisión sobre su rechazo o la oportunidad de subsanar. </w:t>
      </w:r>
    </w:p>
    <w:p w14:paraId="517379CB" w14:textId="77777777" w:rsidR="007E4A13" w:rsidRPr="00D16A5E" w:rsidRDefault="007E4A13" w:rsidP="007E4A13">
      <w:pPr>
        <w:spacing w:after="120" w:line="276" w:lineRule="auto"/>
        <w:ind w:firstLine="709"/>
        <w:jc w:val="both"/>
        <w:rPr>
          <w:rFonts w:ascii="Verdana" w:eastAsia="Times New Roman" w:hAnsi="Verdana" w:cs="Arial"/>
          <w:lang w:val="es-ES_tradnl" w:eastAsia="es-ES_tradnl"/>
        </w:rPr>
      </w:pPr>
      <w:r w:rsidRPr="00D16A5E">
        <w:rPr>
          <w:rFonts w:ascii="Verdana" w:eastAsia="Times New Roman" w:hAnsi="Verdana" w:cs="Arial"/>
          <w:lang w:val="es-ES_tradnl" w:eastAsia="es-ES_tradnl"/>
        </w:rPr>
        <w:t>Esta norma debía leerse en conjunto con otras de la Ley 80 de 1993, particularmente con el artículo 30.7</w:t>
      </w:r>
      <w:r w:rsidRPr="00D16A5E">
        <w:rPr>
          <w:rFonts w:ascii="Verdana" w:eastAsia="Times New Roman" w:hAnsi="Verdana" w:cs="Arial"/>
          <w:vertAlign w:val="superscript"/>
          <w:lang w:val="es-ES_tradnl" w:eastAsia="es-ES_tradnl"/>
        </w:rPr>
        <w:footnoteReference w:id="1"/>
      </w:r>
      <w:r w:rsidRPr="00D16A5E">
        <w:rPr>
          <w:rFonts w:ascii="Verdana" w:eastAsia="Times New Roman" w:hAnsi="Verdana" w:cs="Arial"/>
          <w:lang w:val="es-ES_tradnl" w:eastAsia="es-ES_tradnl"/>
        </w:rPr>
        <w:t>, que ordena a la entidad señalar un plazo razonable para evaluar las propuestas y para pedir a los proponentes, de ser necesario, que aclaren o expliquen aspectos que ofrezcan dudas y resulten indispensables para llevar a cabo la evaluación</w:t>
      </w:r>
      <w:r>
        <w:rPr>
          <w:rFonts w:ascii="Verdana" w:eastAsia="Times New Roman" w:hAnsi="Verdana" w:cs="Arial"/>
          <w:lang w:val="es-ES_tradnl" w:eastAsia="es-ES_tradnl"/>
        </w:rPr>
        <w:t xml:space="preserve">. Así mismo, </w:t>
      </w:r>
      <w:r w:rsidRPr="00D16A5E">
        <w:rPr>
          <w:rFonts w:ascii="Verdana" w:eastAsia="Times New Roman" w:hAnsi="Verdana" w:cs="Arial"/>
          <w:lang w:val="es-ES_tradnl" w:eastAsia="es-ES_tradnl"/>
        </w:rPr>
        <w:t>con el artículo 30.8</w:t>
      </w:r>
      <w:r w:rsidRPr="00D16A5E">
        <w:rPr>
          <w:rFonts w:ascii="Verdana" w:eastAsia="Times New Roman" w:hAnsi="Verdana" w:cs="Arial"/>
          <w:vertAlign w:val="superscript"/>
          <w:lang w:val="es-ES_tradnl" w:eastAsia="es-ES_tradnl"/>
        </w:rPr>
        <w:footnoteReference w:id="2"/>
      </w:r>
      <w:r w:rsidRPr="00D16A5E">
        <w:rPr>
          <w:rFonts w:ascii="Verdana" w:eastAsia="Times New Roman" w:hAnsi="Verdana" w:cs="Arial"/>
          <w:lang w:val="es-ES_tradnl" w:eastAsia="es-ES_tradnl"/>
        </w:rPr>
        <w:t xml:space="preserve">, que consagró el término de </w:t>
      </w:r>
      <w:r>
        <w:rPr>
          <w:rFonts w:ascii="Verdana" w:eastAsia="Times New Roman" w:hAnsi="Verdana" w:cs="Arial"/>
          <w:lang w:val="es-ES_tradnl" w:eastAsia="es-ES_tradnl"/>
        </w:rPr>
        <w:t>cinco (</w:t>
      </w:r>
      <w:r w:rsidRPr="00D16A5E">
        <w:rPr>
          <w:rFonts w:ascii="Verdana" w:eastAsia="Times New Roman" w:hAnsi="Verdana" w:cs="Arial"/>
          <w:lang w:val="es-ES_tradnl" w:eastAsia="es-ES_tradnl"/>
        </w:rPr>
        <w:t>5</w:t>
      </w:r>
      <w:r>
        <w:rPr>
          <w:rFonts w:ascii="Verdana" w:eastAsia="Times New Roman" w:hAnsi="Verdana" w:cs="Arial"/>
          <w:lang w:val="es-ES_tradnl" w:eastAsia="es-ES_tradnl"/>
        </w:rPr>
        <w:t>)</w:t>
      </w:r>
      <w:r w:rsidRPr="00D16A5E">
        <w:rPr>
          <w:rFonts w:ascii="Verdana" w:eastAsia="Times New Roman" w:hAnsi="Verdana" w:cs="Arial"/>
          <w:lang w:val="es-ES_tradnl" w:eastAsia="es-ES_tradnl"/>
        </w:rPr>
        <w:t xml:space="preserve"> días hábiles para que los oferentes presenten observaciones al informe de evaluación de las propuestas, sin que sea posible completar, adicionar, modificar o mejorar su oferta.  </w:t>
      </w:r>
    </w:p>
    <w:p w14:paraId="561445E6" w14:textId="77777777" w:rsidR="007E4A13" w:rsidRPr="00D16A5E" w:rsidRDefault="007E4A13" w:rsidP="007E4A13">
      <w:pPr>
        <w:spacing w:after="120" w:line="276" w:lineRule="auto"/>
        <w:ind w:firstLine="709"/>
        <w:jc w:val="both"/>
        <w:rPr>
          <w:rFonts w:ascii="Verdana" w:eastAsia="Times New Roman" w:hAnsi="Verdana" w:cs="Arial"/>
          <w:lang w:val="es-ES" w:eastAsia="es-ES"/>
        </w:rPr>
      </w:pPr>
      <w:r w:rsidRPr="00D16A5E">
        <w:rPr>
          <w:rFonts w:ascii="Verdana" w:eastAsia="Times New Roman" w:hAnsi="Verdana" w:cs="Arial"/>
          <w:lang w:val="es-ES" w:eastAsia="es-ES"/>
        </w:rPr>
        <w:t xml:space="preserve">A partir de la lectura integrada de estas tres normas debía concluirse que con la Ley 80 de 1993 era posible subsanar las propuestas, y la omisión o el </w:t>
      </w:r>
      <w:r w:rsidRPr="00D16A5E">
        <w:rPr>
          <w:rFonts w:ascii="Verdana" w:eastAsia="Times New Roman" w:hAnsi="Verdana" w:cs="Arial"/>
          <w:lang w:val="es-ES" w:eastAsia="es-ES"/>
        </w:rPr>
        <w:lastRenderedPageBreak/>
        <w:t xml:space="preserve">error en algún aspecto de esta no podía llevar a su rechazo, sin antes verificar que lo omitido fuera un aspecto necesario para la comparación. </w:t>
      </w:r>
    </w:p>
    <w:p w14:paraId="62CA6AA2" w14:textId="77777777" w:rsidR="007E4A13" w:rsidRPr="00D16A5E" w:rsidRDefault="007E4A13" w:rsidP="007E4A13">
      <w:pPr>
        <w:spacing w:after="0" w:line="276" w:lineRule="auto"/>
        <w:ind w:firstLine="709"/>
        <w:jc w:val="both"/>
        <w:rPr>
          <w:rFonts w:ascii="Verdana" w:eastAsia="Times New Roman" w:hAnsi="Verdana" w:cs="Arial"/>
          <w:lang w:val="es-ES_tradnl" w:eastAsia="es-ES_tradnl"/>
        </w:rPr>
      </w:pPr>
      <w:r w:rsidRPr="00D16A5E">
        <w:rPr>
          <w:rFonts w:ascii="Verdana" w:eastAsia="Times New Roman" w:hAnsi="Verdana" w:cs="Arial"/>
          <w:lang w:val="es-ES_tradnl" w:eastAsia="es-ES_tradnl"/>
        </w:rPr>
        <w:t xml:space="preserve">En un </w:t>
      </w:r>
      <w:r w:rsidRPr="00D16A5E">
        <w:rPr>
          <w:rFonts w:ascii="Verdana" w:eastAsia="Times New Roman" w:hAnsi="Verdana" w:cs="Arial"/>
          <w:i/>
          <w:lang w:val="es-ES_tradnl" w:eastAsia="es-ES_tradnl"/>
        </w:rPr>
        <w:t>tercer momento</w:t>
      </w:r>
      <w:r w:rsidRPr="00D16A5E">
        <w:rPr>
          <w:rFonts w:ascii="Verdana" w:eastAsia="Times New Roman" w:hAnsi="Verdana" w:cs="Arial"/>
          <w:lang w:val="es-ES_tradnl" w:eastAsia="es-ES_tradnl"/>
        </w:rPr>
        <w:t xml:space="preserve">, siguiendo la línea trazada por la Ley 80 de 1993, el legislador expidió la Ley 1150 de 2007, que, en el parágrafo 1º del artículo 5, determinó lo siguiente: </w:t>
      </w:r>
    </w:p>
    <w:p w14:paraId="0A69C024" w14:textId="77777777" w:rsidR="007E4A13" w:rsidRPr="00462445" w:rsidRDefault="007E4A13" w:rsidP="007E4A13">
      <w:pPr>
        <w:spacing w:after="0" w:line="276" w:lineRule="auto"/>
        <w:ind w:left="709" w:right="709"/>
        <w:jc w:val="both"/>
        <w:rPr>
          <w:rFonts w:ascii="Verdana" w:eastAsia="Times New Roman" w:hAnsi="Verdana" w:cs="Arial"/>
          <w:lang w:val="es-ES" w:eastAsia="es-ES"/>
        </w:rPr>
      </w:pPr>
    </w:p>
    <w:p w14:paraId="15FCDF27" w14:textId="77777777" w:rsidR="007E4A13" w:rsidRDefault="007E4A13" w:rsidP="007E4A13">
      <w:pPr>
        <w:spacing w:after="0" w:line="240" w:lineRule="auto"/>
        <w:ind w:left="709" w:right="709"/>
        <w:jc w:val="both"/>
        <w:rPr>
          <w:rFonts w:ascii="Verdana" w:eastAsia="Times New Roman" w:hAnsi="Verdana" w:cs="Arial"/>
          <w:sz w:val="20"/>
          <w:szCs w:val="20"/>
          <w:lang w:val="es-ES" w:eastAsia="es-ES"/>
        </w:rPr>
      </w:pPr>
      <w:r w:rsidRPr="00462445">
        <w:rPr>
          <w:rFonts w:ascii="Verdana" w:eastAsia="Times New Roman" w:hAnsi="Verdana" w:cs="Arial"/>
          <w:sz w:val="20"/>
          <w:szCs w:val="20"/>
          <w:lang w:val="es-ES" w:eastAsia="es-ES"/>
        </w:rPr>
        <w:t xml:space="preserve">Parágrafo 1°. La ausencia de requisitos o la falta de documentos referentes a la futura contratación o al proponente, no necesarios para la comparación de las propuestas no servirán de título suficiente para el rechazo de los ofrecimientos hechos. En consecuencia, todos aquellos requisitos de la propuesta que no afecten la asignación de puntaje, podrán ser solicitados por las entidades en cualquier momento, hasta la adjudicación. No obstante lo anterior, en aquellos procesos de selección en los que se utilice el mecanismo de subasta, deberán ser solicitados hasta el momento previo a su realización. </w:t>
      </w:r>
    </w:p>
    <w:p w14:paraId="210985E1" w14:textId="77777777" w:rsidR="007E4A13" w:rsidRPr="00462445" w:rsidRDefault="007E4A13" w:rsidP="007E4A13">
      <w:pPr>
        <w:spacing w:after="0" w:line="276" w:lineRule="auto"/>
        <w:ind w:left="709" w:right="709"/>
        <w:jc w:val="both"/>
        <w:rPr>
          <w:rFonts w:ascii="Verdana" w:eastAsia="Times New Roman" w:hAnsi="Verdana" w:cs="Arial"/>
          <w:lang w:val="es-ES" w:eastAsia="es-ES"/>
        </w:rPr>
      </w:pPr>
    </w:p>
    <w:p w14:paraId="0561D0C0" w14:textId="77777777" w:rsidR="007E4A13" w:rsidRPr="00D16A5E" w:rsidRDefault="007E4A13" w:rsidP="007E4A13">
      <w:pPr>
        <w:spacing w:after="120" w:line="276" w:lineRule="auto"/>
        <w:ind w:firstLine="709"/>
        <w:jc w:val="both"/>
        <w:rPr>
          <w:rFonts w:ascii="Verdana" w:eastAsia="Times New Roman" w:hAnsi="Verdana" w:cs="Arial"/>
          <w:lang w:val="es-ES" w:eastAsia="es-ES"/>
        </w:rPr>
      </w:pPr>
      <w:r w:rsidRPr="00D16A5E">
        <w:rPr>
          <w:rFonts w:ascii="Verdana" w:eastAsia="Times New Roman" w:hAnsi="Verdana" w:cs="Arial"/>
          <w:lang w:val="es-ES" w:eastAsia="es-ES"/>
        </w:rPr>
        <w:t xml:space="preserve">Nótese que esta norma reitera lo que dispuso la Ley 80 de 1993, en el sentido de que los requisitos o documentos que no sean necesarios para la comparación de las ofertas pueden subsanarse, pero además la Ley 1150 de 2007 introdujo otro criterio que le dio mayor claridad al tema: la asignación de puntaje. </w:t>
      </w:r>
    </w:p>
    <w:p w14:paraId="1491F838" w14:textId="77777777" w:rsidR="007E4A13" w:rsidRPr="00D16A5E" w:rsidRDefault="007E4A13" w:rsidP="007E4A13">
      <w:pPr>
        <w:spacing w:after="120" w:line="276" w:lineRule="auto"/>
        <w:ind w:firstLine="709"/>
        <w:jc w:val="both"/>
        <w:rPr>
          <w:rFonts w:ascii="Verdana" w:eastAsia="Times New Roman" w:hAnsi="Verdana" w:cs="Arial"/>
          <w:lang w:val="es-ES" w:eastAsia="es-ES"/>
        </w:rPr>
      </w:pPr>
      <w:r w:rsidRPr="00D16A5E">
        <w:rPr>
          <w:rFonts w:ascii="Verdana" w:eastAsia="Times New Roman" w:hAnsi="Verdana" w:cs="Arial"/>
          <w:lang w:val="es-ES" w:eastAsia="es-ES"/>
        </w:rPr>
        <w:t>A partir de la Ley 1150 de 2007</w:t>
      </w:r>
      <w:r>
        <w:rPr>
          <w:rFonts w:ascii="Verdana" w:eastAsia="Times New Roman" w:hAnsi="Verdana" w:cs="Arial"/>
          <w:lang w:val="es-ES" w:eastAsia="es-ES"/>
        </w:rPr>
        <w:t>,</w:t>
      </w:r>
      <w:r w:rsidRPr="00D16A5E">
        <w:rPr>
          <w:rFonts w:ascii="Verdana" w:eastAsia="Times New Roman" w:hAnsi="Verdana" w:cs="Arial"/>
          <w:lang w:val="es-ES" w:eastAsia="es-ES"/>
        </w:rPr>
        <w:t xml:space="preserve"> la Administración contó con un criterio más claro y determinado para saber si la ausencia de documentos o requisitos de la oferta conlleva a su rechazo o al requerimiento del proponente para que lo subsane, pues bastará con un simple ejercicio de verificación que consiste en corroborar si lo omitido hace parte de los aspectos que otorgan puntaje o no. Si la Administración encuentra que lo omitido por el proponente es un aspecto que otorga puntaje, no es posible subsanarlo; pero, si lo omitido no otorga puntaje, la Administración debe requerir al proponente para que lo subsane.  </w:t>
      </w:r>
    </w:p>
    <w:p w14:paraId="3EEC4519" w14:textId="77777777" w:rsidR="007E4A13" w:rsidRPr="00D16A5E" w:rsidRDefault="007E4A13" w:rsidP="007E4A13">
      <w:pPr>
        <w:spacing w:after="0" w:line="276" w:lineRule="auto"/>
        <w:ind w:firstLine="709"/>
        <w:jc w:val="both"/>
        <w:rPr>
          <w:rFonts w:ascii="Verdana" w:eastAsia="Times New Roman" w:hAnsi="Verdana" w:cs="Arial"/>
          <w:lang w:val="es-ES_tradnl" w:eastAsia="es-ES_tradnl"/>
        </w:rPr>
      </w:pPr>
      <w:r w:rsidRPr="00D16A5E">
        <w:rPr>
          <w:rFonts w:ascii="Verdana" w:eastAsia="Times New Roman" w:hAnsi="Verdana" w:cs="Arial"/>
          <w:lang w:val="es-ES_tradnl" w:eastAsia="es-ES_tradnl"/>
        </w:rPr>
        <w:t xml:space="preserve">El artículo 5 de la Ley 1150 de 2007, además de consagrar un criterio más claro, y, de paso, reducir la discrecionalidad de la Administración, fijó un ámbito temporal para que las entidades requirieran la subsanación de las ofertas: “en cualquier momento, hasta la adjudicación”. El Consejo de Estado, con particular sindéresis, concluyó que a partir del parágrafo 1º del artículo 5 de la Ley 1150, la definición de lo que es subsanable y lo que no lo es surge a partir del planteamiento de la pregunta sobre si el defecto asigna puntaje o no, en estos términos: </w:t>
      </w:r>
    </w:p>
    <w:p w14:paraId="0923B83C" w14:textId="77777777" w:rsidR="007E4A13" w:rsidRPr="00D16A5E" w:rsidRDefault="007E4A13" w:rsidP="007E4A13">
      <w:pPr>
        <w:spacing w:after="0" w:line="276" w:lineRule="auto"/>
        <w:ind w:firstLine="709"/>
        <w:jc w:val="both"/>
        <w:rPr>
          <w:rFonts w:ascii="Verdana" w:eastAsia="Times New Roman" w:hAnsi="Verdana" w:cs="Arial"/>
          <w:lang w:val="es-ES_tradnl" w:eastAsia="es-ES_tradnl"/>
        </w:rPr>
      </w:pPr>
    </w:p>
    <w:p w14:paraId="3A5F9BB5" w14:textId="77777777" w:rsidR="007E4A13" w:rsidRPr="00D16A5E" w:rsidRDefault="007E4A13" w:rsidP="007E4A13">
      <w:pPr>
        <w:spacing w:after="0" w:line="240" w:lineRule="auto"/>
        <w:ind w:left="709" w:right="709"/>
        <w:jc w:val="both"/>
        <w:rPr>
          <w:rFonts w:ascii="Verdana" w:eastAsia="Times New Roman" w:hAnsi="Verdana" w:cs="Arial"/>
          <w:sz w:val="21"/>
          <w:szCs w:val="21"/>
          <w:lang w:val="es-ES" w:eastAsia="es-ES"/>
        </w:rPr>
      </w:pPr>
      <w:r w:rsidRPr="15932803">
        <w:rPr>
          <w:rFonts w:ascii="Verdana" w:eastAsia="Times New Roman" w:hAnsi="Verdana" w:cs="Arial"/>
          <w:sz w:val="21"/>
          <w:szCs w:val="21"/>
          <w:lang w:val="es-ES" w:eastAsia="es-ES"/>
        </w:rPr>
        <w:t>Esto significa que en adelante las entidades y los oferentes aplican directamente la regla que contempla el art. 5, parágrafo, de la Ley 1150, de manera que lo subsanable o insubsanable se define a partir de una pregunta, que se le formula a cada requisito omitido o cumplido imperfectamente: ¿el defecto asigna puntaje al oferente? Si lo hace no es subsanable, si no lo hace es subsanable; en el último evento la entidad le solicitará al oferente que satisfaga la deficiencia, para poner su oferta en condiciones de ser evaluada, y no importa si se refiere o no a problemas de capacidad o a requisitos cumplidos antes o después de presentadas las ofertas, con la condición de que cuando le pidan la acreditación la satisfaga suficientemente</w:t>
      </w:r>
      <w:r w:rsidRPr="15932803">
        <w:rPr>
          <w:rFonts w:ascii="Verdana" w:eastAsia="Times New Roman" w:hAnsi="Verdana" w:cs="Arial"/>
          <w:sz w:val="21"/>
          <w:szCs w:val="21"/>
          <w:vertAlign w:val="superscript"/>
          <w:lang w:val="es-ES" w:eastAsia="es-ES"/>
        </w:rPr>
        <w:footnoteReference w:id="3"/>
      </w:r>
      <w:r w:rsidRPr="15932803">
        <w:rPr>
          <w:rFonts w:ascii="Verdana" w:eastAsia="Times New Roman" w:hAnsi="Verdana" w:cs="Arial"/>
          <w:sz w:val="21"/>
          <w:szCs w:val="21"/>
          <w:lang w:val="es-ES" w:eastAsia="es-ES"/>
        </w:rPr>
        <w:t>.</w:t>
      </w:r>
    </w:p>
    <w:p w14:paraId="00E5344B" w14:textId="77777777" w:rsidR="007E4A13" w:rsidRPr="00D16A5E" w:rsidRDefault="007E4A13" w:rsidP="007E4A13">
      <w:pPr>
        <w:spacing w:after="0" w:line="240" w:lineRule="auto"/>
        <w:ind w:left="709" w:right="709"/>
        <w:jc w:val="both"/>
        <w:rPr>
          <w:rFonts w:ascii="Verdana" w:eastAsia="Times New Roman" w:hAnsi="Verdana" w:cs="Arial"/>
          <w:sz w:val="21"/>
          <w:szCs w:val="21"/>
          <w:lang w:val="es-ES_tradnl" w:eastAsia="es-ES_tradnl"/>
        </w:rPr>
      </w:pPr>
    </w:p>
    <w:p w14:paraId="7413C3EF" w14:textId="77777777" w:rsidR="007E4A13" w:rsidRPr="00D16A5E" w:rsidRDefault="007E4A13" w:rsidP="007E4A13">
      <w:pPr>
        <w:tabs>
          <w:tab w:val="left" w:pos="284"/>
        </w:tabs>
        <w:spacing w:after="120" w:line="276" w:lineRule="auto"/>
        <w:ind w:firstLine="709"/>
        <w:jc w:val="both"/>
        <w:rPr>
          <w:rFonts w:ascii="Verdana" w:eastAsia="Times New Roman" w:hAnsi="Verdana" w:cs="Arial"/>
          <w:lang w:val="es-ES" w:eastAsia="es-ES"/>
        </w:rPr>
      </w:pPr>
      <w:r w:rsidRPr="00D16A5E">
        <w:rPr>
          <w:rFonts w:ascii="Verdana" w:eastAsia="Times New Roman" w:hAnsi="Verdana" w:cs="Arial"/>
          <w:lang w:val="es-ES" w:eastAsia="es-ES"/>
        </w:rPr>
        <w:t xml:space="preserve">Esa interpretación fue compartida por la </w:t>
      </w:r>
      <w:r w:rsidRPr="00D16A5E">
        <w:rPr>
          <w:rFonts w:ascii="Verdana" w:eastAsia="Times New Roman" w:hAnsi="Verdana" w:cs="Arial"/>
          <w:lang w:val="es-ES" w:eastAsia="es-CO"/>
        </w:rPr>
        <w:t>Agencia Nacional de Contratación Pública – Colombia Compra Eficiente</w:t>
      </w:r>
      <w:r w:rsidRPr="00D16A5E">
        <w:rPr>
          <w:rFonts w:ascii="Verdana" w:eastAsia="Times New Roman" w:hAnsi="Verdana" w:cs="Arial"/>
          <w:lang w:val="es-ES" w:eastAsia="es-ES"/>
        </w:rPr>
        <w:t>, pues en la Circular Externa Única se precisó que</w:t>
      </w:r>
      <w:r>
        <w:rPr>
          <w:rFonts w:ascii="Verdana" w:eastAsia="Times New Roman" w:hAnsi="Verdana" w:cs="Arial"/>
          <w:lang w:val="es-ES" w:eastAsia="es-ES"/>
        </w:rPr>
        <w:t>,</w:t>
      </w:r>
      <w:r w:rsidRPr="00D16A5E">
        <w:rPr>
          <w:rFonts w:ascii="Verdana" w:eastAsia="Times New Roman" w:hAnsi="Verdana" w:cs="Arial"/>
          <w:lang w:val="es-ES" w:eastAsia="es-ES"/>
        </w:rPr>
        <w:t xml:space="preserve"> si durante un Proceso de Contratación hay proponentes que no acreditaron en sus ofertas requisitos que no afectan la asignación de puntaje o la comparación de las mismas, la Entidad Estatal deberá indicarlo en el informe de evaluación y advertir que la correspondiente oferta puede ser subsanada.</w:t>
      </w:r>
    </w:p>
    <w:p w14:paraId="3550ABDA" w14:textId="77777777" w:rsidR="007E4A13" w:rsidRPr="00D16A5E" w:rsidRDefault="007E4A13" w:rsidP="007E4A13">
      <w:pPr>
        <w:tabs>
          <w:tab w:val="left" w:pos="284"/>
        </w:tabs>
        <w:spacing w:after="0" w:line="276" w:lineRule="auto"/>
        <w:ind w:firstLine="709"/>
        <w:jc w:val="both"/>
        <w:rPr>
          <w:rFonts w:ascii="Verdana" w:eastAsia="Times New Roman" w:hAnsi="Verdana" w:cs="Arial"/>
          <w:lang w:val="es-ES_tradnl" w:eastAsia="es-CO"/>
        </w:rPr>
      </w:pPr>
      <w:r w:rsidRPr="00D16A5E">
        <w:rPr>
          <w:rFonts w:ascii="Verdana" w:eastAsia="Times New Roman" w:hAnsi="Verdana" w:cs="Arial"/>
          <w:lang w:val="es-ES_tradnl" w:eastAsia="es-CO"/>
        </w:rPr>
        <w:t xml:space="preserve">Finalmente, en un </w:t>
      </w:r>
      <w:r w:rsidRPr="00D16A5E">
        <w:rPr>
          <w:rFonts w:ascii="Verdana" w:eastAsia="Times New Roman" w:hAnsi="Verdana" w:cs="Arial"/>
          <w:i/>
          <w:lang w:val="es-ES_tradnl" w:eastAsia="es-CO"/>
        </w:rPr>
        <w:t>cuarto momento</w:t>
      </w:r>
      <w:r w:rsidRPr="00D16A5E">
        <w:rPr>
          <w:rFonts w:ascii="Verdana" w:eastAsia="Times New Roman" w:hAnsi="Verdana" w:cs="Arial"/>
          <w:lang w:val="es-ES_tradnl" w:eastAsia="es-CO"/>
        </w:rPr>
        <w:t xml:space="preserve">, el legislador expidió la Ley 1882 de 2018, con la finalidad de introducir cambios y ajustes para fortalecer la contratación pública. El artículo 5 modificó el parágrafo 1º y adicionó algunos otros, entre ellos el </w:t>
      </w:r>
      <w:r>
        <w:rPr>
          <w:rFonts w:ascii="Verdana" w:eastAsia="Times New Roman" w:hAnsi="Verdana" w:cs="Arial"/>
          <w:lang w:val="es-ES_tradnl" w:eastAsia="es-CO"/>
        </w:rPr>
        <w:t>3</w:t>
      </w:r>
      <w:r w:rsidRPr="00D16A5E">
        <w:rPr>
          <w:rFonts w:ascii="Verdana" w:eastAsia="Times New Roman" w:hAnsi="Verdana" w:cs="Arial"/>
          <w:lang w:val="es-ES_tradnl" w:eastAsia="es-CO"/>
        </w:rPr>
        <w:t>°</w:t>
      </w:r>
      <w:r>
        <w:rPr>
          <w:rFonts w:ascii="Verdana" w:eastAsia="Times New Roman" w:hAnsi="Verdana" w:cs="Arial"/>
          <w:lang w:val="es-ES_tradnl" w:eastAsia="es-CO"/>
        </w:rPr>
        <w:t xml:space="preserve"> y </w:t>
      </w:r>
      <w:r w:rsidRPr="00D16A5E">
        <w:rPr>
          <w:rFonts w:ascii="Verdana" w:eastAsia="Times New Roman" w:hAnsi="Verdana" w:cs="Arial"/>
          <w:lang w:val="es-ES_tradnl" w:eastAsia="es-CO"/>
        </w:rPr>
        <w:t xml:space="preserve">4° del artículo 5 de la Ley 1150 de 2007: </w:t>
      </w:r>
    </w:p>
    <w:p w14:paraId="72DD8B28" w14:textId="77777777" w:rsidR="007E4A13" w:rsidRPr="000D2E9F" w:rsidRDefault="007E4A13" w:rsidP="007E4A13">
      <w:pPr>
        <w:spacing w:after="0" w:line="276" w:lineRule="auto"/>
        <w:ind w:left="709" w:right="709"/>
        <w:jc w:val="both"/>
        <w:rPr>
          <w:rFonts w:ascii="Verdana" w:eastAsia="Times New Roman" w:hAnsi="Verdana" w:cs="Arial"/>
          <w:lang w:val="es-ES_tradnl" w:eastAsia="es-CO"/>
        </w:rPr>
      </w:pPr>
    </w:p>
    <w:p w14:paraId="383069E1" w14:textId="77777777" w:rsidR="007E4A13" w:rsidRPr="00556BC7" w:rsidRDefault="007E4A13" w:rsidP="007E4A13">
      <w:pPr>
        <w:spacing w:after="0" w:line="240" w:lineRule="auto"/>
        <w:ind w:left="709" w:right="709"/>
        <w:jc w:val="both"/>
        <w:rPr>
          <w:rFonts w:ascii="Verdana" w:eastAsia="Times New Roman" w:hAnsi="Verdana" w:cs="Arial"/>
          <w:sz w:val="20"/>
          <w:szCs w:val="20"/>
          <w:lang w:val="es-ES_tradnl" w:eastAsia="es-CO"/>
        </w:rPr>
      </w:pPr>
      <w:r w:rsidRPr="00556BC7">
        <w:rPr>
          <w:rFonts w:ascii="Verdana" w:eastAsia="Times New Roman" w:hAnsi="Verdana" w:cs="Arial"/>
          <w:sz w:val="20"/>
          <w:szCs w:val="20"/>
          <w:lang w:val="es-ES_tradnl" w:eastAsia="es-CO"/>
        </w:rPr>
        <w:t xml:space="preserve">Artículo 5°. De la selección objetiva. </w:t>
      </w:r>
    </w:p>
    <w:p w14:paraId="345AA964" w14:textId="77777777" w:rsidR="007E4A13" w:rsidRDefault="007E4A13" w:rsidP="007E4A13">
      <w:pPr>
        <w:pStyle w:val="paragraph"/>
        <w:spacing w:before="0" w:beforeAutospacing="0" w:after="0" w:afterAutospacing="0"/>
        <w:ind w:left="709" w:right="709"/>
        <w:jc w:val="both"/>
        <w:textAlignment w:val="baseline"/>
        <w:rPr>
          <w:rStyle w:val="normaltextrun"/>
          <w:rFonts w:ascii="Verdana" w:hAnsi="Verdana" w:cs="Arial"/>
          <w:color w:val="000000"/>
          <w:sz w:val="20"/>
          <w:szCs w:val="20"/>
          <w:lang w:val="es-ES"/>
        </w:rPr>
      </w:pPr>
    </w:p>
    <w:p w14:paraId="15213434" w14:textId="77777777" w:rsidR="007E4A13" w:rsidRPr="00556BC7" w:rsidRDefault="007E4A13" w:rsidP="007E4A13">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Es objetiva la selección en la cual la escogencia se haga al ofrecimiento más favorable a la entidad y a los fines que ella busca, sin tener en consideración factores de afecto o de interés y, en general, cualquier clase de motivación subjetiva. En consecuencia, los factores de escogencia y calificación que establezcan las entidades en los pliegos de condiciones o sus equivalentes, tendrán en cuenta los siguientes criterios:</w:t>
      </w:r>
      <w:r w:rsidRPr="00556BC7">
        <w:rPr>
          <w:rStyle w:val="eop"/>
          <w:rFonts w:ascii="Verdana" w:hAnsi="Verdana" w:cs="Arial"/>
          <w:color w:val="000000"/>
          <w:sz w:val="20"/>
          <w:szCs w:val="20"/>
        </w:rPr>
        <w:t> </w:t>
      </w:r>
    </w:p>
    <w:p w14:paraId="35DC5E52" w14:textId="77777777" w:rsidR="007E4A13" w:rsidRPr="00556BC7" w:rsidRDefault="007E4A13" w:rsidP="007E4A13">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eop"/>
          <w:rFonts w:ascii="Verdana" w:hAnsi="Verdana" w:cs="Arial"/>
          <w:color w:val="000000"/>
          <w:sz w:val="20"/>
          <w:szCs w:val="20"/>
        </w:rPr>
        <w:t> </w:t>
      </w:r>
    </w:p>
    <w:p w14:paraId="621B48CD" w14:textId="77777777" w:rsidR="007E4A13" w:rsidRPr="00556BC7" w:rsidRDefault="007E4A13" w:rsidP="007E4A13">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 xml:space="preserve">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w:t>
      </w:r>
      <w:r w:rsidRPr="00556BC7">
        <w:rPr>
          <w:rStyle w:val="normaltextrun"/>
          <w:rFonts w:ascii="Verdana" w:hAnsi="Verdana" w:cs="Arial"/>
          <w:color w:val="000000"/>
          <w:sz w:val="20"/>
          <w:szCs w:val="20"/>
          <w:lang w:val="es-ES"/>
        </w:rPr>
        <w:lastRenderedPageBreak/>
        <w:t>contrato a suscribir y a su valor. La verificación documental de las condiciones antes señaladas será efectuada por las Cámaras de Comercio de conformidad con lo establecido en el artículo 6o de la presente ley, de acuerdo con lo cual se expedirá la respectiva certificación.</w:t>
      </w:r>
      <w:r w:rsidRPr="00556BC7">
        <w:rPr>
          <w:rStyle w:val="eop"/>
          <w:rFonts w:ascii="Verdana" w:hAnsi="Verdana" w:cs="Arial"/>
          <w:color w:val="000000"/>
          <w:sz w:val="20"/>
          <w:szCs w:val="20"/>
        </w:rPr>
        <w:t> </w:t>
      </w:r>
    </w:p>
    <w:p w14:paraId="4BC4D895" w14:textId="77777777" w:rsidR="007E4A13" w:rsidRPr="00556BC7" w:rsidRDefault="007E4A13" w:rsidP="007E4A13">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eop"/>
          <w:rFonts w:ascii="Verdana" w:hAnsi="Verdana" w:cs="Arial"/>
          <w:color w:val="000000"/>
          <w:sz w:val="20"/>
          <w:szCs w:val="20"/>
        </w:rPr>
        <w:t> </w:t>
      </w:r>
    </w:p>
    <w:p w14:paraId="59B5AC7C" w14:textId="77777777" w:rsidR="007E4A13" w:rsidRPr="00556BC7" w:rsidRDefault="007E4A13" w:rsidP="007E4A13">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2. &lt;Numeral modificado por el artículo 88 de la Ley 1474 de 2011. El nuevo texto es el siguiente:&gt; La oferta más favorable será aquella que, teniendo en cuenta los factores técnicos y económicos de escogencia y la ponderación precisa y detallada de los mismos contenida en los pliegos de condiciones o sus equivalentes, resulte ser la más ventajosa para la entidad, sin que la favorabilidad la constituyan factores diferentes a los contenidos en dichos documentos. En los contratos de obra pública, el menor plazo ofrecido no será objeto de evaluación. La entidad efectuará las comparaciones del caso mediante el cotejo de los ofrecimientos recibidos y la consulta de precios o condiciones del mercado y los estudios y deducciones de la entidad o de los organismos consultores o asesores designados para ello.</w:t>
      </w:r>
      <w:r w:rsidRPr="00556BC7">
        <w:rPr>
          <w:rStyle w:val="eop"/>
          <w:rFonts w:ascii="Verdana" w:hAnsi="Verdana" w:cs="Arial"/>
          <w:color w:val="000000"/>
          <w:sz w:val="20"/>
          <w:szCs w:val="20"/>
        </w:rPr>
        <w:t> </w:t>
      </w:r>
    </w:p>
    <w:p w14:paraId="29A70184" w14:textId="77777777" w:rsidR="007E4A13" w:rsidRPr="00556BC7" w:rsidRDefault="007E4A13" w:rsidP="007E4A13">
      <w:pPr>
        <w:pStyle w:val="paragraph"/>
        <w:spacing w:before="0" w:beforeAutospacing="0" w:after="0" w:afterAutospacing="0"/>
        <w:ind w:left="709" w:right="709"/>
        <w:jc w:val="both"/>
        <w:textAlignment w:val="baseline"/>
        <w:rPr>
          <w:rFonts w:ascii="Verdana" w:hAnsi="Verdana" w:cs="Segoe UI"/>
          <w:sz w:val="20"/>
          <w:szCs w:val="20"/>
        </w:rPr>
      </w:pPr>
    </w:p>
    <w:p w14:paraId="06F1F116" w14:textId="77777777" w:rsidR="007E4A13" w:rsidRPr="00556BC7" w:rsidRDefault="007E4A13" w:rsidP="007E4A13">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En los procesos de selección en los que se tenga en cuenta los factores técnicos y económicos, la oferta más ventajosa será la que resulte de aplicar alguna de las siguientes alternativas:</w:t>
      </w:r>
      <w:r w:rsidRPr="00556BC7">
        <w:rPr>
          <w:rStyle w:val="eop"/>
          <w:rFonts w:ascii="Verdana" w:hAnsi="Verdana" w:cs="Arial"/>
          <w:color w:val="000000"/>
          <w:sz w:val="20"/>
          <w:szCs w:val="20"/>
        </w:rPr>
        <w:t> </w:t>
      </w:r>
    </w:p>
    <w:p w14:paraId="0ABA7B17" w14:textId="77777777" w:rsidR="007E4A13" w:rsidRPr="00556BC7" w:rsidRDefault="007E4A13" w:rsidP="007E4A13">
      <w:pPr>
        <w:pStyle w:val="paragraph"/>
        <w:spacing w:before="0" w:beforeAutospacing="0" w:after="0" w:afterAutospacing="0"/>
        <w:ind w:left="709" w:right="709"/>
        <w:jc w:val="both"/>
        <w:textAlignment w:val="baseline"/>
        <w:rPr>
          <w:rFonts w:ascii="Verdana" w:hAnsi="Verdana" w:cs="Segoe UI"/>
          <w:sz w:val="20"/>
          <w:szCs w:val="20"/>
        </w:rPr>
      </w:pPr>
    </w:p>
    <w:p w14:paraId="2F10C745" w14:textId="77777777" w:rsidR="007E4A13" w:rsidRPr="00556BC7" w:rsidRDefault="007E4A13" w:rsidP="007E4A13">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a) La ponderación de los elementos de calidad y precio soportados en puntajes o fórmulas señaladas en el pliego de condiciones; o</w:t>
      </w:r>
    </w:p>
    <w:p w14:paraId="31B97876" w14:textId="77777777" w:rsidR="007E4A13" w:rsidRPr="00556BC7" w:rsidRDefault="007E4A13" w:rsidP="007E4A13">
      <w:pPr>
        <w:pStyle w:val="paragraph"/>
        <w:spacing w:before="0" w:beforeAutospacing="0" w:after="0" w:afterAutospacing="0"/>
        <w:ind w:left="709" w:right="709"/>
        <w:jc w:val="both"/>
        <w:textAlignment w:val="baseline"/>
        <w:rPr>
          <w:rFonts w:ascii="Verdana" w:hAnsi="Verdana" w:cs="Segoe UI"/>
          <w:sz w:val="20"/>
          <w:szCs w:val="20"/>
        </w:rPr>
      </w:pPr>
    </w:p>
    <w:p w14:paraId="334F0AE7" w14:textId="77777777" w:rsidR="007E4A13" w:rsidRPr="00556BC7" w:rsidRDefault="007E4A13" w:rsidP="007E4A13">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b) La ponderación de los elementos de calidad y precio que representen la mejor relación de costo-beneficio para la entidad.</w:t>
      </w:r>
      <w:r w:rsidRPr="00556BC7">
        <w:rPr>
          <w:rStyle w:val="eop"/>
          <w:rFonts w:ascii="Verdana" w:hAnsi="Verdana" w:cs="Arial"/>
          <w:color w:val="000000"/>
          <w:sz w:val="20"/>
          <w:szCs w:val="20"/>
        </w:rPr>
        <w:t> </w:t>
      </w:r>
    </w:p>
    <w:p w14:paraId="7A62170E" w14:textId="77777777" w:rsidR="007E4A13" w:rsidRPr="00556BC7" w:rsidRDefault="007E4A13" w:rsidP="007E4A13">
      <w:pPr>
        <w:pStyle w:val="paragraph"/>
        <w:spacing w:before="0" w:beforeAutospacing="0" w:after="0" w:afterAutospacing="0"/>
        <w:ind w:left="709" w:right="709"/>
        <w:jc w:val="both"/>
        <w:textAlignment w:val="baseline"/>
        <w:rPr>
          <w:rFonts w:ascii="Verdana" w:hAnsi="Verdana" w:cs="Segoe UI"/>
          <w:sz w:val="20"/>
          <w:szCs w:val="20"/>
        </w:rPr>
      </w:pPr>
    </w:p>
    <w:p w14:paraId="201B7DCE" w14:textId="77777777" w:rsidR="007E4A13" w:rsidRPr="00556BC7" w:rsidRDefault="007E4A13" w:rsidP="007E4A13">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3. Sin perjuicio de lo previsto en el numeral 1 del presente artículo, en los pliegos de condiciones para las contrataciones cuyo objeto sea la adquisición o suministro de bienes y servicios de características técnicas uniformes y común utilización, las entidades estatales incluirán como único factor de evaluación el menor precio ofrecido.</w:t>
      </w:r>
      <w:r w:rsidRPr="00556BC7">
        <w:rPr>
          <w:rStyle w:val="eop"/>
          <w:rFonts w:ascii="Verdana" w:hAnsi="Verdana" w:cs="Arial"/>
          <w:color w:val="000000"/>
          <w:sz w:val="20"/>
          <w:szCs w:val="20"/>
        </w:rPr>
        <w:t> </w:t>
      </w:r>
    </w:p>
    <w:p w14:paraId="59B61C47" w14:textId="77777777" w:rsidR="007E4A13" w:rsidRPr="00556BC7" w:rsidRDefault="007E4A13" w:rsidP="007E4A13">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eop"/>
          <w:rFonts w:ascii="Verdana" w:hAnsi="Verdana" w:cs="Arial"/>
          <w:color w:val="000000"/>
          <w:sz w:val="20"/>
          <w:szCs w:val="20"/>
        </w:rPr>
        <w:t> </w:t>
      </w:r>
    </w:p>
    <w:p w14:paraId="3A67C4D5" w14:textId="77777777" w:rsidR="007E4A13" w:rsidRPr="00556BC7" w:rsidRDefault="007E4A13" w:rsidP="007E4A13">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4. En los procesos para la selección de consultores se hará uso de factores de calificación destinados a valorar los aspectos técnicos de la oferta o proyecto. De conformidad con las condiciones que señale el reglamento, se podrán utilizar criterios de experiencia específica del oferente y del equipo de trabajo, en el campo de que se trate.</w:t>
      </w:r>
      <w:r w:rsidRPr="00556BC7">
        <w:rPr>
          <w:rStyle w:val="eop"/>
          <w:rFonts w:ascii="Verdana" w:hAnsi="Verdana" w:cs="Arial"/>
          <w:color w:val="000000"/>
          <w:sz w:val="20"/>
          <w:szCs w:val="20"/>
        </w:rPr>
        <w:t> </w:t>
      </w:r>
    </w:p>
    <w:p w14:paraId="39F6EE94" w14:textId="77777777" w:rsidR="007E4A13" w:rsidRPr="00556BC7" w:rsidRDefault="007E4A13" w:rsidP="007E4A13">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eop"/>
          <w:rFonts w:ascii="Verdana" w:hAnsi="Verdana" w:cs="Arial"/>
          <w:color w:val="000000"/>
          <w:sz w:val="20"/>
          <w:szCs w:val="20"/>
        </w:rPr>
        <w:t> </w:t>
      </w:r>
    </w:p>
    <w:p w14:paraId="512B7D61" w14:textId="77777777" w:rsidR="007E4A13" w:rsidRPr="00556BC7" w:rsidRDefault="007E4A13" w:rsidP="007E4A13">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En ningún caso se podrá incluir el precio, como factor de escogencia para la selección de consultores.</w:t>
      </w:r>
      <w:r w:rsidRPr="00556BC7">
        <w:rPr>
          <w:rStyle w:val="eop"/>
          <w:rFonts w:ascii="Verdana" w:hAnsi="Verdana" w:cs="Arial"/>
          <w:color w:val="000000"/>
          <w:sz w:val="20"/>
          <w:szCs w:val="20"/>
        </w:rPr>
        <w:t> </w:t>
      </w:r>
    </w:p>
    <w:p w14:paraId="0C75D55F" w14:textId="77777777" w:rsidR="007E4A13" w:rsidRPr="00556BC7" w:rsidRDefault="007E4A13" w:rsidP="007E4A13">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eop"/>
          <w:rFonts w:ascii="Verdana" w:hAnsi="Verdana" w:cs="Arial"/>
          <w:color w:val="000000"/>
          <w:sz w:val="20"/>
          <w:szCs w:val="20"/>
        </w:rPr>
        <w:t> </w:t>
      </w:r>
    </w:p>
    <w:p w14:paraId="1F875CE7" w14:textId="77777777" w:rsidR="007E4A13" w:rsidRPr="00556BC7" w:rsidRDefault="007E4A13" w:rsidP="007E4A13">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 xml:space="preserve">PARÁGRAFO 1o. &lt;Parágrafo modificado por el artículo 5 de la Ley 1882 de 2018. El nuevo texto es el siguiente:&gt; La ausencia de requisitos o la falta de documentos referentes a la futura contratación o al proponente, no </w:t>
      </w:r>
      <w:r w:rsidRPr="00556BC7">
        <w:rPr>
          <w:rStyle w:val="normaltextrun"/>
          <w:rFonts w:ascii="Verdana" w:hAnsi="Verdana" w:cs="Arial"/>
          <w:color w:val="000000"/>
          <w:sz w:val="20"/>
          <w:szCs w:val="20"/>
          <w:lang w:val="es-ES"/>
        </w:rPr>
        <w:lastRenderedPageBreak/>
        <w:t>necesarios para la comparación de las propuestas no servirán de título suficiente para el rechazo de los ofrecimientos hechos. En consecuencia, todos aquellos requisitos de la propuesta que no afecten la asignación de puntaje, deberán ser solicitados por las entidades estatales y deberán ser entregados por los proponentes hasta el término de traslado del informe de evaluación que corresponda a cada modalidad de selección, salvo lo dispuesto para el proceso de Mínima cuantía y para el proceso de selección a través del sistema de subasta. Serán rechazadas las ofertas de aquellos proponentes que no suministren la información y la documentación solicitada por la entidad estatal hasta el plazo anteriormente señalado.</w:t>
      </w:r>
      <w:r w:rsidRPr="00556BC7">
        <w:rPr>
          <w:rStyle w:val="eop"/>
          <w:rFonts w:ascii="Verdana" w:hAnsi="Verdana" w:cs="Arial"/>
          <w:color w:val="000000"/>
          <w:sz w:val="20"/>
          <w:szCs w:val="20"/>
        </w:rPr>
        <w:t> </w:t>
      </w:r>
    </w:p>
    <w:p w14:paraId="2703D705" w14:textId="77777777" w:rsidR="007E4A13" w:rsidRPr="00556BC7" w:rsidRDefault="007E4A13" w:rsidP="007E4A13">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eop"/>
          <w:rFonts w:ascii="Verdana" w:hAnsi="Verdana" w:cs="Arial"/>
          <w:color w:val="000000"/>
          <w:sz w:val="20"/>
          <w:szCs w:val="20"/>
        </w:rPr>
        <w:t> </w:t>
      </w:r>
    </w:p>
    <w:p w14:paraId="595CB122" w14:textId="77777777" w:rsidR="007E4A13" w:rsidRPr="00556BC7" w:rsidRDefault="007E4A13" w:rsidP="007E4A13">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Durante el término otorgado para subsanar las ofertas, los proponentes no podrán acreditar circunstancias ocurridas con posterioridad al cierre del proceso.</w:t>
      </w:r>
      <w:r w:rsidRPr="00556BC7">
        <w:rPr>
          <w:rStyle w:val="eop"/>
          <w:rFonts w:ascii="Verdana" w:hAnsi="Verdana" w:cs="Arial"/>
          <w:color w:val="000000"/>
          <w:sz w:val="20"/>
          <w:szCs w:val="20"/>
        </w:rPr>
        <w:t> </w:t>
      </w:r>
    </w:p>
    <w:p w14:paraId="540448C8" w14:textId="77777777" w:rsidR="007E4A13" w:rsidRPr="00556BC7" w:rsidRDefault="007E4A13" w:rsidP="007E4A13">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eop"/>
          <w:rFonts w:ascii="Verdana" w:hAnsi="Verdana" w:cs="Arial"/>
          <w:color w:val="000000"/>
          <w:sz w:val="20"/>
          <w:szCs w:val="20"/>
        </w:rPr>
        <w:t> </w:t>
      </w:r>
    </w:p>
    <w:p w14:paraId="4368FBEB" w14:textId="77777777" w:rsidR="007E4A13" w:rsidRPr="00556BC7" w:rsidRDefault="007E4A13" w:rsidP="007E4A13">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PARÁGRAFO 2o. Las certificaciones de sistemas de gestión de calidad no serán objeto de calificación, ni podrán establecerse como documento habilitante para participar en licitaciones o concursos.</w:t>
      </w:r>
      <w:r w:rsidRPr="00556BC7">
        <w:rPr>
          <w:rStyle w:val="eop"/>
          <w:rFonts w:ascii="Verdana" w:hAnsi="Verdana" w:cs="Arial"/>
          <w:color w:val="000000"/>
          <w:sz w:val="20"/>
          <w:szCs w:val="20"/>
        </w:rPr>
        <w:t> </w:t>
      </w:r>
    </w:p>
    <w:p w14:paraId="2D95495A" w14:textId="77777777" w:rsidR="007E4A13" w:rsidRPr="00556BC7" w:rsidRDefault="007E4A13" w:rsidP="007E4A13">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eop"/>
          <w:rFonts w:ascii="Verdana" w:hAnsi="Verdana" w:cs="Arial"/>
          <w:color w:val="000000"/>
          <w:sz w:val="20"/>
          <w:szCs w:val="20"/>
        </w:rPr>
        <w:t> </w:t>
      </w:r>
    </w:p>
    <w:p w14:paraId="532BD983" w14:textId="77777777" w:rsidR="007E4A13" w:rsidRPr="00556BC7" w:rsidRDefault="007E4A13" w:rsidP="007E4A13">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PARÁGRAFO 3o. &lt;Parágrafo adicionado por el artículo 5 de la Ley 1882 de 2018. El nuevo texto es el siguiente:&gt; La no entrega de la garantía de seriedad junto con la propuesta no será subsanable y será causal de rechazo de la misma.</w:t>
      </w:r>
      <w:r w:rsidRPr="00556BC7">
        <w:rPr>
          <w:rStyle w:val="eop"/>
          <w:rFonts w:ascii="Verdana" w:hAnsi="Verdana" w:cs="Arial"/>
          <w:color w:val="000000"/>
          <w:sz w:val="20"/>
          <w:szCs w:val="20"/>
        </w:rPr>
        <w:t> </w:t>
      </w:r>
    </w:p>
    <w:p w14:paraId="54444BEF" w14:textId="77777777" w:rsidR="007E4A13" w:rsidRPr="00556BC7" w:rsidRDefault="007E4A13" w:rsidP="007E4A13">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eop"/>
          <w:rFonts w:ascii="Verdana" w:hAnsi="Verdana" w:cs="Arial"/>
          <w:color w:val="000000"/>
          <w:sz w:val="20"/>
          <w:szCs w:val="20"/>
        </w:rPr>
        <w:t> </w:t>
      </w:r>
    </w:p>
    <w:p w14:paraId="5B21E564" w14:textId="77777777" w:rsidR="007E4A13" w:rsidRPr="00556BC7" w:rsidRDefault="007E4A13" w:rsidP="007E4A13">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PARÁGRAFO 4o. &lt;Parágrafo adicionado por el artículo 5 de la Ley 1882 de 2018. El nuevo texto es el siguiente:&gt; En aquellos procesos de selección en los que se utilice el mecanismo de subasta, los documentos referentes a la futura contratación o al proponente, no necesarios para la comparación de las propuestas, deberán ser solicitados hasta el momento previo a su realización.</w:t>
      </w:r>
      <w:r w:rsidRPr="00556BC7">
        <w:rPr>
          <w:rStyle w:val="eop"/>
          <w:rFonts w:ascii="Verdana" w:hAnsi="Verdana" w:cs="Arial"/>
          <w:color w:val="000000"/>
          <w:sz w:val="20"/>
          <w:szCs w:val="20"/>
        </w:rPr>
        <w:t> </w:t>
      </w:r>
    </w:p>
    <w:p w14:paraId="3E6A17CD" w14:textId="77777777" w:rsidR="007E4A13" w:rsidRPr="00556BC7" w:rsidRDefault="007E4A13" w:rsidP="007E4A13">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eop"/>
          <w:rFonts w:ascii="Verdana" w:hAnsi="Verdana" w:cs="Arial"/>
          <w:color w:val="000000"/>
          <w:sz w:val="20"/>
          <w:szCs w:val="20"/>
        </w:rPr>
        <w:t> </w:t>
      </w:r>
    </w:p>
    <w:p w14:paraId="071FF196" w14:textId="77777777" w:rsidR="007E4A13" w:rsidRPr="00556BC7" w:rsidRDefault="007E4A13" w:rsidP="007E4A13">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PARÁGRAFO 5o. &lt;Parágrafo adicionado por el artículo 5 de la Ley 1882 de 2018. El nuevo texto es el siguiente:&gt; En los procesos de contratación, las entidades estatales deberán aceptar la experiencia adquirida por los proponentes a través de la ejecución de contratos con particulares. </w:t>
      </w:r>
      <w:r w:rsidRPr="00556BC7">
        <w:rPr>
          <w:rStyle w:val="eop"/>
          <w:rFonts w:ascii="Verdana" w:hAnsi="Verdana" w:cs="Arial"/>
          <w:color w:val="000000"/>
          <w:sz w:val="20"/>
          <w:szCs w:val="20"/>
        </w:rPr>
        <w:t> </w:t>
      </w:r>
    </w:p>
    <w:p w14:paraId="6F83C05C" w14:textId="77777777" w:rsidR="007E4A13" w:rsidRPr="00556BC7" w:rsidRDefault="007E4A13" w:rsidP="007E4A13">
      <w:pPr>
        <w:spacing w:after="0" w:line="276" w:lineRule="auto"/>
        <w:ind w:left="709" w:right="709"/>
        <w:jc w:val="both"/>
        <w:rPr>
          <w:rFonts w:ascii="Verdana" w:eastAsia="Times New Roman" w:hAnsi="Verdana" w:cs="Arial"/>
          <w:lang w:eastAsia="es-CO"/>
        </w:rPr>
      </w:pPr>
    </w:p>
    <w:p w14:paraId="2C778475" w14:textId="77777777" w:rsidR="007E4A13" w:rsidRPr="00D16A5E" w:rsidRDefault="007E4A13" w:rsidP="007E4A13">
      <w:pPr>
        <w:spacing w:after="120" w:line="276" w:lineRule="auto"/>
        <w:ind w:firstLine="709"/>
        <w:jc w:val="both"/>
        <w:rPr>
          <w:rFonts w:ascii="Verdana" w:eastAsia="Times New Roman" w:hAnsi="Verdana" w:cs="Arial"/>
          <w:lang w:val="es-ES" w:eastAsia="es-ES"/>
        </w:rPr>
      </w:pPr>
      <w:r w:rsidRPr="00D16A5E">
        <w:rPr>
          <w:rFonts w:ascii="Verdana" w:eastAsia="Times New Roman" w:hAnsi="Verdana" w:cs="Arial"/>
          <w:lang w:val="es-ES" w:eastAsia="es-ES"/>
        </w:rPr>
        <w:t xml:space="preserve">Como puede observarse, la Ley 1882 de 2018: i) mantiene el criterio de la Ley 80 de 1993, relativo a que todo lo que no sea necesario para la comparación de propuestas no es título suficiente para su rechazo; ii) mantiene el criterio aclaratorio de la Ley 1150 de 2007, según el cual todo lo que no afecte la asignación de puntaje puede subsanarse; y, iii) introduce modificaciones en relación con algunos aspectos que se analizarán a continuación. </w:t>
      </w:r>
    </w:p>
    <w:p w14:paraId="002139E0" w14:textId="77777777" w:rsidR="007E4A13" w:rsidRPr="00D16A5E" w:rsidRDefault="007E4A13" w:rsidP="007E4A13">
      <w:pPr>
        <w:spacing w:after="120" w:line="276" w:lineRule="auto"/>
        <w:ind w:right="51" w:firstLine="709"/>
        <w:jc w:val="both"/>
        <w:rPr>
          <w:rFonts w:ascii="Verdana" w:eastAsia="Times New Roman" w:hAnsi="Verdana" w:cs="Arial"/>
          <w:lang w:val="es-ES_tradnl" w:eastAsia="es-ES_tradnl"/>
        </w:rPr>
      </w:pPr>
      <w:r>
        <w:rPr>
          <w:rFonts w:ascii="Verdana" w:eastAsia="Times New Roman" w:hAnsi="Verdana" w:cs="Arial"/>
          <w:i/>
          <w:iCs/>
          <w:lang w:val="es-ES_tradnl" w:eastAsia="es-ES_tradnl"/>
        </w:rPr>
        <w:lastRenderedPageBreak/>
        <w:t>La</w:t>
      </w:r>
      <w:r w:rsidRPr="00D16A5E">
        <w:rPr>
          <w:rFonts w:ascii="Verdana" w:eastAsia="Times New Roman" w:hAnsi="Verdana" w:cs="Arial"/>
          <w:i/>
          <w:iCs/>
          <w:lang w:val="es-ES_tradnl" w:eastAsia="es-ES_tradnl"/>
        </w:rPr>
        <w:t xml:space="preserve"> primer</w:t>
      </w:r>
      <w:r>
        <w:rPr>
          <w:rFonts w:ascii="Verdana" w:eastAsia="Times New Roman" w:hAnsi="Verdana" w:cs="Arial"/>
          <w:i/>
          <w:iCs/>
          <w:lang w:val="es-ES_tradnl" w:eastAsia="es-ES_tradnl"/>
        </w:rPr>
        <w:t xml:space="preserve">a modificación </w:t>
      </w:r>
      <w:r>
        <w:rPr>
          <w:rFonts w:ascii="Verdana" w:eastAsia="Times New Roman" w:hAnsi="Verdana" w:cs="Arial"/>
          <w:lang w:val="es-ES_tradnl" w:eastAsia="es-ES_tradnl"/>
        </w:rPr>
        <w:t xml:space="preserve">está relacionada con </w:t>
      </w:r>
      <w:r w:rsidRPr="00D16A5E">
        <w:rPr>
          <w:rFonts w:ascii="Verdana" w:eastAsia="Times New Roman" w:hAnsi="Verdana" w:cs="Arial"/>
          <w:lang w:val="es-ES_tradnl" w:eastAsia="es-ES_tradnl"/>
        </w:rPr>
        <w:t>el ámbito temporal para ejercer la facultad de subsanar la oferta, pues la Ley 1882 de 2018 fijó una regla general y una excepción. La regla general es que</w:t>
      </w:r>
      <w:r>
        <w:rPr>
          <w:rFonts w:ascii="Verdana" w:eastAsia="Times New Roman" w:hAnsi="Verdana" w:cs="Arial"/>
          <w:lang w:val="es-ES_tradnl" w:eastAsia="es-ES_tradnl"/>
        </w:rPr>
        <w:t>,</w:t>
      </w:r>
      <w:r w:rsidRPr="00D16A5E">
        <w:rPr>
          <w:rFonts w:ascii="Verdana" w:eastAsia="Times New Roman" w:hAnsi="Verdana" w:cs="Arial"/>
          <w:lang w:val="es-ES_tradnl" w:eastAsia="es-ES_tradnl"/>
        </w:rPr>
        <w:t xml:space="preserve"> el límite para que la entidad solicite y para que el proponente corrija lo que haga falta es hasta el término de traslado del informe de evaluación que corresponda a cada modalidad de selección. La excepción es que el límite anterior no aplica para los procesos de mínima cuantía y para el proceso de selección a través del sistema de subasta</w:t>
      </w:r>
      <w:r w:rsidRPr="00D16A5E">
        <w:rPr>
          <w:rFonts w:ascii="Verdana" w:eastAsia="Times New Roman" w:hAnsi="Verdana" w:cs="Arial"/>
          <w:vertAlign w:val="superscript"/>
          <w:lang w:val="es-ES_tradnl" w:eastAsia="es-ES_tradnl"/>
        </w:rPr>
        <w:footnoteReference w:id="4"/>
      </w:r>
      <w:r>
        <w:rPr>
          <w:rFonts w:ascii="Verdana" w:eastAsia="Times New Roman" w:hAnsi="Verdana" w:cs="Arial"/>
          <w:lang w:val="es-ES_tradnl" w:eastAsia="es-ES_tradnl"/>
        </w:rPr>
        <w:t>.</w:t>
      </w:r>
    </w:p>
    <w:p w14:paraId="15B5F0CA" w14:textId="77777777" w:rsidR="007E4A13" w:rsidRPr="00D16A5E" w:rsidRDefault="007E4A13" w:rsidP="007E4A13">
      <w:pPr>
        <w:spacing w:after="120" w:line="276" w:lineRule="auto"/>
        <w:ind w:firstLine="709"/>
        <w:jc w:val="both"/>
        <w:rPr>
          <w:rFonts w:ascii="Verdana" w:eastAsia="Times New Roman" w:hAnsi="Verdana" w:cs="Arial"/>
          <w:lang w:val="es-ES" w:eastAsia="es-ES"/>
        </w:rPr>
      </w:pPr>
      <w:r w:rsidRPr="15932803">
        <w:rPr>
          <w:rFonts w:ascii="Verdana" w:eastAsia="Times New Roman" w:hAnsi="Verdana" w:cs="Arial"/>
          <w:lang w:val="es-ES" w:eastAsia="es-ES"/>
        </w:rPr>
        <w:t>Frente a la regla general aplicable a los demás procesos de selección, la norma fijó un límite final para que la Administración y los oferentes subsanen los requisitos o documentos que puedan y deban ser subsanados. No obstante lo anterior, nada impide, y la norma no lo hace, que la Administración requiera al proponente antes de publicar el informe de evaluación. En efecto, la redacción de la norma permite que la Administración solicite a los oferentes subsanar y que estos lo hagan hasta antes del término del traslado del informe de evaluación: “</w:t>
      </w:r>
      <w:r w:rsidRPr="15932803">
        <w:rPr>
          <w:rFonts w:ascii="Verdana" w:eastAsia="Times New Roman" w:hAnsi="Verdana" w:cs="Arial"/>
          <w:i/>
          <w:iCs/>
          <w:lang w:val="es-ES" w:eastAsia="es-ES"/>
        </w:rPr>
        <w:t>deberán ser solicitados por las entidades estatales y deberán ser entregados por los proponentes hasta el término de traslado del informe de evaluación que corresponda a cada modalidad de selección”.</w:t>
      </w:r>
      <w:r w:rsidRPr="15932803">
        <w:rPr>
          <w:rFonts w:ascii="Verdana" w:eastAsia="Times New Roman" w:hAnsi="Verdana" w:cs="Arial"/>
          <w:lang w:val="es-ES" w:eastAsia="es-ES"/>
        </w:rPr>
        <w:t xml:space="preserve"> </w:t>
      </w:r>
    </w:p>
    <w:p w14:paraId="7FE32183" w14:textId="77777777" w:rsidR="007E4A13" w:rsidRPr="00D16A5E" w:rsidRDefault="007E4A13" w:rsidP="007E4A13">
      <w:pPr>
        <w:spacing w:after="120" w:line="276" w:lineRule="auto"/>
        <w:ind w:firstLine="709"/>
        <w:jc w:val="both"/>
        <w:rPr>
          <w:rFonts w:ascii="Verdana" w:eastAsia="Times New Roman" w:hAnsi="Verdana" w:cs="Arial"/>
          <w:lang w:val="es-ES" w:eastAsia="es-ES"/>
        </w:rPr>
      </w:pPr>
      <w:r>
        <w:rPr>
          <w:rFonts w:ascii="Verdana" w:eastAsia="Times New Roman" w:hAnsi="Verdana" w:cs="Arial"/>
          <w:lang w:val="es-ES" w:eastAsia="es-ES"/>
        </w:rPr>
        <w:t>Sin perjuicio de lo expuesto</w:t>
      </w:r>
      <w:r w:rsidRPr="00D16A5E">
        <w:rPr>
          <w:rFonts w:ascii="Verdana" w:eastAsia="Times New Roman" w:hAnsi="Verdana" w:cs="Arial"/>
          <w:lang w:val="es-ES" w:eastAsia="es-ES"/>
        </w:rPr>
        <w:t>, de la lectura de este aparte podrían, en la práctica, darse dos interpretaciones que dan lugar a dos formas de proceder en los procesos de selección, en lo que a la subsanabilidad de las ofertas se refiere. Primera, que la posibilidad para subsanar de los oferentes es el término del traslado del informe de evaluación, ya que es en este documento donde la Administración consigna los requisitos o documentos omitidos que los oferentes deben subsanar, so pena de rechazo</w:t>
      </w:r>
      <w:r>
        <w:rPr>
          <w:rFonts w:ascii="Verdana" w:eastAsia="Times New Roman" w:hAnsi="Verdana" w:cs="Arial"/>
          <w:lang w:val="es-ES" w:eastAsia="es-ES"/>
        </w:rPr>
        <w:t>. S</w:t>
      </w:r>
      <w:r w:rsidRPr="00D16A5E">
        <w:rPr>
          <w:rFonts w:ascii="Verdana" w:eastAsia="Times New Roman" w:hAnsi="Verdana" w:cs="Arial"/>
          <w:lang w:val="es-ES" w:eastAsia="es-ES"/>
        </w:rPr>
        <w:t xml:space="preserve">egunda, que el término del traslado del informe de evaluación es el </w:t>
      </w:r>
      <w:r w:rsidRPr="00D16A5E">
        <w:rPr>
          <w:rFonts w:ascii="Verdana" w:eastAsia="Times New Roman" w:hAnsi="Verdana" w:cs="Arial"/>
          <w:i/>
          <w:lang w:val="es-ES" w:eastAsia="es-ES"/>
        </w:rPr>
        <w:t>límite</w:t>
      </w:r>
      <w:r w:rsidRPr="00D16A5E">
        <w:rPr>
          <w:rFonts w:ascii="Verdana" w:eastAsia="Times New Roman" w:hAnsi="Verdana" w:cs="Arial"/>
          <w:lang w:val="es-ES" w:eastAsia="es-ES"/>
        </w:rPr>
        <w:t xml:space="preserve"> para la subsanación de ofertas, pero no el único momento para hacerlo. </w:t>
      </w:r>
    </w:p>
    <w:p w14:paraId="4789ACA3" w14:textId="77777777" w:rsidR="007E4A13" w:rsidRPr="00D16A5E" w:rsidRDefault="007E4A13" w:rsidP="007E4A13">
      <w:pPr>
        <w:spacing w:after="120" w:line="276" w:lineRule="auto"/>
        <w:ind w:firstLine="709"/>
        <w:jc w:val="both"/>
        <w:rPr>
          <w:rFonts w:ascii="Verdana" w:eastAsia="Times New Roman" w:hAnsi="Verdana" w:cs="Arial"/>
          <w:lang w:val="es-ES_tradnl" w:eastAsia="es-ES_tradnl"/>
        </w:rPr>
      </w:pPr>
      <w:r w:rsidRPr="00D16A5E">
        <w:rPr>
          <w:rFonts w:ascii="Verdana" w:eastAsia="Times New Roman" w:hAnsi="Verdana" w:cs="Arial"/>
          <w:lang w:val="es-ES_tradnl" w:eastAsia="es-ES_tradnl"/>
        </w:rPr>
        <w:t>De acuerdo con la primera interpretación, el informe de evaluación se convierte en la oportunidad que adopta la Administración para decirles a los oferentes qué documentos o requisitos omitieron y deben subsanar</w:t>
      </w:r>
      <w:r>
        <w:rPr>
          <w:rFonts w:ascii="Verdana" w:eastAsia="Times New Roman" w:hAnsi="Verdana" w:cs="Arial"/>
          <w:lang w:val="es-ES_tradnl" w:eastAsia="es-ES_tradnl"/>
        </w:rPr>
        <w:t>. C</w:t>
      </w:r>
      <w:r w:rsidRPr="00D16A5E">
        <w:rPr>
          <w:rFonts w:ascii="Verdana" w:eastAsia="Times New Roman" w:hAnsi="Verdana" w:cs="Arial"/>
          <w:lang w:val="es-ES_tradnl" w:eastAsia="es-ES_tradnl"/>
        </w:rPr>
        <w:t xml:space="preserve">onsecuentemente, el término del traslado es la oportunidad del proponente para cumplir con lo solicitado.  </w:t>
      </w:r>
    </w:p>
    <w:p w14:paraId="07B0B39F" w14:textId="77777777" w:rsidR="007E4A13" w:rsidRPr="00D16A5E" w:rsidRDefault="007E4A13" w:rsidP="007E4A13">
      <w:pPr>
        <w:spacing w:after="120" w:line="276" w:lineRule="auto"/>
        <w:ind w:firstLine="709"/>
        <w:jc w:val="both"/>
        <w:rPr>
          <w:rFonts w:ascii="Verdana" w:eastAsia="Times New Roman" w:hAnsi="Verdana" w:cs="Arial"/>
          <w:lang w:val="es-ES_tradnl" w:eastAsia="es-ES_tradnl"/>
        </w:rPr>
      </w:pPr>
      <w:r w:rsidRPr="00D16A5E">
        <w:rPr>
          <w:rFonts w:ascii="Verdana" w:eastAsia="Times New Roman" w:hAnsi="Verdana" w:cs="Arial"/>
          <w:lang w:val="es-ES_tradnl" w:eastAsia="es-ES_tradnl"/>
        </w:rPr>
        <w:lastRenderedPageBreak/>
        <w:t>La segunda interpretación permitiría que la Administración requiera al oferente durante el proceso de evaluación de las propuestas, tan pronto advierta que hace falta un documento o requisito que se puede subsanar. En este caso, el proceso de subsanación se podría realizar con anterioridad a la publicación del informe de evaluación, de manera que, una vez se publique el informe ya se encuentren subsanadas las propuestas, sin perjuicio del término límite que concedió la ley.</w:t>
      </w:r>
    </w:p>
    <w:p w14:paraId="20E79C67" w14:textId="77777777" w:rsidR="007E4A13" w:rsidRPr="00D16A5E" w:rsidRDefault="007E4A13" w:rsidP="007E4A13">
      <w:pPr>
        <w:spacing w:after="120" w:line="276" w:lineRule="auto"/>
        <w:ind w:firstLine="709"/>
        <w:jc w:val="both"/>
        <w:rPr>
          <w:rFonts w:ascii="Verdana" w:eastAsia="Times New Roman" w:hAnsi="Verdana" w:cs="Arial"/>
          <w:lang w:val="es-ES" w:eastAsia="es-ES"/>
        </w:rPr>
      </w:pPr>
      <w:r w:rsidRPr="00D16A5E">
        <w:rPr>
          <w:rFonts w:ascii="Verdana" w:eastAsia="Times New Roman" w:hAnsi="Verdana" w:cs="Arial"/>
          <w:lang w:val="es-ES" w:eastAsia="es-ES"/>
        </w:rPr>
        <w:t>La modificación introducida por el artículo 5 de la Ley 1882 de 2018, si bien pudo significar, en la práctica de los procesos de selección, que el informe de evaluación fuera la oportunidad de la Administración para requerir al proponente para que subsane la oferta, y el término del traslado la oportunidad para hacerlo, lo cierto es que no impide que esto se realice con anterioridad a la publicación del informe</w:t>
      </w:r>
      <w:r>
        <w:rPr>
          <w:rFonts w:ascii="Verdana" w:eastAsia="Times New Roman" w:hAnsi="Verdana" w:cs="Arial"/>
          <w:lang w:val="es-ES" w:eastAsia="es-ES"/>
        </w:rPr>
        <w:t>. I</w:t>
      </w:r>
      <w:r w:rsidRPr="00D16A5E">
        <w:rPr>
          <w:rFonts w:ascii="Verdana" w:eastAsia="Times New Roman" w:hAnsi="Verdana" w:cs="Arial"/>
          <w:lang w:val="es-ES" w:eastAsia="es-ES"/>
        </w:rPr>
        <w:t>nclusive, es más adecuado y conveniente que la subsanación de las ofertas se intente con anterioridad, de forma que, una vez la Administración advierta el defecto le solicite directamente al oferente que subsane. Esta interpretación es más consistente con los principios de economía, transparencia y selección objetiva. Lo anterior, se aclara, sin desconocer el límite que establece la norma para que los oferentes, sin perjuicio de que lo hagan antes, cuenten hasta el término de traslado del informe de evaluación con la posibilidad de presentar la información solicitada.</w:t>
      </w:r>
    </w:p>
    <w:p w14:paraId="7067D363" w14:textId="77777777" w:rsidR="007E4A13" w:rsidRPr="00D16A5E" w:rsidRDefault="007E4A13" w:rsidP="007E4A13">
      <w:pPr>
        <w:spacing w:after="120" w:line="276" w:lineRule="auto"/>
        <w:ind w:firstLine="709"/>
        <w:jc w:val="both"/>
        <w:rPr>
          <w:rFonts w:ascii="Verdana" w:eastAsia="Times New Roman" w:hAnsi="Verdana" w:cs="Arial"/>
          <w:lang w:val="es-ES_tradnl" w:eastAsia="es-ES_tradnl"/>
        </w:rPr>
      </w:pPr>
      <w:r w:rsidRPr="00D16A5E">
        <w:rPr>
          <w:rFonts w:ascii="Verdana" w:eastAsia="Times New Roman" w:hAnsi="Verdana" w:cs="Arial"/>
          <w:lang w:val="es-ES_tradnl" w:eastAsia="es-ES_tradnl"/>
        </w:rPr>
        <w:t xml:space="preserve">El </w:t>
      </w:r>
      <w:r w:rsidRPr="003049F6">
        <w:rPr>
          <w:rFonts w:ascii="Verdana" w:eastAsia="Times New Roman" w:hAnsi="Verdana" w:cs="Arial"/>
          <w:i/>
          <w:iCs/>
          <w:lang w:val="es-ES_tradnl" w:eastAsia="es-ES_tradnl"/>
        </w:rPr>
        <w:t>segundo cambio</w:t>
      </w:r>
      <w:r w:rsidRPr="00D16A5E">
        <w:rPr>
          <w:rFonts w:ascii="Verdana" w:eastAsia="Times New Roman" w:hAnsi="Verdana" w:cs="Arial"/>
          <w:lang w:val="es-ES_tradnl" w:eastAsia="es-ES_tradnl"/>
        </w:rPr>
        <w:t xml:space="preserve"> importante de la Ley 1882 de 2018 fue la introducción de un criterio material, directamente relacionado con los aspectos subsanables: </w:t>
      </w:r>
      <w:r w:rsidRPr="00D16A5E">
        <w:rPr>
          <w:rFonts w:ascii="Verdana" w:eastAsia="Times New Roman" w:hAnsi="Verdana" w:cs="Arial"/>
          <w:i/>
          <w:iCs/>
          <w:lang w:val="es-ES_tradnl" w:eastAsia="es-ES_tradnl"/>
        </w:rPr>
        <w:t>“los proponentes no podrán acreditar circunstancias ocurridas con posterioridad al cierre del proceso”.</w:t>
      </w:r>
      <w:r w:rsidRPr="00D16A5E">
        <w:rPr>
          <w:rFonts w:ascii="Verdana" w:eastAsia="Times New Roman" w:hAnsi="Verdana" w:cs="Arial"/>
          <w:lang w:val="es-ES_tradnl" w:eastAsia="es-ES_tradnl"/>
        </w:rPr>
        <w:t xml:space="preserve"> Lo anterior ofrece dos aspectos que merecen clarificación</w:t>
      </w:r>
      <w:r>
        <w:rPr>
          <w:rFonts w:ascii="Verdana" w:eastAsia="Times New Roman" w:hAnsi="Verdana" w:cs="Arial"/>
          <w:lang w:val="es-ES_tradnl" w:eastAsia="es-ES_tradnl"/>
        </w:rPr>
        <w:t>;</w:t>
      </w:r>
      <w:r w:rsidRPr="00D16A5E">
        <w:rPr>
          <w:rFonts w:ascii="Verdana" w:eastAsia="Times New Roman" w:hAnsi="Verdana" w:cs="Arial"/>
          <w:lang w:val="es-ES_tradnl" w:eastAsia="es-ES_tradnl"/>
        </w:rPr>
        <w:t xml:space="preserve"> primero, qué debe entenderse por circunstancias ocurridas con posterioridad; y segundo, qué es el cierre del proceso. </w:t>
      </w:r>
    </w:p>
    <w:p w14:paraId="5A25711A" w14:textId="77777777" w:rsidR="007E4A13" w:rsidRPr="00D16A5E" w:rsidRDefault="007E4A13" w:rsidP="007E4A13">
      <w:pPr>
        <w:spacing w:after="120" w:line="276" w:lineRule="auto"/>
        <w:ind w:firstLine="709"/>
        <w:jc w:val="both"/>
        <w:rPr>
          <w:rFonts w:ascii="Verdana" w:eastAsia="Times New Roman" w:hAnsi="Verdana" w:cs="Arial"/>
          <w:lang w:val="es-ES" w:eastAsia="es-ES"/>
        </w:rPr>
      </w:pPr>
      <w:r w:rsidRPr="00D16A5E">
        <w:rPr>
          <w:rFonts w:ascii="Verdana" w:eastAsia="Times New Roman" w:hAnsi="Verdana" w:cs="Arial"/>
          <w:lang w:val="es-ES" w:eastAsia="es-ES"/>
        </w:rPr>
        <w:t>La Sala de Consulta y Servicio Civil del Consejo de Estado ya había tenido la oportunidad de precisar estas expresiones, a propósito de un concepto en el que se refirió al artículo 10 del derogado Decreto 2474 de 2008, que había determinado que en ningún caso la entidad podía permitir que se acreditaran circunstancias ocurridas con posterioridad al cierre del proceso. E</w:t>
      </w:r>
      <w:r>
        <w:rPr>
          <w:rFonts w:ascii="Verdana" w:eastAsia="Times New Roman" w:hAnsi="Verdana" w:cs="Arial"/>
          <w:lang w:val="es-ES" w:eastAsia="es-ES"/>
        </w:rPr>
        <w:t>n esa ocasión, e</w:t>
      </w:r>
      <w:r w:rsidRPr="00D16A5E">
        <w:rPr>
          <w:rFonts w:ascii="Verdana" w:eastAsia="Times New Roman" w:hAnsi="Verdana" w:cs="Arial"/>
          <w:lang w:val="es-ES" w:eastAsia="es-ES"/>
        </w:rPr>
        <w:t>l Consejo de Estado precisó que</w:t>
      </w:r>
      <w:r>
        <w:rPr>
          <w:rFonts w:ascii="Verdana" w:eastAsia="Times New Roman" w:hAnsi="Verdana" w:cs="Arial"/>
          <w:lang w:val="es-ES" w:eastAsia="es-ES"/>
        </w:rPr>
        <w:t>,</w:t>
      </w:r>
      <w:r w:rsidRPr="00D16A5E">
        <w:rPr>
          <w:rFonts w:ascii="Verdana" w:eastAsia="Times New Roman" w:hAnsi="Verdana" w:cs="Arial"/>
          <w:lang w:val="es-ES" w:eastAsia="es-ES"/>
        </w:rPr>
        <w:t xml:space="preserve"> por cierre del proceso debe entenders</w:t>
      </w:r>
      <w:r w:rsidRPr="000C12F6">
        <w:rPr>
          <w:rFonts w:ascii="Verdana" w:eastAsia="Times New Roman" w:hAnsi="Verdana" w:cs="Arial"/>
          <w:lang w:val="es-ES" w:eastAsia="es-ES"/>
        </w:rPr>
        <w:t xml:space="preserve">e el </w:t>
      </w:r>
      <w:r w:rsidRPr="000C12F6">
        <w:rPr>
          <w:rFonts w:ascii="Verdana" w:eastAsia="Times New Roman" w:hAnsi="Verdana" w:cs="Arial"/>
          <w:lang w:val="es-ES" w:eastAsia="es-ES"/>
        </w:rPr>
        <w:lastRenderedPageBreak/>
        <w:t xml:space="preserve">vencimiento del plazo para la presentación de las ofertas y que </w:t>
      </w:r>
      <w:r w:rsidRPr="00D16A5E">
        <w:rPr>
          <w:rFonts w:ascii="Verdana" w:eastAsia="Times New Roman" w:hAnsi="Verdana" w:cs="Arial"/>
          <w:lang w:val="es-ES" w:eastAsia="es-ES"/>
        </w:rPr>
        <w:t>lo subsanable son las circunstancias que ocurrieron con anterioridad a esa fecha</w:t>
      </w:r>
      <w:r w:rsidRPr="00D16A5E">
        <w:rPr>
          <w:rFonts w:ascii="Verdana" w:eastAsia="Times New Roman" w:hAnsi="Verdana" w:cs="Arial"/>
          <w:vertAlign w:val="superscript"/>
          <w:lang w:val="es-ES" w:eastAsia="es-ES"/>
        </w:rPr>
        <w:footnoteReference w:id="5"/>
      </w:r>
      <w:r w:rsidRPr="00D16A5E">
        <w:rPr>
          <w:rFonts w:ascii="Verdana" w:eastAsia="Times New Roman" w:hAnsi="Verdana" w:cs="Arial"/>
          <w:lang w:val="es-ES" w:eastAsia="es-ES"/>
        </w:rPr>
        <w:t>.</w:t>
      </w:r>
    </w:p>
    <w:p w14:paraId="6970E143" w14:textId="77777777" w:rsidR="007E4A13" w:rsidRPr="00D16A5E" w:rsidRDefault="007E4A13" w:rsidP="007E4A13">
      <w:pPr>
        <w:spacing w:after="120" w:line="276" w:lineRule="auto"/>
        <w:ind w:firstLine="709"/>
        <w:jc w:val="both"/>
        <w:rPr>
          <w:rFonts w:ascii="Verdana" w:eastAsia="Times New Roman" w:hAnsi="Verdana" w:cs="Arial"/>
          <w:lang w:val="es-ES_tradnl" w:eastAsia="es-ES_tradnl"/>
        </w:rPr>
      </w:pPr>
      <w:r w:rsidRPr="00D16A5E">
        <w:rPr>
          <w:rFonts w:ascii="Verdana" w:eastAsia="Times New Roman" w:hAnsi="Verdana" w:cs="Arial"/>
          <w:lang w:val="es-ES_tradnl" w:eastAsia="es-ES_tradnl"/>
        </w:rPr>
        <w:t xml:space="preserve">De conformidad con el artículo 5 de la Ley 1882 de 2018, lo subsanable es la prueba de todas las circunstancias ocurridas antes del vencimiento del término para presentar las ofertas, ello es lo que implica la prohibición de acreditar circunstancias ocurridas con posterioridad al “cierre del proceso”. Lo anterior evita, por ejemplo, que se presenten oferentes que no cumplían con los requisitos para participar al momento de presentar las ofertas, y pretendan cumplirlos durante el proceso de selección o, inclusive, que se puedan variar condiciones de la oferta una vez presentada. </w:t>
      </w:r>
    </w:p>
    <w:p w14:paraId="2A7EB9FB" w14:textId="77777777" w:rsidR="007E4A13" w:rsidRPr="00D16A5E" w:rsidRDefault="007E4A13" w:rsidP="007E4A13">
      <w:pPr>
        <w:spacing w:after="120" w:line="276" w:lineRule="auto"/>
        <w:ind w:firstLine="709"/>
        <w:jc w:val="both"/>
        <w:rPr>
          <w:rFonts w:ascii="Verdana" w:eastAsia="Times New Roman" w:hAnsi="Verdana" w:cs="Arial"/>
          <w:lang w:val="es-ES" w:eastAsia="es-ES"/>
        </w:rPr>
      </w:pPr>
      <w:r w:rsidRPr="00D16A5E">
        <w:rPr>
          <w:rFonts w:ascii="Verdana" w:eastAsia="Times New Roman" w:hAnsi="Verdana" w:cs="Arial"/>
          <w:lang w:val="es-ES" w:eastAsia="es-ES"/>
        </w:rPr>
        <w:t xml:space="preserve">Un mejor entendimiento del significado de la expresión </w:t>
      </w:r>
      <w:r w:rsidRPr="00D16A5E">
        <w:rPr>
          <w:rFonts w:ascii="Verdana" w:eastAsia="Times New Roman" w:hAnsi="Verdana" w:cs="Arial"/>
          <w:i/>
          <w:lang w:val="es-ES" w:eastAsia="es-ES"/>
        </w:rPr>
        <w:t>“circunstancias ocurridas con posterioridad al cierre del proce</w:t>
      </w:r>
      <w:r w:rsidRPr="000C12F6">
        <w:rPr>
          <w:rFonts w:ascii="Verdana" w:eastAsia="Times New Roman" w:hAnsi="Verdana" w:cs="Arial"/>
          <w:i/>
          <w:lang w:val="es-ES" w:eastAsia="es-ES"/>
        </w:rPr>
        <w:t>so”</w:t>
      </w:r>
      <w:r w:rsidRPr="000C12F6">
        <w:rPr>
          <w:rFonts w:ascii="Verdana" w:eastAsia="Times New Roman" w:hAnsi="Verdana" w:cs="Arial"/>
          <w:lang w:val="es-ES" w:eastAsia="es-ES"/>
        </w:rPr>
        <w:t xml:space="preserve"> implica distinguir entre la prueba de un hecho y el hecho mismo. En</w:t>
      </w:r>
      <w:r w:rsidRPr="00D16A5E">
        <w:rPr>
          <w:rFonts w:ascii="Verdana" w:eastAsia="Times New Roman" w:hAnsi="Verdana" w:cs="Arial"/>
          <w:lang w:val="es-ES" w:eastAsia="es-ES"/>
        </w:rPr>
        <w:t xml:space="preserve"> el caso de la subsanabilidad de las ofertas, una cosa es el requisito habilitante o el elemento de la propuesta y otra su prueba. Lo que prohíbe la norma es que se subsanen requisitos que no estaban materialmente cumplidos al momento de presentación de la oferta, o en palabras de la ley, que se acrediten hechos que ocurrieron después del cierre del proceso</w:t>
      </w:r>
      <w:r w:rsidRPr="00D16A5E">
        <w:rPr>
          <w:rFonts w:ascii="Verdana" w:eastAsia="Times New Roman" w:hAnsi="Verdana" w:cs="Arial"/>
          <w:vertAlign w:val="superscript"/>
          <w:lang w:val="es-ES" w:eastAsia="es-ES"/>
        </w:rPr>
        <w:footnoteReference w:id="6"/>
      </w:r>
      <w:r w:rsidRPr="00D16A5E">
        <w:rPr>
          <w:rFonts w:ascii="Verdana" w:eastAsia="Times New Roman" w:hAnsi="Verdana" w:cs="Arial"/>
          <w:lang w:val="es-ES" w:eastAsia="es-ES"/>
        </w:rPr>
        <w:t xml:space="preserve">. </w:t>
      </w:r>
    </w:p>
    <w:p w14:paraId="5AB1A893" w14:textId="77777777" w:rsidR="007E4A13" w:rsidRPr="00D16A5E" w:rsidRDefault="007E4A13" w:rsidP="007E4A13">
      <w:pPr>
        <w:spacing w:after="120" w:line="276" w:lineRule="auto"/>
        <w:ind w:firstLine="709"/>
        <w:jc w:val="both"/>
        <w:rPr>
          <w:rFonts w:ascii="Verdana" w:eastAsia="Times New Roman" w:hAnsi="Verdana" w:cs="Arial"/>
          <w:lang w:val="es-ES" w:eastAsia="es-ES"/>
        </w:rPr>
      </w:pPr>
      <w:r w:rsidRPr="00D16A5E">
        <w:rPr>
          <w:rFonts w:ascii="Verdana" w:eastAsia="Times New Roman" w:hAnsi="Verdana" w:cs="Arial"/>
          <w:lang w:val="es-ES" w:eastAsia="es-ES"/>
        </w:rPr>
        <w:t xml:space="preserve">Por ejemplo: i) si un oferente olvidó adjuntar con su propuesta el certificado que da cuenta de su inscripción en el RUP, el requisito será </w:t>
      </w:r>
      <w:r w:rsidRPr="00D16A5E">
        <w:rPr>
          <w:rFonts w:ascii="Verdana" w:eastAsia="Times New Roman" w:hAnsi="Verdana" w:cs="Arial"/>
          <w:lang w:val="es-ES" w:eastAsia="es-ES"/>
        </w:rPr>
        <w:lastRenderedPageBreak/>
        <w:t>subsanable siempre que la prueba allegada demuestre que el hecho, esto es, la inscripción en el registro, ocurrió con anterioridad al cierre del proceso, estando está en firme para dicho momento; ii) si un oferente presentó la propuesta sin allegar la autorización al representante legal, por parte de la junta directiva de la sociedad, el certificado, aunque sea posterior, debe dar cuenta de que el hecho que pretende acreditar –la autorización de la junta– ocurrió antes del vencimiento del término para ofertar</w:t>
      </w:r>
      <w:r w:rsidRPr="00D16A5E">
        <w:rPr>
          <w:rFonts w:ascii="Verdana" w:eastAsia="Times New Roman" w:hAnsi="Verdana" w:cs="Arial"/>
          <w:vertAlign w:val="superscript"/>
          <w:lang w:val="es-ES" w:eastAsia="es-ES"/>
        </w:rPr>
        <w:footnoteReference w:id="7"/>
      </w:r>
      <w:r w:rsidRPr="00D16A5E">
        <w:rPr>
          <w:rFonts w:ascii="Verdana" w:eastAsia="Times New Roman" w:hAnsi="Verdana" w:cs="Arial"/>
          <w:lang w:val="es-ES" w:eastAsia="es-ES"/>
        </w:rPr>
        <w:t>; iii) si un oferente no anexó el Certificado de existencia y representación legal, el documento aportado con posterioridad debe dar cuenta de que la sociedad existía antes del cierre del proceso</w:t>
      </w:r>
      <w:r w:rsidRPr="00D16A5E">
        <w:rPr>
          <w:rFonts w:ascii="Verdana" w:eastAsia="Times New Roman" w:hAnsi="Verdana" w:cs="Arial"/>
          <w:vertAlign w:val="superscript"/>
          <w:lang w:val="es-ES" w:eastAsia="es-ES"/>
        </w:rPr>
        <w:footnoteReference w:id="8"/>
      </w:r>
      <w:r w:rsidRPr="00D16A5E">
        <w:rPr>
          <w:rFonts w:ascii="Verdana" w:eastAsia="Times New Roman" w:hAnsi="Verdana" w:cs="Arial"/>
          <w:lang w:val="es-ES" w:eastAsia="es-ES"/>
        </w:rPr>
        <w:t xml:space="preserve">; iv) si un oferente olvidó adjuntar un certificado que demuestra un título universitario, el </w:t>
      </w:r>
      <w:r w:rsidRPr="000C12F6">
        <w:rPr>
          <w:rFonts w:ascii="Verdana" w:eastAsia="Times New Roman" w:hAnsi="Verdana" w:cs="Arial"/>
          <w:lang w:val="es-ES" w:eastAsia="es-ES"/>
        </w:rPr>
        <w:t>documento, aunque tenga fecha posterior al cierre del proceso, debe</w:t>
      </w:r>
      <w:r w:rsidRPr="00D16A5E">
        <w:rPr>
          <w:rFonts w:ascii="Verdana" w:eastAsia="Times New Roman" w:hAnsi="Verdana" w:cs="Arial"/>
          <w:lang w:val="es-ES" w:eastAsia="es-ES"/>
        </w:rPr>
        <w:t xml:space="preserve"> acreditar que el título académico se obtuvo con anterioridad al cierre del proceso; v) si un oferente no allegó un certificado de experiencia, el documento que subsana –sin importar que tenga fecha posterior– debe demostrar que la experiencia que se pretende hacer valer se obtuvo antes de vencerse el término para presentar ofertas y vi) si el oferente olvidó firmar la propuesta o presentar una copia de ella, puede subsanar sin que con ello se entienda que acreditó una circunstancia ocurrida con posterioridad al cierre del proceso. </w:t>
      </w:r>
    </w:p>
    <w:p w14:paraId="6C9CF9CC" w14:textId="77777777" w:rsidR="007E4A13" w:rsidRDefault="007E4A13" w:rsidP="007E4A13">
      <w:pPr>
        <w:spacing w:after="120" w:line="276" w:lineRule="auto"/>
        <w:ind w:firstLine="709"/>
        <w:jc w:val="both"/>
        <w:rPr>
          <w:rFonts w:ascii="Verdana" w:eastAsia="Times New Roman" w:hAnsi="Verdana" w:cs="Arial"/>
          <w:i/>
          <w:lang w:val="es-ES" w:eastAsia="es-ES"/>
        </w:rPr>
      </w:pPr>
      <w:r w:rsidRPr="00C33859">
        <w:rPr>
          <w:rFonts w:ascii="Verdana" w:eastAsia="Times New Roman" w:hAnsi="Verdana" w:cs="Arial"/>
          <w:lang w:val="es-ES" w:eastAsia="es-ES"/>
        </w:rPr>
        <w:t>Lo anterior quiere decir que no es la prueba –usualmente un documento– lo que debe ser anterior al cierre del proceso, sino el hecho que ella acredita. Es</w:t>
      </w:r>
      <w:r w:rsidRPr="00D16A5E">
        <w:rPr>
          <w:rFonts w:ascii="Verdana" w:eastAsia="Times New Roman" w:hAnsi="Verdana" w:cs="Arial"/>
          <w:lang w:val="es-ES" w:eastAsia="es-ES"/>
        </w:rPr>
        <w:t xml:space="preserve"> decir, ante la solicitud de la Administración de subsanar determinado requisito, el documento podría estar fechado con posterioridad al vencimiento del término para recibir propuestas, siempre y cuando el hecho que acredite haya ocurrido antes, esto es, que no sea una circunstancia ocurrida con posterioridad al cierre del proceso. Es por esto que el Consejo de Estado sostiene que” lo que se subsana es la prueba y no la condición habilitante o un elemento de la propuesta [...] lo que se puede remediar es la prueba y no el requisito: La posibilidad debe recaer exclusivamente sobre circunstancias acaecidas antes del cierre del respectivo proceso, esto es, del vencimiento del plazo para presentar ofertas”</w:t>
      </w:r>
      <w:r w:rsidRPr="00D16A5E">
        <w:rPr>
          <w:rFonts w:ascii="Verdana" w:eastAsia="Times New Roman" w:hAnsi="Verdana" w:cs="Arial"/>
          <w:vertAlign w:val="superscript"/>
          <w:lang w:val="es-ES" w:eastAsia="es-ES"/>
        </w:rPr>
        <w:footnoteReference w:id="9"/>
      </w:r>
      <w:r w:rsidRPr="00D16A5E">
        <w:rPr>
          <w:rFonts w:ascii="Verdana" w:eastAsia="Times New Roman" w:hAnsi="Verdana" w:cs="Arial"/>
          <w:lang w:val="es-ES" w:eastAsia="es-ES"/>
        </w:rPr>
        <w:t>.</w:t>
      </w:r>
    </w:p>
    <w:p w14:paraId="5D28049D" w14:textId="77777777" w:rsidR="007E4A13" w:rsidRPr="009F4606" w:rsidRDefault="007E4A13" w:rsidP="007E4A13">
      <w:pPr>
        <w:spacing w:after="120" w:line="276" w:lineRule="auto"/>
        <w:ind w:firstLine="709"/>
        <w:jc w:val="both"/>
        <w:rPr>
          <w:rStyle w:val="eop"/>
          <w:rFonts w:ascii="Verdana" w:hAnsi="Verdana" w:cs="Arial"/>
          <w:color w:val="000000"/>
        </w:rPr>
      </w:pPr>
      <w:r w:rsidRPr="00246D72">
        <w:rPr>
          <w:rFonts w:ascii="Verdana" w:eastAsia="Times New Roman" w:hAnsi="Verdana" w:cs="Arial"/>
          <w:iCs/>
          <w:lang w:val="es-ES" w:eastAsia="es-ES"/>
        </w:rPr>
        <w:t>Ahora bien,</w:t>
      </w:r>
      <w:r>
        <w:rPr>
          <w:rFonts w:ascii="Verdana" w:eastAsia="Times New Roman" w:hAnsi="Verdana" w:cs="Arial"/>
          <w:i/>
          <w:lang w:val="es-ES" w:eastAsia="es-ES"/>
        </w:rPr>
        <w:t xml:space="preserve"> e</w:t>
      </w:r>
      <w:r w:rsidRPr="009F4606">
        <w:rPr>
          <w:rStyle w:val="normaltextrun"/>
          <w:rFonts w:ascii="Verdana" w:hAnsi="Verdana" w:cs="Arial"/>
          <w:color w:val="000000"/>
          <w:lang w:val="es-ES"/>
        </w:rPr>
        <w:t xml:space="preserve">l parágrafo 3 del artículo 5 de la Ley 1882 de 2018 determinó, de manera expresa, que </w:t>
      </w:r>
      <w:r>
        <w:rPr>
          <w:rStyle w:val="normaltextrun"/>
          <w:rFonts w:ascii="Verdana" w:hAnsi="Verdana" w:cs="Arial"/>
          <w:color w:val="000000"/>
          <w:lang w:val="es-ES"/>
        </w:rPr>
        <w:t>“</w:t>
      </w:r>
      <w:r w:rsidRPr="009F4606">
        <w:rPr>
          <w:rStyle w:val="normaltextrun"/>
          <w:rFonts w:ascii="Verdana" w:hAnsi="Verdana" w:cs="Arial"/>
          <w:color w:val="000000"/>
          <w:lang w:val="es-ES"/>
        </w:rPr>
        <w:t xml:space="preserve">la no entrega de la garantía de seriedad </w:t>
      </w:r>
      <w:r w:rsidRPr="009F4606">
        <w:rPr>
          <w:rStyle w:val="normaltextrun"/>
          <w:rFonts w:ascii="Verdana" w:hAnsi="Verdana" w:cs="Arial"/>
          <w:color w:val="000000"/>
          <w:lang w:val="es-ES"/>
        </w:rPr>
        <w:lastRenderedPageBreak/>
        <w:t>junto con la propuesta no será subsanable y será causal de rechazo de la misma</w:t>
      </w:r>
      <w:r>
        <w:rPr>
          <w:rStyle w:val="normaltextrun"/>
          <w:rFonts w:ascii="Verdana" w:hAnsi="Verdana" w:cs="Arial"/>
          <w:color w:val="000000"/>
          <w:lang w:val="es-ES"/>
        </w:rPr>
        <w:t>”</w:t>
      </w:r>
      <w:r w:rsidRPr="009F4606">
        <w:rPr>
          <w:rStyle w:val="normaltextrun"/>
          <w:rFonts w:ascii="Verdana" w:hAnsi="Verdana" w:cs="Arial"/>
          <w:color w:val="000000"/>
          <w:lang w:val="es-ES"/>
        </w:rPr>
        <w:t>, dejando claro que se trata de un documento de obligatoria presentación junto con la propuesta y que materializa los principios de seriedad e irrevocabilidad de la oferta.</w:t>
      </w:r>
      <w:r w:rsidRPr="009F4606">
        <w:rPr>
          <w:rStyle w:val="eop"/>
          <w:rFonts w:ascii="Verdana" w:hAnsi="Verdana" w:cs="Arial"/>
          <w:color w:val="000000"/>
        </w:rPr>
        <w:t> </w:t>
      </w:r>
    </w:p>
    <w:p w14:paraId="6345DE77" w14:textId="77777777" w:rsidR="007E4A13" w:rsidRDefault="007E4A13" w:rsidP="007E4A13">
      <w:pPr>
        <w:spacing w:after="120" w:line="276" w:lineRule="auto"/>
        <w:ind w:firstLine="709"/>
        <w:jc w:val="both"/>
        <w:rPr>
          <w:rFonts w:ascii="Verdana" w:eastAsia="Times New Roman" w:hAnsi="Verdana" w:cs="Arial"/>
          <w:lang w:val="es-ES" w:eastAsia="es-ES"/>
        </w:rPr>
      </w:pPr>
      <w:r w:rsidRPr="50927A94">
        <w:rPr>
          <w:rFonts w:ascii="Verdana" w:eastAsia="Times New Roman" w:hAnsi="Verdana" w:cs="Arial"/>
          <w:lang w:val="es-ES" w:eastAsia="es-ES"/>
        </w:rPr>
        <w:t>Visto lo anterior,</w:t>
      </w:r>
      <w:r>
        <w:rPr>
          <w:rFonts w:ascii="Verdana" w:eastAsia="Times New Roman" w:hAnsi="Verdana" w:cs="Arial"/>
          <w:lang w:val="es-ES" w:eastAsia="es-ES"/>
        </w:rPr>
        <w:t xml:space="preserve"> con miras a dar respuesta al problema jurídico planteado, debe decirse que,</w:t>
      </w:r>
      <w:r w:rsidRPr="50927A94">
        <w:rPr>
          <w:rFonts w:ascii="Verdana" w:eastAsia="Times New Roman" w:hAnsi="Verdana" w:cs="Arial"/>
          <w:lang w:val="es-ES" w:eastAsia="es-ES"/>
        </w:rPr>
        <w:t xml:space="preserve"> una vez verificada la ausencia de requisitos y/o documentos de la oferta, para efectos de saber si se pueden subsanar, la Administración se debe preguntar</w:t>
      </w:r>
      <w:r>
        <w:rPr>
          <w:rFonts w:ascii="Verdana" w:eastAsia="Times New Roman" w:hAnsi="Verdana" w:cs="Arial"/>
          <w:lang w:val="es-ES" w:eastAsia="es-ES"/>
        </w:rPr>
        <w:t xml:space="preserve">: </w:t>
      </w:r>
      <w:r w:rsidRPr="50927A94">
        <w:rPr>
          <w:rFonts w:ascii="Verdana" w:eastAsia="Times New Roman" w:hAnsi="Verdana" w:cs="Arial"/>
          <w:lang w:val="es-ES" w:eastAsia="es-ES"/>
        </w:rPr>
        <w:t>en primer lugar, si lo que hace falta es un documento que afecte la asignación de puntaje o no y</w:t>
      </w:r>
      <w:r>
        <w:rPr>
          <w:rFonts w:ascii="Verdana" w:eastAsia="Times New Roman" w:hAnsi="Verdana" w:cs="Arial"/>
          <w:lang w:val="es-ES" w:eastAsia="es-ES"/>
        </w:rPr>
        <w:t>;</w:t>
      </w:r>
      <w:r w:rsidRPr="50927A94">
        <w:rPr>
          <w:rFonts w:ascii="Verdana" w:eastAsia="Times New Roman" w:hAnsi="Verdana" w:cs="Arial"/>
          <w:lang w:val="es-ES" w:eastAsia="es-ES"/>
        </w:rPr>
        <w:t xml:space="preserve"> en segundo lugar, si el cumplimiento del requisito constituye una circunstancia ocurrida con anterioridad o con posterioridad al cierre del proceso. Para arribar a la conclusión de que lo omitido puede subsanarse, la respuesta al primer interrogante debe ser negativa, es decir, que lo omitido no sea un factor que afecte la asignación de puntaje y la respuesta al segundo interrogante debe dar cuenta de que lo omitido sea la prueba de una circunstancia o hecho que ocurrió con anterioridad al cierre del proceso.</w:t>
      </w:r>
    </w:p>
    <w:p w14:paraId="0A74567F" w14:textId="77777777" w:rsidR="007E4A13" w:rsidRPr="001A10D9" w:rsidRDefault="007E4A13" w:rsidP="007E4A13">
      <w:pPr>
        <w:spacing w:after="120" w:line="276" w:lineRule="auto"/>
        <w:ind w:firstLine="709"/>
        <w:jc w:val="both"/>
        <w:rPr>
          <w:rFonts w:ascii="Verdana" w:hAnsi="Verdana" w:cs="Arial"/>
          <w:noProof/>
          <w:lang w:val="es-ES_tradnl"/>
        </w:rPr>
      </w:pPr>
      <w:r w:rsidRPr="001A10D9">
        <w:rPr>
          <w:rFonts w:ascii="Verdana" w:hAnsi="Verdana" w:cs="Arial"/>
          <w:noProof/>
          <w:lang w:val="es-ES_tradnl"/>
        </w:rPr>
        <w:t xml:space="preserve">En conclusion, los requisitos o documentos que no sean necesarios para la comparación de las ofertas pueden subsanarse y todo lo que no sea necesario para la comparación de propuestas no es título suficiente para su rechazo. En sentido, </w:t>
      </w:r>
      <w:r>
        <w:rPr>
          <w:rFonts w:ascii="Verdana" w:hAnsi="Verdana" w:cs="Arial"/>
          <w:noProof/>
          <w:lang w:val="es-ES_tradnl"/>
        </w:rPr>
        <w:t xml:space="preserve">a manera de ejemplo, </w:t>
      </w:r>
      <w:r w:rsidRPr="001A10D9">
        <w:rPr>
          <w:rFonts w:ascii="Verdana" w:hAnsi="Verdana" w:cs="Arial"/>
          <w:noProof/>
          <w:lang w:val="es-ES_tradnl"/>
        </w:rPr>
        <w:t xml:space="preserve">si en un concurso de méritos se presentó a un profesional para cumplir con un perfil solicitado como requisito habilitante, pero la entidad encontró alguna inconsistencia, podría subsanarse el requisito habilitante. </w:t>
      </w:r>
    </w:p>
    <w:p w14:paraId="2C2702C1" w14:textId="77777777" w:rsidR="007E4A13" w:rsidRDefault="007E4A13" w:rsidP="007E4A13">
      <w:pPr>
        <w:spacing w:after="120" w:line="276" w:lineRule="auto"/>
        <w:ind w:firstLine="709"/>
        <w:jc w:val="both"/>
        <w:rPr>
          <w:rFonts w:ascii="Verdana" w:eastAsia="Times New Roman" w:hAnsi="Verdana" w:cs="Arial"/>
          <w:lang w:val="es-ES" w:eastAsia="es-ES"/>
        </w:rPr>
      </w:pPr>
    </w:p>
    <w:p w14:paraId="6FA17DED" w14:textId="77777777" w:rsidR="007E4A13" w:rsidRPr="00593A5F" w:rsidRDefault="007E4A13" w:rsidP="007E4A1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 jurisprudenciales y otras fuentes:</w:t>
      </w:r>
    </w:p>
    <w:p w14:paraId="2168E8CE" w14:textId="77777777" w:rsidR="007E4A13" w:rsidRPr="00593A5F" w:rsidRDefault="007E4A13" w:rsidP="007E4A13">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7E4A13" w:rsidRPr="00593A5F" w14:paraId="3FC35A46" w14:textId="77777777" w:rsidTr="00B427E1">
        <w:trPr>
          <w:trHeight w:val="870"/>
        </w:trPr>
        <w:tc>
          <w:tcPr>
            <w:tcW w:w="8647" w:type="dxa"/>
          </w:tcPr>
          <w:p w14:paraId="50B7FC7A" w14:textId="77777777" w:rsidR="007E4A13" w:rsidRPr="00D16A5E" w:rsidRDefault="007E4A13" w:rsidP="00B427E1">
            <w:pPr>
              <w:pStyle w:val="Prrafodelista"/>
              <w:numPr>
                <w:ilvl w:val="0"/>
                <w:numId w:val="17"/>
              </w:numPr>
              <w:spacing w:after="120" w:line="276" w:lineRule="auto"/>
              <w:jc w:val="both"/>
              <w:rPr>
                <w:rFonts w:ascii="Verdana" w:hAnsi="Verdana" w:cs="Arial"/>
                <w:noProof/>
                <w:lang w:val="es-ES_tradnl"/>
              </w:rPr>
            </w:pPr>
            <w:r>
              <w:rPr>
                <w:rFonts w:ascii="Verdana" w:hAnsi="Verdana" w:cs="Arial"/>
                <w:noProof/>
                <w:lang w:val="es-ES_tradnl"/>
              </w:rPr>
              <w:t>A</w:t>
            </w:r>
            <w:r w:rsidRPr="009F4606">
              <w:rPr>
                <w:rFonts w:ascii="Verdana" w:hAnsi="Verdana" w:cs="Arial"/>
                <w:noProof/>
                <w:lang w:val="es-ES_tradnl"/>
              </w:rPr>
              <w:t xml:space="preserve">rtículo 5 de la Ley 1150 de 2007, modificado por la Ley 1882 de 2018, </w:t>
            </w:r>
            <w:r>
              <w:rPr>
                <w:rFonts w:ascii="Verdana" w:hAnsi="Verdana" w:cs="Arial"/>
                <w:noProof/>
                <w:lang w:val="es-ES_tradnl"/>
              </w:rPr>
              <w:t xml:space="preserve">artículo 5 </w:t>
            </w:r>
            <w:r w:rsidRPr="009F4606">
              <w:rPr>
                <w:rFonts w:ascii="Verdana" w:hAnsi="Verdana" w:cs="Arial"/>
                <w:noProof/>
                <w:lang w:val="es-ES_tradnl"/>
              </w:rPr>
              <w:t>parágrafos 1, 3 y 4.</w:t>
            </w:r>
            <w:r>
              <w:rPr>
                <w:rFonts w:ascii="Verdana" w:hAnsi="Verdana" w:cs="Arial"/>
                <w:noProof/>
                <w:lang w:val="es-ES_tradnl"/>
              </w:rPr>
              <w:t xml:space="preserve"> </w:t>
            </w:r>
          </w:p>
          <w:p w14:paraId="3D5DC5C3" w14:textId="77777777" w:rsidR="007E4A13" w:rsidRDefault="007E4A13" w:rsidP="00B427E1">
            <w:pPr>
              <w:pStyle w:val="Prrafodelista"/>
              <w:numPr>
                <w:ilvl w:val="0"/>
                <w:numId w:val="17"/>
              </w:numPr>
              <w:spacing w:after="120" w:line="276" w:lineRule="auto"/>
              <w:jc w:val="both"/>
              <w:rPr>
                <w:rFonts w:ascii="Verdana" w:hAnsi="Verdana" w:cs="Arial"/>
                <w:noProof/>
                <w:lang w:val="es-ES_tradnl"/>
              </w:rPr>
            </w:pPr>
            <w:r w:rsidRPr="009F4606">
              <w:rPr>
                <w:rFonts w:ascii="Verdana" w:hAnsi="Verdana" w:cs="Arial"/>
                <w:noProof/>
                <w:lang w:val="es-ES_tradnl"/>
              </w:rPr>
              <w:t>Consejo de Estado. Sala de Consulta y Servicio Civil. Concepto del 20 de mayo de 2010. Exp. 1.992. C.P. Enrique José Arboleda Perdomo.</w:t>
            </w:r>
          </w:p>
          <w:p w14:paraId="5178A3D4" w14:textId="77777777" w:rsidR="007E4A13" w:rsidRPr="00340039" w:rsidRDefault="007E4A13" w:rsidP="00B427E1">
            <w:pPr>
              <w:pStyle w:val="Prrafodelista"/>
              <w:widowControl w:val="0"/>
              <w:numPr>
                <w:ilvl w:val="0"/>
                <w:numId w:val="17"/>
              </w:numPr>
              <w:autoSpaceDE w:val="0"/>
              <w:autoSpaceDN w:val="0"/>
              <w:spacing w:after="120" w:line="276" w:lineRule="auto"/>
              <w:jc w:val="both"/>
              <w:rPr>
                <w:rFonts w:ascii="Verdana" w:hAnsi="Verdana" w:cs="Arial"/>
                <w:color w:val="7030A0"/>
              </w:rPr>
            </w:pPr>
            <w:r w:rsidRPr="00F97212">
              <w:rPr>
                <w:rFonts w:ascii="Verdana" w:hAnsi="Verdana" w:cs="Arial"/>
                <w:noProof/>
                <w:lang w:val="es-ES_tradnl"/>
              </w:rPr>
              <w:t>Consejo De Estado, Sección Tercera, Subsección C. Sentencia del 26 de febrero de 2011. C.P. Jaime Orlando Santofimio. Rad. 36.408.</w:t>
            </w:r>
          </w:p>
          <w:p w14:paraId="1C31DBA0" w14:textId="77777777" w:rsidR="007E4A13" w:rsidRPr="00AC742F" w:rsidRDefault="007E4A13" w:rsidP="00B427E1">
            <w:pPr>
              <w:pStyle w:val="Prrafodelista"/>
              <w:numPr>
                <w:ilvl w:val="0"/>
                <w:numId w:val="17"/>
              </w:numPr>
              <w:spacing w:after="120" w:line="276" w:lineRule="auto"/>
              <w:jc w:val="both"/>
              <w:rPr>
                <w:rFonts w:ascii="Verdana" w:hAnsi="Verdana" w:cs="Arial"/>
              </w:rPr>
            </w:pPr>
            <w:r w:rsidRPr="00F97212">
              <w:rPr>
                <w:rFonts w:ascii="Verdana" w:hAnsi="Verdana" w:cs="Arial"/>
                <w:noProof/>
                <w:lang w:val="es-ES_tradnl"/>
              </w:rPr>
              <w:lastRenderedPageBreak/>
              <w:t>Consejo De Estado. Sección Tercera. Subsección C. Sentencia del 26 de febrero de 2014. Expediente: 25.804. Consejero Ponente: Enrique Gil Botero</w:t>
            </w:r>
            <w:r>
              <w:rPr>
                <w:rFonts w:ascii="Verdana" w:hAnsi="Verdana" w:cs="Arial"/>
                <w:noProof/>
                <w:lang w:val="es-ES_tradnl"/>
              </w:rPr>
              <w:t>.</w:t>
            </w:r>
          </w:p>
        </w:tc>
      </w:tr>
    </w:tbl>
    <w:p w14:paraId="446AFE67" w14:textId="77777777" w:rsidR="007E4A13" w:rsidRPr="00593A5F" w:rsidRDefault="007E4A13" w:rsidP="007E4A13">
      <w:pPr>
        <w:widowControl w:val="0"/>
        <w:autoSpaceDE w:val="0"/>
        <w:autoSpaceDN w:val="0"/>
        <w:spacing w:after="0" w:line="276" w:lineRule="auto"/>
        <w:jc w:val="both"/>
        <w:rPr>
          <w:rFonts w:ascii="Verdana" w:hAnsi="Verdana" w:cs="Arial"/>
        </w:rPr>
      </w:pPr>
    </w:p>
    <w:p w14:paraId="57AEA07D" w14:textId="77777777" w:rsidR="007E4A13" w:rsidRPr="00593A5F" w:rsidRDefault="007E4A13" w:rsidP="007E4A1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614FCAE7" w14:textId="77777777" w:rsidR="007E4A13" w:rsidRPr="00BD2870" w:rsidRDefault="007E4A13" w:rsidP="007E4A13">
      <w:pPr>
        <w:widowControl w:val="0"/>
        <w:autoSpaceDE w:val="0"/>
        <w:autoSpaceDN w:val="0"/>
        <w:spacing w:after="0" w:line="276" w:lineRule="auto"/>
        <w:jc w:val="both"/>
        <w:rPr>
          <w:rFonts w:ascii="Verdana" w:hAnsi="Verdana" w:cs="Arial"/>
        </w:rPr>
      </w:pPr>
    </w:p>
    <w:p w14:paraId="4D27E48C" w14:textId="77777777" w:rsidR="007E4A13" w:rsidRDefault="007E4A13" w:rsidP="007E4A13">
      <w:pPr>
        <w:widowControl w:val="0"/>
        <w:autoSpaceDE w:val="0"/>
        <w:autoSpaceDN w:val="0"/>
        <w:spacing w:after="0" w:line="276" w:lineRule="auto"/>
        <w:jc w:val="both"/>
        <w:rPr>
          <w:rStyle w:val="normaltextrun"/>
          <w:rFonts w:ascii="Verdana" w:hAnsi="Verdana" w:cs="Arial"/>
          <w:color w:val="FF0000"/>
          <w:shd w:val="clear" w:color="auto" w:fill="FFFFFF"/>
          <w:lang w:val="es-ES"/>
        </w:rPr>
      </w:pPr>
      <w:r w:rsidRPr="00BD2870">
        <w:rPr>
          <w:rStyle w:val="normaltextrun"/>
          <w:rFonts w:ascii="Verdana" w:hAnsi="Verdana" w:cs="Arial"/>
          <w:shd w:val="clear" w:color="auto" w:fill="FFFFFF"/>
          <w:lang w:val="es-ES"/>
        </w:rPr>
        <w:t>Sobre la regla de subsanabilidad en los procesos de selección, se pronunció esta Subdirección en los conceptos 4201913000007643 del 26 de diciembre de 2019, C-343 del 17 de junio de 2020, C-518 del 9 de septiembre de 2020, C-614 del 5 de octubre de 2022, C-882 del 21 de diciembre de 2022, C-172 del 6 de junio de 2023, y C-748 del 29 de noviembre de 2024, entre otros. Es</w:t>
      </w:r>
      <w:r w:rsidRPr="00BD2870">
        <w:rPr>
          <w:rFonts w:ascii="Verdana" w:hAnsi="Verdana"/>
        </w:rPr>
        <w:t xml:space="preserve">tos y otros conceptos se encuentran </w:t>
      </w:r>
      <w:r w:rsidRPr="00A1554D">
        <w:rPr>
          <w:rFonts w:ascii="Verdana" w:hAnsi="Verdana"/>
        </w:rPr>
        <w:t xml:space="preserve">disponibles para consulta en el Sistema de </w:t>
      </w:r>
      <w:r>
        <w:rPr>
          <w:rFonts w:ascii="Verdana" w:hAnsi="Verdana"/>
        </w:rPr>
        <w:t>r</w:t>
      </w:r>
      <w:r w:rsidRPr="00A1554D">
        <w:rPr>
          <w:rFonts w:ascii="Verdana" w:hAnsi="Verdana"/>
        </w:rPr>
        <w:t>elatoría de la Agencia, al cual se puede acceder a través del siguiente enlace:</w:t>
      </w:r>
      <w:r w:rsidRPr="00A1554D">
        <w:rPr>
          <w:rStyle w:val="normaltextrun"/>
          <w:rFonts w:ascii="Verdana" w:hAnsi="Verdana" w:cs="Arial"/>
          <w:shd w:val="clear" w:color="auto" w:fill="FFFFFF"/>
          <w:lang w:val="es-ES"/>
        </w:rPr>
        <w:t xml:space="preserve"> </w:t>
      </w:r>
      <w:hyperlink r:id="rId13" w:history="1">
        <w:r w:rsidRPr="007C02F9">
          <w:rPr>
            <w:rStyle w:val="Hipervnculo"/>
            <w:rFonts w:ascii="Verdana" w:hAnsi="Verdana" w:cs="Arial"/>
            <w:color w:val="4472C4" w:themeColor="accent1"/>
            <w:shd w:val="clear" w:color="auto" w:fill="FFFFFF"/>
            <w:lang w:val="es-ES"/>
          </w:rPr>
          <w:t>https://relatoria.colombiacompra.gov.co/busqueda/conceptos</w:t>
        </w:r>
      </w:hyperlink>
      <w:r w:rsidRPr="007C02F9">
        <w:rPr>
          <w:rStyle w:val="normaltextrun"/>
          <w:rFonts w:ascii="Verdana" w:hAnsi="Verdana" w:cs="Arial"/>
          <w:color w:val="4472C4" w:themeColor="accent1"/>
          <w:shd w:val="clear" w:color="auto" w:fill="FFFFFF"/>
          <w:lang w:val="es-ES"/>
        </w:rPr>
        <w:t xml:space="preserve"> </w:t>
      </w:r>
    </w:p>
    <w:p w14:paraId="0E77A687" w14:textId="77777777" w:rsidR="007E4A13" w:rsidRDefault="007E4A13" w:rsidP="007E4A13">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1F3C5074" w14:textId="77777777" w:rsidR="007E4A13" w:rsidRPr="009A385A" w:rsidRDefault="007E4A13" w:rsidP="007E4A13">
      <w:pPr>
        <w:jc w:val="both"/>
        <w:rPr>
          <w:rFonts w:ascii="Verdana" w:hAnsi="Verdana"/>
        </w:rPr>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4" w:tgtFrame="_new" w:history="1">
        <w:r w:rsidRPr="009A385A">
          <w:rPr>
            <w:rStyle w:val="Hipervnculo"/>
            <w:rFonts w:ascii="Verdana" w:hAnsi="Verdana"/>
          </w:rPr>
          <w:t>https://formacionvirtual.colombiacompra.gov.co/mod/page/view.php?id=3718</w:t>
        </w:r>
      </w:hyperlink>
    </w:p>
    <w:p w14:paraId="67E72996" w14:textId="77777777" w:rsidR="007E4A13" w:rsidRDefault="007E4A13" w:rsidP="007E4A13">
      <w:pPr>
        <w:jc w:val="both"/>
        <w:rPr>
          <w:rFonts w:ascii="Verdana" w:hAnsi="Verdana"/>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5" w:tgtFrame="_new" w:history="1">
        <w:r w:rsidRPr="00635F16">
          <w:rPr>
            <w:rStyle w:val="Hipervnculo"/>
            <w:rFonts w:ascii="Verdana" w:hAnsi="Verdana"/>
          </w:rPr>
          <w:t>https://www.colombiacompra.gov.co/normativa-y-relatoria/documentos-tipo</w:t>
        </w:r>
      </w:hyperlink>
    </w:p>
    <w:p w14:paraId="2A334938" w14:textId="77777777" w:rsidR="007E4A13" w:rsidRPr="009A385A" w:rsidRDefault="007E4A13" w:rsidP="007E4A13">
      <w:pPr>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lastRenderedPageBreak/>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6"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0C8CA823" w14:textId="77777777" w:rsidR="007E4A13" w:rsidRDefault="007E4A13" w:rsidP="007E4A13">
      <w:pPr>
        <w:spacing w:after="0" w:line="240" w:lineRule="auto"/>
        <w:jc w:val="both"/>
        <w:rPr>
          <w:rFonts w:ascii="Verdana" w:hAnsi="Verdana"/>
        </w:rPr>
      </w:pPr>
    </w:p>
    <w:p w14:paraId="0B1B0270" w14:textId="77777777" w:rsidR="007E4A13" w:rsidRPr="003E2460" w:rsidRDefault="007E4A13" w:rsidP="007E4A13">
      <w:pPr>
        <w:spacing w:after="0" w:line="240" w:lineRule="auto"/>
        <w:jc w:val="both"/>
        <w:rPr>
          <w:rFonts w:ascii="Verdana" w:hAnsi="Verdana"/>
        </w:rPr>
      </w:pPr>
      <w:r w:rsidRPr="003E2460">
        <w:rPr>
          <w:rFonts w:ascii="Verdana" w:hAnsi="Verdana"/>
        </w:rPr>
        <w:t xml:space="preserve">Por último, lo invitamos a seguirnos en las redes sociales en las cuales se difunde información institucional: </w:t>
      </w:r>
    </w:p>
    <w:p w14:paraId="26392D40" w14:textId="77777777" w:rsidR="007E4A13" w:rsidRPr="003E2460" w:rsidRDefault="007E4A13" w:rsidP="007E4A13">
      <w:pPr>
        <w:spacing w:after="0" w:line="240" w:lineRule="auto"/>
        <w:jc w:val="both"/>
        <w:rPr>
          <w:rFonts w:ascii="Verdana" w:hAnsi="Verdana"/>
        </w:rPr>
      </w:pPr>
    </w:p>
    <w:p w14:paraId="7A89AA51" w14:textId="77777777" w:rsidR="007E4A13" w:rsidRPr="003E2460" w:rsidRDefault="007E4A13" w:rsidP="007E4A13">
      <w:pPr>
        <w:spacing w:after="0" w:line="240" w:lineRule="auto"/>
        <w:jc w:val="both"/>
        <w:rPr>
          <w:rFonts w:ascii="Verdana" w:hAnsi="Verdana"/>
        </w:rPr>
      </w:pPr>
      <w:r w:rsidRPr="003E2460">
        <w:rPr>
          <w:rFonts w:ascii="Verdana" w:hAnsi="Verdana"/>
        </w:rPr>
        <w:t xml:space="preserve">Twitter: </w:t>
      </w:r>
      <w:r w:rsidRPr="003E2460">
        <w:rPr>
          <w:rStyle w:val="Hipervnculo"/>
          <w:rFonts w:ascii="Verdana" w:hAnsi="Verdana"/>
          <w:color w:val="4472C4" w:themeColor="accent1"/>
        </w:rPr>
        <w:t>@colombiacompra</w:t>
      </w:r>
      <w:r w:rsidRPr="003E2460">
        <w:rPr>
          <w:rFonts w:ascii="Verdana" w:hAnsi="Verdana"/>
          <w:color w:val="4472C4" w:themeColor="accent1"/>
        </w:rPr>
        <w:t xml:space="preserve"> </w:t>
      </w:r>
    </w:p>
    <w:p w14:paraId="0E57DCDD" w14:textId="77777777" w:rsidR="007E4A13" w:rsidRPr="003E2460" w:rsidRDefault="007E4A13" w:rsidP="007E4A13">
      <w:pPr>
        <w:spacing w:after="0" w:line="240" w:lineRule="auto"/>
        <w:jc w:val="both"/>
        <w:rPr>
          <w:rFonts w:ascii="Verdana" w:hAnsi="Verdana"/>
        </w:rPr>
      </w:pPr>
      <w:r w:rsidRPr="003E2460">
        <w:rPr>
          <w:rFonts w:ascii="Verdana" w:hAnsi="Verdana"/>
        </w:rPr>
        <w:t xml:space="preserve">Facebook: </w:t>
      </w:r>
      <w:r w:rsidRPr="003E2460">
        <w:rPr>
          <w:rStyle w:val="Hipervnculo"/>
          <w:rFonts w:ascii="Verdana" w:hAnsi="Verdana"/>
          <w:color w:val="4472C4" w:themeColor="accent1"/>
        </w:rPr>
        <w:t>ColombiaCompraEficiente</w:t>
      </w:r>
    </w:p>
    <w:p w14:paraId="5BC0D271" w14:textId="77777777" w:rsidR="007E4A13" w:rsidRPr="003E2460" w:rsidRDefault="007E4A13" w:rsidP="007E4A13">
      <w:pPr>
        <w:spacing w:after="0" w:line="240" w:lineRule="auto"/>
        <w:jc w:val="both"/>
        <w:rPr>
          <w:rFonts w:ascii="Verdana" w:hAnsi="Verdana"/>
        </w:rPr>
      </w:pPr>
      <w:r w:rsidRPr="003E2460">
        <w:rPr>
          <w:rFonts w:ascii="Verdana" w:hAnsi="Verdana"/>
        </w:rPr>
        <w:t xml:space="preserve">LinkedIn: </w:t>
      </w:r>
      <w:r w:rsidRPr="003E2460">
        <w:rPr>
          <w:rStyle w:val="Hipervnculo"/>
          <w:rFonts w:ascii="Verdana" w:hAnsi="Verdana"/>
          <w:color w:val="4472C4" w:themeColor="accent1"/>
        </w:rPr>
        <w:t>Agencia Nacional de Contratación Pública - Colombia Compra Eficiente</w:t>
      </w:r>
      <w:r w:rsidRPr="003E2460">
        <w:rPr>
          <w:rFonts w:ascii="Verdana" w:hAnsi="Verdana"/>
          <w:color w:val="4472C4" w:themeColor="accent1"/>
        </w:rPr>
        <w:t xml:space="preserve"> </w:t>
      </w:r>
      <w:r w:rsidRPr="003E2460">
        <w:rPr>
          <w:rFonts w:ascii="Verdana" w:hAnsi="Verdana"/>
        </w:rPr>
        <w:t xml:space="preserve">Instagram: </w:t>
      </w:r>
      <w:r w:rsidRPr="003E2460">
        <w:rPr>
          <w:rStyle w:val="Hipervnculo"/>
          <w:rFonts w:ascii="Verdana" w:hAnsi="Verdana"/>
          <w:color w:val="4472C4" w:themeColor="accent1"/>
        </w:rPr>
        <w:t>@colombiacompraeficiente_cce</w:t>
      </w:r>
    </w:p>
    <w:p w14:paraId="0F560FD2" w14:textId="77777777" w:rsidR="007E4A13" w:rsidRPr="00593A5F" w:rsidRDefault="007E4A13" w:rsidP="007E4A13">
      <w:pPr>
        <w:widowControl w:val="0"/>
        <w:autoSpaceDE w:val="0"/>
        <w:autoSpaceDN w:val="0"/>
        <w:spacing w:after="0" w:line="276" w:lineRule="auto"/>
        <w:jc w:val="both"/>
        <w:rPr>
          <w:rFonts w:ascii="Verdana" w:hAnsi="Verdana" w:cs="Arial"/>
        </w:rPr>
      </w:pPr>
    </w:p>
    <w:p w14:paraId="73A9ABCD" w14:textId="77777777" w:rsidR="007E4A13" w:rsidRPr="00593A5F" w:rsidRDefault="007E4A13" w:rsidP="007E4A13">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4F30C05F" w14:textId="77777777" w:rsidR="007E4A13" w:rsidRPr="00593A5F" w:rsidRDefault="007E4A13" w:rsidP="007E4A13">
      <w:pPr>
        <w:widowControl w:val="0"/>
        <w:autoSpaceDE w:val="0"/>
        <w:autoSpaceDN w:val="0"/>
        <w:spacing w:after="0" w:line="276" w:lineRule="auto"/>
        <w:jc w:val="both"/>
        <w:rPr>
          <w:rFonts w:ascii="Verdana" w:hAnsi="Verdana" w:cs="Arial"/>
        </w:rPr>
      </w:pPr>
    </w:p>
    <w:p w14:paraId="1C50E1BE" w14:textId="77777777" w:rsidR="007E4A13" w:rsidRPr="00593A5F" w:rsidRDefault="007E4A13" w:rsidP="007E4A13">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65F0F8B5" w14:textId="1D59B5D7" w:rsidR="007E4A13" w:rsidRPr="000C12F6" w:rsidRDefault="00175909" w:rsidP="007E4A13">
      <w:pPr>
        <w:spacing w:line="276" w:lineRule="auto"/>
        <w:jc w:val="center"/>
        <w:rPr>
          <w:rFonts w:ascii="Verdana" w:hAnsi="Verdana" w:cs="Arial"/>
          <w:lang w:val="es-ES_tradnl" w:eastAsia="es-CO"/>
        </w:rPr>
      </w:pPr>
      <w:r w:rsidRPr="002C3AD6">
        <w:rPr>
          <w:rFonts w:ascii="Century Gothic" w:hAnsi="Century Gothic"/>
          <w:noProof/>
        </w:rPr>
        <w:drawing>
          <wp:inline distT="0" distB="0" distL="0" distR="0" wp14:anchorId="15A1BC52" wp14:editId="78C246A4">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7"/>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7E4A13" w:rsidRPr="000C12F6" w14:paraId="7980381A" w14:textId="77777777" w:rsidTr="00B427E1">
        <w:trPr>
          <w:trHeight w:val="315"/>
        </w:trPr>
        <w:tc>
          <w:tcPr>
            <w:tcW w:w="893" w:type="dxa"/>
            <w:vAlign w:val="center"/>
            <w:hideMark/>
          </w:tcPr>
          <w:p w14:paraId="68822AEB" w14:textId="77777777" w:rsidR="007E4A13" w:rsidRPr="000C12F6" w:rsidRDefault="007E4A13" w:rsidP="00B427E1">
            <w:pPr>
              <w:contextualSpacing/>
              <w:rPr>
                <w:rFonts w:ascii="Verdana" w:hAnsi="Verdana" w:cs="Arial"/>
                <w:sz w:val="16"/>
                <w:szCs w:val="16"/>
                <w:lang w:val="es-ES" w:eastAsia="es-ES"/>
              </w:rPr>
            </w:pPr>
            <w:r w:rsidRPr="000C12F6">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4B55A2D" w14:textId="77777777" w:rsidR="007E4A13" w:rsidRPr="000C12F6" w:rsidRDefault="007E4A13" w:rsidP="00B427E1">
            <w:pPr>
              <w:contextualSpacing/>
              <w:rPr>
                <w:rStyle w:val="normaltextrun"/>
                <w:rFonts w:ascii="Verdana" w:hAnsi="Verdana"/>
                <w:sz w:val="16"/>
                <w:szCs w:val="16"/>
              </w:rPr>
            </w:pPr>
            <w:r>
              <w:rPr>
                <w:rStyle w:val="normaltextrun"/>
                <w:rFonts w:ascii="Verdana" w:hAnsi="Verdana"/>
                <w:sz w:val="16"/>
                <w:szCs w:val="16"/>
              </w:rPr>
              <w:t>Richard Andrés Montenegro Siefken</w:t>
            </w:r>
          </w:p>
          <w:p w14:paraId="1C516444" w14:textId="77777777" w:rsidR="007E4A13" w:rsidRPr="000C12F6" w:rsidRDefault="007E4A13" w:rsidP="00B427E1">
            <w:pPr>
              <w:contextualSpacing/>
              <w:rPr>
                <w:rFonts w:ascii="Verdana" w:eastAsia="Arial" w:hAnsi="Verdana" w:cs="Arial"/>
                <w:sz w:val="16"/>
                <w:szCs w:val="16"/>
              </w:rPr>
            </w:pPr>
            <w:r>
              <w:rPr>
                <w:rStyle w:val="normaltextrun"/>
                <w:rFonts w:ascii="Verdana" w:hAnsi="Verdana"/>
                <w:sz w:val="16"/>
                <w:szCs w:val="16"/>
              </w:rPr>
              <w:t>Contratista</w:t>
            </w:r>
            <w:r w:rsidRPr="000C12F6">
              <w:rPr>
                <w:rStyle w:val="normaltextrun"/>
                <w:rFonts w:ascii="Verdana" w:hAnsi="Verdana"/>
                <w:sz w:val="16"/>
                <w:szCs w:val="16"/>
              </w:rPr>
              <w:t xml:space="preserve"> </w:t>
            </w:r>
            <w:r w:rsidRPr="000C12F6">
              <w:rPr>
                <w:rStyle w:val="normaltextrun"/>
                <w:rFonts w:ascii="Verdana" w:eastAsia="Arial" w:hAnsi="Verdana" w:cs="Arial"/>
                <w:sz w:val="16"/>
                <w:szCs w:val="16"/>
              </w:rPr>
              <w:t>de la Subdirección de Gestión Contractual</w:t>
            </w:r>
          </w:p>
        </w:tc>
      </w:tr>
      <w:tr w:rsidR="007E4A13" w:rsidRPr="000C12F6" w14:paraId="3D0240C6" w14:textId="77777777" w:rsidTr="00B427E1">
        <w:trPr>
          <w:trHeight w:val="330"/>
        </w:trPr>
        <w:tc>
          <w:tcPr>
            <w:tcW w:w="893" w:type="dxa"/>
            <w:vAlign w:val="center"/>
            <w:hideMark/>
          </w:tcPr>
          <w:p w14:paraId="46F52E83" w14:textId="77777777" w:rsidR="007E4A13" w:rsidRPr="000C12F6" w:rsidRDefault="007E4A13" w:rsidP="00B427E1">
            <w:pPr>
              <w:contextualSpacing/>
              <w:rPr>
                <w:rFonts w:ascii="Verdana" w:hAnsi="Verdana" w:cs="Arial"/>
                <w:sz w:val="16"/>
                <w:szCs w:val="16"/>
                <w:lang w:val="es-ES" w:eastAsia="es-ES"/>
              </w:rPr>
            </w:pPr>
            <w:r w:rsidRPr="000C12F6">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706352D" w14:textId="77777777" w:rsidR="007E4A13" w:rsidRPr="000C12F6" w:rsidRDefault="007E4A13" w:rsidP="00B427E1">
            <w:pPr>
              <w:pStyle w:val="paragraph"/>
              <w:spacing w:after="0"/>
              <w:contextualSpacing/>
              <w:textAlignment w:val="baseline"/>
              <w:rPr>
                <w:rStyle w:val="normaltextrun"/>
                <w:rFonts w:ascii="Verdana" w:hAnsi="Verdana" w:cs="Arial"/>
                <w:sz w:val="16"/>
                <w:szCs w:val="16"/>
                <w:lang w:val="es-ES"/>
              </w:rPr>
            </w:pPr>
            <w:r>
              <w:rPr>
                <w:rStyle w:val="normaltextrun"/>
                <w:rFonts w:ascii="Verdana" w:hAnsi="Verdana" w:cs="Arial"/>
                <w:sz w:val="16"/>
                <w:szCs w:val="16"/>
                <w:lang w:val="es-ES"/>
              </w:rPr>
              <w:t>Diana Lucia Saavedra Castañeda</w:t>
            </w:r>
          </w:p>
          <w:p w14:paraId="5432D42A" w14:textId="77777777" w:rsidR="007E4A13" w:rsidRPr="000C12F6" w:rsidRDefault="007E4A13" w:rsidP="00B427E1">
            <w:pPr>
              <w:pStyle w:val="paragraph"/>
              <w:spacing w:after="0"/>
              <w:contextualSpacing/>
              <w:textAlignment w:val="baseline"/>
              <w:rPr>
                <w:rFonts w:ascii="Verdana" w:hAnsi="Verdana" w:cs="Arial"/>
                <w:sz w:val="16"/>
                <w:szCs w:val="16"/>
                <w:lang w:val="es-ES"/>
              </w:rPr>
            </w:pPr>
            <w:r>
              <w:rPr>
                <w:rStyle w:val="normaltextrun"/>
                <w:rFonts w:ascii="Verdana" w:hAnsi="Verdana" w:cs="Arial"/>
                <w:sz w:val="16"/>
                <w:szCs w:val="16"/>
                <w:lang w:val="es-ES"/>
              </w:rPr>
              <w:t>Contratista</w:t>
            </w:r>
            <w:r w:rsidRPr="000C12F6">
              <w:rPr>
                <w:rStyle w:val="normaltextrun"/>
                <w:rFonts w:ascii="Verdana" w:hAnsi="Verdana" w:cs="Arial"/>
                <w:sz w:val="16"/>
                <w:szCs w:val="16"/>
                <w:lang w:val="es-ES"/>
              </w:rPr>
              <w:t xml:space="preserve"> de la Subdirección de Gestión Contractual </w:t>
            </w:r>
          </w:p>
        </w:tc>
      </w:tr>
      <w:tr w:rsidR="007E4A13" w:rsidRPr="000C12F6" w14:paraId="03CAC3B7" w14:textId="77777777" w:rsidTr="00B427E1">
        <w:trPr>
          <w:trHeight w:val="300"/>
        </w:trPr>
        <w:tc>
          <w:tcPr>
            <w:tcW w:w="893" w:type="dxa"/>
            <w:vAlign w:val="center"/>
          </w:tcPr>
          <w:p w14:paraId="1A7BCCE4" w14:textId="77777777" w:rsidR="007E4A13" w:rsidRPr="000C12F6" w:rsidRDefault="007E4A13" w:rsidP="00B427E1">
            <w:pPr>
              <w:contextualSpacing/>
              <w:rPr>
                <w:rFonts w:ascii="Verdana" w:hAnsi="Verdana" w:cs="Arial"/>
                <w:sz w:val="16"/>
                <w:szCs w:val="16"/>
                <w:lang w:val="es-ES" w:eastAsia="es-ES"/>
              </w:rPr>
            </w:pPr>
            <w:r w:rsidRPr="000C12F6">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A6FFBF4" w14:textId="77777777" w:rsidR="007E4A13" w:rsidRPr="000C12F6" w:rsidRDefault="007E4A13" w:rsidP="00B427E1">
            <w:pPr>
              <w:contextualSpacing/>
              <w:rPr>
                <w:rFonts w:ascii="Verdana" w:eastAsia="Calibri" w:hAnsi="Verdana" w:cs="Arial"/>
                <w:sz w:val="16"/>
                <w:szCs w:val="16"/>
                <w:lang w:val="pt-BR" w:eastAsia="es-ES"/>
              </w:rPr>
            </w:pPr>
            <w:r w:rsidRPr="000C12F6">
              <w:rPr>
                <w:rFonts w:ascii="Verdana" w:eastAsia="Calibri" w:hAnsi="Verdana" w:cs="Arial"/>
                <w:sz w:val="16"/>
                <w:szCs w:val="16"/>
                <w:lang w:val="pt-BR" w:eastAsia="es-ES"/>
              </w:rPr>
              <w:t>Carolina Quintero Gacharná</w:t>
            </w:r>
          </w:p>
          <w:p w14:paraId="55219129" w14:textId="77777777" w:rsidR="007E4A13" w:rsidRPr="000C12F6" w:rsidRDefault="007E4A13" w:rsidP="00B427E1">
            <w:pPr>
              <w:contextualSpacing/>
              <w:rPr>
                <w:rFonts w:ascii="Verdana" w:eastAsia="Calibri" w:hAnsi="Verdana" w:cs="Arial"/>
                <w:sz w:val="16"/>
                <w:szCs w:val="16"/>
                <w:lang w:val="pt-BR" w:eastAsia="es-ES"/>
              </w:rPr>
            </w:pPr>
            <w:r w:rsidRPr="000C12F6">
              <w:rPr>
                <w:rFonts w:ascii="Verdana" w:eastAsia="Calibri" w:hAnsi="Verdana" w:cs="Arial"/>
                <w:sz w:val="16"/>
                <w:szCs w:val="16"/>
                <w:lang w:eastAsia="es-ES"/>
              </w:rPr>
              <w:t>Subdirectora</w:t>
            </w:r>
            <w:r w:rsidRPr="000C12F6">
              <w:rPr>
                <w:rFonts w:ascii="Verdana" w:eastAsia="Calibri" w:hAnsi="Verdana" w:cs="Arial"/>
                <w:sz w:val="16"/>
                <w:szCs w:val="16"/>
                <w:lang w:val="pt-BR" w:eastAsia="es-ES"/>
              </w:rPr>
              <w:t xml:space="preserve"> de Gestión Contractual ANCP – CCE</w:t>
            </w:r>
          </w:p>
        </w:tc>
      </w:tr>
    </w:tbl>
    <w:p w14:paraId="0F293BF4" w14:textId="537319AE" w:rsidR="00127233" w:rsidRPr="007E4A13" w:rsidRDefault="00127233" w:rsidP="007E4A13"/>
    <w:sectPr w:rsidR="00127233" w:rsidRPr="007E4A13"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5C5C43" w14:textId="77777777" w:rsidR="00990A8D" w:rsidRDefault="00990A8D" w:rsidP="004A1847">
      <w:pPr>
        <w:spacing w:after="0" w:line="240" w:lineRule="auto"/>
      </w:pPr>
      <w:r>
        <w:separator/>
      </w:r>
    </w:p>
  </w:endnote>
  <w:endnote w:type="continuationSeparator" w:id="0">
    <w:p w14:paraId="46FF7498" w14:textId="77777777" w:rsidR="00990A8D" w:rsidRDefault="00990A8D"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Pr="007E4A13"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val="pt-PT" w:eastAsia="es-CO"/>
      </w:rPr>
    </w:pPr>
    <w:r w:rsidRPr="007E4A13">
      <w:rPr>
        <w:rFonts w:ascii="Verdana" w:eastAsia="Verdana" w:hAnsi="Verdana" w:cs="Verdana"/>
        <w:b/>
        <w:bCs/>
        <w:color w:val="000000" w:themeColor="text1"/>
        <w:sz w:val="18"/>
        <w:szCs w:val="18"/>
        <w:lang w:val="pt-PT" w:eastAsia="es-CO"/>
      </w:rPr>
      <w:t xml:space="preserve">Código: </w:t>
    </w:r>
    <w:r w:rsidRPr="007E4A13">
      <w:rPr>
        <w:rFonts w:ascii="Verdana" w:eastAsia="Verdana" w:hAnsi="Verdana" w:cs="Verdana"/>
        <w:color w:val="000000" w:themeColor="text1"/>
        <w:sz w:val="18"/>
        <w:szCs w:val="18"/>
        <w:lang w:val="pt-PT" w:eastAsia="es-CO"/>
      </w:rPr>
      <w:t xml:space="preserve">CCE-REC-FM-17 </w:t>
    </w:r>
    <w:r w:rsidRPr="007E4A13">
      <w:rPr>
        <w:rFonts w:ascii="Verdana" w:eastAsia="Verdana" w:hAnsi="Verdana" w:cs="Verdana"/>
        <w:b/>
        <w:bCs/>
        <w:color w:val="000000" w:themeColor="text1"/>
        <w:sz w:val="18"/>
        <w:szCs w:val="18"/>
        <w:lang w:val="pt-PT" w:eastAsia="es-CO"/>
      </w:rPr>
      <w:t xml:space="preserve">V: </w:t>
    </w:r>
    <w:r w:rsidRPr="007E4A13">
      <w:rPr>
        <w:rFonts w:ascii="Verdana" w:eastAsia="Verdana" w:hAnsi="Verdana" w:cs="Verdana"/>
        <w:sz w:val="18"/>
        <w:szCs w:val="18"/>
        <w:lang w:val="pt-PT"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51F815" w14:textId="77777777" w:rsidR="00990A8D" w:rsidRDefault="00990A8D" w:rsidP="004A1847">
      <w:pPr>
        <w:spacing w:after="0" w:line="240" w:lineRule="auto"/>
      </w:pPr>
      <w:r>
        <w:separator/>
      </w:r>
    </w:p>
  </w:footnote>
  <w:footnote w:type="continuationSeparator" w:id="0">
    <w:p w14:paraId="326CAF33" w14:textId="77777777" w:rsidR="00990A8D" w:rsidRDefault="00990A8D" w:rsidP="004A1847">
      <w:pPr>
        <w:spacing w:after="0" w:line="240" w:lineRule="auto"/>
      </w:pPr>
      <w:r>
        <w:continuationSeparator/>
      </w:r>
    </w:p>
  </w:footnote>
  <w:footnote w:id="1">
    <w:p w14:paraId="2BB6A41D" w14:textId="77777777" w:rsidR="007E4A13" w:rsidRPr="00E57C35" w:rsidRDefault="007E4A13" w:rsidP="007E4A13">
      <w:pPr>
        <w:pStyle w:val="Textonotapie"/>
        <w:ind w:firstLine="709"/>
        <w:jc w:val="both"/>
        <w:rPr>
          <w:rFonts w:ascii="Verdana" w:hAnsi="Verdana" w:cs="Arial"/>
          <w:color w:val="000000"/>
          <w:sz w:val="12"/>
          <w:szCs w:val="12"/>
        </w:rPr>
      </w:pPr>
      <w:r w:rsidRPr="00E57C35">
        <w:rPr>
          <w:rStyle w:val="Refdenotaalpie"/>
          <w:rFonts w:ascii="Verdana" w:hAnsi="Verdana" w:cs="Arial"/>
          <w:color w:val="000000"/>
          <w:sz w:val="12"/>
          <w:szCs w:val="12"/>
        </w:rPr>
        <w:footnoteRef/>
      </w:r>
      <w:r w:rsidRPr="00E57C35">
        <w:rPr>
          <w:rFonts w:ascii="Verdana" w:hAnsi="Verdana" w:cs="Arial"/>
          <w:color w:val="000000"/>
          <w:sz w:val="12"/>
          <w:szCs w:val="12"/>
        </w:rPr>
        <w:t xml:space="preserve"> Ley 80 de 1993. Art. 30.7: “De acuerdo con la naturaleza, objeto y cuantía del contrato, en los pliegos de condiciones o términos de referencia, se señalará el plazo razonable dentro del cual la entidad deberá elaborar los estudios técnicos, económicos y jurídicos necesarios para la evaluación de las propuestas y para solicitar a los proponentes las aclaraciones y explicaciones que se estimen indispensables”. </w:t>
      </w:r>
    </w:p>
    <w:p w14:paraId="18C2BF09" w14:textId="77777777" w:rsidR="007E4A13" w:rsidRPr="00E57C35" w:rsidRDefault="007E4A13" w:rsidP="007E4A13">
      <w:pPr>
        <w:pStyle w:val="Textonotapie"/>
        <w:ind w:firstLine="709"/>
        <w:jc w:val="both"/>
        <w:rPr>
          <w:rFonts w:ascii="Verdana" w:hAnsi="Verdana" w:cs="Arial"/>
          <w:color w:val="000000"/>
          <w:sz w:val="12"/>
          <w:szCs w:val="12"/>
        </w:rPr>
      </w:pPr>
    </w:p>
  </w:footnote>
  <w:footnote w:id="2">
    <w:p w14:paraId="0227863A" w14:textId="77777777" w:rsidR="007E4A13" w:rsidRPr="00E57C35" w:rsidRDefault="007E4A13" w:rsidP="007E4A13">
      <w:pPr>
        <w:pStyle w:val="Textonotapie"/>
        <w:ind w:firstLine="709"/>
        <w:jc w:val="both"/>
        <w:rPr>
          <w:rFonts w:ascii="Verdana" w:hAnsi="Verdana" w:cs="Arial"/>
          <w:color w:val="000000"/>
          <w:sz w:val="12"/>
          <w:szCs w:val="12"/>
        </w:rPr>
      </w:pPr>
      <w:r w:rsidRPr="00E57C35">
        <w:rPr>
          <w:rStyle w:val="Refdenotaalpie"/>
          <w:rFonts w:ascii="Verdana" w:hAnsi="Verdana" w:cs="Arial"/>
          <w:color w:val="000000"/>
          <w:sz w:val="12"/>
          <w:szCs w:val="12"/>
        </w:rPr>
        <w:footnoteRef/>
      </w:r>
      <w:r w:rsidRPr="00E57C35">
        <w:rPr>
          <w:rFonts w:ascii="Verdana" w:hAnsi="Verdana" w:cs="Arial"/>
          <w:color w:val="000000"/>
          <w:sz w:val="12"/>
          <w:szCs w:val="12"/>
        </w:rPr>
        <w:t xml:space="preserve"> Ley 80 de 1993. Art. 30.8: “Los informes de evaluación de las propuestas permanecerán en la secretaría de la entidad por un término de cinco (5) días hábiles para que los oferentes presenten las observaciones que estimen pertinentes. En ejercicio de esta facultad, los oferentes no podrán completar, adicionar, modificar o mejorar sus propuestas”.</w:t>
      </w:r>
    </w:p>
    <w:p w14:paraId="41551D43" w14:textId="77777777" w:rsidR="007E4A13" w:rsidRPr="00E57C35" w:rsidRDefault="007E4A13" w:rsidP="007E4A13">
      <w:pPr>
        <w:pStyle w:val="Textonotapie"/>
        <w:ind w:firstLine="709"/>
        <w:jc w:val="both"/>
        <w:rPr>
          <w:rFonts w:ascii="Verdana" w:hAnsi="Verdana" w:cs="Arial"/>
          <w:color w:val="000000"/>
          <w:sz w:val="12"/>
          <w:szCs w:val="12"/>
        </w:rPr>
      </w:pPr>
    </w:p>
  </w:footnote>
  <w:footnote w:id="3">
    <w:p w14:paraId="79506409" w14:textId="77777777" w:rsidR="007E4A13" w:rsidRPr="00E57C35" w:rsidRDefault="007E4A13" w:rsidP="007E4A13">
      <w:pPr>
        <w:pStyle w:val="Textonotapie"/>
        <w:ind w:firstLine="709"/>
        <w:jc w:val="both"/>
        <w:rPr>
          <w:rFonts w:ascii="Verdana" w:hAnsi="Verdana" w:cs="Arial"/>
          <w:color w:val="000000"/>
          <w:sz w:val="12"/>
          <w:szCs w:val="12"/>
        </w:rPr>
      </w:pPr>
      <w:r w:rsidRPr="00E57C35">
        <w:rPr>
          <w:rStyle w:val="Refdenotaalpie"/>
          <w:rFonts w:ascii="Verdana" w:hAnsi="Verdana" w:cs="Arial"/>
          <w:color w:val="000000"/>
          <w:sz w:val="12"/>
          <w:szCs w:val="12"/>
        </w:rPr>
        <w:footnoteRef/>
      </w:r>
      <w:r w:rsidRPr="00E57C35">
        <w:rPr>
          <w:rFonts w:ascii="Verdana" w:hAnsi="Verdana" w:cs="Arial"/>
          <w:color w:val="000000"/>
          <w:sz w:val="12"/>
          <w:szCs w:val="12"/>
        </w:rPr>
        <w:t xml:space="preserve"> CONSEJO DE ESTADO. Sección Tercera. Subsección C. Sentencia del 26 de febrero de 2014. Expediente: 25.804. Consejero Ponente: Enrique Gil Botero.</w:t>
      </w:r>
      <w:r w:rsidRPr="00E57C35">
        <w:rPr>
          <w:rFonts w:ascii="Verdana" w:hAnsi="Verdana"/>
          <w:sz w:val="12"/>
          <w:szCs w:val="12"/>
        </w:rPr>
        <w:t xml:space="preserve"> </w:t>
      </w:r>
      <w:hyperlink r:id="rId1" w:history="1">
        <w:r w:rsidRPr="00E57C35">
          <w:rPr>
            <w:rStyle w:val="Hipervnculo"/>
            <w:rFonts w:ascii="Verdana" w:hAnsi="Verdana" w:cs="Arial"/>
            <w:sz w:val="12"/>
            <w:szCs w:val="12"/>
          </w:rPr>
          <w:t>https://relatoria.colombiacompra.gov.co/providencias-consejo-de-estado/</w:t>
        </w:r>
      </w:hyperlink>
      <w:r w:rsidRPr="00E57C35">
        <w:rPr>
          <w:rFonts w:ascii="Verdana" w:hAnsi="Verdana" w:cs="Arial"/>
          <w:color w:val="000000"/>
          <w:sz w:val="12"/>
          <w:szCs w:val="12"/>
        </w:rPr>
        <w:t xml:space="preserve"> </w:t>
      </w:r>
    </w:p>
  </w:footnote>
  <w:footnote w:id="4">
    <w:p w14:paraId="1C1AB62B" w14:textId="77777777" w:rsidR="007E4A13" w:rsidRPr="00E57C35" w:rsidRDefault="007E4A13" w:rsidP="007E4A13">
      <w:pPr>
        <w:pStyle w:val="Textonotapie"/>
        <w:ind w:firstLine="709"/>
        <w:jc w:val="both"/>
        <w:rPr>
          <w:rFonts w:ascii="Verdana" w:hAnsi="Verdana" w:cs="Arial"/>
          <w:color w:val="000000"/>
          <w:sz w:val="12"/>
          <w:szCs w:val="12"/>
        </w:rPr>
      </w:pPr>
      <w:r w:rsidRPr="00E57C35">
        <w:rPr>
          <w:rStyle w:val="Refdenotaalpie"/>
          <w:rFonts w:ascii="Verdana" w:hAnsi="Verdana" w:cs="Arial"/>
          <w:color w:val="000000"/>
          <w:sz w:val="12"/>
          <w:szCs w:val="12"/>
        </w:rPr>
        <w:footnoteRef/>
      </w:r>
      <w:r w:rsidRPr="00E57C35">
        <w:rPr>
          <w:rStyle w:val="Refdenotaalpie"/>
          <w:rFonts w:ascii="Verdana" w:hAnsi="Verdana" w:cs="Arial"/>
          <w:color w:val="000000"/>
          <w:sz w:val="12"/>
          <w:szCs w:val="12"/>
        </w:rPr>
        <w:t xml:space="preserve"> </w:t>
      </w:r>
      <w:r w:rsidRPr="00E57C35">
        <w:rPr>
          <w:rFonts w:ascii="Verdana" w:hAnsi="Verdana" w:cs="Arial"/>
          <w:color w:val="000000"/>
          <w:sz w:val="12"/>
          <w:szCs w:val="12"/>
        </w:rPr>
        <w:t>Ley 1150 de 2007, artículo 5, parágrafo 4°: «En aquellos procesos de selección en los que se utilice el mecanismo de subasta, los documentos referentes a la futura contratación o a proponente, no necesarios para la comparación de las propuestas, deberán ser solicitados hasta el momento previo a su realización».</w:t>
      </w:r>
    </w:p>
    <w:p w14:paraId="47CB3DB4" w14:textId="77777777" w:rsidR="007E4A13" w:rsidRPr="00E57C35" w:rsidRDefault="007E4A13" w:rsidP="007E4A13">
      <w:pPr>
        <w:pStyle w:val="Textonotapie"/>
        <w:ind w:firstLine="709"/>
        <w:jc w:val="both"/>
        <w:rPr>
          <w:rFonts w:ascii="Verdana" w:hAnsi="Verdana" w:cs="Arial"/>
          <w:color w:val="000000"/>
          <w:sz w:val="12"/>
          <w:szCs w:val="12"/>
        </w:rPr>
      </w:pPr>
    </w:p>
  </w:footnote>
  <w:footnote w:id="5">
    <w:p w14:paraId="5B0AF110" w14:textId="77777777" w:rsidR="007E4A13" w:rsidRPr="00E57C35" w:rsidRDefault="007E4A13" w:rsidP="007E4A13">
      <w:pPr>
        <w:pStyle w:val="Textonotapie"/>
        <w:ind w:firstLine="709"/>
        <w:jc w:val="both"/>
        <w:rPr>
          <w:rFonts w:ascii="Verdana" w:hAnsi="Verdana" w:cs="Arial"/>
          <w:color w:val="000000"/>
          <w:sz w:val="12"/>
          <w:szCs w:val="12"/>
        </w:rPr>
      </w:pPr>
      <w:r w:rsidRPr="00E57C35">
        <w:rPr>
          <w:rStyle w:val="Refdenotaalpie"/>
          <w:rFonts w:ascii="Verdana" w:hAnsi="Verdana" w:cs="Arial"/>
          <w:color w:val="000000"/>
          <w:sz w:val="12"/>
          <w:szCs w:val="12"/>
        </w:rPr>
        <w:footnoteRef/>
      </w:r>
      <w:r w:rsidRPr="00E57C35">
        <w:rPr>
          <w:rFonts w:ascii="Verdana" w:hAnsi="Verdana" w:cs="Arial"/>
          <w:color w:val="000000"/>
          <w:sz w:val="12"/>
          <w:szCs w:val="12"/>
        </w:rPr>
        <w:t xml:space="preserve"> Sin embargo, debe tenerse en cuenta que la última norma en cita -Decreto 2474 de 2008, aparte subrayado-, establece un límite a la subsanabilidad, puesto que en cualquier caso debe referirse o recaer sobre circunstancias ocurridas antes del cierre del respectivo proceso, esto es, del vencimiento del plazo para presentar ofertas.</w:t>
      </w:r>
    </w:p>
    <w:p w14:paraId="4DCEE860" w14:textId="77777777" w:rsidR="007E4A13" w:rsidRPr="00E57C35" w:rsidRDefault="007E4A13" w:rsidP="007E4A13">
      <w:pPr>
        <w:pStyle w:val="Textonotapie"/>
        <w:ind w:firstLine="709"/>
        <w:jc w:val="both"/>
        <w:rPr>
          <w:rFonts w:ascii="Verdana" w:hAnsi="Verdana" w:cs="Arial"/>
          <w:color w:val="000000"/>
          <w:sz w:val="12"/>
          <w:szCs w:val="12"/>
        </w:rPr>
      </w:pPr>
    </w:p>
    <w:p w14:paraId="15B5847E" w14:textId="77777777" w:rsidR="007E4A13" w:rsidRPr="00E57C35" w:rsidRDefault="007E4A13" w:rsidP="007E4A13">
      <w:pPr>
        <w:pStyle w:val="Textonotapie"/>
        <w:ind w:firstLine="709"/>
        <w:jc w:val="both"/>
        <w:rPr>
          <w:rFonts w:ascii="Verdana" w:hAnsi="Verdana" w:cs="Arial"/>
          <w:color w:val="000000"/>
          <w:sz w:val="12"/>
          <w:szCs w:val="12"/>
        </w:rPr>
      </w:pPr>
      <w:r w:rsidRPr="00E57C35">
        <w:rPr>
          <w:rFonts w:ascii="Verdana" w:hAnsi="Verdana" w:cs="Arial"/>
          <w:color w:val="000000"/>
          <w:sz w:val="12"/>
          <w:szCs w:val="12"/>
        </w:rPr>
        <w:t>De esta manera, quien se presenta al proceso de selección debe cumplir para la fecha en que ‘se cierra el proceso’ con los requisitos que se requieren para presentar la oferta, de manera que es sobre ellos y no sobre otros que se cumplan con posterioridad, sobre los que recae la posibilidad de saneamiento. Así, por ejemplo, si se requiere una experiencia x, la misma se debe tener al presentar la oferta y la Administración puede requerir al oferente para que especifique aspectos relacionados con ella (complementar certificaciones, aclarar fechas, acreditación de la misma, etc.); pero no podría, por vía de las normas en cita, extender el tiempo para avalar experiencia que sólo se llega a cumplir después del cierre del proceso contractual. O si, igualmente a manera de ejemplo, fuera necesario ser persona jurídica pero el oferente no entrega el certificado de existencia y representación legal que lo acredita o éste es demasiado antiguo, la entidad contratante podría requerir al interesado para que haga entrega del mismo o lo actualice, pero no para que se constituya la sociedad con posterioridad al cierre del proceso, pues si ello no se había hecho, significa simplemente que el oferente no tenía la condición para participar. (Consejo de Estado. Sala de Consulta y Servicio Civil. Concepto del 6 de noviembre de 2008. Expediente: 1927. Consejero Ponente: William Zambrano Cetina).</w:t>
      </w:r>
    </w:p>
    <w:p w14:paraId="6FA8928A" w14:textId="77777777" w:rsidR="007E4A13" w:rsidRPr="00E57C35" w:rsidRDefault="007E4A13" w:rsidP="007E4A13">
      <w:pPr>
        <w:pStyle w:val="Textonotapie"/>
        <w:ind w:firstLine="709"/>
        <w:jc w:val="both"/>
        <w:rPr>
          <w:rFonts w:ascii="Verdana" w:hAnsi="Verdana" w:cs="Arial"/>
          <w:color w:val="000000"/>
          <w:sz w:val="12"/>
          <w:szCs w:val="12"/>
        </w:rPr>
      </w:pPr>
    </w:p>
  </w:footnote>
  <w:footnote w:id="6">
    <w:p w14:paraId="310A9DE3" w14:textId="77777777" w:rsidR="007E4A13" w:rsidRPr="00E57C35" w:rsidRDefault="007E4A13" w:rsidP="007E4A13">
      <w:pPr>
        <w:pStyle w:val="Textonotapie"/>
        <w:ind w:firstLine="709"/>
        <w:jc w:val="both"/>
        <w:rPr>
          <w:rFonts w:ascii="Verdana" w:hAnsi="Verdana" w:cs="Arial"/>
          <w:color w:val="000000"/>
          <w:sz w:val="12"/>
          <w:szCs w:val="12"/>
        </w:rPr>
      </w:pPr>
      <w:r w:rsidRPr="00E57C35">
        <w:rPr>
          <w:rStyle w:val="Refdenotaalpie"/>
          <w:rFonts w:ascii="Verdana" w:hAnsi="Verdana" w:cs="Arial"/>
          <w:sz w:val="12"/>
          <w:szCs w:val="12"/>
        </w:rPr>
        <w:footnoteRef/>
      </w:r>
      <w:r w:rsidRPr="00E57C35">
        <w:rPr>
          <w:rFonts w:ascii="Verdana" w:hAnsi="Verdana" w:cs="Arial"/>
          <w:sz w:val="12"/>
          <w:szCs w:val="12"/>
        </w:rPr>
        <w:t xml:space="preserve"> </w:t>
      </w:r>
      <w:r w:rsidRPr="00E57C35">
        <w:rPr>
          <w:rFonts w:ascii="Verdana" w:hAnsi="Verdana" w:cs="Arial"/>
          <w:color w:val="000000"/>
          <w:sz w:val="12"/>
          <w:szCs w:val="12"/>
        </w:rPr>
        <w:t xml:space="preserve">En armonía con lo anterior, actualmente la Circular Externa Única de Colombia Compra Eficiente señala lo siguiente: “De otro lado, cabe destacar que, de conformidad con el artículo 5 de la Ley 1882 de 2018, durante el término otorgado para subsanar, los proponentes no podrán acreditar circunstancias ocurridas luego del cierre del proceso. De esta manera, es subsanable la prueba de todas las circunstancias ocurridas antes del vencimiento del término para presentar las ofertas, por lo que no se podrán acreditar circunstancias ocurridas con posterioridad a dicho momento. </w:t>
      </w:r>
    </w:p>
    <w:p w14:paraId="7F57DAB6" w14:textId="77777777" w:rsidR="007E4A13" w:rsidRPr="00E57C35" w:rsidRDefault="007E4A13" w:rsidP="007E4A13">
      <w:pPr>
        <w:pStyle w:val="Textonotapie"/>
        <w:ind w:firstLine="709"/>
        <w:jc w:val="both"/>
        <w:rPr>
          <w:rFonts w:ascii="Verdana" w:hAnsi="Verdana" w:cs="Arial"/>
          <w:color w:val="000000"/>
          <w:sz w:val="12"/>
          <w:szCs w:val="12"/>
        </w:rPr>
      </w:pPr>
    </w:p>
    <w:p w14:paraId="686E82BB" w14:textId="77777777" w:rsidR="007E4A13" w:rsidRPr="00E57C35" w:rsidRDefault="007E4A13" w:rsidP="007E4A13">
      <w:pPr>
        <w:pStyle w:val="Textonotapie"/>
        <w:ind w:firstLine="709"/>
        <w:jc w:val="both"/>
        <w:rPr>
          <w:rFonts w:ascii="Verdana" w:hAnsi="Verdana" w:cs="Arial"/>
          <w:color w:val="000000"/>
          <w:sz w:val="12"/>
          <w:szCs w:val="12"/>
        </w:rPr>
      </w:pPr>
      <w:r w:rsidRPr="00E57C35">
        <w:rPr>
          <w:rFonts w:ascii="Verdana" w:hAnsi="Verdana" w:cs="Arial"/>
          <w:color w:val="000000"/>
          <w:sz w:val="12"/>
          <w:szCs w:val="12"/>
        </w:rPr>
        <w:t xml:space="preserve">Lo anterior quiere decir que no es la prueba lo que debe ser anterior al cierre del proceso, sino el hecho que esta acredita. En ese sentido, ante la solicitud de la Administración de subsanar un requisito, el documento podría estar fechado con posterioridad al vencimiento del término para recibir propuestas, con la condición de que el hecho que acredite haya ocurrido antes, esto es, que no sea una circunstancia ocurrida con posterioridad al cierre del proceso. Un mejor entendimiento del significado de la expresión «circunstancias ocurridas con posterioridad al cierre del proceso» implica distinguir entre la prueba de un hecho y el hecho mismo. En el caso de la subsanabilidad de las ofertas, una cosa es el requisito habilitante o el elemento de la propuesta que permite cumplir determinada exigencia del pliego de condiciones –o documento equivalente– y otra su prueba. Lo que prohíbe la norma es que se subsanen requisitos que no estaban materialmente cumplidos al momento del cierre del proceso”. Disponible en: </w:t>
      </w:r>
      <w:hyperlink r:id="rId2" w:history="1">
        <w:r w:rsidRPr="00E57C35">
          <w:rPr>
            <w:rStyle w:val="Hipervnculo"/>
            <w:rFonts w:ascii="Verdana" w:hAnsi="Verdana" w:cs="Arial"/>
            <w:sz w:val="12"/>
            <w:szCs w:val="12"/>
          </w:rPr>
          <w:t>https://www.colombiacompra.gov.co/circulares?page=2</w:t>
        </w:r>
      </w:hyperlink>
      <w:r w:rsidRPr="00E57C35">
        <w:rPr>
          <w:rStyle w:val="Hipervnculo"/>
          <w:rFonts w:ascii="Verdana" w:hAnsi="Verdana" w:cs="Arial"/>
          <w:color w:val="000000"/>
          <w:sz w:val="12"/>
          <w:szCs w:val="12"/>
        </w:rPr>
        <w:t xml:space="preserve"> </w:t>
      </w:r>
    </w:p>
    <w:p w14:paraId="729A41A2" w14:textId="77777777" w:rsidR="007E4A13" w:rsidRPr="00E57C35" w:rsidRDefault="007E4A13" w:rsidP="007E4A13">
      <w:pPr>
        <w:pStyle w:val="Textonotapie"/>
        <w:ind w:firstLine="709"/>
        <w:jc w:val="both"/>
        <w:rPr>
          <w:rFonts w:ascii="Verdana" w:hAnsi="Verdana" w:cs="Arial"/>
          <w:color w:val="000000"/>
          <w:sz w:val="12"/>
          <w:szCs w:val="12"/>
        </w:rPr>
      </w:pPr>
    </w:p>
  </w:footnote>
  <w:footnote w:id="7">
    <w:p w14:paraId="22D4CDCD" w14:textId="77777777" w:rsidR="007E4A13" w:rsidRPr="00E57C35" w:rsidRDefault="007E4A13" w:rsidP="007E4A13">
      <w:pPr>
        <w:pStyle w:val="Textonotapie"/>
        <w:ind w:firstLine="709"/>
        <w:jc w:val="both"/>
        <w:rPr>
          <w:rFonts w:ascii="Verdana" w:hAnsi="Verdana" w:cs="Arial"/>
          <w:color w:val="000000"/>
          <w:sz w:val="12"/>
          <w:szCs w:val="12"/>
        </w:rPr>
      </w:pPr>
      <w:r w:rsidRPr="00E57C35">
        <w:rPr>
          <w:rStyle w:val="Refdenotaalpie"/>
          <w:rFonts w:ascii="Verdana" w:hAnsi="Verdana" w:cs="Arial"/>
          <w:color w:val="000000"/>
          <w:sz w:val="12"/>
          <w:szCs w:val="12"/>
        </w:rPr>
        <w:footnoteRef/>
      </w:r>
      <w:r w:rsidRPr="00E57C35">
        <w:rPr>
          <w:rFonts w:ascii="Verdana" w:hAnsi="Verdana" w:cs="Arial"/>
          <w:color w:val="000000"/>
          <w:sz w:val="12"/>
          <w:szCs w:val="12"/>
        </w:rPr>
        <w:t xml:space="preserve"> Ver CONSEJO DE ESTADO, Sección Tercera, Subsección C. Sentencia del 26 de febrero de 2011. C.P. Jaime Orlando Santofimio. Rad. 36.408. </w:t>
      </w:r>
    </w:p>
  </w:footnote>
  <w:footnote w:id="8">
    <w:p w14:paraId="58E80551" w14:textId="77777777" w:rsidR="007E4A13" w:rsidRPr="00E57C35" w:rsidRDefault="007E4A13" w:rsidP="007E4A13">
      <w:pPr>
        <w:pStyle w:val="Textonotapie"/>
        <w:ind w:firstLine="709"/>
        <w:jc w:val="both"/>
        <w:rPr>
          <w:rFonts w:ascii="Verdana" w:hAnsi="Verdana" w:cs="Arial"/>
          <w:color w:val="000000"/>
          <w:sz w:val="12"/>
          <w:szCs w:val="12"/>
        </w:rPr>
      </w:pPr>
    </w:p>
    <w:p w14:paraId="5820D814" w14:textId="77777777" w:rsidR="007E4A13" w:rsidRPr="00E57C35" w:rsidRDefault="007E4A13" w:rsidP="007E4A13">
      <w:pPr>
        <w:pStyle w:val="Textonotapie"/>
        <w:ind w:firstLine="709"/>
        <w:jc w:val="both"/>
        <w:rPr>
          <w:rFonts w:ascii="Verdana" w:hAnsi="Verdana" w:cs="Arial"/>
          <w:color w:val="000000"/>
          <w:sz w:val="12"/>
          <w:szCs w:val="12"/>
        </w:rPr>
      </w:pPr>
      <w:r w:rsidRPr="00E57C35">
        <w:rPr>
          <w:rStyle w:val="Refdenotaalpie"/>
          <w:rFonts w:ascii="Verdana" w:hAnsi="Verdana" w:cs="Arial"/>
          <w:color w:val="000000"/>
          <w:sz w:val="12"/>
          <w:szCs w:val="12"/>
        </w:rPr>
        <w:footnoteRef/>
      </w:r>
      <w:r w:rsidRPr="00E57C35">
        <w:rPr>
          <w:rFonts w:ascii="Verdana" w:hAnsi="Verdana" w:cs="Arial"/>
          <w:color w:val="000000"/>
          <w:sz w:val="12"/>
          <w:szCs w:val="12"/>
        </w:rPr>
        <w:t xml:space="preserve"> Ver CONSEJO DE ESTADO, Sección Tercera, Subsección C. Sentencia del 26 de febrero de 2014. C.P. Enrique Gil Botero. Rad. 25.804. </w:t>
      </w:r>
    </w:p>
    <w:p w14:paraId="7F0E676E" w14:textId="77777777" w:rsidR="007E4A13" w:rsidRPr="00E57C35" w:rsidRDefault="007E4A13" w:rsidP="007E4A13">
      <w:pPr>
        <w:pStyle w:val="Textonotapie"/>
        <w:ind w:firstLine="709"/>
        <w:jc w:val="both"/>
        <w:rPr>
          <w:rFonts w:ascii="Verdana" w:hAnsi="Verdana" w:cs="Arial"/>
          <w:color w:val="000000"/>
          <w:sz w:val="12"/>
          <w:szCs w:val="12"/>
        </w:rPr>
      </w:pPr>
    </w:p>
  </w:footnote>
  <w:footnote w:id="9">
    <w:p w14:paraId="66A2E3F0" w14:textId="77777777" w:rsidR="007E4A13" w:rsidRPr="00E57C35" w:rsidRDefault="007E4A13" w:rsidP="007E4A13">
      <w:pPr>
        <w:pStyle w:val="Textonotapie"/>
        <w:ind w:firstLine="708"/>
        <w:jc w:val="both"/>
        <w:rPr>
          <w:rFonts w:ascii="Verdana" w:hAnsi="Verdana" w:cs="Arial"/>
          <w:color w:val="000000"/>
          <w:sz w:val="12"/>
          <w:szCs w:val="12"/>
        </w:rPr>
      </w:pPr>
      <w:r w:rsidRPr="00E57C35">
        <w:rPr>
          <w:rStyle w:val="Refdenotaalpie"/>
          <w:rFonts w:ascii="Verdana" w:hAnsi="Verdana" w:cs="Arial"/>
          <w:color w:val="000000"/>
          <w:sz w:val="12"/>
          <w:szCs w:val="12"/>
        </w:rPr>
        <w:footnoteRef/>
      </w:r>
      <w:r w:rsidRPr="00E57C35">
        <w:rPr>
          <w:rFonts w:ascii="Verdana" w:hAnsi="Verdana" w:cs="Arial"/>
          <w:color w:val="000000"/>
          <w:sz w:val="12"/>
          <w:szCs w:val="12"/>
        </w:rPr>
        <w:t xml:space="preserve"> CONSEJO DE ESTADO. Sala de Consulta y Servicio Civil. Concepto del 20 de mayo de 2010. Expediente: 1992. Consejero Ponente: Enrique José Arboleda Perdomo.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4pt;height:14.4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A568381C"/>
    <w:lvl w:ilvl="0" w:tplc="110EAFB2">
      <w:start w:val="1"/>
      <w:numFmt w:val="bullet"/>
      <w:lvlText w:val=""/>
      <w:lvlJc w:val="left"/>
      <w:pPr>
        <w:ind w:left="720" w:hanging="360"/>
      </w:pPr>
      <w:rPr>
        <w:rFonts w:ascii="Symbol" w:hAnsi="Symbol" w:hint="default"/>
        <w:color w:val="auto"/>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007A4"/>
    <w:rsid w:val="00116940"/>
    <w:rsid w:val="00125105"/>
    <w:rsid w:val="00127233"/>
    <w:rsid w:val="0015699B"/>
    <w:rsid w:val="00175909"/>
    <w:rsid w:val="001927DE"/>
    <w:rsid w:val="001A33BF"/>
    <w:rsid w:val="001E4177"/>
    <w:rsid w:val="001F0B24"/>
    <w:rsid w:val="001F7DC6"/>
    <w:rsid w:val="0022400B"/>
    <w:rsid w:val="002421BB"/>
    <w:rsid w:val="0025796E"/>
    <w:rsid w:val="00267DB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491C"/>
    <w:rsid w:val="003A532A"/>
    <w:rsid w:val="003A779E"/>
    <w:rsid w:val="003B7FFA"/>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3730A"/>
    <w:rsid w:val="00646B9F"/>
    <w:rsid w:val="00665D70"/>
    <w:rsid w:val="006900D9"/>
    <w:rsid w:val="006B52D6"/>
    <w:rsid w:val="00706C16"/>
    <w:rsid w:val="007340C3"/>
    <w:rsid w:val="0075235A"/>
    <w:rsid w:val="00756841"/>
    <w:rsid w:val="007649AB"/>
    <w:rsid w:val="00771D0C"/>
    <w:rsid w:val="007833AC"/>
    <w:rsid w:val="007B268C"/>
    <w:rsid w:val="007B7171"/>
    <w:rsid w:val="007C0C0F"/>
    <w:rsid w:val="007C3DC2"/>
    <w:rsid w:val="007E4A13"/>
    <w:rsid w:val="007E5497"/>
    <w:rsid w:val="00806F5F"/>
    <w:rsid w:val="00820278"/>
    <w:rsid w:val="008258C9"/>
    <w:rsid w:val="00844AE9"/>
    <w:rsid w:val="00867F95"/>
    <w:rsid w:val="008843B6"/>
    <w:rsid w:val="00891928"/>
    <w:rsid w:val="008A446D"/>
    <w:rsid w:val="008B25F1"/>
    <w:rsid w:val="008D180B"/>
    <w:rsid w:val="008F0EA7"/>
    <w:rsid w:val="008F74AF"/>
    <w:rsid w:val="00923EEF"/>
    <w:rsid w:val="009419F9"/>
    <w:rsid w:val="0095685E"/>
    <w:rsid w:val="00961B09"/>
    <w:rsid w:val="00965334"/>
    <w:rsid w:val="0097093E"/>
    <w:rsid w:val="00990A8D"/>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3798F"/>
    <w:rsid w:val="00AB0ADB"/>
    <w:rsid w:val="00B00C0E"/>
    <w:rsid w:val="00B01B1A"/>
    <w:rsid w:val="00B0381D"/>
    <w:rsid w:val="00B31AD3"/>
    <w:rsid w:val="00B44A47"/>
    <w:rsid w:val="00B72CD3"/>
    <w:rsid w:val="00B72FFF"/>
    <w:rsid w:val="00BB45A6"/>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32F52"/>
    <w:rsid w:val="00D33887"/>
    <w:rsid w:val="00D361FD"/>
    <w:rsid w:val="00D41CE3"/>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6F1"/>
    <w:rsid w:val="00E75C92"/>
    <w:rsid w:val="00E771DC"/>
    <w:rsid w:val="00E8772A"/>
    <w:rsid w:val="00E90F6B"/>
    <w:rsid w:val="00E92C27"/>
    <w:rsid w:val="00EA0E3D"/>
    <w:rsid w:val="00EC38A7"/>
    <w:rsid w:val="00EE1AA8"/>
    <w:rsid w:val="00F1345B"/>
    <w:rsid w:val="00F23FEA"/>
    <w:rsid w:val="00F31EDC"/>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3327E23"/>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7E4A13"/>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E4A13"/>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jarocic@gmail.com"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www.colombiacompra.gov.co/normativa-y-relatoria/documentos-tipo"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formacionvirtual.colombiacompra.gov.co/mod/page/view.php?id=3718"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www.colombiacompra.gov.co/circulares?page=2" TargetMode="External"/><Relationship Id="rId1" Type="http://schemas.openxmlformats.org/officeDocument/2006/relationships/hyperlink" Target="https://relatoria.colombiacompra.gov.co/providencias-consejo-de-estad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288715-03DF-47A1-85B1-14C0A0F320A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AD448670-9E7F-43FC-B1E7-88D213F4234F}">
  <ds:schemaRefs>
    <ds:schemaRef ds:uri="http://schemas.openxmlformats.org/officeDocument/2006/bibliography"/>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4</TotalTime>
  <Pages>17</Pages>
  <Words>5823</Words>
  <Characters>32032</Characters>
  <Application>Microsoft Office Word</Application>
  <DocSecurity>0</DocSecurity>
  <Lines>266</Lines>
  <Paragraphs>75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37780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4</cp:revision>
  <cp:lastPrinted>2023-01-10T21:18:00Z</cp:lastPrinted>
  <dcterms:created xsi:type="dcterms:W3CDTF">2026-05-06T22:24:00Z</dcterms:created>
  <dcterms:modified xsi:type="dcterms:W3CDTF">2026-05-06T23:34:00Z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