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2118A" w14:textId="77777777" w:rsidR="0002735A" w:rsidRDefault="0002735A" w:rsidP="00761018">
      <w:pPr>
        <w:spacing w:after="0" w:line="240" w:lineRule="auto"/>
        <w:jc w:val="both"/>
        <w:rPr>
          <w:rFonts w:ascii="Verdana" w:hAnsi="Verdana" w:cs="Arial"/>
          <w:b/>
          <w:bCs/>
          <w:lang w:val="es-MX" w:eastAsia="es-ES_tradnl"/>
        </w:rPr>
      </w:pPr>
    </w:p>
    <w:p w14:paraId="751C52A7" w14:textId="1115CACF" w:rsidR="00147819" w:rsidRPr="002A799D" w:rsidRDefault="002A799D" w:rsidP="00761018">
      <w:pPr>
        <w:spacing w:after="0" w:line="240" w:lineRule="auto"/>
        <w:jc w:val="both"/>
        <w:rPr>
          <w:rFonts w:ascii="Verdana" w:hAnsi="Verdana"/>
          <w:b/>
          <w:bCs/>
        </w:rPr>
      </w:pPr>
      <w:r w:rsidRPr="002A799D">
        <w:rPr>
          <w:rFonts w:ascii="Verdana" w:hAnsi="Verdana" w:cs="Arial"/>
          <w:b/>
          <w:bCs/>
          <w:lang w:val="es-MX" w:eastAsia="es-ES_tradnl"/>
        </w:rPr>
        <w:t>LEY DE GARANTÍAS ELECTORALES ‒ Finalidad / LEY DE GARANTÍAS ELECTORALES</w:t>
      </w:r>
    </w:p>
    <w:p w14:paraId="26836E84" w14:textId="77777777" w:rsidR="00147819" w:rsidRDefault="00147819" w:rsidP="00761018">
      <w:pPr>
        <w:spacing w:after="0" w:line="240" w:lineRule="auto"/>
        <w:jc w:val="both"/>
        <w:rPr>
          <w:rFonts w:ascii="Verdana" w:hAnsi="Verdana"/>
        </w:rPr>
      </w:pPr>
    </w:p>
    <w:p w14:paraId="7BF2E5F7" w14:textId="77777777" w:rsidR="00147819" w:rsidRPr="000007CF" w:rsidRDefault="00147819" w:rsidP="00147819">
      <w:pPr>
        <w:spacing w:after="120" w:line="276" w:lineRule="auto"/>
        <w:jc w:val="both"/>
        <w:rPr>
          <w:rFonts w:ascii="Verdana" w:eastAsia="Calibri" w:hAnsi="Verdana" w:cs="Arial"/>
          <w:sz w:val="20"/>
          <w:szCs w:val="20"/>
          <w:lang w:val="es-MX"/>
        </w:rPr>
      </w:pPr>
      <w:r w:rsidRPr="000007CF">
        <w:rPr>
          <w:rFonts w:ascii="Verdana" w:eastAsia="Calibri" w:hAnsi="Verdana" w:cs="Arial"/>
          <w:sz w:val="20"/>
          <w:szCs w:val="20"/>
          <w:lang w:val="es-MX"/>
        </w:rPr>
        <w:t xml:space="preserve">En cuanto a las </w:t>
      </w:r>
      <w:r w:rsidRPr="000007CF">
        <w:rPr>
          <w:rFonts w:ascii="Verdana" w:eastAsia="Times New Roman" w:hAnsi="Verdana" w:cs="Arial"/>
          <w:sz w:val="20"/>
          <w:szCs w:val="20"/>
          <w:lang w:val="es-MX" w:eastAsia="es-CO"/>
        </w:rPr>
        <w:t xml:space="preserve">restricciones para la celebración de contratos y convenios interadministrativos en los comicios para cargos de elección popular, </w:t>
      </w:r>
      <w:r w:rsidRPr="000007CF">
        <w:rPr>
          <w:rFonts w:ascii="Verdana" w:eastAsia="Calibri" w:hAnsi="Verdana" w:cs="Arial"/>
          <w:bCs/>
          <w:sz w:val="20"/>
          <w:szCs w:val="20"/>
        </w:rPr>
        <w:t>el parágrafo del artículo 38 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0007CF">
        <w:rPr>
          <w:rFonts w:ascii="Verdana" w:eastAsia="Times New Roman" w:hAnsi="Verdana" w:cs="Arial"/>
          <w:bCs/>
          <w:iCs/>
          <w:sz w:val="20"/>
          <w:szCs w:val="20"/>
          <w:lang w:val="es-MX"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0007CF">
        <w:rPr>
          <w:rFonts w:ascii="Verdana" w:eastAsia="Times New Roman" w:hAnsi="Verdana" w:cs="Arial"/>
          <w:bCs/>
          <w:iCs/>
          <w:sz w:val="20"/>
          <w:szCs w:val="20"/>
          <w:vertAlign w:val="superscript"/>
          <w:lang w:val="es-MX" w:eastAsia="x-none"/>
        </w:rPr>
        <w:footnoteReference w:id="1"/>
      </w:r>
      <w:r w:rsidRPr="000007CF">
        <w:rPr>
          <w:rFonts w:ascii="Verdana" w:eastAsia="Times New Roman" w:hAnsi="Verdana" w:cs="Arial"/>
          <w:bCs/>
          <w:iCs/>
          <w:sz w:val="20"/>
          <w:szCs w:val="20"/>
          <w:lang w:val="es-MX" w:eastAsia="x-none"/>
        </w:rPr>
        <w:t>.</w:t>
      </w:r>
      <w:r w:rsidRPr="000007CF">
        <w:rPr>
          <w:rFonts w:ascii="Verdana" w:eastAsia="Calibri" w:hAnsi="Verdana" w:cs="Arial"/>
          <w:sz w:val="20"/>
          <w:szCs w:val="20"/>
          <w:lang w:val="es-MX"/>
        </w:rPr>
        <w:t xml:space="preserve"> </w:t>
      </w:r>
    </w:p>
    <w:p w14:paraId="0DAC4191" w14:textId="7CEDB4B4" w:rsidR="0014424A" w:rsidRDefault="00147819" w:rsidP="00147819">
      <w:pPr>
        <w:widowControl w:val="0"/>
        <w:autoSpaceDE w:val="0"/>
        <w:autoSpaceDN w:val="0"/>
        <w:spacing w:after="120" w:line="276" w:lineRule="auto"/>
        <w:jc w:val="both"/>
        <w:rPr>
          <w:rFonts w:ascii="Verdana" w:eastAsia="Arial" w:hAnsi="Verdana" w:cs="Arial"/>
          <w:sz w:val="20"/>
          <w:szCs w:val="20"/>
          <w:lang w:val="es-ES" w:eastAsia="es-ES" w:bidi="es-ES"/>
        </w:rPr>
      </w:pPr>
      <w:r w:rsidRPr="000007CF">
        <w:rPr>
          <w:rFonts w:ascii="Verdana" w:eastAsia="Calibri" w:hAnsi="Verdana" w:cs="Arial"/>
          <w:bCs/>
          <w:sz w:val="20"/>
          <w:szCs w:val="20"/>
          <w:lang w:eastAsia="es-ES" w:bidi="es-ES"/>
        </w:rPr>
        <w:t xml:space="preserve">Ahora bien, para determinar el alcance de la prohibición consagrada por la Ley de Garantías Electorales, conviene precisar la tipología de convenios o contratos interadministrativos. </w:t>
      </w:r>
      <w:r w:rsidRPr="000007CF">
        <w:rPr>
          <w:rFonts w:ascii="Verdana" w:eastAsia="Arial" w:hAnsi="Verdana" w:cs="Arial"/>
          <w:sz w:val="20"/>
          <w:szCs w:val="20"/>
          <w:lang w:val="es-ES" w:eastAsia="es-ES" w:bidi="es-ES"/>
        </w:rPr>
        <w:t>Aunque la ley no la definió ni desarrolló, el Decreto 1082 de 2015 califica a los convenios o contratos interadministrativos como aquella contratación entre entidades estatales</w:t>
      </w:r>
      <w:r w:rsidRPr="000007CF">
        <w:rPr>
          <w:rFonts w:ascii="Verdana" w:eastAsia="Arial" w:hAnsi="Verdana" w:cs="Arial"/>
          <w:sz w:val="20"/>
          <w:szCs w:val="20"/>
          <w:vertAlign w:val="superscript"/>
          <w:lang w:val="es-ES" w:eastAsia="es-ES" w:bidi="es-ES"/>
        </w:rPr>
        <w:footnoteReference w:id="2"/>
      </w:r>
      <w:r w:rsidRPr="000007CF">
        <w:rPr>
          <w:rFonts w:ascii="Verdana" w:eastAsia="Arial" w:hAnsi="Verdana" w:cs="Arial"/>
          <w:sz w:val="20"/>
          <w:szCs w:val="20"/>
          <w:lang w:val="es-ES" w:eastAsia="es-ES" w:bidi="es-ES"/>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0007CF">
        <w:rPr>
          <w:rFonts w:ascii="Verdana" w:eastAsia="Arial" w:hAnsi="Verdana" w:cs="Arial"/>
          <w:spacing w:val="-6"/>
          <w:sz w:val="20"/>
          <w:szCs w:val="20"/>
          <w:lang w:val="es-ES" w:eastAsia="es-ES" w:bidi="es-ES"/>
        </w:rPr>
        <w:t xml:space="preserve"> </w:t>
      </w:r>
      <w:r w:rsidRPr="000007CF">
        <w:rPr>
          <w:rFonts w:ascii="Verdana" w:eastAsia="Arial" w:hAnsi="Verdana" w:cs="Arial"/>
          <w:sz w:val="20"/>
          <w:szCs w:val="20"/>
          <w:lang w:val="es-ES" w:eastAsia="es-ES" w:bidi="es-ES"/>
        </w:rPr>
        <w:t>estatales.</w:t>
      </w:r>
    </w:p>
    <w:p w14:paraId="28ABA17E" w14:textId="77777777" w:rsidR="0018681B" w:rsidRDefault="0018681B" w:rsidP="00147819">
      <w:pPr>
        <w:widowControl w:val="0"/>
        <w:autoSpaceDE w:val="0"/>
        <w:autoSpaceDN w:val="0"/>
        <w:spacing w:after="120" w:line="276" w:lineRule="auto"/>
        <w:jc w:val="both"/>
        <w:rPr>
          <w:rFonts w:ascii="Verdana" w:eastAsia="Arial" w:hAnsi="Verdana" w:cs="Arial"/>
          <w:sz w:val="20"/>
          <w:szCs w:val="20"/>
          <w:lang w:val="es-ES" w:eastAsia="es-ES" w:bidi="es-ES"/>
        </w:rPr>
      </w:pPr>
    </w:p>
    <w:p w14:paraId="6F286F69" w14:textId="49C477E1" w:rsidR="0018681B" w:rsidRPr="0018681B" w:rsidRDefault="0018681B" w:rsidP="00147819">
      <w:pPr>
        <w:widowControl w:val="0"/>
        <w:autoSpaceDE w:val="0"/>
        <w:autoSpaceDN w:val="0"/>
        <w:spacing w:after="120" w:line="276" w:lineRule="auto"/>
        <w:jc w:val="both"/>
        <w:rPr>
          <w:rFonts w:ascii="Verdana" w:hAnsi="Verdana" w:cs="Arial"/>
          <w:b/>
          <w:bCs/>
          <w:lang w:val="es-MX" w:eastAsia="es-ES_tradnl"/>
        </w:rPr>
      </w:pPr>
      <w:r w:rsidRPr="0018681B">
        <w:rPr>
          <w:rFonts w:ascii="Verdana" w:hAnsi="Verdana" w:cs="Arial"/>
          <w:b/>
          <w:bCs/>
          <w:lang w:val="es-MX" w:eastAsia="es-ES_tradnl"/>
        </w:rPr>
        <w:t>LEY DE GARANTÍAS ELECTORALES – Contratos y convenios interadministrativos – Criterio orgánico</w:t>
      </w:r>
      <w:r w:rsidRPr="0018681B">
        <w:rPr>
          <w:rFonts w:ascii="Verdana" w:hAnsi="Verdana" w:cs="Arial"/>
          <w:b/>
          <w:bCs/>
          <w:lang w:val="es-MX" w:eastAsia="es-ES_tradnl"/>
        </w:rPr>
        <w:t xml:space="preserve"> </w:t>
      </w:r>
    </w:p>
    <w:p w14:paraId="27539D0C" w14:textId="2D2DA35F" w:rsidR="0018681B" w:rsidRDefault="00CF7C1C" w:rsidP="00147819">
      <w:pPr>
        <w:widowControl w:val="0"/>
        <w:autoSpaceDE w:val="0"/>
        <w:autoSpaceDN w:val="0"/>
        <w:spacing w:after="120" w:line="276" w:lineRule="auto"/>
        <w:jc w:val="both"/>
        <w:rPr>
          <w:rFonts w:ascii="Verdana" w:eastAsia="Arial" w:hAnsi="Verdana" w:cs="Arial"/>
          <w:sz w:val="20"/>
          <w:szCs w:val="20"/>
          <w:lang w:val="es-ES" w:eastAsia="es-ES" w:bidi="es-ES"/>
        </w:rPr>
      </w:pPr>
      <w:r w:rsidRPr="00CF7C1C">
        <w:rPr>
          <w:rFonts w:ascii="Verdana" w:eastAsia="Arial" w:hAnsi="Verdana" w:cs="Arial"/>
          <w:sz w:val="20"/>
          <w:szCs w:val="20"/>
          <w:lang w:eastAsia="es-ES" w:bidi="es-ES"/>
        </w:rPr>
        <w:t xml:space="preserve">Sobre este aspecto, es importante señalar que esta Subdirección, en los conceptos emitidos sobre la aplicación de la Ley de Garantías Electorales, ha defendido y mantenido la postura acerca de que la prohibición señalada en el parágrafo del artículo 38 cobija </w:t>
      </w:r>
      <w:r w:rsidRPr="00CF7C1C">
        <w:rPr>
          <w:rFonts w:ascii="Verdana" w:eastAsia="Arial" w:hAnsi="Verdana" w:cs="Arial"/>
          <w:sz w:val="20"/>
          <w:szCs w:val="20"/>
          <w:lang w:eastAsia="es-ES" w:bidi="es-ES"/>
        </w:rPr>
        <w:lastRenderedPageBreak/>
        <w:t>tanto a los convenios como a los contratos interadministrativos. Esta tesis se fundamenta en que 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w:t>
      </w:r>
      <w:r w:rsidRPr="00CF7C1C">
        <w:rPr>
          <w:rFonts w:ascii="Verdana" w:eastAsia="Arial" w:hAnsi="Verdana" w:cs="Arial"/>
          <w:b/>
          <w:bCs/>
          <w:sz w:val="20"/>
          <w:szCs w:val="20"/>
          <w:lang w:eastAsia="es-ES" w:bidi="es-ES"/>
        </w:rPr>
        <w:t> </w:t>
      </w:r>
    </w:p>
    <w:p w14:paraId="78BA7922" w14:textId="083636A8" w:rsidR="0014424A" w:rsidRPr="00522447" w:rsidRDefault="00522447" w:rsidP="00147819">
      <w:pPr>
        <w:widowControl w:val="0"/>
        <w:autoSpaceDE w:val="0"/>
        <w:autoSpaceDN w:val="0"/>
        <w:spacing w:after="120" w:line="276" w:lineRule="auto"/>
        <w:jc w:val="both"/>
        <w:rPr>
          <w:rFonts w:ascii="Verdana" w:eastAsia="Arial" w:hAnsi="Verdana" w:cs="Arial"/>
          <w:b/>
          <w:bCs/>
          <w:sz w:val="20"/>
          <w:szCs w:val="20"/>
          <w:lang w:val="es-ES" w:eastAsia="es-ES" w:bidi="es-ES"/>
        </w:rPr>
      </w:pPr>
      <w:r w:rsidRPr="00522447">
        <w:rPr>
          <w:rFonts w:ascii="Verdana" w:hAnsi="Verdana" w:cs="Arial"/>
          <w:b/>
          <w:bCs/>
          <w:color w:val="000000"/>
          <w:kern w:val="2"/>
          <w14:ligatures w14:val="standardContextual"/>
        </w:rPr>
        <w:t xml:space="preserve">CONVENIOS SOLIDARIOS – </w:t>
      </w:r>
      <w:r w:rsidRPr="00522447">
        <w:rPr>
          <w:rFonts w:ascii="Verdana" w:hAnsi="Verdana" w:cs="Arial"/>
          <w:b/>
          <w:bCs/>
          <w:color w:val="000000"/>
          <w:kern w:val="2"/>
          <w:lang w:val="es-MX"/>
          <w14:ligatures w14:val="standardContextual"/>
        </w:rPr>
        <w:t>Marco normativo / LEY 136 DE 1994 –Ámbito de aplicación – Organismos de acción comunal – Régimen jurídico / LEY 136 DE 1994 – Regímenes de contratación – Organismos de acción comunal / LEY 2166 DE 2021 – Organismos de acción comunal – Artículo 95 – Convenios solidarios –Contratación directa – Contratos de obra –menor cuantía</w:t>
      </w:r>
    </w:p>
    <w:p w14:paraId="352EF9EA" w14:textId="77777777" w:rsidR="0014424A" w:rsidRPr="00A2491D" w:rsidRDefault="0014424A" w:rsidP="0014424A">
      <w:pPr>
        <w:spacing w:after="120" w:line="240" w:lineRule="auto"/>
        <w:jc w:val="both"/>
        <w:rPr>
          <w:rFonts w:ascii="Verdana" w:eastAsia="Calibri" w:hAnsi="Verdana" w:cs="Arial"/>
          <w:sz w:val="20"/>
          <w:szCs w:val="20"/>
        </w:rPr>
      </w:pPr>
      <w:r w:rsidRPr="00A2491D">
        <w:rPr>
          <w:rFonts w:ascii="Verdana" w:eastAsia="Arial" w:hAnsi="Verdana" w:cs="Arial"/>
          <w:sz w:val="20"/>
          <w:szCs w:val="20"/>
          <w:lang w:val="es-MX"/>
        </w:rPr>
        <w:t xml:space="preserve">De acuerdo con la interpretación de las normas generales del sistema de compras y contratación pública, </w:t>
      </w:r>
      <w:r w:rsidRPr="00A2491D">
        <w:rPr>
          <w:rFonts w:ascii="Verdana" w:eastAsia="Arial" w:hAnsi="Verdana" w:cs="Arial"/>
          <w:sz w:val="20"/>
          <w:szCs w:val="20"/>
          <w:lang w:val="es-ES" w:eastAsia="es-ES" w:bidi="es-ES"/>
        </w:rPr>
        <w:t xml:space="preserve">la Ley 996 de 2005 establece dos (2) tipos de restricciones en materia de contratación, las cuales coinciden parcialmente. </w:t>
      </w:r>
      <w:r w:rsidRPr="00A2491D">
        <w:rPr>
          <w:rFonts w:ascii="Verdana" w:eastAsia="Arial" w:hAnsi="Verdana" w:cs="Arial"/>
          <w:i/>
          <w:iCs/>
          <w:sz w:val="20"/>
          <w:szCs w:val="20"/>
          <w:lang w:val="es-ES" w:eastAsia="es-ES" w:bidi="es-ES"/>
        </w:rPr>
        <w:t>En primer lugar</w:t>
      </w:r>
      <w:r w:rsidRPr="00A2491D">
        <w:rPr>
          <w:rFonts w:ascii="Verdana" w:eastAsia="Arial" w:hAnsi="Verdana" w:cs="Arial"/>
          <w:sz w:val="20"/>
          <w:szCs w:val="20"/>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2491D">
        <w:rPr>
          <w:rFonts w:ascii="Verdana" w:eastAsia="Arial" w:hAnsi="Verdana" w:cs="Arial"/>
          <w:i/>
          <w:iCs/>
          <w:sz w:val="20"/>
          <w:szCs w:val="20"/>
          <w:lang w:val="es-ES" w:eastAsia="es-ES" w:bidi="es-ES"/>
        </w:rPr>
        <w:t>En segundo lugar</w:t>
      </w:r>
      <w:r w:rsidRPr="00A2491D">
        <w:rPr>
          <w:rFonts w:ascii="Verdana" w:eastAsia="Arial" w:hAnsi="Verdana" w:cs="Arial"/>
          <w:sz w:val="20"/>
          <w:szCs w:val="20"/>
          <w:lang w:val="es-ES" w:eastAsia="es-ES" w:bidi="es-ES"/>
        </w:rPr>
        <w:t>, también se encuentra la prohibición del parágrafo del artículo 38,</w:t>
      </w:r>
      <w:r w:rsidRPr="00A2491D">
        <w:rPr>
          <w:rFonts w:ascii="Verdana" w:eastAsia="Calibri" w:hAnsi="Verdana" w:cs="Arial"/>
          <w:sz w:val="20"/>
          <w:szCs w:val="20"/>
        </w:rPr>
        <w:t xml:space="preserve"> que prevé una restricción, aplicable en las elecciones para </w:t>
      </w:r>
      <w:r w:rsidRPr="00A2491D">
        <w:rPr>
          <w:rFonts w:ascii="Verdana" w:eastAsia="Arial" w:hAnsi="Verdana" w:cs="Arial"/>
          <w:sz w:val="20"/>
          <w:szCs w:val="20"/>
          <w:lang w:val="es-ES" w:eastAsia="es-ES" w:bidi="es-ES"/>
        </w:rPr>
        <w:t>cargos de elección popular, dirigida</w:t>
      </w:r>
      <w:r w:rsidRPr="00A2491D">
        <w:rPr>
          <w:rFonts w:ascii="Verdana" w:eastAsia="Calibri" w:hAnsi="Verdana" w:cs="Arial"/>
          <w:sz w:val="20"/>
          <w:szCs w:val="20"/>
        </w:rPr>
        <w:t xml:space="preserve"> a los gobernadores, alcaldes municipales o distritales, secretarios, gerentes y directores de Entidades descentralizadas del orden municipal, departamental o distrital, en lo que respecta a la celebración de </w:t>
      </w:r>
      <w:r w:rsidRPr="00A2491D">
        <w:rPr>
          <w:rFonts w:ascii="Verdana" w:eastAsia="Arial" w:hAnsi="Verdana" w:cs="Arial"/>
          <w:sz w:val="20"/>
          <w:szCs w:val="20"/>
          <w:lang w:val="es-ES" w:eastAsia="es-ES" w:bidi="es-ES"/>
        </w:rPr>
        <w:t>convenios interadministrativos que impliquen la ejecución de recursos públicos dentro de los cuatro (4) meses anteriores a la respectiva jornada de votaciones.</w:t>
      </w:r>
    </w:p>
    <w:p w14:paraId="663667CA" w14:textId="77777777" w:rsidR="0014424A" w:rsidRPr="00A2491D" w:rsidRDefault="0014424A" w:rsidP="0014424A">
      <w:pPr>
        <w:spacing w:after="120"/>
        <w:jc w:val="both"/>
        <w:rPr>
          <w:rFonts w:ascii="Verdana" w:hAnsi="Verdana" w:cs="Arial"/>
          <w:color w:val="000000" w:themeColor="text1"/>
          <w:sz w:val="20"/>
          <w:szCs w:val="20"/>
          <w:lang w:val="es-ES_tradnl"/>
        </w:rPr>
      </w:pPr>
      <w:r w:rsidRPr="00A2491D">
        <w:rPr>
          <w:rFonts w:ascii="Verdana" w:hAnsi="Verdana" w:cs="Arial"/>
          <w:sz w:val="20"/>
          <w:szCs w:val="20"/>
          <w:lang w:val="es-ES"/>
        </w:rPr>
        <w:t xml:space="preserve">Ahora bien, con relación a la celebración de </w:t>
      </w:r>
      <w:r w:rsidRPr="00A2491D">
        <w:rPr>
          <w:rFonts w:ascii="Verdana" w:hAnsi="Verdana" w:cs="Arial"/>
          <w:i/>
          <w:iCs/>
          <w:sz w:val="20"/>
          <w:szCs w:val="20"/>
          <w:lang w:val="es-ES"/>
        </w:rPr>
        <w:t>convenios</w:t>
      </w:r>
      <w:r w:rsidRPr="00A2491D">
        <w:rPr>
          <w:rFonts w:ascii="Verdana" w:hAnsi="Verdana" w:cs="Arial"/>
          <w:sz w:val="20"/>
          <w:szCs w:val="20"/>
          <w:lang w:val="es-ES"/>
        </w:rPr>
        <w:t xml:space="preserve"> y en aras de dar respuesta a la consulta elevada, ha de tenerse en cuenta que el </w:t>
      </w:r>
      <w:r w:rsidRPr="00A2491D">
        <w:rPr>
          <w:rFonts w:ascii="Verdana" w:hAnsi="Verdana" w:cs="Arial"/>
          <w:color w:val="000000" w:themeColor="text1"/>
          <w:sz w:val="20"/>
          <w:szCs w:val="20"/>
          <w:lang w:val="es-ES_tradnl"/>
        </w:rPr>
        <w:t xml:space="preserve">artículo 3.16 de la Ley 136 de 1994 hace referencia a los convenios suscritos entre los municipios y distritos con los cabildos, las autoridades y organizaciones indígenas, los </w:t>
      </w:r>
      <w:r w:rsidRPr="00A2491D">
        <w:rPr>
          <w:rFonts w:ascii="Verdana" w:hAnsi="Verdana" w:cs="Arial"/>
          <w:i/>
          <w:iCs/>
          <w:color w:val="000000" w:themeColor="text1"/>
          <w:sz w:val="20"/>
          <w:szCs w:val="20"/>
          <w:lang w:val="es-ES_tradnl"/>
        </w:rPr>
        <w:t>organismos de acción comunal</w:t>
      </w:r>
      <w:r w:rsidRPr="00A2491D">
        <w:rPr>
          <w:rFonts w:ascii="Verdana" w:hAnsi="Verdana" w:cs="Arial"/>
          <w:color w:val="000000" w:themeColor="text1"/>
          <w:sz w:val="20"/>
          <w:szCs w:val="20"/>
          <w:lang w:val="es-ES_tradnl"/>
        </w:rPr>
        <w:t xml:space="preserve"> y demás organizaciones civiles y asociaciones residentes en el territorio. Por su parte, el artículo 95 de la Ley 2166 de 2021</w:t>
      </w:r>
      <w:r w:rsidRPr="00A2491D">
        <w:rPr>
          <w:rFonts w:ascii="Verdana" w:hAnsi="Verdana" w:cs="Arial"/>
          <w:i/>
          <w:iCs/>
          <w:sz w:val="20"/>
          <w:szCs w:val="20"/>
          <w:lang w:val="es-ES"/>
        </w:rPr>
        <w:t xml:space="preserve"> </w:t>
      </w:r>
      <w:r w:rsidRPr="00A2491D">
        <w:rPr>
          <w:rFonts w:ascii="Verdana" w:eastAsia="Calibri" w:hAnsi="Verdana" w:cs="Arial"/>
          <w:color w:val="000000" w:themeColor="text1"/>
          <w:sz w:val="20"/>
          <w:szCs w:val="20"/>
          <w:lang w:val="es-ES"/>
        </w:rPr>
        <w:t xml:space="preserve">señala que las Entidades del orden nacional, departamental, distrital y municipal podrán celebrar directamente convenios solidarios con organismos de acción comunal para la ejecución de obras hasta por la menor cuantía. Y finalmente, </w:t>
      </w:r>
      <w:r w:rsidRPr="00A2491D">
        <w:rPr>
          <w:rFonts w:ascii="Verdana" w:eastAsia="Calibri" w:hAnsi="Verdana" w:cs="Arial"/>
          <w:color w:val="000000" w:themeColor="text1"/>
          <w:sz w:val="20"/>
          <w:szCs w:val="20"/>
          <w:lang w:val="es-ES"/>
        </w:rPr>
        <w:lastRenderedPageBreak/>
        <w:t xml:space="preserve">el parágrafo 2 del artículo 63 </w:t>
      </w:r>
      <w:r w:rsidRPr="00A2491D">
        <w:rPr>
          <w:rFonts w:ascii="Verdana" w:eastAsia="Calibri" w:hAnsi="Verdana" w:cs="Arial"/>
          <w:i/>
          <w:iCs/>
          <w:color w:val="000000" w:themeColor="text1"/>
          <w:sz w:val="20"/>
          <w:szCs w:val="20"/>
          <w:lang w:val="es-ES"/>
        </w:rPr>
        <w:t>ibidem</w:t>
      </w:r>
      <w:r w:rsidRPr="00A2491D">
        <w:rPr>
          <w:rFonts w:ascii="Verdana" w:eastAsia="Calibri" w:hAnsi="Verdana" w:cs="Arial"/>
          <w:color w:val="000000" w:themeColor="text1"/>
          <w:sz w:val="20"/>
          <w:szCs w:val="20"/>
          <w:lang w:val="es-ES"/>
        </w:rPr>
        <w:t xml:space="preserve"> permite la celebración de convenios solidarios entre Entidades del orden nacional, departamental, distrital, local y municipal con los organismos de acción comunal</w:t>
      </w:r>
      <w:r w:rsidRPr="00A2491D">
        <w:rPr>
          <w:rFonts w:ascii="Verdana" w:eastAsia="Calibri" w:hAnsi="Verdana" w:cs="Arial"/>
          <w:i/>
          <w:iCs/>
          <w:color w:val="000000" w:themeColor="text1"/>
          <w:sz w:val="20"/>
          <w:szCs w:val="20"/>
          <w:lang w:val="es-ES"/>
        </w:rPr>
        <w:t xml:space="preserve"> </w:t>
      </w:r>
      <w:r w:rsidRPr="00A2491D">
        <w:rPr>
          <w:rFonts w:ascii="Verdana" w:eastAsia="Calibri" w:hAnsi="Verdana" w:cs="Arial"/>
          <w:color w:val="000000" w:themeColor="text1"/>
          <w:sz w:val="20"/>
          <w:szCs w:val="20"/>
          <w:lang w:val="es-ES"/>
        </w:rPr>
        <w:t>para la ejecución de proyectos incluidos en el respectivo plan nacional de desarrollo o para la ejecución de los proyectos derivados del Acuerdo Final de Paz</w:t>
      </w:r>
      <w:r w:rsidRPr="00A2491D">
        <w:rPr>
          <w:rFonts w:ascii="Verdana" w:eastAsia="Calibri" w:hAnsi="Verdana" w:cs="Arial"/>
          <w:i/>
          <w:iCs/>
          <w:color w:val="000000" w:themeColor="text1"/>
          <w:sz w:val="20"/>
          <w:szCs w:val="20"/>
          <w:lang w:val="es-ES"/>
        </w:rPr>
        <w:t>.</w:t>
      </w:r>
    </w:p>
    <w:p w14:paraId="50388BCB" w14:textId="77777777" w:rsidR="0014424A" w:rsidRPr="00A2491D" w:rsidRDefault="0014424A" w:rsidP="0014424A">
      <w:pPr>
        <w:spacing w:after="120" w:line="240" w:lineRule="auto"/>
        <w:jc w:val="both"/>
        <w:rPr>
          <w:rFonts w:ascii="Verdana" w:hAnsi="Verdana" w:cs="Arial"/>
          <w:color w:val="000000" w:themeColor="text1"/>
          <w:sz w:val="20"/>
          <w:szCs w:val="20"/>
          <w:lang w:val="es-ES_tradnl"/>
        </w:rPr>
      </w:pPr>
      <w:r w:rsidRPr="00A2491D">
        <w:rPr>
          <w:rFonts w:ascii="Verdana" w:eastAsia="Calibri" w:hAnsi="Verdana" w:cs="Arial"/>
          <w:i/>
          <w:iCs/>
          <w:color w:val="000000" w:themeColor="text1"/>
          <w:sz w:val="20"/>
          <w:szCs w:val="20"/>
          <w:lang w:val="es-ES"/>
        </w:rPr>
        <w:t xml:space="preserve"> </w:t>
      </w:r>
      <w:r w:rsidRPr="00A2491D">
        <w:rPr>
          <w:rFonts w:ascii="Verdana" w:eastAsia="Calibri" w:hAnsi="Verdana" w:cs="Arial"/>
          <w:sz w:val="20"/>
          <w:szCs w:val="20"/>
          <w:lang w:val="es-ES" w:eastAsia="es-ES" w:bidi="es-ES"/>
        </w:rPr>
        <w:t>Bajo este contexto</w:t>
      </w:r>
      <w:r w:rsidRPr="00A2491D">
        <w:rPr>
          <w:rFonts w:ascii="Verdana" w:eastAsia="Calibri" w:hAnsi="Verdana" w:cs="Arial"/>
          <w:color w:val="000000" w:themeColor="text1"/>
          <w:sz w:val="20"/>
          <w:szCs w:val="20"/>
        </w:rPr>
        <w:t xml:space="preserve">, y </w:t>
      </w:r>
      <w:r w:rsidRPr="00A2491D">
        <w:rPr>
          <w:rFonts w:ascii="Verdana" w:hAnsi="Verdana" w:cs="Arial"/>
          <w:color w:val="000000" w:themeColor="text1"/>
          <w:sz w:val="20"/>
          <w:szCs w:val="20"/>
          <w:lang w:eastAsia="es-CO"/>
        </w:rPr>
        <w:t xml:space="preserve">considerando la naturaleza jurídica de las partes, los convenios suscritos entre Entidades del orden nacional, </w:t>
      </w:r>
      <w:r w:rsidRPr="00A2491D">
        <w:rPr>
          <w:rFonts w:ascii="Verdana" w:eastAsia="Calibri" w:hAnsi="Verdana" w:cs="Arial"/>
          <w:color w:val="000000" w:themeColor="text1"/>
          <w:sz w:val="20"/>
          <w:szCs w:val="20"/>
          <w:lang w:val="es-ES"/>
        </w:rPr>
        <w:t>departamental, distrital, local y municipal</w:t>
      </w:r>
      <w:r w:rsidRPr="00A2491D">
        <w:rPr>
          <w:rFonts w:ascii="Verdana" w:hAnsi="Verdana" w:cs="Arial"/>
          <w:color w:val="000000" w:themeColor="text1"/>
          <w:sz w:val="20"/>
          <w:szCs w:val="20"/>
          <w:lang w:eastAsia="es-CO"/>
        </w:rPr>
        <w:t xml:space="preserve"> y organismos de acción comunal </w:t>
      </w:r>
      <w:r w:rsidRPr="00A2491D">
        <w:rPr>
          <w:rFonts w:ascii="Verdana" w:hAnsi="Verdana" w:cs="Arial"/>
          <w:i/>
          <w:iCs/>
          <w:color w:val="000000" w:themeColor="text1"/>
          <w:sz w:val="20"/>
          <w:szCs w:val="20"/>
          <w:lang w:eastAsia="es-CO"/>
        </w:rPr>
        <w:t>no se califican como contratos o convenios interadministrativos</w:t>
      </w:r>
      <w:r w:rsidRPr="00A2491D">
        <w:rPr>
          <w:rFonts w:ascii="Verdana" w:hAnsi="Verdana" w:cs="Arial"/>
          <w:color w:val="000000" w:themeColor="text1"/>
          <w:sz w:val="20"/>
          <w:szCs w:val="20"/>
          <w:lang w:eastAsia="es-CO"/>
        </w:rPr>
        <w:t xml:space="preserve">, toda vez, que </w:t>
      </w:r>
      <w:r w:rsidRPr="00A2491D">
        <w:rPr>
          <w:rFonts w:ascii="Verdana" w:hAnsi="Verdana" w:cs="Arial"/>
          <w:color w:val="000000"/>
          <w:sz w:val="20"/>
          <w:szCs w:val="20"/>
          <w:lang w:val="es-ES" w:eastAsia="es-CO"/>
        </w:rPr>
        <w:t>no implica una contratación entre autoridades del Estado sino un negocio jurídico entre una Entidad y una persona jurídica de derecho privado</w:t>
      </w:r>
      <w:r w:rsidRPr="00A2491D">
        <w:rPr>
          <w:rFonts w:ascii="Verdana" w:hAnsi="Verdana" w:cs="Arial"/>
          <w:color w:val="000000" w:themeColor="text1"/>
          <w:sz w:val="20"/>
          <w:szCs w:val="20"/>
          <w:lang w:val="es-ES" w:eastAsia="es-CO"/>
        </w:rPr>
        <w:t xml:space="preserve"> </w:t>
      </w:r>
      <w:r w:rsidRPr="00A2491D">
        <w:rPr>
          <w:rFonts w:ascii="Verdana" w:hAnsi="Verdana" w:cs="Arial"/>
          <w:color w:val="000000" w:themeColor="text1"/>
          <w:sz w:val="20"/>
          <w:szCs w:val="20"/>
          <w:lang w:eastAsia="es-CO"/>
        </w:rPr>
        <w:t xml:space="preserve">y en razón a ello no sería aplicable la restricción establecida en el artículo 38 de la ley 996 del 2005, puesto que la calificación de </w:t>
      </w:r>
      <w:r w:rsidRPr="00A2491D">
        <w:rPr>
          <w:rFonts w:ascii="Verdana" w:hAnsi="Verdana" w:cs="Arial"/>
          <w:color w:val="000000" w:themeColor="text1"/>
          <w:sz w:val="20"/>
          <w:szCs w:val="20"/>
          <w:lang w:val="es-ES" w:eastAsia="es-CO"/>
        </w:rPr>
        <w:t>convenios o contratos interadministrativos está definida por un criterio orgánico, esto es, que la contratación se efectúa entre dos o más personas jurídicas de derecho público con la finalidad de cumplir, en el marco de sus objetivos misionales y sus competencias, con los fines del Estado.</w:t>
      </w:r>
    </w:p>
    <w:p w14:paraId="5A4571E3" w14:textId="77777777" w:rsidR="0014424A" w:rsidRPr="0014424A" w:rsidRDefault="0014424A" w:rsidP="00147819">
      <w:pPr>
        <w:widowControl w:val="0"/>
        <w:autoSpaceDE w:val="0"/>
        <w:autoSpaceDN w:val="0"/>
        <w:spacing w:after="120" w:line="276" w:lineRule="auto"/>
        <w:jc w:val="both"/>
        <w:rPr>
          <w:rFonts w:ascii="Verdana" w:eastAsia="Arial" w:hAnsi="Verdana" w:cs="Arial"/>
          <w:sz w:val="20"/>
          <w:szCs w:val="20"/>
          <w:lang w:val="es-ES_tradnl" w:eastAsia="es-ES" w:bidi="es-ES"/>
        </w:rPr>
      </w:pPr>
    </w:p>
    <w:p w14:paraId="7E0409A4" w14:textId="77777777" w:rsidR="00147819" w:rsidRPr="00147819" w:rsidRDefault="00147819" w:rsidP="00761018">
      <w:pPr>
        <w:spacing w:after="0" w:line="240" w:lineRule="auto"/>
        <w:jc w:val="both"/>
        <w:rPr>
          <w:rFonts w:ascii="Verdana" w:hAnsi="Verdana"/>
          <w:lang w:val="es-ES"/>
        </w:rPr>
      </w:pPr>
    </w:p>
    <w:p w14:paraId="23A26069" w14:textId="77777777" w:rsidR="00147819" w:rsidRDefault="00147819" w:rsidP="00761018">
      <w:pPr>
        <w:spacing w:after="0" w:line="240" w:lineRule="auto"/>
        <w:jc w:val="both"/>
        <w:rPr>
          <w:rFonts w:ascii="Verdana" w:hAnsi="Verdana"/>
        </w:rPr>
      </w:pPr>
    </w:p>
    <w:p w14:paraId="2B0DB8E1" w14:textId="77777777" w:rsidR="00147819" w:rsidRDefault="00147819" w:rsidP="00761018">
      <w:pPr>
        <w:spacing w:after="0" w:line="240" w:lineRule="auto"/>
        <w:jc w:val="both"/>
        <w:rPr>
          <w:rFonts w:ascii="Verdana" w:hAnsi="Verdana"/>
        </w:rPr>
      </w:pPr>
    </w:p>
    <w:p w14:paraId="19E9732F" w14:textId="77777777" w:rsidR="00147819" w:rsidRDefault="00147819" w:rsidP="00761018">
      <w:pPr>
        <w:spacing w:after="0" w:line="240" w:lineRule="auto"/>
        <w:jc w:val="both"/>
        <w:rPr>
          <w:rFonts w:ascii="Verdana" w:hAnsi="Verdana"/>
        </w:rPr>
      </w:pPr>
    </w:p>
    <w:p w14:paraId="600D3460" w14:textId="77777777" w:rsidR="00147819" w:rsidRDefault="00147819" w:rsidP="00761018">
      <w:pPr>
        <w:spacing w:after="0" w:line="240" w:lineRule="auto"/>
        <w:jc w:val="both"/>
        <w:rPr>
          <w:rFonts w:ascii="Verdana" w:hAnsi="Verdana"/>
        </w:rPr>
      </w:pPr>
    </w:p>
    <w:p w14:paraId="754697AF" w14:textId="77777777" w:rsidR="00147819" w:rsidRDefault="00147819" w:rsidP="00761018">
      <w:pPr>
        <w:spacing w:after="0" w:line="240" w:lineRule="auto"/>
        <w:jc w:val="both"/>
        <w:rPr>
          <w:rFonts w:ascii="Verdana" w:hAnsi="Verdana"/>
        </w:rPr>
      </w:pPr>
    </w:p>
    <w:p w14:paraId="23948164" w14:textId="77777777" w:rsidR="00147819" w:rsidRDefault="00147819" w:rsidP="00761018">
      <w:pPr>
        <w:spacing w:after="0" w:line="240" w:lineRule="auto"/>
        <w:jc w:val="both"/>
        <w:rPr>
          <w:rFonts w:ascii="Verdana" w:hAnsi="Verdana"/>
        </w:rPr>
      </w:pPr>
    </w:p>
    <w:p w14:paraId="63551DA2" w14:textId="77777777" w:rsidR="00147819" w:rsidRDefault="00147819" w:rsidP="00761018">
      <w:pPr>
        <w:spacing w:after="0" w:line="240" w:lineRule="auto"/>
        <w:jc w:val="both"/>
        <w:rPr>
          <w:rFonts w:ascii="Verdana" w:hAnsi="Verdana"/>
        </w:rPr>
      </w:pPr>
    </w:p>
    <w:p w14:paraId="7546F2F0" w14:textId="77777777" w:rsidR="00147819" w:rsidRDefault="00147819" w:rsidP="00761018">
      <w:pPr>
        <w:spacing w:after="0" w:line="240" w:lineRule="auto"/>
        <w:jc w:val="both"/>
        <w:rPr>
          <w:rFonts w:ascii="Verdana" w:hAnsi="Verdana"/>
        </w:rPr>
      </w:pPr>
    </w:p>
    <w:p w14:paraId="445DA61B" w14:textId="77777777" w:rsidR="00147819" w:rsidRDefault="00147819" w:rsidP="00761018">
      <w:pPr>
        <w:spacing w:after="0" w:line="240" w:lineRule="auto"/>
        <w:jc w:val="both"/>
        <w:rPr>
          <w:rFonts w:ascii="Verdana" w:hAnsi="Verdana"/>
        </w:rPr>
      </w:pPr>
    </w:p>
    <w:p w14:paraId="1E4ACE3F" w14:textId="77777777" w:rsidR="00147819" w:rsidRDefault="00147819" w:rsidP="00761018">
      <w:pPr>
        <w:spacing w:after="0" w:line="240" w:lineRule="auto"/>
        <w:jc w:val="both"/>
        <w:rPr>
          <w:rFonts w:ascii="Verdana" w:hAnsi="Verdana"/>
        </w:rPr>
      </w:pPr>
    </w:p>
    <w:p w14:paraId="70B9EEAB" w14:textId="77777777" w:rsidR="00147819" w:rsidRDefault="00147819" w:rsidP="00761018">
      <w:pPr>
        <w:spacing w:after="0" w:line="240" w:lineRule="auto"/>
        <w:jc w:val="both"/>
        <w:rPr>
          <w:rFonts w:ascii="Verdana" w:hAnsi="Verdana"/>
        </w:rPr>
      </w:pPr>
    </w:p>
    <w:p w14:paraId="0CA75F12" w14:textId="77777777" w:rsidR="00147819" w:rsidRDefault="00147819" w:rsidP="00761018">
      <w:pPr>
        <w:spacing w:after="0" w:line="240" w:lineRule="auto"/>
        <w:jc w:val="both"/>
        <w:rPr>
          <w:rFonts w:ascii="Verdana" w:hAnsi="Verdana"/>
        </w:rPr>
      </w:pPr>
    </w:p>
    <w:p w14:paraId="1DC8886D" w14:textId="77777777" w:rsidR="00147819" w:rsidRDefault="00147819" w:rsidP="00761018">
      <w:pPr>
        <w:spacing w:after="0" w:line="240" w:lineRule="auto"/>
        <w:jc w:val="both"/>
        <w:rPr>
          <w:rFonts w:ascii="Verdana" w:hAnsi="Verdana"/>
        </w:rPr>
      </w:pPr>
    </w:p>
    <w:p w14:paraId="2ADB16EE" w14:textId="77777777" w:rsidR="00147819" w:rsidRDefault="00147819" w:rsidP="00761018">
      <w:pPr>
        <w:spacing w:after="0" w:line="240" w:lineRule="auto"/>
        <w:jc w:val="both"/>
        <w:rPr>
          <w:rFonts w:ascii="Verdana" w:hAnsi="Verdana"/>
        </w:rPr>
      </w:pPr>
    </w:p>
    <w:p w14:paraId="7B6AD9FB" w14:textId="77777777" w:rsidR="00147819" w:rsidRDefault="00147819" w:rsidP="00761018">
      <w:pPr>
        <w:spacing w:after="0" w:line="240" w:lineRule="auto"/>
        <w:jc w:val="both"/>
        <w:rPr>
          <w:rFonts w:ascii="Verdana" w:hAnsi="Verdana"/>
        </w:rPr>
      </w:pPr>
    </w:p>
    <w:p w14:paraId="30E5E621" w14:textId="77777777" w:rsidR="00147819" w:rsidRDefault="00147819" w:rsidP="00761018">
      <w:pPr>
        <w:spacing w:after="0" w:line="240" w:lineRule="auto"/>
        <w:jc w:val="both"/>
        <w:rPr>
          <w:rFonts w:ascii="Verdana" w:hAnsi="Verdana"/>
        </w:rPr>
      </w:pPr>
    </w:p>
    <w:p w14:paraId="4ACAB194" w14:textId="77777777" w:rsidR="00147819" w:rsidRDefault="00147819" w:rsidP="00761018">
      <w:pPr>
        <w:spacing w:after="0" w:line="240" w:lineRule="auto"/>
        <w:jc w:val="both"/>
        <w:rPr>
          <w:rFonts w:ascii="Verdana" w:hAnsi="Verdana"/>
        </w:rPr>
      </w:pPr>
    </w:p>
    <w:p w14:paraId="1965B134" w14:textId="77777777" w:rsidR="00147819" w:rsidRDefault="00147819" w:rsidP="00761018">
      <w:pPr>
        <w:spacing w:after="0" w:line="240" w:lineRule="auto"/>
        <w:jc w:val="both"/>
        <w:rPr>
          <w:rFonts w:ascii="Verdana" w:hAnsi="Verdana"/>
        </w:rPr>
      </w:pPr>
    </w:p>
    <w:p w14:paraId="12328AE4" w14:textId="77777777" w:rsidR="00147819" w:rsidRDefault="00147819" w:rsidP="00761018">
      <w:pPr>
        <w:spacing w:after="0" w:line="240" w:lineRule="auto"/>
        <w:jc w:val="both"/>
        <w:rPr>
          <w:rFonts w:ascii="Verdana" w:hAnsi="Verdana"/>
        </w:rPr>
      </w:pPr>
    </w:p>
    <w:p w14:paraId="7E6D0FF9" w14:textId="77777777" w:rsidR="00147819" w:rsidRDefault="00147819" w:rsidP="00761018">
      <w:pPr>
        <w:spacing w:after="0" w:line="240" w:lineRule="auto"/>
        <w:jc w:val="both"/>
        <w:rPr>
          <w:rFonts w:ascii="Verdana" w:hAnsi="Verdana"/>
        </w:rPr>
      </w:pPr>
    </w:p>
    <w:p w14:paraId="6AA5574C" w14:textId="77777777" w:rsidR="00147819" w:rsidRDefault="00147819" w:rsidP="00761018">
      <w:pPr>
        <w:spacing w:after="0" w:line="240" w:lineRule="auto"/>
        <w:jc w:val="both"/>
        <w:rPr>
          <w:rFonts w:ascii="Verdana" w:hAnsi="Verdana"/>
        </w:rPr>
      </w:pPr>
    </w:p>
    <w:p w14:paraId="4636B536" w14:textId="77777777" w:rsidR="00147819" w:rsidRDefault="00147819" w:rsidP="00761018">
      <w:pPr>
        <w:spacing w:after="0" w:line="240" w:lineRule="auto"/>
        <w:jc w:val="both"/>
        <w:rPr>
          <w:rFonts w:ascii="Verdana" w:hAnsi="Verdana"/>
        </w:rPr>
      </w:pPr>
    </w:p>
    <w:p w14:paraId="1C9F297B" w14:textId="77777777" w:rsidR="00147819" w:rsidRDefault="00147819" w:rsidP="00761018">
      <w:pPr>
        <w:spacing w:after="0" w:line="240" w:lineRule="auto"/>
        <w:jc w:val="both"/>
        <w:rPr>
          <w:rFonts w:ascii="Verdana" w:hAnsi="Verdana"/>
        </w:rPr>
      </w:pPr>
    </w:p>
    <w:p w14:paraId="27EC4793" w14:textId="77777777" w:rsidR="00147819" w:rsidRDefault="00147819" w:rsidP="00761018">
      <w:pPr>
        <w:spacing w:after="0" w:line="240" w:lineRule="auto"/>
        <w:jc w:val="both"/>
        <w:rPr>
          <w:rFonts w:ascii="Verdana" w:hAnsi="Verdana"/>
        </w:rPr>
      </w:pPr>
    </w:p>
    <w:p w14:paraId="443349D2" w14:textId="77777777" w:rsidR="00577376" w:rsidRPr="00577376" w:rsidRDefault="00577376" w:rsidP="00577376">
      <w:pPr>
        <w:spacing w:after="0" w:line="240" w:lineRule="auto"/>
        <w:jc w:val="both"/>
        <w:rPr>
          <w:rFonts w:ascii="Verdana" w:hAnsi="Verdana"/>
        </w:rPr>
      </w:pPr>
    </w:p>
    <w:p w14:paraId="07605265" w14:textId="09187DD6" w:rsidR="00761018" w:rsidRPr="008E4F36" w:rsidRDefault="00577376" w:rsidP="00577376">
      <w:pPr>
        <w:spacing w:after="0" w:line="240" w:lineRule="auto"/>
        <w:jc w:val="both"/>
        <w:rPr>
          <w:rFonts w:ascii="Verdana" w:hAnsi="Verdana"/>
        </w:rPr>
      </w:pPr>
      <w:r w:rsidRPr="00577376">
        <w:rPr>
          <w:rFonts w:ascii="Verdana" w:hAnsi="Verdana"/>
        </w:rPr>
        <w:t xml:space="preserve"> Bogotá D.C., 30 </w:t>
      </w:r>
      <w:r>
        <w:rPr>
          <w:rFonts w:ascii="Verdana" w:hAnsi="Verdana"/>
        </w:rPr>
        <w:t>a</w:t>
      </w:r>
      <w:r w:rsidRPr="00577376">
        <w:rPr>
          <w:rFonts w:ascii="Verdana" w:hAnsi="Verdana"/>
        </w:rPr>
        <w:t>bril 2026</w:t>
      </w:r>
      <w:r>
        <w:rPr>
          <w:rFonts w:ascii="Verdana" w:hAnsi="Verdana"/>
        </w:rPr>
        <w:t xml:space="preserve"> </w:t>
      </w:r>
    </w:p>
    <w:p w14:paraId="1545A5B7" w14:textId="2E42C698" w:rsidR="00761018" w:rsidRDefault="00761018" w:rsidP="00761018">
      <w:pPr>
        <w:spacing w:after="0" w:line="240" w:lineRule="auto"/>
        <w:jc w:val="both"/>
        <w:rPr>
          <w:rFonts w:ascii="Verdana" w:eastAsia="Calibri" w:hAnsi="Verdana" w:cs="Arial"/>
          <w:lang w:eastAsia="es-ES"/>
        </w:rPr>
      </w:pPr>
      <w:bookmarkStart w:id="0" w:name="_Hlk197462763"/>
      <w:bookmarkStart w:id="1" w:name="_Hlk197529996"/>
    </w:p>
    <w:p w14:paraId="3BD7DE75" w14:textId="1A2BD97A" w:rsidR="00577376" w:rsidRDefault="00577376" w:rsidP="00761018">
      <w:pPr>
        <w:spacing w:after="0" w:line="240" w:lineRule="auto"/>
        <w:jc w:val="both"/>
        <w:rPr>
          <w:rFonts w:ascii="Verdana" w:eastAsia="Calibri" w:hAnsi="Verdana" w:cs="Arial"/>
          <w:lang w:eastAsia="es-ES"/>
        </w:rPr>
      </w:pPr>
      <w:r w:rsidRPr="00577376">
        <w:rPr>
          <w:rFonts w:ascii="Verdana" w:eastAsia="Calibri" w:hAnsi="Verdana" w:cs="Arial"/>
          <w:lang w:eastAsia="es-ES"/>
        </w:rPr>
        <w:drawing>
          <wp:anchor distT="0" distB="0" distL="114300" distR="114300" simplePos="0" relativeHeight="251660288" behindDoc="1" locked="0" layoutInCell="1" allowOverlap="1" wp14:anchorId="213591C4" wp14:editId="25A0ADD0">
            <wp:simplePos x="0" y="0"/>
            <wp:positionH relativeFrom="column">
              <wp:posOffset>3377516</wp:posOffset>
            </wp:positionH>
            <wp:positionV relativeFrom="paragraph">
              <wp:posOffset>40786</wp:posOffset>
            </wp:positionV>
            <wp:extent cx="2772162" cy="762106"/>
            <wp:effectExtent l="0" t="0" r="9525" b="0"/>
            <wp:wrapTight wrapText="bothSides">
              <wp:wrapPolygon edited="0">
                <wp:start x="0" y="0"/>
                <wp:lineTo x="0" y="21060"/>
                <wp:lineTo x="21526" y="21060"/>
                <wp:lineTo x="21526" y="0"/>
                <wp:lineTo x="0" y="0"/>
              </wp:wrapPolygon>
            </wp:wrapTight>
            <wp:docPr id="17864232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423231" name=""/>
                    <pic:cNvPicPr/>
                  </pic:nvPicPr>
                  <pic:blipFill>
                    <a:blip r:embed="rId7">
                      <a:extLst>
                        <a:ext uri="{28A0092B-C50C-407E-A947-70E740481C1C}">
                          <a14:useLocalDpi xmlns:a14="http://schemas.microsoft.com/office/drawing/2010/main" val="0"/>
                        </a:ext>
                      </a:extLst>
                    </a:blip>
                    <a:stretch>
                      <a:fillRect/>
                    </a:stretch>
                  </pic:blipFill>
                  <pic:spPr>
                    <a:xfrm>
                      <a:off x="0" y="0"/>
                      <a:ext cx="2772162" cy="762106"/>
                    </a:xfrm>
                    <a:prstGeom prst="rect">
                      <a:avLst/>
                    </a:prstGeom>
                  </pic:spPr>
                </pic:pic>
              </a:graphicData>
            </a:graphic>
          </wp:anchor>
        </w:drawing>
      </w:r>
    </w:p>
    <w:p w14:paraId="759A038F" w14:textId="7374C823" w:rsidR="00577376" w:rsidRDefault="00577376" w:rsidP="00761018">
      <w:pPr>
        <w:spacing w:after="0" w:line="240" w:lineRule="auto"/>
        <w:jc w:val="both"/>
        <w:rPr>
          <w:rFonts w:ascii="Verdana" w:eastAsia="Calibri" w:hAnsi="Verdana" w:cs="Arial"/>
          <w:lang w:eastAsia="es-ES"/>
        </w:rPr>
      </w:pPr>
    </w:p>
    <w:p w14:paraId="282EA98C" w14:textId="77777777" w:rsidR="00761018" w:rsidRPr="008E4F36" w:rsidRDefault="00761018" w:rsidP="00761018">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a</w:t>
      </w:r>
    </w:p>
    <w:p w14:paraId="212B2372" w14:textId="77777777" w:rsidR="00761018" w:rsidRDefault="00761018" w:rsidP="00761018">
      <w:pPr>
        <w:spacing w:after="0" w:line="240" w:lineRule="auto"/>
        <w:jc w:val="both"/>
        <w:rPr>
          <w:rFonts w:ascii="Verdana" w:eastAsia="Calibri" w:hAnsi="Verdana" w:cs="Arial"/>
          <w:b/>
          <w:lang w:eastAsia="es-ES_tradnl"/>
        </w:rPr>
      </w:pPr>
      <w:r w:rsidRPr="008E40F9">
        <w:rPr>
          <w:rFonts w:ascii="Verdana" w:eastAsia="Calibri" w:hAnsi="Verdana" w:cs="Arial"/>
          <w:b/>
          <w:lang w:eastAsia="es-ES_tradnl"/>
        </w:rPr>
        <w:t>María Valentina Ramírez Hernández</w:t>
      </w:r>
    </w:p>
    <w:p w14:paraId="0EFBA01D" w14:textId="77777777" w:rsidR="00761018" w:rsidRPr="00CE4A84" w:rsidRDefault="00761018" w:rsidP="00761018">
      <w:pPr>
        <w:spacing w:after="0" w:line="240" w:lineRule="auto"/>
        <w:jc w:val="both"/>
        <w:rPr>
          <w:rFonts w:ascii="Verdana" w:eastAsia="Calibri" w:hAnsi="Verdana" w:cs="Arial"/>
          <w:bCs/>
          <w:highlight w:val="yellow"/>
          <w:lang w:eastAsia="es-ES_tradnl"/>
        </w:rPr>
      </w:pPr>
      <w:r w:rsidRPr="00CE4A84">
        <w:rPr>
          <w:rFonts w:ascii="Verdana" w:eastAsia="Calibri" w:hAnsi="Verdana" w:cs="Arial"/>
          <w:bCs/>
          <w:lang w:eastAsia="es-ES_tradnl"/>
        </w:rPr>
        <w:t>Alcaldía Municipal De Vergara</w:t>
      </w:r>
    </w:p>
    <w:p w14:paraId="663A27E3" w14:textId="77777777" w:rsidR="00761018" w:rsidRPr="000F2158" w:rsidRDefault="00761018" w:rsidP="00761018">
      <w:pPr>
        <w:spacing w:after="0" w:line="240" w:lineRule="auto"/>
        <w:jc w:val="both"/>
        <w:rPr>
          <w:rFonts w:ascii="Verdana" w:eastAsia="Calibri" w:hAnsi="Verdana" w:cs="Arial"/>
          <w:b/>
          <w:highlight w:val="yellow"/>
          <w:lang w:eastAsia="es-ES_tradnl"/>
        </w:rPr>
      </w:pPr>
      <w:hyperlink r:id="rId8" w:history="1">
        <w:r w:rsidRPr="00761F63">
          <w:rPr>
            <w:rStyle w:val="Hipervnculo"/>
            <w:rFonts w:ascii="Verdana" w:eastAsia="Calibri" w:hAnsi="Verdana" w:cs="Arial"/>
            <w:b/>
            <w:lang w:eastAsia="es-ES_tradnl"/>
          </w:rPr>
          <w:t>gobierno@vergara-cundinamarca.gov.co</w:t>
        </w:r>
      </w:hyperlink>
      <w:r>
        <w:rPr>
          <w:rFonts w:ascii="Verdana" w:eastAsia="Calibri" w:hAnsi="Verdana" w:cs="Arial"/>
          <w:b/>
          <w:lang w:eastAsia="es-ES_tradnl"/>
        </w:rPr>
        <w:t xml:space="preserve"> </w:t>
      </w:r>
    </w:p>
    <w:p w14:paraId="601927DF" w14:textId="77777777" w:rsidR="00761018" w:rsidRPr="004E1BE4" w:rsidRDefault="00761018" w:rsidP="00761018">
      <w:pPr>
        <w:spacing w:after="0" w:line="240" w:lineRule="auto"/>
        <w:jc w:val="both"/>
        <w:rPr>
          <w:rFonts w:ascii="Verdana" w:eastAsia="Calibri" w:hAnsi="Verdana" w:cs="Arial"/>
          <w:bCs/>
          <w:lang w:eastAsia="es-ES_tradnl"/>
        </w:rPr>
      </w:pPr>
      <w:r>
        <w:rPr>
          <w:rFonts w:ascii="Verdana" w:eastAsia="Calibri" w:hAnsi="Verdana" w:cs="Arial"/>
          <w:bCs/>
          <w:lang w:eastAsia="es-ES_tradnl"/>
        </w:rPr>
        <w:t xml:space="preserve">Vergara, Cundinamarca </w:t>
      </w:r>
    </w:p>
    <w:p w14:paraId="401B923E" w14:textId="77777777" w:rsidR="00761018" w:rsidRPr="00F30F50" w:rsidRDefault="00761018" w:rsidP="00761018">
      <w:pPr>
        <w:spacing w:after="0" w:line="240" w:lineRule="auto"/>
        <w:jc w:val="both"/>
        <w:rPr>
          <w:rFonts w:ascii="Verdana" w:eastAsia="Calibri" w:hAnsi="Verdana" w:cs="Arial"/>
          <w:b/>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61018" w:rsidRPr="002842E0" w14:paraId="3B5D7C0B" w14:textId="77777777" w:rsidTr="006C27FE">
        <w:trPr>
          <w:trHeight w:val="162"/>
        </w:trPr>
        <w:tc>
          <w:tcPr>
            <w:tcW w:w="3119" w:type="dxa"/>
          </w:tcPr>
          <w:p w14:paraId="7CC63481" w14:textId="77777777" w:rsidR="00761018" w:rsidRPr="00F30F50" w:rsidRDefault="00761018" w:rsidP="006C27FE">
            <w:pPr>
              <w:jc w:val="both"/>
              <w:rPr>
                <w:rFonts w:ascii="Verdana" w:eastAsia="Calibri" w:hAnsi="Verdana" w:cs="Arial"/>
                <w:b/>
                <w:color w:val="7030A0"/>
                <w:lang w:eastAsia="es-ES_tradnl"/>
              </w:rPr>
            </w:pPr>
          </w:p>
        </w:tc>
        <w:tc>
          <w:tcPr>
            <w:tcW w:w="5670" w:type="dxa"/>
          </w:tcPr>
          <w:p w14:paraId="5AD92CDA" w14:textId="77777777" w:rsidR="00761018" w:rsidRPr="00801462" w:rsidRDefault="00761018" w:rsidP="006C27FE">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451 de 2026</w:t>
            </w:r>
          </w:p>
          <w:p w14:paraId="589A87ED" w14:textId="77777777" w:rsidR="00761018" w:rsidRPr="00801462" w:rsidRDefault="00761018" w:rsidP="006C27FE">
            <w:pPr>
              <w:jc w:val="both"/>
              <w:rPr>
                <w:rFonts w:ascii="Verdana" w:eastAsia="Calibri" w:hAnsi="Verdana" w:cs="Arial"/>
                <w:b/>
                <w:bCs/>
                <w:color w:val="7030A0"/>
                <w:lang w:eastAsia="es-ES"/>
              </w:rPr>
            </w:pPr>
          </w:p>
        </w:tc>
      </w:tr>
      <w:tr w:rsidR="00761018" w:rsidRPr="002842E0" w14:paraId="5D0611BA" w14:textId="77777777" w:rsidTr="006C27FE">
        <w:trPr>
          <w:trHeight w:val="884"/>
        </w:trPr>
        <w:tc>
          <w:tcPr>
            <w:tcW w:w="3119" w:type="dxa"/>
          </w:tcPr>
          <w:p w14:paraId="0C6C8FE2" w14:textId="77777777" w:rsidR="00761018" w:rsidRPr="00801462" w:rsidRDefault="00761018" w:rsidP="006C27FE">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3BD89B6E" w14:textId="77777777" w:rsidR="00761018" w:rsidRPr="005F73B4" w:rsidRDefault="00761018" w:rsidP="006C27FE">
            <w:pPr>
              <w:jc w:val="both"/>
              <w:rPr>
                <w:rFonts w:ascii="Verdana" w:hAnsi="Verdana" w:cs="Arial"/>
                <w:bCs/>
                <w:color w:val="000000"/>
                <w:kern w:val="2"/>
                <w:lang w:val="es-MX"/>
                <w14:ligatures w14:val="standardContextual"/>
              </w:rPr>
            </w:pPr>
            <w:r w:rsidRPr="005F73B4">
              <w:rPr>
                <w:rFonts w:ascii="Verdana" w:hAnsi="Verdana" w:cs="Arial"/>
                <w:lang w:val="es-MX" w:eastAsia="es-ES_tradnl"/>
              </w:rPr>
              <w:t xml:space="preserve">LEY DE GARANTÍAS ELECTORALES </w:t>
            </w:r>
            <w:r w:rsidRPr="005F73B4">
              <w:rPr>
                <w:rFonts w:ascii="Verdana" w:hAnsi="Verdana" w:cs="Arial"/>
                <w:bCs/>
                <w:lang w:val="es-MX" w:eastAsia="es-ES_tradnl"/>
              </w:rPr>
              <w:t>‒</w:t>
            </w:r>
            <w:r w:rsidRPr="005F73B4">
              <w:rPr>
                <w:rFonts w:ascii="Verdana" w:hAnsi="Verdana" w:cs="Arial"/>
                <w:lang w:val="es-MX" w:eastAsia="es-ES_tradnl"/>
              </w:rPr>
              <w:t xml:space="preserve"> Finalidad / LEY DE GARANTÍAS ELECTORALES </w:t>
            </w:r>
            <w:r w:rsidRPr="005F73B4">
              <w:rPr>
                <w:rFonts w:ascii="Verdana" w:hAnsi="Verdana" w:cs="Arial"/>
                <w:bCs/>
                <w:lang w:val="es-MX" w:eastAsia="es-ES_tradnl"/>
              </w:rPr>
              <w:t>‒</w:t>
            </w:r>
            <w:r w:rsidRPr="005F73B4">
              <w:rPr>
                <w:rFonts w:ascii="Verdana" w:hAnsi="Verdana" w:cs="Arial"/>
                <w:lang w:val="es-MX" w:eastAsia="es-ES_tradnl"/>
              </w:rPr>
              <w:t xml:space="preserve"> Tipos de restricciones </w:t>
            </w:r>
            <w:r w:rsidRPr="005F73B4">
              <w:rPr>
                <w:rFonts w:ascii="Verdana" w:hAnsi="Verdana" w:cs="Arial"/>
                <w:bCs/>
                <w:lang w:val="es-MX" w:eastAsia="es-ES_tradnl"/>
              </w:rPr>
              <w:t>‒</w:t>
            </w:r>
            <w:r w:rsidRPr="005F73B4">
              <w:rPr>
                <w:rFonts w:ascii="Verdana" w:hAnsi="Verdana" w:cs="Arial"/>
                <w:lang w:val="es-MX" w:eastAsia="es-ES_tradnl"/>
              </w:rPr>
              <w:t xml:space="preserve"> Ámbito temporal – Celebración- límite / LEY DE GARANTÍAS ELECTORALES – Contratos y convenios interadministrativos – Criterio orgánico / CONTRATOS Y CONVENIOS INTERADMINISTRATIVOS – Definición – Criterio / </w:t>
            </w:r>
            <w:r w:rsidRPr="005F73B4">
              <w:rPr>
                <w:rFonts w:ascii="Verdana" w:hAnsi="Verdana" w:cs="Arial"/>
                <w:color w:val="000000"/>
                <w:kern w:val="2"/>
                <w14:ligatures w14:val="standardContextual"/>
              </w:rPr>
              <w:t xml:space="preserve">CONVENIOS SOLIDARIOS – </w:t>
            </w:r>
            <w:r w:rsidRPr="005F73B4">
              <w:rPr>
                <w:rFonts w:ascii="Verdana" w:hAnsi="Verdana" w:cs="Arial"/>
                <w:bCs/>
                <w:color w:val="000000"/>
                <w:kern w:val="2"/>
                <w:lang w:val="es-MX"/>
                <w14:ligatures w14:val="standardContextual"/>
              </w:rPr>
              <w:t>Marco normativo / LEY 136 DE 1994 –Ámbito de aplicación – Organismos de acción comunal – Régimen jurídico / LEY 136 DE 1994 – Regímenes de contratación – Organismos de acción comunal / LEY 2166 DE 2021 – Organismos de acción comunal – Artículo 95 – Convenios solidarios –Contratación directa – Contratos de obra –menor cuantía</w:t>
            </w:r>
          </w:p>
          <w:p w14:paraId="7FCFABFD" w14:textId="77777777" w:rsidR="00761018" w:rsidRPr="00704F1A" w:rsidRDefault="00761018" w:rsidP="006C27FE">
            <w:pPr>
              <w:jc w:val="both"/>
              <w:rPr>
                <w:rFonts w:ascii="Verdana" w:eastAsia="Calibri" w:hAnsi="Verdana" w:cs="Arial"/>
                <w:lang w:val="es-MX" w:eastAsia="es-ES"/>
              </w:rPr>
            </w:pPr>
          </w:p>
        </w:tc>
      </w:tr>
      <w:tr w:rsidR="00761018" w:rsidRPr="002842E0" w14:paraId="6AE5CA36" w14:textId="77777777" w:rsidTr="006C27FE">
        <w:tc>
          <w:tcPr>
            <w:tcW w:w="3119" w:type="dxa"/>
          </w:tcPr>
          <w:p w14:paraId="4CE3007C" w14:textId="77777777" w:rsidR="00761018" w:rsidRPr="00550A62" w:rsidRDefault="00761018" w:rsidP="006C27FE">
            <w:pPr>
              <w:jc w:val="both"/>
              <w:rPr>
                <w:rFonts w:ascii="Verdana" w:eastAsia="Calibri" w:hAnsi="Verdana" w:cs="Arial"/>
                <w:b/>
                <w:lang w:eastAsia="es-ES_tradnl"/>
              </w:rPr>
            </w:pPr>
            <w:r w:rsidRPr="00550A62">
              <w:rPr>
                <w:rFonts w:ascii="Verdana" w:eastAsia="Calibri" w:hAnsi="Verdana" w:cs="Arial"/>
                <w:b/>
                <w:lang w:eastAsia="es-ES_tradnl"/>
              </w:rPr>
              <w:t>Radicación:</w:t>
            </w:r>
            <w:r w:rsidRPr="00550A62">
              <w:rPr>
                <w:rFonts w:ascii="Verdana" w:eastAsia="Calibri" w:hAnsi="Verdana" w:cs="Arial"/>
                <w:lang w:eastAsia="es-ES_tradnl"/>
              </w:rPr>
              <w:t xml:space="preserve">               </w:t>
            </w:r>
          </w:p>
        </w:tc>
        <w:tc>
          <w:tcPr>
            <w:tcW w:w="5670" w:type="dxa"/>
          </w:tcPr>
          <w:p w14:paraId="3B966ED0" w14:textId="1DF6EC56" w:rsidR="00761018" w:rsidRPr="00550A62" w:rsidRDefault="00761018" w:rsidP="006C27FE">
            <w:pPr>
              <w:jc w:val="both"/>
              <w:rPr>
                <w:rFonts w:ascii="Verdana" w:eastAsia="Calibri" w:hAnsi="Verdana" w:cs="Arial"/>
                <w:lang w:eastAsia="es-ES_tradnl"/>
              </w:rPr>
            </w:pPr>
            <w:r w:rsidRPr="00550A62">
              <w:rPr>
                <w:rFonts w:ascii="Verdana" w:eastAsia="Calibri" w:hAnsi="Verdana" w:cs="Arial"/>
                <w:lang w:eastAsia="es-ES_tradnl"/>
              </w:rPr>
              <w:t>Respuesta a consulta con radicado 1_2026_03_18_003809</w:t>
            </w:r>
            <w:r w:rsidR="00550A62" w:rsidRPr="00550A62">
              <w:rPr>
                <w:rFonts w:ascii="Verdana" w:eastAsia="Calibri" w:hAnsi="Verdana" w:cs="Arial"/>
                <w:lang w:eastAsia="es-ES_tradnl"/>
              </w:rPr>
              <w:t xml:space="preserve"> &amp; </w:t>
            </w:r>
            <w:r w:rsidR="00550A62" w:rsidRPr="00550A62">
              <w:rPr>
                <w:rFonts w:ascii="Verdana" w:hAnsi="Verdana"/>
                <w:color w:val="2B2B2B"/>
              </w:rPr>
              <w:t>1_2026_03_18_003819</w:t>
            </w:r>
            <w:r w:rsidR="00550A62">
              <w:rPr>
                <w:rFonts w:ascii="Verdana" w:hAnsi="Verdana"/>
                <w:color w:val="2B2B2B"/>
              </w:rPr>
              <w:t xml:space="preserve"> (</w:t>
            </w:r>
            <w:r w:rsidR="003F4BF6">
              <w:rPr>
                <w:rFonts w:ascii="Verdana" w:hAnsi="Verdana"/>
                <w:color w:val="2B2B2B"/>
              </w:rPr>
              <w:t>Acumuladas)</w:t>
            </w:r>
          </w:p>
          <w:p w14:paraId="1525EC45" w14:textId="77777777" w:rsidR="00761018" w:rsidRPr="00550A62" w:rsidRDefault="00761018" w:rsidP="006C27FE">
            <w:pPr>
              <w:jc w:val="both"/>
              <w:rPr>
                <w:rFonts w:ascii="Verdana" w:eastAsia="Calibri" w:hAnsi="Verdana" w:cs="Arial"/>
                <w:lang w:eastAsia="es-ES_tradnl"/>
              </w:rPr>
            </w:pPr>
            <w:r w:rsidRPr="00550A62">
              <w:rPr>
                <w:rFonts w:ascii="Verdana" w:eastAsia="Calibri" w:hAnsi="Verdana" w:cs="Arial"/>
                <w:lang w:eastAsia="es-ES_tradnl"/>
              </w:rPr>
              <w:t xml:space="preserve">  </w:t>
            </w:r>
          </w:p>
        </w:tc>
      </w:tr>
    </w:tbl>
    <w:p w14:paraId="0C8B6DD6" w14:textId="77777777" w:rsidR="00761018" w:rsidRDefault="00761018" w:rsidP="00761018">
      <w:pPr>
        <w:spacing w:after="0" w:line="276" w:lineRule="auto"/>
        <w:jc w:val="both"/>
        <w:rPr>
          <w:rFonts w:ascii="Verdana" w:eastAsia="Calibri" w:hAnsi="Verdana" w:cs="Arial"/>
          <w:lang w:eastAsia="es-ES_tradnl"/>
        </w:rPr>
      </w:pPr>
    </w:p>
    <w:p w14:paraId="5C0153BA" w14:textId="77777777" w:rsidR="00761018" w:rsidRDefault="00761018" w:rsidP="00761018">
      <w:pPr>
        <w:spacing w:after="0" w:line="276" w:lineRule="auto"/>
        <w:jc w:val="both"/>
        <w:rPr>
          <w:rFonts w:ascii="Verdana" w:eastAsia="Calibri" w:hAnsi="Verdana" w:cs="Arial"/>
          <w:lang w:eastAsia="es-ES_tradnl"/>
        </w:rPr>
      </w:pPr>
    </w:p>
    <w:p w14:paraId="39F5EE1F" w14:textId="77777777" w:rsidR="00761018" w:rsidRPr="008E4F36" w:rsidRDefault="00761018" w:rsidP="00761018">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señor</w:t>
      </w:r>
      <w:r>
        <w:rPr>
          <w:rFonts w:ascii="Verdana" w:eastAsia="Calibri" w:hAnsi="Verdana" w:cs="Arial"/>
          <w:lang w:eastAsia="es-ES"/>
        </w:rPr>
        <w:t xml:space="preserve">a </w:t>
      </w:r>
      <w:r>
        <w:rPr>
          <w:rFonts w:ascii="Verdana" w:eastAsia="Calibri" w:hAnsi="Verdana" w:cs="Arial"/>
          <w:bCs/>
          <w:lang w:eastAsia="es-ES_tradnl"/>
        </w:rPr>
        <w:t>María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2ABCF627" w14:textId="77777777" w:rsidR="00761018" w:rsidRDefault="00761018" w:rsidP="00761018">
      <w:pPr>
        <w:tabs>
          <w:tab w:val="left" w:pos="3768"/>
        </w:tabs>
        <w:spacing w:after="0" w:line="240" w:lineRule="auto"/>
        <w:jc w:val="both"/>
        <w:rPr>
          <w:rFonts w:ascii="Verdana" w:eastAsia="Calibri" w:hAnsi="Verdana" w:cs="Arial"/>
          <w:lang w:eastAsia="es-ES"/>
        </w:rPr>
      </w:pPr>
    </w:p>
    <w:p w14:paraId="2E3BF64F" w14:textId="77777777" w:rsidR="00761018" w:rsidRPr="008E4F36" w:rsidRDefault="00761018" w:rsidP="00761018">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w:t>
      </w:r>
      <w:r w:rsidRPr="000F2158">
        <w:rPr>
          <w:rFonts w:ascii="Verdana" w:eastAsia="Calibri" w:hAnsi="Verdana" w:cs="Arial"/>
          <w:lang w:eastAsia="es-ES"/>
        </w:rPr>
        <w:lastRenderedPageBreak/>
        <w:t xml:space="preserve">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18</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4D64FAC2" w14:textId="77777777" w:rsidR="00761018" w:rsidRPr="00830065" w:rsidRDefault="00761018" w:rsidP="00761018">
      <w:pPr>
        <w:ind w:right="709"/>
        <w:jc w:val="both"/>
        <w:rPr>
          <w:rFonts w:ascii="Verdana" w:eastAsia="Calibri" w:hAnsi="Verdana" w:cs="Arial"/>
          <w:i/>
          <w:iCs/>
          <w:color w:val="000000" w:themeColor="text1"/>
          <w:sz w:val="20"/>
          <w:szCs w:val="20"/>
        </w:rPr>
      </w:pPr>
    </w:p>
    <w:p w14:paraId="35F4B7F3" w14:textId="77777777" w:rsidR="00761018" w:rsidRPr="007B78F2" w:rsidRDefault="00761018" w:rsidP="00761018">
      <w:pPr>
        <w:spacing w:after="0" w:line="240" w:lineRule="auto"/>
        <w:ind w:left="709" w:right="709"/>
        <w:jc w:val="both"/>
        <w:rPr>
          <w:rFonts w:ascii="Verdana" w:hAnsi="Verdana"/>
          <w:sz w:val="20"/>
          <w:szCs w:val="20"/>
        </w:rPr>
      </w:pPr>
      <w:r w:rsidRPr="007B78F2">
        <w:rPr>
          <w:rFonts w:ascii="Verdana" w:hAnsi="Verdana"/>
          <w:sz w:val="20"/>
          <w:szCs w:val="20"/>
        </w:rPr>
        <w:t xml:space="preserve">“1. Determinar si los convenios solidarios celebrados con Organismos de Acción Comunal se encuentran comprendidos dentro de las restricciones establecidas en la Ley 996 de 2005. </w:t>
      </w:r>
    </w:p>
    <w:p w14:paraId="0841A618" w14:textId="77777777" w:rsidR="00761018" w:rsidRDefault="00761018" w:rsidP="00761018">
      <w:pPr>
        <w:spacing w:after="0" w:line="240" w:lineRule="auto"/>
        <w:ind w:left="709" w:right="709"/>
        <w:jc w:val="both"/>
        <w:rPr>
          <w:rFonts w:ascii="Verdana" w:hAnsi="Verdana"/>
          <w:sz w:val="20"/>
          <w:szCs w:val="20"/>
        </w:rPr>
      </w:pPr>
      <w:r w:rsidRPr="007B78F2">
        <w:rPr>
          <w:rFonts w:ascii="Verdana" w:hAnsi="Verdana"/>
          <w:sz w:val="20"/>
          <w:szCs w:val="20"/>
        </w:rPr>
        <w:t>2.Precisar si la naturaleza jurídica de dichos convenios permite su celebración durante el periodo de restricción electoral, en consideración a su finalidad social y comunitaria.</w:t>
      </w:r>
    </w:p>
    <w:p w14:paraId="598D9EC4" w14:textId="77777777" w:rsidR="00761018" w:rsidRPr="007B78F2" w:rsidRDefault="00761018" w:rsidP="00761018">
      <w:pPr>
        <w:spacing w:after="0" w:line="240" w:lineRule="auto"/>
        <w:ind w:left="709" w:right="709"/>
        <w:jc w:val="both"/>
        <w:rPr>
          <w:rFonts w:ascii="Verdana" w:hAnsi="Verdana"/>
          <w:sz w:val="20"/>
          <w:szCs w:val="20"/>
        </w:rPr>
      </w:pPr>
      <w:r w:rsidRPr="007B78F2">
        <w:rPr>
          <w:rFonts w:ascii="Verdana" w:hAnsi="Verdana"/>
          <w:sz w:val="20"/>
          <w:szCs w:val="20"/>
        </w:rPr>
        <w:t xml:space="preserve"> </w:t>
      </w:r>
    </w:p>
    <w:p w14:paraId="291099F3" w14:textId="77777777" w:rsidR="00761018" w:rsidRPr="007B78F2" w:rsidRDefault="00761018" w:rsidP="00761018">
      <w:pPr>
        <w:spacing w:after="0" w:line="240" w:lineRule="auto"/>
        <w:ind w:left="709" w:right="709"/>
        <w:jc w:val="both"/>
        <w:rPr>
          <w:rFonts w:ascii="Verdana" w:hAnsi="Verdana"/>
          <w:sz w:val="20"/>
          <w:szCs w:val="20"/>
        </w:rPr>
      </w:pPr>
      <w:r w:rsidRPr="007B78F2">
        <w:rPr>
          <w:rFonts w:ascii="Verdana" w:hAnsi="Verdana"/>
          <w:sz w:val="20"/>
          <w:szCs w:val="20"/>
        </w:rPr>
        <w:t>3.Indicar las condiciones, requisitos o limites que deben observar las entidades estatales para la suscripción de convenios en vigencia de la Ley de Garantías.</w:t>
      </w:r>
      <w:r>
        <w:rPr>
          <w:rFonts w:ascii="Verdana" w:hAnsi="Verdana"/>
          <w:sz w:val="20"/>
          <w:szCs w:val="20"/>
        </w:rPr>
        <w:t>”</w:t>
      </w:r>
    </w:p>
    <w:p w14:paraId="7CEEC375" w14:textId="77777777" w:rsidR="00761018" w:rsidRPr="00453E03" w:rsidRDefault="00761018" w:rsidP="00761018">
      <w:pPr>
        <w:spacing w:line="240" w:lineRule="auto"/>
        <w:ind w:left="709" w:right="709"/>
        <w:jc w:val="both"/>
        <w:rPr>
          <w:rFonts w:ascii="Verdana" w:eastAsia="Calibri" w:hAnsi="Verdana" w:cs="Arial"/>
          <w:i/>
          <w:iCs/>
          <w:color w:val="000000" w:themeColor="text1"/>
          <w:sz w:val="20"/>
          <w:szCs w:val="20"/>
        </w:rPr>
      </w:pPr>
    </w:p>
    <w:p w14:paraId="6ECD6AF1" w14:textId="77777777" w:rsidR="00761018" w:rsidRDefault="00761018" w:rsidP="0076101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98CA11A" w14:textId="77777777" w:rsidR="00761018" w:rsidRPr="00054383" w:rsidRDefault="00761018" w:rsidP="0076101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030D3E89" w14:textId="77777777" w:rsidR="00761018" w:rsidRPr="008E4F36" w:rsidRDefault="00761018" w:rsidP="00761018">
      <w:pPr>
        <w:spacing w:after="0"/>
        <w:ind w:firstLine="709"/>
        <w:jc w:val="both"/>
        <w:rPr>
          <w:rFonts w:ascii="Verdana" w:eastAsia="Calibri" w:hAnsi="Verdana" w:cs="Arial"/>
          <w:color w:val="000000"/>
          <w:lang w:eastAsia="es-ES"/>
        </w:rPr>
      </w:pPr>
    </w:p>
    <w:p w14:paraId="2E24CA50" w14:textId="77777777" w:rsidR="00761018" w:rsidRDefault="00761018" w:rsidP="00761018">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54722FE9" w14:textId="77777777" w:rsidR="00761018" w:rsidRDefault="00761018" w:rsidP="00761018">
      <w:pPr>
        <w:spacing w:after="0" w:line="276" w:lineRule="auto"/>
        <w:jc w:val="both"/>
        <w:rPr>
          <w:rFonts w:ascii="Verdana" w:eastAsia="Calibri" w:hAnsi="Verdana" w:cs="Arial"/>
          <w:color w:val="000000"/>
          <w:highlight w:val="yellow"/>
          <w:lang w:eastAsia="es-ES"/>
        </w:rPr>
      </w:pPr>
    </w:p>
    <w:p w14:paraId="3BA4EE1D" w14:textId="77777777" w:rsidR="00761018" w:rsidRPr="005A3B40" w:rsidRDefault="00761018" w:rsidP="00761018">
      <w:pPr>
        <w:spacing w:after="0" w:line="276" w:lineRule="auto"/>
        <w:jc w:val="both"/>
        <w:rPr>
          <w:rFonts w:ascii="Verdana" w:eastAsia="Calibri" w:hAnsi="Verdana" w:cs="Arial"/>
          <w:color w:val="000000"/>
          <w:lang w:eastAsia="es-ES"/>
        </w:rPr>
      </w:pPr>
      <w:r w:rsidRPr="1E9C870A">
        <w:rPr>
          <w:rFonts w:ascii="Verdana" w:eastAsia="Calibri" w:hAnsi="Verdana" w:cs="Arial"/>
          <w:color w:val="000000" w:themeColor="text1"/>
          <w:lang w:eastAsia="es-ES"/>
        </w:rPr>
        <w:t xml:space="preserve">De acuerdo con el contenido de su solicitud, esta Agencia resolverá el siguiente problema jurídico: </w:t>
      </w:r>
      <w:r w:rsidRPr="005F73B4">
        <w:rPr>
          <w:rFonts w:ascii="Verdana" w:hAnsi="Verdana"/>
        </w:rPr>
        <w:t xml:space="preserve">¿La prohibición de celebrar convenios y contratos </w:t>
      </w:r>
      <w:r w:rsidRPr="005F73B4">
        <w:rPr>
          <w:rFonts w:ascii="Verdana" w:hAnsi="Verdana"/>
        </w:rPr>
        <w:lastRenderedPageBreak/>
        <w:t>interadministrativos durante el periodo que rige la Ley de Garantías Electorales, contenida en el parágrafo del artículo 38 de la Ley 996 de 2005, es extensiva a los convenios solidarios que suscriben las Entidades Estatales con los Organismos de Acción Comunal?</w:t>
      </w:r>
      <w:r>
        <w:rPr>
          <w:rFonts w:ascii="Verdana" w:hAnsi="Verdana"/>
        </w:rPr>
        <w:t xml:space="preserve"> </w:t>
      </w:r>
    </w:p>
    <w:p w14:paraId="414F9AAA" w14:textId="77777777" w:rsidR="00761018" w:rsidRPr="00BF422F" w:rsidRDefault="00761018" w:rsidP="00761018">
      <w:pPr>
        <w:spacing w:after="0" w:line="276" w:lineRule="auto"/>
        <w:jc w:val="both"/>
        <w:rPr>
          <w:rFonts w:ascii="Verdana" w:eastAsia="Calibri" w:hAnsi="Verdana" w:cs="Times New Roman"/>
          <w:i/>
          <w:iCs/>
          <w:lang w:val="es-ES"/>
        </w:rPr>
      </w:pPr>
    </w:p>
    <w:p w14:paraId="25ED3437" w14:textId="77777777" w:rsidR="00761018" w:rsidRPr="008E4F36" w:rsidRDefault="00761018" w:rsidP="00761018">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17F8EE43" w14:textId="77777777" w:rsidR="00761018" w:rsidRPr="008E4F36" w:rsidRDefault="00761018" w:rsidP="0076101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61018" w:rsidRPr="008E4F36" w14:paraId="323CE03A" w14:textId="77777777" w:rsidTr="006C27FE">
        <w:tc>
          <w:tcPr>
            <w:tcW w:w="8828" w:type="dxa"/>
          </w:tcPr>
          <w:p w14:paraId="43D9305E" w14:textId="77777777" w:rsidR="00761018" w:rsidRPr="00F11D01" w:rsidRDefault="00761018" w:rsidP="006C27FE">
            <w:pPr>
              <w:spacing w:after="120" w:line="276" w:lineRule="auto"/>
              <w:ind w:firstLine="708"/>
              <w:jc w:val="both"/>
              <w:rPr>
                <w:rFonts w:ascii="Verdana" w:hAnsi="Verdana" w:cs="Arial"/>
                <w:lang w:val="es-ES"/>
              </w:rPr>
            </w:pPr>
            <w:r w:rsidRPr="00F11D01">
              <w:rPr>
                <w:rFonts w:ascii="Verdana" w:hAnsi="Verdana"/>
              </w:rPr>
              <w:t>De acuerdo con la interpretación de las normas generales del sistema de compras y contratación pública, el parágrafo del artículo 38 de la Ley 996 de 2005 prevé una restricción aplicable en las elecciones para cargos de elección popular, según la cual se prohíbe a los gobernadores, alcaldes municipales o distritales, secretarios, gerentes y directores de Entidades descentralizadas del orden municipal, departamental o distrital celebrar convenios interadministrativos que impliquen la ejecución de recursos públicos dentro de los cuatro (4) meses anteriores a la respectiva jornada de votaciones.</w:t>
            </w:r>
          </w:p>
          <w:p w14:paraId="7E21708B" w14:textId="77777777" w:rsidR="00761018" w:rsidRPr="005F73B4" w:rsidRDefault="00761018" w:rsidP="006C27FE">
            <w:pPr>
              <w:spacing w:after="120" w:line="276" w:lineRule="auto"/>
              <w:ind w:firstLine="708"/>
              <w:jc w:val="both"/>
              <w:rPr>
                <w:rFonts w:ascii="Verdana" w:hAnsi="Verdana" w:cs="Arial"/>
                <w:color w:val="000000" w:themeColor="text1"/>
                <w:lang w:val="es-ES_tradnl"/>
              </w:rPr>
            </w:pPr>
            <w:r w:rsidRPr="005F73B4">
              <w:rPr>
                <w:rFonts w:ascii="Verdana" w:hAnsi="Verdana" w:cs="Arial"/>
                <w:lang w:val="es-ES"/>
              </w:rPr>
              <w:t xml:space="preserve">Ahora bien, con relación a la celebración de </w:t>
            </w:r>
            <w:r w:rsidRPr="005F73B4">
              <w:rPr>
                <w:rFonts w:ascii="Verdana" w:hAnsi="Verdana" w:cs="Arial"/>
                <w:i/>
                <w:iCs/>
                <w:lang w:val="es-ES"/>
              </w:rPr>
              <w:t>convenios</w:t>
            </w:r>
            <w:r>
              <w:rPr>
                <w:rFonts w:ascii="Verdana" w:hAnsi="Verdana" w:cs="Arial"/>
                <w:i/>
                <w:iCs/>
                <w:lang w:val="es-ES"/>
              </w:rPr>
              <w:t xml:space="preserve"> solidarios</w:t>
            </w:r>
            <w:r w:rsidRPr="005F73B4">
              <w:rPr>
                <w:rFonts w:ascii="Verdana" w:hAnsi="Verdana" w:cs="Arial"/>
                <w:lang w:val="es-ES"/>
              </w:rPr>
              <w:t xml:space="preserve"> ha de tenerse en cuenta que </w:t>
            </w:r>
            <w:bookmarkStart w:id="2" w:name="_Hlk140578227"/>
            <w:r w:rsidRPr="005F73B4">
              <w:rPr>
                <w:rFonts w:ascii="Verdana" w:hAnsi="Verdana" w:cs="Arial"/>
                <w:lang w:val="es-ES"/>
              </w:rPr>
              <w:t xml:space="preserve">el </w:t>
            </w:r>
            <w:r w:rsidRPr="005F73B4">
              <w:rPr>
                <w:rFonts w:ascii="Verdana" w:hAnsi="Verdana" w:cs="Arial"/>
                <w:color w:val="000000" w:themeColor="text1"/>
                <w:lang w:val="es-ES_tradnl"/>
              </w:rPr>
              <w:t xml:space="preserve">artículo 3.16 de la Ley 136 de 1994 hace referencia a los convenios suscritos entre los municipios y distritos con los cabildos, las autoridades y organizaciones indígenas, los </w:t>
            </w:r>
            <w:r w:rsidRPr="005F73B4">
              <w:rPr>
                <w:rFonts w:ascii="Verdana" w:hAnsi="Verdana" w:cs="Arial"/>
                <w:i/>
                <w:iCs/>
                <w:color w:val="000000" w:themeColor="text1"/>
                <w:lang w:val="es-ES_tradnl"/>
              </w:rPr>
              <w:t>organismos de acción comunal</w:t>
            </w:r>
            <w:r w:rsidRPr="005F73B4">
              <w:rPr>
                <w:rFonts w:ascii="Verdana" w:hAnsi="Verdana" w:cs="Arial"/>
                <w:color w:val="000000" w:themeColor="text1"/>
                <w:lang w:val="es-ES_tradnl"/>
              </w:rPr>
              <w:t xml:space="preserve"> y demás organizaciones civiles y asociaciones residentes en el territorio. Por su parte, el artículo 95 de la Ley 2166 de 2021</w:t>
            </w:r>
            <w:r w:rsidRPr="005F73B4">
              <w:rPr>
                <w:rFonts w:ascii="Verdana" w:hAnsi="Verdana" w:cs="Arial"/>
                <w:i/>
                <w:iCs/>
                <w:lang w:val="es-ES"/>
              </w:rPr>
              <w:t xml:space="preserve"> </w:t>
            </w:r>
            <w:r w:rsidRPr="005F73B4">
              <w:rPr>
                <w:rFonts w:ascii="Verdana" w:eastAsia="Calibri" w:hAnsi="Verdana" w:cs="Arial"/>
                <w:color w:val="000000" w:themeColor="text1"/>
                <w:lang w:val="es-ES"/>
              </w:rPr>
              <w:t xml:space="preserve">señala que las Entidades del orden nacional, departamental, distrital y municipal podrán celebrar directamente convenios solidarios con organismos de acción comunal para la ejecución de obras hasta por la menor cuantía. Y finalmente, el parágrafo 2 del artículo 63 </w:t>
            </w:r>
            <w:r w:rsidRPr="005F73B4">
              <w:rPr>
                <w:rFonts w:ascii="Verdana" w:eastAsia="Calibri" w:hAnsi="Verdana" w:cs="Arial"/>
                <w:i/>
                <w:iCs/>
                <w:color w:val="000000" w:themeColor="text1"/>
                <w:lang w:val="es-ES"/>
              </w:rPr>
              <w:t>ibidem</w:t>
            </w:r>
            <w:r w:rsidRPr="005F73B4">
              <w:rPr>
                <w:rFonts w:ascii="Verdana" w:eastAsia="Calibri" w:hAnsi="Verdana" w:cs="Arial"/>
                <w:color w:val="000000" w:themeColor="text1"/>
                <w:lang w:val="es-ES"/>
              </w:rPr>
              <w:t xml:space="preserve"> permite la celebración de convenios solidarios entre entidades del orden nacional, departamental, distrital, local y municipal con los organismos de acción comunal</w:t>
            </w:r>
            <w:r w:rsidRPr="005F73B4">
              <w:rPr>
                <w:rFonts w:ascii="Verdana" w:eastAsia="Calibri" w:hAnsi="Verdana" w:cs="Arial"/>
                <w:i/>
                <w:iCs/>
                <w:color w:val="000000" w:themeColor="text1"/>
                <w:lang w:val="es-ES"/>
              </w:rPr>
              <w:t xml:space="preserve"> </w:t>
            </w:r>
            <w:r w:rsidRPr="005F73B4">
              <w:rPr>
                <w:rFonts w:ascii="Verdana" w:eastAsia="Calibri" w:hAnsi="Verdana" w:cs="Arial"/>
                <w:color w:val="000000" w:themeColor="text1"/>
                <w:lang w:val="es-ES"/>
              </w:rPr>
              <w:t>para la ejecución de proyectos incluidos en el respectivo plan nacional de desarrollo o para la ejecución de los proyectos derivados del Acuerdo Final de Paz</w:t>
            </w:r>
            <w:r w:rsidRPr="005F73B4">
              <w:rPr>
                <w:rFonts w:ascii="Verdana" w:eastAsia="Calibri" w:hAnsi="Verdana" w:cs="Arial"/>
                <w:i/>
                <w:iCs/>
                <w:color w:val="000000" w:themeColor="text1"/>
                <w:lang w:val="es-ES"/>
              </w:rPr>
              <w:t>.</w:t>
            </w:r>
          </w:p>
          <w:p w14:paraId="63E78200" w14:textId="77777777" w:rsidR="00761018" w:rsidRPr="0020637F" w:rsidRDefault="00761018" w:rsidP="006C27FE">
            <w:pPr>
              <w:spacing w:after="120" w:line="276" w:lineRule="auto"/>
              <w:ind w:firstLine="709"/>
              <w:jc w:val="both"/>
              <w:rPr>
                <w:rFonts w:ascii="Verdana" w:hAnsi="Verdana" w:cs="Arial"/>
                <w:color w:val="000000" w:themeColor="text1"/>
                <w:lang w:val="es-ES"/>
              </w:rPr>
            </w:pPr>
            <w:r w:rsidRPr="005F73B4">
              <w:rPr>
                <w:rFonts w:ascii="Verdana" w:eastAsia="Calibri" w:hAnsi="Verdana" w:cs="Arial"/>
                <w:i/>
                <w:iCs/>
                <w:color w:val="000000" w:themeColor="text1"/>
                <w:lang w:val="es-ES"/>
              </w:rPr>
              <w:t xml:space="preserve"> </w:t>
            </w:r>
            <w:r w:rsidRPr="005F73B4">
              <w:rPr>
                <w:rFonts w:ascii="Verdana" w:eastAsia="Calibri" w:hAnsi="Verdana" w:cs="Arial"/>
                <w:lang w:val="es-ES" w:eastAsia="es-ES" w:bidi="es-ES"/>
              </w:rPr>
              <w:t>Bajo este contexto</w:t>
            </w:r>
            <w:r w:rsidRPr="005F73B4">
              <w:rPr>
                <w:rFonts w:ascii="Verdana" w:eastAsia="Calibri" w:hAnsi="Verdana" w:cs="Arial"/>
                <w:color w:val="000000" w:themeColor="text1"/>
              </w:rPr>
              <w:t xml:space="preserve">, y </w:t>
            </w:r>
            <w:r w:rsidRPr="005F73B4">
              <w:rPr>
                <w:rFonts w:ascii="Verdana" w:hAnsi="Verdana" w:cs="Arial"/>
                <w:color w:val="000000" w:themeColor="text1"/>
                <w:lang w:eastAsia="es-CO"/>
              </w:rPr>
              <w:t>considerando la naturaleza jurídica de las partes, los convenios</w:t>
            </w:r>
            <w:r>
              <w:rPr>
                <w:rFonts w:ascii="Verdana" w:hAnsi="Verdana" w:cs="Arial"/>
                <w:color w:val="000000" w:themeColor="text1"/>
                <w:lang w:eastAsia="es-CO"/>
              </w:rPr>
              <w:t xml:space="preserve"> solidarios</w:t>
            </w:r>
            <w:r w:rsidRPr="005F73B4">
              <w:rPr>
                <w:rFonts w:ascii="Verdana" w:hAnsi="Verdana" w:cs="Arial"/>
                <w:color w:val="000000" w:themeColor="text1"/>
                <w:lang w:eastAsia="es-CO"/>
              </w:rPr>
              <w:t xml:space="preserve"> suscritos entre Entidades del orden nacional, </w:t>
            </w:r>
            <w:r w:rsidRPr="005F73B4">
              <w:rPr>
                <w:rFonts w:ascii="Verdana" w:eastAsia="Calibri" w:hAnsi="Verdana" w:cs="Arial"/>
                <w:color w:val="000000" w:themeColor="text1"/>
                <w:lang w:val="es-ES"/>
              </w:rPr>
              <w:t>departamental, distrital, local y municipal</w:t>
            </w:r>
            <w:r w:rsidRPr="005F73B4">
              <w:rPr>
                <w:rFonts w:ascii="Verdana" w:hAnsi="Verdana" w:cs="Arial"/>
                <w:color w:val="000000" w:themeColor="text1"/>
                <w:lang w:eastAsia="es-CO"/>
              </w:rPr>
              <w:t xml:space="preserve"> y organismos de acción comunal </w:t>
            </w:r>
            <w:r w:rsidRPr="005F73B4">
              <w:rPr>
                <w:rFonts w:ascii="Verdana" w:hAnsi="Verdana" w:cs="Arial"/>
                <w:i/>
                <w:iCs/>
                <w:color w:val="000000" w:themeColor="text1"/>
                <w:lang w:eastAsia="es-CO"/>
              </w:rPr>
              <w:t>no se califican como contratos o convenios interadministrativos</w:t>
            </w:r>
            <w:r w:rsidRPr="005F73B4">
              <w:rPr>
                <w:rFonts w:ascii="Verdana" w:hAnsi="Verdana" w:cs="Arial"/>
                <w:color w:val="000000" w:themeColor="text1"/>
                <w:lang w:eastAsia="es-CO"/>
              </w:rPr>
              <w:t xml:space="preserve">, toda vez, que </w:t>
            </w:r>
            <w:r w:rsidRPr="1E9C870A">
              <w:rPr>
                <w:rFonts w:ascii="Verdana" w:hAnsi="Verdana" w:cs="Arial"/>
                <w:color w:val="000000" w:themeColor="text1"/>
                <w:lang w:val="es-ES" w:eastAsia="es-CO"/>
              </w:rPr>
              <w:t xml:space="preserve">no implica una contratación entre autoridades del Estado sino un negocio jurídico </w:t>
            </w:r>
            <w:r w:rsidRPr="1E9C870A">
              <w:rPr>
                <w:rFonts w:ascii="Verdana" w:hAnsi="Verdana" w:cs="Arial"/>
                <w:color w:val="000000" w:themeColor="text1"/>
                <w:lang w:val="es-ES" w:eastAsia="es-CO"/>
              </w:rPr>
              <w:lastRenderedPageBreak/>
              <w:t>entre una Entidad y una persona jurídica de derecho privado</w:t>
            </w:r>
            <w:r>
              <w:rPr>
                <w:rFonts w:ascii="Verdana" w:hAnsi="Verdana" w:cs="Arial"/>
                <w:color w:val="000000" w:themeColor="text1"/>
                <w:lang w:val="es-ES" w:eastAsia="es-CO"/>
              </w:rPr>
              <w:t xml:space="preserve">. </w:t>
            </w:r>
            <w:r>
              <w:rPr>
                <w:rFonts w:ascii="Verdana" w:hAnsi="Verdana" w:cs="Arial"/>
                <w:color w:val="000000" w:themeColor="text1"/>
                <w:lang w:eastAsia="es-CO"/>
              </w:rPr>
              <w:t>E</w:t>
            </w:r>
            <w:r w:rsidRPr="005F73B4">
              <w:rPr>
                <w:rFonts w:ascii="Verdana" w:hAnsi="Verdana" w:cs="Arial"/>
                <w:color w:val="000000" w:themeColor="text1"/>
                <w:lang w:eastAsia="es-CO"/>
              </w:rPr>
              <w:t xml:space="preserve">n razón a ello no sería aplicable la restricción establecida en el artículo 38 de la ley 996 del 2005, puesto que la calificación de </w:t>
            </w:r>
            <w:r w:rsidRPr="005F73B4">
              <w:rPr>
                <w:rFonts w:ascii="Verdana" w:hAnsi="Verdana" w:cs="Arial"/>
                <w:color w:val="000000" w:themeColor="text1"/>
                <w:lang w:val="es-ES" w:eastAsia="es-CO"/>
              </w:rPr>
              <w:t>convenios o contratos interadministrativos está definida por un criterio orgánico, esto es, que la contratación se efectúa entre dos o más personas jurídicas de derecho público con la finalidad de cumplir, en el marco de sus objetivos misionales y sus competencias, con los fines del Estado.</w:t>
            </w:r>
            <w:bookmarkEnd w:id="2"/>
          </w:p>
          <w:p w14:paraId="43731D6E" w14:textId="48CBB23F" w:rsidR="00761018" w:rsidRPr="0020637F" w:rsidRDefault="00761018" w:rsidP="006C27FE">
            <w:pPr>
              <w:spacing w:after="120" w:line="276" w:lineRule="auto"/>
              <w:ind w:firstLine="709"/>
              <w:jc w:val="both"/>
              <w:rPr>
                <w:rFonts w:ascii="Verdana" w:hAnsi="Verdana" w:cs="Arial"/>
                <w:color w:val="000000" w:themeColor="text1"/>
                <w:lang w:val="es-ES" w:eastAsia="es-CO"/>
              </w:rPr>
            </w:pPr>
            <w:r w:rsidRPr="1E9C870A">
              <w:rPr>
                <w:rFonts w:ascii="Verdana" w:hAnsi="Verdana" w:cs="Arial"/>
                <w:color w:val="000000" w:themeColor="text1"/>
                <w:lang w:val="es-ES" w:eastAsia="es-CO"/>
              </w:rPr>
              <w:t xml:space="preserve">No </w:t>
            </w:r>
            <w:r w:rsidR="00207055" w:rsidRPr="1E9C870A">
              <w:rPr>
                <w:rFonts w:ascii="Verdana" w:hAnsi="Verdana" w:cs="Arial"/>
                <w:color w:val="000000" w:themeColor="text1"/>
                <w:lang w:val="es-ES" w:eastAsia="es-CO"/>
              </w:rPr>
              <w:t>obstante,</w:t>
            </w:r>
            <w:r w:rsidRPr="1E9C870A">
              <w:rPr>
                <w:rFonts w:ascii="Verdana" w:hAnsi="Verdana" w:cs="Arial"/>
                <w:color w:val="000000" w:themeColor="text1"/>
                <w:lang w:val="es-ES" w:eastAsia="es-CO"/>
              </w:rPr>
              <w:t xml:space="preserve"> lo anterior, es importante precisar que frente a las elecciones presidenciales aplica la restricción consagrada en el artículo 33 de la Ley 996 de 2005, que prohíbe la celebración de contratos de forma directa.  En ese sentido, no podría celebrarse un convenio solidario de forma directa durante los cuatro (4) meses anteriores a las elecciones de presidente de la Republica. </w:t>
            </w:r>
          </w:p>
        </w:tc>
      </w:tr>
    </w:tbl>
    <w:p w14:paraId="6472CDAF" w14:textId="77777777" w:rsidR="00761018" w:rsidRDefault="00761018" w:rsidP="00761018">
      <w:pPr>
        <w:tabs>
          <w:tab w:val="left" w:pos="142"/>
          <w:tab w:val="left" w:pos="284"/>
        </w:tabs>
        <w:spacing w:after="0" w:line="276" w:lineRule="auto"/>
        <w:jc w:val="both"/>
        <w:rPr>
          <w:rFonts w:ascii="Verdana" w:eastAsia="Century Gothic" w:hAnsi="Verdana" w:cs="Century Gothic"/>
          <w:b/>
          <w:bCs/>
        </w:rPr>
      </w:pPr>
    </w:p>
    <w:p w14:paraId="2349B0C1" w14:textId="77777777" w:rsidR="00761018" w:rsidRPr="008E4F36" w:rsidRDefault="00761018" w:rsidP="00761018">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5D0EB175" w14:textId="77777777" w:rsidR="00761018" w:rsidRDefault="00761018" w:rsidP="00761018">
      <w:pPr>
        <w:pStyle w:val="Prrafodelista"/>
        <w:tabs>
          <w:tab w:val="left" w:pos="142"/>
          <w:tab w:val="left" w:pos="284"/>
        </w:tabs>
        <w:spacing w:after="0" w:line="276" w:lineRule="auto"/>
        <w:ind w:left="0"/>
        <w:contextualSpacing w:val="0"/>
        <w:jc w:val="both"/>
        <w:rPr>
          <w:rFonts w:ascii="Verdana" w:eastAsia="Calibri" w:hAnsi="Verdana" w:cs="Arial"/>
        </w:rPr>
      </w:pPr>
    </w:p>
    <w:p w14:paraId="17BAAB13" w14:textId="77777777" w:rsidR="00761018" w:rsidRPr="004A0EC7" w:rsidRDefault="00761018" w:rsidP="00761018">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F41BC02" w14:textId="77777777" w:rsidR="00761018" w:rsidRDefault="00761018" w:rsidP="00761018">
      <w:pPr>
        <w:spacing w:after="0" w:line="276" w:lineRule="auto"/>
        <w:jc w:val="both"/>
        <w:rPr>
          <w:rFonts w:ascii="Verdana" w:eastAsia="Times New Roman" w:hAnsi="Verdana" w:cs="Arial"/>
          <w:color w:val="000000" w:themeColor="text1"/>
          <w:lang w:val="es-ES" w:eastAsia="es-ES"/>
        </w:rPr>
      </w:pPr>
      <w:bookmarkStart w:id="3" w:name="_Hlk204856061"/>
      <w:bookmarkStart w:id="4" w:name="_Hlk78820161"/>
      <w:bookmarkStart w:id="5" w:name="_Hlk204854194"/>
    </w:p>
    <w:p w14:paraId="47D69D33" w14:textId="77777777" w:rsidR="00761018" w:rsidRPr="005F73B4" w:rsidRDefault="00761018" w:rsidP="00761018">
      <w:pPr>
        <w:tabs>
          <w:tab w:val="left" w:pos="426"/>
        </w:tabs>
        <w:spacing w:after="120" w:line="276" w:lineRule="auto"/>
        <w:jc w:val="both"/>
        <w:rPr>
          <w:rFonts w:ascii="Verdana" w:eastAsia="Calibri" w:hAnsi="Verdana" w:cs="Arial"/>
          <w:lang w:val="es-ES_tradnl" w:eastAsia="es-ES_tradnl"/>
        </w:rPr>
      </w:pPr>
      <w:bookmarkStart w:id="6" w:name="_Hlk99576829"/>
      <w:bookmarkStart w:id="7" w:name="_Hlk77153296"/>
      <w:bookmarkStart w:id="8" w:name="_Hlk75784645"/>
      <w:r w:rsidRPr="0008750E">
        <w:rPr>
          <w:rFonts w:ascii="Verdana" w:eastAsia="Times New Roman" w:hAnsi="Verdana" w:cs="Arial"/>
          <w:lang w:val="es-MX" w:eastAsia="es-CO"/>
        </w:rPr>
        <w:t xml:space="preserve">i) La Ley 996 de 2005, conocida como “Ley de Garantías Electorales”, hace parte del andamiaje de orden constitucional y legal que se ha ocupado de evitar la injerencia inadecuada de intereses particulares en el ejercicio de la función pública. Esta </w:t>
      </w:r>
      <w:r w:rsidRPr="005F73B4">
        <w:rPr>
          <w:rFonts w:ascii="Verdana" w:eastAsia="Times New Roman" w:hAnsi="Verdana" w:cs="Arial"/>
          <w:lang w:val="es-MX" w:eastAsia="es-CO"/>
        </w:rPr>
        <w:t xml:space="preserve">Ley </w:t>
      </w:r>
      <w:r w:rsidRPr="0008750E">
        <w:rPr>
          <w:rFonts w:ascii="Verdana" w:eastAsia="Times New Roman" w:hAnsi="Verdana" w:cs="Arial"/>
          <w:lang w:val="es-MX" w:eastAsia="es-CO"/>
        </w:rPr>
        <w:t>tiene como propósito evitar cualquier tipo de arbitrariedad, de ventaja injustificada, de uso irregular de los recursos del Estado en las campañas o falta de garantías en la elección presidencial</w:t>
      </w:r>
      <w:r w:rsidRPr="0008750E">
        <w:rPr>
          <w:rFonts w:ascii="Verdana" w:eastAsia="Times New Roman" w:hAnsi="Verdana" w:cs="Arial"/>
          <w:vertAlign w:val="superscript"/>
          <w:lang w:val="es-MX" w:eastAsia="es-CO"/>
        </w:rPr>
        <w:footnoteReference w:id="3"/>
      </w:r>
      <w:r w:rsidRPr="0008750E">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08750E">
        <w:rPr>
          <w:rFonts w:ascii="Verdana" w:eastAsia="Calibri" w:hAnsi="Verdana" w:cs="Arial"/>
          <w:lang w:val="es-ES_tradnl" w:eastAsia="es-ES_tradnl"/>
        </w:rPr>
        <w:t xml:space="preserve"> </w:t>
      </w:r>
      <w:bookmarkEnd w:id="6"/>
    </w:p>
    <w:p w14:paraId="0F598CC4" w14:textId="77777777" w:rsidR="00761018" w:rsidRPr="0008750E" w:rsidRDefault="00761018" w:rsidP="00761018">
      <w:pPr>
        <w:tabs>
          <w:tab w:val="left" w:pos="426"/>
        </w:tabs>
        <w:spacing w:after="0" w:line="276" w:lineRule="auto"/>
        <w:jc w:val="both"/>
        <w:rPr>
          <w:rFonts w:ascii="Verdana" w:eastAsia="Times New Roman" w:hAnsi="Verdana" w:cs="Arial"/>
          <w:lang w:val="es-MX" w:eastAsia="es-CO"/>
        </w:rPr>
      </w:pPr>
      <w:r w:rsidRPr="005F73B4">
        <w:rPr>
          <w:rFonts w:ascii="Verdana" w:eastAsia="Times New Roman" w:hAnsi="Verdana" w:cs="Arial"/>
          <w:lang w:val="es-MX" w:eastAsia="es-CO"/>
        </w:rPr>
        <w:tab/>
      </w:r>
      <w:r w:rsidRPr="0008750E">
        <w:rPr>
          <w:rFonts w:ascii="Verdana" w:eastAsia="Times New Roman" w:hAnsi="Verdana" w:cs="Arial"/>
          <w:lang w:val="es-MX" w:eastAsia="es-CO"/>
        </w:rPr>
        <w:t>En armonía con lo anterior, la Corte Constitucional explica que la Ley de Garantías Electorales tiene como propósito:</w:t>
      </w:r>
    </w:p>
    <w:p w14:paraId="7979E981" w14:textId="77777777" w:rsidR="00761018" w:rsidRPr="0008750E" w:rsidRDefault="00761018" w:rsidP="00761018">
      <w:pPr>
        <w:spacing w:after="0" w:line="276" w:lineRule="auto"/>
        <w:contextualSpacing/>
        <w:jc w:val="both"/>
        <w:rPr>
          <w:rFonts w:ascii="Verdana" w:eastAsia="Times New Roman" w:hAnsi="Verdana" w:cs="Arial"/>
          <w:lang w:val="es-ES" w:eastAsia="es-CO"/>
        </w:rPr>
      </w:pPr>
    </w:p>
    <w:p w14:paraId="550003CE" w14:textId="77777777" w:rsidR="00761018" w:rsidRPr="0008750E" w:rsidRDefault="00761018" w:rsidP="00761018">
      <w:pPr>
        <w:spacing w:after="0" w:line="240" w:lineRule="auto"/>
        <w:ind w:left="709" w:right="709"/>
        <w:contextualSpacing/>
        <w:jc w:val="both"/>
        <w:rPr>
          <w:rFonts w:ascii="Verdana" w:eastAsia="Times New Roman" w:hAnsi="Verdana" w:cs="Arial"/>
          <w:sz w:val="20"/>
          <w:szCs w:val="20"/>
          <w:lang w:val="es-MX" w:eastAsia="es-CO"/>
        </w:rPr>
      </w:pPr>
      <w:r w:rsidRPr="0008750E">
        <w:rPr>
          <w:rFonts w:ascii="Verdana" w:eastAsia="Times New Roman" w:hAnsi="Verdana" w:cs="Arial"/>
          <w:sz w:val="20"/>
          <w:szCs w:val="20"/>
          <w:lang w:val="es-ES" w:eastAsia="es-CO"/>
        </w:rPr>
        <w:t xml:space="preserve">“[…] </w:t>
      </w:r>
      <w:r w:rsidRPr="0008750E">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C9EDF1B" w14:textId="77777777" w:rsidR="00761018" w:rsidRPr="0008750E" w:rsidRDefault="00761018" w:rsidP="00761018">
      <w:pPr>
        <w:spacing w:after="0" w:line="240" w:lineRule="auto"/>
        <w:ind w:left="709" w:right="709"/>
        <w:contextualSpacing/>
        <w:jc w:val="both"/>
        <w:rPr>
          <w:rFonts w:ascii="Verdana" w:eastAsia="Times New Roman" w:hAnsi="Verdana" w:cs="Arial"/>
          <w:sz w:val="20"/>
          <w:szCs w:val="20"/>
          <w:lang w:val="es-MX" w:eastAsia="es-CO"/>
        </w:rPr>
      </w:pPr>
    </w:p>
    <w:p w14:paraId="75E216E0" w14:textId="77777777" w:rsidR="00761018" w:rsidRPr="0008750E" w:rsidRDefault="00761018" w:rsidP="00761018">
      <w:pPr>
        <w:spacing w:after="0" w:line="240" w:lineRule="auto"/>
        <w:ind w:left="709" w:right="709"/>
        <w:contextualSpacing/>
        <w:jc w:val="both"/>
        <w:rPr>
          <w:rFonts w:ascii="Verdana" w:eastAsia="Times New Roman" w:hAnsi="Verdana" w:cs="Arial"/>
          <w:sz w:val="20"/>
          <w:szCs w:val="20"/>
          <w:lang w:val="es-MX" w:eastAsia="es-CO"/>
        </w:rPr>
      </w:pPr>
      <w:r w:rsidRPr="0008750E">
        <w:rPr>
          <w:rFonts w:ascii="Verdana" w:eastAsia="Times New Roman" w:hAnsi="Verdana" w:cs="Arial"/>
          <w:sz w:val="20"/>
          <w:szCs w:val="20"/>
          <w:lang w:val="es-MX" w:eastAsia="es-CO"/>
        </w:rPr>
        <w:lastRenderedPageBreak/>
        <w:t xml:space="preserve">[…] </w:t>
      </w:r>
    </w:p>
    <w:p w14:paraId="7D948A2E" w14:textId="77777777" w:rsidR="00761018" w:rsidRPr="0008750E" w:rsidRDefault="00761018" w:rsidP="00761018">
      <w:pPr>
        <w:spacing w:after="0" w:line="240" w:lineRule="auto"/>
        <w:ind w:left="709" w:right="709"/>
        <w:contextualSpacing/>
        <w:jc w:val="both"/>
        <w:rPr>
          <w:rFonts w:ascii="Verdana" w:eastAsia="Times New Roman" w:hAnsi="Verdana" w:cs="Arial"/>
          <w:sz w:val="20"/>
          <w:szCs w:val="20"/>
          <w:lang w:val="es-MX" w:eastAsia="es-CO"/>
        </w:rPr>
      </w:pPr>
    </w:p>
    <w:p w14:paraId="4685FBD3" w14:textId="77777777" w:rsidR="00761018" w:rsidRPr="0008750E" w:rsidRDefault="00761018" w:rsidP="00761018">
      <w:pPr>
        <w:spacing w:after="0" w:line="240" w:lineRule="auto"/>
        <w:ind w:left="709" w:right="709"/>
        <w:contextualSpacing/>
        <w:jc w:val="both"/>
        <w:rPr>
          <w:rFonts w:ascii="Verdana" w:eastAsia="Times New Roman" w:hAnsi="Verdana" w:cs="Arial"/>
          <w:sz w:val="20"/>
          <w:szCs w:val="20"/>
          <w:lang w:val="es-MX" w:eastAsia="es-CO"/>
        </w:rPr>
      </w:pPr>
      <w:r w:rsidRPr="0008750E">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08750E">
        <w:rPr>
          <w:rFonts w:ascii="Verdana" w:eastAsia="Calibri" w:hAnsi="Verdana" w:cs="Arial"/>
          <w:sz w:val="20"/>
          <w:szCs w:val="20"/>
          <w:vertAlign w:val="superscript"/>
          <w:lang w:val="es-MX" w:eastAsia="es-ES_tradnl"/>
        </w:rPr>
        <w:footnoteReference w:id="4"/>
      </w:r>
      <w:r w:rsidRPr="0008750E">
        <w:rPr>
          <w:rFonts w:ascii="Verdana" w:eastAsia="Times New Roman" w:hAnsi="Verdana" w:cs="Arial"/>
          <w:sz w:val="20"/>
          <w:szCs w:val="20"/>
          <w:lang w:val="es-MX" w:eastAsia="es-CO"/>
        </w:rPr>
        <w:t>.</w:t>
      </w:r>
    </w:p>
    <w:p w14:paraId="1D1AA3E6" w14:textId="77777777" w:rsidR="00761018" w:rsidRPr="0008750E" w:rsidRDefault="00761018" w:rsidP="00761018">
      <w:pPr>
        <w:spacing w:after="0" w:line="276" w:lineRule="auto"/>
        <w:ind w:left="709" w:right="709"/>
        <w:jc w:val="both"/>
        <w:rPr>
          <w:rFonts w:ascii="Verdana" w:eastAsia="Times New Roman" w:hAnsi="Verdana" w:cs="Arial"/>
          <w:lang w:val="es-MX" w:eastAsia="es-CO"/>
        </w:rPr>
      </w:pPr>
    </w:p>
    <w:p w14:paraId="220E64A8" w14:textId="77777777" w:rsidR="00761018" w:rsidRDefault="00761018" w:rsidP="00761018">
      <w:pPr>
        <w:spacing w:after="120" w:line="276" w:lineRule="auto"/>
        <w:ind w:firstLine="708"/>
        <w:jc w:val="both"/>
        <w:rPr>
          <w:rFonts w:ascii="Verdana" w:eastAsia="Arial" w:hAnsi="Verdana" w:cs="Arial"/>
          <w:lang w:eastAsia="es-ES" w:bidi="es-ES"/>
        </w:rPr>
      </w:pPr>
      <w:r w:rsidRPr="0008750E">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w:t>
      </w:r>
      <w:r>
        <w:rPr>
          <w:rFonts w:ascii="Verdana" w:eastAsia="Times New Roman" w:hAnsi="Verdana" w:cs="Arial"/>
          <w:lang w:val="es-MX" w:eastAsia="es-CO"/>
        </w:rPr>
        <w:t>.</w:t>
      </w:r>
      <w:r w:rsidRPr="0008750E">
        <w:rPr>
          <w:rFonts w:ascii="Verdana" w:eastAsia="Times New Roman" w:hAnsi="Verdana" w:cs="Arial"/>
          <w:lang w:val="es-MX" w:eastAsia="es-CO"/>
        </w:rPr>
        <w:t xml:space="preserve"> </w:t>
      </w:r>
      <w:r>
        <w:rPr>
          <w:rFonts w:ascii="Verdana" w:eastAsia="Times New Roman" w:hAnsi="Verdana" w:cs="Arial"/>
          <w:lang w:val="es-MX" w:eastAsia="es-CO"/>
        </w:rPr>
        <w:t>Asimismo</w:t>
      </w:r>
      <w:r w:rsidRPr="0008750E">
        <w:rPr>
          <w:rFonts w:ascii="Verdana" w:eastAsia="Times New Roman" w:hAnsi="Verdana" w:cs="Arial"/>
          <w:lang w:val="es-MX" w:eastAsia="es-CO"/>
        </w:rPr>
        <w:t>, i</w:t>
      </w:r>
      <w:r>
        <w:rPr>
          <w:rFonts w:ascii="Verdana" w:eastAsia="Times New Roman" w:hAnsi="Verdana" w:cs="Arial"/>
          <w:lang w:val="es-MX" w:eastAsia="es-CO"/>
        </w:rPr>
        <w:t>mpone</w:t>
      </w:r>
      <w:r w:rsidRPr="0008750E">
        <w:rPr>
          <w:rFonts w:ascii="Verdana" w:eastAsia="Times New Roman" w:hAnsi="Verdana" w:cs="Arial"/>
          <w:lang w:val="es-MX" w:eastAsia="es-CO"/>
        </w:rPr>
        <w:t xml:space="preserve"> restricciones en el actuar de los servidores públicos, </w:t>
      </w:r>
      <w:r>
        <w:rPr>
          <w:rFonts w:ascii="Verdana" w:eastAsia="Times New Roman" w:hAnsi="Verdana" w:cs="Arial"/>
          <w:lang w:val="es-MX" w:eastAsia="es-CO"/>
        </w:rPr>
        <w:t>con el fin de evitar</w:t>
      </w:r>
      <w:r w:rsidRPr="0008750E">
        <w:rPr>
          <w:rFonts w:ascii="Verdana" w:eastAsia="Times New Roman" w:hAnsi="Verdana" w:cs="Arial"/>
          <w:lang w:val="es-MX" w:eastAsia="es-CO"/>
        </w:rPr>
        <w:t xml:space="preserve"> interferencias en la contienda electoral</w:t>
      </w:r>
      <w:r>
        <w:rPr>
          <w:rFonts w:ascii="Verdana" w:eastAsia="Times New Roman" w:hAnsi="Verdana" w:cs="Arial"/>
          <w:lang w:val="es-MX" w:eastAsia="es-CO"/>
        </w:rPr>
        <w:t xml:space="preserve"> y evitar </w:t>
      </w:r>
      <w:r w:rsidRPr="0008750E">
        <w:rPr>
          <w:rFonts w:ascii="Verdana" w:eastAsia="Times New Roman" w:hAnsi="Verdana" w:cs="Arial"/>
          <w:lang w:val="es-MX" w:eastAsia="es-CO"/>
        </w:rPr>
        <w:t>la posible desviación de recursos públicos en aspiraciones electorales</w:t>
      </w:r>
      <w:bookmarkStart w:id="9" w:name="_Hlk77236098"/>
      <w:r w:rsidRPr="0008750E">
        <w:rPr>
          <w:rFonts w:ascii="Verdana" w:eastAsia="Arial" w:hAnsi="Verdana" w:cs="Arial"/>
          <w:lang w:val="es-ES" w:eastAsia="es-ES" w:bidi="es-ES"/>
        </w:rPr>
        <w:t xml:space="preserve">. </w:t>
      </w:r>
      <w:r w:rsidRPr="00A17E0E">
        <w:rPr>
          <w:rFonts w:ascii="Verdana" w:eastAsia="Arial" w:hAnsi="Verdana" w:cs="Arial"/>
          <w:lang w:eastAsia="es-ES" w:bidi="es-ES"/>
        </w:rPr>
        <w:t>De esta manera, y con el propósito de preservar la equidad entre los candidatos, la ley refuerza las garantías en materia de contratación estatal, de modo que no exista siquiera la sospecha de que, mediante dicha contratación, se alteren las condiciones de igualdad en los periodos previos a las elecciones.</w:t>
      </w:r>
    </w:p>
    <w:p w14:paraId="1D383A0E" w14:textId="77777777" w:rsidR="00761018" w:rsidRPr="0008750E" w:rsidRDefault="00761018" w:rsidP="00761018">
      <w:pPr>
        <w:spacing w:after="120" w:line="276" w:lineRule="auto"/>
        <w:ind w:firstLine="708"/>
        <w:jc w:val="both"/>
        <w:rPr>
          <w:rFonts w:ascii="Verdana" w:eastAsia="Arial" w:hAnsi="Verdana" w:cs="Arial"/>
          <w:lang w:val="es-ES" w:eastAsia="es-ES" w:bidi="es-ES"/>
        </w:rPr>
      </w:pPr>
      <w:r w:rsidRPr="0008750E">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9"/>
    </w:p>
    <w:p w14:paraId="1117E755" w14:textId="77777777" w:rsidR="00761018" w:rsidRPr="0008750E" w:rsidRDefault="00761018" w:rsidP="00761018">
      <w:pPr>
        <w:spacing w:after="120" w:line="276" w:lineRule="auto"/>
        <w:ind w:firstLine="708"/>
        <w:jc w:val="both"/>
        <w:rPr>
          <w:rFonts w:ascii="Verdana" w:eastAsia="Calibri" w:hAnsi="Verdana" w:cs="Arial"/>
          <w:lang w:eastAsia="es-ES_tradnl"/>
        </w:rPr>
      </w:pPr>
      <w:r w:rsidRPr="0008750E">
        <w:rPr>
          <w:rFonts w:ascii="Verdana" w:eastAsia="Calibri" w:hAnsi="Verdana" w:cs="Arial"/>
          <w:lang w:eastAsia="es-ES_tradnl"/>
        </w:rPr>
        <w:t xml:space="preserve">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08750E">
        <w:rPr>
          <w:rFonts w:ascii="Verdana" w:eastAsia="Calibri" w:hAnsi="Verdana" w:cs="Arial"/>
          <w:lang w:eastAsia="es-ES_tradnl"/>
        </w:rPr>
        <w:lastRenderedPageBreak/>
        <w:t>acciones terroristas, desastres naturales o casos de fuerza mayor, y los que deban realizar las entidades sanitarias y hospitalarias”</w:t>
      </w:r>
      <w:r w:rsidRPr="0008750E">
        <w:rPr>
          <w:rFonts w:ascii="Verdana" w:eastAsia="Calibri" w:hAnsi="Verdana" w:cs="Arial"/>
          <w:vertAlign w:val="superscript"/>
          <w:lang w:eastAsia="es-ES_tradnl"/>
        </w:rPr>
        <w:footnoteReference w:id="5"/>
      </w:r>
      <w:r w:rsidRPr="0008750E">
        <w:rPr>
          <w:rFonts w:ascii="Verdana" w:eastAsia="Calibri" w:hAnsi="Verdana" w:cs="Arial"/>
          <w:lang w:eastAsia="es-ES_tradnl"/>
        </w:rPr>
        <w:t>.</w:t>
      </w:r>
    </w:p>
    <w:p w14:paraId="5D125CDA" w14:textId="77777777" w:rsidR="00761018" w:rsidRPr="005F73B4" w:rsidRDefault="00761018" w:rsidP="00761018">
      <w:pPr>
        <w:spacing w:after="120" w:line="276" w:lineRule="auto"/>
        <w:ind w:firstLine="707"/>
        <w:jc w:val="both"/>
        <w:rPr>
          <w:rFonts w:ascii="Verdana" w:eastAsia="Calibri" w:hAnsi="Verdana" w:cs="Arial"/>
          <w:lang w:val="es-MX"/>
        </w:rPr>
      </w:pPr>
      <w:r w:rsidRPr="005F73B4">
        <w:rPr>
          <w:rFonts w:ascii="Verdana" w:eastAsia="Calibri" w:hAnsi="Verdana" w:cs="Arial"/>
        </w:rPr>
        <w:t xml:space="preserve">Por otro lado, </w:t>
      </w:r>
      <w:r w:rsidRPr="005F73B4">
        <w:rPr>
          <w:rFonts w:ascii="Verdana" w:eastAsia="Calibri" w:hAnsi="Verdana" w:cs="Arial"/>
          <w:lang w:val="es-MX"/>
        </w:rPr>
        <w:t xml:space="preserve">en cuanto a las </w:t>
      </w:r>
      <w:r>
        <w:rPr>
          <w:rFonts w:ascii="Verdana" w:eastAsia="Times New Roman" w:hAnsi="Verdana" w:cs="Arial"/>
          <w:lang w:val="es-MX" w:eastAsia="es-CO"/>
        </w:rPr>
        <w:t>r</w:t>
      </w:r>
      <w:r w:rsidRPr="005F73B4">
        <w:rPr>
          <w:rFonts w:ascii="Verdana" w:eastAsia="Times New Roman" w:hAnsi="Verdana" w:cs="Arial"/>
          <w:lang w:val="es-MX" w:eastAsia="es-CO"/>
        </w:rPr>
        <w:t xml:space="preserve">estricciones </w:t>
      </w:r>
      <w:bookmarkStart w:id="11" w:name="_Hlk75643279"/>
      <w:r w:rsidRPr="005F73B4">
        <w:rPr>
          <w:rFonts w:ascii="Verdana" w:eastAsia="Times New Roman" w:hAnsi="Verdana" w:cs="Arial"/>
          <w:lang w:val="es-MX" w:eastAsia="es-CO"/>
        </w:rPr>
        <w:t>para la celebración de contratos y convenios interadministrativos en los comicios para cargos de elección popular</w:t>
      </w:r>
      <w:bookmarkStart w:id="12" w:name="_Hlk88210558"/>
      <w:bookmarkEnd w:id="7"/>
      <w:bookmarkEnd w:id="11"/>
      <w:r w:rsidRPr="005F73B4">
        <w:rPr>
          <w:rFonts w:ascii="Verdana" w:eastAsia="Times New Roman" w:hAnsi="Verdana" w:cs="Arial"/>
          <w:lang w:val="es-MX" w:eastAsia="es-CO"/>
        </w:rPr>
        <w:t xml:space="preserve">, </w:t>
      </w:r>
      <w:r w:rsidRPr="005F73B4">
        <w:rPr>
          <w:rFonts w:ascii="Verdana" w:eastAsia="Calibri" w:hAnsi="Verdana" w:cs="Arial"/>
          <w:bCs/>
        </w:rPr>
        <w:t>el parágrafo del artículo 38 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5F73B4">
        <w:rPr>
          <w:rFonts w:ascii="Verdana" w:eastAsia="Times New Roman" w:hAnsi="Verdana" w:cs="Arial"/>
          <w:bCs/>
          <w:iCs/>
          <w:lang w:val="es-MX" w:eastAsia="x-none"/>
        </w:rPr>
        <w:t xml:space="preserve"> </w:t>
      </w:r>
      <w:bookmarkStart w:id="13" w:name="_Hlk99578153"/>
      <w:bookmarkEnd w:id="12"/>
      <w:r w:rsidRPr="005F73B4">
        <w:rPr>
          <w:rFonts w:ascii="Verdana" w:eastAsia="Times New Roman" w:hAnsi="Verdana" w:cs="Arial"/>
          <w:bCs/>
          <w:iCs/>
          <w:lang w:val="es-MX" w:eastAsia="x-none"/>
        </w:rPr>
        <w:t>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bookmarkEnd w:id="13"/>
      <w:r w:rsidRPr="005F73B4">
        <w:rPr>
          <w:rFonts w:ascii="Verdana" w:eastAsia="Times New Roman" w:hAnsi="Verdana" w:cs="Arial"/>
          <w:bCs/>
          <w:iCs/>
          <w:vertAlign w:val="superscript"/>
          <w:lang w:val="es-MX" w:eastAsia="x-none"/>
        </w:rPr>
        <w:footnoteReference w:id="6"/>
      </w:r>
      <w:r w:rsidRPr="005F73B4">
        <w:rPr>
          <w:rFonts w:ascii="Verdana" w:eastAsia="Times New Roman" w:hAnsi="Verdana" w:cs="Arial"/>
          <w:bCs/>
          <w:iCs/>
          <w:lang w:val="es-MX" w:eastAsia="x-none"/>
        </w:rPr>
        <w:t>.</w:t>
      </w:r>
      <w:r w:rsidRPr="005F73B4">
        <w:rPr>
          <w:rFonts w:ascii="Verdana" w:eastAsia="Calibri" w:hAnsi="Verdana" w:cs="Arial"/>
          <w:lang w:val="es-MX"/>
        </w:rPr>
        <w:t xml:space="preserve"> </w:t>
      </w:r>
    </w:p>
    <w:p w14:paraId="24810125" w14:textId="77777777" w:rsidR="00761018" w:rsidRPr="005F73B4" w:rsidRDefault="00761018" w:rsidP="00761018">
      <w:pPr>
        <w:widowControl w:val="0"/>
        <w:autoSpaceDE w:val="0"/>
        <w:autoSpaceDN w:val="0"/>
        <w:spacing w:after="120" w:line="276" w:lineRule="auto"/>
        <w:ind w:firstLine="707"/>
        <w:jc w:val="both"/>
        <w:rPr>
          <w:rFonts w:ascii="Verdana" w:eastAsia="Arial" w:hAnsi="Verdana" w:cs="Arial"/>
          <w:lang w:val="es-ES" w:eastAsia="es-ES" w:bidi="es-ES"/>
        </w:rPr>
      </w:pPr>
      <w:r>
        <w:rPr>
          <w:rFonts w:ascii="Verdana" w:eastAsia="Calibri" w:hAnsi="Verdana" w:cs="Arial"/>
          <w:bCs/>
          <w:lang w:eastAsia="es-ES" w:bidi="es-ES"/>
        </w:rPr>
        <w:t>Teniendo en cuenta el objeto de la consulta, a continuación, se analizará la segunda restricción. P</w:t>
      </w:r>
      <w:r w:rsidRPr="005F73B4">
        <w:rPr>
          <w:rFonts w:ascii="Verdana" w:eastAsia="Calibri" w:hAnsi="Verdana" w:cs="Arial"/>
          <w:bCs/>
          <w:lang w:eastAsia="es-ES" w:bidi="es-ES"/>
        </w:rPr>
        <w:t>ara determinar el alcance de la prohibición consagrada por</w:t>
      </w:r>
      <w:r>
        <w:rPr>
          <w:rFonts w:ascii="Verdana" w:eastAsia="Calibri" w:hAnsi="Verdana" w:cs="Arial"/>
          <w:bCs/>
          <w:lang w:eastAsia="es-ES" w:bidi="es-ES"/>
        </w:rPr>
        <w:t xml:space="preserve"> el artículo 38 de</w:t>
      </w:r>
      <w:r w:rsidRPr="005F73B4">
        <w:rPr>
          <w:rFonts w:ascii="Verdana" w:eastAsia="Calibri" w:hAnsi="Verdana" w:cs="Arial"/>
          <w:bCs/>
          <w:lang w:eastAsia="es-ES" w:bidi="es-ES"/>
        </w:rPr>
        <w:t xml:space="preserve"> la Ley de Garantías Electorales, conviene precisar la tipología de convenios o contratos interadministrativos. </w:t>
      </w:r>
      <w:r w:rsidRPr="005F73B4">
        <w:rPr>
          <w:rFonts w:ascii="Verdana" w:eastAsia="Arial" w:hAnsi="Verdana" w:cs="Arial"/>
          <w:lang w:val="es-ES" w:eastAsia="es-ES" w:bidi="es-ES"/>
        </w:rPr>
        <w:t>Aunque la ley no la definió ni desarrolló, el Decreto 1082 de 2015 califica a los convenios o contratos interadministrativos como aquella contratación entre entidades estatales</w:t>
      </w:r>
      <w:r w:rsidRPr="005F73B4">
        <w:rPr>
          <w:rFonts w:ascii="Verdana" w:eastAsia="Arial" w:hAnsi="Verdana" w:cs="Arial"/>
          <w:vertAlign w:val="superscript"/>
          <w:lang w:val="es-ES" w:eastAsia="es-ES" w:bidi="es-ES"/>
        </w:rPr>
        <w:footnoteReference w:id="7"/>
      </w:r>
      <w:r w:rsidRPr="005F73B4">
        <w:rPr>
          <w:rFonts w:ascii="Verdana" w:eastAsia="Arial" w:hAnsi="Verdana" w:cs="Arial"/>
          <w:lang w:val="es-ES" w:eastAsia="es-ES" w:bidi="es-ES"/>
        </w:rPr>
        <w:t xml:space="preserve">. De acuerdo con lo anterior, el contrato o el convenio interadministrativo es el acuerdo </w:t>
      </w:r>
      <w:r>
        <w:rPr>
          <w:rFonts w:ascii="Verdana" w:eastAsia="Arial" w:hAnsi="Verdana" w:cs="Arial"/>
          <w:lang w:val="es-ES" w:eastAsia="es-ES" w:bidi="es-ES"/>
        </w:rPr>
        <w:t>en el que</w:t>
      </w:r>
      <w:r w:rsidRPr="005F73B4">
        <w:rPr>
          <w:rFonts w:ascii="Verdana" w:eastAsia="Arial" w:hAnsi="Verdana" w:cs="Arial"/>
          <w:lang w:val="es-ES" w:eastAsia="es-ES" w:bidi="es-ES"/>
        </w:rPr>
        <w:t xml:space="preserve"> concurre la voluntad de dos o más personas jurídicas de derecho público con </w:t>
      </w:r>
      <w:r>
        <w:rPr>
          <w:rFonts w:ascii="Verdana" w:eastAsia="Arial" w:hAnsi="Verdana" w:cs="Arial"/>
          <w:lang w:val="es-ES" w:eastAsia="es-ES" w:bidi="es-ES"/>
        </w:rPr>
        <w:t>el propósito</w:t>
      </w:r>
      <w:r w:rsidRPr="005F73B4">
        <w:rPr>
          <w:rFonts w:ascii="Verdana" w:eastAsia="Arial" w:hAnsi="Verdana" w:cs="Arial"/>
          <w:lang w:val="es-ES" w:eastAsia="es-ES" w:bidi="es-ES"/>
        </w:rPr>
        <w:t xml:space="preserve"> de cumplir, en el marco de sus objetivos misionales y sus competencias, con los fines del Estado. Es decir, los contratos o convenios interadministrativos están determinados por un criterio orgánico, </w:t>
      </w:r>
      <w:r w:rsidRPr="005F73B4">
        <w:rPr>
          <w:rFonts w:ascii="Verdana" w:eastAsia="Arial" w:hAnsi="Verdana" w:cs="Arial"/>
          <w:lang w:val="es-ES" w:eastAsia="es-ES" w:bidi="es-ES"/>
        </w:rPr>
        <w:lastRenderedPageBreak/>
        <w:t>pues es necesario que los extremos de la relación contractual sean entidades</w:t>
      </w:r>
      <w:r w:rsidRPr="005F73B4">
        <w:rPr>
          <w:rFonts w:ascii="Verdana" w:eastAsia="Arial" w:hAnsi="Verdana" w:cs="Arial"/>
          <w:spacing w:val="-6"/>
          <w:lang w:val="es-ES" w:eastAsia="es-ES" w:bidi="es-ES"/>
        </w:rPr>
        <w:t xml:space="preserve"> </w:t>
      </w:r>
      <w:r w:rsidRPr="005F73B4">
        <w:rPr>
          <w:rFonts w:ascii="Verdana" w:eastAsia="Arial" w:hAnsi="Verdana" w:cs="Arial"/>
          <w:lang w:val="es-ES" w:eastAsia="es-ES" w:bidi="es-ES"/>
        </w:rPr>
        <w:t>estatales.</w:t>
      </w:r>
    </w:p>
    <w:p w14:paraId="0415BC24" w14:textId="77777777" w:rsidR="00761018" w:rsidRPr="005F73B4" w:rsidRDefault="00761018" w:rsidP="00761018">
      <w:pPr>
        <w:widowControl w:val="0"/>
        <w:autoSpaceDE w:val="0"/>
        <w:autoSpaceDN w:val="0"/>
        <w:spacing w:after="120" w:line="276" w:lineRule="auto"/>
        <w:ind w:firstLine="707"/>
        <w:jc w:val="both"/>
        <w:rPr>
          <w:rFonts w:ascii="Verdana" w:eastAsia="Calibri" w:hAnsi="Verdana" w:cs="Arial"/>
          <w:bCs/>
          <w:lang w:val="es-ES"/>
        </w:rPr>
      </w:pPr>
      <w:bookmarkStart w:id="14" w:name="_Hlk78820654"/>
      <w:r w:rsidRPr="005F73B4">
        <w:rPr>
          <w:rFonts w:ascii="Verdana" w:eastAsia="Arial" w:hAnsi="Verdana" w:cs="Arial"/>
          <w:lang w:val="es-ES" w:eastAsia="es-ES" w:bidi="es-ES"/>
        </w:rPr>
        <w:t xml:space="preserve">Si bien los contratos o convenios interadministrativos están previstos en la Ley 80 de 1993, en la Ley 1150 de 2007 y en el Decreto en el 1082 de 2015, </w:t>
      </w:r>
      <w:r>
        <w:rPr>
          <w:rFonts w:ascii="Verdana" w:eastAsia="Arial" w:hAnsi="Verdana" w:cs="Arial"/>
          <w:lang w:val="es-ES" w:eastAsia="es-ES" w:bidi="es-ES"/>
        </w:rPr>
        <w:t xml:space="preserve">ello </w:t>
      </w:r>
      <w:r w:rsidRPr="005F73B4">
        <w:rPr>
          <w:rFonts w:ascii="Verdana" w:eastAsia="Arial" w:hAnsi="Verdana" w:cs="Arial"/>
          <w:lang w:val="es-ES" w:eastAsia="es-ES" w:bidi="es-ES"/>
        </w:rPr>
        <w:t>no quiere decir que solo puedan celebrarse entre entidades estatales que apliquen el régimen de contratación allí previsto</w:t>
      </w:r>
      <w:r>
        <w:rPr>
          <w:rFonts w:ascii="Verdana" w:eastAsia="Arial" w:hAnsi="Verdana" w:cs="Arial"/>
          <w:lang w:val="es-ES" w:eastAsia="es-ES" w:bidi="es-ES"/>
        </w:rPr>
        <w:t>. P</w:t>
      </w:r>
      <w:r w:rsidRPr="005F73B4">
        <w:rPr>
          <w:rFonts w:ascii="Verdana" w:eastAsia="Arial" w:hAnsi="Verdana" w:cs="Arial"/>
          <w:lang w:val="es-ES" w:eastAsia="es-ES" w:bidi="es-ES"/>
        </w:rPr>
        <w:t>uede una entidad estatal sometida a la Ley 80 de 1993 celebrar esta clase de convenios con una entidad estatal de régimen especial y no por ello dejará de ser un contrato o convenio interadministrativo. De esta manera, sin perjuicio de lo dispuesto en el artículo 56 de la Ley 2195 de 2022, el literal c) del artículo 2.4 de la Ley 1150 de 2007 dispone que “</w:t>
      </w:r>
      <w:r w:rsidRPr="005F73B4">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50DF606F" w14:textId="77777777" w:rsidR="00761018" w:rsidRPr="005F73B4" w:rsidRDefault="00761018" w:rsidP="00761018">
      <w:pPr>
        <w:widowControl w:val="0"/>
        <w:autoSpaceDE w:val="0"/>
        <w:autoSpaceDN w:val="0"/>
        <w:spacing w:after="120" w:line="276" w:lineRule="auto"/>
        <w:ind w:firstLine="707"/>
        <w:jc w:val="both"/>
        <w:rPr>
          <w:rFonts w:ascii="Verdana" w:eastAsia="Arial" w:hAnsi="Verdana" w:cs="Arial"/>
          <w:lang w:val="es-ES" w:eastAsia="es-ES" w:bidi="es-ES"/>
        </w:rPr>
      </w:pPr>
      <w:bookmarkStart w:id="15" w:name="_Hlk99578261"/>
      <w:bookmarkEnd w:id="14"/>
      <w:r w:rsidRPr="005F73B4">
        <w:rPr>
          <w:rFonts w:ascii="Verdana" w:eastAsia="Arial" w:hAnsi="Verdana" w:cs="Arial"/>
          <w:lang w:val="es-ES" w:eastAsia="es-ES" w:bidi="es-ES"/>
        </w:rPr>
        <w:t xml:space="preserve">Adicionalmente, </w:t>
      </w:r>
      <w:r>
        <w:rPr>
          <w:rFonts w:ascii="Verdana" w:eastAsia="Arial" w:hAnsi="Verdana" w:cs="Arial"/>
          <w:lang w:val="es-ES" w:eastAsia="es-ES" w:bidi="es-ES"/>
        </w:rPr>
        <w:t xml:space="preserve">la naturaleza de </w:t>
      </w:r>
      <w:r w:rsidRPr="005F73B4">
        <w:rPr>
          <w:rFonts w:ascii="Verdana" w:eastAsia="Arial" w:hAnsi="Verdana" w:cs="Arial"/>
          <w:lang w:val="es-ES" w:eastAsia="es-ES" w:bidi="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5F73B4">
        <w:rPr>
          <w:rFonts w:ascii="Verdana" w:eastAsia="Arial" w:hAnsi="Verdana" w:cs="Arial"/>
          <w:vertAlign w:val="superscript"/>
          <w:lang w:val="es-ES" w:eastAsia="es-ES" w:bidi="es-ES"/>
        </w:rPr>
        <w:footnoteReference w:id="8"/>
      </w:r>
      <w:r w:rsidRPr="005F73B4">
        <w:rPr>
          <w:rFonts w:ascii="Verdana" w:eastAsia="Arial" w:hAnsi="Verdana" w:cs="Arial"/>
          <w:lang w:val="es-ES" w:eastAsia="es-ES" w:bidi="es-ES"/>
        </w:rPr>
        <w:t>. Nótese que, en este caso, lo que cambia es la modalidad de selección</w:t>
      </w:r>
      <w:r>
        <w:rPr>
          <w:rFonts w:ascii="Verdana" w:eastAsia="Arial" w:hAnsi="Verdana" w:cs="Arial"/>
          <w:lang w:val="es-ES" w:eastAsia="es-ES" w:bidi="es-ES"/>
        </w:rPr>
        <w:t>,</w:t>
      </w:r>
      <w:r w:rsidRPr="005F73B4">
        <w:rPr>
          <w:rFonts w:ascii="Verdana" w:eastAsia="Arial" w:hAnsi="Verdana" w:cs="Arial"/>
          <w:lang w:val="es-ES" w:eastAsia="es-ES" w:bidi="es-ES"/>
        </w:rPr>
        <w:t xml:space="preserve"> no la naturaleza</w:t>
      </w:r>
      <w:r>
        <w:rPr>
          <w:rFonts w:ascii="Verdana" w:eastAsia="Arial" w:hAnsi="Verdana" w:cs="Arial"/>
          <w:lang w:val="es-ES" w:eastAsia="es-ES" w:bidi="es-ES"/>
        </w:rPr>
        <w:t xml:space="preserve"> </w:t>
      </w:r>
      <w:proofErr w:type="spellStart"/>
      <w:r>
        <w:rPr>
          <w:rFonts w:ascii="Verdana" w:eastAsia="Arial" w:hAnsi="Verdana" w:cs="Arial"/>
          <w:lang w:val="es-ES" w:eastAsia="es-ES" w:bidi="es-ES"/>
        </w:rPr>
        <w:t>juridica</w:t>
      </w:r>
      <w:proofErr w:type="spellEnd"/>
      <w:r w:rsidRPr="005F73B4">
        <w:rPr>
          <w:rFonts w:ascii="Verdana" w:eastAsia="Arial" w:hAnsi="Verdana" w:cs="Arial"/>
          <w:lang w:val="es-ES" w:eastAsia="es-ES" w:bidi="es-ES"/>
        </w:rPr>
        <w:t xml:space="preserve"> de contrato</w:t>
      </w:r>
      <w:r w:rsidRPr="005F73B4">
        <w:rPr>
          <w:rFonts w:ascii="Verdana" w:eastAsia="Arial" w:hAnsi="Verdana" w:cs="Arial"/>
          <w:spacing w:val="-18"/>
          <w:lang w:val="es-ES" w:eastAsia="es-ES" w:bidi="es-ES"/>
        </w:rPr>
        <w:t xml:space="preserve"> </w:t>
      </w:r>
      <w:r w:rsidRPr="005F73B4">
        <w:rPr>
          <w:rFonts w:ascii="Verdana" w:eastAsia="Arial" w:hAnsi="Verdana" w:cs="Arial"/>
          <w:lang w:val="es-ES" w:eastAsia="es-ES" w:bidi="es-ES"/>
        </w:rPr>
        <w:t>interadministrativo.</w:t>
      </w:r>
    </w:p>
    <w:bookmarkEnd w:id="15"/>
    <w:p w14:paraId="2483545F" w14:textId="77777777" w:rsidR="00761018" w:rsidRDefault="00761018" w:rsidP="00761018">
      <w:pPr>
        <w:widowControl w:val="0"/>
        <w:autoSpaceDE w:val="0"/>
        <w:autoSpaceDN w:val="0"/>
        <w:spacing w:after="0" w:line="276" w:lineRule="auto"/>
        <w:ind w:firstLine="707"/>
        <w:jc w:val="both"/>
        <w:rPr>
          <w:rFonts w:ascii="Verdana" w:eastAsia="Arial" w:hAnsi="Verdana" w:cs="Arial"/>
          <w:lang w:val="es-ES" w:eastAsia="es-ES" w:bidi="es-ES"/>
        </w:rPr>
      </w:pPr>
      <w:r w:rsidRPr="005F73B4">
        <w:rPr>
          <w:rFonts w:ascii="Verdana" w:eastAsia="Arial" w:hAnsi="Verdana" w:cs="Arial"/>
          <w:lang w:val="es-ES" w:eastAsia="es-ES" w:bidi="es-ES"/>
        </w:rPr>
        <w:t xml:space="preserve">La Corte Constitucional expresó en la Sentencia C–671 de 2015 que “Lo que hace interadministrativo a un contrato o convenio no es el procedimiento de selección aplicable, sino la calidad de los sujetos contratantes, esto es que las </w:t>
      </w:r>
      <w:r w:rsidRPr="005F73B4">
        <w:rPr>
          <w:rFonts w:ascii="Verdana" w:eastAsia="Arial" w:hAnsi="Verdana" w:cs="Arial"/>
          <w:lang w:val="es-ES" w:eastAsia="es-ES" w:bidi="es-ES"/>
        </w:rPr>
        <w:lastRenderedPageBreak/>
        <w:t xml:space="preserve">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w:t>
      </w:r>
    </w:p>
    <w:p w14:paraId="5D489661" w14:textId="77777777" w:rsidR="00761018" w:rsidRPr="005F73B4" w:rsidRDefault="00761018" w:rsidP="00761018">
      <w:pPr>
        <w:widowControl w:val="0"/>
        <w:autoSpaceDE w:val="0"/>
        <w:autoSpaceDN w:val="0"/>
        <w:spacing w:after="0" w:line="276" w:lineRule="auto"/>
        <w:ind w:firstLine="707"/>
        <w:jc w:val="both"/>
        <w:rPr>
          <w:rFonts w:ascii="Verdana" w:eastAsia="Arial" w:hAnsi="Verdana" w:cs="Arial"/>
          <w:lang w:val="es-ES" w:eastAsia="es-ES" w:bidi="es-ES"/>
        </w:rPr>
      </w:pPr>
      <w:r w:rsidRPr="005F73B4">
        <w:rPr>
          <w:rFonts w:ascii="Verdana" w:eastAsia="Arial" w:hAnsi="Verdana" w:cs="Arial"/>
          <w:lang w:val="es-ES" w:eastAsia="es-ES" w:bidi="es-ES"/>
        </w:rPr>
        <w:t>Adicionalmente, el Consejo de Estado ha indicado, frente al convenio interadministrativo y sus características,</w:t>
      </w:r>
      <w:r w:rsidRPr="005F73B4">
        <w:rPr>
          <w:rFonts w:ascii="Verdana" w:eastAsia="Arial" w:hAnsi="Verdana" w:cs="Arial"/>
          <w:spacing w:val="-13"/>
          <w:lang w:val="es-ES" w:eastAsia="es-ES" w:bidi="es-ES"/>
        </w:rPr>
        <w:t xml:space="preserve"> </w:t>
      </w:r>
      <w:r w:rsidRPr="005F73B4">
        <w:rPr>
          <w:rFonts w:ascii="Verdana" w:eastAsia="Arial" w:hAnsi="Verdana" w:cs="Arial"/>
          <w:lang w:val="es-ES" w:eastAsia="es-ES" w:bidi="es-ES"/>
        </w:rPr>
        <w:t>que:</w:t>
      </w:r>
    </w:p>
    <w:p w14:paraId="44BDE739" w14:textId="77777777" w:rsidR="00761018" w:rsidRPr="005F73B4" w:rsidRDefault="00761018" w:rsidP="00761018">
      <w:pPr>
        <w:widowControl w:val="0"/>
        <w:autoSpaceDE w:val="0"/>
        <w:autoSpaceDN w:val="0"/>
        <w:spacing w:after="0" w:line="276" w:lineRule="auto"/>
        <w:ind w:firstLine="707"/>
        <w:contextualSpacing/>
        <w:jc w:val="both"/>
        <w:rPr>
          <w:rFonts w:ascii="Verdana" w:eastAsia="Arial" w:hAnsi="Verdana" w:cs="Arial"/>
          <w:lang w:val="es-ES" w:eastAsia="es-ES" w:bidi="es-ES"/>
        </w:rPr>
      </w:pPr>
    </w:p>
    <w:p w14:paraId="445C4355" w14:textId="77777777" w:rsidR="00761018" w:rsidRPr="0008750E" w:rsidRDefault="00761018" w:rsidP="00761018">
      <w:pPr>
        <w:spacing w:after="0" w:line="240" w:lineRule="auto"/>
        <w:ind w:left="709" w:right="709"/>
        <w:contextualSpacing/>
        <w:jc w:val="both"/>
        <w:rPr>
          <w:rFonts w:ascii="Verdana" w:eastAsia="Calibri" w:hAnsi="Verdana" w:cs="Arial"/>
          <w:sz w:val="20"/>
          <w:szCs w:val="20"/>
          <w:lang w:val="es-MX"/>
        </w:rPr>
      </w:pPr>
      <w:r w:rsidRPr="0008750E">
        <w:rPr>
          <w:rFonts w:ascii="Verdana" w:eastAsia="Calibri" w:hAnsi="Verdana" w:cs="Arial"/>
          <w:sz w:val="20"/>
          <w:szCs w:val="20"/>
          <w:lang w:val="es-MX"/>
        </w:rPr>
        <w:t>“[…] se puede señalar que los convenios o contratos interadministrativos tienen como características principales las siguientes: (i) constituyen verdaderos contratos en los términos del Código de Comercio cuando su objeto lo constituyen obligaciones patrimoniales; (</w:t>
      </w:r>
      <w:proofErr w:type="spellStart"/>
      <w:r w:rsidRPr="0008750E">
        <w:rPr>
          <w:rFonts w:ascii="Verdana" w:eastAsia="Calibri" w:hAnsi="Verdana" w:cs="Arial"/>
          <w:sz w:val="20"/>
          <w:szCs w:val="20"/>
          <w:lang w:val="es-MX"/>
        </w:rPr>
        <w:t>ii</w:t>
      </w:r>
      <w:proofErr w:type="spellEnd"/>
      <w:r w:rsidRPr="0008750E">
        <w:rPr>
          <w:rFonts w:ascii="Verdana" w:eastAsia="Calibri" w:hAnsi="Verdana" w:cs="Arial"/>
          <w:sz w:val="20"/>
          <w:szCs w:val="20"/>
          <w:lang w:val="es-MX"/>
        </w:rPr>
        <w:t>) tienen como fuente la autonomía contractual; (</w:t>
      </w:r>
      <w:proofErr w:type="spellStart"/>
      <w:r w:rsidRPr="0008750E">
        <w:rPr>
          <w:rFonts w:ascii="Verdana" w:eastAsia="Calibri" w:hAnsi="Verdana" w:cs="Arial"/>
          <w:sz w:val="20"/>
          <w:szCs w:val="20"/>
          <w:lang w:val="es-MX"/>
        </w:rPr>
        <w:t>iii</w:t>
      </w:r>
      <w:proofErr w:type="spellEnd"/>
      <w:r w:rsidRPr="0008750E">
        <w:rPr>
          <w:rFonts w:ascii="Verdana" w:eastAsia="Calibri" w:hAnsi="Verdana" w:cs="Arial"/>
          <w:sz w:val="20"/>
          <w:szCs w:val="20"/>
          <w:lang w:val="es-MX"/>
        </w:rPr>
        <w:t>) son contratos nominados puesto que están mencionados en la ley; (</w:t>
      </w:r>
      <w:proofErr w:type="spellStart"/>
      <w:r w:rsidRPr="0008750E">
        <w:rPr>
          <w:rFonts w:ascii="Verdana" w:eastAsia="Calibri" w:hAnsi="Verdana" w:cs="Arial"/>
          <w:sz w:val="20"/>
          <w:szCs w:val="20"/>
          <w:lang w:val="es-MX"/>
        </w:rPr>
        <w:t>iv</w:t>
      </w:r>
      <w:proofErr w:type="spellEnd"/>
      <w:r w:rsidRPr="0008750E">
        <w:rPr>
          <w:rFonts w:ascii="Verdana" w:eastAsia="Calibri" w:hAnsi="Verdana" w:cs="Arial"/>
          <w:sz w:val="20"/>
          <w:szCs w:val="20"/>
          <w:lang w:val="es-MX"/>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08750E">
        <w:rPr>
          <w:rFonts w:ascii="Verdana" w:eastAsia="Calibri" w:hAnsi="Verdana" w:cs="Arial"/>
          <w:sz w:val="20"/>
          <w:szCs w:val="20"/>
          <w:lang w:val="es-MX"/>
        </w:rPr>
        <w:t>vii</w:t>
      </w:r>
      <w:proofErr w:type="spellEnd"/>
      <w:r w:rsidRPr="0008750E">
        <w:rPr>
          <w:rFonts w:ascii="Verdana" w:eastAsia="Calibri" w:hAnsi="Verdana" w:cs="Arial"/>
          <w:sz w:val="20"/>
          <w:szCs w:val="20"/>
          <w:lang w:val="es-MX"/>
        </w:rPr>
        <w:t>) persiguen  una finalidad común a través de la realización de intereses compartidos entre las entidades vinculadas; (</w:t>
      </w:r>
      <w:proofErr w:type="spellStart"/>
      <w:r w:rsidRPr="0008750E">
        <w:rPr>
          <w:rFonts w:ascii="Verdana" w:eastAsia="Calibri" w:hAnsi="Verdana" w:cs="Arial"/>
          <w:sz w:val="20"/>
          <w:szCs w:val="20"/>
          <w:lang w:val="es-MX"/>
        </w:rPr>
        <w:t>viii</w:t>
      </w:r>
      <w:proofErr w:type="spellEnd"/>
      <w:r w:rsidRPr="0008750E">
        <w:rPr>
          <w:rFonts w:ascii="Verdana" w:eastAsia="Calibri" w:hAnsi="Verdana" w:cs="Arial"/>
          <w:sz w:val="20"/>
          <w:szCs w:val="20"/>
          <w:lang w:val="es-MX"/>
        </w:rPr>
        <w:t>) la acción mediante la cual se deben ventilar las diferencias que sobre el particular surjan es la de controversias contractuales”</w:t>
      </w:r>
      <w:r w:rsidRPr="0008750E">
        <w:rPr>
          <w:rFonts w:ascii="Verdana" w:eastAsia="Calibri" w:hAnsi="Verdana" w:cs="Arial"/>
          <w:sz w:val="20"/>
          <w:szCs w:val="20"/>
          <w:vertAlign w:val="superscript"/>
          <w:lang w:val="es-MX"/>
        </w:rPr>
        <w:footnoteReference w:id="9"/>
      </w:r>
      <w:r w:rsidRPr="0008750E">
        <w:rPr>
          <w:rFonts w:ascii="Verdana" w:eastAsia="Calibri" w:hAnsi="Verdana" w:cs="Arial"/>
          <w:sz w:val="20"/>
          <w:szCs w:val="20"/>
          <w:lang w:val="es-MX"/>
        </w:rPr>
        <w:t>.</w:t>
      </w:r>
    </w:p>
    <w:p w14:paraId="228FF49D" w14:textId="77777777" w:rsidR="00761018" w:rsidRPr="005F73B4" w:rsidRDefault="00761018" w:rsidP="00761018">
      <w:pPr>
        <w:spacing w:after="0" w:line="276" w:lineRule="auto"/>
        <w:ind w:left="709" w:right="709"/>
        <w:contextualSpacing/>
        <w:jc w:val="both"/>
        <w:rPr>
          <w:rFonts w:ascii="Verdana" w:eastAsia="Calibri" w:hAnsi="Verdana" w:cs="Arial"/>
          <w:lang w:val="es-MX"/>
        </w:rPr>
      </w:pPr>
    </w:p>
    <w:p w14:paraId="07A7F19F" w14:textId="77777777" w:rsidR="00761018" w:rsidRPr="00E922F2" w:rsidRDefault="00761018" w:rsidP="00761018">
      <w:pPr>
        <w:widowControl w:val="0"/>
        <w:autoSpaceDE w:val="0"/>
        <w:autoSpaceDN w:val="0"/>
        <w:spacing w:after="120" w:line="276" w:lineRule="auto"/>
        <w:ind w:firstLine="707"/>
        <w:jc w:val="both"/>
        <w:rPr>
          <w:rFonts w:ascii="Verdana" w:eastAsia="Arial" w:hAnsi="Verdana" w:cs="Arial"/>
          <w:lang w:val="es-ES" w:eastAsia="es-ES" w:bidi="es-ES"/>
        </w:rPr>
      </w:pPr>
      <w:r w:rsidRPr="00E922F2">
        <w:rPr>
          <w:rFonts w:ascii="Verdana" w:eastAsia="Arial" w:hAnsi="Verdana" w:cs="Arial"/>
          <w:lang w:val="es-ES" w:eastAsia="es-ES" w:bidi="es-ES"/>
        </w:rPr>
        <w:t>En ese sentido, los convenios interadministrativos se caracterizan por los sujetos que intervienen en ellos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50ED1848" w14:textId="77777777" w:rsidR="00761018" w:rsidRPr="00E922F2" w:rsidRDefault="00761018" w:rsidP="00761018">
      <w:pPr>
        <w:tabs>
          <w:tab w:val="left" w:pos="426"/>
        </w:tabs>
        <w:spacing w:after="120" w:line="276" w:lineRule="auto"/>
        <w:ind w:firstLine="709"/>
        <w:jc w:val="both"/>
        <w:rPr>
          <w:rFonts w:ascii="Verdana" w:eastAsia="Times New Roman" w:hAnsi="Verdana" w:cs="Arial"/>
          <w:bCs/>
          <w:lang w:val="es-MX" w:eastAsia="es-CO"/>
        </w:rPr>
      </w:pPr>
      <w:r w:rsidRPr="00E922F2">
        <w:rPr>
          <w:rFonts w:ascii="Verdana" w:eastAsia="Times New Roman" w:hAnsi="Verdana" w:cs="Arial"/>
          <w:bCs/>
          <w:lang w:eastAsia="es-CO"/>
        </w:rPr>
        <w:t xml:space="preserve">Se observa entonces que </w:t>
      </w:r>
      <w:r w:rsidRPr="00E922F2">
        <w:rPr>
          <w:rFonts w:ascii="Verdana" w:eastAsia="Times New Roman" w:hAnsi="Verdana" w:cs="Arial"/>
          <w:bCs/>
          <w:lang w:val="es-MX" w:eastAsia="es-CO"/>
        </w:rPr>
        <w:t xml:space="preserve">el parágrafo del artículo 38 de la Ley 996 de 2005 prohíbe a los alcaldes, gobernadores, secretarios, gerentes y directores de </w:t>
      </w:r>
      <w:r w:rsidRPr="00E922F2">
        <w:rPr>
          <w:rFonts w:ascii="Verdana" w:eastAsia="Times New Roman" w:hAnsi="Verdana" w:cs="Arial"/>
          <w:bCs/>
          <w:lang w:val="es-MX" w:eastAsia="es-CO"/>
        </w:rPr>
        <w:lastRenderedPageBreak/>
        <w:t xml:space="preserve">las entidades del orden municipal, departamental o distrital celebrar convenios y contratos interadministrativos para la ejecución de recursos públicos. En este sentido, si una o ambas partes de la relación contractual es una entidad de aquellas descritas en el parágrafo </w:t>
      </w:r>
      <w:r w:rsidRPr="00E922F2">
        <w:rPr>
          <w:rFonts w:ascii="Verdana" w:eastAsia="Times New Roman" w:hAnsi="Verdana" w:cs="Arial"/>
          <w:bCs/>
          <w:i/>
          <w:iCs/>
          <w:lang w:val="es-MX" w:eastAsia="es-CO"/>
        </w:rPr>
        <w:t>ibidem</w:t>
      </w:r>
      <w:r w:rsidRPr="00E922F2">
        <w:rPr>
          <w:rFonts w:ascii="Verdana" w:eastAsia="Times New Roman" w:hAnsi="Verdana" w:cs="Arial"/>
          <w:bCs/>
          <w:lang w:val="es-MX" w:eastAsia="es-CO"/>
        </w:rPr>
        <w:t>, 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r w:rsidRPr="00E922F2">
        <w:rPr>
          <w:rFonts w:ascii="Verdana" w:eastAsia="Calibri" w:hAnsi="Verdana" w:cs="Arial"/>
          <w:bCs/>
          <w:vertAlign w:val="superscript"/>
          <w:lang w:val="es-MX" w:eastAsia="es-CO"/>
        </w:rPr>
        <w:footnoteReference w:id="10"/>
      </w:r>
      <w:r w:rsidRPr="00E922F2">
        <w:rPr>
          <w:rFonts w:ascii="Verdana" w:eastAsia="Times New Roman" w:hAnsi="Verdana" w:cs="Arial"/>
          <w:bCs/>
          <w:lang w:val="es-MX" w:eastAsia="es-CO"/>
        </w:rPr>
        <w:t xml:space="preserve">. </w:t>
      </w:r>
    </w:p>
    <w:p w14:paraId="32C972D9" w14:textId="77777777" w:rsidR="00761018" w:rsidRPr="00E922F2" w:rsidRDefault="00761018" w:rsidP="00761018">
      <w:pPr>
        <w:widowControl w:val="0"/>
        <w:autoSpaceDE w:val="0"/>
        <w:autoSpaceDN w:val="0"/>
        <w:spacing w:after="120" w:line="276" w:lineRule="auto"/>
        <w:ind w:firstLine="709"/>
        <w:jc w:val="both"/>
        <w:rPr>
          <w:rFonts w:ascii="Verdana" w:eastAsia="Calibri" w:hAnsi="Verdana" w:cs="Arial"/>
          <w:lang w:eastAsia="es-ES" w:bidi="es-ES"/>
        </w:rPr>
      </w:pPr>
      <w:bookmarkStart w:id="16" w:name="_Hlk77154098"/>
      <w:r w:rsidRPr="00E922F2">
        <w:rPr>
          <w:rFonts w:ascii="Verdana" w:eastAsia="Times New Roman" w:hAnsi="Verdana" w:cs="Arial"/>
          <w:bCs/>
          <w:lang w:val="es-ES" w:eastAsia="es-CO" w:bidi="es-ES"/>
        </w:rPr>
        <w:t>No obstante</w:t>
      </w:r>
      <w:r w:rsidRPr="00E922F2">
        <w:rPr>
          <w:rFonts w:ascii="Verdana" w:eastAsia="Arial" w:hAnsi="Verdana" w:cs="Arial"/>
          <w:lang w:val="es-ES" w:eastAsia="es-ES" w:bidi="es-ES"/>
        </w:rPr>
        <w:t xml:space="preserve">, es importante resaltar que la Sala de Consulta y Servicio Civil del Consejo de Estado se ha pronunciado en el sentido de que </w:t>
      </w:r>
      <w:bookmarkStart w:id="17" w:name="_Hlk78820889"/>
      <w:r w:rsidRPr="00E922F2">
        <w:rPr>
          <w:rFonts w:ascii="Verdana" w:eastAsia="Arial" w:hAnsi="Verdana" w:cs="Arial"/>
          <w:lang w:val="es-ES" w:eastAsia="es-ES" w:bidi="es-ES"/>
        </w:rPr>
        <w:t>no se les aplica la restricción contemplada en el artículo 38 de la Ley de Garantías a los convenios o contratos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7"/>
      <w:r w:rsidRPr="00E922F2">
        <w:rPr>
          <w:rFonts w:ascii="Verdana" w:eastAsia="Arial" w:hAnsi="Verdana" w:cs="Arial"/>
          <w:vertAlign w:val="superscript"/>
          <w:lang w:val="es-ES" w:eastAsia="es-ES" w:bidi="es-ES"/>
        </w:rPr>
        <w:footnoteReference w:id="11"/>
      </w:r>
      <w:r w:rsidRPr="00E922F2">
        <w:rPr>
          <w:rFonts w:ascii="Verdana" w:eastAsia="Calibri" w:hAnsi="Verdana" w:cs="Arial"/>
          <w:lang w:eastAsia="es-ES" w:bidi="es-ES"/>
        </w:rPr>
        <w:t>.</w:t>
      </w:r>
      <w:bookmarkEnd w:id="8"/>
      <w:bookmarkEnd w:id="16"/>
    </w:p>
    <w:p w14:paraId="7547CFDC" w14:textId="77777777" w:rsidR="00761018" w:rsidRPr="00E922F2" w:rsidRDefault="00761018" w:rsidP="00761018">
      <w:pPr>
        <w:spacing w:after="120" w:line="276" w:lineRule="auto"/>
        <w:ind w:firstLine="709"/>
        <w:jc w:val="both"/>
        <w:rPr>
          <w:rFonts w:ascii="Verdana" w:eastAsia="Calibri" w:hAnsi="Verdana" w:cs="Arial"/>
          <w:lang w:bidi="es-ES"/>
        </w:rPr>
      </w:pPr>
      <w:r>
        <w:rPr>
          <w:rFonts w:ascii="Verdana" w:eastAsia="Times New Roman" w:hAnsi="Verdana" w:cs="Arial"/>
          <w:lang w:val="es-MX" w:eastAsia="x-none"/>
        </w:rPr>
        <w:t>Finalmente, es necesario</w:t>
      </w:r>
      <w:r w:rsidRPr="00E922F2">
        <w:rPr>
          <w:rFonts w:ascii="Verdana" w:eastAsia="Times New Roman" w:hAnsi="Verdana" w:cs="Arial"/>
          <w:lang w:val="es-MX" w:eastAsia="x-none"/>
        </w:rPr>
        <w:t xml:space="preserve"> señalar que esta Subdirección, en los conceptos emitidos sobre la aplicación de la Ley de Garantías Electorales, ha defendido y mantenido la postura acerca de que la prohibición señalada en </w:t>
      </w:r>
      <w:r w:rsidRPr="00E922F2">
        <w:rPr>
          <w:rFonts w:ascii="Verdana" w:eastAsia="Arial" w:hAnsi="Verdana" w:cs="Arial"/>
          <w:lang w:val="es-ES" w:eastAsia="es-ES" w:bidi="es-ES"/>
        </w:rPr>
        <w:t>e</w:t>
      </w:r>
      <w:r w:rsidRPr="00E922F2">
        <w:rPr>
          <w:rFonts w:ascii="Verdana" w:eastAsia="Calibri" w:hAnsi="Verdana" w:cs="Arial"/>
        </w:rPr>
        <w:t xml:space="preserve">l parágrafo del artículo 38 cobija tanto a los convenios como a los contratos interadministrativos. Esta tesis se fundamenta en que </w:t>
      </w:r>
      <w:r w:rsidRPr="00E922F2">
        <w:rPr>
          <w:rFonts w:ascii="Verdana" w:eastAsia="Calibri" w:hAnsi="Verdana" w:cs="Arial"/>
          <w:lang w:bidi="es-ES"/>
        </w:rPr>
        <w:t xml:space="preserve">si bien actualmente el Estatuto General de Contratación de la Administración Pública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EFE33BD" w14:textId="77777777" w:rsidR="00761018" w:rsidRPr="00E922F2" w:rsidRDefault="00761018" w:rsidP="00761018">
      <w:pPr>
        <w:spacing w:after="120" w:line="276" w:lineRule="auto"/>
        <w:ind w:firstLine="709"/>
        <w:jc w:val="both"/>
        <w:rPr>
          <w:rFonts w:ascii="Verdana" w:eastAsia="Calibri" w:hAnsi="Verdana" w:cs="Arial"/>
          <w:lang w:bidi="es-ES"/>
        </w:rPr>
      </w:pPr>
      <w:r w:rsidRPr="00E922F2">
        <w:rPr>
          <w:rFonts w:ascii="Verdana" w:eastAsia="Calibri" w:hAnsi="Verdana" w:cs="Arial"/>
          <w:lang w:bidi="es-ES"/>
        </w:rPr>
        <w:lastRenderedPageBreak/>
        <w:t xml:space="preserve">Por este motivo, se </w:t>
      </w:r>
      <w:r>
        <w:rPr>
          <w:rFonts w:ascii="Verdana" w:eastAsia="Calibri" w:hAnsi="Verdana" w:cs="Arial"/>
          <w:lang w:bidi="es-ES"/>
        </w:rPr>
        <w:t xml:space="preserve">ha </w:t>
      </w:r>
      <w:r w:rsidRPr="00E922F2">
        <w:rPr>
          <w:rFonts w:ascii="Verdana" w:eastAsia="Calibri" w:hAnsi="Verdana" w:cs="Arial"/>
          <w:lang w:bidi="es-ES"/>
        </w:rPr>
        <w:t>argumenta</w:t>
      </w:r>
      <w:r>
        <w:rPr>
          <w:rFonts w:ascii="Verdana" w:eastAsia="Calibri" w:hAnsi="Verdana" w:cs="Arial"/>
          <w:lang w:bidi="es-ES"/>
        </w:rPr>
        <w:t>do</w:t>
      </w:r>
      <w:r w:rsidRPr="00E922F2">
        <w:rPr>
          <w:rFonts w:ascii="Verdana" w:eastAsia="Calibri" w:hAnsi="Verdana" w:cs="Arial"/>
          <w:lang w:bidi="es-ES"/>
        </w:rPr>
        <w:t xml:space="preserve">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922F2">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922F2">
        <w:rPr>
          <w:rFonts w:ascii="Verdana" w:eastAsia="Arial" w:hAnsi="Verdana" w:cs="Arial"/>
          <w:vertAlign w:val="superscript"/>
          <w:lang w:val="es-ES" w:eastAsia="es-ES" w:bidi="es-ES"/>
        </w:rPr>
        <w:footnoteReference w:id="12"/>
      </w:r>
      <w:r w:rsidRPr="00E922F2">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922F2">
        <w:rPr>
          <w:rFonts w:ascii="Verdana" w:eastAsia="Arial" w:hAnsi="Verdana" w:cs="Arial"/>
          <w:vertAlign w:val="superscript"/>
          <w:lang w:val="es-ES" w:eastAsia="es-ES" w:bidi="es-ES"/>
        </w:rPr>
        <w:footnoteReference w:id="13"/>
      </w:r>
      <w:r w:rsidRPr="00E922F2">
        <w:rPr>
          <w:rFonts w:ascii="Verdana" w:eastAsia="Arial" w:hAnsi="Verdana" w:cs="Arial"/>
          <w:lang w:val="es-ES" w:eastAsia="es-ES" w:bidi="es-ES"/>
        </w:rPr>
        <w:t>.</w:t>
      </w:r>
    </w:p>
    <w:p w14:paraId="5913CD93" w14:textId="77777777" w:rsidR="00761018" w:rsidRPr="005F73B4" w:rsidRDefault="00761018" w:rsidP="00761018">
      <w:pPr>
        <w:widowControl w:val="0"/>
        <w:autoSpaceDE w:val="0"/>
        <w:autoSpaceDN w:val="0"/>
        <w:spacing w:after="0" w:line="276" w:lineRule="auto"/>
        <w:ind w:firstLine="709"/>
        <w:contextualSpacing/>
        <w:jc w:val="both"/>
        <w:rPr>
          <w:rFonts w:ascii="Verdana" w:eastAsia="Arial" w:hAnsi="Verdana" w:cs="Arial"/>
          <w:lang w:val="es-ES" w:eastAsia="es-ES" w:bidi="es-ES"/>
        </w:rPr>
      </w:pPr>
      <w:r>
        <w:rPr>
          <w:rFonts w:ascii="Verdana" w:eastAsia="Calibri" w:hAnsi="Verdana" w:cs="Arial"/>
          <w:lang w:val="es-ES" w:bidi="es-ES"/>
        </w:rPr>
        <w:t>En la misma línea</w:t>
      </w:r>
      <w:r w:rsidRPr="005F73B4">
        <w:rPr>
          <w:rFonts w:ascii="Verdana" w:eastAsia="Calibri" w:hAnsi="Verdana" w:cs="Arial"/>
          <w:lang w:val="es-ES" w:bidi="es-ES"/>
        </w:rPr>
        <w:t>, en la Circular Externa</w:t>
      </w:r>
      <w:r w:rsidRPr="005F73B4">
        <w:rPr>
          <w:rFonts w:ascii="Verdana" w:eastAsia="Arial" w:hAnsi="Verdana" w:cs="Arial"/>
          <w:lang w:val="es-ES" w:eastAsia="es-ES" w:bidi="es-ES"/>
        </w:rPr>
        <w:t xml:space="preserve"> Única de </w:t>
      </w:r>
      <w:r>
        <w:rPr>
          <w:rFonts w:ascii="Verdana" w:eastAsia="Arial" w:hAnsi="Verdana" w:cs="Arial"/>
          <w:lang w:val="es-ES" w:eastAsia="es-ES" w:bidi="es-ES"/>
        </w:rPr>
        <w:t xml:space="preserve">la Agencia Nacional de Contratación Pública – </w:t>
      </w:r>
      <w:r w:rsidRPr="005F73B4">
        <w:rPr>
          <w:rFonts w:ascii="Verdana" w:eastAsia="Arial" w:hAnsi="Verdana" w:cs="Arial"/>
          <w:lang w:val="es-ES" w:eastAsia="es-ES" w:bidi="es-ES"/>
        </w:rPr>
        <w:t>Colombia</w:t>
      </w:r>
      <w:r>
        <w:rPr>
          <w:rFonts w:ascii="Verdana" w:eastAsia="Arial" w:hAnsi="Verdana" w:cs="Arial"/>
          <w:lang w:val="es-ES" w:eastAsia="es-ES" w:bidi="es-ES"/>
        </w:rPr>
        <w:t xml:space="preserve"> </w:t>
      </w:r>
      <w:r w:rsidRPr="005F73B4">
        <w:rPr>
          <w:rFonts w:ascii="Verdana" w:eastAsia="Arial" w:hAnsi="Verdana" w:cs="Arial"/>
          <w:lang w:val="es-ES" w:eastAsia="es-ES" w:bidi="es-ES"/>
        </w:rPr>
        <w:t>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67C25A2A" w14:textId="77777777" w:rsidR="00761018" w:rsidRPr="005F73B4" w:rsidRDefault="00761018" w:rsidP="00761018">
      <w:pPr>
        <w:widowControl w:val="0"/>
        <w:autoSpaceDE w:val="0"/>
        <w:autoSpaceDN w:val="0"/>
        <w:spacing w:after="0" w:line="276" w:lineRule="auto"/>
        <w:contextualSpacing/>
        <w:jc w:val="both"/>
        <w:rPr>
          <w:rFonts w:ascii="Verdana" w:eastAsia="Arial" w:hAnsi="Verdana" w:cs="Arial"/>
          <w:lang w:val="es-ES" w:eastAsia="es-ES" w:bidi="es-ES"/>
        </w:rPr>
      </w:pPr>
    </w:p>
    <w:p w14:paraId="2609EE54" w14:textId="77777777" w:rsidR="00761018" w:rsidRPr="005F73B4" w:rsidRDefault="00761018" w:rsidP="00761018">
      <w:pPr>
        <w:spacing w:after="0" w:line="240" w:lineRule="auto"/>
        <w:ind w:left="709" w:right="709"/>
        <w:jc w:val="both"/>
        <w:rPr>
          <w:rFonts w:ascii="Verdana" w:eastAsia="Calibri" w:hAnsi="Verdana" w:cs="Arial"/>
          <w:sz w:val="20"/>
          <w:szCs w:val="20"/>
          <w:lang w:val="es-MX"/>
        </w:rPr>
      </w:pPr>
      <w:r w:rsidRPr="005F73B4">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5F73B4">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6608C3A9" w14:textId="77777777" w:rsidR="00761018" w:rsidRPr="005F73B4" w:rsidRDefault="00761018" w:rsidP="00761018">
      <w:pPr>
        <w:spacing w:after="0" w:line="240" w:lineRule="auto"/>
        <w:ind w:left="709" w:right="709"/>
        <w:jc w:val="both"/>
        <w:rPr>
          <w:rFonts w:ascii="Verdana" w:eastAsia="Calibri" w:hAnsi="Verdana" w:cs="Arial"/>
          <w:sz w:val="20"/>
          <w:szCs w:val="20"/>
          <w:lang w:val="es-MX"/>
        </w:rPr>
      </w:pPr>
    </w:p>
    <w:p w14:paraId="79471E9B" w14:textId="77777777" w:rsidR="00761018" w:rsidRPr="005F73B4" w:rsidRDefault="00761018" w:rsidP="00761018">
      <w:pPr>
        <w:spacing w:after="0" w:line="240" w:lineRule="auto"/>
        <w:ind w:left="709" w:right="709"/>
        <w:jc w:val="both"/>
        <w:rPr>
          <w:rFonts w:ascii="Verdana" w:eastAsia="Calibri" w:hAnsi="Verdana" w:cs="Arial"/>
          <w:sz w:val="20"/>
          <w:szCs w:val="20"/>
          <w:lang w:val="es-MX"/>
        </w:rPr>
      </w:pPr>
      <w:r w:rsidRPr="005F73B4">
        <w:rPr>
          <w:rFonts w:ascii="Verdana" w:eastAsia="Calibri" w:hAnsi="Verdana" w:cs="Arial"/>
          <w:sz w:val="20"/>
          <w:szCs w:val="20"/>
          <w:lang w:val="es-MX"/>
        </w:rPr>
        <w:lastRenderedPageBreak/>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386E15F2" w14:textId="77777777" w:rsidR="00761018" w:rsidRPr="005F73B4" w:rsidRDefault="00761018" w:rsidP="00761018">
      <w:pPr>
        <w:spacing w:after="0" w:line="240" w:lineRule="auto"/>
        <w:ind w:left="709" w:right="709"/>
        <w:jc w:val="both"/>
        <w:rPr>
          <w:rFonts w:ascii="Verdana" w:eastAsia="Calibri" w:hAnsi="Verdana" w:cs="Arial"/>
          <w:sz w:val="20"/>
          <w:szCs w:val="20"/>
          <w:lang w:val="es-MX"/>
        </w:rPr>
      </w:pPr>
    </w:p>
    <w:p w14:paraId="724CC5A5" w14:textId="77777777" w:rsidR="00761018" w:rsidRPr="005F73B4" w:rsidRDefault="00761018" w:rsidP="00761018">
      <w:pPr>
        <w:spacing w:after="0" w:line="240" w:lineRule="auto"/>
        <w:ind w:left="709" w:right="709"/>
        <w:jc w:val="both"/>
        <w:rPr>
          <w:rFonts w:ascii="Verdana" w:eastAsia="Calibri" w:hAnsi="Verdana" w:cs="Arial"/>
          <w:sz w:val="20"/>
          <w:szCs w:val="20"/>
          <w:lang w:val="es-MX"/>
        </w:rPr>
      </w:pPr>
      <w:bookmarkStart w:id="18" w:name="_Hlk193459059"/>
      <w:r w:rsidRPr="005F73B4">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w:t>
      </w:r>
      <w:bookmarkEnd w:id="18"/>
      <w:r w:rsidRPr="005F73B4">
        <w:rPr>
          <w:rFonts w:ascii="Verdana" w:eastAsia="Calibri" w:hAnsi="Verdana" w:cs="Arial"/>
          <w:sz w:val="20"/>
          <w:szCs w:val="20"/>
          <w:lang w:val="es-MX"/>
        </w:rPr>
        <w:t>o”.</w:t>
      </w:r>
    </w:p>
    <w:p w14:paraId="064737E4" w14:textId="77777777" w:rsidR="00761018" w:rsidRPr="005F73B4" w:rsidRDefault="00761018" w:rsidP="00761018">
      <w:pPr>
        <w:widowControl w:val="0"/>
        <w:autoSpaceDE w:val="0"/>
        <w:autoSpaceDN w:val="0"/>
        <w:spacing w:after="0" w:line="276" w:lineRule="auto"/>
        <w:jc w:val="both"/>
        <w:rPr>
          <w:rFonts w:ascii="Verdana" w:eastAsia="Arial" w:hAnsi="Verdana" w:cs="Arial"/>
          <w:lang w:val="es-ES" w:eastAsia="es-ES" w:bidi="es-ES"/>
        </w:rPr>
      </w:pPr>
    </w:p>
    <w:p w14:paraId="7537DD7F" w14:textId="77777777" w:rsidR="00761018" w:rsidRPr="005F73B4" w:rsidRDefault="00761018" w:rsidP="00761018">
      <w:pPr>
        <w:spacing w:after="120" w:line="276" w:lineRule="auto"/>
        <w:ind w:firstLine="709"/>
        <w:jc w:val="both"/>
        <w:rPr>
          <w:rFonts w:ascii="Verdana" w:eastAsia="Arial" w:hAnsi="Verdana" w:cs="Arial"/>
          <w:lang w:val="es-MX" w:eastAsia="es-ES" w:bidi="es-ES"/>
        </w:rPr>
      </w:pPr>
      <w:r w:rsidRPr="005F73B4">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5F73B4">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7B394FC3" w14:textId="77777777" w:rsidR="00761018" w:rsidRPr="0008750E" w:rsidRDefault="00761018" w:rsidP="00761018">
      <w:pPr>
        <w:spacing w:after="0" w:line="276" w:lineRule="auto"/>
        <w:ind w:firstLine="709"/>
        <w:jc w:val="both"/>
        <w:rPr>
          <w:rFonts w:ascii="Verdana" w:hAnsi="Verdana"/>
        </w:rPr>
      </w:pPr>
      <w:r>
        <w:rPr>
          <w:rFonts w:ascii="Verdana" w:eastAsia="Arial" w:hAnsi="Verdana" w:cs="Arial"/>
          <w:lang w:val="es-MX" w:eastAsia="es-ES" w:bidi="es-ES"/>
        </w:rPr>
        <w:t>Sin perjuicio de lo expuesto</w:t>
      </w:r>
      <w:r w:rsidRPr="005F73B4">
        <w:rPr>
          <w:rFonts w:ascii="Verdana" w:eastAsia="Arial" w:hAnsi="Verdana" w:cs="Arial"/>
          <w:lang w:val="es-MX" w:eastAsia="es-ES" w:bidi="es-ES"/>
        </w:rPr>
        <w:t xml:space="preserve">, conviene señalar que, mediante auto de 4 de octubre del 2024, el Consejo de Estado, Sección Tercera, decretó medida de suspensión provisional parcial del </w:t>
      </w:r>
      <w:r w:rsidRPr="005F73B4">
        <w:rPr>
          <w:rFonts w:ascii="Verdana" w:hAnsi="Verdana"/>
        </w:rPr>
        <w:t>numeral 16.2 de la Circular Externa Única de 2022 expedida por la Agencia Nacional de Contratación Pública -Colombia Compra Eficiente-, concretamente, respecto de los siguientes apartes normativos</w:t>
      </w:r>
      <w:r w:rsidRPr="005F73B4">
        <w:rPr>
          <w:rFonts w:ascii="Verdana" w:hAnsi="Verdana"/>
          <w:vertAlign w:val="superscript"/>
        </w:rPr>
        <w:footnoteReference w:id="14"/>
      </w:r>
      <w:r w:rsidRPr="005F73B4">
        <w:rPr>
          <w:rFonts w:ascii="Verdana" w:hAnsi="Verdana"/>
        </w:rPr>
        <w:t>:</w:t>
      </w:r>
      <w:r w:rsidRPr="0008750E">
        <w:rPr>
          <w:rFonts w:ascii="Verdana" w:hAnsi="Verdana"/>
        </w:rPr>
        <w:t xml:space="preserve"> </w:t>
      </w:r>
    </w:p>
    <w:p w14:paraId="60B5EB24" w14:textId="77777777" w:rsidR="00761018" w:rsidRPr="0008750E" w:rsidRDefault="00761018" w:rsidP="00761018">
      <w:pPr>
        <w:spacing w:after="0" w:line="276" w:lineRule="auto"/>
        <w:ind w:firstLine="709"/>
        <w:jc w:val="both"/>
        <w:rPr>
          <w:rFonts w:ascii="Verdana" w:hAnsi="Verdana"/>
        </w:rPr>
      </w:pPr>
    </w:p>
    <w:p w14:paraId="3E0AB54C" w14:textId="77777777" w:rsidR="00761018" w:rsidRPr="005F73B4" w:rsidRDefault="00761018" w:rsidP="00761018">
      <w:pPr>
        <w:spacing w:after="0" w:line="240" w:lineRule="auto"/>
        <w:ind w:left="709" w:right="709"/>
        <w:jc w:val="both"/>
        <w:rPr>
          <w:rFonts w:ascii="Verdana" w:eastAsia="Calibri" w:hAnsi="Verdana" w:cs="Arial"/>
          <w:sz w:val="20"/>
          <w:szCs w:val="20"/>
        </w:rPr>
      </w:pPr>
      <w:r w:rsidRPr="005F73B4">
        <w:rPr>
          <w:rFonts w:ascii="Verdana" w:eastAsia="Calibri" w:hAnsi="Verdana" w:cs="Arial"/>
          <w:sz w:val="20"/>
          <w:szCs w:val="20"/>
          <w:lang w:val="es-MX"/>
        </w:rPr>
        <w:lastRenderedPageBreak/>
        <w:t>i)</w:t>
      </w:r>
      <w:r w:rsidRPr="005F73B4">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BD9E9B2" w14:textId="77777777" w:rsidR="00761018" w:rsidRPr="005F73B4" w:rsidRDefault="00761018" w:rsidP="00761018">
      <w:pPr>
        <w:spacing w:after="0" w:line="240" w:lineRule="auto"/>
        <w:ind w:left="709" w:right="709"/>
        <w:jc w:val="both"/>
        <w:rPr>
          <w:rFonts w:ascii="Verdana" w:eastAsia="Calibri" w:hAnsi="Verdana" w:cs="Arial"/>
          <w:sz w:val="20"/>
          <w:szCs w:val="20"/>
        </w:rPr>
      </w:pPr>
    </w:p>
    <w:p w14:paraId="31E71746" w14:textId="77777777" w:rsidR="00761018" w:rsidRPr="005F73B4" w:rsidRDefault="00761018" w:rsidP="00761018">
      <w:pPr>
        <w:spacing w:after="0" w:line="240" w:lineRule="auto"/>
        <w:ind w:left="709" w:right="709"/>
        <w:jc w:val="both"/>
        <w:rPr>
          <w:rFonts w:ascii="Verdana" w:hAnsi="Verdana"/>
          <w:sz w:val="20"/>
          <w:szCs w:val="20"/>
        </w:rPr>
      </w:pPr>
      <w:proofErr w:type="spellStart"/>
      <w:r w:rsidRPr="005F73B4">
        <w:rPr>
          <w:rFonts w:ascii="Verdana" w:hAnsi="Verdana"/>
          <w:sz w:val="20"/>
          <w:szCs w:val="20"/>
        </w:rPr>
        <w:t>ii</w:t>
      </w:r>
      <w:proofErr w:type="spellEnd"/>
      <w:r w:rsidRPr="005F73B4">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0974A875" w14:textId="77777777" w:rsidR="00761018" w:rsidRPr="005F73B4" w:rsidRDefault="00761018" w:rsidP="00761018">
      <w:pPr>
        <w:spacing w:after="0" w:line="276" w:lineRule="auto"/>
        <w:ind w:left="709" w:right="709"/>
        <w:jc w:val="both"/>
        <w:rPr>
          <w:rFonts w:ascii="Verdana" w:hAnsi="Verdana"/>
        </w:rPr>
      </w:pPr>
    </w:p>
    <w:p w14:paraId="5B6F43AE" w14:textId="77777777" w:rsidR="00761018" w:rsidRPr="005F73B4" w:rsidRDefault="00761018" w:rsidP="00761018">
      <w:pPr>
        <w:spacing w:after="120" w:line="276" w:lineRule="auto"/>
        <w:ind w:firstLine="709"/>
        <w:jc w:val="both"/>
        <w:rPr>
          <w:rFonts w:ascii="Verdana" w:eastAsia="Arial" w:hAnsi="Verdana" w:cs="Arial"/>
          <w:i/>
          <w:iCs/>
          <w:lang w:val="es-MX" w:eastAsia="es-ES" w:bidi="es-ES"/>
        </w:rPr>
      </w:pPr>
      <w:r w:rsidRPr="005F73B4">
        <w:rPr>
          <w:rFonts w:ascii="Verdana" w:eastAsia="Arial" w:hAnsi="Verdana" w:cs="Arial"/>
          <w:lang w:val="es-MX" w:eastAsia="es-ES" w:bidi="es-ES"/>
        </w:rPr>
        <w:t xml:space="preserve">De conformidad con los argumentos de dicha providencia, se parte de la distinción entre los conceptos </w:t>
      </w:r>
      <w:r w:rsidRPr="005F73B4">
        <w:rPr>
          <w:rFonts w:ascii="Verdana" w:eastAsia="Arial" w:hAnsi="Verdana" w:cs="Arial"/>
          <w:lang w:eastAsia="es-ES" w:bidi="es-ES"/>
        </w:rPr>
        <w:t xml:space="preserve">de “convenio” y “contrato” interadministrativos, </w:t>
      </w:r>
      <w:r>
        <w:rPr>
          <w:rFonts w:ascii="Verdana" w:eastAsia="Arial" w:hAnsi="Verdana" w:cs="Arial"/>
          <w:lang w:eastAsia="es-ES" w:bidi="es-ES"/>
        </w:rPr>
        <w:t>diferenciándolos en cuanto a</w:t>
      </w:r>
      <w:r w:rsidRPr="005F73B4">
        <w:rPr>
          <w:rFonts w:ascii="Verdana" w:eastAsia="Arial" w:hAnsi="Verdana" w:cs="Arial"/>
          <w:lang w:eastAsia="es-ES" w:bidi="es-ES"/>
        </w:rPr>
        <w:t xml:space="preserve"> su naturaleza, contenido y alcance</w:t>
      </w:r>
      <w:r>
        <w:rPr>
          <w:rFonts w:ascii="Verdana" w:eastAsia="Arial" w:hAnsi="Verdana" w:cs="Arial"/>
          <w:lang w:eastAsia="es-ES" w:bidi="es-ES"/>
        </w:rPr>
        <w:t xml:space="preserve">. Esta distinción </w:t>
      </w:r>
      <w:r w:rsidRPr="005F73B4">
        <w:rPr>
          <w:rFonts w:ascii="Verdana" w:eastAsia="Arial" w:hAnsi="Verdana" w:cs="Arial"/>
          <w:lang w:eastAsia="es-ES" w:bidi="es-ES"/>
        </w:rPr>
        <w:t xml:space="preserve">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5F73B4">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5F73B4">
        <w:rPr>
          <w:rFonts w:ascii="Verdana" w:eastAsia="Arial" w:hAnsi="Verdana" w:cs="Arial"/>
          <w:lang w:eastAsia="es-ES" w:bidi="es-ES"/>
        </w:rPr>
        <w:t xml:space="preserve">Por tal motivo, para efectos de decretar la medida de suspensión provisional de los apartes señalados del numeral </w:t>
      </w:r>
      <w:bookmarkStart w:id="19" w:name="_Hlk192497089"/>
      <w:r w:rsidRPr="005F73B4">
        <w:rPr>
          <w:rFonts w:ascii="Verdana" w:eastAsia="Arial" w:hAnsi="Verdana" w:cs="Arial"/>
          <w:lang w:eastAsia="es-ES" w:bidi="es-ES"/>
        </w:rPr>
        <w:t>16.2 de la Circular Externa Única</w:t>
      </w:r>
      <w:bookmarkEnd w:id="19"/>
      <w:r w:rsidRPr="005F73B4">
        <w:rPr>
          <w:rFonts w:ascii="Verdana" w:eastAsia="Arial" w:hAnsi="Verdana" w:cs="Arial"/>
          <w:lang w:eastAsia="es-ES" w:bidi="es-ES"/>
        </w:rPr>
        <w:t xml:space="preserve">, argumentó que </w:t>
      </w:r>
      <w:r w:rsidRPr="005F73B4">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684465F" w14:textId="77777777" w:rsidR="00761018" w:rsidRPr="005F73B4" w:rsidRDefault="00761018" w:rsidP="00761018">
      <w:pPr>
        <w:spacing w:after="120" w:line="276" w:lineRule="auto"/>
        <w:ind w:firstLine="709"/>
        <w:jc w:val="both"/>
        <w:rPr>
          <w:rFonts w:ascii="Verdana" w:eastAsia="Calibri" w:hAnsi="Verdana" w:cs="Arial"/>
          <w:lang w:val="es-MX"/>
        </w:rPr>
      </w:pPr>
      <w:r w:rsidRPr="005F73B4">
        <w:rPr>
          <w:rFonts w:ascii="Verdana" w:eastAsia="Arial" w:hAnsi="Verdana" w:cs="Arial"/>
          <w:lang w:val="es-MX" w:eastAsia="es-ES" w:bidi="es-ES"/>
        </w:rPr>
        <w:t xml:space="preserve">Bajo este contexto, esta Agencia </w:t>
      </w:r>
      <w:r>
        <w:rPr>
          <w:rFonts w:ascii="Verdana" w:eastAsia="Arial" w:hAnsi="Verdana" w:cs="Arial"/>
          <w:lang w:val="es-MX" w:eastAsia="es-ES" w:bidi="es-ES"/>
        </w:rPr>
        <w:t>considera necesario manifestar</w:t>
      </w:r>
      <w:r w:rsidRPr="005F73B4">
        <w:rPr>
          <w:rFonts w:ascii="Verdana" w:eastAsia="Arial" w:hAnsi="Verdana" w:cs="Arial"/>
          <w:lang w:val="es-MX" w:eastAsia="es-ES" w:bidi="es-ES"/>
        </w:rPr>
        <w:t xml:space="preserve"> que, si bien respeta y acata las decisiones proferidas por el Consejo de Estado, como es el caso del auto de suspensión provisional parcial del numeral </w:t>
      </w:r>
      <w:r w:rsidRPr="005F73B4">
        <w:rPr>
          <w:rFonts w:ascii="Verdana" w:eastAsia="Arial" w:hAnsi="Verdana" w:cs="Arial"/>
          <w:lang w:eastAsia="es-ES" w:bidi="es-ES"/>
        </w:rPr>
        <w:t>16.2 de la Circular Externa Única</w:t>
      </w:r>
      <w:r w:rsidRPr="005F73B4">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w:t>
      </w:r>
      <w:r w:rsidRPr="005F73B4">
        <w:rPr>
          <w:rFonts w:ascii="Verdana" w:eastAsia="Arial" w:hAnsi="Verdana" w:cs="Arial"/>
          <w:lang w:val="es-MX" w:eastAsia="es-ES" w:bidi="es-ES"/>
        </w:rPr>
        <w:lastRenderedPageBreak/>
        <w:t xml:space="preserve">interadministrativos deja sin efecto el propósito buscado por la norma, que no es otro que </w:t>
      </w:r>
      <w:r w:rsidRPr="005F73B4">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5F73B4">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2B8C9463" w14:textId="77777777" w:rsidR="00761018" w:rsidRPr="005F73B4" w:rsidRDefault="00761018" w:rsidP="00761018">
      <w:pPr>
        <w:spacing w:after="0" w:line="276" w:lineRule="auto"/>
        <w:ind w:firstLine="709"/>
        <w:jc w:val="both"/>
        <w:rPr>
          <w:rFonts w:ascii="Verdana" w:eastAsia="Arial" w:hAnsi="Verdana" w:cs="Arial"/>
          <w:lang w:val="es-MX" w:eastAsia="es-ES" w:bidi="es-ES"/>
        </w:rPr>
      </w:pPr>
      <w:r w:rsidRPr="005F73B4">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5F73B4">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5F73B4">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4B2566B1" w14:textId="77777777" w:rsidR="00761018" w:rsidRPr="005F73B4" w:rsidRDefault="00761018" w:rsidP="00761018">
      <w:pPr>
        <w:widowControl w:val="0"/>
        <w:autoSpaceDE w:val="0"/>
        <w:autoSpaceDN w:val="0"/>
        <w:spacing w:after="0" w:line="276" w:lineRule="auto"/>
        <w:contextualSpacing/>
        <w:jc w:val="both"/>
        <w:rPr>
          <w:rFonts w:ascii="Verdana" w:eastAsia="Calibri" w:hAnsi="Verdana" w:cs="Arial"/>
          <w:lang w:eastAsia="es-ES" w:bidi="es-ES"/>
        </w:rPr>
      </w:pPr>
    </w:p>
    <w:p w14:paraId="74E16E23" w14:textId="77777777" w:rsidR="00761018" w:rsidRPr="005F73B4" w:rsidRDefault="00761018" w:rsidP="00761018">
      <w:pPr>
        <w:widowControl w:val="0"/>
        <w:autoSpaceDE w:val="0"/>
        <w:autoSpaceDN w:val="0"/>
        <w:spacing w:after="120" w:line="276" w:lineRule="auto"/>
        <w:jc w:val="both"/>
        <w:rPr>
          <w:rFonts w:ascii="Verdana" w:eastAsia="Calibri" w:hAnsi="Verdana" w:cs="Arial"/>
          <w:lang w:eastAsia="es-ES" w:bidi="es-ES"/>
        </w:rPr>
      </w:pPr>
      <w:proofErr w:type="spellStart"/>
      <w:r w:rsidRPr="005F73B4">
        <w:rPr>
          <w:rFonts w:ascii="Verdana" w:eastAsia="Calibri" w:hAnsi="Verdana" w:cs="Arial"/>
          <w:bCs/>
          <w:lang w:eastAsia="es-ES" w:bidi="es-ES"/>
        </w:rPr>
        <w:t>ii</w:t>
      </w:r>
      <w:proofErr w:type="spellEnd"/>
      <w:r w:rsidRPr="005F73B4">
        <w:rPr>
          <w:rFonts w:ascii="Verdana" w:eastAsia="Calibri" w:hAnsi="Verdana" w:cs="Arial"/>
          <w:bCs/>
          <w:lang w:eastAsia="es-ES" w:bidi="es-ES"/>
        </w:rPr>
        <w:t xml:space="preserve">) Hecha la aclaración precedente se tiene que, </w:t>
      </w:r>
      <w:bookmarkStart w:id="20" w:name="_Hlk140574556"/>
      <w:r>
        <w:rPr>
          <w:rFonts w:ascii="Verdana" w:eastAsia="Calibri" w:hAnsi="Verdana" w:cs="Arial"/>
          <w:bCs/>
          <w:lang w:eastAsia="es-ES" w:bidi="es-ES"/>
        </w:rPr>
        <w:t>en relación con</w:t>
      </w:r>
      <w:r w:rsidRPr="005F73B4">
        <w:rPr>
          <w:rFonts w:ascii="Verdana" w:eastAsia="Calibri" w:hAnsi="Verdana" w:cs="Arial"/>
          <w:bCs/>
          <w:lang w:eastAsia="es-ES" w:bidi="es-ES"/>
        </w:rPr>
        <w:t xml:space="preserve"> </w:t>
      </w:r>
      <w:r>
        <w:rPr>
          <w:rFonts w:ascii="Verdana" w:eastAsia="Calibri" w:hAnsi="Verdana" w:cs="Arial"/>
          <w:bCs/>
          <w:lang w:eastAsia="es-ES" w:bidi="es-ES"/>
        </w:rPr>
        <w:t>e</w:t>
      </w:r>
      <w:r w:rsidRPr="005F73B4">
        <w:rPr>
          <w:rFonts w:ascii="Verdana" w:eastAsia="Calibri" w:hAnsi="Verdana" w:cs="Arial"/>
          <w:bCs/>
          <w:lang w:eastAsia="es-ES" w:bidi="es-ES"/>
        </w:rPr>
        <w:t>l alcance y ámbito de aplicación de los convenios solidarios</w:t>
      </w:r>
      <w:bookmarkEnd w:id="20"/>
      <w:r>
        <w:rPr>
          <w:rFonts w:ascii="Verdana" w:eastAsia="Calibri" w:hAnsi="Verdana" w:cs="Arial"/>
          <w:bCs/>
          <w:lang w:eastAsia="es-ES" w:bidi="es-ES"/>
        </w:rPr>
        <w:t xml:space="preserve"> con Organismos de Acción Comunal, los cuales se fundamentan en la</w:t>
      </w:r>
      <w:r w:rsidRPr="00FD6B09">
        <w:rPr>
          <w:rFonts w:ascii="Verdana" w:eastAsia="Calibri" w:hAnsi="Verdana" w:cs="Arial"/>
          <w:bCs/>
          <w:lang w:eastAsia="es-ES" w:bidi="es-ES"/>
        </w:rPr>
        <w:t xml:space="preserve"> Ley 2166 de 2021 “por la cual se desarrolla el artículo 38 de la Constitución Política de Colombia en lo referente a los Organismos de Acción Comunal”. En su artículo</w:t>
      </w:r>
      <w:r>
        <w:rPr>
          <w:rFonts w:ascii="Verdana" w:eastAsia="Calibri" w:hAnsi="Verdana" w:cs="Arial"/>
          <w:bCs/>
          <w:lang w:eastAsia="es-ES" w:bidi="es-ES"/>
        </w:rPr>
        <w:t xml:space="preserve"> </w:t>
      </w:r>
      <w:r w:rsidRPr="00FD6B09">
        <w:rPr>
          <w:rFonts w:ascii="Verdana" w:eastAsia="Calibri" w:hAnsi="Verdana" w:cs="Arial"/>
          <w:bCs/>
          <w:lang w:eastAsia="es-ES" w:bidi="es-ES"/>
        </w:rPr>
        <w:t>95 contempla la celebración directa de convenios solidarios para ejecutar obras hasta por la menor cuantía entre Organismos</w:t>
      </w:r>
      <w:r>
        <w:rPr>
          <w:rFonts w:ascii="Verdana" w:eastAsia="Calibri" w:hAnsi="Verdana" w:cs="Arial"/>
          <w:bCs/>
          <w:lang w:eastAsia="es-ES" w:bidi="es-ES"/>
        </w:rPr>
        <w:t xml:space="preserve"> </w:t>
      </w:r>
      <w:r w:rsidRPr="00FD6B09">
        <w:rPr>
          <w:rFonts w:ascii="Verdana" w:eastAsia="Calibri" w:hAnsi="Verdana" w:cs="Arial"/>
          <w:bCs/>
          <w:lang w:eastAsia="es-ES" w:bidi="es-ES"/>
        </w:rPr>
        <w:t>de Acción Comunal y los entes del orden Nacional, Departamental, Distrital y municipal</w:t>
      </w:r>
      <w:r>
        <w:rPr>
          <w:rStyle w:val="Refdenotaalpie"/>
          <w:rFonts w:ascii="Verdana" w:eastAsia="Calibri" w:hAnsi="Verdana" w:cs="Arial"/>
          <w:bCs/>
          <w:lang w:eastAsia="es-ES" w:bidi="es-ES"/>
        </w:rPr>
        <w:footnoteReference w:id="15"/>
      </w:r>
      <w:r>
        <w:rPr>
          <w:rFonts w:ascii="Verdana" w:eastAsia="Calibri" w:hAnsi="Verdana" w:cs="Arial"/>
          <w:bCs/>
          <w:lang w:eastAsia="es-ES" w:bidi="es-ES"/>
        </w:rPr>
        <w:t xml:space="preserve">. </w:t>
      </w:r>
    </w:p>
    <w:p w14:paraId="074B2CC1" w14:textId="77777777" w:rsidR="00761018" w:rsidRDefault="00761018" w:rsidP="00761018">
      <w:pPr>
        <w:spacing w:after="120" w:line="276" w:lineRule="auto"/>
        <w:ind w:firstLine="709"/>
        <w:jc w:val="both"/>
        <w:rPr>
          <w:rFonts w:ascii="Verdana" w:eastAsia="Calibri" w:hAnsi="Verdana" w:cs="Arial"/>
          <w:color w:val="000000" w:themeColor="text1"/>
          <w:lang w:val="es-ES"/>
        </w:rPr>
      </w:pPr>
      <w:r w:rsidRPr="005C47C3">
        <w:rPr>
          <w:rFonts w:ascii="Verdana" w:eastAsia="Calibri" w:hAnsi="Verdana" w:cs="Arial"/>
          <w:color w:val="000000" w:themeColor="text1"/>
        </w:rPr>
        <w:t xml:space="preserve">De acuerdo con esta norma, las entidades estatales deberán tener en cuenta las siguientes reglas para la suscripción de los convenios solidarios bajo este régimen: (i) Estos convenios solidarios se deben suscribir entre sujetos específicos: por una parte, entidades que sean del orden Nacional, </w:t>
      </w:r>
      <w:r w:rsidRPr="005C47C3">
        <w:rPr>
          <w:rFonts w:ascii="Verdana" w:eastAsia="Calibri" w:hAnsi="Verdana" w:cs="Arial"/>
          <w:color w:val="000000" w:themeColor="text1"/>
        </w:rPr>
        <w:lastRenderedPageBreak/>
        <w:t>Departamental, Distrital y/o municipal, y por el otro, los Organismos de Acción Comunal. Dichas entidades pueden celebrar estos convenios con cualquiera de los Organismos de Acción Comunal que se encuentran enlistados en el artículo 7 de la Ley 2166 de 2021, es decir, con las juntas de acción comunal y juntas de vivienda comunal, las asociaciones de juntas de acción comunal, la federación de acción comunal y la confederación nacional de acción comunal. (</w:t>
      </w:r>
      <w:proofErr w:type="spellStart"/>
      <w:r w:rsidRPr="005C47C3">
        <w:rPr>
          <w:rFonts w:ascii="Verdana" w:eastAsia="Calibri" w:hAnsi="Verdana" w:cs="Arial"/>
          <w:color w:val="000000" w:themeColor="text1"/>
        </w:rPr>
        <w:t>ii</w:t>
      </w:r>
      <w:proofErr w:type="spellEnd"/>
      <w:r w:rsidRPr="005C47C3">
        <w:rPr>
          <w:rFonts w:ascii="Verdana" w:eastAsia="Calibri" w:hAnsi="Verdana" w:cs="Arial"/>
          <w:color w:val="000000" w:themeColor="text1"/>
        </w:rPr>
        <w:t>) El objeto de estos convenios solidarios únicamente puede ser la ejecución de obras, sin importar su tipo. (</w:t>
      </w:r>
      <w:proofErr w:type="spellStart"/>
      <w:r w:rsidRPr="005C47C3">
        <w:rPr>
          <w:rFonts w:ascii="Verdana" w:eastAsia="Calibri" w:hAnsi="Verdana" w:cs="Arial"/>
          <w:color w:val="000000" w:themeColor="text1"/>
        </w:rPr>
        <w:t>iii</w:t>
      </w:r>
      <w:proofErr w:type="spellEnd"/>
      <w:r w:rsidRPr="005C47C3">
        <w:rPr>
          <w:rFonts w:ascii="Verdana" w:eastAsia="Calibri" w:hAnsi="Verdana" w:cs="Arial"/>
          <w:color w:val="000000" w:themeColor="text1"/>
        </w:rPr>
        <w:t>) El valor del convenio no puede ser superior a la menor cuantía de la entidad. Para determinar la menor cuantía de la entidad contratante, los interesados deben considerar los rangos establecidos en el literal b) del artículo 2.2 de la Ley 1150 de 2007</w:t>
      </w:r>
      <w:r>
        <w:rPr>
          <w:rStyle w:val="Refdenotaalpie"/>
          <w:rFonts w:ascii="Verdana" w:eastAsia="Calibri" w:hAnsi="Verdana" w:cs="Arial"/>
          <w:color w:val="000000" w:themeColor="text1"/>
        </w:rPr>
        <w:footnoteReference w:id="16"/>
      </w:r>
      <w:r>
        <w:rPr>
          <w:rFonts w:ascii="Verdana" w:eastAsia="Calibri" w:hAnsi="Verdana" w:cs="Arial"/>
          <w:color w:val="000000" w:themeColor="text1"/>
        </w:rPr>
        <w:t>.</w:t>
      </w:r>
    </w:p>
    <w:p w14:paraId="6A009B49" w14:textId="77777777" w:rsidR="00761018" w:rsidRPr="0008750E" w:rsidRDefault="00761018" w:rsidP="00761018">
      <w:pPr>
        <w:spacing w:after="120" w:line="276" w:lineRule="auto"/>
        <w:ind w:firstLine="708"/>
        <w:jc w:val="both"/>
        <w:rPr>
          <w:rFonts w:ascii="Verdana" w:eastAsia="Calibri" w:hAnsi="Verdana" w:cs="Arial"/>
          <w:color w:val="000000" w:themeColor="text1"/>
          <w:lang w:val="es-ES"/>
        </w:rPr>
      </w:pPr>
      <w:r w:rsidRPr="0008750E">
        <w:rPr>
          <w:rFonts w:ascii="Verdana" w:eastAsia="Calibri" w:hAnsi="Verdana" w:cs="Arial"/>
          <w:color w:val="000000" w:themeColor="text1"/>
          <w:lang w:val="es-ES"/>
        </w:rPr>
        <w:t xml:space="preserve">Asimismo, el parágrafo 2 del artículo 63 </w:t>
      </w:r>
      <w:r w:rsidRPr="0008750E">
        <w:rPr>
          <w:rFonts w:ascii="Verdana" w:eastAsia="Calibri" w:hAnsi="Verdana" w:cs="Arial"/>
          <w:i/>
          <w:iCs/>
          <w:color w:val="000000" w:themeColor="text1"/>
          <w:lang w:val="es-ES"/>
        </w:rPr>
        <w:t>ibidem</w:t>
      </w:r>
      <w:r w:rsidRPr="0008750E">
        <w:rPr>
          <w:rFonts w:ascii="Verdana" w:eastAsia="Calibri" w:hAnsi="Verdana" w:cs="Arial"/>
          <w:color w:val="000000" w:themeColor="text1"/>
          <w:lang w:val="es-ES"/>
        </w:rPr>
        <w:t xml:space="preserve"> permite la celebración de convenios solidarios entre entidades del orden nacional, departamental, distrital, local y municipal con los organismos de acción comunal</w:t>
      </w:r>
      <w:r w:rsidRPr="0008750E">
        <w:rPr>
          <w:rFonts w:ascii="Verdana" w:eastAsia="Calibri" w:hAnsi="Verdana" w:cs="Arial"/>
          <w:i/>
          <w:iCs/>
          <w:color w:val="000000" w:themeColor="text1"/>
          <w:lang w:val="es-ES"/>
        </w:rPr>
        <w:t xml:space="preserve"> </w:t>
      </w:r>
      <w:r w:rsidRPr="0008750E">
        <w:rPr>
          <w:rFonts w:ascii="Verdana" w:eastAsia="Calibri" w:hAnsi="Verdana" w:cs="Arial"/>
          <w:color w:val="000000" w:themeColor="text1"/>
          <w:lang w:val="es-ES"/>
        </w:rPr>
        <w:t>para la ejecución de proyectos incluidos en el respectivo plan nacional de desarrollo o para la ejecución de los proyectos derivados del Acuerdo Final de Paz</w:t>
      </w:r>
      <w:r w:rsidRPr="0008750E">
        <w:rPr>
          <w:rFonts w:ascii="Verdana" w:eastAsia="Calibri" w:hAnsi="Verdana" w:cs="Arial"/>
          <w:i/>
          <w:iCs/>
          <w:color w:val="000000" w:themeColor="text1"/>
          <w:lang w:val="es-ES"/>
        </w:rPr>
        <w:t>.</w:t>
      </w:r>
    </w:p>
    <w:p w14:paraId="3452420C" w14:textId="77777777" w:rsidR="00761018" w:rsidRDefault="00761018" w:rsidP="00761018">
      <w:pPr>
        <w:spacing w:after="120" w:line="276" w:lineRule="auto"/>
        <w:ind w:firstLine="709"/>
        <w:jc w:val="both"/>
        <w:rPr>
          <w:rFonts w:ascii="Verdana" w:hAnsi="Verdana" w:cs="Arial"/>
          <w:color w:val="000000" w:themeColor="text1"/>
          <w:lang w:val="es-ES" w:eastAsia="es-CO"/>
        </w:rPr>
      </w:pPr>
      <w:r w:rsidRPr="005F73B4">
        <w:rPr>
          <w:rFonts w:ascii="Verdana" w:eastAsia="Calibri" w:hAnsi="Verdana" w:cs="Arial"/>
          <w:lang w:val="es-ES" w:eastAsia="es-ES" w:bidi="es-ES"/>
        </w:rPr>
        <w:t>Bajo este contexto</w:t>
      </w:r>
      <w:r w:rsidRPr="005F73B4">
        <w:rPr>
          <w:rFonts w:ascii="Verdana" w:eastAsia="Calibri" w:hAnsi="Verdana" w:cs="Arial"/>
          <w:color w:val="000000" w:themeColor="text1"/>
        </w:rPr>
        <w:t xml:space="preserve">, y </w:t>
      </w:r>
      <w:r w:rsidRPr="005F73B4">
        <w:rPr>
          <w:rFonts w:ascii="Verdana" w:hAnsi="Verdana" w:cs="Arial"/>
          <w:color w:val="000000" w:themeColor="text1"/>
          <w:lang w:eastAsia="es-CO"/>
        </w:rPr>
        <w:t>considerando la naturaleza jurídica de las partes, los convenios</w:t>
      </w:r>
      <w:r>
        <w:rPr>
          <w:rFonts w:ascii="Verdana" w:hAnsi="Verdana" w:cs="Arial"/>
          <w:color w:val="000000" w:themeColor="text1"/>
          <w:lang w:eastAsia="es-CO"/>
        </w:rPr>
        <w:t xml:space="preserve"> solidarios</w:t>
      </w:r>
      <w:r w:rsidRPr="005F73B4">
        <w:rPr>
          <w:rFonts w:ascii="Verdana" w:hAnsi="Verdana" w:cs="Arial"/>
          <w:color w:val="000000" w:themeColor="text1"/>
          <w:lang w:eastAsia="es-CO"/>
        </w:rPr>
        <w:t xml:space="preserve"> suscritos entre entidades del orden nacional, </w:t>
      </w:r>
      <w:r w:rsidRPr="005F73B4">
        <w:rPr>
          <w:rFonts w:ascii="Verdana" w:eastAsia="Calibri" w:hAnsi="Verdana" w:cs="Arial"/>
          <w:color w:val="000000" w:themeColor="text1"/>
          <w:lang w:val="es-ES"/>
        </w:rPr>
        <w:t>departamental, distrital, local y municipal</w:t>
      </w:r>
      <w:r w:rsidRPr="005F73B4">
        <w:rPr>
          <w:rFonts w:ascii="Verdana" w:hAnsi="Verdana" w:cs="Arial"/>
          <w:color w:val="000000" w:themeColor="text1"/>
          <w:lang w:eastAsia="es-CO"/>
        </w:rPr>
        <w:t xml:space="preserve"> y Organismos de Acción Comunal </w:t>
      </w:r>
      <w:r w:rsidRPr="005F73B4">
        <w:rPr>
          <w:rFonts w:ascii="Verdana" w:hAnsi="Verdana" w:cs="Arial"/>
          <w:i/>
          <w:iCs/>
          <w:color w:val="000000" w:themeColor="text1"/>
          <w:lang w:eastAsia="es-CO"/>
        </w:rPr>
        <w:t>no se califican como contratos o convenios interadministrativos</w:t>
      </w:r>
      <w:r w:rsidRPr="005F73B4">
        <w:rPr>
          <w:rFonts w:ascii="Verdana" w:hAnsi="Verdana" w:cs="Arial"/>
          <w:color w:val="000000" w:themeColor="text1"/>
          <w:lang w:eastAsia="es-CO"/>
        </w:rPr>
        <w:t xml:space="preserve">, toda vez, que </w:t>
      </w:r>
      <w:r w:rsidRPr="005F73B4">
        <w:rPr>
          <w:rFonts w:ascii="Verdana" w:hAnsi="Verdana" w:cs="Arial"/>
          <w:color w:val="000000"/>
          <w:lang w:val="es-ES" w:eastAsia="es-CO"/>
        </w:rPr>
        <w:t>no implica una contratación entre autoridades del Estado</w:t>
      </w:r>
      <w:r>
        <w:rPr>
          <w:rFonts w:ascii="Verdana" w:hAnsi="Verdana" w:cs="Arial"/>
          <w:color w:val="000000"/>
          <w:lang w:val="es-ES" w:eastAsia="es-CO"/>
        </w:rPr>
        <w:t>,</w:t>
      </w:r>
      <w:r w:rsidRPr="005F73B4">
        <w:rPr>
          <w:rFonts w:ascii="Verdana" w:hAnsi="Verdana" w:cs="Arial"/>
          <w:color w:val="000000"/>
          <w:lang w:val="es-ES" w:eastAsia="es-CO"/>
        </w:rPr>
        <w:t xml:space="preserve"> sino un negocio jurídico entre una entidad y una persona jurídica de derecho privado</w:t>
      </w:r>
      <w:r>
        <w:rPr>
          <w:rFonts w:ascii="Verdana" w:hAnsi="Verdana" w:cs="Arial"/>
          <w:color w:val="000000" w:themeColor="text1"/>
          <w:lang w:eastAsia="es-CO"/>
        </w:rPr>
        <w:t>. E</w:t>
      </w:r>
      <w:r w:rsidRPr="005F73B4">
        <w:rPr>
          <w:rFonts w:ascii="Verdana" w:hAnsi="Verdana" w:cs="Arial"/>
          <w:color w:val="000000" w:themeColor="text1"/>
          <w:lang w:eastAsia="es-CO"/>
        </w:rPr>
        <w:t xml:space="preserve">n razón a ello </w:t>
      </w:r>
      <w:r>
        <w:rPr>
          <w:rFonts w:ascii="Verdana" w:hAnsi="Verdana" w:cs="Arial"/>
          <w:color w:val="000000" w:themeColor="text1"/>
          <w:lang w:eastAsia="es-CO"/>
        </w:rPr>
        <w:t>no</w:t>
      </w:r>
      <w:r w:rsidRPr="005F73B4">
        <w:rPr>
          <w:rFonts w:ascii="Verdana" w:hAnsi="Verdana" w:cs="Arial"/>
          <w:color w:val="000000" w:themeColor="text1"/>
          <w:lang w:eastAsia="es-CO"/>
        </w:rPr>
        <w:t xml:space="preserve"> sería aplicable la restricción establecida en el artículo 38 de la </w:t>
      </w:r>
      <w:r>
        <w:rPr>
          <w:rFonts w:ascii="Verdana" w:hAnsi="Verdana" w:cs="Arial"/>
          <w:color w:val="000000" w:themeColor="text1"/>
          <w:lang w:eastAsia="es-CO"/>
        </w:rPr>
        <w:t>L</w:t>
      </w:r>
      <w:r w:rsidRPr="005F73B4">
        <w:rPr>
          <w:rFonts w:ascii="Verdana" w:hAnsi="Verdana" w:cs="Arial"/>
          <w:color w:val="000000" w:themeColor="text1"/>
          <w:lang w:eastAsia="es-CO"/>
        </w:rPr>
        <w:t xml:space="preserve">ey 996 del 2005, puesto que la calificación de </w:t>
      </w:r>
      <w:r w:rsidRPr="005F73B4">
        <w:rPr>
          <w:rFonts w:ascii="Verdana" w:hAnsi="Verdana" w:cs="Arial"/>
          <w:color w:val="000000" w:themeColor="text1"/>
          <w:lang w:val="es-ES" w:eastAsia="es-CO"/>
        </w:rPr>
        <w:t>convenios o contratos interadministrativos está definida por un criterio orgánico, esto es, que la contratación se efectúa entre dos o más personas jurídicas de derecho público con la finalidad de cumplir, en el marco de sus objetivos misionales y sus competencias, con los fines del Estado.</w:t>
      </w:r>
    </w:p>
    <w:p w14:paraId="52BC89DE" w14:textId="77777777" w:rsidR="00761018" w:rsidRDefault="00761018" w:rsidP="00761018">
      <w:pPr>
        <w:spacing w:after="120" w:line="276" w:lineRule="auto"/>
        <w:ind w:firstLine="709"/>
        <w:jc w:val="both"/>
        <w:rPr>
          <w:rFonts w:ascii="Verdana" w:hAnsi="Verdana" w:cs="Arial"/>
          <w:color w:val="000000" w:themeColor="text1"/>
          <w:lang w:val="es-ES" w:eastAsia="es-CO"/>
        </w:rPr>
      </w:pPr>
      <w:r w:rsidRPr="1E9C870A">
        <w:rPr>
          <w:rFonts w:ascii="Verdana" w:hAnsi="Verdana" w:cs="Arial"/>
          <w:color w:val="000000" w:themeColor="text1"/>
          <w:lang w:val="es-ES" w:eastAsia="es-CO"/>
        </w:rPr>
        <w:t xml:space="preserve">No </w:t>
      </w:r>
      <w:proofErr w:type="gramStart"/>
      <w:r w:rsidRPr="1E9C870A">
        <w:rPr>
          <w:rFonts w:ascii="Verdana" w:hAnsi="Verdana" w:cs="Arial"/>
          <w:color w:val="000000" w:themeColor="text1"/>
          <w:lang w:val="es-ES" w:eastAsia="es-CO"/>
        </w:rPr>
        <w:t>obstante</w:t>
      </w:r>
      <w:proofErr w:type="gramEnd"/>
      <w:r w:rsidRPr="1E9C870A">
        <w:rPr>
          <w:rFonts w:ascii="Verdana" w:hAnsi="Verdana" w:cs="Arial"/>
          <w:color w:val="000000" w:themeColor="text1"/>
          <w:lang w:val="es-ES" w:eastAsia="es-CO"/>
        </w:rPr>
        <w:t xml:space="preserve"> lo anterior, es importante precisar que frente a las elecciones presidenciales aplica la restricción consagrada en el artículo 33 de la Ley 996 de </w:t>
      </w:r>
      <w:r w:rsidRPr="1E9C870A">
        <w:rPr>
          <w:rFonts w:ascii="Verdana" w:hAnsi="Verdana" w:cs="Arial"/>
          <w:color w:val="000000" w:themeColor="text1"/>
          <w:lang w:val="es-ES" w:eastAsia="es-CO"/>
        </w:rPr>
        <w:lastRenderedPageBreak/>
        <w:t>2005, que prohíbe la celebración de contratos de forma directa.  En ese sentido, no podría celebrarse un convenio solidario de forma directa durante los cuatro (4) meses anteriores a las elecciones de presidente de la Republica.</w:t>
      </w:r>
    </w:p>
    <w:p w14:paraId="2601FCBD" w14:textId="77777777" w:rsidR="00761018" w:rsidRPr="0008750E" w:rsidRDefault="00761018" w:rsidP="00761018">
      <w:pPr>
        <w:spacing w:after="0" w:line="276" w:lineRule="auto"/>
        <w:ind w:firstLine="709"/>
        <w:jc w:val="both"/>
        <w:rPr>
          <w:rFonts w:ascii="Verdana" w:hAnsi="Verdana" w:cs="Arial"/>
          <w:lang w:val="es-ES"/>
        </w:rPr>
      </w:pPr>
      <w:r w:rsidRPr="0008750E">
        <w:rPr>
          <w:rFonts w:ascii="Verdana" w:hAnsi="Verdana" w:cs="Arial"/>
          <w:color w:val="000000" w:themeColor="text1"/>
          <w:lang w:val="es-ES_tradnl"/>
        </w:rPr>
        <w:t xml:space="preserve">En todo caso se reitera que </w:t>
      </w:r>
      <w:r w:rsidRPr="0008750E">
        <w:rPr>
          <w:rFonts w:ascii="Verdana" w:eastAsia="Arial" w:hAnsi="Verdana" w:cs="Arial"/>
          <w:color w:val="000000"/>
        </w:rPr>
        <w:t xml:space="preserve">la Agencia, por vía consultiva, no puede definir un criterio universal y absoluto para definir o la aplicación de la ley en casos particulares, sino que brinda elementos hermenéuticos de carácter general para que los partícipes del sistema de compras y contratación pública adopten la decisión que corresponda, lo cual es acorde con el principio de juridicidad. </w:t>
      </w:r>
      <w:r w:rsidRPr="0008750E">
        <w:rPr>
          <w:rFonts w:ascii="Verdana" w:hAnsi="Verdana" w:cs="Arial"/>
          <w:lang w:val="es-ES"/>
        </w:rPr>
        <w:t>La competencia de interpretación de normas generales a cargo de Colombia Compra Eficiente, por definición, no puede extenderse a la resolución de controversias ni brindar asesorías sobre casos puntuales.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algún contrato en específico.</w:t>
      </w:r>
    </w:p>
    <w:p w14:paraId="3549B880" w14:textId="77777777" w:rsidR="00761018" w:rsidRPr="005F0BB9" w:rsidRDefault="00761018" w:rsidP="00761018">
      <w:pPr>
        <w:spacing w:after="0" w:line="276" w:lineRule="auto"/>
        <w:jc w:val="both"/>
        <w:rPr>
          <w:rFonts w:ascii="Verdana" w:hAnsi="Verdana" w:cs="Arial"/>
          <w:lang w:val="es-ES"/>
        </w:rPr>
      </w:pPr>
    </w:p>
    <w:bookmarkEnd w:id="3"/>
    <w:bookmarkEnd w:id="4"/>
    <w:p w14:paraId="6837D82B" w14:textId="77777777" w:rsidR="00761018" w:rsidRPr="001F283D" w:rsidRDefault="00761018" w:rsidP="00761018">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5"/>
    <w:p w14:paraId="416CE960" w14:textId="77777777" w:rsidR="00761018" w:rsidRPr="00593A5F" w:rsidRDefault="00761018" w:rsidP="0076101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61018" w:rsidRPr="002407CE" w14:paraId="594BFDD9" w14:textId="77777777" w:rsidTr="006C27FE">
        <w:trPr>
          <w:trHeight w:val="870"/>
          <w:jc w:val="center"/>
        </w:trPr>
        <w:tc>
          <w:tcPr>
            <w:tcW w:w="8647" w:type="dxa"/>
          </w:tcPr>
          <w:p w14:paraId="0A41D61B" w14:textId="77777777" w:rsidR="00761018" w:rsidRPr="005F73B4" w:rsidRDefault="00761018" w:rsidP="00761018">
            <w:pPr>
              <w:numPr>
                <w:ilvl w:val="0"/>
                <w:numId w:val="2"/>
              </w:numPr>
              <w:spacing w:after="120" w:line="276" w:lineRule="auto"/>
              <w:ind w:left="360"/>
              <w:jc w:val="both"/>
              <w:rPr>
                <w:rFonts w:ascii="Verdana" w:eastAsia="Calibri" w:hAnsi="Verdana"/>
                <w:bCs/>
                <w:color w:val="000000"/>
                <w:lang w:val="es-ES_tradnl" w:eastAsia="es-ES_tradnl" w:bidi="es-ES"/>
              </w:rPr>
            </w:pPr>
            <w:r w:rsidRPr="00A57FA0">
              <w:rPr>
                <w:rFonts w:ascii="Verdana" w:hAnsi="Verdana" w:cs="Arial"/>
                <w:color w:val="000000" w:themeColor="text1"/>
              </w:rPr>
              <w:t xml:space="preserve"> </w:t>
            </w:r>
            <w:r w:rsidRPr="005F73B4">
              <w:rPr>
                <w:rFonts w:ascii="Verdana" w:eastAsia="Calibri" w:hAnsi="Verdana"/>
                <w:bCs/>
                <w:color w:val="000000"/>
                <w:lang w:val="es-ES_tradnl" w:eastAsia="es-ES_tradnl" w:bidi="es-ES"/>
              </w:rPr>
              <w:t>Constitución política de Colombia 1991, artículos 38, 209 y 355</w:t>
            </w:r>
          </w:p>
          <w:p w14:paraId="1ABF6F33" w14:textId="77777777" w:rsidR="00761018" w:rsidRPr="005F73B4" w:rsidRDefault="00761018" w:rsidP="00761018">
            <w:pPr>
              <w:pStyle w:val="Prrafodelista"/>
              <w:widowControl w:val="0"/>
              <w:numPr>
                <w:ilvl w:val="0"/>
                <w:numId w:val="2"/>
              </w:numPr>
              <w:autoSpaceDE w:val="0"/>
              <w:autoSpaceDN w:val="0"/>
              <w:spacing w:after="120" w:line="276" w:lineRule="auto"/>
              <w:ind w:left="360"/>
              <w:contextualSpacing w:val="0"/>
              <w:jc w:val="both"/>
              <w:rPr>
                <w:rFonts w:ascii="Verdana" w:hAnsi="Verdana" w:cs="Arial"/>
              </w:rPr>
            </w:pPr>
            <w:r w:rsidRPr="005F73B4">
              <w:rPr>
                <w:rFonts w:ascii="Verdana" w:hAnsi="Verdana" w:cs="Arial"/>
              </w:rPr>
              <w:t>Ley 136 de 1994, artículo 3.</w:t>
            </w:r>
          </w:p>
          <w:p w14:paraId="3D19C381" w14:textId="77777777" w:rsidR="00761018" w:rsidRPr="005F73B4" w:rsidRDefault="00761018" w:rsidP="00761018">
            <w:pPr>
              <w:numPr>
                <w:ilvl w:val="0"/>
                <w:numId w:val="2"/>
              </w:numPr>
              <w:spacing w:after="120" w:line="276" w:lineRule="auto"/>
              <w:ind w:left="360"/>
              <w:jc w:val="both"/>
              <w:rPr>
                <w:rFonts w:ascii="Verdana" w:eastAsia="Calibri" w:hAnsi="Verdana"/>
                <w:bCs/>
                <w:color w:val="000000"/>
                <w:lang w:val="es-ES_tradnl" w:eastAsia="es-ES_tradnl" w:bidi="es-ES"/>
              </w:rPr>
            </w:pPr>
            <w:r w:rsidRPr="005F73B4">
              <w:rPr>
                <w:rFonts w:ascii="Verdana" w:eastAsia="Calibri" w:hAnsi="Verdana"/>
                <w:bCs/>
                <w:color w:val="000000"/>
                <w:lang w:val="es-ES_tradnl" w:eastAsia="es-ES_tradnl" w:bidi="es-ES"/>
              </w:rPr>
              <w:t>Ley 489 de 1998, artículo 96.</w:t>
            </w:r>
          </w:p>
          <w:p w14:paraId="206E0CBF" w14:textId="77777777" w:rsidR="00761018" w:rsidRPr="005F73B4" w:rsidRDefault="00761018" w:rsidP="00761018">
            <w:pPr>
              <w:pStyle w:val="Prrafodelista"/>
              <w:widowControl w:val="0"/>
              <w:numPr>
                <w:ilvl w:val="0"/>
                <w:numId w:val="2"/>
              </w:numPr>
              <w:autoSpaceDE w:val="0"/>
              <w:autoSpaceDN w:val="0"/>
              <w:spacing w:after="120" w:line="276" w:lineRule="auto"/>
              <w:ind w:left="360"/>
              <w:contextualSpacing w:val="0"/>
              <w:jc w:val="both"/>
              <w:rPr>
                <w:rFonts w:ascii="Verdana" w:hAnsi="Verdana" w:cs="Arial"/>
              </w:rPr>
            </w:pPr>
            <w:r w:rsidRPr="005F73B4">
              <w:rPr>
                <w:rFonts w:ascii="Verdana" w:hAnsi="Verdana" w:cs="ArialMT"/>
                <w:bCs/>
                <w14:ligatures w14:val="standardContextual"/>
              </w:rPr>
              <w:t>Ley 789 de 2002, artículo 50.</w:t>
            </w:r>
          </w:p>
          <w:p w14:paraId="38EBCFE8" w14:textId="77777777" w:rsidR="00761018" w:rsidRPr="005F73B4" w:rsidRDefault="00761018" w:rsidP="00761018">
            <w:pPr>
              <w:numPr>
                <w:ilvl w:val="0"/>
                <w:numId w:val="2"/>
              </w:numPr>
              <w:spacing w:after="120" w:line="276" w:lineRule="auto"/>
              <w:ind w:left="360"/>
              <w:jc w:val="both"/>
              <w:rPr>
                <w:rFonts w:ascii="Verdana" w:eastAsia="Calibri" w:hAnsi="Verdana"/>
                <w:bCs/>
                <w:color w:val="000000"/>
                <w:lang w:val="es-ES_tradnl" w:eastAsia="es-ES_tradnl" w:bidi="es-ES"/>
              </w:rPr>
            </w:pPr>
            <w:r w:rsidRPr="005F73B4">
              <w:rPr>
                <w:rFonts w:ascii="Verdana" w:hAnsi="Verdana"/>
              </w:rPr>
              <w:t>Ley 996 de 2005, artículo</w:t>
            </w:r>
            <w:r>
              <w:rPr>
                <w:rFonts w:ascii="Verdana" w:hAnsi="Verdana"/>
              </w:rPr>
              <w:t>s 33 y</w:t>
            </w:r>
            <w:r w:rsidRPr="005F73B4">
              <w:rPr>
                <w:rFonts w:ascii="Verdana" w:hAnsi="Verdana"/>
              </w:rPr>
              <w:t xml:space="preserve"> 38</w:t>
            </w:r>
          </w:p>
          <w:p w14:paraId="4993CCED" w14:textId="77777777" w:rsidR="00761018" w:rsidRPr="005F73B4" w:rsidRDefault="00761018" w:rsidP="00761018">
            <w:pPr>
              <w:pStyle w:val="Prrafodelista"/>
              <w:widowControl w:val="0"/>
              <w:numPr>
                <w:ilvl w:val="0"/>
                <w:numId w:val="2"/>
              </w:numPr>
              <w:autoSpaceDE w:val="0"/>
              <w:autoSpaceDN w:val="0"/>
              <w:spacing w:after="120" w:line="276" w:lineRule="auto"/>
              <w:ind w:left="360"/>
              <w:contextualSpacing w:val="0"/>
              <w:jc w:val="both"/>
              <w:rPr>
                <w:rFonts w:ascii="Verdana" w:hAnsi="Verdana" w:cs="Arial"/>
              </w:rPr>
            </w:pPr>
            <w:r w:rsidRPr="005F73B4">
              <w:rPr>
                <w:rFonts w:ascii="Verdana" w:hAnsi="Verdana" w:cs="Arial"/>
              </w:rPr>
              <w:t>Ley 2166 de 2021, artículos 63 y 95.</w:t>
            </w:r>
          </w:p>
          <w:p w14:paraId="46296B2D" w14:textId="77777777" w:rsidR="00761018" w:rsidRPr="00D138CD" w:rsidRDefault="00761018" w:rsidP="00761018">
            <w:pPr>
              <w:pStyle w:val="Prrafodelista"/>
              <w:widowControl w:val="0"/>
              <w:numPr>
                <w:ilvl w:val="0"/>
                <w:numId w:val="2"/>
              </w:numPr>
              <w:autoSpaceDE w:val="0"/>
              <w:autoSpaceDN w:val="0"/>
              <w:spacing w:after="120" w:line="276" w:lineRule="auto"/>
              <w:ind w:left="360"/>
              <w:contextualSpacing w:val="0"/>
              <w:jc w:val="both"/>
              <w:rPr>
                <w:rFonts w:ascii="Verdana" w:eastAsia="Calibri" w:hAnsi="Verdana"/>
                <w:bCs/>
                <w:color w:val="000000"/>
                <w:lang w:val="es-ES_tradnl" w:eastAsia="es-ES_tradnl" w:bidi="es-ES"/>
              </w:rPr>
            </w:pPr>
            <w:r w:rsidRPr="005F73B4">
              <w:rPr>
                <w:rFonts w:ascii="Verdana" w:hAnsi="Verdana" w:cs="Arial"/>
              </w:rPr>
              <w:t>Consejo de Estado. Sala de Consulta y Servicio Civil. Concepto del 15 de noviembre de 2007. Expediente número 1863. Consejero Ponente: Luis Fernando Álvarez Jaramillo.</w:t>
            </w:r>
          </w:p>
          <w:p w14:paraId="3E017756" w14:textId="77777777" w:rsidR="00761018" w:rsidRPr="00D138CD" w:rsidRDefault="00761018" w:rsidP="00761018">
            <w:pPr>
              <w:pStyle w:val="Prrafodelista"/>
              <w:widowControl w:val="0"/>
              <w:numPr>
                <w:ilvl w:val="0"/>
                <w:numId w:val="2"/>
              </w:numPr>
              <w:autoSpaceDE w:val="0"/>
              <w:autoSpaceDN w:val="0"/>
              <w:spacing w:after="120" w:line="276" w:lineRule="auto"/>
              <w:ind w:left="360"/>
              <w:contextualSpacing w:val="0"/>
              <w:jc w:val="both"/>
              <w:rPr>
                <w:rFonts w:ascii="Verdana" w:eastAsia="Calibri" w:hAnsi="Verdana"/>
                <w:bCs/>
                <w:color w:val="000000"/>
                <w:lang w:val="es-ES_tradnl" w:eastAsia="es-ES_tradnl" w:bidi="es-ES"/>
              </w:rPr>
            </w:pPr>
            <w:r w:rsidRPr="00D138CD">
              <w:rPr>
                <w:rFonts w:ascii="Verdana" w:hAnsi="Verdana" w:cs="Arial"/>
              </w:rPr>
              <w:t xml:space="preserve">Agencia Nacional de Contratación Pública – Colombia Compra Eficiente. Circular Única Externa. Disponible: </w:t>
            </w:r>
            <w:hyperlink r:id="rId9" w:history="1">
              <w:r w:rsidRPr="00D138CD">
                <w:rPr>
                  <w:rStyle w:val="Hipervnculo"/>
                  <w:rFonts w:ascii="Verdana" w:hAnsi="Verdana" w:cs="Arial"/>
                </w:rPr>
                <w:t>https://www.colombiacompra.gov.co/normativa-y-relatoria/circular-unica-externa</w:t>
              </w:r>
            </w:hyperlink>
          </w:p>
        </w:tc>
      </w:tr>
    </w:tbl>
    <w:p w14:paraId="53566558" w14:textId="77777777" w:rsidR="00761018" w:rsidRPr="00277E26" w:rsidRDefault="00761018" w:rsidP="00761018">
      <w:pPr>
        <w:widowControl w:val="0"/>
        <w:autoSpaceDE w:val="0"/>
        <w:autoSpaceDN w:val="0"/>
        <w:spacing w:after="0" w:line="276" w:lineRule="auto"/>
        <w:jc w:val="both"/>
        <w:rPr>
          <w:rFonts w:ascii="Verdana" w:hAnsi="Verdana" w:cs="Arial"/>
        </w:rPr>
      </w:pPr>
    </w:p>
    <w:p w14:paraId="347AAFF2" w14:textId="77777777" w:rsidR="00761018" w:rsidRPr="001F283D" w:rsidRDefault="00761018" w:rsidP="00761018">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61BC9B9F" w14:textId="77777777" w:rsidR="00761018" w:rsidRDefault="00761018" w:rsidP="00761018">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1BAB1242" w14:textId="77777777" w:rsidR="00761018" w:rsidRPr="0029593C" w:rsidRDefault="00761018" w:rsidP="00761018">
      <w:pPr>
        <w:widowControl w:val="0"/>
        <w:autoSpaceDE w:val="0"/>
        <w:autoSpaceDN w:val="0"/>
        <w:spacing w:after="0" w:line="276" w:lineRule="auto"/>
        <w:jc w:val="both"/>
        <w:rPr>
          <w:rFonts w:ascii="Verdana" w:hAnsi="Verdana" w:cs="Arial"/>
          <w:shd w:val="clear" w:color="auto" w:fill="FFFFFF"/>
        </w:rPr>
      </w:pPr>
      <w:r w:rsidRPr="0029593C">
        <w:rPr>
          <w:rFonts w:ascii="Verdana" w:hAnsi="Verdana" w:cs="Arial"/>
          <w:shd w:val="clear" w:color="auto" w:fill="FFFFFF"/>
          <w:lang w:val="es-ES"/>
        </w:rPr>
        <w:t xml:space="preserve">Esta Subdirección se ha pronunciado sobre </w:t>
      </w:r>
      <w:r w:rsidRPr="0029593C">
        <w:rPr>
          <w:rFonts w:ascii="Verdana" w:hAnsi="Verdana" w:cs="Arial"/>
          <w:shd w:val="clear" w:color="auto" w:fill="FFFFFF"/>
        </w:rPr>
        <w:t xml:space="preserve">los convenios solidarios, la Agencia ha expedido los siguientes conceptos: </w:t>
      </w:r>
      <w:r w:rsidRPr="0029593C">
        <w:rPr>
          <w:rFonts w:ascii="Verdana" w:eastAsia="Aptos" w:hAnsi="Verdana" w:cs="Arial"/>
          <w:shd w:val="clear" w:color="auto" w:fill="FFFFFF"/>
          <w:lang w:val="es-ES"/>
        </w:rPr>
        <w:t xml:space="preserve">C-971 del 28 de febrero de 2023, C-972 del 8 de febrero de 2023, C-068 del 9 de marzo de 2023, C-040 del 24 de marzo de 2023, C-052 del 21 de abril de 2023, C-0117 del 21 de abril de 2023, C-094 del 4 de mayo de 2023, C-209 del 21 de junio de 2023, C-287 del 9 de octubre de 2023, C-469 del 5 de febrero de 2024, C-020 del 23 de febrero de 2024, C-051 del 3 de mayo de 2024, C- 214  del 05 de agosto de 2024, C-261 del 03 de octubre del 2024, C-722 del 26 de noviembre del 2024, C-703 del 20 de noviembre del 2024, C-666 del 31 de noviembre del 2024, C-605 del 10 de diciembre de 2024 y C-027 del 30 de enero de 2025, C-356 del 2 de mayo de 2025, C 373 del 6 de mayo de 2025, entre otros. </w:t>
      </w:r>
      <w:r w:rsidRPr="0029593C">
        <w:rPr>
          <w:rFonts w:ascii="Verdana" w:hAnsi="Verdana" w:cs="Arial"/>
          <w:shd w:val="clear" w:color="auto" w:fill="FFFFFF"/>
        </w:rPr>
        <w:t xml:space="preserve">Estos y otros se encuentran disponibles para consulta en el Sistema de relatoría de la Agencia, al cual puede accederse a través del siguiente enlace: </w:t>
      </w:r>
      <w:hyperlink r:id="rId10" w:history="1">
        <w:r w:rsidRPr="0029593C">
          <w:rPr>
            <w:rStyle w:val="Hipervnculo"/>
            <w:rFonts w:ascii="Verdana" w:hAnsi="Verdana" w:cs="Arial"/>
            <w:shd w:val="clear" w:color="auto" w:fill="FFFFFF"/>
          </w:rPr>
          <w:t>https://relatoria.colombiacompra.gov.co/busqueda/conceptos</w:t>
        </w:r>
      </w:hyperlink>
      <w:r w:rsidRPr="0029593C">
        <w:rPr>
          <w:rFonts w:ascii="Verdana" w:hAnsi="Verdana" w:cs="Arial"/>
          <w:shd w:val="clear" w:color="auto" w:fill="FFFFFF"/>
        </w:rPr>
        <w:t xml:space="preserve">. </w:t>
      </w:r>
      <w:r w:rsidRPr="0029593C">
        <w:rPr>
          <w:rFonts w:ascii="Verdana" w:hAnsi="Verdana" w:cs="Arial"/>
          <w:shd w:val="clear" w:color="auto" w:fill="FFFFFF"/>
          <w:lang w:val="es-ES"/>
        </w:rPr>
        <w:t xml:space="preserve"> </w:t>
      </w:r>
    </w:p>
    <w:p w14:paraId="0CE82C3F" w14:textId="77777777" w:rsidR="00761018" w:rsidRPr="00820201" w:rsidRDefault="00761018" w:rsidP="00761018">
      <w:pPr>
        <w:widowControl w:val="0"/>
        <w:autoSpaceDE w:val="0"/>
        <w:autoSpaceDN w:val="0"/>
        <w:spacing w:after="0" w:line="276" w:lineRule="auto"/>
        <w:jc w:val="both"/>
        <w:rPr>
          <w:rFonts w:ascii="Verdana" w:hAnsi="Verdana" w:cs="Arial"/>
          <w:shd w:val="clear" w:color="auto" w:fill="FFFFFF"/>
        </w:rPr>
      </w:pPr>
    </w:p>
    <w:p w14:paraId="41F61E31" w14:textId="77777777" w:rsidR="00761018" w:rsidRPr="00237766" w:rsidRDefault="00761018" w:rsidP="00761018">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9F10536" w14:textId="77777777" w:rsidR="00761018" w:rsidRPr="008E4F36" w:rsidRDefault="00761018" w:rsidP="00761018">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4E61A010" w14:textId="77777777" w:rsidR="00761018" w:rsidRPr="008E4F36" w:rsidRDefault="00761018" w:rsidP="00761018">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12466F8A" w14:textId="77777777" w:rsidR="00761018" w:rsidRPr="008E4F36" w:rsidRDefault="00761018" w:rsidP="00761018">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3331BFED" w14:textId="77777777" w:rsidR="00761018" w:rsidRPr="008E4F36" w:rsidRDefault="00761018" w:rsidP="00761018">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1" w:history="1">
        <w:r w:rsidRPr="008E4F36">
          <w:rPr>
            <w:rStyle w:val="Hipervnculo"/>
            <w:rFonts w:ascii="Verdana" w:hAnsi="Verdana"/>
          </w:rPr>
          <w:t>www.colombiacompra.gov.co</w:t>
        </w:r>
      </w:hyperlink>
    </w:p>
    <w:p w14:paraId="169CA2D2" w14:textId="77777777" w:rsidR="00761018" w:rsidRPr="008E4F36" w:rsidRDefault="00761018" w:rsidP="00761018">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121EFCDA" w14:textId="77777777" w:rsidR="00761018" w:rsidRPr="008E4F36" w:rsidRDefault="00761018" w:rsidP="00761018">
      <w:pPr>
        <w:spacing w:after="0" w:line="276" w:lineRule="auto"/>
        <w:jc w:val="both"/>
        <w:rPr>
          <w:rFonts w:ascii="Verdana" w:hAnsi="Verdana"/>
        </w:rPr>
      </w:pPr>
    </w:p>
    <w:p w14:paraId="49D6F144" w14:textId="77777777" w:rsidR="00761018" w:rsidRPr="008E4F36" w:rsidRDefault="00761018" w:rsidP="00761018">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55F28EC6" w14:textId="77777777" w:rsidR="00761018" w:rsidRPr="008E4F36" w:rsidRDefault="00761018" w:rsidP="00761018">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555C304C" w14:textId="77777777" w:rsidR="00761018" w:rsidRPr="008E4F36" w:rsidRDefault="00761018" w:rsidP="00761018">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4CB5C2CD" w14:textId="77777777" w:rsidR="00761018" w:rsidRDefault="00761018" w:rsidP="00761018">
      <w:pPr>
        <w:spacing w:before="120" w:after="0" w:line="276" w:lineRule="auto"/>
        <w:jc w:val="both"/>
        <w:rPr>
          <w:rFonts w:ascii="Verdana" w:hAnsi="Verdana"/>
        </w:rPr>
      </w:pPr>
    </w:p>
    <w:p w14:paraId="73FF2197" w14:textId="77777777" w:rsidR="00761018" w:rsidRPr="00FB6C33" w:rsidRDefault="00761018" w:rsidP="00761018">
      <w:pPr>
        <w:spacing w:before="120" w:after="0" w:line="276" w:lineRule="auto"/>
        <w:jc w:val="both"/>
        <w:rPr>
          <w:rFonts w:ascii="Verdana" w:hAnsi="Verdana"/>
        </w:rPr>
      </w:pPr>
      <w:r w:rsidRPr="00FB6C33">
        <w:rPr>
          <w:rFonts w:ascii="Verdana" w:hAnsi="Verdana"/>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DB88602" w14:textId="77777777" w:rsidR="00761018" w:rsidRPr="008E4F36" w:rsidRDefault="00761018" w:rsidP="00761018">
      <w:pPr>
        <w:spacing w:after="0" w:line="276" w:lineRule="auto"/>
        <w:jc w:val="both"/>
        <w:rPr>
          <w:rFonts w:ascii="Verdana" w:eastAsia="Calibri" w:hAnsi="Verdana" w:cs="Times New Roman"/>
        </w:rPr>
      </w:pPr>
    </w:p>
    <w:p w14:paraId="6A65B27D" w14:textId="43899B40" w:rsidR="00761018" w:rsidRDefault="00761018" w:rsidP="0002735A">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0439FA61" w14:textId="570943F3" w:rsidR="00761018" w:rsidRPr="0002735A" w:rsidRDefault="0002735A" w:rsidP="0002735A">
      <w:pPr>
        <w:spacing w:after="0" w:line="256" w:lineRule="auto"/>
        <w:jc w:val="center"/>
        <w:rPr>
          <w:noProof/>
        </w:rPr>
      </w:pPr>
      <w:r w:rsidRPr="002C3AD6">
        <w:rPr>
          <w:rFonts w:ascii="Century Gothic" w:hAnsi="Century Gothic"/>
          <w:noProof/>
        </w:rPr>
        <w:drawing>
          <wp:inline distT="0" distB="0" distL="0" distR="0" wp14:anchorId="4E0D0093" wp14:editId="63DBE11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bookmarkEnd w:id="0"/>
      <w:bookmarkEnd w:id="1"/>
    </w:p>
    <w:p w14:paraId="3F47026D" w14:textId="77777777" w:rsidR="00761018" w:rsidRDefault="00761018" w:rsidP="00761018">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61018" w:rsidRPr="002423D6" w14:paraId="7B98FA95" w14:textId="77777777" w:rsidTr="006C27FE">
        <w:trPr>
          <w:trHeight w:val="315"/>
        </w:trPr>
        <w:tc>
          <w:tcPr>
            <w:tcW w:w="893" w:type="dxa"/>
            <w:vAlign w:val="center"/>
            <w:hideMark/>
          </w:tcPr>
          <w:p w14:paraId="2234E95D" w14:textId="77777777" w:rsidR="00761018" w:rsidRPr="002423D6" w:rsidRDefault="00761018" w:rsidP="006C27FE">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2E95F7D" w14:textId="77777777" w:rsidR="00761018" w:rsidRPr="002423D6" w:rsidRDefault="00761018" w:rsidP="006C27FE">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2E011BEC" w14:textId="77777777" w:rsidR="00761018" w:rsidRPr="002423D6" w:rsidRDefault="00761018" w:rsidP="006C27FE">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761018" w:rsidRPr="002423D6" w14:paraId="35CE0A74" w14:textId="77777777" w:rsidTr="006C27FE">
        <w:trPr>
          <w:trHeight w:val="330"/>
        </w:trPr>
        <w:tc>
          <w:tcPr>
            <w:tcW w:w="893" w:type="dxa"/>
            <w:vAlign w:val="center"/>
            <w:hideMark/>
          </w:tcPr>
          <w:p w14:paraId="36D21BC4" w14:textId="77777777" w:rsidR="00761018" w:rsidRPr="002423D6" w:rsidRDefault="00761018" w:rsidP="006C27FE">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800EF0" w14:textId="77777777" w:rsidR="00761018" w:rsidRPr="002423D6" w:rsidRDefault="00761018" w:rsidP="006C27FE">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0CC9D3C6" w14:textId="77777777" w:rsidR="00761018" w:rsidRPr="002423D6" w:rsidRDefault="00761018" w:rsidP="006C27FE">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761018" w:rsidRPr="002423D6" w14:paraId="1908CF88" w14:textId="77777777" w:rsidTr="006C27FE">
        <w:trPr>
          <w:trHeight w:val="300"/>
        </w:trPr>
        <w:tc>
          <w:tcPr>
            <w:tcW w:w="893" w:type="dxa"/>
            <w:vAlign w:val="center"/>
          </w:tcPr>
          <w:p w14:paraId="3C73CE78" w14:textId="77777777" w:rsidR="00761018" w:rsidRPr="002423D6" w:rsidRDefault="00761018" w:rsidP="006C27FE">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C4B2A0" w14:textId="77777777" w:rsidR="00761018" w:rsidRPr="002423D6" w:rsidRDefault="00761018" w:rsidP="006C27FE">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32058695" w14:textId="77777777" w:rsidR="00761018" w:rsidRPr="002423D6" w:rsidRDefault="00761018" w:rsidP="006C27FE">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020E603D" w14:textId="77777777" w:rsidR="00761018" w:rsidRDefault="00761018" w:rsidP="00761018"/>
    <w:p w14:paraId="7C8EB0BD" w14:textId="0BA0356B" w:rsidR="00761018" w:rsidRPr="00823C60" w:rsidRDefault="00761018" w:rsidP="00761018"/>
    <w:p w14:paraId="091F45CA" w14:textId="77777777" w:rsidR="00761018" w:rsidRDefault="00761018" w:rsidP="00761018"/>
    <w:p w14:paraId="0FC51BFF" w14:textId="77777777" w:rsidR="00761018" w:rsidRPr="001E3801" w:rsidRDefault="00761018" w:rsidP="00761018"/>
    <w:p w14:paraId="4409B196" w14:textId="77777777" w:rsidR="000F5A42" w:rsidRPr="00E8395F" w:rsidRDefault="000F5A42" w:rsidP="00E8395F"/>
    <w:sectPr w:rsidR="000F5A42" w:rsidRPr="00E8395F" w:rsidSect="008C54F3">
      <w:headerReference w:type="default" r:id="rId13"/>
      <w:footerReference w:type="default" r:id="rId14"/>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0308B" w14:textId="77777777" w:rsidR="00EE333F" w:rsidRDefault="00EE333F" w:rsidP="008C54F3">
      <w:pPr>
        <w:spacing w:after="0" w:line="240" w:lineRule="auto"/>
      </w:pPr>
      <w:r>
        <w:separator/>
      </w:r>
    </w:p>
  </w:endnote>
  <w:endnote w:type="continuationSeparator" w:id="0">
    <w:p w14:paraId="07D79EF1" w14:textId="77777777" w:rsidR="00EE333F" w:rsidRDefault="00EE333F" w:rsidP="008C54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AD622" w14:textId="77777777" w:rsidR="008C54F3" w:rsidRDefault="008C54F3" w:rsidP="000849D5">
    <w:pPr>
      <w:spacing w:after="0"/>
      <w:rPr>
        <w:rFonts w:ascii="Verdana" w:hAnsi="Verdana"/>
        <w:b/>
        <w:bCs/>
        <w:sz w:val="20"/>
        <w:szCs w:val="20"/>
      </w:rPr>
    </w:pPr>
  </w:p>
  <w:p w14:paraId="73C582DB" w14:textId="77777777" w:rsidR="008C54F3" w:rsidRPr="00174B77" w:rsidRDefault="008C54F3"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B3A07B6" w14:textId="77777777" w:rsidR="008C54F3" w:rsidRDefault="008C54F3"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7C46D091" w14:textId="77777777" w:rsidR="008C54F3" w:rsidRPr="00E41027" w:rsidRDefault="008C54F3" w:rsidP="000849D5">
    <w:pPr>
      <w:spacing w:after="0"/>
      <w:jc w:val="both"/>
      <w:rPr>
        <w:rFonts w:ascii="Verdana" w:hAnsi="Verdana"/>
        <w:sz w:val="18"/>
        <w:szCs w:val="18"/>
      </w:rPr>
    </w:pPr>
    <w:r w:rsidRPr="00E41027">
      <w:rPr>
        <w:rFonts w:ascii="Verdana" w:hAnsi="Verdana"/>
        <w:sz w:val="18"/>
        <w:szCs w:val="18"/>
      </w:rPr>
      <w:t>Mesa de servicio: (+57) 601 7456788</w:t>
    </w:r>
  </w:p>
  <w:p w14:paraId="43BC49D4" w14:textId="77777777" w:rsidR="008C54F3" w:rsidRDefault="008C54F3"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29692D4C" w14:textId="77777777" w:rsidR="008C54F3" w:rsidRPr="007D04B2" w:rsidRDefault="008C54F3" w:rsidP="000849D5">
    <w:pPr>
      <w:pStyle w:val="Piedepgina"/>
    </w:pPr>
  </w:p>
  <w:p w14:paraId="42FB89EF" w14:textId="77777777" w:rsidR="008C54F3" w:rsidRPr="000849D5" w:rsidRDefault="008C54F3"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FC1D8" w14:textId="77777777" w:rsidR="00EE333F" w:rsidRDefault="00EE333F" w:rsidP="008C54F3">
      <w:pPr>
        <w:spacing w:after="0" w:line="240" w:lineRule="auto"/>
      </w:pPr>
      <w:r>
        <w:separator/>
      </w:r>
    </w:p>
  </w:footnote>
  <w:footnote w:type="continuationSeparator" w:id="0">
    <w:p w14:paraId="4199FD79" w14:textId="77777777" w:rsidR="00EE333F" w:rsidRDefault="00EE333F" w:rsidP="008C54F3">
      <w:pPr>
        <w:spacing w:after="0" w:line="240" w:lineRule="auto"/>
      </w:pPr>
      <w:r>
        <w:continuationSeparator/>
      </w:r>
    </w:p>
  </w:footnote>
  <w:footnote w:id="1">
    <w:p w14:paraId="6730169B" w14:textId="77777777" w:rsidR="00147819" w:rsidRPr="00066823" w:rsidRDefault="00147819" w:rsidP="00147819">
      <w:pPr>
        <w:pStyle w:val="Textonotapie"/>
        <w:ind w:firstLine="709"/>
        <w:jc w:val="both"/>
        <w:rPr>
          <w:rFonts w:ascii="Verdana" w:hAnsi="Verdana" w:cs="Arial"/>
          <w:sz w:val="14"/>
          <w:szCs w:val="14"/>
        </w:rPr>
      </w:pPr>
      <w:r w:rsidRPr="00066823">
        <w:rPr>
          <w:rStyle w:val="Refdenotaalpie"/>
          <w:rFonts w:ascii="Verdana" w:hAnsi="Verdana" w:cs="Arial"/>
          <w:sz w:val="14"/>
          <w:szCs w:val="14"/>
        </w:rPr>
        <w:footnoteRef/>
      </w:r>
      <w:r w:rsidRPr="00066823">
        <w:rPr>
          <w:rFonts w:ascii="Verdana" w:hAnsi="Verdana" w:cs="Arial"/>
          <w:sz w:val="14"/>
          <w:szCs w:val="14"/>
        </w:rPr>
        <w:t xml:space="preserve"> Consejo de Estado. Sala de Consulta y Servicio Civil. Concepto de 20 de febrero de2006. Radicación 11001-03-06-000-2006-00023-00(1724). Consejero Ponente: Flavio Augusto Rodríguez Arce.</w:t>
      </w:r>
    </w:p>
    <w:p w14:paraId="3AE024F5" w14:textId="77777777" w:rsidR="00147819" w:rsidRPr="00066823" w:rsidRDefault="00147819" w:rsidP="00147819">
      <w:pPr>
        <w:pStyle w:val="Textonotapie"/>
        <w:ind w:firstLine="709"/>
        <w:jc w:val="both"/>
        <w:rPr>
          <w:rFonts w:ascii="Verdana" w:hAnsi="Verdana" w:cs="Arial"/>
          <w:sz w:val="14"/>
          <w:szCs w:val="14"/>
        </w:rPr>
      </w:pPr>
    </w:p>
  </w:footnote>
  <w:footnote w:id="2">
    <w:p w14:paraId="43F68D04" w14:textId="77777777" w:rsidR="00147819" w:rsidRPr="00066823" w:rsidRDefault="00147819" w:rsidP="00147819">
      <w:pPr>
        <w:spacing w:after="0" w:line="240" w:lineRule="auto"/>
        <w:ind w:firstLine="709"/>
        <w:jc w:val="both"/>
        <w:rPr>
          <w:rFonts w:ascii="Verdana" w:hAnsi="Verdana" w:cs="Arial"/>
          <w:sz w:val="14"/>
          <w:szCs w:val="14"/>
        </w:rPr>
      </w:pPr>
      <w:r w:rsidRPr="00066823">
        <w:rPr>
          <w:rStyle w:val="Refdenotaalpie"/>
          <w:rFonts w:ascii="Verdana" w:hAnsi="Verdana" w:cs="Arial"/>
          <w:sz w:val="14"/>
          <w:szCs w:val="14"/>
        </w:rPr>
        <w:footnoteRef/>
      </w:r>
      <w:r w:rsidRPr="00066823">
        <w:rPr>
          <w:rFonts w:ascii="Verdana" w:hAnsi="Verdana" w:cs="Arial"/>
          <w:sz w:val="14"/>
          <w:szCs w:val="14"/>
        </w:rPr>
        <w:t xml:space="preserve"> Decreto 1082 de 2015: “Artículo 2.2.1.2.1.4.4. Convenios o contratos interadministrativos. La modalidad de selección para la contratación entre Entidades Estatales es la contratación directa; </w:t>
      </w:r>
      <w:proofErr w:type="gramStart"/>
      <w:r w:rsidRPr="00066823">
        <w:rPr>
          <w:rFonts w:ascii="Verdana" w:hAnsi="Verdana" w:cs="Arial"/>
          <w:sz w:val="14"/>
          <w:szCs w:val="14"/>
        </w:rPr>
        <w:t>y</w:t>
      </w:r>
      <w:proofErr w:type="gramEnd"/>
      <w:r w:rsidRPr="00066823">
        <w:rPr>
          <w:rFonts w:ascii="Verdana" w:hAnsi="Verdana" w:cs="Arial"/>
          <w:sz w:val="14"/>
          <w:szCs w:val="14"/>
        </w:rPr>
        <w:t xml:space="preserve"> en consecuencia, le es aplicable lo establecido en el artículo 2.2.1.2.1.4.1 del presente decreto.</w:t>
      </w:r>
    </w:p>
    <w:p w14:paraId="648CAD44" w14:textId="77777777" w:rsidR="00147819" w:rsidRPr="00066823" w:rsidRDefault="00147819" w:rsidP="00147819">
      <w:pPr>
        <w:spacing w:after="0" w:line="240" w:lineRule="auto"/>
        <w:ind w:firstLine="709"/>
        <w:jc w:val="both"/>
        <w:rPr>
          <w:rFonts w:ascii="Verdana" w:hAnsi="Verdana" w:cs="Arial"/>
          <w:sz w:val="14"/>
          <w:szCs w:val="14"/>
        </w:rPr>
      </w:pPr>
      <w:r w:rsidRPr="00066823">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066823">
        <w:rPr>
          <w:rFonts w:ascii="Verdana" w:hAnsi="Verdana" w:cs="Arial"/>
          <w:spacing w:val="-1"/>
          <w:sz w:val="14"/>
          <w:szCs w:val="14"/>
        </w:rPr>
        <w:t xml:space="preserve"> </w:t>
      </w:r>
      <w:r w:rsidRPr="00066823">
        <w:rPr>
          <w:rFonts w:ascii="Verdana" w:hAnsi="Verdana" w:cs="Arial"/>
          <w:sz w:val="14"/>
          <w:szCs w:val="14"/>
        </w:rPr>
        <w:t>Estatales”.</w:t>
      </w:r>
    </w:p>
    <w:p w14:paraId="03DFE93E" w14:textId="77777777" w:rsidR="00147819" w:rsidRPr="00066823" w:rsidRDefault="00147819" w:rsidP="00147819">
      <w:pPr>
        <w:spacing w:after="0" w:line="240" w:lineRule="auto"/>
        <w:ind w:firstLine="709"/>
        <w:jc w:val="both"/>
        <w:rPr>
          <w:rFonts w:ascii="Verdana" w:hAnsi="Verdana" w:cs="Arial"/>
          <w:sz w:val="14"/>
          <w:szCs w:val="14"/>
        </w:rPr>
      </w:pPr>
    </w:p>
  </w:footnote>
  <w:footnote w:id="3">
    <w:p w14:paraId="2A36E509" w14:textId="77777777" w:rsidR="00761018" w:rsidRPr="0008750E" w:rsidRDefault="00761018" w:rsidP="00761018">
      <w:pPr>
        <w:pStyle w:val="Textonotapie"/>
        <w:ind w:firstLine="709"/>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sz w:val="16"/>
          <w:szCs w:val="16"/>
        </w:rPr>
        <w:t xml:space="preserve"> Gaceta del Congreso de la República No. 71 del 2005.</w:t>
      </w:r>
    </w:p>
  </w:footnote>
  <w:footnote w:id="4">
    <w:p w14:paraId="16FD641D" w14:textId="77777777" w:rsidR="00761018" w:rsidRPr="0008750E" w:rsidRDefault="00761018" w:rsidP="00761018">
      <w:pPr>
        <w:pStyle w:val="Textonotapie"/>
        <w:ind w:firstLine="709"/>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sz w:val="16"/>
          <w:szCs w:val="16"/>
        </w:rPr>
        <w:t xml:space="preserve"> Corte Constitucional, Sentencia C- 1153 de 2005, M.P. Marco Gerardo Monroy Cabra.</w:t>
      </w:r>
    </w:p>
  </w:footnote>
  <w:footnote w:id="5">
    <w:p w14:paraId="11F657D9" w14:textId="77777777" w:rsidR="00761018" w:rsidRPr="0008750E" w:rsidRDefault="00761018" w:rsidP="00761018">
      <w:pPr>
        <w:spacing w:after="0" w:line="240" w:lineRule="auto"/>
        <w:ind w:firstLine="709"/>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sz w:val="16"/>
          <w:szCs w:val="16"/>
        </w:rPr>
        <w:t xml:space="preserve"> </w:t>
      </w:r>
      <w:bookmarkStart w:id="10" w:name="33"/>
      <w:r w:rsidRPr="0008750E">
        <w:rPr>
          <w:rFonts w:ascii="Verdana" w:eastAsia="Calibri" w:hAnsi="Verdana" w:cs="Arial"/>
          <w:color w:val="000000"/>
          <w:sz w:val="16"/>
          <w:szCs w:val="16"/>
        </w:rPr>
        <w:t>“</w:t>
      </w:r>
      <w:r w:rsidRPr="0008750E">
        <w:rPr>
          <w:rFonts w:ascii="Verdana" w:hAnsi="Verdana" w:cs="Arial"/>
          <w:sz w:val="16"/>
          <w:szCs w:val="16"/>
        </w:rPr>
        <w:t>Artículo 33. Restricciones a la contratación pública.</w:t>
      </w:r>
      <w:bookmarkEnd w:id="10"/>
      <w:r w:rsidRPr="0008750E">
        <w:rPr>
          <w:rFonts w:ascii="Verdana"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294D2DC" w14:textId="77777777" w:rsidR="00761018" w:rsidRPr="0008750E" w:rsidRDefault="00761018" w:rsidP="00761018">
      <w:pPr>
        <w:spacing w:after="0" w:line="240" w:lineRule="auto"/>
        <w:ind w:firstLine="709"/>
        <w:contextualSpacing/>
        <w:jc w:val="both"/>
        <w:rPr>
          <w:rFonts w:ascii="Verdana" w:hAnsi="Verdana" w:cs="Arial"/>
          <w:sz w:val="16"/>
          <w:szCs w:val="16"/>
        </w:rPr>
      </w:pPr>
      <w:r w:rsidRPr="0008750E">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08750E">
        <w:rPr>
          <w:rFonts w:ascii="Verdana" w:eastAsia="Calibri" w:hAnsi="Verdana" w:cs="Arial"/>
          <w:color w:val="000000"/>
          <w:sz w:val="16"/>
          <w:szCs w:val="16"/>
        </w:rPr>
        <w:t>”</w:t>
      </w:r>
      <w:r w:rsidRPr="0008750E">
        <w:rPr>
          <w:rFonts w:ascii="Verdana" w:hAnsi="Verdana" w:cs="Arial"/>
          <w:sz w:val="16"/>
          <w:szCs w:val="16"/>
        </w:rPr>
        <w:t>.</w:t>
      </w:r>
    </w:p>
  </w:footnote>
  <w:footnote w:id="6">
    <w:p w14:paraId="126A1026" w14:textId="77777777" w:rsidR="00761018" w:rsidRPr="0008750E" w:rsidRDefault="00761018" w:rsidP="00761018">
      <w:pPr>
        <w:pStyle w:val="Textonotapie"/>
        <w:ind w:firstLine="709"/>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sz w:val="16"/>
          <w:szCs w:val="16"/>
        </w:rPr>
        <w:t xml:space="preserve"> Consejo de Estado. Sala de Consulta y Servicio Civil. Concepto de 20 de febrero de2006. Radicación 11001-03-06-000-2006-00023-00(1724). Consejero Ponente: Flavio Augusto Rodríguez Arce.</w:t>
      </w:r>
    </w:p>
  </w:footnote>
  <w:footnote w:id="7">
    <w:p w14:paraId="09FA4D90" w14:textId="77777777" w:rsidR="00761018" w:rsidRPr="0008750E" w:rsidRDefault="00761018" w:rsidP="00761018">
      <w:pPr>
        <w:spacing w:after="0" w:line="240" w:lineRule="auto"/>
        <w:ind w:firstLine="709"/>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w:t>
      </w:r>
      <w:proofErr w:type="gramStart"/>
      <w:r w:rsidRPr="0008750E">
        <w:rPr>
          <w:rFonts w:ascii="Verdana" w:hAnsi="Verdana" w:cs="Arial"/>
          <w:sz w:val="16"/>
          <w:szCs w:val="16"/>
        </w:rPr>
        <w:t>y</w:t>
      </w:r>
      <w:proofErr w:type="gramEnd"/>
      <w:r w:rsidRPr="0008750E">
        <w:rPr>
          <w:rFonts w:ascii="Verdana" w:hAnsi="Verdana" w:cs="Arial"/>
          <w:sz w:val="16"/>
          <w:szCs w:val="16"/>
        </w:rPr>
        <w:t xml:space="preserve"> en consecuencia, le es aplicable lo establecido en el artículo 2.2.1.2.1.4.1 del presente decreto.</w:t>
      </w:r>
    </w:p>
    <w:p w14:paraId="627E32ED" w14:textId="77777777" w:rsidR="00761018" w:rsidRPr="0008750E" w:rsidRDefault="00761018" w:rsidP="00761018">
      <w:pPr>
        <w:spacing w:after="0" w:line="240" w:lineRule="auto"/>
        <w:ind w:firstLine="709"/>
        <w:contextualSpacing/>
        <w:jc w:val="both"/>
        <w:rPr>
          <w:rFonts w:ascii="Verdana" w:hAnsi="Verdana" w:cs="Arial"/>
          <w:sz w:val="16"/>
          <w:szCs w:val="16"/>
        </w:rPr>
      </w:pPr>
      <w:r w:rsidRPr="0008750E">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08750E">
        <w:rPr>
          <w:rFonts w:ascii="Verdana" w:hAnsi="Verdana" w:cs="Arial"/>
          <w:spacing w:val="-1"/>
          <w:sz w:val="16"/>
          <w:szCs w:val="16"/>
        </w:rPr>
        <w:t xml:space="preserve"> </w:t>
      </w:r>
      <w:r w:rsidRPr="0008750E">
        <w:rPr>
          <w:rFonts w:ascii="Verdana" w:hAnsi="Verdana" w:cs="Arial"/>
          <w:sz w:val="16"/>
          <w:szCs w:val="16"/>
        </w:rPr>
        <w:t>Estatales”.</w:t>
      </w:r>
    </w:p>
  </w:footnote>
  <w:footnote w:id="8">
    <w:p w14:paraId="1E748EFB" w14:textId="77777777" w:rsidR="00761018" w:rsidRPr="0008750E" w:rsidRDefault="00761018" w:rsidP="00761018">
      <w:pPr>
        <w:spacing w:after="0" w:line="240" w:lineRule="auto"/>
        <w:ind w:firstLine="709"/>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08750E">
        <w:rPr>
          <w:rFonts w:ascii="Verdana" w:hAnsi="Verdana" w:cs="Arial"/>
          <w:spacing w:val="-6"/>
          <w:sz w:val="16"/>
          <w:szCs w:val="16"/>
        </w:rPr>
        <w:t xml:space="preserve"> </w:t>
      </w:r>
      <w:r w:rsidRPr="0008750E">
        <w:rPr>
          <w:rFonts w:ascii="Verdana" w:hAnsi="Verdana" w:cs="Arial"/>
          <w:sz w:val="16"/>
          <w:szCs w:val="16"/>
        </w:rPr>
        <w:t>artículo”.</w:t>
      </w:r>
    </w:p>
  </w:footnote>
  <w:footnote w:id="9">
    <w:p w14:paraId="789E07B3" w14:textId="77777777" w:rsidR="00761018" w:rsidRPr="0008750E" w:rsidRDefault="00761018" w:rsidP="00761018">
      <w:pPr>
        <w:spacing w:after="0" w:line="240" w:lineRule="auto"/>
        <w:ind w:right="454" w:firstLine="709"/>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position w:val="7"/>
          <w:sz w:val="16"/>
          <w:szCs w:val="16"/>
        </w:rPr>
        <w:t xml:space="preserve"> </w:t>
      </w:r>
      <w:r w:rsidRPr="0008750E">
        <w:rPr>
          <w:rFonts w:ascii="Verdana" w:hAnsi="Verdana" w:cs="Arial"/>
          <w:sz w:val="16"/>
          <w:szCs w:val="16"/>
        </w:rPr>
        <w:t>Consejo de Estado. Sección Tercera. Sentencia del 23 de junio de 2010. Radicación No. 66001-23-31-000-1998-00261-01(17.860). Consejero Ponente: Mauricio Fajardo Gómez.</w:t>
      </w:r>
    </w:p>
    <w:p w14:paraId="619A5A08" w14:textId="77777777" w:rsidR="00761018" w:rsidRPr="0008750E" w:rsidRDefault="00761018" w:rsidP="00761018">
      <w:pPr>
        <w:spacing w:after="0" w:line="240" w:lineRule="auto"/>
        <w:ind w:right="454" w:firstLine="709"/>
        <w:contextualSpacing/>
        <w:jc w:val="both"/>
        <w:rPr>
          <w:rFonts w:ascii="Verdana" w:hAnsi="Verdana" w:cs="Arial"/>
          <w:sz w:val="16"/>
          <w:szCs w:val="16"/>
        </w:rPr>
      </w:pPr>
    </w:p>
  </w:footnote>
  <w:footnote w:id="10">
    <w:p w14:paraId="797CD66B" w14:textId="77777777" w:rsidR="00761018" w:rsidRPr="0008750E" w:rsidRDefault="00761018" w:rsidP="00761018">
      <w:pPr>
        <w:pStyle w:val="Textonotapie"/>
        <w:ind w:firstLine="708"/>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 w:id="11">
    <w:p w14:paraId="453ACE31" w14:textId="77777777" w:rsidR="00761018" w:rsidRPr="0008750E" w:rsidRDefault="00761018" w:rsidP="00761018">
      <w:pPr>
        <w:pStyle w:val="Textonotapie"/>
        <w:ind w:firstLine="708"/>
        <w:contextualSpacing/>
        <w:jc w:val="both"/>
        <w:rPr>
          <w:rFonts w:ascii="Verdana" w:hAnsi="Verdana" w:cs="Arial"/>
          <w:sz w:val="16"/>
          <w:szCs w:val="16"/>
        </w:rPr>
      </w:pPr>
      <w:r w:rsidRPr="0008750E">
        <w:rPr>
          <w:rStyle w:val="Refdenotaalpie"/>
          <w:rFonts w:ascii="Verdana" w:hAnsi="Verdana" w:cs="Arial"/>
          <w:sz w:val="16"/>
          <w:szCs w:val="16"/>
        </w:rPr>
        <w:footnoteRef/>
      </w:r>
      <w:r w:rsidRPr="0008750E">
        <w:rPr>
          <w:rFonts w:ascii="Verdana" w:hAnsi="Verdana" w:cs="Arial"/>
          <w:sz w:val="16"/>
          <w:szCs w:val="16"/>
        </w:rPr>
        <w:t xml:space="preserve"> Consejo de Estado. Sala de Consulta y Servicio Civil. Concepto del 15 de noviembre de 2007. Expediente número 1863. Consejero Ponente: Luis Fernando Álvarez Jaramillo.</w:t>
      </w:r>
    </w:p>
    <w:p w14:paraId="7C05096F" w14:textId="77777777" w:rsidR="00761018" w:rsidRPr="0008750E" w:rsidRDefault="00761018" w:rsidP="00761018">
      <w:pPr>
        <w:pStyle w:val="Textonotapie"/>
        <w:ind w:firstLine="709"/>
        <w:contextualSpacing/>
        <w:jc w:val="both"/>
        <w:rPr>
          <w:rFonts w:ascii="Verdana" w:hAnsi="Verdana" w:cs="Arial"/>
          <w:sz w:val="16"/>
          <w:szCs w:val="16"/>
        </w:rPr>
      </w:pPr>
    </w:p>
  </w:footnote>
  <w:footnote w:id="12">
    <w:p w14:paraId="6847ED25" w14:textId="77777777" w:rsidR="00761018" w:rsidRPr="00176CC6" w:rsidRDefault="00761018" w:rsidP="00761018">
      <w:pPr>
        <w:pStyle w:val="Textonotapie"/>
        <w:ind w:firstLine="708"/>
        <w:contextualSpacing/>
        <w:jc w:val="both"/>
        <w:rPr>
          <w:rFonts w:ascii="Verdana" w:hAnsi="Verdana" w:cs="Arial"/>
          <w:sz w:val="16"/>
          <w:szCs w:val="16"/>
        </w:rPr>
      </w:pPr>
      <w:r w:rsidRPr="00176CC6">
        <w:rPr>
          <w:rStyle w:val="Refdenotaalpie"/>
          <w:rFonts w:ascii="Verdana" w:hAnsi="Verdana" w:cs="Arial"/>
          <w:sz w:val="16"/>
          <w:szCs w:val="16"/>
        </w:rPr>
        <w:footnoteRef/>
      </w:r>
      <w:r w:rsidRPr="00176CC6">
        <w:rPr>
          <w:rFonts w:ascii="Verdana" w:hAnsi="Verdana" w:cs="Arial"/>
          <w:sz w:val="16"/>
          <w:szCs w:val="16"/>
        </w:rPr>
        <w:t xml:space="preserve"> Es lo que sucede, por ejemplo, con el Decreto 092 de 2017, que en su desarrollo hace referencia tanto a los “contratos” como a los “convenios”.</w:t>
      </w:r>
    </w:p>
  </w:footnote>
  <w:footnote w:id="13">
    <w:p w14:paraId="2A618E2B" w14:textId="77777777" w:rsidR="00761018" w:rsidRPr="00176CC6" w:rsidRDefault="00761018" w:rsidP="00761018">
      <w:pPr>
        <w:pStyle w:val="Textonotapie"/>
        <w:ind w:firstLine="708"/>
        <w:contextualSpacing/>
        <w:jc w:val="both"/>
        <w:rPr>
          <w:rFonts w:ascii="Verdana" w:hAnsi="Verdana" w:cs="Arial"/>
          <w:sz w:val="16"/>
          <w:szCs w:val="16"/>
          <w:lang w:val="pt-BR"/>
        </w:rPr>
      </w:pPr>
      <w:r w:rsidRPr="00176CC6">
        <w:rPr>
          <w:rStyle w:val="Refdenotaalpie"/>
          <w:rFonts w:ascii="Verdana" w:hAnsi="Verdana" w:cs="Arial"/>
          <w:sz w:val="16"/>
          <w:szCs w:val="16"/>
        </w:rPr>
        <w:footnoteRef/>
      </w:r>
      <w:r w:rsidRPr="00176CC6">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176CC6">
        <w:rPr>
          <w:rFonts w:ascii="Verdana" w:hAnsi="Verdana" w:cs="Arial"/>
          <w:sz w:val="16"/>
          <w:szCs w:val="16"/>
          <w:lang w:val="pt-BR"/>
        </w:rPr>
        <w:t>(Corte Constitucional. Sentencia C-671 de 2015. M.P. Alberto Rojas Ríos).</w:t>
      </w:r>
    </w:p>
  </w:footnote>
  <w:footnote w:id="14">
    <w:p w14:paraId="7B97C668" w14:textId="77777777" w:rsidR="00761018" w:rsidRPr="00176CC6" w:rsidRDefault="00761018" w:rsidP="00761018">
      <w:pPr>
        <w:pStyle w:val="Textonotapie"/>
        <w:ind w:firstLine="709"/>
        <w:contextualSpacing/>
        <w:jc w:val="both"/>
        <w:rPr>
          <w:rFonts w:ascii="Verdana" w:hAnsi="Verdana"/>
          <w:sz w:val="16"/>
          <w:szCs w:val="16"/>
          <w:lang w:val="pt-BR"/>
        </w:rPr>
      </w:pPr>
      <w:r w:rsidRPr="00176CC6">
        <w:rPr>
          <w:rStyle w:val="Refdenotaalpie"/>
          <w:rFonts w:ascii="Verdana" w:hAnsi="Verdana"/>
          <w:sz w:val="16"/>
          <w:szCs w:val="16"/>
        </w:rPr>
        <w:footnoteRef/>
      </w:r>
      <w:r w:rsidRPr="00176CC6">
        <w:rPr>
          <w:rFonts w:ascii="Verdana" w:hAnsi="Verdana"/>
          <w:sz w:val="16"/>
          <w:szCs w:val="16"/>
          <w:lang w:val="pt-BR"/>
        </w:rPr>
        <w:t xml:space="preserve"> </w:t>
      </w:r>
      <w:proofErr w:type="spellStart"/>
      <w:r w:rsidRPr="00176CC6">
        <w:rPr>
          <w:rFonts w:ascii="Verdana" w:hAnsi="Verdana" w:cs="Arial"/>
          <w:sz w:val="16"/>
          <w:szCs w:val="16"/>
          <w:lang w:val="pt-BR"/>
        </w:rPr>
        <w:t>Consejo</w:t>
      </w:r>
      <w:proofErr w:type="spellEnd"/>
      <w:r w:rsidRPr="00176CC6">
        <w:rPr>
          <w:rFonts w:ascii="Verdana" w:hAnsi="Verdana" w:cs="Arial"/>
          <w:sz w:val="16"/>
          <w:szCs w:val="16"/>
          <w:lang w:val="pt-BR"/>
        </w:rPr>
        <w:t xml:space="preserve"> de Estado, Sala de </w:t>
      </w:r>
      <w:proofErr w:type="spellStart"/>
      <w:r w:rsidRPr="00176CC6">
        <w:rPr>
          <w:rFonts w:ascii="Verdana" w:hAnsi="Verdana" w:cs="Arial"/>
          <w:sz w:val="16"/>
          <w:szCs w:val="16"/>
          <w:lang w:val="pt-BR"/>
        </w:rPr>
        <w:t>lo</w:t>
      </w:r>
      <w:proofErr w:type="spellEnd"/>
      <w:r w:rsidRPr="00176CC6">
        <w:rPr>
          <w:rFonts w:ascii="Verdana" w:hAnsi="Verdana" w:cs="Arial"/>
          <w:sz w:val="16"/>
          <w:szCs w:val="16"/>
          <w:lang w:val="pt-BR"/>
        </w:rPr>
        <w:t xml:space="preserve"> Contencioso Administrativo, </w:t>
      </w:r>
      <w:proofErr w:type="spellStart"/>
      <w:r w:rsidRPr="00176CC6">
        <w:rPr>
          <w:rFonts w:ascii="Verdana" w:hAnsi="Verdana" w:cs="Arial"/>
          <w:sz w:val="16"/>
          <w:szCs w:val="16"/>
          <w:lang w:val="pt-BR"/>
        </w:rPr>
        <w:t>Sección</w:t>
      </w:r>
      <w:proofErr w:type="spellEnd"/>
      <w:r w:rsidRPr="00176CC6">
        <w:rPr>
          <w:rFonts w:ascii="Verdana" w:hAnsi="Verdana" w:cs="Arial"/>
          <w:sz w:val="16"/>
          <w:szCs w:val="16"/>
          <w:lang w:val="pt-BR"/>
        </w:rPr>
        <w:t xml:space="preserve"> Tercera. Auto </w:t>
      </w:r>
      <w:proofErr w:type="spellStart"/>
      <w:r w:rsidRPr="00176CC6">
        <w:rPr>
          <w:rFonts w:ascii="Verdana" w:hAnsi="Verdana" w:cs="Arial"/>
          <w:sz w:val="16"/>
          <w:szCs w:val="16"/>
          <w:lang w:val="pt-BR"/>
        </w:rPr>
        <w:t>del</w:t>
      </w:r>
      <w:proofErr w:type="spellEnd"/>
      <w:r w:rsidRPr="00176CC6">
        <w:rPr>
          <w:rFonts w:ascii="Verdana" w:hAnsi="Verdana" w:cs="Arial"/>
          <w:sz w:val="16"/>
          <w:szCs w:val="16"/>
          <w:lang w:val="pt-BR"/>
        </w:rPr>
        <w:t xml:space="preserve"> 4 de </w:t>
      </w:r>
      <w:proofErr w:type="spellStart"/>
      <w:r w:rsidRPr="00176CC6">
        <w:rPr>
          <w:rFonts w:ascii="Verdana" w:hAnsi="Verdana" w:cs="Arial"/>
          <w:sz w:val="16"/>
          <w:szCs w:val="16"/>
          <w:lang w:val="pt-BR"/>
        </w:rPr>
        <w:t>octubre</w:t>
      </w:r>
      <w:proofErr w:type="spellEnd"/>
      <w:r w:rsidRPr="00176CC6">
        <w:rPr>
          <w:rFonts w:ascii="Verdana" w:hAnsi="Verdana" w:cs="Arial"/>
          <w:sz w:val="16"/>
          <w:szCs w:val="16"/>
          <w:lang w:val="pt-BR"/>
        </w:rPr>
        <w:t xml:space="preserve"> de 2024. Radicado No. 70.313. MP: Fredy Ibarra Martínez</w:t>
      </w:r>
    </w:p>
  </w:footnote>
  <w:footnote w:id="15">
    <w:p w14:paraId="08A38C3B" w14:textId="77777777" w:rsidR="00761018" w:rsidRPr="0008750E" w:rsidRDefault="00761018" w:rsidP="00761018">
      <w:pPr>
        <w:pStyle w:val="Textonotapie"/>
        <w:ind w:firstLine="708"/>
        <w:contextualSpacing/>
        <w:jc w:val="both"/>
        <w:rPr>
          <w:rFonts w:ascii="Verdana" w:hAnsi="Verdana"/>
          <w:sz w:val="16"/>
          <w:szCs w:val="16"/>
          <w:lang w:val="es-CO"/>
        </w:rPr>
      </w:pPr>
      <w:r w:rsidRPr="0008750E">
        <w:rPr>
          <w:rStyle w:val="Refdenotaalpie"/>
          <w:rFonts w:ascii="Verdana" w:hAnsi="Verdana"/>
          <w:sz w:val="16"/>
          <w:szCs w:val="16"/>
        </w:rPr>
        <w:footnoteRef/>
      </w:r>
      <w:r w:rsidRPr="0008750E">
        <w:rPr>
          <w:rFonts w:ascii="Verdana" w:hAnsi="Verdana"/>
          <w:sz w:val="16"/>
          <w:szCs w:val="16"/>
        </w:rPr>
        <w:t xml:space="preserve"> </w:t>
      </w:r>
      <w:r w:rsidRPr="0008750E">
        <w:rPr>
          <w:rFonts w:ascii="Verdana" w:hAnsi="Verdana"/>
          <w:sz w:val="16"/>
          <w:szCs w:val="16"/>
          <w:lang w:val="es-CO"/>
        </w:rPr>
        <w:t xml:space="preserve">Ley 2166 de 2021, 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 </w:t>
      </w:r>
    </w:p>
    <w:p w14:paraId="05475E12" w14:textId="77777777" w:rsidR="00761018" w:rsidRDefault="00761018" w:rsidP="00761018">
      <w:pPr>
        <w:pStyle w:val="Textonotapie"/>
        <w:ind w:firstLine="708"/>
        <w:contextualSpacing/>
        <w:jc w:val="both"/>
        <w:rPr>
          <w:rFonts w:ascii="Verdana" w:hAnsi="Verdana"/>
          <w:sz w:val="16"/>
          <w:szCs w:val="16"/>
          <w:lang w:val="es-CO"/>
        </w:rPr>
      </w:pPr>
      <w:r w:rsidRPr="0008750E">
        <w:rPr>
          <w:rFonts w:ascii="Verdana" w:hAnsi="Verdana"/>
          <w:sz w:val="16"/>
          <w:szCs w:val="16"/>
          <w:lang w:val="es-CO"/>
        </w:rPr>
        <w:t xml:space="preserve">Parágrafo 1. Los entes podrán incluir en el monto total de los Convenios Solidarios los costos directos, los costos administrativos y el Subsidio al dignatario representante legal para transportes de que trata el literal c) del artículo 38 de la presente ley. </w:t>
      </w:r>
    </w:p>
    <w:p w14:paraId="1DF09994" w14:textId="77777777" w:rsidR="00761018" w:rsidRPr="0008750E" w:rsidRDefault="00761018" w:rsidP="00761018">
      <w:pPr>
        <w:pStyle w:val="Textonotapie"/>
        <w:ind w:firstLine="708"/>
        <w:contextualSpacing/>
        <w:jc w:val="both"/>
        <w:rPr>
          <w:rFonts w:ascii="Verdana" w:hAnsi="Verdana"/>
          <w:sz w:val="16"/>
          <w:szCs w:val="16"/>
        </w:rPr>
      </w:pPr>
      <w:r w:rsidRPr="0008750E">
        <w:rPr>
          <w:rFonts w:ascii="Verdana" w:hAnsi="Verdana"/>
          <w:sz w:val="16"/>
          <w:szCs w:val="16"/>
          <w:lang w:val="es-CO"/>
        </w:rPr>
        <w:t>Parágrafo 2. Adicional del monto del Convenio Solidario, los entes territoriales deberán contar o disponer de personal técnico y administrativo-contable, para supervisar y apoyar a los Organismos de Acción Comunal en la ejecución de las obras</w:t>
      </w:r>
      <w:r>
        <w:rPr>
          <w:rFonts w:ascii="Verdana" w:hAnsi="Verdana"/>
          <w:sz w:val="16"/>
          <w:szCs w:val="16"/>
          <w:lang w:val="es-CO"/>
        </w:rPr>
        <w:t>”</w:t>
      </w:r>
      <w:r w:rsidRPr="0008750E">
        <w:rPr>
          <w:rFonts w:ascii="Verdana" w:hAnsi="Verdana"/>
          <w:sz w:val="16"/>
          <w:szCs w:val="16"/>
          <w:lang w:val="es-CO"/>
        </w:rPr>
        <w:t>.</w:t>
      </w:r>
    </w:p>
  </w:footnote>
  <w:footnote w:id="16">
    <w:p w14:paraId="32408FB8" w14:textId="77777777" w:rsidR="00761018" w:rsidRPr="005F0BB9" w:rsidRDefault="00761018" w:rsidP="00761018">
      <w:pPr>
        <w:pStyle w:val="Textonotapie"/>
        <w:ind w:firstLine="708"/>
        <w:contextualSpacing/>
        <w:jc w:val="both"/>
        <w:rPr>
          <w:rFonts w:ascii="Verdana" w:hAnsi="Verdana"/>
          <w:sz w:val="14"/>
          <w:szCs w:val="14"/>
        </w:rPr>
      </w:pPr>
      <w:r w:rsidRPr="005F0BB9">
        <w:rPr>
          <w:rStyle w:val="Refdenotaalpie"/>
          <w:rFonts w:ascii="Verdana" w:hAnsi="Verdana"/>
          <w:sz w:val="14"/>
          <w:szCs w:val="14"/>
        </w:rPr>
        <w:footnoteRef/>
      </w:r>
      <w:r w:rsidRPr="005F0BB9">
        <w:rPr>
          <w:rFonts w:ascii="Verdana" w:hAnsi="Verdana"/>
          <w:sz w:val="14"/>
          <w:szCs w:val="14"/>
        </w:rPr>
        <w:t xml:space="preserve"> </w:t>
      </w:r>
      <w:r w:rsidRPr="005F0BB9">
        <w:rPr>
          <w:rFonts w:ascii="Verdana" w:hAnsi="Verdana"/>
          <w:sz w:val="14"/>
          <w:szCs w:val="14"/>
          <w:lang w:val="es-CO"/>
        </w:rPr>
        <w:t>Ley 1150 de 2007, Artículo 2.2, literal b): “Se entenderá por menor cuantía los valores que a continuación se relacionan, determinados en función de los presupuestos anuales de las entidades públicas expresados en salarios mínimos legales mensuales. Para las entidades que tengan un presupuesto anual superior o igual a 1.200.000 salarios mínimos legales mensuales, la menor cuantía será hasta 1.000 salarios mínimos legales mensuales. Las que tengan un presupuesto anual superior o igual a 850.000 salarios mínimos legales mensuales e inferiores a 1.200.000 salarios mínimos legales mensuales, la menor cuantía será hasta 850 salarios mínimos legales mensuales.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272CC" w14:textId="77777777" w:rsidR="008C54F3" w:rsidRDefault="008C54F3"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1861B5" wp14:editId="15694E20">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3E6CE5C" wp14:editId="488763C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89AF74A" w14:textId="77777777" w:rsidR="008C54F3" w:rsidRDefault="008C54F3" w:rsidP="00515FB5">
    <w:pPr>
      <w:pStyle w:val="Encabezado"/>
    </w:pPr>
  </w:p>
  <w:p w14:paraId="1C0DC367" w14:textId="77777777" w:rsidR="008C54F3" w:rsidRDefault="008C54F3" w:rsidP="00515FB5">
    <w:pPr>
      <w:pStyle w:val="Encabezado"/>
    </w:pPr>
  </w:p>
  <w:p w14:paraId="58481E49" w14:textId="77777777" w:rsidR="008C54F3" w:rsidRPr="00515FB5" w:rsidRDefault="008C54F3"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76677C1"/>
    <w:multiLevelType w:val="multilevel"/>
    <w:tmpl w:val="DA28E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2"/>
  </w:num>
  <w:num w:numId="3" w16cid:durableId="390349800">
    <w:abstractNumId w:val="3"/>
  </w:num>
  <w:num w:numId="4" w16cid:durableId="20635531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4F3"/>
    <w:rsid w:val="00010F92"/>
    <w:rsid w:val="0002735A"/>
    <w:rsid w:val="00030798"/>
    <w:rsid w:val="000623D9"/>
    <w:rsid w:val="00063564"/>
    <w:rsid w:val="000B2CD1"/>
    <w:rsid w:val="000F5A42"/>
    <w:rsid w:val="00122FD8"/>
    <w:rsid w:val="0014424A"/>
    <w:rsid w:val="00147819"/>
    <w:rsid w:val="00173187"/>
    <w:rsid w:val="0018681B"/>
    <w:rsid w:val="0020637F"/>
    <w:rsid w:val="00207055"/>
    <w:rsid w:val="00214743"/>
    <w:rsid w:val="0023429D"/>
    <w:rsid w:val="00261405"/>
    <w:rsid w:val="00272EA0"/>
    <w:rsid w:val="00284D40"/>
    <w:rsid w:val="0029593C"/>
    <w:rsid w:val="002A799D"/>
    <w:rsid w:val="002E46A5"/>
    <w:rsid w:val="00305D1C"/>
    <w:rsid w:val="003A0DD3"/>
    <w:rsid w:val="003A581D"/>
    <w:rsid w:val="003B29B8"/>
    <w:rsid w:val="003F4BF6"/>
    <w:rsid w:val="0040193E"/>
    <w:rsid w:val="00410A40"/>
    <w:rsid w:val="00414ADF"/>
    <w:rsid w:val="00421B40"/>
    <w:rsid w:val="004323A4"/>
    <w:rsid w:val="00436B1F"/>
    <w:rsid w:val="004440C6"/>
    <w:rsid w:val="00452A51"/>
    <w:rsid w:val="00453E03"/>
    <w:rsid w:val="004A0EC7"/>
    <w:rsid w:val="004A46B0"/>
    <w:rsid w:val="004F196E"/>
    <w:rsid w:val="00521CAE"/>
    <w:rsid w:val="00522447"/>
    <w:rsid w:val="0052412D"/>
    <w:rsid w:val="00541A0C"/>
    <w:rsid w:val="00550A62"/>
    <w:rsid w:val="00564F64"/>
    <w:rsid w:val="00577376"/>
    <w:rsid w:val="0058755A"/>
    <w:rsid w:val="005A65F5"/>
    <w:rsid w:val="005B5F13"/>
    <w:rsid w:val="005E68D1"/>
    <w:rsid w:val="005F0BB9"/>
    <w:rsid w:val="005F6204"/>
    <w:rsid w:val="00670089"/>
    <w:rsid w:val="00690DBC"/>
    <w:rsid w:val="006D6140"/>
    <w:rsid w:val="00704F1A"/>
    <w:rsid w:val="00754E63"/>
    <w:rsid w:val="00761018"/>
    <w:rsid w:val="00767F9A"/>
    <w:rsid w:val="007B78F2"/>
    <w:rsid w:val="0080200D"/>
    <w:rsid w:val="00820201"/>
    <w:rsid w:val="00830065"/>
    <w:rsid w:val="00832BD3"/>
    <w:rsid w:val="00842372"/>
    <w:rsid w:val="008519DA"/>
    <w:rsid w:val="008C54F3"/>
    <w:rsid w:val="008E40F9"/>
    <w:rsid w:val="008F350E"/>
    <w:rsid w:val="00971DE6"/>
    <w:rsid w:val="009A7A13"/>
    <w:rsid w:val="009D3AD5"/>
    <w:rsid w:val="00A12218"/>
    <w:rsid w:val="00A262A5"/>
    <w:rsid w:val="00A342F3"/>
    <w:rsid w:val="00A90678"/>
    <w:rsid w:val="00B30F50"/>
    <w:rsid w:val="00B31864"/>
    <w:rsid w:val="00BD0230"/>
    <w:rsid w:val="00C131FC"/>
    <w:rsid w:val="00C216BA"/>
    <w:rsid w:val="00C24B31"/>
    <w:rsid w:val="00C41761"/>
    <w:rsid w:val="00C711B8"/>
    <w:rsid w:val="00CA43BE"/>
    <w:rsid w:val="00CC2D7A"/>
    <w:rsid w:val="00CE4A84"/>
    <w:rsid w:val="00CF5572"/>
    <w:rsid w:val="00CF7C1C"/>
    <w:rsid w:val="00D138CD"/>
    <w:rsid w:val="00D44B87"/>
    <w:rsid w:val="00D76826"/>
    <w:rsid w:val="00DA0FB2"/>
    <w:rsid w:val="00E76B4A"/>
    <w:rsid w:val="00E7752E"/>
    <w:rsid w:val="00E8395F"/>
    <w:rsid w:val="00EA3A66"/>
    <w:rsid w:val="00EE333F"/>
    <w:rsid w:val="00EE7056"/>
    <w:rsid w:val="00F05838"/>
    <w:rsid w:val="00F103C7"/>
    <w:rsid w:val="00F2247D"/>
    <w:rsid w:val="00F8230B"/>
    <w:rsid w:val="00F82AAC"/>
    <w:rsid w:val="00F9349B"/>
    <w:rsid w:val="00FA04F5"/>
    <w:rsid w:val="00FB6332"/>
    <w:rsid w:val="00FE6A72"/>
    <w:rsid w:val="00FF5A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33E26"/>
  <w15:chartTrackingRefBased/>
  <w15:docId w15:val="{68AA7734-2662-4BF3-9824-D795C44BD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4F3"/>
    <w:rPr>
      <w:kern w:val="0"/>
      <w14:ligatures w14:val="none"/>
    </w:rPr>
  </w:style>
  <w:style w:type="paragraph" w:styleId="Ttulo1">
    <w:name w:val="heading 1"/>
    <w:basedOn w:val="Normal"/>
    <w:next w:val="Normal"/>
    <w:link w:val="Ttulo1Car"/>
    <w:uiPriority w:val="9"/>
    <w:qFormat/>
    <w:rsid w:val="008C54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54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54F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54F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54F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54F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54F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54F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54F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54F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54F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54F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54F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54F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54F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54F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54F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54F3"/>
    <w:rPr>
      <w:rFonts w:eastAsiaTheme="majorEastAsia" w:cstheme="majorBidi"/>
      <w:color w:val="272727" w:themeColor="text1" w:themeTint="D8"/>
    </w:rPr>
  </w:style>
  <w:style w:type="paragraph" w:styleId="Ttulo">
    <w:name w:val="Title"/>
    <w:basedOn w:val="Normal"/>
    <w:next w:val="Normal"/>
    <w:link w:val="TtuloCar"/>
    <w:uiPriority w:val="10"/>
    <w:qFormat/>
    <w:rsid w:val="008C54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54F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54F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54F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54F3"/>
    <w:pPr>
      <w:spacing w:before="160"/>
      <w:jc w:val="center"/>
    </w:pPr>
    <w:rPr>
      <w:i/>
      <w:iCs/>
      <w:color w:val="404040" w:themeColor="text1" w:themeTint="BF"/>
    </w:rPr>
  </w:style>
  <w:style w:type="character" w:customStyle="1" w:styleId="CitaCar">
    <w:name w:val="Cita Car"/>
    <w:basedOn w:val="Fuentedeprrafopredeter"/>
    <w:link w:val="Cita"/>
    <w:uiPriority w:val="29"/>
    <w:rsid w:val="008C54F3"/>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8C54F3"/>
    <w:pPr>
      <w:ind w:left="720"/>
      <w:contextualSpacing/>
    </w:pPr>
  </w:style>
  <w:style w:type="character" w:styleId="nfasisintenso">
    <w:name w:val="Intense Emphasis"/>
    <w:basedOn w:val="Fuentedeprrafopredeter"/>
    <w:uiPriority w:val="21"/>
    <w:qFormat/>
    <w:rsid w:val="008C54F3"/>
    <w:rPr>
      <w:i/>
      <w:iCs/>
      <w:color w:val="0F4761" w:themeColor="accent1" w:themeShade="BF"/>
    </w:rPr>
  </w:style>
  <w:style w:type="paragraph" w:styleId="Citadestacada">
    <w:name w:val="Intense Quote"/>
    <w:basedOn w:val="Normal"/>
    <w:next w:val="Normal"/>
    <w:link w:val="CitadestacadaCar"/>
    <w:uiPriority w:val="30"/>
    <w:qFormat/>
    <w:rsid w:val="008C54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54F3"/>
    <w:rPr>
      <w:i/>
      <w:iCs/>
      <w:color w:val="0F4761" w:themeColor="accent1" w:themeShade="BF"/>
    </w:rPr>
  </w:style>
  <w:style w:type="character" w:styleId="Referenciaintensa">
    <w:name w:val="Intense Reference"/>
    <w:basedOn w:val="Fuentedeprrafopredeter"/>
    <w:uiPriority w:val="32"/>
    <w:qFormat/>
    <w:rsid w:val="008C54F3"/>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C54F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8C54F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8C54F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8C54F3"/>
    <w:rPr>
      <w:vertAlign w:val="superscript"/>
    </w:rPr>
  </w:style>
  <w:style w:type="paragraph" w:customStyle="1" w:styleId="Appelnotedebasde">
    <w:name w:val="Appel note de bas de..."/>
    <w:basedOn w:val="Normal"/>
    <w:link w:val="Refdenotaalpie"/>
    <w:uiPriority w:val="99"/>
    <w:rsid w:val="008C54F3"/>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8C54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C54F3"/>
    <w:rPr>
      <w:kern w:val="0"/>
      <w14:ligatures w14:val="none"/>
    </w:rPr>
  </w:style>
  <w:style w:type="paragraph" w:styleId="Piedepgina">
    <w:name w:val="footer"/>
    <w:basedOn w:val="Normal"/>
    <w:link w:val="PiedepginaCar"/>
    <w:uiPriority w:val="99"/>
    <w:unhideWhenUsed/>
    <w:rsid w:val="008C54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C54F3"/>
    <w:rPr>
      <w:kern w:val="0"/>
      <w14:ligatures w14:val="none"/>
    </w:rPr>
  </w:style>
  <w:style w:type="table" w:styleId="Tablaconcuadrcula">
    <w:name w:val="Table Grid"/>
    <w:basedOn w:val="Tablanormal"/>
    <w:uiPriority w:val="39"/>
    <w:qFormat/>
    <w:rsid w:val="008C54F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C54F3"/>
    <w:rPr>
      <w:color w:val="467886" w:themeColor="hyperlink"/>
      <w:u w:val="single"/>
    </w:rPr>
  </w:style>
  <w:style w:type="character" w:customStyle="1" w:styleId="normaltextrun">
    <w:name w:val="normaltextrun"/>
    <w:basedOn w:val="Fuentedeprrafopredeter"/>
    <w:rsid w:val="008C54F3"/>
  </w:style>
  <w:style w:type="character" w:customStyle="1" w:styleId="eop">
    <w:name w:val="eop"/>
    <w:basedOn w:val="Fuentedeprrafopredeter"/>
    <w:rsid w:val="008C54F3"/>
  </w:style>
  <w:style w:type="paragraph" w:customStyle="1" w:styleId="paragraph">
    <w:name w:val="paragraph"/>
    <w:basedOn w:val="Normal"/>
    <w:rsid w:val="008C54F3"/>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C54F3"/>
  </w:style>
  <w:style w:type="paragraph" w:styleId="NormalWeb">
    <w:name w:val="Normal (Web)"/>
    <w:basedOn w:val="Normal"/>
    <w:link w:val="NormalWebCar"/>
    <w:uiPriority w:val="99"/>
    <w:unhideWhenUsed/>
    <w:rsid w:val="008C54F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8C54F3"/>
    <w:rPr>
      <w:rFonts w:ascii="Times New Roman" w:eastAsia="Times New Roman" w:hAnsi="Times New Roman" w:cs="Times New Roman"/>
      <w:kern w:val="0"/>
      <w:sz w:val="24"/>
      <w:szCs w:val="24"/>
      <w:lang w:eastAsia="es-CO"/>
      <w14:ligatures w14:val="none"/>
    </w:rPr>
  </w:style>
  <w:style w:type="paragraph" w:styleId="Sinespaciado">
    <w:name w:val="No Spacing"/>
    <w:aliases w:val="No Indent"/>
    <w:uiPriority w:val="3"/>
    <w:qFormat/>
    <w:rsid w:val="008C54F3"/>
    <w:pPr>
      <w:spacing w:after="0" w:line="240" w:lineRule="auto"/>
    </w:pPr>
    <w:rPr>
      <w:kern w:val="0"/>
      <w:sz w:val="24"/>
      <w:lang w:val="es-MX"/>
      <w14:ligatures w14:val="none"/>
    </w:rPr>
  </w:style>
  <w:style w:type="character" w:styleId="Mencinsinresolver">
    <w:name w:val="Unresolved Mention"/>
    <w:basedOn w:val="Fuentedeprrafopredeter"/>
    <w:uiPriority w:val="99"/>
    <w:semiHidden/>
    <w:unhideWhenUsed/>
    <w:rsid w:val="008C54F3"/>
    <w:rPr>
      <w:color w:val="605E5C"/>
      <w:shd w:val="clear" w:color="auto" w:fill="E1DFDD"/>
    </w:rPr>
  </w:style>
  <w:style w:type="character" w:customStyle="1" w:styleId="baj">
    <w:name w:val="b_aj"/>
    <w:basedOn w:val="Fuentedeprrafopredeter"/>
    <w:rsid w:val="00FB63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obierno@vergara-cundinamarca.gov.co" TargetMode="External"/><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3.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ombiacompra.gov.c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www.colombiacompra.gov.co/normativa-y-relatoria/circular-unica-externa"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0B348B-E5B6-4709-933E-6EDC38292E45}"/>
</file>

<file path=customXml/itemProps2.xml><?xml version="1.0" encoding="utf-8"?>
<ds:datastoreItem xmlns:ds="http://schemas.openxmlformats.org/officeDocument/2006/customXml" ds:itemID="{C6149355-3471-476A-A8BB-E243A263D322}"/>
</file>

<file path=customXml/itemProps3.xml><?xml version="1.0" encoding="utf-8"?>
<ds:datastoreItem xmlns:ds="http://schemas.openxmlformats.org/officeDocument/2006/customXml" ds:itemID="{766D5A89-83E3-4C2B-8539-9925CA605A32}"/>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168</TotalTime>
  <Pages>20</Pages>
  <Words>6256</Words>
  <Characters>34408</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86</cp:revision>
  <dcterms:created xsi:type="dcterms:W3CDTF">2026-03-30T19:46:00Z</dcterms:created>
  <dcterms:modified xsi:type="dcterms:W3CDTF">2026-05-05T22:27:00Z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