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99A8C0" w14:textId="77777777" w:rsidR="000E41FB" w:rsidRPr="00E86E64" w:rsidRDefault="000E41FB" w:rsidP="004C37DC">
      <w:pPr>
        <w:spacing w:after="0"/>
        <w:rPr>
          <w:rFonts w:ascii="Verdana" w:eastAsia="Verdana" w:hAnsi="Verdana" w:cs="Verdana"/>
        </w:rPr>
      </w:pPr>
      <w:bookmarkStart w:id="0" w:name="_Hlk143780582"/>
    </w:p>
    <w:p w14:paraId="1CDC5BAA" w14:textId="77777777" w:rsidR="00B56580" w:rsidRPr="00E86E64" w:rsidRDefault="00B56580" w:rsidP="00B56580">
      <w:pPr>
        <w:spacing w:after="0"/>
        <w:rPr>
          <w:rFonts w:ascii="Verdana" w:eastAsia="Verdana" w:hAnsi="Verdana" w:cs="Verdana"/>
          <w:b/>
          <w:bCs/>
        </w:rPr>
      </w:pPr>
      <w:r w:rsidRPr="00E86E64">
        <w:rPr>
          <w:rFonts w:ascii="Verdana" w:eastAsia="Verdana" w:hAnsi="Verdana" w:cs="Verdana"/>
          <w:b/>
          <w:bCs/>
        </w:rPr>
        <w:t>MÍNIMA CUANTÍA – Modalidad de selección</w:t>
      </w:r>
    </w:p>
    <w:p w14:paraId="2C15A0F0" w14:textId="77777777" w:rsidR="00B56580" w:rsidRPr="00B56580" w:rsidRDefault="00B56580" w:rsidP="00B56580">
      <w:pPr>
        <w:spacing w:after="0"/>
        <w:rPr>
          <w:rFonts w:ascii="Verdana" w:eastAsia="Verdana" w:hAnsi="Verdana" w:cs="Verdana"/>
        </w:rPr>
      </w:pPr>
    </w:p>
    <w:p w14:paraId="4CB55722" w14:textId="77777777" w:rsidR="00B56580" w:rsidRPr="00475EFE" w:rsidRDefault="00B56580" w:rsidP="00B56580">
      <w:pPr>
        <w:spacing w:after="0"/>
        <w:jc w:val="both"/>
        <w:rPr>
          <w:rFonts w:ascii="Verdana" w:eastAsia="Verdana" w:hAnsi="Verdana" w:cs="Verdana"/>
          <w:sz w:val="20"/>
          <w:szCs w:val="20"/>
        </w:rPr>
      </w:pPr>
      <w:r w:rsidRPr="00475EFE">
        <w:rPr>
          <w:rFonts w:ascii="Verdana" w:eastAsia="Verdana" w:hAnsi="Verdana" w:cs="Verdana"/>
          <w:sz w:val="20"/>
          <w:szCs w:val="20"/>
        </w:rPr>
        <w:t>La mínima cuantía es una modalidad de selección en virtud de la cual la entidad realiza una convocatoria pública para recibir oferta de bienes, obras o servicios, cuyo valor no exceda el diez por ciento (10%) de la menor cuantía de la Entidad Estatal. Es decir, que será procedente cuando se cumpla este requisito, independientemente del objeto a contratar. Esta modalidad establece un procedimiento expedito y competitivo que se rige por lo dispuesto en los artículos 2.2.1.2.1.5.1. a 2.2.1.2.1.5.6. del Decreto 1082 de 2015. En términos generales, se caracteriza porque la entidad podrá exigir una capacidad financiera mínima, la publicación de la invitación se realiza por término no inferior a un (1) día hábil para la formulación de observaciones o comentarios, y porque el único criterio de evaluación para determinar la oferta más favorable es el menor precio.</w:t>
      </w:r>
    </w:p>
    <w:p w14:paraId="5D8CE757" w14:textId="77777777" w:rsidR="000E41FB" w:rsidRPr="00475EFE" w:rsidRDefault="000E41FB" w:rsidP="00B56580">
      <w:pPr>
        <w:spacing w:after="0"/>
        <w:jc w:val="both"/>
        <w:rPr>
          <w:rFonts w:ascii="Verdana" w:eastAsia="Verdana" w:hAnsi="Verdana" w:cs="Verdana"/>
          <w:sz w:val="20"/>
          <w:szCs w:val="20"/>
        </w:rPr>
      </w:pPr>
    </w:p>
    <w:p w14:paraId="212C9D04" w14:textId="77777777" w:rsidR="000E41FB" w:rsidRPr="00475EFE" w:rsidRDefault="000E41FB" w:rsidP="00B56580">
      <w:pPr>
        <w:spacing w:after="0"/>
        <w:jc w:val="both"/>
        <w:rPr>
          <w:rFonts w:ascii="Verdana" w:eastAsia="Verdana" w:hAnsi="Verdana" w:cs="Verdana"/>
          <w:sz w:val="20"/>
          <w:szCs w:val="20"/>
        </w:rPr>
      </w:pPr>
    </w:p>
    <w:p w14:paraId="093D119E" w14:textId="77777777" w:rsidR="000E41FB" w:rsidRPr="00475EFE" w:rsidRDefault="000E41FB" w:rsidP="00B56580">
      <w:pPr>
        <w:spacing w:after="0"/>
        <w:jc w:val="both"/>
        <w:rPr>
          <w:rFonts w:ascii="Verdana" w:eastAsia="Verdana" w:hAnsi="Verdana" w:cs="Verdana"/>
          <w:sz w:val="20"/>
          <w:szCs w:val="20"/>
        </w:rPr>
      </w:pPr>
    </w:p>
    <w:p w14:paraId="6491AB9F" w14:textId="77777777" w:rsidR="000E41FB" w:rsidRDefault="000E41FB" w:rsidP="00B56580">
      <w:pPr>
        <w:spacing w:after="0"/>
        <w:jc w:val="both"/>
        <w:rPr>
          <w:rFonts w:ascii="Verdana" w:eastAsia="Verdana" w:hAnsi="Verdana" w:cs="Verdana"/>
        </w:rPr>
      </w:pPr>
    </w:p>
    <w:p w14:paraId="01BFCABB" w14:textId="77777777" w:rsidR="000E41FB" w:rsidRDefault="000E41FB" w:rsidP="004C37DC">
      <w:pPr>
        <w:spacing w:after="0"/>
        <w:rPr>
          <w:rFonts w:ascii="Verdana" w:eastAsia="Verdana" w:hAnsi="Verdana" w:cs="Verdana"/>
        </w:rPr>
      </w:pPr>
    </w:p>
    <w:p w14:paraId="31EFFE80" w14:textId="77777777" w:rsidR="000E41FB" w:rsidRDefault="000E41FB" w:rsidP="004C37DC">
      <w:pPr>
        <w:spacing w:after="0"/>
        <w:rPr>
          <w:rFonts w:ascii="Verdana" w:eastAsia="Verdana" w:hAnsi="Verdana" w:cs="Verdana"/>
        </w:rPr>
      </w:pPr>
    </w:p>
    <w:p w14:paraId="1CCA3250" w14:textId="77777777" w:rsidR="000E41FB" w:rsidRDefault="000E41FB" w:rsidP="004C37DC">
      <w:pPr>
        <w:spacing w:after="0"/>
        <w:rPr>
          <w:rFonts w:ascii="Verdana" w:eastAsia="Verdana" w:hAnsi="Verdana" w:cs="Verdana"/>
        </w:rPr>
      </w:pPr>
    </w:p>
    <w:p w14:paraId="51C439AD" w14:textId="77777777" w:rsidR="000E41FB" w:rsidRDefault="000E41FB" w:rsidP="004C37DC">
      <w:pPr>
        <w:spacing w:after="0"/>
        <w:rPr>
          <w:rFonts w:ascii="Verdana" w:eastAsia="Verdana" w:hAnsi="Verdana" w:cs="Verdana"/>
        </w:rPr>
      </w:pPr>
    </w:p>
    <w:p w14:paraId="53E3484C" w14:textId="77777777" w:rsidR="000E41FB" w:rsidRDefault="000E41FB" w:rsidP="004C37DC">
      <w:pPr>
        <w:spacing w:after="0"/>
        <w:rPr>
          <w:rFonts w:ascii="Verdana" w:eastAsia="Verdana" w:hAnsi="Verdana" w:cs="Verdana"/>
        </w:rPr>
      </w:pPr>
    </w:p>
    <w:p w14:paraId="6C6ACBE6" w14:textId="77777777" w:rsidR="000E41FB" w:rsidRDefault="000E41FB" w:rsidP="004C37DC">
      <w:pPr>
        <w:spacing w:after="0"/>
        <w:rPr>
          <w:rFonts w:ascii="Verdana" w:eastAsia="Verdana" w:hAnsi="Verdana" w:cs="Verdana"/>
        </w:rPr>
      </w:pPr>
    </w:p>
    <w:p w14:paraId="6EF679D5" w14:textId="77777777" w:rsidR="000E41FB" w:rsidRDefault="000E41FB" w:rsidP="004C37DC">
      <w:pPr>
        <w:spacing w:after="0"/>
        <w:rPr>
          <w:rFonts w:ascii="Verdana" w:eastAsia="Verdana" w:hAnsi="Verdana" w:cs="Verdana"/>
        </w:rPr>
      </w:pPr>
    </w:p>
    <w:p w14:paraId="7F849016" w14:textId="77777777" w:rsidR="000E41FB" w:rsidRDefault="000E41FB" w:rsidP="004C37DC">
      <w:pPr>
        <w:spacing w:after="0"/>
        <w:rPr>
          <w:rFonts w:ascii="Verdana" w:eastAsia="Verdana" w:hAnsi="Verdana" w:cs="Verdana"/>
        </w:rPr>
      </w:pPr>
    </w:p>
    <w:p w14:paraId="49569FBF" w14:textId="77777777" w:rsidR="000E41FB" w:rsidRDefault="000E41FB" w:rsidP="004C37DC">
      <w:pPr>
        <w:spacing w:after="0"/>
        <w:rPr>
          <w:rFonts w:ascii="Verdana" w:eastAsia="Verdana" w:hAnsi="Verdana" w:cs="Verdana"/>
        </w:rPr>
      </w:pPr>
    </w:p>
    <w:p w14:paraId="485787B4" w14:textId="77777777" w:rsidR="000E41FB" w:rsidRDefault="000E41FB" w:rsidP="004C37DC">
      <w:pPr>
        <w:spacing w:after="0"/>
        <w:rPr>
          <w:rFonts w:ascii="Verdana" w:eastAsia="Verdana" w:hAnsi="Verdana" w:cs="Verdana"/>
        </w:rPr>
      </w:pPr>
    </w:p>
    <w:p w14:paraId="04A8419A" w14:textId="77777777" w:rsidR="000E41FB" w:rsidRDefault="000E41FB" w:rsidP="004C37DC">
      <w:pPr>
        <w:spacing w:after="0"/>
        <w:rPr>
          <w:rFonts w:ascii="Verdana" w:eastAsia="Verdana" w:hAnsi="Verdana" w:cs="Verdana"/>
        </w:rPr>
      </w:pPr>
    </w:p>
    <w:p w14:paraId="27C0DDC2" w14:textId="77777777" w:rsidR="000E41FB" w:rsidRDefault="000E41FB" w:rsidP="004C37DC">
      <w:pPr>
        <w:spacing w:after="0"/>
        <w:rPr>
          <w:rFonts w:ascii="Verdana" w:eastAsia="Verdana" w:hAnsi="Verdana" w:cs="Verdana"/>
        </w:rPr>
      </w:pPr>
    </w:p>
    <w:p w14:paraId="2D90A602" w14:textId="77777777" w:rsidR="000E41FB" w:rsidRDefault="000E41FB" w:rsidP="004C37DC">
      <w:pPr>
        <w:spacing w:after="0"/>
        <w:rPr>
          <w:rFonts w:ascii="Verdana" w:eastAsia="Verdana" w:hAnsi="Verdana" w:cs="Verdana"/>
        </w:rPr>
      </w:pPr>
    </w:p>
    <w:p w14:paraId="4916053E" w14:textId="77777777" w:rsidR="000E41FB" w:rsidRDefault="000E41FB" w:rsidP="004C37DC">
      <w:pPr>
        <w:spacing w:after="0"/>
        <w:rPr>
          <w:rFonts w:ascii="Verdana" w:eastAsia="Verdana" w:hAnsi="Verdana" w:cs="Verdana"/>
        </w:rPr>
      </w:pPr>
    </w:p>
    <w:p w14:paraId="1A08A781" w14:textId="77777777" w:rsidR="000E41FB" w:rsidRDefault="000E41FB" w:rsidP="004C37DC">
      <w:pPr>
        <w:spacing w:after="0"/>
        <w:rPr>
          <w:rFonts w:ascii="Verdana" w:eastAsia="Verdana" w:hAnsi="Verdana" w:cs="Verdana"/>
        </w:rPr>
      </w:pPr>
    </w:p>
    <w:p w14:paraId="250B5662" w14:textId="77777777" w:rsidR="000E41FB" w:rsidRDefault="000E41FB" w:rsidP="004C37DC">
      <w:pPr>
        <w:spacing w:after="0"/>
        <w:rPr>
          <w:rFonts w:ascii="Verdana" w:eastAsia="Verdana" w:hAnsi="Verdana" w:cs="Verdana"/>
        </w:rPr>
      </w:pPr>
    </w:p>
    <w:p w14:paraId="23B486F5" w14:textId="77777777" w:rsidR="000E41FB" w:rsidRDefault="000E41FB" w:rsidP="004C37DC">
      <w:pPr>
        <w:spacing w:after="0"/>
        <w:rPr>
          <w:rFonts w:ascii="Verdana" w:eastAsia="Verdana" w:hAnsi="Verdana" w:cs="Verdana"/>
        </w:rPr>
      </w:pPr>
    </w:p>
    <w:p w14:paraId="1C8DEBF1" w14:textId="77777777" w:rsidR="000E41FB" w:rsidRDefault="000E41FB" w:rsidP="004C37DC">
      <w:pPr>
        <w:spacing w:after="0"/>
        <w:rPr>
          <w:rFonts w:ascii="Verdana" w:eastAsia="Verdana" w:hAnsi="Verdana" w:cs="Verdana"/>
        </w:rPr>
      </w:pPr>
    </w:p>
    <w:p w14:paraId="459EE178" w14:textId="77777777" w:rsidR="000E41FB" w:rsidRDefault="000E41FB" w:rsidP="004C37DC">
      <w:pPr>
        <w:spacing w:after="0"/>
        <w:rPr>
          <w:rFonts w:ascii="Verdana" w:eastAsia="Verdana" w:hAnsi="Verdana" w:cs="Verdana"/>
        </w:rPr>
      </w:pPr>
    </w:p>
    <w:p w14:paraId="5CC209E5" w14:textId="77777777" w:rsidR="000E41FB" w:rsidRDefault="000E41FB" w:rsidP="004C37DC">
      <w:pPr>
        <w:spacing w:after="0"/>
        <w:rPr>
          <w:rFonts w:ascii="Verdana" w:eastAsia="Verdana" w:hAnsi="Verdana" w:cs="Verdana"/>
        </w:rPr>
      </w:pPr>
    </w:p>
    <w:p w14:paraId="65E8C729" w14:textId="77777777" w:rsidR="000E41FB" w:rsidRDefault="000E41FB" w:rsidP="004C37DC">
      <w:pPr>
        <w:spacing w:after="0"/>
        <w:rPr>
          <w:rFonts w:ascii="Verdana" w:eastAsia="Verdana" w:hAnsi="Verdana" w:cs="Verdana"/>
        </w:rPr>
      </w:pPr>
    </w:p>
    <w:p w14:paraId="239E806A" w14:textId="77777777" w:rsidR="009255E3" w:rsidRDefault="009255E3" w:rsidP="004C37DC">
      <w:pPr>
        <w:spacing w:after="0"/>
        <w:rPr>
          <w:rFonts w:ascii="Verdana" w:hAnsi="Verdana"/>
        </w:rPr>
      </w:pPr>
    </w:p>
    <w:p w14:paraId="315FB6CB" w14:textId="77777777" w:rsidR="009255E3" w:rsidRDefault="009255E3" w:rsidP="004C37DC">
      <w:pPr>
        <w:spacing w:after="0"/>
        <w:rPr>
          <w:rFonts w:ascii="Verdana" w:hAnsi="Verdana"/>
        </w:rPr>
      </w:pPr>
    </w:p>
    <w:p w14:paraId="5F5B75E7" w14:textId="12B12832" w:rsidR="004C37DC" w:rsidRPr="0024624F" w:rsidRDefault="009255E3" w:rsidP="004C37DC">
      <w:pPr>
        <w:spacing w:after="0"/>
        <w:rPr>
          <w:rFonts w:ascii="Verdana" w:eastAsia="Verdana" w:hAnsi="Verdana" w:cs="Verdana"/>
        </w:rPr>
      </w:pPr>
      <w:r w:rsidRPr="009255E3">
        <w:rPr>
          <w:rFonts w:ascii="Verdana" w:hAnsi="Verdana"/>
        </w:rPr>
        <w:lastRenderedPageBreak/>
        <w:t>Bogotá D.C., 16 Abril 2026</w:t>
      </w:r>
      <w:r w:rsidR="00C15139">
        <w:br/>
      </w:r>
      <w:r w:rsidR="00C15139">
        <w:tab/>
      </w:r>
      <w:r w:rsidR="004C37DC">
        <w:br/>
      </w:r>
      <w:r w:rsidR="004C37DC">
        <w:tab/>
      </w:r>
      <w:r w:rsidR="00E86E64">
        <w:t xml:space="preserve">                                                                        </w:t>
      </w:r>
      <w:r w:rsidR="00E86E64" w:rsidRPr="009E26F6">
        <w:rPr>
          <w:noProof/>
        </w:rPr>
        <w:drawing>
          <wp:inline distT="0" distB="0" distL="0" distR="0" wp14:anchorId="7EDFE0AD" wp14:editId="4C821183">
            <wp:extent cx="2828260" cy="783387"/>
            <wp:effectExtent l="0" t="0" r="0" b="0"/>
            <wp:docPr id="3897085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60413" cy="792293"/>
                    </a:xfrm>
                    <a:prstGeom prst="rect">
                      <a:avLst/>
                    </a:prstGeom>
                    <a:noFill/>
                    <a:ln>
                      <a:noFill/>
                    </a:ln>
                  </pic:spPr>
                </pic:pic>
              </a:graphicData>
            </a:graphic>
          </wp:inline>
        </w:drawing>
      </w:r>
    </w:p>
    <w:p w14:paraId="52C6FC47" w14:textId="77777777" w:rsidR="004C37DC" w:rsidRPr="002E2C12" w:rsidRDefault="004C37DC" w:rsidP="004C37DC">
      <w:pPr>
        <w:spacing w:after="0" w:line="276" w:lineRule="auto"/>
        <w:jc w:val="both"/>
        <w:rPr>
          <w:rFonts w:ascii="Verdana" w:eastAsia="Calibri" w:hAnsi="Verdana" w:cs="Arial"/>
          <w:lang w:eastAsia="es-ES"/>
        </w:rPr>
      </w:pPr>
      <w:r w:rsidRPr="002E2C12">
        <w:rPr>
          <w:rFonts w:ascii="Verdana" w:eastAsia="Calibri" w:hAnsi="Verdana" w:cs="Arial"/>
          <w:lang w:eastAsia="es-ES"/>
        </w:rPr>
        <w:t>Señor</w:t>
      </w:r>
    </w:p>
    <w:p w14:paraId="42BB87C3" w14:textId="77777777" w:rsidR="002E2C12" w:rsidRPr="002E2C12" w:rsidRDefault="002E2C12" w:rsidP="004C37DC">
      <w:pPr>
        <w:spacing w:after="0" w:line="276" w:lineRule="auto"/>
        <w:rPr>
          <w:rFonts w:ascii="Verdana" w:eastAsia="Calibri" w:hAnsi="Verdana" w:cs="Times New Roman"/>
          <w:b/>
          <w:bCs/>
        </w:rPr>
      </w:pPr>
      <w:r w:rsidRPr="002E2C12">
        <w:rPr>
          <w:rFonts w:ascii="Verdana" w:eastAsia="Calibri" w:hAnsi="Verdana" w:cs="Times New Roman"/>
          <w:b/>
          <w:bCs/>
        </w:rPr>
        <w:t xml:space="preserve">Jorge </w:t>
      </w:r>
      <w:r w:rsidR="004C37DC" w:rsidRPr="002E2C12">
        <w:rPr>
          <w:rFonts w:ascii="Verdana" w:eastAsia="Calibri" w:hAnsi="Verdana" w:cs="Times New Roman"/>
          <w:b/>
          <w:bCs/>
        </w:rPr>
        <w:t xml:space="preserve">Andrés </w:t>
      </w:r>
      <w:r w:rsidRPr="002E2C12">
        <w:rPr>
          <w:rFonts w:ascii="Verdana" w:eastAsia="Calibri" w:hAnsi="Verdana" w:cs="Times New Roman"/>
          <w:b/>
          <w:bCs/>
        </w:rPr>
        <w:t>Torres Calderón</w:t>
      </w:r>
    </w:p>
    <w:p w14:paraId="3ECC0DDA" w14:textId="2F3FB410" w:rsidR="002E2C12" w:rsidRPr="002E2C12" w:rsidRDefault="002E2C12" w:rsidP="004C37DC">
      <w:pPr>
        <w:spacing w:after="0" w:line="276" w:lineRule="auto"/>
        <w:rPr>
          <w:rFonts w:ascii="Verdana" w:hAnsi="Verdana"/>
        </w:rPr>
      </w:pPr>
      <w:hyperlink r:id="rId11" w:history="1">
        <w:r w:rsidRPr="002E2C12">
          <w:rPr>
            <w:rStyle w:val="Hipervnculo"/>
            <w:rFonts w:ascii="Verdana" w:hAnsi="Verdana"/>
          </w:rPr>
          <w:t>jandrestorres@hotmail.com</w:t>
        </w:r>
      </w:hyperlink>
    </w:p>
    <w:p w14:paraId="215060EC" w14:textId="3401B672" w:rsidR="004C37DC" w:rsidRPr="002E2C12" w:rsidRDefault="002E2C12" w:rsidP="004C37DC">
      <w:pPr>
        <w:spacing w:line="276" w:lineRule="auto"/>
        <w:rPr>
          <w:rFonts w:ascii="Verdana" w:hAnsi="Verdana"/>
        </w:rPr>
      </w:pPr>
      <w:r w:rsidRPr="002E2C12">
        <w:rPr>
          <w:rFonts w:ascii="Verdana" w:hAnsi="Verdana"/>
        </w:rPr>
        <w:t>Ciudad</w:t>
      </w:r>
    </w:p>
    <w:p w14:paraId="3EE10136" w14:textId="0F0901F7" w:rsidR="004C37DC" w:rsidRPr="00C15DD4" w:rsidRDefault="004C37DC" w:rsidP="004C37DC">
      <w:pPr>
        <w:spacing w:line="276" w:lineRule="auto"/>
        <w:ind w:left="2124"/>
        <w:rPr>
          <w:rFonts w:ascii="Verdana" w:eastAsia="Calibri" w:hAnsi="Verdana" w:cs="Arial"/>
          <w:b/>
          <w:bCs/>
          <w:lang w:eastAsia="es-ES"/>
        </w:rPr>
      </w:pPr>
      <w:r>
        <w:rPr>
          <w:rFonts w:ascii="Verdana" w:eastAsia="Calibri" w:hAnsi="Verdana" w:cs="Arial"/>
          <w:b/>
          <w:bCs/>
          <w:lang w:eastAsia="es-ES"/>
        </w:rPr>
        <w:t xml:space="preserve">        </w:t>
      </w:r>
      <w:r w:rsidRPr="00C15DD4">
        <w:rPr>
          <w:rFonts w:ascii="Verdana" w:eastAsia="Calibri" w:hAnsi="Verdana" w:cs="Arial"/>
          <w:b/>
          <w:bCs/>
          <w:lang w:eastAsia="es-ES"/>
        </w:rPr>
        <w:t xml:space="preserve">Concepto C – </w:t>
      </w:r>
      <w:r w:rsidR="00354CB5">
        <w:rPr>
          <w:rFonts w:ascii="Verdana" w:eastAsia="Calibri" w:hAnsi="Verdana" w:cs="Arial"/>
          <w:b/>
          <w:bCs/>
          <w:lang w:eastAsia="es-ES"/>
        </w:rPr>
        <w:t>460</w:t>
      </w:r>
      <w:r w:rsidRPr="00C15DD4">
        <w:rPr>
          <w:rFonts w:ascii="Verdana" w:eastAsia="Calibri" w:hAnsi="Verdana" w:cs="Arial"/>
          <w:b/>
          <w:bCs/>
          <w:lang w:eastAsia="es-ES"/>
        </w:rPr>
        <w:t xml:space="preserve"> de 20</w:t>
      </w:r>
      <w:r>
        <w:rPr>
          <w:rFonts w:ascii="Verdana" w:eastAsia="Calibri" w:hAnsi="Verdana" w:cs="Arial"/>
          <w:b/>
          <w:bCs/>
          <w:lang w:eastAsia="es-ES"/>
        </w:rPr>
        <w:t>2</w:t>
      </w:r>
      <w:r w:rsidRPr="00C15DD4">
        <w:rPr>
          <w:rFonts w:ascii="Verdana" w:eastAsia="Calibri" w:hAnsi="Verdana" w:cs="Arial"/>
          <w:b/>
          <w:bCs/>
          <w:lang w:eastAsia="es-ES"/>
        </w:rPr>
        <w:t>6</w:t>
      </w: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37DC" w:rsidRPr="00C15DD4" w14:paraId="462985BF" w14:textId="77777777" w:rsidTr="006600B0">
        <w:trPr>
          <w:trHeight w:val="884"/>
        </w:trPr>
        <w:tc>
          <w:tcPr>
            <w:tcW w:w="2689" w:type="dxa"/>
          </w:tcPr>
          <w:p w14:paraId="58F83A73" w14:textId="77777777" w:rsidR="004C37DC" w:rsidRPr="00C15DD4" w:rsidRDefault="004C37DC" w:rsidP="006600B0">
            <w:pPr>
              <w:spacing w:line="276" w:lineRule="auto"/>
              <w:jc w:val="both"/>
              <w:rPr>
                <w:rFonts w:ascii="Verdana" w:eastAsia="Calibri" w:hAnsi="Verdana" w:cs="Arial"/>
                <w:color w:val="000000"/>
                <w:lang w:eastAsia="es-ES_tradnl"/>
              </w:rPr>
            </w:pPr>
            <w:r w:rsidRPr="00C15DD4">
              <w:rPr>
                <w:rFonts w:ascii="Verdana" w:eastAsia="Calibri" w:hAnsi="Verdana" w:cs="Arial"/>
                <w:b/>
                <w:color w:val="000000"/>
                <w:lang w:eastAsia="es-ES_tradnl"/>
              </w:rPr>
              <w:t>Temas:</w:t>
            </w:r>
            <w:r w:rsidRPr="00C15DD4">
              <w:rPr>
                <w:rFonts w:ascii="Verdana" w:eastAsia="Calibri" w:hAnsi="Verdana" w:cs="Arial"/>
                <w:color w:val="000000"/>
                <w:lang w:eastAsia="es-ES_tradnl"/>
              </w:rPr>
              <w:t xml:space="preserve">                   </w:t>
            </w:r>
          </w:p>
        </w:tc>
        <w:tc>
          <w:tcPr>
            <w:tcW w:w="6100" w:type="dxa"/>
          </w:tcPr>
          <w:p w14:paraId="25518709" w14:textId="00601CA7" w:rsidR="00CC3143" w:rsidRPr="00043AFE" w:rsidRDefault="00CC3143" w:rsidP="00CC3143">
            <w:pPr>
              <w:jc w:val="both"/>
              <w:rPr>
                <w:rFonts w:ascii="Verdana" w:hAnsi="Verdana" w:cs="Arial"/>
                <w:bCs/>
              </w:rPr>
            </w:pPr>
            <w:r w:rsidRPr="00043AFE">
              <w:rPr>
                <w:rFonts w:ascii="Verdana" w:hAnsi="Verdana" w:cs="Arial"/>
                <w:bCs/>
                <w:lang w:val="es-MX"/>
              </w:rPr>
              <w:t xml:space="preserve">EVALUACIÓN DEL PRECIO ‒ Selección objetiva / EVALUACION DEL PRECIO – Principio de igualdad / </w:t>
            </w:r>
            <w:r w:rsidRPr="00043AFE">
              <w:rPr>
                <w:rFonts w:ascii="Verdana" w:hAnsi="Verdana" w:cs="Arial"/>
                <w:bCs/>
                <w:color w:val="000000" w:themeColor="text1"/>
                <w:lang w:val="es-MX"/>
              </w:rPr>
              <w:t xml:space="preserve">/ </w:t>
            </w:r>
            <w:r w:rsidRPr="00043AFE">
              <w:rPr>
                <w:rFonts w:ascii="Verdana" w:hAnsi="Verdana" w:cs="Arial"/>
                <w:bCs/>
              </w:rPr>
              <w:t>MINIMA CUANTÍA – Factor de escogencia – Menor precio</w:t>
            </w:r>
          </w:p>
          <w:p w14:paraId="519116EE" w14:textId="77777777" w:rsidR="004C37DC" w:rsidRPr="00992288" w:rsidRDefault="004C37DC" w:rsidP="006600B0">
            <w:pPr>
              <w:jc w:val="both"/>
              <w:rPr>
                <w:rFonts w:ascii="Verdana" w:eastAsia="Calibri" w:hAnsi="Verdana" w:cs="Arial"/>
                <w:lang w:eastAsia="es-ES"/>
              </w:rPr>
            </w:pPr>
          </w:p>
        </w:tc>
      </w:tr>
      <w:tr w:rsidR="004C37DC" w:rsidRPr="00C15DD4" w14:paraId="3BF6586F" w14:textId="77777777" w:rsidTr="006600B0">
        <w:tc>
          <w:tcPr>
            <w:tcW w:w="2689" w:type="dxa"/>
          </w:tcPr>
          <w:p w14:paraId="41FCCFB2" w14:textId="77777777" w:rsidR="004C37DC" w:rsidRPr="00C15DD4" w:rsidRDefault="004C37DC" w:rsidP="006600B0">
            <w:pPr>
              <w:spacing w:line="276" w:lineRule="auto"/>
              <w:jc w:val="both"/>
              <w:rPr>
                <w:rFonts w:ascii="Verdana" w:eastAsia="Calibri" w:hAnsi="Verdana" w:cs="Arial"/>
                <w:b/>
                <w:lang w:eastAsia="es-ES_tradnl"/>
              </w:rPr>
            </w:pP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1AB8BB4E" w14:textId="5E7DCB6D" w:rsidR="004C37DC" w:rsidRPr="00C15DD4" w:rsidRDefault="004C37DC" w:rsidP="006600B0">
            <w:pPr>
              <w:spacing w:line="276" w:lineRule="auto"/>
              <w:jc w:val="both"/>
              <w:rPr>
                <w:rFonts w:ascii="Verdana" w:eastAsia="Calibri" w:hAnsi="Verdana" w:cs="Arial"/>
                <w:lang w:eastAsia="es-ES_tradnl"/>
              </w:rPr>
            </w:pPr>
            <w:r w:rsidRPr="00C15DD4">
              <w:rPr>
                <w:rFonts w:ascii="Verdana" w:eastAsia="Calibri" w:hAnsi="Verdana" w:cs="Arial"/>
                <w:lang w:eastAsia="es-ES_tradnl"/>
              </w:rPr>
              <w:t xml:space="preserve">Respuesta a consultas con radicado No. </w:t>
            </w:r>
            <w:r w:rsidR="009839D7" w:rsidRPr="009839D7">
              <w:rPr>
                <w:rFonts w:ascii="Verdana" w:eastAsia="Calibri" w:hAnsi="Verdana" w:cs="Arial"/>
                <w:lang w:eastAsia="es-ES_tradnl"/>
              </w:rPr>
              <w:t>1_2026_03_19_003879</w:t>
            </w:r>
          </w:p>
        </w:tc>
      </w:tr>
    </w:tbl>
    <w:p w14:paraId="74AB5D88" w14:textId="3ECFCED8" w:rsidR="004C37DC" w:rsidRPr="00992288" w:rsidRDefault="004C37DC" w:rsidP="004C37DC">
      <w:pPr>
        <w:spacing w:before="240" w:after="0" w:line="276" w:lineRule="auto"/>
        <w:jc w:val="both"/>
        <w:rPr>
          <w:rFonts w:ascii="Verdana" w:eastAsia="Calibri" w:hAnsi="Verdana" w:cs="Arial"/>
          <w:lang w:eastAsia="es-ES"/>
        </w:rPr>
      </w:pPr>
      <w:r w:rsidRPr="00C15DD4">
        <w:rPr>
          <w:rFonts w:ascii="Verdana" w:eastAsia="Calibri" w:hAnsi="Verdana" w:cs="Arial"/>
          <w:lang w:eastAsia="es-ES"/>
        </w:rPr>
        <w:t xml:space="preserve">Estimado </w:t>
      </w:r>
      <w:r>
        <w:rPr>
          <w:rFonts w:ascii="Verdana" w:eastAsia="Calibri" w:hAnsi="Verdana" w:cs="Arial"/>
          <w:lang w:eastAsia="es-ES"/>
        </w:rPr>
        <w:t>señor T</w:t>
      </w:r>
      <w:r w:rsidR="007F6BA7">
        <w:rPr>
          <w:rFonts w:ascii="Verdana" w:eastAsia="Calibri" w:hAnsi="Verdana" w:cs="Arial"/>
          <w:lang w:eastAsia="es-ES"/>
        </w:rPr>
        <w:t>orres</w:t>
      </w:r>
      <w:r>
        <w:rPr>
          <w:rFonts w:ascii="Verdana" w:eastAsia="Calibri" w:hAnsi="Verdana" w:cs="Arial"/>
          <w:lang w:eastAsia="es-ES"/>
        </w:rPr>
        <w:t>,</w:t>
      </w:r>
    </w:p>
    <w:p w14:paraId="6D3027FC" w14:textId="195F14CC" w:rsidR="004C37DC" w:rsidRPr="00C15DD4" w:rsidRDefault="004C37DC" w:rsidP="004C37DC">
      <w:pPr>
        <w:spacing w:before="240"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en el artículo 4 de la Resolución 1707 de 2018 expedida por esta Entidad, </w:t>
      </w:r>
      <w:r w:rsidRPr="00C15DD4">
        <w:rPr>
          <w:rFonts w:ascii="Verdana" w:eastAsia="Calibri" w:hAnsi="Verdana" w:cs="Arial"/>
          <w:color w:val="000000"/>
          <w:lang w:eastAsia="es-ES"/>
        </w:rPr>
        <w:t xml:space="preserve">la Agencia Nacional de Contratación Pública – Colombia Compra Eficiente responde su solicitud de concepto del </w:t>
      </w:r>
      <w:r w:rsidR="00912B14">
        <w:rPr>
          <w:rFonts w:ascii="Verdana" w:eastAsia="Calibri" w:hAnsi="Verdana" w:cs="Arial"/>
          <w:color w:val="000000"/>
          <w:lang w:eastAsia="es-ES"/>
        </w:rPr>
        <w:t xml:space="preserve">19 </w:t>
      </w:r>
      <w:r w:rsidRPr="00C15DD4">
        <w:rPr>
          <w:rFonts w:ascii="Verdana" w:eastAsia="Calibri" w:hAnsi="Verdana" w:cs="Arial"/>
          <w:color w:val="000000"/>
          <w:lang w:eastAsia="es-ES"/>
        </w:rPr>
        <w:t xml:space="preserve">de </w:t>
      </w:r>
      <w:r>
        <w:rPr>
          <w:rFonts w:ascii="Verdana" w:eastAsia="Calibri" w:hAnsi="Verdana" w:cs="Arial"/>
          <w:color w:val="000000"/>
          <w:lang w:eastAsia="es-ES"/>
        </w:rPr>
        <w:t>marzo</w:t>
      </w:r>
      <w:r w:rsidRPr="00C15DD4">
        <w:rPr>
          <w:rFonts w:ascii="Verdana" w:eastAsia="Calibri" w:hAnsi="Verdana" w:cs="Arial"/>
          <w:color w:val="000000"/>
          <w:lang w:eastAsia="es-ES"/>
        </w:rPr>
        <w:t xml:space="preserve">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1" w:name="_Hlk95313578"/>
    </w:p>
    <w:p w14:paraId="6B7AD8DE" w14:textId="77777777" w:rsidR="004C37DC" w:rsidRPr="00C15DD4" w:rsidRDefault="004C37DC" w:rsidP="004C37DC">
      <w:pPr>
        <w:spacing w:after="0" w:line="276" w:lineRule="auto"/>
        <w:jc w:val="both"/>
        <w:rPr>
          <w:rFonts w:ascii="Verdana" w:eastAsia="Calibri" w:hAnsi="Verdana" w:cs="Arial"/>
          <w:i/>
          <w:iCs/>
          <w:lang w:eastAsia="es-ES"/>
        </w:rPr>
      </w:pPr>
    </w:p>
    <w:p w14:paraId="6E4DF561" w14:textId="7E01B1E1" w:rsidR="004C37DC" w:rsidRPr="00C15DD4" w:rsidRDefault="004C37DC" w:rsidP="008B5399">
      <w:pPr>
        <w:spacing w:after="0" w:line="276" w:lineRule="auto"/>
        <w:ind w:left="709" w:right="709"/>
        <w:jc w:val="both"/>
        <w:rPr>
          <w:rFonts w:ascii="Verdana" w:eastAsia="Aptos" w:hAnsi="Verdana" w:cs="Times New Roman"/>
          <w:kern w:val="2"/>
          <w14:ligatures w14:val="standardContextual"/>
        </w:rPr>
      </w:pPr>
      <w:r w:rsidRPr="00E32F02">
        <w:rPr>
          <w:rFonts w:ascii="Verdana" w:eastAsia="Arial" w:hAnsi="Verdana" w:cs="Arial"/>
          <w:i/>
          <w:iCs/>
          <w:color w:val="000000" w:themeColor="text1"/>
          <w:sz w:val="20"/>
          <w:szCs w:val="20"/>
        </w:rPr>
        <w:t>“</w:t>
      </w:r>
      <w:bookmarkEnd w:id="1"/>
      <w:r w:rsidRPr="00E32F02">
        <w:rPr>
          <w:rFonts w:ascii="Verdana" w:eastAsia="Arial" w:hAnsi="Verdana" w:cs="Arial"/>
          <w:i/>
          <w:iCs/>
          <w:color w:val="000000" w:themeColor="text1"/>
          <w:sz w:val="20"/>
          <w:szCs w:val="20"/>
        </w:rPr>
        <w:t xml:space="preserve">(…) </w:t>
      </w:r>
      <w:r w:rsidR="00327A3B" w:rsidRPr="00327A3B">
        <w:rPr>
          <w:rFonts w:ascii="Verdana" w:eastAsia="Arial" w:hAnsi="Verdana" w:cs="Arial"/>
          <w:i/>
          <w:iCs/>
          <w:color w:val="000000" w:themeColor="text1"/>
          <w:sz w:val="20"/>
          <w:szCs w:val="20"/>
        </w:rPr>
        <w:t>se solicita respetuosamente que se pronuncie de manera clara frente a las inquietudes planteadas, determinando si se ratifica la postura de un único informe de evaluación en la mínima cuantía o se precisa el “deber ser” de la entidad en términos normativos,</w:t>
      </w:r>
      <w:r w:rsidR="008B5399">
        <w:rPr>
          <w:rFonts w:ascii="Verdana" w:eastAsia="Arial" w:hAnsi="Verdana" w:cs="Arial"/>
          <w:i/>
          <w:iCs/>
          <w:color w:val="000000" w:themeColor="text1"/>
          <w:sz w:val="20"/>
          <w:szCs w:val="20"/>
        </w:rPr>
        <w:t xml:space="preserve"> </w:t>
      </w:r>
      <w:r w:rsidRPr="00E32F02">
        <w:rPr>
          <w:rFonts w:ascii="Verdana" w:eastAsia="Aptos" w:hAnsi="Verdana" w:cs="Times New Roman"/>
          <w:i/>
          <w:iCs/>
          <w:kern w:val="2"/>
          <w:sz w:val="20"/>
          <w:szCs w:val="20"/>
          <w14:ligatures w14:val="standardContextual"/>
        </w:rPr>
        <w:t>(…)</w:t>
      </w:r>
      <w:r w:rsidRPr="00E32F02">
        <w:rPr>
          <w:rFonts w:ascii="Verdana" w:eastAsia="Calibri" w:hAnsi="Verdana" w:cs="Times New Roman"/>
          <w:i/>
          <w:iCs/>
          <w:sz w:val="20"/>
          <w:szCs w:val="20"/>
        </w:rPr>
        <w:t>”.</w:t>
      </w:r>
    </w:p>
    <w:p w14:paraId="3FCB7EE7" w14:textId="77777777" w:rsidR="004C37DC" w:rsidRPr="00C15DD4" w:rsidRDefault="004C37DC" w:rsidP="008B5399">
      <w:pPr>
        <w:spacing w:before="240"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C15DD4">
        <w:rPr>
          <w:rFonts w:ascii="Verdana" w:eastAsia="Calibri" w:hAnsi="Verdana" w:cs="Arial"/>
          <w:color w:val="000000"/>
          <w:lang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7CD036B6" w14:textId="77777777" w:rsidR="004C37DC" w:rsidRPr="00C15DD4" w:rsidRDefault="004C37DC" w:rsidP="004C37DC">
      <w:pPr>
        <w:spacing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5ACFD94E" w14:textId="77777777" w:rsidR="004C37DC" w:rsidRPr="00B52ACA" w:rsidRDefault="004C37DC" w:rsidP="004C37DC">
      <w:pPr>
        <w:pStyle w:val="Prrafodelista"/>
        <w:numPr>
          <w:ilvl w:val="0"/>
          <w:numId w:val="16"/>
        </w:numPr>
        <w:rPr>
          <w:rFonts w:ascii="Verdana" w:hAnsi="Verdana"/>
          <w:b/>
          <w:bCs/>
        </w:rPr>
      </w:pPr>
      <w:r w:rsidRPr="00B52ACA">
        <w:rPr>
          <w:rFonts w:ascii="Verdana" w:hAnsi="Verdana"/>
          <w:b/>
          <w:bCs/>
        </w:rPr>
        <w:t>Problema planteado:</w:t>
      </w:r>
    </w:p>
    <w:p w14:paraId="3D800E93" w14:textId="21682CCC" w:rsidR="007241AD" w:rsidRDefault="004C37DC" w:rsidP="007241AD">
      <w:pPr>
        <w:spacing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proofErr w:type="gramStart"/>
      <w:r w:rsidR="00F8390C" w:rsidRPr="00BB7301">
        <w:rPr>
          <w:rFonts w:ascii="Verdana" w:eastAsia="Century Gothic" w:hAnsi="Verdana" w:cs="Century Gothic"/>
        </w:rPr>
        <w:t>¿De qué manera debe elaborarse el informe de evaluación en los procesos de selección bajo la modalidad de mínima cuantía, prevista en el numeral 5 del artículo 2</w:t>
      </w:r>
      <w:r w:rsidR="00F8390C">
        <w:rPr>
          <w:rFonts w:ascii="Verdana" w:eastAsia="Century Gothic" w:hAnsi="Verdana" w:cs="Century Gothic"/>
        </w:rPr>
        <w:t>.</w:t>
      </w:r>
      <w:proofErr w:type="gramEnd"/>
      <w:r w:rsidR="00BB7301" w:rsidRPr="00BB7301">
        <w:rPr>
          <w:rFonts w:ascii="Verdana" w:eastAsia="Century Gothic" w:hAnsi="Verdana" w:cs="Century Gothic"/>
        </w:rPr>
        <w:t>2.1.2.1.5.2 del Decreto 1082 de 2015, cuando concurren varios oferentes?</w:t>
      </w:r>
    </w:p>
    <w:p w14:paraId="3F5E8D54" w14:textId="53DC3A3F" w:rsidR="004C37DC" w:rsidRPr="007241AD" w:rsidRDefault="004C37DC" w:rsidP="007241AD">
      <w:pPr>
        <w:pStyle w:val="Prrafodelista"/>
        <w:numPr>
          <w:ilvl w:val="0"/>
          <w:numId w:val="16"/>
        </w:numPr>
        <w:spacing w:line="276" w:lineRule="auto"/>
        <w:jc w:val="both"/>
        <w:rPr>
          <w:rFonts w:ascii="Verdana" w:eastAsia="Century Gothic" w:hAnsi="Verdana" w:cs="Century Gothic"/>
          <w:b/>
          <w:bCs/>
        </w:rPr>
      </w:pPr>
      <w:r w:rsidRPr="007241AD">
        <w:rPr>
          <w:rFonts w:ascii="Verdana" w:eastAsia="Century Gothic" w:hAnsi="Verdana" w:cs="Century Gothic"/>
          <w:b/>
          <w:bCs/>
        </w:rPr>
        <w:t>Respuesta:</w:t>
      </w: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37DC" w:rsidRPr="00593A5F" w14:paraId="221D6611" w14:textId="77777777" w:rsidTr="006600B0">
        <w:trPr>
          <w:jc w:val="center"/>
        </w:trPr>
        <w:tc>
          <w:tcPr>
            <w:tcW w:w="8828" w:type="dxa"/>
          </w:tcPr>
          <w:p w14:paraId="23BA563A" w14:textId="05921483" w:rsidR="003F641E" w:rsidRPr="003F641E" w:rsidRDefault="003F641E" w:rsidP="003F641E">
            <w:pPr>
              <w:widowControl w:val="0"/>
              <w:autoSpaceDE w:val="0"/>
              <w:autoSpaceDN w:val="0"/>
              <w:spacing w:after="120" w:line="276" w:lineRule="auto"/>
              <w:ind w:right="113"/>
              <w:jc w:val="both"/>
              <w:rPr>
                <w:rFonts w:ascii="Verdana" w:eastAsia="Times New Roman" w:hAnsi="Verdana" w:cs="Arial"/>
                <w:lang w:eastAsia="es-CO"/>
              </w:rPr>
            </w:pPr>
            <w:bookmarkStart w:id="2" w:name="_Hlk171694685"/>
            <w:r w:rsidRPr="003F641E">
              <w:rPr>
                <w:rFonts w:ascii="Verdana" w:eastAsia="Times New Roman" w:hAnsi="Verdana" w:cs="Arial"/>
                <w:lang w:eastAsia="es-CO"/>
              </w:rPr>
              <w:t>En atención a la consulta planteada</w:t>
            </w:r>
            <w:r w:rsidR="00C048A6">
              <w:rPr>
                <w:rFonts w:ascii="Verdana" w:eastAsia="Times New Roman" w:hAnsi="Verdana" w:cs="Arial"/>
                <w:lang w:eastAsia="es-CO"/>
              </w:rPr>
              <w:t xml:space="preserve"> por usted,</w:t>
            </w:r>
            <w:r w:rsidRPr="003F641E">
              <w:rPr>
                <w:rFonts w:ascii="Verdana" w:eastAsia="Times New Roman" w:hAnsi="Verdana" w:cs="Arial"/>
                <w:lang w:eastAsia="es-CO"/>
              </w:rPr>
              <w:t xml:space="preserve"> relativa a la forma en que debe elaborarse el informe de evaluación cuando concurren múltiples oferentes en procesos de selección bajo la modalidad de mínima cuantía, es pertinente señalar</w:t>
            </w:r>
            <w:r w:rsidR="00C048A6">
              <w:rPr>
                <w:rFonts w:ascii="Verdana" w:eastAsia="Times New Roman" w:hAnsi="Verdana" w:cs="Arial"/>
                <w:lang w:eastAsia="es-CO"/>
              </w:rPr>
              <w:t xml:space="preserve"> que esta Agencia se permite mantener su postura y reiterar </w:t>
            </w:r>
            <w:r w:rsidR="00FF4802">
              <w:rPr>
                <w:rFonts w:ascii="Verdana" w:eastAsia="Times New Roman" w:hAnsi="Verdana" w:cs="Arial"/>
                <w:lang w:eastAsia="es-CO"/>
              </w:rPr>
              <w:t>los pronunciamientos que al respecto han sido emitidos.</w:t>
            </w:r>
          </w:p>
          <w:p w14:paraId="6C3C3078" w14:textId="45D3057D" w:rsidR="003F641E" w:rsidRPr="003F641E" w:rsidRDefault="002C2367" w:rsidP="003F641E">
            <w:pPr>
              <w:widowControl w:val="0"/>
              <w:autoSpaceDE w:val="0"/>
              <w:autoSpaceDN w:val="0"/>
              <w:spacing w:after="120" w:line="276" w:lineRule="auto"/>
              <w:ind w:right="113"/>
              <w:jc w:val="both"/>
              <w:rPr>
                <w:rFonts w:ascii="Verdana" w:eastAsia="Times New Roman" w:hAnsi="Verdana" w:cs="Arial"/>
                <w:lang w:eastAsia="es-CO"/>
              </w:rPr>
            </w:pPr>
            <w:r>
              <w:rPr>
                <w:rFonts w:ascii="Verdana" w:eastAsia="Times New Roman" w:hAnsi="Verdana" w:cs="Arial"/>
                <w:lang w:eastAsia="es-CO"/>
              </w:rPr>
              <w:t>En ese sentido, e</w:t>
            </w:r>
            <w:r w:rsidR="003F641E" w:rsidRPr="003F641E">
              <w:rPr>
                <w:rFonts w:ascii="Verdana" w:eastAsia="Times New Roman" w:hAnsi="Verdana" w:cs="Arial"/>
                <w:lang w:eastAsia="es-CO"/>
              </w:rPr>
              <w:t>l numeral 5 del artículo 2.2.1.2.1.5.2 del Decreto 1082 de 2015 dispone expresamente que la Entidad Estatal debe publicar “el informe de evaluación de las ofertas”, en plural. Esta previsión normativa implica que, en principio, debe elaborarse un único documento que dé cuenta integral del proceso evaluativo adelantado hasta ese momento. En dicho informe se deben identificar todos los proponentes que presentaron oferta, así como el valor económico de cada una de ellas, preferiblemente organizadas en orden ascendente, esto es, del menor al mayor precio.</w:t>
            </w:r>
          </w:p>
          <w:p w14:paraId="49DEBD2A" w14:textId="77777777" w:rsidR="003F641E" w:rsidRPr="003F641E" w:rsidRDefault="003F641E" w:rsidP="003F641E">
            <w:pPr>
              <w:widowControl w:val="0"/>
              <w:autoSpaceDE w:val="0"/>
              <w:autoSpaceDN w:val="0"/>
              <w:spacing w:after="120" w:line="276" w:lineRule="auto"/>
              <w:ind w:right="113"/>
              <w:jc w:val="both"/>
              <w:rPr>
                <w:rFonts w:ascii="Verdana" w:eastAsia="Times New Roman" w:hAnsi="Verdana" w:cs="Arial"/>
                <w:lang w:eastAsia="es-CO"/>
              </w:rPr>
            </w:pPr>
            <w:r w:rsidRPr="003F641E">
              <w:rPr>
                <w:rFonts w:ascii="Verdana" w:eastAsia="Times New Roman" w:hAnsi="Verdana" w:cs="Arial"/>
                <w:lang w:eastAsia="es-CO"/>
              </w:rPr>
              <w:t xml:space="preserve">A partir de lo anterior, el informe debe desarrollar la verificación de la oferta con el menor precio, indicando de manera expresa si esta cumple o no con </w:t>
            </w:r>
            <w:r w:rsidRPr="003F641E">
              <w:rPr>
                <w:rFonts w:ascii="Verdana" w:eastAsia="Times New Roman" w:hAnsi="Verdana" w:cs="Arial"/>
                <w:lang w:eastAsia="es-CO"/>
              </w:rPr>
              <w:lastRenderedPageBreak/>
              <w:t>los requisitos habilitantes y las condiciones técnicas mínimas exigidas. En caso de cumplimiento, el informe deberá consignar dicha conclusión, sin que resulte necesario efectuar una revisión detallada de las demás ofertas, bastando con dejar constancia de que, en aplicación del procedimiento secuencial previsto en la norma, no se requería su análisis.</w:t>
            </w:r>
          </w:p>
          <w:p w14:paraId="3F7AE966" w14:textId="77777777" w:rsidR="003F641E" w:rsidRPr="003F641E" w:rsidRDefault="003F641E" w:rsidP="003F641E">
            <w:pPr>
              <w:widowControl w:val="0"/>
              <w:autoSpaceDE w:val="0"/>
              <w:autoSpaceDN w:val="0"/>
              <w:spacing w:after="120" w:line="276" w:lineRule="auto"/>
              <w:ind w:right="113"/>
              <w:jc w:val="both"/>
              <w:rPr>
                <w:rFonts w:ascii="Verdana" w:eastAsia="Times New Roman" w:hAnsi="Verdana" w:cs="Arial"/>
                <w:lang w:eastAsia="es-CO"/>
              </w:rPr>
            </w:pPr>
            <w:r w:rsidRPr="003F641E">
              <w:rPr>
                <w:rFonts w:ascii="Verdana" w:eastAsia="Times New Roman" w:hAnsi="Verdana" w:cs="Arial"/>
                <w:lang w:eastAsia="es-CO"/>
              </w:rPr>
              <w:t>Por el contrario, si la oferta de menor precio no cumple con los requisitos exigidos, el informe deberá señalar las razones de dicho incumplimiento y proceder a la verificación de la siguiente oferta en orden ascendente de precio, y así sucesivamente, hasta identificar aquella que, siendo la de menor precio entre las habilitadas, satisfaga la totalidad de las condiciones establecidas. En este sentido, resulta jurídicamente viable y acorde con la normativa vigente la expedición de un solo informe de evaluación que contenga el análisis secuencial de las ofertas, independientemente del número de proponentes.</w:t>
            </w:r>
          </w:p>
          <w:p w14:paraId="0BB1F395" w14:textId="77777777" w:rsidR="003F641E" w:rsidRPr="003F641E" w:rsidRDefault="003F641E" w:rsidP="003F641E">
            <w:pPr>
              <w:widowControl w:val="0"/>
              <w:autoSpaceDE w:val="0"/>
              <w:autoSpaceDN w:val="0"/>
              <w:spacing w:after="120" w:line="276" w:lineRule="auto"/>
              <w:ind w:right="113"/>
              <w:jc w:val="both"/>
              <w:rPr>
                <w:rFonts w:ascii="Verdana" w:eastAsia="Times New Roman" w:hAnsi="Verdana" w:cs="Arial"/>
                <w:lang w:eastAsia="es-CO"/>
              </w:rPr>
            </w:pPr>
            <w:r w:rsidRPr="003F641E">
              <w:rPr>
                <w:rFonts w:ascii="Verdana" w:eastAsia="Times New Roman" w:hAnsi="Verdana" w:cs="Arial"/>
                <w:lang w:eastAsia="es-CO"/>
              </w:rPr>
              <w:t>Este esquema de evaluación secuencial constituye una manifestación del principio de economía que rige la contratación estatal, en la medida en que propende por la eficiencia, celeridad y racionalización de los recursos en la gestión contractual, evitando verificaciones innecesarias cuando ya se ha identificado una oferta que cumple con las condiciones exigidas.</w:t>
            </w:r>
          </w:p>
          <w:p w14:paraId="0964BB30" w14:textId="7AC6DCAB" w:rsidR="003F641E" w:rsidRPr="003F641E" w:rsidRDefault="003F641E" w:rsidP="003F641E">
            <w:pPr>
              <w:widowControl w:val="0"/>
              <w:autoSpaceDE w:val="0"/>
              <w:autoSpaceDN w:val="0"/>
              <w:spacing w:after="120" w:line="276" w:lineRule="auto"/>
              <w:ind w:right="113"/>
              <w:jc w:val="both"/>
              <w:rPr>
                <w:rFonts w:ascii="Verdana" w:eastAsia="Times New Roman" w:hAnsi="Verdana" w:cs="Arial"/>
                <w:lang w:eastAsia="es-CO"/>
              </w:rPr>
            </w:pPr>
            <w:r w:rsidRPr="003F641E">
              <w:rPr>
                <w:rFonts w:ascii="Verdana" w:eastAsia="Times New Roman" w:hAnsi="Verdana" w:cs="Arial"/>
                <w:lang w:eastAsia="es-CO"/>
              </w:rPr>
              <w:t xml:space="preserve">No </w:t>
            </w:r>
            <w:proofErr w:type="gramStart"/>
            <w:r w:rsidR="000A66D9" w:rsidRPr="003F641E">
              <w:rPr>
                <w:rFonts w:ascii="Verdana" w:eastAsia="Times New Roman" w:hAnsi="Verdana" w:cs="Arial"/>
                <w:lang w:eastAsia="es-CO"/>
              </w:rPr>
              <w:t>obstante</w:t>
            </w:r>
            <w:proofErr w:type="gramEnd"/>
            <w:r w:rsidRPr="003F641E">
              <w:rPr>
                <w:rFonts w:ascii="Verdana" w:eastAsia="Times New Roman" w:hAnsi="Verdana" w:cs="Arial"/>
                <w:lang w:eastAsia="es-CO"/>
              </w:rPr>
              <w:t xml:space="preserve"> lo anterior, es importante precisar que la norma no prohíbe que las entidades estatales, en ejercicio de su autonomía administrativa, adopten prácticas adicionales orientadas a fortalecer la transparencia y las garantías del debido proceso. En ese sentido, es posible que la entidad opte por verificar los requisitos habilitantes de todos los proponentes y, en consecuencia, incluso elaborar más de un informe de evaluación o documentos complementarios que den cuenta de dicho análisis.</w:t>
            </w:r>
          </w:p>
          <w:p w14:paraId="2708D976" w14:textId="77777777" w:rsidR="003F641E" w:rsidRPr="003F641E" w:rsidRDefault="003F641E" w:rsidP="003F641E">
            <w:pPr>
              <w:widowControl w:val="0"/>
              <w:autoSpaceDE w:val="0"/>
              <w:autoSpaceDN w:val="0"/>
              <w:spacing w:after="120" w:line="276" w:lineRule="auto"/>
              <w:ind w:right="113"/>
              <w:jc w:val="both"/>
              <w:rPr>
                <w:rFonts w:ascii="Verdana" w:eastAsia="Times New Roman" w:hAnsi="Verdana" w:cs="Arial"/>
                <w:lang w:eastAsia="es-CO"/>
              </w:rPr>
            </w:pPr>
            <w:r w:rsidRPr="003F641E">
              <w:rPr>
                <w:rFonts w:ascii="Verdana" w:eastAsia="Times New Roman" w:hAnsi="Verdana" w:cs="Arial"/>
                <w:lang w:eastAsia="es-CO"/>
              </w:rPr>
              <w:t>Esta práctica no contraviene el marco normativo, en tanto no modifica el criterio de selección propio de la mínima cuantía —esto es, el menor precio—, sino que, por el contrario, contribuye a reforzar la transparencia del proceso al evidenciar qué proponentes se encontraban habilitados para participar. Asimismo, permite ampliar las garantías de los oferentes, en particular en lo relacionado con la posibilidad de subsanar requisitos, sin afectar la regla de selección objetiva.</w:t>
            </w:r>
          </w:p>
          <w:p w14:paraId="0D60F670" w14:textId="77777777" w:rsidR="003F641E" w:rsidRPr="003F641E" w:rsidRDefault="003F641E" w:rsidP="003F641E">
            <w:pPr>
              <w:widowControl w:val="0"/>
              <w:autoSpaceDE w:val="0"/>
              <w:autoSpaceDN w:val="0"/>
              <w:spacing w:after="120" w:line="276" w:lineRule="auto"/>
              <w:ind w:right="113"/>
              <w:jc w:val="both"/>
              <w:rPr>
                <w:rFonts w:ascii="Verdana" w:eastAsia="Times New Roman" w:hAnsi="Verdana" w:cs="Arial"/>
                <w:lang w:eastAsia="es-CO"/>
              </w:rPr>
            </w:pPr>
            <w:r w:rsidRPr="003F641E">
              <w:rPr>
                <w:rFonts w:ascii="Verdana" w:eastAsia="Times New Roman" w:hAnsi="Verdana" w:cs="Arial"/>
                <w:lang w:eastAsia="es-CO"/>
              </w:rPr>
              <w:t xml:space="preserve">En efecto, en el marco del debido proceso y la garantía de los derechos de los participantes, la verificación integral de requisitos puede considerarse una </w:t>
            </w:r>
            <w:r w:rsidRPr="003F641E">
              <w:rPr>
                <w:rFonts w:ascii="Verdana" w:eastAsia="Times New Roman" w:hAnsi="Verdana" w:cs="Arial"/>
                <w:lang w:eastAsia="es-CO"/>
              </w:rPr>
              <w:lastRenderedPageBreak/>
              <w:t>buena práctica administrativa, adoptada por diversas entidades, que no solo no desvirtúa la lógica de la evaluación secuencial, sino que la complementa al hacer más visible y comprensible el proceso de selección.</w:t>
            </w:r>
          </w:p>
          <w:p w14:paraId="3A95DBC8" w14:textId="74F91A0C" w:rsidR="004C37DC" w:rsidRPr="00CF72F4" w:rsidRDefault="003F641E" w:rsidP="003F641E">
            <w:pPr>
              <w:widowControl w:val="0"/>
              <w:autoSpaceDE w:val="0"/>
              <w:autoSpaceDN w:val="0"/>
              <w:spacing w:after="120" w:line="276" w:lineRule="auto"/>
              <w:ind w:right="113"/>
              <w:jc w:val="both"/>
              <w:rPr>
                <w:rFonts w:ascii="Times New Roman" w:eastAsia="Times New Roman" w:hAnsi="Times New Roman" w:cs="Times New Roman"/>
              </w:rPr>
            </w:pPr>
            <w:r w:rsidRPr="003F641E">
              <w:rPr>
                <w:rFonts w:ascii="Verdana" w:eastAsia="Times New Roman" w:hAnsi="Verdana" w:cs="Arial"/>
                <w:lang w:eastAsia="es-CO"/>
              </w:rPr>
              <w:t>En consecuencia, si bien la regla general prevista en el numeral 5 del artículo 2.2.1.2.1.5.2 del Decreto 1082 de 2015 se orienta a la elaboración de un único informe de evaluación con aplicación del criterio secuencial, resulta igualmente válido que las entidades, en ejercicio de su autonomía y con fundamento en los principios de transparencia y debido proceso, adopten esquemas más amplios de verificación y documentación, siempre que no se altere el criterio de selección basado en el menor precio.</w:t>
            </w:r>
          </w:p>
        </w:tc>
      </w:tr>
    </w:tbl>
    <w:p w14:paraId="5CE16EEB" w14:textId="77777777" w:rsidR="004C37DC" w:rsidRPr="00593A5F" w:rsidRDefault="004C37DC" w:rsidP="004C37DC">
      <w:pPr>
        <w:tabs>
          <w:tab w:val="left" w:pos="142"/>
          <w:tab w:val="left" w:pos="284"/>
        </w:tabs>
        <w:spacing w:after="0" w:line="276" w:lineRule="auto"/>
        <w:jc w:val="both"/>
        <w:rPr>
          <w:rFonts w:ascii="Verdana" w:eastAsia="Century Gothic" w:hAnsi="Verdana" w:cs="Century Gothic"/>
          <w:b/>
          <w:bCs/>
          <w:lang w:val="es-ES"/>
        </w:rPr>
      </w:pPr>
    </w:p>
    <w:bookmarkEnd w:id="2"/>
    <w:p w14:paraId="4F6917EB" w14:textId="77777777" w:rsidR="004C37DC" w:rsidRPr="00593A5F" w:rsidRDefault="004C37DC" w:rsidP="004C37D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DC77774" w14:textId="77777777" w:rsidR="004C37DC" w:rsidRPr="0010142F" w:rsidRDefault="004C37DC" w:rsidP="004C37DC">
      <w:pPr>
        <w:tabs>
          <w:tab w:val="left" w:pos="426"/>
        </w:tabs>
        <w:spacing w:before="240" w:after="120" w:line="276" w:lineRule="auto"/>
        <w:ind w:firstLine="425"/>
        <w:jc w:val="both"/>
        <w:rPr>
          <w:rFonts w:ascii="Verdana" w:eastAsia="Calibri" w:hAnsi="Verdana" w:cs="Arial"/>
        </w:rPr>
      </w:pPr>
      <w:r w:rsidRPr="0010142F">
        <w:rPr>
          <w:rFonts w:ascii="Verdana" w:eastAsia="Calibri" w:hAnsi="Verdana" w:cs="Arial"/>
        </w:rPr>
        <w:t>Lo anterior se sustenta en las siguientes consideraciones:</w:t>
      </w:r>
    </w:p>
    <w:p w14:paraId="66CFFE6F" w14:textId="77777777" w:rsidR="00F94F4D" w:rsidRPr="007C5C70" w:rsidRDefault="004C37DC" w:rsidP="00F94F4D">
      <w:pPr>
        <w:spacing w:after="120" w:line="276" w:lineRule="auto"/>
        <w:jc w:val="both"/>
        <w:rPr>
          <w:rFonts w:ascii="Verdana" w:eastAsia="Calibri" w:hAnsi="Verdana" w:cs="Arial"/>
          <w:lang w:val="es-ES_tradnl"/>
        </w:rPr>
      </w:pPr>
      <w:r>
        <w:rPr>
          <w:rFonts w:ascii="Verdana" w:eastAsia="Calibri" w:hAnsi="Verdana" w:cs="Arial"/>
        </w:rPr>
        <w:tab/>
      </w:r>
      <w:bookmarkStart w:id="3" w:name="_Hlk100131579"/>
      <w:r w:rsidR="00F94F4D" w:rsidRPr="007C5C70">
        <w:rPr>
          <w:rFonts w:ascii="Verdana" w:eastAsia="Calibri" w:hAnsi="Verdana" w:cs="Arial"/>
          <w:lang w:val="es-ES_tradnl"/>
        </w:rPr>
        <w:t>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r w:rsidR="00F94F4D" w:rsidRPr="007C5C70">
        <w:rPr>
          <w:rFonts w:ascii="Verdana" w:eastAsia="Calibri" w:hAnsi="Verdana" w:cs="Arial"/>
          <w:vertAlign w:val="superscript"/>
          <w:lang w:val="es-ES_tradnl"/>
        </w:rPr>
        <w:footnoteReference w:id="1"/>
      </w:r>
      <w:r w:rsidR="00F94F4D" w:rsidRPr="007C5C70">
        <w:rPr>
          <w:rFonts w:ascii="Verdana" w:eastAsia="Calibri" w:hAnsi="Verdana" w:cs="Arial"/>
          <w:lang w:val="es-ES_tradnl"/>
        </w:rPr>
        <w:t>.</w:t>
      </w:r>
    </w:p>
    <w:bookmarkEnd w:id="3"/>
    <w:p w14:paraId="5460E12F" w14:textId="77777777" w:rsidR="00F94F4D" w:rsidRPr="007C5C70" w:rsidRDefault="00F94F4D" w:rsidP="00F94F4D">
      <w:pPr>
        <w:tabs>
          <w:tab w:val="left" w:pos="709"/>
        </w:tabs>
        <w:spacing w:after="120" w:line="276" w:lineRule="auto"/>
        <w:ind w:firstLine="709"/>
        <w:jc w:val="both"/>
        <w:rPr>
          <w:rFonts w:ascii="Verdana" w:eastAsia="Calibri" w:hAnsi="Verdana" w:cs="Arial"/>
          <w:lang w:val="es-ES_tradnl"/>
        </w:rPr>
      </w:pPr>
      <w:r w:rsidRPr="007C5C70">
        <w:rPr>
          <w:rFonts w:ascii="Verdana" w:eastAsia="Calibri" w:hAnsi="Verdana" w:cs="Arial"/>
          <w:lang w:val="es-ES_tradnl"/>
        </w:rPr>
        <w:t>Dicho de otro modo, la mínima cuantía es un procedimiento de selección “especial”</w:t>
      </w:r>
      <w:r w:rsidRPr="007C5C70">
        <w:rPr>
          <w:rFonts w:ascii="Verdana" w:eastAsia="Calibri" w:hAnsi="Verdana" w:cs="Arial"/>
          <w:vertAlign w:val="superscript"/>
          <w:lang w:val="es-ES_tradnl"/>
        </w:rPr>
        <w:footnoteReference w:id="2"/>
      </w:r>
      <w:r w:rsidRPr="007C5C70">
        <w:rPr>
          <w:rFonts w:ascii="Verdana" w:eastAsia="Calibri" w:hAnsi="Verdana" w:cs="Arial"/>
          <w:lang w:val="es-ES_tradnl"/>
        </w:rPr>
        <w:t>, porque es una excepción a la regla general constituida por la licitación pública. Aunque ambas modalidades implican un llamado general a presentar ofertas, efectuado por la entidad estatal interesada en contratar, la mínima cuantía es distinta de la licitación en otros aspectos, como su conducencia y su procedimiento: lo primero, porque solo procede por razón de una cuantía específica</w:t>
      </w:r>
      <w:r w:rsidRPr="007C5C70">
        <w:rPr>
          <w:rFonts w:ascii="Verdana" w:eastAsia="Calibri" w:hAnsi="Verdana" w:cs="Arial"/>
          <w:vertAlign w:val="superscript"/>
          <w:lang w:val="es-ES_tradnl"/>
        </w:rPr>
        <w:footnoteReference w:id="3"/>
      </w:r>
      <w:r w:rsidRPr="007C5C70">
        <w:rPr>
          <w:rFonts w:ascii="Verdana" w:eastAsia="Calibri" w:hAnsi="Verdana" w:cs="Arial"/>
          <w:lang w:val="es-ES_tradnl"/>
        </w:rPr>
        <w:t>, y lo segundo, porque sus requisitos, etapas y términos son especiales.</w:t>
      </w:r>
    </w:p>
    <w:p w14:paraId="23ABA164" w14:textId="77777777" w:rsidR="00F94F4D" w:rsidRPr="007C5C70" w:rsidRDefault="00F94F4D" w:rsidP="00F94F4D">
      <w:pPr>
        <w:tabs>
          <w:tab w:val="left" w:pos="709"/>
        </w:tabs>
        <w:spacing w:after="120" w:line="276" w:lineRule="auto"/>
        <w:ind w:firstLine="709"/>
        <w:jc w:val="both"/>
        <w:rPr>
          <w:rFonts w:ascii="Verdana" w:eastAsia="Calibri" w:hAnsi="Verdana" w:cs="Arial"/>
          <w:color w:val="000000"/>
          <w:lang w:val="es-ES"/>
        </w:rPr>
      </w:pPr>
      <w:r w:rsidRPr="007C5C70">
        <w:rPr>
          <w:rFonts w:ascii="Verdana" w:eastAsia="Calibri" w:hAnsi="Verdana" w:cs="Arial"/>
          <w:color w:val="000000"/>
          <w:lang w:val="es-ES"/>
        </w:rPr>
        <w:lastRenderedPageBreak/>
        <w:t xml:space="preserve">Por su parte, el 31 de diciembre de 2020 fue expedida la Ley 2069 de 2020 –conocida como Ley de Emprendimiento–, cuyo artículo 30 modificó el numeral 5 del artículo 2 de la Ley 1150 de 2007, el cual regula la mínima cuantía. Esta norma dispuso aspectos del procedimiento como: i) el término mínimo para publicar la invitación, </w:t>
      </w:r>
      <w:proofErr w:type="spellStart"/>
      <w:r w:rsidRPr="007C5C70">
        <w:rPr>
          <w:rFonts w:ascii="Verdana" w:eastAsia="Calibri" w:hAnsi="Verdana" w:cs="Arial"/>
          <w:color w:val="000000"/>
          <w:lang w:val="es-ES"/>
        </w:rPr>
        <w:t>ii</w:t>
      </w:r>
      <w:proofErr w:type="spellEnd"/>
      <w:r w:rsidRPr="007C5C70">
        <w:rPr>
          <w:rFonts w:ascii="Verdana" w:eastAsia="Calibri" w:hAnsi="Verdana" w:cs="Arial"/>
          <w:color w:val="000000"/>
          <w:lang w:val="es-ES"/>
        </w:rPr>
        <w:t xml:space="preserve">) el plazo mínimo de recepción de las ofertas, </w:t>
      </w:r>
      <w:proofErr w:type="spellStart"/>
      <w:r w:rsidRPr="007C5C70">
        <w:rPr>
          <w:rFonts w:ascii="Verdana" w:eastAsia="Calibri" w:hAnsi="Verdana" w:cs="Arial"/>
          <w:color w:val="000000"/>
          <w:lang w:val="es-ES"/>
        </w:rPr>
        <w:t>iii</w:t>
      </w:r>
      <w:proofErr w:type="spellEnd"/>
      <w:r w:rsidRPr="007C5C70">
        <w:rPr>
          <w:rFonts w:ascii="Verdana" w:eastAsia="Calibri" w:hAnsi="Verdana" w:cs="Arial"/>
          <w:color w:val="000000"/>
          <w:lang w:val="es-ES"/>
        </w:rPr>
        <w:t xml:space="preserve">) el factor de evaluación que define la selección del proponente y </w:t>
      </w:r>
      <w:proofErr w:type="spellStart"/>
      <w:r w:rsidRPr="007C5C70">
        <w:rPr>
          <w:rFonts w:ascii="Verdana" w:eastAsia="Calibri" w:hAnsi="Verdana" w:cs="Arial"/>
          <w:color w:val="000000"/>
          <w:lang w:val="es-ES"/>
        </w:rPr>
        <w:t>iv</w:t>
      </w:r>
      <w:proofErr w:type="spellEnd"/>
      <w:r w:rsidRPr="007C5C70">
        <w:rPr>
          <w:rFonts w:ascii="Verdana" w:eastAsia="Calibri" w:hAnsi="Verdana" w:cs="Arial"/>
          <w:color w:val="000000"/>
          <w:lang w:val="es-ES"/>
        </w:rPr>
        <w:t>) el perfeccionamiento del contrato.</w:t>
      </w:r>
    </w:p>
    <w:p w14:paraId="0A5B4097" w14:textId="77777777" w:rsidR="00F94F4D" w:rsidRPr="007C5C70" w:rsidRDefault="00F94F4D" w:rsidP="00F94F4D">
      <w:pPr>
        <w:tabs>
          <w:tab w:val="left" w:pos="709"/>
        </w:tabs>
        <w:spacing w:after="120" w:line="276" w:lineRule="auto"/>
        <w:ind w:firstLine="709"/>
        <w:jc w:val="both"/>
        <w:rPr>
          <w:rFonts w:ascii="Verdana" w:eastAsia="Calibri" w:hAnsi="Verdana" w:cs="Arial"/>
          <w:color w:val="000000"/>
          <w:lang w:val="es-ES"/>
        </w:rPr>
      </w:pPr>
      <w:r w:rsidRPr="007C5C70">
        <w:rPr>
          <w:rFonts w:ascii="Verdana" w:eastAsia="Calibri" w:hAnsi="Verdana" w:cs="Arial"/>
          <w:color w:val="000000"/>
          <w:lang w:val="es-ES"/>
        </w:rPr>
        <w:t>Adicionalmente, se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 el procedimiento de mínima cuantía. De esta manera,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w:t>
      </w:r>
    </w:p>
    <w:p w14:paraId="69C98A5D" w14:textId="77777777" w:rsidR="00F94F4D" w:rsidRPr="007C5C70" w:rsidRDefault="00F94F4D" w:rsidP="00F94F4D">
      <w:pPr>
        <w:tabs>
          <w:tab w:val="left" w:pos="709"/>
        </w:tabs>
        <w:spacing w:after="120" w:line="276" w:lineRule="auto"/>
        <w:jc w:val="both"/>
        <w:rPr>
          <w:rFonts w:ascii="Verdana" w:eastAsia="Calibri" w:hAnsi="Verdana" w:cs="Arial"/>
          <w:color w:val="000000"/>
          <w:lang w:val="es-ES"/>
        </w:rPr>
      </w:pPr>
      <w:r w:rsidRPr="007C5C70">
        <w:rPr>
          <w:rFonts w:ascii="Verdana" w:eastAsia="Calibri" w:hAnsi="Verdana" w:cs="Arial"/>
          <w:bCs/>
          <w:color w:val="000000"/>
          <w:lang w:val="es-ES_tradnl"/>
        </w:rPr>
        <w:tab/>
      </w:r>
      <w:r w:rsidRPr="007C5C70">
        <w:rPr>
          <w:rFonts w:ascii="Verdana" w:eastAsia="Calibri" w:hAnsi="Verdana" w:cs="Arial"/>
          <w:color w:val="000000"/>
          <w:lang w:val="es-ES"/>
        </w:rPr>
        <w:t>Teniendo en cuenta lo anterior, la nueva Subsección 5 a que se hizo referencia contiene los siguientes artículos: i) 2.2.1.2.1.5.1. que se ocupa de desarrollar el contenido de los estudios previos para la contratación de mínima cuantía</w:t>
      </w:r>
      <w:r w:rsidRPr="007C5C70">
        <w:rPr>
          <w:rFonts w:ascii="Verdana" w:eastAsia="Calibri" w:hAnsi="Verdana" w:cs="Arial"/>
          <w:color w:val="000000"/>
          <w:vertAlign w:val="superscript"/>
          <w:lang w:val="es-ES"/>
        </w:rPr>
        <w:footnoteReference w:id="4"/>
      </w:r>
      <w:r w:rsidRPr="007C5C70">
        <w:rPr>
          <w:rFonts w:ascii="Verdana" w:eastAsia="Calibri" w:hAnsi="Verdana" w:cs="Arial"/>
          <w:color w:val="000000"/>
          <w:lang w:val="es-ES"/>
        </w:rPr>
        <w:t xml:space="preserve">. </w:t>
      </w:r>
      <w:proofErr w:type="spellStart"/>
      <w:r w:rsidRPr="007C5C70">
        <w:rPr>
          <w:rFonts w:ascii="Verdana" w:eastAsia="Calibri" w:hAnsi="Verdana" w:cs="Arial"/>
          <w:color w:val="000000"/>
          <w:lang w:val="es-ES"/>
        </w:rPr>
        <w:t>ii</w:t>
      </w:r>
      <w:proofErr w:type="spellEnd"/>
      <w:r w:rsidRPr="007C5C70">
        <w:rPr>
          <w:rFonts w:ascii="Verdana" w:eastAsia="Calibri" w:hAnsi="Verdana" w:cs="Arial"/>
          <w:color w:val="000000"/>
          <w:lang w:val="es-ES"/>
        </w:rPr>
        <w:t xml:space="preserve">) 2.2.1.2.1.5.2. que contiene el procedimiento general de la mínima cuantía, señalando el contenido mínimo de la “invitación” y las distintas etapas y reglas que estructuran esta modalidad de selección, incluyendo la forma en que procederán las convocatorias limitadas a </w:t>
      </w:r>
      <w:proofErr w:type="spellStart"/>
      <w:r w:rsidRPr="007C5C70">
        <w:rPr>
          <w:rFonts w:ascii="Verdana" w:eastAsia="Calibri" w:hAnsi="Verdana" w:cs="Arial"/>
          <w:color w:val="000000"/>
          <w:lang w:val="es-ES"/>
        </w:rPr>
        <w:t>mipymes</w:t>
      </w:r>
      <w:proofErr w:type="spellEnd"/>
      <w:r w:rsidRPr="007C5C70">
        <w:rPr>
          <w:rFonts w:ascii="Verdana" w:eastAsia="Calibri" w:hAnsi="Verdana" w:cs="Arial"/>
          <w:color w:val="000000"/>
          <w:lang w:val="es-ES"/>
        </w:rPr>
        <w:t xml:space="preserve">, de acuerdo con el </w:t>
      </w:r>
      <w:r w:rsidRPr="007C5C70">
        <w:rPr>
          <w:rFonts w:ascii="Verdana" w:eastAsia="Calibri" w:hAnsi="Verdana" w:cs="Arial"/>
          <w:color w:val="000000"/>
          <w:lang w:val="es-ES"/>
        </w:rPr>
        <w:lastRenderedPageBreak/>
        <w:t>mandato del parágrafo 1 del artículo 30 de la Ley 2069 de 2020</w:t>
      </w:r>
      <w:r w:rsidRPr="007C5C70">
        <w:rPr>
          <w:rFonts w:ascii="Verdana" w:eastAsia="Calibri" w:hAnsi="Verdana" w:cs="Arial"/>
          <w:color w:val="000000"/>
          <w:vertAlign w:val="superscript"/>
          <w:lang w:val="es-ES"/>
        </w:rPr>
        <w:footnoteReference w:id="5"/>
      </w:r>
      <w:r w:rsidRPr="007C5C70">
        <w:rPr>
          <w:rFonts w:ascii="Verdana" w:eastAsia="Calibri" w:hAnsi="Verdana" w:cs="Arial"/>
          <w:color w:val="000000"/>
          <w:lang w:val="es-ES"/>
        </w:rPr>
        <w:t xml:space="preserve">. </w:t>
      </w:r>
      <w:proofErr w:type="spellStart"/>
      <w:r w:rsidRPr="007C5C70">
        <w:rPr>
          <w:rFonts w:ascii="Verdana" w:eastAsia="Calibri" w:hAnsi="Verdana" w:cs="Arial"/>
          <w:color w:val="000000"/>
          <w:lang w:val="es-ES"/>
        </w:rPr>
        <w:t>iii</w:t>
      </w:r>
      <w:proofErr w:type="spellEnd"/>
      <w:r w:rsidRPr="007C5C70">
        <w:rPr>
          <w:rFonts w:ascii="Verdana" w:eastAsia="Calibri" w:hAnsi="Verdana" w:cs="Arial"/>
          <w:color w:val="000000"/>
          <w:lang w:val="es-ES"/>
        </w:rPr>
        <w:t xml:space="preserve">) 2.2.1.2.1.5.3. que regula un procedimiento especial para las adquisiciones en grandes almacenes cuando se trate de mínima cuantía. </w:t>
      </w:r>
      <w:proofErr w:type="spellStart"/>
      <w:r w:rsidRPr="007C5C70">
        <w:rPr>
          <w:rFonts w:ascii="Verdana" w:eastAsia="Calibri" w:hAnsi="Verdana" w:cs="Arial"/>
          <w:color w:val="000000"/>
          <w:lang w:val="es-ES"/>
        </w:rPr>
        <w:t>iv</w:t>
      </w:r>
      <w:proofErr w:type="spellEnd"/>
      <w:r w:rsidRPr="007C5C70">
        <w:rPr>
          <w:rFonts w:ascii="Verdana" w:eastAsia="Calibri" w:hAnsi="Verdana" w:cs="Arial"/>
          <w:color w:val="000000"/>
          <w:lang w:val="es-ES"/>
        </w:rPr>
        <w:t xml:space="preserve">)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w:t>
      </w:r>
      <w:proofErr w:type="spellStart"/>
      <w:r w:rsidRPr="007C5C70">
        <w:rPr>
          <w:rFonts w:ascii="Verdana" w:eastAsia="Calibri" w:hAnsi="Verdana" w:cs="Arial"/>
          <w:color w:val="000000"/>
          <w:lang w:val="es-ES"/>
        </w:rPr>
        <w:t>Mipyme</w:t>
      </w:r>
      <w:proofErr w:type="spellEnd"/>
      <w:r w:rsidRPr="007C5C70">
        <w:rPr>
          <w:rFonts w:ascii="Verdana" w:eastAsia="Calibri" w:hAnsi="Verdana" w:cs="Arial"/>
          <w:color w:val="000000"/>
          <w:lang w:val="es-ES"/>
        </w:rPr>
        <w:t xml:space="preserve"> y con grandes almacenes. Y v) 2.2.1.2.1.5.5. el cual establece que la entidad estatal es libre de exigir o no garantías en el proceso de selección de mínima cuantía y en la adquisición de “grandes almacenes”.</w:t>
      </w:r>
    </w:p>
    <w:p w14:paraId="73CE03C0" w14:textId="77777777" w:rsidR="00F94F4D" w:rsidRPr="007C5C70" w:rsidRDefault="00F94F4D" w:rsidP="00F94F4D">
      <w:pPr>
        <w:tabs>
          <w:tab w:val="left" w:pos="709"/>
        </w:tabs>
        <w:spacing w:after="120" w:line="276" w:lineRule="auto"/>
        <w:jc w:val="both"/>
        <w:rPr>
          <w:rFonts w:ascii="Verdana" w:eastAsia="Calibri" w:hAnsi="Verdana" w:cs="Arial"/>
          <w:bCs/>
          <w:color w:val="000000"/>
          <w:lang w:val="es-ES_tradnl"/>
        </w:rPr>
      </w:pPr>
      <w:r w:rsidRPr="007C5C70">
        <w:rPr>
          <w:rFonts w:ascii="Verdana" w:eastAsia="Calibri" w:hAnsi="Verdana" w:cs="Arial"/>
          <w:bCs/>
          <w:color w:val="000000"/>
          <w:lang w:val="es-ES_tradnl"/>
        </w:rPr>
        <w:tab/>
        <w:t xml:space="preserve">De esta manera, el artículo 2 del Decreto 1860 de 2021, que modifica los artículos del Decreto 1082 de 2015 expuestos en el párrafo anterior, constituye la reglamentación del artículo 30 de la Ley 2069 de 2020, al desarrollar las reglas aplicables a esta modalidad de selección. </w:t>
      </w:r>
    </w:p>
    <w:p w14:paraId="4172C127" w14:textId="77777777" w:rsidR="00F94F4D" w:rsidRPr="007C5C70" w:rsidRDefault="00F94F4D" w:rsidP="00F94F4D">
      <w:pPr>
        <w:tabs>
          <w:tab w:val="left" w:pos="709"/>
        </w:tabs>
        <w:spacing w:after="120" w:line="276" w:lineRule="auto"/>
        <w:jc w:val="both"/>
        <w:rPr>
          <w:rFonts w:ascii="Verdana" w:eastAsia="Calibri" w:hAnsi="Verdana" w:cs="Arial"/>
          <w:color w:val="000000"/>
          <w:lang w:val="es-ES_tradnl"/>
        </w:rPr>
      </w:pPr>
      <w:r w:rsidRPr="007C5C70">
        <w:rPr>
          <w:rFonts w:ascii="Verdana" w:eastAsia="Calibri" w:hAnsi="Verdana" w:cs="Arial"/>
          <w:color w:val="000000"/>
          <w:lang w:val="es-ES_tradnl"/>
        </w:rPr>
        <w:tab/>
        <w:t>Ahora bien, vistas las anteriores vicisitudes normativas que rodean la modalidad de selección de mínima cuantía, y con fundamento en los artículos 2.2.1.2.1.5.1. al 2.2.1.2.1.5.4 del Decreto 1082 de 2015 modificados, como se ha venido exponiendo, por el artículo 2 del Decreto 1860 de 2021, resulta imperante sintetizar los requisitos en el procedimiento de esta modalidad de selección de la siguiente forma:</w:t>
      </w:r>
    </w:p>
    <w:p w14:paraId="6A68DE4A" w14:textId="77777777" w:rsidR="00F94F4D" w:rsidRPr="007C5C70" w:rsidRDefault="00F94F4D" w:rsidP="00F94F4D">
      <w:pPr>
        <w:spacing w:after="120" w:line="276" w:lineRule="auto"/>
        <w:ind w:firstLine="709"/>
        <w:jc w:val="both"/>
        <w:rPr>
          <w:rFonts w:ascii="Verdana" w:eastAsia="Calibri" w:hAnsi="Verdana" w:cs="Arial"/>
          <w:color w:val="000000"/>
          <w:lang w:val="es-ES_tradnl"/>
        </w:rPr>
      </w:pPr>
      <w:r w:rsidRPr="007C5C70">
        <w:rPr>
          <w:rFonts w:ascii="Verdana" w:eastAsia="Calibri" w:hAnsi="Verdana" w:cs="Arial"/>
          <w:color w:val="000000"/>
          <w:lang w:val="es-ES_tradnl"/>
        </w:rPr>
        <w:t>i) La entidad estatal debe hacer los estudios previos en los que señale cuál es la necesidad que pretende satisfacer, el objeto del contrato, sus condiciones técnicas, el valor estimado, el plazo de ejecución y el certificado de disponibilidad presupuestal.</w:t>
      </w:r>
    </w:p>
    <w:p w14:paraId="5424B704" w14:textId="77777777" w:rsidR="00F94F4D" w:rsidRPr="007C5C70" w:rsidRDefault="00F94F4D" w:rsidP="00F94F4D">
      <w:pPr>
        <w:spacing w:after="120" w:line="276" w:lineRule="auto"/>
        <w:ind w:firstLine="709"/>
        <w:jc w:val="both"/>
        <w:rPr>
          <w:rFonts w:ascii="Verdana" w:eastAsia="Calibri" w:hAnsi="Verdana" w:cs="Arial"/>
          <w:color w:val="000000"/>
          <w:lang w:val="es-ES"/>
        </w:rPr>
      </w:pPr>
      <w:proofErr w:type="spellStart"/>
      <w:r w:rsidRPr="007C5C70">
        <w:rPr>
          <w:rFonts w:ascii="Verdana" w:eastAsia="Calibri" w:hAnsi="Verdana" w:cs="Arial"/>
          <w:color w:val="000000"/>
          <w:lang w:val="es-ES"/>
        </w:rPr>
        <w:t>ii</w:t>
      </w:r>
      <w:proofErr w:type="spellEnd"/>
      <w:r w:rsidRPr="007C5C70">
        <w:rPr>
          <w:rFonts w:ascii="Verdana" w:eastAsia="Calibri" w:hAnsi="Verdana" w:cs="Arial"/>
          <w:color w:val="000000"/>
          <w:lang w:val="es-ES"/>
        </w:rPr>
        <w:t xml:space="preserve">) Luego de los trámites previos, la entidad debe publicar en el SECOP una invitación, señalando el objeto, las condiciones técnicas y el valor estimado del contrato, expresando además las razones que justifican el cálculo de la cuantía. Asimismo, puede exigir o no una capacidad financiera mínima. Igualmente, esta Agencia ha recomendado “incluir en la invitación el cronograma, el plazo o condiciones de pago a cargo de la Entidad Estatal, la indicación del requerimiento de garantías (cuya exigencia es discrecional de la </w:t>
      </w:r>
      <w:r w:rsidRPr="007C5C70">
        <w:rPr>
          <w:rFonts w:ascii="Verdana" w:eastAsia="Calibri" w:hAnsi="Verdana" w:cs="Arial"/>
          <w:color w:val="000000"/>
          <w:lang w:val="es-ES"/>
        </w:rPr>
        <w:lastRenderedPageBreak/>
        <w:t>Entidad Estatal) y los demás aspectos que considere necesarios para la satisfacción de la necesidad”</w:t>
      </w:r>
      <w:r w:rsidRPr="007C5C70">
        <w:rPr>
          <w:rFonts w:ascii="Verdana" w:eastAsia="Calibri" w:hAnsi="Verdana" w:cs="Arial"/>
          <w:color w:val="000000"/>
          <w:vertAlign w:val="superscript"/>
          <w:lang w:val="es-ES"/>
        </w:rPr>
        <w:footnoteReference w:id="6"/>
      </w:r>
      <w:r w:rsidRPr="007C5C70">
        <w:rPr>
          <w:rFonts w:ascii="Verdana" w:eastAsia="Calibri" w:hAnsi="Verdana" w:cs="Arial"/>
          <w:color w:val="000000"/>
          <w:lang w:val="es-ES"/>
        </w:rPr>
        <w:t>.</w:t>
      </w:r>
    </w:p>
    <w:p w14:paraId="1F8DF124" w14:textId="77777777" w:rsidR="00F94F4D" w:rsidRPr="007C5C70" w:rsidRDefault="00F94F4D" w:rsidP="00F94F4D">
      <w:pPr>
        <w:spacing w:after="120" w:line="276" w:lineRule="auto"/>
        <w:ind w:firstLine="709"/>
        <w:jc w:val="both"/>
        <w:rPr>
          <w:rFonts w:ascii="Verdana" w:eastAsia="Calibri" w:hAnsi="Verdana" w:cs="Arial"/>
          <w:color w:val="000000"/>
          <w:lang w:val="es-ES"/>
        </w:rPr>
      </w:pPr>
      <w:proofErr w:type="spellStart"/>
      <w:r w:rsidRPr="007C5C70">
        <w:rPr>
          <w:rFonts w:ascii="Verdana" w:eastAsia="Calibri" w:hAnsi="Verdana" w:cs="Arial"/>
          <w:color w:val="000000"/>
          <w:lang w:val="es-ES"/>
        </w:rPr>
        <w:t>iii</w:t>
      </w:r>
      <w:proofErr w:type="spellEnd"/>
      <w:r w:rsidRPr="007C5C70">
        <w:rPr>
          <w:rFonts w:ascii="Verdana" w:eastAsia="Calibri" w:hAnsi="Verdana" w:cs="Arial"/>
          <w:color w:val="000000"/>
          <w:lang w:val="es-ES"/>
        </w:rPr>
        <w:t>) La invitación se debe hacer por un término no inferior a un (1) día hábil.</w:t>
      </w:r>
    </w:p>
    <w:p w14:paraId="2368C001" w14:textId="77777777" w:rsidR="00F94F4D" w:rsidRPr="007C5C70" w:rsidRDefault="00F94F4D" w:rsidP="00F94F4D">
      <w:pPr>
        <w:spacing w:after="120" w:line="276" w:lineRule="auto"/>
        <w:ind w:firstLine="709"/>
        <w:jc w:val="both"/>
        <w:rPr>
          <w:rFonts w:ascii="Verdana" w:eastAsia="Calibri" w:hAnsi="Verdana" w:cs="Arial"/>
          <w:color w:val="000000"/>
          <w:lang w:val="es-ES"/>
        </w:rPr>
      </w:pPr>
      <w:proofErr w:type="spellStart"/>
      <w:r w:rsidRPr="007C5C70">
        <w:rPr>
          <w:rFonts w:ascii="Verdana" w:eastAsia="Calibri" w:hAnsi="Verdana" w:cs="Arial"/>
          <w:color w:val="000000"/>
          <w:lang w:val="es-ES"/>
        </w:rPr>
        <w:t>iv</w:t>
      </w:r>
      <w:proofErr w:type="spellEnd"/>
      <w:r w:rsidRPr="007C5C70">
        <w:rPr>
          <w:rFonts w:ascii="Verdana" w:eastAsia="Calibri" w:hAnsi="Verdana" w:cs="Arial"/>
          <w:color w:val="000000"/>
          <w:lang w:val="es-ES"/>
        </w:rPr>
        <w:t>) Las observaciones que presenten los interesados a la invitación deben responderse a más tardar antes del vencimiento del término para presentar las ofertas.</w:t>
      </w:r>
    </w:p>
    <w:p w14:paraId="049ABC9C" w14:textId="77777777" w:rsidR="00F94F4D" w:rsidRPr="007C5C70" w:rsidRDefault="00F94F4D" w:rsidP="00F94F4D">
      <w:pPr>
        <w:spacing w:after="120" w:line="276" w:lineRule="auto"/>
        <w:ind w:firstLine="709"/>
        <w:jc w:val="both"/>
        <w:rPr>
          <w:rFonts w:ascii="Verdana" w:eastAsia="Calibri" w:hAnsi="Verdana" w:cs="Arial"/>
          <w:color w:val="000000"/>
          <w:lang w:val="es-ES_tradnl"/>
        </w:rPr>
      </w:pPr>
      <w:r w:rsidRPr="2D487932">
        <w:rPr>
          <w:rFonts w:ascii="Verdana" w:eastAsia="Calibri" w:hAnsi="Verdana" w:cs="Arial"/>
          <w:color w:val="000000"/>
          <w:lang w:val="es-ES"/>
        </w:rPr>
        <w:t>v) Presentadas las propuestas, la entidad estatal debe revisar las ofertas económicas y verificar que la del menor precio cumpla los requisitos de participación. Si no los satisface debe revisar la oferta económica inmediatamente inferior, y así sucesivamente. Esto significa que en la mínima cuantía el precio es el único factor de calificación</w:t>
      </w:r>
      <w:r w:rsidRPr="2D487932">
        <w:rPr>
          <w:rFonts w:ascii="Verdana" w:eastAsia="Calibri" w:hAnsi="Verdana" w:cs="Arial"/>
          <w:color w:val="000000"/>
          <w:vertAlign w:val="superscript"/>
          <w:lang w:val="es-ES"/>
        </w:rPr>
        <w:footnoteReference w:id="7"/>
      </w:r>
      <w:r w:rsidRPr="2D487932">
        <w:rPr>
          <w:rFonts w:ascii="Verdana" w:eastAsia="Calibri" w:hAnsi="Verdana" w:cs="Arial"/>
          <w:color w:val="000000"/>
          <w:lang w:val="es-ES"/>
        </w:rPr>
        <w:t>.</w:t>
      </w:r>
    </w:p>
    <w:p w14:paraId="3F4262C5" w14:textId="77777777" w:rsidR="00F94F4D" w:rsidRPr="007C5C70" w:rsidRDefault="00F94F4D" w:rsidP="00F94F4D">
      <w:pPr>
        <w:spacing w:after="120" w:line="276" w:lineRule="auto"/>
        <w:ind w:firstLine="709"/>
        <w:jc w:val="both"/>
        <w:rPr>
          <w:rFonts w:ascii="Verdana" w:eastAsia="Calibri" w:hAnsi="Verdana" w:cs="Arial"/>
          <w:color w:val="000000"/>
          <w:lang w:val="es-ES_tradnl"/>
        </w:rPr>
      </w:pPr>
      <w:r w:rsidRPr="007C5C70">
        <w:rPr>
          <w:rFonts w:ascii="Verdana" w:eastAsia="Calibri" w:hAnsi="Verdana" w:cs="Arial"/>
          <w:color w:val="000000"/>
          <w:lang w:val="es-ES_tradnl"/>
        </w:rPr>
        <w:t>vi) El informe de evaluación se debe publicar por lo menos un (1) día hábil.</w:t>
      </w:r>
    </w:p>
    <w:p w14:paraId="70D3FEF3" w14:textId="77777777" w:rsidR="00F94F4D" w:rsidRPr="007C5C70" w:rsidRDefault="00F94F4D" w:rsidP="00F94F4D">
      <w:pPr>
        <w:spacing w:after="120" w:line="276" w:lineRule="auto"/>
        <w:ind w:firstLine="709"/>
        <w:jc w:val="both"/>
        <w:rPr>
          <w:rFonts w:ascii="Verdana" w:eastAsia="Calibri" w:hAnsi="Verdana" w:cs="Arial"/>
          <w:color w:val="000000"/>
          <w:lang w:val="es-ES"/>
        </w:rPr>
      </w:pPr>
      <w:proofErr w:type="spellStart"/>
      <w:r w:rsidRPr="007C5C70">
        <w:rPr>
          <w:rFonts w:ascii="Verdana" w:eastAsia="Calibri" w:hAnsi="Verdana" w:cs="Arial"/>
          <w:color w:val="000000"/>
          <w:lang w:val="es-ES"/>
        </w:rPr>
        <w:t>vii</w:t>
      </w:r>
      <w:proofErr w:type="spellEnd"/>
      <w:r w:rsidRPr="007C5C70">
        <w:rPr>
          <w:rFonts w:ascii="Verdana" w:eastAsia="Calibri" w:hAnsi="Verdana" w:cs="Arial"/>
          <w:color w:val="000000"/>
          <w:lang w:val="es-ES"/>
        </w:rPr>
        <w:t xml:space="preserve">) </w:t>
      </w:r>
      <w:bookmarkStart w:id="4" w:name="_Hlk134700391"/>
      <w:r w:rsidRPr="007C5C70">
        <w:rPr>
          <w:rFonts w:ascii="Verdana" w:eastAsia="Calibri" w:hAnsi="Verdana" w:cs="Arial"/>
          <w:color w:val="000000"/>
          <w:lang w:val="es-ES"/>
        </w:rPr>
        <w:t>El contrato se perfecciona con la comunicación de aceptación de la oferta que envía la entidad estatal al proponente que presentó la oferta económica de menor precio, no requiriéndose, entonces, la suscripción de una minuta. En la comunicación de aceptación de la oferta la entidad estatal le debe informar al proponente ganador quién será el supervisor del contrato.</w:t>
      </w:r>
    </w:p>
    <w:bookmarkEnd w:id="4"/>
    <w:p w14:paraId="0FE892E3" w14:textId="77777777" w:rsidR="00F94F4D" w:rsidRPr="007C5C70" w:rsidRDefault="00F94F4D" w:rsidP="00F94F4D">
      <w:pPr>
        <w:spacing w:after="120" w:line="276" w:lineRule="auto"/>
        <w:ind w:firstLine="709"/>
        <w:jc w:val="both"/>
        <w:rPr>
          <w:rFonts w:ascii="Verdana" w:eastAsia="Calibri" w:hAnsi="Verdana" w:cs="Arial"/>
          <w:color w:val="000000"/>
          <w:lang w:val="es-ES"/>
        </w:rPr>
      </w:pPr>
      <w:proofErr w:type="spellStart"/>
      <w:r w:rsidRPr="007C5C70">
        <w:rPr>
          <w:rFonts w:ascii="Verdana" w:eastAsia="Calibri" w:hAnsi="Verdana" w:cs="Arial"/>
          <w:color w:val="000000"/>
          <w:lang w:val="es-ES"/>
        </w:rPr>
        <w:t>viii</w:t>
      </w:r>
      <w:proofErr w:type="spellEnd"/>
      <w:r w:rsidRPr="007C5C70">
        <w:rPr>
          <w:rFonts w:ascii="Verdana" w:eastAsia="Calibri" w:hAnsi="Verdana" w:cs="Arial"/>
          <w:color w:val="000000"/>
          <w:lang w:val="es-ES"/>
        </w:rPr>
        <w:t>) De existir empate debe preferirse la oferta que se presentó primero en el tiempo.</w:t>
      </w:r>
    </w:p>
    <w:p w14:paraId="6857C370" w14:textId="77777777" w:rsidR="00F94F4D" w:rsidRPr="007C5C70" w:rsidRDefault="00F94F4D" w:rsidP="00F94F4D">
      <w:pPr>
        <w:tabs>
          <w:tab w:val="left" w:pos="709"/>
        </w:tabs>
        <w:spacing w:after="120" w:line="276" w:lineRule="auto"/>
        <w:jc w:val="both"/>
        <w:rPr>
          <w:rFonts w:ascii="Verdana" w:eastAsia="Calibri" w:hAnsi="Verdana" w:cs="Arial"/>
          <w:bCs/>
          <w:color w:val="000000"/>
          <w:lang w:val="es-ES_tradnl"/>
        </w:rPr>
      </w:pPr>
      <w:r w:rsidRPr="007C5C70">
        <w:rPr>
          <w:rFonts w:ascii="Verdana" w:eastAsia="Calibri" w:hAnsi="Verdana" w:cs="Arial"/>
          <w:bCs/>
          <w:color w:val="000000"/>
          <w:lang w:val="es-ES_tradnl"/>
        </w:rPr>
        <w:tab/>
        <w:t xml:space="preserve">De conformidad con lo expuesto, y con fundamento en lo previsto en el numeral 9 del artículo 2.2.1.2.1.5.2. del Decreto 1082 del 2015 según el cual “la oferta y su aceptación constituyen el contrato estatal”, es claro que la comunicación de la aceptación de la oferta por parte de la entidad al proponente perfecciona los requisitos de existencia del contrato. </w:t>
      </w:r>
      <w:r w:rsidRPr="007C5C70">
        <w:rPr>
          <w:rFonts w:ascii="Verdana" w:eastAsia="Calibri" w:hAnsi="Verdana" w:cs="Arial"/>
          <w:bCs/>
          <w:color w:val="000000"/>
        </w:rPr>
        <w:t>Esta particularidad en relación con el procedimiento de mínima cuantía se deriva de lo establecido en el literal d) del numeral 5 del artículo 2 de la Ley 1150 de 2007 que de manera expresa dispone que "la comunicación de aceptación junto con la oferta c</w:t>
      </w:r>
      <w:r w:rsidRPr="007C5C70">
        <w:rPr>
          <w:rFonts w:ascii="Verdana" w:eastAsia="Calibri" w:hAnsi="Verdana" w:cs="Arial"/>
          <w:bCs/>
          <w:i/>
          <w:iCs/>
          <w:color w:val="000000"/>
        </w:rPr>
        <w:t>onstituye para todos los efectos el contrato celebrado</w:t>
      </w:r>
      <w:r w:rsidRPr="007C5C70">
        <w:rPr>
          <w:rFonts w:ascii="Verdana" w:eastAsia="Calibri" w:hAnsi="Verdana" w:cs="Arial"/>
          <w:bCs/>
          <w:color w:val="000000"/>
        </w:rPr>
        <w:t xml:space="preserve">, con base en lo cual se </w:t>
      </w:r>
      <w:r w:rsidRPr="007C5C70">
        <w:rPr>
          <w:rFonts w:ascii="Verdana" w:eastAsia="Calibri" w:hAnsi="Verdana" w:cs="Arial"/>
          <w:bCs/>
          <w:color w:val="000000"/>
        </w:rPr>
        <w:lastRenderedPageBreak/>
        <w:t>efectuará el respectivo registro presupuestal". Esto implica que, en este tipo de procedimientos, el contrato se entiende perfeccionado en el momento en que se produce dicha comunicación, sin necesidad de cumplir con requisitos adicionales.</w:t>
      </w:r>
    </w:p>
    <w:p w14:paraId="09F189A4" w14:textId="77777777" w:rsidR="00F94F4D" w:rsidRPr="007C5C70" w:rsidRDefault="00F94F4D" w:rsidP="00F94F4D">
      <w:pPr>
        <w:tabs>
          <w:tab w:val="left" w:pos="709"/>
        </w:tabs>
        <w:spacing w:after="120" w:line="276" w:lineRule="auto"/>
        <w:ind w:firstLine="709"/>
        <w:jc w:val="both"/>
        <w:rPr>
          <w:rFonts w:ascii="Verdana" w:eastAsia="Calibri" w:hAnsi="Verdana" w:cs="Arial"/>
          <w:bCs/>
          <w:color w:val="000000"/>
          <w:lang w:val="es-ES_tradnl"/>
        </w:rPr>
      </w:pPr>
      <w:r w:rsidRPr="007C5C70">
        <w:rPr>
          <w:rFonts w:ascii="Verdana" w:eastAsia="Calibri" w:hAnsi="Verdana" w:cs="Arial"/>
          <w:bCs/>
          <w:color w:val="000000"/>
          <w:lang w:val="es-ES"/>
        </w:rPr>
        <w:t xml:space="preserve">En este sentido, el legislador estableció que en los procesos de mínima cuantía no habría un </w:t>
      </w:r>
      <w:r w:rsidRPr="007C5C70">
        <w:rPr>
          <w:rFonts w:ascii="Verdana" w:eastAsia="Calibri" w:hAnsi="Verdana" w:cs="Arial"/>
          <w:bCs/>
          <w:i/>
          <w:color w:val="000000"/>
          <w:lang w:val="es-ES"/>
        </w:rPr>
        <w:t>“acto de adjudicación”</w:t>
      </w:r>
      <w:r w:rsidRPr="007C5C70">
        <w:rPr>
          <w:rFonts w:ascii="Verdana" w:eastAsia="Calibri" w:hAnsi="Verdana" w:cs="Arial"/>
          <w:bCs/>
          <w:color w:val="000000"/>
          <w:lang w:val="es-ES"/>
        </w:rPr>
        <w:t xml:space="preserve">, sino que en aras de la celeridad y economía que se busca con esta modalidad, la selección de la mejor oferta se realiza mediante una </w:t>
      </w:r>
      <w:r w:rsidRPr="007C5C70">
        <w:rPr>
          <w:rFonts w:ascii="Verdana" w:eastAsia="Calibri" w:hAnsi="Verdana" w:cs="Arial"/>
          <w:bCs/>
          <w:i/>
          <w:color w:val="000000"/>
          <w:lang w:val="es-ES"/>
        </w:rPr>
        <w:t>“comunicación de aceptación de la oferta”</w:t>
      </w:r>
      <w:r w:rsidRPr="007C5C70">
        <w:rPr>
          <w:rFonts w:ascii="Verdana" w:eastAsia="Calibri" w:hAnsi="Verdana" w:cs="Arial"/>
          <w:bCs/>
          <w:color w:val="000000"/>
          <w:lang w:val="es-ES"/>
        </w:rPr>
        <w:t>,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14:paraId="123A05EA" w14:textId="77777777" w:rsidR="00F94F4D" w:rsidRPr="007C5C70" w:rsidRDefault="00F94F4D" w:rsidP="00F94F4D">
      <w:pPr>
        <w:spacing w:after="120" w:line="276" w:lineRule="auto"/>
        <w:ind w:firstLine="709"/>
        <w:jc w:val="both"/>
        <w:rPr>
          <w:rFonts w:ascii="Verdana" w:eastAsia="Calibri" w:hAnsi="Verdana" w:cs="Arial"/>
          <w:color w:val="000000"/>
        </w:rPr>
      </w:pPr>
      <w:r w:rsidRPr="007C5C70">
        <w:rPr>
          <w:rFonts w:ascii="Verdana" w:eastAsia="Calibri" w:hAnsi="Verdana" w:cs="Arial"/>
          <w:bCs/>
          <w:color w:val="000000"/>
          <w:lang w:val="es-ES_tradnl"/>
        </w:rPr>
        <w:t>Sobre este aspecto, el Manual de la Modalidad de Selección de Mínima Cuantía expedido por la Agencia Nacional de Contratación Pública – Colombia Compra Eficiente</w:t>
      </w:r>
      <w:r w:rsidRPr="007C5C70">
        <w:rPr>
          <w:rFonts w:ascii="Verdana" w:eastAsia="Calibri" w:hAnsi="Verdana" w:cs="Arial"/>
          <w:bCs/>
          <w:color w:val="000000"/>
          <w:vertAlign w:val="superscript"/>
          <w:lang w:val="es-ES_tradnl"/>
        </w:rPr>
        <w:footnoteReference w:id="8"/>
      </w:r>
      <w:r w:rsidRPr="007C5C70">
        <w:rPr>
          <w:rFonts w:ascii="Verdana" w:eastAsia="Calibri" w:hAnsi="Verdana" w:cs="Arial"/>
          <w:bCs/>
          <w:color w:val="000000"/>
          <w:lang w:val="es-ES_tradnl"/>
        </w:rPr>
        <w:t xml:space="preserve">, señaló que </w:t>
      </w:r>
      <w:r w:rsidRPr="007C5C70">
        <w:rPr>
          <w:rFonts w:ascii="Verdana" w:eastAsia="Calibri" w:hAnsi="Verdana" w:cs="Arial"/>
          <w:color w:val="000000"/>
          <w:lang w:val="es-MX"/>
        </w:rPr>
        <w:t xml:space="preserve">“la Entidad Estatal debe aceptar la oferta del oferente que haya cumplido con los requisitos establecidos en la invitación y que haya ofrecido el precio más bajo, </w:t>
      </w:r>
      <w:r w:rsidRPr="007C5C70">
        <w:rPr>
          <w:rFonts w:ascii="Verdana" w:eastAsia="Calibri" w:hAnsi="Verdana" w:cs="Arial"/>
          <w:i/>
          <w:iCs/>
          <w:color w:val="000000"/>
          <w:lang w:val="es-MX"/>
        </w:rPr>
        <w:t>mediante documento electrónico o físico</w:t>
      </w:r>
      <w:r w:rsidRPr="007C5C70">
        <w:rPr>
          <w:rFonts w:ascii="Verdana" w:eastAsia="Calibri" w:hAnsi="Verdana" w:cs="Arial"/>
          <w:color w:val="000000"/>
          <w:lang w:val="es-MX"/>
        </w:rPr>
        <w:t>. En el documento de aceptación, la Entidad Estatal debe indicar el supervisor del contrato.</w:t>
      </w:r>
      <w:r w:rsidRPr="007C5C70">
        <w:rPr>
          <w:rFonts w:ascii="Verdana" w:eastAsia="Calibri" w:hAnsi="Verdana" w:cs="Arial"/>
          <w:color w:val="000000"/>
          <w:vertAlign w:val="superscript"/>
          <w:lang w:val="es-MX"/>
        </w:rPr>
        <w:footnoteReference w:id="9"/>
      </w:r>
      <w:r w:rsidRPr="007C5C70">
        <w:rPr>
          <w:rFonts w:ascii="Verdana" w:eastAsia="Calibri" w:hAnsi="Verdana" w:cs="Arial"/>
          <w:color w:val="000000"/>
        </w:rPr>
        <w:t xml:space="preserve">” (Énfasis por fuera de texto). De esta manera, desde el momento en que se efectúa dicha comunicación, ya sea mediante documento electrónico o físico, se entiende que el contrato ha quedado perfeccionado y tiene plena existencia, sin que sea necesario cumplir con ningún otro requisito adicional. </w:t>
      </w:r>
    </w:p>
    <w:p w14:paraId="5701915D" w14:textId="77777777" w:rsidR="00F94F4D" w:rsidRPr="007C5C70" w:rsidRDefault="00F94F4D" w:rsidP="00F94F4D">
      <w:pPr>
        <w:spacing w:after="120" w:line="276" w:lineRule="auto"/>
        <w:ind w:firstLine="708"/>
        <w:jc w:val="both"/>
        <w:rPr>
          <w:rFonts w:ascii="Verdana" w:hAnsi="Verdana"/>
        </w:rPr>
      </w:pPr>
      <w:r w:rsidRPr="007C5C70">
        <w:rPr>
          <w:rFonts w:ascii="Verdana" w:hAnsi="Verdana"/>
          <w:lang w:val="es-ES"/>
        </w:rPr>
        <w:t xml:space="preserve">En este sentido, </w:t>
      </w:r>
      <w:r w:rsidRPr="007C5C70">
        <w:rPr>
          <w:rFonts w:ascii="Verdana" w:hAnsi="Verdana"/>
        </w:rPr>
        <w:t>la mínima cuantía es una modalidad de selección en virtud de la cual la entidad estatal realiza una convocatoria pública para recibir ofertas de bienes, obras o servicios cuyo valor no excede el diez por ciento (10%) de su menor cuantía. El elemento central de esta modalidad de selección se encuentra exclusivamente en la cuantía, de manera que independientemente del objeto del contrato y siempre que su valor no excede el diez por ciento de la menor cuantía de la entidad, se deberá acudir a la modalidad de selección de mínima cuantía. Las reglas aplicables a esta modalidad de selección son las consagradas en el numeral 5 del artículo 2 de la Ley 1150 de 2007, modificado por el artículo 94 de la Ley 1474 de 2011, el artículo 30 de la Ley 2069 de 2020, el artículo 2 del Decreto 1860 de 2021, y el artículo 5 del Decreto 142 de 2023.</w:t>
      </w:r>
    </w:p>
    <w:p w14:paraId="72326ED4" w14:textId="77777777" w:rsidR="00F94F4D" w:rsidRPr="007C5C70" w:rsidRDefault="00F94F4D" w:rsidP="00F94F4D">
      <w:pPr>
        <w:spacing w:after="120" w:line="276" w:lineRule="auto"/>
        <w:ind w:firstLine="708"/>
        <w:jc w:val="both"/>
        <w:rPr>
          <w:rFonts w:ascii="Verdana" w:hAnsi="Verdana"/>
        </w:rPr>
      </w:pPr>
      <w:r w:rsidRPr="007C5C70">
        <w:rPr>
          <w:rFonts w:ascii="Verdana" w:hAnsi="Verdana"/>
        </w:rPr>
        <w:lastRenderedPageBreak/>
        <w:t xml:space="preserve">Por su parte, el </w:t>
      </w:r>
      <w:proofErr w:type="spellStart"/>
      <w:r w:rsidRPr="007C5C70">
        <w:rPr>
          <w:rFonts w:ascii="Verdana" w:hAnsi="Verdana"/>
        </w:rPr>
        <w:t>articulo</w:t>
      </w:r>
      <w:proofErr w:type="spellEnd"/>
      <w:r w:rsidRPr="007C5C70">
        <w:rPr>
          <w:rFonts w:ascii="Verdana" w:hAnsi="Verdana"/>
        </w:rPr>
        <w:t xml:space="preserve"> 25 del Estatuto General de la Contratación de la Administrativo Pública, Consagra el principio de economía, indicando que los procedimientos y etapas deben ser los estrictamente necesarios para asegurar la selección objetiva, evitando requisitos que limiten la concurrencia o encarezcan el proceso, y adelantando los trámites con austeridad de tiempo, medios y gastos.</w:t>
      </w:r>
    </w:p>
    <w:p w14:paraId="0886E7BA" w14:textId="77777777" w:rsidR="0035358B" w:rsidRDefault="0035358B" w:rsidP="0035358B">
      <w:pPr>
        <w:widowControl w:val="0"/>
        <w:autoSpaceDE w:val="0"/>
        <w:autoSpaceDN w:val="0"/>
        <w:spacing w:after="120" w:line="276" w:lineRule="auto"/>
        <w:ind w:right="113" w:firstLine="709"/>
        <w:jc w:val="both"/>
        <w:rPr>
          <w:rFonts w:ascii="Verdana" w:hAnsi="Verdana"/>
        </w:rPr>
      </w:pPr>
      <w:r w:rsidRPr="0035358B">
        <w:rPr>
          <w:rFonts w:ascii="Verdana" w:hAnsi="Verdana"/>
        </w:rPr>
        <w:t>Ahora bien, con el propósito de dar respuesta concreta a la consulta elevada ante esta Agencia de Contratación, resulta pertinente señalar que se mantiene la postura institucional y se reiteran los pronunciamientos que sobre la materia han sido previamente emitidos.</w:t>
      </w:r>
    </w:p>
    <w:p w14:paraId="17BB987D" w14:textId="517ECCE2" w:rsidR="00906BF4" w:rsidRPr="003F641E" w:rsidRDefault="00906BF4" w:rsidP="0035358B">
      <w:pPr>
        <w:widowControl w:val="0"/>
        <w:autoSpaceDE w:val="0"/>
        <w:autoSpaceDN w:val="0"/>
        <w:spacing w:after="120" w:line="276" w:lineRule="auto"/>
        <w:ind w:right="113" w:firstLine="709"/>
        <w:jc w:val="both"/>
        <w:rPr>
          <w:rFonts w:ascii="Verdana" w:eastAsia="Times New Roman" w:hAnsi="Verdana" w:cs="Arial"/>
          <w:lang w:eastAsia="es-CO"/>
        </w:rPr>
      </w:pPr>
      <w:r>
        <w:rPr>
          <w:rFonts w:ascii="Verdana" w:eastAsia="Times New Roman" w:hAnsi="Verdana" w:cs="Arial"/>
          <w:lang w:eastAsia="es-CO"/>
        </w:rPr>
        <w:t>En ese sentido, e</w:t>
      </w:r>
      <w:r w:rsidRPr="003F641E">
        <w:rPr>
          <w:rFonts w:ascii="Verdana" w:eastAsia="Times New Roman" w:hAnsi="Verdana" w:cs="Arial"/>
          <w:lang w:eastAsia="es-CO"/>
        </w:rPr>
        <w:t>l numeral 5 del artículo 2.2.1.2.1.5.2 del Decreto 1082 de 2015 dispone expresamente que la Entidad Estatal debe publicar “el informe de evaluación de las ofertas”, en plural. Esta previsión normativa implica que, en principio, debe elaborarse un único documento que dé cuenta integral del proceso evaluativo adelantado hasta ese momento. En dicho informe se deben identificar todos los proponentes que presentaron oferta, así como el valor económico de cada una de ellas, preferiblemente organizadas en orden ascendente, esto es, del menor al mayor precio.</w:t>
      </w:r>
    </w:p>
    <w:p w14:paraId="12D5A8D6" w14:textId="77777777" w:rsidR="00906BF4" w:rsidRPr="003F641E" w:rsidRDefault="00906BF4" w:rsidP="0035358B">
      <w:pPr>
        <w:widowControl w:val="0"/>
        <w:autoSpaceDE w:val="0"/>
        <w:autoSpaceDN w:val="0"/>
        <w:spacing w:after="120" w:line="276" w:lineRule="auto"/>
        <w:ind w:right="113" w:firstLine="709"/>
        <w:jc w:val="both"/>
        <w:rPr>
          <w:rFonts w:ascii="Verdana" w:eastAsia="Times New Roman" w:hAnsi="Verdana" w:cs="Arial"/>
          <w:lang w:eastAsia="es-CO"/>
        </w:rPr>
      </w:pPr>
      <w:r w:rsidRPr="003F641E">
        <w:rPr>
          <w:rFonts w:ascii="Verdana" w:eastAsia="Times New Roman" w:hAnsi="Verdana" w:cs="Arial"/>
          <w:lang w:eastAsia="es-CO"/>
        </w:rPr>
        <w:t>A partir de lo anterior, el informe debe desarrollar la verificación de la oferta con el menor precio, indicando de manera expresa si esta cumple o no con los requisitos habilitantes y las condiciones técnicas mínimas exigidas. En caso de cumplimiento, el informe deberá consignar dicha conclusión, sin que resulte necesario efectuar una revisión detallada de las demás ofertas, bastando con dejar constancia de que, en aplicación del procedimiento secuencial previsto en la norma, no se requería su análisis.</w:t>
      </w:r>
    </w:p>
    <w:p w14:paraId="29BAE0C7" w14:textId="77777777" w:rsidR="00906BF4" w:rsidRPr="003F641E" w:rsidRDefault="00906BF4" w:rsidP="0035358B">
      <w:pPr>
        <w:widowControl w:val="0"/>
        <w:autoSpaceDE w:val="0"/>
        <w:autoSpaceDN w:val="0"/>
        <w:spacing w:after="120" w:line="276" w:lineRule="auto"/>
        <w:ind w:right="113" w:firstLine="709"/>
        <w:jc w:val="both"/>
        <w:rPr>
          <w:rFonts w:ascii="Verdana" w:eastAsia="Times New Roman" w:hAnsi="Verdana" w:cs="Arial"/>
          <w:lang w:eastAsia="es-CO"/>
        </w:rPr>
      </w:pPr>
      <w:r w:rsidRPr="003F641E">
        <w:rPr>
          <w:rFonts w:ascii="Verdana" w:eastAsia="Times New Roman" w:hAnsi="Verdana" w:cs="Arial"/>
          <w:lang w:eastAsia="es-CO"/>
        </w:rPr>
        <w:t>Por el contrario, si la oferta de menor precio no cumple con los requisitos exigidos, el informe deberá señalar las razones de dicho incumplimiento y proceder a la verificación de la siguiente oferta en orden ascendente de precio, y así sucesivamente, hasta identificar aquella que, siendo la de menor precio entre las habilitadas, satisfaga la totalidad de las condiciones establecidas. En este sentido, resulta jurídicamente viable y acorde con la normativa vigente la expedición de un solo informe de evaluación que contenga el análisis secuencial de las ofertas, independientemente del número de proponentes.</w:t>
      </w:r>
    </w:p>
    <w:p w14:paraId="014DED44" w14:textId="77777777" w:rsidR="00906BF4" w:rsidRPr="003F641E" w:rsidRDefault="00906BF4" w:rsidP="0035358B">
      <w:pPr>
        <w:widowControl w:val="0"/>
        <w:autoSpaceDE w:val="0"/>
        <w:autoSpaceDN w:val="0"/>
        <w:spacing w:after="120" w:line="276" w:lineRule="auto"/>
        <w:ind w:right="113" w:firstLine="709"/>
        <w:jc w:val="both"/>
        <w:rPr>
          <w:rFonts w:ascii="Verdana" w:eastAsia="Times New Roman" w:hAnsi="Verdana" w:cs="Arial"/>
          <w:lang w:eastAsia="es-CO"/>
        </w:rPr>
      </w:pPr>
      <w:r w:rsidRPr="003F641E">
        <w:rPr>
          <w:rFonts w:ascii="Verdana" w:eastAsia="Times New Roman" w:hAnsi="Verdana" w:cs="Arial"/>
          <w:lang w:eastAsia="es-CO"/>
        </w:rPr>
        <w:t xml:space="preserve">Este esquema de evaluación secuencial constituye una manifestación del principio de economía que rige la contratación estatal, en la medida en que </w:t>
      </w:r>
      <w:r w:rsidRPr="003F641E">
        <w:rPr>
          <w:rFonts w:ascii="Verdana" w:eastAsia="Times New Roman" w:hAnsi="Verdana" w:cs="Arial"/>
          <w:lang w:eastAsia="es-CO"/>
        </w:rPr>
        <w:lastRenderedPageBreak/>
        <w:t>propende por la eficiencia, celeridad y racionalización de los recursos en la gestión contractual, evitando verificaciones innecesarias cuando ya se ha identificado una oferta que cumple con las condiciones exigidas.</w:t>
      </w:r>
    </w:p>
    <w:p w14:paraId="2593FB4F" w14:textId="77777777" w:rsidR="00906BF4" w:rsidRPr="003F641E" w:rsidRDefault="00906BF4" w:rsidP="0035358B">
      <w:pPr>
        <w:widowControl w:val="0"/>
        <w:autoSpaceDE w:val="0"/>
        <w:autoSpaceDN w:val="0"/>
        <w:spacing w:after="120" w:line="276" w:lineRule="auto"/>
        <w:ind w:right="113" w:firstLine="709"/>
        <w:jc w:val="both"/>
        <w:rPr>
          <w:rFonts w:ascii="Verdana" w:eastAsia="Times New Roman" w:hAnsi="Verdana" w:cs="Arial"/>
          <w:lang w:eastAsia="es-CO"/>
        </w:rPr>
      </w:pPr>
      <w:r w:rsidRPr="003F641E">
        <w:rPr>
          <w:rFonts w:ascii="Verdana" w:eastAsia="Times New Roman" w:hAnsi="Verdana" w:cs="Arial"/>
          <w:lang w:eastAsia="es-CO"/>
        </w:rPr>
        <w:t xml:space="preserve">No </w:t>
      </w:r>
      <w:proofErr w:type="gramStart"/>
      <w:r w:rsidRPr="003F641E">
        <w:rPr>
          <w:rFonts w:ascii="Verdana" w:eastAsia="Times New Roman" w:hAnsi="Verdana" w:cs="Arial"/>
          <w:lang w:eastAsia="es-CO"/>
        </w:rPr>
        <w:t>obstante</w:t>
      </w:r>
      <w:proofErr w:type="gramEnd"/>
      <w:r w:rsidRPr="003F641E">
        <w:rPr>
          <w:rFonts w:ascii="Verdana" w:eastAsia="Times New Roman" w:hAnsi="Verdana" w:cs="Arial"/>
          <w:lang w:eastAsia="es-CO"/>
        </w:rPr>
        <w:t xml:space="preserve"> lo anterior, es importante precisar que la norma no prohíbe que las entidades estatales, en ejercicio de su autonomía administrativa, adopten prácticas adicionales orientadas a fortalecer la transparencia y las garantías del debido proceso. En ese sentido, es posible que la entidad opte por verificar los requisitos habilitantes de todos los proponentes y, en consecuencia, incluso elaborar más de un informe de evaluación o documentos complementarios que den cuenta de dicho análisis.</w:t>
      </w:r>
    </w:p>
    <w:p w14:paraId="391CC29E" w14:textId="77777777" w:rsidR="00906BF4" w:rsidRPr="003F641E" w:rsidRDefault="00906BF4" w:rsidP="0035358B">
      <w:pPr>
        <w:widowControl w:val="0"/>
        <w:autoSpaceDE w:val="0"/>
        <w:autoSpaceDN w:val="0"/>
        <w:spacing w:after="120" w:line="276" w:lineRule="auto"/>
        <w:ind w:right="113" w:firstLine="709"/>
        <w:jc w:val="both"/>
        <w:rPr>
          <w:rFonts w:ascii="Verdana" w:eastAsia="Times New Roman" w:hAnsi="Verdana" w:cs="Arial"/>
          <w:lang w:eastAsia="es-CO"/>
        </w:rPr>
      </w:pPr>
      <w:r w:rsidRPr="003F641E">
        <w:rPr>
          <w:rFonts w:ascii="Verdana" w:eastAsia="Times New Roman" w:hAnsi="Verdana" w:cs="Arial"/>
          <w:lang w:eastAsia="es-CO"/>
        </w:rPr>
        <w:t>Esta práctica no contraviene el marco normativo, en tanto no modifica el criterio de selección propio de la mínima cuantía —esto es, el menor precio—, sino que, por el contrario, contribuye a reforzar la transparencia del proceso al evidenciar qué proponentes se encontraban habilitados para participar. Asimismo, permite ampliar las garantías de los oferentes, en particular en lo relacionado con la posibilidad de subsanar requisitos, sin afectar la regla de selección objetiva.</w:t>
      </w:r>
    </w:p>
    <w:p w14:paraId="1F63003A" w14:textId="77777777" w:rsidR="00906BF4" w:rsidRPr="003F641E" w:rsidRDefault="00906BF4" w:rsidP="0035358B">
      <w:pPr>
        <w:widowControl w:val="0"/>
        <w:autoSpaceDE w:val="0"/>
        <w:autoSpaceDN w:val="0"/>
        <w:spacing w:after="120" w:line="276" w:lineRule="auto"/>
        <w:ind w:right="113" w:firstLine="709"/>
        <w:jc w:val="both"/>
        <w:rPr>
          <w:rFonts w:ascii="Verdana" w:eastAsia="Times New Roman" w:hAnsi="Verdana" w:cs="Arial"/>
          <w:lang w:eastAsia="es-CO"/>
        </w:rPr>
      </w:pPr>
      <w:r w:rsidRPr="003F641E">
        <w:rPr>
          <w:rFonts w:ascii="Verdana" w:eastAsia="Times New Roman" w:hAnsi="Verdana" w:cs="Arial"/>
          <w:lang w:eastAsia="es-CO"/>
        </w:rPr>
        <w:t>En efecto, en el marco del debido proceso y la garantía de los derechos de los participantes, la verificación integral de requisitos puede considerarse una buena práctica administrativa, adoptada por diversas entidades, que no solo no desvirtúa la lógica de la evaluación secuencial, sino que la complementa al hacer más visible y comprensible el proceso de selección.</w:t>
      </w:r>
    </w:p>
    <w:p w14:paraId="3FCDAD49" w14:textId="340C848B" w:rsidR="004C37DC" w:rsidRPr="00F4158D" w:rsidRDefault="00906BF4" w:rsidP="00906BF4">
      <w:pPr>
        <w:spacing w:after="120" w:line="276" w:lineRule="auto"/>
        <w:ind w:firstLine="708"/>
        <w:jc w:val="both"/>
        <w:rPr>
          <w:rFonts w:ascii="Verdana" w:eastAsia="Calibri" w:hAnsi="Verdana" w:cs="Arial"/>
          <w:bCs/>
          <w:color w:val="000000" w:themeColor="text1"/>
        </w:rPr>
      </w:pPr>
      <w:r w:rsidRPr="003F641E">
        <w:rPr>
          <w:rFonts w:ascii="Verdana" w:eastAsia="Times New Roman" w:hAnsi="Verdana" w:cs="Arial"/>
          <w:lang w:eastAsia="es-CO"/>
        </w:rPr>
        <w:t xml:space="preserve">En consecuencia, si bien la regla general prevista en el numeral 5 del artículo 2.2.1.2.1.5.2 del Decreto 1082 de 2015 se orienta a la elaboración de un único informe de evaluación con aplicación del criterio secuencial, resulta igualmente válido que las entidades, en ejercicio de su autonomía y con fundamento en los principios de transparencia y debido proceso, adopten esquemas más amplios de verificación y documentación, siempre que no se altere el criterio de selección basado en el menor </w:t>
      </w:r>
      <w:proofErr w:type="spellStart"/>
      <w:r w:rsidRPr="003F641E">
        <w:rPr>
          <w:rFonts w:ascii="Verdana" w:eastAsia="Times New Roman" w:hAnsi="Verdana" w:cs="Arial"/>
          <w:lang w:eastAsia="es-CO"/>
        </w:rPr>
        <w:t>precio.</w:t>
      </w:r>
      <w:r w:rsidR="004C37DC" w:rsidRPr="00F4158D">
        <w:rPr>
          <w:rFonts w:ascii="Verdana" w:eastAsia="Calibri" w:hAnsi="Verdana" w:cs="Arial"/>
          <w:bCs/>
          <w:color w:val="000000" w:themeColor="text1"/>
        </w:rPr>
        <w:t>Al</w:t>
      </w:r>
      <w:proofErr w:type="spellEnd"/>
      <w:r w:rsidR="004C37DC" w:rsidRPr="00F4158D">
        <w:rPr>
          <w:rFonts w:ascii="Verdana" w:eastAsia="Calibri" w:hAnsi="Verdana" w:cs="Arial"/>
          <w:bCs/>
          <w:color w:val="000000" w:themeColor="text1"/>
        </w:rPr>
        <w:t xml:space="preserve">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w:t>
      </w:r>
      <w:r w:rsidR="004C37DC" w:rsidRPr="00F4158D">
        <w:rPr>
          <w:rFonts w:ascii="Verdana" w:eastAsia="Calibri" w:hAnsi="Verdana" w:cs="Arial"/>
          <w:bCs/>
          <w:color w:val="000000" w:themeColor="text1"/>
        </w:rPr>
        <w:lastRenderedPageBreak/>
        <w:t>situaciones particulares corresponde a los interesados adoptar la decisión correspondiente y, en caso de conflicto, a las autoridades judiciales, fiscales y disciplinarias.</w:t>
      </w:r>
    </w:p>
    <w:p w14:paraId="507DA335" w14:textId="77777777" w:rsidR="004C37DC" w:rsidRPr="00F4158D" w:rsidRDefault="004C37DC" w:rsidP="004C37DC">
      <w:pPr>
        <w:spacing w:line="276" w:lineRule="auto"/>
        <w:ind w:firstLine="708"/>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EEB1259" w14:textId="77777777" w:rsidR="004C37DC" w:rsidRPr="00EF658E" w:rsidRDefault="004C37DC" w:rsidP="004C37DC">
      <w:pPr>
        <w:pStyle w:val="Prrafodelista"/>
        <w:numPr>
          <w:ilvl w:val="0"/>
          <w:numId w:val="16"/>
        </w:numPr>
        <w:tabs>
          <w:tab w:val="left" w:pos="142"/>
          <w:tab w:val="left" w:pos="284"/>
        </w:tabs>
        <w:spacing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37DC" w:rsidRPr="002407CE" w14:paraId="37A8EF9F" w14:textId="77777777" w:rsidTr="006600B0">
        <w:trPr>
          <w:trHeight w:val="870"/>
          <w:jc w:val="center"/>
        </w:trPr>
        <w:tc>
          <w:tcPr>
            <w:tcW w:w="8647" w:type="dxa"/>
          </w:tcPr>
          <w:p w14:paraId="3507D169" w14:textId="77777777" w:rsidR="003E19F7" w:rsidRPr="00EE0353" w:rsidRDefault="003E19F7" w:rsidP="00001277">
            <w:pPr>
              <w:pStyle w:val="Prrafodelista"/>
              <w:numPr>
                <w:ilvl w:val="0"/>
                <w:numId w:val="17"/>
              </w:numPr>
              <w:spacing w:after="120" w:line="276" w:lineRule="auto"/>
              <w:rPr>
                <w:rFonts w:ascii="Verdana" w:hAnsi="Verdana" w:cs="Arial"/>
              </w:rPr>
            </w:pPr>
            <w:r w:rsidRPr="00EE0353">
              <w:rPr>
                <w:rFonts w:ascii="Verdana" w:hAnsi="Verdana" w:cs="Arial"/>
              </w:rPr>
              <w:t>Ley 1150 de 2007: artículo 2, numeral 5, literal d.</w:t>
            </w:r>
          </w:p>
          <w:p w14:paraId="07F96A7D" w14:textId="77777777" w:rsidR="003E19F7" w:rsidRPr="00EE0353" w:rsidRDefault="003E19F7" w:rsidP="00001277">
            <w:pPr>
              <w:pStyle w:val="Prrafodelista"/>
              <w:numPr>
                <w:ilvl w:val="0"/>
                <w:numId w:val="17"/>
              </w:numPr>
              <w:spacing w:after="120" w:line="276" w:lineRule="auto"/>
              <w:rPr>
                <w:rFonts w:ascii="Verdana" w:hAnsi="Verdana" w:cs="Arial"/>
              </w:rPr>
            </w:pPr>
            <w:r w:rsidRPr="00EE0353">
              <w:rPr>
                <w:rFonts w:ascii="Verdana" w:hAnsi="Verdana" w:cs="Arial"/>
              </w:rPr>
              <w:t>Ley 2069 de 2020: artículo 30</w:t>
            </w:r>
          </w:p>
          <w:p w14:paraId="6B75DC0F" w14:textId="77777777" w:rsidR="009D62F6" w:rsidRPr="009D62F6" w:rsidRDefault="003E19F7" w:rsidP="00001277">
            <w:pPr>
              <w:pStyle w:val="Prrafodelista"/>
              <w:numPr>
                <w:ilvl w:val="0"/>
                <w:numId w:val="17"/>
              </w:numPr>
              <w:spacing w:after="120" w:line="276" w:lineRule="auto"/>
              <w:rPr>
                <w:rFonts w:ascii="Verdana" w:hAnsi="Verdana" w:cs="Arial"/>
              </w:rPr>
            </w:pPr>
            <w:r w:rsidRPr="00EE0353">
              <w:rPr>
                <w:rFonts w:ascii="Verdana" w:hAnsi="Verdana" w:cs="Arial"/>
              </w:rPr>
              <w:t xml:space="preserve">Decreto 1082 del 2015: artículos </w:t>
            </w:r>
            <w:r w:rsidRPr="000C5E04">
              <w:rPr>
                <w:rFonts w:ascii="Verdana" w:hAnsi="Verdana" w:cs="Arial"/>
              </w:rPr>
              <w:t>2.2.1.2.1.5.2</w:t>
            </w:r>
            <w:r>
              <w:rPr>
                <w:rFonts w:ascii="Verdana" w:hAnsi="Verdana" w:cs="Arial"/>
              </w:rPr>
              <w:t xml:space="preserve">, </w:t>
            </w:r>
            <w:r w:rsidRPr="00EE0353">
              <w:rPr>
                <w:rFonts w:ascii="Verdana" w:hAnsi="Verdana" w:cs="Arial"/>
              </w:rPr>
              <w:t xml:space="preserve">2.2.1.2.1.5.1. al 2.2.1.2.1.5.4 y 2.2.1.2.3.1.6 </w:t>
            </w:r>
          </w:p>
          <w:p w14:paraId="0EF3BD11" w14:textId="3AEBC99E" w:rsidR="009D62F6" w:rsidRPr="009D62F6" w:rsidRDefault="003E19F7" w:rsidP="00001277">
            <w:pPr>
              <w:pStyle w:val="Prrafodelista"/>
              <w:numPr>
                <w:ilvl w:val="0"/>
                <w:numId w:val="17"/>
              </w:numPr>
              <w:spacing w:after="120" w:line="276" w:lineRule="auto"/>
              <w:rPr>
                <w:rFonts w:ascii="Verdana" w:hAnsi="Verdana"/>
              </w:rPr>
            </w:pPr>
            <w:r w:rsidRPr="008D4FB9">
              <w:rPr>
                <w:rFonts w:ascii="Verdana" w:hAnsi="Verdana" w:cs="Arial"/>
              </w:rPr>
              <w:t xml:space="preserve">Manual de la modalidad de selección de mínima cuantía  </w:t>
            </w:r>
            <w:hyperlink r:id="rId12" w:history="1">
              <w:r w:rsidR="00001277" w:rsidRPr="00001277">
                <w:rPr>
                  <w:rStyle w:val="Hipervnculo"/>
                  <w:rFonts w:ascii="Verdana" w:hAnsi="Verdana" w:cs="Arial"/>
                  <w:lang w:val="es-CO"/>
                </w:rPr>
                <w:t>manual_de_la_modalidad_de_seleccion_de_minima_cuantia.pdf</w:t>
              </w:r>
            </w:hyperlink>
          </w:p>
        </w:tc>
      </w:tr>
    </w:tbl>
    <w:p w14:paraId="66FD744F" w14:textId="77777777" w:rsidR="004C37DC" w:rsidRPr="00593A5F" w:rsidRDefault="004C37DC" w:rsidP="004C37DC">
      <w:pPr>
        <w:pStyle w:val="Prrafodelista"/>
        <w:numPr>
          <w:ilvl w:val="0"/>
          <w:numId w:val="16"/>
        </w:numPr>
        <w:tabs>
          <w:tab w:val="left" w:pos="142"/>
          <w:tab w:val="left" w:pos="284"/>
        </w:tabs>
        <w:spacing w:before="240"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463FAD4" w14:textId="68EE7631" w:rsidR="004C37DC" w:rsidRDefault="004C37DC" w:rsidP="004C37DC">
      <w:pPr>
        <w:widowControl w:val="0"/>
        <w:autoSpaceDE w:val="0"/>
        <w:autoSpaceDN w:val="0"/>
        <w:spacing w:before="240" w:line="276" w:lineRule="auto"/>
        <w:jc w:val="both"/>
        <w:rPr>
          <w:rStyle w:val="normaltextrun"/>
          <w:rFonts w:ascii="Verdana" w:hAnsi="Verdana" w:cs="Arial"/>
          <w:color w:val="FF0000"/>
          <w:shd w:val="clear" w:color="auto" w:fill="FFFFFF"/>
          <w:lang w:val="es-ES"/>
        </w:rPr>
      </w:pPr>
      <w:r w:rsidRPr="00177E85">
        <w:rPr>
          <w:rFonts w:ascii="Verdana" w:hAnsi="Verdana" w:cs="Arial"/>
          <w:shd w:val="clear" w:color="auto" w:fill="FFFFFF"/>
        </w:rPr>
        <w:t xml:space="preserve">Sobre </w:t>
      </w:r>
      <w:r w:rsidR="007018FC" w:rsidRPr="008D4FB9">
        <w:rPr>
          <w:rFonts w:ascii="Verdana" w:eastAsia="Arial" w:hAnsi="Verdana" w:cs="Arial"/>
          <w:bCs/>
          <w:lang w:val="es-ES_tradnl" w:eastAsia="es-ES_tradnl"/>
        </w:rPr>
        <w:t>particularidades de la modalidad de selección de mínima cuantía</w:t>
      </w:r>
      <w:r w:rsidRPr="00177E85">
        <w:rPr>
          <w:rFonts w:ascii="Verdana" w:hAnsi="Verdana" w:cs="Arial"/>
          <w:shd w:val="clear" w:color="auto" w:fill="FFFFFF"/>
        </w:rPr>
        <w:t xml:space="preserve">, la ANCP- CCE se ha pronunciado en los Conceptos </w:t>
      </w:r>
      <w:r w:rsidR="00C553E4" w:rsidRPr="008D4FB9">
        <w:rPr>
          <w:rFonts w:ascii="Verdana" w:eastAsia="Arial" w:hAnsi="Verdana" w:cs="Arial"/>
          <w:bCs/>
          <w:lang w:val="es-ES_tradnl" w:eastAsia="es-ES_tradnl"/>
        </w:rPr>
        <w:t>con radicado No. 2201913000006236 de 26 de agosto de 2019, C–108 del 3 de marzo de 2020, C–121 del 3 de marzo de 2020, C–122 del 25 de marzo de 2020 y C–160 del 3 de abril de 2020, C-465 del 27 de julio de 2020, C-557 del 21 de agosto de 2020, C-734 del 16 de diciembre de 2020, C-123 del 12 de mayo de 2023</w:t>
      </w:r>
      <w:r w:rsidR="00C553E4">
        <w:rPr>
          <w:rFonts w:ascii="Verdana" w:hAnsi="Verdana" w:cs="Arial"/>
          <w:shd w:val="clear" w:color="auto" w:fill="FFFFFF"/>
          <w:lang w:val="es-ES"/>
        </w:rPr>
        <w:t>,</w:t>
      </w:r>
      <w:r w:rsidR="00C553E4" w:rsidRPr="008D4FB9">
        <w:rPr>
          <w:rFonts w:ascii="Verdana" w:hAnsi="Verdana" w:cs="Arial"/>
          <w:shd w:val="clear" w:color="auto" w:fill="FFFFFF"/>
          <w:lang w:val="es-ES"/>
        </w:rPr>
        <w:t xml:space="preserve"> C-246 del 1 de abril de 2025</w:t>
      </w:r>
      <w:r w:rsidR="00E70D0A">
        <w:rPr>
          <w:rFonts w:ascii="Verdana" w:hAnsi="Verdana" w:cs="Arial"/>
          <w:shd w:val="clear" w:color="auto" w:fill="FFFFFF"/>
          <w:lang w:val="es-ES"/>
        </w:rPr>
        <w:t xml:space="preserve"> y C-416 de 2025.</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3"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A9A61B9" w14:textId="77777777" w:rsidR="004C37DC" w:rsidRDefault="004C37DC" w:rsidP="004C37DC">
      <w:pPr>
        <w:spacing w:after="120" w:line="276" w:lineRule="auto"/>
        <w:jc w:val="both"/>
        <w:rPr>
          <w:rFonts w:ascii="Verdana" w:eastAsia="Calibri" w:hAnsi="Verdana" w:cs="Arial"/>
          <w:lang w:val="es-ES"/>
        </w:rPr>
      </w:pPr>
      <w:r w:rsidRPr="004A2375">
        <w:rPr>
          <w:rFonts w:ascii="Verdana" w:hAnsi="Verdana"/>
        </w:rPr>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xml:space="preserve">, una herramienta clave para fortalecer las capacidades de </w:t>
      </w:r>
      <w:r w:rsidRPr="00A655B7">
        <w:rPr>
          <w:rFonts w:ascii="Verdana" w:hAnsi="Verdana"/>
        </w:rPr>
        <w:t xml:space="preserve">todos </w:t>
      </w:r>
      <w:r w:rsidRPr="00A655B7">
        <w:rPr>
          <w:rFonts w:ascii="Verdana" w:hAnsi="Verdana"/>
        </w:rPr>
        <w:lastRenderedPageBreak/>
        <w:t xml:space="preserve">los compradores públicos, proveedores, servidores públicos v para </w:t>
      </w:r>
      <w:r w:rsidRPr="00A655B7">
        <w:rPr>
          <w:rFonts w:ascii="Verdana" w:eastAsia="Calibri" w:hAnsi="Verdana" w:cs="Arial"/>
          <w:lang w:val="es-ES"/>
        </w:rPr>
        <w:t>generar mayor valor público. Accede al curso y aprende como implementar criterios sociales y ambientales en las diferentes etapas del proceso de contratación:</w:t>
      </w:r>
      <w:r w:rsidRPr="00A655B7">
        <w:rPr>
          <w:rFonts w:ascii="Verdana" w:eastAsia="Calibri" w:hAnsi="Verdana" w:cs="Arial"/>
          <w:lang w:val="es-ES"/>
        </w:rPr>
        <w:br/>
      </w:r>
      <w:hyperlink r:id="rId14" w:tgtFrame="_new" w:history="1">
        <w:r w:rsidRPr="00A655B7">
          <w:rPr>
            <w:rStyle w:val="Hipervnculo"/>
            <w:rFonts w:ascii="Verdana" w:hAnsi="Verdana"/>
          </w:rPr>
          <w:t>https://formacionvirtual.colombiacompra.gov.co/mod/page/view.php?id=3718</w:t>
        </w:r>
      </w:hyperlink>
    </w:p>
    <w:p w14:paraId="7FA3AD5A" w14:textId="77777777" w:rsidR="004C37DC" w:rsidRDefault="004C37DC" w:rsidP="004C37DC">
      <w:pPr>
        <w:spacing w:after="120" w:line="276" w:lineRule="auto"/>
        <w:jc w:val="both"/>
      </w:pPr>
      <w:r w:rsidRPr="00A655B7">
        <w:rPr>
          <w:rFonts w:ascii="Verdana" w:eastAsia="Calibri" w:hAnsi="Verdana" w:cs="Arial"/>
          <w:lang w:val="es-ES"/>
        </w:rPr>
        <w:t>De otro lado, te contamos que esta Agencia ha da un paso decisivo en la estandarización</w:t>
      </w:r>
      <w:r w:rsidRPr="00A655B7">
        <w:rPr>
          <w:rFonts w:ascii="Verdana" w:hAnsi="Verdana"/>
        </w:rPr>
        <w:t xml:space="preserve"> y modernización</w:t>
      </w:r>
      <w:r w:rsidRPr="004A2375">
        <w:rPr>
          <w:rFonts w:ascii="Verdana" w:hAnsi="Verdana"/>
        </w:rPr>
        <w:t xml:space="preserve">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4A2375">
          <w:rPr>
            <w:rStyle w:val="Hipervnculo"/>
            <w:rFonts w:ascii="Verdana" w:hAnsi="Verdana"/>
          </w:rPr>
          <w:t>https://www.colombiacompra.gov.co/normativa-y-relatoria/documentos-tipo</w:t>
        </w:r>
      </w:hyperlink>
    </w:p>
    <w:p w14:paraId="453E49E9" w14:textId="77777777" w:rsidR="004C37DC" w:rsidRDefault="004C37DC" w:rsidP="004C37DC">
      <w:pPr>
        <w:spacing w:after="120" w:line="276" w:lineRule="auto"/>
        <w:jc w:val="both"/>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A2375">
        <w:rPr>
          <w:rFonts w:ascii="Verdana" w:hAnsi="Verdana"/>
        </w:rPr>
        <w:br/>
      </w:r>
      <w:hyperlink r:id="rId16" w:tgtFrame="_new" w:history="1">
        <w:r w:rsidRPr="004A23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1A63EFF" w14:textId="77777777" w:rsidR="004C37DC" w:rsidRPr="004A2375" w:rsidRDefault="004C37DC" w:rsidP="004C37DC">
      <w:pPr>
        <w:spacing w:after="120" w:line="276" w:lineRule="auto"/>
        <w:jc w:val="both"/>
        <w:rPr>
          <w:rFonts w:ascii="Verdana" w:hAnsi="Verdana"/>
        </w:rPr>
      </w:pPr>
      <w:r w:rsidRPr="004A2375">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1CB7DD3" w14:textId="77777777" w:rsidR="004C37DC" w:rsidRPr="00AE2042" w:rsidRDefault="004C37DC" w:rsidP="004C37DC">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nacional gratuita o servicio a la ciudadanía: 01800 0520808</w:t>
      </w:r>
    </w:p>
    <w:p w14:paraId="56A6E28A" w14:textId="77777777" w:rsidR="004C37DC" w:rsidRPr="00AE2042" w:rsidRDefault="004C37DC" w:rsidP="004C37DC">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en Bogotá (Mesa de servicio): +57 601 7456788</w:t>
      </w:r>
    </w:p>
    <w:p w14:paraId="5B4DBA19" w14:textId="77777777" w:rsidR="004C37DC" w:rsidRPr="00AE2042" w:rsidRDefault="004C37DC" w:rsidP="004C37DC">
      <w:pPr>
        <w:pStyle w:val="Prrafodelista"/>
        <w:numPr>
          <w:ilvl w:val="0"/>
          <w:numId w:val="15"/>
        </w:numPr>
        <w:spacing w:after="0" w:line="276" w:lineRule="auto"/>
        <w:contextualSpacing w:val="0"/>
        <w:jc w:val="both"/>
        <w:rPr>
          <w:rFonts w:ascii="Verdana" w:hAnsi="Verdana"/>
          <w:sz w:val="20"/>
          <w:szCs w:val="20"/>
          <w:lang w:val="es-CO"/>
        </w:rPr>
      </w:pPr>
      <w:r w:rsidRPr="00AE2042">
        <w:rPr>
          <w:rFonts w:ascii="Verdana" w:hAnsi="Verdana"/>
          <w:sz w:val="20"/>
          <w:szCs w:val="20"/>
          <w:lang w:val="es-CO"/>
        </w:rPr>
        <w:t>Línea de servicio y atención al ciudadano: +57 601 7956600</w:t>
      </w:r>
    </w:p>
    <w:p w14:paraId="4FE9357C" w14:textId="77777777" w:rsidR="004C37DC" w:rsidRPr="00AE2042" w:rsidRDefault="004C37DC" w:rsidP="004C37DC">
      <w:pPr>
        <w:pStyle w:val="Prrafodelista"/>
        <w:numPr>
          <w:ilvl w:val="0"/>
          <w:numId w:val="15"/>
        </w:numPr>
        <w:spacing w:line="276" w:lineRule="auto"/>
        <w:contextualSpacing w:val="0"/>
        <w:jc w:val="both"/>
        <w:rPr>
          <w:rFonts w:ascii="Verdana" w:hAnsi="Verdana"/>
          <w:sz w:val="20"/>
          <w:szCs w:val="20"/>
          <w:lang w:val="es-CO"/>
        </w:rPr>
      </w:pPr>
      <w:r w:rsidRPr="00AE2042">
        <w:rPr>
          <w:rFonts w:ascii="Verdana" w:hAnsi="Verdana"/>
          <w:sz w:val="20"/>
          <w:szCs w:val="20"/>
          <w:lang w:val="es-CO"/>
        </w:rPr>
        <w:t xml:space="preserve">Página web: </w:t>
      </w:r>
      <w:hyperlink r:id="rId17" w:history="1">
        <w:r w:rsidRPr="00AE2042">
          <w:rPr>
            <w:rStyle w:val="Hipervnculo"/>
            <w:rFonts w:ascii="Verdana" w:hAnsi="Verdana"/>
            <w:sz w:val="20"/>
            <w:szCs w:val="20"/>
            <w:lang w:val="es-CO"/>
          </w:rPr>
          <w:t>www.colombiacompra.gov.co</w:t>
        </w:r>
      </w:hyperlink>
    </w:p>
    <w:p w14:paraId="40B5BF2C" w14:textId="77777777" w:rsidR="004C37DC" w:rsidRDefault="004C37DC" w:rsidP="004C37DC">
      <w:pPr>
        <w:spacing w:after="0" w:line="276" w:lineRule="auto"/>
        <w:jc w:val="both"/>
        <w:rPr>
          <w:rFonts w:ascii="Verdana" w:hAnsi="Verdana"/>
        </w:rPr>
      </w:pPr>
      <w:r w:rsidRPr="004A2375">
        <w:rPr>
          <w:rFonts w:ascii="Verdana" w:hAnsi="Verdana"/>
        </w:rPr>
        <w:lastRenderedPageBreak/>
        <w:t xml:space="preserve">Por último, lo invitamos a seguirnos en las redes sociales en las cuales se difunde información institucional: </w:t>
      </w:r>
    </w:p>
    <w:p w14:paraId="1773CEC2" w14:textId="77777777" w:rsidR="004C37DC" w:rsidRPr="00AE2042" w:rsidRDefault="004C37DC" w:rsidP="004C37DC">
      <w:pPr>
        <w:spacing w:before="240" w:after="0" w:line="276" w:lineRule="auto"/>
        <w:jc w:val="both"/>
        <w:rPr>
          <w:rFonts w:ascii="Verdana" w:hAnsi="Verdana"/>
          <w:sz w:val="20"/>
          <w:szCs w:val="20"/>
        </w:rPr>
      </w:pPr>
      <w:r w:rsidRPr="00AE2042">
        <w:rPr>
          <w:rFonts w:ascii="Verdana" w:hAnsi="Verdana"/>
          <w:sz w:val="20"/>
          <w:szCs w:val="20"/>
        </w:rPr>
        <w:t xml:space="preserve">Twitter: </w:t>
      </w:r>
      <w:r w:rsidRPr="00AE2042">
        <w:rPr>
          <w:rStyle w:val="Hipervnculo"/>
          <w:rFonts w:ascii="Verdana" w:hAnsi="Verdana"/>
          <w:sz w:val="20"/>
          <w:szCs w:val="20"/>
        </w:rPr>
        <w:t>@colombiacompra</w:t>
      </w:r>
      <w:r w:rsidRPr="00AE2042">
        <w:rPr>
          <w:rFonts w:ascii="Verdana" w:hAnsi="Verdana"/>
          <w:sz w:val="20"/>
          <w:szCs w:val="20"/>
        </w:rPr>
        <w:t xml:space="preserve"> </w:t>
      </w:r>
    </w:p>
    <w:p w14:paraId="50CF9ECD" w14:textId="77777777" w:rsidR="004C37DC" w:rsidRPr="00AE2042" w:rsidRDefault="004C37DC" w:rsidP="004C37DC">
      <w:pPr>
        <w:spacing w:after="0" w:line="276" w:lineRule="auto"/>
        <w:jc w:val="both"/>
        <w:rPr>
          <w:rFonts w:ascii="Verdana" w:hAnsi="Verdana"/>
          <w:sz w:val="20"/>
          <w:szCs w:val="20"/>
        </w:rPr>
      </w:pPr>
      <w:r w:rsidRPr="00AE2042">
        <w:rPr>
          <w:rFonts w:ascii="Verdana" w:hAnsi="Verdana"/>
          <w:sz w:val="20"/>
          <w:szCs w:val="20"/>
        </w:rPr>
        <w:t xml:space="preserve">Facebook: </w:t>
      </w:r>
      <w:proofErr w:type="spellStart"/>
      <w:r w:rsidRPr="00AE2042">
        <w:rPr>
          <w:rStyle w:val="Hipervnculo"/>
          <w:rFonts w:ascii="Verdana" w:hAnsi="Verdana"/>
          <w:sz w:val="20"/>
          <w:szCs w:val="20"/>
        </w:rPr>
        <w:t>ColombiaCompraEficiente</w:t>
      </w:r>
      <w:proofErr w:type="spellEnd"/>
    </w:p>
    <w:p w14:paraId="480BEC66" w14:textId="77777777" w:rsidR="004C37DC" w:rsidRPr="00AE2042" w:rsidRDefault="004C37DC" w:rsidP="004C37DC">
      <w:pPr>
        <w:spacing w:after="0" w:line="276" w:lineRule="auto"/>
        <w:jc w:val="both"/>
        <w:rPr>
          <w:rStyle w:val="Hipervnculo"/>
          <w:rFonts w:ascii="Verdana" w:hAnsi="Verdana"/>
          <w:sz w:val="20"/>
          <w:szCs w:val="20"/>
        </w:rPr>
      </w:pPr>
      <w:r w:rsidRPr="00AE2042">
        <w:rPr>
          <w:rFonts w:ascii="Verdana" w:hAnsi="Verdana"/>
          <w:sz w:val="20"/>
          <w:szCs w:val="20"/>
        </w:rPr>
        <w:t xml:space="preserve">LinkedIn: </w:t>
      </w:r>
      <w:r w:rsidRPr="00AE2042">
        <w:rPr>
          <w:rStyle w:val="Hipervnculo"/>
          <w:rFonts w:ascii="Verdana" w:hAnsi="Verdana"/>
          <w:sz w:val="20"/>
          <w:szCs w:val="20"/>
        </w:rPr>
        <w:t>Agencia Nacional de Contratación Pública - Colombia Compra Eficiente</w:t>
      </w:r>
    </w:p>
    <w:p w14:paraId="0C78DB4D" w14:textId="77777777" w:rsidR="004C37DC" w:rsidRPr="00AE2042" w:rsidRDefault="004C37DC" w:rsidP="004C37DC">
      <w:pPr>
        <w:spacing w:line="276" w:lineRule="auto"/>
        <w:jc w:val="both"/>
        <w:rPr>
          <w:rFonts w:ascii="Verdana" w:hAnsi="Verdana"/>
          <w:color w:val="0000FF"/>
          <w:sz w:val="20"/>
          <w:szCs w:val="20"/>
          <w:u w:val="single"/>
        </w:rPr>
      </w:pPr>
      <w:r w:rsidRPr="00AE2042">
        <w:rPr>
          <w:rFonts w:ascii="Verdana" w:hAnsi="Verdana"/>
          <w:sz w:val="20"/>
          <w:szCs w:val="20"/>
        </w:rPr>
        <w:t xml:space="preserve">Instagram: </w:t>
      </w:r>
      <w:r w:rsidRPr="00AE2042">
        <w:rPr>
          <w:rStyle w:val="Hipervnculo"/>
          <w:rFonts w:ascii="Verdana" w:hAnsi="Verdana"/>
          <w:sz w:val="20"/>
          <w:szCs w:val="20"/>
        </w:rPr>
        <w:t>@colombiacompraeficiente_cce</w:t>
      </w:r>
    </w:p>
    <w:p w14:paraId="1381CF13" w14:textId="77777777" w:rsidR="004C37DC" w:rsidRPr="004A2375" w:rsidRDefault="004C37DC" w:rsidP="004C37DC">
      <w:pPr>
        <w:spacing w:after="0" w:line="276" w:lineRule="auto"/>
        <w:jc w:val="both"/>
        <w:rPr>
          <w:rFonts w:ascii="Verdana" w:eastAsia="Calibri" w:hAnsi="Verdana" w:cs="Times New Roman"/>
          <w:bCs/>
        </w:rPr>
      </w:pPr>
      <w:r w:rsidRPr="004A237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5F1C4EB" w14:textId="77777777" w:rsidR="004C37DC" w:rsidRPr="004A2375" w:rsidRDefault="004C37DC" w:rsidP="004C37DC">
      <w:pPr>
        <w:spacing w:after="0" w:line="276" w:lineRule="auto"/>
        <w:jc w:val="both"/>
        <w:rPr>
          <w:rFonts w:ascii="Verdana" w:eastAsia="Calibri" w:hAnsi="Verdana" w:cs="Times New Roman"/>
        </w:rPr>
      </w:pPr>
    </w:p>
    <w:p w14:paraId="571C7457" w14:textId="77777777" w:rsidR="004C37DC" w:rsidRDefault="004C37DC" w:rsidP="004C37DC">
      <w:pPr>
        <w:widowControl w:val="0"/>
        <w:autoSpaceDE w:val="0"/>
        <w:autoSpaceDN w:val="0"/>
        <w:spacing w:line="276" w:lineRule="auto"/>
        <w:jc w:val="both"/>
        <w:rPr>
          <w:rStyle w:val="normaltextrun"/>
          <w:rFonts w:ascii="Verdana" w:hAnsi="Verdana" w:cs="Arial"/>
          <w:color w:val="FF0000"/>
          <w:shd w:val="clear" w:color="auto" w:fill="FFFFFF"/>
          <w:lang w:val="es-ES"/>
        </w:rPr>
      </w:pPr>
      <w:r w:rsidRPr="004A2375">
        <w:rPr>
          <w:rFonts w:ascii="Verdana" w:eastAsia="Calibri" w:hAnsi="Verdana" w:cs="Times New Roman"/>
        </w:rPr>
        <w:t>Atentamente,</w:t>
      </w:r>
    </w:p>
    <w:p w14:paraId="79A808F1" w14:textId="60B7120B" w:rsidR="004C37DC" w:rsidRDefault="004C37DC" w:rsidP="004C37DC">
      <w:pPr>
        <w:spacing w:after="0" w:line="276" w:lineRule="auto"/>
        <w:jc w:val="center"/>
        <w:rPr>
          <w:rFonts w:ascii="Verdana" w:eastAsia="Times New Roman" w:hAnsi="Verdana" w:cs="Arial"/>
          <w:noProof/>
          <w:lang w:eastAsia="es-CO"/>
        </w:rPr>
      </w:pPr>
    </w:p>
    <w:p w14:paraId="20517A60" w14:textId="29E12039" w:rsidR="00FA3646" w:rsidRDefault="000A1C9E" w:rsidP="004C37DC">
      <w:pPr>
        <w:spacing w:after="0" w:line="276" w:lineRule="auto"/>
        <w:jc w:val="center"/>
        <w:rPr>
          <w:rFonts w:ascii="Verdana" w:eastAsia="Times New Roman" w:hAnsi="Verdana" w:cs="Arial"/>
          <w:noProof/>
          <w:lang w:eastAsia="es-CO"/>
        </w:rPr>
      </w:pPr>
      <w:r>
        <w:rPr>
          <w:rFonts w:ascii="Century Gothic" w:hAnsi="Century Gothic"/>
          <w:noProof/>
        </w:rPr>
        <w:drawing>
          <wp:inline distT="0" distB="0" distL="0" distR="0" wp14:anchorId="3C9E018D" wp14:editId="747DA5C3">
            <wp:extent cx="3276600" cy="1217968"/>
            <wp:effectExtent l="0" t="0" r="0" b="127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03242" cy="1227871"/>
                    </a:xfrm>
                    <a:prstGeom prst="rect">
                      <a:avLst/>
                    </a:prstGeom>
                    <a:noFill/>
                    <a:ln>
                      <a:noFill/>
                    </a:ln>
                  </pic:spPr>
                </pic:pic>
              </a:graphicData>
            </a:graphic>
          </wp:inline>
        </w:drawing>
      </w:r>
    </w:p>
    <w:p w14:paraId="0DABA41F" w14:textId="77777777" w:rsidR="00FA3646" w:rsidRPr="00EA6687" w:rsidRDefault="00FA3646" w:rsidP="004C37DC">
      <w:pPr>
        <w:spacing w:after="0" w:line="276" w:lineRule="auto"/>
        <w:jc w:val="center"/>
        <w:rPr>
          <w:rFonts w:ascii="Verdana" w:eastAsia="Times New Roman" w:hAnsi="Verdana" w:cs="Arial"/>
          <w:lang w:eastAsia="es-CO"/>
        </w:rPr>
      </w:pPr>
    </w:p>
    <w:p w14:paraId="393874A0" w14:textId="77777777" w:rsidR="004C37DC" w:rsidRPr="00C15DD4" w:rsidRDefault="004C37DC" w:rsidP="004C37DC">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C37DC" w:rsidRPr="00C15DD4" w14:paraId="180B0009" w14:textId="77777777" w:rsidTr="006600B0">
        <w:trPr>
          <w:trHeight w:val="315"/>
        </w:trPr>
        <w:tc>
          <w:tcPr>
            <w:tcW w:w="893" w:type="dxa"/>
            <w:vAlign w:val="center"/>
            <w:hideMark/>
          </w:tcPr>
          <w:p w14:paraId="45DEE7EE" w14:textId="77777777" w:rsidR="004C37DC" w:rsidRPr="00C15DD4" w:rsidRDefault="004C37DC" w:rsidP="006600B0">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13746C15" w14:textId="77777777" w:rsidR="004C37DC" w:rsidRPr="00C15DD4" w:rsidRDefault="004C37DC" w:rsidP="006600B0">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Ángela María Olmos Andrade</w:t>
            </w:r>
          </w:p>
          <w:p w14:paraId="74631434" w14:textId="77777777" w:rsidR="004C37DC" w:rsidRPr="00C15DD4" w:rsidRDefault="004C37DC" w:rsidP="006600B0">
            <w:pPr>
              <w:spacing w:line="276" w:lineRule="auto"/>
              <w:rPr>
                <w:rFonts w:ascii="Verdana" w:eastAsia="Arial" w:hAnsi="Verdana" w:cs="Arial"/>
                <w:color w:val="000000"/>
                <w:sz w:val="16"/>
                <w:szCs w:val="16"/>
              </w:rPr>
            </w:pPr>
            <w:r w:rsidRPr="00C15DD4">
              <w:rPr>
                <w:rFonts w:ascii="Verdana" w:eastAsia="Arial" w:hAnsi="Verdana" w:cs="Arial"/>
                <w:color w:val="000000"/>
                <w:sz w:val="16"/>
                <w:szCs w:val="16"/>
              </w:rPr>
              <w:t>Analista T2 - 02 de la Subdirección de Gestión Contractual</w:t>
            </w:r>
          </w:p>
        </w:tc>
      </w:tr>
      <w:tr w:rsidR="004C37DC" w:rsidRPr="00C15DD4" w14:paraId="35C39045" w14:textId="77777777" w:rsidTr="006600B0">
        <w:trPr>
          <w:trHeight w:val="330"/>
        </w:trPr>
        <w:tc>
          <w:tcPr>
            <w:tcW w:w="893" w:type="dxa"/>
            <w:vAlign w:val="center"/>
            <w:hideMark/>
          </w:tcPr>
          <w:p w14:paraId="790D1788" w14:textId="77777777" w:rsidR="004C37DC" w:rsidRPr="00C15DD4" w:rsidRDefault="004C37DC" w:rsidP="006600B0">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64CBA71" w14:textId="4D3F3D4E" w:rsidR="004C37DC" w:rsidRPr="00C15DD4" w:rsidRDefault="0068036E" w:rsidP="006600B0">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 xml:space="preserve">Diana </w:t>
            </w:r>
            <w:r w:rsidR="00DF0C26">
              <w:rPr>
                <w:rFonts w:ascii="Verdana" w:eastAsia="Times New Roman" w:hAnsi="Verdana" w:cs="Arial"/>
                <w:color w:val="000000"/>
                <w:sz w:val="16"/>
                <w:szCs w:val="16"/>
              </w:rPr>
              <w:t xml:space="preserve">Lucia </w:t>
            </w:r>
            <w:r>
              <w:rPr>
                <w:rFonts w:ascii="Verdana" w:eastAsia="Times New Roman" w:hAnsi="Verdana" w:cs="Arial"/>
                <w:color w:val="000000"/>
                <w:sz w:val="16"/>
                <w:szCs w:val="16"/>
              </w:rPr>
              <w:t>Saavedra</w:t>
            </w:r>
            <w:r w:rsidR="00DF0C26">
              <w:rPr>
                <w:rFonts w:ascii="Verdana" w:eastAsia="Times New Roman" w:hAnsi="Verdana" w:cs="Arial"/>
                <w:color w:val="000000"/>
                <w:sz w:val="16"/>
                <w:szCs w:val="16"/>
              </w:rPr>
              <w:t xml:space="preserve"> Castañeda</w:t>
            </w:r>
          </w:p>
          <w:p w14:paraId="4899223E" w14:textId="77777777" w:rsidR="004C37DC" w:rsidRPr="00C15DD4" w:rsidRDefault="004C37DC" w:rsidP="006600B0">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7F092D">
              <w:rPr>
                <w:rFonts w:ascii="Verdana" w:eastAsia="Times New Roman" w:hAnsi="Verdana" w:cs="Arial"/>
                <w:color w:val="000000"/>
                <w:sz w:val="16"/>
                <w:szCs w:val="16"/>
              </w:rPr>
              <w:t xml:space="preserve"> de la Subdirección de Gestión Contractual</w:t>
            </w:r>
          </w:p>
        </w:tc>
      </w:tr>
      <w:tr w:rsidR="004C37DC" w:rsidRPr="00C15DD4" w14:paraId="0F0EF4E4" w14:textId="77777777" w:rsidTr="006600B0">
        <w:trPr>
          <w:trHeight w:val="300"/>
        </w:trPr>
        <w:tc>
          <w:tcPr>
            <w:tcW w:w="893" w:type="dxa"/>
            <w:vAlign w:val="center"/>
            <w:hideMark/>
          </w:tcPr>
          <w:p w14:paraId="2A82888D" w14:textId="77777777" w:rsidR="004C37DC" w:rsidRPr="00C15DD4" w:rsidRDefault="004C37DC" w:rsidP="006600B0">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6CBD48C2" w14:textId="77777777" w:rsidR="004C37DC" w:rsidRPr="00C15DD4" w:rsidRDefault="004C37DC" w:rsidP="006600B0">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349D3BE1" w14:textId="77777777" w:rsidR="004C37DC" w:rsidRPr="00C15DD4" w:rsidRDefault="004C37DC" w:rsidP="006600B0">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tr w:rsidR="004C37DC" w:rsidRPr="00C15DD4" w14:paraId="4166FEDC" w14:textId="77777777" w:rsidTr="006600B0">
        <w:trPr>
          <w:trHeight w:val="300"/>
        </w:trPr>
        <w:tc>
          <w:tcPr>
            <w:tcW w:w="893" w:type="dxa"/>
            <w:vAlign w:val="center"/>
          </w:tcPr>
          <w:p w14:paraId="4BD5939D" w14:textId="77777777" w:rsidR="004C37DC" w:rsidRPr="00C15DD4" w:rsidRDefault="004C37DC" w:rsidP="006600B0">
            <w:pPr>
              <w:spacing w:line="276" w:lineRule="auto"/>
              <w:rPr>
                <w:rFonts w:ascii="Verdana" w:eastAsia="Times New Roman" w:hAnsi="Verdana" w:cs="Arial"/>
                <w:color w:val="000000"/>
                <w:sz w:val="16"/>
                <w:szCs w:val="16"/>
                <w:lang w:eastAsia="es-ES"/>
              </w:rPr>
            </w:pPr>
          </w:p>
        </w:tc>
        <w:tc>
          <w:tcPr>
            <w:tcW w:w="5628" w:type="dxa"/>
            <w:tcBorders>
              <w:top w:val="dotted" w:sz="4" w:space="0" w:color="7F7F7F"/>
              <w:left w:val="nil"/>
              <w:bottom w:val="dotted" w:sz="4" w:space="0" w:color="7F7F7F"/>
              <w:right w:val="nil"/>
            </w:tcBorders>
            <w:vAlign w:val="center"/>
          </w:tcPr>
          <w:p w14:paraId="5B8CBE22" w14:textId="77777777" w:rsidR="004C37DC" w:rsidRPr="00C15DD4" w:rsidRDefault="004C37DC" w:rsidP="006600B0">
            <w:pPr>
              <w:spacing w:line="276" w:lineRule="auto"/>
              <w:rPr>
                <w:rFonts w:ascii="Verdana" w:eastAsia="Times New Roman" w:hAnsi="Verdana" w:cs="Arial"/>
                <w:color w:val="000000"/>
                <w:sz w:val="16"/>
                <w:szCs w:val="16"/>
              </w:rPr>
            </w:pPr>
          </w:p>
        </w:tc>
      </w:tr>
      <w:bookmarkEnd w:id="0"/>
    </w:tbl>
    <w:p w14:paraId="0F293BF4" w14:textId="4C99607D" w:rsidR="00127233" w:rsidRPr="0015699B" w:rsidRDefault="00127233" w:rsidP="00DF0C26">
      <w:pPr>
        <w:spacing w:after="0" w:line="240" w:lineRule="auto"/>
        <w:textAlignment w:val="baseline"/>
        <w:rPr>
          <w:rFonts w:ascii="Verdana" w:eastAsia="Verdana" w:hAnsi="Verdana" w:cs="Verdana"/>
          <w:lang w:eastAsia="es-CO"/>
        </w:rPr>
      </w:pPr>
    </w:p>
    <w:sectPr w:rsidR="00127233" w:rsidRPr="0015699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57837" w14:textId="77777777" w:rsidR="00D748A3" w:rsidRDefault="00D748A3" w:rsidP="004A1847">
      <w:pPr>
        <w:spacing w:after="0" w:line="240" w:lineRule="auto"/>
      </w:pPr>
      <w:r>
        <w:separator/>
      </w:r>
    </w:p>
  </w:endnote>
  <w:endnote w:type="continuationSeparator" w:id="0">
    <w:p w14:paraId="7D494056" w14:textId="77777777" w:rsidR="00D748A3" w:rsidRDefault="00D748A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ED88FB" w14:textId="77777777" w:rsidR="00D748A3" w:rsidRDefault="00D748A3" w:rsidP="004A1847">
      <w:pPr>
        <w:spacing w:after="0" w:line="240" w:lineRule="auto"/>
      </w:pPr>
      <w:r>
        <w:separator/>
      </w:r>
    </w:p>
  </w:footnote>
  <w:footnote w:type="continuationSeparator" w:id="0">
    <w:p w14:paraId="6D953114" w14:textId="77777777" w:rsidR="00D748A3" w:rsidRDefault="00D748A3" w:rsidP="004A1847">
      <w:pPr>
        <w:spacing w:after="0" w:line="240" w:lineRule="auto"/>
      </w:pPr>
      <w:r>
        <w:continuationSeparator/>
      </w:r>
    </w:p>
  </w:footnote>
  <w:footnote w:id="1">
    <w:p w14:paraId="01191C7F" w14:textId="77777777" w:rsidR="00F94F4D" w:rsidRPr="00494FDB" w:rsidRDefault="00F94F4D" w:rsidP="00F94F4D">
      <w:pPr>
        <w:pStyle w:val="Textonotapie"/>
        <w:ind w:firstLine="709"/>
        <w:jc w:val="both"/>
        <w:rPr>
          <w:rFonts w:ascii="Verdana" w:hAnsi="Verdana"/>
          <w:sz w:val="12"/>
          <w:szCs w:val="12"/>
          <w:lang w:val="es-ES_tradnl"/>
        </w:rPr>
      </w:pPr>
      <w:r w:rsidRPr="00494FDB">
        <w:rPr>
          <w:rStyle w:val="Refdenotaalpie"/>
          <w:rFonts w:ascii="Verdana" w:hAnsi="Verdana"/>
          <w:sz w:val="12"/>
          <w:szCs w:val="12"/>
        </w:rPr>
        <w:footnoteRef/>
      </w:r>
      <w:r w:rsidRPr="00494FDB">
        <w:rPr>
          <w:rFonts w:ascii="Verdana" w:hAnsi="Verdana"/>
          <w:sz w:val="12"/>
          <w:szCs w:val="12"/>
        </w:rPr>
        <w:t xml:space="preserve"> </w:t>
      </w:r>
      <w:r w:rsidRPr="00494FDB">
        <w:rPr>
          <w:rFonts w:ascii="Verdana" w:hAnsi="Verdana"/>
          <w:sz w:val="12"/>
          <w:szCs w:val="12"/>
          <w:lang w:val="es-ES_tradnl"/>
        </w:rPr>
        <w:t>Esto lo ratifica el artículo 2.2.1.2.1.5.2. del Decreto 1082 de 2015.</w:t>
      </w:r>
    </w:p>
    <w:p w14:paraId="3B66D81B" w14:textId="77777777" w:rsidR="00F94F4D" w:rsidRPr="00494FDB" w:rsidRDefault="00F94F4D" w:rsidP="00F94F4D">
      <w:pPr>
        <w:pStyle w:val="Textonotapie"/>
        <w:ind w:firstLine="709"/>
        <w:jc w:val="both"/>
        <w:rPr>
          <w:rFonts w:ascii="Verdana" w:hAnsi="Verdana"/>
          <w:sz w:val="12"/>
          <w:szCs w:val="12"/>
          <w:lang w:val="es-CO"/>
        </w:rPr>
      </w:pPr>
    </w:p>
  </w:footnote>
  <w:footnote w:id="2">
    <w:p w14:paraId="737D5579" w14:textId="77777777" w:rsidR="00F94F4D" w:rsidRPr="00494FDB" w:rsidRDefault="00F94F4D" w:rsidP="00F94F4D">
      <w:pPr>
        <w:pStyle w:val="Textonotapie"/>
        <w:ind w:firstLine="709"/>
        <w:jc w:val="both"/>
        <w:rPr>
          <w:rFonts w:ascii="Verdana" w:hAnsi="Verdana" w:cs="Arial"/>
          <w:color w:val="000000"/>
          <w:sz w:val="12"/>
          <w:szCs w:val="12"/>
          <w:lang w:val="es-ES_tradnl"/>
        </w:rPr>
      </w:pPr>
      <w:r w:rsidRPr="00494FDB">
        <w:rPr>
          <w:rStyle w:val="Refdenotaalpie"/>
          <w:rFonts w:ascii="Verdana" w:hAnsi="Verdana" w:cs="Arial"/>
          <w:color w:val="000000"/>
          <w:sz w:val="12"/>
          <w:szCs w:val="12"/>
          <w:lang w:val="es-ES_tradnl"/>
        </w:rPr>
        <w:footnoteRef/>
      </w:r>
      <w:r w:rsidRPr="00494FDB">
        <w:rPr>
          <w:rFonts w:ascii="Verdana" w:hAnsi="Verdana" w:cs="Arial"/>
          <w:color w:val="000000"/>
          <w:sz w:val="12"/>
          <w:szCs w:val="12"/>
          <w:lang w:val="es-ES_tradnl"/>
        </w:rPr>
        <w:t xml:space="preserve"> DÁVILA VINUEZA, Luis Guillermo. Régimen jurídico de la contratación estatal. 3ª ed. Bogotá: Legis, 2016. p. 463.</w:t>
      </w:r>
    </w:p>
    <w:p w14:paraId="2A44EF9B" w14:textId="77777777" w:rsidR="00F94F4D" w:rsidRPr="00EE0353" w:rsidRDefault="00F94F4D" w:rsidP="00F94F4D">
      <w:pPr>
        <w:pStyle w:val="Textonotapie"/>
        <w:ind w:firstLine="709"/>
        <w:jc w:val="both"/>
        <w:rPr>
          <w:rFonts w:ascii="Verdana" w:hAnsi="Verdana" w:cs="Arial"/>
          <w:color w:val="000000"/>
          <w:sz w:val="16"/>
          <w:szCs w:val="16"/>
          <w:lang w:val="es-ES_tradnl"/>
        </w:rPr>
      </w:pPr>
    </w:p>
  </w:footnote>
  <w:footnote w:id="3">
    <w:p w14:paraId="31A8CF79" w14:textId="77777777" w:rsidR="00F94F4D" w:rsidRPr="00494FDB" w:rsidRDefault="00F94F4D" w:rsidP="00F94F4D">
      <w:pPr>
        <w:pStyle w:val="Textonotapie"/>
        <w:ind w:firstLine="709"/>
        <w:jc w:val="both"/>
        <w:rPr>
          <w:rFonts w:ascii="Verdana" w:hAnsi="Verdana" w:cs="Arial"/>
          <w:color w:val="000000"/>
          <w:sz w:val="12"/>
          <w:szCs w:val="12"/>
          <w:lang w:val="es-ES_tradnl"/>
        </w:rPr>
      </w:pPr>
      <w:r w:rsidRPr="00494FDB">
        <w:rPr>
          <w:rStyle w:val="Refdenotaalpie"/>
          <w:rFonts w:ascii="Verdana" w:hAnsi="Verdana" w:cs="Arial"/>
          <w:color w:val="000000"/>
          <w:sz w:val="12"/>
          <w:szCs w:val="12"/>
          <w:lang w:val="es-ES_tradnl"/>
        </w:rPr>
        <w:footnoteRef/>
      </w:r>
      <w:r w:rsidRPr="00494FDB">
        <w:rPr>
          <w:rFonts w:ascii="Verdana" w:hAnsi="Verdana" w:cs="Arial"/>
          <w:color w:val="000000"/>
          <w:sz w:val="12"/>
          <w:szCs w:val="12"/>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342C1758" w14:textId="77777777" w:rsidR="00F94F4D" w:rsidRPr="00494FDB" w:rsidRDefault="00F94F4D" w:rsidP="00F94F4D">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“Para las entidades que tengan un presupuesto anual superior o igual a 1.200.000 salarios mínimos legales mensuales, la menor cuantía será hasta 1.000 salarios mínimos legales mensuales.</w:t>
      </w:r>
    </w:p>
    <w:p w14:paraId="1A886243" w14:textId="77777777" w:rsidR="00F94F4D" w:rsidRPr="00494FDB" w:rsidRDefault="00F94F4D" w:rsidP="00F94F4D">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“Las que tengan un presupuesto anual superior o igual a 850.000 salarios mínimos legales mensuales e inferiores a 1.200.000 salarios mínimos legales mensuales, la menor cuantía será hasta 850 salarios mínimos legales mensuales.</w:t>
      </w:r>
    </w:p>
    <w:p w14:paraId="7D2E6F44" w14:textId="77777777" w:rsidR="00F94F4D" w:rsidRPr="00494FDB" w:rsidRDefault="00F94F4D" w:rsidP="00F94F4D">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“Las que tengan un presupuesto anual superior o igual a 400.000 salarios mínimos legales mensuales e inferior a 850.000 salarios mínimos legales mensuales, la menor cuantía será hasta 650 salarios mínimos legales mensuales.</w:t>
      </w:r>
    </w:p>
    <w:p w14:paraId="796F761E" w14:textId="77777777" w:rsidR="00F94F4D" w:rsidRPr="00494FDB" w:rsidRDefault="00F94F4D" w:rsidP="00F94F4D">
      <w:pPr>
        <w:pStyle w:val="Textonotapie"/>
        <w:ind w:firstLine="709"/>
        <w:jc w:val="both"/>
        <w:rPr>
          <w:rFonts w:ascii="Verdana" w:hAnsi="Verdana" w:cs="Arial"/>
          <w:color w:val="000000"/>
          <w:sz w:val="12"/>
          <w:szCs w:val="12"/>
          <w:lang w:val="es-ES_tradnl"/>
        </w:rPr>
      </w:pPr>
      <w:r w:rsidRPr="00494FDB">
        <w:rPr>
          <w:rFonts w:ascii="Verdana" w:hAnsi="Verdana" w:cs="Arial"/>
          <w:color w:val="000000"/>
          <w:sz w:val="12"/>
          <w:szCs w:val="12"/>
          <w:lang w:val="es-ES_tradnl"/>
        </w:rPr>
        <w:t>“Las que tengan un presupuesto anual superior o igual a 120.000 salarios mínimos legales mensuales e inferior a 400.000 salarios mínimos legales mensuales, la menor cuantía será hasta 450 salarios mínimos legales mensuales.</w:t>
      </w:r>
    </w:p>
    <w:p w14:paraId="441344D3" w14:textId="77777777" w:rsidR="00F94F4D" w:rsidRPr="00EE0353" w:rsidRDefault="00F94F4D" w:rsidP="00F94F4D">
      <w:pPr>
        <w:pStyle w:val="Textonotapie"/>
        <w:ind w:firstLine="709"/>
        <w:jc w:val="both"/>
        <w:rPr>
          <w:rFonts w:ascii="Verdana" w:hAnsi="Verdana" w:cs="Arial"/>
          <w:color w:val="000000"/>
          <w:sz w:val="16"/>
          <w:szCs w:val="16"/>
          <w:lang w:val="es-ES_tradnl"/>
        </w:rPr>
      </w:pPr>
      <w:r w:rsidRPr="00494FDB">
        <w:rPr>
          <w:rFonts w:ascii="Verdana" w:hAnsi="Verdana" w:cs="Arial"/>
          <w:color w:val="000000"/>
          <w:sz w:val="12"/>
          <w:szCs w:val="12"/>
          <w:lang w:val="es-ES_tradnl"/>
        </w:rPr>
        <w:t>“Las que tengan un presupuesto anual inferior a 120.000 salarios mínimos legales mensuales, la menor cuantía será hasta 280 salarios mínimos legales mensuales”.</w:t>
      </w:r>
    </w:p>
  </w:footnote>
  <w:footnote w:id="4">
    <w:p w14:paraId="32442A18" w14:textId="77777777" w:rsidR="00F94F4D" w:rsidRPr="004F2B62" w:rsidRDefault="00F94F4D" w:rsidP="00F94F4D">
      <w:pPr>
        <w:pStyle w:val="Textonotapie"/>
        <w:ind w:firstLine="709"/>
        <w:jc w:val="both"/>
        <w:rPr>
          <w:rFonts w:ascii="Verdana" w:hAnsi="Verdana"/>
          <w:sz w:val="12"/>
          <w:szCs w:val="12"/>
        </w:rPr>
      </w:pPr>
      <w:r w:rsidRPr="004F2B62">
        <w:rPr>
          <w:rStyle w:val="Refdenotaalpie"/>
          <w:rFonts w:ascii="Verdana" w:hAnsi="Verdana"/>
          <w:sz w:val="12"/>
          <w:szCs w:val="12"/>
        </w:rPr>
        <w:footnoteRef/>
      </w:r>
      <w:r w:rsidRPr="004F2B62">
        <w:rPr>
          <w:rFonts w:ascii="Verdana" w:hAnsi="Verdana"/>
          <w:sz w:val="12"/>
          <w:szCs w:val="12"/>
        </w:rPr>
        <w:t xml:space="preserve"> </w:t>
      </w:r>
      <w:r w:rsidRPr="004F2B62">
        <w:rPr>
          <w:rFonts w:ascii="Verdana" w:hAnsi="Verdana"/>
          <w:sz w:val="12"/>
          <w:szCs w:val="12"/>
          <w:lang w:val="es-CO"/>
        </w:rPr>
        <w:t xml:space="preserve">Este artículo fue modificado por el artículo 5 del Decreto 142 de 2023 en los siguientes términos: </w:t>
      </w:r>
      <w:r w:rsidRPr="004F2B62">
        <w:rPr>
          <w:rFonts w:ascii="Verdana" w:hAnsi="Verdana"/>
          <w:b/>
          <w:bCs/>
          <w:i/>
          <w:iCs/>
          <w:sz w:val="12"/>
          <w:szCs w:val="12"/>
        </w:rPr>
        <w:t>"Artículo 2.2.1.2.1.5.1. Estudios previos para la contratación de mínima cuantía.</w:t>
      </w:r>
      <w:r w:rsidRPr="004F2B62">
        <w:rPr>
          <w:rFonts w:ascii="Verdana" w:hAnsi="Verdana"/>
          <w:i/>
          <w:iCs/>
          <w:sz w:val="12"/>
          <w:szCs w:val="12"/>
        </w:rPr>
        <w:t> La Entidad Estatal debe elaborar unos estudios previos que deben contener, como mínimo, lo siguiente: </w:t>
      </w:r>
    </w:p>
    <w:p w14:paraId="7C0FB395" w14:textId="77777777" w:rsidR="00F94F4D" w:rsidRPr="004F2B62" w:rsidRDefault="00F94F4D" w:rsidP="00F94F4D">
      <w:pPr>
        <w:pStyle w:val="Textonotapie"/>
        <w:tabs>
          <w:tab w:val="left" w:pos="142"/>
        </w:tabs>
        <w:ind w:firstLine="709"/>
        <w:jc w:val="both"/>
        <w:rPr>
          <w:rFonts w:ascii="Verdana" w:hAnsi="Verdana"/>
          <w:i/>
          <w:iCs/>
          <w:sz w:val="12"/>
          <w:szCs w:val="12"/>
        </w:rPr>
      </w:pPr>
      <w:r w:rsidRPr="004F2B62">
        <w:rPr>
          <w:rFonts w:ascii="Verdana" w:hAnsi="Verdana"/>
          <w:i/>
          <w:iCs/>
          <w:sz w:val="12"/>
          <w:szCs w:val="12"/>
        </w:rPr>
        <w:t xml:space="preserve">1. La descripción de la necesidad que pretende satisfacer con la contratación.  </w:t>
      </w:r>
    </w:p>
    <w:p w14:paraId="0169454E" w14:textId="77777777" w:rsidR="00F94F4D" w:rsidRPr="004F2B62" w:rsidRDefault="00F94F4D" w:rsidP="00F94F4D">
      <w:pPr>
        <w:pStyle w:val="Textonotapie"/>
        <w:tabs>
          <w:tab w:val="left" w:pos="142"/>
        </w:tabs>
        <w:ind w:firstLine="709"/>
        <w:jc w:val="both"/>
        <w:rPr>
          <w:rFonts w:ascii="Verdana" w:hAnsi="Verdana"/>
          <w:sz w:val="12"/>
          <w:szCs w:val="12"/>
        </w:rPr>
      </w:pPr>
      <w:r w:rsidRPr="004F2B62">
        <w:rPr>
          <w:rFonts w:ascii="Verdana" w:hAnsi="Verdana"/>
          <w:i/>
          <w:iCs/>
          <w:sz w:val="12"/>
          <w:szCs w:val="12"/>
        </w:rPr>
        <w:t>2. La descripción del objeto a contratar identificado con el cuarto nivel del Clasificador de Bienes y Servicios, de ser posible, o de lo contrario con el tercer nivel. </w:t>
      </w:r>
    </w:p>
    <w:p w14:paraId="3E9483A6" w14:textId="77777777" w:rsidR="00F94F4D" w:rsidRPr="004F2B62" w:rsidRDefault="00F94F4D" w:rsidP="00F94F4D">
      <w:pPr>
        <w:pStyle w:val="Textonotapie"/>
        <w:tabs>
          <w:tab w:val="left" w:pos="142"/>
        </w:tabs>
        <w:ind w:firstLine="709"/>
        <w:jc w:val="both"/>
        <w:rPr>
          <w:rFonts w:ascii="Verdana" w:hAnsi="Verdana"/>
          <w:sz w:val="12"/>
          <w:szCs w:val="12"/>
        </w:rPr>
      </w:pPr>
      <w:r w:rsidRPr="004F2B62">
        <w:rPr>
          <w:rFonts w:ascii="Verdana" w:hAnsi="Verdana"/>
          <w:i/>
          <w:iCs/>
          <w:sz w:val="12"/>
          <w:szCs w:val="12"/>
        </w:rPr>
        <w:t>3. Las condiciones técnicas exigidas.</w:t>
      </w:r>
    </w:p>
    <w:p w14:paraId="628B47A1" w14:textId="77777777" w:rsidR="00F94F4D" w:rsidRPr="004F2B62" w:rsidRDefault="00F94F4D" w:rsidP="00F94F4D">
      <w:pPr>
        <w:pStyle w:val="Textonotapie"/>
        <w:tabs>
          <w:tab w:val="left" w:pos="142"/>
        </w:tabs>
        <w:ind w:firstLine="709"/>
        <w:jc w:val="both"/>
        <w:rPr>
          <w:rFonts w:ascii="Verdana" w:hAnsi="Verdana"/>
          <w:sz w:val="12"/>
          <w:szCs w:val="12"/>
        </w:rPr>
      </w:pPr>
      <w:r w:rsidRPr="004F2B62">
        <w:rPr>
          <w:rFonts w:ascii="Verdana" w:hAnsi="Verdana"/>
          <w:i/>
          <w:iCs/>
          <w:sz w:val="12"/>
          <w:szCs w:val="12"/>
        </w:rPr>
        <w:t>4. El valor estimado del contrato y su justificación.</w:t>
      </w:r>
    </w:p>
    <w:p w14:paraId="1447C601" w14:textId="77777777" w:rsidR="00F94F4D" w:rsidRPr="004F2B62" w:rsidRDefault="00F94F4D" w:rsidP="00F94F4D">
      <w:pPr>
        <w:pStyle w:val="Textonotapie"/>
        <w:tabs>
          <w:tab w:val="left" w:pos="142"/>
        </w:tabs>
        <w:ind w:firstLine="709"/>
        <w:jc w:val="both"/>
        <w:rPr>
          <w:rFonts w:ascii="Verdana" w:hAnsi="Verdana"/>
          <w:sz w:val="12"/>
          <w:szCs w:val="12"/>
        </w:rPr>
      </w:pPr>
      <w:r w:rsidRPr="004F2B62">
        <w:rPr>
          <w:rFonts w:ascii="Verdana" w:hAnsi="Verdana"/>
          <w:i/>
          <w:iCs/>
          <w:sz w:val="12"/>
          <w:szCs w:val="12"/>
        </w:rPr>
        <w:t>5. El plazo de ejecución del contrato. </w:t>
      </w:r>
    </w:p>
    <w:p w14:paraId="2083D807" w14:textId="77777777" w:rsidR="00F94F4D" w:rsidRPr="004F2B62" w:rsidRDefault="00F94F4D" w:rsidP="00F94F4D">
      <w:pPr>
        <w:pStyle w:val="Textonotapie"/>
        <w:tabs>
          <w:tab w:val="left" w:pos="142"/>
        </w:tabs>
        <w:ind w:firstLine="709"/>
        <w:jc w:val="both"/>
        <w:rPr>
          <w:rFonts w:ascii="Verdana" w:hAnsi="Verdana"/>
          <w:sz w:val="12"/>
          <w:szCs w:val="12"/>
        </w:rPr>
      </w:pPr>
      <w:r w:rsidRPr="004F2B62">
        <w:rPr>
          <w:rFonts w:ascii="Verdana" w:hAnsi="Verdana"/>
          <w:i/>
          <w:iCs/>
          <w:sz w:val="12"/>
          <w:szCs w:val="12"/>
        </w:rPr>
        <w:t>6. El certificado de disponibilidad presupuesta! que respalda la contratación.</w:t>
      </w:r>
    </w:p>
    <w:p w14:paraId="7D0338D7" w14:textId="77777777" w:rsidR="00F94F4D" w:rsidRPr="004F2B62" w:rsidRDefault="00F94F4D" w:rsidP="00F94F4D">
      <w:pPr>
        <w:pStyle w:val="Textonotapie"/>
        <w:ind w:firstLine="709"/>
        <w:jc w:val="both"/>
        <w:rPr>
          <w:rFonts w:ascii="Verdana" w:hAnsi="Verdana"/>
          <w:sz w:val="12"/>
          <w:szCs w:val="12"/>
        </w:rPr>
      </w:pPr>
      <w:r w:rsidRPr="004F2B62">
        <w:rPr>
          <w:rFonts w:ascii="Verdana" w:hAnsi="Verdana"/>
          <w:i/>
          <w:iCs/>
          <w:sz w:val="12"/>
          <w:szCs w:val="12"/>
        </w:rPr>
        <w:t>Parágrafo. Dentro de las condiciones técnicas exigidas se podrán incluir aspectos ambientales y sociales en los términos establecidos en el parágrafo del artículo 2.2.1.1.2.2.2. del presente Decreto." </w:t>
      </w:r>
    </w:p>
    <w:p w14:paraId="7FA88810" w14:textId="77777777" w:rsidR="00F94F4D" w:rsidRPr="004F2B62" w:rsidRDefault="00F94F4D" w:rsidP="00F94F4D">
      <w:pPr>
        <w:pStyle w:val="Textonotapie"/>
        <w:jc w:val="both"/>
        <w:rPr>
          <w:rFonts w:ascii="Verdana" w:hAnsi="Verdana"/>
          <w:sz w:val="12"/>
          <w:szCs w:val="12"/>
          <w:lang w:val="es-CO"/>
        </w:rPr>
      </w:pPr>
    </w:p>
  </w:footnote>
  <w:footnote w:id="5">
    <w:p w14:paraId="7F78C6AB" w14:textId="77777777" w:rsidR="00F94F4D" w:rsidRPr="00085DA5" w:rsidRDefault="00F94F4D" w:rsidP="00F94F4D">
      <w:pPr>
        <w:pStyle w:val="Textonotapie"/>
        <w:ind w:firstLine="708"/>
        <w:jc w:val="both"/>
        <w:rPr>
          <w:rFonts w:ascii="Verdana" w:hAnsi="Verdana" w:cs="Arial"/>
          <w:sz w:val="16"/>
          <w:szCs w:val="16"/>
        </w:rPr>
      </w:pPr>
      <w:r w:rsidRPr="004F2B62">
        <w:rPr>
          <w:rStyle w:val="Refdenotaalpie"/>
          <w:rFonts w:ascii="Verdana" w:hAnsi="Verdana" w:cs="Arial"/>
          <w:sz w:val="12"/>
          <w:szCs w:val="12"/>
        </w:rPr>
        <w:footnoteRef/>
      </w:r>
      <w:r w:rsidRPr="004F2B62">
        <w:rPr>
          <w:rFonts w:ascii="Verdana" w:hAnsi="Verdana" w:cs="Arial"/>
          <w:sz w:val="12"/>
          <w:szCs w:val="12"/>
        </w:rPr>
        <w:t xml:space="preserve"> PARÁGRAFO 1o.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w:t>
      </w:r>
    </w:p>
  </w:footnote>
  <w:footnote w:id="6">
    <w:p w14:paraId="576A8DDF" w14:textId="77777777" w:rsidR="00F94F4D" w:rsidRPr="004F2B62" w:rsidRDefault="00F94F4D" w:rsidP="00F94F4D">
      <w:pPr>
        <w:pStyle w:val="Textonotapie"/>
        <w:ind w:firstLine="709"/>
        <w:jc w:val="both"/>
        <w:rPr>
          <w:rFonts w:ascii="Verdana" w:hAnsi="Verdana" w:cs="Arial"/>
          <w:color w:val="000000"/>
          <w:sz w:val="12"/>
          <w:szCs w:val="12"/>
          <w:lang w:val="es-ES_tradnl"/>
        </w:rPr>
      </w:pPr>
      <w:r w:rsidRPr="004F2B62">
        <w:rPr>
          <w:rStyle w:val="Refdenotaalpie"/>
          <w:rFonts w:ascii="Verdana" w:hAnsi="Verdana" w:cs="Arial"/>
          <w:color w:val="000000"/>
          <w:sz w:val="12"/>
          <w:szCs w:val="12"/>
          <w:lang w:val="es-ES_tradnl"/>
        </w:rPr>
        <w:footnoteRef/>
      </w:r>
      <w:r w:rsidRPr="004F2B62">
        <w:rPr>
          <w:rFonts w:ascii="Verdana" w:hAnsi="Verdana" w:cs="Arial"/>
          <w:color w:val="000000"/>
          <w:sz w:val="12"/>
          <w:szCs w:val="12"/>
          <w:lang w:val="es-ES_tradnl"/>
        </w:rPr>
        <w:t xml:space="preserve"> Agencia Nacional de Contratación Pública – Colombia Compra Eficiente. Manual de la Modalidad de Selección de Mínima Cuantía En:</w:t>
      </w:r>
      <w:r w:rsidRPr="004F2B62">
        <w:rPr>
          <w:rFonts w:ascii="Verdana" w:hAnsi="Verdana"/>
          <w:sz w:val="12"/>
          <w:szCs w:val="12"/>
        </w:rPr>
        <w:t xml:space="preserve"> </w:t>
      </w:r>
      <w:hyperlink r:id="rId1" w:history="1">
        <w:r w:rsidRPr="004F2B62">
          <w:rPr>
            <w:rStyle w:val="Hipervnculo"/>
            <w:rFonts w:ascii="Verdana" w:hAnsi="Verdana" w:cs="Arial"/>
            <w:sz w:val="12"/>
            <w:szCs w:val="12"/>
            <w:lang w:val="es-ES_tradnl"/>
          </w:rPr>
          <w:t>https://www.colombiacompra.gov.co/manuales-guias-y-pliegos-tipo/manuales-y-guias</w:t>
        </w:r>
      </w:hyperlink>
      <w:r w:rsidRPr="004F2B62">
        <w:rPr>
          <w:rFonts w:ascii="Verdana" w:hAnsi="Verdana" w:cs="Arial"/>
          <w:color w:val="000000"/>
          <w:sz w:val="12"/>
          <w:szCs w:val="12"/>
          <w:lang w:val="es-ES_tradnl"/>
        </w:rPr>
        <w:t xml:space="preserve"> </w:t>
      </w:r>
    </w:p>
    <w:p w14:paraId="2DD198AD" w14:textId="77777777" w:rsidR="00F94F4D" w:rsidRPr="004F2B62" w:rsidRDefault="00F94F4D" w:rsidP="00F94F4D">
      <w:pPr>
        <w:pStyle w:val="Textonotapie"/>
        <w:jc w:val="both"/>
        <w:rPr>
          <w:rFonts w:ascii="Verdana" w:hAnsi="Verdana" w:cs="Arial"/>
          <w:color w:val="000000"/>
          <w:sz w:val="12"/>
          <w:szCs w:val="12"/>
          <w:lang w:val="es-ES_tradnl"/>
        </w:rPr>
      </w:pPr>
    </w:p>
    <w:p w14:paraId="5CDAF791" w14:textId="77777777" w:rsidR="00F94F4D" w:rsidRPr="004F2B62" w:rsidRDefault="00F94F4D" w:rsidP="00F94F4D">
      <w:pPr>
        <w:pStyle w:val="Textonotapie"/>
        <w:ind w:firstLine="709"/>
        <w:jc w:val="both"/>
        <w:rPr>
          <w:rFonts w:ascii="Verdana" w:hAnsi="Verdana" w:cs="Arial"/>
          <w:color w:val="000000"/>
          <w:sz w:val="12"/>
          <w:szCs w:val="12"/>
          <w:lang w:val="es-ES_tradnl"/>
        </w:rPr>
      </w:pPr>
    </w:p>
  </w:footnote>
  <w:footnote w:id="7">
    <w:p w14:paraId="575863E5" w14:textId="77777777" w:rsidR="00F94F4D" w:rsidRPr="004F2B62" w:rsidRDefault="00F94F4D" w:rsidP="00F94F4D">
      <w:pPr>
        <w:pStyle w:val="Textonotapie"/>
        <w:ind w:firstLine="709"/>
        <w:jc w:val="both"/>
        <w:rPr>
          <w:rFonts w:ascii="Verdana" w:hAnsi="Verdana" w:cs="Arial"/>
          <w:color w:val="000000"/>
          <w:sz w:val="12"/>
          <w:szCs w:val="12"/>
          <w:lang w:val="es-ES"/>
        </w:rPr>
      </w:pPr>
      <w:r w:rsidRPr="2D487932">
        <w:rPr>
          <w:rStyle w:val="Refdenotaalpie"/>
          <w:rFonts w:ascii="Verdana" w:hAnsi="Verdana" w:cs="Arial"/>
          <w:color w:val="000000"/>
          <w:sz w:val="12"/>
          <w:szCs w:val="12"/>
          <w:lang w:val="es-ES"/>
        </w:rPr>
        <w:footnoteRef/>
      </w:r>
      <w:r w:rsidRPr="2D487932">
        <w:rPr>
          <w:rFonts w:ascii="Verdana" w:hAnsi="Verdana" w:cs="Arial"/>
          <w:color w:val="000000"/>
          <w:sz w:val="12"/>
          <w:szCs w:val="12"/>
          <w:lang w:val="es-ES"/>
        </w:rPr>
        <w:t xml:space="preserve"> Como lo indica la doctrina, en la mínima cuantía “El precio es el factor de selección del proponente. Es decir, la </w:t>
      </w:r>
      <w:r w:rsidRPr="2D487932">
        <w:rPr>
          <w:rFonts w:ascii="Verdana" w:hAnsi="Verdana" w:cs="Arial"/>
          <w:i/>
          <w:color w:val="000000"/>
          <w:sz w:val="12"/>
          <w:szCs w:val="12"/>
          <w:lang w:val="es-ES"/>
        </w:rPr>
        <w:t>entidad estatal</w:t>
      </w:r>
      <w:r w:rsidRPr="2D487932">
        <w:rPr>
          <w:rFonts w:ascii="Verdana" w:hAnsi="Verdana" w:cs="Arial"/>
          <w:color w:val="000000"/>
          <w:sz w:val="12"/>
          <w:szCs w:val="12"/>
          <w:lang w:val="es-ES"/>
        </w:rPr>
        <w:t xml:space="preserve"> debe adjudicar el </w:t>
      </w:r>
      <w:r w:rsidRPr="2D487932">
        <w:rPr>
          <w:rFonts w:ascii="Verdana" w:hAnsi="Verdana" w:cs="Arial"/>
          <w:i/>
          <w:color w:val="000000"/>
          <w:sz w:val="12"/>
          <w:szCs w:val="12"/>
          <w:lang w:val="es-ES"/>
        </w:rPr>
        <w:t>proceso de contratación</w:t>
      </w:r>
      <w:r w:rsidRPr="2D487932">
        <w:rPr>
          <w:rFonts w:ascii="Verdana" w:hAnsi="Verdana" w:cs="Arial"/>
          <w:color w:val="000000"/>
          <w:sz w:val="12"/>
          <w:szCs w:val="12"/>
          <w:lang w:val="es-ES"/>
        </w:rPr>
        <w:t xml:space="preserve"> al oferente que cumpla con todas las condiciones exigidas por la </w:t>
      </w:r>
      <w:r w:rsidRPr="2D487932">
        <w:rPr>
          <w:rFonts w:ascii="Verdana" w:hAnsi="Verdana" w:cs="Arial"/>
          <w:i/>
          <w:color w:val="000000"/>
          <w:sz w:val="12"/>
          <w:szCs w:val="12"/>
          <w:lang w:val="es-ES"/>
        </w:rPr>
        <w:t>entidad estatal</w:t>
      </w:r>
      <w:r w:rsidRPr="2D487932">
        <w:rPr>
          <w:rFonts w:ascii="Verdana" w:hAnsi="Verdana" w:cs="Arial"/>
          <w:color w:val="000000"/>
          <w:sz w:val="12"/>
          <w:szCs w:val="12"/>
          <w:lang w:val="es-ES"/>
        </w:rPr>
        <w:t xml:space="preserve"> en los </w:t>
      </w:r>
      <w:r w:rsidRPr="2D487932">
        <w:rPr>
          <w:rFonts w:ascii="Verdana" w:hAnsi="Verdana" w:cs="Arial"/>
          <w:i/>
          <w:color w:val="000000"/>
          <w:sz w:val="12"/>
          <w:szCs w:val="12"/>
          <w:lang w:val="es-ES"/>
        </w:rPr>
        <w:t>documentos del proceso</w:t>
      </w:r>
      <w:r w:rsidRPr="2D487932">
        <w:rPr>
          <w:rFonts w:ascii="Verdana" w:hAnsi="Verdana" w:cs="Arial"/>
          <w:color w:val="000000"/>
          <w:sz w:val="12"/>
          <w:szCs w:val="12"/>
          <w:lang w:val="es-ES"/>
        </w:rPr>
        <w:t xml:space="preserve"> (estudios previos e invitación a participar), y que ofrezca el menor valor. No hay lugar a puntajes para evaluar las ofertas sobre las características del objeto a contratar, su calidad o condiciones” (DÁVILA, Op.cit., p. 515).</w:t>
      </w:r>
    </w:p>
    <w:p w14:paraId="74FD2972" w14:textId="77777777" w:rsidR="00F94F4D" w:rsidRPr="00085DA5" w:rsidRDefault="00F94F4D" w:rsidP="00F94F4D">
      <w:pPr>
        <w:pStyle w:val="Textonotapie"/>
        <w:ind w:firstLine="709"/>
        <w:jc w:val="both"/>
        <w:rPr>
          <w:rFonts w:ascii="Verdana" w:hAnsi="Verdana" w:cs="Arial"/>
          <w:color w:val="000000"/>
          <w:sz w:val="16"/>
          <w:szCs w:val="16"/>
          <w:lang w:val="es-ES_tradnl"/>
        </w:rPr>
      </w:pPr>
    </w:p>
  </w:footnote>
  <w:footnote w:id="8">
    <w:p w14:paraId="2F2BF1C7" w14:textId="77777777" w:rsidR="00F94F4D" w:rsidRPr="004F2B62" w:rsidRDefault="00F94F4D" w:rsidP="00F94F4D">
      <w:pPr>
        <w:pStyle w:val="Textonotapie"/>
        <w:ind w:firstLine="708"/>
        <w:jc w:val="both"/>
        <w:rPr>
          <w:rFonts w:ascii="Verdana" w:hAnsi="Verdana" w:cs="Arial"/>
          <w:color w:val="000000"/>
          <w:sz w:val="12"/>
          <w:szCs w:val="12"/>
          <w:lang w:val="es-CO"/>
        </w:rPr>
      </w:pPr>
      <w:r w:rsidRPr="004F2B62">
        <w:rPr>
          <w:rStyle w:val="Refdenotaalpie"/>
          <w:rFonts w:ascii="Verdana" w:hAnsi="Verdana" w:cs="Arial"/>
          <w:color w:val="000000"/>
          <w:sz w:val="12"/>
          <w:szCs w:val="12"/>
        </w:rPr>
        <w:footnoteRef/>
      </w:r>
      <w:r w:rsidRPr="004F2B62">
        <w:rPr>
          <w:rFonts w:ascii="Verdana" w:hAnsi="Verdana" w:cs="Arial"/>
          <w:color w:val="000000"/>
          <w:sz w:val="12"/>
          <w:szCs w:val="12"/>
        </w:rPr>
        <w:t xml:space="preserve"> </w:t>
      </w:r>
      <w:r w:rsidRPr="004F2B62">
        <w:rPr>
          <w:rFonts w:ascii="Verdana" w:hAnsi="Verdana" w:cs="Arial"/>
          <w:color w:val="000000"/>
          <w:sz w:val="12"/>
          <w:szCs w:val="12"/>
          <w:lang w:val="es-CO"/>
        </w:rPr>
        <w:t xml:space="preserve">Manual de la Modalidad de Selección de Mínima Cuantía de Colombia Compra Eficiente, numeral 5.  </w:t>
      </w:r>
    </w:p>
    <w:p w14:paraId="43E72068" w14:textId="77777777" w:rsidR="00F94F4D" w:rsidRPr="004F2B62" w:rsidRDefault="00F94F4D" w:rsidP="00F94F4D">
      <w:pPr>
        <w:pStyle w:val="Textonotapie"/>
        <w:ind w:firstLine="708"/>
        <w:jc w:val="both"/>
        <w:rPr>
          <w:rFonts w:ascii="Verdana" w:hAnsi="Verdana" w:cs="Arial"/>
          <w:color w:val="000000"/>
          <w:sz w:val="12"/>
          <w:szCs w:val="12"/>
          <w:lang w:val="es-CO"/>
        </w:rPr>
      </w:pPr>
    </w:p>
  </w:footnote>
  <w:footnote w:id="9">
    <w:p w14:paraId="14D309B4" w14:textId="77777777" w:rsidR="00F94F4D" w:rsidRPr="00085DA5" w:rsidRDefault="00F94F4D" w:rsidP="00F94F4D">
      <w:pPr>
        <w:pStyle w:val="Textonotapie"/>
        <w:ind w:firstLine="708"/>
        <w:jc w:val="both"/>
        <w:rPr>
          <w:rFonts w:ascii="Verdana" w:hAnsi="Verdana" w:cs="Arial"/>
          <w:color w:val="000000"/>
          <w:sz w:val="16"/>
          <w:szCs w:val="16"/>
          <w:lang w:val="es-CO"/>
        </w:rPr>
      </w:pPr>
      <w:r w:rsidRPr="004F2B62">
        <w:rPr>
          <w:rStyle w:val="Refdenotaalpie"/>
          <w:rFonts w:ascii="Verdana" w:hAnsi="Verdana" w:cs="Arial"/>
          <w:color w:val="000000"/>
          <w:sz w:val="12"/>
          <w:szCs w:val="12"/>
        </w:rPr>
        <w:footnoteRef/>
      </w:r>
      <w:r w:rsidRPr="004F2B62">
        <w:rPr>
          <w:rFonts w:ascii="Verdana" w:hAnsi="Verdana" w:cs="Arial"/>
          <w:i/>
          <w:color w:val="000000"/>
          <w:sz w:val="12"/>
          <w:szCs w:val="12"/>
        </w:rPr>
        <w:t xml:space="preserve"> Ibídem.</w:t>
      </w:r>
      <w:r w:rsidRPr="00085DA5">
        <w:rPr>
          <w:rFonts w:ascii="Verdana" w:hAnsi="Verdana" w:cs="Arial"/>
          <w:color w:val="000000"/>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0D55546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5pt;height:12.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BEE3789"/>
    <w:multiLevelType w:val="hybridMultilevel"/>
    <w:tmpl w:val="70469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6C326F"/>
    <w:multiLevelType w:val="hybridMultilevel"/>
    <w:tmpl w:val="23A835FC"/>
    <w:lvl w:ilvl="0" w:tplc="12F8FFB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1067070113">
    <w:abstractNumId w:val="10"/>
  </w:num>
  <w:num w:numId="17" w16cid:durableId="1577283078">
    <w:abstractNumId w:val="2"/>
  </w:num>
  <w:num w:numId="18"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277"/>
    <w:rsid w:val="00016F78"/>
    <w:rsid w:val="00046945"/>
    <w:rsid w:val="00061B2A"/>
    <w:rsid w:val="00082362"/>
    <w:rsid w:val="000A1C9E"/>
    <w:rsid w:val="000A66D9"/>
    <w:rsid w:val="000A683E"/>
    <w:rsid w:val="000B19B9"/>
    <w:rsid w:val="000D0334"/>
    <w:rsid w:val="000D5DA7"/>
    <w:rsid w:val="000E41FB"/>
    <w:rsid w:val="000F6486"/>
    <w:rsid w:val="00116940"/>
    <w:rsid w:val="00125105"/>
    <w:rsid w:val="00127233"/>
    <w:rsid w:val="0015699B"/>
    <w:rsid w:val="001848F2"/>
    <w:rsid w:val="001A33BF"/>
    <w:rsid w:val="001E4177"/>
    <w:rsid w:val="001F0B24"/>
    <w:rsid w:val="001F7DC6"/>
    <w:rsid w:val="0022400B"/>
    <w:rsid w:val="0022787B"/>
    <w:rsid w:val="002421BB"/>
    <w:rsid w:val="0025796E"/>
    <w:rsid w:val="002707A2"/>
    <w:rsid w:val="002951A0"/>
    <w:rsid w:val="002962BC"/>
    <w:rsid w:val="002A093D"/>
    <w:rsid w:val="002A0DD0"/>
    <w:rsid w:val="002A49AC"/>
    <w:rsid w:val="002A64FD"/>
    <w:rsid w:val="002C2367"/>
    <w:rsid w:val="002C7A84"/>
    <w:rsid w:val="002E2BF8"/>
    <w:rsid w:val="002E2C12"/>
    <w:rsid w:val="002E4FD9"/>
    <w:rsid w:val="0030657A"/>
    <w:rsid w:val="00322A85"/>
    <w:rsid w:val="00324168"/>
    <w:rsid w:val="00327A3B"/>
    <w:rsid w:val="00330834"/>
    <w:rsid w:val="003448F4"/>
    <w:rsid w:val="003509AE"/>
    <w:rsid w:val="0035358B"/>
    <w:rsid w:val="00354CB5"/>
    <w:rsid w:val="00374F5E"/>
    <w:rsid w:val="00377E3E"/>
    <w:rsid w:val="003A779E"/>
    <w:rsid w:val="003D0F4D"/>
    <w:rsid w:val="003D5B0D"/>
    <w:rsid w:val="003E0499"/>
    <w:rsid w:val="003E19F7"/>
    <w:rsid w:val="003E4F80"/>
    <w:rsid w:val="003E6439"/>
    <w:rsid w:val="003F3941"/>
    <w:rsid w:val="003F641E"/>
    <w:rsid w:val="00406575"/>
    <w:rsid w:val="00414C74"/>
    <w:rsid w:val="0042722E"/>
    <w:rsid w:val="0044528D"/>
    <w:rsid w:val="00466E39"/>
    <w:rsid w:val="00475EFE"/>
    <w:rsid w:val="004A1847"/>
    <w:rsid w:val="004A305D"/>
    <w:rsid w:val="004C37DC"/>
    <w:rsid w:val="004F21C4"/>
    <w:rsid w:val="004F685F"/>
    <w:rsid w:val="0050200D"/>
    <w:rsid w:val="005566E8"/>
    <w:rsid w:val="00574867"/>
    <w:rsid w:val="00591460"/>
    <w:rsid w:val="005A65E0"/>
    <w:rsid w:val="005C3777"/>
    <w:rsid w:val="005C5CDC"/>
    <w:rsid w:val="005D476C"/>
    <w:rsid w:val="006200BF"/>
    <w:rsid w:val="006219F8"/>
    <w:rsid w:val="006302F7"/>
    <w:rsid w:val="00646B9F"/>
    <w:rsid w:val="00665D70"/>
    <w:rsid w:val="0068036E"/>
    <w:rsid w:val="006900D9"/>
    <w:rsid w:val="006B6E4C"/>
    <w:rsid w:val="007018FC"/>
    <w:rsid w:val="00706C16"/>
    <w:rsid w:val="007241AD"/>
    <w:rsid w:val="007340C3"/>
    <w:rsid w:val="0075235A"/>
    <w:rsid w:val="00756841"/>
    <w:rsid w:val="007649AB"/>
    <w:rsid w:val="00765978"/>
    <w:rsid w:val="00771D0C"/>
    <w:rsid w:val="007833AC"/>
    <w:rsid w:val="007B268C"/>
    <w:rsid w:val="007B7171"/>
    <w:rsid w:val="007C0C0F"/>
    <w:rsid w:val="007C3DC2"/>
    <w:rsid w:val="007E5497"/>
    <w:rsid w:val="007F6BA7"/>
    <w:rsid w:val="00806F5F"/>
    <w:rsid w:val="00820278"/>
    <w:rsid w:val="008258C9"/>
    <w:rsid w:val="00844AE9"/>
    <w:rsid w:val="0086681B"/>
    <w:rsid w:val="00867F95"/>
    <w:rsid w:val="008843B6"/>
    <w:rsid w:val="00891928"/>
    <w:rsid w:val="008923A4"/>
    <w:rsid w:val="008A446D"/>
    <w:rsid w:val="008B25F1"/>
    <w:rsid w:val="008B5399"/>
    <w:rsid w:val="008D180B"/>
    <w:rsid w:val="008F0EA7"/>
    <w:rsid w:val="00906BF4"/>
    <w:rsid w:val="00912B14"/>
    <w:rsid w:val="00923EEF"/>
    <w:rsid w:val="009255E3"/>
    <w:rsid w:val="009419F9"/>
    <w:rsid w:val="0095685E"/>
    <w:rsid w:val="00961B09"/>
    <w:rsid w:val="00965334"/>
    <w:rsid w:val="0097093E"/>
    <w:rsid w:val="009839D7"/>
    <w:rsid w:val="009A0DFA"/>
    <w:rsid w:val="009A1C6F"/>
    <w:rsid w:val="009B2D26"/>
    <w:rsid w:val="009C3CE1"/>
    <w:rsid w:val="009C71FA"/>
    <w:rsid w:val="009C72E7"/>
    <w:rsid w:val="009C7F7E"/>
    <w:rsid w:val="009D3058"/>
    <w:rsid w:val="009D62F6"/>
    <w:rsid w:val="009F3A13"/>
    <w:rsid w:val="00A122D3"/>
    <w:rsid w:val="00A14468"/>
    <w:rsid w:val="00A17F13"/>
    <w:rsid w:val="00A20739"/>
    <w:rsid w:val="00A21186"/>
    <w:rsid w:val="00A23AF9"/>
    <w:rsid w:val="00A33C78"/>
    <w:rsid w:val="00AB0ADB"/>
    <w:rsid w:val="00B00C0E"/>
    <w:rsid w:val="00B01B1A"/>
    <w:rsid w:val="00B0381D"/>
    <w:rsid w:val="00B44A47"/>
    <w:rsid w:val="00B56580"/>
    <w:rsid w:val="00B72CD3"/>
    <w:rsid w:val="00B72FFF"/>
    <w:rsid w:val="00BB5D6B"/>
    <w:rsid w:val="00BB7301"/>
    <w:rsid w:val="00BC3D36"/>
    <w:rsid w:val="00BC7588"/>
    <w:rsid w:val="00BD54A6"/>
    <w:rsid w:val="00BD7F72"/>
    <w:rsid w:val="00BF7425"/>
    <w:rsid w:val="00C048A6"/>
    <w:rsid w:val="00C04FB3"/>
    <w:rsid w:val="00C11D8B"/>
    <w:rsid w:val="00C15139"/>
    <w:rsid w:val="00C330EB"/>
    <w:rsid w:val="00C50D69"/>
    <w:rsid w:val="00C5365C"/>
    <w:rsid w:val="00C553E4"/>
    <w:rsid w:val="00C754BE"/>
    <w:rsid w:val="00C76B1C"/>
    <w:rsid w:val="00C925AC"/>
    <w:rsid w:val="00CB6357"/>
    <w:rsid w:val="00CC1B26"/>
    <w:rsid w:val="00CC3143"/>
    <w:rsid w:val="00D361FD"/>
    <w:rsid w:val="00D423A2"/>
    <w:rsid w:val="00D44E26"/>
    <w:rsid w:val="00D520D8"/>
    <w:rsid w:val="00D63AC2"/>
    <w:rsid w:val="00D7383B"/>
    <w:rsid w:val="00D748A3"/>
    <w:rsid w:val="00D7788A"/>
    <w:rsid w:val="00DA231B"/>
    <w:rsid w:val="00DC39FC"/>
    <w:rsid w:val="00DF0C26"/>
    <w:rsid w:val="00DF5254"/>
    <w:rsid w:val="00E02524"/>
    <w:rsid w:val="00E16408"/>
    <w:rsid w:val="00E20894"/>
    <w:rsid w:val="00E245AB"/>
    <w:rsid w:val="00E2764C"/>
    <w:rsid w:val="00E27F2E"/>
    <w:rsid w:val="00E50AFE"/>
    <w:rsid w:val="00E70D0A"/>
    <w:rsid w:val="00E71716"/>
    <w:rsid w:val="00E75C92"/>
    <w:rsid w:val="00E771DC"/>
    <w:rsid w:val="00E86E64"/>
    <w:rsid w:val="00E8772A"/>
    <w:rsid w:val="00E90F6B"/>
    <w:rsid w:val="00E92C27"/>
    <w:rsid w:val="00EA0E3D"/>
    <w:rsid w:val="00EB6C79"/>
    <w:rsid w:val="00EC38A7"/>
    <w:rsid w:val="00EE1AA8"/>
    <w:rsid w:val="00EE2101"/>
    <w:rsid w:val="00F23FEA"/>
    <w:rsid w:val="00F31EDC"/>
    <w:rsid w:val="00F45DE6"/>
    <w:rsid w:val="00F462B3"/>
    <w:rsid w:val="00F5664F"/>
    <w:rsid w:val="00F666C4"/>
    <w:rsid w:val="00F76AFC"/>
    <w:rsid w:val="00F8390C"/>
    <w:rsid w:val="00F86247"/>
    <w:rsid w:val="00F904C9"/>
    <w:rsid w:val="00F94F4D"/>
    <w:rsid w:val="00FA3646"/>
    <w:rsid w:val="00FA47C0"/>
    <w:rsid w:val="00FB5DD1"/>
    <w:rsid w:val="00FC2B5D"/>
    <w:rsid w:val="00FE73EE"/>
    <w:rsid w:val="00FF1449"/>
    <w:rsid w:val="00FF4802"/>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1F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C37D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C37DC"/>
    <w:rPr>
      <w:rFonts w:ascii="Geomanist Light" w:hAnsi="Geomanist Light"/>
      <w:lang w:val="es-ES"/>
    </w:rPr>
  </w:style>
  <w:style w:type="character" w:customStyle="1" w:styleId="NormalWebCar">
    <w:name w:val="Normal (Web) Car"/>
    <w:link w:val="NormalWeb"/>
    <w:uiPriority w:val="99"/>
    <w:locked/>
    <w:rsid w:val="004C37DC"/>
    <w:rPr>
      <w:rFonts w:ascii="Times New Roman" w:eastAsia="Times New Roman" w:hAnsi="Times New Roman" w:cs="Times New Roman"/>
      <w:sz w:val="24"/>
      <w:szCs w:val="24"/>
      <w:lang w:eastAsia="es-CO"/>
    </w:rPr>
  </w:style>
  <w:style w:type="character" w:customStyle="1" w:styleId="baj">
    <w:name w:val="b_aj"/>
    <w:basedOn w:val="Fuentedeprrafopredeter"/>
    <w:rsid w:val="004C37DC"/>
  </w:style>
  <w:style w:type="character" w:styleId="Fuerte">
    <w:name w:val="Strong"/>
    <w:basedOn w:val="Fuentedeprrafopredeter"/>
    <w:uiPriority w:val="22"/>
    <w:qFormat/>
    <w:rsid w:val="00F94F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wp-content/uploads/2024/08/manual_de_la_modalidad_de_seleccion_de_minima_cuantia.pdf"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ndrestorres@hot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7f396a88abf4041777dc3b53343e19ba">
  <xsd:schema xmlns:xsd="http://www.w3.org/2001/XMLSchema" xmlns:xs="http://www.w3.org/2001/XMLSchema" xmlns:p="http://schemas.microsoft.com/office/2006/metadata/properties" xmlns:ns2="fb02ccb1-9bfe-43f1-9075-a12505bf7b0f" targetNamespace="http://schemas.microsoft.com/office/2006/metadata/properties" ma:root="true" ma:fieldsID="06f13dd87e57b5e4305f0f5ed234e613"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C9FD47-0F5E-4F53-8588-7D7A2DBD9A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14</Pages>
  <Words>4477</Words>
  <Characters>24629</Characters>
  <Application>Microsoft Office Word</Application>
  <DocSecurity>0</DocSecurity>
  <Lines>205</Lines>
  <Paragraphs>58</Paragraphs>
  <ScaleCrop>false</ScaleCrop>
  <Company/>
  <LinksUpToDate>false</LinksUpToDate>
  <CharactersWithSpaces>29048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4</cp:revision>
  <cp:lastPrinted>2023-01-10T21:18:00Z</cp:lastPrinted>
  <dcterms:created xsi:type="dcterms:W3CDTF">2026-05-08T20:56:00Z</dcterms:created>
  <dcterms:modified xsi:type="dcterms:W3CDTF">2026-05-08T20:59:00Z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